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32" w:type="dxa"/>
        <w:tblLayout w:type="fixed"/>
        <w:tblLook w:val="0000" w:firstRow="0" w:lastRow="0" w:firstColumn="0" w:lastColumn="0" w:noHBand="0" w:noVBand="0"/>
      </w:tblPr>
      <w:tblGrid>
        <w:gridCol w:w="2070"/>
        <w:gridCol w:w="3420"/>
        <w:gridCol w:w="4590"/>
      </w:tblGrid>
      <w:tr w:rsidR="00406B22" w:rsidRPr="003D7B10">
        <w:trPr>
          <w:trHeight w:val="720"/>
        </w:trPr>
        <w:tc>
          <w:tcPr>
            <w:tcW w:w="5490" w:type="dxa"/>
            <w:gridSpan w:val="2"/>
            <w:tcBorders>
              <w:bottom w:val="single" w:sz="18" w:space="0" w:color="auto"/>
            </w:tcBorders>
          </w:tcPr>
          <w:p w:rsidR="00406B22" w:rsidRPr="003D7B10" w:rsidRDefault="00031260" w:rsidP="0000434E">
            <w:pPr>
              <w:tabs>
                <w:tab w:val="left" w:pos="680"/>
                <w:tab w:val="left" w:pos="1360"/>
                <w:tab w:val="left" w:pos="2041"/>
                <w:tab w:val="left" w:pos="2721"/>
                <w:tab w:val="left" w:pos="3402"/>
                <w:tab w:val="left" w:pos="4082"/>
                <w:tab w:val="left" w:pos="4762"/>
                <w:tab w:val="left" w:pos="5443"/>
                <w:tab w:val="left" w:pos="6123"/>
                <w:tab w:val="left" w:pos="6804"/>
                <w:tab w:val="left" w:pos="7484"/>
                <w:tab w:val="left" w:pos="8164"/>
                <w:tab w:val="left" w:pos="8845"/>
              </w:tabs>
              <w:suppressAutoHyphens/>
              <w:rPr>
                <w:sz w:val="28"/>
                <w:szCs w:val="28"/>
              </w:rPr>
            </w:pPr>
            <w:bookmarkStart w:id="0" w:name="_GoBack"/>
            <w:bookmarkEnd w:id="0"/>
            <w:r w:rsidRPr="003D7B10">
              <w:rPr>
                <w:rFonts w:ascii="Univers" w:hAnsi="Univers"/>
                <w:b/>
                <w:sz w:val="28"/>
                <w:szCs w:val="28"/>
              </w:rPr>
              <w:t>UNITED</w:t>
            </w:r>
            <w:r w:rsidRPr="003D7B10">
              <w:rPr>
                <w:rFonts w:ascii="Univers" w:hAnsi="Univers"/>
                <w:b/>
                <w:sz w:val="28"/>
                <w:szCs w:val="28"/>
              </w:rPr>
              <w:br/>
              <w:t>NATIONS</w:t>
            </w:r>
          </w:p>
        </w:tc>
        <w:tc>
          <w:tcPr>
            <w:tcW w:w="4590" w:type="dxa"/>
            <w:tcBorders>
              <w:bottom w:val="single" w:sz="18" w:space="0" w:color="auto"/>
            </w:tcBorders>
          </w:tcPr>
          <w:p w:rsidR="00406B22" w:rsidRPr="003D7B10" w:rsidRDefault="00031260">
            <w:pPr>
              <w:jc w:val="right"/>
              <w:rPr>
                <w:sz w:val="52"/>
                <w:szCs w:val="52"/>
              </w:rPr>
            </w:pPr>
            <w:r w:rsidRPr="003D7B10">
              <w:rPr>
                <w:rFonts w:ascii="Univers Bold" w:hAnsi="Univers Bold"/>
                <w:b/>
                <w:sz w:val="72"/>
              </w:rPr>
              <w:t>EP</w:t>
            </w:r>
          </w:p>
        </w:tc>
      </w:tr>
      <w:tr w:rsidR="00406B22" w:rsidRPr="003D7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8"/>
        </w:trPr>
        <w:tc>
          <w:tcPr>
            <w:tcW w:w="2070" w:type="dxa"/>
            <w:tcBorders>
              <w:top w:val="nil"/>
              <w:left w:val="nil"/>
              <w:bottom w:val="single" w:sz="36" w:space="0" w:color="auto"/>
              <w:right w:val="nil"/>
            </w:tcBorders>
          </w:tcPr>
          <w:p w:rsidR="00406B22" w:rsidRPr="003D7B10" w:rsidRDefault="00BA397E">
            <w:pPr>
              <w:spacing w:before="120"/>
            </w:pPr>
            <w:r>
              <w:rPr>
                <w:noProof/>
                <w:lang w:val="en-US"/>
              </w:rPr>
              <w:drawing>
                <wp:anchor distT="0" distB="0" distL="114300" distR="114300" simplePos="0" relativeHeight="251658240" behindDoc="0" locked="0" layoutInCell="1" allowOverlap="1">
                  <wp:simplePos x="0" y="0"/>
                  <wp:positionH relativeFrom="column">
                    <wp:posOffset>325755</wp:posOffset>
                  </wp:positionH>
                  <wp:positionV relativeFrom="paragraph">
                    <wp:posOffset>868680</wp:posOffset>
                  </wp:positionV>
                  <wp:extent cx="800100" cy="705485"/>
                  <wp:effectExtent l="0" t="0" r="0" b="0"/>
                  <wp:wrapNone/>
                  <wp:docPr id="3" name="Picture 75" descr="UN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UNE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7054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1" locked="0" layoutInCell="0" allowOverlap="1">
                  <wp:simplePos x="0" y="0"/>
                  <wp:positionH relativeFrom="column">
                    <wp:posOffset>0</wp:posOffset>
                  </wp:positionH>
                  <wp:positionV relativeFrom="paragraph">
                    <wp:posOffset>114300</wp:posOffset>
                  </wp:positionV>
                  <wp:extent cx="822960" cy="731520"/>
                  <wp:effectExtent l="0" t="0" r="0" b="0"/>
                  <wp:wrapNone/>
                  <wp:docPr id="2"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731520"/>
                          </a:xfrm>
                          <a:prstGeom prst="rect">
                            <a:avLst/>
                          </a:prstGeom>
                          <a:noFill/>
                        </pic:spPr>
                      </pic:pic>
                    </a:graphicData>
                  </a:graphic>
                  <wp14:sizeRelH relativeFrom="page">
                    <wp14:pctWidth>0</wp14:pctWidth>
                  </wp14:sizeRelH>
                  <wp14:sizeRelV relativeFrom="page">
                    <wp14:pctHeight>0</wp14:pctHeight>
                  </wp14:sizeRelV>
                </wp:anchor>
              </w:drawing>
            </w:r>
          </w:p>
        </w:tc>
        <w:tc>
          <w:tcPr>
            <w:tcW w:w="3420" w:type="dxa"/>
            <w:tcBorders>
              <w:top w:val="nil"/>
              <w:left w:val="nil"/>
              <w:bottom w:val="single" w:sz="36" w:space="0" w:color="auto"/>
              <w:right w:val="nil"/>
            </w:tcBorders>
          </w:tcPr>
          <w:p w:rsidR="00031260" w:rsidRPr="003D7B10" w:rsidRDefault="00031260" w:rsidP="00BC1AA0">
            <w:pPr>
              <w:tabs>
                <w:tab w:val="left" w:pos="680"/>
                <w:tab w:val="left" w:pos="1360"/>
                <w:tab w:val="left" w:pos="2041"/>
                <w:tab w:val="left" w:pos="2721"/>
                <w:tab w:val="left" w:pos="3402"/>
                <w:tab w:val="left" w:pos="4082"/>
                <w:tab w:val="left" w:pos="4762"/>
                <w:tab w:val="left" w:pos="5443"/>
                <w:tab w:val="left" w:pos="6123"/>
                <w:tab w:val="left" w:pos="6804"/>
                <w:tab w:val="left" w:pos="7484"/>
                <w:tab w:val="left" w:pos="8164"/>
                <w:tab w:val="left" w:pos="8845"/>
              </w:tabs>
              <w:suppressAutoHyphens/>
              <w:rPr>
                <w:rFonts w:ascii="Univers" w:hAnsi="Univers"/>
                <w:b/>
                <w:sz w:val="32"/>
              </w:rPr>
            </w:pPr>
            <w:r w:rsidRPr="003D7B10">
              <w:rPr>
                <w:rFonts w:ascii="Univers" w:hAnsi="Univers"/>
                <w:b/>
                <w:sz w:val="32"/>
              </w:rPr>
              <w:t>United Nations</w:t>
            </w:r>
          </w:p>
          <w:p w:rsidR="00031260" w:rsidRPr="003D7B10" w:rsidRDefault="00031260" w:rsidP="00BC1AA0">
            <w:pPr>
              <w:tabs>
                <w:tab w:val="left" w:pos="680"/>
                <w:tab w:val="left" w:pos="1360"/>
                <w:tab w:val="left" w:pos="2041"/>
                <w:tab w:val="left" w:pos="2721"/>
                <w:tab w:val="left" w:pos="3402"/>
                <w:tab w:val="left" w:pos="4082"/>
                <w:tab w:val="left" w:pos="4762"/>
                <w:tab w:val="left" w:pos="5443"/>
                <w:tab w:val="left" w:pos="6123"/>
                <w:tab w:val="left" w:pos="6804"/>
                <w:tab w:val="left" w:pos="7484"/>
                <w:tab w:val="left" w:pos="8164"/>
                <w:tab w:val="left" w:pos="8845"/>
              </w:tabs>
              <w:suppressAutoHyphens/>
              <w:rPr>
                <w:rFonts w:ascii="Univers" w:hAnsi="Univers"/>
              </w:rPr>
            </w:pPr>
            <w:r w:rsidRPr="003D7B10">
              <w:rPr>
                <w:rFonts w:ascii="Univers" w:hAnsi="Univers"/>
                <w:b/>
                <w:sz w:val="32"/>
              </w:rPr>
              <w:t>Environment</w:t>
            </w:r>
          </w:p>
          <w:p w:rsidR="00031260" w:rsidRPr="003D7B10" w:rsidRDefault="00031260" w:rsidP="00BC1AA0">
            <w:pPr>
              <w:tabs>
                <w:tab w:val="left" w:pos="680"/>
                <w:tab w:val="left" w:pos="1360"/>
                <w:tab w:val="left" w:pos="2041"/>
                <w:tab w:val="left" w:pos="2721"/>
                <w:tab w:val="left" w:pos="3402"/>
                <w:tab w:val="left" w:pos="4082"/>
                <w:tab w:val="left" w:pos="4762"/>
                <w:tab w:val="left" w:pos="5443"/>
                <w:tab w:val="left" w:pos="6123"/>
                <w:tab w:val="left" w:pos="6804"/>
                <w:tab w:val="left" w:pos="7484"/>
                <w:tab w:val="left" w:pos="8164"/>
                <w:tab w:val="left" w:pos="8845"/>
              </w:tabs>
              <w:suppressAutoHyphens/>
              <w:rPr>
                <w:rFonts w:ascii="Univers Bold" w:hAnsi="Univers Bold"/>
                <w:b/>
                <w:sz w:val="32"/>
              </w:rPr>
            </w:pPr>
            <w:r w:rsidRPr="003D7B10">
              <w:rPr>
                <w:rFonts w:ascii="Univers" w:hAnsi="Univers"/>
                <w:b/>
                <w:sz w:val="32"/>
              </w:rPr>
              <w:t>Programme</w:t>
            </w:r>
          </w:p>
          <w:p w:rsidR="00406B22" w:rsidRPr="003D7B10" w:rsidRDefault="00406B22">
            <w:pPr>
              <w:spacing w:before="720"/>
              <w:ind w:left="158"/>
            </w:pPr>
          </w:p>
        </w:tc>
        <w:tc>
          <w:tcPr>
            <w:tcW w:w="4590" w:type="dxa"/>
            <w:tcBorders>
              <w:top w:val="nil"/>
              <w:left w:val="nil"/>
              <w:bottom w:val="single" w:sz="36" w:space="0" w:color="auto"/>
              <w:right w:val="nil"/>
            </w:tcBorders>
          </w:tcPr>
          <w:p w:rsidR="00406B22" w:rsidRPr="003D7B10" w:rsidRDefault="00406B22">
            <w:r w:rsidRPr="003D7B10">
              <w:t>Distr.</w:t>
            </w:r>
          </w:p>
          <w:p w:rsidR="00406B22" w:rsidRPr="003D7B10" w:rsidRDefault="00C40C41">
            <w:r w:rsidRPr="003D7B10">
              <w:t>GENERAL</w:t>
            </w:r>
          </w:p>
          <w:p w:rsidR="00406B22" w:rsidRPr="003D7B10" w:rsidRDefault="00406B22"/>
          <w:p w:rsidR="00000FED" w:rsidRPr="003D7B10" w:rsidRDefault="00000FED" w:rsidP="00000FED"/>
          <w:p w:rsidR="00000FED" w:rsidRPr="003D7B10" w:rsidRDefault="00BA397E" w:rsidP="00000FED">
            <w:r>
              <w:fldChar w:fldCharType="begin"/>
            </w:r>
            <w:r>
              <w:instrText xml:space="preserve"> DOCPROPERTY "Document number"  \* MERGEFORMAT </w:instrText>
            </w:r>
            <w:r>
              <w:fldChar w:fldCharType="separate"/>
            </w:r>
            <w:r w:rsidR="009435FE">
              <w:t>UNEP/OzL.Pro/ExCom/62/Inf.2/Rev.1</w:t>
            </w:r>
            <w:r>
              <w:fldChar w:fldCharType="end"/>
            </w:r>
          </w:p>
          <w:p w:rsidR="00000FED" w:rsidRPr="003D7B10" w:rsidRDefault="00BA397E" w:rsidP="00000FED">
            <w:r>
              <w:fldChar w:fldCharType="begin"/>
            </w:r>
            <w:r>
              <w:instrText xml:space="preserve"> DOCPROPERTY "Revision date" \@ "d MMMM YYYY"  \* MERGEFORMAT </w:instrText>
            </w:r>
            <w:r>
              <w:fldChar w:fldCharType="separate"/>
            </w:r>
            <w:r w:rsidR="000B4699">
              <w:t>16 March 2011</w:t>
            </w:r>
            <w:r>
              <w:fldChar w:fldCharType="end"/>
            </w:r>
          </w:p>
          <w:p w:rsidR="00406B22" w:rsidRPr="003D7B10" w:rsidRDefault="00406B22">
            <w:pPr>
              <w:rPr>
                <w:caps/>
              </w:rPr>
            </w:pPr>
          </w:p>
          <w:p w:rsidR="00406B22" w:rsidRPr="003D7B10" w:rsidRDefault="00406B22">
            <w:r w:rsidRPr="003D7B10">
              <w:t>ORIGINAL: ENGLISH</w:t>
            </w:r>
          </w:p>
        </w:tc>
      </w:tr>
    </w:tbl>
    <w:p w:rsidR="007C3D33" w:rsidRPr="003D7B10" w:rsidRDefault="00406B22" w:rsidP="00DD7828">
      <w:pPr>
        <w:jc w:val="left"/>
      </w:pPr>
      <w:r w:rsidRPr="003D7B10">
        <w:t>EXECUTIVE COMMITTEE OF</w:t>
      </w:r>
      <w:r w:rsidRPr="003D7B10">
        <w:br/>
        <w:t xml:space="preserve">  THE MULTILATERAL FUND FOR THE</w:t>
      </w:r>
      <w:r w:rsidRPr="003D7B10">
        <w:br/>
        <w:t xml:space="preserve">  IMPLEMENTATION OF THE MONTREAL PROTOCOL</w:t>
      </w:r>
      <w:r w:rsidRPr="003D7B10">
        <w:br/>
      </w:r>
      <w:r w:rsidR="00765DE4" w:rsidRPr="003D7B10">
        <w:t>Sixty-</w:t>
      </w:r>
      <w:r w:rsidR="00DD7828" w:rsidRPr="003D7B10">
        <w:t>second</w:t>
      </w:r>
      <w:r w:rsidR="00765DE4" w:rsidRPr="003D7B10">
        <w:t xml:space="preserve"> Meeting</w:t>
      </w:r>
      <w:r w:rsidR="007C3D33" w:rsidRPr="003D7B10">
        <w:br/>
      </w:r>
      <w:r w:rsidR="00765DE4" w:rsidRPr="003D7B10">
        <w:t xml:space="preserve">Montreal, </w:t>
      </w:r>
      <w:r w:rsidR="00DD7828" w:rsidRPr="003D7B10">
        <w:t>29 November - 3 December</w:t>
      </w:r>
      <w:r w:rsidR="00B6634C" w:rsidRPr="003D7B10">
        <w:t xml:space="preserve"> 2010</w:t>
      </w:r>
    </w:p>
    <w:p w:rsidR="003B569D" w:rsidRPr="003D7B10" w:rsidRDefault="003B569D" w:rsidP="009F36BF">
      <w:pPr>
        <w:pStyle w:val="Heading3"/>
        <w:numPr>
          <w:ilvl w:val="0"/>
          <w:numId w:val="0"/>
        </w:numPr>
        <w:spacing w:after="0"/>
      </w:pPr>
    </w:p>
    <w:p w:rsidR="00F35746" w:rsidRPr="003D7B10" w:rsidRDefault="00F35746" w:rsidP="009F36BF"/>
    <w:p w:rsidR="00C274ED" w:rsidRDefault="00C274ED" w:rsidP="009F36BF"/>
    <w:p w:rsidR="00447ACB" w:rsidRPr="003D7B10" w:rsidRDefault="00447ACB" w:rsidP="009F36BF"/>
    <w:p w:rsidR="00A95180" w:rsidRPr="003D7B10" w:rsidRDefault="00A95180" w:rsidP="003B6556">
      <w:pPr>
        <w:pStyle w:val="Title1"/>
      </w:pPr>
    </w:p>
    <w:p w:rsidR="003B6556" w:rsidRPr="003D7B10" w:rsidRDefault="003B6556" w:rsidP="003B6556">
      <w:pPr>
        <w:pStyle w:val="Title1"/>
      </w:pPr>
      <w:bookmarkStart w:id="1" w:name="OLE_LINK1"/>
      <w:bookmarkStart w:id="2" w:name="OLE_LINK2"/>
      <w:r w:rsidRPr="003D7B10">
        <w:t>REPORT OF THE EXECUTIVE COMMITTEE TO THE OPEN-ENDED WORKING GROUP ON THE PROGRESS MADE IN REDUCING EMISSIONS OF CONTROLLED</w:t>
      </w:r>
    </w:p>
    <w:p w:rsidR="003B6556" w:rsidRPr="003D7B10" w:rsidRDefault="003B6556" w:rsidP="003B6556">
      <w:pPr>
        <w:pStyle w:val="Title1"/>
      </w:pPr>
      <w:r w:rsidRPr="003D7B10">
        <w:t>SUBSTANCES FROM PROCESS-AGENT USES (FOLLOW-UP TO</w:t>
      </w:r>
    </w:p>
    <w:p w:rsidR="003B6556" w:rsidRPr="003D7B10" w:rsidRDefault="00C274ED" w:rsidP="003B6556">
      <w:pPr>
        <w:pStyle w:val="Title1"/>
      </w:pPr>
      <w:r w:rsidRPr="003D7B10">
        <w:t>DECISION </w:t>
      </w:r>
      <w:r w:rsidR="003B6556" w:rsidRPr="003D7B10">
        <w:t xml:space="preserve">XVII/6 OF THE SEVENTEENTH MEETING OF THE PARTIES) </w:t>
      </w:r>
    </w:p>
    <w:p w:rsidR="00406B22" w:rsidRPr="003D7B10" w:rsidRDefault="003B6556" w:rsidP="003B6556">
      <w:pPr>
        <w:pStyle w:val="Title1"/>
      </w:pPr>
      <w:r w:rsidRPr="003D7B10">
        <w:t xml:space="preserve">AN UPDATE FOR THE PERIOD </w:t>
      </w:r>
      <w:r w:rsidR="00B06614" w:rsidRPr="003D7B10">
        <w:t>2009 and 2010</w:t>
      </w:r>
    </w:p>
    <w:bookmarkEnd w:id="1"/>
    <w:bookmarkEnd w:id="2"/>
    <w:p w:rsidR="000F7890" w:rsidRDefault="000148B0" w:rsidP="000148B0">
      <w:pPr>
        <w:pStyle w:val="Title1"/>
        <w:tabs>
          <w:tab w:val="left" w:pos="3705"/>
        </w:tabs>
        <w:jc w:val="both"/>
      </w:pPr>
      <w:r>
        <w:tab/>
      </w:r>
    </w:p>
    <w:p w:rsidR="009435FE" w:rsidRDefault="009435FE" w:rsidP="009F36BF">
      <w:pPr>
        <w:pStyle w:val="Title1"/>
      </w:pPr>
    </w:p>
    <w:p w:rsidR="009435FE" w:rsidRDefault="009435FE" w:rsidP="009F36BF">
      <w:pPr>
        <w:pStyle w:val="Title1"/>
      </w:pPr>
    </w:p>
    <w:p w:rsidR="00447ACB" w:rsidRPr="003D7B10" w:rsidRDefault="00447ACB" w:rsidP="009F36BF">
      <w:pPr>
        <w:pStyle w:val="Title1"/>
      </w:pPr>
    </w:p>
    <w:p w:rsidR="00817C78" w:rsidRPr="003D7B10" w:rsidRDefault="00447ACB" w:rsidP="000148B0">
      <w:pPr>
        <w:ind w:firstLine="720"/>
      </w:pPr>
      <w:r w:rsidRPr="00447ACB">
        <w:t xml:space="preserve">This revision is issued in response to </w:t>
      </w:r>
      <w:r>
        <w:t>d</w:t>
      </w:r>
      <w:r w:rsidRPr="00447ACB">
        <w:t>ecision</w:t>
      </w:r>
      <w:r>
        <w:t> </w:t>
      </w:r>
      <w:r w:rsidRPr="00447ACB">
        <w:t>62/68 and takes into account the feedback provided by members of the 62</w:t>
      </w:r>
      <w:r w:rsidRPr="00447ACB">
        <w:rPr>
          <w:vertAlign w:val="superscript"/>
        </w:rPr>
        <w:t>nd</w:t>
      </w:r>
      <w:r>
        <w:t> </w:t>
      </w:r>
      <w:r w:rsidRPr="00447ACB">
        <w:t>Executive Committee by means of a discussion forum that the Multilateral Fund Secretariat set up on its intranet site.</w:t>
      </w:r>
    </w:p>
    <w:p w:rsidR="00817C78" w:rsidRPr="003D7B10" w:rsidRDefault="00817C78" w:rsidP="00817C78">
      <w:pPr>
        <w:jc w:val="center"/>
      </w:pPr>
    </w:p>
    <w:p w:rsidR="00A4160A" w:rsidRPr="003D7B10" w:rsidRDefault="00817C78" w:rsidP="003B6556">
      <w:r w:rsidRPr="003D7B10">
        <w:br w:type="page"/>
      </w:r>
    </w:p>
    <w:p w:rsidR="00657949" w:rsidRPr="003D7B10" w:rsidRDefault="00657949" w:rsidP="00657949">
      <w:pPr>
        <w:pStyle w:val="Title1"/>
      </w:pPr>
      <w:r w:rsidRPr="003D7B10">
        <w:t>REPORT OF THE EXECUTIVE COMMITTEE TO THE OPEN-ENDED WORKING GROUP ON THE PROGRESS MADE IN REDUCING EMISSIONS OF CONTROLLED</w:t>
      </w:r>
    </w:p>
    <w:p w:rsidR="00657949" w:rsidRPr="003D7B10" w:rsidRDefault="00657949" w:rsidP="00657949">
      <w:pPr>
        <w:pStyle w:val="Title1"/>
        <w:rPr>
          <w:b w:val="0"/>
        </w:rPr>
      </w:pPr>
      <w:r w:rsidRPr="003D7B10">
        <w:t>SUBSTANCES FROM PROCESS-AGENT USES DURING 2009 AND 2010</w:t>
      </w:r>
    </w:p>
    <w:p w:rsidR="00657949" w:rsidRPr="003D7B10" w:rsidRDefault="00657949" w:rsidP="003B6556"/>
    <w:p w:rsidR="00657949" w:rsidRPr="003D7B10" w:rsidRDefault="00657949" w:rsidP="003B6556"/>
    <w:p w:rsidR="003B6556" w:rsidRPr="003D7B10" w:rsidRDefault="003B6556" w:rsidP="003B6556">
      <w:pPr>
        <w:rPr>
          <w:b/>
        </w:rPr>
      </w:pPr>
      <w:r w:rsidRPr="003D7B10">
        <w:rPr>
          <w:b/>
        </w:rPr>
        <w:t xml:space="preserve">I.  INTRODUCTION </w:t>
      </w:r>
    </w:p>
    <w:p w:rsidR="003B6556" w:rsidRPr="003D7B10" w:rsidRDefault="003B6556" w:rsidP="003B6556"/>
    <w:p w:rsidR="007E03DB" w:rsidRPr="003D7B10" w:rsidRDefault="003B6556" w:rsidP="00817C78">
      <w:pPr>
        <w:pStyle w:val="Heading1"/>
        <w:numPr>
          <w:ilvl w:val="0"/>
          <w:numId w:val="21"/>
        </w:numPr>
        <w:autoSpaceDE w:val="0"/>
        <w:autoSpaceDN w:val="0"/>
        <w:adjustRightInd w:val="0"/>
      </w:pPr>
      <w:r w:rsidRPr="003D7B10">
        <w:t>This report is prepared further to decision XVII/6 of the 17</w:t>
      </w:r>
      <w:r w:rsidRPr="003D7B10">
        <w:rPr>
          <w:vertAlign w:val="superscript"/>
        </w:rPr>
        <w:t>th</w:t>
      </w:r>
      <w:r w:rsidR="00C274ED" w:rsidRPr="003D7B10">
        <w:t> Meeting</w:t>
      </w:r>
      <w:r w:rsidRPr="003D7B10">
        <w:t xml:space="preserve"> of the Parties and decision XXI/3 of the 21</w:t>
      </w:r>
      <w:r w:rsidRPr="003D7B10">
        <w:rPr>
          <w:vertAlign w:val="superscript"/>
        </w:rPr>
        <w:t>st</w:t>
      </w:r>
      <w:r w:rsidR="00C274ED" w:rsidRPr="003D7B10">
        <w:t> Meeting</w:t>
      </w:r>
      <w:r w:rsidRPr="003D7B10">
        <w:t xml:space="preserve"> of the Parties, which </w:t>
      </w:r>
      <w:r w:rsidRPr="003D7B10">
        <w:rPr>
          <w:i/>
        </w:rPr>
        <w:t>inter alia</w:t>
      </w:r>
      <w:r w:rsidRPr="003D7B10">
        <w:t xml:space="preserve"> requested the Technology and Economic Assessment Panel </w:t>
      </w:r>
      <w:r w:rsidR="00B06614" w:rsidRPr="003D7B10">
        <w:t xml:space="preserve">(TEAP) </w:t>
      </w:r>
      <w:r w:rsidRPr="003D7B10">
        <w:t>and the Executive Committee of the Multilateral Fund to prepare a joint report for future meetings, reporting on progress with phasing out process</w:t>
      </w:r>
      <w:r w:rsidR="00B06614" w:rsidRPr="003D7B10">
        <w:t xml:space="preserve"> </w:t>
      </w:r>
      <w:r w:rsidRPr="003D7B10">
        <w:t xml:space="preserve">agent </w:t>
      </w:r>
      <w:r w:rsidR="00B06614" w:rsidRPr="003D7B10">
        <w:t xml:space="preserve">(PA) </w:t>
      </w:r>
      <w:r w:rsidRPr="003D7B10">
        <w:t>applications</w:t>
      </w:r>
      <w:r w:rsidR="00F52E3C" w:rsidRPr="003D7B10">
        <w:t xml:space="preserve">.  </w:t>
      </w:r>
      <w:r w:rsidR="00924F72" w:rsidRPr="003D7B10">
        <w:t>D</w:t>
      </w:r>
      <w:r w:rsidRPr="003D7B10">
        <w:t>ecision</w:t>
      </w:r>
      <w:r w:rsidR="00F52E3C" w:rsidRPr="003D7B10">
        <w:t> </w:t>
      </w:r>
      <w:r w:rsidR="00AE7AB5" w:rsidRPr="003D7B10">
        <w:t xml:space="preserve">XVII/6 </w:t>
      </w:r>
      <w:r w:rsidRPr="003D7B10">
        <w:t xml:space="preserve">required </w:t>
      </w:r>
      <w:r w:rsidR="00924F72" w:rsidRPr="003D7B10">
        <w:t>a</w:t>
      </w:r>
      <w:r w:rsidRPr="003D7B10">
        <w:t xml:space="preserve"> report to the Open-ended Working Group (OEWG) at its 27</w:t>
      </w:r>
      <w:r w:rsidRPr="003D7B10">
        <w:rPr>
          <w:vertAlign w:val="superscript"/>
        </w:rPr>
        <w:t>th</w:t>
      </w:r>
      <w:r w:rsidR="00C274ED" w:rsidRPr="003D7B10">
        <w:t> Meeting</w:t>
      </w:r>
      <w:r w:rsidRPr="003D7B10">
        <w:t xml:space="preserve"> in 2007, and every other year thereafter, unless the Parties decide otherwise, on the progress made in reducing emissions of controlled substances from process</w:t>
      </w:r>
      <w:r w:rsidR="00B06614" w:rsidRPr="003D7B10">
        <w:t xml:space="preserve"> </w:t>
      </w:r>
      <w:r w:rsidRPr="003D7B10">
        <w:t>agent uses; the associated make-up quantity of controlled substances; on the implementation and development of emissions-reduction techniques and alternative processes and products not using ozone-depleting substances.</w:t>
      </w:r>
      <w:r w:rsidR="00F26476" w:rsidRPr="003D7B10">
        <w:t xml:space="preserve"> </w:t>
      </w:r>
    </w:p>
    <w:p w:rsidR="005F2C43" w:rsidRPr="003D7B10" w:rsidRDefault="006E3E11" w:rsidP="00817C78">
      <w:pPr>
        <w:pStyle w:val="Heading1"/>
        <w:numPr>
          <w:ilvl w:val="0"/>
          <w:numId w:val="21"/>
        </w:numPr>
        <w:autoSpaceDE w:val="0"/>
        <w:autoSpaceDN w:val="0"/>
        <w:adjustRightInd w:val="0"/>
      </w:pPr>
      <w:r w:rsidRPr="003D7B10">
        <w:t>The 22</w:t>
      </w:r>
      <w:r w:rsidRPr="003D7B10">
        <w:rPr>
          <w:vertAlign w:val="superscript"/>
        </w:rPr>
        <w:t>nd</w:t>
      </w:r>
      <w:r w:rsidR="00227DB1" w:rsidRPr="003D7B10">
        <w:rPr>
          <w:vertAlign w:val="superscript"/>
        </w:rPr>
        <w:t> </w:t>
      </w:r>
      <w:r w:rsidRPr="003D7B10">
        <w:t xml:space="preserve">Meeting of the Parties decided in </w:t>
      </w:r>
      <w:r w:rsidR="00227DB1" w:rsidRPr="003D7B10">
        <w:t>d</w:t>
      </w:r>
      <w:r w:rsidRPr="003D7B10">
        <w:t>ecision XXII/8</w:t>
      </w:r>
      <w:r w:rsidR="006C6BE5">
        <w:t>,</w:t>
      </w:r>
      <w:r w:rsidRPr="003D7B10">
        <w:t xml:space="preserve"> </w:t>
      </w:r>
      <w:r w:rsidR="007E03DB" w:rsidRPr="003D7B10">
        <w:t>in paragraph</w:t>
      </w:r>
      <w:r w:rsidR="00E60075" w:rsidRPr="003D7B10">
        <w:t> 2</w:t>
      </w:r>
      <w:r w:rsidR="006C6BE5">
        <w:t>,</w:t>
      </w:r>
      <w:r w:rsidR="007E03DB" w:rsidRPr="003D7B10">
        <w:t xml:space="preserve"> to update </w:t>
      </w:r>
      <w:r w:rsidR="00227DB1" w:rsidRPr="003D7B10">
        <w:t>T</w:t>
      </w:r>
      <w:r w:rsidR="007E03DB" w:rsidRPr="003D7B10">
        <w:t>able</w:t>
      </w:r>
      <w:r w:rsidR="00227DB1" w:rsidRPr="003D7B10">
        <w:t> </w:t>
      </w:r>
      <w:r w:rsidR="007E03DB" w:rsidRPr="003D7B10">
        <w:t>B of decision</w:t>
      </w:r>
      <w:r w:rsidR="00227DB1" w:rsidRPr="003D7B10">
        <w:t> </w:t>
      </w:r>
      <w:r w:rsidR="007E03DB" w:rsidRPr="003D7B10">
        <w:t xml:space="preserve">X/14 specifying the limits for process agent uses in several countries. </w:t>
      </w:r>
      <w:r w:rsidR="00227DB1" w:rsidRPr="003D7B10">
        <w:t xml:space="preserve"> </w:t>
      </w:r>
      <w:r w:rsidR="007E03DB" w:rsidRPr="003D7B10">
        <w:t>The decision also includes in its paragraph</w:t>
      </w:r>
      <w:r w:rsidR="00227DB1" w:rsidRPr="003D7B10">
        <w:t> </w:t>
      </w:r>
      <w:r w:rsidR="007E03DB" w:rsidRPr="003D7B10">
        <w:t xml:space="preserve">6 a </w:t>
      </w:r>
      <w:r w:rsidR="00227DB1" w:rsidRPr="003D7B10">
        <w:t>proviso that</w:t>
      </w:r>
      <w:r w:rsidR="007E03DB" w:rsidRPr="003D7B10">
        <w:t>,</w:t>
      </w:r>
      <w:r w:rsidRPr="003D7B10">
        <w:t xml:space="preserve"> </w:t>
      </w:r>
      <w:r w:rsidRPr="003D7B10">
        <w:rPr>
          <w:lang w:eastAsia="en-CA"/>
        </w:rPr>
        <w:t xml:space="preserve">once all process agent projects approved by the Executive Committee are completed, reporting by the Executive Committee to the </w:t>
      </w:r>
      <w:r w:rsidR="00227DB1" w:rsidRPr="003D7B10">
        <w:rPr>
          <w:lang w:eastAsia="en-CA"/>
        </w:rPr>
        <w:t>P</w:t>
      </w:r>
      <w:r w:rsidRPr="003D7B10">
        <w:rPr>
          <w:lang w:eastAsia="en-CA"/>
        </w:rPr>
        <w:t>arties as requested in decision</w:t>
      </w:r>
      <w:r w:rsidR="00227DB1" w:rsidRPr="003D7B10">
        <w:rPr>
          <w:lang w:eastAsia="en-CA"/>
        </w:rPr>
        <w:t> </w:t>
      </w:r>
      <w:r w:rsidRPr="003D7B10">
        <w:rPr>
          <w:lang w:eastAsia="en-CA"/>
        </w:rPr>
        <w:t>XVII/6 will no longer be required.</w:t>
      </w:r>
      <w:r w:rsidR="007E03DB" w:rsidRPr="003D7B10">
        <w:rPr>
          <w:lang w:eastAsia="en-CA"/>
        </w:rPr>
        <w:t xml:space="preserve"> </w:t>
      </w:r>
      <w:r w:rsidR="00227DB1" w:rsidRPr="003D7B10">
        <w:rPr>
          <w:lang w:eastAsia="en-CA"/>
        </w:rPr>
        <w:t xml:space="preserve"> </w:t>
      </w:r>
      <w:r w:rsidR="007E03DB" w:rsidRPr="003D7B10">
        <w:rPr>
          <w:lang w:eastAsia="en-CA"/>
        </w:rPr>
        <w:t>Presently, not all such projects have been completed.</w:t>
      </w:r>
    </w:p>
    <w:p w:rsidR="003B6556" w:rsidRPr="003D7B10" w:rsidRDefault="003B6556" w:rsidP="003B6556">
      <w:pPr>
        <w:pStyle w:val="Heading1"/>
      </w:pPr>
      <w:r w:rsidRPr="003D7B10">
        <w:t xml:space="preserve">This document </w:t>
      </w:r>
      <w:r w:rsidR="00924F72" w:rsidRPr="003D7B10">
        <w:t>provides the information that will enable</w:t>
      </w:r>
      <w:r w:rsidRPr="003D7B10">
        <w:t xml:space="preserve"> the Executive Committee to fulfil the mandate for a joint report with TEAP</w:t>
      </w:r>
      <w:r w:rsidR="00AE7AB5" w:rsidRPr="003D7B10">
        <w:t xml:space="preserve">, taking into account that TEAP will </w:t>
      </w:r>
      <w:r w:rsidR="00924F72" w:rsidRPr="003D7B10">
        <w:t xml:space="preserve">be </w:t>
      </w:r>
      <w:r w:rsidR="00AE7AB5" w:rsidRPr="003D7B10">
        <w:t>prepar</w:t>
      </w:r>
      <w:r w:rsidR="00924F72" w:rsidRPr="003D7B10">
        <w:t>ing</w:t>
      </w:r>
      <w:r w:rsidR="00AE7AB5" w:rsidRPr="003D7B10">
        <w:t xml:space="preserve"> its report prior to the 63</w:t>
      </w:r>
      <w:r w:rsidR="00AE7AB5" w:rsidRPr="003D7B10">
        <w:rPr>
          <w:vertAlign w:val="superscript"/>
        </w:rPr>
        <w:t>rd</w:t>
      </w:r>
      <w:r w:rsidR="00AE7AB5" w:rsidRPr="003D7B10">
        <w:t xml:space="preserve"> Meeting of the Executive Committee. The document </w:t>
      </w:r>
      <w:r w:rsidRPr="003D7B10">
        <w:t>consists of an update to the report of the Executive Committee submitted to the OEWG at its 29</w:t>
      </w:r>
      <w:r w:rsidRPr="003D7B10">
        <w:rPr>
          <w:vertAlign w:val="superscript"/>
        </w:rPr>
        <w:t>th</w:t>
      </w:r>
      <w:r w:rsidR="00C274ED" w:rsidRPr="003D7B10">
        <w:t> Meeting</w:t>
      </w:r>
      <w:r w:rsidRPr="003D7B10">
        <w:t xml:space="preserve"> in response to </w:t>
      </w:r>
      <w:r w:rsidR="00924F72" w:rsidRPr="003D7B10">
        <w:t>decision XVII/6</w:t>
      </w:r>
      <w:r w:rsidRPr="003D7B10">
        <w:t>.</w:t>
      </w:r>
      <w:r w:rsidR="00924F72" w:rsidRPr="003D7B10">
        <w:t xml:space="preserve"> </w:t>
      </w:r>
      <w:r w:rsidRPr="003D7B10">
        <w:t xml:space="preserve"> It presents the progress made </w:t>
      </w:r>
      <w:r w:rsidR="00AE7AB5" w:rsidRPr="003D7B10">
        <w:t xml:space="preserve">until </w:t>
      </w:r>
      <w:r w:rsidR="00762092" w:rsidRPr="003D7B10">
        <w:t xml:space="preserve">the end of </w:t>
      </w:r>
      <w:r w:rsidRPr="003D7B10">
        <w:t>2010 by the Multilateral Fund in assisting Article 5 countries in reducing the emissions of controlled substances from process agent use to “levels agreed by the Executive Committee to be reasonably achievable in a cost-effective manner without undue abandonment of infrastructure” (</w:t>
      </w:r>
      <w:r w:rsidR="00C274ED" w:rsidRPr="003D7B10">
        <w:t>decision </w:t>
      </w:r>
      <w:r w:rsidRPr="003D7B10">
        <w:t xml:space="preserve">X/14). It lists </w:t>
      </w:r>
      <w:r w:rsidR="00D428DB" w:rsidRPr="003D7B10">
        <w:t>the projects and activities that were funded during the period of 2009 to 2010, with information on the levels of funding approved, the impact and the date of completion of such projects.</w:t>
      </w:r>
      <w:r w:rsidRPr="003D7B10">
        <w:t xml:space="preserve"> It also presents information on progress with on-going projects as reported by </w:t>
      </w:r>
      <w:r w:rsidR="00B06614" w:rsidRPr="003D7B10">
        <w:t xml:space="preserve">the </w:t>
      </w:r>
      <w:r w:rsidRPr="003D7B10">
        <w:t xml:space="preserve">implementing agencies. </w:t>
      </w:r>
    </w:p>
    <w:p w:rsidR="003B6556" w:rsidRPr="003D7B10" w:rsidRDefault="003B6556" w:rsidP="003B6556"/>
    <w:p w:rsidR="00972D21" w:rsidRPr="003D7B10" w:rsidRDefault="00972D21" w:rsidP="003B6556"/>
    <w:p w:rsidR="003B6556" w:rsidRPr="003D7B10" w:rsidRDefault="003B6556" w:rsidP="00F52E3C">
      <w:pPr>
        <w:ind w:left="450" w:hanging="450"/>
        <w:rPr>
          <w:b/>
        </w:rPr>
      </w:pPr>
      <w:r w:rsidRPr="003D7B10">
        <w:rPr>
          <w:b/>
        </w:rPr>
        <w:t xml:space="preserve">II:  </w:t>
      </w:r>
      <w:r w:rsidR="00F52E3C" w:rsidRPr="003D7B10">
        <w:rPr>
          <w:b/>
        </w:rPr>
        <w:tab/>
      </w:r>
      <w:r w:rsidRPr="003D7B10">
        <w:rPr>
          <w:b/>
        </w:rPr>
        <w:t xml:space="preserve">OVERVIEW OF PROCESS AGENT USES OF ODS IN ARTICLE 5 COUNTRIES IN </w:t>
      </w:r>
      <w:r w:rsidR="00762092" w:rsidRPr="003D7B10">
        <w:rPr>
          <w:b/>
        </w:rPr>
        <w:t>THE REPORTING PERIOD</w:t>
      </w:r>
    </w:p>
    <w:p w:rsidR="003B6556" w:rsidRPr="003D7B10" w:rsidRDefault="003B6556" w:rsidP="003B6556"/>
    <w:p w:rsidR="00972D21" w:rsidRPr="003D7B10" w:rsidRDefault="003B6556" w:rsidP="00972D21">
      <w:pPr>
        <w:pStyle w:val="Heading1"/>
      </w:pPr>
      <w:r w:rsidRPr="003D7B10">
        <w:t>In its first report submitted to the 25</w:t>
      </w:r>
      <w:r w:rsidRPr="003D7B10">
        <w:rPr>
          <w:vertAlign w:val="superscript"/>
        </w:rPr>
        <w:t>th</w:t>
      </w:r>
      <w:r w:rsidR="00C274ED" w:rsidRPr="003D7B10">
        <w:t> Meeting</w:t>
      </w:r>
      <w:r w:rsidRPr="003D7B10">
        <w:t xml:space="preserve"> of the OEWG</w:t>
      </w:r>
      <w:r w:rsidR="00762092" w:rsidRPr="003D7B10">
        <w:t xml:space="preserve"> (2005)</w:t>
      </w:r>
      <w:r w:rsidRPr="003D7B10">
        <w:t>, the Executive Committee estimated that the total consumption of ODS as a process agent in Article 5 countries in 2003 was some 13,623</w:t>
      </w:r>
      <w:r w:rsidR="00C274ED" w:rsidRPr="003D7B10">
        <w:t> ODP</w:t>
      </w:r>
      <w:r w:rsidRPr="003D7B10">
        <w:t xml:space="preserve"> tonnes, 97</w:t>
      </w:r>
      <w:r w:rsidR="00CA1063" w:rsidRPr="003D7B10">
        <w:t> </w:t>
      </w:r>
      <w:r w:rsidRPr="003D7B10">
        <w:t>per cent of which was reported as being used in three countries, China (10,538</w:t>
      </w:r>
      <w:r w:rsidR="00C274ED" w:rsidRPr="003D7B10">
        <w:t> ODP</w:t>
      </w:r>
      <w:r w:rsidRPr="003D7B10">
        <w:t xml:space="preserve"> tonnes), India (2,268</w:t>
      </w:r>
      <w:r w:rsidR="00C274ED" w:rsidRPr="003D7B10">
        <w:t> ODP</w:t>
      </w:r>
      <w:r w:rsidRPr="003D7B10">
        <w:t xml:space="preserve"> tonnes) and the Democratic People’s Republic of Korea (432</w:t>
      </w:r>
      <w:r w:rsidR="00C274ED" w:rsidRPr="003D7B10">
        <w:t> ODP</w:t>
      </w:r>
      <w:r w:rsidRPr="003D7B10">
        <w:t xml:space="preserve"> tonnes) (document UNEP/OzL.Pro/WG.1/25/INF/4).</w:t>
      </w:r>
    </w:p>
    <w:p w:rsidR="0037611E" w:rsidRPr="003D7B10" w:rsidRDefault="003B6556" w:rsidP="007B080C">
      <w:pPr>
        <w:pStyle w:val="Heading1"/>
        <w:keepNext/>
        <w:keepLines/>
      </w:pPr>
      <w:r w:rsidRPr="003D7B10">
        <w:lastRenderedPageBreak/>
        <w:t>On the basis of Article 7 data, the total reported CTC consumption for process agent and all other uses in Article 5 countries in 2008 was 1</w:t>
      </w:r>
      <w:r w:rsidR="00844BA6" w:rsidRPr="003D7B10">
        <w:t>,</w:t>
      </w:r>
      <w:r w:rsidRPr="003D7B10">
        <w:t>031.40</w:t>
      </w:r>
      <w:r w:rsidR="00C274ED" w:rsidRPr="003D7B10">
        <w:t> ODP</w:t>
      </w:r>
      <w:r w:rsidRPr="003D7B10">
        <w:t xml:space="preserve"> tonnes.  </w:t>
      </w:r>
      <w:r w:rsidR="0037611E" w:rsidRPr="003D7B10">
        <w:t xml:space="preserve">Of this total, </w:t>
      </w:r>
      <w:r w:rsidR="00B06614" w:rsidRPr="003D7B10">
        <w:t xml:space="preserve">98.7 per cent </w:t>
      </w:r>
      <w:r w:rsidRPr="003D7B10">
        <w:t xml:space="preserve">is </w:t>
      </w:r>
      <w:r w:rsidR="0037611E" w:rsidRPr="003D7B10">
        <w:t xml:space="preserve">consumed </w:t>
      </w:r>
      <w:r w:rsidRPr="003D7B10">
        <w:t>in four countries, namely India (680.5</w:t>
      </w:r>
      <w:r w:rsidR="00C274ED" w:rsidRPr="003D7B10">
        <w:t> ODP</w:t>
      </w:r>
      <w:r w:rsidRPr="003D7B10">
        <w:t xml:space="preserve"> tonnes), China (219.2</w:t>
      </w:r>
      <w:r w:rsidR="00C274ED" w:rsidRPr="003D7B10">
        <w:t> ODP</w:t>
      </w:r>
      <w:r w:rsidRPr="003D7B10">
        <w:t xml:space="preserve"> tonnes), Mexico (88.0</w:t>
      </w:r>
      <w:r w:rsidR="00C274ED" w:rsidRPr="003D7B10">
        <w:t> ODP</w:t>
      </w:r>
      <w:r w:rsidRPr="003D7B10">
        <w:t xml:space="preserve"> tonnes) and </w:t>
      </w:r>
      <w:r w:rsidR="00F52E3C" w:rsidRPr="003D7B10">
        <w:t xml:space="preserve">the </w:t>
      </w:r>
      <w:r w:rsidRPr="003D7B10">
        <w:t>Republic of Korea (30.7</w:t>
      </w:r>
      <w:r w:rsidR="00C274ED" w:rsidRPr="003D7B10">
        <w:t> ODP</w:t>
      </w:r>
      <w:r w:rsidRPr="003D7B10">
        <w:t xml:space="preserve"> tonnes). </w:t>
      </w:r>
      <w:r w:rsidR="00762092" w:rsidRPr="003D7B10">
        <w:t>Th</w:t>
      </w:r>
      <w:r w:rsidR="002457C1" w:rsidRPr="003D7B10">
        <w:t xml:space="preserve">e </w:t>
      </w:r>
      <w:r w:rsidR="00762092" w:rsidRPr="003D7B10">
        <w:t xml:space="preserve">consumption for </w:t>
      </w:r>
      <w:r w:rsidR="002457C1" w:rsidRPr="003D7B10">
        <w:t xml:space="preserve">all </w:t>
      </w:r>
      <w:r w:rsidR="00762092" w:rsidRPr="003D7B10">
        <w:t xml:space="preserve">Article 5 countries </w:t>
      </w:r>
      <w:r w:rsidRPr="003D7B10">
        <w:t xml:space="preserve">decreased to </w:t>
      </w:r>
      <w:r w:rsidR="000A032E" w:rsidRPr="003D7B10">
        <w:t>149.3</w:t>
      </w:r>
      <w:r w:rsidR="00C274ED" w:rsidRPr="003D7B10">
        <w:t> ODP</w:t>
      </w:r>
      <w:r w:rsidRPr="003D7B10">
        <w:t xml:space="preserve"> tonnes in 2009. Ninety </w:t>
      </w:r>
      <w:r w:rsidR="000A032E" w:rsidRPr="003D7B10">
        <w:t>six</w:t>
      </w:r>
      <w:r w:rsidRPr="003D7B10">
        <w:t xml:space="preserve"> point </w:t>
      </w:r>
      <w:r w:rsidR="000A032E" w:rsidRPr="003D7B10">
        <w:t>five</w:t>
      </w:r>
      <w:r w:rsidRPr="003D7B10">
        <w:t xml:space="preserve"> per cent of this consumption is reported </w:t>
      </w:r>
      <w:r w:rsidR="002457C1" w:rsidRPr="003D7B10">
        <w:t xml:space="preserve">by </w:t>
      </w:r>
      <w:r w:rsidR="000A032E" w:rsidRPr="003D7B10">
        <w:t>three</w:t>
      </w:r>
      <w:r w:rsidRPr="003D7B10">
        <w:t xml:space="preserve"> countries, namely </w:t>
      </w:r>
      <w:r w:rsidR="000A032E" w:rsidRPr="003D7B10">
        <w:t xml:space="preserve">China (86.8 ODP tonnes), </w:t>
      </w:r>
      <w:r w:rsidRPr="003D7B10">
        <w:t>India (38.2</w:t>
      </w:r>
      <w:r w:rsidR="00C274ED" w:rsidRPr="003D7B10">
        <w:t> ODP</w:t>
      </w:r>
      <w:r w:rsidRPr="003D7B10">
        <w:t xml:space="preserve"> tonnes) and </w:t>
      </w:r>
      <w:r w:rsidR="00F52E3C" w:rsidRPr="003D7B10">
        <w:t xml:space="preserve">the </w:t>
      </w:r>
      <w:r w:rsidRPr="003D7B10">
        <w:t>Republic of Korea (19.1</w:t>
      </w:r>
      <w:r w:rsidR="00C274ED" w:rsidRPr="003D7B10">
        <w:t> ODP</w:t>
      </w:r>
      <w:r w:rsidRPr="003D7B10">
        <w:t xml:space="preserve"> tonnes). </w:t>
      </w:r>
    </w:p>
    <w:p w:rsidR="00F11245" w:rsidRPr="003D7B10" w:rsidRDefault="0007408F" w:rsidP="00EE3FE3">
      <w:pPr>
        <w:pStyle w:val="Heading1"/>
      </w:pPr>
      <w:r w:rsidRPr="003D7B10">
        <w:t>A</w:t>
      </w:r>
      <w:r w:rsidR="001B057E" w:rsidRPr="003D7B10">
        <w:t xml:space="preserve"> list of </w:t>
      </w:r>
      <w:r w:rsidRPr="003D7B10">
        <w:t xml:space="preserve">all process agent </w:t>
      </w:r>
      <w:r w:rsidR="001E378E" w:rsidRPr="003D7B10">
        <w:t xml:space="preserve">investment </w:t>
      </w:r>
      <w:r w:rsidRPr="003D7B10">
        <w:t>projects supported by the Multilateral Fund is provided in Table</w:t>
      </w:r>
      <w:r w:rsidR="001E378E" w:rsidRPr="003D7B10">
        <w:t> </w:t>
      </w:r>
      <w:r w:rsidRPr="003D7B10">
        <w:t xml:space="preserve">1 in </w:t>
      </w:r>
      <w:r w:rsidR="008F4093" w:rsidRPr="003D7B10">
        <w:t>Annex</w:t>
      </w:r>
      <w:r w:rsidRPr="003D7B10">
        <w:t xml:space="preserve"> I. </w:t>
      </w:r>
      <w:r w:rsidR="001E378E" w:rsidRPr="003D7B10">
        <w:t xml:space="preserve"> </w:t>
      </w:r>
      <w:r w:rsidR="00F11245" w:rsidRPr="003D7B10">
        <w:t>The projects funded by the Multilateral Fund have supported the recipient Article</w:t>
      </w:r>
      <w:r w:rsidR="00227DB1" w:rsidRPr="003D7B10">
        <w:t> </w:t>
      </w:r>
      <w:r w:rsidR="00F11245" w:rsidRPr="003D7B10">
        <w:t xml:space="preserve">5 countries in reducing the emissions of controlled substances from process agent uses to levels </w:t>
      </w:r>
      <w:r w:rsidR="006C6BE5">
        <w:t xml:space="preserve">that are </w:t>
      </w:r>
      <w:r w:rsidR="00F11245" w:rsidRPr="003D7B10">
        <w:t>reasonably achievable in a cost</w:t>
      </w:r>
      <w:r w:rsidR="00227DB1" w:rsidRPr="003D7B10">
        <w:t>-</w:t>
      </w:r>
      <w:r w:rsidR="00F11245" w:rsidRPr="003D7B10">
        <w:t xml:space="preserve">effective manner. </w:t>
      </w:r>
      <w:r w:rsidR="00227DB1" w:rsidRPr="003D7B10">
        <w:t xml:space="preserve"> </w:t>
      </w:r>
      <w:r w:rsidR="00F11245" w:rsidRPr="003D7B10">
        <w:t>According to the knowledge of the Secretariat</w:t>
      </w:r>
      <w:r w:rsidR="006C6BE5">
        <w:t>,</w:t>
      </w:r>
      <w:r w:rsidR="00F11245" w:rsidRPr="003D7B10">
        <w:t xml:space="preserve"> and as a result of considerable monitoring and verification activities, there is no indication that new plants using controlled substances other than for essential use have been installed or commissioned after 30</w:t>
      </w:r>
      <w:r w:rsidR="00227DB1" w:rsidRPr="003D7B10">
        <w:t> </w:t>
      </w:r>
      <w:r w:rsidR="00F11245" w:rsidRPr="003D7B10">
        <w:t>June 1999.</w:t>
      </w:r>
      <w:r w:rsidR="00227DB1" w:rsidRPr="003D7B10">
        <w:t xml:space="preserve"> </w:t>
      </w:r>
      <w:r w:rsidR="00F11245" w:rsidRPr="003D7B10">
        <w:t xml:space="preserve"> The same monitoring and verification activities strongly suggest that the provisions of decision</w:t>
      </w:r>
      <w:r w:rsidR="00227DB1" w:rsidRPr="003D7B10">
        <w:t> </w:t>
      </w:r>
      <w:r w:rsidR="00F11245" w:rsidRPr="003D7B10">
        <w:t>X/14 of the Meeting of the Parties regarding the use of ODS as process agents have been followed.</w:t>
      </w:r>
    </w:p>
    <w:p w:rsidR="0037611E" w:rsidRPr="003D7B10" w:rsidRDefault="0037611E" w:rsidP="00EE3FE3">
      <w:pPr>
        <w:pStyle w:val="Heading1"/>
      </w:pPr>
      <w:r w:rsidRPr="003D7B10">
        <w:t>A number of countries ha</w:t>
      </w:r>
      <w:r w:rsidR="0007408F" w:rsidRPr="003D7B10">
        <w:t>ve</w:t>
      </w:r>
      <w:r w:rsidRPr="003D7B10">
        <w:t xml:space="preserve"> received support from the Multilateral Fund in the previous </w:t>
      </w:r>
      <w:r w:rsidR="001B057E" w:rsidRPr="003D7B10">
        <w:t>five</w:t>
      </w:r>
      <w:r w:rsidRPr="003D7B10">
        <w:t xml:space="preserve"> years, </w:t>
      </w:r>
      <w:r w:rsidR="0007408F" w:rsidRPr="003D7B10">
        <w:t xml:space="preserve">and their Article 7 data indicate </w:t>
      </w:r>
      <w:r w:rsidR="001B51EE" w:rsidRPr="003D7B10">
        <w:t>no</w:t>
      </w:r>
      <w:r w:rsidR="0007408F" w:rsidRPr="003D7B10">
        <w:t xml:space="preserve"> consumption for the year 2009</w:t>
      </w:r>
      <w:r w:rsidR="001B057E" w:rsidRPr="003D7B10">
        <w:t>:</w:t>
      </w:r>
    </w:p>
    <w:p w:rsidR="005F2C43" w:rsidRPr="003D7B10" w:rsidRDefault="003B6556" w:rsidP="005F2C43">
      <w:pPr>
        <w:pStyle w:val="Heading2"/>
      </w:pPr>
      <w:r w:rsidRPr="003D7B10">
        <w:t>Mexico ha</w:t>
      </w:r>
      <w:r w:rsidR="000A032E" w:rsidRPr="003D7B10">
        <w:t>s</w:t>
      </w:r>
      <w:r w:rsidRPr="003D7B10">
        <w:t xml:space="preserve"> reported zero consumption in 2009</w:t>
      </w:r>
      <w:r w:rsidR="001B057E" w:rsidRPr="003D7B10">
        <w:t>;</w:t>
      </w:r>
    </w:p>
    <w:p w:rsidR="005F2C43" w:rsidRPr="003D7B10" w:rsidRDefault="00472940" w:rsidP="005F2C43">
      <w:pPr>
        <w:pStyle w:val="Heading2"/>
      </w:pPr>
      <w:r w:rsidRPr="003D7B10">
        <w:t>The Democratic People’s Republic of Korea reported zero CTC consumption from 2006 to 2009</w:t>
      </w:r>
      <w:r w:rsidR="001B057E" w:rsidRPr="003D7B10">
        <w:t>;</w:t>
      </w:r>
    </w:p>
    <w:p w:rsidR="005F2C43" w:rsidRPr="003D7B10" w:rsidRDefault="00472940" w:rsidP="005F2C43">
      <w:pPr>
        <w:pStyle w:val="Heading2"/>
      </w:pPr>
      <w:r w:rsidRPr="003D7B10">
        <w:t xml:space="preserve">Brazil </w:t>
      </w:r>
      <w:r w:rsidR="0037611E" w:rsidRPr="003D7B10">
        <w:t>reported zero CTC consumption in</w:t>
      </w:r>
      <w:r w:rsidR="00410B95" w:rsidRPr="003D7B10">
        <w:t xml:space="preserve"> 2008 </w:t>
      </w:r>
      <w:r w:rsidR="0037611E" w:rsidRPr="003D7B10">
        <w:t>and</w:t>
      </w:r>
      <w:r w:rsidR="001B057E" w:rsidRPr="003D7B10">
        <w:t xml:space="preserve"> 2009; and</w:t>
      </w:r>
    </w:p>
    <w:p w:rsidR="001B51EE" w:rsidRPr="003D7B10" w:rsidRDefault="0007408F" w:rsidP="001B51EE">
      <w:pPr>
        <w:pStyle w:val="Heading2"/>
      </w:pPr>
      <w:r w:rsidRPr="003D7B10">
        <w:t xml:space="preserve">Romania reported 42 ODP tonnes of CTC consumption in 2006. </w:t>
      </w:r>
      <w:r w:rsidR="001B057E" w:rsidRPr="003D7B10">
        <w:t xml:space="preserve">  As of</w:t>
      </w:r>
      <w:r w:rsidRPr="003D7B10">
        <w:t xml:space="preserve"> 1</w:t>
      </w:r>
      <w:r w:rsidR="00BF4969" w:rsidRPr="003D7B10">
        <w:t> </w:t>
      </w:r>
      <w:r w:rsidRPr="003D7B10">
        <w:t>January 2007, Romania joined the European Union</w:t>
      </w:r>
      <w:r w:rsidR="001B057E" w:rsidRPr="003D7B10">
        <w:t xml:space="preserve"> (EU)</w:t>
      </w:r>
      <w:r w:rsidRPr="003D7B10">
        <w:t>; since that time there has been no separate data reporting from Romania because its consumption is reported in an aggregated figure referring to all EU member states</w:t>
      </w:r>
      <w:r w:rsidRPr="003D7B10">
        <w:rPr>
          <w:rStyle w:val="FootnoteReference"/>
        </w:rPr>
        <w:footnoteReference w:id="1"/>
      </w:r>
      <w:r w:rsidRPr="003D7B10">
        <w:t xml:space="preserve">. </w:t>
      </w:r>
    </w:p>
    <w:p w:rsidR="00B40A2E" w:rsidRPr="003D7B10" w:rsidRDefault="0051312C">
      <w:pPr>
        <w:pStyle w:val="Heading1"/>
      </w:pPr>
      <w:r w:rsidRPr="003D7B10">
        <w:t xml:space="preserve">Although the Republic of Korea is an Article 5 country with CTC consumption, the country has never received funding from the Multilateral Fund. </w:t>
      </w:r>
      <w:r w:rsidR="000C48C1" w:rsidRPr="003D7B10">
        <w:t xml:space="preserve"> </w:t>
      </w:r>
      <w:r w:rsidRPr="003D7B10">
        <w:t>Consequently the Executive Committee has n</w:t>
      </w:r>
      <w:r w:rsidR="006C6BE5">
        <w:t>ot</w:t>
      </w:r>
      <w:r w:rsidRPr="003D7B10">
        <w:t xml:space="preserve"> </w:t>
      </w:r>
      <w:r w:rsidR="00AF7F64" w:rsidRPr="003D7B10">
        <w:t>consider</w:t>
      </w:r>
      <w:r w:rsidRPr="003D7B10">
        <w:t xml:space="preserve">ed the </w:t>
      </w:r>
      <w:r w:rsidR="006C6BE5">
        <w:t xml:space="preserve">use of </w:t>
      </w:r>
      <w:r w:rsidRPr="003D7B10">
        <w:t xml:space="preserve">CTC </w:t>
      </w:r>
      <w:r w:rsidR="006C6BE5">
        <w:t>in</w:t>
      </w:r>
      <w:r w:rsidRPr="003D7B10">
        <w:t xml:space="preserve"> </w:t>
      </w:r>
      <w:r w:rsidR="000C48C1" w:rsidRPr="003D7B10">
        <w:t xml:space="preserve">the </w:t>
      </w:r>
      <w:r w:rsidRPr="003D7B10">
        <w:t>Republic of Korea</w:t>
      </w:r>
      <w:r w:rsidR="00D05E61" w:rsidRPr="003D7B10">
        <w:t>, and no related information has been obtained</w:t>
      </w:r>
      <w:r w:rsidRPr="003D7B10">
        <w:t xml:space="preserve">. </w:t>
      </w:r>
    </w:p>
    <w:p w:rsidR="003B6556" w:rsidRPr="003D7B10" w:rsidRDefault="003B6556" w:rsidP="00F3123E">
      <w:pPr>
        <w:pStyle w:val="Heading1"/>
        <w:keepNext/>
        <w:keepLines/>
      </w:pPr>
      <w:r w:rsidRPr="003D7B10">
        <w:t xml:space="preserve">While Article 7 consumption data provides a useful insight into general trends, it may not fully reflect the use of CTC for process agent applications.  It includes any remaining non-process agent consumption, </w:t>
      </w:r>
      <w:r w:rsidR="002457C1" w:rsidRPr="003D7B10">
        <w:t xml:space="preserve">such as the </w:t>
      </w:r>
      <w:r w:rsidRPr="003D7B10">
        <w:t>use as</w:t>
      </w:r>
      <w:r w:rsidR="001B057E" w:rsidRPr="003D7B10">
        <w:t xml:space="preserve"> a</w:t>
      </w:r>
      <w:r w:rsidRPr="003D7B10">
        <w:t xml:space="preserve"> solvent.  It </w:t>
      </w:r>
      <w:r w:rsidR="002457C1" w:rsidRPr="003D7B10">
        <w:t xml:space="preserve">would </w:t>
      </w:r>
      <w:r w:rsidRPr="003D7B10">
        <w:t xml:space="preserve">not include use in applications that </w:t>
      </w:r>
      <w:r w:rsidR="002457C1" w:rsidRPr="003D7B10">
        <w:t xml:space="preserve">are considered feedstock applications under the Montreal Protocol, while the same applications </w:t>
      </w:r>
      <w:r w:rsidRPr="003D7B10">
        <w:t>might be viewed by some technical experts as</w:t>
      </w:r>
      <w:r w:rsidR="002457C1" w:rsidRPr="003D7B10">
        <w:t>, technically,</w:t>
      </w:r>
      <w:r w:rsidRPr="003D7B10">
        <w:t xml:space="preserve"> a process agent use. Such </w:t>
      </w:r>
      <w:r w:rsidR="002457C1" w:rsidRPr="003D7B10">
        <w:t xml:space="preserve">use </w:t>
      </w:r>
      <w:r w:rsidRPr="003D7B10">
        <w:t xml:space="preserve">would </w:t>
      </w:r>
      <w:r w:rsidR="00604621" w:rsidRPr="003D7B10">
        <w:t xml:space="preserve">not </w:t>
      </w:r>
      <w:r w:rsidRPr="003D7B10">
        <w:t xml:space="preserve">need to be reported as Article 7 data </w:t>
      </w:r>
      <w:r w:rsidR="00604621" w:rsidRPr="003D7B10">
        <w:t xml:space="preserve">until </w:t>
      </w:r>
      <w:r w:rsidRPr="003D7B10">
        <w:t>a decision of the</w:t>
      </w:r>
      <w:r w:rsidR="00C274ED" w:rsidRPr="003D7B10">
        <w:t> Meeting</w:t>
      </w:r>
      <w:r w:rsidRPr="003D7B10">
        <w:t xml:space="preserve"> of the Parties </w:t>
      </w:r>
      <w:r w:rsidR="00604621" w:rsidRPr="003D7B10">
        <w:t xml:space="preserve">defines </w:t>
      </w:r>
      <w:r w:rsidR="002457C1" w:rsidRPr="003D7B10">
        <w:t xml:space="preserve">such </w:t>
      </w:r>
      <w:r w:rsidRPr="003D7B10">
        <w:t>specific uses as process agent use</w:t>
      </w:r>
      <w:r w:rsidR="002457C1" w:rsidRPr="003D7B10">
        <w:t>s</w:t>
      </w:r>
      <w:r w:rsidRPr="003D7B10">
        <w:t>, i.e. controlled use</w:t>
      </w:r>
      <w:r w:rsidR="002457C1" w:rsidRPr="003D7B10">
        <w:t>s</w:t>
      </w:r>
      <w:r w:rsidRPr="003D7B10">
        <w:t xml:space="preserve">. </w:t>
      </w:r>
    </w:p>
    <w:p w:rsidR="00301F1C" w:rsidRPr="003D7B10" w:rsidRDefault="00301F1C" w:rsidP="003B6556">
      <w:pPr>
        <w:rPr>
          <w:b/>
        </w:rPr>
      </w:pPr>
    </w:p>
    <w:p w:rsidR="003B6556" w:rsidRPr="003D7B10" w:rsidRDefault="003B6556" w:rsidP="00846A5B">
      <w:pPr>
        <w:keepNext/>
        <w:keepLines/>
        <w:rPr>
          <w:b/>
        </w:rPr>
      </w:pPr>
      <w:r w:rsidRPr="003D7B10">
        <w:rPr>
          <w:b/>
        </w:rPr>
        <w:t>III:  NEW PROJECTS APPROVED BY THE EXECUTIVE COMMITTEE</w:t>
      </w:r>
    </w:p>
    <w:p w:rsidR="003B6556" w:rsidRPr="003D7B10" w:rsidRDefault="003B6556" w:rsidP="00846A5B">
      <w:pPr>
        <w:keepNext/>
        <w:keepLines/>
      </w:pPr>
    </w:p>
    <w:p w:rsidR="003B6556" w:rsidRPr="003D7B10" w:rsidRDefault="00604621" w:rsidP="00846A5B">
      <w:pPr>
        <w:pStyle w:val="Heading1"/>
        <w:keepNext/>
        <w:keepLines/>
      </w:pPr>
      <w:r w:rsidRPr="003D7B10">
        <w:t>N</w:t>
      </w:r>
      <w:r w:rsidR="003B6556" w:rsidRPr="003D7B10">
        <w:t>o new project</w:t>
      </w:r>
      <w:r w:rsidRPr="003D7B10">
        <w:t>s have been</w:t>
      </w:r>
      <w:r w:rsidR="003B6556" w:rsidRPr="003D7B10">
        <w:t xml:space="preserve"> approved for the phase-out of CTC as</w:t>
      </w:r>
      <w:r w:rsidR="00B06614" w:rsidRPr="003D7B10">
        <w:t xml:space="preserve"> a </w:t>
      </w:r>
      <w:r w:rsidR="003B6556" w:rsidRPr="003D7B10">
        <w:t>process agent during</w:t>
      </w:r>
      <w:r w:rsidR="00B06614" w:rsidRPr="003D7B10">
        <w:t xml:space="preserve"> </w:t>
      </w:r>
      <w:r w:rsidRPr="003D7B10">
        <w:t xml:space="preserve">the years </w:t>
      </w:r>
      <w:r w:rsidR="003B6556" w:rsidRPr="003D7B10">
        <w:t xml:space="preserve">2009 </w:t>
      </w:r>
      <w:r w:rsidR="00B06614" w:rsidRPr="003D7B10">
        <w:t>and</w:t>
      </w:r>
      <w:r w:rsidR="003B6556" w:rsidRPr="003D7B10">
        <w:t xml:space="preserve"> 2010.</w:t>
      </w:r>
    </w:p>
    <w:p w:rsidR="003B6556" w:rsidRPr="003D7B10" w:rsidRDefault="003B6556" w:rsidP="003B6556"/>
    <w:p w:rsidR="001B057E" w:rsidRPr="003D7B10" w:rsidRDefault="001B057E" w:rsidP="003B6556"/>
    <w:p w:rsidR="003B6556" w:rsidRPr="003D7B10" w:rsidRDefault="003B6556" w:rsidP="00F52E3C">
      <w:pPr>
        <w:ind w:left="540" w:hanging="540"/>
        <w:rPr>
          <w:b/>
        </w:rPr>
      </w:pPr>
      <w:r w:rsidRPr="003D7B10">
        <w:rPr>
          <w:b/>
        </w:rPr>
        <w:t>IV:  STATUS OF IMPLEMENTATION OF ON-GOING PROJECTS AND PROGRAMMES APPROVED PRIOR TO 2009</w:t>
      </w:r>
    </w:p>
    <w:p w:rsidR="00D8312B" w:rsidRPr="003D7B10" w:rsidRDefault="00D8312B" w:rsidP="00D8312B"/>
    <w:p w:rsidR="003703AE" w:rsidRPr="003D7B10" w:rsidRDefault="005F2C43" w:rsidP="003703AE">
      <w:pPr>
        <w:rPr>
          <w:u w:val="single"/>
        </w:rPr>
      </w:pPr>
      <w:r w:rsidRPr="003D7B10">
        <w:rPr>
          <w:u w:val="single"/>
        </w:rPr>
        <w:t>Project in Brazil</w:t>
      </w:r>
    </w:p>
    <w:p w:rsidR="003703AE" w:rsidRPr="003D7B10" w:rsidRDefault="003703AE" w:rsidP="003703AE"/>
    <w:p w:rsidR="005F2C43" w:rsidRPr="003D7B10" w:rsidRDefault="00DE1362" w:rsidP="005F2C43">
      <w:pPr>
        <w:pStyle w:val="Heading1"/>
      </w:pPr>
      <w:r w:rsidRPr="003D7B10">
        <w:t xml:space="preserve">The project in Brazil received retroactive funding, the completion of the related conversion </w:t>
      </w:r>
      <w:r w:rsidR="006C6BE5">
        <w:t xml:space="preserve">having taken </w:t>
      </w:r>
      <w:r w:rsidRPr="003D7B10">
        <w:t>place in 2002.</w:t>
      </w:r>
      <w:r w:rsidR="007B080C" w:rsidRPr="003D7B10">
        <w:t xml:space="preserve"> </w:t>
      </w:r>
      <w:r w:rsidRPr="003D7B10">
        <w:t xml:space="preserve"> </w:t>
      </w:r>
      <w:r w:rsidR="006C6BE5">
        <w:t>I</w:t>
      </w:r>
      <w:r w:rsidRPr="003D7B10">
        <w:t>nformation o</w:t>
      </w:r>
      <w:r w:rsidR="006C6BE5">
        <w:t>n</w:t>
      </w:r>
      <w:r w:rsidRPr="003D7B10">
        <w:t xml:space="preserve"> the project has been reported in document</w:t>
      </w:r>
      <w:r w:rsidR="006C6BE5">
        <w:t> </w:t>
      </w:r>
      <w:r w:rsidRPr="003D7B10">
        <w:t>UNEP/OzL.Pro.WG.1/29/4</w:t>
      </w:r>
      <w:r w:rsidR="006C6BE5">
        <w:t xml:space="preserve"> submitted to the 29</w:t>
      </w:r>
      <w:r w:rsidR="006C6BE5" w:rsidRPr="006C6BE5">
        <w:rPr>
          <w:vertAlign w:val="superscript"/>
        </w:rPr>
        <w:t>th</w:t>
      </w:r>
      <w:r w:rsidR="006C6BE5">
        <w:t xml:space="preserve"> Open-Ended WorkingGroup</w:t>
      </w:r>
      <w:r w:rsidRPr="003D7B10">
        <w:t xml:space="preserve">. </w:t>
      </w:r>
      <w:r w:rsidR="00E5265D" w:rsidRPr="003D7B10">
        <w:t xml:space="preserve"> </w:t>
      </w:r>
      <w:r w:rsidRPr="003D7B10">
        <w:t xml:space="preserve">Some information is cited here again to provide an overall picture of the </w:t>
      </w:r>
      <w:r w:rsidR="004A20C4" w:rsidRPr="003D7B10">
        <w:t>on</w:t>
      </w:r>
      <w:r w:rsidR="004A20C4" w:rsidRPr="003D7B10">
        <w:noBreakHyphen/>
        <w:t>going</w:t>
      </w:r>
      <w:r w:rsidRPr="003D7B10">
        <w:t xml:space="preserve"> project.</w:t>
      </w:r>
    </w:p>
    <w:p w:rsidR="003703AE" w:rsidRPr="003D7B10" w:rsidRDefault="003703AE" w:rsidP="003703AE">
      <w:pPr>
        <w:pStyle w:val="Heading1"/>
      </w:pPr>
      <w:r w:rsidRPr="003D7B10">
        <w:t xml:space="preserve">The two applications in which CTC was used as a process agent in the Brazil project were the production of vinyl chloride monomer and the removal of nitrogen trichloride during the production of chlorine. </w:t>
      </w:r>
      <w:r w:rsidR="00E5265D" w:rsidRPr="003D7B10">
        <w:t xml:space="preserve"> </w:t>
      </w:r>
      <w:r w:rsidRPr="003D7B10">
        <w:t xml:space="preserve">Both applications </w:t>
      </w:r>
      <w:r w:rsidR="002D10DA" w:rsidRPr="003D7B10">
        <w:t>were</w:t>
      </w:r>
      <w:r w:rsidRPr="003D7B10">
        <w:t xml:space="preserve"> included as process agent uses in decision XIX/15 of the Parties.  The project </w:t>
      </w:r>
      <w:r w:rsidR="00E60075" w:rsidRPr="003D7B10">
        <w:t>wa</w:t>
      </w:r>
      <w:r w:rsidRPr="003D7B10">
        <w:t xml:space="preserve">s retroactive.  In each case the activities necessary to eliminate CTC consumption were implemented in 2002.  </w:t>
      </w:r>
    </w:p>
    <w:p w:rsidR="003703AE" w:rsidRPr="003D7B10" w:rsidRDefault="003703AE" w:rsidP="003703AE">
      <w:pPr>
        <w:pStyle w:val="Heading1"/>
      </w:pPr>
      <w:r w:rsidRPr="003D7B10">
        <w:t>In regard to production of vinyl chloride monomer, a process change was undertaken resulting in cessation of use of CTC in the process. In regard to production of chlorine, emission reductions were undertaken to improve the efficiency of destruction of the CTC used in the process.  The destruction technology has been reported by the country and the implementing agency as being consistent with the destruction requirements specified by the Parties. The current, improved destruction efficiency has been reported as reducing CTC use by t</w:t>
      </w:r>
      <w:r w:rsidR="00E5265D" w:rsidRPr="003D7B10">
        <w:t xml:space="preserve">he company by 98.4 per cent.  </w:t>
      </w:r>
    </w:p>
    <w:p w:rsidR="003703AE" w:rsidRPr="003D7B10" w:rsidRDefault="003703AE" w:rsidP="003703AE">
      <w:pPr>
        <w:pStyle w:val="Heading1"/>
      </w:pPr>
      <w:r w:rsidRPr="003D7B10">
        <w:t>In this context the Government of Brazil has undertaken to limit the consumption for all process agent applications approved to date by the Meeting of the Parties to zero tonnes of CTC, with the exception of annual use for the production of chlorine of up to 2 ODP tonnes per year until and including 2013, by which time the emissions control process will be changed to eliminate the use of CTC at no additional cost to the Multilateral Fund.  The Government of Brazil has also committed to report</w:t>
      </w:r>
      <w:r w:rsidR="006C6BE5">
        <w:t>ing</w:t>
      </w:r>
      <w:r w:rsidRPr="003D7B10">
        <w:t xml:space="preserve"> the resulting data </w:t>
      </w:r>
      <w:r w:rsidR="006C6BE5">
        <w:t>on</w:t>
      </w:r>
      <w:r w:rsidRPr="003D7B10">
        <w:t xml:space="preserve"> the amounts of CTC destroyed as well as the import of CTC for this application annually to the Ozone Secretariat as part of the reporting of Article 7 data. </w:t>
      </w:r>
    </w:p>
    <w:p w:rsidR="005F2C43" w:rsidRPr="003D7B10" w:rsidRDefault="003703AE" w:rsidP="005F2C43">
      <w:pPr>
        <w:pStyle w:val="Heading1"/>
      </w:pPr>
      <w:r w:rsidRPr="003D7B10">
        <w:t>The approval of the Brazil project by the Executive Committee, and the associated performance and reporting undertakings, is considered to be consistent with the requirement in decision X/14 of the Meeting of the Parties in which it is indicated that the Executive Committee may consider a range of options to reduce the emissions of controlled substances from process agent use by Article 5 Parties to levels agreed by the Executive Committee to be reasonably achievable in a cost-effective manner without undue abandonment of infrastructure.  Therefore, the use by Brazil of up to 2 ODP tonnes of CTC per year, as well as the necessary related imports, between 2010 and the end of 2013 for the production of chlorine is consistent with decision X/14 of the Parties and will therefore not constitute consumption as defined by the Protocol.</w:t>
      </w:r>
    </w:p>
    <w:p w:rsidR="00743B59" w:rsidRPr="003D7B10" w:rsidRDefault="001B057E" w:rsidP="00E5265D">
      <w:pPr>
        <w:pStyle w:val="Heading1"/>
      </w:pPr>
      <w:r w:rsidRPr="003D7B10">
        <w:t xml:space="preserve">As mentioned above, </w:t>
      </w:r>
      <w:r w:rsidR="00D8312B" w:rsidRPr="003D7B10">
        <w:t xml:space="preserve">Brazil </w:t>
      </w:r>
      <w:r w:rsidRPr="003D7B10">
        <w:t>reported</w:t>
      </w:r>
      <w:r w:rsidR="00D8312B" w:rsidRPr="003D7B10">
        <w:t xml:space="preserve"> zero consumption </w:t>
      </w:r>
      <w:r w:rsidRPr="003D7B10">
        <w:t>in</w:t>
      </w:r>
      <w:r w:rsidR="00D8312B" w:rsidRPr="003D7B10">
        <w:t xml:space="preserve"> 2008 and 2009.  </w:t>
      </w:r>
      <w:r w:rsidR="00BA6346" w:rsidRPr="003D7B10">
        <w:t>I</w:t>
      </w:r>
      <w:r w:rsidR="00841890" w:rsidRPr="003D7B10">
        <w:t xml:space="preserve">t is known from the </w:t>
      </w:r>
      <w:r w:rsidR="00D2676D" w:rsidRPr="003D7B10">
        <w:t>progress report of the implement</w:t>
      </w:r>
      <w:r w:rsidR="00E60075" w:rsidRPr="003D7B10">
        <w:t>ing</w:t>
      </w:r>
      <w:r w:rsidR="00D2676D" w:rsidRPr="003D7B10">
        <w:t xml:space="preserve"> agency </w:t>
      </w:r>
      <w:r w:rsidR="00841890" w:rsidRPr="003D7B10">
        <w:t xml:space="preserve">that </w:t>
      </w:r>
      <w:r w:rsidR="00D2676D" w:rsidRPr="003D7B10">
        <w:t xml:space="preserve">a </w:t>
      </w:r>
      <w:r w:rsidR="00841890" w:rsidRPr="003D7B10">
        <w:t xml:space="preserve">project verification mission </w:t>
      </w:r>
      <w:r w:rsidR="00E5265D" w:rsidRPr="003D7B10">
        <w:t>was</w:t>
      </w:r>
      <w:r w:rsidR="00841890" w:rsidRPr="003D7B10">
        <w:t xml:space="preserve"> completed in May</w:t>
      </w:r>
      <w:r w:rsidR="00E5265D" w:rsidRPr="003D7B10">
        <w:t> </w:t>
      </w:r>
      <w:r w:rsidR="00841890" w:rsidRPr="003D7B10">
        <w:t xml:space="preserve">2009. </w:t>
      </w:r>
      <w:r w:rsidR="00E5265D" w:rsidRPr="003D7B10">
        <w:t xml:space="preserve"> </w:t>
      </w:r>
      <w:r w:rsidR="00841890" w:rsidRPr="003D7B10">
        <w:t xml:space="preserve">CTC phase out was verified in two plants and a protocol to import CTC as feedstock and report it to the local environmental enforcing agency (Ibama) was agreed with </w:t>
      </w:r>
      <w:r w:rsidR="00BA6346" w:rsidRPr="003D7B10">
        <w:t>the enterprise</w:t>
      </w:r>
      <w:r w:rsidR="00841890" w:rsidRPr="003D7B10">
        <w:t>.</w:t>
      </w:r>
      <w:r w:rsidR="00E5265D" w:rsidRPr="003D7B10">
        <w:t xml:space="preserve"> </w:t>
      </w:r>
      <w:r w:rsidR="00841890" w:rsidRPr="003D7B10">
        <w:t xml:space="preserve"> </w:t>
      </w:r>
      <w:r w:rsidR="00D2676D" w:rsidRPr="003D7B10">
        <w:t>The f</w:t>
      </w:r>
      <w:r w:rsidR="00743B59" w:rsidRPr="003D7B10">
        <w:t xml:space="preserve">inal disbursement to </w:t>
      </w:r>
      <w:r w:rsidR="00E5265D" w:rsidRPr="003D7B10">
        <w:t>the enterprise</w:t>
      </w:r>
      <w:r w:rsidR="00743B59" w:rsidRPr="003D7B10">
        <w:t xml:space="preserve"> is pending due to finalization of legal documentation. </w:t>
      </w:r>
      <w:r w:rsidR="00E5265D" w:rsidRPr="003D7B10">
        <w:t xml:space="preserve"> </w:t>
      </w:r>
      <w:r w:rsidR="00E9064B" w:rsidRPr="003D7B10">
        <w:t>The d</w:t>
      </w:r>
      <w:r w:rsidR="00743B59" w:rsidRPr="003D7B10">
        <w:t xml:space="preserve">isbursement is expected to take place during </w:t>
      </w:r>
      <w:r w:rsidR="00E5265D" w:rsidRPr="003D7B10">
        <w:t xml:space="preserve">the </w:t>
      </w:r>
      <w:r w:rsidR="00743B59" w:rsidRPr="003D7B10">
        <w:t xml:space="preserve">first half of 2010. </w:t>
      </w:r>
      <w:r w:rsidR="00E5265D" w:rsidRPr="003D7B10">
        <w:t xml:space="preserve"> </w:t>
      </w:r>
      <w:r w:rsidR="00E9064B" w:rsidRPr="003D7B10">
        <w:t>It was estimated that t</w:t>
      </w:r>
      <w:r w:rsidR="00D2676D" w:rsidRPr="003D7B10">
        <w:t>he</w:t>
      </w:r>
      <w:r w:rsidR="00743B59" w:rsidRPr="003D7B10">
        <w:t xml:space="preserve"> </w:t>
      </w:r>
      <w:r w:rsidR="00E9064B" w:rsidRPr="003D7B10">
        <w:t xml:space="preserve">project </w:t>
      </w:r>
      <w:r w:rsidR="00D2676D" w:rsidRPr="003D7B10">
        <w:t>c</w:t>
      </w:r>
      <w:r w:rsidR="00743B59" w:rsidRPr="003D7B10">
        <w:t xml:space="preserve">ompletion </w:t>
      </w:r>
      <w:r w:rsidR="00E9064B" w:rsidRPr="003D7B10">
        <w:t xml:space="preserve">report be submitted </w:t>
      </w:r>
      <w:r w:rsidR="00743B59" w:rsidRPr="003D7B10">
        <w:t>in Aug</w:t>
      </w:r>
      <w:r w:rsidR="00227DB1" w:rsidRPr="003D7B10">
        <w:t>ust </w:t>
      </w:r>
      <w:r w:rsidR="00743B59" w:rsidRPr="003D7B10">
        <w:t>2010</w:t>
      </w:r>
      <w:r w:rsidR="00BA6346" w:rsidRPr="003D7B10">
        <w:t>, but none has been received yet</w:t>
      </w:r>
      <w:r w:rsidR="00743B59" w:rsidRPr="003D7B10">
        <w:t>.</w:t>
      </w:r>
    </w:p>
    <w:p w:rsidR="00D8312B" w:rsidRPr="003D7B10" w:rsidRDefault="00D8312B" w:rsidP="007B080C">
      <w:pPr>
        <w:keepNext/>
        <w:keepLines/>
        <w:ind w:left="540" w:hanging="540"/>
        <w:rPr>
          <w:u w:val="single"/>
        </w:rPr>
      </w:pPr>
      <w:r w:rsidRPr="003D7B10">
        <w:rPr>
          <w:u w:val="single"/>
        </w:rPr>
        <w:lastRenderedPageBreak/>
        <w:t>Romania</w:t>
      </w:r>
    </w:p>
    <w:p w:rsidR="00DE1362" w:rsidRPr="003D7B10" w:rsidRDefault="00DE1362" w:rsidP="007B080C">
      <w:pPr>
        <w:keepNext/>
        <w:keepLines/>
        <w:ind w:left="720"/>
      </w:pPr>
    </w:p>
    <w:p w:rsidR="005F2C43" w:rsidRPr="003D7B10" w:rsidRDefault="00294F4B" w:rsidP="007B080C">
      <w:pPr>
        <w:pStyle w:val="Heading1"/>
        <w:keepNext/>
        <w:keepLines/>
      </w:pPr>
      <w:r w:rsidRPr="003D7B10">
        <w:t>In Romania, the production of CTC and its consumption as a process agent in the manufacture of the chemical intermediate di(ethylhexyl)-peroxydicarbonate (DE</w:t>
      </w:r>
      <w:r w:rsidR="00421827" w:rsidRPr="003D7B10">
        <w:t xml:space="preserve">HPC) ceased by the end of 2007. </w:t>
      </w:r>
      <w:r w:rsidR="005F2C43" w:rsidRPr="003D7B10">
        <w:t>V</w:t>
      </w:r>
      <w:r w:rsidR="00421827" w:rsidRPr="003D7B10">
        <w:t>erification reports were received up to and including the year 2008 (document</w:t>
      </w:r>
      <w:r w:rsidR="00BF4969" w:rsidRPr="003D7B10">
        <w:t xml:space="preserve"> UNEP/OzL.Pro/ExCom/</w:t>
      </w:r>
      <w:r w:rsidR="00421827" w:rsidRPr="003D7B10">
        <w:t>59/10). Subsequent to the 59</w:t>
      </w:r>
      <w:r w:rsidR="00421827" w:rsidRPr="003D7B10">
        <w:rPr>
          <w:vertAlign w:val="superscript"/>
        </w:rPr>
        <w:t>th</w:t>
      </w:r>
      <w:r w:rsidR="00E60075" w:rsidRPr="003D7B10">
        <w:t> </w:t>
      </w:r>
      <w:r w:rsidR="00421827" w:rsidRPr="003D7B10">
        <w:t xml:space="preserve">Meeting (2009), the Secretariat did not receive any </w:t>
      </w:r>
      <w:r w:rsidR="005F2C43" w:rsidRPr="003D7B10">
        <w:t xml:space="preserve">verification </w:t>
      </w:r>
      <w:r w:rsidR="00421827" w:rsidRPr="003D7B10">
        <w:t>report</w:t>
      </w:r>
      <w:r w:rsidR="005F2C43" w:rsidRPr="003D7B10">
        <w:t xml:space="preserve">. UNIDO informed in their progress report in the year 2010 that the Government of Romania, UNIDO and the enterprise had jointly decided to initiate a request for project cancellation, since, </w:t>
      </w:r>
      <w:r w:rsidR="005F2C43" w:rsidRPr="003D7B10">
        <w:rPr>
          <w:i/>
        </w:rPr>
        <w:t>inter alia</w:t>
      </w:r>
      <w:r w:rsidR="005F2C43" w:rsidRPr="003D7B10">
        <w:t xml:space="preserve">, the </w:t>
      </w:r>
      <w:r w:rsidR="00421827" w:rsidRPr="003D7B10">
        <w:t>production cost of DEHPC at the enterprise is higher than at any European manufacturer with higher p</w:t>
      </w:r>
      <w:r w:rsidR="0000024A" w:rsidRPr="003D7B10">
        <w:t>roduction capacity, and the costs of purchasing this chemical would be lower than those to produce it. The remaining funds will be returned.</w:t>
      </w:r>
    </w:p>
    <w:p w:rsidR="003B6556" w:rsidRPr="003D7B10" w:rsidRDefault="003B6556" w:rsidP="003B6556">
      <w:pPr>
        <w:rPr>
          <w:u w:val="single"/>
        </w:rPr>
      </w:pPr>
      <w:r w:rsidRPr="003D7B10">
        <w:rPr>
          <w:u w:val="single"/>
        </w:rPr>
        <w:t xml:space="preserve">China sector plan for phasing out ODS process agent applications (phases I and II) </w:t>
      </w:r>
    </w:p>
    <w:p w:rsidR="003B6556" w:rsidRPr="003D7B10" w:rsidRDefault="003B6556" w:rsidP="003B6556"/>
    <w:p w:rsidR="00F86059" w:rsidRPr="003D7B10" w:rsidRDefault="00FE074C" w:rsidP="00F86059">
      <w:pPr>
        <w:pStyle w:val="Heading1"/>
      </w:pPr>
      <w:r w:rsidRPr="003D7B10">
        <w:t>The World Bank provides verification</w:t>
      </w:r>
      <w:r w:rsidR="006C6BE5">
        <w:t>s</w:t>
      </w:r>
      <w:r w:rsidRPr="003D7B10">
        <w:t xml:space="preserve"> </w:t>
      </w:r>
      <w:r w:rsidR="006C6BE5">
        <w:t>on</w:t>
      </w:r>
      <w:r w:rsidRPr="003D7B10">
        <w:t xml:space="preserve"> the two related sector plans in China to the </w:t>
      </w:r>
      <w:r w:rsidR="002F4899" w:rsidRPr="003D7B10">
        <w:t xml:space="preserve">Executive Committee’s </w:t>
      </w:r>
      <w:r w:rsidRPr="003D7B10">
        <w:t>first and second meeting</w:t>
      </w:r>
      <w:r w:rsidR="00924F72" w:rsidRPr="003D7B10">
        <w:t>s</w:t>
      </w:r>
      <w:r w:rsidR="002F4899" w:rsidRPr="003D7B10">
        <w:t xml:space="preserve">, respectively, </w:t>
      </w:r>
      <w:r w:rsidRPr="003D7B10">
        <w:t xml:space="preserve"> of each year, i.e. </w:t>
      </w:r>
      <w:r w:rsidR="002F4899" w:rsidRPr="003D7B10">
        <w:t xml:space="preserve">typically </w:t>
      </w:r>
      <w:r w:rsidRPr="003D7B10">
        <w:t xml:space="preserve">prior to the reporting of Article 7 data by </w:t>
      </w:r>
      <w:r w:rsidR="001B057E" w:rsidRPr="003D7B10">
        <w:t>the country</w:t>
      </w:r>
      <w:r w:rsidRPr="003D7B10">
        <w:t>.</w:t>
      </w:r>
      <w:r w:rsidR="001B057E" w:rsidRPr="003D7B10">
        <w:t xml:space="preserve"> </w:t>
      </w:r>
      <w:r w:rsidRPr="003D7B10">
        <w:t xml:space="preserve"> </w:t>
      </w:r>
      <w:r w:rsidR="003B6556" w:rsidRPr="003D7B10">
        <w:t>Although A</w:t>
      </w:r>
      <w:r w:rsidR="00B06614" w:rsidRPr="003D7B10">
        <w:t xml:space="preserve">rticle </w:t>
      </w:r>
      <w:r w:rsidR="003B6556" w:rsidRPr="003D7B10">
        <w:t xml:space="preserve">7 data </w:t>
      </w:r>
      <w:r w:rsidR="001B057E" w:rsidRPr="003D7B10">
        <w:t xml:space="preserve">subsequently </w:t>
      </w:r>
      <w:r w:rsidR="003B6556" w:rsidRPr="003D7B10">
        <w:t xml:space="preserve">reported </w:t>
      </w:r>
      <w:r w:rsidR="002D273B" w:rsidRPr="003D7B10">
        <w:t>86.8</w:t>
      </w:r>
      <w:r w:rsidR="00C274ED" w:rsidRPr="003D7B10">
        <w:t> ODP</w:t>
      </w:r>
      <w:r w:rsidR="003B6556" w:rsidRPr="003D7B10">
        <w:t xml:space="preserve"> </w:t>
      </w:r>
      <w:r w:rsidR="00C274ED" w:rsidRPr="003D7B10">
        <w:t>tonnes</w:t>
      </w:r>
      <w:r w:rsidR="003B6556" w:rsidRPr="003D7B10">
        <w:t xml:space="preserve"> of consumption of CTC in 200</w:t>
      </w:r>
      <w:r w:rsidR="00C66210" w:rsidRPr="003D7B10">
        <w:t>9</w:t>
      </w:r>
      <w:r w:rsidR="003B6556" w:rsidRPr="003D7B10">
        <w:t>, the verification report</w:t>
      </w:r>
      <w:r w:rsidR="000B5B3B" w:rsidRPr="003D7B10">
        <w:t>s</w:t>
      </w:r>
      <w:r w:rsidR="003B6556" w:rsidRPr="003D7B10">
        <w:t xml:space="preserve"> provided by </w:t>
      </w:r>
      <w:r w:rsidR="00B06614" w:rsidRPr="003D7B10">
        <w:t xml:space="preserve">the </w:t>
      </w:r>
      <w:r w:rsidR="003B6556" w:rsidRPr="003D7B10">
        <w:t xml:space="preserve">World Bank indicated </w:t>
      </w:r>
      <w:r w:rsidR="002D273B" w:rsidRPr="003D7B10">
        <w:t>462.15</w:t>
      </w:r>
      <w:r w:rsidR="00C274ED" w:rsidRPr="003D7B10">
        <w:t> ODP</w:t>
      </w:r>
      <w:r w:rsidR="003B6556" w:rsidRPr="003D7B10">
        <w:t xml:space="preserve"> </w:t>
      </w:r>
      <w:r w:rsidR="00C274ED" w:rsidRPr="003D7B10">
        <w:t>t</w:t>
      </w:r>
      <w:r w:rsidR="003B6556" w:rsidRPr="003D7B10">
        <w:t xml:space="preserve">onnes of CTC </w:t>
      </w:r>
      <w:r w:rsidR="000B5B3B" w:rsidRPr="003D7B10">
        <w:t xml:space="preserve">consumption </w:t>
      </w:r>
      <w:r w:rsidR="003B6556" w:rsidRPr="003D7B10">
        <w:t xml:space="preserve"> </w:t>
      </w:r>
      <w:r w:rsidR="002F4899" w:rsidRPr="003D7B10">
        <w:t xml:space="preserve">from </w:t>
      </w:r>
      <w:r w:rsidR="00D05E61" w:rsidRPr="003D7B10">
        <w:t xml:space="preserve">Process Agent (PA) </w:t>
      </w:r>
      <w:r w:rsidR="002F4899" w:rsidRPr="003D7B10">
        <w:t>applications covered by PA</w:t>
      </w:r>
      <w:r w:rsidR="003B6556" w:rsidRPr="003D7B10">
        <w:t xml:space="preserve"> Plan</w:t>
      </w:r>
      <w:r w:rsidR="00B06614" w:rsidRPr="003D7B10">
        <w:t> </w:t>
      </w:r>
      <w:r w:rsidR="003B6556" w:rsidRPr="003D7B10">
        <w:t>I sources (</w:t>
      </w:r>
      <w:r w:rsidR="00FA7BE4" w:rsidRPr="003D7B10">
        <w:t>Table </w:t>
      </w:r>
      <w:r w:rsidR="00EE3FE3" w:rsidRPr="003D7B10">
        <w:t>2</w:t>
      </w:r>
      <w:r w:rsidR="00FA7BE4" w:rsidRPr="003D7B10">
        <w:t xml:space="preserve"> in </w:t>
      </w:r>
      <w:r w:rsidR="008F4093" w:rsidRPr="003D7B10">
        <w:t>Annex</w:t>
      </w:r>
      <w:r w:rsidR="00FA7BE4" w:rsidRPr="003D7B10">
        <w:t> I</w:t>
      </w:r>
      <w:r w:rsidR="003B6556" w:rsidRPr="003D7B10">
        <w:t xml:space="preserve">) and </w:t>
      </w:r>
      <w:r w:rsidR="000B5B3B" w:rsidRPr="003D7B10">
        <w:t>3</w:t>
      </w:r>
      <w:r w:rsidR="001B057E" w:rsidRPr="003D7B10">
        <w:t>,</w:t>
      </w:r>
      <w:r w:rsidR="000B5B3B" w:rsidRPr="003D7B10">
        <w:t>792.44</w:t>
      </w:r>
      <w:r w:rsidR="00C274ED" w:rsidRPr="003D7B10">
        <w:t> ODP</w:t>
      </w:r>
      <w:r w:rsidR="003B6556" w:rsidRPr="003D7B10">
        <w:t xml:space="preserve"> </w:t>
      </w:r>
      <w:r w:rsidR="00C274ED" w:rsidRPr="003D7B10">
        <w:t>t</w:t>
      </w:r>
      <w:r w:rsidR="003B6556" w:rsidRPr="003D7B10">
        <w:t xml:space="preserve">onnes from </w:t>
      </w:r>
      <w:r w:rsidR="002F4899" w:rsidRPr="003D7B10">
        <w:t xml:space="preserve">applications covered by PA </w:t>
      </w:r>
      <w:r w:rsidR="003B6556" w:rsidRPr="003D7B10">
        <w:t>Plan</w:t>
      </w:r>
      <w:r w:rsidR="002B7186" w:rsidRPr="003D7B10">
        <w:t> </w:t>
      </w:r>
      <w:r w:rsidR="003B6556" w:rsidRPr="003D7B10">
        <w:t>II sources (</w:t>
      </w:r>
      <w:r w:rsidR="00FA7BE4" w:rsidRPr="003D7B10">
        <w:t>Table </w:t>
      </w:r>
      <w:r w:rsidR="001B057E" w:rsidRPr="003D7B10">
        <w:t>3</w:t>
      </w:r>
      <w:r w:rsidR="00FA7BE4" w:rsidRPr="003D7B10">
        <w:t xml:space="preserve"> in </w:t>
      </w:r>
      <w:r w:rsidR="008F4093" w:rsidRPr="003D7B10">
        <w:t>Annex</w:t>
      </w:r>
      <w:r w:rsidR="00FA7BE4" w:rsidRPr="003D7B10">
        <w:t> I</w:t>
      </w:r>
      <w:r w:rsidR="003B6556" w:rsidRPr="003D7B10">
        <w:t>)</w:t>
      </w:r>
      <w:r w:rsidR="002F4899" w:rsidRPr="003D7B10">
        <w:t>; the CTC consumption of the different applications belonging to PA plan I and PA plan II as well as other CTC consumption in China is quantified in the Agreement between the Executive Committee and China approved at the 48</w:t>
      </w:r>
      <w:r w:rsidR="005F2C43" w:rsidRPr="003D7B10">
        <w:rPr>
          <w:vertAlign w:val="superscript"/>
        </w:rPr>
        <w:t>th</w:t>
      </w:r>
      <w:r w:rsidR="002F4899" w:rsidRPr="003D7B10">
        <w:t xml:space="preserve"> Meeting, in particular in its Appendix 2-A</w:t>
      </w:r>
      <w:r w:rsidR="002F4899" w:rsidRPr="003D7B10">
        <w:rPr>
          <w:rStyle w:val="FootnoteReference"/>
        </w:rPr>
        <w:footnoteReference w:id="2"/>
      </w:r>
      <w:r w:rsidR="002F4899" w:rsidRPr="003D7B10">
        <w:t>.</w:t>
      </w:r>
      <w:r w:rsidR="003B6556" w:rsidRPr="003D7B10">
        <w:t xml:space="preserve">  </w:t>
      </w:r>
      <w:r w:rsidR="00F86059" w:rsidRPr="003D7B10">
        <w:t>In addition, 870.80 ODP tonnes</w:t>
      </w:r>
      <w:r w:rsidR="00E60075" w:rsidRPr="003D7B10">
        <w:t xml:space="preserve"> (Table 4 in Annex I)</w:t>
      </w:r>
      <w:r w:rsidR="00F86059" w:rsidRPr="003D7B10">
        <w:t xml:space="preserve"> were used in </w:t>
      </w:r>
      <w:r w:rsidR="00EC0853" w:rsidRPr="003D7B10">
        <w:t xml:space="preserve">PA </w:t>
      </w:r>
      <w:r w:rsidR="00F86059" w:rsidRPr="003D7B10">
        <w:t xml:space="preserve">applications </w:t>
      </w:r>
      <w:r w:rsidR="00EC0853" w:rsidRPr="003D7B10">
        <w:t xml:space="preserve"> listed in the interim </w:t>
      </w:r>
      <w:r w:rsidR="001B057E" w:rsidRPr="003D7B10">
        <w:t>T</w:t>
      </w:r>
      <w:r w:rsidR="00EC0853" w:rsidRPr="003D7B10">
        <w:t xml:space="preserve">able A-bis of </w:t>
      </w:r>
      <w:r w:rsidR="001B057E" w:rsidRPr="003D7B10">
        <w:t>d</w:t>
      </w:r>
      <w:r w:rsidR="00EC0853" w:rsidRPr="003D7B10">
        <w:t>ecision</w:t>
      </w:r>
      <w:r w:rsidR="00227DB1" w:rsidRPr="003D7B10">
        <w:t> </w:t>
      </w:r>
      <w:r w:rsidR="00EC0853" w:rsidRPr="003D7B10">
        <w:t>XVII/8 and in potential future process agent applications</w:t>
      </w:r>
      <w:r w:rsidR="00E60075" w:rsidRPr="003D7B10">
        <w:rPr>
          <w:rStyle w:val="FootnoteReference"/>
        </w:rPr>
        <w:footnoteReference w:id="3"/>
      </w:r>
      <w:r w:rsidR="00EC0853" w:rsidRPr="003D7B10">
        <w:t xml:space="preserve"> as identified and reported by China in its annual verification report</w:t>
      </w:r>
      <w:r w:rsidR="00F86059" w:rsidRPr="003D7B10">
        <w:t>; of this total, 261.27 ODP tonnes from two applications are to be considered as consumption</w:t>
      </w:r>
      <w:r w:rsidR="00EC0853" w:rsidRPr="003D7B10">
        <w:t xml:space="preserve"> under the Montreal Protocol</w:t>
      </w:r>
      <w:r w:rsidR="00F86059" w:rsidRPr="003D7B10">
        <w:t xml:space="preserve">, since </w:t>
      </w:r>
      <w:r w:rsidR="00EC0853" w:rsidRPr="003D7B10">
        <w:t xml:space="preserve">these applications are contained in the </w:t>
      </w:r>
      <w:r w:rsidR="00F86059" w:rsidRPr="003D7B10">
        <w:t>list of uses of controlled substances as process agents in Table A of the Annex to decision XXII/8</w:t>
      </w:r>
      <w:r w:rsidR="00B06D51" w:rsidRPr="003D7B10">
        <w:t>.</w:t>
      </w:r>
      <w:r w:rsidR="00F86059" w:rsidRPr="003D7B10">
        <w:t xml:space="preserve">  With that, the aggregated consumption of the different process agent uses in China amounts to 4,515.86 ODP tonnes. </w:t>
      </w:r>
      <w:r w:rsidRPr="003D7B10">
        <w:t xml:space="preserve">The World Bank and China were advised of this discrepancy. The World Bank advised that in the two agreements, consumption is defined differently from the definition used under the Montreal Protocol, since obligations needed to be defined on an enterprise basis. </w:t>
      </w:r>
      <w:r w:rsidR="00FF452C" w:rsidRPr="003D7B10">
        <w:t xml:space="preserve">Each enterprise is considered </w:t>
      </w:r>
      <w:r w:rsidR="006C6BE5">
        <w:t xml:space="preserve">to </w:t>
      </w:r>
      <w:r w:rsidR="00FF452C" w:rsidRPr="003D7B10">
        <w:t>act as a</w:t>
      </w:r>
      <w:r w:rsidR="00517B0A" w:rsidRPr="003D7B10">
        <w:t>n</w:t>
      </w:r>
      <w:r w:rsidR="00FF452C" w:rsidRPr="003D7B10">
        <w:t xml:space="preserve"> independent entity</w:t>
      </w:r>
      <w:r w:rsidR="00D05E61" w:rsidRPr="003D7B10">
        <w:t xml:space="preserve">, and the definition for consumption of the enterprise is </w:t>
      </w:r>
      <w:r w:rsidR="006C6BE5">
        <w:t>the same as that</w:t>
      </w:r>
      <w:r w:rsidR="00D05E61" w:rsidRPr="003D7B10">
        <w:t xml:space="preserve"> </w:t>
      </w:r>
      <w:r w:rsidR="00A34806" w:rsidRPr="003D7B10">
        <w:t xml:space="preserve">of consumption </w:t>
      </w:r>
      <w:r w:rsidR="00D05E61" w:rsidRPr="003D7B10">
        <w:t>for a country</w:t>
      </w:r>
      <w:r w:rsidR="00A34806" w:rsidRPr="003D7B10">
        <w:t xml:space="preserve"> under the Montreal Protocol</w:t>
      </w:r>
      <w:r w:rsidR="00FF452C" w:rsidRPr="003D7B10">
        <w:t xml:space="preserve">. </w:t>
      </w:r>
      <w:r w:rsidRPr="003D7B10">
        <w:t xml:space="preserve">Consequently, “consumption” in the context of the two sector plans is used as the amount of CTC procured by the enterprises. The World Bank provided aggregate </w:t>
      </w:r>
      <w:r w:rsidR="00C34B78" w:rsidRPr="003D7B10">
        <w:t xml:space="preserve">figures for the </w:t>
      </w:r>
      <w:r w:rsidRPr="003D7B10">
        <w:t xml:space="preserve">CTC stockpile </w:t>
      </w:r>
      <w:r w:rsidR="00C34B78" w:rsidRPr="003D7B10">
        <w:t xml:space="preserve">located </w:t>
      </w:r>
      <w:r w:rsidRPr="003D7B10">
        <w:t xml:space="preserve">at the CTC producers, which were </w:t>
      </w:r>
      <w:r w:rsidR="00097FD8" w:rsidRPr="003D7B10">
        <w:t>3,157</w:t>
      </w:r>
      <w:r w:rsidRPr="003D7B10">
        <w:t xml:space="preserve"> </w:t>
      </w:r>
      <w:r w:rsidR="00097FD8" w:rsidRPr="003D7B10">
        <w:t>ODP tonnes</w:t>
      </w:r>
      <w:r w:rsidR="00A44D1D" w:rsidRPr="003D7B10">
        <w:t xml:space="preserve"> for 2007, </w:t>
      </w:r>
      <w:r w:rsidR="00097FD8" w:rsidRPr="003D7B10">
        <w:t>1,911 ODP tonnes</w:t>
      </w:r>
      <w:r w:rsidR="00A44D1D" w:rsidRPr="003D7B10">
        <w:t xml:space="preserve"> for 2008 and </w:t>
      </w:r>
      <w:r w:rsidR="00097FD8" w:rsidRPr="003D7B10">
        <w:t>1</w:t>
      </w:r>
      <w:r w:rsidR="00F52E3C" w:rsidRPr="003D7B10">
        <w:t>,</w:t>
      </w:r>
      <w:r w:rsidR="00097FD8" w:rsidRPr="003D7B10">
        <w:t>751</w:t>
      </w:r>
      <w:r w:rsidR="00A44D1D" w:rsidRPr="003D7B10">
        <w:t xml:space="preserve"> </w:t>
      </w:r>
      <w:r w:rsidR="00097FD8" w:rsidRPr="003D7B10">
        <w:t xml:space="preserve">ODP tonnes </w:t>
      </w:r>
      <w:r w:rsidRPr="003D7B10">
        <w:t xml:space="preserve">for 2009. </w:t>
      </w:r>
      <w:r w:rsidR="00C34B78" w:rsidRPr="003D7B10">
        <w:t xml:space="preserve">The World Bank also advised that some </w:t>
      </w:r>
      <w:r w:rsidRPr="003D7B10">
        <w:t>CTC might come from existing stocks at the dealers</w:t>
      </w:r>
      <w:r w:rsidR="00C34B78" w:rsidRPr="003D7B10">
        <w:t xml:space="preserve">, about which no </w:t>
      </w:r>
      <w:r w:rsidRPr="003D7B10">
        <w:t xml:space="preserve">information </w:t>
      </w:r>
      <w:r w:rsidR="00C34B78" w:rsidRPr="003D7B10">
        <w:t xml:space="preserve">is available. </w:t>
      </w:r>
    </w:p>
    <w:p w:rsidR="003B6556" w:rsidRPr="003D7B10" w:rsidRDefault="003B6556" w:rsidP="003B6556">
      <w:pPr>
        <w:rPr>
          <w:b/>
        </w:rPr>
      </w:pPr>
      <w:r w:rsidRPr="003D7B10">
        <w:rPr>
          <w:b/>
        </w:rPr>
        <w:t xml:space="preserve">Phase I of the China </w:t>
      </w:r>
      <w:r w:rsidR="007B5969" w:rsidRPr="003D7B10">
        <w:rPr>
          <w:b/>
        </w:rPr>
        <w:t xml:space="preserve">PA </w:t>
      </w:r>
      <w:r w:rsidRPr="003D7B10">
        <w:rPr>
          <w:b/>
        </w:rPr>
        <w:t xml:space="preserve">sector plan </w:t>
      </w:r>
    </w:p>
    <w:p w:rsidR="003B6556" w:rsidRPr="003D7B10" w:rsidRDefault="003B6556" w:rsidP="003B6556"/>
    <w:p w:rsidR="003B6556" w:rsidRPr="003D7B10" w:rsidRDefault="003B6556" w:rsidP="003B6556">
      <w:pPr>
        <w:pStyle w:val="Heading1"/>
      </w:pPr>
      <w:r w:rsidRPr="003D7B10">
        <w:t xml:space="preserve">Phase I of the China process agent sector plan </w:t>
      </w:r>
      <w:r w:rsidR="007B5969" w:rsidRPr="003D7B10">
        <w:t xml:space="preserve">(PA plan I) </w:t>
      </w:r>
      <w:r w:rsidRPr="003D7B10">
        <w:t>was approved in December 2002 to address 25</w:t>
      </w:r>
      <w:r w:rsidR="00FA7BE4" w:rsidRPr="003D7B10">
        <w:t> </w:t>
      </w:r>
      <w:r w:rsidRPr="003D7B10">
        <w:t xml:space="preserve">CTC and CFC-113 process agent applications included in List A of </w:t>
      </w:r>
      <w:r w:rsidR="00C274ED" w:rsidRPr="003D7B10">
        <w:t>decision </w:t>
      </w:r>
      <w:r w:rsidRPr="003D7B10">
        <w:t>X/14. Total CTC consumption, reported as 3,382</w:t>
      </w:r>
      <w:r w:rsidR="00C274ED" w:rsidRPr="003D7B10">
        <w:t> ODP</w:t>
      </w:r>
      <w:r w:rsidRPr="003D7B10">
        <w:t xml:space="preserve"> tonnes in 2003, has been reduced to 462.15</w:t>
      </w:r>
      <w:r w:rsidR="00C274ED" w:rsidRPr="003D7B10">
        <w:t> ODP</w:t>
      </w:r>
      <w:r w:rsidRPr="003D7B10">
        <w:t xml:space="preserve"> tonnes in 2009</w:t>
      </w:r>
      <w:r w:rsidR="00844BA6" w:rsidRPr="003D7B10">
        <w:t xml:space="preserve">. </w:t>
      </w:r>
      <w:r w:rsidRPr="003D7B10">
        <w:t xml:space="preserve"> This is within the</w:t>
      </w:r>
      <w:r w:rsidR="00F52E3C" w:rsidRPr="003D7B10">
        <w:t xml:space="preserve"> maximum allowable limit of 493</w:t>
      </w:r>
      <w:r w:rsidR="00C274ED" w:rsidRPr="003D7B10">
        <w:t> ODP</w:t>
      </w:r>
      <w:r w:rsidRPr="003D7B10">
        <w:t xml:space="preserve"> </w:t>
      </w:r>
      <w:r w:rsidR="00C274ED" w:rsidRPr="003D7B10">
        <w:t>t</w:t>
      </w:r>
      <w:r w:rsidRPr="003D7B10">
        <w:t>onnes set in the Agreement.  The consumption of CFC-113 ceased in 2006</w:t>
      </w:r>
      <w:r w:rsidR="0045438F" w:rsidRPr="003D7B10">
        <w:t xml:space="preserve"> and the phase out was </w:t>
      </w:r>
      <w:r w:rsidR="00CB3B4A" w:rsidRPr="003D7B10">
        <w:t xml:space="preserve">verified by </w:t>
      </w:r>
      <w:r w:rsidR="001B057E" w:rsidRPr="003D7B10">
        <w:t xml:space="preserve">the </w:t>
      </w:r>
      <w:r w:rsidR="00CB3B4A" w:rsidRPr="003D7B10">
        <w:t>World Bank</w:t>
      </w:r>
      <w:r w:rsidRPr="003D7B10">
        <w:t xml:space="preserve">.  </w:t>
      </w:r>
    </w:p>
    <w:p w:rsidR="003B6556" w:rsidRPr="003D7B10" w:rsidRDefault="003B6556" w:rsidP="007B080C">
      <w:pPr>
        <w:pStyle w:val="Heading1"/>
        <w:keepNext/>
        <w:keepLines/>
      </w:pPr>
      <w:r w:rsidRPr="003D7B10">
        <w:lastRenderedPageBreak/>
        <w:t xml:space="preserve">Complete phase-out has been achieved in 31 of the 32 plants that </w:t>
      </w:r>
      <w:r w:rsidR="00C34B78" w:rsidRPr="003D7B10">
        <w:t xml:space="preserve">had </w:t>
      </w:r>
      <w:r w:rsidRPr="003D7B10">
        <w:t xml:space="preserve">used CTC or CFC-113 as </w:t>
      </w:r>
      <w:r w:rsidR="00924F72" w:rsidRPr="003D7B10">
        <w:t xml:space="preserve">a </w:t>
      </w:r>
      <w:r w:rsidRPr="003D7B10">
        <w:t xml:space="preserve">process agent in 2001, through either plant closure or conversion to non-ODS processes. During 2009, two plants using CTC for chlorinated rubber production </w:t>
      </w:r>
      <w:r w:rsidR="00B06614" w:rsidRPr="003D7B10">
        <w:t>were</w:t>
      </w:r>
      <w:r w:rsidRPr="003D7B10">
        <w:t xml:space="preserve"> discontinued and are waiting to be dismantled. </w:t>
      </w:r>
      <w:r w:rsidR="00CB3B4A" w:rsidRPr="003D7B10">
        <w:t>All the plant closure</w:t>
      </w:r>
      <w:r w:rsidR="006C6BE5">
        <w:t>s</w:t>
      </w:r>
      <w:r w:rsidR="00CB3B4A" w:rsidRPr="003D7B10">
        <w:t xml:space="preserve"> or discontinu</w:t>
      </w:r>
      <w:r w:rsidR="006C6BE5">
        <w:t>ations</w:t>
      </w:r>
      <w:r w:rsidR="00CB3B4A" w:rsidRPr="003D7B10">
        <w:t xml:space="preserve"> were verified </w:t>
      </w:r>
      <w:r w:rsidR="0045438F" w:rsidRPr="003D7B10">
        <w:t>by</w:t>
      </w:r>
      <w:r w:rsidR="001B057E" w:rsidRPr="003D7B10">
        <w:t xml:space="preserve"> the</w:t>
      </w:r>
      <w:r w:rsidR="0045438F" w:rsidRPr="003D7B10">
        <w:t xml:space="preserve"> World Bank </w:t>
      </w:r>
      <w:r w:rsidR="00CB3B4A" w:rsidRPr="003D7B10">
        <w:t>and verification report</w:t>
      </w:r>
      <w:r w:rsidR="0045438F" w:rsidRPr="003D7B10">
        <w:t>s were</w:t>
      </w:r>
      <w:r w:rsidR="00CB3B4A" w:rsidRPr="003D7B10">
        <w:t xml:space="preserve"> submitted to the Secretariat.</w:t>
      </w:r>
    </w:p>
    <w:p w:rsidR="003B6556" w:rsidRPr="003D7B10" w:rsidRDefault="003B6556" w:rsidP="00657949">
      <w:pPr>
        <w:pStyle w:val="Heading1"/>
        <w:keepNext/>
        <w:keepLines/>
      </w:pPr>
      <w:r w:rsidRPr="003D7B10">
        <w:t xml:space="preserve">The one remaining plant, Jilin Chemical Industrial Co. Ltd (JCIC) will continue to produce and use CTC as </w:t>
      </w:r>
      <w:r w:rsidR="00B06614" w:rsidRPr="003D7B10">
        <w:t xml:space="preserve">a </w:t>
      </w:r>
      <w:r w:rsidRPr="003D7B10">
        <w:t xml:space="preserve">process agent in the production of chlorosulphonated polyethylene (CSM). </w:t>
      </w:r>
      <w:r w:rsidR="00FA7BE4" w:rsidRPr="003D7B10">
        <w:t xml:space="preserve"> </w:t>
      </w:r>
      <w:r w:rsidRPr="003D7B10">
        <w:t xml:space="preserve">JCIC has gone through alterations </w:t>
      </w:r>
      <w:r w:rsidR="00924F72" w:rsidRPr="003D7B10">
        <w:t>in</w:t>
      </w:r>
      <w:r w:rsidRPr="003D7B10">
        <w:t xml:space="preserve"> technical processes in order to reduce </w:t>
      </w:r>
      <w:r w:rsidR="00B06614" w:rsidRPr="003D7B10">
        <w:t xml:space="preserve">its </w:t>
      </w:r>
      <w:r w:rsidRPr="003D7B10">
        <w:t>CTC/CSM ratio since 2004. It had two production lines before 2004 that use</w:t>
      </w:r>
      <w:r w:rsidR="00F52E3C" w:rsidRPr="003D7B10">
        <w:t>d</w:t>
      </w:r>
      <w:r w:rsidRPr="003D7B10">
        <w:t xml:space="preserve"> CTC as a PA. </w:t>
      </w:r>
      <w:r w:rsidR="00F52E3C" w:rsidRPr="003D7B10">
        <w:t xml:space="preserve"> </w:t>
      </w:r>
      <w:r w:rsidRPr="003D7B10">
        <w:t>Line</w:t>
      </w:r>
      <w:r w:rsidR="00F52E3C" w:rsidRPr="003D7B10">
        <w:t> 1</w:t>
      </w:r>
      <w:r w:rsidRPr="003D7B10">
        <w:t xml:space="preserve"> was shutdown in 2004 and fully dismantled in 2006. The first planned improvement introduced </w:t>
      </w:r>
      <w:r w:rsidR="00C34B78" w:rsidRPr="003D7B10">
        <w:t xml:space="preserve">a new </w:t>
      </w:r>
      <w:r w:rsidRPr="003D7B10">
        <w:t xml:space="preserve">line 3 including two larger reactors and an integrated CSM/CTC colloid dry exclusion system using solvent stripping to replace the open to air operated water stripping system. The intention was to use </w:t>
      </w:r>
      <w:r w:rsidR="00C34B78" w:rsidRPr="003D7B10">
        <w:t xml:space="preserve">the new </w:t>
      </w:r>
      <w:r w:rsidRPr="003D7B10">
        <w:t xml:space="preserve">line </w:t>
      </w:r>
      <w:r w:rsidR="00B06614" w:rsidRPr="003D7B10">
        <w:t>3</w:t>
      </w:r>
      <w:r w:rsidRPr="003D7B10">
        <w:t xml:space="preserve"> to replace </w:t>
      </w:r>
      <w:r w:rsidR="00C34B78" w:rsidRPr="003D7B10">
        <w:t xml:space="preserve">the older </w:t>
      </w:r>
      <w:r w:rsidRPr="003D7B10">
        <w:t>line</w:t>
      </w:r>
      <w:r w:rsidR="00B06614" w:rsidRPr="003D7B10">
        <w:t>s</w:t>
      </w:r>
      <w:r w:rsidRPr="003D7B10">
        <w:t xml:space="preserve"> </w:t>
      </w:r>
      <w:r w:rsidR="00B06614" w:rsidRPr="003D7B10">
        <w:t>1</w:t>
      </w:r>
      <w:r w:rsidRPr="003D7B10">
        <w:t xml:space="preserve"> and </w:t>
      </w:r>
      <w:r w:rsidR="00B06614" w:rsidRPr="003D7B10">
        <w:t>2</w:t>
      </w:r>
      <w:r w:rsidRPr="003D7B10">
        <w:t xml:space="preserve">, which </w:t>
      </w:r>
      <w:r w:rsidR="000B1B57" w:rsidRPr="003D7B10">
        <w:t xml:space="preserve">should have </w:t>
      </w:r>
      <w:r w:rsidRPr="003D7B10">
        <w:t>reduce</w:t>
      </w:r>
      <w:r w:rsidR="000B1B57" w:rsidRPr="003D7B10">
        <w:t>d</w:t>
      </w:r>
      <w:r w:rsidRPr="003D7B10">
        <w:t xml:space="preserve"> the CTC/CSM ratio to 0.06. However, the </w:t>
      </w:r>
      <w:r w:rsidR="00C34B78" w:rsidRPr="003D7B10">
        <w:t xml:space="preserve">new </w:t>
      </w:r>
      <w:r w:rsidRPr="003D7B10">
        <w:t xml:space="preserve">line </w:t>
      </w:r>
      <w:r w:rsidR="00B06614" w:rsidRPr="003D7B10">
        <w:t>3</w:t>
      </w:r>
      <w:r w:rsidRPr="003D7B10">
        <w:t xml:space="preserve"> did not generate the expected result due to inadequate design. </w:t>
      </w:r>
      <w:r w:rsidR="000B1B57" w:rsidRPr="003D7B10">
        <w:t xml:space="preserve">Instead, </w:t>
      </w:r>
      <w:r w:rsidRPr="003D7B10">
        <w:t xml:space="preserve">JCIC combined the new reactors with the separation system in line </w:t>
      </w:r>
      <w:r w:rsidR="00B06614" w:rsidRPr="003D7B10">
        <w:t>2</w:t>
      </w:r>
      <w:r w:rsidRPr="003D7B10">
        <w:t xml:space="preserve"> and has been operating at 30</w:t>
      </w:r>
      <w:r w:rsidR="00C274ED" w:rsidRPr="003D7B10">
        <w:t> per cent</w:t>
      </w:r>
      <w:r w:rsidRPr="003D7B10">
        <w:t xml:space="preserve"> capacity</w:t>
      </w:r>
      <w:r w:rsidR="000B1B57" w:rsidRPr="003D7B10">
        <w:t>,</w:t>
      </w:r>
      <w:r w:rsidRPr="003D7B10">
        <w:t xml:space="preserve"> limited </w:t>
      </w:r>
      <w:r w:rsidR="000B1B57" w:rsidRPr="003D7B10">
        <w:t xml:space="preserve">by the </w:t>
      </w:r>
      <w:r w:rsidRPr="003D7B10">
        <w:t xml:space="preserve">CTC procurement quota issued by the Ministry of Environment (MEP). </w:t>
      </w:r>
      <w:r w:rsidR="00924F72" w:rsidRPr="003D7B10">
        <w:t>In addition</w:t>
      </w:r>
      <w:r w:rsidRPr="003D7B10">
        <w:t xml:space="preserve"> to the effort made in 2008 </w:t>
      </w:r>
      <w:r w:rsidR="00924F72" w:rsidRPr="003D7B10">
        <w:t xml:space="preserve">to </w:t>
      </w:r>
      <w:r w:rsidRPr="003D7B10">
        <w:t>reduc</w:t>
      </w:r>
      <w:r w:rsidR="00924F72" w:rsidRPr="003D7B10">
        <w:t>e</w:t>
      </w:r>
      <w:r w:rsidRPr="003D7B10">
        <w:t xml:space="preserve"> </w:t>
      </w:r>
      <w:r w:rsidR="00B06614" w:rsidRPr="003D7B10">
        <w:t xml:space="preserve">its </w:t>
      </w:r>
      <w:r w:rsidRPr="003D7B10">
        <w:t xml:space="preserve">CTC/CSM ratio from </w:t>
      </w:r>
      <w:r w:rsidR="00F52E3C" w:rsidRPr="003D7B10">
        <w:t xml:space="preserve">the </w:t>
      </w:r>
      <w:r w:rsidRPr="003D7B10">
        <w:t>previous value of 0.32-0.35 to 0.31</w:t>
      </w:r>
      <w:r w:rsidR="00FA7BE4" w:rsidRPr="003D7B10">
        <w:t> MT</w:t>
      </w:r>
      <w:r w:rsidRPr="003D7B10">
        <w:t>/MT, this ratio was reduced further to 0.26</w:t>
      </w:r>
      <w:r w:rsidR="00FA7BE4" w:rsidRPr="003D7B10">
        <w:t> </w:t>
      </w:r>
      <w:r w:rsidRPr="003D7B10">
        <w:t xml:space="preserve">MT/MT by </w:t>
      </w:r>
      <w:r w:rsidR="00F52E3C" w:rsidRPr="003D7B10">
        <w:t xml:space="preserve">the </w:t>
      </w:r>
      <w:r w:rsidRPr="003D7B10">
        <w:t>end of the</w:t>
      </w:r>
      <w:r w:rsidR="00077D83" w:rsidRPr="003D7B10">
        <w:t xml:space="preserve"> 2009</w:t>
      </w:r>
      <w:r w:rsidRPr="003D7B10">
        <w:t xml:space="preserve"> verification year through the following improvements: </w:t>
      </w:r>
    </w:p>
    <w:p w:rsidR="003B6556" w:rsidRPr="003D7B10" w:rsidRDefault="003B6556" w:rsidP="003B6556">
      <w:pPr>
        <w:pStyle w:val="Heading2"/>
      </w:pPr>
      <w:r w:rsidRPr="003D7B10">
        <w:t>Adding four graphite condensers (40 m</w:t>
      </w:r>
      <w:r w:rsidRPr="003D7B10">
        <w:rPr>
          <w:vertAlign w:val="superscript"/>
        </w:rPr>
        <w:t>2</w:t>
      </w:r>
      <w:r w:rsidRPr="003D7B10">
        <w:t xml:space="preserve"> each) to the existing tail gas separation process to enhance CTC recovery from the </w:t>
      </w:r>
      <w:r w:rsidR="00C34F63" w:rsidRPr="003D7B10">
        <w:t xml:space="preserve">new </w:t>
      </w:r>
      <w:r w:rsidRPr="003D7B10">
        <w:t xml:space="preserve">line </w:t>
      </w:r>
      <w:r w:rsidR="00776B12" w:rsidRPr="003D7B10">
        <w:t>3</w:t>
      </w:r>
      <w:r w:rsidRPr="003D7B10">
        <w:t xml:space="preserve"> reaction tail gas and the </w:t>
      </w:r>
      <w:r w:rsidR="00C34F63" w:rsidRPr="003D7B10">
        <w:t xml:space="preserve">existing </w:t>
      </w:r>
      <w:r w:rsidRPr="003D7B10">
        <w:t>line</w:t>
      </w:r>
      <w:r w:rsidR="00CA1063" w:rsidRPr="003D7B10">
        <w:t> </w:t>
      </w:r>
      <w:r w:rsidR="00B06614" w:rsidRPr="003D7B10">
        <w:t>2</w:t>
      </w:r>
      <w:r w:rsidR="0091677A" w:rsidRPr="003D7B10">
        <w:t> </w:t>
      </w:r>
      <w:r w:rsidRPr="003D7B10">
        <w:t>water-stri</w:t>
      </w:r>
      <w:r w:rsidR="00F52E3C" w:rsidRPr="003D7B10">
        <w:t>p</w:t>
      </w:r>
      <w:r w:rsidRPr="003D7B10">
        <w:t xml:space="preserve">ping tower tail gas before they </w:t>
      </w:r>
      <w:r w:rsidR="00B06614" w:rsidRPr="003D7B10">
        <w:t>are released to the atmosphere;</w:t>
      </w:r>
      <w:r w:rsidR="00776B12" w:rsidRPr="003D7B10">
        <w:t xml:space="preserve"> </w:t>
      </w:r>
    </w:p>
    <w:p w:rsidR="003B6556" w:rsidRPr="003D7B10" w:rsidRDefault="003B6556" w:rsidP="003B6556">
      <w:pPr>
        <w:pStyle w:val="Heading2"/>
      </w:pPr>
      <w:r w:rsidRPr="003D7B10">
        <w:t xml:space="preserve">Adding two buffers to the existing CTC recycling process to enhance CTC recovery from the gas streams arising from </w:t>
      </w:r>
      <w:r w:rsidR="00F52E3C" w:rsidRPr="003D7B10">
        <w:t xml:space="preserve">the </w:t>
      </w:r>
      <w:r w:rsidRPr="003D7B10">
        <w:t xml:space="preserve">top of line </w:t>
      </w:r>
      <w:r w:rsidR="00B06614" w:rsidRPr="003D7B10">
        <w:t>3</w:t>
      </w:r>
      <w:r w:rsidRPr="003D7B10">
        <w:t xml:space="preserve"> reactors and line </w:t>
      </w:r>
      <w:r w:rsidR="00B06614" w:rsidRPr="003D7B10">
        <w:t>2</w:t>
      </w:r>
      <w:r w:rsidRPr="003D7B10">
        <w:t xml:space="preserve"> water-stri</w:t>
      </w:r>
      <w:r w:rsidR="00F52E3C" w:rsidRPr="003D7B10">
        <w:t>p</w:t>
      </w:r>
      <w:r w:rsidRPr="003D7B10">
        <w:t>ping towers</w:t>
      </w:r>
      <w:r w:rsidR="00B06614" w:rsidRPr="003D7B10">
        <w:t xml:space="preserve">; </w:t>
      </w:r>
      <w:r w:rsidR="00776B12" w:rsidRPr="003D7B10">
        <w:t xml:space="preserve">and </w:t>
      </w:r>
    </w:p>
    <w:p w:rsidR="003B6556" w:rsidRPr="003D7B10" w:rsidRDefault="003B6556" w:rsidP="003B6556">
      <w:pPr>
        <w:pStyle w:val="Heading2"/>
      </w:pPr>
      <w:r w:rsidRPr="003D7B10">
        <w:t xml:space="preserve">Adding one separated CTC distillation vessel to the existing system to enhance collection and recovery of the contaminated CTC from the batch operations and equipment maintenance. </w:t>
      </w:r>
    </w:p>
    <w:p w:rsidR="007D0862" w:rsidRPr="003D7B10" w:rsidRDefault="003B6556" w:rsidP="007D0862">
      <w:pPr>
        <w:pStyle w:val="Heading1"/>
      </w:pPr>
      <w:r w:rsidRPr="003D7B10">
        <w:t>In 2</w:t>
      </w:r>
      <w:r w:rsidR="00776B12" w:rsidRPr="003D7B10">
        <w:t xml:space="preserve">009, </w:t>
      </w:r>
      <w:r w:rsidR="001E378E" w:rsidRPr="003D7B10">
        <w:t xml:space="preserve">JCIC </w:t>
      </w:r>
      <w:r w:rsidR="00A44D1D" w:rsidRPr="003D7B10">
        <w:t>received 2</w:t>
      </w:r>
      <w:r w:rsidR="00C64E07" w:rsidRPr="003D7B10">
        <w:t>86 ODP tonnes of CTC use quota from MEP</w:t>
      </w:r>
      <w:r w:rsidR="0000024A" w:rsidRPr="003D7B10">
        <w:t>,</w:t>
      </w:r>
      <w:r w:rsidR="00C64E07" w:rsidRPr="003D7B10">
        <w:t xml:space="preserve"> and the verified CTC consumption was 284.2 ODP tonnes.</w:t>
      </w:r>
      <w:r w:rsidRPr="003D7B10">
        <w:t xml:space="preserve">  </w:t>
      </w:r>
      <w:r w:rsidR="00C64E07" w:rsidRPr="003D7B10">
        <w:t xml:space="preserve">For the </w:t>
      </w:r>
      <w:r w:rsidR="0000024A" w:rsidRPr="003D7B10">
        <w:t xml:space="preserve">year 2010 and beyond, for applications falling under the </w:t>
      </w:r>
      <w:r w:rsidR="00C64E07" w:rsidRPr="003D7B10">
        <w:t xml:space="preserve">PA </w:t>
      </w:r>
      <w:r w:rsidR="0000024A" w:rsidRPr="003D7B10">
        <w:t xml:space="preserve">plan </w:t>
      </w:r>
      <w:r w:rsidR="00C64E07" w:rsidRPr="003D7B10">
        <w:t xml:space="preserve">I, </w:t>
      </w:r>
      <w:r w:rsidR="0000024A" w:rsidRPr="003D7B10">
        <w:t xml:space="preserve">the Agreement approved by the Executive Committee </w:t>
      </w:r>
      <w:r w:rsidR="004E171B" w:rsidRPr="003D7B10">
        <w:t xml:space="preserve">in </w:t>
      </w:r>
      <w:r w:rsidR="001E378E" w:rsidRPr="003D7B10">
        <w:t>d</w:t>
      </w:r>
      <w:r w:rsidR="004E171B" w:rsidRPr="003D7B10">
        <w:t xml:space="preserve">ecision 38/60 </w:t>
      </w:r>
      <w:r w:rsidR="0000024A" w:rsidRPr="003D7B10">
        <w:t xml:space="preserve">specifies a maximum consumption of </w:t>
      </w:r>
      <w:r w:rsidR="00C64E07" w:rsidRPr="003D7B10">
        <w:t>220 ODP tonnes of CTC in 2010</w:t>
      </w:r>
      <w:r w:rsidR="0000024A" w:rsidRPr="003D7B10">
        <w:rPr>
          <w:rStyle w:val="FootnoteReference"/>
        </w:rPr>
        <w:footnoteReference w:id="4"/>
      </w:r>
      <w:r w:rsidR="00C64E07" w:rsidRPr="003D7B10">
        <w:t>, which will be entirely used by JCIC. In view of the limited stock of 121.9 ODP tonnes and the limited consumption quota</w:t>
      </w:r>
      <w:r w:rsidR="00517B0A" w:rsidRPr="003D7B10">
        <w:t xml:space="preserve"> of 220 ODP tonnes of CTC</w:t>
      </w:r>
      <w:r w:rsidR="00C64E07" w:rsidRPr="003D7B10">
        <w:t xml:space="preserve">, the Secretariat was informed by </w:t>
      </w:r>
      <w:r w:rsidR="001E378E" w:rsidRPr="003D7B10">
        <w:t xml:space="preserve">the </w:t>
      </w:r>
      <w:r w:rsidR="007D0862" w:rsidRPr="003D7B10">
        <w:t xml:space="preserve">World Bank </w:t>
      </w:r>
      <w:r w:rsidR="00C64E07" w:rsidRPr="003D7B10">
        <w:t xml:space="preserve">that JCIC will </w:t>
      </w:r>
      <w:r w:rsidR="0045438F" w:rsidRPr="003D7B10">
        <w:t xml:space="preserve">continue </w:t>
      </w:r>
      <w:r w:rsidR="00C64E07" w:rsidRPr="003D7B10">
        <w:t xml:space="preserve">to optimize the process to reduce its CTC/CSM ratio. JCIC </w:t>
      </w:r>
      <w:r w:rsidR="004E171B" w:rsidRPr="003D7B10">
        <w:t>is</w:t>
      </w:r>
      <w:r w:rsidR="007D0862" w:rsidRPr="003D7B10">
        <w:t xml:space="preserve"> su</w:t>
      </w:r>
      <w:r w:rsidR="00C64E07" w:rsidRPr="003D7B10">
        <w:t xml:space="preserve">bject to </w:t>
      </w:r>
      <w:r w:rsidR="007D0862" w:rsidRPr="003D7B10">
        <w:t xml:space="preserve">the strict quota control </w:t>
      </w:r>
      <w:r w:rsidR="00C64E07" w:rsidRPr="003D7B10">
        <w:t xml:space="preserve">implemented in China and will have to limit its production to the level </w:t>
      </w:r>
      <w:r w:rsidR="004E171B" w:rsidRPr="003D7B10">
        <w:t>achievable with the supply of</w:t>
      </w:r>
      <w:r w:rsidR="00C64E07" w:rsidRPr="003D7B10">
        <w:t xml:space="preserve"> 220 ODP tonnes of CTC</w:t>
      </w:r>
      <w:r w:rsidR="004E171B" w:rsidRPr="003D7B10">
        <w:t>, a restriction imposed by t</w:t>
      </w:r>
      <w:r w:rsidR="007D0862" w:rsidRPr="003D7B10">
        <w:t xml:space="preserve">he Government of China </w:t>
      </w:r>
      <w:r w:rsidR="00C64E07" w:rsidRPr="003D7B10">
        <w:t xml:space="preserve">to remain in compliance with the Agreement with the Executive Committee. JCIC has been allowed to procure new CTC in 2010 based on quotas to be issued by the Foreign Economic Cooperation Office (FECO) of MEP and at the quantity </w:t>
      </w:r>
      <w:r w:rsidR="005F2C43" w:rsidRPr="003D7B10">
        <w:t xml:space="preserve">determined in </w:t>
      </w:r>
      <w:r w:rsidRPr="003D7B10">
        <w:t>the Agreement</w:t>
      </w:r>
      <w:r w:rsidR="005F2C43" w:rsidRPr="003D7B10">
        <w:t xml:space="preserve"> as </w:t>
      </w:r>
      <w:r w:rsidR="00106FC2" w:rsidRPr="003D7B10">
        <w:t xml:space="preserve">corresponding to the  </w:t>
      </w:r>
      <w:r w:rsidR="005F2C43" w:rsidRPr="003D7B10">
        <w:t xml:space="preserve">level of emissions of controlled substances from process-agent use reasonably achievable in a cost–effective manner without undue abandonment of infrastructure; these figures from the Agreement formed the basis of the decision XXII/8 of the </w:t>
      </w:r>
      <w:r w:rsidR="001E378E" w:rsidRPr="003D7B10">
        <w:t>22</w:t>
      </w:r>
      <w:r w:rsidR="001E378E" w:rsidRPr="003D7B10">
        <w:rPr>
          <w:vertAlign w:val="superscript"/>
        </w:rPr>
        <w:t>nd</w:t>
      </w:r>
      <w:r w:rsidR="001E378E" w:rsidRPr="003D7B10">
        <w:t> </w:t>
      </w:r>
      <w:r w:rsidR="005F2C43" w:rsidRPr="003D7B10">
        <w:t>Meeting of the Parties, where the report shows</w:t>
      </w:r>
      <w:r w:rsidR="006C6BE5">
        <w:t xml:space="preserve"> </w:t>
      </w:r>
      <w:r w:rsidR="006C6BE5" w:rsidRPr="003D7B10">
        <w:t>a related limit</w:t>
      </w:r>
      <w:r w:rsidR="005F2C43" w:rsidRPr="003D7B10">
        <w:t xml:space="preserve"> </w:t>
      </w:r>
      <w:r w:rsidR="004E171B" w:rsidRPr="003D7B10">
        <w:t xml:space="preserve">in its </w:t>
      </w:r>
      <w:r w:rsidR="001E378E" w:rsidRPr="003D7B10">
        <w:t>T</w:t>
      </w:r>
      <w:r w:rsidR="004E171B" w:rsidRPr="003D7B10">
        <w:t xml:space="preserve">able B </w:t>
      </w:r>
      <w:r w:rsidR="006C6BE5">
        <w:t>in</w:t>
      </w:r>
      <w:r w:rsidR="004E171B" w:rsidRPr="003D7B10">
        <w:t xml:space="preserve"> the Annex to the decision.</w:t>
      </w:r>
      <w:r w:rsidR="006C6BE5">
        <w:t xml:space="preserve"> </w:t>
      </w:r>
      <w:r w:rsidR="004E171B" w:rsidRPr="003D7B10">
        <w:t xml:space="preserve"> </w:t>
      </w:r>
      <w:r w:rsidRPr="003D7B10">
        <w:t xml:space="preserve">The local Environmental Protection Bureau (EPB) and FECO will monitor the CSM production and CTC consumption at this facility.  </w:t>
      </w:r>
    </w:p>
    <w:p w:rsidR="003B6556" w:rsidRPr="003D7B10" w:rsidRDefault="003B6556" w:rsidP="003B6556">
      <w:pPr>
        <w:rPr>
          <w:b/>
        </w:rPr>
      </w:pPr>
      <w:r w:rsidRPr="003D7B10">
        <w:rPr>
          <w:b/>
        </w:rPr>
        <w:lastRenderedPageBreak/>
        <w:t xml:space="preserve">Phase II of the sector plan </w:t>
      </w:r>
    </w:p>
    <w:p w:rsidR="003B6556" w:rsidRPr="003D7B10" w:rsidRDefault="003B6556" w:rsidP="003B6556"/>
    <w:p w:rsidR="003B6556" w:rsidRPr="003D7B10" w:rsidRDefault="003B6556" w:rsidP="00776B12">
      <w:pPr>
        <w:pStyle w:val="Heading1"/>
      </w:pPr>
      <w:r w:rsidRPr="003D7B10">
        <w:t>The verification report</w:t>
      </w:r>
      <w:r w:rsidR="000272EA" w:rsidRPr="003D7B10">
        <w:t>s</w:t>
      </w:r>
      <w:r w:rsidRPr="003D7B10">
        <w:t xml:space="preserve"> o</w:t>
      </w:r>
      <w:r w:rsidR="00776B12" w:rsidRPr="003D7B10">
        <w:t>f Phase II of the</w:t>
      </w:r>
      <w:r w:rsidRPr="003D7B10">
        <w:t xml:space="preserve"> China </w:t>
      </w:r>
      <w:r w:rsidR="00776B12" w:rsidRPr="003D7B10">
        <w:t>p</w:t>
      </w:r>
      <w:r w:rsidRPr="003D7B10">
        <w:t xml:space="preserve">rocess </w:t>
      </w:r>
      <w:r w:rsidR="00776B12" w:rsidRPr="003D7B10">
        <w:t>a</w:t>
      </w:r>
      <w:r w:rsidRPr="003D7B10">
        <w:t xml:space="preserve">gent </w:t>
      </w:r>
      <w:r w:rsidR="00776B12" w:rsidRPr="003D7B10">
        <w:t>s</w:t>
      </w:r>
      <w:r w:rsidRPr="003D7B10">
        <w:t xml:space="preserve">ector </w:t>
      </w:r>
      <w:r w:rsidR="00776B12" w:rsidRPr="003D7B10">
        <w:t>p</w:t>
      </w:r>
      <w:r w:rsidRPr="003D7B10">
        <w:t xml:space="preserve">lan indicated that the total consumption for listed applications </w:t>
      </w:r>
      <w:r w:rsidR="000272EA" w:rsidRPr="003D7B10">
        <w:t xml:space="preserve">referred in row 4 of Appendix 2-A </w:t>
      </w:r>
      <w:r w:rsidR="006C6BE5">
        <w:t>t</w:t>
      </w:r>
      <w:r w:rsidR="000272EA" w:rsidRPr="003D7B10">
        <w:t xml:space="preserve">o the PA II Agreement </w:t>
      </w:r>
      <w:r w:rsidRPr="003D7B10">
        <w:t>in 200</w:t>
      </w:r>
      <w:r w:rsidR="008A3F8F" w:rsidRPr="003D7B10">
        <w:t>9</w:t>
      </w:r>
      <w:r w:rsidRPr="003D7B10">
        <w:t xml:space="preserve"> was </w:t>
      </w:r>
      <w:r w:rsidR="00C82994" w:rsidRPr="003D7B10">
        <w:t>3</w:t>
      </w:r>
      <w:r w:rsidR="001E378E" w:rsidRPr="003D7B10">
        <w:t>,</w:t>
      </w:r>
      <w:r w:rsidR="00C82994" w:rsidRPr="003D7B10">
        <w:t>792.44</w:t>
      </w:r>
      <w:r w:rsidR="00C274ED" w:rsidRPr="003D7B10">
        <w:t> ODP</w:t>
      </w:r>
      <w:r w:rsidRPr="003D7B10">
        <w:t xml:space="preserve"> tonnes, which is less than the </w:t>
      </w:r>
      <w:r w:rsidR="00D30124" w:rsidRPr="003D7B10">
        <w:t xml:space="preserve">2009 </w:t>
      </w:r>
      <w:r w:rsidRPr="003D7B10">
        <w:t>maximum allowed consumption of 6</w:t>
      </w:r>
      <w:r w:rsidR="00844BA6" w:rsidRPr="003D7B10">
        <w:t>,</w:t>
      </w:r>
      <w:r w:rsidR="00F52E3C" w:rsidRPr="003D7B10">
        <w:t>945</w:t>
      </w:r>
      <w:r w:rsidR="00C274ED" w:rsidRPr="003D7B10">
        <w:t> ODP</w:t>
      </w:r>
      <w:r w:rsidRPr="003D7B10">
        <w:t xml:space="preserve"> tonnes</w:t>
      </w:r>
      <w:r w:rsidR="000272EA" w:rsidRPr="003D7B10">
        <w:t xml:space="preserve">; the total consumption and uses for applications referred in row 6 of Appendix 2-A </w:t>
      </w:r>
      <w:r w:rsidR="006C6BE5">
        <w:t>to</w:t>
      </w:r>
      <w:r w:rsidR="000272EA" w:rsidRPr="003D7B10">
        <w:t xml:space="preserve"> the Agreement is 870.8 ODP tonnes, which is also well below the maximum allowed amount of 14,300</w:t>
      </w:r>
      <w:r w:rsidR="001E378E" w:rsidRPr="003D7B10">
        <w:t> </w:t>
      </w:r>
      <w:r w:rsidR="00E23D9C" w:rsidRPr="003D7B10">
        <w:t>ODP tonnes</w:t>
      </w:r>
      <w:r w:rsidRPr="003D7B10">
        <w:t>.</w:t>
      </w:r>
    </w:p>
    <w:p w:rsidR="005F2C43" w:rsidRPr="003D7B10" w:rsidRDefault="003B6556" w:rsidP="001E378E">
      <w:pPr>
        <w:pStyle w:val="Heading1"/>
      </w:pPr>
      <w:r w:rsidRPr="003D7B10">
        <w:t xml:space="preserve">As previously advised, Phase II, approved by the Executive Committee in December 2005, targets the CTC consumed by the process agent applications set out in </w:t>
      </w:r>
      <w:r w:rsidR="00C274ED" w:rsidRPr="003D7B10">
        <w:t>decision </w:t>
      </w:r>
      <w:r w:rsidRPr="003D7B10">
        <w:t>XV/6 of the 15</w:t>
      </w:r>
      <w:r w:rsidRPr="003D7B10">
        <w:rPr>
          <w:vertAlign w:val="superscript"/>
        </w:rPr>
        <w:t>th</w:t>
      </w:r>
      <w:r w:rsidR="00C274ED" w:rsidRPr="003D7B10">
        <w:t> Meeting</w:t>
      </w:r>
      <w:r w:rsidRPr="003D7B10">
        <w:t xml:space="preserve"> of the Parties, and will reduce the total consumption of CTC in these uses from an allowed maximum of around </w:t>
      </w:r>
      <w:r w:rsidR="00E23D9C" w:rsidRPr="003D7B10">
        <w:t>6945</w:t>
      </w:r>
      <w:r w:rsidR="00C274ED" w:rsidRPr="003D7B10">
        <w:t> ODP</w:t>
      </w:r>
      <w:r w:rsidRPr="003D7B10">
        <w:t xml:space="preserve"> tonnes in 2006 to 994</w:t>
      </w:r>
      <w:r w:rsidR="00C274ED" w:rsidRPr="003D7B10">
        <w:t> ODP</w:t>
      </w:r>
      <w:r w:rsidRPr="003D7B10">
        <w:t xml:space="preserve"> tonnes in 2010 and beyond. </w:t>
      </w:r>
      <w:r w:rsidR="001E378E" w:rsidRPr="003D7B10">
        <w:t xml:space="preserve"> </w:t>
      </w:r>
      <w:r w:rsidRPr="003D7B10">
        <w:t>Table 1 below presents the major applications, CTC consumption in 200</w:t>
      </w:r>
      <w:r w:rsidR="00F52E3C" w:rsidRPr="003D7B10">
        <w:t>9</w:t>
      </w:r>
      <w:r w:rsidRPr="003D7B10">
        <w:t xml:space="preserve"> for each application, and the number of </w:t>
      </w:r>
      <w:r w:rsidR="0029090D" w:rsidRPr="003D7B10">
        <w:t>lines</w:t>
      </w:r>
      <w:r w:rsidRPr="003D7B10">
        <w:t xml:space="preserve"> remaining in production.</w:t>
      </w:r>
      <w:r w:rsidR="00F52E3C" w:rsidRPr="003D7B10">
        <w:t xml:space="preserve"> </w:t>
      </w:r>
      <w:r w:rsidRPr="003D7B10">
        <w:t xml:space="preserve"> Based on the verification report, the total CTC </w:t>
      </w:r>
      <w:r w:rsidR="00E800C3" w:rsidRPr="003D7B10">
        <w:t xml:space="preserve">consumption </w:t>
      </w:r>
      <w:r w:rsidR="006C6BE5">
        <w:t>f</w:t>
      </w:r>
      <w:r w:rsidR="001E378E" w:rsidRPr="003D7B10">
        <w:t>o</w:t>
      </w:r>
      <w:r w:rsidR="006C6BE5">
        <w:t>r</w:t>
      </w:r>
      <w:r w:rsidR="001E378E" w:rsidRPr="003D7B10">
        <w:t xml:space="preserve"> the</w:t>
      </w:r>
      <w:r w:rsidR="00FA5EF0" w:rsidRPr="003D7B10">
        <w:t xml:space="preserve"> </w:t>
      </w:r>
      <w:r w:rsidRPr="003D7B10">
        <w:t xml:space="preserve">listed applications </w:t>
      </w:r>
      <w:r w:rsidR="006A7041" w:rsidRPr="003D7B10">
        <w:t xml:space="preserve">referred in row 4 of the Appendix 2-A of the </w:t>
      </w:r>
      <w:r w:rsidR="001E378E" w:rsidRPr="003D7B10">
        <w:t>A</w:t>
      </w:r>
      <w:r w:rsidR="006A7041" w:rsidRPr="003D7B10">
        <w:t xml:space="preserve">greement </w:t>
      </w:r>
      <w:r w:rsidRPr="003D7B10">
        <w:t xml:space="preserve">in </w:t>
      </w:r>
      <w:r w:rsidR="00776B12" w:rsidRPr="003D7B10">
        <w:t>Phase II of the sector plan</w:t>
      </w:r>
      <w:r w:rsidRPr="003D7B10">
        <w:t xml:space="preserve"> </w:t>
      </w:r>
      <w:r w:rsidR="00924F72" w:rsidRPr="003D7B10">
        <w:t>wa</w:t>
      </w:r>
      <w:r w:rsidRPr="003D7B10">
        <w:t>s 3</w:t>
      </w:r>
      <w:r w:rsidR="001E378E" w:rsidRPr="003D7B10">
        <w:t>,</w:t>
      </w:r>
      <w:r w:rsidR="007D6F39" w:rsidRPr="003D7B10">
        <w:t>792.44</w:t>
      </w:r>
      <w:r w:rsidR="00844BA6" w:rsidRPr="003D7B10">
        <w:t>,</w:t>
      </w:r>
      <w:r w:rsidR="00C274ED" w:rsidRPr="003D7B10">
        <w:t> ODP</w:t>
      </w:r>
      <w:r w:rsidRPr="003D7B10">
        <w:t xml:space="preserve"> tonnes in 200</w:t>
      </w:r>
      <w:r w:rsidR="00F52E3C" w:rsidRPr="003D7B10">
        <w:t>9</w:t>
      </w:r>
      <w:r w:rsidRPr="003D7B10">
        <w:t>.</w:t>
      </w:r>
    </w:p>
    <w:p w:rsidR="003B6556" w:rsidRPr="003D7B10" w:rsidRDefault="003B6556" w:rsidP="00657949">
      <w:pPr>
        <w:keepNext/>
        <w:keepLines/>
        <w:jc w:val="center"/>
        <w:rPr>
          <w:u w:val="single"/>
        </w:rPr>
      </w:pPr>
      <w:r w:rsidRPr="003D7B10">
        <w:rPr>
          <w:u w:val="single"/>
        </w:rPr>
        <w:t>Table 1 - Major applications</w:t>
      </w:r>
      <w:r w:rsidR="00F52E3C" w:rsidRPr="003D7B10">
        <w:rPr>
          <w:u w:val="single"/>
        </w:rPr>
        <w:t>, production lines</w:t>
      </w:r>
      <w:r w:rsidRPr="003D7B10">
        <w:rPr>
          <w:u w:val="single"/>
        </w:rPr>
        <w:t xml:space="preserve"> and consumption of CTC as </w:t>
      </w:r>
      <w:r w:rsidR="00F52E3C" w:rsidRPr="003D7B10">
        <w:rPr>
          <w:u w:val="single"/>
        </w:rPr>
        <w:t xml:space="preserve">a </w:t>
      </w:r>
      <w:r w:rsidR="00776B12" w:rsidRPr="003D7B10">
        <w:rPr>
          <w:u w:val="single"/>
        </w:rPr>
        <w:t>p</w:t>
      </w:r>
      <w:r w:rsidRPr="003D7B10">
        <w:rPr>
          <w:u w:val="single"/>
        </w:rPr>
        <w:t xml:space="preserve">rocess </w:t>
      </w:r>
      <w:r w:rsidR="00776B12" w:rsidRPr="003D7B10">
        <w:rPr>
          <w:u w:val="single"/>
        </w:rPr>
        <w:t>a</w:t>
      </w:r>
      <w:r w:rsidRPr="003D7B10">
        <w:rPr>
          <w:u w:val="single"/>
        </w:rPr>
        <w:t>gent</w:t>
      </w:r>
    </w:p>
    <w:p w:rsidR="00D25E03" w:rsidRPr="003D7B10" w:rsidRDefault="00D25E03" w:rsidP="00657949">
      <w:pPr>
        <w:keepNext/>
        <w:keepLines/>
        <w:jc w:val="center"/>
        <w:rPr>
          <w:u w:val="single"/>
        </w:rPr>
      </w:pPr>
    </w:p>
    <w:tbl>
      <w:tblPr>
        <w:tblW w:w="10140" w:type="dxa"/>
        <w:tblInd w:w="103" w:type="dxa"/>
        <w:tblLook w:val="04A0" w:firstRow="1" w:lastRow="0" w:firstColumn="1" w:lastColumn="0" w:noHBand="0" w:noVBand="1"/>
      </w:tblPr>
      <w:tblGrid>
        <w:gridCol w:w="1305"/>
        <w:gridCol w:w="916"/>
        <w:gridCol w:w="916"/>
        <w:gridCol w:w="916"/>
        <w:gridCol w:w="677"/>
        <w:gridCol w:w="678"/>
        <w:gridCol w:w="2463"/>
        <w:gridCol w:w="2269"/>
      </w:tblGrid>
      <w:tr w:rsidR="00D25E03" w:rsidRPr="003D7B10" w:rsidTr="00BF4969">
        <w:trPr>
          <w:trHeight w:val="315"/>
          <w:tblHeader/>
        </w:trPr>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b/>
                <w:bCs/>
                <w:color w:val="000000"/>
                <w:sz w:val="20"/>
                <w:szCs w:val="20"/>
                <w:lang w:eastAsia="zh-CN"/>
              </w:rPr>
            </w:pPr>
            <w:r w:rsidRPr="003D7B10">
              <w:rPr>
                <w:b/>
                <w:bCs/>
                <w:color w:val="000000"/>
                <w:sz w:val="20"/>
                <w:szCs w:val="20"/>
                <w:lang w:eastAsia="zh-CN"/>
              </w:rPr>
              <w:t>Application</w:t>
            </w:r>
          </w:p>
        </w:tc>
        <w:tc>
          <w:tcPr>
            <w:tcW w:w="2120" w:type="dxa"/>
            <w:gridSpan w:val="3"/>
            <w:tcBorders>
              <w:top w:val="single" w:sz="4" w:space="0" w:color="auto"/>
              <w:left w:val="nil"/>
              <w:bottom w:val="single" w:sz="4" w:space="0" w:color="auto"/>
              <w:right w:val="single" w:sz="4" w:space="0" w:color="auto"/>
            </w:tcBorders>
            <w:shd w:val="clear" w:color="auto" w:fill="auto"/>
            <w:hideMark/>
          </w:tcPr>
          <w:p w:rsidR="00D25E03" w:rsidRPr="003D7B10" w:rsidRDefault="00D25E03" w:rsidP="00D25E03">
            <w:pPr>
              <w:jc w:val="center"/>
              <w:rPr>
                <w:b/>
                <w:bCs/>
                <w:color w:val="000000"/>
                <w:sz w:val="20"/>
                <w:szCs w:val="20"/>
                <w:lang w:eastAsia="zh-CN"/>
              </w:rPr>
            </w:pPr>
            <w:r w:rsidRPr="003D7B10">
              <w:rPr>
                <w:b/>
                <w:bCs/>
                <w:color w:val="000000"/>
                <w:sz w:val="20"/>
                <w:szCs w:val="20"/>
                <w:lang w:eastAsia="zh-CN"/>
              </w:rPr>
              <w:t>Annual consumption</w:t>
            </w:r>
          </w:p>
        </w:tc>
        <w:tc>
          <w:tcPr>
            <w:tcW w:w="1398" w:type="dxa"/>
            <w:gridSpan w:val="2"/>
            <w:tcBorders>
              <w:top w:val="single" w:sz="4" w:space="0" w:color="auto"/>
              <w:left w:val="nil"/>
              <w:bottom w:val="single" w:sz="4" w:space="0" w:color="auto"/>
              <w:right w:val="single" w:sz="4" w:space="0" w:color="auto"/>
            </w:tcBorders>
            <w:shd w:val="clear" w:color="auto" w:fill="auto"/>
            <w:hideMark/>
          </w:tcPr>
          <w:p w:rsidR="00D25E03" w:rsidRPr="003D7B10" w:rsidRDefault="00D25E03" w:rsidP="00BF4969">
            <w:pPr>
              <w:jc w:val="center"/>
              <w:rPr>
                <w:b/>
                <w:bCs/>
                <w:color w:val="000000"/>
                <w:sz w:val="20"/>
                <w:szCs w:val="20"/>
                <w:lang w:eastAsia="zh-CN"/>
              </w:rPr>
            </w:pPr>
            <w:r w:rsidRPr="003D7B10">
              <w:rPr>
                <w:b/>
                <w:bCs/>
                <w:color w:val="000000"/>
                <w:sz w:val="20"/>
                <w:szCs w:val="20"/>
                <w:lang w:eastAsia="zh-CN"/>
              </w:rPr>
              <w:t xml:space="preserve">No. of </w:t>
            </w:r>
            <w:r w:rsidR="00BF4969" w:rsidRPr="003D7B10">
              <w:rPr>
                <w:b/>
                <w:bCs/>
                <w:color w:val="000000"/>
                <w:sz w:val="20"/>
                <w:szCs w:val="20"/>
                <w:lang w:eastAsia="zh-CN"/>
              </w:rPr>
              <w:t>p</w:t>
            </w:r>
            <w:r w:rsidRPr="003D7B10">
              <w:rPr>
                <w:b/>
                <w:bCs/>
                <w:color w:val="000000"/>
                <w:sz w:val="20"/>
                <w:szCs w:val="20"/>
                <w:lang w:eastAsia="zh-CN"/>
              </w:rPr>
              <w:t xml:space="preserve">roduction </w:t>
            </w:r>
            <w:r w:rsidR="00BF4969" w:rsidRPr="003D7B10">
              <w:rPr>
                <w:b/>
                <w:bCs/>
                <w:color w:val="000000"/>
                <w:sz w:val="20"/>
                <w:szCs w:val="20"/>
                <w:lang w:eastAsia="zh-CN"/>
              </w:rPr>
              <w:t>l</w:t>
            </w:r>
            <w:r w:rsidRPr="003D7B10">
              <w:rPr>
                <w:b/>
                <w:bCs/>
                <w:color w:val="000000"/>
                <w:sz w:val="20"/>
                <w:szCs w:val="20"/>
                <w:lang w:eastAsia="zh-CN"/>
              </w:rPr>
              <w:t>ines</w:t>
            </w:r>
          </w:p>
        </w:tc>
        <w:tc>
          <w:tcPr>
            <w:tcW w:w="2792" w:type="dxa"/>
            <w:tcBorders>
              <w:top w:val="single" w:sz="4" w:space="0" w:color="auto"/>
              <w:left w:val="nil"/>
              <w:bottom w:val="single" w:sz="4" w:space="0" w:color="auto"/>
              <w:right w:val="single" w:sz="4" w:space="0" w:color="auto"/>
            </w:tcBorders>
            <w:shd w:val="clear" w:color="auto" w:fill="auto"/>
            <w:hideMark/>
          </w:tcPr>
          <w:p w:rsidR="00D25E03" w:rsidRPr="003D7B10" w:rsidRDefault="00D25E03" w:rsidP="00D25E03">
            <w:pPr>
              <w:jc w:val="center"/>
              <w:rPr>
                <w:b/>
                <w:bCs/>
                <w:color w:val="000000"/>
                <w:sz w:val="20"/>
                <w:szCs w:val="20"/>
                <w:lang w:eastAsia="zh-CN"/>
              </w:rPr>
            </w:pPr>
            <w:r w:rsidRPr="003D7B10">
              <w:rPr>
                <w:b/>
                <w:bCs/>
                <w:color w:val="000000"/>
                <w:sz w:val="20"/>
                <w:szCs w:val="20"/>
                <w:lang w:eastAsia="zh-CN"/>
              </w:rPr>
              <w:t xml:space="preserve">Recent </w:t>
            </w:r>
          </w:p>
        </w:tc>
        <w:tc>
          <w:tcPr>
            <w:tcW w:w="2651" w:type="dxa"/>
            <w:tcBorders>
              <w:top w:val="single" w:sz="4" w:space="0" w:color="auto"/>
              <w:left w:val="nil"/>
              <w:bottom w:val="single" w:sz="4" w:space="0" w:color="auto"/>
              <w:right w:val="single" w:sz="4" w:space="0" w:color="auto"/>
            </w:tcBorders>
            <w:shd w:val="clear" w:color="auto" w:fill="auto"/>
            <w:hideMark/>
          </w:tcPr>
          <w:p w:rsidR="00D25E03" w:rsidRPr="003D7B10" w:rsidRDefault="00D25E03" w:rsidP="00D25E03">
            <w:pPr>
              <w:jc w:val="center"/>
              <w:rPr>
                <w:b/>
                <w:bCs/>
                <w:color w:val="000000"/>
                <w:sz w:val="20"/>
                <w:szCs w:val="20"/>
                <w:lang w:eastAsia="zh-CN"/>
              </w:rPr>
            </w:pPr>
            <w:r w:rsidRPr="003D7B10">
              <w:rPr>
                <w:b/>
                <w:bCs/>
                <w:color w:val="000000"/>
                <w:sz w:val="20"/>
                <w:szCs w:val="20"/>
                <w:lang w:eastAsia="zh-CN"/>
              </w:rPr>
              <w:t xml:space="preserve">Activities aggregated </w:t>
            </w:r>
          </w:p>
        </w:tc>
      </w:tr>
      <w:tr w:rsidR="00D25E03" w:rsidRPr="003D7B10" w:rsidTr="00BF4969">
        <w:trPr>
          <w:trHeight w:val="765"/>
          <w:tblHeader/>
        </w:trPr>
        <w:tc>
          <w:tcPr>
            <w:tcW w:w="1179" w:type="dxa"/>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b/>
                <w:bCs/>
                <w:color w:val="000000"/>
                <w:sz w:val="20"/>
                <w:szCs w:val="20"/>
                <w:lang w:eastAsia="zh-CN"/>
              </w:rPr>
            </w:pPr>
            <w:r w:rsidRPr="003D7B10">
              <w:rPr>
                <w:b/>
                <w:bCs/>
                <w:color w:val="000000"/>
                <w:sz w:val="20"/>
                <w:szCs w:val="20"/>
                <w:lang w:eastAsia="zh-CN"/>
              </w:rPr>
              <w:t>Year of data</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BF4969">
            <w:pPr>
              <w:jc w:val="center"/>
              <w:rPr>
                <w:b/>
                <w:bCs/>
                <w:color w:val="000000"/>
                <w:sz w:val="20"/>
                <w:szCs w:val="20"/>
                <w:lang w:eastAsia="zh-CN"/>
              </w:rPr>
            </w:pPr>
            <w:r w:rsidRPr="003D7B10">
              <w:rPr>
                <w:b/>
                <w:bCs/>
                <w:color w:val="000000"/>
                <w:sz w:val="20"/>
                <w:szCs w:val="20"/>
                <w:lang w:eastAsia="zh-CN"/>
              </w:rPr>
              <w:t>2003 (M</w:t>
            </w:r>
            <w:r w:rsidR="00BF4969" w:rsidRPr="003D7B10">
              <w:rPr>
                <w:b/>
                <w:bCs/>
                <w:color w:val="000000"/>
                <w:sz w:val="20"/>
                <w:szCs w:val="20"/>
                <w:lang w:eastAsia="zh-CN"/>
              </w:rPr>
              <w:t>etric tonnes</w:t>
            </w:r>
            <w:r w:rsidRPr="003D7B10">
              <w:rPr>
                <w:b/>
                <w:bCs/>
                <w:color w:val="000000"/>
                <w:sz w:val="20"/>
                <w:szCs w:val="20"/>
                <w:lang w:eastAsia="zh-CN"/>
              </w:rPr>
              <w:t>)</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BF4969">
            <w:pPr>
              <w:jc w:val="center"/>
              <w:rPr>
                <w:b/>
                <w:bCs/>
                <w:color w:val="000000"/>
                <w:sz w:val="20"/>
                <w:szCs w:val="20"/>
                <w:lang w:eastAsia="zh-CN"/>
              </w:rPr>
            </w:pPr>
            <w:r w:rsidRPr="003D7B10">
              <w:rPr>
                <w:b/>
                <w:bCs/>
                <w:color w:val="000000"/>
                <w:sz w:val="20"/>
                <w:szCs w:val="20"/>
                <w:lang w:eastAsia="zh-CN"/>
              </w:rPr>
              <w:t>2009 (M</w:t>
            </w:r>
            <w:r w:rsidR="00BF4969" w:rsidRPr="003D7B10">
              <w:rPr>
                <w:b/>
                <w:bCs/>
                <w:color w:val="000000"/>
                <w:sz w:val="20"/>
                <w:szCs w:val="20"/>
                <w:lang w:eastAsia="zh-CN"/>
              </w:rPr>
              <w:t>etric tonnes</w:t>
            </w:r>
            <w:r w:rsidRPr="003D7B10">
              <w:rPr>
                <w:b/>
                <w:bCs/>
                <w:color w:val="000000"/>
                <w:sz w:val="20"/>
                <w:szCs w:val="20"/>
                <w:lang w:eastAsia="zh-CN"/>
              </w:rPr>
              <w:t>)</w:t>
            </w:r>
          </w:p>
        </w:tc>
        <w:tc>
          <w:tcPr>
            <w:tcW w:w="700" w:type="dxa"/>
            <w:tcBorders>
              <w:top w:val="nil"/>
              <w:left w:val="nil"/>
              <w:bottom w:val="single" w:sz="4" w:space="0" w:color="auto"/>
              <w:right w:val="single" w:sz="4" w:space="0" w:color="auto"/>
            </w:tcBorders>
            <w:shd w:val="clear" w:color="auto" w:fill="auto"/>
            <w:hideMark/>
          </w:tcPr>
          <w:p w:rsidR="00D25E03" w:rsidRPr="003D7B10" w:rsidRDefault="00BF4969" w:rsidP="00E60075">
            <w:pPr>
              <w:jc w:val="center"/>
              <w:rPr>
                <w:b/>
                <w:bCs/>
                <w:color w:val="000000"/>
                <w:sz w:val="20"/>
                <w:szCs w:val="20"/>
                <w:lang w:eastAsia="zh-CN"/>
              </w:rPr>
            </w:pPr>
            <w:r w:rsidRPr="003D7B10">
              <w:rPr>
                <w:b/>
                <w:bCs/>
                <w:color w:val="000000"/>
                <w:sz w:val="20"/>
                <w:szCs w:val="20"/>
                <w:lang w:eastAsia="zh-CN"/>
              </w:rPr>
              <w:t>20</w:t>
            </w:r>
            <w:r w:rsidR="00E60075" w:rsidRPr="003D7B10">
              <w:rPr>
                <w:b/>
                <w:bCs/>
                <w:color w:val="000000"/>
                <w:sz w:val="20"/>
                <w:szCs w:val="20"/>
                <w:lang w:eastAsia="zh-CN"/>
              </w:rPr>
              <w:t>09</w:t>
            </w:r>
            <w:r w:rsidRPr="003D7B10">
              <w:rPr>
                <w:b/>
                <w:bCs/>
                <w:color w:val="000000"/>
                <w:sz w:val="20"/>
                <w:szCs w:val="20"/>
                <w:lang w:eastAsia="zh-CN"/>
              </w:rPr>
              <w:t xml:space="preserve"> (ODP tonnes</w:t>
            </w:r>
            <w:r w:rsidR="00D25E03" w:rsidRPr="003D7B10">
              <w:rPr>
                <w:b/>
                <w:bCs/>
                <w:color w:val="000000"/>
                <w:sz w:val="20"/>
                <w:szCs w:val="20"/>
                <w:lang w:eastAsia="zh-CN"/>
              </w:rPr>
              <w:t>)</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center"/>
              <w:rPr>
                <w:b/>
                <w:bCs/>
                <w:color w:val="000000"/>
                <w:sz w:val="20"/>
                <w:szCs w:val="20"/>
                <w:lang w:eastAsia="zh-CN"/>
              </w:rPr>
            </w:pPr>
            <w:r w:rsidRPr="003D7B10">
              <w:rPr>
                <w:b/>
                <w:bCs/>
                <w:color w:val="000000"/>
                <w:sz w:val="20"/>
                <w:szCs w:val="20"/>
                <w:lang w:eastAsia="zh-CN"/>
              </w:rPr>
              <w:t>2003</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center"/>
              <w:rPr>
                <w:b/>
                <w:bCs/>
                <w:color w:val="000000"/>
                <w:sz w:val="20"/>
                <w:szCs w:val="20"/>
                <w:lang w:eastAsia="zh-CN"/>
              </w:rPr>
            </w:pPr>
            <w:r w:rsidRPr="003D7B10">
              <w:rPr>
                <w:b/>
                <w:bCs/>
                <w:color w:val="000000"/>
                <w:sz w:val="20"/>
                <w:szCs w:val="20"/>
                <w:lang w:eastAsia="zh-CN"/>
              </w:rPr>
              <w:t>20</w:t>
            </w:r>
            <w:r w:rsidR="00E60075" w:rsidRPr="003D7B10">
              <w:rPr>
                <w:b/>
                <w:bCs/>
                <w:color w:val="000000"/>
                <w:sz w:val="20"/>
                <w:szCs w:val="20"/>
                <w:lang w:eastAsia="zh-CN"/>
              </w:rPr>
              <w:t>09</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center"/>
              <w:rPr>
                <w:b/>
                <w:bCs/>
                <w:color w:val="000000"/>
                <w:sz w:val="20"/>
                <w:szCs w:val="20"/>
                <w:lang w:eastAsia="zh-CN"/>
              </w:rPr>
            </w:pPr>
            <w:r w:rsidRPr="003D7B10">
              <w:rPr>
                <w:b/>
                <w:bCs/>
                <w:color w:val="000000"/>
                <w:sz w:val="20"/>
                <w:szCs w:val="20"/>
                <w:lang w:eastAsia="zh-CN"/>
              </w:rPr>
              <w:t>(2009 and 2010)</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center"/>
              <w:rPr>
                <w:b/>
                <w:bCs/>
                <w:color w:val="000000"/>
                <w:sz w:val="20"/>
                <w:szCs w:val="20"/>
                <w:lang w:eastAsia="zh-CN"/>
              </w:rPr>
            </w:pPr>
            <w:r w:rsidRPr="003D7B10">
              <w:rPr>
                <w:b/>
                <w:bCs/>
                <w:color w:val="000000"/>
                <w:sz w:val="20"/>
                <w:szCs w:val="20"/>
                <w:lang w:eastAsia="zh-CN"/>
              </w:rPr>
              <w:t>(2003 to 2010)</w:t>
            </w:r>
          </w:p>
        </w:tc>
      </w:tr>
      <w:tr w:rsidR="00D25E03" w:rsidRPr="003D7B10" w:rsidTr="00D25E03">
        <w:trPr>
          <w:trHeight w:val="765"/>
        </w:trPr>
        <w:tc>
          <w:tcPr>
            <w:tcW w:w="1179" w:type="dxa"/>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Cyclodime</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152.85</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70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9</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No new information provided.</w:t>
            </w:r>
          </w:p>
        </w:tc>
        <w:tc>
          <w:tcPr>
            <w:tcW w:w="2651" w:type="dxa"/>
            <w:tcBorders>
              <w:top w:val="nil"/>
              <w:left w:val="nil"/>
              <w:bottom w:val="single" w:sz="4" w:space="0" w:color="auto"/>
              <w:right w:val="single" w:sz="4" w:space="0" w:color="auto"/>
            </w:tcBorders>
            <w:shd w:val="clear" w:color="000000" w:fill="FFFFFF"/>
            <w:hideMark/>
          </w:tcPr>
          <w:p w:rsidR="00D25E03" w:rsidRPr="003D7B10" w:rsidRDefault="00D25E03" w:rsidP="00D25E03">
            <w:pPr>
              <w:jc w:val="left"/>
              <w:rPr>
                <w:color w:val="000000"/>
                <w:sz w:val="20"/>
                <w:szCs w:val="20"/>
                <w:lang w:eastAsia="zh-CN"/>
              </w:rPr>
            </w:pPr>
            <w:r w:rsidRPr="003D7B10">
              <w:rPr>
                <w:color w:val="000000"/>
                <w:sz w:val="20"/>
                <w:szCs w:val="20"/>
                <w:lang w:eastAsia="zh-CN"/>
              </w:rPr>
              <w:t>All 9 plants have closed. No CTC production was reported in 2008 and 2009.</w:t>
            </w:r>
          </w:p>
        </w:tc>
      </w:tr>
      <w:tr w:rsidR="00D25E03" w:rsidRPr="003D7B10" w:rsidTr="00D25E03">
        <w:trPr>
          <w:trHeight w:val="1605"/>
        </w:trPr>
        <w:tc>
          <w:tcPr>
            <w:tcW w:w="1179" w:type="dxa"/>
            <w:vMerge w:val="restart"/>
            <w:tcBorders>
              <w:top w:val="nil"/>
              <w:left w:val="single" w:sz="4" w:space="0" w:color="auto"/>
              <w:bottom w:val="single" w:sz="4" w:space="0" w:color="auto"/>
              <w:right w:val="single" w:sz="4" w:space="0" w:color="auto"/>
            </w:tcBorders>
            <w:shd w:val="clear" w:color="000000" w:fill="FFFFFF"/>
            <w:hideMark/>
          </w:tcPr>
          <w:p w:rsidR="00D25E03" w:rsidRPr="003D7B10" w:rsidRDefault="00D25E03" w:rsidP="00D25E03">
            <w:pPr>
              <w:jc w:val="left"/>
              <w:rPr>
                <w:color w:val="000000"/>
                <w:sz w:val="20"/>
                <w:szCs w:val="20"/>
                <w:lang w:eastAsia="zh-CN"/>
              </w:rPr>
            </w:pPr>
            <w:r w:rsidRPr="003D7B10">
              <w:rPr>
                <w:color w:val="000000"/>
                <w:sz w:val="20"/>
                <w:szCs w:val="20"/>
                <w:lang w:eastAsia="zh-CN"/>
              </w:rPr>
              <w:t>CPP/CEVA</w:t>
            </w:r>
          </w:p>
        </w:tc>
        <w:tc>
          <w:tcPr>
            <w:tcW w:w="71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2,730.40</w:t>
            </w:r>
          </w:p>
        </w:tc>
        <w:tc>
          <w:tcPr>
            <w:tcW w:w="71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2,060.67</w:t>
            </w:r>
          </w:p>
        </w:tc>
        <w:tc>
          <w:tcPr>
            <w:tcW w:w="70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2</w:t>
            </w:r>
            <w:r w:rsidR="001E378E" w:rsidRPr="003D7B10">
              <w:rPr>
                <w:color w:val="000000"/>
                <w:sz w:val="20"/>
                <w:szCs w:val="20"/>
                <w:lang w:eastAsia="zh-CN"/>
              </w:rPr>
              <w:t>,</w:t>
            </w:r>
            <w:r w:rsidRPr="003D7B10">
              <w:rPr>
                <w:color w:val="000000"/>
                <w:sz w:val="20"/>
                <w:szCs w:val="20"/>
                <w:lang w:eastAsia="zh-CN"/>
              </w:rPr>
              <w:t>266.74</w:t>
            </w:r>
          </w:p>
        </w:tc>
        <w:tc>
          <w:tcPr>
            <w:tcW w:w="69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18</w:t>
            </w:r>
          </w:p>
        </w:tc>
        <w:tc>
          <w:tcPr>
            <w:tcW w:w="69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3</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1 line was closed and dismantled. 1 line should have been closed 01/2010, but was operating in 03/2010 during verification, intended to close after stock finishes, approximately 06/2010.</w:t>
            </w:r>
          </w:p>
        </w:tc>
        <w:tc>
          <w:tcPr>
            <w:tcW w:w="2651" w:type="dxa"/>
            <w:tcBorders>
              <w:top w:val="nil"/>
              <w:left w:val="nil"/>
              <w:bottom w:val="single" w:sz="4" w:space="0" w:color="auto"/>
              <w:right w:val="single" w:sz="4" w:space="0" w:color="auto"/>
            </w:tcBorders>
            <w:shd w:val="clear" w:color="000000" w:fill="FFFFFF"/>
            <w:hideMark/>
          </w:tcPr>
          <w:p w:rsidR="00D25E03" w:rsidRPr="003D7B10" w:rsidRDefault="00D25E03" w:rsidP="00D25E03">
            <w:pPr>
              <w:jc w:val="left"/>
              <w:rPr>
                <w:color w:val="000000"/>
                <w:sz w:val="20"/>
                <w:szCs w:val="20"/>
                <w:lang w:eastAsia="zh-CN"/>
              </w:rPr>
            </w:pPr>
            <w:r w:rsidRPr="003D7B10">
              <w:rPr>
                <w:color w:val="000000"/>
                <w:sz w:val="20"/>
                <w:szCs w:val="20"/>
                <w:lang w:eastAsia="zh-CN"/>
              </w:rPr>
              <w:t>14 lines closed and dismantled. 1 additional line supposedly closed; was still operating in 03/2010.</w:t>
            </w:r>
          </w:p>
        </w:tc>
      </w:tr>
      <w:tr w:rsidR="00D25E03" w:rsidRPr="003D7B10" w:rsidTr="00D25E03">
        <w:trPr>
          <w:trHeight w:val="810"/>
        </w:trPr>
        <w:tc>
          <w:tcPr>
            <w:tcW w:w="117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0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 xml:space="preserve">2 lines were closed and are waiting to be converted to non-ODS technology. </w:t>
            </w:r>
          </w:p>
        </w:tc>
        <w:tc>
          <w:tcPr>
            <w:tcW w:w="2651" w:type="dxa"/>
            <w:tcBorders>
              <w:top w:val="nil"/>
              <w:left w:val="nil"/>
              <w:bottom w:val="single" w:sz="4" w:space="0" w:color="auto"/>
              <w:right w:val="single" w:sz="4" w:space="0" w:color="auto"/>
            </w:tcBorders>
            <w:shd w:val="clear" w:color="000000" w:fill="FFFFFF"/>
            <w:hideMark/>
          </w:tcPr>
          <w:p w:rsidR="00D25E03" w:rsidRPr="003D7B10" w:rsidRDefault="00D25E03" w:rsidP="00D25E03">
            <w:pPr>
              <w:jc w:val="left"/>
              <w:rPr>
                <w:color w:val="000000"/>
                <w:sz w:val="20"/>
                <w:szCs w:val="20"/>
                <w:lang w:eastAsia="zh-CN"/>
              </w:rPr>
            </w:pPr>
            <w:r w:rsidRPr="003D7B10">
              <w:rPr>
                <w:color w:val="000000"/>
                <w:sz w:val="20"/>
                <w:szCs w:val="20"/>
                <w:lang w:eastAsia="zh-CN"/>
              </w:rPr>
              <w:t xml:space="preserve">2 lines to be converted to non-ODS technology. </w:t>
            </w:r>
          </w:p>
        </w:tc>
      </w:tr>
      <w:tr w:rsidR="00D25E03" w:rsidRPr="003D7B10" w:rsidTr="00D25E03">
        <w:trPr>
          <w:trHeight w:val="795"/>
        </w:trPr>
        <w:tc>
          <w:tcPr>
            <w:tcW w:w="117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0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1 line was configured into 3 lines in 2009 which are all in operation.</w:t>
            </w:r>
          </w:p>
        </w:tc>
        <w:tc>
          <w:tcPr>
            <w:tcW w:w="2651" w:type="dxa"/>
            <w:tcBorders>
              <w:top w:val="nil"/>
              <w:left w:val="nil"/>
              <w:bottom w:val="single" w:sz="4" w:space="0" w:color="auto"/>
              <w:right w:val="single" w:sz="4" w:space="0" w:color="auto"/>
            </w:tcBorders>
            <w:shd w:val="clear" w:color="000000" w:fill="FFFFFF"/>
            <w:hideMark/>
          </w:tcPr>
          <w:p w:rsidR="00D25E03" w:rsidRPr="003D7B10" w:rsidRDefault="00D25E03" w:rsidP="00D25E03">
            <w:pPr>
              <w:jc w:val="left"/>
              <w:rPr>
                <w:color w:val="000000"/>
                <w:sz w:val="20"/>
                <w:szCs w:val="20"/>
                <w:lang w:eastAsia="zh-CN"/>
              </w:rPr>
            </w:pPr>
            <w:r w:rsidRPr="003D7B10">
              <w:rPr>
                <w:color w:val="000000"/>
                <w:sz w:val="20"/>
                <w:szCs w:val="20"/>
                <w:lang w:eastAsia="zh-CN"/>
              </w:rPr>
              <w:t>1 line was configured into 3 lines, all of them are in operation.</w:t>
            </w:r>
          </w:p>
        </w:tc>
      </w:tr>
      <w:tr w:rsidR="00D25E03" w:rsidRPr="003D7B10" w:rsidTr="00D25E03">
        <w:trPr>
          <w:trHeight w:val="1095"/>
        </w:trPr>
        <w:tc>
          <w:tcPr>
            <w:tcW w:w="1179" w:type="dxa"/>
            <w:vMerge w:val="restart"/>
            <w:tcBorders>
              <w:top w:val="nil"/>
              <w:left w:val="single" w:sz="4" w:space="0" w:color="auto"/>
              <w:bottom w:val="single" w:sz="4" w:space="0" w:color="auto"/>
              <w:right w:val="single" w:sz="4" w:space="0" w:color="auto"/>
            </w:tcBorders>
            <w:shd w:val="clear" w:color="000000" w:fill="FFFFFF"/>
            <w:hideMark/>
          </w:tcPr>
          <w:p w:rsidR="00D25E03" w:rsidRPr="003D7B10" w:rsidRDefault="00D25E03" w:rsidP="00D25E03">
            <w:pPr>
              <w:jc w:val="left"/>
              <w:rPr>
                <w:color w:val="000000"/>
                <w:sz w:val="20"/>
                <w:szCs w:val="20"/>
                <w:lang w:eastAsia="zh-CN"/>
              </w:rPr>
            </w:pPr>
            <w:r w:rsidRPr="003D7B10">
              <w:rPr>
                <w:color w:val="000000"/>
                <w:sz w:val="20"/>
                <w:szCs w:val="20"/>
                <w:lang w:eastAsia="zh-CN"/>
              </w:rPr>
              <w:t>MIC</w:t>
            </w:r>
          </w:p>
        </w:tc>
        <w:tc>
          <w:tcPr>
            <w:tcW w:w="71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574.54</w:t>
            </w:r>
          </w:p>
        </w:tc>
        <w:tc>
          <w:tcPr>
            <w:tcW w:w="71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697.70</w:t>
            </w:r>
          </w:p>
        </w:tc>
        <w:tc>
          <w:tcPr>
            <w:tcW w:w="700" w:type="dxa"/>
            <w:vMerge w:val="restart"/>
            <w:tcBorders>
              <w:top w:val="nil"/>
              <w:left w:val="single" w:sz="4" w:space="0" w:color="auto"/>
              <w:bottom w:val="single" w:sz="4" w:space="0" w:color="auto"/>
              <w:right w:val="single" w:sz="4" w:space="0" w:color="auto"/>
            </w:tcBorders>
            <w:shd w:val="clear" w:color="auto" w:fill="auto"/>
            <w:hideMark/>
          </w:tcPr>
          <w:p w:rsidR="00B40A2E" w:rsidRPr="003D7B10" w:rsidRDefault="00B40A2E" w:rsidP="00B40A2E">
            <w:pPr>
              <w:jc w:val="right"/>
              <w:rPr>
                <w:color w:val="000000"/>
                <w:sz w:val="20"/>
                <w:szCs w:val="20"/>
                <w:lang w:eastAsia="zh-CN"/>
              </w:rPr>
            </w:pPr>
            <w:r w:rsidRPr="003D7B10">
              <w:rPr>
                <w:color w:val="000000"/>
                <w:sz w:val="20"/>
                <w:szCs w:val="20"/>
                <w:lang w:eastAsia="zh-CN"/>
              </w:rPr>
              <w:t>767.47</w:t>
            </w:r>
          </w:p>
        </w:tc>
        <w:tc>
          <w:tcPr>
            <w:tcW w:w="69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8</w:t>
            </w:r>
          </w:p>
        </w:tc>
        <w:tc>
          <w:tcPr>
            <w:tcW w:w="69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3</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3 lines were closed and dismantled in 2009, 1 line was converted to non-ODS technology.</w:t>
            </w:r>
          </w:p>
        </w:tc>
        <w:tc>
          <w:tcPr>
            <w:tcW w:w="2651"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4 lines were closed and dismantled. 1 line was converted to non-ODS technology.</w:t>
            </w:r>
          </w:p>
        </w:tc>
      </w:tr>
      <w:tr w:rsidR="00D25E03" w:rsidRPr="003D7B10" w:rsidTr="00D25E03">
        <w:trPr>
          <w:trHeight w:val="795"/>
        </w:trPr>
        <w:tc>
          <w:tcPr>
            <w:tcW w:w="117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0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3 lines are in operation, contracts have been signed to phase out CTC in 12/2010.</w:t>
            </w:r>
          </w:p>
        </w:tc>
        <w:tc>
          <w:tcPr>
            <w:tcW w:w="2651"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r>
      <w:tr w:rsidR="00D25E03" w:rsidRPr="003D7B10" w:rsidTr="00D25E03">
        <w:trPr>
          <w:trHeight w:val="1080"/>
        </w:trPr>
        <w:tc>
          <w:tcPr>
            <w:tcW w:w="1179" w:type="dxa"/>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lastRenderedPageBreak/>
              <w:t>MPB</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679.95</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70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3</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Jintan Huasheng was closed and dismantled in November 2008 after stock run out, no activities reported in 2009 and 2010.</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1 line was converted and 2 lines were closed and dismantled.</w:t>
            </w:r>
          </w:p>
        </w:tc>
      </w:tr>
      <w:tr w:rsidR="00D25E03" w:rsidRPr="003D7B10" w:rsidTr="00D25E03">
        <w:trPr>
          <w:trHeight w:val="750"/>
        </w:trPr>
        <w:tc>
          <w:tcPr>
            <w:tcW w:w="117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Imidacloprid/ Mospilam</w:t>
            </w:r>
          </w:p>
        </w:tc>
        <w:tc>
          <w:tcPr>
            <w:tcW w:w="71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264.81</w:t>
            </w:r>
          </w:p>
        </w:tc>
        <w:tc>
          <w:tcPr>
            <w:tcW w:w="71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108.65</w:t>
            </w:r>
          </w:p>
        </w:tc>
        <w:tc>
          <w:tcPr>
            <w:tcW w:w="70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B40A2E" w:rsidP="00D25E03">
            <w:pPr>
              <w:jc w:val="right"/>
              <w:rPr>
                <w:color w:val="000000"/>
                <w:sz w:val="20"/>
                <w:szCs w:val="20"/>
                <w:lang w:eastAsia="zh-CN"/>
              </w:rPr>
            </w:pPr>
            <w:r w:rsidRPr="003D7B10">
              <w:rPr>
                <w:color w:val="000000"/>
                <w:sz w:val="20"/>
                <w:szCs w:val="20"/>
                <w:lang w:eastAsia="zh-CN"/>
              </w:rPr>
              <w:t>119.52</w:t>
            </w:r>
          </w:p>
        </w:tc>
        <w:tc>
          <w:tcPr>
            <w:tcW w:w="69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4</w:t>
            </w:r>
          </w:p>
        </w:tc>
        <w:tc>
          <w:tcPr>
            <w:tcW w:w="69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2792"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1 line was closed in 2009 and converted to non-ODS in Jan 2010; no line is in operation now.</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 xml:space="preserve">2 lines were converted. </w:t>
            </w:r>
          </w:p>
        </w:tc>
      </w:tr>
      <w:tr w:rsidR="00D25E03" w:rsidRPr="003D7B10" w:rsidTr="00D25E03">
        <w:trPr>
          <w:trHeight w:val="570"/>
        </w:trPr>
        <w:tc>
          <w:tcPr>
            <w:tcW w:w="117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0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2792"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2 lines were closed and dismantled.</w:t>
            </w:r>
          </w:p>
        </w:tc>
      </w:tr>
      <w:tr w:rsidR="00D25E03" w:rsidRPr="003D7B10" w:rsidTr="00D25E03">
        <w:trPr>
          <w:trHeight w:val="510"/>
        </w:trPr>
        <w:tc>
          <w:tcPr>
            <w:tcW w:w="1179" w:type="dxa"/>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Buprofenzin</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316.87</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81.60</w:t>
            </w:r>
          </w:p>
        </w:tc>
        <w:tc>
          <w:tcPr>
            <w:tcW w:w="70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89.76</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3</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2 lines were closed and dismantled.</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All production lines are closed and dismantled.</w:t>
            </w:r>
          </w:p>
        </w:tc>
      </w:tr>
      <w:tr w:rsidR="00D25E03" w:rsidRPr="003D7B10" w:rsidTr="00D25E03">
        <w:trPr>
          <w:trHeight w:val="525"/>
        </w:trPr>
        <w:tc>
          <w:tcPr>
            <w:tcW w:w="117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Oxadiazon</w:t>
            </w:r>
          </w:p>
        </w:tc>
        <w:tc>
          <w:tcPr>
            <w:tcW w:w="71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57</w:t>
            </w:r>
          </w:p>
        </w:tc>
        <w:tc>
          <w:tcPr>
            <w:tcW w:w="71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700"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69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3</w:t>
            </w:r>
          </w:p>
        </w:tc>
        <w:tc>
          <w:tcPr>
            <w:tcW w:w="699"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2792" w:type="dxa"/>
            <w:vMerge w:val="restart"/>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No activities reported and status information provided.</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1 line was closed due to bankruptcy.</w:t>
            </w:r>
          </w:p>
        </w:tc>
      </w:tr>
      <w:tr w:rsidR="00D25E03" w:rsidRPr="003D7B10" w:rsidTr="00D25E03">
        <w:trPr>
          <w:trHeight w:val="510"/>
        </w:trPr>
        <w:tc>
          <w:tcPr>
            <w:tcW w:w="117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1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700"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699"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2792" w:type="dxa"/>
            <w:vMerge/>
            <w:tcBorders>
              <w:top w:val="nil"/>
              <w:left w:val="single" w:sz="4" w:space="0" w:color="auto"/>
              <w:bottom w:val="single" w:sz="4" w:space="0" w:color="auto"/>
              <w:right w:val="single" w:sz="4" w:space="0" w:color="auto"/>
            </w:tcBorders>
            <w:vAlign w:val="center"/>
            <w:hideMark/>
          </w:tcPr>
          <w:p w:rsidR="00D25E03" w:rsidRPr="003D7B10" w:rsidRDefault="00D25E03" w:rsidP="00D25E03">
            <w:pPr>
              <w:jc w:val="left"/>
              <w:rPr>
                <w:color w:val="000000"/>
                <w:sz w:val="20"/>
                <w:szCs w:val="20"/>
                <w:lang w:eastAsia="zh-CN"/>
              </w:rPr>
            </w:pP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2 lines were closed and dismantled.</w:t>
            </w:r>
          </w:p>
        </w:tc>
      </w:tr>
      <w:tr w:rsidR="00D25E03" w:rsidRPr="003D7B10" w:rsidTr="00D25E03">
        <w:trPr>
          <w:trHeight w:val="675"/>
        </w:trPr>
        <w:tc>
          <w:tcPr>
            <w:tcW w:w="1179" w:type="dxa"/>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CNMA</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136.12</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499.05</w:t>
            </w:r>
          </w:p>
        </w:tc>
        <w:tc>
          <w:tcPr>
            <w:tcW w:w="70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548.96</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1</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1 line was shut and converted in 2009.</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1 line was closed and converted to non-ODS technology.</w:t>
            </w:r>
          </w:p>
        </w:tc>
      </w:tr>
      <w:tr w:rsidR="00D25E03" w:rsidRPr="003D7B10" w:rsidTr="00D25E03">
        <w:trPr>
          <w:trHeight w:val="540"/>
        </w:trPr>
        <w:tc>
          <w:tcPr>
            <w:tcW w:w="1179" w:type="dxa"/>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Mefenacet</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6.93</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70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2</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No activities were reported and status information provided.</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1 line was converted and the other was dismantled.</w:t>
            </w:r>
          </w:p>
        </w:tc>
      </w:tr>
      <w:tr w:rsidR="00D25E03" w:rsidRPr="003D7B10" w:rsidTr="00D25E03">
        <w:trPr>
          <w:trHeight w:val="570"/>
        </w:trPr>
        <w:tc>
          <w:tcPr>
            <w:tcW w:w="1179" w:type="dxa"/>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DCBT</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70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No activities reported and status information provided.</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No activities and status information provided.</w:t>
            </w:r>
          </w:p>
        </w:tc>
      </w:tr>
      <w:tr w:rsidR="00D25E03" w:rsidRPr="003D7B10" w:rsidTr="00D25E03">
        <w:trPr>
          <w:trHeight w:val="540"/>
        </w:trPr>
        <w:tc>
          <w:tcPr>
            <w:tcW w:w="1179" w:type="dxa"/>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Chlordane/ Mirex</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N/A</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70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0.00</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2</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0</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No CTC use was reported in 2009.</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Both enterprises signed contracts with MEP to dismantle the equipment in 2009.</w:t>
            </w:r>
          </w:p>
        </w:tc>
      </w:tr>
      <w:tr w:rsidR="00D25E03" w:rsidRPr="003D7B10" w:rsidTr="00D25E03">
        <w:trPr>
          <w:trHeight w:val="300"/>
        </w:trPr>
        <w:tc>
          <w:tcPr>
            <w:tcW w:w="1179" w:type="dxa"/>
            <w:tcBorders>
              <w:top w:val="nil"/>
              <w:left w:val="single" w:sz="4" w:space="0" w:color="auto"/>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Total</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4,919.47</w:t>
            </w:r>
          </w:p>
        </w:tc>
        <w:tc>
          <w:tcPr>
            <w:tcW w:w="71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3,447.67</w:t>
            </w:r>
          </w:p>
        </w:tc>
        <w:tc>
          <w:tcPr>
            <w:tcW w:w="700"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3</w:t>
            </w:r>
            <w:r w:rsidR="00BF4969" w:rsidRPr="003D7B10">
              <w:rPr>
                <w:color w:val="000000"/>
                <w:sz w:val="20"/>
                <w:szCs w:val="20"/>
                <w:lang w:eastAsia="zh-CN"/>
              </w:rPr>
              <w:t>,</w:t>
            </w:r>
            <w:r w:rsidRPr="003D7B10">
              <w:rPr>
                <w:color w:val="000000"/>
                <w:sz w:val="20"/>
                <w:szCs w:val="20"/>
                <w:lang w:eastAsia="zh-CN"/>
              </w:rPr>
              <w:t>792.44</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53</w:t>
            </w:r>
          </w:p>
        </w:tc>
        <w:tc>
          <w:tcPr>
            <w:tcW w:w="699"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right"/>
              <w:rPr>
                <w:color w:val="000000"/>
                <w:sz w:val="20"/>
                <w:szCs w:val="20"/>
                <w:lang w:eastAsia="zh-CN"/>
              </w:rPr>
            </w:pPr>
            <w:r w:rsidRPr="003D7B10">
              <w:rPr>
                <w:color w:val="000000"/>
                <w:sz w:val="20"/>
                <w:szCs w:val="20"/>
                <w:lang w:eastAsia="zh-CN"/>
              </w:rPr>
              <w:t>6</w:t>
            </w:r>
          </w:p>
        </w:tc>
        <w:tc>
          <w:tcPr>
            <w:tcW w:w="2792" w:type="dxa"/>
            <w:tcBorders>
              <w:top w:val="nil"/>
              <w:left w:val="nil"/>
              <w:bottom w:val="single" w:sz="4" w:space="0" w:color="auto"/>
              <w:right w:val="single" w:sz="4" w:space="0" w:color="auto"/>
            </w:tcBorders>
            <w:shd w:val="clear" w:color="auto" w:fill="auto"/>
            <w:hideMark/>
          </w:tcPr>
          <w:p w:rsidR="00D25E03" w:rsidRPr="003D7B10" w:rsidRDefault="00D25E03" w:rsidP="00D25E03">
            <w:pPr>
              <w:jc w:val="left"/>
              <w:rPr>
                <w:color w:val="000000"/>
                <w:sz w:val="20"/>
                <w:szCs w:val="20"/>
                <w:lang w:eastAsia="zh-CN"/>
              </w:rPr>
            </w:pPr>
            <w:r w:rsidRPr="003D7B10">
              <w:rPr>
                <w:color w:val="000000"/>
                <w:sz w:val="20"/>
                <w:szCs w:val="20"/>
                <w:lang w:eastAsia="zh-CN"/>
              </w:rPr>
              <w:t> </w:t>
            </w:r>
          </w:p>
        </w:tc>
        <w:tc>
          <w:tcPr>
            <w:tcW w:w="2651" w:type="dxa"/>
            <w:tcBorders>
              <w:top w:val="nil"/>
              <w:left w:val="nil"/>
              <w:bottom w:val="single" w:sz="4" w:space="0" w:color="auto"/>
              <w:right w:val="single" w:sz="4" w:space="0" w:color="auto"/>
            </w:tcBorders>
            <w:shd w:val="clear" w:color="auto" w:fill="auto"/>
            <w:hideMark/>
          </w:tcPr>
          <w:p w:rsidR="00D25E03" w:rsidRPr="003D7B10" w:rsidRDefault="00D25E03" w:rsidP="00D25E03">
            <w:pPr>
              <w:rPr>
                <w:color w:val="000000"/>
                <w:sz w:val="20"/>
                <w:szCs w:val="20"/>
                <w:lang w:eastAsia="zh-CN"/>
              </w:rPr>
            </w:pPr>
            <w:r w:rsidRPr="003D7B10">
              <w:rPr>
                <w:color w:val="000000"/>
                <w:sz w:val="20"/>
                <w:szCs w:val="20"/>
                <w:lang w:eastAsia="zh-CN"/>
              </w:rPr>
              <w:t> </w:t>
            </w:r>
          </w:p>
        </w:tc>
      </w:tr>
    </w:tbl>
    <w:p w:rsidR="00D25E03" w:rsidRPr="003D7B10" w:rsidRDefault="00D25E03" w:rsidP="00657949">
      <w:pPr>
        <w:keepNext/>
        <w:keepLines/>
        <w:jc w:val="center"/>
        <w:rPr>
          <w:u w:val="single"/>
        </w:rPr>
      </w:pPr>
    </w:p>
    <w:p w:rsidR="00D25E03" w:rsidRPr="003D7B10" w:rsidRDefault="00D25E03" w:rsidP="00657949">
      <w:pPr>
        <w:keepNext/>
        <w:keepLines/>
        <w:jc w:val="center"/>
        <w:rPr>
          <w:u w:val="single"/>
        </w:rPr>
      </w:pPr>
    </w:p>
    <w:p w:rsidR="003B6556" w:rsidRPr="003D7B10" w:rsidRDefault="003B6556" w:rsidP="003B6556">
      <w:pPr>
        <w:pStyle w:val="Heading1"/>
      </w:pPr>
      <w:r w:rsidRPr="003D7B10">
        <w:t xml:space="preserve">The strategy to achieve the necessary reductions in consumption </w:t>
      </w:r>
      <w:r w:rsidR="005F2C43" w:rsidRPr="003D7B10">
        <w:t>during 2008 to 2010</w:t>
      </w:r>
      <w:r w:rsidRPr="003D7B10">
        <w:t xml:space="preserve"> continues to be predominantly conversion to non-ODS technology or plant closure. China has undertaken initiatives to develop non-ODS substitutes to phase out CTC. In 2008, one CPP and one MPB production line were shut down and dismantled. </w:t>
      </w:r>
      <w:r w:rsidR="005F2C43" w:rsidRPr="003D7B10">
        <w:t>Subsequently</w:t>
      </w:r>
      <w:r w:rsidRPr="003D7B10">
        <w:t xml:space="preserve"> a new CPP production line</w:t>
      </w:r>
      <w:r w:rsidR="00817C78" w:rsidRPr="003D7B10">
        <w:t xml:space="preserve"> </w:t>
      </w:r>
      <w:r w:rsidR="00B40A2E" w:rsidRPr="003D7B10">
        <w:t>was</w:t>
      </w:r>
      <w:r w:rsidRPr="003D7B10">
        <w:t xml:space="preserve"> being built using non-ODS technology. Eight contracts were signed with enterprises to phase out CTC. According to the progress report by the World Bank, in 2009, another </w:t>
      </w:r>
      <w:r w:rsidR="00776B12" w:rsidRPr="003D7B10">
        <w:t>nine</w:t>
      </w:r>
      <w:r w:rsidRPr="003D7B10">
        <w:t xml:space="preserve"> contracts were signed and two MIC production lines and one Buprofenzin production line in Jiangsu Changlong were planned to be discontinued and replaced with non-ODS technology.  </w:t>
      </w:r>
    </w:p>
    <w:p w:rsidR="003B6556" w:rsidRPr="003D7B10" w:rsidRDefault="003B6556" w:rsidP="003B6556">
      <w:pPr>
        <w:pStyle w:val="Heading1"/>
      </w:pPr>
      <w:r w:rsidRPr="003D7B10">
        <w:t xml:space="preserve">Subsequent to the results of </w:t>
      </w:r>
      <w:r w:rsidR="00CD1D87" w:rsidRPr="003D7B10">
        <w:t xml:space="preserve">a </w:t>
      </w:r>
      <w:r w:rsidRPr="003D7B10">
        <w:t xml:space="preserve">survey of consumption in 2006 for those process agent applications listed under Table A-bis of </w:t>
      </w:r>
      <w:r w:rsidR="00C274ED" w:rsidRPr="003D7B10">
        <w:t>decision </w:t>
      </w:r>
      <w:r w:rsidRPr="003D7B10">
        <w:t xml:space="preserve">XVII/8 and any other applications which were not identified at the time of the approval of Phase II, the Executive Committee agreed in </w:t>
      </w:r>
      <w:r w:rsidR="00C274ED" w:rsidRPr="003D7B10">
        <w:t>decision </w:t>
      </w:r>
      <w:r w:rsidRPr="003D7B10">
        <w:t>52/32 to reduce the national annual CTC consumption control target for all process agent applications other than the applications listed in Phase</w:t>
      </w:r>
      <w:r w:rsidR="00776B12" w:rsidRPr="003D7B10">
        <w:t>s </w:t>
      </w:r>
      <w:r w:rsidRPr="003D7B10">
        <w:t>I and II, from 14,300</w:t>
      </w:r>
      <w:r w:rsidR="00C274ED" w:rsidRPr="003D7B10">
        <w:t> ODP</w:t>
      </w:r>
      <w:r w:rsidRPr="003D7B10">
        <w:t xml:space="preserve"> tonnes to 6,600</w:t>
      </w:r>
      <w:r w:rsidR="00C274ED" w:rsidRPr="003D7B10">
        <w:t> ODP</w:t>
      </w:r>
      <w:r w:rsidRPr="003D7B10">
        <w:t xml:space="preserve"> tonnes.  China </w:t>
      </w:r>
      <w:r w:rsidR="00CD1D87" w:rsidRPr="003D7B10">
        <w:t xml:space="preserve">had </w:t>
      </w:r>
      <w:r w:rsidR="00657949" w:rsidRPr="003D7B10">
        <w:t>committed</w:t>
      </w:r>
      <w:r w:rsidRPr="003D7B10">
        <w:t xml:space="preserve"> to </w:t>
      </w:r>
      <w:r w:rsidR="00091051" w:rsidRPr="003D7B10">
        <w:t xml:space="preserve">completely </w:t>
      </w:r>
      <w:r w:rsidRPr="003D7B10">
        <w:t xml:space="preserve">phasing out the CTC consumption in these applications by the end of 2009. </w:t>
      </w:r>
      <w:r w:rsidR="00FA7BE4" w:rsidRPr="003D7B10">
        <w:t xml:space="preserve"> T</w:t>
      </w:r>
      <w:r w:rsidRPr="003D7B10">
        <w:t>able</w:t>
      </w:r>
      <w:r w:rsidR="00FA7BE4" w:rsidRPr="003D7B10">
        <w:t> </w:t>
      </w:r>
      <w:r w:rsidR="001E378E" w:rsidRPr="003D7B10">
        <w:t>4</w:t>
      </w:r>
      <w:r w:rsidRPr="003D7B10">
        <w:t xml:space="preserve"> in </w:t>
      </w:r>
      <w:r w:rsidR="008F4093" w:rsidRPr="003D7B10">
        <w:t>Annex</w:t>
      </w:r>
      <w:r w:rsidR="00FA7BE4" w:rsidRPr="003D7B10">
        <w:t> </w:t>
      </w:r>
      <w:r w:rsidRPr="003D7B10">
        <w:t xml:space="preserve">I provides </w:t>
      </w:r>
      <w:r w:rsidRPr="003D7B10">
        <w:lastRenderedPageBreak/>
        <w:t xml:space="preserve">a list of all CTC uses identified by China and notified to the Executive Committee in </w:t>
      </w:r>
      <w:r w:rsidR="00776B12" w:rsidRPr="003D7B10">
        <w:t xml:space="preserve">the </w:t>
      </w:r>
      <w:r w:rsidRPr="003D7B10">
        <w:t xml:space="preserve">2009 sector plan progress reports as being newly identified potential process agent applications additional to those </w:t>
      </w:r>
      <w:r w:rsidR="00E60075" w:rsidRPr="003D7B10">
        <w:t xml:space="preserve">listed in decisions X/14, XV/6 and </w:t>
      </w:r>
      <w:r w:rsidRPr="003D7B10">
        <w:t>XVII/</w:t>
      </w:r>
      <w:r w:rsidR="00E60075" w:rsidRPr="003D7B10">
        <w:t>7.</w:t>
      </w:r>
    </w:p>
    <w:p w:rsidR="003B6556" w:rsidRPr="003D7B10" w:rsidRDefault="003B6556" w:rsidP="003B6556">
      <w:pPr>
        <w:rPr>
          <w:u w:val="single"/>
        </w:rPr>
      </w:pPr>
      <w:r w:rsidRPr="003D7B10">
        <w:rPr>
          <w:u w:val="single"/>
        </w:rPr>
        <w:t>Project in Mexico</w:t>
      </w:r>
    </w:p>
    <w:p w:rsidR="003B6556" w:rsidRPr="003D7B10" w:rsidRDefault="003B6556" w:rsidP="003B6556"/>
    <w:p w:rsidR="003B6556" w:rsidRPr="003D7B10" w:rsidRDefault="001A09B8" w:rsidP="003B6556">
      <w:pPr>
        <w:pStyle w:val="Heading1"/>
      </w:pPr>
      <w:r w:rsidRPr="003D7B10">
        <w:t xml:space="preserve">A </w:t>
      </w:r>
      <w:r w:rsidR="003B6556" w:rsidRPr="003D7B10">
        <w:t xml:space="preserve">project in Mexico </w:t>
      </w:r>
      <w:r w:rsidR="00924F72" w:rsidRPr="003D7B10">
        <w:t>covered</w:t>
      </w:r>
      <w:r w:rsidR="003B6556" w:rsidRPr="003D7B10">
        <w:t xml:space="preserve"> the use of some 87</w:t>
      </w:r>
      <w:r w:rsidR="00C274ED" w:rsidRPr="003D7B10">
        <w:t> ODP</w:t>
      </w:r>
      <w:r w:rsidR="003B6556" w:rsidRPr="003D7B10">
        <w:t xml:space="preserve"> tonnes of CTC as a process agent in the manufacture of chlorine. The project involve</w:t>
      </w:r>
      <w:r w:rsidR="00924F72" w:rsidRPr="003D7B10">
        <w:t>d</w:t>
      </w:r>
      <w:r w:rsidR="003B6556" w:rsidRPr="003D7B10">
        <w:t xml:space="preserve"> a process change and</w:t>
      </w:r>
      <w:r w:rsidR="00FA5EF0" w:rsidRPr="003D7B10">
        <w:t>,</w:t>
      </w:r>
      <w:r w:rsidR="003B6556" w:rsidRPr="003D7B10">
        <w:t xml:space="preserve"> when implemented, CTC will no longer be used. </w:t>
      </w:r>
      <w:r w:rsidR="00091051" w:rsidRPr="003D7B10">
        <w:t xml:space="preserve">The project was completed in January </w:t>
      </w:r>
      <w:r w:rsidR="0039247A" w:rsidRPr="003D7B10">
        <w:t xml:space="preserve">2009 </w:t>
      </w:r>
      <w:r w:rsidR="001E378E" w:rsidRPr="003D7B10">
        <w:t xml:space="preserve">and a </w:t>
      </w:r>
      <w:r w:rsidR="00B453D2" w:rsidRPr="003D7B10">
        <w:t>project completion repor</w:t>
      </w:r>
      <w:r w:rsidR="0039247A" w:rsidRPr="003D7B10">
        <w:t xml:space="preserve">t </w:t>
      </w:r>
      <w:r w:rsidR="001E378E" w:rsidRPr="003D7B10">
        <w:t xml:space="preserve">was </w:t>
      </w:r>
      <w:r w:rsidR="0039247A" w:rsidRPr="003D7B10">
        <w:t xml:space="preserve">submitted to the Secretariat. </w:t>
      </w:r>
      <w:r w:rsidR="00817C78" w:rsidRPr="003D7B10">
        <w:t xml:space="preserve"> </w:t>
      </w:r>
      <w:r w:rsidR="005F2C43" w:rsidRPr="003D7B10">
        <w:t xml:space="preserve">CTC consumption has ceased and </w:t>
      </w:r>
      <w:r w:rsidR="0039247A" w:rsidRPr="003D7B10">
        <w:t xml:space="preserve">equipment destroyed. </w:t>
      </w:r>
      <w:r w:rsidR="00817C78" w:rsidRPr="003D7B10">
        <w:t xml:space="preserve"> </w:t>
      </w:r>
      <w:r w:rsidR="0039247A" w:rsidRPr="003D7B10">
        <w:t>T</w:t>
      </w:r>
      <w:r w:rsidR="005F2C43" w:rsidRPr="003D7B10">
        <w:t xml:space="preserve">he new technology </w:t>
      </w:r>
      <w:r w:rsidR="0039247A" w:rsidRPr="003D7B10">
        <w:t>that use</w:t>
      </w:r>
      <w:r w:rsidR="00D0690A" w:rsidRPr="003D7B10">
        <w:t>s</w:t>
      </w:r>
      <w:r w:rsidR="0039247A" w:rsidRPr="003D7B10">
        <w:t xml:space="preserve"> CTC</w:t>
      </w:r>
      <w:r w:rsidR="00817C78" w:rsidRPr="003D7B10">
        <w:noBreakHyphen/>
      </w:r>
      <w:r w:rsidR="0039247A" w:rsidRPr="003D7B10">
        <w:t xml:space="preserve">free process has </w:t>
      </w:r>
      <w:r w:rsidR="005F2C43" w:rsidRPr="003D7B10">
        <w:t>been installed</w:t>
      </w:r>
      <w:r w:rsidR="00817C78" w:rsidRPr="003D7B10">
        <w:t xml:space="preserve">. </w:t>
      </w:r>
      <w:r w:rsidR="005F2C43" w:rsidRPr="003D7B10">
        <w:t xml:space="preserve"> </w:t>
      </w:r>
      <w:r w:rsidR="00CD1D87" w:rsidRPr="003D7B10">
        <w:t xml:space="preserve">The </w:t>
      </w:r>
      <w:r w:rsidR="003D4046" w:rsidRPr="003D7B10">
        <w:t>t</w:t>
      </w:r>
      <w:r w:rsidR="003B6556" w:rsidRPr="003D7B10">
        <w:t xml:space="preserve">otal </w:t>
      </w:r>
      <w:r w:rsidR="00CD1D87" w:rsidRPr="003D7B10">
        <w:t>annual CTC consumption of</w:t>
      </w:r>
      <w:r w:rsidR="00B453D2" w:rsidRPr="003D7B10">
        <w:t xml:space="preserve"> 87.3</w:t>
      </w:r>
      <w:r w:rsidR="00C274ED" w:rsidRPr="003D7B10">
        <w:t> ODP</w:t>
      </w:r>
      <w:r w:rsidR="003B6556" w:rsidRPr="003D7B10">
        <w:t xml:space="preserve"> tonnes at Mexichem has been phased out.</w:t>
      </w:r>
    </w:p>
    <w:p w:rsidR="003B6556" w:rsidRPr="003D7B10" w:rsidRDefault="003B6556" w:rsidP="003B6556">
      <w:r w:rsidRPr="003D7B10">
        <w:rPr>
          <w:u w:val="single"/>
        </w:rPr>
        <w:t>Democratic People’s Republic of Korea</w:t>
      </w:r>
    </w:p>
    <w:p w:rsidR="00B76EAA" w:rsidRPr="003D7B10" w:rsidRDefault="00B76EAA" w:rsidP="003B6556"/>
    <w:p w:rsidR="003B6556" w:rsidRPr="003D7B10" w:rsidRDefault="003B6556" w:rsidP="003B6556">
      <w:pPr>
        <w:pStyle w:val="Heading1"/>
      </w:pPr>
      <w:r w:rsidRPr="003D7B10">
        <w:t xml:space="preserve">The sector plan for phase-out of CTC production and consumption in </w:t>
      </w:r>
      <w:r w:rsidR="003D4046" w:rsidRPr="003D7B10">
        <w:t xml:space="preserve">the Democratic People’s Republic of Korea </w:t>
      </w:r>
      <w:r w:rsidRPr="003D7B10">
        <w:t xml:space="preserve">was originally approved in December 2003 and a supplementary plan was approved </w:t>
      </w:r>
      <w:r w:rsidR="003D4046" w:rsidRPr="003D7B10">
        <w:t xml:space="preserve">in </w:t>
      </w:r>
      <w:r w:rsidRPr="003D7B10">
        <w:t xml:space="preserve">2006 at a total cost to the Multilateral Fund of </w:t>
      </w:r>
      <w:r w:rsidR="00844BA6" w:rsidRPr="003D7B10">
        <w:t>US $</w:t>
      </w:r>
      <w:r w:rsidRPr="003D7B10">
        <w:t>6,995,504. T</w:t>
      </w:r>
      <w:r w:rsidR="00091051" w:rsidRPr="003D7B10">
        <w:t>he t</w:t>
      </w:r>
      <w:r w:rsidRPr="003D7B10">
        <w:t>otal phase-out under the plan was 2,027</w:t>
      </w:r>
      <w:r w:rsidR="00C274ED" w:rsidRPr="003D7B10">
        <w:t> ODP</w:t>
      </w:r>
      <w:r w:rsidRPr="003D7B10">
        <w:t xml:space="preserve"> tonnes of CTC</w:t>
      </w:r>
      <w:r w:rsidR="004A405C" w:rsidRPr="003D7B10">
        <w:t>,</w:t>
      </w:r>
      <w:r w:rsidRPr="003D7B10">
        <w:t xml:space="preserve"> of which approximately 228</w:t>
      </w:r>
      <w:r w:rsidR="00C274ED" w:rsidRPr="003D7B10">
        <w:t> ODP</w:t>
      </w:r>
      <w:r w:rsidRPr="003D7B10">
        <w:t xml:space="preserve"> tonnes was for approved process agent uses.  CTC production ceased in 2005.  Stockpiles were established before production ceased, but these were fully used prior to the end of 2008.  </w:t>
      </w:r>
      <w:r w:rsidR="001E378E" w:rsidRPr="003D7B10">
        <w:t>As indicated earlier, f</w:t>
      </w:r>
      <w:r w:rsidR="00AA7CB3" w:rsidRPr="003D7B10">
        <w:t xml:space="preserve">or 2009, the </w:t>
      </w:r>
      <w:r w:rsidR="003D4046" w:rsidRPr="003D7B10">
        <w:t>country</w:t>
      </w:r>
      <w:r w:rsidRPr="003D7B10">
        <w:t xml:space="preserve"> reported </w:t>
      </w:r>
      <w:r w:rsidR="00AA7CB3" w:rsidRPr="003D7B10">
        <w:t>zero</w:t>
      </w:r>
      <w:r w:rsidR="00C274ED" w:rsidRPr="003D7B10">
        <w:t> ODP</w:t>
      </w:r>
      <w:r w:rsidRPr="003D7B10">
        <w:t xml:space="preserve"> ton</w:t>
      </w:r>
      <w:r w:rsidR="003D4046" w:rsidRPr="003D7B10">
        <w:t>n</w:t>
      </w:r>
      <w:r w:rsidRPr="003D7B10">
        <w:t>es of CTC consumption in A</w:t>
      </w:r>
      <w:r w:rsidR="003D4046" w:rsidRPr="003D7B10">
        <w:t>rticle </w:t>
      </w:r>
      <w:r w:rsidRPr="003D7B10">
        <w:t xml:space="preserve">7 data to </w:t>
      </w:r>
      <w:r w:rsidR="00AA7CB3" w:rsidRPr="003D7B10">
        <w:t xml:space="preserve">the </w:t>
      </w:r>
      <w:r w:rsidRPr="003D7B10">
        <w:t xml:space="preserve">Ozone Secretariat and zero consumption of CTC as </w:t>
      </w:r>
      <w:r w:rsidR="003D4046" w:rsidRPr="003D7B10">
        <w:t xml:space="preserve">a </w:t>
      </w:r>
      <w:r w:rsidRPr="003D7B10">
        <w:t xml:space="preserve">process agent to </w:t>
      </w:r>
      <w:r w:rsidR="003D4046" w:rsidRPr="003D7B10">
        <w:t xml:space="preserve">the </w:t>
      </w:r>
      <w:r w:rsidRPr="003D7B10">
        <w:t xml:space="preserve">Multilateral Fund Secretariat. </w:t>
      </w:r>
    </w:p>
    <w:p w:rsidR="003B6556" w:rsidRPr="003D7B10" w:rsidRDefault="003B6556" w:rsidP="003B6556">
      <w:pPr>
        <w:pStyle w:val="Heading1"/>
      </w:pPr>
      <w:r w:rsidRPr="003D7B10">
        <w:t>However, although the use of CTC has ceased, conversion of two process agent applications at the 2.8 Vinalon Factory Complex and the Sinuiju Chemical Fibre Complex ha</w:t>
      </w:r>
      <w:r w:rsidR="00924F72" w:rsidRPr="003D7B10">
        <w:t>s</w:t>
      </w:r>
      <w:r w:rsidRPr="003D7B10">
        <w:t xml:space="preserve"> not been able to proceed because certain equipment items already purchased for the conversion were deemed to fall under the dual use restrictions of the International Chemical Weapons Convention, to which the </w:t>
      </w:r>
      <w:r w:rsidR="003D4046" w:rsidRPr="003D7B10">
        <w:t>country</w:t>
      </w:r>
      <w:r w:rsidRPr="003D7B10">
        <w:t xml:space="preserve"> has not </w:t>
      </w:r>
      <w:r w:rsidR="000A1308" w:rsidRPr="003D7B10">
        <w:t>acceded</w:t>
      </w:r>
      <w:r w:rsidR="003D4046" w:rsidRPr="003D7B10">
        <w:t xml:space="preserve"> yet</w:t>
      </w:r>
      <w:r w:rsidRPr="003D7B10">
        <w:t xml:space="preserve">. </w:t>
      </w:r>
    </w:p>
    <w:p w:rsidR="003B6556" w:rsidRPr="003D7B10" w:rsidRDefault="003B6556" w:rsidP="003B6556">
      <w:pPr>
        <w:pStyle w:val="Heading1"/>
      </w:pPr>
      <w:r w:rsidRPr="003D7B10">
        <w:t xml:space="preserve">UNIDO sold the equipment which </w:t>
      </w:r>
      <w:r w:rsidR="004A405C" w:rsidRPr="003D7B10">
        <w:t xml:space="preserve">could not </w:t>
      </w:r>
      <w:r w:rsidRPr="003D7B10">
        <w:t xml:space="preserve">be delivered to </w:t>
      </w:r>
      <w:r w:rsidR="003D4046" w:rsidRPr="003D7B10">
        <w:t>the Democratic People’s Republic of Korea</w:t>
      </w:r>
      <w:r w:rsidRPr="003D7B10">
        <w:t xml:space="preserve"> and submitted a proposal to the Executive Committee </w:t>
      </w:r>
      <w:r w:rsidR="003D4046" w:rsidRPr="003D7B10">
        <w:t>at</w:t>
      </w:r>
      <w:r w:rsidRPr="003D7B10">
        <w:t xml:space="preserve"> its 59</w:t>
      </w:r>
      <w:r w:rsidRPr="003D7B10">
        <w:rPr>
          <w:vertAlign w:val="superscript"/>
        </w:rPr>
        <w:t>th</w:t>
      </w:r>
      <w:r w:rsidR="00C274ED" w:rsidRPr="003D7B10">
        <w:t> Meeting</w:t>
      </w:r>
      <w:r w:rsidRPr="003D7B10">
        <w:t xml:space="preserve"> with a funding request of </w:t>
      </w:r>
      <w:r w:rsidR="003D4046" w:rsidRPr="003D7B10">
        <w:t>US $</w:t>
      </w:r>
      <w:r w:rsidRPr="003D7B10">
        <w:t xml:space="preserve">3,071,000 plus support costs for the conversion of these two enterprises through </w:t>
      </w:r>
      <w:r w:rsidR="003D4046" w:rsidRPr="003D7B10">
        <w:t xml:space="preserve">an </w:t>
      </w:r>
      <w:r w:rsidRPr="003D7B10">
        <w:t xml:space="preserve">alternative technology. The Executive Committee decided </w:t>
      </w:r>
      <w:r w:rsidR="00924F72" w:rsidRPr="003D7B10">
        <w:t>at</w:t>
      </w:r>
      <w:r w:rsidRPr="003D7B10">
        <w:t xml:space="preserve"> its 59</w:t>
      </w:r>
      <w:r w:rsidRPr="003D7B10">
        <w:rPr>
          <w:vertAlign w:val="superscript"/>
        </w:rPr>
        <w:t>th</w:t>
      </w:r>
      <w:r w:rsidR="00C274ED" w:rsidRPr="003D7B10">
        <w:t> Meeting</w:t>
      </w:r>
      <w:r w:rsidRPr="003D7B10">
        <w:t xml:space="preserve"> (</w:t>
      </w:r>
      <w:r w:rsidR="00C274ED" w:rsidRPr="003D7B10">
        <w:t>decision </w:t>
      </w:r>
      <w:r w:rsidRPr="003D7B10">
        <w:t>59/3</w:t>
      </w:r>
      <w:r w:rsidR="00C76912" w:rsidRPr="003D7B10">
        <w:t>9</w:t>
      </w:r>
      <w:r w:rsidRPr="003D7B10">
        <w:t xml:space="preserve">) to postpone a decision on whether to approve the project to phase-out CTC as </w:t>
      </w:r>
      <w:r w:rsidR="003D4046" w:rsidRPr="003D7B10">
        <w:t xml:space="preserve">a </w:t>
      </w:r>
      <w:r w:rsidRPr="003D7B10">
        <w:t xml:space="preserve">process agent at </w:t>
      </w:r>
      <w:r w:rsidR="003D4046" w:rsidRPr="003D7B10">
        <w:t xml:space="preserve">the 2.8 Vinalon Complex and the </w:t>
      </w:r>
      <w:r w:rsidRPr="003D7B10">
        <w:t>Sinuiju Chemical Fibre Complex to its 61</w:t>
      </w:r>
      <w:r w:rsidRPr="003D7B10">
        <w:rPr>
          <w:vertAlign w:val="superscript"/>
        </w:rPr>
        <w:t>st</w:t>
      </w:r>
      <w:r w:rsidR="00C274ED" w:rsidRPr="003D7B10">
        <w:t> Meeting</w:t>
      </w:r>
      <w:r w:rsidRPr="003D7B10">
        <w:t xml:space="preserve">. </w:t>
      </w:r>
    </w:p>
    <w:p w:rsidR="003B6556" w:rsidRPr="003D7B10" w:rsidRDefault="003D4046" w:rsidP="00740A3F">
      <w:pPr>
        <w:pStyle w:val="Heading1"/>
        <w:keepNext/>
        <w:keepLines/>
      </w:pPr>
      <w:r w:rsidRPr="003D7B10">
        <w:t>At</w:t>
      </w:r>
      <w:r w:rsidR="003B6556" w:rsidRPr="003D7B10">
        <w:t xml:space="preserve"> the 61</w:t>
      </w:r>
      <w:r w:rsidR="003B6556" w:rsidRPr="003D7B10">
        <w:rPr>
          <w:vertAlign w:val="superscript"/>
        </w:rPr>
        <w:t>st</w:t>
      </w:r>
      <w:r w:rsidR="00C274ED" w:rsidRPr="003D7B10">
        <w:t> Meeting</w:t>
      </w:r>
      <w:r w:rsidR="003B6556" w:rsidRPr="003D7B10">
        <w:t xml:space="preserve">, UNIDO submitted a project proposal for the phase out of CTC use in the above mentioned two plants using alternative technology at total cost of </w:t>
      </w:r>
      <w:r w:rsidR="00844BA6" w:rsidRPr="003D7B10">
        <w:t>US $</w:t>
      </w:r>
      <w:r w:rsidR="003B6556" w:rsidRPr="003D7B10">
        <w:t xml:space="preserve">729,164 plus support costs of </w:t>
      </w:r>
      <w:r w:rsidR="00844BA6" w:rsidRPr="003D7B10">
        <w:t>US $</w:t>
      </w:r>
      <w:r w:rsidR="003B6556" w:rsidRPr="003D7B10">
        <w:t xml:space="preserve">54,688 for UNIDO. The Executive Committee decided </w:t>
      </w:r>
      <w:r w:rsidRPr="003D7B10">
        <w:t>at</w:t>
      </w:r>
      <w:r w:rsidR="003B6556" w:rsidRPr="003D7B10">
        <w:t xml:space="preserve"> its 61</w:t>
      </w:r>
      <w:r w:rsidR="003B6556" w:rsidRPr="003D7B10">
        <w:rPr>
          <w:vertAlign w:val="superscript"/>
        </w:rPr>
        <w:t>st</w:t>
      </w:r>
      <w:r w:rsidR="00C274ED" w:rsidRPr="003D7B10">
        <w:t> Meeting</w:t>
      </w:r>
      <w:r w:rsidR="003B6556" w:rsidRPr="003D7B10">
        <w:t xml:space="preserve"> (</w:t>
      </w:r>
      <w:r w:rsidR="00C274ED" w:rsidRPr="003D7B10">
        <w:t>decision </w:t>
      </w:r>
      <w:r w:rsidR="003B6556" w:rsidRPr="003D7B10">
        <w:t>61/3</w:t>
      </w:r>
      <w:r w:rsidR="00BC40BA" w:rsidRPr="003D7B10">
        <w:t>3</w:t>
      </w:r>
      <w:r w:rsidR="003B6556" w:rsidRPr="003D7B10">
        <w:t xml:space="preserve">) not to consider the project as it </w:t>
      </w:r>
      <w:r w:rsidRPr="003D7B10">
        <w:t>wa</w:t>
      </w:r>
      <w:r w:rsidR="003B6556" w:rsidRPr="003D7B10">
        <w:t xml:space="preserve">s not required for compliance. </w:t>
      </w:r>
    </w:p>
    <w:p w:rsidR="003B6556" w:rsidRPr="003D7B10" w:rsidRDefault="003B6556" w:rsidP="003B6556">
      <w:pPr>
        <w:rPr>
          <w:u w:val="single"/>
        </w:rPr>
      </w:pPr>
      <w:r w:rsidRPr="003D7B10">
        <w:rPr>
          <w:u w:val="single"/>
        </w:rPr>
        <w:t>India</w:t>
      </w:r>
    </w:p>
    <w:p w:rsidR="003B6556" w:rsidRPr="003D7B10" w:rsidRDefault="003B6556" w:rsidP="003B6556"/>
    <w:p w:rsidR="003B6556" w:rsidRPr="003D7B10" w:rsidRDefault="003B6556" w:rsidP="003B6556">
      <w:pPr>
        <w:pStyle w:val="Heading1"/>
      </w:pPr>
      <w:r w:rsidRPr="003D7B10">
        <w:t>Phase-out of CTC as a process agent in India is being accomplished through a sector plan for phase-out of both production and consumption of CTC. The sector plan was approved in principle in July</w:t>
      </w:r>
      <w:r w:rsidR="003D4046" w:rsidRPr="003D7B10">
        <w:t> </w:t>
      </w:r>
      <w:r w:rsidRPr="003D7B10">
        <w:t xml:space="preserve">2003 at a total cost of </w:t>
      </w:r>
      <w:r w:rsidR="00844BA6" w:rsidRPr="003D7B10">
        <w:t>US $</w:t>
      </w:r>
      <w:r w:rsidRPr="003D7B10">
        <w:t>52 million.  Under the p</w:t>
      </w:r>
      <w:r w:rsidR="00146B2B" w:rsidRPr="003D7B10">
        <w:t>lan</w:t>
      </w:r>
      <w:r w:rsidRPr="003D7B10">
        <w:t xml:space="preserve">, India committed to reducing the consumption of CTC used as </w:t>
      </w:r>
      <w:r w:rsidR="003D4046" w:rsidRPr="003D7B10">
        <w:t xml:space="preserve">a </w:t>
      </w:r>
      <w:r w:rsidRPr="003D7B10">
        <w:t>process agent and as a solvent from a baseline of 11,505</w:t>
      </w:r>
      <w:r w:rsidR="00C274ED" w:rsidRPr="003D7B10">
        <w:t> ODP</w:t>
      </w:r>
      <w:r w:rsidRPr="003D7B10">
        <w:t xml:space="preserve"> tonnes to zero by 2010. </w:t>
      </w:r>
      <w:r w:rsidR="00C1642F" w:rsidRPr="003D7B10">
        <w:t>For</w:t>
      </w:r>
      <w:r w:rsidRPr="003D7B10">
        <w:t xml:space="preserve"> 2009, consumption </w:t>
      </w:r>
      <w:r w:rsidR="00C1642F" w:rsidRPr="003D7B10">
        <w:t xml:space="preserve">of </w:t>
      </w:r>
      <w:r w:rsidR="00B76EAA" w:rsidRPr="003D7B10">
        <w:t>CTC uses</w:t>
      </w:r>
      <w:r w:rsidRPr="003D7B10">
        <w:t xml:space="preserve"> had been reduced to 38.2</w:t>
      </w:r>
      <w:r w:rsidR="00C274ED" w:rsidRPr="003D7B10">
        <w:t> ODP</w:t>
      </w:r>
      <w:r w:rsidRPr="003D7B10">
        <w:t xml:space="preserve"> tonnes</w:t>
      </w:r>
      <w:r w:rsidR="00C1642F" w:rsidRPr="003D7B10">
        <w:t xml:space="preserve">, according to </w:t>
      </w:r>
      <w:r w:rsidRPr="003D7B10">
        <w:t>A</w:t>
      </w:r>
      <w:r w:rsidR="003D4046" w:rsidRPr="003D7B10">
        <w:t>rticle </w:t>
      </w:r>
      <w:r w:rsidRPr="003D7B10">
        <w:t xml:space="preserve">7 data. </w:t>
      </w:r>
      <w:r w:rsidR="00C1642F" w:rsidRPr="003D7B10">
        <w:t>The v</w:t>
      </w:r>
      <w:r w:rsidRPr="003D7B10">
        <w:t xml:space="preserve">erification report in 2009 indicated that the consumption of CTC as </w:t>
      </w:r>
      <w:r w:rsidR="003D4046" w:rsidRPr="003D7B10">
        <w:t xml:space="preserve">a </w:t>
      </w:r>
      <w:r w:rsidRPr="003D7B10">
        <w:t xml:space="preserve">process agent </w:t>
      </w:r>
      <w:r w:rsidR="00924F72" w:rsidRPr="003D7B10">
        <w:t>wa</w:t>
      </w:r>
      <w:r w:rsidRPr="003D7B10">
        <w:t>s 29.7</w:t>
      </w:r>
      <w:r w:rsidR="00C274ED" w:rsidRPr="003D7B10">
        <w:t> ODP</w:t>
      </w:r>
      <w:r w:rsidRPr="003D7B10">
        <w:t xml:space="preserve"> tonnes</w:t>
      </w:r>
      <w:r w:rsidR="00924F72" w:rsidRPr="003D7B10">
        <w:t>,</w:t>
      </w:r>
      <w:r w:rsidRPr="003D7B10">
        <w:t xml:space="preserve"> which is below the allowable limit of 48</w:t>
      </w:r>
      <w:r w:rsidR="00C274ED" w:rsidRPr="003D7B10">
        <w:t> ODP</w:t>
      </w:r>
      <w:r w:rsidRPr="003D7B10">
        <w:t xml:space="preserve"> tonnes</w:t>
      </w:r>
      <w:r w:rsidR="00FA5EF0" w:rsidRPr="003D7B10">
        <w:t xml:space="preserve"> for 2009</w:t>
      </w:r>
      <w:r w:rsidR="00097FD8" w:rsidRPr="003D7B10">
        <w:t>, and consistent with the overall consumption reported under Article 7</w:t>
      </w:r>
      <w:r w:rsidRPr="003D7B10">
        <w:t xml:space="preserve">.  </w:t>
      </w:r>
    </w:p>
    <w:p w:rsidR="003B6556" w:rsidRPr="003D7B10" w:rsidRDefault="003B6556" w:rsidP="003B6556">
      <w:pPr>
        <w:pStyle w:val="Heading1"/>
      </w:pPr>
      <w:r w:rsidRPr="003D7B10">
        <w:lastRenderedPageBreak/>
        <w:t xml:space="preserve">The progress report on the implementation of the 2009 annual programme seems to indicate that the </w:t>
      </w:r>
      <w:r w:rsidR="004B670D" w:rsidRPr="003D7B10">
        <w:t xml:space="preserve">phase out of both </w:t>
      </w:r>
      <w:r w:rsidRPr="003D7B10">
        <w:t>the production and consumption of CTC is proceeding well</w:t>
      </w:r>
      <w:r w:rsidR="004B670D" w:rsidRPr="003D7B10">
        <w:t>. P</w:t>
      </w:r>
      <w:r w:rsidRPr="003D7B10">
        <w:t xml:space="preserve">olicies of the Government </w:t>
      </w:r>
      <w:r w:rsidR="003D4046" w:rsidRPr="003D7B10">
        <w:t xml:space="preserve">of India </w:t>
      </w:r>
      <w:r w:rsidRPr="003D7B10">
        <w:t>reduce the supply of CTC</w:t>
      </w:r>
      <w:r w:rsidR="004B670D" w:rsidRPr="003D7B10">
        <w:t>,</w:t>
      </w:r>
      <w:r w:rsidRPr="003D7B10">
        <w:t xml:space="preserve"> and the industry conversion activities </w:t>
      </w:r>
      <w:r w:rsidR="00924F72" w:rsidRPr="003D7B10">
        <w:t xml:space="preserve">have </w:t>
      </w:r>
      <w:r w:rsidRPr="003D7B10">
        <w:t>reduce</w:t>
      </w:r>
      <w:r w:rsidR="00924F72" w:rsidRPr="003D7B10">
        <w:t>d</w:t>
      </w:r>
      <w:r w:rsidRPr="003D7B10">
        <w:t xml:space="preserve"> the demand for the substance. The various </w:t>
      </w:r>
      <w:r w:rsidR="004B670D" w:rsidRPr="003D7B10">
        <w:t xml:space="preserve">activities </w:t>
      </w:r>
      <w:r w:rsidRPr="003D7B10">
        <w:t>implemented by UNDP, UNIDO</w:t>
      </w:r>
      <w:r w:rsidR="003D4046" w:rsidRPr="003D7B10">
        <w:t>, the World Bank</w:t>
      </w:r>
      <w:r w:rsidRPr="003D7B10">
        <w:t xml:space="preserve"> and </w:t>
      </w:r>
      <w:r w:rsidR="003D4046" w:rsidRPr="003D7B10">
        <w:t>the Government of Germany</w:t>
      </w:r>
      <w:r w:rsidRPr="003D7B10">
        <w:t xml:space="preserve"> have been progressing well. </w:t>
      </w:r>
      <w:r w:rsidR="003D4046" w:rsidRPr="003D7B10">
        <w:t xml:space="preserve"> </w:t>
      </w:r>
      <w:r w:rsidRPr="003D7B10">
        <w:t>Among t</w:t>
      </w:r>
      <w:r w:rsidR="003D4046" w:rsidRPr="003D7B10">
        <w:t>he</w:t>
      </w:r>
      <w:r w:rsidRPr="003D7B10">
        <w:t xml:space="preserve"> 103 identified enterprises</w:t>
      </w:r>
      <w:r w:rsidR="001E378E" w:rsidRPr="003D7B10">
        <w:t>,</w:t>
      </w:r>
      <w:r w:rsidR="004A405C" w:rsidRPr="003D7B10">
        <w:t xml:space="preserve"> </w:t>
      </w:r>
      <w:r w:rsidR="003D4046" w:rsidRPr="003D7B10">
        <w:t>52 </w:t>
      </w:r>
      <w:r w:rsidRPr="003D7B10">
        <w:t xml:space="preserve">have technical assistance for conversion to alternative technologies, two enterprises are under review, </w:t>
      </w:r>
      <w:r w:rsidR="00844BA6" w:rsidRPr="003D7B10">
        <w:t xml:space="preserve">and </w:t>
      </w:r>
      <w:r w:rsidR="003D4046" w:rsidRPr="003D7B10">
        <w:t xml:space="preserve">the </w:t>
      </w:r>
      <w:r w:rsidR="00844BA6" w:rsidRPr="003D7B10">
        <w:t>rest</w:t>
      </w:r>
      <w:r w:rsidRPr="003D7B10">
        <w:t xml:space="preserve"> of the enterprises </w:t>
      </w:r>
      <w:r w:rsidR="004B670D" w:rsidRPr="003D7B10">
        <w:t xml:space="preserve">were deemed </w:t>
      </w:r>
      <w:r w:rsidRPr="003D7B10">
        <w:t xml:space="preserve">not eligible. In 2010, the Government will focus </w:t>
      </w:r>
      <w:r w:rsidR="004B670D" w:rsidRPr="003D7B10">
        <w:rPr>
          <w:i/>
        </w:rPr>
        <w:t>inter alia</w:t>
      </w:r>
      <w:r w:rsidR="004B670D" w:rsidRPr="003D7B10">
        <w:t xml:space="preserve"> </w:t>
      </w:r>
      <w:r w:rsidRPr="003D7B10">
        <w:t xml:space="preserve">on </w:t>
      </w:r>
      <w:r w:rsidR="004B670D" w:rsidRPr="003D7B10">
        <w:t xml:space="preserve">the </w:t>
      </w:r>
      <w:r w:rsidRPr="003D7B10">
        <w:t xml:space="preserve">supervision of imports and production. </w:t>
      </w:r>
    </w:p>
    <w:p w:rsidR="00817C78" w:rsidRPr="003D7B10" w:rsidRDefault="003B6556" w:rsidP="001E378E">
      <w:pPr>
        <w:pStyle w:val="Heading1"/>
      </w:pPr>
      <w:r w:rsidRPr="003D7B10">
        <w:t xml:space="preserve">In 2010, India </w:t>
      </w:r>
      <w:r w:rsidR="00924F72" w:rsidRPr="003D7B10">
        <w:t xml:space="preserve">is to </w:t>
      </w:r>
      <w:r w:rsidRPr="003D7B10">
        <w:t>completely phase out the use of CTC as</w:t>
      </w:r>
      <w:r w:rsidR="002B7186" w:rsidRPr="003D7B10">
        <w:t xml:space="preserve"> a</w:t>
      </w:r>
      <w:r w:rsidRPr="003D7B10">
        <w:t xml:space="preserve"> process agent. The maximum amount permissible under the sector plan </w:t>
      </w:r>
      <w:r w:rsidR="001E378E" w:rsidRPr="003D7B10">
        <w:t>A</w:t>
      </w:r>
      <w:r w:rsidRPr="003D7B10">
        <w:t xml:space="preserve">greement is zero ODP tonnes.  </w:t>
      </w:r>
      <w:r w:rsidR="00146B2B" w:rsidRPr="003D7B10">
        <w:t xml:space="preserve">The achievements of </w:t>
      </w:r>
      <w:r w:rsidRPr="003D7B10">
        <w:t>the implementation programme for 2010, including the consumption level, will be reported to the 64</w:t>
      </w:r>
      <w:r w:rsidRPr="003D7B10">
        <w:rPr>
          <w:vertAlign w:val="superscript"/>
        </w:rPr>
        <w:t>th</w:t>
      </w:r>
      <w:r w:rsidR="00C274ED" w:rsidRPr="003D7B10">
        <w:t> Meeting</w:t>
      </w:r>
      <w:r w:rsidRPr="003D7B10">
        <w:t xml:space="preserve"> of the Executive Committee in 2011. </w:t>
      </w:r>
    </w:p>
    <w:p w:rsidR="00817C78" w:rsidRPr="003D7B10" w:rsidRDefault="00817C78"/>
    <w:p w:rsidR="009A4B6B" w:rsidRPr="003D7B10" w:rsidRDefault="003B6556">
      <w:pPr>
        <w:rPr>
          <w:b/>
        </w:rPr>
      </w:pPr>
      <w:r w:rsidRPr="003D7B10">
        <w:t xml:space="preserve"> </w:t>
      </w:r>
    </w:p>
    <w:p w:rsidR="00817C78" w:rsidRPr="003D7B10" w:rsidRDefault="00817C78" w:rsidP="005F2C43">
      <w:pPr>
        <w:jc w:val="left"/>
        <w:rPr>
          <w:b/>
        </w:rPr>
        <w:sectPr w:rsidR="00817C78" w:rsidRPr="003D7B10" w:rsidSect="00817C78">
          <w:headerReference w:type="even" r:id="rId11"/>
          <w:headerReference w:type="default" r:id="rId12"/>
          <w:footerReference w:type="even" r:id="rId13"/>
          <w:footerReference w:type="default" r:id="rId14"/>
          <w:pgSz w:w="12240" w:h="15840" w:code="1"/>
          <w:pgMar w:top="720" w:right="1440" w:bottom="864" w:left="1440" w:header="720" w:footer="475" w:gutter="0"/>
          <w:pgNumType w:start="1"/>
          <w:cols w:space="720"/>
          <w:titlePg/>
          <w:docGrid w:linePitch="299"/>
        </w:sectPr>
      </w:pPr>
    </w:p>
    <w:p w:rsidR="005F2C43" w:rsidRPr="003D7B10" w:rsidRDefault="005F2C43" w:rsidP="005F2C43">
      <w:pPr>
        <w:jc w:val="left"/>
        <w:rPr>
          <w:b/>
        </w:rPr>
      </w:pPr>
    </w:p>
    <w:p w:rsidR="005F2C43" w:rsidRPr="003D7B10" w:rsidRDefault="008F4093" w:rsidP="005F2C43">
      <w:pPr>
        <w:jc w:val="center"/>
        <w:rPr>
          <w:b/>
        </w:rPr>
      </w:pPr>
      <w:r w:rsidRPr="003D7B10">
        <w:rPr>
          <w:b/>
        </w:rPr>
        <w:t>Annex </w:t>
      </w:r>
      <w:r w:rsidR="00FA7BE4" w:rsidRPr="003D7B10">
        <w:rPr>
          <w:b/>
        </w:rPr>
        <w:t>I</w:t>
      </w:r>
    </w:p>
    <w:p w:rsidR="005F2C43" w:rsidRPr="003D7B10" w:rsidRDefault="005F2C43" w:rsidP="005F2C43">
      <w:pPr>
        <w:jc w:val="center"/>
        <w:rPr>
          <w:b/>
        </w:rPr>
      </w:pPr>
    </w:p>
    <w:p w:rsidR="005F2C43" w:rsidRPr="003D7B10" w:rsidRDefault="00EE3FE3" w:rsidP="008F4093">
      <w:pPr>
        <w:jc w:val="center"/>
        <w:rPr>
          <w:u w:val="single"/>
        </w:rPr>
      </w:pPr>
      <w:r w:rsidRPr="003D7B10">
        <w:rPr>
          <w:u w:val="single"/>
        </w:rPr>
        <w:t>Table 1</w:t>
      </w:r>
      <w:r w:rsidR="008F4093" w:rsidRPr="003D7B10">
        <w:rPr>
          <w:u w:val="single"/>
        </w:rPr>
        <w:t xml:space="preserve"> -</w:t>
      </w:r>
      <w:r w:rsidRPr="003D7B10">
        <w:rPr>
          <w:u w:val="single"/>
        </w:rPr>
        <w:t xml:space="preserve"> </w:t>
      </w:r>
      <w:r w:rsidR="008F4093" w:rsidRPr="003D7B10">
        <w:rPr>
          <w:u w:val="single"/>
        </w:rPr>
        <w:t xml:space="preserve"> </w:t>
      </w:r>
      <w:r w:rsidRPr="003D7B10">
        <w:rPr>
          <w:u w:val="single"/>
        </w:rPr>
        <w:t xml:space="preserve">Projects for phasing out </w:t>
      </w:r>
      <w:r w:rsidR="008F4093" w:rsidRPr="003D7B10">
        <w:rPr>
          <w:u w:val="single"/>
        </w:rPr>
        <w:t>p</w:t>
      </w:r>
      <w:r w:rsidRPr="003D7B10">
        <w:rPr>
          <w:u w:val="single"/>
        </w:rPr>
        <w:t xml:space="preserve">rocess </w:t>
      </w:r>
      <w:r w:rsidR="008F4093" w:rsidRPr="003D7B10">
        <w:rPr>
          <w:u w:val="single"/>
        </w:rPr>
        <w:t>a</w:t>
      </w:r>
      <w:r w:rsidRPr="003D7B10">
        <w:rPr>
          <w:u w:val="single"/>
        </w:rPr>
        <w:t xml:space="preserve">gent use supported by </w:t>
      </w:r>
      <w:r w:rsidR="008F4093" w:rsidRPr="003D7B10">
        <w:rPr>
          <w:u w:val="single"/>
        </w:rPr>
        <w:t xml:space="preserve">the </w:t>
      </w:r>
      <w:r w:rsidRPr="003D7B10">
        <w:rPr>
          <w:u w:val="single"/>
        </w:rPr>
        <w:t>Multilateral Fund</w:t>
      </w:r>
    </w:p>
    <w:p w:rsidR="005F2C43" w:rsidRPr="003D7B10" w:rsidRDefault="005F2C43" w:rsidP="005F2C43">
      <w:pPr>
        <w:jc w:val="center"/>
        <w:rPr>
          <w:b/>
        </w:rPr>
      </w:pPr>
    </w:p>
    <w:tbl>
      <w:tblPr>
        <w:tblW w:w="9566" w:type="dxa"/>
        <w:jc w:val="center"/>
        <w:tblLook w:val="04A0" w:firstRow="1" w:lastRow="0" w:firstColumn="1" w:lastColumn="0" w:noHBand="0" w:noVBand="1"/>
      </w:tblPr>
      <w:tblGrid>
        <w:gridCol w:w="1947"/>
        <w:gridCol w:w="1026"/>
        <w:gridCol w:w="1026"/>
        <w:gridCol w:w="1257"/>
        <w:gridCol w:w="1257"/>
        <w:gridCol w:w="1100"/>
        <w:gridCol w:w="1077"/>
        <w:gridCol w:w="876"/>
      </w:tblGrid>
      <w:tr w:rsidR="001E378E" w:rsidRPr="003D7B10" w:rsidTr="001E378E">
        <w:trPr>
          <w:trHeight w:val="750"/>
          <w:tblHeader/>
          <w:jc w:val="center"/>
        </w:trPr>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1E378E" w:rsidRPr="003D7B10" w:rsidRDefault="001E378E" w:rsidP="001E378E">
            <w:pPr>
              <w:jc w:val="center"/>
              <w:rPr>
                <w:b/>
                <w:color w:val="000000"/>
                <w:sz w:val="18"/>
                <w:szCs w:val="18"/>
                <w:lang w:eastAsia="zh-CN"/>
              </w:rPr>
            </w:pPr>
            <w:r w:rsidRPr="003D7B10">
              <w:rPr>
                <w:b/>
                <w:color w:val="000000"/>
                <w:sz w:val="18"/>
                <w:szCs w:val="18"/>
                <w:lang w:eastAsia="zh-CN"/>
              </w:rPr>
              <w:t>Investment project number</w:t>
            </w:r>
          </w:p>
        </w:tc>
        <w:tc>
          <w:tcPr>
            <w:tcW w:w="1026" w:type="dxa"/>
            <w:tcBorders>
              <w:top w:val="single" w:sz="4" w:space="0" w:color="auto"/>
              <w:left w:val="nil"/>
              <w:bottom w:val="single" w:sz="4" w:space="0" w:color="auto"/>
              <w:right w:val="single" w:sz="4" w:space="0" w:color="auto"/>
            </w:tcBorders>
            <w:shd w:val="clear" w:color="auto" w:fill="auto"/>
            <w:hideMark/>
          </w:tcPr>
          <w:p w:rsidR="001E378E" w:rsidRPr="003D7B10" w:rsidRDefault="001E378E" w:rsidP="008F4093">
            <w:pPr>
              <w:jc w:val="center"/>
              <w:rPr>
                <w:b/>
                <w:color w:val="000000"/>
                <w:sz w:val="18"/>
                <w:szCs w:val="18"/>
                <w:lang w:eastAsia="zh-CN"/>
              </w:rPr>
            </w:pPr>
            <w:r w:rsidRPr="003D7B10">
              <w:rPr>
                <w:b/>
                <w:color w:val="000000"/>
                <w:sz w:val="18"/>
                <w:szCs w:val="18"/>
                <w:lang w:eastAsia="zh-CN"/>
              </w:rPr>
              <w:t>Total funds approved (US $)</w:t>
            </w:r>
          </w:p>
        </w:tc>
        <w:tc>
          <w:tcPr>
            <w:tcW w:w="1026" w:type="dxa"/>
            <w:tcBorders>
              <w:top w:val="single" w:sz="4" w:space="0" w:color="auto"/>
              <w:left w:val="nil"/>
              <w:bottom w:val="single" w:sz="4" w:space="0" w:color="auto"/>
              <w:right w:val="single" w:sz="4" w:space="0" w:color="auto"/>
            </w:tcBorders>
            <w:shd w:val="clear" w:color="auto" w:fill="auto"/>
            <w:hideMark/>
          </w:tcPr>
          <w:p w:rsidR="001E378E" w:rsidRPr="003D7B10" w:rsidRDefault="001E378E" w:rsidP="00EE3FE3">
            <w:pPr>
              <w:jc w:val="center"/>
              <w:rPr>
                <w:b/>
                <w:color w:val="000000"/>
                <w:sz w:val="18"/>
                <w:szCs w:val="18"/>
                <w:lang w:eastAsia="zh-CN"/>
              </w:rPr>
            </w:pPr>
            <w:r w:rsidRPr="003D7B10">
              <w:rPr>
                <w:b/>
                <w:color w:val="000000"/>
                <w:sz w:val="18"/>
                <w:szCs w:val="18"/>
                <w:lang w:eastAsia="zh-CN"/>
              </w:rPr>
              <w:t>Funds disbursed</w:t>
            </w:r>
          </w:p>
          <w:p w:rsidR="001E378E" w:rsidRPr="003D7B10" w:rsidRDefault="001E378E" w:rsidP="00EE3FE3">
            <w:pPr>
              <w:jc w:val="center"/>
              <w:rPr>
                <w:b/>
                <w:color w:val="000000"/>
                <w:sz w:val="18"/>
                <w:szCs w:val="18"/>
                <w:lang w:eastAsia="zh-CN"/>
              </w:rPr>
            </w:pPr>
            <w:r w:rsidRPr="003D7B10">
              <w:rPr>
                <w:b/>
                <w:color w:val="000000"/>
                <w:sz w:val="18"/>
                <w:szCs w:val="18"/>
                <w:lang w:eastAsia="zh-CN"/>
              </w:rPr>
              <w:t>(US $)</w:t>
            </w:r>
          </w:p>
        </w:tc>
        <w:tc>
          <w:tcPr>
            <w:tcW w:w="1257" w:type="dxa"/>
            <w:tcBorders>
              <w:top w:val="single" w:sz="4" w:space="0" w:color="auto"/>
              <w:left w:val="nil"/>
              <w:bottom w:val="single" w:sz="4" w:space="0" w:color="auto"/>
              <w:right w:val="single" w:sz="4" w:space="0" w:color="auto"/>
            </w:tcBorders>
            <w:shd w:val="clear" w:color="auto" w:fill="auto"/>
            <w:hideMark/>
          </w:tcPr>
          <w:p w:rsidR="001E378E" w:rsidRPr="003D7B10" w:rsidRDefault="001E378E" w:rsidP="008F4093">
            <w:pPr>
              <w:jc w:val="center"/>
              <w:rPr>
                <w:b/>
                <w:color w:val="000000"/>
                <w:sz w:val="18"/>
                <w:szCs w:val="18"/>
                <w:lang w:eastAsia="zh-CN"/>
              </w:rPr>
            </w:pPr>
            <w:r w:rsidRPr="003D7B10">
              <w:rPr>
                <w:b/>
                <w:color w:val="000000"/>
                <w:sz w:val="18"/>
                <w:szCs w:val="18"/>
                <w:lang w:eastAsia="zh-CN"/>
              </w:rPr>
              <w:t>Consumption to be phased out (ODP tonnes)</w:t>
            </w:r>
          </w:p>
        </w:tc>
        <w:tc>
          <w:tcPr>
            <w:tcW w:w="1257" w:type="dxa"/>
            <w:tcBorders>
              <w:top w:val="single" w:sz="4" w:space="0" w:color="auto"/>
              <w:left w:val="nil"/>
              <w:bottom w:val="single" w:sz="4" w:space="0" w:color="auto"/>
              <w:right w:val="single" w:sz="4" w:space="0" w:color="auto"/>
            </w:tcBorders>
            <w:shd w:val="clear" w:color="auto" w:fill="auto"/>
            <w:hideMark/>
          </w:tcPr>
          <w:p w:rsidR="001E378E" w:rsidRPr="003D7B10" w:rsidRDefault="001E378E" w:rsidP="008F4093">
            <w:pPr>
              <w:jc w:val="center"/>
              <w:rPr>
                <w:b/>
                <w:color w:val="000000"/>
                <w:sz w:val="18"/>
                <w:szCs w:val="18"/>
                <w:lang w:eastAsia="zh-CN"/>
              </w:rPr>
            </w:pPr>
            <w:r w:rsidRPr="003D7B10">
              <w:rPr>
                <w:b/>
                <w:color w:val="000000"/>
                <w:sz w:val="18"/>
                <w:szCs w:val="18"/>
                <w:lang w:eastAsia="zh-CN"/>
              </w:rPr>
              <w:t>Consumption phased out (ODP tonnes)</w:t>
            </w:r>
          </w:p>
        </w:tc>
        <w:tc>
          <w:tcPr>
            <w:tcW w:w="1100" w:type="dxa"/>
            <w:tcBorders>
              <w:top w:val="single" w:sz="4" w:space="0" w:color="auto"/>
              <w:left w:val="nil"/>
              <w:bottom w:val="single" w:sz="4" w:space="0" w:color="auto"/>
              <w:right w:val="single" w:sz="4" w:space="0" w:color="auto"/>
            </w:tcBorders>
            <w:shd w:val="clear" w:color="auto" w:fill="auto"/>
            <w:hideMark/>
          </w:tcPr>
          <w:p w:rsidR="001E378E" w:rsidRPr="003D7B10" w:rsidRDefault="001E378E" w:rsidP="008F4093">
            <w:pPr>
              <w:jc w:val="center"/>
              <w:rPr>
                <w:b/>
                <w:color w:val="000000"/>
                <w:sz w:val="18"/>
                <w:szCs w:val="18"/>
                <w:lang w:eastAsia="zh-CN"/>
              </w:rPr>
            </w:pPr>
            <w:r w:rsidRPr="003D7B10">
              <w:rPr>
                <w:b/>
                <w:color w:val="000000"/>
                <w:sz w:val="18"/>
                <w:szCs w:val="18"/>
                <w:lang w:eastAsia="zh-CN"/>
              </w:rPr>
              <w:t>Production to be phased out (ODP tonnes)</w:t>
            </w:r>
          </w:p>
        </w:tc>
        <w:tc>
          <w:tcPr>
            <w:tcW w:w="1077" w:type="dxa"/>
            <w:tcBorders>
              <w:top w:val="single" w:sz="4" w:space="0" w:color="auto"/>
              <w:left w:val="nil"/>
              <w:bottom w:val="single" w:sz="4" w:space="0" w:color="auto"/>
              <w:right w:val="single" w:sz="4" w:space="0" w:color="auto"/>
            </w:tcBorders>
            <w:shd w:val="clear" w:color="auto" w:fill="auto"/>
            <w:hideMark/>
          </w:tcPr>
          <w:p w:rsidR="001E378E" w:rsidRPr="003D7B10" w:rsidRDefault="001E378E" w:rsidP="008F4093">
            <w:pPr>
              <w:jc w:val="center"/>
              <w:rPr>
                <w:b/>
                <w:color w:val="000000"/>
                <w:sz w:val="18"/>
                <w:szCs w:val="18"/>
                <w:lang w:eastAsia="zh-CN"/>
              </w:rPr>
            </w:pPr>
            <w:r w:rsidRPr="003D7B10">
              <w:rPr>
                <w:b/>
                <w:color w:val="000000"/>
                <w:sz w:val="18"/>
                <w:szCs w:val="18"/>
                <w:lang w:eastAsia="zh-CN"/>
              </w:rPr>
              <w:t>Production phased out (ODP tonnes)</w:t>
            </w:r>
          </w:p>
        </w:tc>
        <w:tc>
          <w:tcPr>
            <w:tcW w:w="876" w:type="dxa"/>
            <w:tcBorders>
              <w:top w:val="single" w:sz="4" w:space="0" w:color="auto"/>
              <w:left w:val="nil"/>
              <w:bottom w:val="single" w:sz="4" w:space="0" w:color="auto"/>
              <w:right w:val="single" w:sz="4" w:space="0" w:color="auto"/>
            </w:tcBorders>
            <w:shd w:val="clear" w:color="auto" w:fill="auto"/>
            <w:hideMark/>
          </w:tcPr>
          <w:p w:rsidR="001E378E" w:rsidRPr="003D7B10" w:rsidRDefault="001E378E" w:rsidP="00EE3FE3">
            <w:pPr>
              <w:jc w:val="center"/>
              <w:rPr>
                <w:b/>
                <w:color w:val="000000"/>
                <w:sz w:val="18"/>
                <w:szCs w:val="18"/>
                <w:lang w:eastAsia="zh-CN"/>
              </w:rPr>
            </w:pPr>
            <w:r w:rsidRPr="003D7B10">
              <w:rPr>
                <w:b/>
                <w:color w:val="000000"/>
                <w:sz w:val="18"/>
                <w:szCs w:val="18"/>
                <w:lang w:eastAsia="zh-CN"/>
              </w:rPr>
              <w:t>Status*</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BRA/PAG/54/INV/281</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1,178,554</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24,740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ONG</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CPR/PAG/58/INV/488</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1,500,000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6,896.0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ONG</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CPR/PAG/38/INV/397</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2,000,000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CPR/PAG/39/INV/402</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20,000,000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20,000,000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2,638.0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2,638.0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CPR/PAG/43/INV/416</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16,000,000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16,000,000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6,657.0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6,657.0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CPR/PAG/46/INV/432</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2,000,000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4,556.0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4,556.0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16,171.0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16,171.0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CPR/PAG/47/INV/437</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15,000,000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15,000,000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CPR/PAG/48/INV/440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16,000,000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16,000,000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6,642.0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6,642.0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CPR/PAG/48/INV/441</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10,000,000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CPR/PAG/51/INV/448</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5,000,000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5,000,000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6,642.0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6,642.0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CPR/PAG/52/INV/452</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10,000,000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CPR/PAG/54/INV/458</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1,500,000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10,594.0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10,594.0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CPR/PAG/55/INV/463</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5,500,000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CPR/PAG/57/INV/483</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1,000,000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6,587.0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2,591.0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ONG</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COL/PAG/48/INV/66</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114,480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10,117</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7868CF">
            <w:pPr>
              <w:jc w:val="center"/>
              <w:rPr>
                <w:color w:val="000000"/>
                <w:sz w:val="18"/>
                <w:szCs w:val="18"/>
                <w:lang w:eastAsia="zh-CN"/>
              </w:rPr>
            </w:pPr>
            <w:r w:rsidRPr="003D7B10">
              <w:rPr>
                <w:color w:val="000000"/>
                <w:sz w:val="18"/>
                <w:szCs w:val="18"/>
                <w:lang w:eastAsia="zh-CN"/>
              </w:rPr>
              <w:t>ONG**</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IND/PAG/34/INV/313</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155,830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155,830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16.7</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16.7</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IND/PAG/35/INV/338</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383,913</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383,913</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38.5</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38.5</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IND/PAG/34/INV/320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1,964,316</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1,964,316</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248.8</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248.8</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IND/PAG/34/INV/314</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238,180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238,180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34.1</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34.1</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IND/PAG/28/INV/217</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366,000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366,000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375.0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375.0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IND/PAG/34/INV/311</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278,991</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278,991</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133.9</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133.9</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IND/PAG/34/INV/303</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132,880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132,880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23.0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23.0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IND/PAG/32/INV/291</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288,638</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288,638</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94.6</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94.6</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IND/PAG/32/INV/287</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259,474</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259,474</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27.9</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27.9</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IND/PAG/32/INV/284</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249,547</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249,547</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54.2</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54.2</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lastRenderedPageBreak/>
              <w:t>IND/PAG/32/INV/283</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145,736</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145,736</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69.7</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69.7</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IND/PAG/34/INV/316</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127,667</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127,667</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17.9</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17.9</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FIN</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DRK/PAG/49/INV/46</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883,600</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883,600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229.9</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229.9</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MEX/PAG/52/INV/133</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1,518,094</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830,784</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87.3</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87.3</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PAK/PAG/35/INV/42</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485,701</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481,998</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80.0</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80.0</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COM</w:t>
            </w:r>
          </w:p>
        </w:tc>
      </w:tr>
      <w:tr w:rsidR="001E378E" w:rsidRPr="003D7B10" w:rsidTr="001E378E">
        <w:trPr>
          <w:trHeight w:val="420"/>
          <w:jc w:val="center"/>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ROM/PAG/50/INV/36</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1,019,768</w:t>
            </w:r>
          </w:p>
        </w:tc>
        <w:tc>
          <w:tcPr>
            <w:tcW w:w="102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981,107</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120.5</w:t>
            </w:r>
          </w:p>
        </w:tc>
        <w:tc>
          <w:tcPr>
            <w:tcW w:w="125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120.5</w:t>
            </w:r>
          </w:p>
        </w:tc>
        <w:tc>
          <w:tcPr>
            <w:tcW w:w="1100"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right"/>
              <w:rPr>
                <w:color w:val="000000"/>
                <w:sz w:val="18"/>
                <w:szCs w:val="18"/>
                <w:lang w:eastAsia="zh-CN"/>
              </w:rPr>
            </w:pPr>
            <w:r w:rsidRPr="003D7B10">
              <w:rPr>
                <w:color w:val="000000"/>
                <w:sz w:val="18"/>
                <w:szCs w:val="18"/>
                <w:lang w:eastAsia="zh-CN"/>
              </w:rPr>
              <w:t>0.0</w:t>
            </w:r>
          </w:p>
        </w:tc>
        <w:tc>
          <w:tcPr>
            <w:tcW w:w="1077"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left"/>
              <w:rPr>
                <w:color w:val="000000"/>
                <w:sz w:val="18"/>
                <w:szCs w:val="18"/>
                <w:lang w:eastAsia="zh-CN"/>
              </w:rPr>
            </w:pPr>
            <w:r w:rsidRPr="003D7B10">
              <w:rPr>
                <w:color w:val="000000"/>
                <w:sz w:val="18"/>
                <w:szCs w:val="18"/>
                <w:lang w:eastAsia="zh-CN"/>
              </w:rPr>
              <w:t> </w:t>
            </w:r>
          </w:p>
        </w:tc>
        <w:tc>
          <w:tcPr>
            <w:tcW w:w="876" w:type="dxa"/>
            <w:tcBorders>
              <w:top w:val="nil"/>
              <w:left w:val="nil"/>
              <w:bottom w:val="single" w:sz="4" w:space="0" w:color="auto"/>
              <w:right w:val="single" w:sz="4" w:space="0" w:color="auto"/>
            </w:tcBorders>
            <w:shd w:val="clear" w:color="auto" w:fill="auto"/>
            <w:noWrap/>
            <w:vAlign w:val="bottom"/>
            <w:hideMark/>
          </w:tcPr>
          <w:p w:rsidR="001E378E" w:rsidRPr="003D7B10" w:rsidRDefault="001E378E" w:rsidP="00EE3FE3">
            <w:pPr>
              <w:jc w:val="center"/>
              <w:rPr>
                <w:color w:val="000000"/>
                <w:sz w:val="18"/>
                <w:szCs w:val="18"/>
                <w:lang w:eastAsia="zh-CN"/>
              </w:rPr>
            </w:pPr>
            <w:r w:rsidRPr="003D7B10">
              <w:rPr>
                <w:color w:val="000000"/>
                <w:sz w:val="18"/>
                <w:szCs w:val="18"/>
                <w:lang w:eastAsia="zh-CN"/>
              </w:rPr>
              <w:t>ONG</w:t>
            </w:r>
          </w:p>
        </w:tc>
      </w:tr>
    </w:tbl>
    <w:p w:rsidR="00743B59" w:rsidRPr="003D7B10" w:rsidRDefault="0029090D" w:rsidP="00E5265D">
      <w:pPr>
        <w:ind w:left="810" w:hanging="810"/>
        <w:jc w:val="left"/>
        <w:rPr>
          <w:sz w:val="16"/>
          <w:szCs w:val="16"/>
        </w:rPr>
      </w:pPr>
      <w:r w:rsidRPr="003D7B10">
        <w:rPr>
          <w:sz w:val="16"/>
          <w:szCs w:val="16"/>
        </w:rPr>
        <w:t>Note:</w:t>
      </w:r>
      <w:r w:rsidR="004F01B9" w:rsidRPr="003D7B10">
        <w:rPr>
          <w:sz w:val="16"/>
          <w:szCs w:val="16"/>
        </w:rPr>
        <w:t xml:space="preserve"> </w:t>
      </w:r>
      <w:r w:rsidR="00E5265D" w:rsidRPr="003D7B10">
        <w:rPr>
          <w:sz w:val="16"/>
          <w:szCs w:val="16"/>
        </w:rPr>
        <w:tab/>
      </w:r>
      <w:r w:rsidR="005F2C43" w:rsidRPr="003D7B10">
        <w:rPr>
          <w:sz w:val="16"/>
          <w:szCs w:val="16"/>
        </w:rPr>
        <w:t>*</w:t>
      </w:r>
      <w:r w:rsidR="00E5265D" w:rsidRPr="003D7B10">
        <w:rPr>
          <w:sz w:val="16"/>
          <w:szCs w:val="16"/>
        </w:rPr>
        <w:t xml:space="preserve"> </w:t>
      </w:r>
      <w:r w:rsidR="005F2C43" w:rsidRPr="003D7B10">
        <w:rPr>
          <w:sz w:val="16"/>
          <w:szCs w:val="16"/>
        </w:rPr>
        <w:t xml:space="preserve"> COM represent</w:t>
      </w:r>
      <w:r w:rsidR="004F01B9" w:rsidRPr="003D7B10">
        <w:rPr>
          <w:sz w:val="16"/>
          <w:szCs w:val="16"/>
        </w:rPr>
        <w:t>s</w:t>
      </w:r>
      <w:r w:rsidR="005F2C43" w:rsidRPr="003D7B10">
        <w:rPr>
          <w:sz w:val="16"/>
          <w:szCs w:val="16"/>
        </w:rPr>
        <w:t xml:space="preserve"> the project has been operationally completed;</w:t>
      </w:r>
      <w:r w:rsidR="004F01B9" w:rsidRPr="003D7B10">
        <w:rPr>
          <w:sz w:val="16"/>
          <w:szCs w:val="16"/>
        </w:rPr>
        <w:t xml:space="preserve"> </w:t>
      </w:r>
      <w:r w:rsidR="005F2C43" w:rsidRPr="003D7B10">
        <w:rPr>
          <w:sz w:val="16"/>
          <w:szCs w:val="16"/>
        </w:rPr>
        <w:t>FIN represent</w:t>
      </w:r>
      <w:r w:rsidR="004F01B9" w:rsidRPr="003D7B10">
        <w:rPr>
          <w:sz w:val="16"/>
          <w:szCs w:val="16"/>
        </w:rPr>
        <w:t>s</w:t>
      </w:r>
      <w:r w:rsidR="005F2C43" w:rsidRPr="003D7B10">
        <w:rPr>
          <w:sz w:val="16"/>
          <w:szCs w:val="16"/>
        </w:rPr>
        <w:t xml:space="preserve"> the project is complete</w:t>
      </w:r>
      <w:r w:rsidR="004F01B9" w:rsidRPr="003D7B10">
        <w:rPr>
          <w:sz w:val="16"/>
          <w:szCs w:val="16"/>
        </w:rPr>
        <w:t xml:space="preserve">d and the remaining balance </w:t>
      </w:r>
      <w:r w:rsidR="00E5265D" w:rsidRPr="003D7B10">
        <w:rPr>
          <w:sz w:val="16"/>
          <w:szCs w:val="16"/>
        </w:rPr>
        <w:t xml:space="preserve">  </w:t>
      </w:r>
      <w:r w:rsidR="004F01B9" w:rsidRPr="003D7B10">
        <w:rPr>
          <w:sz w:val="16"/>
          <w:szCs w:val="16"/>
        </w:rPr>
        <w:t xml:space="preserve">was </w:t>
      </w:r>
      <w:r w:rsidR="005F2C43" w:rsidRPr="003D7B10">
        <w:rPr>
          <w:sz w:val="16"/>
          <w:szCs w:val="16"/>
        </w:rPr>
        <w:t>returned to the Fund Secretariat</w:t>
      </w:r>
      <w:r w:rsidR="004F01B9" w:rsidRPr="003D7B10">
        <w:rPr>
          <w:sz w:val="16"/>
          <w:szCs w:val="16"/>
        </w:rPr>
        <w:t>; ON</w:t>
      </w:r>
      <w:r w:rsidR="00FD5C3F" w:rsidRPr="003D7B10">
        <w:rPr>
          <w:sz w:val="16"/>
          <w:szCs w:val="16"/>
        </w:rPr>
        <w:t>G</w:t>
      </w:r>
      <w:r w:rsidR="004F01B9" w:rsidRPr="003D7B10">
        <w:rPr>
          <w:sz w:val="16"/>
          <w:szCs w:val="16"/>
        </w:rPr>
        <w:t xml:space="preserve"> represents the project is still </w:t>
      </w:r>
      <w:r w:rsidR="004A20C4" w:rsidRPr="003D7B10">
        <w:rPr>
          <w:sz w:val="16"/>
          <w:szCs w:val="16"/>
        </w:rPr>
        <w:t>on-going</w:t>
      </w:r>
      <w:r w:rsidR="004F01B9" w:rsidRPr="003D7B10">
        <w:rPr>
          <w:sz w:val="16"/>
          <w:szCs w:val="16"/>
        </w:rPr>
        <w:t xml:space="preserve">. </w:t>
      </w:r>
    </w:p>
    <w:p w:rsidR="00743B59" w:rsidRPr="003D7B10" w:rsidRDefault="00491D92" w:rsidP="00E5265D">
      <w:pPr>
        <w:ind w:left="720"/>
        <w:jc w:val="left"/>
        <w:rPr>
          <w:b/>
        </w:rPr>
      </w:pPr>
      <w:r w:rsidRPr="003D7B10">
        <w:rPr>
          <w:sz w:val="16"/>
          <w:szCs w:val="16"/>
        </w:rPr>
        <w:t>**</w:t>
      </w:r>
      <w:r w:rsidRPr="003D7B10">
        <w:t xml:space="preserve"> </w:t>
      </w:r>
      <w:r w:rsidR="00E5265D" w:rsidRPr="003D7B10">
        <w:t xml:space="preserve"> </w:t>
      </w:r>
      <w:r w:rsidRPr="003D7B10">
        <w:rPr>
          <w:sz w:val="16"/>
          <w:szCs w:val="16"/>
        </w:rPr>
        <w:t>Workshops to assist the CTC users in laboratory and analytical applications to update their techniques</w:t>
      </w:r>
      <w:r w:rsidR="0014086E" w:rsidRPr="003D7B10">
        <w:rPr>
          <w:sz w:val="16"/>
          <w:szCs w:val="16"/>
        </w:rPr>
        <w:t xml:space="preserve"> were</w:t>
      </w:r>
      <w:r w:rsidRPr="003D7B10">
        <w:rPr>
          <w:sz w:val="16"/>
          <w:szCs w:val="16"/>
        </w:rPr>
        <w:t xml:space="preserve"> completed. With regards to PRODESAL</w:t>
      </w:r>
      <w:r w:rsidR="0014086E" w:rsidRPr="003D7B10">
        <w:rPr>
          <w:sz w:val="16"/>
          <w:szCs w:val="16"/>
        </w:rPr>
        <w:t>,</w:t>
      </w:r>
      <w:r w:rsidRPr="003D7B10">
        <w:rPr>
          <w:sz w:val="16"/>
          <w:szCs w:val="16"/>
        </w:rPr>
        <w:t xml:space="preserve"> implementation continues. Company sent conversion plan to UNDP for review, plan agreed and bidding process started. Associated expenditures to take place in 2010.  Completion expected in mid-2010.</w:t>
      </w:r>
    </w:p>
    <w:p w:rsidR="005F2C43" w:rsidRPr="003D7B10" w:rsidRDefault="005F2C43" w:rsidP="005F2C43">
      <w:pPr>
        <w:jc w:val="center"/>
        <w:rPr>
          <w:b/>
        </w:rPr>
      </w:pPr>
    </w:p>
    <w:p w:rsidR="00FA7BE4" w:rsidRPr="003D7B10" w:rsidRDefault="00FA7BE4" w:rsidP="003B6556">
      <w:pPr>
        <w:pStyle w:val="0Heading0"/>
        <w:jc w:val="center"/>
        <w:rPr>
          <w:u w:val="single"/>
        </w:rPr>
      </w:pPr>
    </w:p>
    <w:p w:rsidR="003B6556" w:rsidRPr="003D7B10" w:rsidRDefault="00FA7BE4" w:rsidP="003B6556">
      <w:pPr>
        <w:pStyle w:val="0Heading0"/>
        <w:jc w:val="center"/>
        <w:rPr>
          <w:u w:val="single"/>
        </w:rPr>
      </w:pPr>
      <w:r w:rsidRPr="003D7B10">
        <w:rPr>
          <w:u w:val="single"/>
        </w:rPr>
        <w:t xml:space="preserve">Table </w:t>
      </w:r>
      <w:r w:rsidR="004F01B9" w:rsidRPr="003D7B10">
        <w:rPr>
          <w:u w:val="single"/>
        </w:rPr>
        <w:t>2</w:t>
      </w:r>
      <w:r w:rsidR="00146B2B" w:rsidRPr="003D7B10">
        <w:rPr>
          <w:u w:val="single"/>
        </w:rPr>
        <w:t xml:space="preserve"> - </w:t>
      </w:r>
      <w:r w:rsidR="003B6556" w:rsidRPr="003D7B10">
        <w:rPr>
          <w:u w:val="single"/>
        </w:rPr>
        <w:t xml:space="preserve">List of the applications of CTC as </w:t>
      </w:r>
      <w:r w:rsidR="00146B2B" w:rsidRPr="003D7B10">
        <w:rPr>
          <w:u w:val="single"/>
        </w:rPr>
        <w:t xml:space="preserve">a </w:t>
      </w:r>
      <w:r w:rsidR="002B7186" w:rsidRPr="003D7B10">
        <w:rPr>
          <w:u w:val="single"/>
        </w:rPr>
        <w:t xml:space="preserve">process agent </w:t>
      </w:r>
      <w:r w:rsidR="003B6556" w:rsidRPr="003D7B10">
        <w:rPr>
          <w:u w:val="single"/>
        </w:rPr>
        <w:t xml:space="preserve">in </w:t>
      </w:r>
      <w:r w:rsidR="002B7186" w:rsidRPr="003D7B10">
        <w:rPr>
          <w:u w:val="single"/>
        </w:rPr>
        <w:t>Plan I in China</w:t>
      </w:r>
      <w:r w:rsidR="004B670D" w:rsidRPr="003D7B10">
        <w:rPr>
          <w:u w:val="single"/>
        </w:rPr>
        <w:t xml:space="preserve"> </w:t>
      </w:r>
      <w:r w:rsidR="00E3512E" w:rsidRPr="003D7B10">
        <w:rPr>
          <w:u w:val="single"/>
        </w:rPr>
        <w:t xml:space="preserve">in 2009 </w:t>
      </w:r>
    </w:p>
    <w:p w:rsidR="002E036C" w:rsidRPr="003D7B10" w:rsidRDefault="002E036C" w:rsidP="003B6556">
      <w:pPr>
        <w:pStyle w:val="0Heading0"/>
        <w:jc w:val="center"/>
        <w:rPr>
          <w:u w:val="single"/>
        </w:rPr>
      </w:pPr>
    </w:p>
    <w:tbl>
      <w:tblPr>
        <w:tblW w:w="7980" w:type="dxa"/>
        <w:jc w:val="center"/>
        <w:tblInd w:w="103" w:type="dxa"/>
        <w:tblLook w:val="04A0" w:firstRow="1" w:lastRow="0" w:firstColumn="1" w:lastColumn="0" w:noHBand="0" w:noVBand="1"/>
      </w:tblPr>
      <w:tblGrid>
        <w:gridCol w:w="2140"/>
        <w:gridCol w:w="1460"/>
        <w:gridCol w:w="1460"/>
        <w:gridCol w:w="1460"/>
        <w:gridCol w:w="1460"/>
      </w:tblGrid>
      <w:tr w:rsidR="002E036C" w:rsidRPr="00447ACB" w:rsidTr="00E800C3">
        <w:trPr>
          <w:trHeight w:val="765"/>
          <w:jc w:val="center"/>
        </w:trPr>
        <w:tc>
          <w:tcPr>
            <w:tcW w:w="2140" w:type="dxa"/>
            <w:tcBorders>
              <w:top w:val="single" w:sz="4" w:space="0" w:color="auto"/>
              <w:left w:val="single" w:sz="4" w:space="0" w:color="auto"/>
              <w:bottom w:val="single" w:sz="4" w:space="0" w:color="auto"/>
              <w:right w:val="single" w:sz="4" w:space="0" w:color="auto"/>
            </w:tcBorders>
            <w:shd w:val="clear" w:color="auto" w:fill="auto"/>
            <w:hideMark/>
          </w:tcPr>
          <w:p w:rsidR="002E036C" w:rsidRPr="003D7B10" w:rsidRDefault="002E036C" w:rsidP="002E036C">
            <w:pPr>
              <w:jc w:val="center"/>
              <w:rPr>
                <w:b/>
                <w:bCs/>
                <w:color w:val="000000"/>
                <w:sz w:val="18"/>
                <w:szCs w:val="18"/>
                <w:lang w:eastAsia="zh-CN"/>
              </w:rPr>
            </w:pPr>
            <w:r w:rsidRPr="003D7B10">
              <w:rPr>
                <w:b/>
                <w:bCs/>
                <w:color w:val="000000"/>
                <w:sz w:val="18"/>
                <w:szCs w:val="18"/>
                <w:lang w:eastAsia="zh-CN"/>
              </w:rPr>
              <w:t>Applications</w:t>
            </w:r>
          </w:p>
        </w:tc>
        <w:tc>
          <w:tcPr>
            <w:tcW w:w="1460" w:type="dxa"/>
            <w:tcBorders>
              <w:top w:val="single" w:sz="4" w:space="0" w:color="auto"/>
              <w:left w:val="nil"/>
              <w:bottom w:val="single" w:sz="4" w:space="0" w:color="auto"/>
              <w:right w:val="single" w:sz="4" w:space="0" w:color="auto"/>
            </w:tcBorders>
            <w:shd w:val="clear" w:color="auto" w:fill="auto"/>
            <w:hideMark/>
          </w:tcPr>
          <w:p w:rsidR="002E036C" w:rsidRPr="003D7B10" w:rsidRDefault="002E036C" w:rsidP="009D5292">
            <w:pPr>
              <w:jc w:val="center"/>
              <w:rPr>
                <w:b/>
                <w:bCs/>
                <w:color w:val="000000"/>
                <w:sz w:val="18"/>
                <w:szCs w:val="18"/>
                <w:lang w:eastAsia="zh-CN"/>
              </w:rPr>
            </w:pPr>
            <w:r w:rsidRPr="003D7B10">
              <w:rPr>
                <w:b/>
                <w:bCs/>
                <w:color w:val="000000"/>
                <w:sz w:val="18"/>
                <w:szCs w:val="18"/>
                <w:lang w:eastAsia="zh-CN"/>
              </w:rPr>
              <w:t>CTC consumption* (M</w:t>
            </w:r>
            <w:r w:rsidR="00375C98" w:rsidRPr="003D7B10">
              <w:rPr>
                <w:b/>
                <w:bCs/>
                <w:color w:val="000000"/>
                <w:sz w:val="18"/>
                <w:szCs w:val="18"/>
                <w:lang w:eastAsia="zh-CN"/>
              </w:rPr>
              <w:t xml:space="preserve">etric </w:t>
            </w:r>
            <w:r w:rsidRPr="003D7B10">
              <w:rPr>
                <w:b/>
                <w:bCs/>
                <w:color w:val="000000"/>
                <w:sz w:val="18"/>
                <w:szCs w:val="18"/>
                <w:lang w:eastAsia="zh-CN"/>
              </w:rPr>
              <w:t>t</w:t>
            </w:r>
            <w:r w:rsidR="00375C98" w:rsidRPr="003D7B10">
              <w:rPr>
                <w:b/>
                <w:bCs/>
                <w:color w:val="000000"/>
                <w:sz w:val="18"/>
                <w:szCs w:val="18"/>
                <w:lang w:eastAsia="zh-CN"/>
              </w:rPr>
              <w:t>onnes</w:t>
            </w:r>
            <w:r w:rsidRPr="003D7B10">
              <w:rPr>
                <w:b/>
                <w:bCs/>
                <w:color w:val="000000"/>
                <w:sz w:val="18"/>
                <w:szCs w:val="18"/>
                <w:lang w:eastAsia="zh-CN"/>
              </w:rPr>
              <w:t>)</w:t>
            </w:r>
          </w:p>
        </w:tc>
        <w:tc>
          <w:tcPr>
            <w:tcW w:w="1460" w:type="dxa"/>
            <w:tcBorders>
              <w:top w:val="single" w:sz="4" w:space="0" w:color="auto"/>
              <w:left w:val="nil"/>
              <w:bottom w:val="single" w:sz="4" w:space="0" w:color="auto"/>
              <w:right w:val="single" w:sz="4" w:space="0" w:color="auto"/>
            </w:tcBorders>
            <w:shd w:val="clear" w:color="auto" w:fill="auto"/>
            <w:hideMark/>
          </w:tcPr>
          <w:p w:rsidR="002E036C" w:rsidRPr="003D7B10" w:rsidRDefault="002E036C" w:rsidP="009D5292">
            <w:pPr>
              <w:jc w:val="center"/>
              <w:rPr>
                <w:b/>
                <w:bCs/>
                <w:color w:val="000000"/>
                <w:sz w:val="18"/>
                <w:szCs w:val="18"/>
                <w:lang w:eastAsia="zh-CN"/>
              </w:rPr>
            </w:pPr>
            <w:r w:rsidRPr="003D7B10">
              <w:rPr>
                <w:b/>
                <w:bCs/>
                <w:color w:val="000000"/>
                <w:sz w:val="18"/>
                <w:szCs w:val="18"/>
                <w:lang w:eastAsia="zh-CN"/>
              </w:rPr>
              <w:t>CTC consumption* (ODP t</w:t>
            </w:r>
            <w:r w:rsidR="00375C98" w:rsidRPr="003D7B10">
              <w:rPr>
                <w:b/>
                <w:bCs/>
                <w:color w:val="000000"/>
                <w:sz w:val="18"/>
                <w:szCs w:val="18"/>
                <w:lang w:eastAsia="zh-CN"/>
              </w:rPr>
              <w:t>onnes</w:t>
            </w:r>
            <w:r w:rsidRPr="003D7B10">
              <w:rPr>
                <w:b/>
                <w:bCs/>
                <w:color w:val="000000"/>
                <w:sz w:val="18"/>
                <w:szCs w:val="18"/>
                <w:lang w:eastAsia="zh-CN"/>
              </w:rPr>
              <w:t>)</w:t>
            </w:r>
          </w:p>
        </w:tc>
        <w:tc>
          <w:tcPr>
            <w:tcW w:w="1460" w:type="dxa"/>
            <w:tcBorders>
              <w:top w:val="single" w:sz="4" w:space="0" w:color="auto"/>
              <w:left w:val="nil"/>
              <w:bottom w:val="single" w:sz="4" w:space="0" w:color="auto"/>
              <w:right w:val="single" w:sz="4" w:space="0" w:color="auto"/>
            </w:tcBorders>
            <w:shd w:val="clear" w:color="auto" w:fill="auto"/>
            <w:hideMark/>
          </w:tcPr>
          <w:p w:rsidR="002E036C" w:rsidRPr="006C6BE5" w:rsidRDefault="002E036C" w:rsidP="002E036C">
            <w:pPr>
              <w:jc w:val="center"/>
              <w:rPr>
                <w:b/>
                <w:bCs/>
                <w:color w:val="000000"/>
                <w:sz w:val="18"/>
                <w:szCs w:val="18"/>
                <w:lang w:val="fr-CA" w:eastAsia="zh-CN"/>
              </w:rPr>
            </w:pPr>
            <w:r w:rsidRPr="006C6BE5">
              <w:rPr>
                <w:b/>
                <w:bCs/>
                <w:color w:val="000000"/>
                <w:sz w:val="18"/>
                <w:szCs w:val="18"/>
                <w:lang w:val="fr-CA" w:eastAsia="zh-CN"/>
              </w:rPr>
              <w:t>CTC maximum emission** (M</w:t>
            </w:r>
            <w:r w:rsidR="00375C98" w:rsidRPr="006C6BE5">
              <w:rPr>
                <w:b/>
                <w:bCs/>
                <w:color w:val="000000"/>
                <w:sz w:val="18"/>
                <w:szCs w:val="18"/>
                <w:lang w:val="fr-CA" w:eastAsia="zh-CN"/>
              </w:rPr>
              <w:t>e</w:t>
            </w:r>
            <w:r w:rsidRPr="006C6BE5">
              <w:rPr>
                <w:b/>
                <w:bCs/>
                <w:color w:val="000000"/>
                <w:sz w:val="18"/>
                <w:szCs w:val="18"/>
                <w:lang w:val="fr-CA" w:eastAsia="zh-CN"/>
              </w:rPr>
              <w:t>t</w:t>
            </w:r>
            <w:r w:rsidR="00375C98" w:rsidRPr="006C6BE5">
              <w:rPr>
                <w:b/>
                <w:bCs/>
                <w:color w:val="000000"/>
                <w:sz w:val="18"/>
                <w:szCs w:val="18"/>
                <w:lang w:val="fr-CA" w:eastAsia="zh-CN"/>
              </w:rPr>
              <w:t>ric tonnes</w:t>
            </w:r>
            <w:r w:rsidRPr="006C6BE5">
              <w:rPr>
                <w:b/>
                <w:bCs/>
                <w:color w:val="000000"/>
                <w:sz w:val="18"/>
                <w:szCs w:val="18"/>
                <w:lang w:val="fr-CA" w:eastAsia="zh-CN"/>
              </w:rPr>
              <w:t>)</w:t>
            </w:r>
          </w:p>
        </w:tc>
        <w:tc>
          <w:tcPr>
            <w:tcW w:w="1460" w:type="dxa"/>
            <w:tcBorders>
              <w:top w:val="single" w:sz="4" w:space="0" w:color="auto"/>
              <w:left w:val="nil"/>
              <w:bottom w:val="single" w:sz="4" w:space="0" w:color="auto"/>
              <w:right w:val="single" w:sz="4" w:space="0" w:color="auto"/>
            </w:tcBorders>
            <w:shd w:val="clear" w:color="auto" w:fill="auto"/>
            <w:hideMark/>
          </w:tcPr>
          <w:p w:rsidR="002E036C" w:rsidRPr="006C6BE5" w:rsidRDefault="002E036C" w:rsidP="002E036C">
            <w:pPr>
              <w:jc w:val="center"/>
              <w:rPr>
                <w:b/>
                <w:bCs/>
                <w:color w:val="000000"/>
                <w:sz w:val="18"/>
                <w:szCs w:val="18"/>
                <w:lang w:val="fr-CA" w:eastAsia="zh-CN"/>
              </w:rPr>
            </w:pPr>
            <w:r w:rsidRPr="006C6BE5">
              <w:rPr>
                <w:b/>
                <w:bCs/>
                <w:color w:val="000000"/>
                <w:sz w:val="18"/>
                <w:szCs w:val="18"/>
                <w:lang w:val="fr-CA" w:eastAsia="zh-CN"/>
              </w:rPr>
              <w:t>CTC maximum emission** (ODP t</w:t>
            </w:r>
            <w:r w:rsidR="00375C98" w:rsidRPr="006C6BE5">
              <w:rPr>
                <w:b/>
                <w:bCs/>
                <w:color w:val="000000"/>
                <w:sz w:val="18"/>
                <w:szCs w:val="18"/>
                <w:lang w:val="fr-CA" w:eastAsia="zh-CN"/>
              </w:rPr>
              <w:t>onnes</w:t>
            </w:r>
            <w:r w:rsidRPr="006C6BE5">
              <w:rPr>
                <w:b/>
                <w:bCs/>
                <w:color w:val="000000"/>
                <w:sz w:val="18"/>
                <w:szCs w:val="18"/>
                <w:lang w:val="fr-CA" w:eastAsia="zh-CN"/>
              </w:rPr>
              <w:t>)</w:t>
            </w:r>
          </w:p>
        </w:tc>
      </w:tr>
      <w:tr w:rsidR="003151BC" w:rsidRPr="003D7B10" w:rsidTr="008F4093">
        <w:trPr>
          <w:trHeight w:val="300"/>
          <w:jc w:val="center"/>
        </w:trPr>
        <w:tc>
          <w:tcPr>
            <w:tcW w:w="2140" w:type="dxa"/>
            <w:tcBorders>
              <w:top w:val="nil"/>
              <w:left w:val="single" w:sz="4" w:space="0" w:color="auto"/>
              <w:bottom w:val="single" w:sz="4" w:space="0" w:color="auto"/>
              <w:right w:val="single" w:sz="4" w:space="0" w:color="auto"/>
            </w:tcBorders>
            <w:shd w:val="clear" w:color="auto" w:fill="auto"/>
            <w:hideMark/>
          </w:tcPr>
          <w:p w:rsidR="003151BC" w:rsidRPr="003D7B10" w:rsidRDefault="003151BC" w:rsidP="00200A0A">
            <w:pPr>
              <w:jc w:val="left"/>
              <w:rPr>
                <w:color w:val="000000"/>
                <w:sz w:val="18"/>
                <w:szCs w:val="18"/>
                <w:lang w:eastAsia="zh-CN"/>
              </w:rPr>
            </w:pPr>
            <w:r w:rsidRPr="003D7B10">
              <w:rPr>
                <w:color w:val="000000"/>
                <w:sz w:val="18"/>
                <w:szCs w:val="18"/>
                <w:lang w:eastAsia="zh-CN"/>
              </w:rPr>
              <w:t xml:space="preserve">Chlorinated rubber </w:t>
            </w:r>
            <w:r w:rsidRPr="003D7B10">
              <w:rPr>
                <w:color w:val="000000"/>
                <w:sz w:val="18"/>
                <w:szCs w:val="18"/>
                <w:lang w:eastAsia="zh-CN"/>
              </w:rPr>
              <w:br/>
              <w:t>(CR; 2 enterprises)</w:t>
            </w:r>
          </w:p>
        </w:tc>
        <w:tc>
          <w:tcPr>
            <w:tcW w:w="1460" w:type="dxa"/>
            <w:tcBorders>
              <w:top w:val="nil"/>
              <w:left w:val="nil"/>
              <w:bottom w:val="single" w:sz="4" w:space="0" w:color="auto"/>
              <w:right w:val="single" w:sz="4" w:space="0" w:color="auto"/>
            </w:tcBorders>
            <w:shd w:val="clear" w:color="auto" w:fill="auto"/>
            <w:vAlign w:val="bottom"/>
            <w:hideMark/>
          </w:tcPr>
          <w:p w:rsidR="003151BC" w:rsidRPr="003D7B10" w:rsidRDefault="003151BC">
            <w:pPr>
              <w:jc w:val="right"/>
              <w:rPr>
                <w:color w:val="000000"/>
                <w:sz w:val="18"/>
                <w:szCs w:val="18"/>
              </w:rPr>
            </w:pPr>
            <w:r w:rsidRPr="003D7B10">
              <w:rPr>
                <w:color w:val="000000"/>
                <w:sz w:val="18"/>
                <w:szCs w:val="18"/>
              </w:rPr>
              <w:t>161.74</w:t>
            </w:r>
          </w:p>
        </w:tc>
        <w:tc>
          <w:tcPr>
            <w:tcW w:w="1460" w:type="dxa"/>
            <w:tcBorders>
              <w:top w:val="nil"/>
              <w:left w:val="nil"/>
              <w:bottom w:val="single" w:sz="4" w:space="0" w:color="auto"/>
              <w:right w:val="single" w:sz="4" w:space="0" w:color="auto"/>
            </w:tcBorders>
            <w:shd w:val="clear" w:color="auto" w:fill="auto"/>
            <w:noWrap/>
            <w:vAlign w:val="bottom"/>
            <w:hideMark/>
          </w:tcPr>
          <w:p w:rsidR="003151BC" w:rsidRPr="003D7B10" w:rsidRDefault="003151BC">
            <w:pPr>
              <w:jc w:val="right"/>
              <w:rPr>
                <w:color w:val="000000"/>
                <w:sz w:val="18"/>
                <w:szCs w:val="18"/>
              </w:rPr>
            </w:pPr>
            <w:r w:rsidRPr="003D7B10">
              <w:rPr>
                <w:color w:val="000000"/>
                <w:sz w:val="18"/>
                <w:szCs w:val="18"/>
              </w:rPr>
              <w:t>177.91</w:t>
            </w:r>
          </w:p>
        </w:tc>
        <w:tc>
          <w:tcPr>
            <w:tcW w:w="1460" w:type="dxa"/>
            <w:tcBorders>
              <w:top w:val="nil"/>
              <w:left w:val="nil"/>
              <w:bottom w:val="single" w:sz="4" w:space="0" w:color="auto"/>
              <w:right w:val="single" w:sz="4" w:space="0" w:color="auto"/>
            </w:tcBorders>
            <w:shd w:val="clear" w:color="auto" w:fill="auto"/>
            <w:vAlign w:val="bottom"/>
            <w:hideMark/>
          </w:tcPr>
          <w:p w:rsidR="003151BC" w:rsidRPr="003D7B10" w:rsidRDefault="003151BC">
            <w:pPr>
              <w:jc w:val="right"/>
              <w:rPr>
                <w:color w:val="000000"/>
                <w:sz w:val="18"/>
                <w:szCs w:val="18"/>
              </w:rPr>
            </w:pPr>
            <w:r w:rsidRPr="003D7B10">
              <w:rPr>
                <w:color w:val="000000"/>
                <w:sz w:val="18"/>
                <w:szCs w:val="18"/>
              </w:rPr>
              <w:t>294.55</w:t>
            </w:r>
          </w:p>
        </w:tc>
        <w:tc>
          <w:tcPr>
            <w:tcW w:w="1460" w:type="dxa"/>
            <w:tcBorders>
              <w:top w:val="nil"/>
              <w:left w:val="nil"/>
              <w:bottom w:val="single" w:sz="4" w:space="0" w:color="auto"/>
              <w:right w:val="single" w:sz="4" w:space="0" w:color="auto"/>
            </w:tcBorders>
            <w:shd w:val="clear" w:color="auto" w:fill="auto"/>
            <w:noWrap/>
            <w:vAlign w:val="bottom"/>
            <w:hideMark/>
          </w:tcPr>
          <w:p w:rsidR="003151BC" w:rsidRPr="003D7B10" w:rsidRDefault="003151BC">
            <w:pPr>
              <w:jc w:val="right"/>
              <w:rPr>
                <w:color w:val="000000"/>
                <w:sz w:val="18"/>
                <w:szCs w:val="18"/>
              </w:rPr>
            </w:pPr>
            <w:r w:rsidRPr="003D7B10">
              <w:rPr>
                <w:color w:val="000000"/>
                <w:sz w:val="18"/>
                <w:szCs w:val="18"/>
              </w:rPr>
              <w:t>324.01</w:t>
            </w:r>
          </w:p>
        </w:tc>
      </w:tr>
      <w:tr w:rsidR="002E036C" w:rsidRPr="003D7B10" w:rsidTr="008F4093">
        <w:trPr>
          <w:trHeight w:val="510"/>
          <w:jc w:val="center"/>
        </w:trPr>
        <w:tc>
          <w:tcPr>
            <w:tcW w:w="2140" w:type="dxa"/>
            <w:tcBorders>
              <w:top w:val="nil"/>
              <w:left w:val="single" w:sz="4" w:space="0" w:color="auto"/>
              <w:bottom w:val="single" w:sz="4" w:space="0" w:color="auto"/>
              <w:right w:val="single" w:sz="4" w:space="0" w:color="auto"/>
            </w:tcBorders>
            <w:shd w:val="clear" w:color="auto" w:fill="auto"/>
            <w:hideMark/>
          </w:tcPr>
          <w:p w:rsidR="002E036C" w:rsidRPr="003D7B10" w:rsidRDefault="002E036C" w:rsidP="002E036C">
            <w:pPr>
              <w:jc w:val="left"/>
              <w:rPr>
                <w:color w:val="000000"/>
                <w:sz w:val="18"/>
                <w:szCs w:val="18"/>
                <w:lang w:eastAsia="zh-CN"/>
              </w:rPr>
            </w:pPr>
            <w:r w:rsidRPr="003D7B10">
              <w:rPr>
                <w:color w:val="000000"/>
                <w:sz w:val="18"/>
                <w:szCs w:val="18"/>
                <w:lang w:eastAsia="zh-CN"/>
              </w:rPr>
              <w:t>Chlorosulphonated polyethylene (CSM)</w:t>
            </w:r>
          </w:p>
        </w:tc>
        <w:tc>
          <w:tcPr>
            <w:tcW w:w="1460" w:type="dxa"/>
            <w:tcBorders>
              <w:top w:val="nil"/>
              <w:left w:val="nil"/>
              <w:bottom w:val="single" w:sz="4" w:space="0" w:color="auto"/>
              <w:right w:val="single" w:sz="4" w:space="0" w:color="auto"/>
            </w:tcBorders>
            <w:shd w:val="clear" w:color="auto" w:fill="auto"/>
            <w:vAlign w:val="bottom"/>
            <w:hideMark/>
          </w:tcPr>
          <w:p w:rsidR="002E036C" w:rsidRPr="003D7B10" w:rsidRDefault="002E036C" w:rsidP="008F4093">
            <w:pPr>
              <w:jc w:val="right"/>
              <w:rPr>
                <w:color w:val="000000"/>
                <w:sz w:val="18"/>
                <w:szCs w:val="18"/>
                <w:lang w:eastAsia="zh-CN"/>
              </w:rPr>
            </w:pPr>
            <w:r w:rsidRPr="003D7B10">
              <w:rPr>
                <w:color w:val="000000"/>
                <w:sz w:val="18"/>
                <w:szCs w:val="18"/>
                <w:lang w:eastAsia="zh-CN"/>
              </w:rPr>
              <w:t>258.40</w:t>
            </w:r>
          </w:p>
        </w:tc>
        <w:tc>
          <w:tcPr>
            <w:tcW w:w="1460" w:type="dxa"/>
            <w:tcBorders>
              <w:top w:val="nil"/>
              <w:left w:val="nil"/>
              <w:bottom w:val="single" w:sz="4" w:space="0" w:color="auto"/>
              <w:right w:val="single" w:sz="4" w:space="0" w:color="auto"/>
            </w:tcBorders>
            <w:shd w:val="clear" w:color="auto" w:fill="auto"/>
            <w:noWrap/>
            <w:vAlign w:val="bottom"/>
            <w:hideMark/>
          </w:tcPr>
          <w:p w:rsidR="002E036C" w:rsidRPr="003D7B10" w:rsidRDefault="002E036C" w:rsidP="008F4093">
            <w:pPr>
              <w:jc w:val="right"/>
              <w:rPr>
                <w:color w:val="000000"/>
                <w:sz w:val="18"/>
                <w:szCs w:val="18"/>
                <w:lang w:eastAsia="zh-CN"/>
              </w:rPr>
            </w:pPr>
            <w:r w:rsidRPr="003D7B10">
              <w:rPr>
                <w:color w:val="000000"/>
                <w:sz w:val="18"/>
                <w:szCs w:val="18"/>
                <w:lang w:eastAsia="zh-CN"/>
              </w:rPr>
              <w:t>284.24</w:t>
            </w:r>
          </w:p>
        </w:tc>
        <w:tc>
          <w:tcPr>
            <w:tcW w:w="1460" w:type="dxa"/>
            <w:tcBorders>
              <w:top w:val="nil"/>
              <w:left w:val="nil"/>
              <w:bottom w:val="single" w:sz="4" w:space="0" w:color="auto"/>
              <w:right w:val="single" w:sz="4" w:space="0" w:color="auto"/>
            </w:tcBorders>
            <w:shd w:val="clear" w:color="auto" w:fill="auto"/>
            <w:vAlign w:val="bottom"/>
            <w:hideMark/>
          </w:tcPr>
          <w:p w:rsidR="002E036C" w:rsidRPr="003D7B10" w:rsidRDefault="002E036C" w:rsidP="008F4093">
            <w:pPr>
              <w:jc w:val="right"/>
              <w:rPr>
                <w:color w:val="000000"/>
                <w:sz w:val="18"/>
                <w:szCs w:val="18"/>
                <w:lang w:eastAsia="zh-CN"/>
              </w:rPr>
            </w:pPr>
            <w:r w:rsidRPr="003D7B10">
              <w:rPr>
                <w:color w:val="000000"/>
                <w:sz w:val="18"/>
                <w:szCs w:val="18"/>
                <w:lang w:eastAsia="zh-CN"/>
              </w:rPr>
              <w:t>296.57</w:t>
            </w:r>
          </w:p>
        </w:tc>
        <w:tc>
          <w:tcPr>
            <w:tcW w:w="1460" w:type="dxa"/>
            <w:tcBorders>
              <w:top w:val="nil"/>
              <w:left w:val="nil"/>
              <w:bottom w:val="single" w:sz="4" w:space="0" w:color="auto"/>
              <w:right w:val="single" w:sz="4" w:space="0" w:color="auto"/>
            </w:tcBorders>
            <w:shd w:val="clear" w:color="auto" w:fill="auto"/>
            <w:noWrap/>
            <w:vAlign w:val="bottom"/>
            <w:hideMark/>
          </w:tcPr>
          <w:p w:rsidR="002E036C" w:rsidRPr="003D7B10" w:rsidRDefault="002E036C" w:rsidP="008F4093">
            <w:pPr>
              <w:jc w:val="right"/>
              <w:rPr>
                <w:color w:val="000000"/>
                <w:sz w:val="18"/>
                <w:szCs w:val="18"/>
                <w:lang w:eastAsia="zh-CN"/>
              </w:rPr>
            </w:pPr>
            <w:r w:rsidRPr="003D7B10">
              <w:rPr>
                <w:color w:val="000000"/>
                <w:sz w:val="18"/>
                <w:szCs w:val="18"/>
                <w:lang w:eastAsia="zh-CN"/>
              </w:rPr>
              <w:t>326.23</w:t>
            </w:r>
          </w:p>
        </w:tc>
      </w:tr>
      <w:tr w:rsidR="002E036C" w:rsidRPr="003D7B10" w:rsidTr="008F4093">
        <w:trPr>
          <w:trHeight w:val="330"/>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2E036C" w:rsidRPr="003D7B10" w:rsidRDefault="002E036C" w:rsidP="00375C98">
            <w:pPr>
              <w:jc w:val="left"/>
              <w:rPr>
                <w:color w:val="000000"/>
                <w:sz w:val="18"/>
                <w:szCs w:val="18"/>
                <w:lang w:eastAsia="zh-CN"/>
              </w:rPr>
            </w:pPr>
            <w:r w:rsidRPr="003D7B10">
              <w:rPr>
                <w:color w:val="000000"/>
                <w:sz w:val="18"/>
                <w:szCs w:val="18"/>
                <w:lang w:eastAsia="zh-CN"/>
              </w:rPr>
              <w:t xml:space="preserve">Total </w:t>
            </w:r>
          </w:p>
        </w:tc>
        <w:tc>
          <w:tcPr>
            <w:tcW w:w="1460" w:type="dxa"/>
            <w:tcBorders>
              <w:top w:val="nil"/>
              <w:left w:val="nil"/>
              <w:bottom w:val="single" w:sz="4" w:space="0" w:color="auto"/>
              <w:right w:val="single" w:sz="4" w:space="0" w:color="auto"/>
            </w:tcBorders>
            <w:shd w:val="clear" w:color="auto" w:fill="auto"/>
            <w:vAlign w:val="bottom"/>
            <w:hideMark/>
          </w:tcPr>
          <w:p w:rsidR="002E036C" w:rsidRPr="003D7B10" w:rsidRDefault="002E036C" w:rsidP="008F4093">
            <w:pPr>
              <w:jc w:val="right"/>
              <w:rPr>
                <w:color w:val="000000"/>
                <w:sz w:val="18"/>
                <w:szCs w:val="18"/>
                <w:lang w:eastAsia="zh-CN"/>
              </w:rPr>
            </w:pPr>
            <w:r w:rsidRPr="003D7B10">
              <w:rPr>
                <w:color w:val="000000"/>
                <w:sz w:val="18"/>
                <w:szCs w:val="18"/>
                <w:lang w:eastAsia="zh-CN"/>
              </w:rPr>
              <w:t>420.14</w:t>
            </w:r>
          </w:p>
        </w:tc>
        <w:tc>
          <w:tcPr>
            <w:tcW w:w="1460" w:type="dxa"/>
            <w:tcBorders>
              <w:top w:val="nil"/>
              <w:left w:val="nil"/>
              <w:bottom w:val="single" w:sz="4" w:space="0" w:color="auto"/>
              <w:right w:val="single" w:sz="4" w:space="0" w:color="auto"/>
            </w:tcBorders>
            <w:shd w:val="clear" w:color="auto" w:fill="auto"/>
            <w:noWrap/>
            <w:vAlign w:val="bottom"/>
            <w:hideMark/>
          </w:tcPr>
          <w:p w:rsidR="002E036C" w:rsidRPr="003D7B10" w:rsidRDefault="002E036C" w:rsidP="008F4093">
            <w:pPr>
              <w:jc w:val="right"/>
              <w:rPr>
                <w:color w:val="000000"/>
                <w:sz w:val="18"/>
                <w:szCs w:val="18"/>
                <w:lang w:eastAsia="zh-CN"/>
              </w:rPr>
            </w:pPr>
            <w:r w:rsidRPr="003D7B10">
              <w:rPr>
                <w:color w:val="000000"/>
                <w:sz w:val="18"/>
                <w:szCs w:val="18"/>
                <w:lang w:eastAsia="zh-CN"/>
              </w:rPr>
              <w:t>462.15</w:t>
            </w:r>
          </w:p>
        </w:tc>
        <w:tc>
          <w:tcPr>
            <w:tcW w:w="1460" w:type="dxa"/>
            <w:tcBorders>
              <w:top w:val="nil"/>
              <w:left w:val="nil"/>
              <w:bottom w:val="single" w:sz="4" w:space="0" w:color="auto"/>
              <w:right w:val="single" w:sz="4" w:space="0" w:color="auto"/>
            </w:tcBorders>
            <w:shd w:val="clear" w:color="auto" w:fill="auto"/>
            <w:vAlign w:val="bottom"/>
            <w:hideMark/>
          </w:tcPr>
          <w:p w:rsidR="002E036C" w:rsidRPr="003D7B10" w:rsidRDefault="002E036C" w:rsidP="008F4093">
            <w:pPr>
              <w:jc w:val="right"/>
              <w:rPr>
                <w:color w:val="000000"/>
                <w:sz w:val="18"/>
                <w:szCs w:val="18"/>
                <w:lang w:eastAsia="zh-CN"/>
              </w:rPr>
            </w:pPr>
            <w:r w:rsidRPr="003D7B10">
              <w:rPr>
                <w:color w:val="000000"/>
                <w:sz w:val="18"/>
                <w:szCs w:val="18"/>
                <w:lang w:eastAsia="zh-CN"/>
              </w:rPr>
              <w:t>591.12</w:t>
            </w:r>
          </w:p>
        </w:tc>
        <w:tc>
          <w:tcPr>
            <w:tcW w:w="1460" w:type="dxa"/>
            <w:tcBorders>
              <w:top w:val="nil"/>
              <w:left w:val="nil"/>
              <w:bottom w:val="single" w:sz="4" w:space="0" w:color="auto"/>
              <w:right w:val="single" w:sz="4" w:space="0" w:color="auto"/>
            </w:tcBorders>
            <w:shd w:val="clear" w:color="auto" w:fill="auto"/>
            <w:noWrap/>
            <w:vAlign w:val="bottom"/>
            <w:hideMark/>
          </w:tcPr>
          <w:p w:rsidR="002E036C" w:rsidRPr="003D7B10" w:rsidRDefault="002E036C" w:rsidP="008F4093">
            <w:pPr>
              <w:jc w:val="right"/>
              <w:rPr>
                <w:color w:val="000000"/>
                <w:sz w:val="18"/>
                <w:szCs w:val="18"/>
                <w:lang w:eastAsia="zh-CN"/>
              </w:rPr>
            </w:pPr>
            <w:r w:rsidRPr="003D7B10">
              <w:rPr>
                <w:color w:val="000000"/>
                <w:sz w:val="18"/>
                <w:szCs w:val="18"/>
                <w:lang w:eastAsia="zh-CN"/>
              </w:rPr>
              <w:t>650.23</w:t>
            </w:r>
          </w:p>
        </w:tc>
      </w:tr>
    </w:tbl>
    <w:p w:rsidR="00A13C46" w:rsidRPr="003D7B10" w:rsidRDefault="00A13C46" w:rsidP="00E800C3">
      <w:pPr>
        <w:ind w:left="720"/>
        <w:rPr>
          <w:sz w:val="16"/>
          <w:szCs w:val="16"/>
        </w:rPr>
      </w:pPr>
      <w:r w:rsidRPr="003D7B10">
        <w:rPr>
          <w:sz w:val="16"/>
          <w:szCs w:val="16"/>
        </w:rPr>
        <w:t xml:space="preserve">Note: </w:t>
      </w:r>
      <w:r w:rsidRPr="003D7B10">
        <w:rPr>
          <w:sz w:val="16"/>
          <w:szCs w:val="16"/>
        </w:rPr>
        <w:tab/>
      </w:r>
      <w:r w:rsidR="00EA3480" w:rsidRPr="003D7B10">
        <w:rPr>
          <w:sz w:val="16"/>
          <w:szCs w:val="16"/>
        </w:rPr>
        <w:t>*</w:t>
      </w:r>
      <w:r w:rsidR="001E378E" w:rsidRPr="003D7B10">
        <w:rPr>
          <w:sz w:val="16"/>
          <w:szCs w:val="16"/>
        </w:rPr>
        <w:t xml:space="preserve">  </w:t>
      </w:r>
      <w:r w:rsidR="005F2C43" w:rsidRPr="003D7B10">
        <w:rPr>
          <w:sz w:val="16"/>
          <w:szCs w:val="16"/>
        </w:rPr>
        <w:t xml:space="preserve">CTC consumption </w:t>
      </w:r>
      <w:r w:rsidR="00E30BAE" w:rsidRPr="003D7B10">
        <w:rPr>
          <w:sz w:val="16"/>
          <w:szCs w:val="16"/>
        </w:rPr>
        <w:t xml:space="preserve">for these uses </w:t>
      </w:r>
      <w:r w:rsidR="005F2C43" w:rsidRPr="003D7B10">
        <w:rPr>
          <w:sz w:val="16"/>
          <w:szCs w:val="16"/>
        </w:rPr>
        <w:t>is defined as amount of CTC procured by enterprises.</w:t>
      </w:r>
    </w:p>
    <w:p w:rsidR="003B6556" w:rsidRPr="003D7B10" w:rsidRDefault="005F2C43" w:rsidP="00E800C3">
      <w:pPr>
        <w:ind w:left="720" w:firstLine="720"/>
        <w:rPr>
          <w:sz w:val="16"/>
          <w:szCs w:val="16"/>
        </w:rPr>
      </w:pPr>
      <w:r w:rsidRPr="003D7B10">
        <w:rPr>
          <w:sz w:val="16"/>
          <w:szCs w:val="16"/>
        </w:rPr>
        <w:t>**</w:t>
      </w:r>
      <w:r w:rsidR="001E378E" w:rsidRPr="003D7B10">
        <w:rPr>
          <w:sz w:val="16"/>
          <w:szCs w:val="16"/>
        </w:rPr>
        <w:t xml:space="preserve">  </w:t>
      </w:r>
      <w:r w:rsidRPr="003D7B10">
        <w:rPr>
          <w:sz w:val="16"/>
          <w:szCs w:val="16"/>
        </w:rPr>
        <w:t>Maximum emission here is defined as the amount of CTC used by enterprises</w:t>
      </w:r>
    </w:p>
    <w:p w:rsidR="00FD5C3F" w:rsidRPr="003D7B10" w:rsidRDefault="00FD5C3F" w:rsidP="003B6556">
      <w:pPr>
        <w:rPr>
          <w:u w:val="single"/>
        </w:rPr>
      </w:pPr>
    </w:p>
    <w:p w:rsidR="008F4093" w:rsidRPr="003D7B10" w:rsidRDefault="008F4093" w:rsidP="003B6556">
      <w:pPr>
        <w:rPr>
          <w:u w:val="single"/>
        </w:rPr>
      </w:pPr>
    </w:p>
    <w:p w:rsidR="003B6556" w:rsidRPr="003D7B10" w:rsidRDefault="00FA7BE4" w:rsidP="00146B2B">
      <w:pPr>
        <w:jc w:val="center"/>
        <w:rPr>
          <w:u w:val="single"/>
        </w:rPr>
      </w:pPr>
      <w:r w:rsidRPr="003D7B10">
        <w:rPr>
          <w:u w:val="single"/>
        </w:rPr>
        <w:t xml:space="preserve">Table </w:t>
      </w:r>
      <w:r w:rsidR="00491D92" w:rsidRPr="003D7B10">
        <w:rPr>
          <w:u w:val="single"/>
        </w:rPr>
        <w:t>3</w:t>
      </w:r>
      <w:r w:rsidR="00146B2B" w:rsidRPr="003D7B10">
        <w:rPr>
          <w:u w:val="single"/>
        </w:rPr>
        <w:t xml:space="preserve"> - </w:t>
      </w:r>
      <w:r w:rsidR="003B6556" w:rsidRPr="003D7B10">
        <w:rPr>
          <w:u w:val="single"/>
        </w:rPr>
        <w:t xml:space="preserve">List of the applications of CTC as </w:t>
      </w:r>
      <w:r w:rsidR="00146B2B" w:rsidRPr="003D7B10">
        <w:rPr>
          <w:u w:val="single"/>
        </w:rPr>
        <w:t xml:space="preserve">a </w:t>
      </w:r>
      <w:r w:rsidR="002B7186" w:rsidRPr="003D7B10">
        <w:rPr>
          <w:u w:val="single"/>
        </w:rPr>
        <w:t xml:space="preserve">process agent </w:t>
      </w:r>
      <w:r w:rsidR="003B6556" w:rsidRPr="003D7B10">
        <w:rPr>
          <w:u w:val="single"/>
        </w:rPr>
        <w:t>in</w:t>
      </w:r>
      <w:r w:rsidR="002B7186" w:rsidRPr="003D7B10">
        <w:rPr>
          <w:u w:val="single"/>
        </w:rPr>
        <w:t xml:space="preserve"> Plan II in</w:t>
      </w:r>
      <w:r w:rsidR="003B6556" w:rsidRPr="003D7B10">
        <w:rPr>
          <w:u w:val="single"/>
        </w:rPr>
        <w:t xml:space="preserve"> China</w:t>
      </w:r>
      <w:r w:rsidR="00CE7A24" w:rsidRPr="003D7B10">
        <w:rPr>
          <w:u w:val="single"/>
        </w:rPr>
        <w:t xml:space="preserve"> in 2009</w:t>
      </w:r>
      <w:r w:rsidR="004B670D" w:rsidRPr="003D7B10">
        <w:rPr>
          <w:u w:val="single"/>
        </w:rPr>
        <w:t xml:space="preserve"> </w:t>
      </w:r>
    </w:p>
    <w:p w:rsidR="00D25E03" w:rsidRPr="003D7B10" w:rsidRDefault="00D25E03" w:rsidP="00146B2B">
      <w:pPr>
        <w:jc w:val="center"/>
        <w:rPr>
          <w:u w:val="single"/>
        </w:rPr>
      </w:pPr>
    </w:p>
    <w:tbl>
      <w:tblPr>
        <w:tblW w:w="7925" w:type="dxa"/>
        <w:jc w:val="center"/>
        <w:tblInd w:w="-242" w:type="dxa"/>
        <w:tblLook w:val="04A0" w:firstRow="1" w:lastRow="0" w:firstColumn="1" w:lastColumn="0" w:noHBand="0" w:noVBand="1"/>
      </w:tblPr>
      <w:tblGrid>
        <w:gridCol w:w="1685"/>
        <w:gridCol w:w="1560"/>
        <w:gridCol w:w="1560"/>
        <w:gridCol w:w="1560"/>
        <w:gridCol w:w="1560"/>
      </w:tblGrid>
      <w:tr w:rsidR="00D25E03" w:rsidRPr="00447ACB" w:rsidTr="00200A0A">
        <w:trPr>
          <w:trHeight w:val="701"/>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E03" w:rsidRPr="003D7B10" w:rsidRDefault="00D25E03" w:rsidP="00E800C3">
            <w:pPr>
              <w:jc w:val="center"/>
              <w:rPr>
                <w:b/>
                <w:color w:val="000000"/>
                <w:sz w:val="18"/>
                <w:szCs w:val="18"/>
                <w:lang w:eastAsia="zh-CN"/>
              </w:rPr>
            </w:pPr>
            <w:r w:rsidRPr="003D7B10">
              <w:rPr>
                <w:b/>
                <w:color w:val="000000"/>
                <w:sz w:val="18"/>
                <w:szCs w:val="18"/>
                <w:lang w:eastAsia="zh-CN"/>
              </w:rPr>
              <w:t>Products that use CTC PA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25E03" w:rsidRPr="003D7B10" w:rsidRDefault="002E036C" w:rsidP="00375C98">
            <w:pPr>
              <w:jc w:val="center"/>
              <w:rPr>
                <w:b/>
                <w:color w:val="000000"/>
                <w:sz w:val="18"/>
                <w:szCs w:val="18"/>
                <w:lang w:eastAsia="zh-CN"/>
              </w:rPr>
            </w:pPr>
            <w:r w:rsidRPr="003D7B10">
              <w:rPr>
                <w:b/>
                <w:color w:val="000000"/>
                <w:sz w:val="18"/>
                <w:szCs w:val="18"/>
                <w:lang w:eastAsia="zh-CN"/>
              </w:rPr>
              <w:t xml:space="preserve">CTC </w:t>
            </w:r>
            <w:r w:rsidR="00D25E03" w:rsidRPr="003D7B10">
              <w:rPr>
                <w:b/>
                <w:color w:val="000000"/>
                <w:sz w:val="18"/>
                <w:szCs w:val="18"/>
                <w:lang w:eastAsia="zh-CN"/>
              </w:rPr>
              <w:t>Consumption</w:t>
            </w:r>
            <w:r w:rsidR="00E60075" w:rsidRPr="003D7B10">
              <w:rPr>
                <w:b/>
                <w:color w:val="000000"/>
                <w:sz w:val="18"/>
                <w:szCs w:val="18"/>
                <w:lang w:eastAsia="zh-CN"/>
              </w:rPr>
              <w:t>*</w:t>
            </w:r>
            <w:r w:rsidR="00D25E03" w:rsidRPr="003D7B10">
              <w:rPr>
                <w:b/>
                <w:color w:val="000000"/>
                <w:sz w:val="18"/>
                <w:szCs w:val="18"/>
                <w:lang w:eastAsia="zh-CN"/>
              </w:rPr>
              <w:t xml:space="preserve">  (M</w:t>
            </w:r>
            <w:r w:rsidR="00375C98" w:rsidRPr="003D7B10">
              <w:rPr>
                <w:b/>
                <w:color w:val="000000"/>
                <w:sz w:val="18"/>
                <w:szCs w:val="18"/>
                <w:lang w:eastAsia="zh-CN"/>
              </w:rPr>
              <w:t>etric tonnes</w:t>
            </w:r>
            <w:r w:rsidR="00D25E03" w:rsidRPr="003D7B10">
              <w:rPr>
                <w:b/>
                <w:color w:val="000000"/>
                <w:sz w:val="18"/>
                <w:szCs w:val="18"/>
                <w:lang w:eastAsia="zh-CN"/>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25E03" w:rsidRPr="003D7B10" w:rsidRDefault="002E036C" w:rsidP="00E800C3">
            <w:pPr>
              <w:jc w:val="center"/>
              <w:rPr>
                <w:b/>
                <w:color w:val="000000"/>
                <w:sz w:val="18"/>
                <w:szCs w:val="18"/>
                <w:lang w:eastAsia="zh-CN"/>
              </w:rPr>
            </w:pPr>
            <w:r w:rsidRPr="003D7B10">
              <w:rPr>
                <w:b/>
                <w:color w:val="000000"/>
                <w:sz w:val="18"/>
                <w:szCs w:val="18"/>
                <w:lang w:eastAsia="zh-CN"/>
              </w:rPr>
              <w:t xml:space="preserve">CTC </w:t>
            </w:r>
            <w:r w:rsidR="00D25E03" w:rsidRPr="003D7B10">
              <w:rPr>
                <w:b/>
                <w:color w:val="000000"/>
                <w:sz w:val="18"/>
                <w:szCs w:val="18"/>
                <w:lang w:eastAsia="zh-CN"/>
              </w:rPr>
              <w:t>Consumption</w:t>
            </w:r>
            <w:r w:rsidR="00E60075" w:rsidRPr="003D7B10">
              <w:rPr>
                <w:b/>
                <w:color w:val="000000"/>
                <w:sz w:val="18"/>
                <w:szCs w:val="18"/>
                <w:lang w:eastAsia="zh-CN"/>
              </w:rPr>
              <w:t>*</w:t>
            </w:r>
            <w:r w:rsidR="00D25E03" w:rsidRPr="003D7B10">
              <w:rPr>
                <w:b/>
                <w:color w:val="000000"/>
                <w:sz w:val="18"/>
                <w:szCs w:val="18"/>
                <w:lang w:eastAsia="zh-CN"/>
              </w:rPr>
              <w:t xml:space="preserve">  (ODP t</w:t>
            </w:r>
            <w:r w:rsidR="00375C98" w:rsidRPr="003D7B10">
              <w:rPr>
                <w:b/>
                <w:color w:val="000000"/>
                <w:sz w:val="18"/>
                <w:szCs w:val="18"/>
                <w:lang w:eastAsia="zh-CN"/>
              </w:rPr>
              <w:t>onnes</w:t>
            </w:r>
            <w:r w:rsidR="00D25E03" w:rsidRPr="003D7B10">
              <w:rPr>
                <w:b/>
                <w:color w:val="000000"/>
                <w:sz w:val="18"/>
                <w:szCs w:val="18"/>
                <w:lang w:eastAsia="zh-CN"/>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25E03" w:rsidRPr="006C6BE5" w:rsidRDefault="002E036C" w:rsidP="00E800C3">
            <w:pPr>
              <w:jc w:val="center"/>
              <w:rPr>
                <w:b/>
                <w:color w:val="000000"/>
                <w:sz w:val="18"/>
                <w:szCs w:val="18"/>
                <w:lang w:val="fr-CA" w:eastAsia="zh-CN"/>
              </w:rPr>
            </w:pPr>
            <w:r w:rsidRPr="006C6BE5">
              <w:rPr>
                <w:b/>
                <w:color w:val="000000"/>
                <w:sz w:val="18"/>
                <w:szCs w:val="18"/>
                <w:lang w:val="fr-CA" w:eastAsia="zh-CN"/>
              </w:rPr>
              <w:t>CTC m</w:t>
            </w:r>
            <w:r w:rsidR="00D25E03" w:rsidRPr="006C6BE5">
              <w:rPr>
                <w:b/>
                <w:color w:val="000000"/>
                <w:sz w:val="18"/>
                <w:szCs w:val="18"/>
                <w:lang w:val="fr-CA" w:eastAsia="zh-CN"/>
              </w:rPr>
              <w:t>aximum emission</w:t>
            </w:r>
            <w:r w:rsidR="00722666" w:rsidRPr="006C6BE5">
              <w:rPr>
                <w:b/>
                <w:color w:val="000000"/>
                <w:sz w:val="18"/>
                <w:szCs w:val="18"/>
                <w:lang w:val="fr-CA" w:eastAsia="zh-CN"/>
              </w:rPr>
              <w:t>**</w:t>
            </w:r>
            <w:r w:rsidR="00D25E03" w:rsidRPr="006C6BE5">
              <w:rPr>
                <w:b/>
                <w:color w:val="000000"/>
                <w:sz w:val="18"/>
                <w:szCs w:val="18"/>
                <w:lang w:val="fr-CA" w:eastAsia="zh-CN"/>
              </w:rPr>
              <w:t xml:space="preserve"> (M</w:t>
            </w:r>
            <w:r w:rsidR="008F363B" w:rsidRPr="006C6BE5">
              <w:rPr>
                <w:b/>
                <w:color w:val="000000"/>
                <w:sz w:val="18"/>
                <w:szCs w:val="18"/>
                <w:lang w:val="fr-CA" w:eastAsia="zh-CN"/>
              </w:rPr>
              <w:t>e</w:t>
            </w:r>
            <w:r w:rsidR="00D25E03" w:rsidRPr="006C6BE5">
              <w:rPr>
                <w:b/>
                <w:color w:val="000000"/>
                <w:sz w:val="18"/>
                <w:szCs w:val="18"/>
                <w:lang w:val="fr-CA" w:eastAsia="zh-CN"/>
              </w:rPr>
              <w:t>t</w:t>
            </w:r>
            <w:r w:rsidR="008F363B" w:rsidRPr="006C6BE5">
              <w:rPr>
                <w:b/>
                <w:color w:val="000000"/>
                <w:sz w:val="18"/>
                <w:szCs w:val="18"/>
                <w:lang w:val="fr-CA" w:eastAsia="zh-CN"/>
              </w:rPr>
              <w:t>ric tonnes</w:t>
            </w:r>
            <w:r w:rsidR="00D25E03" w:rsidRPr="006C6BE5">
              <w:rPr>
                <w:b/>
                <w:color w:val="000000"/>
                <w:sz w:val="18"/>
                <w:szCs w:val="18"/>
                <w:lang w:val="fr-CA" w:eastAsia="zh-CN"/>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25E03" w:rsidRPr="006C6BE5" w:rsidRDefault="002E036C" w:rsidP="00E800C3">
            <w:pPr>
              <w:jc w:val="center"/>
              <w:rPr>
                <w:b/>
                <w:color w:val="000000"/>
                <w:sz w:val="18"/>
                <w:szCs w:val="18"/>
                <w:lang w:val="fr-CA" w:eastAsia="zh-CN"/>
              </w:rPr>
            </w:pPr>
            <w:r w:rsidRPr="006C6BE5">
              <w:rPr>
                <w:b/>
                <w:color w:val="000000"/>
                <w:sz w:val="18"/>
                <w:szCs w:val="18"/>
                <w:lang w:val="fr-CA" w:eastAsia="zh-CN"/>
              </w:rPr>
              <w:t>CTC m</w:t>
            </w:r>
            <w:r w:rsidR="008F363B" w:rsidRPr="006C6BE5">
              <w:rPr>
                <w:b/>
                <w:color w:val="000000"/>
                <w:sz w:val="18"/>
                <w:szCs w:val="18"/>
                <w:lang w:val="fr-CA" w:eastAsia="zh-CN"/>
              </w:rPr>
              <w:t>aximum emission</w:t>
            </w:r>
            <w:r w:rsidR="00722666" w:rsidRPr="006C6BE5">
              <w:rPr>
                <w:b/>
                <w:color w:val="000000"/>
                <w:sz w:val="18"/>
                <w:szCs w:val="18"/>
                <w:lang w:val="fr-CA" w:eastAsia="zh-CN"/>
              </w:rPr>
              <w:t>**</w:t>
            </w:r>
            <w:r w:rsidR="008F363B" w:rsidRPr="006C6BE5">
              <w:rPr>
                <w:b/>
                <w:color w:val="000000"/>
                <w:sz w:val="18"/>
                <w:szCs w:val="18"/>
                <w:lang w:val="fr-CA" w:eastAsia="zh-CN"/>
              </w:rPr>
              <w:t xml:space="preserve"> (ODP tonnes</w:t>
            </w:r>
            <w:r w:rsidR="00D25E03" w:rsidRPr="006C6BE5">
              <w:rPr>
                <w:b/>
                <w:color w:val="000000"/>
                <w:sz w:val="18"/>
                <w:szCs w:val="18"/>
                <w:lang w:val="fr-CA" w:eastAsia="zh-CN"/>
              </w:rPr>
              <w:t>)</w:t>
            </w:r>
          </w:p>
        </w:tc>
      </w:tr>
      <w:tr w:rsidR="00D25E03" w:rsidRPr="003D7B10" w:rsidTr="00200A0A">
        <w:trPr>
          <w:trHeight w:val="300"/>
          <w:jc w:val="center"/>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D25E03" w:rsidRPr="003D7B10" w:rsidRDefault="00D25E03" w:rsidP="00D25E03">
            <w:pPr>
              <w:jc w:val="left"/>
              <w:rPr>
                <w:color w:val="000000"/>
                <w:sz w:val="18"/>
                <w:szCs w:val="18"/>
                <w:lang w:eastAsia="zh-CN"/>
              </w:rPr>
            </w:pPr>
            <w:r w:rsidRPr="003D7B10">
              <w:rPr>
                <w:color w:val="000000"/>
                <w:sz w:val="18"/>
                <w:szCs w:val="18"/>
                <w:lang w:eastAsia="zh-CN"/>
              </w:rPr>
              <w:t>CPP/CEVA</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2</w:t>
            </w:r>
            <w:r w:rsidR="00E800C3" w:rsidRPr="003D7B10">
              <w:rPr>
                <w:color w:val="000000"/>
                <w:sz w:val="18"/>
                <w:szCs w:val="18"/>
                <w:lang w:eastAsia="zh-CN"/>
              </w:rPr>
              <w:t>,</w:t>
            </w:r>
            <w:r w:rsidRPr="003D7B10">
              <w:rPr>
                <w:color w:val="000000"/>
                <w:sz w:val="18"/>
                <w:szCs w:val="18"/>
                <w:lang w:eastAsia="zh-CN"/>
              </w:rPr>
              <w:t>060.67</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2</w:t>
            </w:r>
            <w:r w:rsidR="00E800C3" w:rsidRPr="003D7B10">
              <w:rPr>
                <w:color w:val="000000"/>
                <w:sz w:val="18"/>
                <w:szCs w:val="18"/>
                <w:lang w:eastAsia="zh-CN"/>
              </w:rPr>
              <w:t>,</w:t>
            </w:r>
            <w:r w:rsidRPr="003D7B10">
              <w:rPr>
                <w:color w:val="000000"/>
                <w:sz w:val="18"/>
                <w:szCs w:val="18"/>
                <w:lang w:eastAsia="zh-CN"/>
              </w:rPr>
              <w:t>266.74</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2</w:t>
            </w:r>
            <w:r w:rsidR="00E800C3" w:rsidRPr="003D7B10">
              <w:rPr>
                <w:color w:val="000000"/>
                <w:sz w:val="18"/>
                <w:szCs w:val="18"/>
                <w:lang w:eastAsia="zh-CN"/>
              </w:rPr>
              <w:t>,</w:t>
            </w:r>
            <w:r w:rsidRPr="003D7B10">
              <w:rPr>
                <w:color w:val="000000"/>
                <w:sz w:val="18"/>
                <w:szCs w:val="18"/>
                <w:lang w:eastAsia="zh-CN"/>
              </w:rPr>
              <w:t>159.73</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2</w:t>
            </w:r>
            <w:r w:rsidR="00E800C3" w:rsidRPr="003D7B10">
              <w:rPr>
                <w:color w:val="000000"/>
                <w:sz w:val="18"/>
                <w:szCs w:val="18"/>
                <w:lang w:eastAsia="zh-CN"/>
              </w:rPr>
              <w:t>,</w:t>
            </w:r>
            <w:r w:rsidRPr="003D7B10">
              <w:rPr>
                <w:color w:val="000000"/>
                <w:sz w:val="18"/>
                <w:szCs w:val="18"/>
                <w:lang w:eastAsia="zh-CN"/>
              </w:rPr>
              <w:t>375.70</w:t>
            </w:r>
          </w:p>
        </w:tc>
      </w:tr>
      <w:tr w:rsidR="00D25E03" w:rsidRPr="003D7B10" w:rsidTr="00200A0A">
        <w:trPr>
          <w:trHeight w:val="300"/>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D25E03" w:rsidRPr="003D7B10" w:rsidRDefault="00D25E03" w:rsidP="00D25E03">
            <w:pPr>
              <w:jc w:val="left"/>
              <w:rPr>
                <w:color w:val="000000"/>
                <w:sz w:val="18"/>
                <w:szCs w:val="18"/>
                <w:lang w:eastAsia="zh-CN"/>
              </w:rPr>
            </w:pPr>
            <w:r w:rsidRPr="003D7B10">
              <w:rPr>
                <w:color w:val="000000"/>
                <w:sz w:val="18"/>
                <w:szCs w:val="18"/>
                <w:lang w:eastAsia="zh-CN"/>
              </w:rPr>
              <w:t>MIC</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697.74</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767.51</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500.08</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550.09</w:t>
            </w:r>
          </w:p>
        </w:tc>
      </w:tr>
      <w:tr w:rsidR="00D25E03" w:rsidRPr="003D7B10" w:rsidTr="00200A0A">
        <w:trPr>
          <w:trHeight w:val="375"/>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D25E03" w:rsidRPr="003D7B10" w:rsidRDefault="00D25E03" w:rsidP="00D25E03">
            <w:pPr>
              <w:jc w:val="left"/>
              <w:rPr>
                <w:color w:val="000000"/>
                <w:sz w:val="18"/>
                <w:szCs w:val="18"/>
                <w:lang w:eastAsia="zh-CN"/>
              </w:rPr>
            </w:pPr>
            <w:r w:rsidRPr="003D7B10">
              <w:rPr>
                <w:color w:val="000000"/>
                <w:sz w:val="18"/>
                <w:szCs w:val="18"/>
                <w:lang w:eastAsia="zh-CN"/>
              </w:rPr>
              <w:t>Imidacloprid</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108.65</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119.52</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103.22</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113.54</w:t>
            </w:r>
          </w:p>
        </w:tc>
      </w:tr>
      <w:tr w:rsidR="00D25E03" w:rsidRPr="003D7B10" w:rsidTr="00200A0A">
        <w:trPr>
          <w:trHeight w:val="270"/>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D25E03" w:rsidRPr="003D7B10" w:rsidRDefault="00D25E03" w:rsidP="00D25E03">
            <w:pPr>
              <w:jc w:val="left"/>
              <w:rPr>
                <w:color w:val="000000"/>
                <w:sz w:val="18"/>
                <w:szCs w:val="18"/>
                <w:lang w:eastAsia="zh-CN"/>
              </w:rPr>
            </w:pPr>
            <w:r w:rsidRPr="003D7B10">
              <w:rPr>
                <w:color w:val="000000"/>
                <w:sz w:val="18"/>
                <w:szCs w:val="18"/>
                <w:lang w:eastAsia="zh-CN"/>
              </w:rPr>
              <w:t>Buprofenzin</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81.56</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89.72</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148.28</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163.11</w:t>
            </w:r>
          </w:p>
        </w:tc>
      </w:tr>
      <w:tr w:rsidR="00D25E03" w:rsidRPr="003D7B10" w:rsidTr="00200A0A">
        <w:trPr>
          <w:trHeight w:val="300"/>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D25E03" w:rsidRPr="003D7B10" w:rsidRDefault="00D25E03" w:rsidP="00D25E03">
            <w:pPr>
              <w:jc w:val="left"/>
              <w:rPr>
                <w:color w:val="000000"/>
                <w:sz w:val="18"/>
                <w:szCs w:val="18"/>
                <w:lang w:eastAsia="zh-CN"/>
              </w:rPr>
            </w:pPr>
            <w:r w:rsidRPr="003D7B10">
              <w:rPr>
                <w:color w:val="000000"/>
                <w:sz w:val="18"/>
                <w:szCs w:val="18"/>
                <w:lang w:eastAsia="zh-CN"/>
              </w:rPr>
              <w:t>CNMA</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499.05</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548.96</w:t>
            </w:r>
          </w:p>
        </w:tc>
        <w:tc>
          <w:tcPr>
            <w:tcW w:w="1560" w:type="dxa"/>
            <w:tcBorders>
              <w:top w:val="nil"/>
              <w:left w:val="nil"/>
              <w:bottom w:val="single" w:sz="4" w:space="0" w:color="auto"/>
              <w:right w:val="single" w:sz="4" w:space="0" w:color="auto"/>
            </w:tcBorders>
            <w:shd w:val="clear" w:color="auto" w:fill="auto"/>
            <w:noWrap/>
            <w:vAlign w:val="center"/>
            <w:hideMark/>
          </w:tcPr>
          <w:p w:rsidR="00D25E03" w:rsidRPr="003D7B10" w:rsidRDefault="00D25E03" w:rsidP="00D25E03">
            <w:pPr>
              <w:jc w:val="right"/>
              <w:rPr>
                <w:color w:val="000000"/>
                <w:sz w:val="18"/>
                <w:szCs w:val="18"/>
                <w:lang w:eastAsia="zh-CN"/>
              </w:rPr>
            </w:pPr>
            <w:r w:rsidRPr="003D7B10">
              <w:rPr>
                <w:color w:val="000000"/>
                <w:sz w:val="18"/>
                <w:szCs w:val="18"/>
                <w:lang w:eastAsia="zh-CN"/>
              </w:rPr>
              <w:t>626.13</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688.74</w:t>
            </w:r>
          </w:p>
        </w:tc>
      </w:tr>
      <w:tr w:rsidR="00D25E03" w:rsidRPr="003D7B10" w:rsidTr="00200A0A">
        <w:trPr>
          <w:trHeight w:val="300"/>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D25E03" w:rsidRPr="003D7B10" w:rsidRDefault="00D25E03" w:rsidP="00D25E03">
            <w:pPr>
              <w:jc w:val="left"/>
              <w:rPr>
                <w:color w:val="000000"/>
                <w:sz w:val="18"/>
                <w:szCs w:val="18"/>
                <w:lang w:eastAsia="zh-CN"/>
              </w:rPr>
            </w:pPr>
            <w:r w:rsidRPr="003D7B10">
              <w:rPr>
                <w:color w:val="000000"/>
                <w:sz w:val="18"/>
                <w:szCs w:val="18"/>
                <w:lang w:eastAsia="zh-CN"/>
              </w:rPr>
              <w:t xml:space="preserve">Total </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3</w:t>
            </w:r>
            <w:r w:rsidR="00E800C3" w:rsidRPr="003D7B10">
              <w:rPr>
                <w:color w:val="000000"/>
                <w:sz w:val="18"/>
                <w:szCs w:val="18"/>
                <w:lang w:eastAsia="zh-CN"/>
              </w:rPr>
              <w:t>,</w:t>
            </w:r>
            <w:r w:rsidRPr="003D7B10">
              <w:rPr>
                <w:color w:val="000000"/>
                <w:sz w:val="18"/>
                <w:szCs w:val="18"/>
                <w:lang w:eastAsia="zh-CN"/>
              </w:rPr>
              <w:t>447.67</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3</w:t>
            </w:r>
            <w:r w:rsidR="00E800C3" w:rsidRPr="003D7B10">
              <w:rPr>
                <w:color w:val="000000"/>
                <w:sz w:val="18"/>
                <w:szCs w:val="18"/>
                <w:lang w:eastAsia="zh-CN"/>
              </w:rPr>
              <w:t>,</w:t>
            </w:r>
            <w:r w:rsidRPr="003D7B10">
              <w:rPr>
                <w:color w:val="000000"/>
                <w:sz w:val="18"/>
                <w:szCs w:val="18"/>
                <w:lang w:eastAsia="zh-CN"/>
              </w:rPr>
              <w:t>792.44</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3</w:t>
            </w:r>
            <w:r w:rsidR="00E800C3" w:rsidRPr="003D7B10">
              <w:rPr>
                <w:color w:val="000000"/>
                <w:sz w:val="18"/>
                <w:szCs w:val="18"/>
                <w:lang w:eastAsia="zh-CN"/>
              </w:rPr>
              <w:t>,</w:t>
            </w:r>
            <w:r w:rsidRPr="003D7B10">
              <w:rPr>
                <w:color w:val="000000"/>
                <w:sz w:val="18"/>
                <w:szCs w:val="18"/>
                <w:lang w:eastAsia="zh-CN"/>
              </w:rPr>
              <w:t>537.44</w:t>
            </w:r>
          </w:p>
        </w:tc>
        <w:tc>
          <w:tcPr>
            <w:tcW w:w="1560" w:type="dxa"/>
            <w:tcBorders>
              <w:top w:val="nil"/>
              <w:left w:val="nil"/>
              <w:bottom w:val="single" w:sz="4" w:space="0" w:color="auto"/>
              <w:right w:val="single" w:sz="4" w:space="0" w:color="auto"/>
            </w:tcBorders>
            <w:shd w:val="clear" w:color="auto" w:fill="auto"/>
            <w:noWrap/>
            <w:vAlign w:val="bottom"/>
            <w:hideMark/>
          </w:tcPr>
          <w:p w:rsidR="00D25E03" w:rsidRPr="003D7B10" w:rsidRDefault="00D25E03" w:rsidP="00D25E03">
            <w:pPr>
              <w:jc w:val="right"/>
              <w:rPr>
                <w:color w:val="000000"/>
                <w:sz w:val="18"/>
                <w:szCs w:val="18"/>
                <w:lang w:eastAsia="zh-CN"/>
              </w:rPr>
            </w:pPr>
            <w:r w:rsidRPr="003D7B10">
              <w:rPr>
                <w:color w:val="000000"/>
                <w:sz w:val="18"/>
                <w:szCs w:val="18"/>
                <w:lang w:eastAsia="zh-CN"/>
              </w:rPr>
              <w:t>3</w:t>
            </w:r>
            <w:r w:rsidR="00E800C3" w:rsidRPr="003D7B10">
              <w:rPr>
                <w:color w:val="000000"/>
                <w:sz w:val="18"/>
                <w:szCs w:val="18"/>
                <w:lang w:eastAsia="zh-CN"/>
              </w:rPr>
              <w:t>,</w:t>
            </w:r>
            <w:r w:rsidRPr="003D7B10">
              <w:rPr>
                <w:color w:val="000000"/>
                <w:sz w:val="18"/>
                <w:szCs w:val="18"/>
                <w:lang w:eastAsia="zh-CN"/>
              </w:rPr>
              <w:t>891.18</w:t>
            </w:r>
          </w:p>
        </w:tc>
      </w:tr>
    </w:tbl>
    <w:p w:rsidR="00722666" w:rsidRPr="003D7B10" w:rsidRDefault="00722666" w:rsidP="00722666">
      <w:pPr>
        <w:ind w:left="720"/>
        <w:rPr>
          <w:sz w:val="16"/>
          <w:szCs w:val="16"/>
        </w:rPr>
      </w:pPr>
      <w:r w:rsidRPr="003D7B10">
        <w:rPr>
          <w:sz w:val="16"/>
          <w:szCs w:val="16"/>
        </w:rPr>
        <w:t xml:space="preserve">Note: </w:t>
      </w:r>
      <w:r w:rsidRPr="003D7B10">
        <w:rPr>
          <w:sz w:val="16"/>
          <w:szCs w:val="16"/>
        </w:rPr>
        <w:tab/>
        <w:t>*  CTC consumption for these uses is defined as amount of CTC procured by enterprises.</w:t>
      </w:r>
    </w:p>
    <w:p w:rsidR="00722666" w:rsidRPr="003D7B10" w:rsidRDefault="00722666" w:rsidP="00722666">
      <w:pPr>
        <w:ind w:left="720" w:firstLine="720"/>
        <w:rPr>
          <w:sz w:val="16"/>
          <w:szCs w:val="16"/>
        </w:rPr>
      </w:pPr>
      <w:r w:rsidRPr="003D7B10">
        <w:rPr>
          <w:sz w:val="16"/>
          <w:szCs w:val="16"/>
        </w:rPr>
        <w:t>**  Maximum emission here is defined as the amount of CTC used by enterprises</w:t>
      </w:r>
    </w:p>
    <w:p w:rsidR="003B6556" w:rsidRPr="003D7B10" w:rsidRDefault="003B6556">
      <w:pPr>
        <w:jc w:val="left"/>
      </w:pPr>
    </w:p>
    <w:p w:rsidR="001E378E" w:rsidRPr="003D7B10" w:rsidRDefault="00FA7BE4" w:rsidP="00146B2B">
      <w:pPr>
        <w:keepNext/>
        <w:keepLines/>
        <w:jc w:val="center"/>
        <w:rPr>
          <w:bCs/>
          <w:u w:val="single"/>
        </w:rPr>
      </w:pPr>
      <w:r w:rsidRPr="003D7B10">
        <w:rPr>
          <w:u w:val="single"/>
        </w:rPr>
        <w:lastRenderedPageBreak/>
        <w:t xml:space="preserve">Table </w:t>
      </w:r>
      <w:r w:rsidR="00491D92" w:rsidRPr="003D7B10">
        <w:rPr>
          <w:u w:val="single"/>
        </w:rPr>
        <w:t>4</w:t>
      </w:r>
      <w:r w:rsidR="00146B2B" w:rsidRPr="003D7B10">
        <w:rPr>
          <w:u w:val="single"/>
        </w:rPr>
        <w:t xml:space="preserve"> - </w:t>
      </w:r>
      <w:r w:rsidR="003B6556" w:rsidRPr="003D7B10">
        <w:rPr>
          <w:bCs/>
          <w:u w:val="single"/>
        </w:rPr>
        <w:t xml:space="preserve">Use of CTC in China in 2009 for potential </w:t>
      </w:r>
      <w:r w:rsidR="002B7186" w:rsidRPr="003D7B10">
        <w:rPr>
          <w:bCs/>
          <w:u w:val="single"/>
        </w:rPr>
        <w:t xml:space="preserve">process agent </w:t>
      </w:r>
      <w:r w:rsidR="003B6556" w:rsidRPr="003D7B10">
        <w:rPr>
          <w:bCs/>
          <w:u w:val="single"/>
        </w:rPr>
        <w:t xml:space="preserve">applications </w:t>
      </w:r>
    </w:p>
    <w:p w:rsidR="003B6556" w:rsidRPr="003D7B10" w:rsidRDefault="003B6556" w:rsidP="001E378E">
      <w:pPr>
        <w:keepNext/>
        <w:keepLines/>
        <w:jc w:val="center"/>
        <w:rPr>
          <w:bCs/>
          <w:u w:val="single"/>
        </w:rPr>
      </w:pPr>
      <w:r w:rsidRPr="003D7B10">
        <w:rPr>
          <w:bCs/>
          <w:u w:val="single"/>
        </w:rPr>
        <w:t xml:space="preserve">not included in </w:t>
      </w:r>
      <w:r w:rsidR="001E378E" w:rsidRPr="003D7B10">
        <w:rPr>
          <w:bCs/>
          <w:u w:val="single"/>
        </w:rPr>
        <w:t>d</w:t>
      </w:r>
      <w:r w:rsidR="00AE4FDD" w:rsidRPr="003D7B10">
        <w:rPr>
          <w:bCs/>
          <w:u w:val="single"/>
        </w:rPr>
        <w:t>ecisions</w:t>
      </w:r>
      <w:r w:rsidR="00722666" w:rsidRPr="003D7B10">
        <w:rPr>
          <w:bCs/>
          <w:u w:val="single"/>
        </w:rPr>
        <w:t xml:space="preserve"> X/14, XV/6 and </w:t>
      </w:r>
      <w:r w:rsidRPr="003D7B10">
        <w:rPr>
          <w:bCs/>
          <w:u w:val="single"/>
        </w:rPr>
        <w:t>XVII/</w:t>
      </w:r>
      <w:r w:rsidR="00722666" w:rsidRPr="003D7B10">
        <w:rPr>
          <w:bCs/>
          <w:u w:val="single"/>
        </w:rPr>
        <w:t>7</w:t>
      </w:r>
    </w:p>
    <w:p w:rsidR="002E036C" w:rsidRPr="003D7B10" w:rsidRDefault="002E036C" w:rsidP="00146B2B">
      <w:pPr>
        <w:pStyle w:val="0Heading0"/>
        <w:keepNext/>
        <w:keepLines/>
        <w:jc w:val="center"/>
        <w:rPr>
          <w:bCs/>
          <w:u w:val="single"/>
        </w:rPr>
      </w:pPr>
    </w:p>
    <w:tbl>
      <w:tblPr>
        <w:tblW w:w="7034" w:type="dxa"/>
        <w:jc w:val="center"/>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840"/>
        <w:gridCol w:w="1820"/>
      </w:tblGrid>
      <w:tr w:rsidR="002E036C" w:rsidRPr="003D7B10" w:rsidTr="00BF4969">
        <w:trPr>
          <w:trHeight w:val="510"/>
          <w:jc w:val="center"/>
        </w:trPr>
        <w:tc>
          <w:tcPr>
            <w:tcW w:w="3374" w:type="dxa"/>
            <w:shd w:val="clear" w:color="auto" w:fill="auto"/>
            <w:noWrap/>
            <w:vAlign w:val="center"/>
            <w:hideMark/>
          </w:tcPr>
          <w:p w:rsidR="002E036C" w:rsidRPr="003D7B10" w:rsidRDefault="002E036C" w:rsidP="008F4093">
            <w:pPr>
              <w:jc w:val="center"/>
              <w:rPr>
                <w:b/>
                <w:color w:val="000000"/>
                <w:sz w:val="18"/>
                <w:szCs w:val="18"/>
                <w:lang w:eastAsia="zh-CN"/>
              </w:rPr>
            </w:pPr>
            <w:r w:rsidRPr="003D7B10">
              <w:rPr>
                <w:b/>
                <w:color w:val="000000"/>
                <w:sz w:val="18"/>
                <w:szCs w:val="18"/>
                <w:lang w:eastAsia="zh-CN"/>
              </w:rPr>
              <w:t>Applications</w:t>
            </w:r>
          </w:p>
        </w:tc>
        <w:tc>
          <w:tcPr>
            <w:tcW w:w="1840" w:type="dxa"/>
            <w:shd w:val="clear" w:color="auto" w:fill="auto"/>
            <w:vAlign w:val="center"/>
            <w:hideMark/>
          </w:tcPr>
          <w:p w:rsidR="002E036C" w:rsidRPr="003D7B10" w:rsidRDefault="002E036C" w:rsidP="00375C98">
            <w:pPr>
              <w:jc w:val="center"/>
              <w:rPr>
                <w:b/>
                <w:color w:val="000000"/>
                <w:sz w:val="18"/>
                <w:szCs w:val="18"/>
                <w:lang w:eastAsia="zh-CN"/>
              </w:rPr>
            </w:pPr>
            <w:r w:rsidRPr="003D7B10">
              <w:rPr>
                <w:b/>
                <w:color w:val="000000"/>
                <w:sz w:val="18"/>
                <w:szCs w:val="18"/>
                <w:lang w:eastAsia="zh-CN"/>
              </w:rPr>
              <w:t xml:space="preserve">CTC consumption </w:t>
            </w:r>
            <w:r w:rsidR="00BF4969" w:rsidRPr="003D7B10">
              <w:rPr>
                <w:b/>
                <w:color w:val="000000"/>
                <w:sz w:val="18"/>
                <w:szCs w:val="18"/>
                <w:lang w:eastAsia="zh-CN"/>
              </w:rPr>
              <w:t>(metric tonnes)</w:t>
            </w:r>
          </w:p>
        </w:tc>
        <w:tc>
          <w:tcPr>
            <w:tcW w:w="1820" w:type="dxa"/>
            <w:shd w:val="clear" w:color="auto" w:fill="auto"/>
            <w:vAlign w:val="center"/>
            <w:hideMark/>
          </w:tcPr>
          <w:p w:rsidR="002E036C" w:rsidRPr="003D7B10" w:rsidRDefault="002E036C" w:rsidP="0014086E">
            <w:pPr>
              <w:jc w:val="center"/>
              <w:rPr>
                <w:b/>
                <w:color w:val="000000"/>
                <w:sz w:val="18"/>
                <w:szCs w:val="18"/>
                <w:lang w:eastAsia="zh-CN"/>
              </w:rPr>
            </w:pPr>
            <w:r w:rsidRPr="003D7B10">
              <w:rPr>
                <w:b/>
                <w:color w:val="000000"/>
                <w:sz w:val="18"/>
                <w:szCs w:val="18"/>
                <w:lang w:eastAsia="zh-CN"/>
              </w:rPr>
              <w:t xml:space="preserve">CTC </w:t>
            </w:r>
            <w:r w:rsidR="0014086E" w:rsidRPr="003D7B10">
              <w:rPr>
                <w:b/>
                <w:color w:val="000000"/>
                <w:sz w:val="18"/>
                <w:szCs w:val="18"/>
                <w:lang w:eastAsia="zh-CN"/>
              </w:rPr>
              <w:t>consumption</w:t>
            </w:r>
            <w:r w:rsidRPr="003D7B10">
              <w:rPr>
                <w:b/>
                <w:color w:val="000000"/>
                <w:sz w:val="18"/>
                <w:szCs w:val="18"/>
                <w:lang w:eastAsia="zh-CN"/>
              </w:rPr>
              <w:t xml:space="preserve"> </w:t>
            </w:r>
            <w:r w:rsidR="00BF4969" w:rsidRPr="003D7B10">
              <w:rPr>
                <w:b/>
                <w:color w:val="000000"/>
                <w:sz w:val="18"/>
                <w:szCs w:val="18"/>
                <w:lang w:eastAsia="zh-CN"/>
              </w:rPr>
              <w:t>(</w:t>
            </w:r>
            <w:r w:rsidRPr="003D7B10">
              <w:rPr>
                <w:b/>
                <w:color w:val="000000"/>
                <w:sz w:val="18"/>
                <w:szCs w:val="18"/>
                <w:lang w:eastAsia="zh-CN"/>
              </w:rPr>
              <w:t>ODP</w:t>
            </w:r>
            <w:r w:rsidR="00BB6CA6" w:rsidRPr="003D7B10">
              <w:rPr>
                <w:b/>
                <w:color w:val="000000"/>
                <w:sz w:val="18"/>
                <w:szCs w:val="18"/>
                <w:lang w:eastAsia="zh-CN"/>
              </w:rPr>
              <w:t xml:space="preserve"> </w:t>
            </w:r>
            <w:r w:rsidRPr="003D7B10">
              <w:rPr>
                <w:b/>
                <w:color w:val="000000"/>
                <w:sz w:val="18"/>
                <w:szCs w:val="18"/>
                <w:lang w:eastAsia="zh-CN"/>
              </w:rPr>
              <w:t>t</w:t>
            </w:r>
            <w:r w:rsidR="00BF4969" w:rsidRPr="003D7B10">
              <w:rPr>
                <w:b/>
                <w:color w:val="000000"/>
                <w:sz w:val="18"/>
                <w:szCs w:val="18"/>
                <w:lang w:eastAsia="zh-CN"/>
              </w:rPr>
              <w:t>onnes)</w:t>
            </w:r>
          </w:p>
        </w:tc>
      </w:tr>
      <w:tr w:rsidR="002E036C" w:rsidRPr="003D7B10" w:rsidTr="00BF4969">
        <w:trPr>
          <w:trHeight w:val="240"/>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Prallethrin/ ES-Prallethrin</w:t>
            </w:r>
          </w:p>
        </w:tc>
        <w:tc>
          <w:tcPr>
            <w:tcW w:w="184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56.26</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61.89</w:t>
            </w:r>
          </w:p>
        </w:tc>
      </w:tr>
      <w:tr w:rsidR="002E036C" w:rsidRPr="003D7B10" w:rsidTr="00BF4969">
        <w:trPr>
          <w:trHeight w:val="555"/>
          <w:jc w:val="center"/>
        </w:trPr>
        <w:tc>
          <w:tcPr>
            <w:tcW w:w="3374" w:type="dxa"/>
            <w:shd w:val="clear" w:color="auto" w:fill="auto"/>
            <w:vAlign w:val="center"/>
            <w:hideMark/>
          </w:tcPr>
          <w:p w:rsidR="002E036C" w:rsidRPr="006C6BE5" w:rsidRDefault="002E036C" w:rsidP="002E036C">
            <w:pPr>
              <w:jc w:val="left"/>
              <w:rPr>
                <w:color w:val="000000"/>
                <w:sz w:val="18"/>
                <w:szCs w:val="18"/>
                <w:lang w:val="es-ES" w:eastAsia="zh-CN"/>
              </w:rPr>
            </w:pPr>
            <w:r w:rsidRPr="006C6BE5">
              <w:rPr>
                <w:color w:val="000000"/>
                <w:sz w:val="18"/>
                <w:szCs w:val="18"/>
                <w:lang w:val="es-ES" w:eastAsia="zh-CN"/>
              </w:rPr>
              <w:t>O-Nitrobenzaldehyde / Mnitrobenzaldehyde / nitro benzyl alcohol</w:t>
            </w:r>
          </w:p>
        </w:tc>
        <w:tc>
          <w:tcPr>
            <w:tcW w:w="184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181.26</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199.39</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3-Methyl-2-Thiophenecarboxaldehyde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2-Thiophene ethanol</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3,5-DNBC/triiodoisophthalic</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11.00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1,2-Benzisothiazol-3-Ketone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Ticlopidine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15.00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16.50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Chloromethane-sulfoniceaster</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2-(p-Bromomethylphenyl) propionic acid</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40.00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44.00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2-methoxy-3-methylpyrazine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9.90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10.89</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4-(trifluorometoxy)aniline (TFAM)</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2.10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2.31</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4-Bromoanisole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4-Bromo-benzenesulfonyl</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4-Chloro-2-Trichloromethyl pyridine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Chloropyrazine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11.00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Diamino pyrazole sulfate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Dichloro-p-cresol</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30.00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33.00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Dope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250.00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275.00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Doxofylline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Ethyl-4Chloroacetoacetate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106.32</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116.95</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Ozagrel</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PVDF</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Single-ester</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40"/>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Using as G.I.</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â-Bromopropionicacid</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510"/>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Acrylamide (N-(1,1-dimethyl-3-oxobutyl) (DAAM)</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2-Methoxybenzoylchloride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20.80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22.88</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Levofloxacin</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60.00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66.00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Fipronil</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2-chloro-5- (trifluoromethyloxy) pyridine</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0.00</w:t>
            </w:r>
          </w:p>
        </w:tc>
      </w:tr>
      <w:tr w:rsidR="002E036C" w:rsidRPr="003D7B10" w:rsidTr="00BF4969">
        <w:trPr>
          <w:trHeight w:val="285"/>
          <w:jc w:val="center"/>
        </w:trPr>
        <w:tc>
          <w:tcPr>
            <w:tcW w:w="3374" w:type="dxa"/>
            <w:shd w:val="clear" w:color="auto" w:fill="auto"/>
            <w:vAlign w:val="center"/>
            <w:hideMark/>
          </w:tcPr>
          <w:p w:rsidR="002E036C" w:rsidRPr="003D7B10" w:rsidRDefault="002E036C" w:rsidP="002E036C">
            <w:pPr>
              <w:jc w:val="left"/>
              <w:rPr>
                <w:color w:val="000000"/>
                <w:sz w:val="18"/>
                <w:szCs w:val="18"/>
                <w:lang w:eastAsia="zh-CN"/>
              </w:rPr>
            </w:pPr>
            <w:r w:rsidRPr="003D7B10">
              <w:rPr>
                <w:color w:val="000000"/>
                <w:sz w:val="18"/>
                <w:szCs w:val="18"/>
                <w:lang w:eastAsia="zh-CN"/>
              </w:rPr>
              <w:t>Total</w:t>
            </w:r>
          </w:p>
        </w:tc>
        <w:tc>
          <w:tcPr>
            <w:tcW w:w="1840" w:type="dxa"/>
            <w:shd w:val="clear" w:color="auto" w:fill="auto"/>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791.64</w:t>
            </w:r>
          </w:p>
        </w:tc>
        <w:tc>
          <w:tcPr>
            <w:tcW w:w="1820" w:type="dxa"/>
            <w:shd w:val="clear" w:color="auto" w:fill="auto"/>
            <w:noWrap/>
            <w:vAlign w:val="bottom"/>
            <w:hideMark/>
          </w:tcPr>
          <w:p w:rsidR="002E036C" w:rsidRPr="003D7B10" w:rsidRDefault="002E036C" w:rsidP="00E800C3">
            <w:pPr>
              <w:jc w:val="right"/>
              <w:rPr>
                <w:color w:val="000000"/>
                <w:sz w:val="18"/>
                <w:szCs w:val="18"/>
                <w:lang w:eastAsia="zh-CN"/>
              </w:rPr>
            </w:pPr>
            <w:r w:rsidRPr="003D7B10">
              <w:rPr>
                <w:color w:val="000000"/>
                <w:sz w:val="18"/>
                <w:szCs w:val="18"/>
                <w:lang w:eastAsia="zh-CN"/>
              </w:rPr>
              <w:t>870.80</w:t>
            </w:r>
          </w:p>
        </w:tc>
      </w:tr>
    </w:tbl>
    <w:p w:rsidR="003B6556" w:rsidRPr="003D7B10" w:rsidRDefault="003B6556" w:rsidP="003B6556"/>
    <w:p w:rsidR="003B6556" w:rsidRPr="003D7B10" w:rsidRDefault="003B6556" w:rsidP="003B6556"/>
    <w:p w:rsidR="00406B22" w:rsidRPr="003D7B10" w:rsidRDefault="003B6556" w:rsidP="003B6556">
      <w:pPr>
        <w:jc w:val="center"/>
      </w:pPr>
      <w:r w:rsidRPr="003D7B10">
        <w:t>_ _ _ _</w:t>
      </w:r>
    </w:p>
    <w:sectPr w:rsidR="00406B22" w:rsidRPr="003D7B10" w:rsidSect="00E800C3">
      <w:headerReference w:type="even" r:id="rId15"/>
      <w:headerReference w:type="default" r:id="rId16"/>
      <w:pgSz w:w="12240" w:h="15840" w:code="1"/>
      <w:pgMar w:top="720" w:right="1440" w:bottom="864" w:left="1440" w:header="720" w:footer="47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3F" w:rsidRDefault="0075773F" w:rsidP="0028352F">
      <w:r>
        <w:separator/>
      </w:r>
    </w:p>
  </w:endnote>
  <w:endnote w:type="continuationSeparator" w:id="0">
    <w:p w:rsidR="0075773F" w:rsidRDefault="0075773F" w:rsidP="0028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6110"/>
      <w:docPartObj>
        <w:docPartGallery w:val="Page Numbers (Bottom of Page)"/>
        <w:docPartUnique/>
      </w:docPartObj>
    </w:sdtPr>
    <w:sdtEndPr/>
    <w:sdtContent>
      <w:p w:rsidR="0075773F" w:rsidRDefault="00BA39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773F" w:rsidRDefault="00757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6111"/>
      <w:docPartObj>
        <w:docPartGallery w:val="Page Numbers (Bottom of Page)"/>
        <w:docPartUnique/>
      </w:docPartObj>
    </w:sdtPr>
    <w:sdtEndPr/>
    <w:sdtContent>
      <w:p w:rsidR="0075773F" w:rsidRDefault="00BA397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75773F" w:rsidRDefault="00757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3F" w:rsidRDefault="0075773F" w:rsidP="0028352F">
      <w:r>
        <w:separator/>
      </w:r>
    </w:p>
  </w:footnote>
  <w:footnote w:type="continuationSeparator" w:id="0">
    <w:p w:rsidR="0075773F" w:rsidRDefault="0075773F" w:rsidP="0028352F">
      <w:r>
        <w:continuationSeparator/>
      </w:r>
    </w:p>
  </w:footnote>
  <w:footnote w:id="1">
    <w:p w:rsidR="0075773F" w:rsidRPr="00BF4969" w:rsidRDefault="0075773F">
      <w:pPr>
        <w:pStyle w:val="FootnoteText"/>
        <w:rPr>
          <w:sz w:val="18"/>
          <w:szCs w:val="18"/>
          <w:lang w:val="en-CA"/>
        </w:rPr>
      </w:pPr>
      <w:r>
        <w:rPr>
          <w:rStyle w:val="FootnoteReference"/>
        </w:rPr>
        <w:footnoteRef/>
      </w:r>
      <w:r>
        <w:t xml:space="preserve"> </w:t>
      </w:r>
      <w:r w:rsidRPr="00BF4969">
        <w:rPr>
          <w:sz w:val="18"/>
          <w:szCs w:val="18"/>
          <w:lang w:val="en-CA"/>
        </w:rPr>
        <w:t>A consumption of zero tonne of CTC for 2008 has been verified for Romania</w:t>
      </w:r>
      <w:r>
        <w:rPr>
          <w:sz w:val="18"/>
          <w:szCs w:val="18"/>
          <w:lang w:val="en-CA"/>
        </w:rPr>
        <w:t>.</w:t>
      </w:r>
    </w:p>
  </w:footnote>
  <w:footnote w:id="2">
    <w:p w:rsidR="0075773F" w:rsidRPr="00BF4969" w:rsidRDefault="0075773F">
      <w:pPr>
        <w:pStyle w:val="FootnoteText"/>
        <w:rPr>
          <w:sz w:val="18"/>
          <w:szCs w:val="18"/>
          <w:lang w:val="en-CA"/>
        </w:rPr>
      </w:pPr>
      <w:r w:rsidRPr="00BF4969">
        <w:rPr>
          <w:rStyle w:val="FootnoteReference"/>
          <w:sz w:val="18"/>
          <w:szCs w:val="18"/>
        </w:rPr>
        <w:footnoteRef/>
      </w:r>
      <w:r w:rsidRPr="00BF4969">
        <w:rPr>
          <w:sz w:val="18"/>
          <w:szCs w:val="18"/>
        </w:rPr>
        <w:t xml:space="preserve"> For the purpose of reporting of consumption related to different specific uses of CTC in China, the CTC consumption for a given year for the different applications is defined as CTC procured by the relevant enterprise for PA use in that year</w:t>
      </w:r>
      <w:r>
        <w:rPr>
          <w:sz w:val="18"/>
          <w:szCs w:val="18"/>
        </w:rPr>
        <w:t>.</w:t>
      </w:r>
    </w:p>
  </w:footnote>
  <w:footnote w:id="3">
    <w:p w:rsidR="0075773F" w:rsidRPr="00E60075" w:rsidRDefault="0075773F">
      <w:pPr>
        <w:pStyle w:val="FootnoteText"/>
      </w:pPr>
      <w:r>
        <w:rPr>
          <w:rStyle w:val="FootnoteReference"/>
        </w:rPr>
        <w:footnoteRef/>
      </w:r>
      <w:r>
        <w:t xml:space="preserve"> </w:t>
      </w:r>
      <w:r>
        <w:rPr>
          <w:sz w:val="18"/>
          <w:szCs w:val="18"/>
          <w:lang w:val="en-CA"/>
        </w:rPr>
        <w:t>Refer to</w:t>
      </w:r>
      <w:r w:rsidRPr="00BF4969">
        <w:rPr>
          <w:sz w:val="18"/>
          <w:szCs w:val="18"/>
          <w:lang w:val="en-CA"/>
        </w:rPr>
        <w:t xml:space="preserve"> line 6 of Appendix 2-A of that Agreement</w:t>
      </w:r>
      <w:r>
        <w:rPr>
          <w:sz w:val="18"/>
          <w:szCs w:val="18"/>
          <w:lang w:val="en-CA"/>
        </w:rPr>
        <w:t>.</w:t>
      </w:r>
    </w:p>
  </w:footnote>
  <w:footnote w:id="4">
    <w:p w:rsidR="0075773F" w:rsidRPr="00BF4969" w:rsidRDefault="0075773F">
      <w:pPr>
        <w:pStyle w:val="FootnoteText"/>
        <w:rPr>
          <w:sz w:val="18"/>
          <w:szCs w:val="18"/>
          <w:lang w:val="en-CA"/>
        </w:rPr>
      </w:pPr>
      <w:r>
        <w:rPr>
          <w:rStyle w:val="FootnoteReference"/>
        </w:rPr>
        <w:footnoteRef/>
      </w:r>
      <w:r>
        <w:t xml:space="preserve"> </w:t>
      </w:r>
      <w:r w:rsidRPr="00BF4969">
        <w:rPr>
          <w:sz w:val="18"/>
          <w:szCs w:val="18"/>
        </w:rPr>
        <w:t xml:space="preserve">The Agreement approved in decision 48/26 of the Executive Committee, covering also the PA Plan II, reconfirmed the same figure, with the proviso, at that time, that emissions are accepted by the Parties as eligible, under decision X/14. </w:t>
      </w:r>
      <w:r>
        <w:rPr>
          <w:sz w:val="18"/>
          <w:szCs w:val="18"/>
        </w:rPr>
        <w:t xml:space="preserve"> </w:t>
      </w:r>
      <w:r w:rsidRPr="00BF4969">
        <w:rPr>
          <w:sz w:val="18"/>
          <w:szCs w:val="18"/>
        </w:rPr>
        <w:t>Decision</w:t>
      </w:r>
      <w:r>
        <w:rPr>
          <w:sz w:val="18"/>
          <w:szCs w:val="18"/>
        </w:rPr>
        <w:t> </w:t>
      </w:r>
      <w:r w:rsidRPr="00BF4969">
        <w:rPr>
          <w:sz w:val="18"/>
          <w:szCs w:val="18"/>
        </w:rPr>
        <w:t>XXII/8 of the Meeting of the Parties has accepted the levels stipulated in the said Agreements.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3F" w:rsidRDefault="0075773F" w:rsidP="00E800C3">
    <w:pPr>
      <w:jc w:val="left"/>
    </w:pPr>
    <w:fldSimple w:instr=" DOCPROPERTY &quot;Document number&quot;  \* MERGEFORMAT ">
      <w:r>
        <w:t>UNEP/OzL.Pro/ExCom/62/Inf.2/Rev.1</w:t>
      </w:r>
    </w:fldSimple>
  </w:p>
  <w:p w:rsidR="0075773F" w:rsidRPr="0033525D" w:rsidRDefault="0075773F" w:rsidP="00E800C3">
    <w:pPr>
      <w:pStyle w:val="Header"/>
      <w:jc w:val="left"/>
    </w:pPr>
  </w:p>
  <w:p w:rsidR="0075773F" w:rsidRPr="00E800C3" w:rsidRDefault="0075773F" w:rsidP="00E80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3F" w:rsidRDefault="0075773F" w:rsidP="005951DE">
    <w:pPr>
      <w:jc w:val="right"/>
    </w:pPr>
    <w:fldSimple w:instr=" DOCPROPERTY &quot;Document number&quot;  \* MERGEFORMAT ">
      <w:r>
        <w:t>UNEP/OzL.Pro/ExCom/62/Inf.2/Rev.1</w:t>
      </w:r>
    </w:fldSimple>
  </w:p>
  <w:p w:rsidR="0075773F" w:rsidRPr="0033525D" w:rsidRDefault="0075773F" w:rsidP="005951DE">
    <w:pPr>
      <w:jc w:val="right"/>
    </w:pPr>
  </w:p>
  <w:p w:rsidR="0075773F" w:rsidRPr="0033525D" w:rsidRDefault="0075773F" w:rsidP="005951D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3F" w:rsidRDefault="0075773F" w:rsidP="00E800C3">
    <w:pPr>
      <w:jc w:val="left"/>
    </w:pPr>
    <w:fldSimple w:instr=" DOCPROPERTY &quot;Document number&quot;  \* MERGEFORMAT ">
      <w:r>
        <w:t>UNEP/OzL.Pro/ExCom/62/Inf.2/Rev.1</w:t>
      </w:r>
    </w:fldSimple>
  </w:p>
  <w:p w:rsidR="0075773F" w:rsidRDefault="0075773F" w:rsidP="00E800C3">
    <w:pPr>
      <w:pStyle w:val="Header"/>
      <w:jc w:val="left"/>
    </w:pPr>
    <w:r>
      <w:t>Annex I</w:t>
    </w:r>
  </w:p>
  <w:p w:rsidR="0075773F" w:rsidRPr="0033525D" w:rsidRDefault="0075773F" w:rsidP="00E800C3">
    <w:pPr>
      <w:pStyle w:val="Header"/>
      <w:jc w:val="left"/>
    </w:pPr>
  </w:p>
  <w:p w:rsidR="0075773F" w:rsidRPr="00E800C3" w:rsidRDefault="0075773F" w:rsidP="00E800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3F" w:rsidRDefault="0075773F" w:rsidP="005951DE">
    <w:pPr>
      <w:jc w:val="right"/>
    </w:pPr>
    <w:fldSimple w:instr=" DOCPROPERTY &quot;Document number&quot;  \* MERGEFORMAT ">
      <w:r>
        <w:t>UNEP/OzL.Pro/ExCom/62/Inf.2/Rev.1</w:t>
      </w:r>
    </w:fldSimple>
  </w:p>
  <w:p w:rsidR="0075773F" w:rsidRDefault="0075773F" w:rsidP="005951DE">
    <w:pPr>
      <w:jc w:val="right"/>
    </w:pPr>
    <w:r>
      <w:t>Annex I</w:t>
    </w:r>
  </w:p>
  <w:p w:rsidR="0075773F" w:rsidRPr="0033525D" w:rsidRDefault="0075773F" w:rsidP="005951DE">
    <w:pPr>
      <w:jc w:val="right"/>
    </w:pPr>
  </w:p>
  <w:p w:rsidR="0075773F" w:rsidRPr="0033525D" w:rsidRDefault="0075773F" w:rsidP="005951D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2E767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6F6389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61A33D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532B5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27AF7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CB6EE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DEEBB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5C453D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E7E27F2"/>
    <w:lvl w:ilvl="0">
      <w:start w:val="1"/>
      <w:numFmt w:val="decimal"/>
      <w:pStyle w:val="ListNumber"/>
      <w:lvlText w:val="%1."/>
      <w:lvlJc w:val="left"/>
      <w:pPr>
        <w:tabs>
          <w:tab w:val="num" w:pos="360"/>
        </w:tabs>
        <w:ind w:left="360" w:hanging="360"/>
      </w:pPr>
    </w:lvl>
  </w:abstractNum>
  <w:abstractNum w:abstractNumId="9">
    <w:nsid w:val="FFFFFF89"/>
    <w:multiLevelType w:val="singleLevel"/>
    <w:tmpl w:val="CAF256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F3B88DFC"/>
    <w:lvl w:ilvl="0">
      <w:start w:val="1"/>
      <w:numFmt w:val="decimal"/>
      <w:pStyle w:val="Heading1"/>
      <w:lvlText w:val="%1."/>
      <w:lvlJc w:val="left"/>
      <w:pPr>
        <w:tabs>
          <w:tab w:val="num" w:pos="0"/>
        </w:tabs>
        <w:ind w:left="0" w:firstLine="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lowerLetter"/>
      <w:lvlText w:val="%4)"/>
      <w:lvlJc w:val="left"/>
      <w:pPr>
        <w:tabs>
          <w:tab w:val="num" w:pos="0"/>
        </w:tabs>
        <w:ind w:left="2866" w:hanging="706"/>
      </w:pPr>
      <w:rPr>
        <w:rFonts w:hint="default"/>
      </w:rPr>
    </w:lvl>
    <w:lvl w:ilvl="4">
      <w:start w:val="1"/>
      <w:numFmt w:val="decimal"/>
      <w:pStyle w:val="Heading5"/>
      <w:lvlText w:val="(%5)"/>
      <w:lvlJc w:val="left"/>
      <w:pPr>
        <w:tabs>
          <w:tab w:val="num" w:pos="0"/>
        </w:tabs>
        <w:ind w:left="3571" w:hanging="705"/>
      </w:pPr>
      <w:rPr>
        <w:rFonts w:hint="default"/>
      </w:rPr>
    </w:lvl>
    <w:lvl w:ilvl="5">
      <w:start w:val="1"/>
      <w:numFmt w:val="lowerLetter"/>
      <w:pStyle w:val="Heading6"/>
      <w:lvlText w:val="(%6)"/>
      <w:lvlJc w:val="left"/>
      <w:pPr>
        <w:tabs>
          <w:tab w:val="num" w:pos="0"/>
        </w:tabs>
        <w:ind w:left="4291" w:hanging="720"/>
      </w:pPr>
      <w:rPr>
        <w:rFonts w:hint="default"/>
      </w:rPr>
    </w:lvl>
    <w:lvl w:ilvl="6">
      <w:start w:val="1"/>
      <w:numFmt w:val="lowerRoman"/>
      <w:pStyle w:val="Heading7"/>
      <w:lvlText w:val="(%7)"/>
      <w:lvlJc w:val="left"/>
      <w:pPr>
        <w:tabs>
          <w:tab w:val="num" w:pos="0"/>
        </w:tabs>
        <w:ind w:left="4997" w:hanging="706"/>
      </w:pPr>
      <w:rPr>
        <w:rFonts w:hint="default"/>
      </w:rPr>
    </w:lvl>
    <w:lvl w:ilvl="7">
      <w:start w:val="1"/>
      <w:numFmt w:val="lowerLetter"/>
      <w:lvlText w:val="(%8)"/>
      <w:lvlJc w:val="left"/>
      <w:pPr>
        <w:tabs>
          <w:tab w:val="num" w:pos="0"/>
        </w:tabs>
        <w:ind w:left="5702" w:hanging="705"/>
      </w:pPr>
      <w:rPr>
        <w:rFonts w:hint="default"/>
      </w:rPr>
    </w:lvl>
    <w:lvl w:ilvl="8">
      <w:start w:val="1"/>
      <w:numFmt w:val="lowerRoman"/>
      <w:pStyle w:val="Heading9"/>
      <w:lvlText w:val="(%9)"/>
      <w:lvlJc w:val="left"/>
      <w:pPr>
        <w:tabs>
          <w:tab w:val="num" w:pos="0"/>
        </w:tabs>
        <w:ind w:left="6408" w:hanging="706"/>
      </w:pPr>
      <w:rPr>
        <w:rFonts w:hint="default"/>
      </w:rPr>
    </w:lvl>
  </w:abstractNum>
  <w:abstractNum w:abstractNumId="11">
    <w:nsid w:val="2BC6015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E9638D9"/>
    <w:multiLevelType w:val="hybridMultilevel"/>
    <w:tmpl w:val="592A0316"/>
    <w:lvl w:ilvl="0" w:tplc="30DCD3C8">
      <w:start w:val="712"/>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49EF1DAC"/>
    <w:multiLevelType w:val="hybridMultilevel"/>
    <w:tmpl w:val="89888EFA"/>
    <w:lvl w:ilvl="0" w:tplc="10090001">
      <w:start w:val="712"/>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E892E7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FC15EE6"/>
    <w:multiLevelType w:val="hybridMultilevel"/>
    <w:tmpl w:val="E4CA9C6A"/>
    <w:lvl w:ilvl="0" w:tplc="94B213D8">
      <w:start w:val="1"/>
      <w:numFmt w:val="lowerLetter"/>
      <w:pStyle w:val="Heading4"/>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51C5462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7E100F2A"/>
    <w:multiLevelType w:val="hybridMultilevel"/>
    <w:tmpl w:val="BD0C0614"/>
    <w:lvl w:ilvl="0" w:tplc="10C23008">
      <w:start w:val="1"/>
      <w:numFmt w:val="lowerLetter"/>
      <w:pStyle w:val="Header4"/>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num w:numId="1">
    <w:abstractNumId w:val="10"/>
  </w:num>
  <w:num w:numId="2">
    <w:abstractNumId w:val="10"/>
  </w:num>
  <w:num w:numId="3">
    <w:abstractNumId w:val="10"/>
  </w:num>
  <w:num w:numId="4">
    <w:abstractNumId w:val="10"/>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4"/>
  </w:num>
  <w:num w:numId="18">
    <w:abstractNumId w:val="16"/>
  </w:num>
  <w:num w:numId="19">
    <w:abstractNumId w:val="17"/>
  </w:num>
  <w:num w:numId="20">
    <w:abstractNumId w:val="1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56"/>
    <w:rsid w:val="0000024A"/>
    <w:rsid w:val="00000FED"/>
    <w:rsid w:val="0000434E"/>
    <w:rsid w:val="00004E0C"/>
    <w:rsid w:val="00010B63"/>
    <w:rsid w:val="0001287E"/>
    <w:rsid w:val="00014839"/>
    <w:rsid w:val="000148B0"/>
    <w:rsid w:val="000175AB"/>
    <w:rsid w:val="0002685A"/>
    <w:rsid w:val="000272EA"/>
    <w:rsid w:val="00031260"/>
    <w:rsid w:val="0003681A"/>
    <w:rsid w:val="00054646"/>
    <w:rsid w:val="000656B9"/>
    <w:rsid w:val="0007408F"/>
    <w:rsid w:val="00077D83"/>
    <w:rsid w:val="00080ED0"/>
    <w:rsid w:val="00082E38"/>
    <w:rsid w:val="0008351D"/>
    <w:rsid w:val="00085B8F"/>
    <w:rsid w:val="00090481"/>
    <w:rsid w:val="00091051"/>
    <w:rsid w:val="000913B4"/>
    <w:rsid w:val="00097FD8"/>
    <w:rsid w:val="000A032E"/>
    <w:rsid w:val="000A1308"/>
    <w:rsid w:val="000B1B57"/>
    <w:rsid w:val="000B4699"/>
    <w:rsid w:val="000B5191"/>
    <w:rsid w:val="000B5B3B"/>
    <w:rsid w:val="000C48C1"/>
    <w:rsid w:val="000D2F39"/>
    <w:rsid w:val="000D6CF9"/>
    <w:rsid w:val="000E07BC"/>
    <w:rsid w:val="000F1B75"/>
    <w:rsid w:val="000F4103"/>
    <w:rsid w:val="000F70A7"/>
    <w:rsid w:val="000F7864"/>
    <w:rsid w:val="000F7890"/>
    <w:rsid w:val="00106FC2"/>
    <w:rsid w:val="00135980"/>
    <w:rsid w:val="0014086E"/>
    <w:rsid w:val="00142034"/>
    <w:rsid w:val="00146B2B"/>
    <w:rsid w:val="00153E20"/>
    <w:rsid w:val="00166FC4"/>
    <w:rsid w:val="001677AC"/>
    <w:rsid w:val="00181A3D"/>
    <w:rsid w:val="001846C6"/>
    <w:rsid w:val="00190A61"/>
    <w:rsid w:val="00192ECD"/>
    <w:rsid w:val="001A09B8"/>
    <w:rsid w:val="001A3342"/>
    <w:rsid w:val="001A3E3D"/>
    <w:rsid w:val="001A3F47"/>
    <w:rsid w:val="001B057E"/>
    <w:rsid w:val="001B1E40"/>
    <w:rsid w:val="001B51EE"/>
    <w:rsid w:val="001B7AB4"/>
    <w:rsid w:val="001C764E"/>
    <w:rsid w:val="001E1052"/>
    <w:rsid w:val="001E21B1"/>
    <w:rsid w:val="001E2F93"/>
    <w:rsid w:val="001E378E"/>
    <w:rsid w:val="001E5C8B"/>
    <w:rsid w:val="001F2159"/>
    <w:rsid w:val="001F5959"/>
    <w:rsid w:val="001F6FC3"/>
    <w:rsid w:val="00200A0A"/>
    <w:rsid w:val="00205AEF"/>
    <w:rsid w:val="002074F7"/>
    <w:rsid w:val="00213823"/>
    <w:rsid w:val="00225598"/>
    <w:rsid w:val="00227DB1"/>
    <w:rsid w:val="002304B3"/>
    <w:rsid w:val="002457C1"/>
    <w:rsid w:val="002465B0"/>
    <w:rsid w:val="00251521"/>
    <w:rsid w:val="00253222"/>
    <w:rsid w:val="00262212"/>
    <w:rsid w:val="00265772"/>
    <w:rsid w:val="002728AB"/>
    <w:rsid w:val="0028352F"/>
    <w:rsid w:val="0029090D"/>
    <w:rsid w:val="00294F4B"/>
    <w:rsid w:val="002951FF"/>
    <w:rsid w:val="002A157E"/>
    <w:rsid w:val="002A464F"/>
    <w:rsid w:val="002B459F"/>
    <w:rsid w:val="002B6128"/>
    <w:rsid w:val="002B7186"/>
    <w:rsid w:val="002B72E9"/>
    <w:rsid w:val="002C681A"/>
    <w:rsid w:val="002D10DA"/>
    <w:rsid w:val="002D2240"/>
    <w:rsid w:val="002D273B"/>
    <w:rsid w:val="002E036C"/>
    <w:rsid w:val="002F4899"/>
    <w:rsid w:val="002F5B87"/>
    <w:rsid w:val="00301F1C"/>
    <w:rsid w:val="00307E97"/>
    <w:rsid w:val="00310177"/>
    <w:rsid w:val="00311FA2"/>
    <w:rsid w:val="003151BC"/>
    <w:rsid w:val="00321C5F"/>
    <w:rsid w:val="003316CE"/>
    <w:rsid w:val="003320E4"/>
    <w:rsid w:val="0033525D"/>
    <w:rsid w:val="003452AA"/>
    <w:rsid w:val="0036149E"/>
    <w:rsid w:val="00363EE9"/>
    <w:rsid w:val="0036721D"/>
    <w:rsid w:val="003703AE"/>
    <w:rsid w:val="00370663"/>
    <w:rsid w:val="00371C29"/>
    <w:rsid w:val="00375C98"/>
    <w:rsid w:val="0037611E"/>
    <w:rsid w:val="0038245A"/>
    <w:rsid w:val="00387F24"/>
    <w:rsid w:val="0039247A"/>
    <w:rsid w:val="003964E8"/>
    <w:rsid w:val="003A3189"/>
    <w:rsid w:val="003B569D"/>
    <w:rsid w:val="003B6556"/>
    <w:rsid w:val="003C2F0B"/>
    <w:rsid w:val="003C3C0E"/>
    <w:rsid w:val="003D4046"/>
    <w:rsid w:val="003D7B10"/>
    <w:rsid w:val="003E7906"/>
    <w:rsid w:val="003F49E6"/>
    <w:rsid w:val="003F5B3D"/>
    <w:rsid w:val="00406B22"/>
    <w:rsid w:val="00410B95"/>
    <w:rsid w:val="00413D7B"/>
    <w:rsid w:val="004153EC"/>
    <w:rsid w:val="00416D45"/>
    <w:rsid w:val="00421827"/>
    <w:rsid w:val="00432D74"/>
    <w:rsid w:val="004345D3"/>
    <w:rsid w:val="00434C74"/>
    <w:rsid w:val="004350F2"/>
    <w:rsid w:val="00447ACB"/>
    <w:rsid w:val="0045438F"/>
    <w:rsid w:val="00456EB4"/>
    <w:rsid w:val="00472940"/>
    <w:rsid w:val="00475040"/>
    <w:rsid w:val="00482939"/>
    <w:rsid w:val="0049098D"/>
    <w:rsid w:val="00491D92"/>
    <w:rsid w:val="00493D40"/>
    <w:rsid w:val="004A20C4"/>
    <w:rsid w:val="004A405C"/>
    <w:rsid w:val="004B34C6"/>
    <w:rsid w:val="004B670D"/>
    <w:rsid w:val="004C1188"/>
    <w:rsid w:val="004C1936"/>
    <w:rsid w:val="004C4269"/>
    <w:rsid w:val="004D2039"/>
    <w:rsid w:val="004D6236"/>
    <w:rsid w:val="004E171B"/>
    <w:rsid w:val="004E4DBB"/>
    <w:rsid w:val="004F01B9"/>
    <w:rsid w:val="004F29A3"/>
    <w:rsid w:val="004F3493"/>
    <w:rsid w:val="004F7469"/>
    <w:rsid w:val="00507A1F"/>
    <w:rsid w:val="00510453"/>
    <w:rsid w:val="00512B09"/>
    <w:rsid w:val="0051312C"/>
    <w:rsid w:val="0051492E"/>
    <w:rsid w:val="00517B0A"/>
    <w:rsid w:val="00530485"/>
    <w:rsid w:val="005436EA"/>
    <w:rsid w:val="00544C2F"/>
    <w:rsid w:val="00560DF0"/>
    <w:rsid w:val="0057349B"/>
    <w:rsid w:val="00574528"/>
    <w:rsid w:val="00575FD7"/>
    <w:rsid w:val="0057759F"/>
    <w:rsid w:val="00586154"/>
    <w:rsid w:val="005951DE"/>
    <w:rsid w:val="00597497"/>
    <w:rsid w:val="005A4595"/>
    <w:rsid w:val="005B48FF"/>
    <w:rsid w:val="005B76B7"/>
    <w:rsid w:val="005E05D4"/>
    <w:rsid w:val="005F2C43"/>
    <w:rsid w:val="005F4438"/>
    <w:rsid w:val="005F720F"/>
    <w:rsid w:val="00602A8D"/>
    <w:rsid w:val="00604621"/>
    <w:rsid w:val="0060739A"/>
    <w:rsid w:val="00612BF6"/>
    <w:rsid w:val="006158D5"/>
    <w:rsid w:val="00622B61"/>
    <w:rsid w:val="00625D83"/>
    <w:rsid w:val="00627E2E"/>
    <w:rsid w:val="006332E1"/>
    <w:rsid w:val="00642B60"/>
    <w:rsid w:val="00657949"/>
    <w:rsid w:val="00662B80"/>
    <w:rsid w:val="00662C91"/>
    <w:rsid w:val="006646AC"/>
    <w:rsid w:val="0068551F"/>
    <w:rsid w:val="006A58B5"/>
    <w:rsid w:val="006A7041"/>
    <w:rsid w:val="006B0985"/>
    <w:rsid w:val="006C5007"/>
    <w:rsid w:val="006C5C96"/>
    <w:rsid w:val="006C6BE5"/>
    <w:rsid w:val="006D7637"/>
    <w:rsid w:val="006E3E11"/>
    <w:rsid w:val="0070616B"/>
    <w:rsid w:val="00706FDA"/>
    <w:rsid w:val="00711D3E"/>
    <w:rsid w:val="00711F9A"/>
    <w:rsid w:val="00713810"/>
    <w:rsid w:val="00722666"/>
    <w:rsid w:val="00727723"/>
    <w:rsid w:val="007303A5"/>
    <w:rsid w:val="007303D5"/>
    <w:rsid w:val="0073420B"/>
    <w:rsid w:val="00740A3F"/>
    <w:rsid w:val="00743B59"/>
    <w:rsid w:val="0074760E"/>
    <w:rsid w:val="00751877"/>
    <w:rsid w:val="00754ABA"/>
    <w:rsid w:val="0075773F"/>
    <w:rsid w:val="00757DC3"/>
    <w:rsid w:val="00762092"/>
    <w:rsid w:val="00765DE4"/>
    <w:rsid w:val="007732A1"/>
    <w:rsid w:val="00776AF2"/>
    <w:rsid w:val="00776B12"/>
    <w:rsid w:val="00783E6C"/>
    <w:rsid w:val="007868CF"/>
    <w:rsid w:val="0079702D"/>
    <w:rsid w:val="007A1546"/>
    <w:rsid w:val="007A228C"/>
    <w:rsid w:val="007A368E"/>
    <w:rsid w:val="007B04CE"/>
    <w:rsid w:val="007B080C"/>
    <w:rsid w:val="007B1B20"/>
    <w:rsid w:val="007B5969"/>
    <w:rsid w:val="007C3D33"/>
    <w:rsid w:val="007D0862"/>
    <w:rsid w:val="007D47D2"/>
    <w:rsid w:val="007D51A0"/>
    <w:rsid w:val="007D6F39"/>
    <w:rsid w:val="007E03DB"/>
    <w:rsid w:val="007E6920"/>
    <w:rsid w:val="007F7377"/>
    <w:rsid w:val="007F7F03"/>
    <w:rsid w:val="008038C5"/>
    <w:rsid w:val="008055C8"/>
    <w:rsid w:val="00812281"/>
    <w:rsid w:val="00817C78"/>
    <w:rsid w:val="00817DA7"/>
    <w:rsid w:val="00820A97"/>
    <w:rsid w:val="00837B29"/>
    <w:rsid w:val="00841890"/>
    <w:rsid w:val="00844BA6"/>
    <w:rsid w:val="00846A5B"/>
    <w:rsid w:val="00856623"/>
    <w:rsid w:val="008579A6"/>
    <w:rsid w:val="008619EA"/>
    <w:rsid w:val="008677B2"/>
    <w:rsid w:val="008717D8"/>
    <w:rsid w:val="0087215C"/>
    <w:rsid w:val="00876D49"/>
    <w:rsid w:val="0088015A"/>
    <w:rsid w:val="00887F8E"/>
    <w:rsid w:val="00890625"/>
    <w:rsid w:val="008919CB"/>
    <w:rsid w:val="00896234"/>
    <w:rsid w:val="008A0613"/>
    <w:rsid w:val="008A3F8F"/>
    <w:rsid w:val="008B4498"/>
    <w:rsid w:val="008C2BE3"/>
    <w:rsid w:val="008C3A09"/>
    <w:rsid w:val="008C7EAD"/>
    <w:rsid w:val="008D3BB1"/>
    <w:rsid w:val="008D6152"/>
    <w:rsid w:val="008E4433"/>
    <w:rsid w:val="008E538F"/>
    <w:rsid w:val="008F154E"/>
    <w:rsid w:val="008F363B"/>
    <w:rsid w:val="008F4093"/>
    <w:rsid w:val="008F66C8"/>
    <w:rsid w:val="0091677A"/>
    <w:rsid w:val="00920DA3"/>
    <w:rsid w:val="0092344B"/>
    <w:rsid w:val="00924F72"/>
    <w:rsid w:val="00926767"/>
    <w:rsid w:val="009358AC"/>
    <w:rsid w:val="009361D5"/>
    <w:rsid w:val="009435FE"/>
    <w:rsid w:val="00952F71"/>
    <w:rsid w:val="009706C9"/>
    <w:rsid w:val="00970D60"/>
    <w:rsid w:val="00972D21"/>
    <w:rsid w:val="009A32F8"/>
    <w:rsid w:val="009A4B6B"/>
    <w:rsid w:val="009C0F18"/>
    <w:rsid w:val="009D31CD"/>
    <w:rsid w:val="009D5292"/>
    <w:rsid w:val="009D52D3"/>
    <w:rsid w:val="009E5F4C"/>
    <w:rsid w:val="009F36BF"/>
    <w:rsid w:val="009F61C6"/>
    <w:rsid w:val="00A00187"/>
    <w:rsid w:val="00A107F2"/>
    <w:rsid w:val="00A13C46"/>
    <w:rsid w:val="00A1612E"/>
    <w:rsid w:val="00A261BC"/>
    <w:rsid w:val="00A34806"/>
    <w:rsid w:val="00A4160A"/>
    <w:rsid w:val="00A42A99"/>
    <w:rsid w:val="00A42D6E"/>
    <w:rsid w:val="00A44D1D"/>
    <w:rsid w:val="00A46596"/>
    <w:rsid w:val="00A477EC"/>
    <w:rsid w:val="00A52909"/>
    <w:rsid w:val="00A60D52"/>
    <w:rsid w:val="00A823F6"/>
    <w:rsid w:val="00A86E5F"/>
    <w:rsid w:val="00A906F6"/>
    <w:rsid w:val="00A93DA1"/>
    <w:rsid w:val="00A93E1E"/>
    <w:rsid w:val="00A95180"/>
    <w:rsid w:val="00AA07E8"/>
    <w:rsid w:val="00AA0A89"/>
    <w:rsid w:val="00AA102F"/>
    <w:rsid w:val="00AA7CB3"/>
    <w:rsid w:val="00AE0E2A"/>
    <w:rsid w:val="00AE33CC"/>
    <w:rsid w:val="00AE4FDD"/>
    <w:rsid w:val="00AE55FF"/>
    <w:rsid w:val="00AE5B2A"/>
    <w:rsid w:val="00AE7AB5"/>
    <w:rsid w:val="00AF7F64"/>
    <w:rsid w:val="00B056F9"/>
    <w:rsid w:val="00B06614"/>
    <w:rsid w:val="00B06D51"/>
    <w:rsid w:val="00B21552"/>
    <w:rsid w:val="00B23BD5"/>
    <w:rsid w:val="00B34CA9"/>
    <w:rsid w:val="00B40A2E"/>
    <w:rsid w:val="00B4203C"/>
    <w:rsid w:val="00B453D2"/>
    <w:rsid w:val="00B5313D"/>
    <w:rsid w:val="00B6634C"/>
    <w:rsid w:val="00B76429"/>
    <w:rsid w:val="00B76EAA"/>
    <w:rsid w:val="00B927D2"/>
    <w:rsid w:val="00B956D4"/>
    <w:rsid w:val="00BA397E"/>
    <w:rsid w:val="00BA6346"/>
    <w:rsid w:val="00BA668E"/>
    <w:rsid w:val="00BA7432"/>
    <w:rsid w:val="00BB6CA6"/>
    <w:rsid w:val="00BC1AA0"/>
    <w:rsid w:val="00BC2047"/>
    <w:rsid w:val="00BC40BA"/>
    <w:rsid w:val="00BD1E3F"/>
    <w:rsid w:val="00BD2643"/>
    <w:rsid w:val="00BD596C"/>
    <w:rsid w:val="00BE4F0F"/>
    <w:rsid w:val="00BF3214"/>
    <w:rsid w:val="00BF4969"/>
    <w:rsid w:val="00C04569"/>
    <w:rsid w:val="00C06491"/>
    <w:rsid w:val="00C12428"/>
    <w:rsid w:val="00C15575"/>
    <w:rsid w:val="00C1642F"/>
    <w:rsid w:val="00C16EBA"/>
    <w:rsid w:val="00C2296D"/>
    <w:rsid w:val="00C274ED"/>
    <w:rsid w:val="00C34B78"/>
    <w:rsid w:val="00C34F63"/>
    <w:rsid w:val="00C40C41"/>
    <w:rsid w:val="00C45885"/>
    <w:rsid w:val="00C64E07"/>
    <w:rsid w:val="00C65F14"/>
    <w:rsid w:val="00C66210"/>
    <w:rsid w:val="00C663C5"/>
    <w:rsid w:val="00C70D0C"/>
    <w:rsid w:val="00C76912"/>
    <w:rsid w:val="00C76BA4"/>
    <w:rsid w:val="00C8221D"/>
    <w:rsid w:val="00C82994"/>
    <w:rsid w:val="00C83A48"/>
    <w:rsid w:val="00C85865"/>
    <w:rsid w:val="00C868F2"/>
    <w:rsid w:val="00C924B2"/>
    <w:rsid w:val="00CA0FD7"/>
    <w:rsid w:val="00CA1063"/>
    <w:rsid w:val="00CA2EAE"/>
    <w:rsid w:val="00CA4AC1"/>
    <w:rsid w:val="00CB0F91"/>
    <w:rsid w:val="00CB3B4A"/>
    <w:rsid w:val="00CC6A14"/>
    <w:rsid w:val="00CC70A3"/>
    <w:rsid w:val="00CD1D87"/>
    <w:rsid w:val="00CD38B2"/>
    <w:rsid w:val="00CD53C3"/>
    <w:rsid w:val="00CD574E"/>
    <w:rsid w:val="00CD67AE"/>
    <w:rsid w:val="00CD6DF3"/>
    <w:rsid w:val="00CD7D64"/>
    <w:rsid w:val="00CE4C22"/>
    <w:rsid w:val="00CE7A24"/>
    <w:rsid w:val="00CF5D04"/>
    <w:rsid w:val="00CF6E92"/>
    <w:rsid w:val="00D01669"/>
    <w:rsid w:val="00D04DE4"/>
    <w:rsid w:val="00D05E61"/>
    <w:rsid w:val="00D0690A"/>
    <w:rsid w:val="00D126A5"/>
    <w:rsid w:val="00D14F22"/>
    <w:rsid w:val="00D15239"/>
    <w:rsid w:val="00D25E03"/>
    <w:rsid w:val="00D2676D"/>
    <w:rsid w:val="00D273C0"/>
    <w:rsid w:val="00D30124"/>
    <w:rsid w:val="00D33494"/>
    <w:rsid w:val="00D37A7F"/>
    <w:rsid w:val="00D41A14"/>
    <w:rsid w:val="00D42091"/>
    <w:rsid w:val="00D428DB"/>
    <w:rsid w:val="00D4747A"/>
    <w:rsid w:val="00D5466F"/>
    <w:rsid w:val="00D6114E"/>
    <w:rsid w:val="00D65152"/>
    <w:rsid w:val="00D65EC3"/>
    <w:rsid w:val="00D67D88"/>
    <w:rsid w:val="00D73DC6"/>
    <w:rsid w:val="00D74C1A"/>
    <w:rsid w:val="00D754C1"/>
    <w:rsid w:val="00D761CB"/>
    <w:rsid w:val="00D77A35"/>
    <w:rsid w:val="00D81B3E"/>
    <w:rsid w:val="00D81F4A"/>
    <w:rsid w:val="00D8312B"/>
    <w:rsid w:val="00D90C70"/>
    <w:rsid w:val="00D90E49"/>
    <w:rsid w:val="00D94E82"/>
    <w:rsid w:val="00DA2137"/>
    <w:rsid w:val="00DB2182"/>
    <w:rsid w:val="00DC0034"/>
    <w:rsid w:val="00DC3D5F"/>
    <w:rsid w:val="00DC5D45"/>
    <w:rsid w:val="00DD7828"/>
    <w:rsid w:val="00DE0E57"/>
    <w:rsid w:val="00DE1362"/>
    <w:rsid w:val="00DE3905"/>
    <w:rsid w:val="00DF620F"/>
    <w:rsid w:val="00E00B3E"/>
    <w:rsid w:val="00E024AA"/>
    <w:rsid w:val="00E02628"/>
    <w:rsid w:val="00E04400"/>
    <w:rsid w:val="00E15657"/>
    <w:rsid w:val="00E21575"/>
    <w:rsid w:val="00E23D9C"/>
    <w:rsid w:val="00E2725F"/>
    <w:rsid w:val="00E27C5C"/>
    <w:rsid w:val="00E30BAE"/>
    <w:rsid w:val="00E34143"/>
    <w:rsid w:val="00E3512E"/>
    <w:rsid w:val="00E3550D"/>
    <w:rsid w:val="00E40277"/>
    <w:rsid w:val="00E44A6F"/>
    <w:rsid w:val="00E4761B"/>
    <w:rsid w:val="00E4799E"/>
    <w:rsid w:val="00E5265D"/>
    <w:rsid w:val="00E60075"/>
    <w:rsid w:val="00E614E0"/>
    <w:rsid w:val="00E704D7"/>
    <w:rsid w:val="00E73F7F"/>
    <w:rsid w:val="00E800C3"/>
    <w:rsid w:val="00E9064B"/>
    <w:rsid w:val="00EA3480"/>
    <w:rsid w:val="00EA429F"/>
    <w:rsid w:val="00EA4BDC"/>
    <w:rsid w:val="00EA4F9E"/>
    <w:rsid w:val="00EA52A5"/>
    <w:rsid w:val="00EA6D3B"/>
    <w:rsid w:val="00EB00AD"/>
    <w:rsid w:val="00EB136C"/>
    <w:rsid w:val="00EB480E"/>
    <w:rsid w:val="00EC0853"/>
    <w:rsid w:val="00ED7137"/>
    <w:rsid w:val="00EE3FE3"/>
    <w:rsid w:val="00EF1145"/>
    <w:rsid w:val="00EF2A8C"/>
    <w:rsid w:val="00F071A7"/>
    <w:rsid w:val="00F11245"/>
    <w:rsid w:val="00F21088"/>
    <w:rsid w:val="00F26476"/>
    <w:rsid w:val="00F30F49"/>
    <w:rsid w:val="00F3123E"/>
    <w:rsid w:val="00F35746"/>
    <w:rsid w:val="00F42358"/>
    <w:rsid w:val="00F4263E"/>
    <w:rsid w:val="00F450B0"/>
    <w:rsid w:val="00F52E3C"/>
    <w:rsid w:val="00F554A9"/>
    <w:rsid w:val="00F60846"/>
    <w:rsid w:val="00F67868"/>
    <w:rsid w:val="00F716FD"/>
    <w:rsid w:val="00F75EE5"/>
    <w:rsid w:val="00F801A5"/>
    <w:rsid w:val="00F86059"/>
    <w:rsid w:val="00FA5EF0"/>
    <w:rsid w:val="00FA7BE4"/>
    <w:rsid w:val="00FB0C81"/>
    <w:rsid w:val="00FD5C3F"/>
    <w:rsid w:val="00FD7232"/>
    <w:rsid w:val="00FE074C"/>
    <w:rsid w:val="00FF3DCC"/>
    <w:rsid w:val="00FF3FAB"/>
    <w:rsid w:val="00FF452C"/>
    <w:rsid w:val="00FF73C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5D"/>
    <w:pPr>
      <w:jc w:val="both"/>
    </w:pPr>
    <w:rPr>
      <w:sz w:val="22"/>
      <w:szCs w:val="22"/>
      <w:lang w:val="en-GB" w:eastAsia="en-US"/>
    </w:rPr>
  </w:style>
  <w:style w:type="paragraph" w:styleId="Heading1">
    <w:name w:val="heading 1"/>
    <w:aliases w:val="Para (1),Heading 1 Char,Heading 1 Char3 Char,Heading 1 Char Char1 Char,Heading 1 Char1 Char Char1 Char,Heading 1 Char Char Char Char1 Char1,Para (1) Char Char Char Char1 Char,Heading 1 Char3 Char Char Char Char1 Char,Heading 1 Char3"/>
    <w:basedOn w:val="Normal"/>
    <w:next w:val="Normal"/>
    <w:link w:val="Heading1Char1"/>
    <w:qFormat/>
    <w:rsid w:val="0033525D"/>
    <w:pPr>
      <w:numPr>
        <w:numId w:val="1"/>
      </w:numPr>
      <w:spacing w:after="240"/>
      <w:outlineLvl w:val="0"/>
    </w:pPr>
  </w:style>
  <w:style w:type="paragraph" w:styleId="Heading2">
    <w:name w:val="heading 2"/>
    <w:aliases w:val="SubPara (a),Heading 2 Char3,Heading 2 Char Char2,Heading 2 Char1 Char Char1,SubPara (a) Char Char Char1,Heading 2 Char Char Char Char1,Heading 2 Char1 Char Char Char Char1,SubPara (a) Char1 Char Char Char Char1"/>
    <w:basedOn w:val="Normal"/>
    <w:next w:val="Normal"/>
    <w:qFormat/>
    <w:rsid w:val="0033525D"/>
    <w:pPr>
      <w:widowControl w:val="0"/>
      <w:numPr>
        <w:ilvl w:val="1"/>
        <w:numId w:val="1"/>
      </w:numPr>
      <w:spacing w:after="240"/>
      <w:outlineLvl w:val="1"/>
    </w:pPr>
  </w:style>
  <w:style w:type="paragraph" w:styleId="Heading3">
    <w:name w:val="heading 3"/>
    <w:aliases w:val="Char"/>
    <w:basedOn w:val="Normal"/>
    <w:next w:val="Normal"/>
    <w:qFormat/>
    <w:rsid w:val="0033525D"/>
    <w:pPr>
      <w:widowControl w:val="0"/>
      <w:numPr>
        <w:ilvl w:val="2"/>
        <w:numId w:val="1"/>
      </w:numPr>
      <w:spacing w:after="240"/>
      <w:outlineLvl w:val="2"/>
    </w:pPr>
  </w:style>
  <w:style w:type="paragraph" w:styleId="Heading4">
    <w:name w:val="heading 4"/>
    <w:aliases w:val="para 4"/>
    <w:basedOn w:val="Normal"/>
    <w:next w:val="Normal"/>
    <w:qFormat/>
    <w:rsid w:val="0008351D"/>
    <w:pPr>
      <w:keepNext/>
      <w:numPr>
        <w:numId w:val="20"/>
      </w:numPr>
      <w:spacing w:after="240" w:line="360" w:lineRule="atLeast"/>
      <w:ind w:left="2520"/>
      <w:outlineLvl w:val="3"/>
    </w:pPr>
  </w:style>
  <w:style w:type="paragraph" w:styleId="Heading5">
    <w:name w:val="heading 5"/>
    <w:basedOn w:val="Normal"/>
    <w:next w:val="Normal"/>
    <w:qFormat/>
    <w:rsid w:val="00153E20"/>
    <w:pPr>
      <w:numPr>
        <w:ilvl w:val="4"/>
        <w:numId w:val="1"/>
      </w:numPr>
      <w:spacing w:before="240" w:after="60"/>
      <w:outlineLvl w:val="4"/>
    </w:pPr>
    <w:rPr>
      <w:rFonts w:ascii="Arial" w:hAnsi="Arial"/>
    </w:rPr>
  </w:style>
  <w:style w:type="paragraph" w:styleId="Heading6">
    <w:name w:val="heading 6"/>
    <w:basedOn w:val="Normal"/>
    <w:next w:val="Normal"/>
    <w:qFormat/>
    <w:rsid w:val="00153E20"/>
    <w:pPr>
      <w:numPr>
        <w:ilvl w:val="5"/>
        <w:numId w:val="1"/>
      </w:numPr>
      <w:spacing w:before="240" w:after="60"/>
      <w:outlineLvl w:val="5"/>
    </w:pPr>
    <w:rPr>
      <w:rFonts w:ascii="Arial" w:hAnsi="Arial"/>
      <w:i/>
    </w:rPr>
  </w:style>
  <w:style w:type="paragraph" w:styleId="Heading7">
    <w:name w:val="heading 7"/>
    <w:basedOn w:val="Normal"/>
    <w:next w:val="Normal"/>
    <w:qFormat/>
    <w:rsid w:val="00153E20"/>
    <w:pPr>
      <w:numPr>
        <w:ilvl w:val="6"/>
        <w:numId w:val="1"/>
      </w:numPr>
      <w:spacing w:before="240" w:after="60"/>
      <w:outlineLvl w:val="6"/>
    </w:pPr>
    <w:rPr>
      <w:rFonts w:ascii="Arial" w:hAnsi="Arial"/>
    </w:rPr>
  </w:style>
  <w:style w:type="paragraph" w:styleId="Heading8">
    <w:name w:val="heading 8"/>
    <w:basedOn w:val="Normal"/>
    <w:next w:val="Normal"/>
    <w:qFormat/>
    <w:rsid w:val="00CC6A14"/>
    <w:pPr>
      <w:outlineLvl w:val="7"/>
    </w:pPr>
    <w:rPr>
      <w:b/>
    </w:rPr>
  </w:style>
  <w:style w:type="paragraph" w:styleId="Heading9">
    <w:name w:val="heading 9"/>
    <w:basedOn w:val="Normal"/>
    <w:next w:val="Normal"/>
    <w:qFormat/>
    <w:rsid w:val="00153E2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93D40"/>
    <w:pPr>
      <w:numPr>
        <w:numId w:val="16"/>
      </w:numPr>
    </w:pPr>
  </w:style>
  <w:style w:type="paragraph" w:styleId="Header">
    <w:name w:val="header"/>
    <w:basedOn w:val="Normal"/>
    <w:rsid w:val="00153E20"/>
    <w:pPr>
      <w:tabs>
        <w:tab w:val="center" w:pos="4320"/>
        <w:tab w:val="right" w:pos="8640"/>
      </w:tabs>
    </w:pPr>
  </w:style>
  <w:style w:type="paragraph" w:customStyle="1" w:styleId="sub-title">
    <w:name w:val="sub-title"/>
    <w:rsid w:val="0033525D"/>
    <w:pPr>
      <w:jc w:val="both"/>
      <w:outlineLvl w:val="0"/>
    </w:pPr>
    <w:rPr>
      <w:b/>
      <w:noProof/>
      <w:sz w:val="22"/>
      <w:szCs w:val="22"/>
      <w:lang w:val="en-US" w:eastAsia="en-US"/>
    </w:rPr>
  </w:style>
  <w:style w:type="character" w:styleId="PageNumber">
    <w:name w:val="page number"/>
    <w:basedOn w:val="DefaultParagraphFont"/>
    <w:rsid w:val="0033525D"/>
    <w:rPr>
      <w:sz w:val="22"/>
      <w:szCs w:val="22"/>
    </w:rPr>
  </w:style>
  <w:style w:type="paragraph" w:customStyle="1" w:styleId="Title1">
    <w:name w:val="Title1"/>
    <w:rsid w:val="0033525D"/>
    <w:pPr>
      <w:jc w:val="center"/>
      <w:outlineLvl w:val="0"/>
    </w:pPr>
    <w:rPr>
      <w:b/>
      <w:caps/>
      <w:sz w:val="22"/>
      <w:szCs w:val="22"/>
      <w:lang w:val="en-GB" w:eastAsia="en-US"/>
    </w:rPr>
  </w:style>
  <w:style w:type="paragraph" w:customStyle="1" w:styleId="Decision">
    <w:name w:val="Decision"/>
    <w:basedOn w:val="Normal"/>
    <w:rsid w:val="0033525D"/>
    <w:pPr>
      <w:keepLines/>
      <w:jc w:val="right"/>
    </w:pPr>
    <w:rPr>
      <w:b/>
    </w:rPr>
  </w:style>
  <w:style w:type="paragraph" w:customStyle="1" w:styleId="0Heading0">
    <w:name w:val="0 Heading 0"/>
    <w:rsid w:val="0033525D"/>
    <w:rPr>
      <w:sz w:val="22"/>
      <w:szCs w:val="22"/>
      <w:lang w:val="en-GB" w:eastAsia="en-US"/>
    </w:rPr>
  </w:style>
  <w:style w:type="paragraph" w:styleId="Footer">
    <w:name w:val="footer"/>
    <w:basedOn w:val="Normal"/>
    <w:link w:val="FooterChar"/>
    <w:uiPriority w:val="99"/>
    <w:rsid w:val="00153E20"/>
    <w:pPr>
      <w:tabs>
        <w:tab w:val="center" w:pos="4320"/>
        <w:tab w:val="right" w:pos="8640"/>
      </w:tabs>
    </w:pPr>
  </w:style>
  <w:style w:type="numbering" w:styleId="1ai">
    <w:name w:val="Outline List 1"/>
    <w:basedOn w:val="NoList"/>
    <w:semiHidden/>
    <w:rsid w:val="00493D40"/>
    <w:pPr>
      <w:numPr>
        <w:numId w:val="17"/>
      </w:numPr>
    </w:pPr>
  </w:style>
  <w:style w:type="numbering" w:styleId="ArticleSection">
    <w:name w:val="Outline List 3"/>
    <w:basedOn w:val="NoList"/>
    <w:semiHidden/>
    <w:rsid w:val="00493D40"/>
    <w:pPr>
      <w:numPr>
        <w:numId w:val="18"/>
      </w:numPr>
    </w:pPr>
  </w:style>
  <w:style w:type="paragraph" w:styleId="BlockText">
    <w:name w:val="Block Text"/>
    <w:basedOn w:val="Normal"/>
    <w:semiHidden/>
    <w:rsid w:val="00493D40"/>
    <w:pPr>
      <w:spacing w:after="120"/>
      <w:ind w:left="1440" w:right="1440"/>
    </w:pPr>
  </w:style>
  <w:style w:type="paragraph" w:styleId="BodyText">
    <w:name w:val="Body Text"/>
    <w:basedOn w:val="Normal"/>
    <w:semiHidden/>
    <w:rsid w:val="00493D40"/>
    <w:pPr>
      <w:spacing w:after="120"/>
    </w:pPr>
  </w:style>
  <w:style w:type="paragraph" w:styleId="BodyText2">
    <w:name w:val="Body Text 2"/>
    <w:basedOn w:val="Normal"/>
    <w:semiHidden/>
    <w:rsid w:val="00493D40"/>
    <w:pPr>
      <w:spacing w:after="120" w:line="480" w:lineRule="auto"/>
    </w:pPr>
  </w:style>
  <w:style w:type="paragraph" w:styleId="BodyText3">
    <w:name w:val="Body Text 3"/>
    <w:basedOn w:val="Normal"/>
    <w:semiHidden/>
    <w:rsid w:val="00493D40"/>
    <w:pPr>
      <w:spacing w:after="120"/>
    </w:pPr>
    <w:rPr>
      <w:sz w:val="16"/>
      <w:szCs w:val="16"/>
    </w:rPr>
  </w:style>
  <w:style w:type="paragraph" w:styleId="BodyTextFirstIndent">
    <w:name w:val="Body Text First Indent"/>
    <w:basedOn w:val="BodyText"/>
    <w:semiHidden/>
    <w:rsid w:val="00493D40"/>
    <w:pPr>
      <w:ind w:firstLine="210"/>
    </w:pPr>
  </w:style>
  <w:style w:type="paragraph" w:styleId="BodyTextIndent">
    <w:name w:val="Body Text Indent"/>
    <w:basedOn w:val="Normal"/>
    <w:semiHidden/>
    <w:rsid w:val="00493D40"/>
    <w:pPr>
      <w:spacing w:after="120"/>
      <w:ind w:left="360"/>
    </w:pPr>
  </w:style>
  <w:style w:type="paragraph" w:styleId="BodyTextFirstIndent2">
    <w:name w:val="Body Text First Indent 2"/>
    <w:basedOn w:val="BodyTextIndent"/>
    <w:semiHidden/>
    <w:rsid w:val="00493D40"/>
    <w:pPr>
      <w:ind w:firstLine="210"/>
    </w:pPr>
  </w:style>
  <w:style w:type="paragraph" w:styleId="BodyTextIndent2">
    <w:name w:val="Body Text Indent 2"/>
    <w:basedOn w:val="Normal"/>
    <w:semiHidden/>
    <w:rsid w:val="00493D40"/>
    <w:pPr>
      <w:spacing w:after="120" w:line="480" w:lineRule="auto"/>
      <w:ind w:left="360"/>
    </w:pPr>
  </w:style>
  <w:style w:type="paragraph" w:styleId="BodyTextIndent3">
    <w:name w:val="Body Text Indent 3"/>
    <w:basedOn w:val="Normal"/>
    <w:semiHidden/>
    <w:rsid w:val="00493D40"/>
    <w:pPr>
      <w:spacing w:after="120"/>
      <w:ind w:left="360"/>
    </w:pPr>
    <w:rPr>
      <w:sz w:val="16"/>
      <w:szCs w:val="16"/>
    </w:rPr>
  </w:style>
  <w:style w:type="paragraph" w:styleId="Closing">
    <w:name w:val="Closing"/>
    <w:basedOn w:val="Normal"/>
    <w:semiHidden/>
    <w:rsid w:val="00493D40"/>
    <w:pPr>
      <w:ind w:left="4320"/>
    </w:pPr>
  </w:style>
  <w:style w:type="paragraph" w:styleId="E-mailSignature">
    <w:name w:val="E-mail Signature"/>
    <w:basedOn w:val="Normal"/>
    <w:semiHidden/>
    <w:rsid w:val="00493D40"/>
  </w:style>
  <w:style w:type="character" w:styleId="Emphasis">
    <w:name w:val="Emphasis"/>
    <w:basedOn w:val="DefaultParagraphFont"/>
    <w:qFormat/>
    <w:rsid w:val="00493D40"/>
    <w:rPr>
      <w:i/>
      <w:iCs/>
    </w:rPr>
  </w:style>
  <w:style w:type="paragraph" w:styleId="EnvelopeAddress">
    <w:name w:val="envelope address"/>
    <w:basedOn w:val="Normal"/>
    <w:semiHidden/>
    <w:rsid w:val="00493D40"/>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493D40"/>
    <w:rPr>
      <w:rFonts w:ascii="Arial" w:hAnsi="Arial" w:cs="Arial"/>
      <w:sz w:val="20"/>
    </w:rPr>
  </w:style>
  <w:style w:type="character" w:styleId="FollowedHyperlink">
    <w:name w:val="FollowedHyperlink"/>
    <w:basedOn w:val="DefaultParagraphFont"/>
    <w:semiHidden/>
    <w:rsid w:val="00493D40"/>
    <w:rPr>
      <w:color w:val="800080"/>
      <w:u w:val="single"/>
    </w:rPr>
  </w:style>
  <w:style w:type="character" w:styleId="HTMLAcronym">
    <w:name w:val="HTML Acronym"/>
    <w:basedOn w:val="DefaultParagraphFont"/>
    <w:semiHidden/>
    <w:rsid w:val="00493D40"/>
  </w:style>
  <w:style w:type="paragraph" w:styleId="HTMLAddress">
    <w:name w:val="HTML Address"/>
    <w:basedOn w:val="Normal"/>
    <w:semiHidden/>
    <w:rsid w:val="00493D40"/>
    <w:rPr>
      <w:i/>
      <w:iCs/>
    </w:rPr>
  </w:style>
  <w:style w:type="character" w:styleId="HTMLCite">
    <w:name w:val="HTML Cite"/>
    <w:basedOn w:val="DefaultParagraphFont"/>
    <w:semiHidden/>
    <w:rsid w:val="00493D40"/>
    <w:rPr>
      <w:i/>
      <w:iCs/>
    </w:rPr>
  </w:style>
  <w:style w:type="character" w:styleId="HTMLCode">
    <w:name w:val="HTML Code"/>
    <w:basedOn w:val="DefaultParagraphFont"/>
    <w:semiHidden/>
    <w:rsid w:val="00493D40"/>
    <w:rPr>
      <w:rFonts w:ascii="Courier New" w:hAnsi="Courier New" w:cs="Courier New"/>
      <w:sz w:val="20"/>
      <w:szCs w:val="20"/>
    </w:rPr>
  </w:style>
  <w:style w:type="character" w:styleId="HTMLDefinition">
    <w:name w:val="HTML Definition"/>
    <w:basedOn w:val="DefaultParagraphFont"/>
    <w:semiHidden/>
    <w:rsid w:val="00493D40"/>
    <w:rPr>
      <w:i/>
      <w:iCs/>
    </w:rPr>
  </w:style>
  <w:style w:type="character" w:styleId="HTMLKeyboard">
    <w:name w:val="HTML Keyboard"/>
    <w:basedOn w:val="DefaultParagraphFont"/>
    <w:semiHidden/>
    <w:rsid w:val="00493D40"/>
    <w:rPr>
      <w:rFonts w:ascii="Courier New" w:hAnsi="Courier New" w:cs="Courier New"/>
      <w:sz w:val="20"/>
      <w:szCs w:val="20"/>
    </w:rPr>
  </w:style>
  <w:style w:type="paragraph" w:styleId="HTMLPreformatted">
    <w:name w:val="HTML Preformatted"/>
    <w:basedOn w:val="Normal"/>
    <w:semiHidden/>
    <w:rsid w:val="00493D40"/>
    <w:rPr>
      <w:rFonts w:ascii="Courier New" w:hAnsi="Courier New" w:cs="Courier New"/>
      <w:sz w:val="20"/>
    </w:rPr>
  </w:style>
  <w:style w:type="character" w:styleId="HTMLSample">
    <w:name w:val="HTML Sample"/>
    <w:basedOn w:val="DefaultParagraphFont"/>
    <w:semiHidden/>
    <w:rsid w:val="00493D40"/>
    <w:rPr>
      <w:rFonts w:ascii="Courier New" w:hAnsi="Courier New" w:cs="Courier New"/>
    </w:rPr>
  </w:style>
  <w:style w:type="character" w:styleId="HTMLTypewriter">
    <w:name w:val="HTML Typewriter"/>
    <w:basedOn w:val="DefaultParagraphFont"/>
    <w:semiHidden/>
    <w:rsid w:val="00493D40"/>
    <w:rPr>
      <w:rFonts w:ascii="Courier New" w:hAnsi="Courier New" w:cs="Courier New"/>
      <w:sz w:val="20"/>
      <w:szCs w:val="20"/>
    </w:rPr>
  </w:style>
  <w:style w:type="character" w:styleId="HTMLVariable">
    <w:name w:val="HTML Variable"/>
    <w:basedOn w:val="DefaultParagraphFont"/>
    <w:semiHidden/>
    <w:rsid w:val="00493D40"/>
    <w:rPr>
      <w:i/>
      <w:iCs/>
    </w:rPr>
  </w:style>
  <w:style w:type="character" w:styleId="Hyperlink">
    <w:name w:val="Hyperlink"/>
    <w:basedOn w:val="DefaultParagraphFont"/>
    <w:semiHidden/>
    <w:rsid w:val="00493D40"/>
    <w:rPr>
      <w:color w:val="0000FF"/>
      <w:u w:val="single"/>
    </w:rPr>
  </w:style>
  <w:style w:type="character" w:styleId="LineNumber">
    <w:name w:val="line number"/>
    <w:basedOn w:val="DefaultParagraphFont"/>
    <w:semiHidden/>
    <w:rsid w:val="00493D40"/>
  </w:style>
  <w:style w:type="paragraph" w:styleId="List">
    <w:name w:val="List"/>
    <w:basedOn w:val="Normal"/>
    <w:semiHidden/>
    <w:rsid w:val="00493D40"/>
    <w:pPr>
      <w:ind w:left="360" w:hanging="360"/>
    </w:pPr>
  </w:style>
  <w:style w:type="paragraph" w:styleId="List2">
    <w:name w:val="List 2"/>
    <w:basedOn w:val="Normal"/>
    <w:semiHidden/>
    <w:rsid w:val="00493D40"/>
    <w:pPr>
      <w:ind w:left="720" w:hanging="360"/>
    </w:pPr>
  </w:style>
  <w:style w:type="paragraph" w:styleId="List3">
    <w:name w:val="List 3"/>
    <w:basedOn w:val="Normal"/>
    <w:semiHidden/>
    <w:rsid w:val="00493D40"/>
    <w:pPr>
      <w:ind w:left="1080" w:hanging="360"/>
    </w:pPr>
  </w:style>
  <w:style w:type="paragraph" w:styleId="List4">
    <w:name w:val="List 4"/>
    <w:basedOn w:val="Normal"/>
    <w:semiHidden/>
    <w:rsid w:val="00493D40"/>
    <w:pPr>
      <w:ind w:left="1440" w:hanging="360"/>
    </w:pPr>
  </w:style>
  <w:style w:type="paragraph" w:styleId="List5">
    <w:name w:val="List 5"/>
    <w:basedOn w:val="Normal"/>
    <w:semiHidden/>
    <w:rsid w:val="00493D40"/>
    <w:pPr>
      <w:ind w:left="1800" w:hanging="360"/>
    </w:pPr>
  </w:style>
  <w:style w:type="paragraph" w:styleId="ListBullet">
    <w:name w:val="List Bullet"/>
    <w:basedOn w:val="Normal"/>
    <w:autoRedefine/>
    <w:semiHidden/>
    <w:rsid w:val="00493D40"/>
    <w:pPr>
      <w:numPr>
        <w:numId w:val="6"/>
      </w:numPr>
    </w:pPr>
  </w:style>
  <w:style w:type="paragraph" w:styleId="ListBullet2">
    <w:name w:val="List Bullet 2"/>
    <w:basedOn w:val="Normal"/>
    <w:autoRedefine/>
    <w:semiHidden/>
    <w:rsid w:val="00493D40"/>
    <w:pPr>
      <w:numPr>
        <w:numId w:val="7"/>
      </w:numPr>
    </w:pPr>
  </w:style>
  <w:style w:type="paragraph" w:styleId="ListBullet3">
    <w:name w:val="List Bullet 3"/>
    <w:basedOn w:val="Normal"/>
    <w:autoRedefine/>
    <w:semiHidden/>
    <w:rsid w:val="00493D40"/>
    <w:pPr>
      <w:numPr>
        <w:numId w:val="8"/>
      </w:numPr>
    </w:pPr>
  </w:style>
  <w:style w:type="paragraph" w:styleId="ListBullet4">
    <w:name w:val="List Bullet 4"/>
    <w:basedOn w:val="Normal"/>
    <w:autoRedefine/>
    <w:semiHidden/>
    <w:rsid w:val="00493D40"/>
    <w:pPr>
      <w:numPr>
        <w:numId w:val="9"/>
      </w:numPr>
    </w:pPr>
  </w:style>
  <w:style w:type="paragraph" w:styleId="ListBullet5">
    <w:name w:val="List Bullet 5"/>
    <w:basedOn w:val="Normal"/>
    <w:autoRedefine/>
    <w:semiHidden/>
    <w:rsid w:val="00493D40"/>
    <w:pPr>
      <w:numPr>
        <w:numId w:val="10"/>
      </w:numPr>
    </w:pPr>
  </w:style>
  <w:style w:type="paragraph" w:styleId="ListContinue">
    <w:name w:val="List Continue"/>
    <w:basedOn w:val="Normal"/>
    <w:semiHidden/>
    <w:rsid w:val="00493D40"/>
    <w:pPr>
      <w:spacing w:after="120"/>
      <w:ind w:left="360"/>
    </w:pPr>
  </w:style>
  <w:style w:type="paragraph" w:styleId="ListContinue2">
    <w:name w:val="List Continue 2"/>
    <w:basedOn w:val="Normal"/>
    <w:semiHidden/>
    <w:rsid w:val="00493D40"/>
    <w:pPr>
      <w:spacing w:after="120"/>
      <w:ind w:left="720"/>
    </w:pPr>
  </w:style>
  <w:style w:type="paragraph" w:styleId="ListContinue3">
    <w:name w:val="List Continue 3"/>
    <w:basedOn w:val="Normal"/>
    <w:semiHidden/>
    <w:rsid w:val="00493D40"/>
    <w:pPr>
      <w:spacing w:after="120"/>
      <w:ind w:left="1080"/>
    </w:pPr>
  </w:style>
  <w:style w:type="paragraph" w:styleId="ListContinue4">
    <w:name w:val="List Continue 4"/>
    <w:basedOn w:val="Normal"/>
    <w:semiHidden/>
    <w:rsid w:val="00493D40"/>
    <w:pPr>
      <w:spacing w:after="120"/>
      <w:ind w:left="1440"/>
    </w:pPr>
  </w:style>
  <w:style w:type="paragraph" w:styleId="ListContinue5">
    <w:name w:val="List Continue 5"/>
    <w:basedOn w:val="Normal"/>
    <w:semiHidden/>
    <w:rsid w:val="00493D40"/>
    <w:pPr>
      <w:spacing w:after="120"/>
      <w:ind w:left="1800"/>
    </w:pPr>
  </w:style>
  <w:style w:type="paragraph" w:styleId="ListNumber">
    <w:name w:val="List Number"/>
    <w:basedOn w:val="Normal"/>
    <w:semiHidden/>
    <w:rsid w:val="00493D40"/>
    <w:pPr>
      <w:numPr>
        <w:numId w:val="11"/>
      </w:numPr>
    </w:pPr>
  </w:style>
  <w:style w:type="paragraph" w:styleId="ListNumber2">
    <w:name w:val="List Number 2"/>
    <w:basedOn w:val="Normal"/>
    <w:semiHidden/>
    <w:rsid w:val="00493D40"/>
    <w:pPr>
      <w:numPr>
        <w:numId w:val="12"/>
      </w:numPr>
    </w:pPr>
  </w:style>
  <w:style w:type="paragraph" w:styleId="ListNumber3">
    <w:name w:val="List Number 3"/>
    <w:basedOn w:val="Normal"/>
    <w:semiHidden/>
    <w:rsid w:val="00493D40"/>
    <w:pPr>
      <w:numPr>
        <w:numId w:val="13"/>
      </w:numPr>
    </w:pPr>
  </w:style>
  <w:style w:type="paragraph" w:styleId="ListNumber4">
    <w:name w:val="List Number 4"/>
    <w:basedOn w:val="Normal"/>
    <w:semiHidden/>
    <w:rsid w:val="00493D40"/>
    <w:pPr>
      <w:numPr>
        <w:numId w:val="14"/>
      </w:numPr>
    </w:pPr>
  </w:style>
  <w:style w:type="paragraph" w:styleId="ListNumber5">
    <w:name w:val="List Number 5"/>
    <w:basedOn w:val="Normal"/>
    <w:semiHidden/>
    <w:rsid w:val="00493D40"/>
    <w:pPr>
      <w:numPr>
        <w:numId w:val="15"/>
      </w:numPr>
    </w:pPr>
  </w:style>
  <w:style w:type="paragraph" w:styleId="MessageHeader">
    <w:name w:val="Message Header"/>
    <w:basedOn w:val="Normal"/>
    <w:semiHidden/>
    <w:rsid w:val="00493D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493D40"/>
    <w:rPr>
      <w:szCs w:val="24"/>
    </w:rPr>
  </w:style>
  <w:style w:type="paragraph" w:styleId="NormalIndent">
    <w:name w:val="Normal Indent"/>
    <w:basedOn w:val="Normal"/>
    <w:semiHidden/>
    <w:rsid w:val="00493D40"/>
    <w:pPr>
      <w:ind w:left="720"/>
    </w:pPr>
  </w:style>
  <w:style w:type="paragraph" w:styleId="NoteHeading">
    <w:name w:val="Note Heading"/>
    <w:basedOn w:val="Normal"/>
    <w:next w:val="Normal"/>
    <w:semiHidden/>
    <w:rsid w:val="00493D40"/>
  </w:style>
  <w:style w:type="paragraph" w:styleId="PlainText">
    <w:name w:val="Plain Text"/>
    <w:basedOn w:val="Normal"/>
    <w:link w:val="PlainTextChar"/>
    <w:uiPriority w:val="99"/>
    <w:semiHidden/>
    <w:rsid w:val="00493D40"/>
    <w:rPr>
      <w:rFonts w:ascii="Courier New" w:hAnsi="Courier New" w:cs="Courier New"/>
      <w:sz w:val="20"/>
    </w:rPr>
  </w:style>
  <w:style w:type="paragraph" w:styleId="Salutation">
    <w:name w:val="Salutation"/>
    <w:basedOn w:val="Normal"/>
    <w:next w:val="Normal"/>
    <w:semiHidden/>
    <w:rsid w:val="00493D40"/>
  </w:style>
  <w:style w:type="paragraph" w:styleId="Signature">
    <w:name w:val="Signature"/>
    <w:basedOn w:val="Normal"/>
    <w:semiHidden/>
    <w:rsid w:val="00493D40"/>
    <w:pPr>
      <w:ind w:left="4320"/>
    </w:pPr>
  </w:style>
  <w:style w:type="character" w:styleId="Strong">
    <w:name w:val="Strong"/>
    <w:basedOn w:val="DefaultParagraphFont"/>
    <w:qFormat/>
    <w:rsid w:val="00493D40"/>
    <w:rPr>
      <w:b/>
      <w:bCs/>
    </w:rPr>
  </w:style>
  <w:style w:type="table" w:styleId="Table3Deffects1">
    <w:name w:val="Table 3D effects 1"/>
    <w:basedOn w:val="TableNormal"/>
    <w:semiHidden/>
    <w:rsid w:val="00493D40"/>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3D40"/>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3D40"/>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3D40"/>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3D40"/>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3D40"/>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3D40"/>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3D40"/>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3D40"/>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3D40"/>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3D40"/>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3D40"/>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3D40"/>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3D40"/>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3D40"/>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3D40"/>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3D40"/>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493D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493D4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3D40"/>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3D40"/>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3D40"/>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3D40"/>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3D40"/>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3D40"/>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3D40"/>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3D40"/>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3D40"/>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3D40"/>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3D40"/>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3D4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3D40"/>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3D40"/>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3D40"/>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3D4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3D40"/>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3D40"/>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3D40"/>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3D40"/>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3D40"/>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3D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93D40"/>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3D40"/>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3D40"/>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1">
    <w:name w:val="Heading 1 Char1"/>
    <w:aliases w:val="Para (1) Char,Heading 1 Char Char,Heading 1 Char3 Char Char,Heading 1 Char Char1 Char Char,Heading 1 Char1 Char Char1 Char Char,Heading 1 Char Char Char Char1 Char1 Char,Para (1) Char Char Char Char1 Char Char,Heading 1 Char3 Char1"/>
    <w:basedOn w:val="DefaultParagraphFont"/>
    <w:link w:val="Heading1"/>
    <w:rsid w:val="0033525D"/>
    <w:rPr>
      <w:sz w:val="22"/>
      <w:szCs w:val="22"/>
      <w:lang w:val="en-GB"/>
    </w:rPr>
  </w:style>
  <w:style w:type="paragraph" w:customStyle="1" w:styleId="Header4">
    <w:name w:val="Header4"/>
    <w:aliases w:val="Para 4"/>
    <w:basedOn w:val="Normal"/>
    <w:next w:val="Normal"/>
    <w:rsid w:val="00625D83"/>
    <w:pPr>
      <w:widowControl w:val="0"/>
      <w:numPr>
        <w:numId w:val="19"/>
      </w:numPr>
      <w:tabs>
        <w:tab w:val="left" w:pos="2880"/>
        <w:tab w:val="left" w:pos="5760"/>
      </w:tabs>
      <w:spacing w:after="240"/>
      <w:ind w:left="2520"/>
    </w:pPr>
  </w:style>
  <w:style w:type="paragraph" w:customStyle="1" w:styleId="StyleHeader4Para4Left0Firstline0">
    <w:name w:val="Style Header4Para 4 + Left:  0&quot; First line:  0&quot;"/>
    <w:basedOn w:val="Header4"/>
    <w:rsid w:val="00754ABA"/>
    <w:pPr>
      <w:ind w:left="0" w:firstLine="0"/>
    </w:pPr>
    <w:rPr>
      <w:sz w:val="20"/>
    </w:rPr>
  </w:style>
  <w:style w:type="paragraph" w:styleId="Subtitle">
    <w:name w:val="Subtitle"/>
    <w:basedOn w:val="Normal"/>
    <w:qFormat/>
    <w:rsid w:val="0033525D"/>
    <w:pPr>
      <w:spacing w:after="60"/>
      <w:jc w:val="center"/>
      <w:outlineLvl w:val="1"/>
    </w:pPr>
    <w:rPr>
      <w:rFonts w:ascii="Arial" w:hAnsi="Arial" w:cs="Arial"/>
    </w:rPr>
  </w:style>
  <w:style w:type="paragraph" w:styleId="Title">
    <w:name w:val="Title"/>
    <w:basedOn w:val="Normal"/>
    <w:qFormat/>
    <w:rsid w:val="0033525D"/>
    <w:pPr>
      <w:spacing w:before="240" w:after="60"/>
      <w:jc w:val="center"/>
      <w:outlineLvl w:val="0"/>
    </w:pPr>
    <w:rPr>
      <w:rFonts w:ascii="Arial" w:hAnsi="Arial" w:cs="Arial"/>
      <w:b/>
      <w:bCs/>
      <w:kern w:val="28"/>
    </w:rPr>
  </w:style>
  <w:style w:type="paragraph" w:styleId="Date">
    <w:name w:val="Date"/>
    <w:basedOn w:val="Normal"/>
    <w:next w:val="Normal"/>
    <w:rsid w:val="0033525D"/>
  </w:style>
  <w:style w:type="paragraph" w:styleId="ListParagraph">
    <w:name w:val="List Paragraph"/>
    <w:basedOn w:val="Normal"/>
    <w:uiPriority w:val="34"/>
    <w:qFormat/>
    <w:rsid w:val="003B6556"/>
    <w:pPr>
      <w:ind w:left="720"/>
      <w:contextualSpacing/>
    </w:pPr>
  </w:style>
  <w:style w:type="character" w:customStyle="1" w:styleId="FooterChar">
    <w:name w:val="Footer Char"/>
    <w:basedOn w:val="DefaultParagraphFont"/>
    <w:link w:val="Footer"/>
    <w:uiPriority w:val="99"/>
    <w:rsid w:val="00FA7BE4"/>
    <w:rPr>
      <w:sz w:val="22"/>
      <w:szCs w:val="22"/>
      <w:lang w:val="en-GB"/>
    </w:rPr>
  </w:style>
  <w:style w:type="paragraph" w:styleId="BalloonText">
    <w:name w:val="Balloon Text"/>
    <w:basedOn w:val="Normal"/>
    <w:link w:val="BalloonTextChar"/>
    <w:uiPriority w:val="99"/>
    <w:semiHidden/>
    <w:unhideWhenUsed/>
    <w:rsid w:val="00FE074C"/>
    <w:rPr>
      <w:rFonts w:ascii="Tahoma" w:hAnsi="Tahoma" w:cs="Tahoma"/>
      <w:sz w:val="16"/>
      <w:szCs w:val="16"/>
    </w:rPr>
  </w:style>
  <w:style w:type="character" w:customStyle="1" w:styleId="BalloonTextChar">
    <w:name w:val="Balloon Text Char"/>
    <w:basedOn w:val="DefaultParagraphFont"/>
    <w:link w:val="BalloonText"/>
    <w:uiPriority w:val="99"/>
    <w:semiHidden/>
    <w:rsid w:val="00FE074C"/>
    <w:rPr>
      <w:rFonts w:ascii="Tahoma" w:hAnsi="Tahoma" w:cs="Tahoma"/>
      <w:sz w:val="16"/>
      <w:szCs w:val="16"/>
      <w:lang w:val="en-GB"/>
    </w:rPr>
  </w:style>
  <w:style w:type="paragraph" w:styleId="FootnoteText">
    <w:name w:val="footnote text"/>
    <w:basedOn w:val="Normal"/>
    <w:link w:val="FootnoteTextChar"/>
    <w:uiPriority w:val="99"/>
    <w:semiHidden/>
    <w:unhideWhenUsed/>
    <w:rsid w:val="00106FC2"/>
    <w:rPr>
      <w:sz w:val="20"/>
      <w:szCs w:val="20"/>
    </w:rPr>
  </w:style>
  <w:style w:type="character" w:customStyle="1" w:styleId="FootnoteTextChar">
    <w:name w:val="Footnote Text Char"/>
    <w:basedOn w:val="DefaultParagraphFont"/>
    <w:link w:val="FootnoteText"/>
    <w:uiPriority w:val="99"/>
    <w:semiHidden/>
    <w:rsid w:val="00106FC2"/>
    <w:rPr>
      <w:lang w:val="en-GB" w:eastAsia="en-US"/>
    </w:rPr>
  </w:style>
  <w:style w:type="character" w:styleId="FootnoteReference">
    <w:name w:val="footnote reference"/>
    <w:basedOn w:val="DefaultParagraphFont"/>
    <w:uiPriority w:val="99"/>
    <w:semiHidden/>
    <w:unhideWhenUsed/>
    <w:rsid w:val="00106FC2"/>
    <w:rPr>
      <w:vertAlign w:val="superscript"/>
    </w:rPr>
  </w:style>
  <w:style w:type="character" w:styleId="CommentReference">
    <w:name w:val="annotation reference"/>
    <w:basedOn w:val="DefaultParagraphFont"/>
    <w:semiHidden/>
    <w:rsid w:val="00C64E07"/>
    <w:rPr>
      <w:sz w:val="16"/>
      <w:szCs w:val="16"/>
    </w:rPr>
  </w:style>
  <w:style w:type="paragraph" w:styleId="CommentText">
    <w:name w:val="annotation text"/>
    <w:basedOn w:val="Normal"/>
    <w:link w:val="CommentTextChar"/>
    <w:semiHidden/>
    <w:rsid w:val="00C64E07"/>
    <w:rPr>
      <w:sz w:val="20"/>
      <w:szCs w:val="20"/>
    </w:rPr>
  </w:style>
  <w:style w:type="character" w:customStyle="1" w:styleId="CommentTextChar">
    <w:name w:val="Comment Text Char"/>
    <w:basedOn w:val="DefaultParagraphFont"/>
    <w:link w:val="CommentText"/>
    <w:semiHidden/>
    <w:rsid w:val="00C64E07"/>
    <w:rPr>
      <w:lang w:val="en-GB" w:eastAsia="en-US"/>
    </w:rPr>
  </w:style>
  <w:style w:type="paragraph" w:styleId="Revision">
    <w:name w:val="Revision"/>
    <w:hidden/>
    <w:uiPriority w:val="99"/>
    <w:semiHidden/>
    <w:rsid w:val="00E800C3"/>
    <w:rPr>
      <w:sz w:val="22"/>
      <w:szCs w:val="22"/>
      <w:lang w:val="en-GB" w:eastAsia="en-US"/>
    </w:rPr>
  </w:style>
  <w:style w:type="character" w:customStyle="1" w:styleId="PlainTextChar">
    <w:name w:val="Plain Text Char"/>
    <w:basedOn w:val="DefaultParagraphFont"/>
    <w:link w:val="PlainText"/>
    <w:uiPriority w:val="99"/>
    <w:semiHidden/>
    <w:rsid w:val="001B51EE"/>
    <w:rPr>
      <w:rFonts w:ascii="Courier New" w:hAnsi="Courier New" w:cs="Courier New"/>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5D"/>
    <w:pPr>
      <w:jc w:val="both"/>
    </w:pPr>
    <w:rPr>
      <w:sz w:val="22"/>
      <w:szCs w:val="22"/>
      <w:lang w:val="en-GB" w:eastAsia="en-US"/>
    </w:rPr>
  </w:style>
  <w:style w:type="paragraph" w:styleId="Heading1">
    <w:name w:val="heading 1"/>
    <w:aliases w:val="Para (1),Heading 1 Char,Heading 1 Char3 Char,Heading 1 Char Char1 Char,Heading 1 Char1 Char Char1 Char,Heading 1 Char Char Char Char1 Char1,Para (1) Char Char Char Char1 Char,Heading 1 Char3 Char Char Char Char1 Char,Heading 1 Char3"/>
    <w:basedOn w:val="Normal"/>
    <w:next w:val="Normal"/>
    <w:link w:val="Heading1Char1"/>
    <w:qFormat/>
    <w:rsid w:val="0033525D"/>
    <w:pPr>
      <w:numPr>
        <w:numId w:val="1"/>
      </w:numPr>
      <w:spacing w:after="240"/>
      <w:outlineLvl w:val="0"/>
    </w:pPr>
  </w:style>
  <w:style w:type="paragraph" w:styleId="Heading2">
    <w:name w:val="heading 2"/>
    <w:aliases w:val="SubPara (a),Heading 2 Char3,Heading 2 Char Char2,Heading 2 Char1 Char Char1,SubPara (a) Char Char Char1,Heading 2 Char Char Char Char1,Heading 2 Char1 Char Char Char Char1,SubPara (a) Char1 Char Char Char Char1"/>
    <w:basedOn w:val="Normal"/>
    <w:next w:val="Normal"/>
    <w:qFormat/>
    <w:rsid w:val="0033525D"/>
    <w:pPr>
      <w:widowControl w:val="0"/>
      <w:numPr>
        <w:ilvl w:val="1"/>
        <w:numId w:val="1"/>
      </w:numPr>
      <w:spacing w:after="240"/>
      <w:outlineLvl w:val="1"/>
    </w:pPr>
  </w:style>
  <w:style w:type="paragraph" w:styleId="Heading3">
    <w:name w:val="heading 3"/>
    <w:aliases w:val="Char"/>
    <w:basedOn w:val="Normal"/>
    <w:next w:val="Normal"/>
    <w:qFormat/>
    <w:rsid w:val="0033525D"/>
    <w:pPr>
      <w:widowControl w:val="0"/>
      <w:numPr>
        <w:ilvl w:val="2"/>
        <w:numId w:val="1"/>
      </w:numPr>
      <w:spacing w:after="240"/>
      <w:outlineLvl w:val="2"/>
    </w:pPr>
  </w:style>
  <w:style w:type="paragraph" w:styleId="Heading4">
    <w:name w:val="heading 4"/>
    <w:aliases w:val="para 4"/>
    <w:basedOn w:val="Normal"/>
    <w:next w:val="Normal"/>
    <w:qFormat/>
    <w:rsid w:val="0008351D"/>
    <w:pPr>
      <w:keepNext/>
      <w:numPr>
        <w:numId w:val="20"/>
      </w:numPr>
      <w:spacing w:after="240" w:line="360" w:lineRule="atLeast"/>
      <w:ind w:left="2520"/>
      <w:outlineLvl w:val="3"/>
    </w:pPr>
  </w:style>
  <w:style w:type="paragraph" w:styleId="Heading5">
    <w:name w:val="heading 5"/>
    <w:basedOn w:val="Normal"/>
    <w:next w:val="Normal"/>
    <w:qFormat/>
    <w:rsid w:val="00153E20"/>
    <w:pPr>
      <w:numPr>
        <w:ilvl w:val="4"/>
        <w:numId w:val="1"/>
      </w:numPr>
      <w:spacing w:before="240" w:after="60"/>
      <w:outlineLvl w:val="4"/>
    </w:pPr>
    <w:rPr>
      <w:rFonts w:ascii="Arial" w:hAnsi="Arial"/>
    </w:rPr>
  </w:style>
  <w:style w:type="paragraph" w:styleId="Heading6">
    <w:name w:val="heading 6"/>
    <w:basedOn w:val="Normal"/>
    <w:next w:val="Normal"/>
    <w:qFormat/>
    <w:rsid w:val="00153E20"/>
    <w:pPr>
      <w:numPr>
        <w:ilvl w:val="5"/>
        <w:numId w:val="1"/>
      </w:numPr>
      <w:spacing w:before="240" w:after="60"/>
      <w:outlineLvl w:val="5"/>
    </w:pPr>
    <w:rPr>
      <w:rFonts w:ascii="Arial" w:hAnsi="Arial"/>
      <w:i/>
    </w:rPr>
  </w:style>
  <w:style w:type="paragraph" w:styleId="Heading7">
    <w:name w:val="heading 7"/>
    <w:basedOn w:val="Normal"/>
    <w:next w:val="Normal"/>
    <w:qFormat/>
    <w:rsid w:val="00153E20"/>
    <w:pPr>
      <w:numPr>
        <w:ilvl w:val="6"/>
        <w:numId w:val="1"/>
      </w:numPr>
      <w:spacing w:before="240" w:after="60"/>
      <w:outlineLvl w:val="6"/>
    </w:pPr>
    <w:rPr>
      <w:rFonts w:ascii="Arial" w:hAnsi="Arial"/>
    </w:rPr>
  </w:style>
  <w:style w:type="paragraph" w:styleId="Heading8">
    <w:name w:val="heading 8"/>
    <w:basedOn w:val="Normal"/>
    <w:next w:val="Normal"/>
    <w:qFormat/>
    <w:rsid w:val="00CC6A14"/>
    <w:pPr>
      <w:outlineLvl w:val="7"/>
    </w:pPr>
    <w:rPr>
      <w:b/>
    </w:rPr>
  </w:style>
  <w:style w:type="paragraph" w:styleId="Heading9">
    <w:name w:val="heading 9"/>
    <w:basedOn w:val="Normal"/>
    <w:next w:val="Normal"/>
    <w:qFormat/>
    <w:rsid w:val="00153E2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93D40"/>
    <w:pPr>
      <w:numPr>
        <w:numId w:val="16"/>
      </w:numPr>
    </w:pPr>
  </w:style>
  <w:style w:type="paragraph" w:styleId="Header">
    <w:name w:val="header"/>
    <w:basedOn w:val="Normal"/>
    <w:rsid w:val="00153E20"/>
    <w:pPr>
      <w:tabs>
        <w:tab w:val="center" w:pos="4320"/>
        <w:tab w:val="right" w:pos="8640"/>
      </w:tabs>
    </w:pPr>
  </w:style>
  <w:style w:type="paragraph" w:customStyle="1" w:styleId="sub-title">
    <w:name w:val="sub-title"/>
    <w:rsid w:val="0033525D"/>
    <w:pPr>
      <w:jc w:val="both"/>
      <w:outlineLvl w:val="0"/>
    </w:pPr>
    <w:rPr>
      <w:b/>
      <w:noProof/>
      <w:sz w:val="22"/>
      <w:szCs w:val="22"/>
      <w:lang w:val="en-US" w:eastAsia="en-US"/>
    </w:rPr>
  </w:style>
  <w:style w:type="character" w:styleId="PageNumber">
    <w:name w:val="page number"/>
    <w:basedOn w:val="DefaultParagraphFont"/>
    <w:rsid w:val="0033525D"/>
    <w:rPr>
      <w:sz w:val="22"/>
      <w:szCs w:val="22"/>
    </w:rPr>
  </w:style>
  <w:style w:type="paragraph" w:customStyle="1" w:styleId="Title1">
    <w:name w:val="Title1"/>
    <w:rsid w:val="0033525D"/>
    <w:pPr>
      <w:jc w:val="center"/>
      <w:outlineLvl w:val="0"/>
    </w:pPr>
    <w:rPr>
      <w:b/>
      <w:caps/>
      <w:sz w:val="22"/>
      <w:szCs w:val="22"/>
      <w:lang w:val="en-GB" w:eastAsia="en-US"/>
    </w:rPr>
  </w:style>
  <w:style w:type="paragraph" w:customStyle="1" w:styleId="Decision">
    <w:name w:val="Decision"/>
    <w:basedOn w:val="Normal"/>
    <w:rsid w:val="0033525D"/>
    <w:pPr>
      <w:keepLines/>
      <w:jc w:val="right"/>
    </w:pPr>
    <w:rPr>
      <w:b/>
    </w:rPr>
  </w:style>
  <w:style w:type="paragraph" w:customStyle="1" w:styleId="0Heading0">
    <w:name w:val="0 Heading 0"/>
    <w:rsid w:val="0033525D"/>
    <w:rPr>
      <w:sz w:val="22"/>
      <w:szCs w:val="22"/>
      <w:lang w:val="en-GB" w:eastAsia="en-US"/>
    </w:rPr>
  </w:style>
  <w:style w:type="paragraph" w:styleId="Footer">
    <w:name w:val="footer"/>
    <w:basedOn w:val="Normal"/>
    <w:link w:val="FooterChar"/>
    <w:uiPriority w:val="99"/>
    <w:rsid w:val="00153E20"/>
    <w:pPr>
      <w:tabs>
        <w:tab w:val="center" w:pos="4320"/>
        <w:tab w:val="right" w:pos="8640"/>
      </w:tabs>
    </w:pPr>
  </w:style>
  <w:style w:type="numbering" w:styleId="1ai">
    <w:name w:val="Outline List 1"/>
    <w:basedOn w:val="NoList"/>
    <w:semiHidden/>
    <w:rsid w:val="00493D40"/>
    <w:pPr>
      <w:numPr>
        <w:numId w:val="17"/>
      </w:numPr>
    </w:pPr>
  </w:style>
  <w:style w:type="numbering" w:styleId="ArticleSection">
    <w:name w:val="Outline List 3"/>
    <w:basedOn w:val="NoList"/>
    <w:semiHidden/>
    <w:rsid w:val="00493D40"/>
    <w:pPr>
      <w:numPr>
        <w:numId w:val="18"/>
      </w:numPr>
    </w:pPr>
  </w:style>
  <w:style w:type="paragraph" w:styleId="BlockText">
    <w:name w:val="Block Text"/>
    <w:basedOn w:val="Normal"/>
    <w:semiHidden/>
    <w:rsid w:val="00493D40"/>
    <w:pPr>
      <w:spacing w:after="120"/>
      <w:ind w:left="1440" w:right="1440"/>
    </w:pPr>
  </w:style>
  <w:style w:type="paragraph" w:styleId="BodyText">
    <w:name w:val="Body Text"/>
    <w:basedOn w:val="Normal"/>
    <w:semiHidden/>
    <w:rsid w:val="00493D40"/>
    <w:pPr>
      <w:spacing w:after="120"/>
    </w:pPr>
  </w:style>
  <w:style w:type="paragraph" w:styleId="BodyText2">
    <w:name w:val="Body Text 2"/>
    <w:basedOn w:val="Normal"/>
    <w:semiHidden/>
    <w:rsid w:val="00493D40"/>
    <w:pPr>
      <w:spacing w:after="120" w:line="480" w:lineRule="auto"/>
    </w:pPr>
  </w:style>
  <w:style w:type="paragraph" w:styleId="BodyText3">
    <w:name w:val="Body Text 3"/>
    <w:basedOn w:val="Normal"/>
    <w:semiHidden/>
    <w:rsid w:val="00493D40"/>
    <w:pPr>
      <w:spacing w:after="120"/>
    </w:pPr>
    <w:rPr>
      <w:sz w:val="16"/>
      <w:szCs w:val="16"/>
    </w:rPr>
  </w:style>
  <w:style w:type="paragraph" w:styleId="BodyTextFirstIndent">
    <w:name w:val="Body Text First Indent"/>
    <w:basedOn w:val="BodyText"/>
    <w:semiHidden/>
    <w:rsid w:val="00493D40"/>
    <w:pPr>
      <w:ind w:firstLine="210"/>
    </w:pPr>
  </w:style>
  <w:style w:type="paragraph" w:styleId="BodyTextIndent">
    <w:name w:val="Body Text Indent"/>
    <w:basedOn w:val="Normal"/>
    <w:semiHidden/>
    <w:rsid w:val="00493D40"/>
    <w:pPr>
      <w:spacing w:after="120"/>
      <w:ind w:left="360"/>
    </w:pPr>
  </w:style>
  <w:style w:type="paragraph" w:styleId="BodyTextFirstIndent2">
    <w:name w:val="Body Text First Indent 2"/>
    <w:basedOn w:val="BodyTextIndent"/>
    <w:semiHidden/>
    <w:rsid w:val="00493D40"/>
    <w:pPr>
      <w:ind w:firstLine="210"/>
    </w:pPr>
  </w:style>
  <w:style w:type="paragraph" w:styleId="BodyTextIndent2">
    <w:name w:val="Body Text Indent 2"/>
    <w:basedOn w:val="Normal"/>
    <w:semiHidden/>
    <w:rsid w:val="00493D40"/>
    <w:pPr>
      <w:spacing w:after="120" w:line="480" w:lineRule="auto"/>
      <w:ind w:left="360"/>
    </w:pPr>
  </w:style>
  <w:style w:type="paragraph" w:styleId="BodyTextIndent3">
    <w:name w:val="Body Text Indent 3"/>
    <w:basedOn w:val="Normal"/>
    <w:semiHidden/>
    <w:rsid w:val="00493D40"/>
    <w:pPr>
      <w:spacing w:after="120"/>
      <w:ind w:left="360"/>
    </w:pPr>
    <w:rPr>
      <w:sz w:val="16"/>
      <w:szCs w:val="16"/>
    </w:rPr>
  </w:style>
  <w:style w:type="paragraph" w:styleId="Closing">
    <w:name w:val="Closing"/>
    <w:basedOn w:val="Normal"/>
    <w:semiHidden/>
    <w:rsid w:val="00493D40"/>
    <w:pPr>
      <w:ind w:left="4320"/>
    </w:pPr>
  </w:style>
  <w:style w:type="paragraph" w:styleId="E-mailSignature">
    <w:name w:val="E-mail Signature"/>
    <w:basedOn w:val="Normal"/>
    <w:semiHidden/>
    <w:rsid w:val="00493D40"/>
  </w:style>
  <w:style w:type="character" w:styleId="Emphasis">
    <w:name w:val="Emphasis"/>
    <w:basedOn w:val="DefaultParagraphFont"/>
    <w:qFormat/>
    <w:rsid w:val="00493D40"/>
    <w:rPr>
      <w:i/>
      <w:iCs/>
    </w:rPr>
  </w:style>
  <w:style w:type="paragraph" w:styleId="EnvelopeAddress">
    <w:name w:val="envelope address"/>
    <w:basedOn w:val="Normal"/>
    <w:semiHidden/>
    <w:rsid w:val="00493D40"/>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493D40"/>
    <w:rPr>
      <w:rFonts w:ascii="Arial" w:hAnsi="Arial" w:cs="Arial"/>
      <w:sz w:val="20"/>
    </w:rPr>
  </w:style>
  <w:style w:type="character" w:styleId="FollowedHyperlink">
    <w:name w:val="FollowedHyperlink"/>
    <w:basedOn w:val="DefaultParagraphFont"/>
    <w:semiHidden/>
    <w:rsid w:val="00493D40"/>
    <w:rPr>
      <w:color w:val="800080"/>
      <w:u w:val="single"/>
    </w:rPr>
  </w:style>
  <w:style w:type="character" w:styleId="HTMLAcronym">
    <w:name w:val="HTML Acronym"/>
    <w:basedOn w:val="DefaultParagraphFont"/>
    <w:semiHidden/>
    <w:rsid w:val="00493D40"/>
  </w:style>
  <w:style w:type="paragraph" w:styleId="HTMLAddress">
    <w:name w:val="HTML Address"/>
    <w:basedOn w:val="Normal"/>
    <w:semiHidden/>
    <w:rsid w:val="00493D40"/>
    <w:rPr>
      <w:i/>
      <w:iCs/>
    </w:rPr>
  </w:style>
  <w:style w:type="character" w:styleId="HTMLCite">
    <w:name w:val="HTML Cite"/>
    <w:basedOn w:val="DefaultParagraphFont"/>
    <w:semiHidden/>
    <w:rsid w:val="00493D40"/>
    <w:rPr>
      <w:i/>
      <w:iCs/>
    </w:rPr>
  </w:style>
  <w:style w:type="character" w:styleId="HTMLCode">
    <w:name w:val="HTML Code"/>
    <w:basedOn w:val="DefaultParagraphFont"/>
    <w:semiHidden/>
    <w:rsid w:val="00493D40"/>
    <w:rPr>
      <w:rFonts w:ascii="Courier New" w:hAnsi="Courier New" w:cs="Courier New"/>
      <w:sz w:val="20"/>
      <w:szCs w:val="20"/>
    </w:rPr>
  </w:style>
  <w:style w:type="character" w:styleId="HTMLDefinition">
    <w:name w:val="HTML Definition"/>
    <w:basedOn w:val="DefaultParagraphFont"/>
    <w:semiHidden/>
    <w:rsid w:val="00493D40"/>
    <w:rPr>
      <w:i/>
      <w:iCs/>
    </w:rPr>
  </w:style>
  <w:style w:type="character" w:styleId="HTMLKeyboard">
    <w:name w:val="HTML Keyboard"/>
    <w:basedOn w:val="DefaultParagraphFont"/>
    <w:semiHidden/>
    <w:rsid w:val="00493D40"/>
    <w:rPr>
      <w:rFonts w:ascii="Courier New" w:hAnsi="Courier New" w:cs="Courier New"/>
      <w:sz w:val="20"/>
      <w:szCs w:val="20"/>
    </w:rPr>
  </w:style>
  <w:style w:type="paragraph" w:styleId="HTMLPreformatted">
    <w:name w:val="HTML Preformatted"/>
    <w:basedOn w:val="Normal"/>
    <w:semiHidden/>
    <w:rsid w:val="00493D40"/>
    <w:rPr>
      <w:rFonts w:ascii="Courier New" w:hAnsi="Courier New" w:cs="Courier New"/>
      <w:sz w:val="20"/>
    </w:rPr>
  </w:style>
  <w:style w:type="character" w:styleId="HTMLSample">
    <w:name w:val="HTML Sample"/>
    <w:basedOn w:val="DefaultParagraphFont"/>
    <w:semiHidden/>
    <w:rsid w:val="00493D40"/>
    <w:rPr>
      <w:rFonts w:ascii="Courier New" w:hAnsi="Courier New" w:cs="Courier New"/>
    </w:rPr>
  </w:style>
  <w:style w:type="character" w:styleId="HTMLTypewriter">
    <w:name w:val="HTML Typewriter"/>
    <w:basedOn w:val="DefaultParagraphFont"/>
    <w:semiHidden/>
    <w:rsid w:val="00493D40"/>
    <w:rPr>
      <w:rFonts w:ascii="Courier New" w:hAnsi="Courier New" w:cs="Courier New"/>
      <w:sz w:val="20"/>
      <w:szCs w:val="20"/>
    </w:rPr>
  </w:style>
  <w:style w:type="character" w:styleId="HTMLVariable">
    <w:name w:val="HTML Variable"/>
    <w:basedOn w:val="DefaultParagraphFont"/>
    <w:semiHidden/>
    <w:rsid w:val="00493D40"/>
    <w:rPr>
      <w:i/>
      <w:iCs/>
    </w:rPr>
  </w:style>
  <w:style w:type="character" w:styleId="Hyperlink">
    <w:name w:val="Hyperlink"/>
    <w:basedOn w:val="DefaultParagraphFont"/>
    <w:semiHidden/>
    <w:rsid w:val="00493D40"/>
    <w:rPr>
      <w:color w:val="0000FF"/>
      <w:u w:val="single"/>
    </w:rPr>
  </w:style>
  <w:style w:type="character" w:styleId="LineNumber">
    <w:name w:val="line number"/>
    <w:basedOn w:val="DefaultParagraphFont"/>
    <w:semiHidden/>
    <w:rsid w:val="00493D40"/>
  </w:style>
  <w:style w:type="paragraph" w:styleId="List">
    <w:name w:val="List"/>
    <w:basedOn w:val="Normal"/>
    <w:semiHidden/>
    <w:rsid w:val="00493D40"/>
    <w:pPr>
      <w:ind w:left="360" w:hanging="360"/>
    </w:pPr>
  </w:style>
  <w:style w:type="paragraph" w:styleId="List2">
    <w:name w:val="List 2"/>
    <w:basedOn w:val="Normal"/>
    <w:semiHidden/>
    <w:rsid w:val="00493D40"/>
    <w:pPr>
      <w:ind w:left="720" w:hanging="360"/>
    </w:pPr>
  </w:style>
  <w:style w:type="paragraph" w:styleId="List3">
    <w:name w:val="List 3"/>
    <w:basedOn w:val="Normal"/>
    <w:semiHidden/>
    <w:rsid w:val="00493D40"/>
    <w:pPr>
      <w:ind w:left="1080" w:hanging="360"/>
    </w:pPr>
  </w:style>
  <w:style w:type="paragraph" w:styleId="List4">
    <w:name w:val="List 4"/>
    <w:basedOn w:val="Normal"/>
    <w:semiHidden/>
    <w:rsid w:val="00493D40"/>
    <w:pPr>
      <w:ind w:left="1440" w:hanging="360"/>
    </w:pPr>
  </w:style>
  <w:style w:type="paragraph" w:styleId="List5">
    <w:name w:val="List 5"/>
    <w:basedOn w:val="Normal"/>
    <w:semiHidden/>
    <w:rsid w:val="00493D40"/>
    <w:pPr>
      <w:ind w:left="1800" w:hanging="360"/>
    </w:pPr>
  </w:style>
  <w:style w:type="paragraph" w:styleId="ListBullet">
    <w:name w:val="List Bullet"/>
    <w:basedOn w:val="Normal"/>
    <w:autoRedefine/>
    <w:semiHidden/>
    <w:rsid w:val="00493D40"/>
    <w:pPr>
      <w:numPr>
        <w:numId w:val="6"/>
      </w:numPr>
    </w:pPr>
  </w:style>
  <w:style w:type="paragraph" w:styleId="ListBullet2">
    <w:name w:val="List Bullet 2"/>
    <w:basedOn w:val="Normal"/>
    <w:autoRedefine/>
    <w:semiHidden/>
    <w:rsid w:val="00493D40"/>
    <w:pPr>
      <w:numPr>
        <w:numId w:val="7"/>
      </w:numPr>
    </w:pPr>
  </w:style>
  <w:style w:type="paragraph" w:styleId="ListBullet3">
    <w:name w:val="List Bullet 3"/>
    <w:basedOn w:val="Normal"/>
    <w:autoRedefine/>
    <w:semiHidden/>
    <w:rsid w:val="00493D40"/>
    <w:pPr>
      <w:numPr>
        <w:numId w:val="8"/>
      </w:numPr>
    </w:pPr>
  </w:style>
  <w:style w:type="paragraph" w:styleId="ListBullet4">
    <w:name w:val="List Bullet 4"/>
    <w:basedOn w:val="Normal"/>
    <w:autoRedefine/>
    <w:semiHidden/>
    <w:rsid w:val="00493D40"/>
    <w:pPr>
      <w:numPr>
        <w:numId w:val="9"/>
      </w:numPr>
    </w:pPr>
  </w:style>
  <w:style w:type="paragraph" w:styleId="ListBullet5">
    <w:name w:val="List Bullet 5"/>
    <w:basedOn w:val="Normal"/>
    <w:autoRedefine/>
    <w:semiHidden/>
    <w:rsid w:val="00493D40"/>
    <w:pPr>
      <w:numPr>
        <w:numId w:val="10"/>
      </w:numPr>
    </w:pPr>
  </w:style>
  <w:style w:type="paragraph" w:styleId="ListContinue">
    <w:name w:val="List Continue"/>
    <w:basedOn w:val="Normal"/>
    <w:semiHidden/>
    <w:rsid w:val="00493D40"/>
    <w:pPr>
      <w:spacing w:after="120"/>
      <w:ind w:left="360"/>
    </w:pPr>
  </w:style>
  <w:style w:type="paragraph" w:styleId="ListContinue2">
    <w:name w:val="List Continue 2"/>
    <w:basedOn w:val="Normal"/>
    <w:semiHidden/>
    <w:rsid w:val="00493D40"/>
    <w:pPr>
      <w:spacing w:after="120"/>
      <w:ind w:left="720"/>
    </w:pPr>
  </w:style>
  <w:style w:type="paragraph" w:styleId="ListContinue3">
    <w:name w:val="List Continue 3"/>
    <w:basedOn w:val="Normal"/>
    <w:semiHidden/>
    <w:rsid w:val="00493D40"/>
    <w:pPr>
      <w:spacing w:after="120"/>
      <w:ind w:left="1080"/>
    </w:pPr>
  </w:style>
  <w:style w:type="paragraph" w:styleId="ListContinue4">
    <w:name w:val="List Continue 4"/>
    <w:basedOn w:val="Normal"/>
    <w:semiHidden/>
    <w:rsid w:val="00493D40"/>
    <w:pPr>
      <w:spacing w:after="120"/>
      <w:ind w:left="1440"/>
    </w:pPr>
  </w:style>
  <w:style w:type="paragraph" w:styleId="ListContinue5">
    <w:name w:val="List Continue 5"/>
    <w:basedOn w:val="Normal"/>
    <w:semiHidden/>
    <w:rsid w:val="00493D40"/>
    <w:pPr>
      <w:spacing w:after="120"/>
      <w:ind w:left="1800"/>
    </w:pPr>
  </w:style>
  <w:style w:type="paragraph" w:styleId="ListNumber">
    <w:name w:val="List Number"/>
    <w:basedOn w:val="Normal"/>
    <w:semiHidden/>
    <w:rsid w:val="00493D40"/>
    <w:pPr>
      <w:numPr>
        <w:numId w:val="11"/>
      </w:numPr>
    </w:pPr>
  </w:style>
  <w:style w:type="paragraph" w:styleId="ListNumber2">
    <w:name w:val="List Number 2"/>
    <w:basedOn w:val="Normal"/>
    <w:semiHidden/>
    <w:rsid w:val="00493D40"/>
    <w:pPr>
      <w:numPr>
        <w:numId w:val="12"/>
      </w:numPr>
    </w:pPr>
  </w:style>
  <w:style w:type="paragraph" w:styleId="ListNumber3">
    <w:name w:val="List Number 3"/>
    <w:basedOn w:val="Normal"/>
    <w:semiHidden/>
    <w:rsid w:val="00493D40"/>
    <w:pPr>
      <w:numPr>
        <w:numId w:val="13"/>
      </w:numPr>
    </w:pPr>
  </w:style>
  <w:style w:type="paragraph" w:styleId="ListNumber4">
    <w:name w:val="List Number 4"/>
    <w:basedOn w:val="Normal"/>
    <w:semiHidden/>
    <w:rsid w:val="00493D40"/>
    <w:pPr>
      <w:numPr>
        <w:numId w:val="14"/>
      </w:numPr>
    </w:pPr>
  </w:style>
  <w:style w:type="paragraph" w:styleId="ListNumber5">
    <w:name w:val="List Number 5"/>
    <w:basedOn w:val="Normal"/>
    <w:semiHidden/>
    <w:rsid w:val="00493D40"/>
    <w:pPr>
      <w:numPr>
        <w:numId w:val="15"/>
      </w:numPr>
    </w:pPr>
  </w:style>
  <w:style w:type="paragraph" w:styleId="MessageHeader">
    <w:name w:val="Message Header"/>
    <w:basedOn w:val="Normal"/>
    <w:semiHidden/>
    <w:rsid w:val="00493D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493D40"/>
    <w:rPr>
      <w:szCs w:val="24"/>
    </w:rPr>
  </w:style>
  <w:style w:type="paragraph" w:styleId="NormalIndent">
    <w:name w:val="Normal Indent"/>
    <w:basedOn w:val="Normal"/>
    <w:semiHidden/>
    <w:rsid w:val="00493D40"/>
    <w:pPr>
      <w:ind w:left="720"/>
    </w:pPr>
  </w:style>
  <w:style w:type="paragraph" w:styleId="NoteHeading">
    <w:name w:val="Note Heading"/>
    <w:basedOn w:val="Normal"/>
    <w:next w:val="Normal"/>
    <w:semiHidden/>
    <w:rsid w:val="00493D40"/>
  </w:style>
  <w:style w:type="paragraph" w:styleId="PlainText">
    <w:name w:val="Plain Text"/>
    <w:basedOn w:val="Normal"/>
    <w:link w:val="PlainTextChar"/>
    <w:uiPriority w:val="99"/>
    <w:semiHidden/>
    <w:rsid w:val="00493D40"/>
    <w:rPr>
      <w:rFonts w:ascii="Courier New" w:hAnsi="Courier New" w:cs="Courier New"/>
      <w:sz w:val="20"/>
    </w:rPr>
  </w:style>
  <w:style w:type="paragraph" w:styleId="Salutation">
    <w:name w:val="Salutation"/>
    <w:basedOn w:val="Normal"/>
    <w:next w:val="Normal"/>
    <w:semiHidden/>
    <w:rsid w:val="00493D40"/>
  </w:style>
  <w:style w:type="paragraph" w:styleId="Signature">
    <w:name w:val="Signature"/>
    <w:basedOn w:val="Normal"/>
    <w:semiHidden/>
    <w:rsid w:val="00493D40"/>
    <w:pPr>
      <w:ind w:left="4320"/>
    </w:pPr>
  </w:style>
  <w:style w:type="character" w:styleId="Strong">
    <w:name w:val="Strong"/>
    <w:basedOn w:val="DefaultParagraphFont"/>
    <w:qFormat/>
    <w:rsid w:val="00493D40"/>
    <w:rPr>
      <w:b/>
      <w:bCs/>
    </w:rPr>
  </w:style>
  <w:style w:type="table" w:styleId="Table3Deffects1">
    <w:name w:val="Table 3D effects 1"/>
    <w:basedOn w:val="TableNormal"/>
    <w:semiHidden/>
    <w:rsid w:val="00493D40"/>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3D40"/>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3D40"/>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3D40"/>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3D40"/>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3D40"/>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3D40"/>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3D40"/>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3D40"/>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3D40"/>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3D40"/>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3D40"/>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3D40"/>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3D40"/>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3D40"/>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3D40"/>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3D40"/>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493D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493D4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3D40"/>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3D40"/>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3D40"/>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3D40"/>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3D40"/>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3D40"/>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3D40"/>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3D40"/>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3D40"/>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3D40"/>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3D40"/>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3D4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3D40"/>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3D40"/>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3D40"/>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3D4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3D40"/>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3D40"/>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3D40"/>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3D40"/>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3D40"/>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3D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93D40"/>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3D40"/>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3D40"/>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1">
    <w:name w:val="Heading 1 Char1"/>
    <w:aliases w:val="Para (1) Char,Heading 1 Char Char,Heading 1 Char3 Char Char,Heading 1 Char Char1 Char Char,Heading 1 Char1 Char Char1 Char Char,Heading 1 Char Char Char Char1 Char1 Char,Para (1) Char Char Char Char1 Char Char,Heading 1 Char3 Char1"/>
    <w:basedOn w:val="DefaultParagraphFont"/>
    <w:link w:val="Heading1"/>
    <w:rsid w:val="0033525D"/>
    <w:rPr>
      <w:sz w:val="22"/>
      <w:szCs w:val="22"/>
      <w:lang w:val="en-GB"/>
    </w:rPr>
  </w:style>
  <w:style w:type="paragraph" w:customStyle="1" w:styleId="Header4">
    <w:name w:val="Header4"/>
    <w:aliases w:val="Para 4"/>
    <w:basedOn w:val="Normal"/>
    <w:next w:val="Normal"/>
    <w:rsid w:val="00625D83"/>
    <w:pPr>
      <w:widowControl w:val="0"/>
      <w:numPr>
        <w:numId w:val="19"/>
      </w:numPr>
      <w:tabs>
        <w:tab w:val="left" w:pos="2880"/>
        <w:tab w:val="left" w:pos="5760"/>
      </w:tabs>
      <w:spacing w:after="240"/>
      <w:ind w:left="2520"/>
    </w:pPr>
  </w:style>
  <w:style w:type="paragraph" w:customStyle="1" w:styleId="StyleHeader4Para4Left0Firstline0">
    <w:name w:val="Style Header4Para 4 + Left:  0&quot; First line:  0&quot;"/>
    <w:basedOn w:val="Header4"/>
    <w:rsid w:val="00754ABA"/>
    <w:pPr>
      <w:ind w:left="0" w:firstLine="0"/>
    </w:pPr>
    <w:rPr>
      <w:sz w:val="20"/>
    </w:rPr>
  </w:style>
  <w:style w:type="paragraph" w:styleId="Subtitle">
    <w:name w:val="Subtitle"/>
    <w:basedOn w:val="Normal"/>
    <w:qFormat/>
    <w:rsid w:val="0033525D"/>
    <w:pPr>
      <w:spacing w:after="60"/>
      <w:jc w:val="center"/>
      <w:outlineLvl w:val="1"/>
    </w:pPr>
    <w:rPr>
      <w:rFonts w:ascii="Arial" w:hAnsi="Arial" w:cs="Arial"/>
    </w:rPr>
  </w:style>
  <w:style w:type="paragraph" w:styleId="Title">
    <w:name w:val="Title"/>
    <w:basedOn w:val="Normal"/>
    <w:qFormat/>
    <w:rsid w:val="0033525D"/>
    <w:pPr>
      <w:spacing w:before="240" w:after="60"/>
      <w:jc w:val="center"/>
      <w:outlineLvl w:val="0"/>
    </w:pPr>
    <w:rPr>
      <w:rFonts w:ascii="Arial" w:hAnsi="Arial" w:cs="Arial"/>
      <w:b/>
      <w:bCs/>
      <w:kern w:val="28"/>
    </w:rPr>
  </w:style>
  <w:style w:type="paragraph" w:styleId="Date">
    <w:name w:val="Date"/>
    <w:basedOn w:val="Normal"/>
    <w:next w:val="Normal"/>
    <w:rsid w:val="0033525D"/>
  </w:style>
  <w:style w:type="paragraph" w:styleId="ListParagraph">
    <w:name w:val="List Paragraph"/>
    <w:basedOn w:val="Normal"/>
    <w:uiPriority w:val="34"/>
    <w:qFormat/>
    <w:rsid w:val="003B6556"/>
    <w:pPr>
      <w:ind w:left="720"/>
      <w:contextualSpacing/>
    </w:pPr>
  </w:style>
  <w:style w:type="character" w:customStyle="1" w:styleId="FooterChar">
    <w:name w:val="Footer Char"/>
    <w:basedOn w:val="DefaultParagraphFont"/>
    <w:link w:val="Footer"/>
    <w:uiPriority w:val="99"/>
    <w:rsid w:val="00FA7BE4"/>
    <w:rPr>
      <w:sz w:val="22"/>
      <w:szCs w:val="22"/>
      <w:lang w:val="en-GB"/>
    </w:rPr>
  </w:style>
  <w:style w:type="paragraph" w:styleId="BalloonText">
    <w:name w:val="Balloon Text"/>
    <w:basedOn w:val="Normal"/>
    <w:link w:val="BalloonTextChar"/>
    <w:uiPriority w:val="99"/>
    <w:semiHidden/>
    <w:unhideWhenUsed/>
    <w:rsid w:val="00FE074C"/>
    <w:rPr>
      <w:rFonts w:ascii="Tahoma" w:hAnsi="Tahoma" w:cs="Tahoma"/>
      <w:sz w:val="16"/>
      <w:szCs w:val="16"/>
    </w:rPr>
  </w:style>
  <w:style w:type="character" w:customStyle="1" w:styleId="BalloonTextChar">
    <w:name w:val="Balloon Text Char"/>
    <w:basedOn w:val="DefaultParagraphFont"/>
    <w:link w:val="BalloonText"/>
    <w:uiPriority w:val="99"/>
    <w:semiHidden/>
    <w:rsid w:val="00FE074C"/>
    <w:rPr>
      <w:rFonts w:ascii="Tahoma" w:hAnsi="Tahoma" w:cs="Tahoma"/>
      <w:sz w:val="16"/>
      <w:szCs w:val="16"/>
      <w:lang w:val="en-GB"/>
    </w:rPr>
  </w:style>
  <w:style w:type="paragraph" w:styleId="FootnoteText">
    <w:name w:val="footnote text"/>
    <w:basedOn w:val="Normal"/>
    <w:link w:val="FootnoteTextChar"/>
    <w:uiPriority w:val="99"/>
    <w:semiHidden/>
    <w:unhideWhenUsed/>
    <w:rsid w:val="00106FC2"/>
    <w:rPr>
      <w:sz w:val="20"/>
      <w:szCs w:val="20"/>
    </w:rPr>
  </w:style>
  <w:style w:type="character" w:customStyle="1" w:styleId="FootnoteTextChar">
    <w:name w:val="Footnote Text Char"/>
    <w:basedOn w:val="DefaultParagraphFont"/>
    <w:link w:val="FootnoteText"/>
    <w:uiPriority w:val="99"/>
    <w:semiHidden/>
    <w:rsid w:val="00106FC2"/>
    <w:rPr>
      <w:lang w:val="en-GB" w:eastAsia="en-US"/>
    </w:rPr>
  </w:style>
  <w:style w:type="character" w:styleId="FootnoteReference">
    <w:name w:val="footnote reference"/>
    <w:basedOn w:val="DefaultParagraphFont"/>
    <w:uiPriority w:val="99"/>
    <w:semiHidden/>
    <w:unhideWhenUsed/>
    <w:rsid w:val="00106FC2"/>
    <w:rPr>
      <w:vertAlign w:val="superscript"/>
    </w:rPr>
  </w:style>
  <w:style w:type="character" w:styleId="CommentReference">
    <w:name w:val="annotation reference"/>
    <w:basedOn w:val="DefaultParagraphFont"/>
    <w:semiHidden/>
    <w:rsid w:val="00C64E07"/>
    <w:rPr>
      <w:sz w:val="16"/>
      <w:szCs w:val="16"/>
    </w:rPr>
  </w:style>
  <w:style w:type="paragraph" w:styleId="CommentText">
    <w:name w:val="annotation text"/>
    <w:basedOn w:val="Normal"/>
    <w:link w:val="CommentTextChar"/>
    <w:semiHidden/>
    <w:rsid w:val="00C64E07"/>
    <w:rPr>
      <w:sz w:val="20"/>
      <w:szCs w:val="20"/>
    </w:rPr>
  </w:style>
  <w:style w:type="character" w:customStyle="1" w:styleId="CommentTextChar">
    <w:name w:val="Comment Text Char"/>
    <w:basedOn w:val="DefaultParagraphFont"/>
    <w:link w:val="CommentText"/>
    <w:semiHidden/>
    <w:rsid w:val="00C64E07"/>
    <w:rPr>
      <w:lang w:val="en-GB" w:eastAsia="en-US"/>
    </w:rPr>
  </w:style>
  <w:style w:type="paragraph" w:styleId="Revision">
    <w:name w:val="Revision"/>
    <w:hidden/>
    <w:uiPriority w:val="99"/>
    <w:semiHidden/>
    <w:rsid w:val="00E800C3"/>
    <w:rPr>
      <w:sz w:val="22"/>
      <w:szCs w:val="22"/>
      <w:lang w:val="en-GB" w:eastAsia="en-US"/>
    </w:rPr>
  </w:style>
  <w:style w:type="character" w:customStyle="1" w:styleId="PlainTextChar">
    <w:name w:val="Plain Text Char"/>
    <w:basedOn w:val="DefaultParagraphFont"/>
    <w:link w:val="PlainText"/>
    <w:uiPriority w:val="99"/>
    <w:semiHidden/>
    <w:rsid w:val="001B51EE"/>
    <w:rPr>
      <w:rFonts w:ascii="Courier New" w:hAnsi="Courier New" w:cs="Courier New"/>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5739">
      <w:bodyDiv w:val="1"/>
      <w:marLeft w:val="0"/>
      <w:marRight w:val="0"/>
      <w:marTop w:val="0"/>
      <w:marBottom w:val="0"/>
      <w:divBdr>
        <w:top w:val="none" w:sz="0" w:space="0" w:color="auto"/>
        <w:left w:val="none" w:sz="0" w:space="0" w:color="auto"/>
        <w:bottom w:val="none" w:sz="0" w:space="0" w:color="auto"/>
        <w:right w:val="none" w:sz="0" w:space="0" w:color="auto"/>
      </w:divBdr>
    </w:div>
    <w:div w:id="255670762">
      <w:bodyDiv w:val="1"/>
      <w:marLeft w:val="0"/>
      <w:marRight w:val="0"/>
      <w:marTop w:val="0"/>
      <w:marBottom w:val="0"/>
      <w:divBdr>
        <w:top w:val="none" w:sz="0" w:space="0" w:color="auto"/>
        <w:left w:val="none" w:sz="0" w:space="0" w:color="auto"/>
        <w:bottom w:val="none" w:sz="0" w:space="0" w:color="auto"/>
        <w:right w:val="none" w:sz="0" w:space="0" w:color="auto"/>
      </w:divBdr>
    </w:div>
    <w:div w:id="292055041">
      <w:bodyDiv w:val="1"/>
      <w:marLeft w:val="0"/>
      <w:marRight w:val="0"/>
      <w:marTop w:val="0"/>
      <w:marBottom w:val="0"/>
      <w:divBdr>
        <w:top w:val="none" w:sz="0" w:space="0" w:color="auto"/>
        <w:left w:val="none" w:sz="0" w:space="0" w:color="auto"/>
        <w:bottom w:val="none" w:sz="0" w:space="0" w:color="auto"/>
        <w:right w:val="none" w:sz="0" w:space="0" w:color="auto"/>
      </w:divBdr>
    </w:div>
    <w:div w:id="338191937">
      <w:bodyDiv w:val="1"/>
      <w:marLeft w:val="0"/>
      <w:marRight w:val="0"/>
      <w:marTop w:val="0"/>
      <w:marBottom w:val="0"/>
      <w:divBdr>
        <w:top w:val="none" w:sz="0" w:space="0" w:color="auto"/>
        <w:left w:val="none" w:sz="0" w:space="0" w:color="auto"/>
        <w:bottom w:val="none" w:sz="0" w:space="0" w:color="auto"/>
        <w:right w:val="none" w:sz="0" w:space="0" w:color="auto"/>
      </w:divBdr>
    </w:div>
    <w:div w:id="444350207">
      <w:bodyDiv w:val="1"/>
      <w:marLeft w:val="0"/>
      <w:marRight w:val="0"/>
      <w:marTop w:val="0"/>
      <w:marBottom w:val="0"/>
      <w:divBdr>
        <w:top w:val="none" w:sz="0" w:space="0" w:color="auto"/>
        <w:left w:val="none" w:sz="0" w:space="0" w:color="auto"/>
        <w:bottom w:val="none" w:sz="0" w:space="0" w:color="auto"/>
        <w:right w:val="none" w:sz="0" w:space="0" w:color="auto"/>
      </w:divBdr>
    </w:div>
    <w:div w:id="614798553">
      <w:bodyDiv w:val="1"/>
      <w:marLeft w:val="0"/>
      <w:marRight w:val="0"/>
      <w:marTop w:val="0"/>
      <w:marBottom w:val="0"/>
      <w:divBdr>
        <w:top w:val="none" w:sz="0" w:space="0" w:color="auto"/>
        <w:left w:val="none" w:sz="0" w:space="0" w:color="auto"/>
        <w:bottom w:val="none" w:sz="0" w:space="0" w:color="auto"/>
        <w:right w:val="none" w:sz="0" w:space="0" w:color="auto"/>
      </w:divBdr>
    </w:div>
    <w:div w:id="656373937">
      <w:bodyDiv w:val="1"/>
      <w:marLeft w:val="0"/>
      <w:marRight w:val="0"/>
      <w:marTop w:val="0"/>
      <w:marBottom w:val="0"/>
      <w:divBdr>
        <w:top w:val="none" w:sz="0" w:space="0" w:color="auto"/>
        <w:left w:val="none" w:sz="0" w:space="0" w:color="auto"/>
        <w:bottom w:val="none" w:sz="0" w:space="0" w:color="auto"/>
        <w:right w:val="none" w:sz="0" w:space="0" w:color="auto"/>
      </w:divBdr>
    </w:div>
    <w:div w:id="1043750953">
      <w:bodyDiv w:val="1"/>
      <w:marLeft w:val="0"/>
      <w:marRight w:val="0"/>
      <w:marTop w:val="0"/>
      <w:marBottom w:val="0"/>
      <w:divBdr>
        <w:top w:val="none" w:sz="0" w:space="0" w:color="auto"/>
        <w:left w:val="none" w:sz="0" w:space="0" w:color="auto"/>
        <w:bottom w:val="none" w:sz="0" w:space="0" w:color="auto"/>
        <w:right w:val="none" w:sz="0" w:space="0" w:color="auto"/>
      </w:divBdr>
    </w:div>
    <w:div w:id="1053311911">
      <w:bodyDiv w:val="1"/>
      <w:marLeft w:val="0"/>
      <w:marRight w:val="0"/>
      <w:marTop w:val="0"/>
      <w:marBottom w:val="0"/>
      <w:divBdr>
        <w:top w:val="none" w:sz="0" w:space="0" w:color="auto"/>
        <w:left w:val="none" w:sz="0" w:space="0" w:color="auto"/>
        <w:bottom w:val="none" w:sz="0" w:space="0" w:color="auto"/>
        <w:right w:val="none" w:sz="0" w:space="0" w:color="auto"/>
      </w:divBdr>
    </w:div>
    <w:div w:id="1174690803">
      <w:bodyDiv w:val="1"/>
      <w:marLeft w:val="0"/>
      <w:marRight w:val="0"/>
      <w:marTop w:val="0"/>
      <w:marBottom w:val="0"/>
      <w:divBdr>
        <w:top w:val="none" w:sz="0" w:space="0" w:color="auto"/>
        <w:left w:val="none" w:sz="0" w:space="0" w:color="auto"/>
        <w:bottom w:val="none" w:sz="0" w:space="0" w:color="auto"/>
        <w:right w:val="none" w:sz="0" w:space="0" w:color="auto"/>
      </w:divBdr>
    </w:div>
    <w:div w:id="1244220670">
      <w:bodyDiv w:val="1"/>
      <w:marLeft w:val="0"/>
      <w:marRight w:val="0"/>
      <w:marTop w:val="0"/>
      <w:marBottom w:val="0"/>
      <w:divBdr>
        <w:top w:val="none" w:sz="0" w:space="0" w:color="auto"/>
        <w:left w:val="none" w:sz="0" w:space="0" w:color="auto"/>
        <w:bottom w:val="none" w:sz="0" w:space="0" w:color="auto"/>
        <w:right w:val="none" w:sz="0" w:space="0" w:color="auto"/>
      </w:divBdr>
    </w:div>
    <w:div w:id="1268149556">
      <w:bodyDiv w:val="1"/>
      <w:marLeft w:val="0"/>
      <w:marRight w:val="0"/>
      <w:marTop w:val="0"/>
      <w:marBottom w:val="0"/>
      <w:divBdr>
        <w:top w:val="none" w:sz="0" w:space="0" w:color="auto"/>
        <w:left w:val="none" w:sz="0" w:space="0" w:color="auto"/>
        <w:bottom w:val="none" w:sz="0" w:space="0" w:color="auto"/>
        <w:right w:val="none" w:sz="0" w:space="0" w:color="auto"/>
      </w:divBdr>
    </w:div>
    <w:div w:id="1322151485">
      <w:bodyDiv w:val="1"/>
      <w:marLeft w:val="0"/>
      <w:marRight w:val="0"/>
      <w:marTop w:val="0"/>
      <w:marBottom w:val="0"/>
      <w:divBdr>
        <w:top w:val="none" w:sz="0" w:space="0" w:color="auto"/>
        <w:left w:val="none" w:sz="0" w:space="0" w:color="auto"/>
        <w:bottom w:val="none" w:sz="0" w:space="0" w:color="auto"/>
        <w:right w:val="none" w:sz="0" w:space="0" w:color="auto"/>
      </w:divBdr>
    </w:div>
    <w:div w:id="1334064548">
      <w:bodyDiv w:val="1"/>
      <w:marLeft w:val="0"/>
      <w:marRight w:val="0"/>
      <w:marTop w:val="0"/>
      <w:marBottom w:val="0"/>
      <w:divBdr>
        <w:top w:val="none" w:sz="0" w:space="0" w:color="auto"/>
        <w:left w:val="none" w:sz="0" w:space="0" w:color="auto"/>
        <w:bottom w:val="none" w:sz="0" w:space="0" w:color="auto"/>
        <w:right w:val="none" w:sz="0" w:space="0" w:color="auto"/>
      </w:divBdr>
    </w:div>
    <w:div w:id="1355576381">
      <w:bodyDiv w:val="1"/>
      <w:marLeft w:val="0"/>
      <w:marRight w:val="0"/>
      <w:marTop w:val="0"/>
      <w:marBottom w:val="0"/>
      <w:divBdr>
        <w:top w:val="none" w:sz="0" w:space="0" w:color="auto"/>
        <w:left w:val="none" w:sz="0" w:space="0" w:color="auto"/>
        <w:bottom w:val="none" w:sz="0" w:space="0" w:color="auto"/>
        <w:right w:val="none" w:sz="0" w:space="0" w:color="auto"/>
      </w:divBdr>
    </w:div>
    <w:div w:id="1476950295">
      <w:bodyDiv w:val="1"/>
      <w:marLeft w:val="0"/>
      <w:marRight w:val="0"/>
      <w:marTop w:val="0"/>
      <w:marBottom w:val="0"/>
      <w:divBdr>
        <w:top w:val="none" w:sz="0" w:space="0" w:color="auto"/>
        <w:left w:val="none" w:sz="0" w:space="0" w:color="auto"/>
        <w:bottom w:val="none" w:sz="0" w:space="0" w:color="auto"/>
        <w:right w:val="none" w:sz="0" w:space="0" w:color="auto"/>
      </w:divBdr>
    </w:div>
    <w:div w:id="1536309779">
      <w:bodyDiv w:val="1"/>
      <w:marLeft w:val="0"/>
      <w:marRight w:val="0"/>
      <w:marTop w:val="0"/>
      <w:marBottom w:val="0"/>
      <w:divBdr>
        <w:top w:val="none" w:sz="0" w:space="0" w:color="auto"/>
        <w:left w:val="none" w:sz="0" w:space="0" w:color="auto"/>
        <w:bottom w:val="none" w:sz="0" w:space="0" w:color="auto"/>
        <w:right w:val="none" w:sz="0" w:space="0" w:color="auto"/>
      </w:divBdr>
    </w:div>
    <w:div w:id="1586527237">
      <w:bodyDiv w:val="1"/>
      <w:marLeft w:val="0"/>
      <w:marRight w:val="0"/>
      <w:marTop w:val="0"/>
      <w:marBottom w:val="0"/>
      <w:divBdr>
        <w:top w:val="none" w:sz="0" w:space="0" w:color="auto"/>
        <w:left w:val="none" w:sz="0" w:space="0" w:color="auto"/>
        <w:bottom w:val="none" w:sz="0" w:space="0" w:color="auto"/>
        <w:right w:val="none" w:sz="0" w:space="0" w:color="auto"/>
      </w:divBdr>
    </w:div>
    <w:div w:id="1600869523">
      <w:bodyDiv w:val="1"/>
      <w:marLeft w:val="0"/>
      <w:marRight w:val="0"/>
      <w:marTop w:val="0"/>
      <w:marBottom w:val="0"/>
      <w:divBdr>
        <w:top w:val="none" w:sz="0" w:space="0" w:color="auto"/>
        <w:left w:val="none" w:sz="0" w:space="0" w:color="auto"/>
        <w:bottom w:val="none" w:sz="0" w:space="0" w:color="auto"/>
        <w:right w:val="none" w:sz="0" w:space="0" w:color="auto"/>
      </w:divBdr>
    </w:div>
    <w:div w:id="1626885287">
      <w:bodyDiv w:val="1"/>
      <w:marLeft w:val="0"/>
      <w:marRight w:val="0"/>
      <w:marTop w:val="0"/>
      <w:marBottom w:val="0"/>
      <w:divBdr>
        <w:top w:val="none" w:sz="0" w:space="0" w:color="auto"/>
        <w:left w:val="none" w:sz="0" w:space="0" w:color="auto"/>
        <w:bottom w:val="none" w:sz="0" w:space="0" w:color="auto"/>
        <w:right w:val="none" w:sz="0" w:space="0" w:color="auto"/>
      </w:divBdr>
    </w:div>
    <w:div w:id="1725835796">
      <w:bodyDiv w:val="1"/>
      <w:marLeft w:val="0"/>
      <w:marRight w:val="0"/>
      <w:marTop w:val="0"/>
      <w:marBottom w:val="0"/>
      <w:divBdr>
        <w:top w:val="none" w:sz="0" w:space="0" w:color="auto"/>
        <w:left w:val="none" w:sz="0" w:space="0" w:color="auto"/>
        <w:bottom w:val="none" w:sz="0" w:space="0" w:color="auto"/>
        <w:right w:val="none" w:sz="0" w:space="0" w:color="auto"/>
      </w:divBdr>
    </w:div>
    <w:div w:id="1728844694">
      <w:bodyDiv w:val="1"/>
      <w:marLeft w:val="0"/>
      <w:marRight w:val="0"/>
      <w:marTop w:val="0"/>
      <w:marBottom w:val="0"/>
      <w:divBdr>
        <w:top w:val="none" w:sz="0" w:space="0" w:color="auto"/>
        <w:left w:val="none" w:sz="0" w:space="0" w:color="auto"/>
        <w:bottom w:val="none" w:sz="0" w:space="0" w:color="auto"/>
        <w:right w:val="none" w:sz="0" w:space="0" w:color="auto"/>
      </w:divBdr>
    </w:div>
    <w:div w:id="1874225738">
      <w:bodyDiv w:val="1"/>
      <w:marLeft w:val="0"/>
      <w:marRight w:val="0"/>
      <w:marTop w:val="0"/>
      <w:marBottom w:val="0"/>
      <w:divBdr>
        <w:top w:val="none" w:sz="0" w:space="0" w:color="auto"/>
        <w:left w:val="none" w:sz="0" w:space="0" w:color="auto"/>
        <w:bottom w:val="none" w:sz="0" w:space="0" w:color="auto"/>
        <w:right w:val="none" w:sz="0" w:space="0" w:color="auto"/>
      </w:divBdr>
      <w:divsChild>
        <w:div w:id="547837370">
          <w:marLeft w:val="0"/>
          <w:marRight w:val="0"/>
          <w:marTop w:val="0"/>
          <w:marBottom w:val="600"/>
          <w:divBdr>
            <w:top w:val="none" w:sz="0" w:space="0" w:color="auto"/>
            <w:left w:val="none" w:sz="0" w:space="0" w:color="auto"/>
            <w:bottom w:val="none" w:sz="0" w:space="0" w:color="auto"/>
            <w:right w:val="none" w:sz="0" w:space="0" w:color="auto"/>
          </w:divBdr>
        </w:div>
      </w:divsChild>
    </w:div>
    <w:div w:id="1971545226">
      <w:bodyDiv w:val="1"/>
      <w:marLeft w:val="0"/>
      <w:marRight w:val="0"/>
      <w:marTop w:val="0"/>
      <w:marBottom w:val="0"/>
      <w:divBdr>
        <w:top w:val="none" w:sz="0" w:space="0" w:color="auto"/>
        <w:left w:val="none" w:sz="0" w:space="0" w:color="auto"/>
        <w:bottom w:val="none" w:sz="0" w:space="0" w:color="auto"/>
        <w:right w:val="none" w:sz="0" w:space="0" w:color="auto"/>
      </w:divBdr>
    </w:div>
    <w:div w:id="1996689410">
      <w:bodyDiv w:val="1"/>
      <w:marLeft w:val="0"/>
      <w:marRight w:val="0"/>
      <w:marTop w:val="0"/>
      <w:marBottom w:val="0"/>
      <w:divBdr>
        <w:top w:val="none" w:sz="0" w:space="0" w:color="auto"/>
        <w:left w:val="none" w:sz="0" w:space="0" w:color="auto"/>
        <w:bottom w:val="none" w:sz="0" w:space="0" w:color="auto"/>
        <w:right w:val="none" w:sz="0" w:space="0" w:color="auto"/>
      </w:divBdr>
    </w:div>
    <w:div w:id="20593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2CF87-3623-4473-A9E8-555B7B86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REPORT OF THE EXECUTIVE COMMITTEE TO THE OPEN-ENDED WORKING GROUP ON THE PROGRESS MADE IN REDUCING EMISSIONS OF CONTROLLED SUBSTANCES FROM PROCESS-AGENT USES (FOLLOW-UP TO DECISION XVII/6 OF THE SEVENTEENTH MEETING OF THE PARTIES) AN UPDATE FOR THE PERIOD</vt:lpstr>
    </vt:vector>
  </TitlesOfParts>
  <Company>UNMFS</Company>
  <LinksUpToDate>false</LinksUpToDate>
  <CharactersWithSpaces>33897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EXECUTIVE COMMITTEE TO THE OPEN-ENDED WORKING GROUP ON THE PROGRESS MADE IN REDUCING EMISSIONS OF CONTROLLED SUBSTANCES FROM PROCESS-AGENT USES (FOLLOW-UP TO DECISION XVII/6 OF THE SEVENTEENTH MEETING OF THE PARTIES) AN UPDATE FOR THE PERIOD 2009 and 2010</dc:title>
  <dc:subject>62nd</dc:subject>
  <dc:creator>patc</dc:creator>
  <dc:description>Post 62Inf2 document
originally issued on 17 November 2011</dc:description>
  <cp:lastModifiedBy>Maria Saldanha</cp:lastModifiedBy>
  <cp:revision>2</cp:revision>
  <cp:lastPrinted>2011-03-16T15:54:00Z</cp:lastPrinted>
  <dcterms:created xsi:type="dcterms:W3CDTF">2011-06-08T13:29:00Z</dcterms:created>
  <dcterms:modified xsi:type="dcterms:W3CDTF">2011-06-08T13:29:00Z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UNEP/OzL.Pro/ExCom/62/Inf.2/Rev.1</vt:lpwstr>
  </property>
  <property fmtid="{D5CDD505-2E9C-101B-9397-08002B2CF9AE}" pid="3" name="Revision date">
    <vt:lpwstr>3/16/2011</vt:lpwstr>
  </property>
</Properties>
</file>