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75511" w14:textId="7C4182ED" w:rsidR="00DC77F1" w:rsidRPr="00DC77F1" w:rsidRDefault="00DC77F1" w:rsidP="00DC77F1">
      <w:pPr>
        <w:spacing w:after="200" w:line="240" w:lineRule="atLeast"/>
        <w:jc w:val="center"/>
        <w:rPr>
          <w:rFonts w:ascii="Calibri" w:eastAsia="Calibri" w:hAnsi="Calibri" w:cs="Calibri"/>
          <w:lang w:val="en-US"/>
        </w:rPr>
      </w:pPr>
      <w:r w:rsidRPr="00DC77F1">
        <w:rPr>
          <w:rFonts w:ascii="Calibri" w:eastAsia="Calibri" w:hAnsi="Calibri" w:cs="Calibri"/>
          <w:b/>
          <w:sz w:val="32"/>
          <w:lang w:val="en-US"/>
        </w:rPr>
        <w:t xml:space="preserve">MONTREAL PROTOCOL ON SUBSTANCES THAT DEPLETE THE </w:t>
      </w:r>
      <w:r w:rsidR="00851291">
        <w:rPr>
          <w:rFonts w:ascii="Calibri" w:eastAsia="Calibri" w:hAnsi="Calibri" w:cs="Calibri"/>
          <w:b/>
          <w:sz w:val="32"/>
          <w:lang w:val="en-US"/>
        </w:rPr>
        <w:br/>
      </w:r>
      <w:r w:rsidRPr="00DC77F1">
        <w:rPr>
          <w:rFonts w:ascii="Calibri" w:eastAsia="Calibri" w:hAnsi="Calibri" w:cs="Calibri"/>
          <w:b/>
          <w:sz w:val="32"/>
          <w:lang w:val="en-US"/>
        </w:rPr>
        <w:t>OZONE LAYER</w:t>
      </w:r>
    </w:p>
    <w:p w14:paraId="080715B7" w14:textId="77777777" w:rsidR="00DC77F1" w:rsidRPr="00DC77F1" w:rsidRDefault="00DC77F1" w:rsidP="00DC77F1">
      <w:pPr>
        <w:spacing w:after="200" w:line="240" w:lineRule="atLeast"/>
        <w:jc w:val="center"/>
        <w:rPr>
          <w:rFonts w:ascii="Calibri" w:eastAsia="Calibri" w:hAnsi="Calibri" w:cs="Calibri"/>
          <w:lang w:val="en-US"/>
        </w:rPr>
      </w:pPr>
    </w:p>
    <w:p w14:paraId="12D8CB39" w14:textId="77777777" w:rsidR="00DC77F1" w:rsidRPr="00DC77F1" w:rsidRDefault="00DC77F1" w:rsidP="00DC77F1">
      <w:pPr>
        <w:spacing w:after="200" w:line="240" w:lineRule="atLeast"/>
        <w:jc w:val="center"/>
        <w:rPr>
          <w:rFonts w:ascii="Calibri" w:eastAsia="Calibri" w:hAnsi="Calibri" w:cs="Calibri"/>
          <w:lang w:val="en-US"/>
        </w:rPr>
      </w:pPr>
    </w:p>
    <w:p w14:paraId="21F916F6" w14:textId="77777777" w:rsidR="00DC77F1" w:rsidRPr="00DC77F1" w:rsidRDefault="00DC77F1" w:rsidP="00DC77F1">
      <w:pPr>
        <w:spacing w:after="200"/>
        <w:rPr>
          <w:rFonts w:ascii="Calibri" w:eastAsia="Calibri" w:hAnsi="Calibri" w:cs="Calibri"/>
          <w:lang w:val="en-US"/>
        </w:rPr>
      </w:pPr>
    </w:p>
    <w:p w14:paraId="6BF29941" w14:textId="77777777" w:rsidR="00DC77F1" w:rsidRPr="00DC77F1" w:rsidRDefault="00DC77F1" w:rsidP="00DC77F1">
      <w:pPr>
        <w:spacing w:after="200"/>
        <w:rPr>
          <w:rFonts w:ascii="Calibri" w:eastAsia="Calibri" w:hAnsi="Calibri" w:cs="Calibri"/>
          <w:lang w:val="en-US"/>
        </w:rPr>
      </w:pPr>
    </w:p>
    <w:p w14:paraId="54EE542A" w14:textId="77777777" w:rsidR="00DC77F1" w:rsidRPr="00DC77F1" w:rsidRDefault="00DC77F1" w:rsidP="00DC77F1">
      <w:pPr>
        <w:spacing w:after="200"/>
        <w:rPr>
          <w:rFonts w:ascii="Calibri" w:eastAsia="Calibri" w:hAnsi="Calibri" w:cs="Calibri"/>
          <w:lang w:val="en-US"/>
        </w:rPr>
      </w:pPr>
    </w:p>
    <w:p w14:paraId="561FAB58" w14:textId="77777777" w:rsidR="00DC77F1" w:rsidRPr="00DC77F1" w:rsidRDefault="00DC77F1" w:rsidP="00DC77F1">
      <w:pPr>
        <w:spacing w:after="200"/>
        <w:rPr>
          <w:rFonts w:ascii="Calibri" w:eastAsia="Calibri" w:hAnsi="Calibri" w:cs="Calibri"/>
          <w:lang w:val="en-US"/>
        </w:rPr>
      </w:pPr>
    </w:p>
    <w:p w14:paraId="17FD31E0" w14:textId="77777777" w:rsidR="00DC77F1" w:rsidRPr="00DC77F1" w:rsidRDefault="00DC77F1" w:rsidP="00DC77F1">
      <w:pPr>
        <w:spacing w:after="200"/>
        <w:rPr>
          <w:rFonts w:ascii="Calibri" w:eastAsia="Calibri" w:hAnsi="Calibri" w:cs="Calibri"/>
          <w:lang w:val="en-US"/>
        </w:rPr>
      </w:pPr>
    </w:p>
    <w:p w14:paraId="676F2F38" w14:textId="77777777" w:rsidR="00DC77F1" w:rsidRPr="00DC77F1" w:rsidRDefault="00DC77F1" w:rsidP="00DC77F1">
      <w:pPr>
        <w:spacing w:after="200"/>
        <w:rPr>
          <w:rFonts w:ascii="Calibri" w:eastAsia="Calibri" w:hAnsi="Calibri" w:cs="Calibri"/>
          <w:lang w:val="en-US"/>
        </w:rPr>
      </w:pPr>
    </w:p>
    <w:p w14:paraId="2F73772C" w14:textId="77777777" w:rsidR="00DC77F1" w:rsidRPr="00DC77F1" w:rsidRDefault="00DC77F1" w:rsidP="00DC77F1">
      <w:pPr>
        <w:spacing w:after="200" w:line="240" w:lineRule="atLeast"/>
        <w:jc w:val="center"/>
        <w:rPr>
          <w:rFonts w:ascii="Calibri" w:eastAsia="Calibri" w:hAnsi="Calibri" w:cs="Calibri"/>
          <w:sz w:val="48"/>
          <w:szCs w:val="48"/>
          <w:lang w:val="en-US"/>
        </w:rPr>
      </w:pPr>
    </w:p>
    <w:p w14:paraId="7BAFA82D" w14:textId="77777777" w:rsidR="00DC77F1" w:rsidRPr="00DC77F1" w:rsidRDefault="00DC77F1" w:rsidP="00DC77F1">
      <w:pPr>
        <w:spacing w:after="200" w:line="240" w:lineRule="atLeast"/>
        <w:jc w:val="center"/>
        <w:rPr>
          <w:rFonts w:ascii="Calibri" w:eastAsia="Calibri" w:hAnsi="Calibri" w:cs="Calibri"/>
          <w:b/>
          <w:smallCaps/>
          <w:sz w:val="32"/>
          <w:lang w:val="en-US"/>
        </w:rPr>
      </w:pPr>
      <w:r w:rsidRPr="00DC77F1">
        <w:rPr>
          <w:rFonts w:ascii="Calibri" w:eastAsia="Calibri" w:hAnsi="Calibri" w:cs="Calibri"/>
          <w:b/>
          <w:smallCaps/>
          <w:sz w:val="32"/>
          <w:lang w:val="en-US"/>
        </w:rPr>
        <w:t xml:space="preserve">Report of the </w:t>
      </w:r>
      <w:r w:rsidRPr="00DC77F1">
        <w:rPr>
          <w:rFonts w:ascii="Calibri" w:eastAsia="Calibri" w:hAnsi="Calibri" w:cs="Calibri"/>
          <w:b/>
          <w:smallCaps/>
          <w:sz w:val="32"/>
          <w:szCs w:val="32"/>
          <w:lang w:val="en-US"/>
        </w:rPr>
        <w:t>Scientific Assessment Panel</w:t>
      </w:r>
    </w:p>
    <w:p w14:paraId="1CD3B458" w14:textId="77777777" w:rsidR="00DC77F1" w:rsidRPr="00DC77F1" w:rsidRDefault="00DC77F1" w:rsidP="00DC77F1">
      <w:pPr>
        <w:spacing w:after="200" w:line="240" w:lineRule="atLeast"/>
        <w:jc w:val="center"/>
        <w:rPr>
          <w:rFonts w:ascii="Calibri" w:eastAsia="Calibri" w:hAnsi="Calibri" w:cs="Calibri"/>
          <w:b/>
          <w:smallCaps/>
          <w:sz w:val="36"/>
          <w:lang w:val="en-US"/>
        </w:rPr>
      </w:pPr>
    </w:p>
    <w:p w14:paraId="00BA6053" w14:textId="2379370C" w:rsidR="00DC77F1" w:rsidRPr="00DC77F1" w:rsidRDefault="00DC77F1" w:rsidP="00DC77F1">
      <w:pPr>
        <w:spacing w:after="200" w:line="240" w:lineRule="atLeast"/>
        <w:jc w:val="center"/>
        <w:rPr>
          <w:rFonts w:ascii="Calibri" w:eastAsia="Calibri" w:hAnsi="Calibri" w:cs="Calibri"/>
          <w:b/>
          <w:smallCaps/>
          <w:sz w:val="32"/>
          <w:lang w:val="en-US"/>
        </w:rPr>
      </w:pPr>
      <w:r w:rsidRPr="00DC77F1">
        <w:rPr>
          <w:rFonts w:ascii="Calibri" w:eastAsia="Calibri" w:hAnsi="Calibri" w:cs="Calibri"/>
          <w:b/>
          <w:smallCaps/>
          <w:sz w:val="36"/>
          <w:lang w:val="en-US"/>
        </w:rPr>
        <w:t>September 202</w:t>
      </w:r>
      <w:r w:rsidR="00851291">
        <w:rPr>
          <w:rFonts w:ascii="Calibri" w:eastAsia="Calibri" w:hAnsi="Calibri" w:cs="Calibri"/>
          <w:b/>
          <w:smallCaps/>
          <w:sz w:val="36"/>
          <w:lang w:val="en-US"/>
        </w:rPr>
        <w:t>5</w:t>
      </w:r>
    </w:p>
    <w:p w14:paraId="090E0727" w14:textId="77777777" w:rsidR="00DC77F1" w:rsidRPr="00DC77F1" w:rsidRDefault="00DC77F1" w:rsidP="00DC77F1">
      <w:pPr>
        <w:spacing w:after="200" w:line="240" w:lineRule="atLeast"/>
        <w:jc w:val="center"/>
        <w:rPr>
          <w:rFonts w:ascii="Calibri" w:eastAsia="Calibri" w:hAnsi="Calibri" w:cs="Calibri"/>
          <w:b/>
          <w:smallCaps/>
          <w:sz w:val="30"/>
          <w:lang w:val="en-US"/>
        </w:rPr>
      </w:pPr>
    </w:p>
    <w:p w14:paraId="7A352314" w14:textId="6CB974B1" w:rsidR="00DC77F1" w:rsidRPr="00DC77F1" w:rsidRDefault="00DC77F1" w:rsidP="00DC77F1">
      <w:pPr>
        <w:spacing w:after="200" w:line="259" w:lineRule="auto"/>
        <w:jc w:val="center"/>
        <w:rPr>
          <w:rFonts w:ascii="Calibri" w:eastAsia="Calibri" w:hAnsi="Calibri" w:cs="Calibri"/>
          <w:b/>
          <w:bCs/>
          <w:smallCaps/>
          <w:sz w:val="28"/>
          <w:szCs w:val="28"/>
          <w:lang w:val="en-US"/>
        </w:rPr>
      </w:pPr>
      <w:r w:rsidRPr="00DC77F1">
        <w:rPr>
          <w:rFonts w:ascii="Calibri" w:eastAsia="Calibri" w:hAnsi="Calibri" w:cs="Calibri"/>
          <w:b/>
          <w:bCs/>
          <w:smallCaps/>
          <w:sz w:val="28"/>
          <w:szCs w:val="28"/>
          <w:lang w:val="en-US"/>
        </w:rPr>
        <w:t>Response to Decision XXXV</w:t>
      </w:r>
      <w:r w:rsidR="000A4FDC">
        <w:rPr>
          <w:rFonts w:ascii="Calibri" w:eastAsia="Calibri" w:hAnsi="Calibri" w:cs="Calibri"/>
          <w:b/>
          <w:bCs/>
          <w:smallCaps/>
          <w:sz w:val="28"/>
          <w:szCs w:val="28"/>
          <w:lang w:val="en-US"/>
        </w:rPr>
        <w:t>I</w:t>
      </w:r>
      <w:r w:rsidRPr="00DC77F1">
        <w:rPr>
          <w:rFonts w:ascii="Calibri" w:eastAsia="Calibri" w:hAnsi="Calibri" w:cs="Calibri"/>
          <w:b/>
          <w:bCs/>
          <w:smallCaps/>
          <w:sz w:val="28"/>
          <w:szCs w:val="28"/>
          <w:lang w:val="en-US"/>
        </w:rPr>
        <w:t>/</w:t>
      </w:r>
      <w:r w:rsidR="000A4FDC">
        <w:rPr>
          <w:rFonts w:ascii="Calibri" w:eastAsia="Calibri" w:hAnsi="Calibri" w:cs="Calibri"/>
          <w:b/>
          <w:bCs/>
          <w:smallCaps/>
          <w:sz w:val="28"/>
          <w:szCs w:val="28"/>
          <w:lang w:val="en-US"/>
        </w:rPr>
        <w:t>3</w:t>
      </w:r>
      <w:r w:rsidRPr="00DC77F1">
        <w:rPr>
          <w:rFonts w:ascii="Calibri" w:eastAsia="Calibri" w:hAnsi="Calibri" w:cs="Calibri"/>
          <w:b/>
          <w:bCs/>
          <w:smallCaps/>
          <w:sz w:val="28"/>
          <w:szCs w:val="28"/>
          <w:lang w:val="en-US"/>
        </w:rPr>
        <w:t>: Emissions of HFC-23</w:t>
      </w:r>
    </w:p>
    <w:p w14:paraId="638FBFA5" w14:textId="77777777" w:rsidR="00DC77F1" w:rsidRPr="00DC77F1" w:rsidRDefault="00DC77F1" w:rsidP="00DC77F1">
      <w:pPr>
        <w:spacing w:after="200"/>
        <w:jc w:val="center"/>
        <w:rPr>
          <w:rFonts w:ascii="Calibri" w:eastAsia="Calibri" w:hAnsi="Calibri" w:cs="Calibri"/>
          <w:b/>
          <w:smallCaps/>
          <w:noProof/>
          <w:sz w:val="28"/>
          <w:lang w:val="en-US"/>
        </w:rPr>
      </w:pPr>
    </w:p>
    <w:p w14:paraId="1CB80B77" w14:textId="77777777" w:rsidR="00DC77F1" w:rsidRPr="00DC77F1" w:rsidRDefault="00DC77F1" w:rsidP="00DC77F1">
      <w:pPr>
        <w:spacing w:after="200"/>
        <w:jc w:val="center"/>
        <w:rPr>
          <w:rFonts w:ascii="Calibri" w:eastAsia="Calibri" w:hAnsi="Calibri" w:cs="Calibri"/>
          <w:b/>
          <w:smallCaps/>
          <w:noProof/>
          <w:sz w:val="28"/>
          <w:lang w:val="en-US"/>
        </w:rPr>
      </w:pPr>
    </w:p>
    <w:p w14:paraId="5B9C84A2" w14:textId="77777777" w:rsidR="00DC77F1" w:rsidRPr="00DC77F1" w:rsidRDefault="00DC77F1" w:rsidP="00DC77F1">
      <w:pPr>
        <w:spacing w:after="200"/>
        <w:jc w:val="center"/>
        <w:rPr>
          <w:rFonts w:ascii="Calibri" w:eastAsia="Calibri" w:hAnsi="Calibri" w:cs="Calibri"/>
          <w:b/>
          <w:smallCaps/>
          <w:noProof/>
          <w:sz w:val="28"/>
          <w:lang w:val="en-US"/>
        </w:rPr>
      </w:pPr>
    </w:p>
    <w:p w14:paraId="1E9921BB" w14:textId="77777777" w:rsidR="00DC77F1" w:rsidRPr="00DC77F1" w:rsidRDefault="00DC77F1" w:rsidP="00DC77F1">
      <w:pPr>
        <w:spacing w:after="200"/>
        <w:rPr>
          <w:rFonts w:ascii="Calibri" w:eastAsia="Calibri" w:hAnsi="Calibri" w:cs="Calibri"/>
          <w:lang w:val="en-US"/>
        </w:rPr>
      </w:pPr>
      <w:r w:rsidRPr="00DC77F1">
        <w:rPr>
          <w:rFonts w:ascii="Roboto Bold" w:eastAsia="Calibri" w:hAnsi="Roboto Bold" w:cs="Calibri"/>
          <w:noProof/>
          <w:color w:val="00AEEF"/>
          <w:lang w:val="en-US"/>
        </w:rPr>
        <w:drawing>
          <wp:anchor distT="0" distB="0" distL="114300" distR="114300" simplePos="0" relativeHeight="251659264" behindDoc="1" locked="0" layoutInCell="1" allowOverlap="1" wp14:anchorId="73AFC578" wp14:editId="393771D3">
            <wp:simplePos x="0" y="0"/>
            <wp:positionH relativeFrom="column">
              <wp:posOffset>4140200</wp:posOffset>
            </wp:positionH>
            <wp:positionV relativeFrom="paragraph">
              <wp:posOffset>312420</wp:posOffset>
            </wp:positionV>
            <wp:extent cx="1438275" cy="1043454"/>
            <wp:effectExtent l="0" t="0" r="0" b="0"/>
            <wp:wrapNone/>
            <wp:docPr id="1429757142" name="Picture 1429757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38275" cy="1043454"/>
                    </a:xfrm>
                    <a:prstGeom prst="rect">
                      <a:avLst/>
                    </a:prstGeom>
                  </pic:spPr>
                </pic:pic>
              </a:graphicData>
            </a:graphic>
            <wp14:sizeRelH relativeFrom="page">
              <wp14:pctWidth>0</wp14:pctWidth>
            </wp14:sizeRelH>
            <wp14:sizeRelV relativeFrom="page">
              <wp14:pctHeight>0</wp14:pctHeight>
            </wp14:sizeRelV>
          </wp:anchor>
        </w:drawing>
      </w:r>
    </w:p>
    <w:p w14:paraId="7A1463FE" w14:textId="77777777" w:rsidR="00851291" w:rsidRDefault="00851291">
      <w:pPr>
        <w:spacing w:before="240" w:after="240"/>
        <w:rPr>
          <w:sz w:val="26"/>
          <w:szCs w:val="26"/>
        </w:rPr>
        <w:sectPr w:rsidR="00851291" w:rsidSect="002B0BC1">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20" w:footer="720" w:gutter="0"/>
          <w:pgNumType w:start="0"/>
          <w:cols w:space="720"/>
          <w:titlePg/>
        </w:sectPr>
      </w:pPr>
    </w:p>
    <w:p w14:paraId="59F4CC7D" w14:textId="77777777" w:rsidR="007A4B60" w:rsidRDefault="005169FA">
      <w:pPr>
        <w:spacing w:before="240" w:after="240"/>
        <w:rPr>
          <w:sz w:val="26"/>
          <w:szCs w:val="26"/>
        </w:rPr>
      </w:pPr>
      <w:r>
        <w:rPr>
          <w:sz w:val="26"/>
          <w:szCs w:val="26"/>
        </w:rPr>
        <w:lastRenderedPageBreak/>
        <w:t>September 2025</w:t>
      </w:r>
    </w:p>
    <w:p w14:paraId="1F55BC7E" w14:textId="77777777" w:rsidR="007A4B60" w:rsidRDefault="005169FA">
      <w:pPr>
        <w:spacing w:before="240" w:after="240"/>
        <w:rPr>
          <w:b/>
          <w:sz w:val="32"/>
          <w:szCs w:val="32"/>
        </w:rPr>
      </w:pPr>
      <w:r>
        <w:rPr>
          <w:b/>
          <w:sz w:val="32"/>
          <w:szCs w:val="32"/>
        </w:rPr>
        <w:t>Report of the Scientific Assessment Panel in response to Decision XXXVI/3: Emissions of HFC-23</w:t>
      </w:r>
    </w:p>
    <w:p w14:paraId="372CE286" w14:textId="77777777" w:rsidR="007A4B60" w:rsidRDefault="005169FA" w:rsidP="000C73C6">
      <w:pPr>
        <w:pStyle w:val="NoSpacing"/>
        <w:spacing w:line="360" w:lineRule="auto"/>
        <w:rPr>
          <w:b/>
          <w:bCs/>
        </w:rPr>
      </w:pPr>
      <w:r w:rsidRPr="009F75C8">
        <w:rPr>
          <w:b/>
          <w:bCs/>
          <w:sz w:val="24"/>
          <w:szCs w:val="24"/>
        </w:rPr>
        <w:t>Lead Authors:</w:t>
      </w:r>
    </w:p>
    <w:p w14:paraId="104AE2F8" w14:textId="77777777" w:rsidR="0077744A" w:rsidRPr="0077744A" w:rsidRDefault="0077744A" w:rsidP="000C73C6">
      <w:pPr>
        <w:pStyle w:val="NoSpacing"/>
        <w:spacing w:line="360" w:lineRule="auto"/>
        <w:rPr>
          <w:b/>
          <w:bCs/>
          <w:sz w:val="10"/>
          <w:szCs w:val="10"/>
        </w:rPr>
      </w:pPr>
    </w:p>
    <w:p w14:paraId="4FFB03B9" w14:textId="77777777" w:rsidR="007A4B60" w:rsidRPr="009F75C8" w:rsidRDefault="005169FA" w:rsidP="000C73C6">
      <w:pPr>
        <w:pStyle w:val="NoSpacing"/>
        <w:spacing w:line="360" w:lineRule="auto"/>
        <w:rPr>
          <w:sz w:val="24"/>
          <w:szCs w:val="24"/>
        </w:rPr>
      </w:pPr>
      <w:r w:rsidRPr="009F75C8">
        <w:rPr>
          <w:sz w:val="24"/>
          <w:szCs w:val="24"/>
        </w:rPr>
        <w:t>S. A. Montzka, NOAA Global Monitoring Laboratory, USA;</w:t>
      </w:r>
    </w:p>
    <w:p w14:paraId="6BCAB043" w14:textId="77777777" w:rsidR="007A4B60" w:rsidRPr="009F75C8" w:rsidRDefault="005169FA" w:rsidP="000C73C6">
      <w:pPr>
        <w:pStyle w:val="NoSpacing"/>
        <w:spacing w:line="360" w:lineRule="auto"/>
        <w:rPr>
          <w:sz w:val="24"/>
          <w:szCs w:val="24"/>
        </w:rPr>
      </w:pPr>
      <w:r w:rsidRPr="009F75C8">
        <w:rPr>
          <w:sz w:val="24"/>
          <w:szCs w:val="24"/>
        </w:rPr>
        <w:t>J. B. Burkholder, NOAA Chemical Sciences Laboratory, USA</w:t>
      </w:r>
    </w:p>
    <w:p w14:paraId="59D8F54C" w14:textId="77777777" w:rsidR="007A4B60" w:rsidRDefault="005169FA" w:rsidP="000C73C6">
      <w:pPr>
        <w:pStyle w:val="NoSpacing"/>
        <w:spacing w:line="360" w:lineRule="auto"/>
      </w:pPr>
      <w:r>
        <w:t xml:space="preserve"> </w:t>
      </w:r>
    </w:p>
    <w:p w14:paraId="7347414B" w14:textId="77777777" w:rsidR="007A4B60" w:rsidRDefault="005169FA" w:rsidP="000C73C6">
      <w:pPr>
        <w:pStyle w:val="NoSpacing"/>
        <w:spacing w:line="360" w:lineRule="auto"/>
      </w:pPr>
      <w:r w:rsidRPr="009F75C8">
        <w:rPr>
          <w:b/>
          <w:bCs/>
          <w:sz w:val="24"/>
          <w:szCs w:val="24"/>
        </w:rPr>
        <w:t>Authors</w:t>
      </w:r>
      <w:r w:rsidRPr="009F75C8">
        <w:rPr>
          <w:sz w:val="24"/>
          <w:szCs w:val="24"/>
        </w:rPr>
        <w:t>:</w:t>
      </w:r>
    </w:p>
    <w:p w14:paraId="16F533B8" w14:textId="77777777" w:rsidR="0077744A" w:rsidRPr="0077744A" w:rsidRDefault="0077744A" w:rsidP="000C73C6">
      <w:pPr>
        <w:pStyle w:val="NoSpacing"/>
        <w:spacing w:line="360" w:lineRule="auto"/>
        <w:rPr>
          <w:sz w:val="10"/>
          <w:szCs w:val="10"/>
        </w:rPr>
      </w:pPr>
    </w:p>
    <w:p w14:paraId="0FA0CE8A" w14:textId="23F206A2" w:rsidR="007A4B60" w:rsidRPr="009F75C8" w:rsidRDefault="005169FA" w:rsidP="000C73C6">
      <w:pPr>
        <w:pStyle w:val="NoSpacing"/>
        <w:spacing w:line="360" w:lineRule="auto"/>
        <w:rPr>
          <w:sz w:val="24"/>
          <w:szCs w:val="24"/>
        </w:rPr>
      </w:pPr>
      <w:r w:rsidRPr="009F75C8">
        <w:rPr>
          <w:sz w:val="24"/>
          <w:szCs w:val="24"/>
        </w:rPr>
        <w:t>Co-Chairs of the Montreal Protocol Scientific Assessment Panel:</w:t>
      </w:r>
    </w:p>
    <w:p w14:paraId="27203404" w14:textId="77777777" w:rsidR="007A4B60" w:rsidRPr="009F75C8" w:rsidRDefault="005169FA" w:rsidP="000C73C6">
      <w:pPr>
        <w:pStyle w:val="NoSpacing"/>
        <w:spacing w:line="360" w:lineRule="auto"/>
        <w:rPr>
          <w:sz w:val="24"/>
          <w:szCs w:val="24"/>
        </w:rPr>
      </w:pPr>
      <w:r w:rsidRPr="009F75C8">
        <w:rPr>
          <w:sz w:val="24"/>
          <w:szCs w:val="24"/>
        </w:rPr>
        <w:t xml:space="preserve">   L. J. Carpenter, University of York, UK;</w:t>
      </w:r>
    </w:p>
    <w:p w14:paraId="1978338E" w14:textId="77777777" w:rsidR="007A4B60" w:rsidRPr="009F75C8" w:rsidRDefault="005169FA" w:rsidP="000C73C6">
      <w:pPr>
        <w:pStyle w:val="NoSpacing"/>
        <w:spacing w:line="360" w:lineRule="auto"/>
        <w:rPr>
          <w:sz w:val="24"/>
          <w:szCs w:val="24"/>
        </w:rPr>
      </w:pPr>
      <w:r w:rsidRPr="009F75C8">
        <w:rPr>
          <w:sz w:val="24"/>
          <w:szCs w:val="24"/>
        </w:rPr>
        <w:t xml:space="preserve">   D. W. Fahey, NOAA Chemical Sciences Laboratory, USA;</w:t>
      </w:r>
    </w:p>
    <w:p w14:paraId="335E879C" w14:textId="77777777" w:rsidR="007A4B60" w:rsidRPr="009F75C8" w:rsidRDefault="005169FA" w:rsidP="000C73C6">
      <w:pPr>
        <w:pStyle w:val="NoSpacing"/>
        <w:spacing w:line="360" w:lineRule="auto"/>
        <w:rPr>
          <w:sz w:val="24"/>
          <w:szCs w:val="24"/>
        </w:rPr>
      </w:pPr>
      <w:r w:rsidRPr="009F75C8">
        <w:rPr>
          <w:sz w:val="24"/>
          <w:szCs w:val="24"/>
        </w:rPr>
        <w:t xml:space="preserve">   K. W. Jucks, NASA Earth Science Program, USA;</w:t>
      </w:r>
    </w:p>
    <w:p w14:paraId="4C8527EA" w14:textId="77777777" w:rsidR="007A4B60" w:rsidRPr="009F75C8" w:rsidRDefault="005169FA" w:rsidP="000C73C6">
      <w:pPr>
        <w:pStyle w:val="NoSpacing"/>
        <w:spacing w:line="360" w:lineRule="auto"/>
        <w:rPr>
          <w:sz w:val="24"/>
          <w:szCs w:val="24"/>
        </w:rPr>
      </w:pPr>
      <w:r w:rsidRPr="009F75C8">
        <w:rPr>
          <w:sz w:val="24"/>
          <w:szCs w:val="24"/>
        </w:rPr>
        <w:t xml:space="preserve">   B. Safari, University of Rwanda, Rwanda</w:t>
      </w:r>
    </w:p>
    <w:p w14:paraId="2B591759" w14:textId="77777777" w:rsidR="007A4B60" w:rsidRDefault="005169FA" w:rsidP="000C73C6">
      <w:pPr>
        <w:pStyle w:val="NoSpacing"/>
        <w:spacing w:line="360" w:lineRule="auto"/>
      </w:pPr>
      <w:r>
        <w:t xml:space="preserve"> </w:t>
      </w:r>
    </w:p>
    <w:p w14:paraId="13E174EC" w14:textId="77777777" w:rsidR="007A4B60" w:rsidRPr="009F75C8" w:rsidRDefault="005169FA" w:rsidP="000C73C6">
      <w:pPr>
        <w:pStyle w:val="NoSpacing"/>
        <w:spacing w:line="360" w:lineRule="auto"/>
        <w:rPr>
          <w:b/>
          <w:bCs/>
          <w:sz w:val="24"/>
          <w:szCs w:val="24"/>
        </w:rPr>
      </w:pPr>
      <w:r w:rsidRPr="009F75C8">
        <w:rPr>
          <w:b/>
          <w:bCs/>
          <w:sz w:val="24"/>
          <w:szCs w:val="24"/>
        </w:rPr>
        <w:t>Contributors:</w:t>
      </w:r>
    </w:p>
    <w:p w14:paraId="0F921A36" w14:textId="77777777" w:rsidR="0077744A" w:rsidRPr="0077744A" w:rsidRDefault="0077744A" w:rsidP="000C73C6">
      <w:pPr>
        <w:pStyle w:val="NoSpacing"/>
        <w:spacing w:line="360" w:lineRule="auto"/>
        <w:rPr>
          <w:sz w:val="10"/>
          <w:szCs w:val="10"/>
        </w:rPr>
      </w:pPr>
    </w:p>
    <w:p w14:paraId="34F19E9E" w14:textId="77777777" w:rsidR="008B297B" w:rsidRPr="00F81E92" w:rsidRDefault="008B297B" w:rsidP="008B297B">
      <w:pPr>
        <w:pStyle w:val="NoSpacing"/>
        <w:spacing w:line="360" w:lineRule="auto"/>
        <w:ind w:left="360" w:hanging="360"/>
      </w:pPr>
      <w:r w:rsidRPr="00F81E92">
        <w:t>Campbell, N., United Kingdom</w:t>
      </w:r>
    </w:p>
    <w:p w14:paraId="345EF3D5" w14:textId="633AB4C3" w:rsidR="008B297B" w:rsidRPr="00F81E92" w:rsidRDefault="008B297B" w:rsidP="008B297B">
      <w:pPr>
        <w:pStyle w:val="NoSpacing"/>
        <w:spacing w:line="360" w:lineRule="auto"/>
        <w:ind w:left="360" w:hanging="360"/>
      </w:pPr>
      <w:r w:rsidRPr="00F81E92">
        <w:t xml:space="preserve">Manning, A., </w:t>
      </w:r>
      <w:r w:rsidR="00714458">
        <w:t xml:space="preserve">UK Met Office, </w:t>
      </w:r>
      <w:r w:rsidRPr="00F81E92">
        <w:t>United Kingdom</w:t>
      </w:r>
    </w:p>
    <w:p w14:paraId="39BD0374" w14:textId="77777777" w:rsidR="008B297B" w:rsidRPr="00F81E92" w:rsidRDefault="008B297B" w:rsidP="008B297B">
      <w:pPr>
        <w:pStyle w:val="NoSpacing"/>
        <w:spacing w:line="360" w:lineRule="auto"/>
        <w:ind w:left="360" w:hanging="360"/>
      </w:pPr>
      <w:r w:rsidRPr="00F81E92">
        <w:t>Reimann, S., Swiss Federal Laboratories for Materials Science and Technology, Switzerland</w:t>
      </w:r>
    </w:p>
    <w:p w14:paraId="233A4126" w14:textId="77777777" w:rsidR="008B297B" w:rsidRPr="00F81E92" w:rsidRDefault="008B297B" w:rsidP="008B297B">
      <w:pPr>
        <w:pStyle w:val="NoSpacing"/>
        <w:spacing w:line="360" w:lineRule="auto"/>
        <w:ind w:left="360" w:hanging="360"/>
      </w:pPr>
      <w:r w:rsidRPr="00F81E92">
        <w:t>Western, L., Massachusetts Institute of Technology, USA</w:t>
      </w:r>
    </w:p>
    <w:p w14:paraId="2F280740" w14:textId="63339759" w:rsidR="00A94E74" w:rsidRPr="000E1BCC" w:rsidRDefault="008B297B" w:rsidP="000E1BCC">
      <w:pPr>
        <w:pStyle w:val="NoSpacing"/>
        <w:spacing w:line="360" w:lineRule="auto"/>
        <w:ind w:left="360" w:hanging="360"/>
      </w:pPr>
      <w:r w:rsidRPr="00F81E92">
        <w:t>Members of the Advanced Global Atmospheric Gases Experiment (AGAGE) Global Network</w:t>
      </w:r>
    </w:p>
    <w:p w14:paraId="7B4CFA5C" w14:textId="2F32C5EF" w:rsidR="00A94E74" w:rsidRPr="00AF45E6" w:rsidRDefault="00AF45E6">
      <w:pPr>
        <w:spacing w:before="240" w:after="240"/>
        <w:rPr>
          <w:b/>
        </w:rPr>
        <w:sectPr w:rsidR="00A94E74" w:rsidRPr="00AF45E6" w:rsidSect="002B0BC1">
          <w:headerReference w:type="even" r:id="rId15"/>
          <w:headerReference w:type="default" r:id="rId16"/>
          <w:headerReference w:type="first" r:id="rId17"/>
          <w:footerReference w:type="first" r:id="rId18"/>
          <w:pgSz w:w="11900" w:h="16840"/>
          <w:pgMar w:top="1440" w:right="1440" w:bottom="1440" w:left="1440" w:header="720" w:footer="720" w:gutter="0"/>
          <w:pgNumType w:fmt="lowerRoman" w:start="2"/>
          <w:cols w:space="720"/>
          <w:titlePg/>
        </w:sectPr>
      </w:pPr>
      <w:r w:rsidRPr="00AF45E6">
        <w:rPr>
          <w:b/>
        </w:rPr>
        <w:t>ISBN</w:t>
      </w:r>
      <w:r w:rsidR="007024EB">
        <w:rPr>
          <w:b/>
        </w:rPr>
        <w:t>: 978</w:t>
      </w:r>
      <w:r w:rsidR="00183BE9" w:rsidRPr="007024EB">
        <w:rPr>
          <w:rStyle w:val="normaltextrun"/>
          <w:b/>
          <w:bCs/>
          <w:color w:val="222222"/>
        </w:rPr>
        <w:t>-9914-733-72-3</w:t>
      </w:r>
      <w:r w:rsidR="00183BE9">
        <w:rPr>
          <w:rStyle w:val="eop"/>
          <w:rFonts w:ascii="Open Sans" w:hAnsi="Open Sans" w:cs="Open Sans"/>
          <w:color w:val="222222"/>
          <w:sz w:val="23"/>
          <w:szCs w:val="23"/>
        </w:rPr>
        <w:t> </w:t>
      </w:r>
    </w:p>
    <w:sdt>
      <w:sdtPr>
        <w:rPr>
          <w:rFonts w:ascii="Arial" w:eastAsia="Arial" w:hAnsi="Arial" w:cs="Arial"/>
          <w:b w:val="0"/>
          <w:bCs w:val="0"/>
          <w:color w:val="auto"/>
          <w:sz w:val="22"/>
          <w:szCs w:val="22"/>
          <w:lang w:val="en"/>
        </w:rPr>
        <w:id w:val="2090648430"/>
        <w:docPartObj>
          <w:docPartGallery w:val="Table of Contents"/>
          <w:docPartUnique/>
        </w:docPartObj>
      </w:sdtPr>
      <w:sdtEndPr>
        <w:rPr>
          <w:noProof/>
        </w:rPr>
      </w:sdtEndPr>
      <w:sdtContent>
        <w:p w14:paraId="04A945C7" w14:textId="2F305A64" w:rsidR="00154C39" w:rsidRPr="003207BC" w:rsidRDefault="00154C39">
          <w:pPr>
            <w:pStyle w:val="TOCHeading"/>
            <w:rPr>
              <w:rFonts w:ascii="Arial" w:hAnsi="Arial" w:cs="Arial"/>
              <w:color w:val="000000" w:themeColor="text1"/>
              <w:sz w:val="24"/>
              <w:szCs w:val="24"/>
            </w:rPr>
          </w:pPr>
          <w:r w:rsidRPr="003207BC">
            <w:rPr>
              <w:rFonts w:ascii="Arial" w:hAnsi="Arial" w:cs="Arial"/>
              <w:color w:val="000000" w:themeColor="text1"/>
              <w:sz w:val="24"/>
              <w:szCs w:val="24"/>
            </w:rPr>
            <w:t>Table of Contents</w:t>
          </w:r>
          <w:r w:rsidR="00AE3DB3" w:rsidRPr="003207BC">
            <w:rPr>
              <w:rFonts w:ascii="Arial" w:hAnsi="Arial" w:cs="Arial"/>
              <w:color w:val="000000" w:themeColor="text1"/>
              <w:sz w:val="24"/>
              <w:szCs w:val="24"/>
            </w:rPr>
            <w:t>:</w:t>
          </w:r>
        </w:p>
        <w:p w14:paraId="78434EFC" w14:textId="77777777" w:rsidR="00AE3DB3" w:rsidRPr="00AE3DB3" w:rsidRDefault="00AE3DB3" w:rsidP="00AE3DB3">
          <w:pPr>
            <w:rPr>
              <w:lang w:val="en-US"/>
            </w:rPr>
          </w:pPr>
        </w:p>
        <w:p w14:paraId="3F7F6B54" w14:textId="163402B4" w:rsidR="00792B02" w:rsidRPr="003207BC" w:rsidRDefault="00154C39" w:rsidP="003207BC">
          <w:pPr>
            <w:pStyle w:val="TOC1"/>
            <w:tabs>
              <w:tab w:val="right" w:leader="dot" w:pos="9350"/>
            </w:tabs>
            <w:spacing w:before="240" w:after="240"/>
            <w:rPr>
              <w:rFonts w:ascii="Arial" w:eastAsiaTheme="minorEastAsia" w:hAnsi="Arial"/>
              <w:b w:val="0"/>
              <w:bCs w:val="0"/>
              <w:i w:val="0"/>
              <w:iCs w:val="0"/>
              <w:noProof/>
              <w:kern w:val="2"/>
              <w:sz w:val="22"/>
              <w:szCs w:val="22"/>
              <w:lang w:eastAsia="en-GB"/>
              <w14:ligatures w14:val="standardContextual"/>
            </w:rPr>
          </w:pPr>
          <w:r w:rsidRPr="003207BC">
            <w:rPr>
              <w:rFonts w:ascii="Arial" w:hAnsi="Arial"/>
              <w:b w:val="0"/>
              <w:bCs w:val="0"/>
              <w:i w:val="0"/>
              <w:iCs w:val="0"/>
              <w:sz w:val="22"/>
              <w:szCs w:val="22"/>
            </w:rPr>
            <w:fldChar w:fldCharType="begin"/>
          </w:r>
          <w:r w:rsidRPr="003207BC">
            <w:rPr>
              <w:rFonts w:ascii="Arial" w:hAnsi="Arial"/>
              <w:b w:val="0"/>
              <w:bCs w:val="0"/>
              <w:i w:val="0"/>
              <w:iCs w:val="0"/>
              <w:sz w:val="22"/>
              <w:szCs w:val="22"/>
            </w:rPr>
            <w:instrText xml:space="preserve"> TOC \o "1-3" \h \z \u </w:instrText>
          </w:r>
          <w:r w:rsidRPr="003207BC">
            <w:rPr>
              <w:rFonts w:ascii="Arial" w:hAnsi="Arial"/>
              <w:b w:val="0"/>
              <w:bCs w:val="0"/>
              <w:i w:val="0"/>
              <w:iCs w:val="0"/>
              <w:sz w:val="22"/>
              <w:szCs w:val="22"/>
            </w:rPr>
            <w:fldChar w:fldCharType="separate"/>
          </w:r>
          <w:hyperlink w:anchor="_Toc208222653" w:history="1">
            <w:r w:rsidR="00792B02" w:rsidRPr="003207BC">
              <w:rPr>
                <w:rStyle w:val="Hyperlink"/>
                <w:rFonts w:ascii="Arial" w:hAnsi="Arial"/>
                <w:b w:val="0"/>
                <w:bCs w:val="0"/>
                <w:i w:val="0"/>
                <w:iCs w:val="0"/>
                <w:noProof/>
                <w:sz w:val="22"/>
                <w:szCs w:val="22"/>
              </w:rPr>
              <w:t>Executive Summary:</w:t>
            </w:r>
            <w:r w:rsidR="00792B02" w:rsidRPr="003207BC">
              <w:rPr>
                <w:rFonts w:ascii="Arial" w:hAnsi="Arial"/>
                <w:b w:val="0"/>
                <w:bCs w:val="0"/>
                <w:i w:val="0"/>
                <w:iCs w:val="0"/>
                <w:noProof/>
                <w:webHidden/>
                <w:sz w:val="22"/>
                <w:szCs w:val="22"/>
              </w:rPr>
              <w:tab/>
            </w:r>
            <w:r w:rsidR="00792B02" w:rsidRPr="003207BC">
              <w:rPr>
                <w:rFonts w:ascii="Arial" w:hAnsi="Arial"/>
                <w:b w:val="0"/>
                <w:bCs w:val="0"/>
                <w:i w:val="0"/>
                <w:iCs w:val="0"/>
                <w:noProof/>
                <w:webHidden/>
                <w:sz w:val="22"/>
                <w:szCs w:val="22"/>
              </w:rPr>
              <w:fldChar w:fldCharType="begin"/>
            </w:r>
            <w:r w:rsidR="00792B02" w:rsidRPr="003207BC">
              <w:rPr>
                <w:rFonts w:ascii="Arial" w:hAnsi="Arial"/>
                <w:b w:val="0"/>
                <w:bCs w:val="0"/>
                <w:i w:val="0"/>
                <w:iCs w:val="0"/>
                <w:noProof/>
                <w:webHidden/>
                <w:sz w:val="22"/>
                <w:szCs w:val="22"/>
              </w:rPr>
              <w:instrText xml:space="preserve"> PAGEREF _Toc208222653 \h </w:instrText>
            </w:r>
            <w:r w:rsidR="00792B02" w:rsidRPr="003207BC">
              <w:rPr>
                <w:rFonts w:ascii="Arial" w:hAnsi="Arial"/>
                <w:b w:val="0"/>
                <w:bCs w:val="0"/>
                <w:i w:val="0"/>
                <w:iCs w:val="0"/>
                <w:noProof/>
                <w:webHidden/>
                <w:sz w:val="22"/>
                <w:szCs w:val="22"/>
              </w:rPr>
            </w:r>
            <w:r w:rsidR="00792B02" w:rsidRPr="003207BC">
              <w:rPr>
                <w:rFonts w:ascii="Arial" w:hAnsi="Arial"/>
                <w:b w:val="0"/>
                <w:bCs w:val="0"/>
                <w:i w:val="0"/>
                <w:iCs w:val="0"/>
                <w:noProof/>
                <w:webHidden/>
                <w:sz w:val="22"/>
                <w:szCs w:val="22"/>
              </w:rPr>
              <w:fldChar w:fldCharType="separate"/>
            </w:r>
            <w:r w:rsidR="00CC6DB6">
              <w:rPr>
                <w:rFonts w:ascii="Arial" w:hAnsi="Arial"/>
                <w:b w:val="0"/>
                <w:bCs w:val="0"/>
                <w:i w:val="0"/>
                <w:iCs w:val="0"/>
                <w:noProof/>
                <w:webHidden/>
                <w:sz w:val="22"/>
                <w:szCs w:val="22"/>
              </w:rPr>
              <w:t>1</w:t>
            </w:r>
            <w:r w:rsidR="00792B02" w:rsidRPr="003207BC">
              <w:rPr>
                <w:rFonts w:ascii="Arial" w:hAnsi="Arial"/>
                <w:b w:val="0"/>
                <w:bCs w:val="0"/>
                <w:i w:val="0"/>
                <w:iCs w:val="0"/>
                <w:noProof/>
                <w:webHidden/>
                <w:sz w:val="22"/>
                <w:szCs w:val="22"/>
              </w:rPr>
              <w:fldChar w:fldCharType="end"/>
            </w:r>
          </w:hyperlink>
        </w:p>
        <w:p w14:paraId="164543D2" w14:textId="14135484" w:rsidR="00792B02" w:rsidRPr="003207BC" w:rsidRDefault="00792B02" w:rsidP="003207BC">
          <w:pPr>
            <w:pStyle w:val="TOC1"/>
            <w:tabs>
              <w:tab w:val="left" w:pos="440"/>
              <w:tab w:val="right" w:leader="dot" w:pos="9350"/>
            </w:tabs>
            <w:spacing w:before="240" w:after="240"/>
            <w:rPr>
              <w:rFonts w:ascii="Arial" w:eastAsiaTheme="minorEastAsia" w:hAnsi="Arial"/>
              <w:b w:val="0"/>
              <w:bCs w:val="0"/>
              <w:i w:val="0"/>
              <w:iCs w:val="0"/>
              <w:noProof/>
              <w:kern w:val="2"/>
              <w:sz w:val="22"/>
              <w:szCs w:val="22"/>
              <w:lang w:eastAsia="en-GB"/>
              <w14:ligatures w14:val="standardContextual"/>
            </w:rPr>
          </w:pPr>
          <w:hyperlink w:anchor="_Toc208222654" w:history="1">
            <w:r w:rsidRPr="003207BC">
              <w:rPr>
                <w:rStyle w:val="Hyperlink"/>
                <w:rFonts w:ascii="Arial" w:hAnsi="Arial"/>
                <w:b w:val="0"/>
                <w:bCs w:val="0"/>
                <w:i w:val="0"/>
                <w:iCs w:val="0"/>
                <w:noProof/>
                <w:sz w:val="22"/>
                <w:szCs w:val="22"/>
              </w:rPr>
              <w:t>1</w:t>
            </w:r>
            <w:r w:rsidRPr="003207BC">
              <w:rPr>
                <w:rFonts w:ascii="Arial" w:eastAsiaTheme="minorEastAsia" w:hAnsi="Arial"/>
                <w:b w:val="0"/>
                <w:bCs w:val="0"/>
                <w:i w:val="0"/>
                <w:iCs w:val="0"/>
                <w:noProof/>
                <w:kern w:val="2"/>
                <w:sz w:val="22"/>
                <w:szCs w:val="22"/>
                <w:lang w:eastAsia="en-GB"/>
                <w14:ligatures w14:val="standardContextual"/>
              </w:rPr>
              <w:tab/>
            </w:r>
            <w:r w:rsidRPr="003207BC">
              <w:rPr>
                <w:rStyle w:val="Hyperlink"/>
                <w:rFonts w:ascii="Arial" w:hAnsi="Arial"/>
                <w:b w:val="0"/>
                <w:bCs w:val="0"/>
                <w:i w:val="0"/>
                <w:iCs w:val="0"/>
                <w:noProof/>
                <w:sz w:val="22"/>
                <w:szCs w:val="22"/>
              </w:rPr>
              <w:t>Introduction</w:t>
            </w:r>
            <w:r w:rsidRPr="003207BC">
              <w:rPr>
                <w:rFonts w:ascii="Arial" w:hAnsi="Arial"/>
                <w:b w:val="0"/>
                <w:bCs w:val="0"/>
                <w:i w:val="0"/>
                <w:iCs w:val="0"/>
                <w:noProof/>
                <w:webHidden/>
                <w:sz w:val="22"/>
                <w:szCs w:val="22"/>
              </w:rPr>
              <w:tab/>
            </w:r>
            <w:r w:rsidRPr="003207BC">
              <w:rPr>
                <w:rFonts w:ascii="Arial" w:hAnsi="Arial"/>
                <w:b w:val="0"/>
                <w:bCs w:val="0"/>
                <w:i w:val="0"/>
                <w:iCs w:val="0"/>
                <w:noProof/>
                <w:webHidden/>
                <w:sz w:val="22"/>
                <w:szCs w:val="22"/>
              </w:rPr>
              <w:fldChar w:fldCharType="begin"/>
            </w:r>
            <w:r w:rsidRPr="003207BC">
              <w:rPr>
                <w:rFonts w:ascii="Arial" w:hAnsi="Arial"/>
                <w:b w:val="0"/>
                <w:bCs w:val="0"/>
                <w:i w:val="0"/>
                <w:iCs w:val="0"/>
                <w:noProof/>
                <w:webHidden/>
                <w:sz w:val="22"/>
                <w:szCs w:val="22"/>
              </w:rPr>
              <w:instrText xml:space="preserve"> PAGEREF _Toc208222654 \h </w:instrText>
            </w:r>
            <w:r w:rsidRPr="003207BC">
              <w:rPr>
                <w:rFonts w:ascii="Arial" w:hAnsi="Arial"/>
                <w:b w:val="0"/>
                <w:bCs w:val="0"/>
                <w:i w:val="0"/>
                <w:iCs w:val="0"/>
                <w:noProof/>
                <w:webHidden/>
                <w:sz w:val="22"/>
                <w:szCs w:val="22"/>
              </w:rPr>
            </w:r>
            <w:r w:rsidRPr="003207BC">
              <w:rPr>
                <w:rFonts w:ascii="Arial" w:hAnsi="Arial"/>
                <w:b w:val="0"/>
                <w:bCs w:val="0"/>
                <w:i w:val="0"/>
                <w:iCs w:val="0"/>
                <w:noProof/>
                <w:webHidden/>
                <w:sz w:val="22"/>
                <w:szCs w:val="22"/>
              </w:rPr>
              <w:fldChar w:fldCharType="separate"/>
            </w:r>
            <w:r w:rsidR="00CC6DB6">
              <w:rPr>
                <w:rFonts w:ascii="Arial" w:hAnsi="Arial"/>
                <w:b w:val="0"/>
                <w:bCs w:val="0"/>
                <w:i w:val="0"/>
                <w:iCs w:val="0"/>
                <w:noProof/>
                <w:webHidden/>
                <w:sz w:val="22"/>
                <w:szCs w:val="22"/>
              </w:rPr>
              <w:t>5</w:t>
            </w:r>
            <w:r w:rsidRPr="003207BC">
              <w:rPr>
                <w:rFonts w:ascii="Arial" w:hAnsi="Arial"/>
                <w:b w:val="0"/>
                <w:bCs w:val="0"/>
                <w:i w:val="0"/>
                <w:iCs w:val="0"/>
                <w:noProof/>
                <w:webHidden/>
                <w:sz w:val="22"/>
                <w:szCs w:val="22"/>
              </w:rPr>
              <w:fldChar w:fldCharType="end"/>
            </w:r>
          </w:hyperlink>
        </w:p>
        <w:p w14:paraId="7A47871B" w14:textId="7D48A606" w:rsidR="00792B02" w:rsidRPr="003207BC" w:rsidRDefault="00792B02" w:rsidP="003207BC">
          <w:pPr>
            <w:pStyle w:val="TOC1"/>
            <w:tabs>
              <w:tab w:val="left" w:pos="440"/>
              <w:tab w:val="right" w:leader="dot" w:pos="9350"/>
            </w:tabs>
            <w:spacing w:before="240" w:after="240"/>
            <w:rPr>
              <w:rFonts w:ascii="Arial" w:eastAsiaTheme="minorEastAsia" w:hAnsi="Arial"/>
              <w:b w:val="0"/>
              <w:bCs w:val="0"/>
              <w:i w:val="0"/>
              <w:iCs w:val="0"/>
              <w:noProof/>
              <w:kern w:val="2"/>
              <w:sz w:val="22"/>
              <w:szCs w:val="22"/>
              <w:lang w:eastAsia="en-GB"/>
              <w14:ligatures w14:val="standardContextual"/>
            </w:rPr>
          </w:pPr>
          <w:hyperlink w:anchor="_Toc208222655" w:history="1">
            <w:r w:rsidRPr="003207BC">
              <w:rPr>
                <w:rStyle w:val="Hyperlink"/>
                <w:rFonts w:ascii="Arial" w:hAnsi="Arial"/>
                <w:b w:val="0"/>
                <w:bCs w:val="0"/>
                <w:i w:val="0"/>
                <w:iCs w:val="0"/>
                <w:noProof/>
                <w:sz w:val="22"/>
                <w:szCs w:val="22"/>
              </w:rPr>
              <w:t xml:space="preserve">2 </w:t>
            </w:r>
            <w:r w:rsidRPr="003207BC">
              <w:rPr>
                <w:rFonts w:ascii="Arial" w:eastAsiaTheme="minorEastAsia" w:hAnsi="Arial"/>
                <w:b w:val="0"/>
                <w:bCs w:val="0"/>
                <w:i w:val="0"/>
                <w:iCs w:val="0"/>
                <w:noProof/>
                <w:kern w:val="2"/>
                <w:sz w:val="22"/>
                <w:szCs w:val="22"/>
                <w:lang w:eastAsia="en-GB"/>
                <w14:ligatures w14:val="standardContextual"/>
              </w:rPr>
              <w:tab/>
            </w:r>
            <w:r w:rsidRPr="003207BC">
              <w:rPr>
                <w:rStyle w:val="Hyperlink"/>
                <w:rFonts w:ascii="Arial" w:hAnsi="Arial"/>
                <w:b w:val="0"/>
                <w:bCs w:val="0"/>
                <w:i w:val="0"/>
                <w:iCs w:val="0"/>
                <w:noProof/>
                <w:sz w:val="22"/>
                <w:szCs w:val="22"/>
              </w:rPr>
              <w:t>Updated results on the global scale</w:t>
            </w:r>
            <w:r w:rsidRPr="003207BC">
              <w:rPr>
                <w:rFonts w:ascii="Arial" w:hAnsi="Arial"/>
                <w:b w:val="0"/>
                <w:bCs w:val="0"/>
                <w:i w:val="0"/>
                <w:iCs w:val="0"/>
                <w:noProof/>
                <w:webHidden/>
                <w:sz w:val="22"/>
                <w:szCs w:val="22"/>
              </w:rPr>
              <w:tab/>
            </w:r>
            <w:r w:rsidRPr="003207BC">
              <w:rPr>
                <w:rFonts w:ascii="Arial" w:hAnsi="Arial"/>
                <w:b w:val="0"/>
                <w:bCs w:val="0"/>
                <w:i w:val="0"/>
                <w:iCs w:val="0"/>
                <w:noProof/>
                <w:webHidden/>
                <w:sz w:val="22"/>
                <w:szCs w:val="22"/>
              </w:rPr>
              <w:fldChar w:fldCharType="begin"/>
            </w:r>
            <w:r w:rsidRPr="003207BC">
              <w:rPr>
                <w:rFonts w:ascii="Arial" w:hAnsi="Arial"/>
                <w:b w:val="0"/>
                <w:bCs w:val="0"/>
                <w:i w:val="0"/>
                <w:iCs w:val="0"/>
                <w:noProof/>
                <w:webHidden/>
                <w:sz w:val="22"/>
                <w:szCs w:val="22"/>
              </w:rPr>
              <w:instrText xml:space="preserve"> PAGEREF _Toc208222655 \h </w:instrText>
            </w:r>
            <w:r w:rsidRPr="003207BC">
              <w:rPr>
                <w:rFonts w:ascii="Arial" w:hAnsi="Arial"/>
                <w:b w:val="0"/>
                <w:bCs w:val="0"/>
                <w:i w:val="0"/>
                <w:iCs w:val="0"/>
                <w:noProof/>
                <w:webHidden/>
                <w:sz w:val="22"/>
                <w:szCs w:val="22"/>
              </w:rPr>
            </w:r>
            <w:r w:rsidRPr="003207BC">
              <w:rPr>
                <w:rFonts w:ascii="Arial" w:hAnsi="Arial"/>
                <w:b w:val="0"/>
                <w:bCs w:val="0"/>
                <w:i w:val="0"/>
                <w:iCs w:val="0"/>
                <w:noProof/>
                <w:webHidden/>
                <w:sz w:val="22"/>
                <w:szCs w:val="22"/>
              </w:rPr>
              <w:fldChar w:fldCharType="separate"/>
            </w:r>
            <w:r w:rsidR="00CC6DB6">
              <w:rPr>
                <w:rFonts w:ascii="Arial" w:hAnsi="Arial"/>
                <w:b w:val="0"/>
                <w:bCs w:val="0"/>
                <w:i w:val="0"/>
                <w:iCs w:val="0"/>
                <w:noProof/>
                <w:webHidden/>
                <w:sz w:val="22"/>
                <w:szCs w:val="22"/>
              </w:rPr>
              <w:t>7</w:t>
            </w:r>
            <w:r w:rsidRPr="003207BC">
              <w:rPr>
                <w:rFonts w:ascii="Arial" w:hAnsi="Arial"/>
                <w:b w:val="0"/>
                <w:bCs w:val="0"/>
                <w:i w:val="0"/>
                <w:iCs w:val="0"/>
                <w:noProof/>
                <w:webHidden/>
                <w:sz w:val="22"/>
                <w:szCs w:val="22"/>
              </w:rPr>
              <w:fldChar w:fldCharType="end"/>
            </w:r>
          </w:hyperlink>
        </w:p>
        <w:p w14:paraId="25172360" w14:textId="5AECD973" w:rsidR="00792B02" w:rsidRPr="003207BC" w:rsidRDefault="00792B02" w:rsidP="003207BC">
          <w:pPr>
            <w:pStyle w:val="TOC2"/>
            <w:tabs>
              <w:tab w:val="left" w:pos="880"/>
              <w:tab w:val="right" w:leader="dot" w:pos="9350"/>
            </w:tabs>
            <w:spacing w:before="240" w:after="240"/>
            <w:rPr>
              <w:rFonts w:ascii="Arial" w:eastAsiaTheme="minorEastAsia" w:hAnsi="Arial"/>
              <w:b w:val="0"/>
              <w:bCs w:val="0"/>
              <w:noProof/>
              <w:kern w:val="2"/>
              <w:lang w:eastAsia="en-GB"/>
              <w14:ligatures w14:val="standardContextual"/>
            </w:rPr>
          </w:pPr>
          <w:hyperlink w:anchor="_Toc208222656" w:history="1">
            <w:r w:rsidRPr="003207BC">
              <w:rPr>
                <w:rStyle w:val="Hyperlink"/>
                <w:rFonts w:ascii="Arial" w:hAnsi="Arial"/>
                <w:b w:val="0"/>
                <w:bCs w:val="0"/>
                <w:noProof/>
              </w:rPr>
              <w:t xml:space="preserve">2.1 </w:t>
            </w:r>
            <w:r w:rsidRPr="003207BC">
              <w:rPr>
                <w:rFonts w:ascii="Arial" w:eastAsiaTheme="minorEastAsia" w:hAnsi="Arial"/>
                <w:b w:val="0"/>
                <w:bCs w:val="0"/>
                <w:noProof/>
                <w:kern w:val="2"/>
                <w:lang w:eastAsia="en-GB"/>
                <w14:ligatures w14:val="standardContextual"/>
              </w:rPr>
              <w:tab/>
            </w:r>
            <w:r w:rsidRPr="003207BC">
              <w:rPr>
                <w:rStyle w:val="Hyperlink"/>
                <w:rFonts w:ascii="Arial" w:hAnsi="Arial"/>
                <w:b w:val="0"/>
                <w:bCs w:val="0"/>
                <w:noProof/>
              </w:rPr>
              <w:t xml:space="preserve"> Global scale HFC-23 concentrations and emissions derived from atmospheric data</w:t>
            </w:r>
            <w:r w:rsidRPr="003207BC">
              <w:rPr>
                <w:rFonts w:ascii="Arial" w:hAnsi="Arial"/>
                <w:b w:val="0"/>
                <w:bCs w:val="0"/>
                <w:noProof/>
                <w:webHidden/>
              </w:rPr>
              <w:tab/>
            </w:r>
            <w:r w:rsidR="002B0BC1">
              <w:rPr>
                <w:rFonts w:ascii="Arial" w:hAnsi="Arial"/>
                <w:b w:val="0"/>
                <w:bCs w:val="0"/>
                <w:noProof/>
                <w:webHidden/>
              </w:rPr>
              <w:tab/>
            </w:r>
            <w:r w:rsidRPr="003207BC">
              <w:rPr>
                <w:rFonts w:ascii="Arial" w:hAnsi="Arial"/>
                <w:b w:val="0"/>
                <w:bCs w:val="0"/>
                <w:noProof/>
                <w:webHidden/>
              </w:rPr>
              <w:fldChar w:fldCharType="begin"/>
            </w:r>
            <w:r w:rsidRPr="003207BC">
              <w:rPr>
                <w:rFonts w:ascii="Arial" w:hAnsi="Arial"/>
                <w:b w:val="0"/>
                <w:bCs w:val="0"/>
                <w:noProof/>
                <w:webHidden/>
              </w:rPr>
              <w:instrText xml:space="preserve"> PAGEREF _Toc208222656 \h </w:instrText>
            </w:r>
            <w:r w:rsidRPr="003207BC">
              <w:rPr>
                <w:rFonts w:ascii="Arial" w:hAnsi="Arial"/>
                <w:b w:val="0"/>
                <w:bCs w:val="0"/>
                <w:noProof/>
                <w:webHidden/>
              </w:rPr>
            </w:r>
            <w:r w:rsidRPr="003207BC">
              <w:rPr>
                <w:rFonts w:ascii="Arial" w:hAnsi="Arial"/>
                <w:b w:val="0"/>
                <w:bCs w:val="0"/>
                <w:noProof/>
                <w:webHidden/>
              </w:rPr>
              <w:fldChar w:fldCharType="separate"/>
            </w:r>
            <w:r w:rsidR="00CC6DB6">
              <w:rPr>
                <w:rFonts w:ascii="Arial" w:hAnsi="Arial"/>
                <w:b w:val="0"/>
                <w:bCs w:val="0"/>
                <w:noProof/>
                <w:webHidden/>
              </w:rPr>
              <w:t>7</w:t>
            </w:r>
            <w:r w:rsidRPr="003207BC">
              <w:rPr>
                <w:rFonts w:ascii="Arial" w:hAnsi="Arial"/>
                <w:b w:val="0"/>
                <w:bCs w:val="0"/>
                <w:noProof/>
                <w:webHidden/>
              </w:rPr>
              <w:fldChar w:fldCharType="end"/>
            </w:r>
          </w:hyperlink>
        </w:p>
        <w:p w14:paraId="03B4EA6D" w14:textId="15020E10" w:rsidR="00792B02" w:rsidRPr="003207BC" w:rsidRDefault="00792B02" w:rsidP="003207BC">
          <w:pPr>
            <w:pStyle w:val="TOC2"/>
            <w:tabs>
              <w:tab w:val="left" w:pos="880"/>
              <w:tab w:val="right" w:leader="dot" w:pos="9350"/>
            </w:tabs>
            <w:spacing w:before="240" w:after="240"/>
            <w:rPr>
              <w:rFonts w:ascii="Arial" w:eastAsiaTheme="minorEastAsia" w:hAnsi="Arial"/>
              <w:b w:val="0"/>
              <w:bCs w:val="0"/>
              <w:noProof/>
              <w:kern w:val="2"/>
              <w:lang w:eastAsia="en-GB"/>
              <w14:ligatures w14:val="standardContextual"/>
            </w:rPr>
          </w:pPr>
          <w:hyperlink w:anchor="_Toc208222657" w:history="1">
            <w:r w:rsidRPr="003207BC">
              <w:rPr>
                <w:rStyle w:val="Hyperlink"/>
                <w:rFonts w:ascii="Arial" w:hAnsi="Arial"/>
                <w:b w:val="0"/>
                <w:bCs w:val="0"/>
                <w:noProof/>
              </w:rPr>
              <w:t xml:space="preserve">2.2 </w:t>
            </w:r>
            <w:r w:rsidRPr="003207BC">
              <w:rPr>
                <w:rFonts w:ascii="Arial" w:eastAsiaTheme="minorEastAsia" w:hAnsi="Arial"/>
                <w:b w:val="0"/>
                <w:bCs w:val="0"/>
                <w:noProof/>
                <w:kern w:val="2"/>
                <w:lang w:eastAsia="en-GB"/>
                <w14:ligatures w14:val="standardContextual"/>
              </w:rPr>
              <w:tab/>
            </w:r>
            <w:r w:rsidRPr="003207BC">
              <w:rPr>
                <w:rStyle w:val="Hyperlink"/>
                <w:rFonts w:ascii="Arial" w:hAnsi="Arial"/>
                <w:b w:val="0"/>
                <w:bCs w:val="0"/>
                <w:noProof/>
              </w:rPr>
              <w:t xml:space="preserve"> Reported production of HCFC-22</w:t>
            </w:r>
            <w:r w:rsidRPr="003207BC">
              <w:rPr>
                <w:rFonts w:ascii="Arial" w:hAnsi="Arial"/>
                <w:b w:val="0"/>
                <w:bCs w:val="0"/>
                <w:noProof/>
                <w:webHidden/>
              </w:rPr>
              <w:tab/>
            </w:r>
            <w:r w:rsidRPr="003207BC">
              <w:rPr>
                <w:rFonts w:ascii="Arial" w:hAnsi="Arial"/>
                <w:b w:val="0"/>
                <w:bCs w:val="0"/>
                <w:noProof/>
                <w:webHidden/>
              </w:rPr>
              <w:fldChar w:fldCharType="begin"/>
            </w:r>
            <w:r w:rsidRPr="003207BC">
              <w:rPr>
                <w:rFonts w:ascii="Arial" w:hAnsi="Arial"/>
                <w:b w:val="0"/>
                <w:bCs w:val="0"/>
                <w:noProof/>
                <w:webHidden/>
              </w:rPr>
              <w:instrText xml:space="preserve"> PAGEREF _Toc208222657 \h </w:instrText>
            </w:r>
            <w:r w:rsidRPr="003207BC">
              <w:rPr>
                <w:rFonts w:ascii="Arial" w:hAnsi="Arial"/>
                <w:b w:val="0"/>
                <w:bCs w:val="0"/>
                <w:noProof/>
                <w:webHidden/>
              </w:rPr>
            </w:r>
            <w:r w:rsidRPr="003207BC">
              <w:rPr>
                <w:rFonts w:ascii="Arial" w:hAnsi="Arial"/>
                <w:b w:val="0"/>
                <w:bCs w:val="0"/>
                <w:noProof/>
                <w:webHidden/>
              </w:rPr>
              <w:fldChar w:fldCharType="separate"/>
            </w:r>
            <w:r w:rsidR="00CC6DB6">
              <w:rPr>
                <w:rFonts w:ascii="Arial" w:hAnsi="Arial"/>
                <w:b w:val="0"/>
                <w:bCs w:val="0"/>
                <w:noProof/>
                <w:webHidden/>
              </w:rPr>
              <w:t>9</w:t>
            </w:r>
            <w:r w:rsidRPr="003207BC">
              <w:rPr>
                <w:rFonts w:ascii="Arial" w:hAnsi="Arial"/>
                <w:b w:val="0"/>
                <w:bCs w:val="0"/>
                <w:noProof/>
                <w:webHidden/>
              </w:rPr>
              <w:fldChar w:fldCharType="end"/>
            </w:r>
          </w:hyperlink>
        </w:p>
        <w:p w14:paraId="4E921530" w14:textId="235F4E7F" w:rsidR="00792B02" w:rsidRPr="003207BC" w:rsidRDefault="00792B02" w:rsidP="003207BC">
          <w:pPr>
            <w:pStyle w:val="TOC2"/>
            <w:tabs>
              <w:tab w:val="left" w:pos="880"/>
              <w:tab w:val="right" w:leader="dot" w:pos="9350"/>
            </w:tabs>
            <w:spacing w:before="240" w:after="240"/>
            <w:rPr>
              <w:rFonts w:ascii="Arial" w:eastAsiaTheme="minorEastAsia" w:hAnsi="Arial"/>
              <w:b w:val="0"/>
              <w:bCs w:val="0"/>
              <w:noProof/>
              <w:kern w:val="2"/>
              <w:lang w:eastAsia="en-GB"/>
              <w14:ligatures w14:val="standardContextual"/>
            </w:rPr>
          </w:pPr>
          <w:hyperlink w:anchor="_Toc208222658" w:history="1">
            <w:r w:rsidRPr="003207BC">
              <w:rPr>
                <w:rStyle w:val="Hyperlink"/>
                <w:rFonts w:ascii="Arial" w:hAnsi="Arial"/>
                <w:b w:val="0"/>
                <w:bCs w:val="0"/>
                <w:noProof/>
              </w:rPr>
              <w:t xml:space="preserve">2.3 </w:t>
            </w:r>
            <w:r w:rsidRPr="003207BC">
              <w:rPr>
                <w:rFonts w:ascii="Arial" w:eastAsiaTheme="minorEastAsia" w:hAnsi="Arial"/>
                <w:b w:val="0"/>
                <w:bCs w:val="0"/>
                <w:noProof/>
                <w:kern w:val="2"/>
                <w:lang w:eastAsia="en-GB"/>
                <w14:ligatures w14:val="standardContextual"/>
              </w:rPr>
              <w:tab/>
            </w:r>
            <w:r w:rsidRPr="003207BC">
              <w:rPr>
                <w:rStyle w:val="Hyperlink"/>
                <w:rFonts w:ascii="Arial" w:hAnsi="Arial"/>
                <w:b w:val="0"/>
                <w:bCs w:val="0"/>
                <w:noProof/>
              </w:rPr>
              <w:t xml:space="preserve"> On the global emission gap</w:t>
            </w:r>
            <w:r w:rsidRPr="003207BC">
              <w:rPr>
                <w:rFonts w:ascii="Arial" w:hAnsi="Arial"/>
                <w:b w:val="0"/>
                <w:bCs w:val="0"/>
                <w:noProof/>
                <w:webHidden/>
              </w:rPr>
              <w:tab/>
            </w:r>
            <w:r w:rsidRPr="003207BC">
              <w:rPr>
                <w:rFonts w:ascii="Arial" w:hAnsi="Arial"/>
                <w:b w:val="0"/>
                <w:bCs w:val="0"/>
                <w:noProof/>
                <w:webHidden/>
              </w:rPr>
              <w:fldChar w:fldCharType="begin"/>
            </w:r>
            <w:r w:rsidRPr="003207BC">
              <w:rPr>
                <w:rFonts w:ascii="Arial" w:hAnsi="Arial"/>
                <w:b w:val="0"/>
                <w:bCs w:val="0"/>
                <w:noProof/>
                <w:webHidden/>
              </w:rPr>
              <w:instrText xml:space="preserve"> PAGEREF _Toc208222658 \h </w:instrText>
            </w:r>
            <w:r w:rsidRPr="003207BC">
              <w:rPr>
                <w:rFonts w:ascii="Arial" w:hAnsi="Arial"/>
                <w:b w:val="0"/>
                <w:bCs w:val="0"/>
                <w:noProof/>
                <w:webHidden/>
              </w:rPr>
            </w:r>
            <w:r w:rsidRPr="003207BC">
              <w:rPr>
                <w:rFonts w:ascii="Arial" w:hAnsi="Arial"/>
                <w:b w:val="0"/>
                <w:bCs w:val="0"/>
                <w:noProof/>
                <w:webHidden/>
              </w:rPr>
              <w:fldChar w:fldCharType="separate"/>
            </w:r>
            <w:r w:rsidR="00CC6DB6">
              <w:rPr>
                <w:rFonts w:ascii="Arial" w:hAnsi="Arial"/>
                <w:b w:val="0"/>
                <w:bCs w:val="0"/>
                <w:noProof/>
                <w:webHidden/>
              </w:rPr>
              <w:t>9</w:t>
            </w:r>
            <w:r w:rsidRPr="003207BC">
              <w:rPr>
                <w:rFonts w:ascii="Arial" w:hAnsi="Arial"/>
                <w:b w:val="0"/>
                <w:bCs w:val="0"/>
                <w:noProof/>
                <w:webHidden/>
              </w:rPr>
              <w:fldChar w:fldCharType="end"/>
            </w:r>
          </w:hyperlink>
        </w:p>
        <w:p w14:paraId="5543B81D" w14:textId="00A39C87" w:rsidR="00792B02" w:rsidRPr="003207BC" w:rsidRDefault="00792B02" w:rsidP="003207BC">
          <w:pPr>
            <w:pStyle w:val="TOC1"/>
            <w:tabs>
              <w:tab w:val="left" w:pos="440"/>
              <w:tab w:val="right" w:leader="dot" w:pos="9350"/>
            </w:tabs>
            <w:spacing w:before="240" w:after="240"/>
            <w:rPr>
              <w:rFonts w:ascii="Arial" w:eastAsiaTheme="minorEastAsia" w:hAnsi="Arial"/>
              <w:b w:val="0"/>
              <w:bCs w:val="0"/>
              <w:i w:val="0"/>
              <w:iCs w:val="0"/>
              <w:noProof/>
              <w:kern w:val="2"/>
              <w:sz w:val="22"/>
              <w:szCs w:val="22"/>
              <w:lang w:eastAsia="en-GB"/>
              <w14:ligatures w14:val="standardContextual"/>
            </w:rPr>
          </w:pPr>
          <w:hyperlink w:anchor="_Toc208222659" w:history="1">
            <w:r w:rsidRPr="003207BC">
              <w:rPr>
                <w:rStyle w:val="Hyperlink"/>
                <w:rFonts w:ascii="Arial" w:hAnsi="Arial"/>
                <w:b w:val="0"/>
                <w:bCs w:val="0"/>
                <w:i w:val="0"/>
                <w:iCs w:val="0"/>
                <w:noProof/>
                <w:sz w:val="22"/>
                <w:szCs w:val="22"/>
              </w:rPr>
              <w:t xml:space="preserve">3 </w:t>
            </w:r>
            <w:r w:rsidRPr="003207BC">
              <w:rPr>
                <w:rFonts w:ascii="Arial" w:eastAsiaTheme="minorEastAsia" w:hAnsi="Arial"/>
                <w:b w:val="0"/>
                <w:bCs w:val="0"/>
                <w:i w:val="0"/>
                <w:iCs w:val="0"/>
                <w:noProof/>
                <w:kern w:val="2"/>
                <w:sz w:val="22"/>
                <w:szCs w:val="22"/>
                <w:lang w:eastAsia="en-GB"/>
                <w14:ligatures w14:val="standardContextual"/>
              </w:rPr>
              <w:tab/>
            </w:r>
            <w:r w:rsidRPr="003207BC">
              <w:rPr>
                <w:rStyle w:val="Hyperlink"/>
                <w:rFonts w:ascii="Arial" w:hAnsi="Arial"/>
                <w:b w:val="0"/>
                <w:bCs w:val="0"/>
                <w:i w:val="0"/>
                <w:iCs w:val="0"/>
                <w:noProof/>
                <w:sz w:val="22"/>
                <w:szCs w:val="22"/>
              </w:rPr>
              <w:t>Regional contributions to HFC-23 emissions</w:t>
            </w:r>
            <w:r w:rsidRPr="003207BC">
              <w:rPr>
                <w:rFonts w:ascii="Arial" w:hAnsi="Arial"/>
                <w:b w:val="0"/>
                <w:bCs w:val="0"/>
                <w:i w:val="0"/>
                <w:iCs w:val="0"/>
                <w:noProof/>
                <w:webHidden/>
                <w:sz w:val="22"/>
                <w:szCs w:val="22"/>
              </w:rPr>
              <w:tab/>
            </w:r>
            <w:r w:rsidRPr="003207BC">
              <w:rPr>
                <w:rFonts w:ascii="Arial" w:hAnsi="Arial"/>
                <w:b w:val="0"/>
                <w:bCs w:val="0"/>
                <w:i w:val="0"/>
                <w:iCs w:val="0"/>
                <w:noProof/>
                <w:webHidden/>
                <w:sz w:val="22"/>
                <w:szCs w:val="22"/>
              </w:rPr>
              <w:fldChar w:fldCharType="begin"/>
            </w:r>
            <w:r w:rsidRPr="003207BC">
              <w:rPr>
                <w:rFonts w:ascii="Arial" w:hAnsi="Arial"/>
                <w:b w:val="0"/>
                <w:bCs w:val="0"/>
                <w:i w:val="0"/>
                <w:iCs w:val="0"/>
                <w:noProof/>
                <w:webHidden/>
                <w:sz w:val="22"/>
                <w:szCs w:val="22"/>
              </w:rPr>
              <w:instrText xml:space="preserve"> PAGEREF _Toc208222659 \h </w:instrText>
            </w:r>
            <w:r w:rsidRPr="003207BC">
              <w:rPr>
                <w:rFonts w:ascii="Arial" w:hAnsi="Arial"/>
                <w:b w:val="0"/>
                <w:bCs w:val="0"/>
                <w:i w:val="0"/>
                <w:iCs w:val="0"/>
                <w:noProof/>
                <w:webHidden/>
                <w:sz w:val="22"/>
                <w:szCs w:val="22"/>
              </w:rPr>
            </w:r>
            <w:r w:rsidRPr="003207BC">
              <w:rPr>
                <w:rFonts w:ascii="Arial" w:hAnsi="Arial"/>
                <w:b w:val="0"/>
                <w:bCs w:val="0"/>
                <w:i w:val="0"/>
                <w:iCs w:val="0"/>
                <w:noProof/>
                <w:webHidden/>
                <w:sz w:val="22"/>
                <w:szCs w:val="22"/>
              </w:rPr>
              <w:fldChar w:fldCharType="separate"/>
            </w:r>
            <w:r w:rsidR="00CC6DB6">
              <w:rPr>
                <w:rFonts w:ascii="Arial" w:hAnsi="Arial"/>
                <w:b w:val="0"/>
                <w:bCs w:val="0"/>
                <w:i w:val="0"/>
                <w:iCs w:val="0"/>
                <w:noProof/>
                <w:webHidden/>
                <w:sz w:val="22"/>
                <w:szCs w:val="22"/>
              </w:rPr>
              <w:t>15</w:t>
            </w:r>
            <w:r w:rsidRPr="003207BC">
              <w:rPr>
                <w:rFonts w:ascii="Arial" w:hAnsi="Arial"/>
                <w:b w:val="0"/>
                <w:bCs w:val="0"/>
                <w:i w:val="0"/>
                <w:iCs w:val="0"/>
                <w:noProof/>
                <w:webHidden/>
                <w:sz w:val="22"/>
                <w:szCs w:val="22"/>
              </w:rPr>
              <w:fldChar w:fldCharType="end"/>
            </w:r>
          </w:hyperlink>
        </w:p>
        <w:p w14:paraId="21FB1D09" w14:textId="0A207A11" w:rsidR="00792B02" w:rsidRPr="003207BC" w:rsidRDefault="00792B02" w:rsidP="003207BC">
          <w:pPr>
            <w:pStyle w:val="TOC1"/>
            <w:tabs>
              <w:tab w:val="left" w:pos="440"/>
              <w:tab w:val="right" w:leader="dot" w:pos="9350"/>
            </w:tabs>
            <w:spacing w:before="240" w:after="240"/>
            <w:rPr>
              <w:rFonts w:ascii="Arial" w:eastAsiaTheme="minorEastAsia" w:hAnsi="Arial"/>
              <w:b w:val="0"/>
              <w:bCs w:val="0"/>
              <w:i w:val="0"/>
              <w:iCs w:val="0"/>
              <w:noProof/>
              <w:kern w:val="2"/>
              <w:sz w:val="22"/>
              <w:szCs w:val="22"/>
              <w:lang w:eastAsia="en-GB"/>
              <w14:ligatures w14:val="standardContextual"/>
            </w:rPr>
          </w:pPr>
          <w:hyperlink w:anchor="_Toc208222660" w:history="1">
            <w:r w:rsidRPr="003207BC">
              <w:rPr>
                <w:rStyle w:val="Hyperlink"/>
                <w:rFonts w:ascii="Arial" w:hAnsi="Arial"/>
                <w:b w:val="0"/>
                <w:bCs w:val="0"/>
                <w:i w:val="0"/>
                <w:iCs w:val="0"/>
                <w:noProof/>
                <w:sz w:val="22"/>
                <w:szCs w:val="22"/>
              </w:rPr>
              <w:t xml:space="preserve">4 </w:t>
            </w:r>
            <w:r w:rsidRPr="003207BC">
              <w:rPr>
                <w:rFonts w:ascii="Arial" w:eastAsiaTheme="minorEastAsia" w:hAnsi="Arial"/>
                <w:b w:val="0"/>
                <w:bCs w:val="0"/>
                <w:i w:val="0"/>
                <w:iCs w:val="0"/>
                <w:noProof/>
                <w:kern w:val="2"/>
                <w:sz w:val="22"/>
                <w:szCs w:val="22"/>
                <w:lang w:eastAsia="en-GB"/>
                <w14:ligatures w14:val="standardContextual"/>
              </w:rPr>
              <w:tab/>
            </w:r>
            <w:r w:rsidRPr="003207BC">
              <w:rPr>
                <w:rStyle w:val="Hyperlink"/>
                <w:rFonts w:ascii="Arial" w:hAnsi="Arial"/>
                <w:b w:val="0"/>
                <w:bCs w:val="0"/>
                <w:i w:val="0"/>
                <w:iCs w:val="0"/>
                <w:noProof/>
                <w:sz w:val="22"/>
                <w:szCs w:val="22"/>
              </w:rPr>
              <w:t>Photo-chemical production of HFC-23 in the atmosphere</w:t>
            </w:r>
            <w:r w:rsidRPr="003207BC">
              <w:rPr>
                <w:rFonts w:ascii="Arial" w:hAnsi="Arial"/>
                <w:b w:val="0"/>
                <w:bCs w:val="0"/>
                <w:i w:val="0"/>
                <w:iCs w:val="0"/>
                <w:noProof/>
                <w:webHidden/>
                <w:sz w:val="22"/>
                <w:szCs w:val="22"/>
              </w:rPr>
              <w:tab/>
            </w:r>
            <w:r w:rsidRPr="003207BC">
              <w:rPr>
                <w:rFonts w:ascii="Arial" w:hAnsi="Arial"/>
                <w:b w:val="0"/>
                <w:bCs w:val="0"/>
                <w:i w:val="0"/>
                <w:iCs w:val="0"/>
                <w:noProof/>
                <w:webHidden/>
                <w:sz w:val="22"/>
                <w:szCs w:val="22"/>
              </w:rPr>
              <w:fldChar w:fldCharType="begin"/>
            </w:r>
            <w:r w:rsidRPr="003207BC">
              <w:rPr>
                <w:rFonts w:ascii="Arial" w:hAnsi="Arial"/>
                <w:b w:val="0"/>
                <w:bCs w:val="0"/>
                <w:i w:val="0"/>
                <w:iCs w:val="0"/>
                <w:noProof/>
                <w:webHidden/>
                <w:sz w:val="22"/>
                <w:szCs w:val="22"/>
              </w:rPr>
              <w:instrText xml:space="preserve"> PAGEREF _Toc208222660 \h </w:instrText>
            </w:r>
            <w:r w:rsidRPr="003207BC">
              <w:rPr>
                <w:rFonts w:ascii="Arial" w:hAnsi="Arial"/>
                <w:b w:val="0"/>
                <w:bCs w:val="0"/>
                <w:i w:val="0"/>
                <w:iCs w:val="0"/>
                <w:noProof/>
                <w:webHidden/>
                <w:sz w:val="22"/>
                <w:szCs w:val="22"/>
              </w:rPr>
            </w:r>
            <w:r w:rsidRPr="003207BC">
              <w:rPr>
                <w:rFonts w:ascii="Arial" w:hAnsi="Arial"/>
                <w:b w:val="0"/>
                <w:bCs w:val="0"/>
                <w:i w:val="0"/>
                <w:iCs w:val="0"/>
                <w:noProof/>
                <w:webHidden/>
                <w:sz w:val="22"/>
                <w:szCs w:val="22"/>
              </w:rPr>
              <w:fldChar w:fldCharType="separate"/>
            </w:r>
            <w:r w:rsidR="00CC6DB6">
              <w:rPr>
                <w:rFonts w:ascii="Arial" w:hAnsi="Arial"/>
                <w:b w:val="0"/>
                <w:bCs w:val="0"/>
                <w:i w:val="0"/>
                <w:iCs w:val="0"/>
                <w:noProof/>
                <w:webHidden/>
                <w:sz w:val="22"/>
                <w:szCs w:val="22"/>
              </w:rPr>
              <w:t>19</w:t>
            </w:r>
            <w:r w:rsidRPr="003207BC">
              <w:rPr>
                <w:rFonts w:ascii="Arial" w:hAnsi="Arial"/>
                <w:b w:val="0"/>
                <w:bCs w:val="0"/>
                <w:i w:val="0"/>
                <w:iCs w:val="0"/>
                <w:noProof/>
                <w:webHidden/>
                <w:sz w:val="22"/>
                <w:szCs w:val="22"/>
              </w:rPr>
              <w:fldChar w:fldCharType="end"/>
            </w:r>
          </w:hyperlink>
        </w:p>
        <w:p w14:paraId="39959658" w14:textId="28FE59DC" w:rsidR="00792B02" w:rsidRPr="003207BC" w:rsidRDefault="00792B02" w:rsidP="003207BC">
          <w:pPr>
            <w:pStyle w:val="TOC2"/>
            <w:tabs>
              <w:tab w:val="left" w:pos="880"/>
              <w:tab w:val="right" w:leader="dot" w:pos="9350"/>
            </w:tabs>
            <w:spacing w:before="240" w:after="240"/>
            <w:rPr>
              <w:rFonts w:ascii="Arial" w:eastAsiaTheme="minorEastAsia" w:hAnsi="Arial"/>
              <w:b w:val="0"/>
              <w:bCs w:val="0"/>
              <w:noProof/>
              <w:kern w:val="2"/>
              <w:lang w:eastAsia="en-GB"/>
              <w14:ligatures w14:val="standardContextual"/>
            </w:rPr>
          </w:pPr>
          <w:hyperlink w:anchor="_Toc208222661" w:history="1">
            <w:r w:rsidRPr="003207BC">
              <w:rPr>
                <w:rStyle w:val="Hyperlink"/>
                <w:rFonts w:ascii="Arial" w:hAnsi="Arial"/>
                <w:b w:val="0"/>
                <w:bCs w:val="0"/>
                <w:noProof/>
              </w:rPr>
              <w:t xml:space="preserve">4.1 </w:t>
            </w:r>
            <w:r w:rsidRPr="003207BC">
              <w:rPr>
                <w:rFonts w:ascii="Arial" w:eastAsiaTheme="minorEastAsia" w:hAnsi="Arial"/>
                <w:b w:val="0"/>
                <w:bCs w:val="0"/>
                <w:noProof/>
                <w:kern w:val="2"/>
                <w:lang w:eastAsia="en-GB"/>
                <w14:ligatures w14:val="standardContextual"/>
              </w:rPr>
              <w:tab/>
            </w:r>
            <w:r w:rsidRPr="003207BC">
              <w:rPr>
                <w:rStyle w:val="Hyperlink"/>
                <w:rFonts w:ascii="Arial" w:hAnsi="Arial"/>
                <w:b w:val="0"/>
                <w:bCs w:val="0"/>
                <w:noProof/>
              </w:rPr>
              <w:t xml:space="preserve"> Knowledge gaps related to atmospheric production of HFC-23</w:t>
            </w:r>
            <w:r w:rsidRPr="003207BC">
              <w:rPr>
                <w:rFonts w:ascii="Arial" w:hAnsi="Arial"/>
                <w:b w:val="0"/>
                <w:bCs w:val="0"/>
                <w:noProof/>
                <w:webHidden/>
              </w:rPr>
              <w:tab/>
            </w:r>
            <w:r w:rsidRPr="003207BC">
              <w:rPr>
                <w:rFonts w:ascii="Arial" w:hAnsi="Arial"/>
                <w:b w:val="0"/>
                <w:bCs w:val="0"/>
                <w:noProof/>
                <w:webHidden/>
              </w:rPr>
              <w:fldChar w:fldCharType="begin"/>
            </w:r>
            <w:r w:rsidRPr="003207BC">
              <w:rPr>
                <w:rFonts w:ascii="Arial" w:hAnsi="Arial"/>
                <w:b w:val="0"/>
                <w:bCs w:val="0"/>
                <w:noProof/>
                <w:webHidden/>
              </w:rPr>
              <w:instrText xml:space="preserve"> PAGEREF _Toc208222661 \h </w:instrText>
            </w:r>
            <w:r w:rsidRPr="003207BC">
              <w:rPr>
                <w:rFonts w:ascii="Arial" w:hAnsi="Arial"/>
                <w:b w:val="0"/>
                <w:bCs w:val="0"/>
                <w:noProof/>
                <w:webHidden/>
              </w:rPr>
            </w:r>
            <w:r w:rsidRPr="003207BC">
              <w:rPr>
                <w:rFonts w:ascii="Arial" w:hAnsi="Arial"/>
                <w:b w:val="0"/>
                <w:bCs w:val="0"/>
                <w:noProof/>
                <w:webHidden/>
              </w:rPr>
              <w:fldChar w:fldCharType="separate"/>
            </w:r>
            <w:r w:rsidR="00CC6DB6">
              <w:rPr>
                <w:rFonts w:ascii="Arial" w:hAnsi="Arial"/>
                <w:b w:val="0"/>
                <w:bCs w:val="0"/>
                <w:noProof/>
                <w:webHidden/>
              </w:rPr>
              <w:t>20</w:t>
            </w:r>
            <w:r w:rsidRPr="003207BC">
              <w:rPr>
                <w:rFonts w:ascii="Arial" w:hAnsi="Arial"/>
                <w:b w:val="0"/>
                <w:bCs w:val="0"/>
                <w:noProof/>
                <w:webHidden/>
              </w:rPr>
              <w:fldChar w:fldCharType="end"/>
            </w:r>
          </w:hyperlink>
        </w:p>
        <w:p w14:paraId="3AB59106" w14:textId="244B1EF4" w:rsidR="00792B02" w:rsidRPr="003207BC" w:rsidRDefault="00792B02" w:rsidP="003207BC">
          <w:pPr>
            <w:pStyle w:val="TOC1"/>
            <w:tabs>
              <w:tab w:val="left" w:pos="440"/>
              <w:tab w:val="right" w:leader="dot" w:pos="9350"/>
            </w:tabs>
            <w:spacing w:before="240" w:after="240"/>
            <w:rPr>
              <w:rFonts w:ascii="Arial" w:eastAsiaTheme="minorEastAsia" w:hAnsi="Arial"/>
              <w:b w:val="0"/>
              <w:bCs w:val="0"/>
              <w:i w:val="0"/>
              <w:iCs w:val="0"/>
              <w:noProof/>
              <w:kern w:val="2"/>
              <w:sz w:val="22"/>
              <w:szCs w:val="22"/>
              <w:lang w:eastAsia="en-GB"/>
              <w14:ligatures w14:val="standardContextual"/>
            </w:rPr>
          </w:pPr>
          <w:hyperlink w:anchor="_Toc208222662" w:history="1">
            <w:r w:rsidRPr="003207BC">
              <w:rPr>
                <w:rStyle w:val="Hyperlink"/>
                <w:rFonts w:ascii="Arial" w:hAnsi="Arial"/>
                <w:b w:val="0"/>
                <w:bCs w:val="0"/>
                <w:i w:val="0"/>
                <w:iCs w:val="0"/>
                <w:noProof/>
                <w:sz w:val="22"/>
                <w:szCs w:val="22"/>
              </w:rPr>
              <w:t xml:space="preserve">5 </w:t>
            </w:r>
            <w:r w:rsidRPr="003207BC">
              <w:rPr>
                <w:rFonts w:ascii="Arial" w:eastAsiaTheme="minorEastAsia" w:hAnsi="Arial"/>
                <w:b w:val="0"/>
                <w:bCs w:val="0"/>
                <w:i w:val="0"/>
                <w:iCs w:val="0"/>
                <w:noProof/>
                <w:kern w:val="2"/>
                <w:sz w:val="22"/>
                <w:szCs w:val="22"/>
                <w:lang w:eastAsia="en-GB"/>
                <w14:ligatures w14:val="standardContextual"/>
              </w:rPr>
              <w:tab/>
            </w:r>
            <w:r w:rsidRPr="003207BC">
              <w:rPr>
                <w:rStyle w:val="Hyperlink"/>
                <w:rFonts w:ascii="Arial" w:hAnsi="Arial"/>
                <w:b w:val="0"/>
                <w:bCs w:val="0"/>
                <w:i w:val="0"/>
                <w:iCs w:val="0"/>
                <w:noProof/>
                <w:sz w:val="22"/>
                <w:szCs w:val="22"/>
              </w:rPr>
              <w:t>References</w:t>
            </w:r>
            <w:r w:rsidRPr="003207BC">
              <w:rPr>
                <w:rFonts w:ascii="Arial" w:hAnsi="Arial"/>
                <w:b w:val="0"/>
                <w:bCs w:val="0"/>
                <w:i w:val="0"/>
                <w:iCs w:val="0"/>
                <w:noProof/>
                <w:webHidden/>
                <w:sz w:val="22"/>
                <w:szCs w:val="22"/>
              </w:rPr>
              <w:tab/>
            </w:r>
            <w:r w:rsidRPr="003207BC">
              <w:rPr>
                <w:rFonts w:ascii="Arial" w:hAnsi="Arial"/>
                <w:b w:val="0"/>
                <w:bCs w:val="0"/>
                <w:i w:val="0"/>
                <w:iCs w:val="0"/>
                <w:noProof/>
                <w:webHidden/>
                <w:sz w:val="22"/>
                <w:szCs w:val="22"/>
              </w:rPr>
              <w:fldChar w:fldCharType="begin"/>
            </w:r>
            <w:r w:rsidRPr="003207BC">
              <w:rPr>
                <w:rFonts w:ascii="Arial" w:hAnsi="Arial"/>
                <w:b w:val="0"/>
                <w:bCs w:val="0"/>
                <w:i w:val="0"/>
                <w:iCs w:val="0"/>
                <w:noProof/>
                <w:webHidden/>
                <w:sz w:val="22"/>
                <w:szCs w:val="22"/>
              </w:rPr>
              <w:instrText xml:space="preserve"> PAGEREF _Toc208222662 \h </w:instrText>
            </w:r>
            <w:r w:rsidRPr="003207BC">
              <w:rPr>
                <w:rFonts w:ascii="Arial" w:hAnsi="Arial"/>
                <w:b w:val="0"/>
                <w:bCs w:val="0"/>
                <w:i w:val="0"/>
                <w:iCs w:val="0"/>
                <w:noProof/>
                <w:webHidden/>
                <w:sz w:val="22"/>
                <w:szCs w:val="22"/>
              </w:rPr>
            </w:r>
            <w:r w:rsidRPr="003207BC">
              <w:rPr>
                <w:rFonts w:ascii="Arial" w:hAnsi="Arial"/>
                <w:b w:val="0"/>
                <w:bCs w:val="0"/>
                <w:i w:val="0"/>
                <w:iCs w:val="0"/>
                <w:noProof/>
                <w:webHidden/>
                <w:sz w:val="22"/>
                <w:szCs w:val="22"/>
              </w:rPr>
              <w:fldChar w:fldCharType="separate"/>
            </w:r>
            <w:r w:rsidR="00CC6DB6">
              <w:rPr>
                <w:rFonts w:ascii="Arial" w:hAnsi="Arial"/>
                <w:b w:val="0"/>
                <w:bCs w:val="0"/>
                <w:i w:val="0"/>
                <w:iCs w:val="0"/>
                <w:noProof/>
                <w:webHidden/>
                <w:sz w:val="22"/>
                <w:szCs w:val="22"/>
              </w:rPr>
              <w:t>23</w:t>
            </w:r>
            <w:r w:rsidRPr="003207BC">
              <w:rPr>
                <w:rFonts w:ascii="Arial" w:hAnsi="Arial"/>
                <w:b w:val="0"/>
                <w:bCs w:val="0"/>
                <w:i w:val="0"/>
                <w:iCs w:val="0"/>
                <w:noProof/>
                <w:webHidden/>
                <w:sz w:val="22"/>
                <w:szCs w:val="22"/>
              </w:rPr>
              <w:fldChar w:fldCharType="end"/>
            </w:r>
          </w:hyperlink>
        </w:p>
        <w:p w14:paraId="6CE6A680" w14:textId="628971F6" w:rsidR="00154C39" w:rsidRDefault="00154C39" w:rsidP="003207BC">
          <w:pPr>
            <w:spacing w:before="240" w:after="240"/>
          </w:pPr>
          <w:r w:rsidRPr="003207BC">
            <w:rPr>
              <w:noProof/>
            </w:rPr>
            <w:fldChar w:fldCharType="end"/>
          </w:r>
        </w:p>
      </w:sdtContent>
    </w:sdt>
    <w:p w14:paraId="51475CFD" w14:textId="77777777" w:rsidR="00851291" w:rsidRDefault="00851291" w:rsidP="000C73C6">
      <w:pPr>
        <w:spacing w:before="240"/>
        <w:rPr>
          <w:sz w:val="26"/>
          <w:szCs w:val="26"/>
        </w:rPr>
        <w:sectPr w:rsidR="00851291" w:rsidSect="002B0BC1">
          <w:type w:val="oddPage"/>
          <w:pgSz w:w="11900" w:h="16840"/>
          <w:pgMar w:top="1440" w:right="1440" w:bottom="1440" w:left="1440" w:header="720" w:footer="720" w:gutter="0"/>
          <w:pgNumType w:fmt="lowerRoman"/>
          <w:cols w:space="720"/>
          <w:titlePg/>
        </w:sectPr>
      </w:pPr>
    </w:p>
    <w:p w14:paraId="30F94751" w14:textId="77777777" w:rsidR="007A4B60" w:rsidRDefault="005169FA" w:rsidP="0000609F">
      <w:pPr>
        <w:pStyle w:val="Heading1"/>
      </w:pPr>
      <w:bookmarkStart w:id="0" w:name="_Toc208222653"/>
      <w:r>
        <w:lastRenderedPageBreak/>
        <w:t>Executive Summary</w:t>
      </w:r>
      <w:r w:rsidRPr="00AE3DB3">
        <w:t>:</w:t>
      </w:r>
      <w:bookmarkEnd w:id="0"/>
    </w:p>
    <w:p w14:paraId="6631C378" w14:textId="328BC67B" w:rsidR="007A4B60" w:rsidRDefault="005169FA">
      <w:pPr>
        <w:spacing w:before="240" w:after="240"/>
      </w:pPr>
      <w:r>
        <w:t xml:space="preserve">This Supplemental Report serves as an update to the </w:t>
      </w:r>
      <w:r>
        <w:rPr>
          <w:i/>
        </w:rPr>
        <w:t>Report of the Scientific Assessment Panel in response to Decision XXXV/7: Emissions of HFC-23</w:t>
      </w:r>
      <w:r>
        <w:t xml:space="preserve"> that was submitted to and posted by the United Nations Environment </w:t>
      </w:r>
      <w:proofErr w:type="spellStart"/>
      <w:r>
        <w:t>Programme</w:t>
      </w:r>
      <w:proofErr w:type="spellEnd"/>
      <w:r>
        <w:t xml:space="preserve"> Ozone Secretariat in September 2024 (Montzka et al., 2024, hereafter referred to as SAP, 2024).</w:t>
      </w:r>
      <w:r>
        <w:rPr>
          <w:b/>
        </w:rPr>
        <w:t xml:space="preserve"> </w:t>
      </w:r>
      <w:r>
        <w:t xml:space="preserve">In that report, emissions estimates </w:t>
      </w:r>
      <w:r w:rsidR="009F75C8">
        <w:t xml:space="preserve">for HFC-23 </w:t>
      </w:r>
      <w:r>
        <w:t xml:space="preserve">were derived from atmospheric observations through 2022. In this Supplemental Report, emissions estimates are updated with atmospheric observations </w:t>
      </w:r>
      <w:r w:rsidR="009F75C8">
        <w:t xml:space="preserve">through </w:t>
      </w:r>
      <w:r>
        <w:t xml:space="preserve">2023. The fundamental conclusions in this report remain unchanged based on the additional year of measurements, derived emissions, and updates </w:t>
      </w:r>
      <w:r w:rsidR="009F75C8">
        <w:t>to</w:t>
      </w:r>
      <w:r>
        <w:t xml:space="preserve"> reported quantities and quantities derived from reporting that have become available for 2023. </w:t>
      </w:r>
    </w:p>
    <w:p w14:paraId="1E24B2A7" w14:textId="6EDD577B" w:rsidR="007A4B60" w:rsidRDefault="005169FA">
      <w:pPr>
        <w:spacing w:before="240" w:after="240"/>
      </w:pPr>
      <w:r>
        <w:rPr>
          <w:b/>
        </w:rPr>
        <w:t>During 2023 the global mean atmospheric abundance of hydrofluorocarbon-23 (HFC-23; CHF</w:t>
      </w:r>
      <w:r>
        <w:rPr>
          <w:b/>
          <w:vertAlign w:val="subscript"/>
        </w:rPr>
        <w:t>3</w:t>
      </w:r>
      <w:r>
        <w:rPr>
          <w:b/>
        </w:rPr>
        <w:t xml:space="preserve">) continued to increase. </w:t>
      </w:r>
      <w:r>
        <w:t xml:space="preserve">The measured global mean abundance in 2023 was 36.8 ± 0.9 ppt, which was 0.97 ± 0.04 ppt greater than the 35.9 ± 0.9 ppt measured in 2022. This annual increase was slightly less than the mean change observed from 2015 to 2023 of 1.10 </w:t>
      </w:r>
      <w:r w:rsidR="001B2FFD">
        <w:t xml:space="preserve">± 0.13 </w:t>
      </w:r>
      <w:r>
        <w:t>ppt yr</w:t>
      </w:r>
      <w:r w:rsidR="00C24D84">
        <w:rPr>
          <w:vertAlign w:val="superscript"/>
        </w:rPr>
        <w:sym w:font="Symbol" w:char="F02D"/>
      </w:r>
      <w:r>
        <w:rPr>
          <w:vertAlign w:val="superscript"/>
        </w:rPr>
        <w:t>1</w:t>
      </w:r>
      <w:r>
        <w:t>.</w:t>
      </w:r>
    </w:p>
    <w:p w14:paraId="00E68544" w14:textId="0FA7A854" w:rsidR="007A4B60" w:rsidRDefault="005169FA">
      <w:pPr>
        <w:spacing w:before="240" w:after="240"/>
      </w:pPr>
      <w:r>
        <w:rPr>
          <w:b/>
        </w:rPr>
        <w:t>Global HFC-23 emissions in 2023 derived from measured atmospheric abundances totaled 14.2 ± 0.7 kt</w:t>
      </w:r>
      <w:r w:rsidR="008E3897">
        <w:rPr>
          <w:b/>
        </w:rPr>
        <w:t xml:space="preserve"> </w:t>
      </w:r>
      <w:r w:rsidR="008E3897" w:rsidRPr="00854818">
        <w:rPr>
          <w:b/>
          <w:bCs/>
        </w:rPr>
        <w:t>yr</w:t>
      </w:r>
      <w:r w:rsidR="008E3897" w:rsidRPr="00854818">
        <w:rPr>
          <w:b/>
          <w:bCs/>
          <w:vertAlign w:val="superscript"/>
        </w:rPr>
        <w:t>-1</w:t>
      </w:r>
      <w:r>
        <w:rPr>
          <w:b/>
        </w:rPr>
        <w:t xml:space="preserve"> and </w:t>
      </w:r>
      <w:r w:rsidR="00C34AC9">
        <w:rPr>
          <w:b/>
        </w:rPr>
        <w:t>were</w:t>
      </w:r>
      <w:r w:rsidR="00C34AC9" w:rsidRPr="00C34AC9">
        <w:rPr>
          <w:b/>
          <w:bCs/>
        </w:rPr>
        <w:t xml:space="preserve"> </w:t>
      </w:r>
      <w:r w:rsidR="00C34AC9" w:rsidRPr="00854818">
        <w:rPr>
          <w:b/>
          <w:bCs/>
        </w:rPr>
        <w:t xml:space="preserve">2.7 ± </w:t>
      </w:r>
      <w:r w:rsidR="00FA1517">
        <w:rPr>
          <w:b/>
          <w:bCs/>
        </w:rPr>
        <w:t>0.9</w:t>
      </w:r>
      <w:r w:rsidR="00C34AC9" w:rsidRPr="00854818">
        <w:rPr>
          <w:b/>
          <w:bCs/>
        </w:rPr>
        <w:t xml:space="preserve"> (16 ± </w:t>
      </w:r>
      <w:r w:rsidR="00BA55A6">
        <w:rPr>
          <w:b/>
          <w:bCs/>
        </w:rPr>
        <w:t>6</w:t>
      </w:r>
      <w:r w:rsidR="00C34AC9" w:rsidRPr="00854818">
        <w:rPr>
          <w:b/>
          <w:bCs/>
        </w:rPr>
        <w:t>%) lower than peak emissions derived for 2018-2019 of 16.9 ± 0.7 kt yr</w:t>
      </w:r>
      <w:r w:rsidR="00C34AC9" w:rsidRPr="00854818">
        <w:rPr>
          <w:b/>
          <w:bCs/>
          <w:vertAlign w:val="superscript"/>
        </w:rPr>
        <w:t>-1</w:t>
      </w:r>
      <w:r w:rsidR="00C34AC9" w:rsidRPr="00854818">
        <w:rPr>
          <w:b/>
          <w:bCs/>
        </w:rPr>
        <w:t xml:space="preserve">. Emissions in 2023 </w:t>
      </w:r>
      <w:r>
        <w:rPr>
          <w:b/>
        </w:rPr>
        <w:t>were similar to emissions in 2022 (14.4 ± 0.6</w:t>
      </w:r>
      <w:r w:rsidR="008E3897">
        <w:rPr>
          <w:b/>
        </w:rPr>
        <w:t xml:space="preserve"> kt </w:t>
      </w:r>
      <w:r w:rsidR="008E3897" w:rsidRPr="00854818">
        <w:rPr>
          <w:b/>
          <w:bCs/>
        </w:rPr>
        <w:t>yr</w:t>
      </w:r>
      <w:r w:rsidR="008E3897" w:rsidRPr="00854818">
        <w:rPr>
          <w:b/>
          <w:bCs/>
          <w:vertAlign w:val="superscript"/>
        </w:rPr>
        <w:t>-1</w:t>
      </w:r>
      <w:r>
        <w:rPr>
          <w:b/>
        </w:rPr>
        <w:t xml:space="preserve">). The small change in emissions </w:t>
      </w:r>
      <w:r w:rsidR="00ED25AC">
        <w:rPr>
          <w:b/>
        </w:rPr>
        <w:t xml:space="preserve">from </w:t>
      </w:r>
      <w:r w:rsidR="00C34AC9">
        <w:rPr>
          <w:b/>
        </w:rPr>
        <w:t xml:space="preserve">2022 </w:t>
      </w:r>
      <w:r w:rsidR="00ED25AC">
        <w:rPr>
          <w:b/>
        </w:rPr>
        <w:t>to</w:t>
      </w:r>
      <w:r w:rsidR="00C34AC9">
        <w:rPr>
          <w:b/>
        </w:rPr>
        <w:t xml:space="preserve"> 2023 </w:t>
      </w:r>
      <w:r>
        <w:rPr>
          <w:b/>
        </w:rPr>
        <w:t>contrasts with the larger annual decline during 2019 to 2022 that averaged 0.8 kt yr</w:t>
      </w:r>
      <w:r w:rsidR="00C24D84" w:rsidRPr="00C24D84">
        <w:rPr>
          <w:b/>
          <w:bCs/>
          <w:vertAlign w:val="superscript"/>
        </w:rPr>
        <w:sym w:font="Symbol" w:char="F02D"/>
      </w:r>
      <w:r>
        <w:rPr>
          <w:b/>
          <w:vertAlign w:val="superscript"/>
        </w:rPr>
        <w:t>1</w:t>
      </w:r>
      <w:r>
        <w:rPr>
          <w:b/>
        </w:rPr>
        <w:t>.</w:t>
      </w:r>
      <w:r>
        <w:t xml:space="preserve"> Reported </w:t>
      </w:r>
      <w:r w:rsidRPr="00AA0A40">
        <w:t xml:space="preserve">HCFC-22 production for all uses, which remains the largest known </w:t>
      </w:r>
      <w:r w:rsidR="00AA0A40">
        <w:t xml:space="preserve">source of </w:t>
      </w:r>
      <w:r w:rsidR="001D336B" w:rsidRPr="00AA0A40">
        <w:t>HFC-23</w:t>
      </w:r>
      <w:r w:rsidR="00AA0A40">
        <w:t xml:space="preserve"> by-product</w:t>
      </w:r>
      <w:r w:rsidRPr="00AA0A40">
        <w:t>, was</w:t>
      </w:r>
      <w:r>
        <w:t xml:space="preserve"> 1.9% smaller in 2023 compared to 2022 (1197 kt in 2022 and 1175 kt in 2023).</w:t>
      </w:r>
    </w:p>
    <w:p w14:paraId="269337F4" w14:textId="4BC3C53A" w:rsidR="007A4B60" w:rsidRDefault="005169FA">
      <w:pPr>
        <w:spacing w:before="240" w:after="240"/>
      </w:pPr>
      <w:r>
        <w:rPr>
          <w:b/>
        </w:rPr>
        <w:t>New scientific results confirm that HFC-23 is produced in oxidation reactions of some fluorinated gases present in the atmosphere. This HFC-23 source is estimated to be less than 0.22 kt yr</w:t>
      </w:r>
      <w:r w:rsidR="00C24D84" w:rsidRPr="00C24D84">
        <w:rPr>
          <w:b/>
          <w:bCs/>
          <w:vertAlign w:val="superscript"/>
        </w:rPr>
        <w:sym w:font="Symbol" w:char="F02D"/>
      </w:r>
      <w:r>
        <w:rPr>
          <w:b/>
          <w:vertAlign w:val="superscript"/>
        </w:rPr>
        <w:t>1</w:t>
      </w:r>
      <w:r>
        <w:rPr>
          <w:b/>
        </w:rPr>
        <w:t xml:space="preserve"> in 2023. </w:t>
      </w:r>
      <w:r>
        <w:t xml:space="preserve">This revised value is smaller than estimated previously (SAP, 2024) and remains an upper limit, meaning that the actual value </w:t>
      </w:r>
      <w:r w:rsidR="00D00D5B">
        <w:t xml:space="preserve">is likely </w:t>
      </w:r>
      <w:r>
        <w:t xml:space="preserve">smaller. </w:t>
      </w:r>
    </w:p>
    <w:p w14:paraId="78D65299" w14:textId="09A55309" w:rsidR="007A4B60" w:rsidRDefault="005169FA">
      <w:pPr>
        <w:spacing w:before="240" w:after="240"/>
        <w:rPr>
          <w:b/>
        </w:rPr>
      </w:pPr>
      <w:r>
        <w:rPr>
          <w:b/>
        </w:rPr>
        <w:t xml:space="preserve">The </w:t>
      </w:r>
      <w:r w:rsidR="00D00D5B">
        <w:rPr>
          <w:b/>
        </w:rPr>
        <w:t xml:space="preserve">difference or </w:t>
      </w:r>
      <w:r>
        <w:rPr>
          <w:b/>
        </w:rPr>
        <w:t xml:space="preserve">gap between global emissions derived from atmospheric measurements and those reported or estimated from information provided to the United Nations Framework Convention on Climate Change (UNFCCC), the Multilateral Fund for the Implementation of the Montreal Protocol (MLF), and the Ozone Secretariat persisted in 2023 and remains substantial. </w:t>
      </w:r>
    </w:p>
    <w:p w14:paraId="512B9D72" w14:textId="10E03DFC" w:rsidR="007A4B60" w:rsidRDefault="005169FA">
      <w:pPr>
        <w:spacing w:before="240" w:after="240"/>
        <w:ind w:left="540"/>
      </w:pPr>
      <w:r>
        <w:t>With the small changes from 2022 to 2023 in emissions derived from global atmospheric abundance changes and available reported emissions, the gap in our understanding of HFC-23 emissions in 2023 of 11.4 – 12.8 kt yr</w:t>
      </w:r>
      <w:r w:rsidR="00C24D84">
        <w:rPr>
          <w:vertAlign w:val="superscript"/>
        </w:rPr>
        <w:sym w:font="Symbol" w:char="F02D"/>
      </w:r>
      <w:r>
        <w:rPr>
          <w:vertAlign w:val="superscript"/>
        </w:rPr>
        <w:t>1</w:t>
      </w:r>
      <w:r>
        <w:t xml:space="preserve"> is similar to the gap estimated for 2022 in the previous HFC-23 report (SAP, 2024) of 10.5 – 12.5 kt yr</w:t>
      </w:r>
      <w:r w:rsidR="00C24D84">
        <w:rPr>
          <w:vertAlign w:val="superscript"/>
        </w:rPr>
        <w:sym w:font="Symbol" w:char="F02D"/>
      </w:r>
      <w:r>
        <w:rPr>
          <w:vertAlign w:val="superscript"/>
        </w:rPr>
        <w:t>1</w:t>
      </w:r>
      <w:r>
        <w:t xml:space="preserve">. </w:t>
      </w:r>
    </w:p>
    <w:p w14:paraId="11440931" w14:textId="77777777" w:rsidR="007A4B60" w:rsidRDefault="005169FA">
      <w:pPr>
        <w:ind w:left="540"/>
      </w:pPr>
      <w:r>
        <w:rPr>
          <w:b/>
        </w:rPr>
        <w:t>The gap between reported HFC-23 emissions and those inferred from atmospheric abundances is not reconciled by considering all known sources beyond HCFC-22 production.</w:t>
      </w:r>
      <w:r>
        <w:t xml:space="preserve"> An updated assessment by the Technology and Economic Assessment Panel (TEAP) (TEAP, 2025) estimates HFC-23 emissions from all known sources and reported abatements after 2020 to be in the range of 1.6 – 3.7 </w:t>
      </w:r>
      <w:r>
        <w:lastRenderedPageBreak/>
        <w:t>kt yr</w:t>
      </w:r>
      <w:r>
        <w:rPr>
          <w:vertAlign w:val="superscript"/>
        </w:rPr>
        <w:t>-1</w:t>
      </w:r>
      <w:r>
        <w:t>, which is substantially smaller than the atmospherically-derived emission of 14.2 ± 0.7 kt yr</w:t>
      </w:r>
      <w:r>
        <w:rPr>
          <w:vertAlign w:val="superscript"/>
        </w:rPr>
        <w:t>-1</w:t>
      </w:r>
      <w:r>
        <w:t xml:space="preserve"> during 2023. Adding production from the atmospheric oxidation of fluorinated industrial gases to TEAP’s updated estimates results in an emissions gap in 2023 of 9.6 – 13.3 kt yr</w:t>
      </w:r>
      <w:r>
        <w:rPr>
          <w:vertAlign w:val="superscript"/>
        </w:rPr>
        <w:t>-1</w:t>
      </w:r>
      <w:r>
        <w:t xml:space="preserve">. </w:t>
      </w:r>
    </w:p>
    <w:p w14:paraId="7A214A0E" w14:textId="77777777" w:rsidR="007A4B60" w:rsidRDefault="007A4B60">
      <w:pPr>
        <w:ind w:left="540"/>
      </w:pPr>
    </w:p>
    <w:p w14:paraId="6A22F032" w14:textId="587D3673" w:rsidR="007A4B60" w:rsidRDefault="005169FA">
      <w:pPr>
        <w:ind w:left="540"/>
      </w:pPr>
      <w:r>
        <w:t>The increasing emission gaps between 2015 and 2018 coincide with increases in reported abatement of HFC-23 from a limited number of A5 countries.  After 2019, the emission gap decreased from a high of 15 kt yr</w:t>
      </w:r>
      <w:r>
        <w:rPr>
          <w:vertAlign w:val="superscript"/>
        </w:rPr>
        <w:t>-1</w:t>
      </w:r>
      <w:r>
        <w:t xml:space="preserve"> to 11 – 12.5 kt yr</w:t>
      </w:r>
      <w:r w:rsidR="00C24D84">
        <w:rPr>
          <w:vertAlign w:val="superscript"/>
        </w:rPr>
        <w:sym w:font="Symbol" w:char="F02D"/>
      </w:r>
      <w:r>
        <w:rPr>
          <w:vertAlign w:val="superscript"/>
        </w:rPr>
        <w:t>1</w:t>
      </w:r>
      <w:r>
        <w:t xml:space="preserve"> in 2023</w:t>
      </w:r>
      <w:r w:rsidR="00645088">
        <w:t>;</w:t>
      </w:r>
      <w:r>
        <w:t xml:space="preserve"> reported abatements from all countries increased </w:t>
      </w:r>
      <w:r w:rsidR="00645088">
        <w:t xml:space="preserve">during these years to a value of </w:t>
      </w:r>
      <w:r>
        <w:t>23 kt yr</w:t>
      </w:r>
      <w:r w:rsidR="00C24D84">
        <w:rPr>
          <w:vertAlign w:val="superscript"/>
        </w:rPr>
        <w:sym w:font="Symbol" w:char="F02D"/>
      </w:r>
      <w:r>
        <w:rPr>
          <w:vertAlign w:val="superscript"/>
        </w:rPr>
        <w:t>1</w:t>
      </w:r>
      <w:r w:rsidR="00645088">
        <w:t xml:space="preserve"> in 2023.</w:t>
      </w:r>
      <w:r>
        <w:t xml:space="preserve"> </w:t>
      </w:r>
    </w:p>
    <w:p w14:paraId="5965AAC5" w14:textId="77777777" w:rsidR="007A4B60" w:rsidRDefault="007A4B60">
      <w:pPr>
        <w:ind w:left="540"/>
      </w:pPr>
    </w:p>
    <w:p w14:paraId="2C552408" w14:textId="78E99B7D" w:rsidR="007A4B60" w:rsidRDefault="005169FA">
      <w:pPr>
        <w:ind w:left="540"/>
      </w:pPr>
      <w:r>
        <w:t>The decrease in emission gap</w:t>
      </w:r>
      <w:r w:rsidR="00645088">
        <w:t>s</w:t>
      </w:r>
      <w:r>
        <w:t xml:space="preserve"> after 2019 was concurrent with a declining ratio of emissions derived from global observations relative to reported total HCFC-22 production (E</w:t>
      </w:r>
      <w:r>
        <w:rPr>
          <w:vertAlign w:val="subscript"/>
        </w:rPr>
        <w:t>23</w:t>
      </w:r>
      <w:r>
        <w:t>/P</w:t>
      </w:r>
      <w:r>
        <w:rPr>
          <w:vertAlign w:val="subscript"/>
        </w:rPr>
        <w:t>22</w:t>
      </w:r>
      <w:r>
        <w:t>). The E</w:t>
      </w:r>
      <w:r>
        <w:rPr>
          <w:vertAlign w:val="subscript"/>
        </w:rPr>
        <w:t>23</w:t>
      </w:r>
      <w:r>
        <w:t>/P</w:t>
      </w:r>
      <w:r>
        <w:rPr>
          <w:vertAlign w:val="subscript"/>
        </w:rPr>
        <w:t>22</w:t>
      </w:r>
      <w:r>
        <w:t xml:space="preserve"> ratio in 2023 of 1.1% is unchanged from 2022. </w:t>
      </w:r>
    </w:p>
    <w:p w14:paraId="5953FFED" w14:textId="77777777" w:rsidR="007A4B60" w:rsidRDefault="007A4B60">
      <w:pPr>
        <w:ind w:left="540"/>
      </w:pPr>
    </w:p>
    <w:p w14:paraId="121719BB" w14:textId="2A61531A" w:rsidR="007A4B60" w:rsidRDefault="005169FA" w:rsidP="002B0BC1">
      <w:pPr>
        <w:ind w:left="540"/>
      </w:pPr>
      <w:r>
        <w:t>The declines in the emission gaps and E</w:t>
      </w:r>
      <w:r>
        <w:rPr>
          <w:vertAlign w:val="subscript"/>
        </w:rPr>
        <w:t>23</w:t>
      </w:r>
      <w:r>
        <w:t>/P</w:t>
      </w:r>
      <w:r>
        <w:rPr>
          <w:vertAlign w:val="subscript"/>
        </w:rPr>
        <w:t>22</w:t>
      </w:r>
      <w:r>
        <w:t xml:space="preserve"> values after 2019 are consistent with an increase in overall abatement of HFC-23 emissions, improved optimization of HCFC-22 production to further minimize HFC-23 by-product generation and associated emission, or reduced emissions of HFC-23 from sources that are unknown or not accurately accounted</w:t>
      </w:r>
      <w:r w:rsidR="00527BFD">
        <w:t xml:space="preserve"> for</w:t>
      </w:r>
      <w:r w:rsidR="00ED25AC">
        <w:t>.</w:t>
      </w:r>
    </w:p>
    <w:p w14:paraId="1B42DE85" w14:textId="680E5F61" w:rsidR="007A4B60" w:rsidRDefault="005169FA">
      <w:pPr>
        <w:spacing w:before="240" w:after="240"/>
      </w:pPr>
      <w:r>
        <w:rPr>
          <w:b/>
        </w:rPr>
        <w:t>Our understanding of regional contributions to global HFC-23 emissions remains incomplete. The sum of all available observationally derived regional emission estimates accounted for only 6.1 ± 0.7 kt yr</w:t>
      </w:r>
      <w:r w:rsidR="00C24D84" w:rsidRPr="00C24D84">
        <w:rPr>
          <w:b/>
          <w:bCs/>
          <w:vertAlign w:val="superscript"/>
        </w:rPr>
        <w:sym w:font="Symbol" w:char="F02D"/>
      </w:r>
      <w:r>
        <w:rPr>
          <w:b/>
          <w:vertAlign w:val="superscript"/>
        </w:rPr>
        <w:t>1</w:t>
      </w:r>
      <w:r>
        <w:rPr>
          <w:b/>
        </w:rPr>
        <w:t xml:space="preserve"> of HFC-23 in 2023, or 43 ± 10 % of global emissions in that year. These estimates include emissions for a number of countries or portions of countries that have been updated through 2023 based on continued atmospheric measurements. HFC-23 emission estimates from a significant number of regions remain unavailable because of gaps in atmospheric monitoring</w:t>
      </w:r>
      <w:r>
        <w:t>.</w:t>
      </w:r>
    </w:p>
    <w:p w14:paraId="583C2113" w14:textId="77777777" w:rsidR="005C7723" w:rsidRDefault="005169FA" w:rsidP="005C7723">
      <w:pPr>
        <w:ind w:left="450"/>
      </w:pPr>
      <w:r>
        <w:t xml:space="preserve">From </w:t>
      </w:r>
      <w:r w:rsidR="00F60EC4">
        <w:t xml:space="preserve">continued </w:t>
      </w:r>
      <w:r>
        <w:t xml:space="preserve">measurements made at the </w:t>
      </w:r>
      <w:proofErr w:type="spellStart"/>
      <w:r>
        <w:t>Gosan</w:t>
      </w:r>
      <w:proofErr w:type="spellEnd"/>
      <w:r>
        <w:t xml:space="preserve"> Station in the Republic of Korea: HFC-23 emissions in 2023 were estimated to be 5.6 ± 0.7 kt yr</w:t>
      </w:r>
      <w:r w:rsidR="00C24D84">
        <w:rPr>
          <w:vertAlign w:val="superscript"/>
        </w:rPr>
        <w:sym w:font="Symbol" w:char="F02D"/>
      </w:r>
      <w:r>
        <w:rPr>
          <w:vertAlign w:val="superscript"/>
        </w:rPr>
        <w:t>1</w:t>
      </w:r>
      <w:r>
        <w:t xml:space="preserve"> from the eastern portion of China; 0.23 ± 0.02 kt yr</w:t>
      </w:r>
      <w:r w:rsidR="00C24D84">
        <w:rPr>
          <w:vertAlign w:val="superscript"/>
        </w:rPr>
        <w:sym w:font="Symbol" w:char="F02D"/>
      </w:r>
      <w:r>
        <w:rPr>
          <w:vertAlign w:val="superscript"/>
        </w:rPr>
        <w:t>1</w:t>
      </w:r>
      <w:r>
        <w:t xml:space="preserve"> from the Republic of Korea (ROK); 0.10 ± 0.07 kt yr</w:t>
      </w:r>
      <w:r w:rsidR="00C24D84">
        <w:rPr>
          <w:vertAlign w:val="superscript"/>
        </w:rPr>
        <w:sym w:font="Symbol" w:char="F02D"/>
      </w:r>
      <w:r>
        <w:rPr>
          <w:vertAlign w:val="superscript"/>
        </w:rPr>
        <w:t>1</w:t>
      </w:r>
      <w:r>
        <w:t xml:space="preserve"> from the western portion of Japan; and 0.01 ± 0.01 kt yr</w:t>
      </w:r>
      <w:r>
        <w:rPr>
          <w:vertAlign w:val="superscript"/>
        </w:rPr>
        <w:t>-1</w:t>
      </w:r>
      <w:r>
        <w:t xml:space="preserve"> from the Democratic People's Republic of Korea (DPRK).</w:t>
      </w:r>
    </w:p>
    <w:p w14:paraId="6F5F6802" w14:textId="7512405D" w:rsidR="007A4B60" w:rsidRDefault="005169FA" w:rsidP="005C7723">
      <w:pPr>
        <w:ind w:left="450"/>
      </w:pPr>
      <w:r>
        <w:t xml:space="preserve"> </w:t>
      </w:r>
    </w:p>
    <w:p w14:paraId="3A2610CF" w14:textId="3776758F" w:rsidR="007A4B60" w:rsidRDefault="005169FA" w:rsidP="005C7723">
      <w:pPr>
        <w:spacing w:after="240"/>
        <w:ind w:left="450"/>
      </w:pPr>
      <w:r>
        <w:t>HFC-23 emissions from eastern China in all years after 2019 were smaller than the peak value derived for 2019 of 8.0 ± 0.4 kt yr</w:t>
      </w:r>
      <w:r w:rsidR="00C24D84">
        <w:rPr>
          <w:vertAlign w:val="superscript"/>
        </w:rPr>
        <w:sym w:font="Symbol" w:char="F02D"/>
      </w:r>
      <w:r>
        <w:rPr>
          <w:vertAlign w:val="superscript"/>
        </w:rPr>
        <w:t>1</w:t>
      </w:r>
      <w:r>
        <w:t xml:space="preserve">. Emissions from eastern China in 2023 were 4.7 ± 0.7 kt greater than the 0.9 kt reported to the Ozone Secretariat for all of China </w:t>
      </w:r>
      <w:r w:rsidR="00F60EC4">
        <w:t>in</w:t>
      </w:r>
      <w:r>
        <w:t xml:space="preserve"> that year, and this emission accounts for 40 ± 10% of the global emission gap in 2023. The sum of emissions for the ROK, western Japan, and the DPRK were notably smaller in 2023 than they were during 2018-2022 and remained greater than reported to the Ozone Secretariat or UNFCCC in recent years, by approximately 0.3 ± 0.07 kt, accounting for 1.5 to 3% of the global emission gap.</w:t>
      </w:r>
    </w:p>
    <w:p w14:paraId="615FA73E" w14:textId="7C3863A9" w:rsidR="007A4B60" w:rsidRDefault="005169FA" w:rsidP="002B0BC1">
      <w:pPr>
        <w:spacing w:before="240" w:after="240"/>
        <w:ind w:left="448"/>
      </w:pPr>
      <w:r>
        <w:t xml:space="preserve">From </w:t>
      </w:r>
      <w:r w:rsidR="00F60EC4">
        <w:t xml:space="preserve">continued </w:t>
      </w:r>
      <w:r>
        <w:t>atmospheric measurements at a network of sites in Europe: HFC-23 emissions in 2023 were estimated to be 0.15 ± 0.04 kt yr</w:t>
      </w:r>
      <w:r w:rsidR="00C24D84">
        <w:rPr>
          <w:vertAlign w:val="superscript"/>
        </w:rPr>
        <w:sym w:font="Symbol" w:char="F02D"/>
      </w:r>
      <w:r>
        <w:rPr>
          <w:vertAlign w:val="superscript"/>
        </w:rPr>
        <w:t>1</w:t>
      </w:r>
      <w:r>
        <w:t xml:space="preserve"> from the sum of countries in the north-western Europe including Ireland, the United Kingdom (UK), France, the Netherlands, Belgium, Luxembourg, and Germany. This emission was 0.1</w:t>
      </w:r>
      <w:r w:rsidR="007D14E3">
        <w:t>3</w:t>
      </w:r>
      <w:r>
        <w:t xml:space="preserve"> ± 0.04 kt </w:t>
      </w:r>
      <w:r>
        <w:lastRenderedPageBreak/>
        <w:t xml:space="preserve">greater than reporting to the UNFCCC in 2022 (latest available year), and this region accounts for 0.7 to 1.5% of the global emission gap.  </w:t>
      </w:r>
    </w:p>
    <w:p w14:paraId="2D9FF1C2" w14:textId="48C76E95" w:rsidR="007A4B60" w:rsidRDefault="005169FA">
      <w:pPr>
        <w:spacing w:before="240" w:after="240"/>
        <w:ind w:left="450"/>
      </w:pPr>
      <w:r>
        <w:t xml:space="preserve">From </w:t>
      </w:r>
      <w:r w:rsidR="00F60EC4">
        <w:t xml:space="preserve">continued atmospheric </w:t>
      </w:r>
      <w:r>
        <w:t>measurements made at the Cape Grim Baseline Air Pollution Station in southern Australia, HFC-23 emissions in 2023 from Australia were estimated to be 0.025 kt yr</w:t>
      </w:r>
      <w:r w:rsidR="00C24D84">
        <w:rPr>
          <w:vertAlign w:val="superscript"/>
        </w:rPr>
        <w:sym w:font="Symbol" w:char="F02D"/>
      </w:r>
      <w:r>
        <w:rPr>
          <w:vertAlign w:val="superscript"/>
        </w:rPr>
        <w:t>1</w:t>
      </w:r>
      <w:r>
        <w:t xml:space="preserve"> (no uncertainty specified), which is 0.03 kt yr</w:t>
      </w:r>
      <w:r w:rsidR="00C24D84">
        <w:rPr>
          <w:vertAlign w:val="superscript"/>
        </w:rPr>
        <w:sym w:font="Symbol" w:char="F02D"/>
      </w:r>
      <w:r>
        <w:rPr>
          <w:vertAlign w:val="superscript"/>
        </w:rPr>
        <w:t>1</w:t>
      </w:r>
      <w:r>
        <w:t xml:space="preserve"> less than reported to the UNFCCC in that year.</w:t>
      </w:r>
    </w:p>
    <w:p w14:paraId="6C0A5918" w14:textId="61E79F7F" w:rsidR="007A4B60" w:rsidRDefault="00F75159">
      <w:pPr>
        <w:spacing w:before="240" w:after="240"/>
      </w:pPr>
      <w:r>
        <w:t xml:space="preserve">The </w:t>
      </w:r>
      <w:r w:rsidR="00F60EC4">
        <w:t>countries</w:t>
      </w:r>
      <w:r w:rsidR="005169FA">
        <w:t xml:space="preserve"> </w:t>
      </w:r>
      <w:r>
        <w:t xml:space="preserve">or portions of countries </w:t>
      </w:r>
      <w:r w:rsidR="005169FA">
        <w:t xml:space="preserve">for which regional emissions </w:t>
      </w:r>
      <w:r w:rsidR="00F60EC4">
        <w:t xml:space="preserve">in 2023 </w:t>
      </w:r>
      <w:r w:rsidR="005169FA">
        <w:t>have been estimated, i.e</w:t>
      </w:r>
      <w:r w:rsidR="005169FA">
        <w:rPr>
          <w:i/>
        </w:rPr>
        <w:t>.</w:t>
      </w:r>
      <w:r w:rsidR="005169FA">
        <w:t xml:space="preserve">, China, the ROK., the DPRK, Japan, the European Union and the UK, accounted for </w:t>
      </w:r>
      <w:r w:rsidR="00436918">
        <w:t>the majority</w:t>
      </w:r>
      <w:r>
        <w:t xml:space="preserve"> (93%)</w:t>
      </w:r>
      <w:r w:rsidR="005169FA">
        <w:t xml:space="preserve"> of reported </w:t>
      </w:r>
      <w:r>
        <w:t>generation of HFC-23</w:t>
      </w:r>
      <w:r w:rsidR="005169FA">
        <w:t xml:space="preserve"> in that year. For the countries that account</w:t>
      </w:r>
      <w:r w:rsidR="003F415B">
        <w:t>ed</w:t>
      </w:r>
      <w:r w:rsidR="005169FA">
        <w:t xml:space="preserve"> for the remaining </w:t>
      </w:r>
      <w:r>
        <w:t xml:space="preserve">HFC-23 generation </w:t>
      </w:r>
      <w:r w:rsidR="005169FA">
        <w:t xml:space="preserve">reported to the Ozone Secretariat during 2023 (Argentina, India, Mexico, the Russian Federation, and the United States of America (USA)), atmospherically derived HFC-23 emission estimates remain unavailable in </w:t>
      </w:r>
      <w:r w:rsidR="00F60EC4">
        <w:t xml:space="preserve">the </w:t>
      </w:r>
      <w:r w:rsidR="005169FA">
        <w:t xml:space="preserve">Kigali </w:t>
      </w:r>
      <w:r w:rsidR="00F60EC4">
        <w:t>era</w:t>
      </w:r>
      <w:r w:rsidR="003C3BAE">
        <w:t xml:space="preserve"> (i.e., after 2019)</w:t>
      </w:r>
      <w:r w:rsidR="005169FA">
        <w:t>.</w:t>
      </w:r>
    </w:p>
    <w:p w14:paraId="3473075E" w14:textId="77777777" w:rsidR="0000609F" w:rsidRDefault="0000609F" w:rsidP="0000609F">
      <w:pPr>
        <w:pStyle w:val="Heading1"/>
        <w:sectPr w:rsidR="0000609F" w:rsidSect="002B0BC1">
          <w:headerReference w:type="even" r:id="rId19"/>
          <w:headerReference w:type="default" r:id="rId20"/>
          <w:footerReference w:type="even" r:id="rId21"/>
          <w:headerReference w:type="first" r:id="rId22"/>
          <w:footerReference w:type="first" r:id="rId23"/>
          <w:type w:val="oddPage"/>
          <w:pgSz w:w="11900" w:h="16840"/>
          <w:pgMar w:top="1440" w:right="1440" w:bottom="1440" w:left="1440" w:header="720" w:footer="720" w:gutter="0"/>
          <w:pgNumType w:start="0"/>
          <w:cols w:space="720"/>
          <w:titlePg/>
          <w:docGrid w:linePitch="299"/>
        </w:sectPr>
      </w:pPr>
    </w:p>
    <w:p w14:paraId="6408E1B5" w14:textId="6DE3B288" w:rsidR="007A4B60" w:rsidRPr="0000609F" w:rsidRDefault="005169FA" w:rsidP="0000609F">
      <w:pPr>
        <w:pStyle w:val="Heading1"/>
      </w:pPr>
      <w:bookmarkStart w:id="1" w:name="_Toc208222654"/>
      <w:r w:rsidRPr="0000609F">
        <w:lastRenderedPageBreak/>
        <w:t>1</w:t>
      </w:r>
      <w:r w:rsidR="00AE3DB3">
        <w:tab/>
      </w:r>
      <w:r w:rsidRPr="0000609F">
        <w:t>Introduction</w:t>
      </w:r>
      <w:bookmarkEnd w:id="1"/>
    </w:p>
    <w:p w14:paraId="43C7BD7D" w14:textId="77777777" w:rsidR="007A4B60" w:rsidRDefault="005169FA">
      <w:pPr>
        <w:spacing w:before="240" w:after="240"/>
      </w:pPr>
      <w:r>
        <w:t>For nearly a decade, global emissions of the fluorocarbon HFC-23 (CHF</w:t>
      </w:r>
      <w:r>
        <w:rPr>
          <w:vertAlign w:val="subscript"/>
        </w:rPr>
        <w:t>3</w:t>
      </w:r>
      <w:r>
        <w:t xml:space="preserve">) have been substantially larger than expected (Simmonds et al., 2018; Stanley et al., 2020; Liang and Rigby et al., 2022; SAP, 2024). These unattributed emissions have persisted despite controls on production, consumption, and emission of HFC-23 enacted in line with the 2016 Kigali Amendment to the Montreal Protocol, </w:t>
      </w:r>
      <w:r>
        <w:rPr>
          <w:highlight w:val="white"/>
        </w:rPr>
        <w:t>national regulations, and other commitments</w:t>
      </w:r>
      <w:r>
        <w:t>. The Kigali Amendment brought controls on HFC-23 into the framework of mechanisms and obl</w:t>
      </w:r>
      <w:r w:rsidRPr="00AA0A40">
        <w:t>igations for reporting, ensuring compliance, outlining consequences in cases of non-compliance, etc., that already applied to other Montreal-Protocol-controlled substances (e.g., chlorofluorocarbons (CFCs), hydrochlorofluorocarbons (HCFCs), halons, etc.). In the case of HFCs, production and consumption for dispersive uses are to be phased down on multiple schedules, dep</w:t>
      </w:r>
      <w:r>
        <w:t>ending on the country. The controls specified in the Kigali Amendment apply beginning in 2019 or upon ratification, or in some instances, after ratification.</w:t>
      </w:r>
    </w:p>
    <w:p w14:paraId="60BD2AFE" w14:textId="0DDEAA26" w:rsidR="007A4B60" w:rsidRDefault="005169FA">
      <w:pPr>
        <w:spacing w:before="240" w:after="240"/>
      </w:pPr>
      <w:r>
        <w:t xml:space="preserve">In the case of HFC-23, additional controls apply that are intended to reduce emissions of HFC-23 arising from the production of controlled HCFCs and HFCs, particularly HCFC-22, the largest known source of HFC-23 by-product (TEAP, 2025). </w:t>
      </w:r>
      <w:r w:rsidR="001B2FFD">
        <w:t>Controls on</w:t>
      </w:r>
      <w:r>
        <w:t xml:space="preserve"> by-product emission</w:t>
      </w:r>
      <w:r w:rsidR="001B2FFD">
        <w:t>s</w:t>
      </w:r>
      <w:r>
        <w:t xml:space="preserve"> </w:t>
      </w:r>
      <w:r w:rsidR="001B2FFD">
        <w:t xml:space="preserve">of HFC-23 </w:t>
      </w:r>
      <w:r>
        <w:t xml:space="preserve">are not subject to country-specific phase-down schedules but instead came into force on 1 January 2020 or upon ratification, whichever </w:t>
      </w:r>
      <w:r w:rsidR="000331C0">
        <w:t xml:space="preserve">occurred </w:t>
      </w:r>
      <w:r>
        <w:t>later. By the end of 2023, the period of interest in this updated analysis, all countries reporting production of HCFC-22 and associated generation of HFC-23 had ratified the Kigali Amendment and</w:t>
      </w:r>
      <w:r w:rsidR="001B2FFD">
        <w:t>, as a result, had</w:t>
      </w:r>
      <w:r>
        <w:t xml:space="preserve"> been operating under a commitment to destroy “to the extent practicable” by-product-related emissions of HFC-23 for over a year. </w:t>
      </w:r>
    </w:p>
    <w:p w14:paraId="54273028" w14:textId="0BDDB04F" w:rsidR="007A4B60" w:rsidRDefault="005169FA">
      <w:pPr>
        <w:spacing w:before="240" w:after="240"/>
      </w:pPr>
      <w:r>
        <w:t xml:space="preserve">The </w:t>
      </w:r>
      <w:r>
        <w:rPr>
          <w:highlight w:val="white"/>
        </w:rPr>
        <w:t>gap between observed and expected HFC-23 emissions has gained attention from the parties in recent years, with decisions taken at several Meetings of the Parties in an effort to clarify the reasons for the greater than expected and persistent emissions.</w:t>
      </w:r>
    </w:p>
    <w:p w14:paraId="7E6F5F38" w14:textId="77777777" w:rsidR="007A4B60" w:rsidRDefault="005169FA">
      <w:pPr>
        <w:spacing w:before="240" w:after="240"/>
      </w:pPr>
      <w:r>
        <w:t xml:space="preserve">A decision taken at the Thirty-Fifth Meeting of Parties of the Montreal Protocol on Substances that Deplete the Ozone Layer in the fall of 2023 asked for a Supplemental report from the Scientific Assessment Panel on the issue. In September of 2024, this report (SAP, 2024) was provided to the Parties.  </w:t>
      </w:r>
    </w:p>
    <w:p w14:paraId="11A4EEBE" w14:textId="77777777" w:rsidR="007A4B60" w:rsidRDefault="005169FA">
      <w:pPr>
        <w:spacing w:before="240" w:after="240"/>
      </w:pPr>
      <w:r>
        <w:t>In the thirty-Sixth Meeting of Parties of the Montreal Protocol on Substances that Deplete the Ozone Layer in the fall of 2024, another decision, XXVI/3, was agreed to that included a request for the Scientific Assessment Panel to prepare an update to their 2024 report on HFC-23 and present it at the Thirty-Seventh Meeting of the parties in November 2025:</w:t>
      </w:r>
    </w:p>
    <w:p w14:paraId="7F67AB30" w14:textId="77777777" w:rsidR="007A4B60" w:rsidRDefault="005169FA">
      <w:pPr>
        <w:spacing w:before="240" w:after="240"/>
        <w:rPr>
          <w:i/>
        </w:rPr>
      </w:pPr>
      <w:r>
        <w:rPr>
          <w:i/>
        </w:rPr>
        <w:t>To request the Scientific Assessment Panel and the Technology and Economic Assessment Panel to update decision XXXV/7 reports on HFC-23 to reflect any additional or new information that becomes available, and to submit their reports on the matter to the Thirty-Seventh Meeting of the Parties</w:t>
      </w:r>
    </w:p>
    <w:p w14:paraId="471F4B2C" w14:textId="77777777" w:rsidR="007A4B60" w:rsidRDefault="005169FA">
      <w:pPr>
        <w:spacing w:before="240" w:after="240"/>
      </w:pPr>
      <w:r>
        <w:t xml:space="preserve">The following 2025 report updates information and conclusions of the September 2024 Report of the Scientific Assessment Panel in Response to Decision XXXV/7: HFC-23 (hereafter referred to as SAP, 2024). This update is based on information made public and </w:t>
      </w:r>
      <w:r>
        <w:lastRenderedPageBreak/>
        <w:t>scientific studies published in the peer-reviewed literature since the SAP (2024) report was completed, specifically:</w:t>
      </w:r>
    </w:p>
    <w:p w14:paraId="16939ED8" w14:textId="4AF1319E" w:rsidR="007A4B60" w:rsidRDefault="005169FA" w:rsidP="00343018">
      <w:pPr>
        <w:pStyle w:val="ListParagraph"/>
        <w:numPr>
          <w:ilvl w:val="0"/>
          <w:numId w:val="1"/>
        </w:numPr>
        <w:spacing w:before="240" w:after="240"/>
      </w:pPr>
      <w:r>
        <w:t>New peer-reviewed atmospheric measurement studies related to HFC-23</w:t>
      </w:r>
    </w:p>
    <w:p w14:paraId="38417F5D" w14:textId="5D13A142" w:rsidR="007A4B60" w:rsidRDefault="005169FA" w:rsidP="00343018">
      <w:pPr>
        <w:pStyle w:val="ListParagraph"/>
        <w:numPr>
          <w:ilvl w:val="0"/>
          <w:numId w:val="1"/>
        </w:numPr>
        <w:spacing w:before="240" w:after="240"/>
      </w:pPr>
      <w:r>
        <w:t>New peer-reviewed laboratory studies that refine our understanding of the production of HFC-23 during the atmospheric oxidation of fluorinated chemicals</w:t>
      </w:r>
    </w:p>
    <w:p w14:paraId="43BFE3C8" w14:textId="07160F52" w:rsidR="007A4B60" w:rsidRDefault="005169FA" w:rsidP="00343018">
      <w:pPr>
        <w:pStyle w:val="ListParagraph"/>
        <w:numPr>
          <w:ilvl w:val="0"/>
          <w:numId w:val="1"/>
        </w:numPr>
        <w:spacing w:before="240" w:after="240"/>
      </w:pPr>
      <w:r>
        <w:t>An updated report by the Technology and Economic Assessment Panel (TEAP, 2025)</w:t>
      </w:r>
    </w:p>
    <w:p w14:paraId="3392570F" w14:textId="343765B4" w:rsidR="007A4B60" w:rsidRDefault="005169FA" w:rsidP="00343018">
      <w:pPr>
        <w:pStyle w:val="ListParagraph"/>
        <w:numPr>
          <w:ilvl w:val="0"/>
          <w:numId w:val="1"/>
        </w:numPr>
        <w:spacing w:before="240" w:after="240"/>
      </w:pPr>
      <w:r>
        <w:t>Updated reporting by countries to the Ozone Secretariat on the production, generation, and emission of halocarbons including HFC-23</w:t>
      </w:r>
    </w:p>
    <w:p w14:paraId="4EA9DFB5" w14:textId="4C456F8D" w:rsidR="009F75C8" w:rsidRDefault="005169FA" w:rsidP="009F75C8">
      <w:pPr>
        <w:spacing w:after="20"/>
      </w:pPr>
      <w:r>
        <w:t xml:space="preserve">The authors acknowledge the important assistance and input from a number of additional people in preparing this report: a representative from the Multilateral Fund for the Implementation of the Montreal Protocol; members of the Technology and Economic Assessment Panel, </w:t>
      </w:r>
      <w:r w:rsidR="009F75C8">
        <w:t xml:space="preserve">B. Adam, </w:t>
      </w:r>
      <w:r>
        <w:t xml:space="preserve">and a representative from the Ozone Secretariat for prompt and informative sharing of updated quantities associated with data reporting </w:t>
      </w:r>
      <w:r w:rsidR="000331C0">
        <w:t xml:space="preserve">in response to </w:t>
      </w:r>
      <w:r>
        <w:t>Article 7 of the Montreal Protocol (hereafter called “A7 reporting”).</w:t>
      </w:r>
      <w:r w:rsidR="009F75C8" w:rsidRPr="009F75C8">
        <w:t xml:space="preserve"> </w:t>
      </w:r>
    </w:p>
    <w:p w14:paraId="1022A767" w14:textId="39D38097" w:rsidR="007A4B60" w:rsidRDefault="007A4B60">
      <w:pPr>
        <w:spacing w:before="240" w:after="20"/>
      </w:pPr>
    </w:p>
    <w:p w14:paraId="36535F05" w14:textId="77777777" w:rsidR="0000609F" w:rsidRDefault="0000609F" w:rsidP="0000609F">
      <w:pPr>
        <w:pStyle w:val="Heading1"/>
        <w:sectPr w:rsidR="0000609F" w:rsidSect="002B0BC1">
          <w:type w:val="oddPage"/>
          <w:pgSz w:w="11900" w:h="16840"/>
          <w:pgMar w:top="1440" w:right="1440" w:bottom="1440" w:left="1440" w:header="720" w:footer="720" w:gutter="0"/>
          <w:cols w:space="720"/>
          <w:titlePg/>
          <w:docGrid w:linePitch="299"/>
        </w:sectPr>
      </w:pPr>
    </w:p>
    <w:p w14:paraId="1C7CE2CD" w14:textId="53450D7B" w:rsidR="007A4B60" w:rsidRDefault="005169FA" w:rsidP="0000609F">
      <w:pPr>
        <w:pStyle w:val="Heading1"/>
      </w:pPr>
      <w:bookmarkStart w:id="2" w:name="_Toc208222655"/>
      <w:r>
        <w:lastRenderedPageBreak/>
        <w:t xml:space="preserve">2 </w:t>
      </w:r>
      <w:r w:rsidR="00AE3DB3">
        <w:tab/>
      </w:r>
      <w:r>
        <w:t>Updated results on the global scale</w:t>
      </w:r>
      <w:bookmarkEnd w:id="2"/>
    </w:p>
    <w:p w14:paraId="7E1597C7" w14:textId="2AE12DA0" w:rsidR="007A4B60" w:rsidRDefault="005169FA" w:rsidP="00AE3DB3">
      <w:pPr>
        <w:pStyle w:val="Heading2"/>
        <w:ind w:left="709" w:hanging="709"/>
        <w:rPr>
          <w:b w:val="0"/>
        </w:rPr>
      </w:pPr>
      <w:bookmarkStart w:id="3" w:name="_Toc208222656"/>
      <w:r>
        <w:t xml:space="preserve">2.1 </w:t>
      </w:r>
      <w:r w:rsidR="00AE3DB3">
        <w:tab/>
      </w:r>
      <w:r w:rsidR="00AE3DB3">
        <w:tab/>
      </w:r>
      <w:r>
        <w:t>Global scale HFC-23 concentrations and emissions derived from atmospheric data</w:t>
      </w:r>
      <w:bookmarkEnd w:id="3"/>
    </w:p>
    <w:p w14:paraId="1D6CAE2C" w14:textId="754E3795" w:rsidR="007A4B60" w:rsidRDefault="005169FA">
      <w:pPr>
        <w:spacing w:before="240" w:after="240"/>
      </w:pPr>
      <w:r>
        <w:t xml:space="preserve">Updated abundance measurements of HFC-23 in the remote atmosphere provided by the Advanced Global Atmospheric Gases Experiment (AGAGE) show a continued increase through 2023 (Figure 1; Adam et al., 2024; Prinn et al., 2018; and Park et al., 2023).  The global surface mean concentration in 2023 reached 36.8 ± 0.9 ppt, which was 0.97 ± 0.04 ppt greater than the 35.9 ± 0.9 ppt annual mean measured in 2022. The global mean of HFC-23 accounts for 7.1 </w:t>
      </w:r>
      <w:proofErr w:type="spellStart"/>
      <w:r>
        <w:t>mW</w:t>
      </w:r>
      <w:proofErr w:type="spellEnd"/>
      <w:r w:rsidR="00AB38A0">
        <w:t xml:space="preserve"> </w:t>
      </w:r>
      <w:r>
        <w:t>m</w:t>
      </w:r>
      <w:r w:rsidR="00C24D84">
        <w:rPr>
          <w:vertAlign w:val="superscript"/>
        </w:rPr>
        <w:sym w:font="Symbol" w:char="F02D"/>
      </w:r>
      <w:r>
        <w:rPr>
          <w:vertAlign w:val="superscript"/>
        </w:rPr>
        <w:t xml:space="preserve">2 </w:t>
      </w:r>
      <w:r>
        <w:t xml:space="preserve">of direct radiative forcing to Earth’s atmosphere in 2023. </w:t>
      </w:r>
    </w:p>
    <w:p w14:paraId="6D6291A4" w14:textId="77777777" w:rsidR="007A4B60" w:rsidRDefault="005169FA">
      <w:pPr>
        <w:spacing w:before="240" w:after="240"/>
      </w:pPr>
      <w:r>
        <w:rPr>
          <w:noProof/>
        </w:rPr>
        <w:drawing>
          <wp:inline distT="114300" distB="114300" distL="114300" distR="114300" wp14:anchorId="21D3C9E1" wp14:editId="54F471B6">
            <wp:extent cx="4580550" cy="3729038"/>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4580550" cy="3729038"/>
                    </a:xfrm>
                    <a:prstGeom prst="rect">
                      <a:avLst/>
                    </a:prstGeom>
                    <a:ln/>
                  </pic:spPr>
                </pic:pic>
              </a:graphicData>
            </a:graphic>
          </wp:inline>
        </w:drawing>
      </w:r>
    </w:p>
    <w:p w14:paraId="797A419A" w14:textId="0B5F2B12" w:rsidR="007A4B60" w:rsidRPr="00CC0A47" w:rsidRDefault="005169FA">
      <w:pPr>
        <w:spacing w:before="240" w:after="240"/>
        <w:rPr>
          <w:i/>
          <w:sz w:val="20"/>
          <w:szCs w:val="20"/>
        </w:rPr>
      </w:pPr>
      <w:r w:rsidRPr="00CC0A47">
        <w:rPr>
          <w:b/>
          <w:i/>
          <w:sz w:val="20"/>
          <w:szCs w:val="20"/>
        </w:rPr>
        <w:t>Figure 1: Atmospheric abundance of HFC-23 over time.</w:t>
      </w:r>
      <w:r w:rsidRPr="00CC0A47">
        <w:rPr>
          <w:i/>
          <w:sz w:val="20"/>
          <w:szCs w:val="20"/>
        </w:rPr>
        <w:t xml:space="preserve">  Monthly hemispheric surface means </w:t>
      </w:r>
      <w:r w:rsidR="001B2FFD" w:rsidRPr="00CC0A47">
        <w:rPr>
          <w:i/>
          <w:sz w:val="20"/>
          <w:szCs w:val="20"/>
        </w:rPr>
        <w:t xml:space="preserve">in parts per trillion (ppt) </w:t>
      </w:r>
      <w:r w:rsidRPr="00CC0A47">
        <w:rPr>
          <w:i/>
          <w:sz w:val="20"/>
          <w:szCs w:val="20"/>
        </w:rPr>
        <w:t xml:space="preserve">are estimated from measurements at remote sites by AGAGE (red = northern hemisphere; blue = southern hemisphere; Adam et al., 2024; Prinn et al., 2018 and Park et al., 2023), and for the upper atmosphere via a spectrometer </w:t>
      </w:r>
      <w:r w:rsidR="001B2FFD" w:rsidRPr="00CC0A47">
        <w:rPr>
          <w:i/>
          <w:sz w:val="20"/>
          <w:szCs w:val="20"/>
        </w:rPr>
        <w:t xml:space="preserve">onboard the SCISAT satellite </w:t>
      </w:r>
      <w:r w:rsidRPr="00CC0A47">
        <w:rPr>
          <w:i/>
          <w:sz w:val="20"/>
          <w:szCs w:val="20"/>
        </w:rPr>
        <w:t>(the Atmospheric Chemistry Experiment-Fourier transform spectrometer (</w:t>
      </w:r>
      <w:proofErr w:type="spellStart"/>
      <w:r w:rsidRPr="00CC0A47">
        <w:rPr>
          <w:i/>
          <w:sz w:val="20"/>
          <w:szCs w:val="20"/>
        </w:rPr>
        <w:t>Dodangodage</w:t>
      </w:r>
      <w:proofErr w:type="spellEnd"/>
      <w:r w:rsidRPr="00CC0A47">
        <w:rPr>
          <w:i/>
          <w:sz w:val="20"/>
          <w:szCs w:val="20"/>
        </w:rPr>
        <w:t xml:space="preserve"> et al., 2025)</w:t>
      </w:r>
      <w:r w:rsidR="001B2FFD" w:rsidRPr="00CC0A47">
        <w:rPr>
          <w:i/>
          <w:sz w:val="20"/>
          <w:szCs w:val="20"/>
        </w:rPr>
        <w:t>)</w:t>
      </w:r>
      <w:r w:rsidRPr="00CC0A47">
        <w:rPr>
          <w:i/>
          <w:sz w:val="20"/>
          <w:szCs w:val="20"/>
        </w:rPr>
        <w:t>.</w:t>
      </w:r>
    </w:p>
    <w:p w14:paraId="6233A90E" w14:textId="1ED540CD" w:rsidR="007A4B60" w:rsidRDefault="005169FA">
      <w:pPr>
        <w:spacing w:before="240" w:after="240"/>
      </w:pPr>
      <w:r>
        <w:t xml:space="preserve">While surface concentrations of HFC-23 have increased throughout the entire measurement record, the 0.97 ± 0.04 ppt increase from 2022 to 2023 was slightly less than annual changes measured from </w:t>
      </w:r>
      <w:r w:rsidR="00BA55A6">
        <w:t xml:space="preserve">2015 </w:t>
      </w:r>
      <w:r>
        <w:t>to 202</w:t>
      </w:r>
      <w:r w:rsidR="001B2FFD">
        <w:t>3</w:t>
      </w:r>
      <w:r>
        <w:t>, which averaged 1.1</w:t>
      </w:r>
      <w:r w:rsidR="001B2FFD">
        <w:t>0</w:t>
      </w:r>
      <w:r>
        <w:t xml:space="preserve"> ± 0.13 ppt yr</w:t>
      </w:r>
      <w:r w:rsidR="00C24D84">
        <w:rPr>
          <w:vertAlign w:val="superscript"/>
        </w:rPr>
        <w:sym w:font="Symbol" w:char="F02D"/>
      </w:r>
      <w:r>
        <w:rPr>
          <w:vertAlign w:val="superscript"/>
        </w:rPr>
        <w:t>1</w:t>
      </w:r>
      <w:r>
        <w:t>. Concurrent with this slower increase in global mean concentration, the hemispheric difference also decreased from a peak in 2019 of 1.40 ppt to 1.13 ppt in 2023 (Figure 2).</w:t>
      </w:r>
    </w:p>
    <w:p w14:paraId="72E95E84" w14:textId="2D885D84" w:rsidR="007A4B60" w:rsidRDefault="005169FA">
      <w:pPr>
        <w:spacing w:before="240" w:after="240"/>
      </w:pPr>
      <w:r>
        <w:t xml:space="preserve">The satellite SCISAT includes the Atmospheric Chemistry Experiment Fourier Transform Spectrometer (ACE-FTS), which has provided estimates of HFC-23 concentrations in the </w:t>
      </w:r>
      <w:r>
        <w:lastRenderedPageBreak/>
        <w:t xml:space="preserve">atmosphere from 2004 through 2023. Results from the ACE-FTS instrument have been updated and improved recently (version 6; </w:t>
      </w:r>
      <w:proofErr w:type="spellStart"/>
      <w:r>
        <w:t>Dodangodage</w:t>
      </w:r>
      <w:proofErr w:type="spellEnd"/>
      <w:r>
        <w:t xml:space="preserve"> </w:t>
      </w:r>
      <w:r>
        <w:rPr>
          <w:i/>
        </w:rPr>
        <w:t>et al</w:t>
      </w:r>
      <w:r>
        <w:t>., 2025). Annual changes retrieved by the ACE-FTS instrument averaged over the atmospheric box bounded by ~9.5 to 15.5 km altitude and 30° north to 30° south latitude are similar to those derived for the surface with AGAGE data; the mean increase during 2012 to 2024 was 1.03 ppt yr</w:t>
      </w:r>
      <w:r w:rsidR="00C24D84">
        <w:rPr>
          <w:vertAlign w:val="superscript"/>
        </w:rPr>
        <w:sym w:font="Symbol" w:char="F02D"/>
      </w:r>
      <w:r>
        <w:rPr>
          <w:vertAlign w:val="superscript"/>
        </w:rPr>
        <w:t>1</w:t>
      </w:r>
      <w:r>
        <w:t xml:space="preserve"> from ACE-FTS and 1.07 ppt yr</w:t>
      </w:r>
      <w:r w:rsidR="00C24D84">
        <w:rPr>
          <w:vertAlign w:val="superscript"/>
        </w:rPr>
        <w:sym w:font="Symbol" w:char="F02D"/>
      </w:r>
      <w:r>
        <w:rPr>
          <w:vertAlign w:val="superscript"/>
        </w:rPr>
        <w:t>1</w:t>
      </w:r>
      <w:r>
        <w:t xml:space="preserve"> from AGAGE (Figure 1). </w:t>
      </w:r>
    </w:p>
    <w:p w14:paraId="7DDBE563" w14:textId="553170CA" w:rsidR="007A4B60" w:rsidRDefault="005169FA">
      <w:pPr>
        <w:spacing w:before="240" w:after="240"/>
      </w:pPr>
      <w:r>
        <w:t>Total global emissions of HFC-23 have been derived from mean surface abundances (</w:t>
      </w:r>
      <w:r w:rsidR="00AA1D75">
        <w:t xml:space="preserve">also used in this report as being equivalent to concentration or </w:t>
      </w:r>
      <w:r>
        <w:t>mole fraction) and their change over time measured by AGAGE updated through 2023 (Adam et al. 2024; Figure 2). Emission variations are highly correlated with hemispheric abundance differences for substances that are primarily emitted in one hemisphere. Thus, the correlated values in Figure 2 provide confidence that the interannual emission changes are valid and that the emissions emanate primarily from the northern hemisphere. HFC-23 global emissions in 2023 remained below values observed in 2018-2019, which were the highest estimated emissions in the measurement record.  Emissions in 2023 were 14.2 ± 0.7 kt yr</w:t>
      </w:r>
      <w:r w:rsidR="00C24D84">
        <w:rPr>
          <w:vertAlign w:val="superscript"/>
        </w:rPr>
        <w:sym w:font="Symbol" w:char="F02D"/>
      </w:r>
      <w:r>
        <w:rPr>
          <w:vertAlign w:val="superscript"/>
        </w:rPr>
        <w:t>1</w:t>
      </w:r>
      <w:r>
        <w:t>, which is 16 ± 6 % (2.7 ± 1.0 kt) below the 2018-2019 mean of 16.9 ± 0.7 kt yr</w:t>
      </w:r>
      <w:r w:rsidR="00C24D84">
        <w:rPr>
          <w:vertAlign w:val="superscript"/>
        </w:rPr>
        <w:sym w:font="Symbol" w:char="F02D"/>
      </w:r>
      <w:r>
        <w:rPr>
          <w:vertAlign w:val="superscript"/>
        </w:rPr>
        <w:t>1</w:t>
      </w:r>
      <w:r>
        <w:t xml:space="preserve">. </w:t>
      </w:r>
      <w:r w:rsidR="00FA1517">
        <w:t>While the decline in emissions from 2019 to 2022 averaged 0.8 kt yr</w:t>
      </w:r>
      <w:r w:rsidR="00FA1517">
        <w:rPr>
          <w:vertAlign w:val="superscript"/>
        </w:rPr>
        <w:sym w:font="Symbol" w:char="F02D"/>
      </w:r>
      <w:r w:rsidR="00FA1517">
        <w:rPr>
          <w:vertAlign w:val="superscript"/>
        </w:rPr>
        <w:t>1</w:t>
      </w:r>
      <w:r w:rsidR="00FA1517">
        <w:t>, e</w:t>
      </w:r>
      <w:r>
        <w:t xml:space="preserve">missions in 2023 </w:t>
      </w:r>
      <w:r w:rsidR="00FA1517">
        <w:t>we</w:t>
      </w:r>
      <w:r>
        <w:t>re comparable to the 14.4 ± 0.6 kt estimated for 2022.</w:t>
      </w:r>
    </w:p>
    <w:p w14:paraId="77FBF57B" w14:textId="77777777" w:rsidR="007A4B60" w:rsidRDefault="005169FA">
      <w:pPr>
        <w:spacing w:before="240" w:after="240"/>
      </w:pPr>
      <w:r>
        <w:rPr>
          <w:noProof/>
        </w:rPr>
        <w:drawing>
          <wp:inline distT="114300" distB="114300" distL="114300" distR="114300" wp14:anchorId="40BB3D11" wp14:editId="6A2288DE">
            <wp:extent cx="4913999" cy="311062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
                    <a:srcRect/>
                    <a:stretch>
                      <a:fillRect/>
                    </a:stretch>
                  </pic:blipFill>
                  <pic:spPr>
                    <a:xfrm>
                      <a:off x="0" y="0"/>
                      <a:ext cx="4913999" cy="3110624"/>
                    </a:xfrm>
                    <a:prstGeom prst="rect">
                      <a:avLst/>
                    </a:prstGeom>
                    <a:ln/>
                  </pic:spPr>
                </pic:pic>
              </a:graphicData>
            </a:graphic>
          </wp:inline>
        </w:drawing>
      </w:r>
    </w:p>
    <w:p w14:paraId="18056CE4" w14:textId="6977E612" w:rsidR="007A4B60" w:rsidRPr="00CC0A47" w:rsidRDefault="005169FA">
      <w:pPr>
        <w:spacing w:before="240" w:after="240"/>
        <w:rPr>
          <w:i/>
          <w:sz w:val="20"/>
          <w:szCs w:val="20"/>
        </w:rPr>
      </w:pPr>
      <w:r w:rsidRPr="00CC0A47">
        <w:rPr>
          <w:b/>
          <w:i/>
          <w:sz w:val="20"/>
          <w:szCs w:val="20"/>
        </w:rPr>
        <w:t>Figure 2</w:t>
      </w:r>
      <w:r w:rsidRPr="00CC0A47">
        <w:rPr>
          <w:i/>
          <w:sz w:val="20"/>
          <w:szCs w:val="20"/>
        </w:rPr>
        <w:t xml:space="preserve">. </w:t>
      </w:r>
      <w:r w:rsidRPr="00CC0A47">
        <w:rPr>
          <w:b/>
          <w:i/>
          <w:sz w:val="20"/>
          <w:szCs w:val="20"/>
        </w:rPr>
        <w:t>Global HFC-23 annual emissions and hemispheric concentration differences.</w:t>
      </w:r>
      <w:r w:rsidRPr="00CC0A47">
        <w:rPr>
          <w:i/>
          <w:sz w:val="20"/>
          <w:szCs w:val="20"/>
        </w:rPr>
        <w:t xml:space="preserve"> Global emissions were estimated using established methods (12-box model) from measured concentrations and trends at remote sites by AGAGE (</w:t>
      </w:r>
      <w:r w:rsidR="00AA1D75" w:rsidRPr="00CC0A47">
        <w:rPr>
          <w:i/>
          <w:sz w:val="20"/>
          <w:szCs w:val="20"/>
        </w:rPr>
        <w:t xml:space="preserve">left scale, </w:t>
      </w:r>
      <w:r w:rsidRPr="00CC0A47">
        <w:rPr>
          <w:i/>
          <w:sz w:val="20"/>
          <w:szCs w:val="20"/>
        </w:rPr>
        <w:t>blue points connected by line, 1-sigma uncertainties are shown as thinner lines; Adam et al., 2024; Prinn et al., 2018 and Park et al., 2023). Hemispheric mean differences (right-hand scale; north minus south) are shown as 12-month running means (dark black line) and monthly differences (gray line) and are estimated from measurements at two to three surface sites in each hemisphere.</w:t>
      </w:r>
    </w:p>
    <w:p w14:paraId="232F2E63" w14:textId="5C91227A" w:rsidR="007A4B60" w:rsidRPr="0000609F" w:rsidRDefault="005169FA" w:rsidP="0000609F">
      <w:pPr>
        <w:pStyle w:val="Heading2"/>
        <w:ind w:left="426" w:hanging="426"/>
      </w:pPr>
      <w:bookmarkStart w:id="4" w:name="_Toc208222657"/>
      <w:r w:rsidRPr="0000609F">
        <w:lastRenderedPageBreak/>
        <w:t xml:space="preserve">2.2 </w:t>
      </w:r>
      <w:r w:rsidR="00AE3DB3">
        <w:tab/>
      </w:r>
      <w:r w:rsidR="00AE3DB3">
        <w:tab/>
      </w:r>
      <w:r w:rsidRPr="0000609F">
        <w:t>Reported production of HCFC-22</w:t>
      </w:r>
      <w:bookmarkEnd w:id="4"/>
    </w:p>
    <w:p w14:paraId="64135159" w14:textId="71109965" w:rsidR="007A4B60" w:rsidRDefault="005169FA" w:rsidP="00523FB6">
      <w:pPr>
        <w:spacing w:before="240"/>
      </w:pPr>
      <w:r>
        <w:t xml:space="preserve">The decline in global HFC-23 emissions from 2019 to 2023 occurred </w:t>
      </w:r>
      <w:r w:rsidR="000A25A2">
        <w:t xml:space="preserve">as a </w:t>
      </w:r>
      <w:r>
        <w:t xml:space="preserve">substantial increase (15%) in production of HCFC-22 </w:t>
      </w:r>
      <w:r w:rsidR="000A25A2">
        <w:t xml:space="preserve">was reported </w:t>
      </w:r>
      <w:r>
        <w:t xml:space="preserve">for all uses (Figure 3). The production trend reflects sharp increases in production of HCFC-22 for feedstock uses in A5 countries; in non-A5 countries, production for feedstock uses has remained flat for over a decade. Summed production for controlled uses from A5 countries has decreased by about 50% since 2012. From non-A5 countries, production for controlled uses has decreased since 1995 </w:t>
      </w:r>
      <w:r w:rsidR="00683D8B">
        <w:t xml:space="preserve">from a peak value of 297 kt; this controlled production </w:t>
      </w:r>
      <w:r>
        <w:t>was less than 0.4 kt in 2023. Global HCFC-22 production reported in 2023 was 1180 kt, or slightly (2%) less than production in 2022 of 1200 kt.</w:t>
      </w:r>
    </w:p>
    <w:p w14:paraId="5424A4D0" w14:textId="2C879840" w:rsidR="007A4B60" w:rsidRDefault="005169FA" w:rsidP="00523FB6">
      <w:pPr>
        <w:spacing w:before="240"/>
      </w:pPr>
      <w:r>
        <w:t xml:space="preserve">Reported production of HCFC-22 </w:t>
      </w:r>
      <w:r w:rsidR="00AA1D75">
        <w:t xml:space="preserve">overall and for feedstock uses </w:t>
      </w:r>
      <w:r>
        <w:t xml:space="preserve">was dominated by China from 2010 to 2018 (years when publicly reported values are available; Figure 3). Related to this, HFC-23 generation associated with controlled fluorocarbon production has also been dominated by China. In 2023, China generated 19.2 kt of </w:t>
      </w:r>
      <w:r w:rsidR="00683D8B">
        <w:t xml:space="preserve">by-produced </w:t>
      </w:r>
      <w:r>
        <w:t>HFC-23, or 79% of the global total in that year (UNEP, 2024).</w:t>
      </w:r>
    </w:p>
    <w:p w14:paraId="1CD3A578" w14:textId="77777777" w:rsidR="007A4B60" w:rsidRDefault="005169FA" w:rsidP="00523FB6">
      <w:pPr>
        <w:spacing w:before="120" w:after="120"/>
      </w:pPr>
      <w:r>
        <w:rPr>
          <w:noProof/>
        </w:rPr>
        <w:drawing>
          <wp:inline distT="114300" distB="114300" distL="114300" distR="114300" wp14:anchorId="49E9A8BB" wp14:editId="0EF5042D">
            <wp:extent cx="5935762" cy="2596896"/>
            <wp:effectExtent l="0" t="0" r="8255" b="0"/>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6"/>
                    <a:srcRect/>
                    <a:stretch>
                      <a:fillRect/>
                    </a:stretch>
                  </pic:blipFill>
                  <pic:spPr>
                    <a:xfrm>
                      <a:off x="0" y="0"/>
                      <a:ext cx="5935762" cy="2596896"/>
                    </a:xfrm>
                    <a:prstGeom prst="rect">
                      <a:avLst/>
                    </a:prstGeom>
                    <a:ln/>
                  </pic:spPr>
                </pic:pic>
              </a:graphicData>
            </a:graphic>
          </wp:inline>
        </w:drawing>
      </w:r>
    </w:p>
    <w:p w14:paraId="7E7FA144" w14:textId="77777777" w:rsidR="007A4B60" w:rsidRPr="00CC0A47" w:rsidRDefault="005169FA" w:rsidP="00AA4A75">
      <w:pPr>
        <w:spacing w:before="120"/>
        <w:rPr>
          <w:i/>
          <w:sz w:val="20"/>
          <w:szCs w:val="20"/>
        </w:rPr>
      </w:pPr>
      <w:r w:rsidRPr="00CC0A47">
        <w:rPr>
          <w:b/>
          <w:i/>
          <w:sz w:val="20"/>
          <w:szCs w:val="20"/>
        </w:rPr>
        <w:t>Figure 3</w:t>
      </w:r>
      <w:r w:rsidRPr="00CC0A47">
        <w:rPr>
          <w:i/>
          <w:sz w:val="20"/>
          <w:szCs w:val="20"/>
        </w:rPr>
        <w:t xml:space="preserve">: </w:t>
      </w:r>
      <w:r w:rsidRPr="00CC0A47">
        <w:rPr>
          <w:b/>
          <w:i/>
          <w:sz w:val="20"/>
          <w:szCs w:val="20"/>
        </w:rPr>
        <w:t>Global reported production of HCFC-22</w:t>
      </w:r>
      <w:r w:rsidRPr="00CC0A47">
        <w:rPr>
          <w:i/>
          <w:sz w:val="20"/>
          <w:szCs w:val="20"/>
        </w:rPr>
        <w:t xml:space="preserve">. Production of HCFC-22 reported to the Ozone Secretariat for all uses (left panel) and for only feedstock uses (right panel). Global totals in each panel (black lines) are broken out by contributions from A5 parties (tan lines), non-A5 parties (blue lines), and China (gray lines).  Sources of China’s totals: TEAP (2021, 2023); UNEP (2015). </w:t>
      </w:r>
    </w:p>
    <w:p w14:paraId="015AA225" w14:textId="4A9DD2F9" w:rsidR="007A4B60" w:rsidRPr="0000609F" w:rsidRDefault="005169FA" w:rsidP="00AA4A75">
      <w:pPr>
        <w:pStyle w:val="Heading2"/>
        <w:spacing w:before="240"/>
        <w:ind w:left="425" w:hanging="425"/>
      </w:pPr>
      <w:bookmarkStart w:id="5" w:name="_Toc208222658"/>
      <w:r w:rsidRPr="0000609F">
        <w:t xml:space="preserve">2.3 </w:t>
      </w:r>
      <w:r w:rsidR="00AE3DB3">
        <w:tab/>
      </w:r>
      <w:r w:rsidR="00AE3DB3">
        <w:tab/>
      </w:r>
      <w:r w:rsidRPr="0000609F">
        <w:t>On the global emission gap</w:t>
      </w:r>
      <w:bookmarkEnd w:id="5"/>
    </w:p>
    <w:p w14:paraId="6126230F" w14:textId="77777777" w:rsidR="002B0BC1" w:rsidRDefault="005169FA" w:rsidP="00AA4A75">
      <w:pPr>
        <w:spacing w:before="120"/>
      </w:pPr>
      <w:r>
        <w:t>Based on the updated information discussed herein, the difference or “emission gap” that emerged in 2015 between global HFC-23 emissions derived from observations in the remote-atmosphere and those that are reported has persisted through 2023 (Figure 4). The emission gap in 2023 is 11.4 – 12.8</w:t>
      </w:r>
      <w:r>
        <w:rPr>
          <w:sz w:val="16"/>
          <w:szCs w:val="16"/>
        </w:rPr>
        <w:t xml:space="preserve"> </w:t>
      </w:r>
      <w:r>
        <w:t>kt yr</w:t>
      </w:r>
      <w:r w:rsidR="00C24D84">
        <w:rPr>
          <w:vertAlign w:val="superscript"/>
        </w:rPr>
        <w:sym w:font="Symbol" w:char="F02D"/>
      </w:r>
      <w:r>
        <w:rPr>
          <w:vertAlign w:val="superscript"/>
        </w:rPr>
        <w:t>1</w:t>
      </w:r>
      <w:r>
        <w:t xml:space="preserve"> and is similar to the gap estimated for 2022 of 10.5 – 12.5 kt yr</w:t>
      </w:r>
      <w:r w:rsidR="00C24D84">
        <w:rPr>
          <w:vertAlign w:val="superscript"/>
        </w:rPr>
        <w:sym w:font="Symbol" w:char="F02D"/>
      </w:r>
      <w:r>
        <w:rPr>
          <w:vertAlign w:val="superscript"/>
        </w:rPr>
        <w:t>1</w:t>
      </w:r>
      <w:r>
        <w:t>, which was provided in the previous analysis by SAP (SAP, 2024). The updated gap estimate was derived with global emissions estimated for 2023 from atmospheric observations, A7 emissions reported for A5 countries in 2023 (UNEP, 2025) and UNFCCC reporting of HFC-23 emissions for Annex 1 countries through 2023, where available (the most recent reporting year for most countries; UNFCCC, 2024; 2025a; 2025b; 2025c; 2025d; 2025e, Manning et al., 2022 updated).</w:t>
      </w:r>
    </w:p>
    <w:p w14:paraId="1EFA7FDF" w14:textId="77777777" w:rsidR="00626FA0" w:rsidRDefault="00626FA0">
      <w:pPr>
        <w:ind w:left="180"/>
        <w:rPr>
          <w:b/>
          <w:i/>
        </w:rPr>
      </w:pPr>
      <w:r>
        <w:rPr>
          <w:noProof/>
          <w:color w:val="000000"/>
          <w:bdr w:val="none" w:sz="0" w:space="0" w:color="auto" w:frame="1"/>
        </w:rPr>
        <w:lastRenderedPageBreak/>
        <w:drawing>
          <wp:inline distT="0" distB="0" distL="0" distR="0" wp14:anchorId="2424554A" wp14:editId="2AAF05C1">
            <wp:extent cx="4906108" cy="354330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09582" cy="3545809"/>
                    </a:xfrm>
                    <a:prstGeom prst="rect">
                      <a:avLst/>
                    </a:prstGeom>
                    <a:noFill/>
                    <a:ln>
                      <a:noFill/>
                    </a:ln>
                  </pic:spPr>
                </pic:pic>
              </a:graphicData>
            </a:graphic>
          </wp:inline>
        </w:drawing>
      </w:r>
    </w:p>
    <w:p w14:paraId="41C79095" w14:textId="177C84AC" w:rsidR="007A4B60" w:rsidRPr="00AA4A75" w:rsidRDefault="005169FA">
      <w:pPr>
        <w:ind w:left="180"/>
        <w:rPr>
          <w:i/>
          <w:sz w:val="20"/>
          <w:szCs w:val="20"/>
        </w:rPr>
      </w:pPr>
      <w:r w:rsidRPr="00AA4A75">
        <w:rPr>
          <w:b/>
          <w:i/>
          <w:sz w:val="20"/>
          <w:szCs w:val="20"/>
        </w:rPr>
        <w:t>Figure 4: Comparisons of HFC-23 emissions and reported generation over time</w:t>
      </w:r>
      <w:r w:rsidRPr="00AA4A75">
        <w:rPr>
          <w:i/>
          <w:sz w:val="20"/>
          <w:szCs w:val="20"/>
        </w:rPr>
        <w:t>.</w:t>
      </w:r>
    </w:p>
    <w:p w14:paraId="200268D7" w14:textId="77777777" w:rsidR="007A4B60" w:rsidRPr="00AA4A75" w:rsidRDefault="005169FA" w:rsidP="000C73C6">
      <w:pPr>
        <w:ind w:left="630" w:hanging="450"/>
        <w:rPr>
          <w:i/>
          <w:sz w:val="20"/>
          <w:szCs w:val="20"/>
        </w:rPr>
      </w:pPr>
      <w:r w:rsidRPr="00AA4A75">
        <w:rPr>
          <w:i/>
          <w:sz w:val="20"/>
          <w:szCs w:val="20"/>
        </w:rPr>
        <w:t>“Atmosphere derived”: global emission estimates derived from measured atmospheric abundances in remote areas (blue line with dots, with ±1 standard deviation uncertainty shown by surrounding thin lines; Adam et al., 2024).</w:t>
      </w:r>
    </w:p>
    <w:p w14:paraId="177CC93D" w14:textId="77777777" w:rsidR="007A4B60" w:rsidRPr="00AA4A75" w:rsidRDefault="005169FA" w:rsidP="000C73C6">
      <w:pPr>
        <w:ind w:left="630" w:hanging="450"/>
        <w:rPr>
          <w:i/>
          <w:sz w:val="20"/>
          <w:szCs w:val="20"/>
        </w:rPr>
      </w:pPr>
      <w:r w:rsidRPr="00AA4A75">
        <w:rPr>
          <w:i/>
          <w:sz w:val="20"/>
          <w:szCs w:val="20"/>
        </w:rPr>
        <w:t>“UN(A1e)”: sum of emissions from Annex 1 countries reported to the UNFCCC (UNFCCC, 2024; 2025a; 2025c; 2025d; 2025e; updates to Manning et al., 2022) (green dashed line). Note: UNFCCC emissions from the USA are unavailable for 2023 and were assumed to be unchanged from 2022.</w:t>
      </w:r>
    </w:p>
    <w:p w14:paraId="2940E76D" w14:textId="77777777" w:rsidR="007A4B60" w:rsidRPr="00AA4A75" w:rsidRDefault="005169FA" w:rsidP="000C73C6">
      <w:pPr>
        <w:ind w:left="630" w:hanging="450"/>
        <w:rPr>
          <w:i/>
          <w:sz w:val="20"/>
          <w:szCs w:val="20"/>
        </w:rPr>
      </w:pPr>
      <w:r w:rsidRPr="00AA4A75">
        <w:rPr>
          <w:i/>
          <w:sz w:val="20"/>
          <w:szCs w:val="20"/>
        </w:rPr>
        <w:t>“UN(A1e) + MP(A5g)”: sum of emissions from Annex 1 countries reported to the UNFCCC plus HFC-23 generated from A5 countries (reported abatements are not included) (red dashed line) (Data from Stanley et al. (2020) through 2019 and from voluntary A7 reporting in 2020-2023, UNEP, 2025).</w:t>
      </w:r>
    </w:p>
    <w:p w14:paraId="39FB1844" w14:textId="77777777" w:rsidR="007A4B60" w:rsidRPr="00AA4A75" w:rsidRDefault="005169FA" w:rsidP="000C73C6">
      <w:pPr>
        <w:ind w:left="630" w:hanging="450"/>
        <w:rPr>
          <w:i/>
          <w:sz w:val="20"/>
          <w:szCs w:val="20"/>
        </w:rPr>
      </w:pPr>
      <w:r w:rsidRPr="00AA4A75">
        <w:rPr>
          <w:i/>
          <w:sz w:val="20"/>
          <w:szCs w:val="20"/>
        </w:rPr>
        <w:t xml:space="preserve">“UN(A1e) + </w:t>
      </w:r>
      <w:proofErr w:type="gramStart"/>
      <w:r w:rsidRPr="00AA4A75">
        <w:rPr>
          <w:i/>
          <w:sz w:val="20"/>
          <w:szCs w:val="20"/>
        </w:rPr>
        <w:t>MP(</w:t>
      </w:r>
      <w:proofErr w:type="gramEnd"/>
      <w:r w:rsidRPr="00AA4A75">
        <w:rPr>
          <w:i/>
          <w:sz w:val="20"/>
          <w:szCs w:val="20"/>
        </w:rPr>
        <w:t xml:space="preserve">A5g + abated)”: sum of emissions from Annex 1 countries reported to the UNFCCC </w:t>
      </w:r>
      <w:r w:rsidRPr="00AA4A75">
        <w:rPr>
          <w:i/>
          <w:sz w:val="20"/>
          <w:szCs w:val="20"/>
          <w:u w:val="single"/>
        </w:rPr>
        <w:t>plus</w:t>
      </w:r>
      <w:r w:rsidRPr="00AA4A75">
        <w:rPr>
          <w:i/>
          <w:sz w:val="20"/>
          <w:szCs w:val="20"/>
        </w:rPr>
        <w:t xml:space="preserve"> HFC-23 generated from A5 countries (MP(A5g)) </w:t>
      </w:r>
      <w:r w:rsidRPr="00AA4A75">
        <w:rPr>
          <w:i/>
          <w:sz w:val="20"/>
          <w:szCs w:val="20"/>
          <w:u w:val="single"/>
        </w:rPr>
        <w:t>minus</w:t>
      </w:r>
      <w:r w:rsidRPr="00AA4A75">
        <w:rPr>
          <w:i/>
          <w:sz w:val="20"/>
          <w:szCs w:val="20"/>
        </w:rPr>
        <w:t xml:space="preserve"> amounts abated (destroyed or used as feedstock) of generated HFC-23 during HCFC-22 production (red solid line with diamonds). This sum is defined as “expected” HFC-23 emissions in the text. They are estimated through 2012 as in Liang and Rigby et al. (2022) and Stanley et al.</w:t>
      </w:r>
      <w:r w:rsidRPr="00AA4A75">
        <w:rPr>
          <w:sz w:val="20"/>
          <w:szCs w:val="20"/>
        </w:rPr>
        <w:t xml:space="preserve"> (Figure 5)</w:t>
      </w:r>
      <w:r w:rsidRPr="00AA4A75">
        <w:rPr>
          <w:i/>
          <w:sz w:val="20"/>
          <w:szCs w:val="20"/>
        </w:rPr>
        <w:t xml:space="preserve"> (2020) and are based on reports under the UNFCCC Clean Development Mechanism (CDM) projects; after 2012, expected emissions are based on reported emissions, where available, or estimated emissions based on reported HCFC-22 production (for all uses) in the respective Article 5 countries, the assumed generation rates for HFC-23 by-production during HCFC-22 production (UNEP, 2018a;b), and information on HFC-23 management practices submitted by Article 5 countries. Note: the two values plotted for 2021 and 2022 show the difference in reporting by a single party in different publications (UNEP, 2022). </w:t>
      </w:r>
    </w:p>
    <w:p w14:paraId="70DEB01B" w14:textId="77777777" w:rsidR="007A4B60" w:rsidRPr="00AA4A75" w:rsidRDefault="005169FA" w:rsidP="000C73C6">
      <w:pPr>
        <w:ind w:left="630" w:hanging="450"/>
        <w:rPr>
          <w:i/>
          <w:sz w:val="20"/>
          <w:szCs w:val="20"/>
        </w:rPr>
      </w:pPr>
      <w:r w:rsidRPr="00AA4A75">
        <w:rPr>
          <w:i/>
          <w:sz w:val="20"/>
          <w:szCs w:val="20"/>
        </w:rPr>
        <w:t>“MP(A7e)”: emission totals from A7 reporting to the Ozone Secretariat for reporting countries; (black line; UNEP, 2025).</w:t>
      </w:r>
    </w:p>
    <w:p w14:paraId="2A16FFFC" w14:textId="77777777" w:rsidR="007A4B60" w:rsidRPr="00AA4A75" w:rsidRDefault="005169FA" w:rsidP="000C73C6">
      <w:pPr>
        <w:ind w:left="630" w:hanging="450"/>
        <w:rPr>
          <w:i/>
          <w:sz w:val="20"/>
          <w:szCs w:val="20"/>
        </w:rPr>
      </w:pPr>
      <w:r w:rsidRPr="00AA4A75">
        <w:rPr>
          <w:i/>
          <w:sz w:val="20"/>
          <w:szCs w:val="20"/>
        </w:rPr>
        <w:t>“</w:t>
      </w:r>
      <w:proofErr w:type="gramStart"/>
      <w:r w:rsidRPr="00AA4A75">
        <w:rPr>
          <w:i/>
          <w:sz w:val="20"/>
          <w:szCs w:val="20"/>
        </w:rPr>
        <w:t>UN(</w:t>
      </w:r>
      <w:proofErr w:type="gramEnd"/>
      <w:r w:rsidRPr="00AA4A75">
        <w:rPr>
          <w:i/>
          <w:sz w:val="20"/>
          <w:szCs w:val="20"/>
        </w:rPr>
        <w:t xml:space="preserve">A1e + nonA1e)”: the sum of UNFCCC net or actual emissions in 2010, 2012, and 2014 from all available countries (UNFCCC, 2025a; 2025b) (red diamonds with light-red fill). Note: values include emissions from only India and China in 2010 and only China in 2012 and 2014. </w:t>
      </w:r>
    </w:p>
    <w:p w14:paraId="4F6729E8" w14:textId="77777777" w:rsidR="007A4B60" w:rsidRPr="00AA4A75" w:rsidRDefault="005169FA" w:rsidP="000C73C6">
      <w:pPr>
        <w:ind w:left="630" w:hanging="450"/>
        <w:rPr>
          <w:i/>
          <w:sz w:val="20"/>
          <w:szCs w:val="20"/>
        </w:rPr>
      </w:pPr>
      <w:r w:rsidRPr="00AA4A75">
        <w:rPr>
          <w:i/>
          <w:sz w:val="20"/>
          <w:szCs w:val="20"/>
        </w:rPr>
        <w:t>“TEAP, 2025”: the sum of MP(A7e) emissions and from all other industrial processes estimated to be sources of HFC-23 (tan-colored square; TEAP, 2025).</w:t>
      </w:r>
    </w:p>
    <w:p w14:paraId="43BF8E6F" w14:textId="64C0CE05" w:rsidR="007A4B60" w:rsidRDefault="005169FA">
      <w:pPr>
        <w:spacing w:before="240" w:after="240"/>
      </w:pPr>
      <w:r>
        <w:lastRenderedPageBreak/>
        <w:t xml:space="preserve">As pointed out in the previous HFC-23 report (SAP, 2024), the last Scientific Assessment of Ozone Depletion report (Liang and Rigby et al., 2022), and additional scientific studies (Adam et al., 2024; Stanley et al., 2020; Simmonds et al., 2018), </w:t>
      </w:r>
      <w:r w:rsidR="00BA14DF">
        <w:t xml:space="preserve">the </w:t>
      </w:r>
      <w:r>
        <w:t>emergence of an emission gap beginning in 2015 occurred after 20+ years of good agreement between emissions derived from concentrations measured in the remote atmosphere and those from reporting-based expectations (the average difference from 1995 to 2014 was 0.7 ± 1.0 kt yr</w:t>
      </w:r>
      <w:r w:rsidR="00CE6B98" w:rsidRPr="00343018">
        <w:rPr>
          <w:vertAlign w:val="superscript"/>
        </w:rPr>
        <w:sym w:font="Symbol" w:char="F02D"/>
      </w:r>
      <w:r>
        <w:rPr>
          <w:vertAlign w:val="superscript"/>
        </w:rPr>
        <w:t>1</w:t>
      </w:r>
      <w:r>
        <w:t xml:space="preserve">) (Figure 4 &amp; 5). This earlier period includes substantial </w:t>
      </w:r>
      <w:r w:rsidR="00BA14DF">
        <w:t xml:space="preserve">declines in reported </w:t>
      </w:r>
      <w:r>
        <w:t>HFC-23 emission</w:t>
      </w:r>
      <w:r w:rsidR="00BA14DF">
        <w:t>s in</w:t>
      </w:r>
      <w:r>
        <w:t xml:space="preserve"> non-A5 countries and, in A5-countries, substantial destruction of HFC-23 (approaching 10 kt yr</w:t>
      </w:r>
      <w:r>
        <w:rPr>
          <w:vertAlign w:val="superscript"/>
        </w:rPr>
        <w:t>-1</w:t>
      </w:r>
      <w:r>
        <w:t xml:space="preserve"> in 2010 and 2011), mostly in China, which was facilitated and verified through UNFCCC’s Clean Development Mechanism (CDM) projects. </w:t>
      </w:r>
    </w:p>
    <w:p w14:paraId="26C81A68" w14:textId="330BCC78" w:rsidR="007A4B60" w:rsidRDefault="005169FA">
      <w:pPr>
        <w:spacing w:before="240" w:after="240"/>
      </w:pPr>
      <w:r>
        <w:t>The global emission gap increased from being negligible in 2014 to a value of about 15 kt yr</w:t>
      </w:r>
      <w:r w:rsidR="00CE6B98" w:rsidRPr="00343018">
        <w:rPr>
          <w:vertAlign w:val="superscript"/>
        </w:rPr>
        <w:sym w:font="Symbol" w:char="F02D"/>
      </w:r>
      <w:r>
        <w:rPr>
          <w:vertAlign w:val="superscript"/>
        </w:rPr>
        <w:t>1</w:t>
      </w:r>
      <w:r>
        <w:t xml:space="preserve"> in a span of 4 to 5 years; after 2019 the gap decreased slightly and by 2023 it was 11.4 – 12.8 kt yr</w:t>
      </w:r>
      <w:r>
        <w:rPr>
          <w:vertAlign w:val="superscript"/>
        </w:rPr>
        <w:t>-1</w:t>
      </w:r>
      <w:r>
        <w:t xml:space="preserve">. The emergence of the gap </w:t>
      </w:r>
      <w:r w:rsidR="00CE6B98">
        <w:t xml:space="preserve">occurred </w:t>
      </w:r>
      <w:r w:rsidR="00BA14DF">
        <w:t xml:space="preserve">at the same time as </w:t>
      </w:r>
      <w:r>
        <w:t>a large increase (greater than 15 kt yr</w:t>
      </w:r>
      <w:r>
        <w:rPr>
          <w:vertAlign w:val="superscript"/>
        </w:rPr>
        <w:t>-1</w:t>
      </w:r>
      <w:r>
        <w:t xml:space="preserve">) in the reported abatement (destroyed or used as feedstock) of HFC-23 generated during HCFC-22 production by a limited number of A5 countries (Figure 5). In contrast, global annual emissions derived from atmospheric measurements increased by only 4 kt over 2014 to 2023 (Figure 4). </w:t>
      </w:r>
    </w:p>
    <w:p w14:paraId="65A9D8B4" w14:textId="5C1275D5" w:rsidR="007A4B60" w:rsidRDefault="005169FA">
      <w:r>
        <w:t>A clear understanding of the underlying causes for the emergence and persistence of the emission gaps after 2014 remains elusive. Potential causes are abatements being smaller than reported, or an increasing trend in HFC-23 emissions beginning in 2015 either from an unknown source or from a known source with underestimated emissions. TEAP’s recent assessments (2024; 2025) have not identified any unaccounted</w:t>
      </w:r>
      <w:r w:rsidR="00527BFD">
        <w:t>-for</w:t>
      </w:r>
      <w:r>
        <w:t xml:space="preserve"> emission sources or processes that could explain this discrepancy</w:t>
      </w:r>
      <w:r w:rsidR="00BA14DF">
        <w:t xml:space="preserve"> or its rapid beginning in 2015</w:t>
      </w:r>
      <w:r>
        <w:t>. Furthermore, while atmospheric data on regional and global scales indicate that emissions continue at rates inconsistent with available reporting, they do not currently provide insight as to why emissions continue, be it from unexpected sources or from inaccurate reporting.</w:t>
      </w:r>
    </w:p>
    <w:p w14:paraId="3FEB51D3" w14:textId="77777777" w:rsidR="007A4B60" w:rsidRDefault="007A4B60">
      <w:pPr>
        <w:rPr>
          <w:color w:val="444746"/>
          <w:sz w:val="23"/>
          <w:szCs w:val="23"/>
        </w:rPr>
      </w:pPr>
    </w:p>
    <w:p w14:paraId="41AEDCBA" w14:textId="66AFF554" w:rsidR="007A4B60" w:rsidRDefault="005169FA">
      <w:r>
        <w:t>TEAP’s reassessed estimates of known sources (TEAP, 2025), and their updated emission totals from these sources remain unchanged compared to TEAP (2024) values. HFC-23 emissions from all known sources and reported abatements after 2020 are estimated to be 1.6 to 3.7 kt yr</w:t>
      </w:r>
      <w:r>
        <w:rPr>
          <w:vertAlign w:val="superscript"/>
        </w:rPr>
        <w:t>-1</w:t>
      </w:r>
      <w:r>
        <w:t>. By including this range of emissions and a revised upper limit of 0.215 kt yr</w:t>
      </w:r>
      <w:r w:rsidR="00CE6B98" w:rsidRPr="00343018">
        <w:rPr>
          <w:vertAlign w:val="superscript"/>
        </w:rPr>
        <w:sym w:font="Symbol" w:char="F02D"/>
      </w:r>
      <w:r>
        <w:rPr>
          <w:vertAlign w:val="superscript"/>
        </w:rPr>
        <w:t>1</w:t>
      </w:r>
      <w:r>
        <w:t xml:space="preserve"> for production from atmospheric oxidation of fluorinated gases (see Section 4), the difference in 2023 between emissions from all known sources and global emissions derived from atmospheric measurements in the remote atmosphere is 9.6 – 13.3 kt.</w:t>
      </w:r>
    </w:p>
    <w:p w14:paraId="6C569393" w14:textId="77777777" w:rsidR="007A4B60" w:rsidRDefault="007A4B60"/>
    <w:p w14:paraId="50685D98" w14:textId="3AF98CD0" w:rsidR="007A4B60" w:rsidRDefault="005169FA">
      <w:r>
        <w:t>From 2015 to 2019, the emission gaps increased at the same time as reported destruction in A5 countries, with the gap in emission being about 4 kt yr</w:t>
      </w:r>
      <w:r>
        <w:rPr>
          <w:vertAlign w:val="superscript"/>
        </w:rPr>
        <w:t>-1</w:t>
      </w:r>
      <w:r>
        <w:t xml:space="preserve"> smaller, on average, than reported destruction in A5 countries during these years (Figure 5). This difference is additional evidence for HFC-23 destruction </w:t>
      </w:r>
      <w:r w:rsidR="00436120">
        <w:t xml:space="preserve">occurring during </w:t>
      </w:r>
      <w:r>
        <w:t xml:space="preserve">those years. </w:t>
      </w:r>
    </w:p>
    <w:p w14:paraId="4EDB7F56" w14:textId="77777777" w:rsidR="007A4B60" w:rsidRDefault="007A4B60"/>
    <w:p w14:paraId="55B0EE64" w14:textId="3A0B0991" w:rsidR="007A4B60" w:rsidRDefault="005169FA">
      <w:r>
        <w:t xml:space="preserve">From 2019 to 2023, magnitudes of reported annual destruction </w:t>
      </w:r>
      <w:r w:rsidR="00436120">
        <w:t xml:space="preserve">becomes increasingly </w:t>
      </w:r>
      <w:r>
        <w:t>larger than the emission gap in each year, consistent with the destruction of HFC-23 continuing to exceed any unaccounted</w:t>
      </w:r>
      <w:r w:rsidR="00527BFD">
        <w:t>-for</w:t>
      </w:r>
      <w:r>
        <w:t xml:space="preserve"> emission.  Furthermore, through these </w:t>
      </w:r>
      <w:r w:rsidR="00436120">
        <w:t xml:space="preserve">latter </w:t>
      </w:r>
      <w:r>
        <w:t xml:space="preserve">years </w:t>
      </w:r>
      <w:r w:rsidR="00436120">
        <w:t xml:space="preserve">as reported </w:t>
      </w:r>
      <w:r>
        <w:t xml:space="preserve">destruction increases </w:t>
      </w:r>
      <w:r w:rsidR="00436120">
        <w:t xml:space="preserve">in A5 countries and overall, </w:t>
      </w:r>
      <w:r>
        <w:t>the gap decline</w:t>
      </w:r>
      <w:r w:rsidR="00436120">
        <w:t>s</w:t>
      </w:r>
      <w:r>
        <w:t xml:space="preserve">, potentially indicating even more effective abatements, possibly associated with the Kigali Amendments coming </w:t>
      </w:r>
      <w:r>
        <w:lastRenderedPageBreak/>
        <w:t>into force or a drop in emissions from unknown and/or unaccounted</w:t>
      </w:r>
      <w:r w:rsidR="00527BFD">
        <w:t>-for</w:t>
      </w:r>
      <w:r>
        <w:t xml:space="preserve"> sources during this period.  </w:t>
      </w:r>
    </w:p>
    <w:p w14:paraId="54F0DABD" w14:textId="77777777" w:rsidR="007A4B60" w:rsidRDefault="005169FA">
      <w:pPr>
        <w:spacing w:before="240" w:after="240"/>
      </w:pPr>
      <w:r>
        <w:rPr>
          <w:b/>
          <w:noProof/>
        </w:rPr>
        <w:drawing>
          <wp:inline distT="114300" distB="114300" distL="114300" distR="114300" wp14:anchorId="0857DD62" wp14:editId="644C040E">
            <wp:extent cx="4965192" cy="3182112"/>
            <wp:effectExtent l="0" t="0" r="6985" b="0"/>
            <wp:docPr id="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8"/>
                    <a:srcRect/>
                    <a:stretch>
                      <a:fillRect/>
                    </a:stretch>
                  </pic:blipFill>
                  <pic:spPr>
                    <a:xfrm>
                      <a:off x="0" y="0"/>
                      <a:ext cx="4965192" cy="3182112"/>
                    </a:xfrm>
                    <a:prstGeom prst="rect">
                      <a:avLst/>
                    </a:prstGeom>
                    <a:ln/>
                  </pic:spPr>
                </pic:pic>
              </a:graphicData>
            </a:graphic>
          </wp:inline>
        </w:drawing>
      </w:r>
    </w:p>
    <w:p w14:paraId="37046252" w14:textId="77777777" w:rsidR="007A4B60" w:rsidRPr="00CC0A47" w:rsidRDefault="005169FA" w:rsidP="000C73C6">
      <w:pPr>
        <w:ind w:left="630" w:hanging="450"/>
        <w:rPr>
          <w:i/>
          <w:sz w:val="20"/>
          <w:szCs w:val="20"/>
        </w:rPr>
      </w:pPr>
      <w:r w:rsidRPr="00CC0A47">
        <w:rPr>
          <w:b/>
          <w:i/>
          <w:sz w:val="20"/>
          <w:szCs w:val="20"/>
        </w:rPr>
        <w:t>Figure 5</w:t>
      </w:r>
      <w:r w:rsidRPr="00CC0A47">
        <w:rPr>
          <w:i/>
          <w:sz w:val="20"/>
          <w:szCs w:val="20"/>
        </w:rPr>
        <w:t xml:space="preserve">. </w:t>
      </w:r>
      <w:r w:rsidRPr="00CC0A47">
        <w:rPr>
          <w:b/>
          <w:i/>
          <w:sz w:val="20"/>
          <w:szCs w:val="20"/>
        </w:rPr>
        <w:t>Time evolution of the emission gap and reported emission abatements.</w:t>
      </w:r>
      <w:r w:rsidRPr="00CC0A47">
        <w:rPr>
          <w:i/>
          <w:sz w:val="20"/>
          <w:szCs w:val="20"/>
        </w:rPr>
        <w:t xml:space="preserve"> </w:t>
      </w:r>
    </w:p>
    <w:p w14:paraId="3E3CBF94" w14:textId="36FC4E4B" w:rsidR="007A4B60" w:rsidRPr="00CC0A47" w:rsidRDefault="005169FA" w:rsidP="000C73C6">
      <w:pPr>
        <w:ind w:left="630" w:hanging="450"/>
        <w:rPr>
          <w:i/>
          <w:sz w:val="20"/>
          <w:szCs w:val="20"/>
        </w:rPr>
      </w:pPr>
      <w:r w:rsidRPr="00CC0A47">
        <w:rPr>
          <w:i/>
          <w:sz w:val="20"/>
          <w:szCs w:val="20"/>
        </w:rPr>
        <w:t xml:space="preserve">“HFC-23 emission gap”: the difference between observationally derived and reporting-based estimates (black lines with dots and thin black lines showing uncertainties associated with observationally derived emission estimates). The values are the difference between the blue line with dots and </w:t>
      </w:r>
      <w:r w:rsidR="00436120" w:rsidRPr="00CC0A47">
        <w:rPr>
          <w:i/>
          <w:sz w:val="20"/>
          <w:szCs w:val="20"/>
        </w:rPr>
        <w:t xml:space="preserve">solid </w:t>
      </w:r>
      <w:r w:rsidRPr="00CC0A47">
        <w:rPr>
          <w:i/>
          <w:sz w:val="20"/>
          <w:szCs w:val="20"/>
        </w:rPr>
        <w:t>red line with diamonds from Figure 4). The two results shown for 2021 and 2022 reflect the different values reported by a single party in different publications (UNEP, 2022).</w:t>
      </w:r>
    </w:p>
    <w:p w14:paraId="3B8E57CC" w14:textId="77777777" w:rsidR="007A4B60" w:rsidRPr="00CC0A47" w:rsidRDefault="005169FA" w:rsidP="000C73C6">
      <w:pPr>
        <w:ind w:left="630" w:hanging="450"/>
        <w:rPr>
          <w:i/>
          <w:sz w:val="20"/>
          <w:szCs w:val="20"/>
        </w:rPr>
      </w:pPr>
      <w:r w:rsidRPr="00CC0A47">
        <w:rPr>
          <w:i/>
          <w:sz w:val="20"/>
          <w:szCs w:val="20"/>
        </w:rPr>
        <w:t>“CDM-reported destruction totals”: total reported destruction associated with CDM projects in all participating countries (yellow line with triangles; Stanley et al., 2020; with China accounting for approximately 75% of the totals in most years).</w:t>
      </w:r>
    </w:p>
    <w:p w14:paraId="5ECB0E71" w14:textId="3F381858" w:rsidR="007A4B60" w:rsidRPr="00CC0A47" w:rsidRDefault="005169FA" w:rsidP="000C73C6">
      <w:pPr>
        <w:ind w:left="630" w:hanging="450"/>
        <w:rPr>
          <w:i/>
          <w:sz w:val="20"/>
          <w:szCs w:val="20"/>
        </w:rPr>
      </w:pPr>
      <w:r w:rsidRPr="00CC0A47">
        <w:rPr>
          <w:i/>
          <w:sz w:val="20"/>
          <w:szCs w:val="20"/>
        </w:rPr>
        <w:t xml:space="preserve">“Destroyed* by A5 countries”: the amounts reported as destroyed or used as feedstock in </w:t>
      </w:r>
      <w:r w:rsidR="00016D55" w:rsidRPr="00CC0A47">
        <w:rPr>
          <w:i/>
          <w:sz w:val="20"/>
          <w:szCs w:val="20"/>
        </w:rPr>
        <w:t xml:space="preserve">various public sources </w:t>
      </w:r>
      <w:r w:rsidRPr="00CC0A47">
        <w:rPr>
          <w:i/>
          <w:sz w:val="20"/>
          <w:szCs w:val="20"/>
        </w:rPr>
        <w:t xml:space="preserve">(red lines with circles; </w:t>
      </w:r>
      <w:r w:rsidR="007C2FB5" w:rsidRPr="00CC0A47">
        <w:rPr>
          <w:i/>
          <w:sz w:val="20"/>
          <w:szCs w:val="20"/>
        </w:rPr>
        <w:t xml:space="preserve">TEAP, 2021; 2023; </w:t>
      </w:r>
      <w:r w:rsidRPr="00CC0A47">
        <w:rPr>
          <w:i/>
          <w:sz w:val="20"/>
          <w:szCs w:val="20"/>
        </w:rPr>
        <w:t xml:space="preserve">UNEP, </w:t>
      </w:r>
      <w:r w:rsidR="007C2FB5" w:rsidRPr="00CC0A47">
        <w:rPr>
          <w:i/>
          <w:sz w:val="20"/>
          <w:szCs w:val="20"/>
        </w:rPr>
        <w:t xml:space="preserve">2018a; 2018b; 2020; </w:t>
      </w:r>
      <w:r w:rsidRPr="00CC0A47">
        <w:rPr>
          <w:i/>
          <w:sz w:val="20"/>
          <w:szCs w:val="20"/>
        </w:rPr>
        <w:t xml:space="preserve">2025). </w:t>
      </w:r>
    </w:p>
    <w:p w14:paraId="2EF5DD05" w14:textId="10C17082" w:rsidR="007A4B60" w:rsidRPr="00CC0A47" w:rsidRDefault="005169FA" w:rsidP="000C73C6">
      <w:pPr>
        <w:ind w:left="630" w:hanging="450"/>
        <w:rPr>
          <w:i/>
          <w:sz w:val="20"/>
          <w:szCs w:val="20"/>
        </w:rPr>
      </w:pPr>
      <w:r w:rsidRPr="00CC0A47">
        <w:rPr>
          <w:i/>
          <w:sz w:val="20"/>
          <w:szCs w:val="20"/>
        </w:rPr>
        <w:t xml:space="preserve">“Destroyed* by all countries”: the amounts reported as destroyed or used as feedstock in </w:t>
      </w:r>
      <w:r w:rsidR="00016D55" w:rsidRPr="00CC0A47">
        <w:rPr>
          <w:i/>
          <w:sz w:val="20"/>
          <w:szCs w:val="20"/>
        </w:rPr>
        <w:t xml:space="preserve">voluntary </w:t>
      </w:r>
      <w:r w:rsidRPr="00CC0A47">
        <w:rPr>
          <w:i/>
          <w:sz w:val="20"/>
          <w:szCs w:val="20"/>
        </w:rPr>
        <w:t xml:space="preserve">A7 reporting from all countries (blue line and triangles; UNEP, 2025). </w:t>
      </w:r>
    </w:p>
    <w:p w14:paraId="292CC5BC" w14:textId="19B9FE33" w:rsidR="007A4B60" w:rsidRDefault="00016D55" w:rsidP="00523FB6">
      <w:pPr>
        <w:spacing w:before="120" w:after="240"/>
      </w:pPr>
      <w:r>
        <w:t>Current reporting indicates that t</w:t>
      </w:r>
      <w:r w:rsidR="005169FA">
        <w:t xml:space="preserve">he </w:t>
      </w:r>
      <w:r>
        <w:t xml:space="preserve">dominant </w:t>
      </w:r>
      <w:r w:rsidR="005169FA">
        <w:t xml:space="preserve">source of HFC-23 </w:t>
      </w:r>
      <w:r>
        <w:t xml:space="preserve">by-production </w:t>
      </w:r>
      <w:r w:rsidR="005169FA">
        <w:t>(</w:t>
      </w:r>
      <w:r>
        <w:t xml:space="preserve">accounting for </w:t>
      </w:r>
      <w:r w:rsidR="005169FA">
        <w:t>around 95%</w:t>
      </w:r>
      <w:r>
        <w:t xml:space="preserve"> of all processes</w:t>
      </w:r>
      <w:r w:rsidR="005169FA">
        <w:t>) remains over-fluorination of chloroform during the manufacture of HCFC-22 (TEAP, 2025). In the absence of mitigation, by-production generation of HFC-23 ranges from 1 to 4% of the HCFC-22 produced. As a result, the ratio of total HFC-23 emissions from all sources relative to HCFC-22 production for all uses (E</w:t>
      </w:r>
      <w:r w:rsidR="005169FA">
        <w:rPr>
          <w:vertAlign w:val="subscript"/>
        </w:rPr>
        <w:t>23</w:t>
      </w:r>
      <w:r w:rsidR="005169FA">
        <w:t>/P</w:t>
      </w:r>
      <w:r w:rsidR="005169FA">
        <w:rPr>
          <w:vertAlign w:val="subscript"/>
        </w:rPr>
        <w:t>22</w:t>
      </w:r>
      <w:r w:rsidR="005169FA">
        <w:t xml:space="preserve">) has been used to provide an understanding of the overall effectiveness of HFC-23 emissions mitigation associated with HCFC-22 production (Montzka et al., 2010; Montzka and </w:t>
      </w:r>
      <w:proofErr w:type="spellStart"/>
      <w:r w:rsidR="005169FA">
        <w:t>Velders</w:t>
      </w:r>
      <w:proofErr w:type="spellEnd"/>
      <w:r w:rsidR="005169FA">
        <w:t xml:space="preserve"> et al., 2018; Liang and Rigby et al., 2022; SAP, 2024).</w:t>
      </w:r>
    </w:p>
    <w:p w14:paraId="35AA8AA0" w14:textId="535231ED" w:rsidR="007A4B60" w:rsidRDefault="005169FA" w:rsidP="00523FB6">
      <w:pPr>
        <w:spacing w:before="120" w:after="240"/>
      </w:pPr>
      <w:r>
        <w:t>The E</w:t>
      </w:r>
      <w:r>
        <w:rPr>
          <w:vertAlign w:val="subscript"/>
        </w:rPr>
        <w:t>23</w:t>
      </w:r>
      <w:r>
        <w:t>/P</w:t>
      </w:r>
      <w:r>
        <w:rPr>
          <w:vertAlign w:val="subscript"/>
        </w:rPr>
        <w:t>22</w:t>
      </w:r>
      <w:r>
        <w:t xml:space="preserve"> ratio calculated for 2023 is 1.1% and is very similar to the value in 2022 (Figure 6).  These values are about half of what they would be if all HFC-23 directly associated with HCFC-22 production were released to the atmosphere (generated</w:t>
      </w:r>
      <w:r>
        <w:rPr>
          <w:vertAlign w:val="subscript"/>
        </w:rPr>
        <w:t>23</w:t>
      </w:r>
      <w:r>
        <w:t>/E</w:t>
      </w:r>
      <w:r>
        <w:rPr>
          <w:vertAlign w:val="subscript"/>
        </w:rPr>
        <w:t>22</w:t>
      </w:r>
      <w:r>
        <w:t>; dashed red line in Figure 6), but they remain substantially larger than expected based on reported abatements and emissions (E</w:t>
      </w:r>
      <w:r>
        <w:rPr>
          <w:vertAlign w:val="subscript"/>
        </w:rPr>
        <w:t>23</w:t>
      </w:r>
      <w:r>
        <w:t>/P</w:t>
      </w:r>
      <w:r>
        <w:rPr>
          <w:vertAlign w:val="subscript"/>
        </w:rPr>
        <w:t>22</w:t>
      </w:r>
      <w:r>
        <w:t xml:space="preserve"> of between 0.1 and 0.3%). Reporting-based values are in line with </w:t>
      </w:r>
      <w:r>
        <w:lastRenderedPageBreak/>
        <w:t>expectations by, for example, the MLF in its funded projects, where the Kigali Amendment requirement that emissions of by-produced HFC-23 be destroyed “to the extent practicable” corresponds to an E</w:t>
      </w:r>
      <w:r>
        <w:rPr>
          <w:vertAlign w:val="subscript"/>
        </w:rPr>
        <w:t>23</w:t>
      </w:r>
      <w:r>
        <w:t>/P</w:t>
      </w:r>
      <w:r>
        <w:rPr>
          <w:vertAlign w:val="subscript"/>
        </w:rPr>
        <w:t>22</w:t>
      </w:r>
      <w:r>
        <w:t xml:space="preserve"> of 0.1% (UNEP, 2022). While the cause for this discrepancy is not known, it may arise from a combination of factors such as overall mitigation rates being less than reported and/or substantial emissions of HFC-23 from sources not directly associated with HCFC-22 production or that are currently unidentified. TEAP (2025) estimates that HFC-23 emissions not directly associated with the HCFC-22 production process are 0.6 to 2.7 kt yr</w:t>
      </w:r>
      <w:r>
        <w:rPr>
          <w:vertAlign w:val="superscript"/>
        </w:rPr>
        <w:t>-1</w:t>
      </w:r>
      <w:r>
        <w:t xml:space="preserve"> and arise from </w:t>
      </w:r>
      <w:r w:rsidR="004D0BD1">
        <w:t xml:space="preserve">multiple processes including </w:t>
      </w:r>
      <w:r>
        <w:t xml:space="preserve">the manufacture of </w:t>
      </w:r>
      <w:proofErr w:type="spellStart"/>
      <w:r>
        <w:t>trifluoroethylene</w:t>
      </w:r>
      <w:proofErr w:type="spellEnd"/>
      <w:r>
        <w:t xml:space="preserve"> and hexafluoropropylene, </w:t>
      </w:r>
      <w:r w:rsidR="00915707">
        <w:t xml:space="preserve">production of </w:t>
      </w:r>
      <w:r>
        <w:t>other fluorochemical</w:t>
      </w:r>
      <w:r w:rsidR="00915707">
        <w:t>s</w:t>
      </w:r>
      <w:r>
        <w:t xml:space="preserve">, from </w:t>
      </w:r>
      <w:r w:rsidR="00915707">
        <w:t xml:space="preserve">manufacturing of </w:t>
      </w:r>
      <w:r>
        <w:t>semiconductor and electronics</w:t>
      </w:r>
      <w:r w:rsidR="00915707">
        <w:t xml:space="preserve"> equipment</w:t>
      </w:r>
      <w:r>
        <w:t>, from fire protection, from use as a feedstock, in low-temperature refrigeration, and other</w:t>
      </w:r>
      <w:r w:rsidR="00915707">
        <w:t>s</w:t>
      </w:r>
      <w:r>
        <w:t>.  Including these other sources in reporting-based emission magnitudes would not appreciably diminish the discrepancy apparent in Figure 6 between reporting-based and atmosphere-based estimates. The time-variations in the E</w:t>
      </w:r>
      <w:r>
        <w:rPr>
          <w:vertAlign w:val="subscript"/>
        </w:rPr>
        <w:t>23</w:t>
      </w:r>
      <w:r>
        <w:t>/P</w:t>
      </w:r>
      <w:r>
        <w:rPr>
          <w:vertAlign w:val="subscript"/>
        </w:rPr>
        <w:t>22</w:t>
      </w:r>
      <w:r>
        <w:t xml:space="preserve"> ratio suggest that one or both of these factors substantially increased after 2014.</w:t>
      </w:r>
    </w:p>
    <w:p w14:paraId="6A94E0FB" w14:textId="77777777" w:rsidR="007A4B60" w:rsidRDefault="005169FA" w:rsidP="00523FB6">
      <w:pPr>
        <w:spacing w:before="120" w:after="240"/>
        <w:rPr>
          <w:b/>
          <w:i/>
        </w:rPr>
      </w:pPr>
      <w:r>
        <w:rPr>
          <w:b/>
          <w:i/>
          <w:noProof/>
        </w:rPr>
        <w:drawing>
          <wp:inline distT="114300" distB="114300" distL="114300" distR="114300" wp14:anchorId="53E2C10A" wp14:editId="5C8F69B9">
            <wp:extent cx="4892040" cy="3785616"/>
            <wp:effectExtent l="0" t="0" r="3810" b="5715"/>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9"/>
                    <a:srcRect/>
                    <a:stretch>
                      <a:fillRect/>
                    </a:stretch>
                  </pic:blipFill>
                  <pic:spPr>
                    <a:xfrm>
                      <a:off x="0" y="0"/>
                      <a:ext cx="4892040" cy="3785616"/>
                    </a:xfrm>
                    <a:prstGeom prst="rect">
                      <a:avLst/>
                    </a:prstGeom>
                    <a:ln/>
                  </pic:spPr>
                </pic:pic>
              </a:graphicData>
            </a:graphic>
          </wp:inline>
        </w:drawing>
      </w:r>
    </w:p>
    <w:p w14:paraId="6C87FA9C" w14:textId="520C8D72" w:rsidR="007A4B60" w:rsidRPr="00CC0A47" w:rsidRDefault="005169FA" w:rsidP="00523FB6">
      <w:pPr>
        <w:spacing w:before="120" w:after="240"/>
        <w:ind w:left="180"/>
        <w:rPr>
          <w:i/>
          <w:sz w:val="20"/>
          <w:szCs w:val="20"/>
        </w:rPr>
      </w:pPr>
      <w:r w:rsidRPr="00CC0A47">
        <w:rPr>
          <w:b/>
          <w:i/>
          <w:sz w:val="20"/>
          <w:szCs w:val="20"/>
        </w:rPr>
        <w:t>Figure 6</w:t>
      </w:r>
      <w:r w:rsidRPr="00CC0A47">
        <w:rPr>
          <w:i/>
          <w:sz w:val="20"/>
          <w:szCs w:val="20"/>
        </w:rPr>
        <w:t xml:space="preserve">: </w:t>
      </w:r>
      <w:r w:rsidRPr="00CC0A47">
        <w:rPr>
          <w:b/>
          <w:i/>
          <w:sz w:val="20"/>
          <w:szCs w:val="20"/>
        </w:rPr>
        <w:t>Amounts of emitted or generated HFC-23 relative to reported HCFC-22 production</w:t>
      </w:r>
      <w:r w:rsidRPr="00CC0A47">
        <w:rPr>
          <w:i/>
          <w:sz w:val="20"/>
          <w:szCs w:val="20"/>
        </w:rPr>
        <w:t xml:space="preserve">. Different estimates of HFC-23 emissions or emitted plus generated HFC-23 are plotted relative to total reported HCFC-22 production for all uses.  HFC-23 emissions were estimated from atmospheric abundance measurements at remote sites (blue lines and dots, with 1 </w:t>
      </w:r>
      <w:proofErr w:type="spellStart"/>
      <w:r w:rsidRPr="00CC0A47">
        <w:rPr>
          <w:i/>
          <w:sz w:val="20"/>
          <w:szCs w:val="20"/>
        </w:rPr>
        <w:t>s.d.</w:t>
      </w:r>
      <w:proofErr w:type="spellEnd"/>
      <w:r w:rsidRPr="00CC0A47">
        <w:rPr>
          <w:i/>
          <w:sz w:val="20"/>
          <w:szCs w:val="20"/>
        </w:rPr>
        <w:t xml:space="preserve"> uncertainty shown by surrounding thin lines), and they were estimated from emissions reporting after subtractions associated with abated quantities as described in Figure 4 (red lines with diamonds). Also appearing is the sum of HFC-23 emissions from Annex 1 countries (UNFCCC, 202</w:t>
      </w:r>
      <w:r w:rsidR="00915707" w:rsidRPr="00CC0A47">
        <w:rPr>
          <w:i/>
          <w:sz w:val="20"/>
          <w:szCs w:val="20"/>
        </w:rPr>
        <w:t>5</w:t>
      </w:r>
      <w:r w:rsidRPr="00CC0A47">
        <w:rPr>
          <w:i/>
          <w:sz w:val="20"/>
          <w:szCs w:val="20"/>
        </w:rPr>
        <w:t>a) plus HFC-23 generated in A5 countries without any subtractions to account for reported abatements (dashed red line here and in Figure 4). All three timeseries of emissions have been divided by total production of HCFC-22 reported to the Ozone Secretariat for all uses.</w:t>
      </w:r>
    </w:p>
    <w:p w14:paraId="37711820" w14:textId="77777777" w:rsidR="0000609F" w:rsidRDefault="0000609F" w:rsidP="0000609F">
      <w:pPr>
        <w:pStyle w:val="Heading1"/>
        <w:sectPr w:rsidR="0000609F" w:rsidSect="002B0BC1">
          <w:type w:val="oddPage"/>
          <w:pgSz w:w="11900" w:h="16840"/>
          <w:pgMar w:top="1440" w:right="1440" w:bottom="1440" w:left="1440" w:header="720" w:footer="720" w:gutter="0"/>
          <w:cols w:space="720"/>
          <w:titlePg/>
          <w:docGrid w:linePitch="299"/>
        </w:sectPr>
      </w:pPr>
    </w:p>
    <w:p w14:paraId="7E5C48B9" w14:textId="23B385D5" w:rsidR="007A4B60" w:rsidRPr="00C42602" w:rsidRDefault="005169FA" w:rsidP="0000609F">
      <w:pPr>
        <w:pStyle w:val="Heading1"/>
      </w:pPr>
      <w:bookmarkStart w:id="6" w:name="_Toc208222659"/>
      <w:r w:rsidRPr="00C42602">
        <w:lastRenderedPageBreak/>
        <w:t xml:space="preserve">3 </w:t>
      </w:r>
      <w:r w:rsidR="00AE3DB3">
        <w:tab/>
      </w:r>
      <w:r w:rsidRPr="00C42602">
        <w:t>Regional contributions to HFC-23 emissions</w:t>
      </w:r>
      <w:bookmarkEnd w:id="6"/>
    </w:p>
    <w:p w14:paraId="355ECEE7" w14:textId="00B09148" w:rsidR="007A4B60" w:rsidRDefault="005169FA">
      <w:pPr>
        <w:spacing w:before="240" w:after="240"/>
      </w:pPr>
      <w:r>
        <w:t xml:space="preserve">As discussed in the SAP report (SAP, 2024), the understanding of the underlying causes for unusual or unexpected global emission magnitudes and trends of controlled gases may be improved by considering emissions on country-wide or regional scales. Since </w:t>
      </w:r>
      <w:r w:rsidR="00915707">
        <w:t>that report</w:t>
      </w:r>
      <w:r>
        <w:t xml:space="preserve">, emission estimates for a number of regions have been updated through 2023. The updates appeared in the scientific literature (Adam et al., 2024), </w:t>
      </w:r>
      <w:r w:rsidR="00915707">
        <w:t xml:space="preserve">and </w:t>
      </w:r>
      <w:r>
        <w:t xml:space="preserve">reporting to the UNFCCC (UNFCCC, 2025c; 2025d; updates to Manning et al., 2022). </w:t>
      </w:r>
    </w:p>
    <w:p w14:paraId="11344AC3" w14:textId="07637A46" w:rsidR="007A4B60" w:rsidRDefault="005169FA">
      <w:pPr>
        <w:spacing w:before="240" w:after="240"/>
      </w:pPr>
      <w:r>
        <w:t xml:space="preserve">In eastern Asia, updated results have been derived from continued measurements at the </w:t>
      </w:r>
      <w:proofErr w:type="spellStart"/>
      <w:r>
        <w:t>Gosan</w:t>
      </w:r>
      <w:proofErr w:type="spellEnd"/>
      <w:r>
        <w:t xml:space="preserve"> station located on Jeju Island in the Republic of Korea (Adam et al., 2024). These results extend the Park et al. (2022) HFC-23 measurement record past 2019 and through 2023. In both studies, HFC-23 emissions are estimated from eastern China, the Democratic People’s Republic of Korea, western Japan, and the Republic of Korea. Results from this work are relevant to the HFC-23 issue as the majority of global HCFC-22 production and HFC-23 by-production has </w:t>
      </w:r>
      <w:r w:rsidR="00915707">
        <w:t xml:space="preserve">historically </w:t>
      </w:r>
      <w:r>
        <w:t>occurred in this region (</w:t>
      </w:r>
      <w:r w:rsidR="00915707">
        <w:t xml:space="preserve">TEAP, 2021; 2023; </w:t>
      </w:r>
      <w:r>
        <w:t xml:space="preserve">UNEP, </w:t>
      </w:r>
      <w:r w:rsidR="00915707">
        <w:t xml:space="preserve">2018a; 2018b; </w:t>
      </w:r>
      <w:r>
        <w:t>202</w:t>
      </w:r>
      <w:r w:rsidR="00915707">
        <w:t>4</w:t>
      </w:r>
      <w:r>
        <w:t>). In particular, HFC-23 generation in China in 2023 was 19.3 kt, or 79% of global total generation reported to the Ozone Secretariat in that year. This value is slightly larger than China’s average contribution to global HFC-23 generation in 2013-2017 of 67-75% (or 13.6 – 17.3 kt yr</w:t>
      </w:r>
      <w:r>
        <w:rPr>
          <w:vertAlign w:val="superscript"/>
        </w:rPr>
        <w:t>-1</w:t>
      </w:r>
      <w:r>
        <w:t>) (</w:t>
      </w:r>
      <w:r>
        <w:rPr>
          <w:i/>
        </w:rPr>
        <w:t>TEAP, 2021; 2023; UNEP 2015</w:t>
      </w:r>
      <w:r>
        <w:t xml:space="preserve">). </w:t>
      </w:r>
    </w:p>
    <w:p w14:paraId="1E24E253" w14:textId="25CB5784" w:rsidR="007A4B60" w:rsidRDefault="005169FA">
      <w:pPr>
        <w:spacing w:before="240" w:after="240"/>
      </w:pPr>
      <w:r>
        <w:t xml:space="preserve">The main conclusions provided in Adam et al. (2024) are consistent with those described in Park et al. (2022): a) eastern China was the largest contributor (&gt;95%) to HFC-23 emissions </w:t>
      </w:r>
      <w:r w:rsidR="00915707">
        <w:t xml:space="preserve">from this region </w:t>
      </w:r>
      <w:r>
        <w:t>during 2008 to 2019, b) emissions from eastern China increased from 2015 to 2019, opposite to expectations for emissions from China as a whole based on large increases in HFC-23 emissions abatement associated with HCFC-22 production during those years, and c) emissions from eastern China were substantially larger after 2015 than suggested by information provided to the MLF on by-product abatement of HFC-23 generated during HCFC-22 production, which is consistent with obligations related to the HPPMP agreement with the Executive Committee.</w:t>
      </w:r>
    </w:p>
    <w:p w14:paraId="080B4892" w14:textId="0E569258" w:rsidR="007A4B60" w:rsidRDefault="005169FA">
      <w:pPr>
        <w:spacing w:before="240" w:after="240"/>
      </w:pPr>
      <w:r>
        <w:t xml:space="preserve">In the updated results provided by Adam et al., the increasing HFC-23 emission trend during 2015-2019 from eastern China reversed after 2019 (Figure 7). </w:t>
      </w:r>
      <w:r w:rsidR="00EE0AF3">
        <w:t xml:space="preserve">Eastern China’s </w:t>
      </w:r>
      <w:r>
        <w:t xml:space="preserve">HFC-23 emissions in each of the four years between 2020 and 2023 were less than </w:t>
      </w:r>
      <w:r w:rsidR="00EE0AF3">
        <w:t xml:space="preserve">they were </w:t>
      </w:r>
      <w:r>
        <w:t>in 2019. Annual emissions in 2020 (6.0 ± 0.7 kt yr</w:t>
      </w:r>
      <w:r>
        <w:rPr>
          <w:vertAlign w:val="superscript"/>
        </w:rPr>
        <w:t>-1</w:t>
      </w:r>
      <w:r>
        <w:t>) were well below those in 2019 (8.0 ± 1.1 kt yr</w:t>
      </w:r>
      <w:r>
        <w:rPr>
          <w:vertAlign w:val="superscript"/>
        </w:rPr>
        <w:t>-1</w:t>
      </w:r>
      <w:r>
        <w:t>), and emissions in 2021 (4.6 ± 0.5 kt yr</w:t>
      </w:r>
      <w:r>
        <w:rPr>
          <w:vertAlign w:val="superscript"/>
        </w:rPr>
        <w:t>-1</w:t>
      </w:r>
      <w:r>
        <w:t>) were even smaller, but this decreasing trend did not continue after 2021. Emissions in 2022 (4.9 ± 0.7 kt yr</w:t>
      </w:r>
      <w:r>
        <w:rPr>
          <w:vertAlign w:val="superscript"/>
        </w:rPr>
        <w:t>-</w:t>
      </w:r>
      <w:r>
        <w:t>) were similar to those in 2021, and those in 2023 were slightly enhanced (5.6 ± 0.7 kt yr</w:t>
      </w:r>
      <w:r>
        <w:rPr>
          <w:vertAlign w:val="superscript"/>
        </w:rPr>
        <w:t>-1</w:t>
      </w:r>
      <w:r>
        <w:t>) compared to 2021 and were indistinguishable from those in 2022. The Adam et al. (2024) emission estimate for eastern China in 2022 is consistent with a mean emission during 2021-2022 derived for this same region of 6.7 ± 3.1 kt yr</w:t>
      </w:r>
      <w:r>
        <w:rPr>
          <w:vertAlign w:val="superscript"/>
        </w:rPr>
        <w:t>-1</w:t>
      </w:r>
      <w:r>
        <w:t>, based on high-frequency HFC-23 measurements at the southern Chinese Guangzhou Institute of Geochemistry station (Huang et al., 2024). The 5.6 ± 0.7 kt yr</w:t>
      </w:r>
      <w:r>
        <w:rPr>
          <w:vertAlign w:val="superscript"/>
        </w:rPr>
        <w:t>-1</w:t>
      </w:r>
      <w:r>
        <w:t xml:space="preserve"> emission from eastern China in 2023 is larger than the 0.9 kt reported to the Ozone Secretariat, by 4.7 ± 0.7 kt yr</w:t>
      </w:r>
      <w:r>
        <w:rPr>
          <w:vertAlign w:val="superscript"/>
        </w:rPr>
        <w:t>-1</w:t>
      </w:r>
      <w:r>
        <w:t xml:space="preserve">, </w:t>
      </w:r>
      <w:r w:rsidR="00CE6B98">
        <w:t xml:space="preserve">and amount equivalent to </w:t>
      </w:r>
      <w:r>
        <w:t>40 ± 10 % of the global emission gap in 2023.</w:t>
      </w:r>
    </w:p>
    <w:p w14:paraId="33EBC848" w14:textId="6DE1B3B8" w:rsidR="007A4B60" w:rsidRDefault="005169FA">
      <w:pPr>
        <w:spacing w:before="240" w:after="240"/>
      </w:pPr>
      <w:r>
        <w:lastRenderedPageBreak/>
        <w:t>The decline in emissions estimated for eastern China after 2019 brings the observationally derived emissions closer to reporting-based estimates for all of China</w:t>
      </w:r>
      <w:r w:rsidR="00EE0AF3">
        <w:t>, but they remain substantially different</w:t>
      </w:r>
      <w:r>
        <w:t xml:space="preserve"> (Figure 7). A precise measure of this difference and how it has changed over time in China remains elusive, however, because the observationally derived estimates do not capture emissions from the entire country. The fraction of China’s HFC-23 emissions that contribute annually to measured concentrations at </w:t>
      </w:r>
      <w:proofErr w:type="spellStart"/>
      <w:r>
        <w:t>Gosan</w:t>
      </w:r>
      <w:proofErr w:type="spellEnd"/>
      <w:r>
        <w:t xml:space="preserve"> is not known.</w:t>
      </w:r>
    </w:p>
    <w:p w14:paraId="776F3151" w14:textId="07E36C05" w:rsidR="007A4B60" w:rsidRDefault="005169FA">
      <w:pPr>
        <w:spacing w:before="240" w:after="240"/>
      </w:pPr>
      <w:r>
        <w:t xml:space="preserve">The HFC-23 emissions estimated for eastern China in 2023 account for approximately 40 ± 5% of global total emissions in 2023, which is less than the value for 2008-2019 of 49 ± 11% (Adam et al., 2024). The change in emissions from 2019 to 2023 in eastern China </w:t>
      </w:r>
      <w:r w:rsidR="009E7B4C">
        <w:t xml:space="preserve">can </w:t>
      </w:r>
      <w:r>
        <w:t>account for about 80% of the concurrent change in total global emission.</w:t>
      </w:r>
    </w:p>
    <w:p w14:paraId="7FC3F558" w14:textId="3AB39E5C" w:rsidR="007A4B60" w:rsidRDefault="005169FA">
      <w:pPr>
        <w:spacing w:before="240" w:after="240"/>
      </w:pPr>
      <w:r>
        <w:t>Adam et al. (2024) also provide</w:t>
      </w:r>
      <w:r w:rsidR="009E7B4C">
        <w:t>d</w:t>
      </w:r>
      <w:r>
        <w:t xml:space="preserve"> updated emissions of HFC-23 from three other nearby countries or portions of countries in eastern Asia.  Emissions for 2023 from these regions totaled 0.34 kt yr</w:t>
      </w:r>
      <w:r>
        <w:rPr>
          <w:vertAlign w:val="superscript"/>
        </w:rPr>
        <w:t>-1</w:t>
      </w:r>
      <w:r>
        <w:t>, with the ROK. accounting for 0.23 ± 0.02 kt yr</w:t>
      </w:r>
      <w:r>
        <w:rPr>
          <w:vertAlign w:val="superscript"/>
        </w:rPr>
        <w:t>-1</w:t>
      </w:r>
      <w:r>
        <w:t>, western Japan accounting for 0.10 ± 0.07 kt yr</w:t>
      </w:r>
      <w:r>
        <w:rPr>
          <w:vertAlign w:val="superscript"/>
        </w:rPr>
        <w:t>-1</w:t>
      </w:r>
      <w:r>
        <w:t>, and DPRK accounting for 0.01 ± 0.01 kt yr</w:t>
      </w:r>
      <w:r>
        <w:rPr>
          <w:vertAlign w:val="superscript"/>
        </w:rPr>
        <w:t>-1</w:t>
      </w:r>
      <w:r>
        <w:t>. Although emissions from these countries represent a very small fraction of total global emissions and the emission gap, and suggest smaller emissions in 2023 than earlier years, those from ROK and western Japan were substantially larger than reported to the Ozone Secretariat (less than 0.01 kt for both countries) from controlled sources in 2023 and to the UNFCCC for all industrial sources in available years (0.01 kt in 2023 for Japan (UNFCCC, 2025e) and 0.04 kt in 2018 for ROK). In reporting to the Ozone Secretariat, emissions from the DPRK in 2023 (0.008 kt) are consistent with the observationally derived estimate. When taken together, the unreported emissions from these countries account for between 1.5 and 3% of the global emission gap in 2023.</w:t>
      </w:r>
    </w:p>
    <w:p w14:paraId="1BA83A2A" w14:textId="264FC2AF" w:rsidR="007A4B60" w:rsidRDefault="005169FA">
      <w:pPr>
        <w:spacing w:before="240" w:after="240"/>
      </w:pPr>
      <w:r>
        <w:t xml:space="preserve">In both the Park et al. (2022) and Adam et al. (2024) studies, emission estimates for the Korean peninsula are representative of those entire countries, while the studies only provided reliable estimates for western Japan. This region of Japan includes only a portion of their facilities producing HCFC-22. All three of these countries (i.e., ROK, DPRK and Japan) reported </w:t>
      </w:r>
      <w:r w:rsidR="00486A9C">
        <w:t xml:space="preserve">generation of HFC-23 </w:t>
      </w:r>
      <w:r>
        <w:t xml:space="preserve">to the Ozone Secretariat during 2023, and the </w:t>
      </w:r>
      <w:proofErr w:type="gramStart"/>
      <w:r>
        <w:t>sum total</w:t>
      </w:r>
      <w:proofErr w:type="gramEnd"/>
      <w:r>
        <w:t xml:space="preserve"> from these countries was less than </w:t>
      </w:r>
      <w:r w:rsidR="00486A9C">
        <w:t>4</w:t>
      </w:r>
      <w:r>
        <w:t xml:space="preserve">% of total </w:t>
      </w:r>
      <w:r w:rsidR="00486A9C">
        <w:t>global reported generation during that year</w:t>
      </w:r>
      <w:r>
        <w:t>.</w:t>
      </w:r>
    </w:p>
    <w:p w14:paraId="1FCC2737" w14:textId="77777777" w:rsidR="007A4B60" w:rsidRDefault="005169FA">
      <w:pPr>
        <w:spacing w:before="240" w:after="240"/>
      </w:pPr>
      <w:r>
        <w:t>In Adam et al. (2024), a slightly different analysis method was used to infer regional emissions than in Park et al. (2022). The different approach yielded less variable year-to-year changes in emissions; however, the updated regional emission estimates are similar (within 1 standard deviation) to those published by Park et al. (2022) in nearly all overlapping years and regions (exceptions are eastern China in 2009 and ROK in 2015).</w:t>
      </w:r>
    </w:p>
    <w:p w14:paraId="7609272B" w14:textId="77777777" w:rsidR="007A4B60" w:rsidRDefault="005169FA">
      <w:pPr>
        <w:spacing w:before="240" w:after="240"/>
        <w:rPr>
          <w:b/>
          <w:i/>
        </w:rPr>
      </w:pPr>
      <w:r>
        <w:rPr>
          <w:b/>
          <w:i/>
          <w:noProof/>
        </w:rPr>
        <w:lastRenderedPageBreak/>
        <w:drawing>
          <wp:inline distT="114300" distB="114300" distL="114300" distR="114300" wp14:anchorId="55AD0AA5" wp14:editId="6A7E3CF9">
            <wp:extent cx="5329238" cy="4364167"/>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0"/>
                    <a:srcRect/>
                    <a:stretch>
                      <a:fillRect/>
                    </a:stretch>
                  </pic:blipFill>
                  <pic:spPr>
                    <a:xfrm>
                      <a:off x="0" y="0"/>
                      <a:ext cx="5329238" cy="4364167"/>
                    </a:xfrm>
                    <a:prstGeom prst="rect">
                      <a:avLst/>
                    </a:prstGeom>
                    <a:ln/>
                  </pic:spPr>
                </pic:pic>
              </a:graphicData>
            </a:graphic>
          </wp:inline>
        </w:drawing>
      </w:r>
    </w:p>
    <w:p w14:paraId="583093AE" w14:textId="77777777" w:rsidR="007A4B60" w:rsidRPr="00CC0A47" w:rsidRDefault="005169FA" w:rsidP="000C73C6">
      <w:pPr>
        <w:ind w:left="630" w:hanging="450"/>
        <w:rPr>
          <w:i/>
          <w:sz w:val="20"/>
          <w:szCs w:val="20"/>
        </w:rPr>
      </w:pPr>
      <w:r w:rsidRPr="00CC0A47">
        <w:rPr>
          <w:b/>
          <w:i/>
          <w:sz w:val="20"/>
          <w:szCs w:val="20"/>
        </w:rPr>
        <w:t>Figure 7</w:t>
      </w:r>
      <w:r w:rsidRPr="00CC0A47">
        <w:rPr>
          <w:i/>
          <w:sz w:val="20"/>
          <w:szCs w:val="20"/>
        </w:rPr>
        <w:t xml:space="preserve">. </w:t>
      </w:r>
      <w:r w:rsidRPr="00CC0A47">
        <w:rPr>
          <w:b/>
          <w:i/>
          <w:sz w:val="20"/>
          <w:szCs w:val="20"/>
        </w:rPr>
        <w:t>Atmosphere-based and reporting-based emissions of HFC-23 from China</w:t>
      </w:r>
      <w:r w:rsidRPr="00CC0A47">
        <w:rPr>
          <w:i/>
          <w:sz w:val="20"/>
          <w:szCs w:val="20"/>
        </w:rPr>
        <w:t>.</w:t>
      </w:r>
    </w:p>
    <w:p w14:paraId="5A9E6C2D" w14:textId="77777777" w:rsidR="007A4B60" w:rsidRPr="00CC0A47" w:rsidRDefault="005169FA" w:rsidP="000C73C6">
      <w:pPr>
        <w:ind w:left="630" w:hanging="450"/>
        <w:rPr>
          <w:i/>
          <w:sz w:val="20"/>
          <w:szCs w:val="20"/>
        </w:rPr>
      </w:pPr>
      <w:r w:rsidRPr="00CC0A47">
        <w:rPr>
          <w:i/>
          <w:sz w:val="20"/>
          <w:szCs w:val="20"/>
        </w:rPr>
        <w:t xml:space="preserve">Emissions derived for different regions within China from atmospheric abundance measurements (blue lines and symbols; EC = eastern China, NC = northern China) are contrasted to emissions estimated for all of China from reports of emissions and abatements (red lines and symbols).  Atmosphere-based estimates for these different regions cannot be combined to supply an estimate of emissions from all regions of China.  </w:t>
      </w:r>
    </w:p>
    <w:p w14:paraId="0AA8DEC1" w14:textId="77777777" w:rsidR="007A4B60" w:rsidRPr="00CC0A47" w:rsidRDefault="005169FA" w:rsidP="000C73C6">
      <w:pPr>
        <w:ind w:left="630" w:hanging="450"/>
        <w:rPr>
          <w:i/>
          <w:sz w:val="20"/>
          <w:szCs w:val="20"/>
        </w:rPr>
      </w:pPr>
      <w:r w:rsidRPr="00CC0A47">
        <w:rPr>
          <w:i/>
          <w:sz w:val="20"/>
          <w:szCs w:val="20"/>
        </w:rPr>
        <w:t xml:space="preserve">Notes and sources: emissions from different portions of eastern China (EC) are derived from atmospheric measurements at Korea’s </w:t>
      </w:r>
      <w:proofErr w:type="spellStart"/>
      <w:r w:rsidRPr="00CC0A47">
        <w:rPr>
          <w:i/>
          <w:sz w:val="20"/>
          <w:szCs w:val="20"/>
        </w:rPr>
        <w:t>Gosan</w:t>
      </w:r>
      <w:proofErr w:type="spellEnd"/>
      <w:r w:rsidRPr="00CC0A47">
        <w:rPr>
          <w:i/>
          <w:sz w:val="20"/>
          <w:szCs w:val="20"/>
        </w:rPr>
        <w:t xml:space="preserve"> Station (filled blue circles with 1-s.d. error bars; Adam et al., 2024); from measurements at the Guangzhou Institute of Geochemistry (light-blue-filled blue circle using measurements from mid-2021 to mid-2023; Huang et al., 2024); and from measurements at the Lin’an regional station (Pu et al., 2020; white-filled blue circle labeled as EC*, measurements from mid-2012 through 2016). Emissions from northern China are derived from atmospheric measurements at the </w:t>
      </w:r>
      <w:proofErr w:type="spellStart"/>
      <w:r w:rsidRPr="00CC0A47">
        <w:rPr>
          <w:i/>
          <w:sz w:val="20"/>
          <w:szCs w:val="20"/>
        </w:rPr>
        <w:t>Shangdianzi</w:t>
      </w:r>
      <w:proofErr w:type="spellEnd"/>
      <w:r w:rsidRPr="00CC0A47">
        <w:rPr>
          <w:i/>
          <w:sz w:val="20"/>
          <w:szCs w:val="20"/>
        </w:rPr>
        <w:t xml:space="preserve"> Station (blue diamonds, derived using interspecies correlation with CO (light-blue filled diamonds in multiple years; Yao et al., 2012 in 2010-2011; and Yi et al., 2023 in 2020-2021) or HCFC-22 (white-filled diamond from 2020-2021) (Yi et al., 2023). Reporting-based emissions for all of China (red filled symbols and lines) are derived for 2010, 2012, and 2014 from reporting to the UNFCCC (UNFCCC, 2025); for 2015-2017 from reported by-product generation from HCFC-22 production and abatements (solid circles; UNEP, 2018a,b; TEAP, 2021, 2023); for 2018 as abated quantities for a fraction of total HCFC-22 production in China (TEAP, 2021, 2023); and for 2020-2023 from A7 reporting of emissions (UNEP, 2025).</w:t>
      </w:r>
    </w:p>
    <w:p w14:paraId="0B7654E1" w14:textId="77777777" w:rsidR="007A4B60" w:rsidRDefault="005169FA">
      <w:pPr>
        <w:spacing w:before="240" w:after="240"/>
      </w:pPr>
      <w:r>
        <w:t xml:space="preserve">Emissions of HFC-23 from countries or portions of countries in north-western Europe (NWEU; Ireland, the UK, France, Belgium, the Netherlands, Luxembourg, and Germany) have also been derived and updated from atmospheric observations at multiple sites in </w:t>
      </w:r>
      <w:r>
        <w:lastRenderedPageBreak/>
        <w:t>Europe and the UK (updates to Manning et al., 2022). These observationally derived emissions averaged 0.15 ± 0.04 kt yr</w:t>
      </w:r>
      <w:r>
        <w:rPr>
          <w:vertAlign w:val="superscript"/>
        </w:rPr>
        <w:t>-1</w:t>
      </w:r>
      <w:r>
        <w:t xml:space="preserve"> in 2022 and 2023. This value is substantially larger than the sum of emissions reported by these countries to the UNFCCC in 2022 (latest available reporting year; updates to Manning et al., 2022; UNFCCC, 2025d) of 0.02 kt. When taken together, the unreported emissions from these countries account for between 0.7 and 1.5% of the global emission gap in 2023.</w:t>
      </w:r>
    </w:p>
    <w:p w14:paraId="55A2E925" w14:textId="451F663D" w:rsidR="007A4B60" w:rsidRDefault="005169FA">
      <w:pPr>
        <w:spacing w:before="240" w:after="240"/>
      </w:pPr>
      <w:r>
        <w:t>In Australia, atmosphere-based emissions are derived from measurements at the Cape Grim, Tasmania station in southern Australia. National emissions of HFC-23 for Australia in 2023 were estimated to be 0.025 kt</w:t>
      </w:r>
      <w:r w:rsidR="00714178">
        <w:t xml:space="preserve"> yr</w:t>
      </w:r>
      <w:r w:rsidR="00714178">
        <w:rPr>
          <w:vertAlign w:val="superscript"/>
        </w:rPr>
        <w:t>-1</w:t>
      </w:r>
      <w:r>
        <w:t xml:space="preserve"> </w:t>
      </w:r>
      <w:r w:rsidR="00714178">
        <w:t>(no uncertainty specified), which is 0.03 kt yr</w:t>
      </w:r>
      <w:r w:rsidR="00854818">
        <w:rPr>
          <w:vertAlign w:val="superscript"/>
        </w:rPr>
        <w:sym w:font="Symbol" w:char="F02D"/>
      </w:r>
      <w:r w:rsidR="00714178">
        <w:rPr>
          <w:vertAlign w:val="superscript"/>
        </w:rPr>
        <w:t>1</w:t>
      </w:r>
      <w:r w:rsidR="00714178">
        <w:t xml:space="preserve"> less than </w:t>
      </w:r>
      <w:r>
        <w:t>the value reported to the UNFCCC for that year of 0.0547 kt (UNFCCC, 2025c).</w:t>
      </w:r>
    </w:p>
    <w:p w14:paraId="65D70D20" w14:textId="60A2154A" w:rsidR="007A4B60" w:rsidRDefault="005169FA">
      <w:pPr>
        <w:spacing w:before="240" w:after="240"/>
      </w:pPr>
      <w:r>
        <w:t>Summing observationally derived emissions in 2023 associated with NWEU, Australia, ROK, western Japan, and DPRK, yields a total emission of HFC-23 in 2022-2023 of approximately 0.5 ± 0.1 kt yr</w:t>
      </w:r>
      <w:r>
        <w:rPr>
          <w:vertAlign w:val="superscript"/>
        </w:rPr>
        <w:t>-1</w:t>
      </w:r>
      <w:r>
        <w:t xml:space="preserve">. This value is substantially larger than the emission sum of 0.14 kt reported </w:t>
      </w:r>
      <w:r w:rsidR="009E7B4C">
        <w:t xml:space="preserve">for these </w:t>
      </w:r>
      <w:r>
        <w:t>year</w:t>
      </w:r>
      <w:r w:rsidR="009E7B4C">
        <w:t>s</w:t>
      </w:r>
      <w:r>
        <w:t xml:space="preserve"> to the UNFCCC (UNFCCC, 2025c; 2025e; Manning et al., 2022 updated) or the 0.014 kt reported to the Ozone Secretariat for controlled uses in 2023 (UNEP, 2025), suggesting that unaccounted</w:t>
      </w:r>
      <w:r w:rsidR="00906395">
        <w:t>-</w:t>
      </w:r>
      <w:r>
        <w:t xml:space="preserve">for emissions from these countries are substantially larger than reported emissions but </w:t>
      </w:r>
      <w:r w:rsidR="009E7B4C">
        <w:t xml:space="preserve">are </w:t>
      </w:r>
      <w:r>
        <w:t>much smaller (approximately 0.4 ± 0.1 kt yr</w:t>
      </w:r>
      <w:r>
        <w:rPr>
          <w:vertAlign w:val="superscript"/>
        </w:rPr>
        <w:t>-1</w:t>
      </w:r>
      <w:r>
        <w:t xml:space="preserve"> or between 2 and 4%) than the global emission gap of 11.4 – 12.8 kt yr</w:t>
      </w:r>
      <w:r>
        <w:rPr>
          <w:vertAlign w:val="superscript"/>
        </w:rPr>
        <w:t>-1</w:t>
      </w:r>
      <w:r>
        <w:t xml:space="preserve"> in 2023.</w:t>
      </w:r>
    </w:p>
    <w:p w14:paraId="061F78EB" w14:textId="3982FE23" w:rsidR="007A4B60" w:rsidRDefault="005169FA">
      <w:pPr>
        <w:spacing w:before="240" w:after="240"/>
      </w:pPr>
      <w:r>
        <w:t xml:space="preserve">The regional HFC-23 emission estimates available in 2023 (as discussed above) </w:t>
      </w:r>
      <w:r w:rsidR="00302B57">
        <w:t xml:space="preserve">include </w:t>
      </w:r>
      <w:r w:rsidR="00701514">
        <w:t xml:space="preserve">countries or portions of countries that </w:t>
      </w:r>
      <w:r>
        <w:t>account</w:t>
      </w:r>
      <w:r w:rsidR="00F75159">
        <w:t>ed</w:t>
      </w:r>
      <w:r>
        <w:t xml:space="preserve"> for the majority (</w:t>
      </w:r>
      <w:r w:rsidR="00F75159">
        <w:t>93</w:t>
      </w:r>
      <w:r>
        <w:t xml:space="preserve">%) of </w:t>
      </w:r>
      <w:r w:rsidR="00C34AC9">
        <w:t xml:space="preserve">HFC-23 by-production </w:t>
      </w:r>
      <w:r>
        <w:t xml:space="preserve">in </w:t>
      </w:r>
      <w:r w:rsidR="00302B57">
        <w:t>that year</w:t>
      </w:r>
      <w:r>
        <w:t xml:space="preserve">. Atmosphere-based estimates of HFC-23 emissions are not available in the Kigali era (post 2019) for </w:t>
      </w:r>
      <w:r w:rsidR="00302B57">
        <w:t xml:space="preserve">the remaining </w:t>
      </w:r>
      <w:r>
        <w:t xml:space="preserve">countries </w:t>
      </w:r>
      <w:r w:rsidR="00302B57">
        <w:t>reporting HFC-23 generation</w:t>
      </w:r>
      <w:r w:rsidR="00302B57" w:rsidDel="00302B57">
        <w:t xml:space="preserve"> </w:t>
      </w:r>
      <w:r w:rsidR="00302B57">
        <w:t>in 2023:</w:t>
      </w:r>
      <w:r>
        <w:t xml:space="preserve"> Argentina, India, Mexico, the Russian Federation, and the USA. For reference, </w:t>
      </w:r>
      <w:r w:rsidR="00F31B58">
        <w:t xml:space="preserve">summed </w:t>
      </w:r>
      <w:r>
        <w:t xml:space="preserve">emissions of HFC-23 </w:t>
      </w:r>
      <w:r w:rsidR="00F31B58">
        <w:t xml:space="preserve">in 2022 and 2023 </w:t>
      </w:r>
      <w:r>
        <w:t xml:space="preserve">from these </w:t>
      </w:r>
      <w:r w:rsidR="00F31B58">
        <w:t xml:space="preserve">latter </w:t>
      </w:r>
      <w:r>
        <w:t xml:space="preserve">countries </w:t>
      </w:r>
      <w:r w:rsidR="00F31B58">
        <w:t xml:space="preserve">averaged </w:t>
      </w:r>
      <w:r>
        <w:t>0.</w:t>
      </w:r>
      <w:r w:rsidR="00F31B58">
        <w:t xml:space="preserve">05 </w:t>
      </w:r>
      <w:r>
        <w:t xml:space="preserve">kt HFC-23 in A7 reporting to the Ozone Secretariat </w:t>
      </w:r>
      <w:r w:rsidR="00F31B58">
        <w:t xml:space="preserve">in those years </w:t>
      </w:r>
      <w:r w:rsidR="009E7B4C">
        <w:t>(UNEP, 2025)</w:t>
      </w:r>
      <w:r>
        <w:t>, and for those countries reporting emissions from all uses to the UNFCCC (the USA and the Russian Federation; UNFCCC, 2024</w:t>
      </w:r>
      <w:r w:rsidR="009E7B4C">
        <w:t>; 20</w:t>
      </w:r>
      <w:r w:rsidR="002466A1">
        <w:t>25f</w:t>
      </w:r>
      <w:r>
        <w:t xml:space="preserve">) </w:t>
      </w:r>
      <w:r w:rsidR="00F75159">
        <w:t xml:space="preserve">HFC-23 emissions </w:t>
      </w:r>
      <w:r>
        <w:t>summed to approximately 1 kt in 2022.</w:t>
      </w:r>
    </w:p>
    <w:p w14:paraId="006E7F41" w14:textId="77777777" w:rsidR="007A4B60" w:rsidRDefault="007A4B60">
      <w:pPr>
        <w:spacing w:before="240"/>
      </w:pPr>
    </w:p>
    <w:p w14:paraId="08B74292" w14:textId="77777777" w:rsidR="0000609F" w:rsidRDefault="0000609F" w:rsidP="0000609F">
      <w:pPr>
        <w:pStyle w:val="Heading1"/>
        <w:sectPr w:rsidR="0000609F" w:rsidSect="002B0BC1">
          <w:type w:val="oddPage"/>
          <w:pgSz w:w="11900" w:h="16840"/>
          <w:pgMar w:top="1440" w:right="1440" w:bottom="1440" w:left="1440" w:header="720" w:footer="720" w:gutter="0"/>
          <w:cols w:space="720"/>
          <w:titlePg/>
          <w:docGrid w:linePitch="299"/>
        </w:sectPr>
      </w:pPr>
    </w:p>
    <w:p w14:paraId="2A1496B7" w14:textId="3921FB05" w:rsidR="007A4B60" w:rsidRPr="00C42602" w:rsidRDefault="005169FA" w:rsidP="0000609F">
      <w:pPr>
        <w:pStyle w:val="Heading1"/>
      </w:pPr>
      <w:bookmarkStart w:id="7" w:name="_Toc208222660"/>
      <w:r w:rsidRPr="00C42602">
        <w:lastRenderedPageBreak/>
        <w:t xml:space="preserve">4 </w:t>
      </w:r>
      <w:r w:rsidR="00AE3DB3">
        <w:tab/>
      </w:r>
      <w:r w:rsidRPr="00C42602">
        <w:t>Photo-chemical production of HFC-23 in the atmosphere</w:t>
      </w:r>
      <w:bookmarkEnd w:id="7"/>
    </w:p>
    <w:p w14:paraId="72E6A380" w14:textId="146A0BEE" w:rsidR="007A4B60" w:rsidRDefault="005169FA">
      <w:pPr>
        <w:spacing w:before="240" w:after="240"/>
      </w:pPr>
      <w:r>
        <w:t>In information provided in response to Decision XXXV/7 (SAP, 2024), source gases and the mechanisms that could lead to the chemical formation of HFC-23 in the atmosphere were identified</w:t>
      </w:r>
      <w:r w:rsidR="00112CDC">
        <w:t xml:space="preserve"> and discussed</w:t>
      </w:r>
      <w:r>
        <w:t>. HFC-23 is produced in the atmosphere during the oxidation of certain fluorocarbons by the hydroxyl radical and by ozone. In the hydroxyl-radical pathway, fluorocarbons oxidize to produce CF</w:t>
      </w:r>
      <w:r>
        <w:rPr>
          <w:vertAlign w:val="subscript"/>
        </w:rPr>
        <w:t>3</w:t>
      </w:r>
      <w:r>
        <w:t>CHO, which can chemically degrade to form HFC-23. The magnitude of the combined source from hydroxyl radical and ozone reactions in 2022 was estimated to be a flux of less than 0.43 kt HFC-23 yr</w:t>
      </w:r>
      <w:r>
        <w:rPr>
          <w:vertAlign w:val="superscript"/>
        </w:rPr>
        <w:t>-1</w:t>
      </w:r>
      <w:r>
        <w:t xml:space="preserve">, which accounted for less than 3.1% of global HFC-23 emissions in that year. </w:t>
      </w:r>
    </w:p>
    <w:p w14:paraId="151B539C" w14:textId="5F15FBFD" w:rsidR="007A4B60" w:rsidRDefault="005169FA">
      <w:pPr>
        <w:spacing w:before="240" w:after="240"/>
      </w:pPr>
      <w:r>
        <w:t>After the SAP (SAP, 2024) report was finalized, two experimental studies were published that substantially refine our understanding of the atmospheric chemical source of HFC-23 from hydroxyl radical reactions (Thomson et al., 2025 and Van Hoomissen et al., 2025). Product yields of HFC-23 were quantified for the first time from the photolysis of CF</w:t>
      </w:r>
      <w:r>
        <w:rPr>
          <w:vertAlign w:val="subscript"/>
        </w:rPr>
        <w:t>3</w:t>
      </w:r>
      <w:r>
        <w:t>CHO at wavelengths relevant to the troposphere; previously only upper limits to product yields had been determined. Both studies found only a small molar yield of HFC-23 in the UV photolysis of CF</w:t>
      </w:r>
      <w:r>
        <w:rPr>
          <w:vertAlign w:val="subscript"/>
        </w:rPr>
        <w:t>3</w:t>
      </w:r>
      <w:r>
        <w:t>CHO (0.17%, at 308 nm, a wavelength relevant for atmospheric photolysis in the troposphere), which is an intermediate formed in the atmospheric degradation of a number of source gases (e.g., HFC-143a (CH</w:t>
      </w:r>
      <w:r>
        <w:rPr>
          <w:vertAlign w:val="subscript"/>
        </w:rPr>
        <w:t>3</w:t>
      </w:r>
      <w:r>
        <w:t>CF</w:t>
      </w:r>
      <w:r>
        <w:rPr>
          <w:vertAlign w:val="subscript"/>
        </w:rPr>
        <w:t>3</w:t>
      </w:r>
      <w:r>
        <w:t>), HFO-1234ze(E) ((</w:t>
      </w:r>
      <w:r>
        <w:rPr>
          <w:i/>
        </w:rPr>
        <w:t>E</w:t>
      </w:r>
      <w:r>
        <w:t>)</w:t>
      </w:r>
      <w:r>
        <w:rPr>
          <w:i/>
        </w:rPr>
        <w:t>-</w:t>
      </w:r>
      <w:r>
        <w:t>CHF=CHCF</w:t>
      </w:r>
      <w:r>
        <w:rPr>
          <w:vertAlign w:val="subscript"/>
        </w:rPr>
        <w:t>3</w:t>
      </w:r>
      <w:r>
        <w:t>), and HCFO-1233zd(E) ((</w:t>
      </w:r>
      <w:r>
        <w:rPr>
          <w:i/>
        </w:rPr>
        <w:t>E</w:t>
      </w:r>
      <w:r>
        <w:t>)-CF</w:t>
      </w:r>
      <w:r>
        <w:rPr>
          <w:vertAlign w:val="subscript"/>
        </w:rPr>
        <w:t>3</w:t>
      </w:r>
      <w:r>
        <w:t>CH=</w:t>
      </w:r>
      <w:proofErr w:type="spellStart"/>
      <w:r>
        <w:t>CHCl</w:t>
      </w:r>
      <w:proofErr w:type="spellEnd"/>
      <w:r>
        <w:t>)</w:t>
      </w:r>
      <w:r w:rsidR="00112CDC">
        <w:t>; see Table 1</w:t>
      </w:r>
      <w:r>
        <w:t xml:space="preserve">). Confidence in this measured value is enhanced by the excellent agreement reported for this yield in the two studies, particularly because they used different experimental approaches. </w:t>
      </w:r>
    </w:p>
    <w:p w14:paraId="54634B55" w14:textId="4979C3B5" w:rsidR="007A4B60" w:rsidRDefault="005169FA">
      <w:pPr>
        <w:spacing w:before="240" w:after="240"/>
      </w:pPr>
      <w:r>
        <w:t>Synthetic gases having the chemical structure that can lead to the formation of HFC-23 via hydroxyl radical reaction and that have measurable atmospheric abundances in 2023 are given in Table 1. Included in this table are estimates of HFC-23 product yields (as the HFC-23 produced per source gas oxidized; Van Hoomissen et al., 2025). These yields were derived by quantifying the fraction of the CF</w:t>
      </w:r>
      <w:r>
        <w:rPr>
          <w:vertAlign w:val="subscript"/>
        </w:rPr>
        <w:t>3</w:t>
      </w:r>
      <w:r>
        <w:t>CHO formed in photooxidation reactions that leads to the formation of HFC-23 given</w:t>
      </w:r>
      <w:r w:rsidR="005B1DB5">
        <w:t xml:space="preserve"> the </w:t>
      </w:r>
      <w:r>
        <w:t>current understanding of the atmospheric chemistry of CF</w:t>
      </w:r>
      <w:r>
        <w:rPr>
          <w:vertAlign w:val="subscript"/>
        </w:rPr>
        <w:t>3</w:t>
      </w:r>
      <w:r>
        <w:t>CHO. The yields are upper-limits for HFC-23 formation in part because the shortest CF</w:t>
      </w:r>
      <w:r>
        <w:rPr>
          <w:vertAlign w:val="subscript"/>
        </w:rPr>
        <w:t>3</w:t>
      </w:r>
      <w:r>
        <w:t xml:space="preserve">CHO photolysis lifetime in the literature (4 days) was used for the estimations. </w:t>
      </w:r>
      <w:r w:rsidR="00112CDC">
        <w:t xml:space="preserve">An even smaller upper limit estimate would be derived if a longer lifetime for photolysis was included or if additional </w:t>
      </w:r>
      <w:r>
        <w:t>degradation processes for CF</w:t>
      </w:r>
      <w:r>
        <w:rPr>
          <w:vertAlign w:val="subscript"/>
        </w:rPr>
        <w:t>3</w:t>
      </w:r>
      <w:r>
        <w:t xml:space="preserve">CHO </w:t>
      </w:r>
      <w:r w:rsidR="00112CDC">
        <w:t xml:space="preserve">that do not </w:t>
      </w:r>
      <w:r>
        <w:t xml:space="preserve">create HFC-23 (e.g., </w:t>
      </w:r>
      <w:r w:rsidR="00112CDC">
        <w:t xml:space="preserve">the possible reaction between </w:t>
      </w:r>
      <w:r>
        <w:t>CF</w:t>
      </w:r>
      <w:r>
        <w:rPr>
          <w:vertAlign w:val="subscript"/>
        </w:rPr>
        <w:t>3</w:t>
      </w:r>
      <w:r>
        <w:t xml:space="preserve">CHO </w:t>
      </w:r>
      <w:r w:rsidR="00112CDC">
        <w:t>and</w:t>
      </w:r>
      <w:r>
        <w:t xml:space="preserve"> HO</w:t>
      </w:r>
      <w:r>
        <w:rPr>
          <w:vertAlign w:val="subscript"/>
        </w:rPr>
        <w:t>2</w:t>
      </w:r>
      <w:r>
        <w:t xml:space="preserve">) </w:t>
      </w:r>
      <w:r w:rsidR="00112CDC">
        <w:t>were considered in the analysis</w:t>
      </w:r>
      <w:r>
        <w:t>.</w:t>
      </w:r>
    </w:p>
    <w:p w14:paraId="004DD68C" w14:textId="6A98E7CD" w:rsidR="007A4B60" w:rsidRDefault="005169FA">
      <w:pPr>
        <w:spacing w:before="240" w:after="240"/>
      </w:pPr>
      <w:r>
        <w:t xml:space="preserve">In addition, Van Hoomissen et al. (2025) evaluated the </w:t>
      </w:r>
      <w:r w:rsidR="00112CDC">
        <w:t xml:space="preserve">chemical </w:t>
      </w:r>
      <w:r>
        <w:t>source flux of HFC-23 (in kt yr</w:t>
      </w:r>
      <w:r w:rsidR="00112CDC">
        <w:rPr>
          <w:vertAlign w:val="superscript"/>
        </w:rPr>
        <w:sym w:font="Symbol" w:char="F02D"/>
      </w:r>
      <w:r>
        <w:rPr>
          <w:vertAlign w:val="superscript"/>
        </w:rPr>
        <w:t>1</w:t>
      </w:r>
      <w:r>
        <w:t xml:space="preserve">) for each of these molecules given their measured atmospheric abundance in recent years (Table 1). </w:t>
      </w:r>
    </w:p>
    <w:p w14:paraId="452C6418" w14:textId="77777777" w:rsidR="007A4B60" w:rsidRDefault="005169FA">
      <w:pPr>
        <w:spacing w:before="240" w:after="240"/>
      </w:pPr>
      <w:r>
        <w:t xml:space="preserve">Ozonolysis of certain </w:t>
      </w:r>
      <w:proofErr w:type="spellStart"/>
      <w:r>
        <w:t>hydrofluoroolefins</w:t>
      </w:r>
      <w:proofErr w:type="spellEnd"/>
      <w:r>
        <w:t xml:space="preserve"> (HFOs) can also lead to the chemical production of HFC-23 in the atmosphere (McGillen et al., 2023). This process accounts for less than 5% of the atmospheric chemical source of HFC-23 (Table 1 and 2) (Van Hoomissen et al., 2025). </w:t>
      </w:r>
    </w:p>
    <w:p w14:paraId="5308BF24" w14:textId="69EC737C" w:rsidR="007A4B60" w:rsidRDefault="005169FA">
      <w:pPr>
        <w:spacing w:before="240" w:after="240"/>
        <w:rPr>
          <w:highlight w:val="white"/>
        </w:rPr>
      </w:pPr>
      <w:r>
        <w:t>Based on these new studies, the contribution of fluorocarbon oxidation reactions to HFC-23 in the atmosphere is estimated to be less than 0.215 kt yr</w:t>
      </w:r>
      <w:r>
        <w:rPr>
          <w:vertAlign w:val="superscript"/>
        </w:rPr>
        <w:t>-1</w:t>
      </w:r>
      <w:r>
        <w:t xml:space="preserve"> (Table 1, Table 2), which is a </w:t>
      </w:r>
      <w:r>
        <w:lastRenderedPageBreak/>
        <w:t xml:space="preserve">factor of 2 smaller than the estimate in the earlier SAP report (2024). As discussed above, this value is a conservative upper limit, meaning that </w:t>
      </w:r>
      <w:r>
        <w:rPr>
          <w:highlight w:val="white"/>
        </w:rPr>
        <w:t>the actual value is likely smaller.</w:t>
      </w:r>
    </w:p>
    <w:p w14:paraId="1199A8D0" w14:textId="29EF3089" w:rsidR="007A4B60" w:rsidRPr="0000609F" w:rsidRDefault="005169FA" w:rsidP="0000609F">
      <w:pPr>
        <w:pStyle w:val="Heading2"/>
        <w:ind w:left="426" w:hanging="426"/>
      </w:pPr>
      <w:bookmarkStart w:id="8" w:name="_Toc208222661"/>
      <w:r w:rsidRPr="0000609F">
        <w:t xml:space="preserve">4.1 </w:t>
      </w:r>
      <w:r w:rsidR="00AE3DB3">
        <w:tab/>
      </w:r>
      <w:r w:rsidR="00AE3DB3">
        <w:tab/>
      </w:r>
      <w:r w:rsidRPr="0000609F">
        <w:t>Knowledge gaps related to atmospheric production of HFC-23</w:t>
      </w:r>
      <w:bookmarkEnd w:id="8"/>
    </w:p>
    <w:p w14:paraId="4EEDFA25" w14:textId="6070BC14" w:rsidR="007A4B60" w:rsidRDefault="005169FA">
      <w:pPr>
        <w:spacing w:before="240" w:after="240"/>
      </w:pPr>
      <w:r>
        <w:t>The recent experimental studies of Thomson et al. (2025) and Van Hoomissen et al. (2025) have addressed the primary gap in the understanding of HFC-23 production in the UV photolysis of CF</w:t>
      </w:r>
      <w:r>
        <w:rPr>
          <w:vertAlign w:val="subscript"/>
        </w:rPr>
        <w:t>3</w:t>
      </w:r>
      <w:r>
        <w:t>CHO relevant for the lower atmosphere. Further refinements to our understanding await studies that address some other processes relevant to the atmospheric chemical production of HFC-23</w:t>
      </w:r>
      <w:r w:rsidR="008203E2">
        <w:t xml:space="preserve"> as discussed below</w:t>
      </w:r>
      <w:r>
        <w:t>.</w:t>
      </w:r>
    </w:p>
    <w:p w14:paraId="1AA23B54" w14:textId="5FEC3297" w:rsidR="007A4B60" w:rsidRDefault="005169FA">
      <w:pPr>
        <w:spacing w:before="240" w:after="240"/>
      </w:pPr>
      <w:r>
        <w:t>Thomson et al. (2025) and Van Hoomissen et al. (2025) measured HFC-23 production in the photolysis of CF</w:t>
      </w:r>
      <w:r>
        <w:rPr>
          <w:vertAlign w:val="subscript"/>
        </w:rPr>
        <w:t>3</w:t>
      </w:r>
      <w:r>
        <w:t>CHO as a function of pressure at 308 nm, a key photolysis wavelength relevant for the troposphere. Van Hoomissen et al. provided further constraints on the HFC-23 yield by measuring it at 248, 266, and 281 nm. While these results form the basis for constraining the yield at all wavelengths relevant to the troposphere, measurements at other wavelengths (particularly in the 295 to 308 nm region) would further refine the overall yields. Additional experimental measurements in this region, however, are challenging due primarily to limited high-power photolysis light sources available for use in this wavelength range.</w:t>
      </w:r>
    </w:p>
    <w:p w14:paraId="5CCACFD8" w14:textId="5054776A" w:rsidR="007A4B60" w:rsidRDefault="005169FA">
      <w:pPr>
        <w:spacing w:before="240" w:after="240"/>
      </w:pPr>
      <w:r>
        <w:t>A more accurate estimate of the chemical production of HFC-23 (less than 0.215 kt yr</w:t>
      </w:r>
      <w:r>
        <w:rPr>
          <w:vertAlign w:val="superscript"/>
        </w:rPr>
        <w:t>-1</w:t>
      </w:r>
      <w:r>
        <w:t xml:space="preserve">; Van </w:t>
      </w:r>
      <w:proofErr w:type="spellStart"/>
      <w:r>
        <w:t>Hoomissen</w:t>
      </w:r>
      <w:proofErr w:type="spellEnd"/>
      <w:r>
        <w:t xml:space="preserve"> et al., 2025) requires a better quantification of a number of processes that have significant uncertainties, such as (</w:t>
      </w:r>
      <w:proofErr w:type="spellStart"/>
      <w:r>
        <w:t>i</w:t>
      </w:r>
      <w:proofErr w:type="spellEnd"/>
      <w:r>
        <w:t>) CF</w:t>
      </w:r>
      <w:r>
        <w:rPr>
          <w:vertAlign w:val="subscript"/>
        </w:rPr>
        <w:t>3</w:t>
      </w:r>
      <w:r>
        <w:t>CHO loss to processes not producing HFC-23, for example by deposition or by the potential gas-phase reaction with HO</w:t>
      </w:r>
      <w:r>
        <w:rPr>
          <w:vertAlign w:val="subscript"/>
        </w:rPr>
        <w:t>2</w:t>
      </w:r>
      <w:r>
        <w:t xml:space="preserve"> (Long et al., 2022); </w:t>
      </w:r>
      <w:r w:rsidR="0003117B">
        <w:t>these</w:t>
      </w:r>
      <w:r>
        <w:t xml:space="preserve"> processes would </w:t>
      </w:r>
      <w:r w:rsidR="0003117B">
        <w:t xml:space="preserve">result in </w:t>
      </w:r>
      <w:r>
        <w:t>even smaller production rates of HFC-23, and (ii) production rates of CF</w:t>
      </w:r>
      <w:r>
        <w:rPr>
          <w:vertAlign w:val="subscript"/>
        </w:rPr>
        <w:t>3</w:t>
      </w:r>
      <w:r>
        <w:t xml:space="preserve">CHO from very short-lived substances (e.g., HFOs) that will depend strongly on the atmospheric abundance distributions of these gases that are not well known. </w:t>
      </w:r>
    </w:p>
    <w:p w14:paraId="6B947280" w14:textId="14FFFB19" w:rsidR="007A4B60" w:rsidRDefault="005169FA">
      <w:pPr>
        <w:spacing w:before="240" w:after="240"/>
        <w:rPr>
          <w:b/>
          <w:sz w:val="24"/>
          <w:szCs w:val="24"/>
        </w:rPr>
      </w:pPr>
      <w:r>
        <w:t>A better estimate of the atmospheric chemical source of HFC-23 may come from a global modeling analysis incorporating updated loss estimates for CF</w:t>
      </w:r>
      <w:r>
        <w:rPr>
          <w:vertAlign w:val="subscript"/>
        </w:rPr>
        <w:t>3</w:t>
      </w:r>
      <w:r>
        <w:t xml:space="preserve">CHO and other constraints. A modeling analysis </w:t>
      </w:r>
      <w:r w:rsidR="0003117B">
        <w:t>could</w:t>
      </w:r>
      <w:r>
        <w:t xml:space="preserve"> also help refine our understanding of chemical production in the stratosphere at the temperatures and pressure relevant to that atmospheric region. A box modeling analysis has been conducted (Pérez-Peña et al., 2023) to evaluate the chemical production of HFC-23. The fluxes they derive likely overestimate the true flux, as they were derived with a yield of HFC-23 that has been substantially revised and reduced by the results of Tomson et al. (2025) and Van Hoomissen et al. (2025).</w:t>
      </w:r>
    </w:p>
    <w:p w14:paraId="38F97AF5" w14:textId="77777777" w:rsidR="007A4B60" w:rsidRDefault="005169FA">
      <w:pPr>
        <w:spacing w:before="240" w:after="120"/>
        <w:rPr>
          <w:b/>
        </w:rPr>
      </w:pPr>
      <w:r>
        <w:br w:type="page"/>
      </w:r>
    </w:p>
    <w:p w14:paraId="55EED68E" w14:textId="374A2EA8" w:rsidR="007A4B60" w:rsidRPr="000C73C6" w:rsidRDefault="005169FA" w:rsidP="000C73C6">
      <w:pPr>
        <w:spacing w:before="240" w:after="120"/>
        <w:ind w:left="180"/>
        <w:rPr>
          <w:i/>
          <w:iCs/>
          <w:vertAlign w:val="superscript"/>
        </w:rPr>
      </w:pPr>
      <w:r w:rsidRPr="000C73C6">
        <w:rPr>
          <w:b/>
          <w:i/>
          <w:iCs/>
        </w:rPr>
        <w:lastRenderedPageBreak/>
        <w:t>Table 1</w:t>
      </w:r>
      <w:r w:rsidRPr="000C73C6">
        <w:rPr>
          <w:i/>
          <w:iCs/>
        </w:rPr>
        <w:t>.  Estimated photochemical sources of CF</w:t>
      </w:r>
      <w:r w:rsidRPr="000C73C6">
        <w:rPr>
          <w:i/>
          <w:iCs/>
          <w:vertAlign w:val="subscript"/>
        </w:rPr>
        <w:t>3</w:t>
      </w:r>
      <w:r w:rsidRPr="000C73C6">
        <w:rPr>
          <w:i/>
          <w:iCs/>
        </w:rPr>
        <w:t xml:space="preserve">CHO and HFC-23 under conditions relevant for the global troposphere, for hydrofluorocarbons (HFCs) and hydrochlorofluorocarbons (HCFCs) with reported atmospheric abundances. (Table S5 in Van </w:t>
      </w:r>
      <w:proofErr w:type="spellStart"/>
      <w:r w:rsidRPr="000C73C6">
        <w:rPr>
          <w:i/>
          <w:iCs/>
        </w:rPr>
        <w:t>Hoomissen</w:t>
      </w:r>
      <w:proofErr w:type="spellEnd"/>
      <w:r w:rsidRPr="000C73C6">
        <w:rPr>
          <w:i/>
          <w:iCs/>
        </w:rPr>
        <w:t xml:space="preserve"> et al., 2025) </w:t>
      </w:r>
      <w:r w:rsidRPr="000C73C6">
        <w:rPr>
          <w:i/>
          <w:iCs/>
          <w:vertAlign w:val="superscript"/>
        </w:rPr>
        <w:t>a</w:t>
      </w:r>
    </w:p>
    <w:tbl>
      <w:tblPr>
        <w:tblStyle w:val="a"/>
        <w:tblW w:w="89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5"/>
        <w:gridCol w:w="1575"/>
        <w:gridCol w:w="1335"/>
        <w:gridCol w:w="885"/>
        <w:gridCol w:w="900"/>
        <w:gridCol w:w="945"/>
        <w:gridCol w:w="915"/>
        <w:gridCol w:w="1170"/>
      </w:tblGrid>
      <w:tr w:rsidR="007A4B60" w:rsidRPr="005B1DB5" w14:paraId="1523CDE4" w14:textId="77777777">
        <w:trPr>
          <w:trHeight w:val="1740"/>
        </w:trPr>
        <w:tc>
          <w:tcPr>
            <w:tcW w:w="124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DEA4A65" w14:textId="77777777" w:rsidR="007A4B60" w:rsidRPr="005B1DB5" w:rsidRDefault="005169FA">
            <w:pPr>
              <w:spacing w:before="240" w:after="240"/>
              <w:jc w:val="center"/>
              <w:rPr>
                <w:sz w:val="18"/>
                <w:szCs w:val="18"/>
              </w:rPr>
            </w:pPr>
            <w:r w:rsidRPr="005B1DB5">
              <w:rPr>
                <w:sz w:val="18"/>
                <w:szCs w:val="18"/>
              </w:rPr>
              <w:t>Name</w:t>
            </w:r>
          </w:p>
        </w:tc>
        <w:tc>
          <w:tcPr>
            <w:tcW w:w="157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0350891" w14:textId="77777777" w:rsidR="007A4B60" w:rsidRPr="005B1DB5" w:rsidRDefault="005169FA">
            <w:pPr>
              <w:spacing w:before="240" w:after="240"/>
              <w:jc w:val="center"/>
              <w:rPr>
                <w:sz w:val="18"/>
                <w:szCs w:val="18"/>
              </w:rPr>
            </w:pPr>
            <w:r w:rsidRPr="005B1DB5">
              <w:rPr>
                <w:sz w:val="18"/>
                <w:szCs w:val="18"/>
              </w:rPr>
              <w:t>Formula</w:t>
            </w:r>
          </w:p>
        </w:tc>
        <w:tc>
          <w:tcPr>
            <w:tcW w:w="13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D967087" w14:textId="77777777" w:rsidR="007A4B60" w:rsidRPr="005B1DB5" w:rsidRDefault="005169FA">
            <w:pPr>
              <w:spacing w:before="240" w:after="20"/>
              <w:jc w:val="center"/>
              <w:rPr>
                <w:sz w:val="18"/>
                <w:szCs w:val="18"/>
              </w:rPr>
            </w:pPr>
            <w:r w:rsidRPr="005B1DB5">
              <w:rPr>
                <w:sz w:val="18"/>
                <w:szCs w:val="18"/>
              </w:rPr>
              <w:t xml:space="preserve">Global Atmospheric Abundance </w:t>
            </w:r>
            <w:r w:rsidRPr="005B1DB5">
              <w:rPr>
                <w:vertAlign w:val="superscript"/>
              </w:rPr>
              <w:t>b</w:t>
            </w:r>
            <w:r w:rsidRPr="005B1DB5">
              <w:rPr>
                <w:sz w:val="18"/>
                <w:szCs w:val="18"/>
              </w:rPr>
              <w:t xml:space="preserve"> (ppt)</w:t>
            </w:r>
          </w:p>
        </w:tc>
        <w:tc>
          <w:tcPr>
            <w:tcW w:w="8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F67BA50" w14:textId="77777777" w:rsidR="007A4B60" w:rsidRPr="005B1DB5" w:rsidRDefault="005169FA">
            <w:pPr>
              <w:spacing w:before="240" w:after="20"/>
              <w:jc w:val="center"/>
              <w:rPr>
                <w:sz w:val="18"/>
                <w:szCs w:val="18"/>
              </w:rPr>
            </w:pPr>
            <w:r w:rsidRPr="005B1DB5">
              <w:rPr>
                <w:sz w:val="18"/>
                <w:szCs w:val="18"/>
              </w:rPr>
              <w:t>Global Lifetime(yr)</w:t>
            </w:r>
          </w:p>
        </w:tc>
        <w:tc>
          <w:tcPr>
            <w:tcW w:w="9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9639602" w14:textId="77777777" w:rsidR="007A4B60" w:rsidRPr="005B1DB5" w:rsidRDefault="007A4B60">
            <w:pPr>
              <w:spacing w:after="20"/>
              <w:jc w:val="center"/>
              <w:rPr>
                <w:sz w:val="18"/>
                <w:szCs w:val="18"/>
              </w:rPr>
            </w:pPr>
          </w:p>
          <w:p w14:paraId="0C7EA9D0" w14:textId="77777777" w:rsidR="007A4B60" w:rsidRPr="005B1DB5" w:rsidRDefault="005169FA">
            <w:pPr>
              <w:spacing w:after="20"/>
              <w:jc w:val="center"/>
              <w:rPr>
                <w:sz w:val="18"/>
                <w:szCs w:val="18"/>
              </w:rPr>
            </w:pPr>
            <w:r w:rsidRPr="005B1DB5">
              <w:rPr>
                <w:sz w:val="18"/>
                <w:szCs w:val="18"/>
              </w:rPr>
              <w:t>Tropo-</w:t>
            </w:r>
          </w:p>
          <w:p w14:paraId="7245574B" w14:textId="77777777" w:rsidR="007A4B60" w:rsidRPr="005B1DB5" w:rsidRDefault="005169FA">
            <w:pPr>
              <w:spacing w:after="20"/>
              <w:jc w:val="center"/>
              <w:rPr>
                <w:sz w:val="18"/>
                <w:szCs w:val="18"/>
              </w:rPr>
            </w:pPr>
            <w:r w:rsidRPr="005B1DB5">
              <w:rPr>
                <w:sz w:val="18"/>
                <w:szCs w:val="18"/>
              </w:rPr>
              <w:t>spheric</w:t>
            </w:r>
          </w:p>
          <w:p w14:paraId="6932C411" w14:textId="399A4476" w:rsidR="007A4B60" w:rsidRPr="005B1DB5" w:rsidRDefault="005169FA">
            <w:pPr>
              <w:spacing w:after="20"/>
              <w:jc w:val="center"/>
              <w:rPr>
                <w:sz w:val="18"/>
                <w:szCs w:val="18"/>
              </w:rPr>
            </w:pPr>
            <w:r w:rsidRPr="005B1DB5">
              <w:rPr>
                <w:sz w:val="18"/>
                <w:szCs w:val="18"/>
              </w:rPr>
              <w:t>Lifetime</w:t>
            </w:r>
            <w:r w:rsidR="000C73C6" w:rsidRPr="005B1DB5">
              <w:rPr>
                <w:sz w:val="18"/>
                <w:szCs w:val="18"/>
              </w:rPr>
              <w:t xml:space="preserve"> </w:t>
            </w:r>
            <w:r w:rsidRPr="005B1DB5">
              <w:rPr>
                <w:sz w:val="18"/>
                <w:szCs w:val="18"/>
              </w:rPr>
              <w:t>(yr)</w:t>
            </w:r>
          </w:p>
        </w:tc>
        <w:tc>
          <w:tcPr>
            <w:tcW w:w="94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B98A8B3" w14:textId="1282A901" w:rsidR="007A4B60" w:rsidRPr="005B1DB5" w:rsidRDefault="005169FA">
            <w:pPr>
              <w:spacing w:before="240" w:after="20"/>
              <w:jc w:val="center"/>
              <w:rPr>
                <w:sz w:val="18"/>
                <w:szCs w:val="18"/>
              </w:rPr>
            </w:pPr>
            <w:r w:rsidRPr="005B1DB5">
              <w:rPr>
                <w:sz w:val="18"/>
                <w:szCs w:val="18"/>
              </w:rPr>
              <w:t>CF</w:t>
            </w:r>
            <w:r w:rsidRPr="005B1DB5">
              <w:rPr>
                <w:sz w:val="18"/>
                <w:szCs w:val="18"/>
                <w:vertAlign w:val="subscript"/>
              </w:rPr>
              <w:t>3</w:t>
            </w:r>
            <w:r w:rsidRPr="005B1DB5">
              <w:rPr>
                <w:sz w:val="18"/>
                <w:szCs w:val="18"/>
              </w:rPr>
              <w:t>CHOProduct</w:t>
            </w:r>
            <w:r w:rsidR="000C73C6" w:rsidRPr="005B1DB5">
              <w:rPr>
                <w:sz w:val="18"/>
                <w:szCs w:val="18"/>
              </w:rPr>
              <w:t xml:space="preserve"> </w:t>
            </w:r>
            <w:r w:rsidRPr="005B1DB5">
              <w:rPr>
                <w:sz w:val="18"/>
                <w:szCs w:val="18"/>
              </w:rPr>
              <w:t xml:space="preserve">Yield </w:t>
            </w:r>
            <w:r w:rsidRPr="005B1DB5">
              <w:rPr>
                <w:vertAlign w:val="superscript"/>
              </w:rPr>
              <w:t>c</w:t>
            </w:r>
            <w:r w:rsidRPr="005B1DB5">
              <w:rPr>
                <w:sz w:val="18"/>
                <w:szCs w:val="18"/>
              </w:rPr>
              <w:t xml:space="preserve"> (%)</w:t>
            </w:r>
          </w:p>
        </w:tc>
        <w:tc>
          <w:tcPr>
            <w:tcW w:w="91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A8CC3C8" w14:textId="77777777" w:rsidR="007A4B60" w:rsidRPr="005B1DB5" w:rsidRDefault="005169FA">
            <w:pPr>
              <w:spacing w:before="240" w:after="20"/>
              <w:jc w:val="center"/>
              <w:rPr>
                <w:sz w:val="18"/>
                <w:szCs w:val="18"/>
              </w:rPr>
            </w:pPr>
            <w:r w:rsidRPr="005B1DB5">
              <w:rPr>
                <w:sz w:val="18"/>
                <w:szCs w:val="18"/>
              </w:rPr>
              <w:t>HFC-23 Flux</w:t>
            </w:r>
          </w:p>
          <w:p w14:paraId="553F8095" w14:textId="77777777" w:rsidR="007A4B60" w:rsidRPr="005B1DB5" w:rsidRDefault="005169FA">
            <w:pPr>
              <w:spacing w:after="20"/>
              <w:jc w:val="center"/>
              <w:rPr>
                <w:sz w:val="18"/>
                <w:szCs w:val="18"/>
              </w:rPr>
            </w:pPr>
            <w:r w:rsidRPr="005B1DB5">
              <w:rPr>
                <w:sz w:val="18"/>
                <w:szCs w:val="18"/>
              </w:rPr>
              <w:t>(kt yr</w:t>
            </w:r>
            <w:r w:rsidRPr="005B1DB5">
              <w:rPr>
                <w:sz w:val="18"/>
                <w:szCs w:val="18"/>
                <w:vertAlign w:val="superscript"/>
              </w:rPr>
              <w:t>-1</w:t>
            </w:r>
            <w:r w:rsidRPr="005B1DB5">
              <w:rPr>
                <w:sz w:val="18"/>
                <w:szCs w:val="18"/>
              </w:rPr>
              <w:t>)</w:t>
            </w:r>
          </w:p>
        </w:tc>
        <w:tc>
          <w:tcPr>
            <w:tcW w:w="11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34C56D" w14:textId="77777777" w:rsidR="007A4B60" w:rsidRPr="005B1DB5" w:rsidRDefault="007A4B60">
            <w:pPr>
              <w:spacing w:after="20"/>
              <w:jc w:val="center"/>
              <w:rPr>
                <w:sz w:val="18"/>
                <w:szCs w:val="18"/>
              </w:rPr>
            </w:pPr>
          </w:p>
          <w:p w14:paraId="03868C4A" w14:textId="77777777" w:rsidR="007A4B60" w:rsidRPr="005B1DB5" w:rsidRDefault="005169FA">
            <w:pPr>
              <w:spacing w:after="20"/>
              <w:jc w:val="center"/>
              <w:rPr>
                <w:sz w:val="18"/>
                <w:szCs w:val="18"/>
              </w:rPr>
            </w:pPr>
            <w:r w:rsidRPr="005B1DB5">
              <w:rPr>
                <w:sz w:val="18"/>
                <w:szCs w:val="18"/>
              </w:rPr>
              <w:t>kt HFC-23 Produced</w:t>
            </w:r>
          </w:p>
          <w:p w14:paraId="5BC0B45F" w14:textId="77777777" w:rsidR="007A4B60" w:rsidRPr="005B1DB5" w:rsidRDefault="005169FA">
            <w:pPr>
              <w:spacing w:after="20"/>
              <w:jc w:val="center"/>
              <w:rPr>
                <w:sz w:val="18"/>
                <w:szCs w:val="18"/>
              </w:rPr>
            </w:pPr>
            <w:r w:rsidRPr="005B1DB5">
              <w:rPr>
                <w:sz w:val="18"/>
                <w:szCs w:val="18"/>
              </w:rPr>
              <w:t>per kt Source</w:t>
            </w:r>
          </w:p>
          <w:p w14:paraId="0AD47F49" w14:textId="77777777" w:rsidR="007A4B60" w:rsidRPr="005B1DB5" w:rsidRDefault="005169FA">
            <w:pPr>
              <w:spacing w:after="20"/>
              <w:jc w:val="center"/>
              <w:rPr>
                <w:sz w:val="18"/>
                <w:szCs w:val="18"/>
              </w:rPr>
            </w:pPr>
            <w:r w:rsidRPr="005B1DB5">
              <w:rPr>
                <w:sz w:val="18"/>
                <w:szCs w:val="18"/>
              </w:rPr>
              <w:t>Gas Emitted</w:t>
            </w:r>
          </w:p>
        </w:tc>
      </w:tr>
      <w:tr w:rsidR="007A4B60" w:rsidRPr="005B1DB5" w14:paraId="5AF1293C" w14:textId="77777777">
        <w:trPr>
          <w:trHeight w:val="285"/>
        </w:trPr>
        <w:tc>
          <w:tcPr>
            <w:tcW w:w="7800" w:type="dxa"/>
            <w:gridSpan w:val="7"/>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99E6A6A" w14:textId="77777777" w:rsidR="007A4B60" w:rsidRPr="005B1DB5" w:rsidRDefault="005169FA">
            <w:pPr>
              <w:spacing w:before="40" w:after="40"/>
              <w:jc w:val="both"/>
              <w:rPr>
                <w:b/>
                <w:sz w:val="18"/>
                <w:szCs w:val="18"/>
              </w:rPr>
            </w:pPr>
            <w:r w:rsidRPr="005B1DB5">
              <w:rPr>
                <w:b/>
                <w:sz w:val="18"/>
                <w:szCs w:val="18"/>
              </w:rPr>
              <w:t>Hydrofluorocarbons (HFCs)</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6D651C07" w14:textId="77777777" w:rsidR="007A4B60" w:rsidRPr="005B1DB5" w:rsidRDefault="005169FA">
            <w:pPr>
              <w:spacing w:before="40" w:after="40"/>
              <w:jc w:val="both"/>
              <w:rPr>
                <w:b/>
                <w:sz w:val="18"/>
                <w:szCs w:val="18"/>
              </w:rPr>
            </w:pPr>
            <w:r w:rsidRPr="005B1DB5">
              <w:rPr>
                <w:b/>
                <w:sz w:val="18"/>
                <w:szCs w:val="18"/>
              </w:rPr>
              <w:t xml:space="preserve"> </w:t>
            </w:r>
          </w:p>
        </w:tc>
      </w:tr>
      <w:tr w:rsidR="007A4B60" w:rsidRPr="005B1DB5" w14:paraId="50C8EC0A" w14:textId="77777777">
        <w:trPr>
          <w:trHeight w:val="371"/>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0C7C3D4" w14:textId="77777777" w:rsidR="007A4B60" w:rsidRPr="005B1DB5" w:rsidRDefault="005169FA">
            <w:pPr>
              <w:spacing w:before="40" w:after="40"/>
              <w:jc w:val="both"/>
              <w:rPr>
                <w:sz w:val="18"/>
                <w:szCs w:val="18"/>
              </w:rPr>
            </w:pPr>
            <w:r w:rsidRPr="005B1DB5">
              <w:rPr>
                <w:sz w:val="18"/>
                <w:szCs w:val="18"/>
              </w:rPr>
              <w:t>HFC-143a</w:t>
            </w:r>
          </w:p>
        </w:tc>
        <w:tc>
          <w:tcPr>
            <w:tcW w:w="1575" w:type="dxa"/>
            <w:tcBorders>
              <w:top w:val="nil"/>
              <w:left w:val="nil"/>
              <w:bottom w:val="single" w:sz="6" w:space="0" w:color="000000"/>
              <w:right w:val="single" w:sz="6" w:space="0" w:color="000000"/>
            </w:tcBorders>
            <w:tcMar>
              <w:top w:w="0" w:type="dxa"/>
              <w:left w:w="100" w:type="dxa"/>
              <w:bottom w:w="0" w:type="dxa"/>
              <w:right w:w="100" w:type="dxa"/>
            </w:tcMar>
          </w:tcPr>
          <w:p w14:paraId="3AB07E79" w14:textId="77777777" w:rsidR="007A4B60" w:rsidRPr="005B1DB5" w:rsidRDefault="005169FA">
            <w:pPr>
              <w:spacing w:before="40" w:after="40"/>
              <w:jc w:val="both"/>
              <w:rPr>
                <w:sz w:val="16"/>
                <w:szCs w:val="16"/>
                <w:vertAlign w:val="subscript"/>
              </w:rPr>
            </w:pPr>
            <w:r w:rsidRPr="005B1DB5">
              <w:rPr>
                <w:sz w:val="16"/>
                <w:szCs w:val="16"/>
              </w:rPr>
              <w:t>CH</w:t>
            </w:r>
            <w:r w:rsidRPr="005B1DB5">
              <w:rPr>
                <w:sz w:val="16"/>
                <w:szCs w:val="16"/>
                <w:vertAlign w:val="subscript"/>
              </w:rPr>
              <w:t>3</w:t>
            </w:r>
            <w:r w:rsidRPr="005B1DB5">
              <w:rPr>
                <w:sz w:val="16"/>
                <w:szCs w:val="16"/>
              </w:rPr>
              <w:t>CF</w:t>
            </w:r>
            <w:r w:rsidRPr="005B1DB5">
              <w:rPr>
                <w:sz w:val="16"/>
                <w:szCs w:val="16"/>
                <w:vertAlign w:val="subscript"/>
              </w:rPr>
              <w:t>3</w:t>
            </w:r>
          </w:p>
        </w:tc>
        <w:tc>
          <w:tcPr>
            <w:tcW w:w="1335" w:type="dxa"/>
            <w:tcBorders>
              <w:top w:val="nil"/>
              <w:left w:val="nil"/>
              <w:bottom w:val="single" w:sz="6" w:space="0" w:color="000000"/>
              <w:right w:val="single" w:sz="6" w:space="0" w:color="000000"/>
            </w:tcBorders>
            <w:tcMar>
              <w:top w:w="0" w:type="dxa"/>
              <w:left w:w="100" w:type="dxa"/>
              <w:bottom w:w="0" w:type="dxa"/>
              <w:right w:w="100" w:type="dxa"/>
            </w:tcMar>
          </w:tcPr>
          <w:p w14:paraId="1FF0B583" w14:textId="77777777" w:rsidR="007A4B60" w:rsidRPr="005B1DB5" w:rsidRDefault="005169FA">
            <w:pPr>
              <w:spacing w:before="40" w:after="40"/>
              <w:jc w:val="center"/>
              <w:rPr>
                <w:sz w:val="18"/>
                <w:szCs w:val="18"/>
              </w:rPr>
            </w:pPr>
            <w:r w:rsidRPr="005B1DB5">
              <w:rPr>
                <w:sz w:val="18"/>
                <w:szCs w:val="18"/>
              </w:rPr>
              <w:t>32</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707015FD" w14:textId="77777777" w:rsidR="007A4B60" w:rsidRPr="005B1DB5" w:rsidRDefault="005169FA">
            <w:pPr>
              <w:spacing w:before="40" w:after="40"/>
              <w:jc w:val="center"/>
              <w:rPr>
                <w:sz w:val="18"/>
                <w:szCs w:val="18"/>
              </w:rPr>
            </w:pPr>
            <w:r w:rsidRPr="005B1DB5">
              <w:rPr>
                <w:sz w:val="18"/>
                <w:szCs w:val="18"/>
              </w:rPr>
              <w:t>51.8</w:t>
            </w:r>
          </w:p>
        </w:tc>
        <w:tc>
          <w:tcPr>
            <w:tcW w:w="900" w:type="dxa"/>
            <w:tcBorders>
              <w:top w:val="nil"/>
              <w:left w:val="nil"/>
              <w:bottom w:val="single" w:sz="6" w:space="0" w:color="000000"/>
              <w:right w:val="single" w:sz="6" w:space="0" w:color="000000"/>
            </w:tcBorders>
            <w:tcMar>
              <w:top w:w="0" w:type="dxa"/>
              <w:left w:w="100" w:type="dxa"/>
              <w:bottom w:w="0" w:type="dxa"/>
              <w:right w:w="100" w:type="dxa"/>
            </w:tcMar>
          </w:tcPr>
          <w:p w14:paraId="17087BFB" w14:textId="77777777" w:rsidR="007A4B60" w:rsidRPr="005B1DB5" w:rsidRDefault="005169FA">
            <w:pPr>
              <w:spacing w:before="40" w:after="40"/>
              <w:jc w:val="center"/>
              <w:rPr>
                <w:sz w:val="18"/>
                <w:szCs w:val="18"/>
              </w:rPr>
            </w:pPr>
            <w:r w:rsidRPr="005B1DB5">
              <w:rPr>
                <w:sz w:val="18"/>
                <w:szCs w:val="18"/>
              </w:rPr>
              <w:t>57.2</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3B890368" w14:textId="77777777" w:rsidR="007A4B60" w:rsidRPr="005B1DB5" w:rsidRDefault="005169FA">
            <w:pPr>
              <w:spacing w:before="40" w:after="40"/>
              <w:jc w:val="center"/>
              <w:rPr>
                <w:sz w:val="18"/>
                <w:szCs w:val="18"/>
              </w:rPr>
            </w:pPr>
            <w:r w:rsidRPr="005B1DB5">
              <w:rPr>
                <w:sz w:val="18"/>
                <w:szCs w:val="18"/>
              </w:rPr>
              <w:t>100</w:t>
            </w:r>
          </w:p>
        </w:tc>
        <w:tc>
          <w:tcPr>
            <w:tcW w:w="915" w:type="dxa"/>
            <w:tcBorders>
              <w:top w:val="nil"/>
              <w:left w:val="nil"/>
              <w:bottom w:val="single" w:sz="6" w:space="0" w:color="000000"/>
              <w:right w:val="single" w:sz="6" w:space="0" w:color="000000"/>
            </w:tcBorders>
            <w:tcMar>
              <w:top w:w="0" w:type="dxa"/>
              <w:left w:w="100" w:type="dxa"/>
              <w:bottom w:w="0" w:type="dxa"/>
              <w:right w:w="100" w:type="dxa"/>
            </w:tcMar>
          </w:tcPr>
          <w:p w14:paraId="1254819A" w14:textId="77777777" w:rsidR="007A4B60" w:rsidRPr="005B1DB5" w:rsidRDefault="005169FA">
            <w:pPr>
              <w:spacing w:before="40" w:after="40"/>
              <w:jc w:val="both"/>
              <w:rPr>
                <w:sz w:val="18"/>
                <w:szCs w:val="18"/>
              </w:rPr>
            </w:pPr>
            <w:r w:rsidRPr="005B1DB5">
              <w:rPr>
                <w:sz w:val="18"/>
                <w:szCs w:val="18"/>
              </w:rPr>
              <w:t>0.022</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4EFCBC19" w14:textId="77777777" w:rsidR="007A4B60" w:rsidRPr="005B1DB5" w:rsidRDefault="005169FA">
            <w:pPr>
              <w:spacing w:before="40" w:after="40"/>
              <w:jc w:val="both"/>
              <w:rPr>
                <w:sz w:val="18"/>
                <w:szCs w:val="18"/>
              </w:rPr>
            </w:pPr>
            <w:r w:rsidRPr="005B1DB5">
              <w:rPr>
                <w:sz w:val="18"/>
                <w:szCs w:val="18"/>
              </w:rPr>
              <w:t>0.0011</w:t>
            </w:r>
          </w:p>
        </w:tc>
      </w:tr>
      <w:tr w:rsidR="007A4B60" w:rsidRPr="005B1DB5" w14:paraId="49D9FCF2" w14:textId="77777777">
        <w:trPr>
          <w:trHeight w:val="360"/>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714171F" w14:textId="77777777" w:rsidR="007A4B60" w:rsidRPr="005B1DB5" w:rsidRDefault="005169FA">
            <w:pPr>
              <w:spacing w:before="40" w:after="40"/>
              <w:jc w:val="both"/>
              <w:rPr>
                <w:sz w:val="18"/>
                <w:szCs w:val="18"/>
              </w:rPr>
            </w:pPr>
            <w:r w:rsidRPr="005B1DB5">
              <w:rPr>
                <w:sz w:val="18"/>
                <w:szCs w:val="18"/>
              </w:rPr>
              <w:t>HFC-236fa</w:t>
            </w:r>
          </w:p>
        </w:tc>
        <w:tc>
          <w:tcPr>
            <w:tcW w:w="1575" w:type="dxa"/>
            <w:tcBorders>
              <w:top w:val="nil"/>
              <w:left w:val="nil"/>
              <w:bottom w:val="single" w:sz="6" w:space="0" w:color="000000"/>
              <w:right w:val="single" w:sz="6" w:space="0" w:color="000000"/>
            </w:tcBorders>
            <w:tcMar>
              <w:top w:w="0" w:type="dxa"/>
              <w:left w:w="100" w:type="dxa"/>
              <w:bottom w:w="0" w:type="dxa"/>
              <w:right w:w="100" w:type="dxa"/>
            </w:tcMar>
          </w:tcPr>
          <w:p w14:paraId="68C7D1C8" w14:textId="77777777" w:rsidR="007A4B60" w:rsidRPr="005B1DB5" w:rsidRDefault="005169FA">
            <w:pPr>
              <w:spacing w:before="40" w:after="40"/>
              <w:jc w:val="both"/>
              <w:rPr>
                <w:sz w:val="16"/>
                <w:szCs w:val="16"/>
                <w:vertAlign w:val="subscript"/>
              </w:rPr>
            </w:pPr>
            <w:r w:rsidRPr="005B1DB5">
              <w:rPr>
                <w:sz w:val="16"/>
                <w:szCs w:val="16"/>
              </w:rPr>
              <w:t>CF</w:t>
            </w:r>
            <w:r w:rsidRPr="005B1DB5">
              <w:rPr>
                <w:sz w:val="16"/>
                <w:szCs w:val="16"/>
                <w:vertAlign w:val="subscript"/>
              </w:rPr>
              <w:t>3</w:t>
            </w:r>
            <w:r w:rsidRPr="005B1DB5">
              <w:rPr>
                <w:sz w:val="16"/>
                <w:szCs w:val="16"/>
              </w:rPr>
              <w:t>CH</w:t>
            </w:r>
            <w:r w:rsidRPr="005B1DB5">
              <w:rPr>
                <w:sz w:val="16"/>
                <w:szCs w:val="16"/>
                <w:vertAlign w:val="subscript"/>
              </w:rPr>
              <w:t>2</w:t>
            </w:r>
            <w:r w:rsidRPr="005B1DB5">
              <w:rPr>
                <w:sz w:val="16"/>
                <w:szCs w:val="16"/>
              </w:rPr>
              <w:t>CF</w:t>
            </w:r>
            <w:r w:rsidRPr="005B1DB5">
              <w:rPr>
                <w:sz w:val="16"/>
                <w:szCs w:val="16"/>
                <w:vertAlign w:val="subscript"/>
              </w:rPr>
              <w:t>3</w:t>
            </w:r>
          </w:p>
        </w:tc>
        <w:tc>
          <w:tcPr>
            <w:tcW w:w="1335" w:type="dxa"/>
            <w:tcBorders>
              <w:top w:val="nil"/>
              <w:left w:val="nil"/>
              <w:bottom w:val="single" w:sz="6" w:space="0" w:color="000000"/>
              <w:right w:val="single" w:sz="6" w:space="0" w:color="000000"/>
            </w:tcBorders>
            <w:tcMar>
              <w:top w:w="0" w:type="dxa"/>
              <w:left w:w="100" w:type="dxa"/>
              <w:bottom w:w="0" w:type="dxa"/>
              <w:right w:w="100" w:type="dxa"/>
            </w:tcMar>
          </w:tcPr>
          <w:p w14:paraId="54C7D779" w14:textId="77777777" w:rsidR="007A4B60" w:rsidRPr="005B1DB5" w:rsidRDefault="005169FA">
            <w:pPr>
              <w:spacing w:before="40" w:after="40"/>
              <w:jc w:val="center"/>
              <w:rPr>
                <w:sz w:val="18"/>
                <w:szCs w:val="18"/>
              </w:rPr>
            </w:pPr>
            <w:r w:rsidRPr="005B1DB5">
              <w:rPr>
                <w:sz w:val="18"/>
                <w:szCs w:val="18"/>
              </w:rPr>
              <w:t>0.25</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11A2136D" w14:textId="77777777" w:rsidR="007A4B60" w:rsidRPr="005B1DB5" w:rsidRDefault="005169FA">
            <w:pPr>
              <w:spacing w:before="40" w:after="40"/>
              <w:jc w:val="center"/>
              <w:rPr>
                <w:sz w:val="18"/>
                <w:szCs w:val="18"/>
              </w:rPr>
            </w:pPr>
            <w:r w:rsidRPr="005B1DB5">
              <w:rPr>
                <w:sz w:val="18"/>
                <w:szCs w:val="18"/>
              </w:rPr>
              <w:t>213</w:t>
            </w:r>
          </w:p>
        </w:tc>
        <w:tc>
          <w:tcPr>
            <w:tcW w:w="900" w:type="dxa"/>
            <w:tcBorders>
              <w:top w:val="nil"/>
              <w:left w:val="nil"/>
              <w:bottom w:val="single" w:sz="6" w:space="0" w:color="000000"/>
              <w:right w:val="single" w:sz="6" w:space="0" w:color="000000"/>
            </w:tcBorders>
            <w:tcMar>
              <w:top w:w="0" w:type="dxa"/>
              <w:left w:w="100" w:type="dxa"/>
              <w:bottom w:w="0" w:type="dxa"/>
              <w:right w:w="100" w:type="dxa"/>
            </w:tcMar>
          </w:tcPr>
          <w:p w14:paraId="11D0079B" w14:textId="77777777" w:rsidR="007A4B60" w:rsidRPr="005B1DB5" w:rsidRDefault="005169FA">
            <w:pPr>
              <w:spacing w:before="40" w:after="40"/>
              <w:jc w:val="center"/>
              <w:rPr>
                <w:sz w:val="18"/>
                <w:szCs w:val="18"/>
              </w:rPr>
            </w:pPr>
            <w:r w:rsidRPr="005B1DB5">
              <w:rPr>
                <w:sz w:val="18"/>
                <w:szCs w:val="18"/>
              </w:rPr>
              <w:t>253</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74C071F7" w14:textId="77777777" w:rsidR="007A4B60" w:rsidRPr="005B1DB5" w:rsidRDefault="005169FA">
            <w:pPr>
              <w:spacing w:before="40" w:after="40"/>
              <w:jc w:val="center"/>
              <w:rPr>
                <w:sz w:val="18"/>
                <w:szCs w:val="18"/>
              </w:rPr>
            </w:pPr>
            <w:r w:rsidRPr="005B1DB5">
              <w:rPr>
                <w:sz w:val="18"/>
                <w:szCs w:val="18"/>
              </w:rPr>
              <w:t>100</w:t>
            </w:r>
          </w:p>
        </w:tc>
        <w:tc>
          <w:tcPr>
            <w:tcW w:w="915" w:type="dxa"/>
            <w:tcBorders>
              <w:top w:val="nil"/>
              <w:left w:val="nil"/>
              <w:bottom w:val="single" w:sz="6" w:space="0" w:color="000000"/>
              <w:right w:val="single" w:sz="6" w:space="0" w:color="000000"/>
            </w:tcBorders>
            <w:tcMar>
              <w:top w:w="0" w:type="dxa"/>
              <w:left w:w="100" w:type="dxa"/>
              <w:bottom w:w="0" w:type="dxa"/>
              <w:right w:w="100" w:type="dxa"/>
            </w:tcMar>
          </w:tcPr>
          <w:p w14:paraId="15E0F477" w14:textId="77777777" w:rsidR="007A4B60" w:rsidRPr="005B1DB5" w:rsidRDefault="005169FA">
            <w:pPr>
              <w:spacing w:before="40" w:after="40"/>
              <w:jc w:val="both"/>
              <w:rPr>
                <w:sz w:val="18"/>
                <w:szCs w:val="18"/>
              </w:rPr>
            </w:pPr>
            <w:r w:rsidRPr="005B1DB5">
              <w:rPr>
                <w:sz w:val="18"/>
                <w:szCs w:val="18"/>
              </w:rPr>
              <w:t>0.00008</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720F23B6" w14:textId="77777777" w:rsidR="007A4B60" w:rsidRPr="005B1DB5" w:rsidRDefault="005169FA">
            <w:pPr>
              <w:spacing w:before="40" w:after="40"/>
              <w:jc w:val="both"/>
              <w:rPr>
                <w:sz w:val="18"/>
                <w:szCs w:val="18"/>
              </w:rPr>
            </w:pPr>
            <w:r w:rsidRPr="005B1DB5">
              <w:rPr>
                <w:sz w:val="18"/>
                <w:szCs w:val="18"/>
              </w:rPr>
              <w:t>0.00060</w:t>
            </w:r>
          </w:p>
        </w:tc>
      </w:tr>
      <w:tr w:rsidR="007A4B60" w:rsidRPr="005B1DB5" w14:paraId="27F956DE" w14:textId="77777777">
        <w:trPr>
          <w:trHeight w:val="360"/>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AC9A542" w14:textId="77777777" w:rsidR="007A4B60" w:rsidRPr="005B1DB5" w:rsidRDefault="005169FA">
            <w:pPr>
              <w:spacing w:before="40" w:after="40"/>
              <w:jc w:val="both"/>
              <w:rPr>
                <w:sz w:val="18"/>
                <w:szCs w:val="18"/>
              </w:rPr>
            </w:pPr>
            <w:r w:rsidRPr="005B1DB5">
              <w:rPr>
                <w:sz w:val="18"/>
                <w:szCs w:val="18"/>
              </w:rPr>
              <w:t>HFC-245fa</w:t>
            </w:r>
          </w:p>
        </w:tc>
        <w:tc>
          <w:tcPr>
            <w:tcW w:w="1575" w:type="dxa"/>
            <w:tcBorders>
              <w:top w:val="nil"/>
              <w:left w:val="nil"/>
              <w:bottom w:val="single" w:sz="6" w:space="0" w:color="000000"/>
              <w:right w:val="single" w:sz="6" w:space="0" w:color="000000"/>
            </w:tcBorders>
            <w:tcMar>
              <w:top w:w="0" w:type="dxa"/>
              <w:left w:w="100" w:type="dxa"/>
              <w:bottom w:w="0" w:type="dxa"/>
              <w:right w:w="100" w:type="dxa"/>
            </w:tcMar>
          </w:tcPr>
          <w:p w14:paraId="34D5AA8C" w14:textId="77777777" w:rsidR="007A4B60" w:rsidRPr="005B1DB5" w:rsidRDefault="005169FA">
            <w:pPr>
              <w:spacing w:before="40" w:after="40"/>
              <w:jc w:val="both"/>
              <w:rPr>
                <w:sz w:val="16"/>
                <w:szCs w:val="16"/>
                <w:vertAlign w:val="subscript"/>
              </w:rPr>
            </w:pPr>
            <w:r w:rsidRPr="005B1DB5">
              <w:rPr>
                <w:sz w:val="16"/>
                <w:szCs w:val="16"/>
              </w:rPr>
              <w:t>CF</w:t>
            </w:r>
            <w:r w:rsidRPr="005B1DB5">
              <w:rPr>
                <w:sz w:val="16"/>
                <w:szCs w:val="16"/>
                <w:vertAlign w:val="subscript"/>
              </w:rPr>
              <w:t>3</w:t>
            </w:r>
            <w:r w:rsidRPr="005B1DB5">
              <w:rPr>
                <w:sz w:val="16"/>
                <w:szCs w:val="16"/>
              </w:rPr>
              <w:t>CH</w:t>
            </w:r>
            <w:r w:rsidRPr="005B1DB5">
              <w:rPr>
                <w:sz w:val="16"/>
                <w:szCs w:val="16"/>
                <w:vertAlign w:val="subscript"/>
              </w:rPr>
              <w:t>2</w:t>
            </w:r>
            <w:r w:rsidRPr="005B1DB5">
              <w:rPr>
                <w:sz w:val="16"/>
                <w:szCs w:val="16"/>
              </w:rPr>
              <w:t>CHF</w:t>
            </w:r>
            <w:r w:rsidRPr="005B1DB5">
              <w:rPr>
                <w:sz w:val="16"/>
                <w:szCs w:val="16"/>
                <w:vertAlign w:val="subscript"/>
              </w:rPr>
              <w:t>2</w:t>
            </w:r>
          </w:p>
        </w:tc>
        <w:tc>
          <w:tcPr>
            <w:tcW w:w="1335" w:type="dxa"/>
            <w:tcBorders>
              <w:top w:val="nil"/>
              <w:left w:val="nil"/>
              <w:bottom w:val="single" w:sz="6" w:space="0" w:color="000000"/>
              <w:right w:val="single" w:sz="6" w:space="0" w:color="000000"/>
            </w:tcBorders>
            <w:tcMar>
              <w:top w:w="0" w:type="dxa"/>
              <w:left w:w="100" w:type="dxa"/>
              <w:bottom w:w="0" w:type="dxa"/>
              <w:right w:w="100" w:type="dxa"/>
            </w:tcMar>
          </w:tcPr>
          <w:p w14:paraId="03FC80F9" w14:textId="77777777" w:rsidR="007A4B60" w:rsidRPr="005B1DB5" w:rsidRDefault="005169FA">
            <w:pPr>
              <w:spacing w:before="40" w:after="40"/>
              <w:jc w:val="center"/>
              <w:rPr>
                <w:sz w:val="18"/>
                <w:szCs w:val="18"/>
              </w:rPr>
            </w:pPr>
            <w:r w:rsidRPr="005B1DB5">
              <w:rPr>
                <w:sz w:val="18"/>
                <w:szCs w:val="18"/>
              </w:rPr>
              <w:t>3.75</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08EC8835" w14:textId="77777777" w:rsidR="007A4B60" w:rsidRPr="005B1DB5" w:rsidRDefault="005169FA">
            <w:pPr>
              <w:spacing w:before="40" w:after="40"/>
              <w:jc w:val="center"/>
              <w:rPr>
                <w:sz w:val="18"/>
                <w:szCs w:val="18"/>
              </w:rPr>
            </w:pPr>
            <w:r w:rsidRPr="005B1DB5">
              <w:rPr>
                <w:sz w:val="18"/>
                <w:szCs w:val="18"/>
              </w:rPr>
              <w:t>7.74</w:t>
            </w:r>
          </w:p>
        </w:tc>
        <w:tc>
          <w:tcPr>
            <w:tcW w:w="900" w:type="dxa"/>
            <w:tcBorders>
              <w:top w:val="nil"/>
              <w:left w:val="nil"/>
              <w:bottom w:val="single" w:sz="6" w:space="0" w:color="000000"/>
              <w:right w:val="single" w:sz="6" w:space="0" w:color="000000"/>
            </w:tcBorders>
            <w:tcMar>
              <w:top w:w="0" w:type="dxa"/>
              <w:left w:w="100" w:type="dxa"/>
              <w:bottom w:w="0" w:type="dxa"/>
              <w:right w:w="100" w:type="dxa"/>
            </w:tcMar>
          </w:tcPr>
          <w:p w14:paraId="7532121F" w14:textId="77777777" w:rsidR="007A4B60" w:rsidRPr="005B1DB5" w:rsidRDefault="005169FA">
            <w:pPr>
              <w:spacing w:before="40" w:after="40"/>
              <w:jc w:val="center"/>
              <w:rPr>
                <w:sz w:val="18"/>
                <w:szCs w:val="18"/>
              </w:rPr>
            </w:pPr>
            <w:r w:rsidRPr="005B1DB5">
              <w:rPr>
                <w:sz w:val="18"/>
                <w:szCs w:val="18"/>
              </w:rPr>
              <w:t>8.16</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1CEE2A4C" w14:textId="77777777" w:rsidR="007A4B60" w:rsidRPr="005B1DB5" w:rsidRDefault="005169FA">
            <w:pPr>
              <w:spacing w:before="40" w:after="40"/>
              <w:jc w:val="center"/>
              <w:rPr>
                <w:sz w:val="18"/>
                <w:szCs w:val="18"/>
              </w:rPr>
            </w:pPr>
            <w:r w:rsidRPr="005B1DB5">
              <w:rPr>
                <w:sz w:val="18"/>
                <w:szCs w:val="18"/>
              </w:rPr>
              <w:t>56</w:t>
            </w:r>
          </w:p>
        </w:tc>
        <w:tc>
          <w:tcPr>
            <w:tcW w:w="915" w:type="dxa"/>
            <w:tcBorders>
              <w:top w:val="nil"/>
              <w:left w:val="nil"/>
              <w:bottom w:val="single" w:sz="6" w:space="0" w:color="000000"/>
              <w:right w:val="single" w:sz="6" w:space="0" w:color="000000"/>
            </w:tcBorders>
            <w:tcMar>
              <w:top w:w="0" w:type="dxa"/>
              <w:left w:w="100" w:type="dxa"/>
              <w:bottom w:w="0" w:type="dxa"/>
              <w:right w:w="100" w:type="dxa"/>
            </w:tcMar>
          </w:tcPr>
          <w:p w14:paraId="77D962F9" w14:textId="77777777" w:rsidR="007A4B60" w:rsidRPr="005B1DB5" w:rsidRDefault="005169FA">
            <w:pPr>
              <w:spacing w:before="40" w:after="40"/>
              <w:jc w:val="both"/>
              <w:rPr>
                <w:sz w:val="18"/>
                <w:szCs w:val="18"/>
              </w:rPr>
            </w:pPr>
            <w:r w:rsidRPr="005B1DB5">
              <w:rPr>
                <w:sz w:val="18"/>
                <w:szCs w:val="18"/>
              </w:rPr>
              <w:t>0.012</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69B6E197" w14:textId="77777777" w:rsidR="007A4B60" w:rsidRPr="005B1DB5" w:rsidRDefault="005169FA">
            <w:pPr>
              <w:spacing w:before="40" w:after="40"/>
              <w:jc w:val="both"/>
              <w:rPr>
                <w:sz w:val="18"/>
                <w:szCs w:val="18"/>
              </w:rPr>
            </w:pPr>
            <w:r w:rsidRPr="005B1DB5">
              <w:rPr>
                <w:sz w:val="18"/>
                <w:szCs w:val="18"/>
              </w:rPr>
              <w:t>0.00038</w:t>
            </w:r>
          </w:p>
        </w:tc>
      </w:tr>
      <w:tr w:rsidR="007A4B60" w:rsidRPr="005B1DB5" w14:paraId="43D353BB" w14:textId="77777777">
        <w:trPr>
          <w:trHeight w:val="345"/>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386438A" w14:textId="77777777" w:rsidR="007A4B60" w:rsidRPr="005B1DB5" w:rsidRDefault="005169FA">
            <w:pPr>
              <w:spacing w:before="40" w:after="40"/>
              <w:jc w:val="both"/>
              <w:rPr>
                <w:sz w:val="18"/>
                <w:szCs w:val="18"/>
              </w:rPr>
            </w:pPr>
            <w:r w:rsidRPr="005B1DB5">
              <w:rPr>
                <w:sz w:val="18"/>
                <w:szCs w:val="18"/>
              </w:rPr>
              <w:t>HFC-365mfc</w:t>
            </w:r>
          </w:p>
        </w:tc>
        <w:tc>
          <w:tcPr>
            <w:tcW w:w="1575" w:type="dxa"/>
            <w:tcBorders>
              <w:top w:val="nil"/>
              <w:left w:val="nil"/>
              <w:bottom w:val="single" w:sz="6" w:space="0" w:color="000000"/>
              <w:right w:val="single" w:sz="6" w:space="0" w:color="000000"/>
            </w:tcBorders>
            <w:tcMar>
              <w:top w:w="0" w:type="dxa"/>
              <w:left w:w="100" w:type="dxa"/>
              <w:bottom w:w="0" w:type="dxa"/>
              <w:right w:w="100" w:type="dxa"/>
            </w:tcMar>
          </w:tcPr>
          <w:p w14:paraId="70D9C425" w14:textId="77777777" w:rsidR="007A4B60" w:rsidRPr="005B1DB5" w:rsidRDefault="005169FA">
            <w:pPr>
              <w:spacing w:before="40" w:after="40"/>
              <w:jc w:val="both"/>
              <w:rPr>
                <w:sz w:val="16"/>
                <w:szCs w:val="16"/>
                <w:vertAlign w:val="subscript"/>
              </w:rPr>
            </w:pPr>
            <w:r w:rsidRPr="005B1DB5">
              <w:rPr>
                <w:sz w:val="16"/>
                <w:szCs w:val="16"/>
              </w:rPr>
              <w:t>CF</w:t>
            </w:r>
            <w:r w:rsidRPr="005B1DB5">
              <w:rPr>
                <w:sz w:val="16"/>
                <w:szCs w:val="16"/>
                <w:vertAlign w:val="subscript"/>
              </w:rPr>
              <w:t>3</w:t>
            </w:r>
            <w:r w:rsidRPr="005B1DB5">
              <w:rPr>
                <w:sz w:val="16"/>
                <w:szCs w:val="16"/>
              </w:rPr>
              <w:t>CH</w:t>
            </w:r>
            <w:r w:rsidRPr="005B1DB5">
              <w:rPr>
                <w:sz w:val="16"/>
                <w:szCs w:val="16"/>
                <w:vertAlign w:val="subscript"/>
              </w:rPr>
              <w:t>2</w:t>
            </w:r>
            <w:r w:rsidRPr="005B1DB5">
              <w:rPr>
                <w:sz w:val="16"/>
                <w:szCs w:val="16"/>
              </w:rPr>
              <w:t>CF</w:t>
            </w:r>
            <w:r w:rsidRPr="005B1DB5">
              <w:rPr>
                <w:sz w:val="16"/>
                <w:szCs w:val="16"/>
                <w:vertAlign w:val="subscript"/>
              </w:rPr>
              <w:t>2</w:t>
            </w:r>
            <w:r w:rsidRPr="005B1DB5">
              <w:rPr>
                <w:sz w:val="16"/>
                <w:szCs w:val="16"/>
              </w:rPr>
              <w:t>CH</w:t>
            </w:r>
            <w:r w:rsidRPr="005B1DB5">
              <w:rPr>
                <w:sz w:val="16"/>
                <w:szCs w:val="16"/>
                <w:vertAlign w:val="subscript"/>
              </w:rPr>
              <w:t>3</w:t>
            </w:r>
          </w:p>
        </w:tc>
        <w:tc>
          <w:tcPr>
            <w:tcW w:w="1335" w:type="dxa"/>
            <w:tcBorders>
              <w:top w:val="nil"/>
              <w:left w:val="nil"/>
              <w:bottom w:val="single" w:sz="6" w:space="0" w:color="000000"/>
              <w:right w:val="single" w:sz="6" w:space="0" w:color="000000"/>
            </w:tcBorders>
            <w:tcMar>
              <w:top w:w="0" w:type="dxa"/>
              <w:left w:w="100" w:type="dxa"/>
              <w:bottom w:w="0" w:type="dxa"/>
              <w:right w:w="100" w:type="dxa"/>
            </w:tcMar>
          </w:tcPr>
          <w:p w14:paraId="6D46B66D" w14:textId="77777777" w:rsidR="007A4B60" w:rsidRPr="005B1DB5" w:rsidRDefault="005169FA">
            <w:pPr>
              <w:spacing w:before="40" w:after="40"/>
              <w:ind w:left="-20"/>
              <w:jc w:val="center"/>
              <w:rPr>
                <w:sz w:val="18"/>
                <w:szCs w:val="18"/>
              </w:rPr>
            </w:pPr>
            <w:r w:rsidRPr="005B1DB5">
              <w:rPr>
                <w:sz w:val="18"/>
                <w:szCs w:val="18"/>
              </w:rPr>
              <w:t>1.1</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4CD15E85" w14:textId="77777777" w:rsidR="007A4B60" w:rsidRPr="005B1DB5" w:rsidRDefault="005169FA">
            <w:pPr>
              <w:spacing w:before="40" w:after="40"/>
              <w:jc w:val="center"/>
              <w:rPr>
                <w:sz w:val="18"/>
                <w:szCs w:val="18"/>
              </w:rPr>
            </w:pPr>
            <w:r w:rsidRPr="005B1DB5">
              <w:rPr>
                <w:sz w:val="18"/>
                <w:szCs w:val="18"/>
              </w:rPr>
              <w:t>8.86</w:t>
            </w:r>
          </w:p>
        </w:tc>
        <w:tc>
          <w:tcPr>
            <w:tcW w:w="900" w:type="dxa"/>
            <w:tcBorders>
              <w:top w:val="nil"/>
              <w:left w:val="nil"/>
              <w:bottom w:val="single" w:sz="6" w:space="0" w:color="000000"/>
              <w:right w:val="single" w:sz="6" w:space="0" w:color="000000"/>
            </w:tcBorders>
            <w:tcMar>
              <w:top w:w="0" w:type="dxa"/>
              <w:left w:w="100" w:type="dxa"/>
              <w:bottom w:w="0" w:type="dxa"/>
              <w:right w:w="100" w:type="dxa"/>
            </w:tcMar>
          </w:tcPr>
          <w:p w14:paraId="1723F5F3" w14:textId="77777777" w:rsidR="007A4B60" w:rsidRPr="005B1DB5" w:rsidRDefault="005169FA">
            <w:pPr>
              <w:spacing w:before="40" w:after="40"/>
              <w:jc w:val="center"/>
              <w:rPr>
                <w:sz w:val="18"/>
                <w:szCs w:val="18"/>
              </w:rPr>
            </w:pPr>
            <w:r w:rsidRPr="005B1DB5">
              <w:rPr>
                <w:sz w:val="18"/>
                <w:szCs w:val="18"/>
              </w:rPr>
              <w:t>9.3</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599F38C1" w14:textId="77777777" w:rsidR="007A4B60" w:rsidRPr="005B1DB5" w:rsidRDefault="005169FA">
            <w:pPr>
              <w:spacing w:before="40" w:after="40"/>
              <w:jc w:val="center"/>
              <w:rPr>
                <w:sz w:val="18"/>
                <w:szCs w:val="18"/>
              </w:rPr>
            </w:pPr>
            <w:r w:rsidRPr="005B1DB5">
              <w:rPr>
                <w:sz w:val="18"/>
                <w:szCs w:val="18"/>
              </w:rPr>
              <w:t>76</w:t>
            </w:r>
          </w:p>
        </w:tc>
        <w:tc>
          <w:tcPr>
            <w:tcW w:w="915" w:type="dxa"/>
            <w:tcBorders>
              <w:top w:val="nil"/>
              <w:left w:val="nil"/>
              <w:bottom w:val="single" w:sz="6" w:space="0" w:color="000000"/>
              <w:right w:val="single" w:sz="6" w:space="0" w:color="000000"/>
            </w:tcBorders>
            <w:tcMar>
              <w:top w:w="0" w:type="dxa"/>
              <w:left w:w="100" w:type="dxa"/>
              <w:bottom w:w="0" w:type="dxa"/>
              <w:right w:w="100" w:type="dxa"/>
            </w:tcMar>
          </w:tcPr>
          <w:p w14:paraId="4C5116E9" w14:textId="77777777" w:rsidR="007A4B60" w:rsidRPr="005B1DB5" w:rsidRDefault="005169FA">
            <w:pPr>
              <w:spacing w:before="40" w:after="40"/>
              <w:jc w:val="both"/>
              <w:rPr>
                <w:sz w:val="18"/>
                <w:szCs w:val="18"/>
              </w:rPr>
            </w:pPr>
            <w:r w:rsidRPr="005B1DB5">
              <w:rPr>
                <w:sz w:val="18"/>
                <w:szCs w:val="18"/>
              </w:rPr>
              <w:t>0.005</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5DE8B778" w14:textId="77777777" w:rsidR="007A4B60" w:rsidRPr="005B1DB5" w:rsidRDefault="005169FA">
            <w:pPr>
              <w:spacing w:before="40" w:after="40"/>
              <w:jc w:val="both"/>
              <w:rPr>
                <w:sz w:val="18"/>
                <w:szCs w:val="18"/>
              </w:rPr>
            </w:pPr>
            <w:r w:rsidRPr="005B1DB5">
              <w:rPr>
                <w:sz w:val="18"/>
                <w:szCs w:val="18"/>
              </w:rPr>
              <w:t>0.00046</w:t>
            </w:r>
          </w:p>
        </w:tc>
      </w:tr>
      <w:tr w:rsidR="007A4B60" w:rsidRPr="005B1DB5" w14:paraId="50BF4EB0" w14:textId="77777777">
        <w:trPr>
          <w:trHeight w:val="285"/>
        </w:trPr>
        <w:tc>
          <w:tcPr>
            <w:tcW w:w="7800" w:type="dxa"/>
            <w:gridSpan w:val="7"/>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D3FFE4F" w14:textId="77777777" w:rsidR="007A4B60" w:rsidRPr="005B1DB5" w:rsidRDefault="005169FA">
            <w:pPr>
              <w:spacing w:before="40" w:after="40"/>
              <w:jc w:val="both"/>
              <w:rPr>
                <w:b/>
                <w:sz w:val="18"/>
                <w:szCs w:val="18"/>
              </w:rPr>
            </w:pPr>
            <w:r w:rsidRPr="005B1DB5">
              <w:rPr>
                <w:b/>
                <w:sz w:val="18"/>
                <w:szCs w:val="18"/>
              </w:rPr>
              <w:t>Hydrochlorofluorocarbons (HCFCs)</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3B0BDA37" w14:textId="77777777" w:rsidR="007A4B60" w:rsidRPr="005B1DB5" w:rsidRDefault="005169FA">
            <w:pPr>
              <w:spacing w:before="40" w:after="40"/>
              <w:jc w:val="both"/>
              <w:rPr>
                <w:b/>
                <w:sz w:val="18"/>
                <w:szCs w:val="18"/>
              </w:rPr>
            </w:pPr>
            <w:r w:rsidRPr="005B1DB5">
              <w:rPr>
                <w:b/>
                <w:sz w:val="18"/>
                <w:szCs w:val="18"/>
              </w:rPr>
              <w:t xml:space="preserve"> </w:t>
            </w:r>
          </w:p>
        </w:tc>
      </w:tr>
      <w:tr w:rsidR="007A4B60" w:rsidRPr="005B1DB5" w14:paraId="723EAEC4" w14:textId="77777777">
        <w:trPr>
          <w:trHeight w:val="360"/>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63AA68E" w14:textId="77777777" w:rsidR="007A4B60" w:rsidRPr="005B1DB5" w:rsidRDefault="005169FA">
            <w:pPr>
              <w:spacing w:before="40" w:after="40"/>
              <w:jc w:val="both"/>
              <w:rPr>
                <w:sz w:val="18"/>
                <w:szCs w:val="18"/>
              </w:rPr>
            </w:pPr>
            <w:r w:rsidRPr="005B1DB5">
              <w:rPr>
                <w:sz w:val="18"/>
                <w:szCs w:val="18"/>
              </w:rPr>
              <w:t>HCFC-133a</w:t>
            </w:r>
          </w:p>
        </w:tc>
        <w:tc>
          <w:tcPr>
            <w:tcW w:w="1575" w:type="dxa"/>
            <w:tcBorders>
              <w:top w:val="nil"/>
              <w:left w:val="nil"/>
              <w:bottom w:val="single" w:sz="6" w:space="0" w:color="000000"/>
              <w:right w:val="single" w:sz="6" w:space="0" w:color="000000"/>
            </w:tcBorders>
            <w:tcMar>
              <w:top w:w="0" w:type="dxa"/>
              <w:left w:w="100" w:type="dxa"/>
              <w:bottom w:w="0" w:type="dxa"/>
              <w:right w:w="100" w:type="dxa"/>
            </w:tcMar>
          </w:tcPr>
          <w:p w14:paraId="23146FA7" w14:textId="77777777" w:rsidR="007A4B60" w:rsidRPr="005B1DB5" w:rsidRDefault="005169FA">
            <w:pPr>
              <w:spacing w:before="40" w:after="40"/>
              <w:jc w:val="both"/>
              <w:rPr>
                <w:sz w:val="16"/>
                <w:szCs w:val="16"/>
                <w:vertAlign w:val="subscript"/>
              </w:rPr>
            </w:pPr>
            <w:r w:rsidRPr="005B1DB5">
              <w:rPr>
                <w:sz w:val="16"/>
                <w:szCs w:val="16"/>
              </w:rPr>
              <w:t>CH</w:t>
            </w:r>
            <w:r w:rsidRPr="005B1DB5">
              <w:rPr>
                <w:sz w:val="16"/>
                <w:szCs w:val="16"/>
                <w:vertAlign w:val="subscript"/>
              </w:rPr>
              <w:t>2</w:t>
            </w:r>
            <w:r w:rsidRPr="005B1DB5">
              <w:rPr>
                <w:sz w:val="16"/>
                <w:szCs w:val="16"/>
              </w:rPr>
              <w:t>ClCF</w:t>
            </w:r>
            <w:r w:rsidRPr="005B1DB5">
              <w:rPr>
                <w:sz w:val="16"/>
                <w:szCs w:val="16"/>
                <w:vertAlign w:val="subscript"/>
              </w:rPr>
              <w:t>3</w:t>
            </w:r>
          </w:p>
        </w:tc>
        <w:tc>
          <w:tcPr>
            <w:tcW w:w="1335" w:type="dxa"/>
            <w:tcBorders>
              <w:top w:val="nil"/>
              <w:left w:val="nil"/>
              <w:bottom w:val="single" w:sz="6" w:space="0" w:color="000000"/>
              <w:right w:val="single" w:sz="6" w:space="0" w:color="000000"/>
            </w:tcBorders>
            <w:tcMar>
              <w:top w:w="0" w:type="dxa"/>
              <w:left w:w="100" w:type="dxa"/>
              <w:bottom w:w="0" w:type="dxa"/>
              <w:right w:w="100" w:type="dxa"/>
            </w:tcMar>
          </w:tcPr>
          <w:p w14:paraId="620C19E1" w14:textId="77777777" w:rsidR="007A4B60" w:rsidRPr="005B1DB5" w:rsidRDefault="005169FA">
            <w:pPr>
              <w:spacing w:before="40" w:after="40"/>
              <w:jc w:val="center"/>
              <w:rPr>
                <w:sz w:val="18"/>
                <w:szCs w:val="18"/>
              </w:rPr>
            </w:pPr>
            <w:r w:rsidRPr="005B1DB5">
              <w:rPr>
                <w:sz w:val="18"/>
                <w:szCs w:val="18"/>
              </w:rPr>
              <w:t>0.45</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0549C022" w14:textId="77777777" w:rsidR="007A4B60" w:rsidRPr="005B1DB5" w:rsidRDefault="005169FA">
            <w:pPr>
              <w:spacing w:before="40" w:after="40"/>
              <w:jc w:val="center"/>
              <w:rPr>
                <w:sz w:val="18"/>
                <w:szCs w:val="18"/>
              </w:rPr>
            </w:pPr>
            <w:r w:rsidRPr="005B1DB5">
              <w:rPr>
                <w:sz w:val="18"/>
                <w:szCs w:val="18"/>
              </w:rPr>
              <w:t>4.48</w:t>
            </w:r>
          </w:p>
        </w:tc>
        <w:tc>
          <w:tcPr>
            <w:tcW w:w="900" w:type="dxa"/>
            <w:tcBorders>
              <w:top w:val="nil"/>
              <w:left w:val="nil"/>
              <w:bottom w:val="single" w:sz="6" w:space="0" w:color="000000"/>
              <w:right w:val="single" w:sz="6" w:space="0" w:color="000000"/>
            </w:tcBorders>
            <w:tcMar>
              <w:top w:w="0" w:type="dxa"/>
              <w:left w:w="100" w:type="dxa"/>
              <w:bottom w:w="0" w:type="dxa"/>
              <w:right w:w="100" w:type="dxa"/>
            </w:tcMar>
          </w:tcPr>
          <w:p w14:paraId="795C8156" w14:textId="77777777" w:rsidR="007A4B60" w:rsidRPr="005B1DB5" w:rsidRDefault="005169FA">
            <w:pPr>
              <w:spacing w:before="40" w:after="40"/>
              <w:jc w:val="center"/>
              <w:rPr>
                <w:sz w:val="18"/>
                <w:szCs w:val="18"/>
              </w:rPr>
            </w:pPr>
            <w:r w:rsidRPr="005B1DB5">
              <w:rPr>
                <w:sz w:val="18"/>
                <w:szCs w:val="18"/>
              </w:rPr>
              <w:t>4.74</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6CDAA7CA" w14:textId="77777777" w:rsidR="007A4B60" w:rsidRPr="005B1DB5" w:rsidRDefault="005169FA">
            <w:pPr>
              <w:spacing w:before="40" w:after="40"/>
              <w:jc w:val="center"/>
              <w:rPr>
                <w:sz w:val="18"/>
                <w:szCs w:val="18"/>
              </w:rPr>
            </w:pPr>
            <w:r w:rsidRPr="005B1DB5">
              <w:rPr>
                <w:sz w:val="18"/>
                <w:szCs w:val="18"/>
              </w:rPr>
              <w:t>&lt;5</w:t>
            </w:r>
          </w:p>
        </w:tc>
        <w:tc>
          <w:tcPr>
            <w:tcW w:w="915" w:type="dxa"/>
            <w:tcBorders>
              <w:top w:val="nil"/>
              <w:left w:val="nil"/>
              <w:bottom w:val="single" w:sz="6" w:space="0" w:color="000000"/>
              <w:right w:val="single" w:sz="6" w:space="0" w:color="000000"/>
            </w:tcBorders>
            <w:tcMar>
              <w:top w:w="0" w:type="dxa"/>
              <w:left w:w="100" w:type="dxa"/>
              <w:bottom w:w="0" w:type="dxa"/>
              <w:right w:w="100" w:type="dxa"/>
            </w:tcMar>
          </w:tcPr>
          <w:p w14:paraId="1B63F1C9" w14:textId="77777777" w:rsidR="007A4B60" w:rsidRPr="005B1DB5" w:rsidRDefault="005169FA">
            <w:pPr>
              <w:spacing w:before="40" w:after="40"/>
              <w:jc w:val="both"/>
              <w:rPr>
                <w:sz w:val="18"/>
                <w:szCs w:val="18"/>
              </w:rPr>
            </w:pPr>
            <w:r w:rsidRPr="005B1DB5">
              <w:rPr>
                <w:sz w:val="18"/>
                <w:szCs w:val="18"/>
              </w:rPr>
              <w:t>0.0002</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643F7A2B" w14:textId="77777777" w:rsidR="007A4B60" w:rsidRPr="005B1DB5" w:rsidRDefault="005169FA">
            <w:pPr>
              <w:spacing w:before="40" w:after="40"/>
              <w:jc w:val="both"/>
              <w:rPr>
                <w:sz w:val="18"/>
                <w:szCs w:val="18"/>
              </w:rPr>
            </w:pPr>
            <w:r w:rsidRPr="005B1DB5">
              <w:rPr>
                <w:sz w:val="18"/>
                <w:szCs w:val="18"/>
              </w:rPr>
              <w:t>&lt;0.000038</w:t>
            </w:r>
          </w:p>
        </w:tc>
      </w:tr>
      <w:tr w:rsidR="007A4B60" w:rsidRPr="005B1DB5" w14:paraId="468BBD9D" w14:textId="77777777">
        <w:trPr>
          <w:trHeight w:val="285"/>
        </w:trPr>
        <w:tc>
          <w:tcPr>
            <w:tcW w:w="7800" w:type="dxa"/>
            <w:gridSpan w:val="7"/>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9C38BAA" w14:textId="77777777" w:rsidR="007A4B60" w:rsidRPr="005B1DB5" w:rsidRDefault="005169FA">
            <w:pPr>
              <w:spacing w:before="40" w:after="40"/>
              <w:jc w:val="both"/>
              <w:rPr>
                <w:b/>
                <w:sz w:val="18"/>
                <w:szCs w:val="18"/>
              </w:rPr>
            </w:pPr>
            <w:proofErr w:type="spellStart"/>
            <w:r w:rsidRPr="005B1DB5">
              <w:rPr>
                <w:b/>
                <w:sz w:val="18"/>
                <w:szCs w:val="18"/>
              </w:rPr>
              <w:t>Hydrofluoroolefins</w:t>
            </w:r>
            <w:proofErr w:type="spellEnd"/>
            <w:r w:rsidRPr="005B1DB5">
              <w:rPr>
                <w:b/>
                <w:sz w:val="18"/>
                <w:szCs w:val="18"/>
              </w:rPr>
              <w:t xml:space="preserve"> (HFOs)</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0DD1D958" w14:textId="77777777" w:rsidR="007A4B60" w:rsidRPr="005B1DB5" w:rsidRDefault="005169FA">
            <w:pPr>
              <w:spacing w:before="40" w:after="40"/>
              <w:jc w:val="both"/>
              <w:rPr>
                <w:b/>
                <w:sz w:val="18"/>
                <w:szCs w:val="18"/>
              </w:rPr>
            </w:pPr>
            <w:r w:rsidRPr="005B1DB5">
              <w:rPr>
                <w:b/>
                <w:sz w:val="18"/>
                <w:szCs w:val="18"/>
              </w:rPr>
              <w:t xml:space="preserve"> </w:t>
            </w:r>
          </w:p>
        </w:tc>
      </w:tr>
      <w:tr w:rsidR="007A4B60" w:rsidRPr="005B1DB5" w14:paraId="130D8F3A" w14:textId="77777777">
        <w:trPr>
          <w:trHeight w:val="480"/>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9F61629" w14:textId="77777777" w:rsidR="007A4B60" w:rsidRPr="005B1DB5" w:rsidRDefault="005169FA">
            <w:pPr>
              <w:spacing w:before="40" w:after="40"/>
              <w:jc w:val="both"/>
              <w:rPr>
                <w:sz w:val="18"/>
                <w:szCs w:val="18"/>
              </w:rPr>
            </w:pPr>
            <w:r w:rsidRPr="005B1DB5">
              <w:rPr>
                <w:sz w:val="18"/>
                <w:szCs w:val="18"/>
              </w:rPr>
              <w:t>HFO-</w:t>
            </w:r>
          </w:p>
          <w:p w14:paraId="70BD12D6" w14:textId="77777777" w:rsidR="007A4B60" w:rsidRPr="005B1DB5" w:rsidRDefault="005169FA">
            <w:pPr>
              <w:spacing w:before="40" w:after="40"/>
              <w:jc w:val="both"/>
              <w:rPr>
                <w:sz w:val="18"/>
                <w:szCs w:val="18"/>
              </w:rPr>
            </w:pPr>
            <w:r w:rsidRPr="005B1DB5">
              <w:rPr>
                <w:sz w:val="18"/>
                <w:szCs w:val="18"/>
              </w:rPr>
              <w:t>1234ze(</w:t>
            </w:r>
            <w:r w:rsidRPr="005B1DB5">
              <w:rPr>
                <w:i/>
                <w:sz w:val="18"/>
                <w:szCs w:val="18"/>
              </w:rPr>
              <w:t>E</w:t>
            </w:r>
            <w:r w:rsidRPr="005B1DB5">
              <w:rPr>
                <w:sz w:val="18"/>
                <w:szCs w:val="18"/>
              </w:rPr>
              <w:t>)</w:t>
            </w:r>
          </w:p>
        </w:tc>
        <w:tc>
          <w:tcPr>
            <w:tcW w:w="1575" w:type="dxa"/>
            <w:tcBorders>
              <w:top w:val="nil"/>
              <w:left w:val="nil"/>
              <w:bottom w:val="single" w:sz="6" w:space="0" w:color="000000"/>
              <w:right w:val="single" w:sz="6" w:space="0" w:color="000000"/>
            </w:tcBorders>
            <w:tcMar>
              <w:top w:w="0" w:type="dxa"/>
              <w:left w:w="100" w:type="dxa"/>
              <w:bottom w:w="0" w:type="dxa"/>
              <w:right w:w="100" w:type="dxa"/>
            </w:tcMar>
          </w:tcPr>
          <w:p w14:paraId="208883F8" w14:textId="77777777" w:rsidR="007A4B60" w:rsidRPr="005B1DB5" w:rsidRDefault="005169FA">
            <w:pPr>
              <w:spacing w:before="40" w:after="40"/>
              <w:jc w:val="both"/>
              <w:rPr>
                <w:sz w:val="16"/>
                <w:szCs w:val="16"/>
                <w:vertAlign w:val="subscript"/>
              </w:rPr>
            </w:pPr>
            <w:r w:rsidRPr="005B1DB5">
              <w:rPr>
                <w:sz w:val="16"/>
                <w:szCs w:val="16"/>
              </w:rPr>
              <w:t>(</w:t>
            </w:r>
            <w:r w:rsidRPr="005B1DB5">
              <w:rPr>
                <w:i/>
                <w:sz w:val="16"/>
                <w:szCs w:val="16"/>
              </w:rPr>
              <w:t>E</w:t>
            </w:r>
            <w:r w:rsidRPr="005B1DB5">
              <w:rPr>
                <w:sz w:val="16"/>
                <w:szCs w:val="16"/>
              </w:rPr>
              <w:t>)</w:t>
            </w:r>
            <w:r w:rsidRPr="005B1DB5">
              <w:rPr>
                <w:i/>
                <w:sz w:val="16"/>
                <w:szCs w:val="16"/>
              </w:rPr>
              <w:t>-</w:t>
            </w:r>
            <w:r w:rsidRPr="005B1DB5">
              <w:rPr>
                <w:sz w:val="16"/>
                <w:szCs w:val="16"/>
              </w:rPr>
              <w:t>CHF=CHCF</w:t>
            </w:r>
            <w:r w:rsidRPr="005B1DB5">
              <w:rPr>
                <w:sz w:val="16"/>
                <w:szCs w:val="16"/>
                <w:vertAlign w:val="subscript"/>
              </w:rPr>
              <w:t>3</w:t>
            </w:r>
          </w:p>
        </w:tc>
        <w:tc>
          <w:tcPr>
            <w:tcW w:w="1335" w:type="dxa"/>
            <w:tcBorders>
              <w:top w:val="nil"/>
              <w:left w:val="nil"/>
              <w:bottom w:val="single" w:sz="6" w:space="0" w:color="000000"/>
              <w:right w:val="single" w:sz="6" w:space="0" w:color="000000"/>
            </w:tcBorders>
            <w:tcMar>
              <w:top w:w="0" w:type="dxa"/>
              <w:left w:w="100" w:type="dxa"/>
              <w:bottom w:w="0" w:type="dxa"/>
              <w:right w:w="100" w:type="dxa"/>
            </w:tcMar>
          </w:tcPr>
          <w:p w14:paraId="303B8E0C" w14:textId="77777777" w:rsidR="007A4B60" w:rsidRPr="005B1DB5" w:rsidRDefault="005169FA">
            <w:pPr>
              <w:spacing w:before="40" w:after="40"/>
              <w:jc w:val="center"/>
              <w:rPr>
                <w:sz w:val="44"/>
                <w:szCs w:val="44"/>
                <w:vertAlign w:val="superscript"/>
              </w:rPr>
            </w:pPr>
            <w:r w:rsidRPr="005B1DB5">
              <w:rPr>
                <w:sz w:val="18"/>
                <w:szCs w:val="18"/>
              </w:rPr>
              <w:t>(0.15)</w:t>
            </w:r>
            <w:r w:rsidRPr="005B1DB5">
              <w:t xml:space="preserve"> </w:t>
            </w:r>
            <w:r w:rsidRPr="005B1DB5">
              <w:rPr>
                <w:vertAlign w:val="superscript"/>
              </w:rPr>
              <w:t>d</w:t>
            </w:r>
            <w:r w:rsidRPr="005B1DB5">
              <w:t xml:space="preserve"> </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77C52ABD" w14:textId="77777777" w:rsidR="007A4B60" w:rsidRPr="005B1DB5" w:rsidRDefault="005169FA">
            <w:pPr>
              <w:spacing w:before="40" w:after="40"/>
              <w:jc w:val="center"/>
              <w:rPr>
                <w:sz w:val="18"/>
                <w:szCs w:val="18"/>
              </w:rPr>
            </w:pPr>
            <w:r w:rsidRPr="005B1DB5">
              <w:rPr>
                <w:sz w:val="18"/>
                <w:szCs w:val="18"/>
              </w:rPr>
              <w:t>19 days</w:t>
            </w:r>
          </w:p>
        </w:tc>
        <w:tc>
          <w:tcPr>
            <w:tcW w:w="900" w:type="dxa"/>
            <w:tcBorders>
              <w:top w:val="nil"/>
              <w:left w:val="nil"/>
              <w:bottom w:val="single" w:sz="6" w:space="0" w:color="000000"/>
              <w:right w:val="single" w:sz="6" w:space="0" w:color="000000"/>
            </w:tcBorders>
            <w:tcMar>
              <w:top w:w="0" w:type="dxa"/>
              <w:left w:w="100" w:type="dxa"/>
              <w:bottom w:w="0" w:type="dxa"/>
              <w:right w:w="100" w:type="dxa"/>
            </w:tcMar>
          </w:tcPr>
          <w:p w14:paraId="62058055" w14:textId="77777777" w:rsidR="007A4B60" w:rsidRPr="005B1DB5" w:rsidRDefault="005169FA">
            <w:pPr>
              <w:spacing w:before="40" w:after="40"/>
              <w:jc w:val="center"/>
              <w:rPr>
                <w:sz w:val="18"/>
                <w:szCs w:val="18"/>
              </w:rPr>
            </w:pPr>
            <w:r w:rsidRPr="005B1DB5">
              <w:rPr>
                <w:sz w:val="18"/>
                <w:szCs w:val="18"/>
              </w:rPr>
              <w:t>19 days</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08191779" w14:textId="77777777" w:rsidR="007A4B60" w:rsidRPr="005B1DB5" w:rsidRDefault="005169FA">
            <w:pPr>
              <w:spacing w:before="40" w:after="40"/>
              <w:jc w:val="center"/>
              <w:rPr>
                <w:sz w:val="18"/>
                <w:szCs w:val="18"/>
              </w:rPr>
            </w:pPr>
            <w:r w:rsidRPr="005B1DB5">
              <w:rPr>
                <w:sz w:val="18"/>
                <w:szCs w:val="18"/>
              </w:rPr>
              <w:t>100</w:t>
            </w:r>
          </w:p>
        </w:tc>
        <w:tc>
          <w:tcPr>
            <w:tcW w:w="915" w:type="dxa"/>
            <w:tcBorders>
              <w:top w:val="nil"/>
              <w:left w:val="nil"/>
              <w:bottom w:val="single" w:sz="6" w:space="0" w:color="000000"/>
              <w:right w:val="single" w:sz="6" w:space="0" w:color="000000"/>
            </w:tcBorders>
            <w:tcMar>
              <w:top w:w="0" w:type="dxa"/>
              <w:left w:w="100" w:type="dxa"/>
              <w:bottom w:w="0" w:type="dxa"/>
              <w:right w:w="100" w:type="dxa"/>
            </w:tcMar>
          </w:tcPr>
          <w:p w14:paraId="45A62139" w14:textId="77777777" w:rsidR="007A4B60" w:rsidRPr="005B1DB5" w:rsidRDefault="005169FA">
            <w:pPr>
              <w:spacing w:before="40" w:after="40"/>
              <w:jc w:val="both"/>
              <w:rPr>
                <w:sz w:val="18"/>
                <w:szCs w:val="18"/>
              </w:rPr>
            </w:pPr>
            <w:r w:rsidRPr="005B1DB5">
              <w:rPr>
                <w:rFonts w:eastAsia="Arial Unicode MS"/>
                <w:sz w:val="18"/>
                <w:szCs w:val="18"/>
              </w:rPr>
              <w:t>≤0.075</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11555E41" w14:textId="77777777" w:rsidR="007A4B60" w:rsidRPr="005B1DB5" w:rsidRDefault="005169FA">
            <w:pPr>
              <w:spacing w:before="40" w:after="40"/>
              <w:jc w:val="both"/>
              <w:rPr>
                <w:sz w:val="18"/>
                <w:szCs w:val="18"/>
              </w:rPr>
            </w:pPr>
            <w:r w:rsidRPr="005B1DB5">
              <w:rPr>
                <w:sz w:val="18"/>
                <w:szCs w:val="18"/>
              </w:rPr>
              <w:t>0.00079</w:t>
            </w:r>
          </w:p>
        </w:tc>
      </w:tr>
      <w:tr w:rsidR="007A4B60" w:rsidRPr="005B1DB5" w14:paraId="263996A1" w14:textId="77777777">
        <w:trPr>
          <w:trHeight w:val="540"/>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A3C4C9C" w14:textId="77777777" w:rsidR="007A4B60" w:rsidRPr="005B1DB5" w:rsidRDefault="005169FA">
            <w:pPr>
              <w:spacing w:before="40" w:after="40"/>
              <w:jc w:val="both"/>
              <w:rPr>
                <w:sz w:val="18"/>
                <w:szCs w:val="18"/>
              </w:rPr>
            </w:pPr>
            <w:r w:rsidRPr="005B1DB5">
              <w:rPr>
                <w:sz w:val="18"/>
                <w:szCs w:val="18"/>
              </w:rPr>
              <w:t>HFO-</w:t>
            </w:r>
          </w:p>
          <w:p w14:paraId="4653BA6A" w14:textId="77777777" w:rsidR="007A4B60" w:rsidRPr="005B1DB5" w:rsidRDefault="005169FA">
            <w:pPr>
              <w:spacing w:before="40" w:after="40"/>
              <w:jc w:val="both"/>
              <w:rPr>
                <w:sz w:val="18"/>
                <w:szCs w:val="18"/>
              </w:rPr>
            </w:pPr>
            <w:r w:rsidRPr="005B1DB5">
              <w:rPr>
                <w:sz w:val="18"/>
                <w:szCs w:val="18"/>
              </w:rPr>
              <w:t>1336mzz(</w:t>
            </w:r>
            <w:r w:rsidRPr="005B1DB5">
              <w:rPr>
                <w:i/>
                <w:sz w:val="18"/>
                <w:szCs w:val="18"/>
              </w:rPr>
              <w:t>Z</w:t>
            </w:r>
            <w:r w:rsidRPr="005B1DB5">
              <w:rPr>
                <w:sz w:val="18"/>
                <w:szCs w:val="18"/>
              </w:rPr>
              <w:t>)</w:t>
            </w:r>
          </w:p>
        </w:tc>
        <w:tc>
          <w:tcPr>
            <w:tcW w:w="1575" w:type="dxa"/>
            <w:tcBorders>
              <w:top w:val="nil"/>
              <w:left w:val="nil"/>
              <w:bottom w:val="single" w:sz="6" w:space="0" w:color="000000"/>
              <w:right w:val="single" w:sz="6" w:space="0" w:color="000000"/>
            </w:tcBorders>
            <w:tcMar>
              <w:top w:w="0" w:type="dxa"/>
              <w:left w:w="100" w:type="dxa"/>
              <w:bottom w:w="0" w:type="dxa"/>
              <w:right w:w="100" w:type="dxa"/>
            </w:tcMar>
          </w:tcPr>
          <w:p w14:paraId="152341C3" w14:textId="77777777" w:rsidR="007A4B60" w:rsidRPr="005B1DB5" w:rsidRDefault="005169FA">
            <w:pPr>
              <w:spacing w:before="40" w:after="40"/>
              <w:jc w:val="both"/>
              <w:rPr>
                <w:sz w:val="16"/>
                <w:szCs w:val="16"/>
                <w:vertAlign w:val="subscript"/>
              </w:rPr>
            </w:pPr>
            <w:r w:rsidRPr="005B1DB5">
              <w:rPr>
                <w:sz w:val="16"/>
                <w:szCs w:val="16"/>
              </w:rPr>
              <w:t>(Z)</w:t>
            </w:r>
            <w:r w:rsidRPr="005B1DB5">
              <w:rPr>
                <w:i/>
                <w:sz w:val="16"/>
                <w:szCs w:val="16"/>
              </w:rPr>
              <w:t>-</w:t>
            </w:r>
            <w:r w:rsidRPr="005B1DB5">
              <w:rPr>
                <w:sz w:val="16"/>
                <w:szCs w:val="16"/>
              </w:rPr>
              <w:t>CF</w:t>
            </w:r>
            <w:r w:rsidRPr="005B1DB5">
              <w:rPr>
                <w:sz w:val="16"/>
                <w:szCs w:val="16"/>
                <w:vertAlign w:val="subscript"/>
              </w:rPr>
              <w:t>3</w:t>
            </w:r>
            <w:r w:rsidRPr="005B1DB5">
              <w:rPr>
                <w:sz w:val="16"/>
                <w:szCs w:val="16"/>
              </w:rPr>
              <w:t>CH=CHCF</w:t>
            </w:r>
            <w:r w:rsidRPr="005B1DB5">
              <w:rPr>
                <w:sz w:val="16"/>
                <w:szCs w:val="16"/>
                <w:vertAlign w:val="subscript"/>
              </w:rPr>
              <w:t>3</w:t>
            </w:r>
          </w:p>
        </w:tc>
        <w:tc>
          <w:tcPr>
            <w:tcW w:w="1335" w:type="dxa"/>
            <w:tcBorders>
              <w:top w:val="nil"/>
              <w:left w:val="nil"/>
              <w:bottom w:val="single" w:sz="6" w:space="0" w:color="000000"/>
              <w:right w:val="single" w:sz="6" w:space="0" w:color="000000"/>
            </w:tcBorders>
            <w:tcMar>
              <w:top w:w="0" w:type="dxa"/>
              <w:left w:w="100" w:type="dxa"/>
              <w:bottom w:w="0" w:type="dxa"/>
              <w:right w:w="100" w:type="dxa"/>
            </w:tcMar>
          </w:tcPr>
          <w:p w14:paraId="049E93BC" w14:textId="77777777" w:rsidR="007A4B60" w:rsidRPr="005B1DB5" w:rsidRDefault="005169FA">
            <w:pPr>
              <w:spacing w:before="40" w:after="40"/>
              <w:jc w:val="center"/>
              <w:rPr>
                <w:sz w:val="44"/>
                <w:szCs w:val="44"/>
                <w:vertAlign w:val="superscript"/>
              </w:rPr>
            </w:pPr>
            <w:r w:rsidRPr="005B1DB5">
              <w:rPr>
                <w:sz w:val="18"/>
                <w:szCs w:val="18"/>
              </w:rPr>
              <w:t xml:space="preserve">(0.05) </w:t>
            </w:r>
            <w:r w:rsidRPr="005B1DB5">
              <w:rPr>
                <w:vertAlign w:val="superscript"/>
              </w:rPr>
              <w:t>d</w:t>
            </w:r>
            <w:r w:rsidRPr="005B1DB5">
              <w:t xml:space="preserve"> </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5296481F" w14:textId="77777777" w:rsidR="007A4B60" w:rsidRPr="005B1DB5" w:rsidRDefault="005169FA">
            <w:pPr>
              <w:spacing w:before="40" w:after="40"/>
              <w:jc w:val="center"/>
              <w:rPr>
                <w:sz w:val="18"/>
                <w:szCs w:val="18"/>
              </w:rPr>
            </w:pPr>
            <w:r w:rsidRPr="005B1DB5">
              <w:rPr>
                <w:sz w:val="18"/>
                <w:szCs w:val="18"/>
              </w:rPr>
              <w:t>27 days</w:t>
            </w:r>
          </w:p>
        </w:tc>
        <w:tc>
          <w:tcPr>
            <w:tcW w:w="900" w:type="dxa"/>
            <w:tcBorders>
              <w:top w:val="nil"/>
              <w:left w:val="nil"/>
              <w:bottom w:val="single" w:sz="6" w:space="0" w:color="000000"/>
              <w:right w:val="single" w:sz="6" w:space="0" w:color="000000"/>
            </w:tcBorders>
            <w:tcMar>
              <w:top w:w="0" w:type="dxa"/>
              <w:left w:w="100" w:type="dxa"/>
              <w:bottom w:w="0" w:type="dxa"/>
              <w:right w:w="100" w:type="dxa"/>
            </w:tcMar>
          </w:tcPr>
          <w:p w14:paraId="6A59A945" w14:textId="77777777" w:rsidR="007A4B60" w:rsidRPr="005B1DB5" w:rsidRDefault="005169FA">
            <w:pPr>
              <w:spacing w:before="40" w:after="40"/>
              <w:jc w:val="center"/>
              <w:rPr>
                <w:sz w:val="18"/>
                <w:szCs w:val="18"/>
              </w:rPr>
            </w:pPr>
            <w:r w:rsidRPr="005B1DB5">
              <w:rPr>
                <w:sz w:val="18"/>
                <w:szCs w:val="18"/>
              </w:rPr>
              <w:t>27 days</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0CBFBE5F" w14:textId="77777777" w:rsidR="007A4B60" w:rsidRPr="005B1DB5" w:rsidRDefault="005169FA">
            <w:pPr>
              <w:spacing w:before="40" w:after="40"/>
              <w:jc w:val="center"/>
              <w:rPr>
                <w:sz w:val="18"/>
                <w:szCs w:val="18"/>
              </w:rPr>
            </w:pPr>
            <w:r w:rsidRPr="005B1DB5">
              <w:rPr>
                <w:sz w:val="18"/>
                <w:szCs w:val="18"/>
              </w:rPr>
              <w:t>200</w:t>
            </w:r>
          </w:p>
        </w:tc>
        <w:tc>
          <w:tcPr>
            <w:tcW w:w="915" w:type="dxa"/>
            <w:tcBorders>
              <w:top w:val="nil"/>
              <w:left w:val="nil"/>
              <w:bottom w:val="single" w:sz="6" w:space="0" w:color="000000"/>
              <w:right w:val="single" w:sz="6" w:space="0" w:color="000000"/>
            </w:tcBorders>
            <w:tcMar>
              <w:top w:w="0" w:type="dxa"/>
              <w:left w:w="100" w:type="dxa"/>
              <w:bottom w:w="0" w:type="dxa"/>
              <w:right w:w="100" w:type="dxa"/>
            </w:tcMar>
          </w:tcPr>
          <w:p w14:paraId="32F6F11E" w14:textId="77777777" w:rsidR="007A4B60" w:rsidRPr="005B1DB5" w:rsidRDefault="005169FA">
            <w:pPr>
              <w:spacing w:before="40" w:after="40"/>
              <w:jc w:val="both"/>
              <w:rPr>
                <w:sz w:val="18"/>
                <w:szCs w:val="18"/>
              </w:rPr>
            </w:pPr>
            <w:r w:rsidRPr="005B1DB5">
              <w:rPr>
                <w:rFonts w:eastAsia="Arial Unicode MS"/>
                <w:sz w:val="18"/>
                <w:szCs w:val="18"/>
              </w:rPr>
              <w:t>≤0.049</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468CE4FD" w14:textId="77777777" w:rsidR="007A4B60" w:rsidRPr="005B1DB5" w:rsidRDefault="005169FA">
            <w:pPr>
              <w:spacing w:before="40" w:after="40"/>
              <w:jc w:val="both"/>
              <w:rPr>
                <w:sz w:val="18"/>
                <w:szCs w:val="18"/>
              </w:rPr>
            </w:pPr>
            <w:r w:rsidRPr="005B1DB5">
              <w:rPr>
                <w:sz w:val="18"/>
                <w:szCs w:val="18"/>
              </w:rPr>
              <w:t>0.0011</w:t>
            </w:r>
          </w:p>
        </w:tc>
      </w:tr>
      <w:tr w:rsidR="007A4B60" w:rsidRPr="005B1DB5" w14:paraId="75A27F4E" w14:textId="77777777">
        <w:trPr>
          <w:trHeight w:val="285"/>
        </w:trPr>
        <w:tc>
          <w:tcPr>
            <w:tcW w:w="7800" w:type="dxa"/>
            <w:gridSpan w:val="7"/>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A54545E" w14:textId="77777777" w:rsidR="007A4B60" w:rsidRPr="005B1DB5" w:rsidRDefault="005169FA">
            <w:pPr>
              <w:spacing w:before="40" w:after="40"/>
              <w:jc w:val="both"/>
              <w:rPr>
                <w:b/>
                <w:sz w:val="18"/>
                <w:szCs w:val="18"/>
              </w:rPr>
            </w:pPr>
            <w:proofErr w:type="spellStart"/>
            <w:r w:rsidRPr="005B1DB5">
              <w:rPr>
                <w:b/>
                <w:sz w:val="18"/>
                <w:szCs w:val="18"/>
              </w:rPr>
              <w:t>Hydrochlorofluoroolefins</w:t>
            </w:r>
            <w:proofErr w:type="spellEnd"/>
            <w:r w:rsidRPr="005B1DB5">
              <w:rPr>
                <w:b/>
                <w:sz w:val="18"/>
                <w:szCs w:val="18"/>
              </w:rPr>
              <w:t xml:space="preserve"> (HCFOs)</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60353E43" w14:textId="77777777" w:rsidR="007A4B60" w:rsidRPr="005B1DB5" w:rsidRDefault="005169FA">
            <w:pPr>
              <w:spacing w:before="40" w:after="40"/>
              <w:jc w:val="both"/>
              <w:rPr>
                <w:b/>
                <w:sz w:val="18"/>
                <w:szCs w:val="18"/>
              </w:rPr>
            </w:pPr>
            <w:r w:rsidRPr="005B1DB5">
              <w:rPr>
                <w:b/>
                <w:sz w:val="18"/>
                <w:szCs w:val="18"/>
              </w:rPr>
              <w:t xml:space="preserve"> </w:t>
            </w:r>
          </w:p>
        </w:tc>
      </w:tr>
      <w:tr w:rsidR="007A4B60" w:rsidRPr="005B1DB5" w14:paraId="349B11E1" w14:textId="77777777">
        <w:trPr>
          <w:trHeight w:val="540"/>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5FAD3E9" w14:textId="77777777" w:rsidR="007A4B60" w:rsidRPr="005B1DB5" w:rsidRDefault="005169FA">
            <w:pPr>
              <w:spacing w:before="40" w:after="40"/>
              <w:jc w:val="both"/>
              <w:rPr>
                <w:sz w:val="18"/>
                <w:szCs w:val="18"/>
              </w:rPr>
            </w:pPr>
            <w:r w:rsidRPr="005B1DB5">
              <w:rPr>
                <w:sz w:val="18"/>
                <w:szCs w:val="18"/>
              </w:rPr>
              <w:t>HCFO-</w:t>
            </w:r>
          </w:p>
          <w:p w14:paraId="32A08629" w14:textId="77777777" w:rsidR="007A4B60" w:rsidRPr="005B1DB5" w:rsidRDefault="005169FA">
            <w:pPr>
              <w:spacing w:before="40" w:after="40"/>
              <w:jc w:val="both"/>
              <w:rPr>
                <w:sz w:val="18"/>
                <w:szCs w:val="18"/>
              </w:rPr>
            </w:pPr>
            <w:r w:rsidRPr="005B1DB5">
              <w:rPr>
                <w:sz w:val="18"/>
                <w:szCs w:val="18"/>
              </w:rPr>
              <w:t>1233zd(</w:t>
            </w:r>
            <w:r w:rsidRPr="005B1DB5">
              <w:rPr>
                <w:i/>
                <w:sz w:val="18"/>
                <w:szCs w:val="18"/>
              </w:rPr>
              <w:t>E</w:t>
            </w:r>
            <w:r w:rsidRPr="005B1DB5">
              <w:rPr>
                <w:sz w:val="18"/>
                <w:szCs w:val="18"/>
              </w:rPr>
              <w:t>)</w:t>
            </w:r>
          </w:p>
        </w:tc>
        <w:tc>
          <w:tcPr>
            <w:tcW w:w="1575" w:type="dxa"/>
            <w:tcBorders>
              <w:top w:val="nil"/>
              <w:left w:val="nil"/>
              <w:bottom w:val="single" w:sz="6" w:space="0" w:color="000000"/>
              <w:right w:val="single" w:sz="6" w:space="0" w:color="000000"/>
            </w:tcBorders>
            <w:tcMar>
              <w:top w:w="0" w:type="dxa"/>
              <w:left w:w="100" w:type="dxa"/>
              <w:bottom w:w="0" w:type="dxa"/>
              <w:right w:w="100" w:type="dxa"/>
            </w:tcMar>
          </w:tcPr>
          <w:p w14:paraId="534797C1" w14:textId="77777777" w:rsidR="007A4B60" w:rsidRPr="005B1DB5" w:rsidRDefault="005169FA">
            <w:pPr>
              <w:spacing w:before="40" w:after="40"/>
              <w:jc w:val="both"/>
              <w:rPr>
                <w:sz w:val="16"/>
                <w:szCs w:val="16"/>
              </w:rPr>
            </w:pPr>
            <w:r w:rsidRPr="005B1DB5">
              <w:rPr>
                <w:sz w:val="16"/>
                <w:szCs w:val="16"/>
              </w:rPr>
              <w:t>(</w:t>
            </w:r>
            <w:r w:rsidRPr="005B1DB5">
              <w:rPr>
                <w:i/>
                <w:sz w:val="16"/>
                <w:szCs w:val="16"/>
              </w:rPr>
              <w:t>E</w:t>
            </w:r>
            <w:r w:rsidRPr="005B1DB5">
              <w:rPr>
                <w:sz w:val="16"/>
                <w:szCs w:val="16"/>
              </w:rPr>
              <w:t>)-CF</w:t>
            </w:r>
            <w:r w:rsidRPr="005B1DB5">
              <w:rPr>
                <w:sz w:val="16"/>
                <w:szCs w:val="16"/>
                <w:vertAlign w:val="subscript"/>
              </w:rPr>
              <w:t>3</w:t>
            </w:r>
            <w:r w:rsidRPr="005B1DB5">
              <w:rPr>
                <w:sz w:val="16"/>
                <w:szCs w:val="16"/>
              </w:rPr>
              <w:t>CH=</w:t>
            </w:r>
            <w:proofErr w:type="spellStart"/>
            <w:r w:rsidRPr="005B1DB5">
              <w:rPr>
                <w:sz w:val="16"/>
                <w:szCs w:val="16"/>
              </w:rPr>
              <w:t>CHCl</w:t>
            </w:r>
            <w:proofErr w:type="spellEnd"/>
          </w:p>
        </w:tc>
        <w:tc>
          <w:tcPr>
            <w:tcW w:w="1335" w:type="dxa"/>
            <w:tcBorders>
              <w:top w:val="nil"/>
              <w:left w:val="nil"/>
              <w:bottom w:val="single" w:sz="6" w:space="0" w:color="000000"/>
              <w:right w:val="single" w:sz="6" w:space="0" w:color="000000"/>
            </w:tcBorders>
            <w:tcMar>
              <w:top w:w="0" w:type="dxa"/>
              <w:left w:w="100" w:type="dxa"/>
              <w:bottom w:w="0" w:type="dxa"/>
              <w:right w:w="100" w:type="dxa"/>
            </w:tcMar>
          </w:tcPr>
          <w:p w14:paraId="7C959E2D" w14:textId="77777777" w:rsidR="007A4B60" w:rsidRPr="005B1DB5" w:rsidRDefault="005169FA">
            <w:pPr>
              <w:spacing w:before="40" w:after="40"/>
              <w:jc w:val="center"/>
              <w:rPr>
                <w:sz w:val="44"/>
                <w:szCs w:val="44"/>
                <w:vertAlign w:val="superscript"/>
              </w:rPr>
            </w:pPr>
            <w:r w:rsidRPr="005B1DB5">
              <w:rPr>
                <w:sz w:val="18"/>
                <w:szCs w:val="18"/>
              </w:rPr>
              <w:t xml:space="preserve">(0.15) </w:t>
            </w:r>
            <w:r w:rsidRPr="005B1DB5">
              <w:rPr>
                <w:vertAlign w:val="superscript"/>
              </w:rPr>
              <w:t>d</w:t>
            </w:r>
            <w:r w:rsidRPr="005B1DB5">
              <w:t xml:space="preserve"> </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12E2271A" w14:textId="77777777" w:rsidR="007A4B60" w:rsidRPr="005B1DB5" w:rsidRDefault="005169FA">
            <w:pPr>
              <w:spacing w:before="40" w:after="40"/>
              <w:jc w:val="center"/>
              <w:rPr>
                <w:sz w:val="18"/>
                <w:szCs w:val="18"/>
              </w:rPr>
            </w:pPr>
            <w:r w:rsidRPr="005B1DB5">
              <w:rPr>
                <w:sz w:val="18"/>
                <w:szCs w:val="18"/>
              </w:rPr>
              <w:t>42.5 days</w:t>
            </w:r>
          </w:p>
        </w:tc>
        <w:tc>
          <w:tcPr>
            <w:tcW w:w="900" w:type="dxa"/>
            <w:tcBorders>
              <w:top w:val="nil"/>
              <w:left w:val="nil"/>
              <w:bottom w:val="single" w:sz="6" w:space="0" w:color="000000"/>
              <w:right w:val="single" w:sz="6" w:space="0" w:color="000000"/>
            </w:tcBorders>
            <w:tcMar>
              <w:top w:w="0" w:type="dxa"/>
              <w:left w:w="100" w:type="dxa"/>
              <w:bottom w:w="0" w:type="dxa"/>
              <w:right w:w="100" w:type="dxa"/>
            </w:tcMar>
          </w:tcPr>
          <w:p w14:paraId="0902C293" w14:textId="77777777" w:rsidR="007A4B60" w:rsidRPr="005B1DB5" w:rsidRDefault="005169FA">
            <w:pPr>
              <w:spacing w:before="40" w:after="40"/>
              <w:jc w:val="center"/>
              <w:rPr>
                <w:sz w:val="18"/>
                <w:szCs w:val="18"/>
              </w:rPr>
            </w:pPr>
            <w:r w:rsidRPr="005B1DB5">
              <w:rPr>
                <w:sz w:val="18"/>
                <w:szCs w:val="18"/>
              </w:rPr>
              <w:t>42.5 days</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49EF48BC" w14:textId="77777777" w:rsidR="007A4B60" w:rsidRPr="005B1DB5" w:rsidRDefault="005169FA">
            <w:pPr>
              <w:spacing w:before="40" w:after="40"/>
              <w:jc w:val="center"/>
              <w:rPr>
                <w:sz w:val="18"/>
                <w:szCs w:val="18"/>
              </w:rPr>
            </w:pPr>
            <w:r w:rsidRPr="005B1DB5">
              <w:rPr>
                <w:sz w:val="18"/>
                <w:szCs w:val="18"/>
              </w:rPr>
              <w:t>100</w:t>
            </w:r>
          </w:p>
        </w:tc>
        <w:tc>
          <w:tcPr>
            <w:tcW w:w="915" w:type="dxa"/>
            <w:tcBorders>
              <w:top w:val="nil"/>
              <w:left w:val="nil"/>
              <w:bottom w:val="single" w:sz="6" w:space="0" w:color="000000"/>
              <w:right w:val="single" w:sz="6" w:space="0" w:color="000000"/>
            </w:tcBorders>
            <w:tcMar>
              <w:top w:w="0" w:type="dxa"/>
              <w:left w:w="100" w:type="dxa"/>
              <w:bottom w:w="0" w:type="dxa"/>
              <w:right w:w="100" w:type="dxa"/>
            </w:tcMar>
          </w:tcPr>
          <w:p w14:paraId="7BC62B23" w14:textId="77777777" w:rsidR="007A4B60" w:rsidRPr="005B1DB5" w:rsidRDefault="005169FA">
            <w:pPr>
              <w:spacing w:before="40" w:after="40"/>
              <w:jc w:val="both"/>
              <w:rPr>
                <w:sz w:val="18"/>
                <w:szCs w:val="18"/>
              </w:rPr>
            </w:pPr>
            <w:r w:rsidRPr="005B1DB5">
              <w:rPr>
                <w:rFonts w:eastAsia="Arial Unicode MS"/>
                <w:sz w:val="18"/>
                <w:szCs w:val="18"/>
              </w:rPr>
              <w:t>≤0.043</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7C71CB8E" w14:textId="77777777" w:rsidR="007A4B60" w:rsidRPr="005B1DB5" w:rsidRDefault="005169FA">
            <w:pPr>
              <w:spacing w:before="40" w:after="40"/>
              <w:jc w:val="both"/>
              <w:rPr>
                <w:sz w:val="18"/>
                <w:szCs w:val="18"/>
              </w:rPr>
            </w:pPr>
            <w:r w:rsidRPr="005B1DB5">
              <w:rPr>
                <w:sz w:val="18"/>
                <w:szCs w:val="18"/>
              </w:rPr>
              <w:t>0.00070</w:t>
            </w:r>
          </w:p>
        </w:tc>
      </w:tr>
      <w:tr w:rsidR="007A4B60" w:rsidRPr="005B1DB5" w14:paraId="1CC201AC" w14:textId="77777777">
        <w:trPr>
          <w:trHeight w:val="285"/>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09B1FD" w14:textId="77777777" w:rsidR="007A4B60" w:rsidRPr="005B1DB5" w:rsidRDefault="005169FA">
            <w:pPr>
              <w:spacing w:before="40" w:after="40"/>
              <w:jc w:val="both"/>
              <w:rPr>
                <w:sz w:val="18"/>
                <w:szCs w:val="18"/>
              </w:rPr>
            </w:pPr>
            <w:r w:rsidRPr="005B1DB5">
              <w:rPr>
                <w:sz w:val="18"/>
                <w:szCs w:val="18"/>
              </w:rPr>
              <w:t xml:space="preserve"> </w:t>
            </w:r>
          </w:p>
        </w:tc>
        <w:tc>
          <w:tcPr>
            <w:tcW w:w="1575" w:type="dxa"/>
            <w:tcBorders>
              <w:top w:val="nil"/>
              <w:left w:val="nil"/>
              <w:bottom w:val="single" w:sz="6" w:space="0" w:color="000000"/>
              <w:right w:val="single" w:sz="6" w:space="0" w:color="000000"/>
            </w:tcBorders>
            <w:tcMar>
              <w:top w:w="0" w:type="dxa"/>
              <w:left w:w="100" w:type="dxa"/>
              <w:bottom w:w="0" w:type="dxa"/>
              <w:right w:w="100" w:type="dxa"/>
            </w:tcMar>
          </w:tcPr>
          <w:p w14:paraId="5AFE1B2A" w14:textId="77777777" w:rsidR="007A4B60" w:rsidRPr="005B1DB5" w:rsidRDefault="005169FA">
            <w:pPr>
              <w:spacing w:before="40" w:after="40"/>
              <w:jc w:val="both"/>
              <w:rPr>
                <w:sz w:val="18"/>
                <w:szCs w:val="18"/>
              </w:rPr>
            </w:pPr>
            <w:r w:rsidRPr="005B1DB5">
              <w:rPr>
                <w:sz w:val="18"/>
                <w:szCs w:val="18"/>
              </w:rPr>
              <w:t xml:space="preserve"> </w:t>
            </w:r>
          </w:p>
        </w:tc>
        <w:tc>
          <w:tcPr>
            <w:tcW w:w="1335" w:type="dxa"/>
            <w:tcBorders>
              <w:top w:val="nil"/>
              <w:left w:val="nil"/>
              <w:bottom w:val="single" w:sz="6" w:space="0" w:color="000000"/>
              <w:right w:val="single" w:sz="6" w:space="0" w:color="000000"/>
            </w:tcBorders>
            <w:tcMar>
              <w:top w:w="0" w:type="dxa"/>
              <w:left w:w="100" w:type="dxa"/>
              <w:bottom w:w="0" w:type="dxa"/>
              <w:right w:w="100" w:type="dxa"/>
            </w:tcMar>
          </w:tcPr>
          <w:p w14:paraId="6164F572" w14:textId="77777777" w:rsidR="007A4B60" w:rsidRPr="005B1DB5" w:rsidRDefault="005169FA">
            <w:pPr>
              <w:spacing w:before="40" w:after="40"/>
              <w:jc w:val="center"/>
              <w:rPr>
                <w:sz w:val="18"/>
                <w:szCs w:val="18"/>
              </w:rPr>
            </w:pPr>
            <w:r w:rsidRPr="005B1DB5">
              <w:rPr>
                <w:sz w:val="18"/>
                <w:szCs w:val="18"/>
              </w:rPr>
              <w:t xml:space="preserve"> </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7928F26C" w14:textId="77777777" w:rsidR="007A4B60" w:rsidRPr="005B1DB5" w:rsidRDefault="005169FA">
            <w:pPr>
              <w:spacing w:before="40" w:after="40"/>
              <w:jc w:val="center"/>
              <w:rPr>
                <w:sz w:val="18"/>
                <w:szCs w:val="18"/>
              </w:rPr>
            </w:pPr>
            <w:r w:rsidRPr="005B1DB5">
              <w:rPr>
                <w:sz w:val="18"/>
                <w:szCs w:val="18"/>
              </w:rPr>
              <w:t xml:space="preserve"> </w:t>
            </w:r>
          </w:p>
        </w:tc>
        <w:tc>
          <w:tcPr>
            <w:tcW w:w="900" w:type="dxa"/>
            <w:tcBorders>
              <w:top w:val="nil"/>
              <w:left w:val="nil"/>
              <w:bottom w:val="single" w:sz="6" w:space="0" w:color="000000"/>
              <w:right w:val="single" w:sz="6" w:space="0" w:color="000000"/>
            </w:tcBorders>
            <w:tcMar>
              <w:top w:w="0" w:type="dxa"/>
              <w:left w:w="100" w:type="dxa"/>
              <w:bottom w:w="0" w:type="dxa"/>
              <w:right w:w="100" w:type="dxa"/>
            </w:tcMar>
          </w:tcPr>
          <w:p w14:paraId="32E91B89" w14:textId="77777777" w:rsidR="007A4B60" w:rsidRPr="005B1DB5" w:rsidRDefault="005169FA">
            <w:pPr>
              <w:spacing w:before="40" w:after="40"/>
              <w:jc w:val="center"/>
              <w:rPr>
                <w:sz w:val="18"/>
                <w:szCs w:val="18"/>
              </w:rPr>
            </w:pPr>
            <w:r w:rsidRPr="005B1DB5">
              <w:rPr>
                <w:sz w:val="18"/>
                <w:szCs w:val="18"/>
              </w:rPr>
              <w:t xml:space="preserve"> </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33D22BD0" w14:textId="77777777" w:rsidR="007A4B60" w:rsidRPr="005B1DB5" w:rsidRDefault="005169FA">
            <w:pPr>
              <w:spacing w:before="40" w:after="40"/>
              <w:jc w:val="center"/>
              <w:rPr>
                <w:sz w:val="18"/>
                <w:szCs w:val="18"/>
              </w:rPr>
            </w:pPr>
            <w:r w:rsidRPr="005B1DB5">
              <w:rPr>
                <w:sz w:val="18"/>
                <w:szCs w:val="18"/>
              </w:rPr>
              <w:t>Totals</w:t>
            </w:r>
          </w:p>
        </w:tc>
        <w:tc>
          <w:tcPr>
            <w:tcW w:w="915" w:type="dxa"/>
            <w:tcBorders>
              <w:top w:val="nil"/>
              <w:left w:val="nil"/>
              <w:bottom w:val="single" w:sz="6" w:space="0" w:color="000000"/>
              <w:right w:val="single" w:sz="6" w:space="0" w:color="000000"/>
            </w:tcBorders>
            <w:tcMar>
              <w:top w:w="0" w:type="dxa"/>
              <w:left w:w="100" w:type="dxa"/>
              <w:bottom w:w="0" w:type="dxa"/>
              <w:right w:w="100" w:type="dxa"/>
            </w:tcMar>
          </w:tcPr>
          <w:p w14:paraId="20E7AA9F" w14:textId="77777777" w:rsidR="007A4B60" w:rsidRPr="005B1DB5" w:rsidRDefault="005169FA">
            <w:pPr>
              <w:spacing w:before="40" w:after="40"/>
              <w:jc w:val="both"/>
              <w:rPr>
                <w:sz w:val="18"/>
                <w:szCs w:val="18"/>
              </w:rPr>
            </w:pPr>
            <w:r w:rsidRPr="005B1DB5">
              <w:rPr>
                <w:rFonts w:eastAsia="Arial Unicode MS"/>
                <w:sz w:val="18"/>
                <w:szCs w:val="18"/>
              </w:rPr>
              <w:t>≤0.206</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72896A5A" w14:textId="77777777" w:rsidR="007A4B60" w:rsidRPr="005B1DB5" w:rsidRDefault="005169FA">
            <w:pPr>
              <w:spacing w:before="40" w:after="40"/>
              <w:jc w:val="both"/>
              <w:rPr>
                <w:sz w:val="18"/>
                <w:szCs w:val="18"/>
              </w:rPr>
            </w:pPr>
            <w:r w:rsidRPr="005B1DB5">
              <w:rPr>
                <w:sz w:val="18"/>
                <w:szCs w:val="18"/>
              </w:rPr>
              <w:t xml:space="preserve"> </w:t>
            </w:r>
          </w:p>
        </w:tc>
      </w:tr>
    </w:tbl>
    <w:p w14:paraId="59C6EA71" w14:textId="77777777" w:rsidR="007A4B60" w:rsidRPr="005B1DB5" w:rsidRDefault="005169FA" w:rsidP="00F3465D">
      <w:pPr>
        <w:spacing w:before="240"/>
        <w:ind w:left="1162" w:hanging="442"/>
        <w:rPr>
          <w:i/>
          <w:iCs/>
          <w:sz w:val="20"/>
          <w:szCs w:val="20"/>
        </w:rPr>
      </w:pPr>
      <w:proofErr w:type="gramStart"/>
      <w:r w:rsidRPr="005B1DB5">
        <w:rPr>
          <w:i/>
          <w:iCs/>
          <w:sz w:val="20"/>
          <w:szCs w:val="20"/>
        </w:rPr>
        <w:t>a  Lifetimes</w:t>
      </w:r>
      <w:proofErr w:type="gramEnd"/>
      <w:r w:rsidRPr="005B1DB5">
        <w:rPr>
          <w:i/>
          <w:iCs/>
          <w:sz w:val="20"/>
          <w:szCs w:val="20"/>
        </w:rPr>
        <w:t xml:space="preserve"> are taken from the 2022 WMO Ozone Scientific Assessment Annex (Burkholder and </w:t>
      </w:r>
      <w:proofErr w:type="spellStart"/>
      <w:r w:rsidRPr="005B1DB5">
        <w:rPr>
          <w:i/>
          <w:iCs/>
          <w:sz w:val="20"/>
          <w:szCs w:val="20"/>
        </w:rPr>
        <w:t>Hodnebrog</w:t>
      </w:r>
      <w:proofErr w:type="spellEnd"/>
      <w:r w:rsidRPr="005B1DB5">
        <w:rPr>
          <w:i/>
          <w:iCs/>
          <w:sz w:val="20"/>
          <w:szCs w:val="20"/>
        </w:rPr>
        <w:t xml:space="preserve">, 2022), the HFC-23 yield in the ozonolysis reactions of saturated halocarbons is assumed to be zero.  </w:t>
      </w:r>
    </w:p>
    <w:p w14:paraId="3F1CCB6A" w14:textId="58A21C96" w:rsidR="007A4B60" w:rsidRPr="005B1DB5" w:rsidRDefault="005169FA">
      <w:pPr>
        <w:ind w:left="1160" w:hanging="440"/>
        <w:rPr>
          <w:i/>
          <w:iCs/>
          <w:sz w:val="20"/>
          <w:szCs w:val="20"/>
        </w:rPr>
      </w:pPr>
      <w:r w:rsidRPr="005B1DB5">
        <w:rPr>
          <w:i/>
          <w:iCs/>
          <w:sz w:val="20"/>
          <w:szCs w:val="20"/>
        </w:rPr>
        <w:t xml:space="preserve">b  Atmospheric abundances of </w:t>
      </w:r>
      <w:r w:rsidR="00AB38A0">
        <w:rPr>
          <w:i/>
          <w:iCs/>
          <w:sz w:val="20"/>
          <w:szCs w:val="20"/>
        </w:rPr>
        <w:t xml:space="preserve">saturated </w:t>
      </w:r>
      <w:r w:rsidRPr="005B1DB5">
        <w:rPr>
          <w:i/>
          <w:iCs/>
          <w:sz w:val="20"/>
          <w:szCs w:val="20"/>
        </w:rPr>
        <w:t xml:space="preserve">HFCs </w:t>
      </w:r>
      <w:r w:rsidR="00AB38A0">
        <w:rPr>
          <w:i/>
          <w:iCs/>
          <w:sz w:val="20"/>
          <w:szCs w:val="20"/>
        </w:rPr>
        <w:t xml:space="preserve">and HCFCs </w:t>
      </w:r>
      <w:r w:rsidRPr="005B1DB5">
        <w:rPr>
          <w:i/>
          <w:iCs/>
          <w:sz w:val="20"/>
          <w:szCs w:val="20"/>
        </w:rPr>
        <w:t>are global surface means updated for the end of 2023 (updates to Prinn et al., 2018 provided by AGAGE).</w:t>
      </w:r>
    </w:p>
    <w:p w14:paraId="4EB47D98" w14:textId="77777777" w:rsidR="007A4B60" w:rsidRPr="005B1DB5" w:rsidRDefault="005169FA">
      <w:pPr>
        <w:ind w:left="1160" w:hanging="440"/>
        <w:rPr>
          <w:i/>
          <w:iCs/>
          <w:sz w:val="20"/>
          <w:szCs w:val="20"/>
        </w:rPr>
      </w:pPr>
      <w:proofErr w:type="gramStart"/>
      <w:r w:rsidRPr="005B1DB5">
        <w:rPr>
          <w:i/>
          <w:iCs/>
          <w:sz w:val="20"/>
          <w:szCs w:val="20"/>
        </w:rPr>
        <w:t>c  CF</w:t>
      </w:r>
      <w:proofErr w:type="gramEnd"/>
      <w:r w:rsidRPr="005B1DB5">
        <w:rPr>
          <w:i/>
          <w:iCs/>
          <w:sz w:val="20"/>
          <w:szCs w:val="20"/>
          <w:vertAlign w:val="subscript"/>
        </w:rPr>
        <w:t>3</w:t>
      </w:r>
      <w:r w:rsidRPr="005B1DB5">
        <w:rPr>
          <w:i/>
          <w:iCs/>
          <w:sz w:val="20"/>
          <w:szCs w:val="20"/>
        </w:rPr>
        <w:t>CHO product yields are taken from the literature for HFC-143a, HFC-245fa, and HFC-365mfc. In the absence of experimental data, CF</w:t>
      </w:r>
      <w:r w:rsidRPr="005B1DB5">
        <w:rPr>
          <w:i/>
          <w:iCs/>
          <w:sz w:val="20"/>
          <w:szCs w:val="20"/>
          <w:vertAlign w:val="subscript"/>
        </w:rPr>
        <w:t>3</w:t>
      </w:r>
      <w:r w:rsidRPr="005B1DB5">
        <w:rPr>
          <w:i/>
          <w:iCs/>
          <w:sz w:val="20"/>
          <w:szCs w:val="20"/>
        </w:rPr>
        <w:t>CHO product yields are estimated based on reactivity trends.</w:t>
      </w:r>
    </w:p>
    <w:p w14:paraId="7D43131F" w14:textId="77777777" w:rsidR="007A4B60" w:rsidRPr="005B1DB5" w:rsidRDefault="005169FA">
      <w:pPr>
        <w:ind w:left="1160" w:hanging="440"/>
        <w:rPr>
          <w:i/>
          <w:iCs/>
          <w:sz w:val="20"/>
          <w:szCs w:val="20"/>
        </w:rPr>
      </w:pPr>
      <w:r w:rsidRPr="005B1DB5">
        <w:rPr>
          <w:i/>
          <w:iCs/>
          <w:sz w:val="20"/>
          <w:szCs w:val="20"/>
        </w:rPr>
        <w:t xml:space="preserve">d  Atmospheric abundances appearing in parentheses are not global means, they are mole fractions measured at the European </w:t>
      </w:r>
      <w:proofErr w:type="spellStart"/>
      <w:r w:rsidRPr="005B1DB5">
        <w:rPr>
          <w:i/>
          <w:iCs/>
          <w:sz w:val="20"/>
          <w:szCs w:val="20"/>
        </w:rPr>
        <w:t>Jungfraujoch</w:t>
      </w:r>
      <w:proofErr w:type="spellEnd"/>
      <w:r w:rsidRPr="005B1DB5">
        <w:rPr>
          <w:i/>
          <w:iCs/>
          <w:sz w:val="20"/>
          <w:szCs w:val="20"/>
        </w:rPr>
        <w:t xml:space="preserve"> station in 2020 (Liang and Rigby et al., 2022) or 2022 (Rust et al., 2024), which are updates to Vollmer et al. (2015) for HFC1234yf and HCFO-1233zd(E); global mean abundances for these short-lived gases are likely substantially smaller than the values in the table.</w:t>
      </w:r>
    </w:p>
    <w:p w14:paraId="40C5DDC5" w14:textId="77777777" w:rsidR="007A4B60" w:rsidRDefault="007A4B60">
      <w:pPr>
        <w:ind w:left="1160" w:hanging="440"/>
      </w:pPr>
    </w:p>
    <w:p w14:paraId="199FDE93" w14:textId="252A6BBF" w:rsidR="005B1DB5" w:rsidRDefault="005B1DB5">
      <w:pPr>
        <w:rPr>
          <w:b/>
          <w:i/>
          <w:iCs/>
        </w:rPr>
      </w:pPr>
    </w:p>
    <w:p w14:paraId="01D9A051" w14:textId="3AC10314" w:rsidR="007A4B60" w:rsidRPr="0077744A" w:rsidRDefault="005169FA" w:rsidP="00F3465D">
      <w:pPr>
        <w:keepNext/>
        <w:keepLines/>
        <w:spacing w:before="240" w:after="120"/>
        <w:rPr>
          <w:i/>
          <w:iCs/>
        </w:rPr>
      </w:pPr>
      <w:r w:rsidRPr="0077744A">
        <w:rPr>
          <w:b/>
          <w:i/>
          <w:iCs/>
        </w:rPr>
        <w:lastRenderedPageBreak/>
        <w:t xml:space="preserve">Table 2. </w:t>
      </w:r>
      <w:r w:rsidRPr="0077744A">
        <w:rPr>
          <w:i/>
          <w:iCs/>
        </w:rPr>
        <w:t xml:space="preserve">Ozonolysis reaction sources of HFC-23 under conditions relevant for the global troposphere, for </w:t>
      </w:r>
      <w:proofErr w:type="spellStart"/>
      <w:r w:rsidRPr="0077744A">
        <w:rPr>
          <w:i/>
          <w:iCs/>
        </w:rPr>
        <w:t>hydrofluoroolefins</w:t>
      </w:r>
      <w:proofErr w:type="spellEnd"/>
      <w:r w:rsidRPr="0077744A">
        <w:rPr>
          <w:i/>
          <w:iCs/>
        </w:rPr>
        <w:t xml:space="preserve"> (HFOs) and </w:t>
      </w:r>
      <w:proofErr w:type="spellStart"/>
      <w:r w:rsidRPr="0077744A">
        <w:rPr>
          <w:i/>
          <w:iCs/>
        </w:rPr>
        <w:t>hydrochlorofluoroolefins</w:t>
      </w:r>
      <w:proofErr w:type="spellEnd"/>
      <w:r w:rsidRPr="0077744A">
        <w:rPr>
          <w:i/>
          <w:iCs/>
        </w:rPr>
        <w:t xml:space="preserve"> (HCFOs) (taken from Van Hoomissen et al. (2025))</w:t>
      </w:r>
    </w:p>
    <w:tbl>
      <w:tblPr>
        <w:tblStyle w:val="a0"/>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00"/>
        <w:gridCol w:w="1590"/>
        <w:gridCol w:w="1335"/>
        <w:gridCol w:w="1290"/>
        <w:gridCol w:w="930"/>
        <w:gridCol w:w="1395"/>
        <w:gridCol w:w="1140"/>
      </w:tblGrid>
      <w:tr w:rsidR="007A4B60" w14:paraId="42C0AF5D" w14:textId="77777777">
        <w:trPr>
          <w:trHeight w:val="1470"/>
        </w:trPr>
        <w:tc>
          <w:tcPr>
            <w:tcW w:w="12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2F1E258" w14:textId="77777777" w:rsidR="007A4B60" w:rsidRPr="005B1DB5" w:rsidRDefault="005169FA">
            <w:pPr>
              <w:spacing w:before="40" w:after="240"/>
              <w:jc w:val="center"/>
              <w:rPr>
                <w:b/>
                <w:sz w:val="18"/>
                <w:szCs w:val="18"/>
              </w:rPr>
            </w:pPr>
            <w:r w:rsidRPr="005B1DB5">
              <w:rPr>
                <w:b/>
                <w:sz w:val="18"/>
                <w:szCs w:val="18"/>
              </w:rPr>
              <w:t>Name</w:t>
            </w:r>
          </w:p>
        </w:tc>
        <w:tc>
          <w:tcPr>
            <w:tcW w:w="159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48506BD" w14:textId="77777777" w:rsidR="007A4B60" w:rsidRPr="005B1DB5" w:rsidRDefault="005169FA">
            <w:pPr>
              <w:spacing w:before="40" w:after="240"/>
              <w:jc w:val="center"/>
              <w:rPr>
                <w:b/>
                <w:sz w:val="18"/>
                <w:szCs w:val="18"/>
              </w:rPr>
            </w:pPr>
            <w:r w:rsidRPr="005B1DB5">
              <w:rPr>
                <w:b/>
                <w:sz w:val="18"/>
                <w:szCs w:val="18"/>
              </w:rPr>
              <w:t>Formula</w:t>
            </w:r>
          </w:p>
        </w:tc>
        <w:tc>
          <w:tcPr>
            <w:tcW w:w="13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E60400C" w14:textId="77777777" w:rsidR="007A4B60" w:rsidRPr="005B1DB5" w:rsidRDefault="005169FA">
            <w:pPr>
              <w:spacing w:before="40" w:after="40"/>
              <w:jc w:val="center"/>
              <w:rPr>
                <w:b/>
                <w:sz w:val="18"/>
                <w:szCs w:val="18"/>
              </w:rPr>
            </w:pPr>
            <w:r w:rsidRPr="005B1DB5">
              <w:rPr>
                <w:b/>
                <w:sz w:val="18"/>
                <w:szCs w:val="18"/>
              </w:rPr>
              <w:t>Atmospheric</w:t>
            </w:r>
          </w:p>
          <w:p w14:paraId="7D85FFD2" w14:textId="77777777" w:rsidR="007A4B60" w:rsidRPr="005B1DB5" w:rsidRDefault="005169FA">
            <w:pPr>
              <w:spacing w:before="40" w:after="40"/>
              <w:jc w:val="center"/>
              <w:rPr>
                <w:b/>
                <w:sz w:val="18"/>
                <w:szCs w:val="18"/>
              </w:rPr>
            </w:pPr>
            <w:r w:rsidRPr="005B1DB5">
              <w:rPr>
                <w:b/>
                <w:sz w:val="18"/>
                <w:szCs w:val="18"/>
              </w:rPr>
              <w:t>Abundance</w:t>
            </w:r>
          </w:p>
          <w:p w14:paraId="18B4180C" w14:textId="77777777" w:rsidR="007A4B60" w:rsidRPr="005B1DB5" w:rsidRDefault="005169FA">
            <w:pPr>
              <w:spacing w:before="40" w:after="40"/>
              <w:jc w:val="center"/>
              <w:rPr>
                <w:b/>
                <w:sz w:val="18"/>
                <w:szCs w:val="18"/>
              </w:rPr>
            </w:pPr>
            <w:r w:rsidRPr="005B1DB5">
              <w:rPr>
                <w:b/>
                <w:sz w:val="18"/>
                <w:szCs w:val="18"/>
              </w:rPr>
              <w:t>(ppt)</w:t>
            </w:r>
          </w:p>
        </w:tc>
        <w:tc>
          <w:tcPr>
            <w:tcW w:w="129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00B4878" w14:textId="77777777" w:rsidR="007A4B60" w:rsidRPr="005B1DB5" w:rsidRDefault="005169FA">
            <w:pPr>
              <w:spacing w:before="40" w:after="40"/>
              <w:jc w:val="center"/>
              <w:rPr>
                <w:b/>
                <w:sz w:val="18"/>
                <w:szCs w:val="18"/>
              </w:rPr>
            </w:pPr>
            <w:r w:rsidRPr="005B1DB5">
              <w:rPr>
                <w:b/>
                <w:sz w:val="18"/>
                <w:szCs w:val="18"/>
              </w:rPr>
              <w:t>Tropo-</w:t>
            </w:r>
          </w:p>
          <w:p w14:paraId="5BE801B4" w14:textId="77777777" w:rsidR="007A4B60" w:rsidRPr="005B1DB5" w:rsidRDefault="005169FA">
            <w:pPr>
              <w:spacing w:before="40" w:after="40"/>
              <w:jc w:val="center"/>
              <w:rPr>
                <w:b/>
                <w:sz w:val="18"/>
                <w:szCs w:val="18"/>
              </w:rPr>
            </w:pPr>
            <w:r w:rsidRPr="005B1DB5">
              <w:rPr>
                <w:b/>
                <w:sz w:val="18"/>
                <w:szCs w:val="18"/>
              </w:rPr>
              <w:t>spheric</w:t>
            </w:r>
          </w:p>
          <w:p w14:paraId="6E96359F" w14:textId="77777777" w:rsidR="007A4B60" w:rsidRPr="005B1DB5" w:rsidRDefault="005169FA">
            <w:pPr>
              <w:spacing w:before="40" w:after="40"/>
              <w:jc w:val="center"/>
              <w:rPr>
                <w:b/>
                <w:sz w:val="24"/>
                <w:szCs w:val="24"/>
                <w:vertAlign w:val="superscript"/>
              </w:rPr>
            </w:pPr>
            <w:r w:rsidRPr="005B1DB5">
              <w:rPr>
                <w:b/>
                <w:sz w:val="18"/>
                <w:szCs w:val="18"/>
              </w:rPr>
              <w:t xml:space="preserve">Ozonolysis Lifetime </w:t>
            </w:r>
            <w:r w:rsidRPr="005B1DB5">
              <w:rPr>
                <w:b/>
                <w:sz w:val="24"/>
                <w:szCs w:val="24"/>
                <w:vertAlign w:val="superscript"/>
              </w:rPr>
              <w:t>a</w:t>
            </w:r>
          </w:p>
          <w:p w14:paraId="13940FCC" w14:textId="77777777" w:rsidR="007A4B60" w:rsidRPr="005B1DB5" w:rsidRDefault="005169FA">
            <w:pPr>
              <w:spacing w:before="40" w:after="40"/>
              <w:jc w:val="center"/>
              <w:rPr>
                <w:b/>
                <w:sz w:val="18"/>
                <w:szCs w:val="18"/>
              </w:rPr>
            </w:pPr>
            <w:r w:rsidRPr="005B1DB5">
              <w:rPr>
                <w:b/>
                <w:sz w:val="18"/>
                <w:szCs w:val="18"/>
              </w:rPr>
              <w:t>(days)</w:t>
            </w:r>
          </w:p>
        </w:tc>
        <w:tc>
          <w:tcPr>
            <w:tcW w:w="9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22EC27A" w14:textId="77777777" w:rsidR="007A4B60" w:rsidRPr="005B1DB5" w:rsidRDefault="005169FA">
            <w:pPr>
              <w:spacing w:before="40" w:after="40"/>
              <w:jc w:val="center"/>
              <w:rPr>
                <w:b/>
                <w:sz w:val="18"/>
                <w:szCs w:val="18"/>
                <w:vertAlign w:val="subscript"/>
              </w:rPr>
            </w:pPr>
            <w:r w:rsidRPr="005B1DB5">
              <w:rPr>
                <w:b/>
                <w:sz w:val="18"/>
                <w:szCs w:val="18"/>
              </w:rPr>
              <w:t>HFC-23</w:t>
            </w:r>
          </w:p>
          <w:p w14:paraId="46E79318" w14:textId="77777777" w:rsidR="007A4B60" w:rsidRPr="005B1DB5" w:rsidRDefault="005169FA">
            <w:pPr>
              <w:spacing w:before="40" w:after="40"/>
              <w:jc w:val="center"/>
              <w:rPr>
                <w:b/>
                <w:sz w:val="18"/>
                <w:szCs w:val="18"/>
              </w:rPr>
            </w:pPr>
            <w:r w:rsidRPr="005B1DB5">
              <w:rPr>
                <w:b/>
                <w:sz w:val="18"/>
                <w:szCs w:val="18"/>
              </w:rPr>
              <w:t>Product</w:t>
            </w:r>
          </w:p>
          <w:p w14:paraId="3D02D237" w14:textId="77777777" w:rsidR="007A4B60" w:rsidRPr="005B1DB5" w:rsidRDefault="005169FA">
            <w:pPr>
              <w:spacing w:before="40" w:after="40"/>
              <w:jc w:val="center"/>
              <w:rPr>
                <w:b/>
                <w:sz w:val="18"/>
                <w:szCs w:val="18"/>
                <w:vertAlign w:val="superscript"/>
              </w:rPr>
            </w:pPr>
            <w:r w:rsidRPr="005B1DB5">
              <w:rPr>
                <w:b/>
                <w:sz w:val="18"/>
                <w:szCs w:val="18"/>
              </w:rPr>
              <w:t xml:space="preserve">Yield </w:t>
            </w:r>
            <w:r w:rsidRPr="005B1DB5">
              <w:rPr>
                <w:b/>
                <w:sz w:val="18"/>
                <w:szCs w:val="18"/>
                <w:vertAlign w:val="superscript"/>
              </w:rPr>
              <w:t>b</w:t>
            </w:r>
          </w:p>
          <w:p w14:paraId="3047614C" w14:textId="77777777" w:rsidR="007A4B60" w:rsidRPr="005B1DB5" w:rsidRDefault="005169FA">
            <w:pPr>
              <w:spacing w:before="40" w:after="40"/>
              <w:jc w:val="center"/>
              <w:rPr>
                <w:b/>
                <w:sz w:val="18"/>
                <w:szCs w:val="18"/>
              </w:rPr>
            </w:pPr>
            <w:r w:rsidRPr="005B1DB5">
              <w:rPr>
                <w:b/>
                <w:sz w:val="18"/>
                <w:szCs w:val="18"/>
              </w:rPr>
              <w:t>(%)</w:t>
            </w:r>
          </w:p>
        </w:tc>
        <w:tc>
          <w:tcPr>
            <w:tcW w:w="1395" w:type="dxa"/>
            <w:tcBorders>
              <w:top w:val="single" w:sz="6" w:space="0" w:color="000000"/>
              <w:left w:val="nil"/>
              <w:bottom w:val="single" w:sz="6" w:space="0" w:color="000000"/>
              <w:right w:val="nil"/>
            </w:tcBorders>
            <w:tcMar>
              <w:top w:w="0" w:type="dxa"/>
              <w:left w:w="100" w:type="dxa"/>
              <w:bottom w:w="0" w:type="dxa"/>
              <w:right w:w="100" w:type="dxa"/>
            </w:tcMar>
          </w:tcPr>
          <w:p w14:paraId="3D6C67DE" w14:textId="77777777" w:rsidR="007A4B60" w:rsidRPr="005B1DB5" w:rsidRDefault="005169FA">
            <w:pPr>
              <w:spacing w:before="40" w:after="40"/>
              <w:jc w:val="center"/>
              <w:rPr>
                <w:b/>
                <w:sz w:val="18"/>
                <w:szCs w:val="18"/>
              </w:rPr>
            </w:pPr>
            <w:r w:rsidRPr="005B1DB5">
              <w:rPr>
                <w:b/>
                <w:sz w:val="18"/>
                <w:szCs w:val="18"/>
              </w:rPr>
              <w:t>Tropospheric</w:t>
            </w:r>
          </w:p>
          <w:p w14:paraId="02D97F87" w14:textId="77777777" w:rsidR="007A4B60" w:rsidRPr="005B1DB5" w:rsidRDefault="005169FA">
            <w:pPr>
              <w:spacing w:before="40" w:after="40"/>
              <w:jc w:val="center"/>
              <w:rPr>
                <w:b/>
                <w:sz w:val="18"/>
                <w:szCs w:val="18"/>
              </w:rPr>
            </w:pPr>
            <w:r w:rsidRPr="005B1DB5">
              <w:rPr>
                <w:b/>
                <w:sz w:val="18"/>
                <w:szCs w:val="18"/>
              </w:rPr>
              <w:t xml:space="preserve">HFC-23 </w:t>
            </w:r>
          </w:p>
          <w:p w14:paraId="6CFE0348" w14:textId="77777777" w:rsidR="007A4B60" w:rsidRPr="005B1DB5" w:rsidRDefault="005169FA">
            <w:pPr>
              <w:spacing w:before="40" w:after="40"/>
              <w:jc w:val="center"/>
              <w:rPr>
                <w:b/>
                <w:sz w:val="18"/>
                <w:szCs w:val="18"/>
              </w:rPr>
            </w:pPr>
            <w:r w:rsidRPr="005B1DB5">
              <w:rPr>
                <w:b/>
                <w:sz w:val="18"/>
                <w:szCs w:val="18"/>
              </w:rPr>
              <w:t>Flux</w:t>
            </w:r>
          </w:p>
          <w:p w14:paraId="67D0C58F" w14:textId="77777777" w:rsidR="007A4B60" w:rsidRPr="005B1DB5" w:rsidRDefault="005169FA">
            <w:pPr>
              <w:spacing w:before="40" w:after="40"/>
              <w:jc w:val="center"/>
              <w:rPr>
                <w:b/>
                <w:sz w:val="18"/>
                <w:szCs w:val="18"/>
              </w:rPr>
            </w:pPr>
            <w:r w:rsidRPr="005B1DB5">
              <w:rPr>
                <w:b/>
                <w:sz w:val="18"/>
                <w:szCs w:val="18"/>
              </w:rPr>
              <w:t>(kt yr</w:t>
            </w:r>
            <w:r w:rsidRPr="005B1DB5">
              <w:rPr>
                <w:b/>
                <w:sz w:val="18"/>
                <w:szCs w:val="18"/>
                <w:vertAlign w:val="superscript"/>
              </w:rPr>
              <w:t>-1</w:t>
            </w:r>
            <w:r w:rsidRPr="005B1DB5">
              <w:rPr>
                <w:b/>
                <w:sz w:val="18"/>
                <w:szCs w:val="18"/>
              </w:rPr>
              <w:t>)</w:t>
            </w:r>
          </w:p>
        </w:tc>
        <w:tc>
          <w:tcPr>
            <w:tcW w:w="11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F37FF27" w14:textId="77777777" w:rsidR="007A4B60" w:rsidRPr="005B1DB5" w:rsidRDefault="005169FA">
            <w:pPr>
              <w:spacing w:before="40" w:after="40"/>
              <w:jc w:val="center"/>
              <w:rPr>
                <w:b/>
                <w:sz w:val="18"/>
                <w:szCs w:val="18"/>
              </w:rPr>
            </w:pPr>
            <w:r w:rsidRPr="005B1DB5">
              <w:rPr>
                <w:b/>
                <w:sz w:val="18"/>
                <w:szCs w:val="18"/>
              </w:rPr>
              <w:t>kt HFC-23 Produced</w:t>
            </w:r>
          </w:p>
          <w:p w14:paraId="32444CD7" w14:textId="77777777" w:rsidR="007A4B60" w:rsidRPr="005B1DB5" w:rsidRDefault="005169FA">
            <w:pPr>
              <w:spacing w:before="40" w:after="40"/>
              <w:jc w:val="center"/>
              <w:rPr>
                <w:b/>
                <w:sz w:val="18"/>
                <w:szCs w:val="18"/>
              </w:rPr>
            </w:pPr>
            <w:r w:rsidRPr="005B1DB5">
              <w:rPr>
                <w:b/>
                <w:sz w:val="18"/>
                <w:szCs w:val="18"/>
              </w:rPr>
              <w:t>per kt Source</w:t>
            </w:r>
          </w:p>
          <w:p w14:paraId="0144AD80" w14:textId="77777777" w:rsidR="007A4B60" w:rsidRPr="005B1DB5" w:rsidRDefault="005169FA">
            <w:pPr>
              <w:spacing w:before="40" w:after="40"/>
              <w:jc w:val="center"/>
              <w:rPr>
                <w:b/>
                <w:sz w:val="18"/>
                <w:szCs w:val="18"/>
              </w:rPr>
            </w:pPr>
            <w:r w:rsidRPr="005B1DB5">
              <w:rPr>
                <w:b/>
                <w:sz w:val="18"/>
                <w:szCs w:val="18"/>
              </w:rPr>
              <w:t>Gas Emitted</w:t>
            </w:r>
          </w:p>
        </w:tc>
      </w:tr>
      <w:tr w:rsidR="007A4B60" w14:paraId="0C956F58" w14:textId="77777777">
        <w:trPr>
          <w:trHeight w:val="270"/>
        </w:trPr>
        <w:tc>
          <w:tcPr>
            <w:tcW w:w="7740" w:type="dxa"/>
            <w:gridSpan w:val="6"/>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5144E89" w14:textId="77777777" w:rsidR="007A4B60" w:rsidRPr="005B1DB5" w:rsidRDefault="005169FA">
            <w:pPr>
              <w:spacing w:before="40" w:after="240"/>
              <w:rPr>
                <w:b/>
                <w:sz w:val="18"/>
                <w:szCs w:val="18"/>
              </w:rPr>
            </w:pPr>
            <w:proofErr w:type="spellStart"/>
            <w:r w:rsidRPr="005B1DB5">
              <w:rPr>
                <w:b/>
                <w:sz w:val="18"/>
                <w:szCs w:val="18"/>
              </w:rPr>
              <w:t>Hydrofluoroolefins</w:t>
            </w:r>
            <w:proofErr w:type="spellEnd"/>
            <w:r w:rsidRPr="005B1DB5">
              <w:rPr>
                <w:b/>
                <w:sz w:val="18"/>
                <w:szCs w:val="18"/>
              </w:rPr>
              <w:t xml:space="preserve"> (HFOs)</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2715DB93" w14:textId="77777777" w:rsidR="007A4B60" w:rsidRPr="005B1DB5" w:rsidRDefault="005169FA">
            <w:pPr>
              <w:spacing w:before="40" w:after="240"/>
              <w:rPr>
                <w:b/>
                <w:sz w:val="18"/>
                <w:szCs w:val="18"/>
              </w:rPr>
            </w:pPr>
            <w:r w:rsidRPr="005B1DB5">
              <w:rPr>
                <w:b/>
                <w:sz w:val="18"/>
                <w:szCs w:val="18"/>
              </w:rPr>
              <w:t xml:space="preserve"> </w:t>
            </w:r>
          </w:p>
        </w:tc>
      </w:tr>
      <w:tr w:rsidR="007A4B60" w14:paraId="2E975D3F" w14:textId="77777777">
        <w:trPr>
          <w:trHeight w:val="506"/>
        </w:trPr>
        <w:tc>
          <w:tcPr>
            <w:tcW w:w="12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BDD4DBF" w14:textId="77777777" w:rsidR="007A4B60" w:rsidRPr="005B1DB5" w:rsidRDefault="005169FA">
            <w:pPr>
              <w:rPr>
                <w:sz w:val="18"/>
                <w:szCs w:val="18"/>
              </w:rPr>
            </w:pPr>
            <w:r w:rsidRPr="005B1DB5">
              <w:rPr>
                <w:sz w:val="18"/>
                <w:szCs w:val="18"/>
              </w:rPr>
              <w:t>HFO-</w:t>
            </w:r>
          </w:p>
          <w:p w14:paraId="53FC7CDD" w14:textId="77777777" w:rsidR="007A4B60" w:rsidRPr="005B1DB5" w:rsidRDefault="005169FA">
            <w:pPr>
              <w:spacing w:after="240"/>
              <w:rPr>
                <w:sz w:val="18"/>
                <w:szCs w:val="18"/>
              </w:rPr>
            </w:pPr>
            <w:r w:rsidRPr="005B1DB5">
              <w:rPr>
                <w:sz w:val="18"/>
                <w:szCs w:val="18"/>
              </w:rPr>
              <w:t>1243zf</w:t>
            </w:r>
          </w:p>
        </w:tc>
        <w:tc>
          <w:tcPr>
            <w:tcW w:w="1590" w:type="dxa"/>
            <w:tcBorders>
              <w:top w:val="nil"/>
              <w:left w:val="nil"/>
              <w:bottom w:val="single" w:sz="6" w:space="0" w:color="000000"/>
              <w:right w:val="single" w:sz="6" w:space="0" w:color="000000"/>
            </w:tcBorders>
            <w:tcMar>
              <w:top w:w="0" w:type="dxa"/>
              <w:left w:w="100" w:type="dxa"/>
              <w:bottom w:w="0" w:type="dxa"/>
              <w:right w:w="100" w:type="dxa"/>
            </w:tcMar>
          </w:tcPr>
          <w:p w14:paraId="184F1A61" w14:textId="77777777" w:rsidR="007A4B60" w:rsidRPr="005B1DB5" w:rsidRDefault="005169FA">
            <w:pPr>
              <w:spacing w:after="240"/>
              <w:rPr>
                <w:sz w:val="18"/>
                <w:szCs w:val="18"/>
                <w:vertAlign w:val="subscript"/>
              </w:rPr>
            </w:pPr>
            <w:r w:rsidRPr="005B1DB5">
              <w:rPr>
                <w:sz w:val="18"/>
                <w:szCs w:val="18"/>
              </w:rPr>
              <w:t>CH</w:t>
            </w:r>
            <w:r w:rsidRPr="005B1DB5">
              <w:rPr>
                <w:sz w:val="18"/>
                <w:szCs w:val="18"/>
                <w:vertAlign w:val="subscript"/>
              </w:rPr>
              <w:t>2</w:t>
            </w:r>
            <w:r w:rsidRPr="005B1DB5">
              <w:rPr>
                <w:sz w:val="18"/>
                <w:szCs w:val="18"/>
              </w:rPr>
              <w:t>=CHCF</w:t>
            </w:r>
            <w:r w:rsidRPr="005B1DB5">
              <w:rPr>
                <w:sz w:val="18"/>
                <w:szCs w:val="18"/>
                <w:vertAlign w:val="subscript"/>
              </w:rPr>
              <w:t>3</w:t>
            </w:r>
          </w:p>
        </w:tc>
        <w:tc>
          <w:tcPr>
            <w:tcW w:w="1335" w:type="dxa"/>
            <w:tcBorders>
              <w:top w:val="nil"/>
              <w:left w:val="nil"/>
              <w:bottom w:val="single" w:sz="6" w:space="0" w:color="000000"/>
              <w:right w:val="single" w:sz="6" w:space="0" w:color="000000"/>
            </w:tcBorders>
            <w:tcMar>
              <w:top w:w="0" w:type="dxa"/>
              <w:left w:w="100" w:type="dxa"/>
              <w:bottom w:w="0" w:type="dxa"/>
              <w:right w:w="100" w:type="dxa"/>
            </w:tcMar>
          </w:tcPr>
          <w:p w14:paraId="2DB3CAE3" w14:textId="77777777" w:rsidR="007A4B60" w:rsidRPr="005B1DB5" w:rsidRDefault="005169FA">
            <w:pPr>
              <w:spacing w:after="240"/>
              <w:jc w:val="center"/>
              <w:rPr>
                <w:sz w:val="24"/>
                <w:szCs w:val="24"/>
                <w:vertAlign w:val="superscript"/>
              </w:rPr>
            </w:pPr>
            <w:r w:rsidRPr="005B1DB5">
              <w:rPr>
                <w:sz w:val="18"/>
                <w:szCs w:val="18"/>
              </w:rPr>
              <w:t xml:space="preserve">– </w:t>
            </w:r>
            <w:r w:rsidRPr="005B1DB5">
              <w:rPr>
                <w:sz w:val="24"/>
                <w:szCs w:val="24"/>
                <w:vertAlign w:val="superscript"/>
              </w:rPr>
              <w:t>c</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657B4386" w14:textId="77777777" w:rsidR="007A4B60" w:rsidRPr="005B1DB5" w:rsidRDefault="005169FA">
            <w:pPr>
              <w:spacing w:after="240"/>
              <w:jc w:val="center"/>
              <w:rPr>
                <w:sz w:val="18"/>
                <w:szCs w:val="18"/>
              </w:rPr>
            </w:pPr>
            <w:r w:rsidRPr="005B1DB5">
              <w:rPr>
                <w:sz w:val="18"/>
                <w:szCs w:val="18"/>
              </w:rPr>
              <w:t>~1150</w:t>
            </w:r>
          </w:p>
        </w:tc>
        <w:tc>
          <w:tcPr>
            <w:tcW w:w="930" w:type="dxa"/>
            <w:tcBorders>
              <w:top w:val="nil"/>
              <w:left w:val="nil"/>
              <w:bottom w:val="single" w:sz="6" w:space="0" w:color="000000"/>
              <w:right w:val="single" w:sz="6" w:space="0" w:color="000000"/>
            </w:tcBorders>
            <w:tcMar>
              <w:top w:w="0" w:type="dxa"/>
              <w:left w:w="100" w:type="dxa"/>
              <w:bottom w:w="0" w:type="dxa"/>
              <w:right w:w="100" w:type="dxa"/>
            </w:tcMar>
          </w:tcPr>
          <w:p w14:paraId="44DA5C72" w14:textId="77777777" w:rsidR="007A4B60" w:rsidRPr="005B1DB5" w:rsidRDefault="005169FA">
            <w:pPr>
              <w:rPr>
                <w:sz w:val="18"/>
                <w:szCs w:val="18"/>
              </w:rPr>
            </w:pPr>
            <w:r w:rsidRPr="005B1DB5">
              <w:rPr>
                <w:sz w:val="18"/>
                <w:szCs w:val="18"/>
              </w:rPr>
              <w:t>0.37 ± 0.02</w:t>
            </w:r>
          </w:p>
        </w:tc>
        <w:tc>
          <w:tcPr>
            <w:tcW w:w="1395" w:type="dxa"/>
            <w:tcBorders>
              <w:top w:val="nil"/>
              <w:left w:val="nil"/>
              <w:bottom w:val="single" w:sz="6" w:space="0" w:color="000000"/>
              <w:right w:val="nil"/>
            </w:tcBorders>
            <w:tcMar>
              <w:top w:w="0" w:type="dxa"/>
              <w:left w:w="100" w:type="dxa"/>
              <w:bottom w:w="0" w:type="dxa"/>
              <w:right w:w="100" w:type="dxa"/>
            </w:tcMar>
          </w:tcPr>
          <w:p w14:paraId="0819696B" w14:textId="77777777" w:rsidR="007A4B60" w:rsidRPr="005B1DB5" w:rsidRDefault="005169FA">
            <w:pPr>
              <w:spacing w:after="240"/>
              <w:jc w:val="center"/>
              <w:rPr>
                <w:sz w:val="18"/>
                <w:szCs w:val="18"/>
              </w:rPr>
            </w:pPr>
            <w:r w:rsidRPr="005B1DB5">
              <w:rPr>
                <w:sz w:val="18"/>
                <w:szCs w:val="18"/>
              </w:rPr>
              <w:t>–</w:t>
            </w:r>
          </w:p>
        </w:tc>
        <w:tc>
          <w:tcPr>
            <w:tcW w:w="11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EDE5D7" w14:textId="77777777" w:rsidR="007A4B60" w:rsidRPr="005B1DB5" w:rsidRDefault="005169FA">
            <w:pPr>
              <w:spacing w:after="240"/>
              <w:rPr>
                <w:sz w:val="18"/>
                <w:szCs w:val="18"/>
              </w:rPr>
            </w:pPr>
            <w:r w:rsidRPr="005B1DB5">
              <w:rPr>
                <w:sz w:val="18"/>
                <w:szCs w:val="18"/>
              </w:rPr>
              <w:t>0.000019</w:t>
            </w:r>
          </w:p>
        </w:tc>
      </w:tr>
      <w:tr w:rsidR="007A4B60" w14:paraId="2F0709EE" w14:textId="77777777">
        <w:trPr>
          <w:trHeight w:val="495"/>
        </w:trPr>
        <w:tc>
          <w:tcPr>
            <w:tcW w:w="12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FE10230" w14:textId="77777777" w:rsidR="007A4B60" w:rsidRPr="005B1DB5" w:rsidRDefault="005169FA">
            <w:pPr>
              <w:rPr>
                <w:sz w:val="18"/>
                <w:szCs w:val="18"/>
              </w:rPr>
            </w:pPr>
            <w:r w:rsidRPr="005B1DB5">
              <w:rPr>
                <w:sz w:val="18"/>
                <w:szCs w:val="18"/>
              </w:rPr>
              <w:t>HFO-</w:t>
            </w:r>
          </w:p>
          <w:p w14:paraId="761DF680" w14:textId="77777777" w:rsidR="007A4B60" w:rsidRPr="005B1DB5" w:rsidRDefault="005169FA">
            <w:pPr>
              <w:rPr>
                <w:sz w:val="18"/>
                <w:szCs w:val="18"/>
              </w:rPr>
            </w:pPr>
            <w:r w:rsidRPr="005B1DB5">
              <w:rPr>
                <w:sz w:val="18"/>
                <w:szCs w:val="18"/>
              </w:rPr>
              <w:t>1234ze(</w:t>
            </w:r>
            <w:r w:rsidRPr="005B1DB5">
              <w:rPr>
                <w:i/>
                <w:sz w:val="18"/>
                <w:szCs w:val="18"/>
              </w:rPr>
              <w:t>E</w:t>
            </w:r>
            <w:r w:rsidRPr="005B1DB5">
              <w:rPr>
                <w:sz w:val="18"/>
                <w:szCs w:val="18"/>
              </w:rPr>
              <w:t>)</w:t>
            </w:r>
          </w:p>
        </w:tc>
        <w:tc>
          <w:tcPr>
            <w:tcW w:w="1590" w:type="dxa"/>
            <w:tcBorders>
              <w:top w:val="nil"/>
              <w:left w:val="nil"/>
              <w:bottom w:val="single" w:sz="6" w:space="0" w:color="000000"/>
              <w:right w:val="single" w:sz="6" w:space="0" w:color="000000"/>
            </w:tcBorders>
            <w:tcMar>
              <w:top w:w="0" w:type="dxa"/>
              <w:left w:w="100" w:type="dxa"/>
              <w:bottom w:w="0" w:type="dxa"/>
              <w:right w:w="100" w:type="dxa"/>
            </w:tcMar>
          </w:tcPr>
          <w:p w14:paraId="7686917F" w14:textId="77777777" w:rsidR="007A4B60" w:rsidRPr="005B1DB5" w:rsidRDefault="005169FA">
            <w:pPr>
              <w:spacing w:after="240"/>
              <w:rPr>
                <w:sz w:val="18"/>
                <w:szCs w:val="18"/>
                <w:vertAlign w:val="subscript"/>
              </w:rPr>
            </w:pPr>
            <w:r w:rsidRPr="005B1DB5">
              <w:rPr>
                <w:sz w:val="18"/>
                <w:szCs w:val="18"/>
              </w:rPr>
              <w:t>(</w:t>
            </w:r>
            <w:r w:rsidRPr="005B1DB5">
              <w:rPr>
                <w:i/>
                <w:sz w:val="18"/>
                <w:szCs w:val="18"/>
              </w:rPr>
              <w:t>E</w:t>
            </w:r>
            <w:r w:rsidRPr="005B1DB5">
              <w:rPr>
                <w:sz w:val="18"/>
                <w:szCs w:val="18"/>
              </w:rPr>
              <w:t>)</w:t>
            </w:r>
            <w:r w:rsidRPr="005B1DB5">
              <w:rPr>
                <w:i/>
                <w:sz w:val="18"/>
                <w:szCs w:val="18"/>
              </w:rPr>
              <w:t>-</w:t>
            </w:r>
            <w:r w:rsidRPr="005B1DB5">
              <w:rPr>
                <w:sz w:val="18"/>
                <w:szCs w:val="18"/>
              </w:rPr>
              <w:t>CHF=CHCF</w:t>
            </w:r>
            <w:r w:rsidRPr="005B1DB5">
              <w:rPr>
                <w:sz w:val="18"/>
                <w:szCs w:val="18"/>
                <w:vertAlign w:val="subscript"/>
              </w:rPr>
              <w:t>3</w:t>
            </w:r>
          </w:p>
        </w:tc>
        <w:tc>
          <w:tcPr>
            <w:tcW w:w="1335" w:type="dxa"/>
            <w:tcBorders>
              <w:top w:val="nil"/>
              <w:left w:val="nil"/>
              <w:bottom w:val="single" w:sz="6" w:space="0" w:color="000000"/>
              <w:right w:val="single" w:sz="6" w:space="0" w:color="000000"/>
            </w:tcBorders>
            <w:tcMar>
              <w:top w:w="0" w:type="dxa"/>
              <w:left w:w="100" w:type="dxa"/>
              <w:bottom w:w="0" w:type="dxa"/>
              <w:right w:w="100" w:type="dxa"/>
            </w:tcMar>
          </w:tcPr>
          <w:p w14:paraId="23889EDD" w14:textId="77777777" w:rsidR="007A4B60" w:rsidRPr="005B1DB5" w:rsidRDefault="005169FA">
            <w:pPr>
              <w:spacing w:after="240"/>
              <w:jc w:val="center"/>
              <w:rPr>
                <w:sz w:val="24"/>
                <w:szCs w:val="24"/>
                <w:vertAlign w:val="superscript"/>
              </w:rPr>
            </w:pPr>
            <w:r w:rsidRPr="005B1DB5">
              <w:rPr>
                <w:sz w:val="18"/>
                <w:szCs w:val="18"/>
              </w:rPr>
              <w:t>(0.15)</w:t>
            </w:r>
            <w:r w:rsidRPr="005B1DB5">
              <w:rPr>
                <w:sz w:val="24"/>
                <w:szCs w:val="24"/>
              </w:rPr>
              <w:t xml:space="preserve"> </w:t>
            </w:r>
            <w:r w:rsidRPr="005B1DB5">
              <w:rPr>
                <w:sz w:val="24"/>
                <w:szCs w:val="24"/>
                <w:vertAlign w:val="superscript"/>
              </w:rPr>
              <w:t>d</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4B434326" w14:textId="77777777" w:rsidR="007A4B60" w:rsidRPr="005B1DB5" w:rsidRDefault="005169FA">
            <w:pPr>
              <w:spacing w:after="240"/>
              <w:jc w:val="center"/>
              <w:rPr>
                <w:sz w:val="18"/>
                <w:szCs w:val="18"/>
              </w:rPr>
            </w:pPr>
            <w:r w:rsidRPr="005B1DB5">
              <w:rPr>
                <w:sz w:val="18"/>
                <w:szCs w:val="18"/>
              </w:rPr>
              <w:t>~4600</w:t>
            </w:r>
          </w:p>
        </w:tc>
        <w:tc>
          <w:tcPr>
            <w:tcW w:w="930" w:type="dxa"/>
            <w:tcBorders>
              <w:top w:val="nil"/>
              <w:left w:val="nil"/>
              <w:bottom w:val="single" w:sz="6" w:space="0" w:color="000000"/>
              <w:right w:val="single" w:sz="6" w:space="0" w:color="000000"/>
            </w:tcBorders>
            <w:tcMar>
              <w:top w:w="0" w:type="dxa"/>
              <w:left w:w="100" w:type="dxa"/>
              <w:bottom w:w="0" w:type="dxa"/>
              <w:right w:w="100" w:type="dxa"/>
            </w:tcMar>
          </w:tcPr>
          <w:p w14:paraId="6E73F1DA" w14:textId="77777777" w:rsidR="007A4B60" w:rsidRPr="005B1DB5" w:rsidRDefault="005169FA">
            <w:pPr>
              <w:spacing w:after="240"/>
              <w:rPr>
                <w:sz w:val="18"/>
                <w:szCs w:val="18"/>
              </w:rPr>
            </w:pPr>
            <w:r w:rsidRPr="005B1DB5">
              <w:rPr>
                <w:sz w:val="18"/>
                <w:szCs w:val="18"/>
              </w:rPr>
              <w:t>3.11 ± 0.05</w:t>
            </w:r>
          </w:p>
        </w:tc>
        <w:tc>
          <w:tcPr>
            <w:tcW w:w="1395" w:type="dxa"/>
            <w:tcBorders>
              <w:top w:val="nil"/>
              <w:left w:val="nil"/>
              <w:bottom w:val="single" w:sz="6" w:space="0" w:color="000000"/>
              <w:right w:val="nil"/>
            </w:tcBorders>
            <w:tcMar>
              <w:top w:w="0" w:type="dxa"/>
              <w:left w:w="100" w:type="dxa"/>
              <w:bottom w:w="0" w:type="dxa"/>
              <w:right w:w="100" w:type="dxa"/>
            </w:tcMar>
          </w:tcPr>
          <w:p w14:paraId="71122B5C" w14:textId="77777777" w:rsidR="007A4B60" w:rsidRPr="005B1DB5" w:rsidRDefault="005169FA">
            <w:pPr>
              <w:spacing w:after="240"/>
              <w:rPr>
                <w:sz w:val="18"/>
                <w:szCs w:val="18"/>
              </w:rPr>
            </w:pPr>
            <w:r w:rsidRPr="005B1DB5">
              <w:rPr>
                <w:rFonts w:eastAsia="Arial Unicode MS"/>
                <w:sz w:val="18"/>
                <w:szCs w:val="18"/>
              </w:rPr>
              <w:t>≤ 0.009</w:t>
            </w:r>
          </w:p>
        </w:tc>
        <w:tc>
          <w:tcPr>
            <w:tcW w:w="11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116494D" w14:textId="77777777" w:rsidR="007A4B60" w:rsidRPr="005B1DB5" w:rsidRDefault="005169FA">
            <w:pPr>
              <w:spacing w:after="240"/>
              <w:rPr>
                <w:sz w:val="18"/>
                <w:szCs w:val="18"/>
              </w:rPr>
            </w:pPr>
            <w:r w:rsidRPr="005B1DB5">
              <w:rPr>
                <w:sz w:val="18"/>
                <w:szCs w:val="18"/>
              </w:rPr>
              <w:t>0.000078</w:t>
            </w:r>
          </w:p>
        </w:tc>
      </w:tr>
      <w:tr w:rsidR="007A4B60" w14:paraId="1BC963BE" w14:textId="77777777">
        <w:trPr>
          <w:trHeight w:val="510"/>
        </w:trPr>
        <w:tc>
          <w:tcPr>
            <w:tcW w:w="12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14CC13" w14:textId="77777777" w:rsidR="007A4B60" w:rsidRPr="005B1DB5" w:rsidRDefault="005169FA">
            <w:pPr>
              <w:jc w:val="both"/>
              <w:rPr>
                <w:sz w:val="18"/>
                <w:szCs w:val="18"/>
              </w:rPr>
            </w:pPr>
            <w:r w:rsidRPr="005B1DB5">
              <w:rPr>
                <w:sz w:val="18"/>
                <w:szCs w:val="18"/>
              </w:rPr>
              <w:t>HFO-</w:t>
            </w:r>
          </w:p>
          <w:p w14:paraId="04E5BBDD" w14:textId="77777777" w:rsidR="007A4B60" w:rsidRPr="005B1DB5" w:rsidRDefault="005169FA">
            <w:pPr>
              <w:spacing w:after="240"/>
              <w:jc w:val="both"/>
              <w:rPr>
                <w:sz w:val="18"/>
                <w:szCs w:val="18"/>
              </w:rPr>
            </w:pPr>
            <w:r w:rsidRPr="005B1DB5">
              <w:rPr>
                <w:sz w:val="18"/>
                <w:szCs w:val="18"/>
              </w:rPr>
              <w:t>1336mzz(Z)</w:t>
            </w:r>
          </w:p>
        </w:tc>
        <w:tc>
          <w:tcPr>
            <w:tcW w:w="1590" w:type="dxa"/>
            <w:tcBorders>
              <w:top w:val="nil"/>
              <w:left w:val="nil"/>
              <w:bottom w:val="single" w:sz="6" w:space="0" w:color="000000"/>
              <w:right w:val="single" w:sz="6" w:space="0" w:color="000000"/>
            </w:tcBorders>
            <w:tcMar>
              <w:top w:w="0" w:type="dxa"/>
              <w:left w:w="100" w:type="dxa"/>
              <w:bottom w:w="0" w:type="dxa"/>
              <w:right w:w="100" w:type="dxa"/>
            </w:tcMar>
          </w:tcPr>
          <w:p w14:paraId="7C64C148" w14:textId="77777777" w:rsidR="007A4B60" w:rsidRPr="005B1DB5" w:rsidRDefault="005169FA">
            <w:pPr>
              <w:spacing w:after="240"/>
              <w:rPr>
                <w:sz w:val="16"/>
                <w:szCs w:val="16"/>
                <w:vertAlign w:val="subscript"/>
              </w:rPr>
            </w:pPr>
            <w:r w:rsidRPr="005B1DB5">
              <w:rPr>
                <w:sz w:val="16"/>
                <w:szCs w:val="16"/>
              </w:rPr>
              <w:t>(Z)</w:t>
            </w:r>
            <w:r w:rsidRPr="005B1DB5">
              <w:rPr>
                <w:i/>
                <w:sz w:val="16"/>
                <w:szCs w:val="16"/>
              </w:rPr>
              <w:t>-</w:t>
            </w:r>
            <w:r w:rsidRPr="005B1DB5">
              <w:rPr>
                <w:sz w:val="16"/>
                <w:szCs w:val="16"/>
              </w:rPr>
              <w:t>CF</w:t>
            </w:r>
            <w:r w:rsidRPr="005B1DB5">
              <w:rPr>
                <w:sz w:val="16"/>
                <w:szCs w:val="16"/>
                <w:vertAlign w:val="subscript"/>
              </w:rPr>
              <w:t>3</w:t>
            </w:r>
            <w:r w:rsidRPr="005B1DB5">
              <w:rPr>
                <w:sz w:val="16"/>
                <w:szCs w:val="16"/>
              </w:rPr>
              <w:t>CH=CHCF</w:t>
            </w:r>
            <w:r w:rsidRPr="005B1DB5">
              <w:rPr>
                <w:sz w:val="16"/>
                <w:szCs w:val="16"/>
                <w:vertAlign w:val="subscript"/>
              </w:rPr>
              <w:t>3</w:t>
            </w:r>
          </w:p>
        </w:tc>
        <w:tc>
          <w:tcPr>
            <w:tcW w:w="1335" w:type="dxa"/>
            <w:tcBorders>
              <w:top w:val="nil"/>
              <w:left w:val="nil"/>
              <w:bottom w:val="single" w:sz="6" w:space="0" w:color="000000"/>
              <w:right w:val="single" w:sz="6" w:space="0" w:color="000000"/>
            </w:tcBorders>
            <w:tcMar>
              <w:top w:w="0" w:type="dxa"/>
              <w:left w:w="100" w:type="dxa"/>
              <w:bottom w:w="0" w:type="dxa"/>
              <w:right w:w="100" w:type="dxa"/>
            </w:tcMar>
          </w:tcPr>
          <w:p w14:paraId="4057E99B" w14:textId="77777777" w:rsidR="007A4B60" w:rsidRPr="005B1DB5" w:rsidRDefault="005169FA">
            <w:pPr>
              <w:spacing w:after="240"/>
              <w:jc w:val="center"/>
              <w:rPr>
                <w:sz w:val="24"/>
                <w:szCs w:val="24"/>
                <w:vertAlign w:val="superscript"/>
              </w:rPr>
            </w:pPr>
            <w:r w:rsidRPr="005B1DB5">
              <w:rPr>
                <w:sz w:val="18"/>
                <w:szCs w:val="18"/>
              </w:rPr>
              <w:t>(0.05)</w:t>
            </w:r>
            <w:r w:rsidRPr="005B1DB5">
              <w:rPr>
                <w:sz w:val="24"/>
                <w:szCs w:val="24"/>
              </w:rPr>
              <w:t xml:space="preserve"> </w:t>
            </w:r>
            <w:r w:rsidRPr="005B1DB5">
              <w:rPr>
                <w:sz w:val="24"/>
                <w:szCs w:val="24"/>
                <w:vertAlign w:val="superscript"/>
              </w:rPr>
              <w:t>d</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07A9C24B" w14:textId="77777777" w:rsidR="007A4B60" w:rsidRPr="005B1DB5" w:rsidRDefault="005169FA">
            <w:pPr>
              <w:spacing w:after="240"/>
              <w:jc w:val="center"/>
              <w:rPr>
                <w:sz w:val="18"/>
                <w:szCs w:val="18"/>
              </w:rPr>
            </w:pPr>
            <w:r w:rsidRPr="005B1DB5">
              <w:rPr>
                <w:sz w:val="18"/>
                <w:szCs w:val="18"/>
              </w:rPr>
              <w:t>~19300</w:t>
            </w:r>
          </w:p>
        </w:tc>
        <w:tc>
          <w:tcPr>
            <w:tcW w:w="930" w:type="dxa"/>
            <w:tcBorders>
              <w:top w:val="nil"/>
              <w:left w:val="nil"/>
              <w:bottom w:val="single" w:sz="6" w:space="0" w:color="000000"/>
              <w:right w:val="single" w:sz="6" w:space="0" w:color="000000"/>
            </w:tcBorders>
            <w:tcMar>
              <w:top w:w="0" w:type="dxa"/>
              <w:left w:w="100" w:type="dxa"/>
              <w:bottom w:w="0" w:type="dxa"/>
              <w:right w:w="100" w:type="dxa"/>
            </w:tcMar>
          </w:tcPr>
          <w:p w14:paraId="168F68B4" w14:textId="77777777" w:rsidR="007A4B60" w:rsidRPr="005B1DB5" w:rsidRDefault="005169FA">
            <w:pPr>
              <w:spacing w:after="240"/>
              <w:rPr>
                <w:sz w:val="18"/>
                <w:szCs w:val="18"/>
              </w:rPr>
            </w:pPr>
            <w:r w:rsidRPr="005B1DB5">
              <w:rPr>
                <w:sz w:val="18"/>
                <w:szCs w:val="18"/>
              </w:rPr>
              <w:t>0.42 ± 0.02</w:t>
            </w:r>
          </w:p>
        </w:tc>
        <w:tc>
          <w:tcPr>
            <w:tcW w:w="1395" w:type="dxa"/>
            <w:tcBorders>
              <w:top w:val="nil"/>
              <w:left w:val="nil"/>
              <w:bottom w:val="single" w:sz="6" w:space="0" w:color="000000"/>
              <w:right w:val="nil"/>
            </w:tcBorders>
            <w:tcMar>
              <w:top w:w="0" w:type="dxa"/>
              <w:left w:w="100" w:type="dxa"/>
              <w:bottom w:w="0" w:type="dxa"/>
              <w:right w:w="100" w:type="dxa"/>
            </w:tcMar>
          </w:tcPr>
          <w:p w14:paraId="16B07060" w14:textId="77777777" w:rsidR="007A4B60" w:rsidRPr="005B1DB5" w:rsidRDefault="005169FA">
            <w:pPr>
              <w:spacing w:after="240"/>
              <w:rPr>
                <w:sz w:val="18"/>
                <w:szCs w:val="18"/>
              </w:rPr>
            </w:pPr>
            <w:r w:rsidRPr="005B1DB5">
              <w:rPr>
                <w:rFonts w:eastAsia="Arial Unicode MS"/>
                <w:sz w:val="18"/>
                <w:szCs w:val="18"/>
              </w:rPr>
              <w:t>≤ 0.00009</w:t>
            </w:r>
          </w:p>
        </w:tc>
        <w:tc>
          <w:tcPr>
            <w:tcW w:w="11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9D3C215" w14:textId="77777777" w:rsidR="007A4B60" w:rsidRPr="005B1DB5" w:rsidRDefault="005169FA">
            <w:pPr>
              <w:spacing w:after="240"/>
              <w:rPr>
                <w:sz w:val="18"/>
                <w:szCs w:val="18"/>
              </w:rPr>
            </w:pPr>
            <w:r w:rsidRPr="005B1DB5">
              <w:rPr>
                <w:sz w:val="18"/>
                <w:szCs w:val="18"/>
              </w:rPr>
              <w:t>0.0000025</w:t>
            </w:r>
          </w:p>
        </w:tc>
      </w:tr>
      <w:tr w:rsidR="007A4B60" w14:paraId="49778024" w14:textId="77777777">
        <w:trPr>
          <w:trHeight w:val="270"/>
        </w:trPr>
        <w:tc>
          <w:tcPr>
            <w:tcW w:w="7740" w:type="dxa"/>
            <w:gridSpan w:val="6"/>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80427C6" w14:textId="77777777" w:rsidR="007A4B60" w:rsidRPr="005B1DB5" w:rsidRDefault="005169FA">
            <w:pPr>
              <w:spacing w:after="240"/>
              <w:rPr>
                <w:b/>
                <w:sz w:val="18"/>
                <w:szCs w:val="18"/>
              </w:rPr>
            </w:pPr>
            <w:proofErr w:type="spellStart"/>
            <w:r w:rsidRPr="005B1DB5">
              <w:rPr>
                <w:b/>
                <w:sz w:val="18"/>
                <w:szCs w:val="18"/>
              </w:rPr>
              <w:t>Hydrochlorofluoroolefins</w:t>
            </w:r>
            <w:proofErr w:type="spellEnd"/>
            <w:r w:rsidRPr="005B1DB5">
              <w:rPr>
                <w:b/>
                <w:sz w:val="18"/>
                <w:szCs w:val="18"/>
              </w:rPr>
              <w:t xml:space="preserve"> (HCFOs)</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14:paraId="72768FCC" w14:textId="77777777" w:rsidR="007A4B60" w:rsidRPr="005B1DB5" w:rsidRDefault="005169FA">
            <w:pPr>
              <w:spacing w:after="240"/>
              <w:rPr>
                <w:b/>
                <w:sz w:val="18"/>
                <w:szCs w:val="18"/>
              </w:rPr>
            </w:pPr>
            <w:r w:rsidRPr="005B1DB5">
              <w:rPr>
                <w:b/>
                <w:sz w:val="18"/>
                <w:szCs w:val="18"/>
              </w:rPr>
              <w:t xml:space="preserve"> </w:t>
            </w:r>
          </w:p>
        </w:tc>
      </w:tr>
      <w:tr w:rsidR="007A4B60" w14:paraId="118D9B89" w14:textId="77777777">
        <w:trPr>
          <w:trHeight w:val="510"/>
        </w:trPr>
        <w:tc>
          <w:tcPr>
            <w:tcW w:w="12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87BC8D0" w14:textId="77777777" w:rsidR="007A4B60" w:rsidRPr="005B1DB5" w:rsidRDefault="005169FA">
            <w:pPr>
              <w:rPr>
                <w:sz w:val="18"/>
                <w:szCs w:val="18"/>
              </w:rPr>
            </w:pPr>
            <w:r w:rsidRPr="005B1DB5">
              <w:rPr>
                <w:sz w:val="18"/>
                <w:szCs w:val="18"/>
              </w:rPr>
              <w:t>HCFO-</w:t>
            </w:r>
          </w:p>
          <w:p w14:paraId="0FD37DFA" w14:textId="77777777" w:rsidR="007A4B60" w:rsidRPr="005B1DB5" w:rsidRDefault="005169FA">
            <w:pPr>
              <w:spacing w:after="240"/>
              <w:rPr>
                <w:sz w:val="18"/>
                <w:szCs w:val="18"/>
              </w:rPr>
            </w:pPr>
            <w:r w:rsidRPr="005B1DB5">
              <w:rPr>
                <w:sz w:val="18"/>
                <w:szCs w:val="18"/>
              </w:rPr>
              <w:t>1233zd(</w:t>
            </w:r>
            <w:r w:rsidRPr="005B1DB5">
              <w:rPr>
                <w:i/>
                <w:sz w:val="18"/>
                <w:szCs w:val="18"/>
              </w:rPr>
              <w:t>E</w:t>
            </w:r>
            <w:r w:rsidRPr="005B1DB5">
              <w:rPr>
                <w:sz w:val="18"/>
                <w:szCs w:val="18"/>
              </w:rPr>
              <w:t>)</w:t>
            </w:r>
          </w:p>
        </w:tc>
        <w:tc>
          <w:tcPr>
            <w:tcW w:w="1590" w:type="dxa"/>
            <w:tcBorders>
              <w:top w:val="nil"/>
              <w:left w:val="nil"/>
              <w:bottom w:val="single" w:sz="6" w:space="0" w:color="000000"/>
              <w:right w:val="single" w:sz="6" w:space="0" w:color="000000"/>
            </w:tcBorders>
            <w:tcMar>
              <w:top w:w="0" w:type="dxa"/>
              <w:left w:w="100" w:type="dxa"/>
              <w:bottom w:w="0" w:type="dxa"/>
              <w:right w:w="100" w:type="dxa"/>
            </w:tcMar>
          </w:tcPr>
          <w:p w14:paraId="3F948BF4" w14:textId="77777777" w:rsidR="007A4B60" w:rsidRPr="005B1DB5" w:rsidRDefault="005169FA">
            <w:pPr>
              <w:spacing w:after="240"/>
              <w:rPr>
                <w:sz w:val="16"/>
                <w:szCs w:val="16"/>
              </w:rPr>
            </w:pPr>
            <w:r w:rsidRPr="005B1DB5">
              <w:rPr>
                <w:sz w:val="16"/>
                <w:szCs w:val="16"/>
              </w:rPr>
              <w:t>(</w:t>
            </w:r>
            <w:r w:rsidRPr="005B1DB5">
              <w:rPr>
                <w:i/>
                <w:sz w:val="16"/>
                <w:szCs w:val="16"/>
              </w:rPr>
              <w:t>E</w:t>
            </w:r>
            <w:r w:rsidRPr="005B1DB5">
              <w:rPr>
                <w:sz w:val="16"/>
                <w:szCs w:val="16"/>
              </w:rPr>
              <w:t>)-CF</w:t>
            </w:r>
            <w:r w:rsidRPr="005B1DB5">
              <w:rPr>
                <w:sz w:val="16"/>
                <w:szCs w:val="16"/>
                <w:vertAlign w:val="subscript"/>
              </w:rPr>
              <w:t>3</w:t>
            </w:r>
            <w:r w:rsidRPr="005B1DB5">
              <w:rPr>
                <w:sz w:val="16"/>
                <w:szCs w:val="16"/>
              </w:rPr>
              <w:t>CH=</w:t>
            </w:r>
            <w:proofErr w:type="spellStart"/>
            <w:r w:rsidRPr="005B1DB5">
              <w:rPr>
                <w:sz w:val="16"/>
                <w:szCs w:val="16"/>
              </w:rPr>
              <w:t>CHCl</w:t>
            </w:r>
            <w:proofErr w:type="spellEnd"/>
          </w:p>
        </w:tc>
        <w:tc>
          <w:tcPr>
            <w:tcW w:w="1335" w:type="dxa"/>
            <w:tcBorders>
              <w:top w:val="nil"/>
              <w:left w:val="nil"/>
              <w:bottom w:val="single" w:sz="6" w:space="0" w:color="000000"/>
              <w:right w:val="single" w:sz="6" w:space="0" w:color="000000"/>
            </w:tcBorders>
            <w:tcMar>
              <w:top w:w="0" w:type="dxa"/>
              <w:left w:w="100" w:type="dxa"/>
              <w:bottom w:w="0" w:type="dxa"/>
              <w:right w:w="100" w:type="dxa"/>
            </w:tcMar>
          </w:tcPr>
          <w:p w14:paraId="40C9E8F5" w14:textId="77777777" w:rsidR="007A4B60" w:rsidRPr="005B1DB5" w:rsidRDefault="005169FA">
            <w:pPr>
              <w:spacing w:after="240"/>
              <w:jc w:val="center"/>
              <w:rPr>
                <w:sz w:val="24"/>
                <w:szCs w:val="24"/>
                <w:vertAlign w:val="superscript"/>
              </w:rPr>
            </w:pPr>
            <w:r w:rsidRPr="005B1DB5">
              <w:rPr>
                <w:sz w:val="18"/>
                <w:szCs w:val="18"/>
              </w:rPr>
              <w:t>(0.15)</w:t>
            </w:r>
            <w:r w:rsidRPr="005B1DB5">
              <w:rPr>
                <w:sz w:val="24"/>
                <w:szCs w:val="24"/>
              </w:rPr>
              <w:t xml:space="preserve"> </w:t>
            </w:r>
            <w:r w:rsidRPr="005B1DB5">
              <w:rPr>
                <w:sz w:val="24"/>
                <w:szCs w:val="24"/>
                <w:vertAlign w:val="superscript"/>
              </w:rPr>
              <w:t>d</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1CFAC643" w14:textId="77777777" w:rsidR="007A4B60" w:rsidRPr="005B1DB5" w:rsidRDefault="005169FA">
            <w:pPr>
              <w:spacing w:after="240"/>
              <w:jc w:val="center"/>
              <w:rPr>
                <w:sz w:val="18"/>
                <w:szCs w:val="18"/>
              </w:rPr>
            </w:pPr>
            <w:r w:rsidRPr="005B1DB5">
              <w:rPr>
                <w:sz w:val="18"/>
                <w:szCs w:val="18"/>
              </w:rPr>
              <w:t>~8000</w:t>
            </w:r>
          </w:p>
        </w:tc>
        <w:tc>
          <w:tcPr>
            <w:tcW w:w="930" w:type="dxa"/>
            <w:tcBorders>
              <w:top w:val="nil"/>
              <w:left w:val="nil"/>
              <w:bottom w:val="single" w:sz="6" w:space="0" w:color="000000"/>
              <w:right w:val="single" w:sz="6" w:space="0" w:color="000000"/>
            </w:tcBorders>
            <w:tcMar>
              <w:top w:w="0" w:type="dxa"/>
              <w:left w:w="100" w:type="dxa"/>
              <w:bottom w:w="0" w:type="dxa"/>
              <w:right w:w="100" w:type="dxa"/>
            </w:tcMar>
          </w:tcPr>
          <w:p w14:paraId="5B94C836" w14:textId="77777777" w:rsidR="007A4B60" w:rsidRPr="005B1DB5" w:rsidRDefault="005169FA">
            <w:pPr>
              <w:ind w:left="720"/>
              <w:jc w:val="center"/>
              <w:rPr>
                <w:sz w:val="18"/>
                <w:szCs w:val="18"/>
              </w:rPr>
            </w:pPr>
            <w:r w:rsidRPr="005B1DB5">
              <w:rPr>
                <w:sz w:val="18"/>
                <w:szCs w:val="18"/>
              </w:rPr>
              <w:t>–</w:t>
            </w:r>
            <w:r w:rsidRPr="005B1DB5">
              <w:rPr>
                <w:rFonts w:eastAsia="Times New Roman"/>
                <w:sz w:val="14"/>
                <w:szCs w:val="14"/>
              </w:rPr>
              <w:t xml:space="preserve">      </w:t>
            </w:r>
            <w:r w:rsidRPr="005B1DB5">
              <w:rPr>
                <w:sz w:val="18"/>
                <w:szCs w:val="18"/>
              </w:rPr>
              <w:t xml:space="preserve"> </w:t>
            </w:r>
          </w:p>
        </w:tc>
        <w:tc>
          <w:tcPr>
            <w:tcW w:w="1395" w:type="dxa"/>
            <w:tcBorders>
              <w:top w:val="nil"/>
              <w:left w:val="nil"/>
              <w:bottom w:val="single" w:sz="6" w:space="0" w:color="000000"/>
              <w:right w:val="nil"/>
            </w:tcBorders>
            <w:tcMar>
              <w:top w:w="0" w:type="dxa"/>
              <w:left w:w="100" w:type="dxa"/>
              <w:bottom w:w="0" w:type="dxa"/>
              <w:right w:w="100" w:type="dxa"/>
            </w:tcMar>
          </w:tcPr>
          <w:p w14:paraId="75D1B195" w14:textId="77777777" w:rsidR="007A4B60" w:rsidRPr="005B1DB5" w:rsidRDefault="005169FA">
            <w:pPr>
              <w:spacing w:after="240"/>
              <w:jc w:val="center"/>
              <w:rPr>
                <w:sz w:val="18"/>
                <w:szCs w:val="18"/>
              </w:rPr>
            </w:pPr>
            <w:r w:rsidRPr="005B1DB5">
              <w:rPr>
                <w:sz w:val="18"/>
                <w:szCs w:val="18"/>
              </w:rPr>
              <w:t>–</w:t>
            </w:r>
          </w:p>
        </w:tc>
        <w:tc>
          <w:tcPr>
            <w:tcW w:w="11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8968589" w14:textId="77777777" w:rsidR="007A4B60" w:rsidRPr="005B1DB5" w:rsidRDefault="005169FA">
            <w:pPr>
              <w:spacing w:after="240"/>
              <w:jc w:val="center"/>
              <w:rPr>
                <w:sz w:val="18"/>
                <w:szCs w:val="18"/>
              </w:rPr>
            </w:pPr>
            <w:r w:rsidRPr="005B1DB5">
              <w:rPr>
                <w:sz w:val="18"/>
                <w:szCs w:val="18"/>
              </w:rPr>
              <w:t>–</w:t>
            </w:r>
          </w:p>
        </w:tc>
      </w:tr>
      <w:tr w:rsidR="007A4B60" w14:paraId="2973F656" w14:textId="77777777">
        <w:trPr>
          <w:trHeight w:val="420"/>
        </w:trPr>
        <w:tc>
          <w:tcPr>
            <w:tcW w:w="12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94842E" w14:textId="77777777" w:rsidR="007A4B60" w:rsidRPr="005B1DB5" w:rsidRDefault="005169FA">
            <w:pPr>
              <w:spacing w:after="240"/>
              <w:rPr>
                <w:sz w:val="18"/>
                <w:szCs w:val="18"/>
              </w:rPr>
            </w:pPr>
            <w:r w:rsidRPr="005B1DB5">
              <w:rPr>
                <w:sz w:val="18"/>
                <w:szCs w:val="18"/>
              </w:rPr>
              <w:t xml:space="preserve"> </w:t>
            </w:r>
          </w:p>
        </w:tc>
        <w:tc>
          <w:tcPr>
            <w:tcW w:w="1590" w:type="dxa"/>
            <w:tcBorders>
              <w:top w:val="nil"/>
              <w:left w:val="nil"/>
              <w:bottom w:val="single" w:sz="6" w:space="0" w:color="000000"/>
              <w:right w:val="single" w:sz="6" w:space="0" w:color="000000"/>
            </w:tcBorders>
            <w:tcMar>
              <w:top w:w="0" w:type="dxa"/>
              <w:left w:w="100" w:type="dxa"/>
              <w:bottom w:w="0" w:type="dxa"/>
              <w:right w:w="100" w:type="dxa"/>
            </w:tcMar>
          </w:tcPr>
          <w:p w14:paraId="5C9F8F08" w14:textId="77777777" w:rsidR="007A4B60" w:rsidRPr="005B1DB5" w:rsidRDefault="005169FA">
            <w:pPr>
              <w:spacing w:after="240"/>
              <w:rPr>
                <w:sz w:val="18"/>
                <w:szCs w:val="18"/>
              </w:rPr>
            </w:pPr>
            <w:r w:rsidRPr="005B1DB5">
              <w:rPr>
                <w:sz w:val="18"/>
                <w:szCs w:val="18"/>
              </w:rPr>
              <w:t xml:space="preserve"> </w:t>
            </w:r>
          </w:p>
        </w:tc>
        <w:tc>
          <w:tcPr>
            <w:tcW w:w="1335" w:type="dxa"/>
            <w:tcBorders>
              <w:top w:val="nil"/>
              <w:left w:val="nil"/>
              <w:bottom w:val="single" w:sz="6" w:space="0" w:color="000000"/>
              <w:right w:val="single" w:sz="6" w:space="0" w:color="000000"/>
            </w:tcBorders>
            <w:tcMar>
              <w:top w:w="0" w:type="dxa"/>
              <w:left w:w="100" w:type="dxa"/>
              <w:bottom w:w="0" w:type="dxa"/>
              <w:right w:w="100" w:type="dxa"/>
            </w:tcMar>
          </w:tcPr>
          <w:p w14:paraId="703F1A32" w14:textId="77777777" w:rsidR="007A4B60" w:rsidRPr="005B1DB5" w:rsidRDefault="005169FA">
            <w:pPr>
              <w:spacing w:after="240"/>
              <w:jc w:val="center"/>
              <w:rPr>
                <w:sz w:val="18"/>
                <w:szCs w:val="18"/>
              </w:rPr>
            </w:pPr>
            <w:r w:rsidRPr="005B1DB5">
              <w:rPr>
                <w:sz w:val="18"/>
                <w:szCs w:val="18"/>
              </w:rPr>
              <w:t xml:space="preserve"> </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3FDCD1DF" w14:textId="77777777" w:rsidR="007A4B60" w:rsidRPr="005B1DB5" w:rsidRDefault="005169FA">
            <w:pPr>
              <w:spacing w:after="240"/>
              <w:jc w:val="center"/>
              <w:rPr>
                <w:sz w:val="18"/>
                <w:szCs w:val="18"/>
              </w:rPr>
            </w:pPr>
            <w:r w:rsidRPr="005B1DB5">
              <w:rPr>
                <w:sz w:val="18"/>
                <w:szCs w:val="18"/>
              </w:rPr>
              <w:t xml:space="preserve"> </w:t>
            </w:r>
          </w:p>
        </w:tc>
        <w:tc>
          <w:tcPr>
            <w:tcW w:w="930" w:type="dxa"/>
            <w:tcBorders>
              <w:top w:val="nil"/>
              <w:left w:val="nil"/>
              <w:bottom w:val="single" w:sz="6" w:space="0" w:color="000000"/>
              <w:right w:val="single" w:sz="6" w:space="0" w:color="000000"/>
            </w:tcBorders>
            <w:tcMar>
              <w:top w:w="0" w:type="dxa"/>
              <w:left w:w="100" w:type="dxa"/>
              <w:bottom w:w="0" w:type="dxa"/>
              <w:right w:w="100" w:type="dxa"/>
            </w:tcMar>
          </w:tcPr>
          <w:p w14:paraId="156C2C75" w14:textId="77777777" w:rsidR="007A4B60" w:rsidRPr="005B1DB5" w:rsidRDefault="005169FA">
            <w:pPr>
              <w:spacing w:after="160"/>
              <w:ind w:left="-40"/>
              <w:rPr>
                <w:sz w:val="18"/>
                <w:szCs w:val="18"/>
              </w:rPr>
            </w:pPr>
            <w:r w:rsidRPr="005B1DB5">
              <w:rPr>
                <w:sz w:val="18"/>
                <w:szCs w:val="18"/>
              </w:rPr>
              <w:t>Total</w:t>
            </w:r>
          </w:p>
        </w:tc>
        <w:tc>
          <w:tcPr>
            <w:tcW w:w="1395" w:type="dxa"/>
            <w:tcBorders>
              <w:top w:val="nil"/>
              <w:left w:val="nil"/>
              <w:bottom w:val="single" w:sz="6" w:space="0" w:color="000000"/>
              <w:right w:val="nil"/>
            </w:tcBorders>
            <w:tcMar>
              <w:top w:w="0" w:type="dxa"/>
              <w:left w:w="100" w:type="dxa"/>
              <w:bottom w:w="0" w:type="dxa"/>
              <w:right w:w="100" w:type="dxa"/>
            </w:tcMar>
          </w:tcPr>
          <w:p w14:paraId="71F2532D" w14:textId="77777777" w:rsidR="007A4B60" w:rsidRPr="005B1DB5" w:rsidRDefault="005169FA">
            <w:pPr>
              <w:spacing w:after="240"/>
              <w:rPr>
                <w:sz w:val="18"/>
                <w:szCs w:val="18"/>
              </w:rPr>
            </w:pPr>
            <w:r w:rsidRPr="005B1DB5">
              <w:rPr>
                <w:rFonts w:eastAsia="Arial Unicode MS"/>
                <w:sz w:val="18"/>
                <w:szCs w:val="18"/>
              </w:rPr>
              <w:t>≤ 0.00909</w:t>
            </w:r>
          </w:p>
        </w:tc>
        <w:tc>
          <w:tcPr>
            <w:tcW w:w="11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86DDAE8" w14:textId="77777777" w:rsidR="007A4B60" w:rsidRPr="005B1DB5" w:rsidRDefault="005169FA">
            <w:pPr>
              <w:spacing w:after="240"/>
              <w:rPr>
                <w:sz w:val="18"/>
                <w:szCs w:val="18"/>
              </w:rPr>
            </w:pPr>
            <w:r w:rsidRPr="005B1DB5">
              <w:rPr>
                <w:sz w:val="18"/>
                <w:szCs w:val="18"/>
              </w:rPr>
              <w:t xml:space="preserve"> </w:t>
            </w:r>
          </w:p>
        </w:tc>
      </w:tr>
    </w:tbl>
    <w:p w14:paraId="60BE050D" w14:textId="77777777" w:rsidR="007A4B60" w:rsidRPr="00CC0A47" w:rsidRDefault="005169FA" w:rsidP="00F3465D">
      <w:pPr>
        <w:spacing w:before="240"/>
        <w:ind w:left="1168" w:hanging="448"/>
        <w:rPr>
          <w:i/>
          <w:iCs/>
          <w:sz w:val="20"/>
          <w:szCs w:val="20"/>
        </w:rPr>
      </w:pPr>
      <w:proofErr w:type="gramStart"/>
      <w:r w:rsidRPr="00CC0A47">
        <w:rPr>
          <w:i/>
          <w:iCs/>
          <w:sz w:val="20"/>
          <w:szCs w:val="20"/>
        </w:rPr>
        <w:t>a  Lifetime</w:t>
      </w:r>
      <w:proofErr w:type="gramEnd"/>
      <w:r w:rsidRPr="00CC0A47">
        <w:rPr>
          <w:i/>
          <w:iCs/>
          <w:sz w:val="20"/>
          <w:szCs w:val="20"/>
        </w:rPr>
        <w:t xml:space="preserve"> calculated using literature available O</w:t>
      </w:r>
      <w:r w:rsidRPr="00CC0A47">
        <w:rPr>
          <w:i/>
          <w:iCs/>
          <w:sz w:val="20"/>
          <w:szCs w:val="20"/>
          <w:vertAlign w:val="subscript"/>
        </w:rPr>
        <w:t>3</w:t>
      </w:r>
      <w:r w:rsidRPr="00CC0A47">
        <w:rPr>
          <w:i/>
          <w:iCs/>
          <w:sz w:val="20"/>
          <w:szCs w:val="20"/>
        </w:rPr>
        <w:t xml:space="preserve"> reaction rate coefficients (see Table S7 in Van </w:t>
      </w:r>
      <w:proofErr w:type="spellStart"/>
      <w:r w:rsidRPr="00CC0A47">
        <w:rPr>
          <w:i/>
          <w:iCs/>
          <w:sz w:val="20"/>
          <w:szCs w:val="20"/>
        </w:rPr>
        <w:t>Hoomissen</w:t>
      </w:r>
      <w:proofErr w:type="spellEnd"/>
      <w:r w:rsidRPr="00CC0A47">
        <w:rPr>
          <w:i/>
          <w:iCs/>
          <w:sz w:val="20"/>
          <w:szCs w:val="20"/>
        </w:rPr>
        <w:t xml:space="preserve"> et al. (2025)) and an O</w:t>
      </w:r>
      <w:r w:rsidRPr="00CC0A47">
        <w:rPr>
          <w:i/>
          <w:iCs/>
          <w:sz w:val="20"/>
          <w:szCs w:val="20"/>
          <w:vertAlign w:val="subscript"/>
        </w:rPr>
        <w:t>3</w:t>
      </w:r>
      <w:r w:rsidRPr="00CC0A47">
        <w:rPr>
          <w:i/>
          <w:iCs/>
          <w:sz w:val="20"/>
          <w:szCs w:val="20"/>
        </w:rPr>
        <w:t xml:space="preserve"> mixing ratio of 50 ppb. </w:t>
      </w:r>
    </w:p>
    <w:p w14:paraId="74D4AC52" w14:textId="77777777" w:rsidR="007A4B60" w:rsidRPr="00CC0A47" w:rsidRDefault="005169FA">
      <w:pPr>
        <w:ind w:left="1170" w:hanging="450"/>
        <w:rPr>
          <w:i/>
          <w:iCs/>
          <w:sz w:val="20"/>
          <w:szCs w:val="20"/>
        </w:rPr>
      </w:pPr>
      <w:proofErr w:type="gramStart"/>
      <w:r w:rsidRPr="00CC0A47">
        <w:rPr>
          <w:i/>
          <w:iCs/>
          <w:sz w:val="20"/>
          <w:szCs w:val="20"/>
        </w:rPr>
        <w:t>b  The</w:t>
      </w:r>
      <w:proofErr w:type="gramEnd"/>
      <w:r w:rsidRPr="00CC0A47">
        <w:rPr>
          <w:i/>
          <w:iCs/>
          <w:sz w:val="20"/>
          <w:szCs w:val="20"/>
        </w:rPr>
        <w:t xml:space="preserve"> HFC-23 yield in the ozonolysis reactions of unsaturated HFOs was taken from McGillen </w:t>
      </w:r>
      <w:proofErr w:type="gramStart"/>
      <w:r w:rsidRPr="00CC0A47">
        <w:rPr>
          <w:i/>
          <w:iCs/>
          <w:sz w:val="20"/>
          <w:szCs w:val="20"/>
        </w:rPr>
        <w:t>et al.(</w:t>
      </w:r>
      <w:proofErr w:type="gramEnd"/>
      <w:r w:rsidRPr="00CC0A47">
        <w:rPr>
          <w:i/>
          <w:iCs/>
          <w:sz w:val="20"/>
          <w:szCs w:val="20"/>
        </w:rPr>
        <w:t xml:space="preserve">2023). </w:t>
      </w:r>
    </w:p>
    <w:p w14:paraId="1DE3B582" w14:textId="77777777" w:rsidR="007A4B60" w:rsidRPr="00CC0A47" w:rsidRDefault="005169FA">
      <w:pPr>
        <w:ind w:left="1170" w:hanging="450"/>
        <w:rPr>
          <w:i/>
          <w:iCs/>
          <w:sz w:val="20"/>
          <w:szCs w:val="20"/>
        </w:rPr>
      </w:pPr>
      <w:proofErr w:type="gramStart"/>
      <w:r w:rsidRPr="00CC0A47">
        <w:rPr>
          <w:i/>
          <w:iCs/>
          <w:sz w:val="20"/>
          <w:szCs w:val="20"/>
        </w:rPr>
        <w:t>c  Atmospheric</w:t>
      </w:r>
      <w:proofErr w:type="gramEnd"/>
      <w:r w:rsidRPr="00CC0A47">
        <w:rPr>
          <w:i/>
          <w:iCs/>
          <w:sz w:val="20"/>
          <w:szCs w:val="20"/>
        </w:rPr>
        <w:t xml:space="preserve"> measurements not available.</w:t>
      </w:r>
    </w:p>
    <w:p w14:paraId="43B70F79" w14:textId="77777777" w:rsidR="007A4B60" w:rsidRPr="00CC0A47" w:rsidRDefault="005169FA">
      <w:pPr>
        <w:ind w:left="1170" w:hanging="450"/>
        <w:rPr>
          <w:sz w:val="20"/>
          <w:szCs w:val="20"/>
        </w:rPr>
      </w:pPr>
      <w:r w:rsidRPr="00CC0A47">
        <w:rPr>
          <w:i/>
          <w:iCs/>
          <w:sz w:val="20"/>
          <w:szCs w:val="20"/>
        </w:rPr>
        <w:t xml:space="preserve">d  Atmospheric abundances appearing in parentheses are not global means, they are mole fractions measured at the European </w:t>
      </w:r>
      <w:proofErr w:type="spellStart"/>
      <w:r w:rsidRPr="00CC0A47">
        <w:rPr>
          <w:i/>
          <w:iCs/>
          <w:sz w:val="20"/>
          <w:szCs w:val="20"/>
        </w:rPr>
        <w:t>Jungfraujoch</w:t>
      </w:r>
      <w:proofErr w:type="spellEnd"/>
      <w:r w:rsidRPr="00CC0A47">
        <w:rPr>
          <w:i/>
          <w:iCs/>
          <w:sz w:val="20"/>
          <w:szCs w:val="20"/>
        </w:rPr>
        <w:t xml:space="preserve"> station in 2020 (Liang and Rigby et al., 2022) or 2022 (Rust et al., 2024), which are updates to Vollmer et al. (2015) for HFC1234yf and HCFO-1233zd(E); global mean abundances for these short-lived gases are likely substantially smaller than the values in the table.</w:t>
      </w:r>
    </w:p>
    <w:p w14:paraId="60D9673A" w14:textId="77777777" w:rsidR="007A4B60" w:rsidRDefault="007A4B60">
      <w:pPr>
        <w:spacing w:before="240" w:after="240"/>
        <w:ind w:left="1170" w:hanging="450"/>
        <w:rPr>
          <w:b/>
        </w:rPr>
      </w:pPr>
    </w:p>
    <w:p w14:paraId="39277BB1" w14:textId="77777777" w:rsidR="005B1DB5" w:rsidRDefault="005B1DB5">
      <w:pPr>
        <w:rPr>
          <w:b/>
          <w:sz w:val="24"/>
          <w:szCs w:val="24"/>
        </w:rPr>
      </w:pPr>
      <w:r>
        <w:rPr>
          <w:b/>
          <w:sz w:val="24"/>
          <w:szCs w:val="24"/>
        </w:rPr>
        <w:br w:type="page"/>
      </w:r>
    </w:p>
    <w:p w14:paraId="0F5A06D9" w14:textId="5825B117" w:rsidR="007A4B60" w:rsidRDefault="005169FA" w:rsidP="0000609F">
      <w:pPr>
        <w:pStyle w:val="Heading1"/>
      </w:pPr>
      <w:bookmarkStart w:id="9" w:name="_Toc208222662"/>
      <w:r>
        <w:lastRenderedPageBreak/>
        <w:t xml:space="preserve">5 </w:t>
      </w:r>
      <w:r w:rsidR="00AE3DB3">
        <w:tab/>
      </w:r>
      <w:r>
        <w:t>References</w:t>
      </w:r>
      <w:bookmarkEnd w:id="9"/>
      <w:r>
        <w:t xml:space="preserve"> </w:t>
      </w:r>
    </w:p>
    <w:p w14:paraId="0BC56018" w14:textId="77777777" w:rsidR="007A4B60" w:rsidRDefault="005169FA" w:rsidP="00772DC0">
      <w:pPr>
        <w:keepLines/>
        <w:spacing w:before="240" w:after="240"/>
      </w:pPr>
      <w:r>
        <w:t xml:space="preserve">Adam, B., Western L.M, Muhle, J. et al., Emissions of HFC-23 do not reflect commitments made under the Kigali Amendment, </w:t>
      </w:r>
      <w:r>
        <w:rPr>
          <w:i/>
        </w:rPr>
        <w:t>Commun. Earth &amp; Environ., 5</w:t>
      </w:r>
      <w:r>
        <w:t>, 783 (2024) https://doi.org/10.1038/s43247-024-01946-y.</w:t>
      </w:r>
    </w:p>
    <w:p w14:paraId="2E04211B" w14:textId="77777777" w:rsidR="007A4B60" w:rsidRDefault="005169FA" w:rsidP="00772DC0">
      <w:pPr>
        <w:keepLines/>
        <w:spacing w:before="240" w:after="240"/>
      </w:pPr>
      <w:r>
        <w:t xml:space="preserve">Burkholder, J.B. and Ø. </w:t>
      </w:r>
      <w:proofErr w:type="spellStart"/>
      <w:r>
        <w:t>Hodnebrog</w:t>
      </w:r>
      <w:proofErr w:type="spellEnd"/>
      <w:r>
        <w:t xml:space="preserve">, Annex: World Meteorological Organization (WMO). </w:t>
      </w:r>
      <w:r>
        <w:rPr>
          <w:i/>
        </w:rPr>
        <w:t>Scientific Assessment of Ozone Depletion: 2022</w:t>
      </w:r>
      <w:r>
        <w:t>, GAW Report No. 278, 509 pp.; WMO: Geneva (2022).</w:t>
      </w:r>
    </w:p>
    <w:p w14:paraId="6F76DEF9" w14:textId="77777777" w:rsidR="007A4B60" w:rsidRDefault="005169FA" w:rsidP="00772DC0">
      <w:pPr>
        <w:keepLines/>
        <w:spacing w:before="240" w:after="240"/>
      </w:pPr>
      <w:proofErr w:type="spellStart"/>
      <w:r>
        <w:t>Dodangodage</w:t>
      </w:r>
      <w:proofErr w:type="spellEnd"/>
      <w:r>
        <w:t xml:space="preserve">, R., P.F. Bernath, C. Boone, M. Lecours, M. Schmidt, HFC-23 from updated Atmospheric Chemistry Experiment Fourier transform spectrometer (ACE-FTS) retrievals, </w:t>
      </w:r>
      <w:r>
        <w:rPr>
          <w:i/>
        </w:rPr>
        <w:t xml:space="preserve">J. Quant. </w:t>
      </w:r>
      <w:proofErr w:type="spellStart"/>
      <w:r>
        <w:rPr>
          <w:i/>
        </w:rPr>
        <w:t>Spectros</w:t>
      </w:r>
      <w:proofErr w:type="spellEnd"/>
      <w:r>
        <w:rPr>
          <w:i/>
        </w:rPr>
        <w:t>. Rad. Trans.</w:t>
      </w:r>
      <w:r>
        <w:t>, 338, 109416 (2025) https://doi.org/10.1016/j.jqsrt.2025.109416.</w:t>
      </w:r>
    </w:p>
    <w:p w14:paraId="3E54F250" w14:textId="77777777" w:rsidR="007A4B60" w:rsidRDefault="005169FA" w:rsidP="00772DC0">
      <w:pPr>
        <w:keepLines/>
        <w:spacing w:before="240" w:after="240"/>
      </w:pPr>
      <w:r>
        <w:t xml:space="preserve">Huang, X., Y. Zhang, C. Xiao, W. Song, Y. Wang, and X. Wang, Constraining </w:t>
      </w:r>
      <w:proofErr w:type="spellStart"/>
      <w:r>
        <w:t>trifluoromethane</w:t>
      </w:r>
      <w:proofErr w:type="spellEnd"/>
      <w:r>
        <w:t xml:space="preserve"> (HFC-23) emission in eastern China based on two-year online measurements, </w:t>
      </w:r>
      <w:r>
        <w:rPr>
          <w:i/>
        </w:rPr>
        <w:t>J. Geophys. Res. Atmos</w:t>
      </w:r>
      <w:r>
        <w:t xml:space="preserve">, </w:t>
      </w:r>
      <w:r>
        <w:rPr>
          <w:i/>
        </w:rPr>
        <w:t>129</w:t>
      </w:r>
      <w:r>
        <w:t>, e2023JD040199 (2024) https://doi.org/10.1029/2023JD040199.</w:t>
      </w:r>
    </w:p>
    <w:p w14:paraId="5BE0CAA4" w14:textId="77777777" w:rsidR="007A4B60" w:rsidRDefault="005169FA" w:rsidP="00772DC0">
      <w:pPr>
        <w:keepLines/>
        <w:spacing w:before="240" w:after="240"/>
      </w:pPr>
      <w:r>
        <w:t xml:space="preserve">Liang, Q., and M. Rigby (Lead Authors) et al., Chapter 2: World Meteorological Organization (WMO). </w:t>
      </w:r>
      <w:r>
        <w:rPr>
          <w:i/>
        </w:rPr>
        <w:t>Scientific Assessment of Ozone Depletion: 2022</w:t>
      </w:r>
      <w:r>
        <w:t>, GAW Report No. 278, 509 pp.; WMO: Geneva (2022).</w:t>
      </w:r>
    </w:p>
    <w:p w14:paraId="59CADEC7" w14:textId="77777777" w:rsidR="007A4B60" w:rsidRDefault="005169FA" w:rsidP="00772DC0">
      <w:pPr>
        <w:keepLines/>
        <w:spacing w:before="240" w:after="240"/>
        <w:jc w:val="both"/>
      </w:pPr>
      <w:r>
        <w:t>Long, B., Y. Xia, and D.G. Truhlar, Quantitative kinetics of HO</w:t>
      </w:r>
      <w:r>
        <w:rPr>
          <w:vertAlign w:val="subscript"/>
        </w:rPr>
        <w:t>2</w:t>
      </w:r>
      <w:r>
        <w:t xml:space="preserve"> reactions with aldehydes in the atmosphere: high-order dynamic correlation, anharmonicity, and falloff effects are all important, </w:t>
      </w:r>
      <w:r>
        <w:rPr>
          <w:i/>
        </w:rPr>
        <w:t>J. Amer. Chem. Soc., 144</w:t>
      </w:r>
      <w:r>
        <w:t>, 19910–19920, doi:10.1021/ jacs.2c079 94 (2022).</w:t>
      </w:r>
    </w:p>
    <w:p w14:paraId="56D15308" w14:textId="77777777" w:rsidR="007A4B60" w:rsidRDefault="005169FA" w:rsidP="00772DC0">
      <w:pPr>
        <w:keepLines/>
        <w:spacing w:before="240" w:after="240"/>
      </w:pPr>
      <w:r>
        <w:t>Manning, A., S. O’Doherty, D. Young, Al. Redington, D. Say, J. Pitt, T. Arnold, C. Rennick, M. Rigby, A. Wisher, A. Wegner, and P. Simmonds, Long-term atmospheric measurements and interpretation of radiatively active trace gases, October 2020 - September 2021 (2022)</w:t>
      </w:r>
      <w:hyperlink r:id="rId31">
        <w:r>
          <w:t xml:space="preserve"> </w:t>
        </w:r>
      </w:hyperlink>
      <w:hyperlink r:id="rId32">
        <w:r>
          <w:t>https://assets.publishing.service.gov.uk/media/62d7b9bee90e071e7e59c97e/verification-uk-greenhouse-gas-emissions-using-atmospheric-observations-annual-report-2021.pdf</w:t>
        </w:r>
      </w:hyperlink>
      <w:r>
        <w:t>.</w:t>
      </w:r>
    </w:p>
    <w:p w14:paraId="376B3279" w14:textId="77777777" w:rsidR="007A4B60" w:rsidRDefault="005169FA" w:rsidP="00772DC0">
      <w:pPr>
        <w:keepLines/>
        <w:spacing w:before="240" w:after="240"/>
      </w:pPr>
      <w:r>
        <w:t xml:space="preserve">McGillen, M. R., Z. T. P. Fried, M. A. H. Khan, K. T. Kuwata, C. M. Martin, S. O’Doherty, F. </w:t>
      </w:r>
      <w:proofErr w:type="spellStart"/>
      <w:r>
        <w:t>Pecere</w:t>
      </w:r>
      <w:proofErr w:type="spellEnd"/>
      <w:r>
        <w:t xml:space="preserve">, D. E. Shallcross, K. M. Stanley, and K. Zhang, Ozonolysis can produce long-lived greenhouse gases from commercial refrigerants, </w:t>
      </w:r>
      <w:r>
        <w:rPr>
          <w:i/>
        </w:rPr>
        <w:t>Proc. National Acad. Sci.</w:t>
      </w:r>
      <w:r>
        <w:t xml:space="preserve">, </w:t>
      </w:r>
      <w:r>
        <w:rPr>
          <w:i/>
        </w:rPr>
        <w:t>120</w:t>
      </w:r>
      <w:r>
        <w:t>(51), e2312714120 (2023) doi:10.1073/pnas.2312714120.</w:t>
      </w:r>
    </w:p>
    <w:p w14:paraId="267C1A42" w14:textId="77777777" w:rsidR="007A4B60" w:rsidRDefault="005169FA" w:rsidP="00772DC0">
      <w:pPr>
        <w:keepLines/>
        <w:spacing w:before="240" w:after="240"/>
      </w:pPr>
      <w:r>
        <w:t>Montzka, S.A., et al., Recent increases in global HFC-23 emissions, Geophys. Res. Lett., 37, L02808, doi:10.1029/2009GL041195 (2010).</w:t>
      </w:r>
    </w:p>
    <w:p w14:paraId="020828B4" w14:textId="77777777" w:rsidR="007A4B60" w:rsidRDefault="005169FA" w:rsidP="00772DC0">
      <w:pPr>
        <w:keepLines/>
        <w:spacing w:before="240" w:after="240"/>
      </w:pPr>
      <w:r>
        <w:t xml:space="preserve">Montzka, S. A., G. J. M. </w:t>
      </w:r>
      <w:proofErr w:type="spellStart"/>
      <w:r>
        <w:t>Velders</w:t>
      </w:r>
      <w:proofErr w:type="spellEnd"/>
      <w:r>
        <w:t>, (Lead Authors), P.B. Krummel, J. Mühle, V.L. Orkin, S. Park, N. Shah, and H. Walter-Terrinoni, Hydrofluorocarbons (HFCs), Chapter 2 in: Scientific Assessment of Ozone Depletion: 2018, Global Ozone Research and Monitoring, World Meteorological Organization, Geneva, Switzerland (2018). </w:t>
      </w:r>
    </w:p>
    <w:p w14:paraId="0E0E22E3" w14:textId="77777777" w:rsidR="007A4B60" w:rsidRDefault="005169FA" w:rsidP="00772DC0">
      <w:pPr>
        <w:keepLines/>
        <w:spacing w:before="240" w:after="240"/>
      </w:pPr>
      <w:r>
        <w:lastRenderedPageBreak/>
        <w:t>Montzka, S.A., J. Burkholder, L.J. Carpenter, D. Fahey, K. Jucks, and B. Safari, Report of the Science Assessment Panel in response to Decision XXXV1/7: Emissions of HFC-23, UNEP (2024). https://ozone.unep.org/system/files/documents/SAP_Report_on_HFC23_September2024.pdf</w:t>
      </w:r>
    </w:p>
    <w:p w14:paraId="4F5D195C" w14:textId="77777777" w:rsidR="007A4B60" w:rsidRDefault="005169FA" w:rsidP="00772DC0">
      <w:pPr>
        <w:keepLines/>
        <w:spacing w:before="240" w:after="240"/>
      </w:pPr>
      <w:r>
        <w:t xml:space="preserve">Park, H., J. Kim, H. Choi, S. Geum, Y. Kim, R.L. Thompson, J. Mühle, P.K. Salameh, C.M. Harth, K.M. Stanley, S. O'Doherty, P.J. Fraser, P.G. Simmonds, P.B. Krummel, R.F. Weiss, R.G. Prinn, and S. Park, A rise in HFC-23 emissions from eastern Asia since 2015, </w:t>
      </w:r>
      <w:r>
        <w:rPr>
          <w:i/>
        </w:rPr>
        <w:t>Atmos. Chem. Phys.</w:t>
      </w:r>
      <w:r>
        <w:t>, 23, 9401–9411 (2023) https://doi.org/10.5194/acp-23-9401-2023.</w:t>
      </w:r>
    </w:p>
    <w:p w14:paraId="41A2C66C" w14:textId="77777777" w:rsidR="007A4B60" w:rsidRDefault="005169FA" w:rsidP="00772DC0">
      <w:pPr>
        <w:keepLines/>
        <w:spacing w:before="240" w:after="240"/>
      </w:pPr>
      <w:r>
        <w:t xml:space="preserve">Pérez-Peña, M. P., J. A. Fisher, C. Hansen, and S. H. Kable, Assessing the atmospheric fate of </w:t>
      </w:r>
      <w:proofErr w:type="spellStart"/>
      <w:r>
        <w:t>trifluoroacetaldehyde</w:t>
      </w:r>
      <w:proofErr w:type="spellEnd"/>
      <w:r>
        <w:t xml:space="preserve"> (CF</w:t>
      </w:r>
      <w:r>
        <w:rPr>
          <w:vertAlign w:val="subscript"/>
        </w:rPr>
        <w:t>3</w:t>
      </w:r>
      <w:r>
        <w:t xml:space="preserve">CHO) and its potential as a new source of fluoroform (HFC-23) using the AtChem2 box model, </w:t>
      </w:r>
      <w:r>
        <w:rPr>
          <w:i/>
        </w:rPr>
        <w:t>Environ. Sci.: Atmos.</w:t>
      </w:r>
      <w:r>
        <w:t xml:space="preserve">, </w:t>
      </w:r>
      <w:r>
        <w:rPr>
          <w:i/>
        </w:rPr>
        <w:t>3</w:t>
      </w:r>
      <w:r>
        <w:t>, 1767-1777 (2023) doi:10.1039/d3ea00120b.</w:t>
      </w:r>
    </w:p>
    <w:p w14:paraId="1CA2FB92" w14:textId="77777777" w:rsidR="007A4B60" w:rsidRDefault="005169FA" w:rsidP="00772DC0">
      <w:pPr>
        <w:keepLines/>
        <w:spacing w:before="240" w:after="240"/>
      </w:pPr>
      <w:r>
        <w:t xml:space="preserve">Prinn, R.G., R.F. Weis, J. Arduini, T. Arnold, H.L. DeWitt, P.J. Fraser, A.L. Ganesan, J. </w:t>
      </w:r>
      <w:proofErr w:type="spellStart"/>
      <w:r>
        <w:t>Gasore</w:t>
      </w:r>
      <w:proofErr w:type="spellEnd"/>
      <w:r>
        <w:t xml:space="preserve">, C.M. Harth, O. Hermansen, J. Kim, P.B. Krummel, S. Li, Z.M. Loh, C.R. Lunder, M. Maione, A.J. Manning, B.R. Miller, B. Mitrevski, J. Mühle, S. O’Doherty, S. Park, S. Reimann, M. Rigby, T. Saito, P.K. Salameh, R. Schmidt, P.G. Simmonds, L.P. Steele, M.K. Vollmer, R.H. Wang, B. Yao, Y. Yokouchi, D. Young, and L. Zhou, History of chemically and radiatively important atmospheric gases from the Advanced Global Atmospheric Gases Experiment (AGAGE), </w:t>
      </w:r>
      <w:r>
        <w:rPr>
          <w:i/>
        </w:rPr>
        <w:t>Earth Syst. Sci. Data</w:t>
      </w:r>
      <w:r>
        <w:t xml:space="preserve">, </w:t>
      </w:r>
      <w:r>
        <w:rPr>
          <w:i/>
        </w:rPr>
        <w:t>10</w:t>
      </w:r>
      <w:r>
        <w:t>, 985–1018 (2018) https://doi.org/10.5194/essd-10-985-2018.</w:t>
      </w:r>
    </w:p>
    <w:p w14:paraId="3399DDD1" w14:textId="77777777" w:rsidR="007A4B60" w:rsidRDefault="005169FA" w:rsidP="00772DC0">
      <w:pPr>
        <w:keepLines/>
        <w:spacing w:before="240" w:after="240"/>
      </w:pPr>
      <w:r>
        <w:t xml:space="preserve">Pu, J., H. Xu, B. Yao, Y. Yu, Y. Jiang, Q. Ma, and L. Chen, Estimate of hydrofluorocarbon emissions for 2012–16 in the Yangtze River Delta, </w:t>
      </w:r>
      <w:r>
        <w:rPr>
          <w:i/>
        </w:rPr>
        <w:t>China, Adv. Atmos. Sci.</w:t>
      </w:r>
      <w:r>
        <w:t xml:space="preserve">, </w:t>
      </w:r>
      <w:r>
        <w:rPr>
          <w:i/>
        </w:rPr>
        <w:t>37</w:t>
      </w:r>
      <w:r>
        <w:t>, 576–585 (2020).</w:t>
      </w:r>
    </w:p>
    <w:p w14:paraId="30DF633C" w14:textId="77777777" w:rsidR="007A4B60" w:rsidRDefault="005169FA" w:rsidP="00772DC0">
      <w:pPr>
        <w:keepLines/>
        <w:spacing w:before="240" w:after="240"/>
      </w:pPr>
      <w:r>
        <w:t xml:space="preserve">Rust, D., M.K. Vollmer, S. Henne A. </w:t>
      </w:r>
      <w:proofErr w:type="spellStart"/>
      <w:r>
        <w:t>Frumau</w:t>
      </w:r>
      <w:proofErr w:type="spellEnd"/>
      <w:r>
        <w:t xml:space="preserve">, P. van den Bulk, A. Hensen, K.M. Stanley, R. Zenobi, L. Emmenegger, and S. Reimann, Effective realization of abatement measures can reduce HFC-23 emissions. </w:t>
      </w:r>
      <w:r>
        <w:rPr>
          <w:i/>
        </w:rPr>
        <w:t>Nature</w:t>
      </w:r>
      <w:r>
        <w:t xml:space="preserve"> </w:t>
      </w:r>
      <w:r>
        <w:rPr>
          <w:i/>
        </w:rPr>
        <w:t>633</w:t>
      </w:r>
      <w:r>
        <w:t>, 96-100 (2024)</w:t>
      </w:r>
      <w:hyperlink r:id="rId33">
        <w:r>
          <w:t xml:space="preserve"> https://doi.org/10.1038/s41586-024-07833-y</w:t>
        </w:r>
      </w:hyperlink>
      <w:r>
        <w:t>.</w:t>
      </w:r>
    </w:p>
    <w:p w14:paraId="04EEB324" w14:textId="77777777" w:rsidR="007A4B60" w:rsidRDefault="005169FA" w:rsidP="00772DC0">
      <w:pPr>
        <w:keepLines/>
        <w:spacing w:before="240" w:after="240"/>
      </w:pPr>
      <w:r>
        <w:t>Simmonds, P. G., M. Rigby, A. McCulloch, M.K. Vollmer, S. Henne, J. Mühle, S. O'Doherty, A.J. Manning, P.B. Krummel, P.J. Fraser, D. Young, R.F. Weiss, P.K. Salameh, C.M. Harth, S. Reimann, C.M. Trudinger, L.P. Steele, R.H.J. Wang, D.J. Ivy, R.G. Prinn, B. Mitrevski, and D.M. Etheridge, Recent increases in the atmospheric growth rate and emissions of HFC-23 (CHF</w:t>
      </w:r>
      <w:r>
        <w:rPr>
          <w:vertAlign w:val="subscript"/>
        </w:rPr>
        <w:t>3</w:t>
      </w:r>
      <w:r>
        <w:t>) and the link to HCFC-22 (CHClF</w:t>
      </w:r>
      <w:r>
        <w:rPr>
          <w:vertAlign w:val="subscript"/>
        </w:rPr>
        <w:t>2</w:t>
      </w:r>
      <w:r>
        <w:t xml:space="preserve">) production, </w:t>
      </w:r>
      <w:r>
        <w:rPr>
          <w:i/>
        </w:rPr>
        <w:t>Atmos. Chem. Phys</w:t>
      </w:r>
      <w:r>
        <w:t xml:space="preserve">., </w:t>
      </w:r>
      <w:r>
        <w:rPr>
          <w:i/>
        </w:rPr>
        <w:t>18</w:t>
      </w:r>
      <w:r>
        <w:t>, 4153–4169 (2018) https://doi.org/10.5194/acp-18-4153-2018.</w:t>
      </w:r>
    </w:p>
    <w:p w14:paraId="545B2459" w14:textId="77777777" w:rsidR="007A4B60" w:rsidRDefault="005169FA" w:rsidP="00772DC0">
      <w:pPr>
        <w:keepLines/>
        <w:spacing w:before="240" w:after="240"/>
      </w:pPr>
      <w:r>
        <w:t xml:space="preserve">Stanley, K.M., D. Say, J. Mühle, C.M. Harth, P.B. Krummel, D. Young, S.J. O’Doherty, P.K. Salameh, P.G. Simmonds, R.F. Weiss, R.G. Prinn, P.J. Fraser, and M. Rigby, Increase in global emissions of HFC-23 despite near-total expected reductions. </w:t>
      </w:r>
      <w:r>
        <w:rPr>
          <w:i/>
        </w:rPr>
        <w:t>Nat. Commun.</w:t>
      </w:r>
      <w:r>
        <w:t xml:space="preserve"> </w:t>
      </w:r>
      <w:r>
        <w:rPr>
          <w:i/>
        </w:rPr>
        <w:t>11</w:t>
      </w:r>
      <w:r>
        <w:t>, 397 (2020)</w:t>
      </w:r>
      <w:hyperlink r:id="rId34">
        <w:r>
          <w:t xml:space="preserve"> https://doi.org/10.1038/s41467-019-13899-4</w:t>
        </w:r>
      </w:hyperlink>
      <w:r>
        <w:t>.</w:t>
      </w:r>
    </w:p>
    <w:p w14:paraId="478E53FB" w14:textId="77777777" w:rsidR="007A4B60" w:rsidRDefault="005169FA" w:rsidP="00772DC0">
      <w:pPr>
        <w:keepLines/>
        <w:spacing w:before="240" w:after="240"/>
      </w:pPr>
      <w:r>
        <w:lastRenderedPageBreak/>
        <w:t>TEAP (Technology and Economic Assessment Panel), Report of the Technology and Economic Assessment Panel, Volume 6: Assessment of the funding requirement for the replenishment of the Multilateral Fund for the period 2021-2023, UNEP Ozone Secretariat, Nairobi; ISBN: 978-9966-076-93-9 (2021).</w:t>
      </w:r>
    </w:p>
    <w:p w14:paraId="3A38A25E" w14:textId="592FFF87" w:rsidR="007A4B60" w:rsidRDefault="005169FA" w:rsidP="00772DC0">
      <w:pPr>
        <w:keepLines/>
        <w:spacing w:before="240" w:after="240"/>
      </w:pPr>
      <w:r>
        <w:t>TEAP (Technology and Economic Assessment Panel), Report of the Technology and Economic Assessment Panel, Volume 3: Assessment of the Funding Requirement for the Replenishment of the Multilateral Fund for the Period 2024-2026; UNEP Ozone Secretariat, Nairobi; ISBN: 978-9914-733-88-4 (2023).</w:t>
      </w:r>
    </w:p>
    <w:p w14:paraId="29B9D65A" w14:textId="77777777" w:rsidR="007A4B60" w:rsidRDefault="005169FA" w:rsidP="00772DC0">
      <w:pPr>
        <w:keepLines/>
        <w:spacing w:before="240" w:after="240"/>
      </w:pPr>
      <w:r>
        <w:t>TEAP (Technology and Economic Assessment Panel), Report of the Technology and Economic Assessment Panel, Volume 5: Response to Decision XXXV/7: Emissions of HFC-23 (2024) https://ozone.unep.org/system/files/documents/TEAP-reponse-to-decision-XXXV-7-report-september-2024.pdf</w:t>
      </w:r>
    </w:p>
    <w:p w14:paraId="59610B3E" w14:textId="77777777" w:rsidR="007A4B60" w:rsidRDefault="005169FA" w:rsidP="00772DC0">
      <w:pPr>
        <w:keepLines/>
        <w:spacing w:before="240" w:after="240"/>
      </w:pPr>
      <w:r>
        <w:t>TEAP (Technology and Economic Assessment Panel), Report of the Technology and Economic Assessment Panel, Volume 2: Response to Decision XXXVI/3: Emissions of HFC-23 (2025).</w:t>
      </w:r>
    </w:p>
    <w:p w14:paraId="7AF92D79" w14:textId="77777777" w:rsidR="007A4B60" w:rsidRDefault="005169FA" w:rsidP="00772DC0">
      <w:pPr>
        <w:keepLines/>
        <w:spacing w:before="240" w:after="240"/>
        <w:rPr>
          <w:sz w:val="20"/>
          <w:szCs w:val="20"/>
        </w:rPr>
      </w:pPr>
      <w:r>
        <w:t xml:space="preserve">Thomson, J.D., J.S. Campbell, E.B. Edwards, C. Medcraft, K. Nauta, M.P. </w:t>
      </w:r>
      <w:proofErr w:type="spellStart"/>
      <w:r>
        <w:t>Pérez-Peña</w:t>
      </w:r>
      <w:proofErr w:type="spellEnd"/>
      <w:r>
        <w:t>, J.A. Fisher, D.L. Osborn, S.H. Kable, and C.S. Hansen, Fluoroform (CHF</w:t>
      </w:r>
      <w:r>
        <w:rPr>
          <w:vertAlign w:val="subscript"/>
        </w:rPr>
        <w:t>3</w:t>
      </w:r>
      <w:r>
        <w:t>) production from CF</w:t>
      </w:r>
      <w:r>
        <w:rPr>
          <w:vertAlign w:val="subscript"/>
        </w:rPr>
        <w:t>3</w:t>
      </w:r>
      <w:r>
        <w:t xml:space="preserve">CHO photolysis and implications for the decomposition of </w:t>
      </w:r>
      <w:proofErr w:type="spellStart"/>
      <w:r>
        <w:t>hydrofluoroolefins</w:t>
      </w:r>
      <w:proofErr w:type="spellEnd"/>
      <w:r>
        <w:t xml:space="preserve"> and </w:t>
      </w:r>
      <w:proofErr w:type="spellStart"/>
      <w:r>
        <w:t>hydrochlorofluoroolefins</w:t>
      </w:r>
      <w:proofErr w:type="spellEnd"/>
      <w:r>
        <w:t xml:space="preserve"> in the atmosphere, </w:t>
      </w:r>
      <w:r>
        <w:rPr>
          <w:i/>
        </w:rPr>
        <w:t>J. Am. Chem. Soc.</w:t>
      </w:r>
      <w:r>
        <w:t>, doi:10.1021/jacs.4c11776 (2025).</w:t>
      </w:r>
    </w:p>
    <w:p w14:paraId="44528700" w14:textId="77777777" w:rsidR="007A4B60" w:rsidRPr="00C42602" w:rsidRDefault="005169FA" w:rsidP="00772DC0">
      <w:pPr>
        <w:keepLines/>
        <w:spacing w:before="240" w:after="240"/>
      </w:pPr>
      <w:r>
        <w:t xml:space="preserve">UNEP (United Nations Environment </w:t>
      </w:r>
      <w:proofErr w:type="spellStart"/>
      <w:r>
        <w:t>Programme</w:t>
      </w:r>
      <w:proofErr w:type="spellEnd"/>
      <w:r>
        <w:t xml:space="preserve">), Executive Committee of the Multilateral Fund for the Implementation of the Montreal Protocol, Country </w:t>
      </w:r>
      <w:proofErr w:type="spellStart"/>
      <w:r>
        <w:t>Programme</w:t>
      </w:r>
      <w:proofErr w:type="spellEnd"/>
      <w:r>
        <w:t xml:space="preserve"> data and prospects for compliance, 74th meeting, UNEP/</w:t>
      </w:r>
      <w:proofErr w:type="spellStart"/>
      <w:r>
        <w:t>OzL.Pro</w:t>
      </w:r>
      <w:proofErr w:type="spellEnd"/>
      <w:r>
        <w:t>/</w:t>
      </w:r>
      <w:r w:rsidRPr="00C42602">
        <w:t xml:space="preserve">ExCom/74/11, United Nations Environment </w:t>
      </w:r>
      <w:proofErr w:type="spellStart"/>
      <w:r w:rsidRPr="00C42602">
        <w:t>Programme</w:t>
      </w:r>
      <w:proofErr w:type="spellEnd"/>
      <w:r w:rsidRPr="00C42602">
        <w:t xml:space="preserve">, Montreal, Canada (2015) [available at: </w:t>
      </w:r>
      <w:r w:rsidRPr="00C42602">
        <w:rPr>
          <w:highlight w:val="white"/>
        </w:rPr>
        <w:t xml:space="preserve"> </w:t>
      </w:r>
      <w:hyperlink r:id="rId35">
        <w:r w:rsidRPr="00C42602">
          <w:rPr>
            <w:highlight w:val="white"/>
          </w:rPr>
          <w:t>https://www.multilateralfund.org/api/drupal-documents/download/file/c10263d8-f57f-4148-b980-e51b9aa3cb05?filename=7411.pdf</w:t>
        </w:r>
      </w:hyperlink>
      <w:r w:rsidRPr="00C42602">
        <w:t>].</w:t>
      </w:r>
    </w:p>
    <w:p w14:paraId="2D11D136" w14:textId="77777777" w:rsidR="007A4B60" w:rsidRPr="00C42602" w:rsidRDefault="005169FA" w:rsidP="00772DC0">
      <w:pPr>
        <w:keepLines/>
        <w:spacing w:before="240" w:after="240"/>
      </w:pPr>
      <w:r w:rsidRPr="00C42602">
        <w:t xml:space="preserve">UNEP (United Nations Environment </w:t>
      </w:r>
      <w:proofErr w:type="spellStart"/>
      <w:r w:rsidRPr="00C42602">
        <w:t>Programme</w:t>
      </w:r>
      <w:proofErr w:type="spellEnd"/>
      <w:r w:rsidRPr="00C42602">
        <w:t xml:space="preserve">), Executive Committee of the Multilateral Fund for the Implementation of the Montreal Protocol, Cost-effective Chapter 2 151 Options for Controlling HFC-23 By-product Emissions (Decision 81/68(e)), United Nations Environment </w:t>
      </w:r>
      <w:proofErr w:type="spellStart"/>
      <w:r w:rsidRPr="00C42602">
        <w:t>Programme</w:t>
      </w:r>
      <w:proofErr w:type="spellEnd"/>
      <w:r w:rsidRPr="00C42602">
        <w:t xml:space="preserve">, Montreal, Canada (2018a) [available at: </w:t>
      </w:r>
      <w:hyperlink r:id="rId36">
        <w:r w:rsidRPr="00C42602">
          <w:rPr>
            <w:highlight w:val="white"/>
          </w:rPr>
          <w:t>https://www.multilateralfund.org/api/drupal-documents/download/file/f2afb7a1-99bc-4856-b69b-71107139b9d8?filename=8268.pdf</w:t>
        </w:r>
      </w:hyperlink>
      <w:r w:rsidRPr="00C42602">
        <w:t>].</w:t>
      </w:r>
    </w:p>
    <w:p w14:paraId="1F93BFAA" w14:textId="77777777" w:rsidR="007A4B60" w:rsidRPr="00C42602" w:rsidRDefault="005169FA" w:rsidP="00772DC0">
      <w:pPr>
        <w:keepLines/>
        <w:spacing w:before="240" w:after="240"/>
      </w:pPr>
      <w:r w:rsidRPr="00C42602">
        <w:t xml:space="preserve">UNEP (United Nations Environment </w:t>
      </w:r>
      <w:proofErr w:type="spellStart"/>
      <w:r w:rsidRPr="00C42602">
        <w:t>Programme</w:t>
      </w:r>
      <w:proofErr w:type="spellEnd"/>
      <w:r w:rsidRPr="00C42602">
        <w:t xml:space="preserve">), Executive Committee of the Multilateral Fund for the Implementation of the Montreal Protocol, Corrigendum: Cost-effective Options for Controlling HFC-23 By-product Emissions (Decision 81/68(e)), United Nations Environment </w:t>
      </w:r>
      <w:proofErr w:type="spellStart"/>
      <w:r w:rsidRPr="00C42602">
        <w:t>Programme</w:t>
      </w:r>
      <w:proofErr w:type="spellEnd"/>
      <w:r w:rsidRPr="00C42602">
        <w:t xml:space="preserve">, Montreal, Canada (2018b) [available at: </w:t>
      </w:r>
      <w:hyperlink r:id="rId37">
        <w:r w:rsidRPr="00C42602">
          <w:rPr>
            <w:highlight w:val="white"/>
          </w:rPr>
          <w:t>https://www.multilateralfund.org/api/drupal-documents/download/file/bf95e959-8d1c-4c51-a272-6067c595bf7b?filename=8268c1.pdf</w:t>
        </w:r>
      </w:hyperlink>
      <w:r w:rsidRPr="00C42602">
        <w:t>].</w:t>
      </w:r>
    </w:p>
    <w:p w14:paraId="2881C3EC" w14:textId="77777777" w:rsidR="007C2FB5" w:rsidRPr="007C2FB5" w:rsidRDefault="007C2FB5" w:rsidP="00772DC0">
      <w:pPr>
        <w:keepLines/>
        <w:spacing w:before="240" w:after="240"/>
      </w:pPr>
      <w:r w:rsidRPr="007C2FB5">
        <w:lastRenderedPageBreak/>
        <w:t xml:space="preserve">UNEP (United Nations Environment </w:t>
      </w:r>
      <w:proofErr w:type="spellStart"/>
      <w:r w:rsidRPr="007C2FB5">
        <w:t>Programme</w:t>
      </w:r>
      <w:proofErr w:type="spellEnd"/>
      <w:r w:rsidRPr="007C2FB5">
        <w:t xml:space="preserve">), Executive Committee of the Multilateral Fund for the Implementation of the Montreal Protocol, Report of the sub-group on production sector (reissued), United Nations Environment </w:t>
      </w:r>
      <w:proofErr w:type="spellStart"/>
      <w:r w:rsidRPr="007C2FB5">
        <w:t>Programme</w:t>
      </w:r>
      <w:proofErr w:type="spellEnd"/>
      <w:r w:rsidRPr="007C2FB5">
        <w:t>, Montreal, Canada (2020) [available at:</w:t>
      </w:r>
      <w:hyperlink r:id="rId38" w:history="1">
        <w:r w:rsidRPr="007C2FB5">
          <w:rPr>
            <w:rStyle w:val="Hyperlink"/>
            <w:color w:val="auto"/>
            <w:u w:val="none"/>
          </w:rPr>
          <w:t xml:space="preserve"> </w:t>
        </w:r>
      </w:hyperlink>
      <w:hyperlink r:id="rId39" w:history="1">
        <w:r w:rsidRPr="007C2FB5">
          <w:rPr>
            <w:rStyle w:val="Hyperlink"/>
            <w:color w:val="auto"/>
            <w:u w:val="none"/>
          </w:rPr>
          <w:t>https://www.multilateralfund.org/api/drupal-documents/download/file/d9de4464-f1cf-4bb9-9ec9-bda022dbe581?filename=8474ri.pdf</w:t>
        </w:r>
      </w:hyperlink>
      <w:r w:rsidRPr="007C2FB5">
        <w:t>] .</w:t>
      </w:r>
    </w:p>
    <w:p w14:paraId="022C9555" w14:textId="5D232650" w:rsidR="007A4B60" w:rsidRPr="00C42602" w:rsidRDefault="005169FA" w:rsidP="00772DC0">
      <w:pPr>
        <w:keepLines/>
        <w:spacing w:before="240" w:after="240"/>
      </w:pPr>
      <w:r w:rsidRPr="00C42602">
        <w:t xml:space="preserve">UNEP (United Nations Environment </w:t>
      </w:r>
      <w:proofErr w:type="spellStart"/>
      <w:r w:rsidRPr="00C42602">
        <w:t>Programme</w:t>
      </w:r>
      <w:proofErr w:type="spellEnd"/>
      <w:r w:rsidRPr="00C42602">
        <w:t xml:space="preserve">), Executive Committee of the Multilateral Fund for the Implementation of the Montreal Protocol, Report on the subgroup on the production sector, United Nations Environment </w:t>
      </w:r>
      <w:proofErr w:type="spellStart"/>
      <w:r w:rsidRPr="00C42602">
        <w:t>Programme</w:t>
      </w:r>
      <w:proofErr w:type="spellEnd"/>
      <w:r w:rsidRPr="00C42602">
        <w:t xml:space="preserve">, Montreal, Canada (2022) [available at: </w:t>
      </w:r>
      <w:hyperlink r:id="rId40">
        <w:r w:rsidRPr="00C42602">
          <w:rPr>
            <w:highlight w:val="white"/>
          </w:rPr>
          <w:t>https://www.multilateralfund.org/api/drupal-documents/download/file/42701818-11fe-430d-8437-8044eba552fc?filename=9171ri.pdf</w:t>
        </w:r>
      </w:hyperlink>
      <w:r w:rsidRPr="00C42602">
        <w:t>].</w:t>
      </w:r>
    </w:p>
    <w:p w14:paraId="036996AE" w14:textId="77777777" w:rsidR="007A4B60" w:rsidRPr="00C42602" w:rsidRDefault="005169FA" w:rsidP="00772DC0">
      <w:pPr>
        <w:keepLines/>
        <w:spacing w:before="240" w:after="240"/>
      </w:pPr>
      <w:r w:rsidRPr="00C42602">
        <w:t xml:space="preserve">UNEP (United Nations Environment </w:t>
      </w:r>
      <w:proofErr w:type="spellStart"/>
      <w:r w:rsidRPr="00C42602">
        <w:t>Programme</w:t>
      </w:r>
      <w:proofErr w:type="spellEnd"/>
      <w:r w:rsidRPr="00C42602">
        <w:t xml:space="preserve">), Executive Committee of the Multilateral Fund for the Implementation of the Montreal Protocol, Report on the subgroup on the production sector, United Nations Environment </w:t>
      </w:r>
      <w:proofErr w:type="spellStart"/>
      <w:r w:rsidRPr="00C42602">
        <w:t>Programme</w:t>
      </w:r>
      <w:proofErr w:type="spellEnd"/>
      <w:r w:rsidRPr="00C42602">
        <w:t>, Montreal, Canada (2024) [available at: https://www.multilateralfund.org/api/drupal-documents/download/file/6111d09c-c71e-410d-bc9c-ecdfda38ebfc?filename=9593r1.pdf]</w:t>
      </w:r>
    </w:p>
    <w:p w14:paraId="04C6388E" w14:textId="77777777" w:rsidR="007A4B60" w:rsidRPr="00C42602" w:rsidRDefault="005169FA" w:rsidP="00772DC0">
      <w:pPr>
        <w:keepLines/>
        <w:spacing w:before="240" w:after="240"/>
      </w:pPr>
      <w:r w:rsidRPr="00C42602">
        <w:t xml:space="preserve">UNEP (United Nations Environment </w:t>
      </w:r>
      <w:proofErr w:type="spellStart"/>
      <w:r w:rsidRPr="00C42602">
        <w:t>Programme</w:t>
      </w:r>
      <w:proofErr w:type="spellEnd"/>
      <w:r w:rsidRPr="00C42602">
        <w:t>) Ozone Secretariat, Country Data, Additional Reported Information, Other information reported by the parties, HFC-23 Emissions (2025) [available at: https://ozone.unep.org/additional-reported-information].</w:t>
      </w:r>
    </w:p>
    <w:p w14:paraId="4374518E" w14:textId="77777777" w:rsidR="007A4B60" w:rsidRPr="00C42602" w:rsidRDefault="005169FA" w:rsidP="00772DC0">
      <w:pPr>
        <w:keepLines/>
        <w:spacing w:before="240" w:after="240"/>
      </w:pPr>
      <w:r w:rsidRPr="00C42602">
        <w:t xml:space="preserve">UNFCCC (United Nations Framework Convention on Climate Change), </w:t>
      </w:r>
      <w:r w:rsidRPr="00C42602">
        <w:rPr>
          <w:i/>
        </w:rPr>
        <w:t xml:space="preserve">United States of America. 2024 Common Reporting Table (CRT). </w:t>
      </w:r>
      <w:r w:rsidRPr="00C42602">
        <w:t xml:space="preserve">(2024) [available at: </w:t>
      </w:r>
      <w:hyperlink r:id="rId41">
        <w:r w:rsidRPr="00C42602">
          <w:t>https://unfccc.int/documents/646590</w:t>
        </w:r>
      </w:hyperlink>
      <w:r w:rsidRPr="00C42602">
        <w:t>]</w:t>
      </w:r>
    </w:p>
    <w:p w14:paraId="60698516" w14:textId="77777777" w:rsidR="007A4B60" w:rsidRPr="00C42602" w:rsidRDefault="005169FA" w:rsidP="00772DC0">
      <w:pPr>
        <w:keepLines/>
        <w:spacing w:before="240" w:after="240"/>
      </w:pPr>
      <w:r w:rsidRPr="00C42602">
        <w:t>UNFCCC</w:t>
      </w:r>
      <w:r w:rsidRPr="00C42602">
        <w:rPr>
          <w:i/>
        </w:rPr>
        <w:t xml:space="preserve"> </w:t>
      </w:r>
      <w:r w:rsidRPr="00C42602">
        <w:t>(United Nations Framework Convention on Climate Change)</w:t>
      </w:r>
      <w:r w:rsidRPr="00C42602">
        <w:rPr>
          <w:i/>
        </w:rPr>
        <w:t xml:space="preserve">, Greenhouse Gas Inventory Data - Flexible Queries Annex 1 Parties; </w:t>
      </w:r>
      <w:r w:rsidRPr="00C42602">
        <w:t>(2025a)</w:t>
      </w:r>
      <w:hyperlink r:id="rId42">
        <w:r w:rsidRPr="00C42602">
          <w:t xml:space="preserve"> </w:t>
        </w:r>
      </w:hyperlink>
      <w:hyperlink r:id="rId43">
        <w:r w:rsidRPr="00C42602">
          <w:t>https://di.unfccc.int/flex_annex1</w:t>
        </w:r>
      </w:hyperlink>
      <w:r w:rsidRPr="00C42602">
        <w:t>.</w:t>
      </w:r>
    </w:p>
    <w:p w14:paraId="4B238165" w14:textId="77777777" w:rsidR="007A4B60" w:rsidRPr="00C42602" w:rsidRDefault="005169FA" w:rsidP="00772DC0">
      <w:pPr>
        <w:keepLines/>
        <w:spacing w:before="240" w:after="240"/>
      </w:pPr>
      <w:r w:rsidRPr="00C42602">
        <w:t>UNFCCC (United Nations Framework Convention on Climate Change)</w:t>
      </w:r>
      <w:r w:rsidRPr="00C42602">
        <w:rPr>
          <w:i/>
        </w:rPr>
        <w:t>, Greenhouse Gas Inventory Data - Flexible Queries non Annex 1 Parties</w:t>
      </w:r>
      <w:r w:rsidRPr="00C42602">
        <w:t>; (2025b)</w:t>
      </w:r>
      <w:hyperlink r:id="rId44">
        <w:r w:rsidRPr="00C42602">
          <w:t xml:space="preserve"> </w:t>
        </w:r>
      </w:hyperlink>
      <w:hyperlink r:id="rId45">
        <w:r w:rsidRPr="00C42602">
          <w:t>https://di.unfccc.int/flex_non_annex1</w:t>
        </w:r>
      </w:hyperlink>
      <w:r w:rsidRPr="00C42602">
        <w:t>.</w:t>
      </w:r>
    </w:p>
    <w:p w14:paraId="2C27E8D1" w14:textId="69CDB950" w:rsidR="007A4B60" w:rsidRPr="00C42602" w:rsidRDefault="005169FA" w:rsidP="00772DC0">
      <w:pPr>
        <w:keepLines/>
        <w:spacing w:before="240" w:after="240"/>
      </w:pPr>
      <w:r w:rsidRPr="00C42602">
        <w:t xml:space="preserve">UNFCCC (United Nations Framework Convention on Climate Change), </w:t>
      </w:r>
      <w:r w:rsidRPr="00C42602">
        <w:rPr>
          <w:i/>
        </w:rPr>
        <w:t xml:space="preserve">Australia. 2023 National Inventory Report (NIR), Volume </w:t>
      </w:r>
      <w:r w:rsidR="008B297B">
        <w:rPr>
          <w:i/>
        </w:rPr>
        <w:t>1</w:t>
      </w:r>
      <w:r w:rsidRPr="00C42602">
        <w:rPr>
          <w:i/>
        </w:rPr>
        <w:t xml:space="preserve"> </w:t>
      </w:r>
      <w:r w:rsidRPr="00C42602">
        <w:t>(2025c) [available at: https://unfccc.int/documents/</w:t>
      </w:r>
      <w:r w:rsidR="008B297B" w:rsidRPr="008B297B">
        <w:t>647190</w:t>
      </w:r>
      <w:r w:rsidRPr="00C42602">
        <w:t>].</w:t>
      </w:r>
    </w:p>
    <w:p w14:paraId="121B6DB3" w14:textId="77777777" w:rsidR="007A4B60" w:rsidRPr="00C42602" w:rsidRDefault="005169FA" w:rsidP="00772DC0">
      <w:pPr>
        <w:keepLines/>
        <w:spacing w:before="240" w:after="240"/>
      </w:pPr>
      <w:r w:rsidRPr="00C42602">
        <w:t xml:space="preserve">UNFCCC (United Nations Framework Convention on Climate Change), </w:t>
      </w:r>
      <w:r w:rsidRPr="00C42602">
        <w:rPr>
          <w:i/>
        </w:rPr>
        <w:t xml:space="preserve">United Kingdom. 2023 National Inventory Document (NIR). Annex, </w:t>
      </w:r>
      <w:r w:rsidRPr="00C42602">
        <w:t xml:space="preserve">(2025d) [available at: </w:t>
      </w:r>
      <w:hyperlink r:id="rId46">
        <w:r w:rsidRPr="00C42602">
          <w:t>https://unfccc.int/documents/646507</w:t>
        </w:r>
      </w:hyperlink>
      <w:r w:rsidRPr="00C42602">
        <w:t>].</w:t>
      </w:r>
    </w:p>
    <w:p w14:paraId="414C225A" w14:textId="77777777" w:rsidR="007A4B60" w:rsidRDefault="005169FA" w:rsidP="00772DC0">
      <w:pPr>
        <w:keepLines/>
        <w:spacing w:before="240" w:after="240"/>
      </w:pPr>
      <w:r w:rsidRPr="00C42602">
        <w:t xml:space="preserve">UNFCCC (United Nations Framework Convention on Climate Change), </w:t>
      </w:r>
      <w:r w:rsidRPr="00C42602">
        <w:rPr>
          <w:i/>
        </w:rPr>
        <w:t xml:space="preserve">Japan. 2025 Common Reporting Table (CRT) </w:t>
      </w:r>
      <w:r w:rsidRPr="00C42602">
        <w:t xml:space="preserve">(2025e) [available at: </w:t>
      </w:r>
      <w:hyperlink r:id="rId47">
        <w:r w:rsidRPr="00C42602">
          <w:t>https://unfccc.int/documents/646590</w:t>
        </w:r>
      </w:hyperlink>
      <w:r w:rsidRPr="00C42602">
        <w:t>]</w:t>
      </w:r>
    </w:p>
    <w:p w14:paraId="006A32B6" w14:textId="18EA6D97" w:rsidR="009E7B4C" w:rsidRPr="00C42602" w:rsidRDefault="009E7B4C" w:rsidP="00772DC0">
      <w:pPr>
        <w:keepLines/>
        <w:spacing w:before="240" w:after="240"/>
      </w:pPr>
      <w:r>
        <w:t>UNFCCC (</w:t>
      </w:r>
      <w:r w:rsidRPr="00C42602">
        <w:t xml:space="preserve">United Nations Framework Convention on Climate Change), </w:t>
      </w:r>
      <w:r>
        <w:rPr>
          <w:i/>
        </w:rPr>
        <w:t>Russian Federation</w:t>
      </w:r>
      <w:r w:rsidRPr="00C42602">
        <w:rPr>
          <w:i/>
        </w:rPr>
        <w:t xml:space="preserve">. 2025 Common Reporting Table (CRT) </w:t>
      </w:r>
      <w:r w:rsidRPr="00C42602">
        <w:t>(2025</w:t>
      </w:r>
      <w:r>
        <w:t>f</w:t>
      </w:r>
      <w:r w:rsidRPr="00C42602">
        <w:t xml:space="preserve">) [available at: </w:t>
      </w:r>
      <w:r w:rsidR="00175C74" w:rsidRPr="00175C74">
        <w:t>https://unfccc.int/documents/646538</w:t>
      </w:r>
      <w:r w:rsidRPr="00C42602">
        <w:t>]</w:t>
      </w:r>
    </w:p>
    <w:p w14:paraId="20CEA49F" w14:textId="544F27C6" w:rsidR="007A4B60" w:rsidRPr="00C42602" w:rsidRDefault="005169FA" w:rsidP="00772DC0">
      <w:pPr>
        <w:keepLines/>
        <w:spacing w:before="240" w:after="240"/>
      </w:pPr>
      <w:r w:rsidRPr="00C42602">
        <w:lastRenderedPageBreak/>
        <w:t>Vollmer, M. K., et al., S. Reimann, M. Hill, and D. Brunner, First observations of the fourth</w:t>
      </w:r>
      <w:r w:rsidR="00B82019">
        <w:t>-</w:t>
      </w:r>
      <w:r w:rsidRPr="00C42602">
        <w:t xml:space="preserve">generation synthetic halocarbons HFC-1234yf, HFC-1234ze(E), and HCFC-1233zd(E) in the atmosphere, </w:t>
      </w:r>
      <w:r w:rsidRPr="00C42602">
        <w:rPr>
          <w:i/>
        </w:rPr>
        <w:t>Environ. Sci. Technol., 49</w:t>
      </w:r>
      <w:r w:rsidRPr="00C42602">
        <w:t xml:space="preserve"> (5), 2703-2708, doi:10.1021/es505123x (2015)</w:t>
      </w:r>
    </w:p>
    <w:p w14:paraId="328E3E01" w14:textId="77777777" w:rsidR="007A4B60" w:rsidRPr="00C42602" w:rsidRDefault="005169FA" w:rsidP="00772DC0">
      <w:pPr>
        <w:keepLines/>
        <w:spacing w:before="240" w:after="240"/>
      </w:pPr>
      <w:r w:rsidRPr="00C42602">
        <w:t>Van Hoomissen, D., A. Chattopadhyay, S.A. Montzka, and J.B. Burkholder, CHF</w:t>
      </w:r>
      <w:r w:rsidRPr="00C42602">
        <w:rPr>
          <w:vertAlign w:val="subscript"/>
        </w:rPr>
        <w:t>3</w:t>
      </w:r>
      <w:r w:rsidRPr="00C42602">
        <w:t xml:space="preserve"> (HFC-23) and CF</w:t>
      </w:r>
      <w:r w:rsidRPr="00C42602">
        <w:rPr>
          <w:vertAlign w:val="subscript"/>
        </w:rPr>
        <w:t>3</w:t>
      </w:r>
      <w:r w:rsidRPr="00C42602">
        <w:t>CHO quantum yields in the pulsed laser photolysis of CF</w:t>
      </w:r>
      <w:r w:rsidRPr="00C42602">
        <w:rPr>
          <w:vertAlign w:val="subscript"/>
        </w:rPr>
        <w:t>3</w:t>
      </w:r>
      <w:r w:rsidRPr="00C42602">
        <w:t xml:space="preserve">CHO at 248, 266, 281, and 308 nm, </w:t>
      </w:r>
      <w:r w:rsidRPr="00C42602">
        <w:rPr>
          <w:i/>
        </w:rPr>
        <w:t>ACS Earth Space Chem.</w:t>
      </w:r>
      <w:r w:rsidRPr="00C42602">
        <w:t xml:space="preserve">, </w:t>
      </w:r>
      <w:r w:rsidRPr="00C42602">
        <w:rPr>
          <w:i/>
        </w:rPr>
        <w:t>9</w:t>
      </w:r>
      <w:r w:rsidRPr="00C42602">
        <w:t>, 589–602, doi:10.1021/acsearthspacechem.4c00316 (2025).</w:t>
      </w:r>
    </w:p>
    <w:p w14:paraId="15ED88D4" w14:textId="77777777" w:rsidR="007A4B60" w:rsidRPr="00C42602" w:rsidRDefault="005169FA" w:rsidP="00772DC0">
      <w:pPr>
        <w:keepLines/>
        <w:spacing w:before="240" w:after="240"/>
      </w:pPr>
      <w:r w:rsidRPr="00C42602">
        <w:t xml:space="preserve">Yao, B., M. K. Vollmer, L. X. Zhou, S. Henne, S. Reimann, P. C. Li, A. Wenger, and M. Hill, In-situ measurements of atmospheric hydrofluorocarbons (HFCs) and perfluorocarbons (PFCs) at the </w:t>
      </w:r>
      <w:proofErr w:type="spellStart"/>
      <w:r w:rsidRPr="00C42602">
        <w:t>Shangdianzi</w:t>
      </w:r>
      <w:proofErr w:type="spellEnd"/>
      <w:r w:rsidRPr="00C42602">
        <w:t xml:space="preserve"> regional background station, China, </w:t>
      </w:r>
      <w:r w:rsidRPr="00C42602">
        <w:rPr>
          <w:i/>
        </w:rPr>
        <w:t>Atmos. Chem. Phys., 12</w:t>
      </w:r>
      <w:r w:rsidRPr="00C42602">
        <w:t>, 10181–10193 (2012) www.atmos-chem-phys.net/12/10181/2012/.</w:t>
      </w:r>
    </w:p>
    <w:p w14:paraId="54A6E609" w14:textId="77777777" w:rsidR="007A4B60" w:rsidRDefault="005169FA" w:rsidP="00772DC0">
      <w:pPr>
        <w:keepLines/>
        <w:spacing w:before="240" w:after="240"/>
      </w:pPr>
      <w:r w:rsidRPr="00C42602">
        <w:t xml:space="preserve">Yi, L, M. An, H. Yu, Z. Ma, L. Xu, S. O’Doherty, M. Rigby, L. M. Western, A. L. Ganesan, L. Zhou, Q. Shi, Y. Hu, B. Yao, W. Xu, J. Hu, In Situ observations of halogenated gases at the </w:t>
      </w:r>
      <w:proofErr w:type="spellStart"/>
      <w:r w:rsidRPr="00C42602">
        <w:t>Shangdianzi</w:t>
      </w:r>
      <w:proofErr w:type="spellEnd"/>
      <w:r w:rsidRPr="00C42602">
        <w:t xml:space="preserve"> background station and emission estimates for Northern China, </w:t>
      </w:r>
      <w:r w:rsidRPr="00C42602">
        <w:rPr>
          <w:i/>
        </w:rPr>
        <w:t>Environ. Sci. Technol.</w:t>
      </w:r>
      <w:r w:rsidRPr="00C42602">
        <w:t xml:space="preserve">, </w:t>
      </w:r>
      <w:r w:rsidRPr="00C42602">
        <w:rPr>
          <w:i/>
        </w:rPr>
        <w:t>57</w:t>
      </w:r>
      <w:r w:rsidRPr="00C42602">
        <w:t>, 18, 7217–7229 (2023)</w:t>
      </w:r>
      <w:hyperlink r:id="rId48">
        <w:r w:rsidRPr="00C42602">
          <w:t xml:space="preserve"> https://doi.org/10.1021/acs.est.3c00695</w:t>
        </w:r>
      </w:hyperlink>
      <w:r>
        <w:rPr>
          <w:sz w:val="26"/>
          <w:szCs w:val="26"/>
        </w:rPr>
        <w:t>.</w:t>
      </w:r>
    </w:p>
    <w:sectPr w:rsidR="007A4B60" w:rsidSect="002B0BC1">
      <w:type w:val="oddPage"/>
      <w:pgSz w:w="11900" w:h="16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41819" w14:textId="77777777" w:rsidR="00EC1483" w:rsidRDefault="00EC1483">
      <w:pPr>
        <w:spacing w:line="240" w:lineRule="auto"/>
      </w:pPr>
      <w:r>
        <w:separator/>
      </w:r>
    </w:p>
  </w:endnote>
  <w:endnote w:type="continuationSeparator" w:id="0">
    <w:p w14:paraId="79A6A0D3" w14:textId="77777777" w:rsidR="00EC1483" w:rsidRDefault="00EC14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Bold">
    <w:altName w:val="Times New Roman"/>
    <w:charset w:val="00"/>
    <w:family w:val="auto"/>
    <w:pitch w:val="variable"/>
    <w:sig w:usb0="E00002FF" w:usb1="5000205B" w:usb2="00000020" w:usb3="00000000" w:csb0="0000019F" w:csb1="00000000"/>
  </w:font>
  <w:font w:name="Open Sans">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5185" w14:textId="77777777" w:rsidR="00B44A8D" w:rsidRDefault="00B44A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1528860"/>
      <w:docPartObj>
        <w:docPartGallery w:val="Page Numbers (Bottom of Page)"/>
        <w:docPartUnique/>
      </w:docPartObj>
    </w:sdtPr>
    <w:sdtContent>
      <w:p w14:paraId="1B2FA1FE" w14:textId="4B32FA85" w:rsidR="008A27FE" w:rsidRDefault="008A27FE" w:rsidP="002652F2">
        <w:pPr>
          <w:pStyle w:val="Footer"/>
          <w:framePr w:wrap="none" w:vAnchor="text" w:hAnchor="margin" w:xAlign="outside" w:y="1"/>
          <w:rPr>
            <w:rStyle w:val="PageNumber"/>
          </w:rPr>
        </w:pPr>
        <w:r w:rsidRPr="008A27FE">
          <w:rPr>
            <w:rStyle w:val="PageNumber"/>
            <w:rFonts w:ascii="Arial" w:hAnsi="Arial" w:cs="Arial"/>
          </w:rPr>
          <w:fldChar w:fldCharType="begin"/>
        </w:r>
        <w:r w:rsidRPr="008A27FE">
          <w:rPr>
            <w:rStyle w:val="PageNumber"/>
            <w:rFonts w:ascii="Arial" w:hAnsi="Arial" w:cs="Arial"/>
          </w:rPr>
          <w:instrText xml:space="preserve"> PAGE </w:instrText>
        </w:r>
        <w:r w:rsidRPr="008A27FE">
          <w:rPr>
            <w:rStyle w:val="PageNumber"/>
            <w:rFonts w:ascii="Arial" w:hAnsi="Arial" w:cs="Arial"/>
          </w:rPr>
          <w:fldChar w:fldCharType="separate"/>
        </w:r>
        <w:r w:rsidRPr="008A27FE">
          <w:rPr>
            <w:rStyle w:val="PageNumber"/>
            <w:rFonts w:ascii="Arial" w:hAnsi="Arial" w:cs="Arial"/>
            <w:noProof/>
          </w:rPr>
          <w:t>3</w:t>
        </w:r>
        <w:r w:rsidRPr="008A27FE">
          <w:rPr>
            <w:rStyle w:val="PageNumber"/>
            <w:rFonts w:ascii="Arial" w:hAnsi="Arial" w:cs="Arial"/>
          </w:rPr>
          <w:fldChar w:fldCharType="end"/>
        </w:r>
      </w:p>
    </w:sdtContent>
  </w:sdt>
  <w:p w14:paraId="4417CEBC" w14:textId="2AE12AB1" w:rsidR="007A4B60" w:rsidRDefault="007A4B60" w:rsidP="008A27FE">
    <w:pPr>
      <w:ind w:right="360" w:firstLine="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5511" w14:textId="77777777" w:rsidR="00005060" w:rsidRDefault="00005060" w:rsidP="00005060">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1591583"/>
      <w:docPartObj>
        <w:docPartGallery w:val="Page Numbers (Bottom of Page)"/>
        <w:docPartUnique/>
      </w:docPartObj>
    </w:sdtPr>
    <w:sdtContent>
      <w:p w14:paraId="298BE628" w14:textId="29B4A0A0" w:rsidR="00005060" w:rsidRDefault="00005060" w:rsidP="002652F2">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39BF77FA" w14:textId="77777777" w:rsidR="00005060" w:rsidRDefault="00005060" w:rsidP="00005060">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72184"/>
      <w:docPartObj>
        <w:docPartGallery w:val="Page Numbers (Bottom of Page)"/>
        <w:docPartUnique/>
      </w:docPartObj>
    </w:sdtPr>
    <w:sdtContent>
      <w:p w14:paraId="2C3CE926" w14:textId="601F4684" w:rsidR="008A27FE" w:rsidRDefault="008A27FE" w:rsidP="002652F2">
        <w:pPr>
          <w:pStyle w:val="Footer"/>
          <w:framePr w:wrap="none" w:vAnchor="text" w:hAnchor="margin" w:xAlign="outside" w:y="1"/>
          <w:rPr>
            <w:rStyle w:val="PageNumber"/>
          </w:rPr>
        </w:pPr>
        <w:r w:rsidRPr="008A27FE">
          <w:rPr>
            <w:rStyle w:val="PageNumber"/>
            <w:rFonts w:ascii="Arial" w:hAnsi="Arial" w:cs="Arial"/>
          </w:rPr>
          <w:fldChar w:fldCharType="begin"/>
        </w:r>
        <w:r w:rsidRPr="008A27FE">
          <w:rPr>
            <w:rStyle w:val="PageNumber"/>
            <w:rFonts w:ascii="Arial" w:hAnsi="Arial" w:cs="Arial"/>
          </w:rPr>
          <w:instrText xml:space="preserve"> PAGE </w:instrText>
        </w:r>
        <w:r w:rsidRPr="008A27FE">
          <w:rPr>
            <w:rStyle w:val="PageNumber"/>
            <w:rFonts w:ascii="Arial" w:hAnsi="Arial" w:cs="Arial"/>
          </w:rPr>
          <w:fldChar w:fldCharType="separate"/>
        </w:r>
        <w:r w:rsidRPr="008A27FE">
          <w:rPr>
            <w:rStyle w:val="PageNumber"/>
            <w:rFonts w:ascii="Arial" w:hAnsi="Arial" w:cs="Arial"/>
            <w:noProof/>
          </w:rPr>
          <w:t>2</w:t>
        </w:r>
        <w:r w:rsidRPr="008A27FE">
          <w:rPr>
            <w:rStyle w:val="PageNumber"/>
            <w:rFonts w:ascii="Arial" w:hAnsi="Arial" w:cs="Arial"/>
          </w:rPr>
          <w:fldChar w:fldCharType="end"/>
        </w:r>
      </w:p>
    </w:sdtContent>
  </w:sdt>
  <w:p w14:paraId="31DF3583" w14:textId="77777777" w:rsidR="008A27FE" w:rsidRDefault="008A27FE" w:rsidP="008A27FE">
    <w:pPr>
      <w:pStyle w:val="Footer"/>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0057115"/>
      <w:docPartObj>
        <w:docPartGallery w:val="Page Numbers (Bottom of Page)"/>
        <w:docPartUnique/>
      </w:docPartObj>
    </w:sdtPr>
    <w:sdtContent>
      <w:p w14:paraId="7A0AC7DE" w14:textId="453FA8C5" w:rsidR="008A27FE" w:rsidRDefault="008A27FE" w:rsidP="002652F2">
        <w:pPr>
          <w:pStyle w:val="Footer"/>
          <w:framePr w:wrap="none" w:vAnchor="text" w:hAnchor="margin" w:xAlign="outside" w:y="1"/>
          <w:rPr>
            <w:rStyle w:val="PageNumber"/>
          </w:rPr>
        </w:pPr>
        <w:r w:rsidRPr="008A27FE">
          <w:rPr>
            <w:rStyle w:val="PageNumber"/>
            <w:rFonts w:ascii="Arial" w:hAnsi="Arial" w:cs="Arial"/>
          </w:rPr>
          <w:fldChar w:fldCharType="begin"/>
        </w:r>
        <w:r w:rsidRPr="008A27FE">
          <w:rPr>
            <w:rStyle w:val="PageNumber"/>
            <w:rFonts w:ascii="Arial" w:hAnsi="Arial" w:cs="Arial"/>
          </w:rPr>
          <w:instrText xml:space="preserve"> PAGE </w:instrText>
        </w:r>
        <w:r w:rsidRPr="008A27FE">
          <w:rPr>
            <w:rStyle w:val="PageNumber"/>
            <w:rFonts w:ascii="Arial" w:hAnsi="Arial" w:cs="Arial"/>
          </w:rPr>
          <w:fldChar w:fldCharType="separate"/>
        </w:r>
        <w:r w:rsidRPr="008A27FE">
          <w:rPr>
            <w:rStyle w:val="PageNumber"/>
            <w:rFonts w:ascii="Arial" w:hAnsi="Arial" w:cs="Arial"/>
            <w:noProof/>
          </w:rPr>
          <w:t>1</w:t>
        </w:r>
        <w:r w:rsidRPr="008A27FE">
          <w:rPr>
            <w:rStyle w:val="PageNumber"/>
            <w:rFonts w:ascii="Arial" w:hAnsi="Arial" w:cs="Arial"/>
          </w:rPr>
          <w:fldChar w:fldCharType="end"/>
        </w:r>
      </w:p>
    </w:sdtContent>
  </w:sdt>
  <w:p w14:paraId="14F3D82C" w14:textId="77777777" w:rsidR="00851291" w:rsidRDefault="00851291" w:rsidP="008A27FE">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8F31E" w14:textId="77777777" w:rsidR="00EC1483" w:rsidRDefault="00EC1483">
      <w:pPr>
        <w:spacing w:line="240" w:lineRule="auto"/>
      </w:pPr>
      <w:r>
        <w:separator/>
      </w:r>
    </w:p>
  </w:footnote>
  <w:footnote w:type="continuationSeparator" w:id="0">
    <w:p w14:paraId="04AAEC74" w14:textId="77777777" w:rsidR="00EC1483" w:rsidRDefault="00EC14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0EA7" w14:textId="394B72DB" w:rsidR="00B44A8D" w:rsidRDefault="00B44A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DDA7D" w14:textId="1E820D28" w:rsidR="00B44A8D" w:rsidRDefault="00B44A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575CA" w14:textId="7E3102F5" w:rsidR="00B44A8D" w:rsidRDefault="00B44A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151B5" w14:textId="669C27FC" w:rsidR="00B44A8D" w:rsidRDefault="00B44A8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C17E0" w14:textId="0FB6E05E" w:rsidR="00B44A8D" w:rsidRDefault="00B44A8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7FCB4" w14:textId="7E3F89F3" w:rsidR="00B44A8D" w:rsidRDefault="00B44A8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1A731" w14:textId="672A569D" w:rsidR="00B44A8D" w:rsidRDefault="00B44A8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01B3" w14:textId="5E49BE7E" w:rsidR="00B44A8D" w:rsidRDefault="00B44A8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8F67" w14:textId="75CA2640" w:rsidR="00B44A8D" w:rsidRDefault="00B44A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96BC7"/>
    <w:multiLevelType w:val="hybridMultilevel"/>
    <w:tmpl w:val="F01E2E7C"/>
    <w:lvl w:ilvl="0" w:tplc="00261A9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9F3271"/>
    <w:multiLevelType w:val="hybridMultilevel"/>
    <w:tmpl w:val="A78AF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8536579">
    <w:abstractNumId w:val="1"/>
  </w:num>
  <w:num w:numId="2" w16cid:durableId="684526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B60"/>
    <w:rsid w:val="00005060"/>
    <w:rsid w:val="0000609F"/>
    <w:rsid w:val="00016D55"/>
    <w:rsid w:val="0003117B"/>
    <w:rsid w:val="000331C0"/>
    <w:rsid w:val="000A25A2"/>
    <w:rsid w:val="000A4FDC"/>
    <w:rsid w:val="000C0185"/>
    <w:rsid w:val="000C4BC9"/>
    <w:rsid w:val="000C73C6"/>
    <w:rsid w:val="000E1BCC"/>
    <w:rsid w:val="00112CDC"/>
    <w:rsid w:val="0014473D"/>
    <w:rsid w:val="00154C39"/>
    <w:rsid w:val="00175C74"/>
    <w:rsid w:val="00183BE9"/>
    <w:rsid w:val="001B2FFD"/>
    <w:rsid w:val="001D336B"/>
    <w:rsid w:val="0020275B"/>
    <w:rsid w:val="002466A1"/>
    <w:rsid w:val="002B0BC1"/>
    <w:rsid w:val="002F6A7D"/>
    <w:rsid w:val="00302B57"/>
    <w:rsid w:val="003207BC"/>
    <w:rsid w:val="00343018"/>
    <w:rsid w:val="003C3BAE"/>
    <w:rsid w:val="003F415B"/>
    <w:rsid w:val="003F4DEB"/>
    <w:rsid w:val="00436120"/>
    <w:rsid w:val="00436918"/>
    <w:rsid w:val="004500D6"/>
    <w:rsid w:val="00486A9C"/>
    <w:rsid w:val="0049678E"/>
    <w:rsid w:val="004D0BD1"/>
    <w:rsid w:val="004F593C"/>
    <w:rsid w:val="005169FA"/>
    <w:rsid w:val="00516B25"/>
    <w:rsid w:val="00523FB6"/>
    <w:rsid w:val="00527BFD"/>
    <w:rsid w:val="0054060F"/>
    <w:rsid w:val="0058686C"/>
    <w:rsid w:val="00587AF6"/>
    <w:rsid w:val="005B1DB5"/>
    <w:rsid w:val="005C7723"/>
    <w:rsid w:val="005D250A"/>
    <w:rsid w:val="005D303B"/>
    <w:rsid w:val="0062374D"/>
    <w:rsid w:val="00626FA0"/>
    <w:rsid w:val="00645088"/>
    <w:rsid w:val="00683D8B"/>
    <w:rsid w:val="00701514"/>
    <w:rsid w:val="007024EB"/>
    <w:rsid w:val="00714178"/>
    <w:rsid w:val="00714458"/>
    <w:rsid w:val="007358AC"/>
    <w:rsid w:val="007607C5"/>
    <w:rsid w:val="00772DC0"/>
    <w:rsid w:val="0077744A"/>
    <w:rsid w:val="00792B02"/>
    <w:rsid w:val="007A4B60"/>
    <w:rsid w:val="007C2FB5"/>
    <w:rsid w:val="007D14E3"/>
    <w:rsid w:val="007F06A2"/>
    <w:rsid w:val="008203E2"/>
    <w:rsid w:val="00851291"/>
    <w:rsid w:val="00853999"/>
    <w:rsid w:val="00854818"/>
    <w:rsid w:val="008A27FE"/>
    <w:rsid w:val="008B297B"/>
    <w:rsid w:val="008D36B1"/>
    <w:rsid w:val="008E3897"/>
    <w:rsid w:val="008E75E5"/>
    <w:rsid w:val="00904C10"/>
    <w:rsid w:val="00906395"/>
    <w:rsid w:val="00915707"/>
    <w:rsid w:val="00977B1F"/>
    <w:rsid w:val="00977E34"/>
    <w:rsid w:val="009842C4"/>
    <w:rsid w:val="009E7B4C"/>
    <w:rsid w:val="009F75C8"/>
    <w:rsid w:val="00A2703C"/>
    <w:rsid w:val="00A60C22"/>
    <w:rsid w:val="00A94E74"/>
    <w:rsid w:val="00A96612"/>
    <w:rsid w:val="00AA0A40"/>
    <w:rsid w:val="00AA1D75"/>
    <w:rsid w:val="00AA4A75"/>
    <w:rsid w:val="00AB38A0"/>
    <w:rsid w:val="00AE3DB3"/>
    <w:rsid w:val="00AF45E6"/>
    <w:rsid w:val="00B15B2A"/>
    <w:rsid w:val="00B44A8D"/>
    <w:rsid w:val="00B82019"/>
    <w:rsid w:val="00BA14DF"/>
    <w:rsid w:val="00BA55A6"/>
    <w:rsid w:val="00BD5CE5"/>
    <w:rsid w:val="00C24D84"/>
    <w:rsid w:val="00C34AC9"/>
    <w:rsid w:val="00C42602"/>
    <w:rsid w:val="00C924E5"/>
    <w:rsid w:val="00CC0A47"/>
    <w:rsid w:val="00CC6DB6"/>
    <w:rsid w:val="00CE6B98"/>
    <w:rsid w:val="00D00D5B"/>
    <w:rsid w:val="00D03083"/>
    <w:rsid w:val="00D168EF"/>
    <w:rsid w:val="00D32051"/>
    <w:rsid w:val="00DC56C0"/>
    <w:rsid w:val="00DC77F1"/>
    <w:rsid w:val="00E725E7"/>
    <w:rsid w:val="00EA26B5"/>
    <w:rsid w:val="00EB3250"/>
    <w:rsid w:val="00EC1483"/>
    <w:rsid w:val="00ED25AC"/>
    <w:rsid w:val="00EE0AF3"/>
    <w:rsid w:val="00F31B58"/>
    <w:rsid w:val="00F3465D"/>
    <w:rsid w:val="00F60EC4"/>
    <w:rsid w:val="00F75159"/>
    <w:rsid w:val="00FA1517"/>
    <w:rsid w:val="00FB090D"/>
    <w:rsid w:val="00FC3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DF2"/>
  <w15:docId w15:val="{E4144970-369A-44D0-A012-E7A18D350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00609F"/>
    <w:pPr>
      <w:keepNext/>
      <w:keepLines/>
      <w:spacing w:before="400" w:after="120"/>
      <w:outlineLvl w:val="0"/>
    </w:pPr>
    <w:rPr>
      <w:b/>
      <w:sz w:val="28"/>
      <w:szCs w:val="40"/>
    </w:rPr>
  </w:style>
  <w:style w:type="paragraph" w:styleId="Heading2">
    <w:name w:val="heading 2"/>
    <w:basedOn w:val="Normal"/>
    <w:next w:val="Normal"/>
    <w:uiPriority w:val="9"/>
    <w:unhideWhenUsed/>
    <w:qFormat/>
    <w:rsid w:val="0000609F"/>
    <w:pPr>
      <w:keepNext/>
      <w:keepLines/>
      <w:spacing w:before="360" w:after="120"/>
      <w:outlineLvl w:val="1"/>
    </w:pPr>
    <w:rPr>
      <w:b/>
      <w:sz w:val="24"/>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NoSpacing">
    <w:name w:val="No Spacing"/>
    <w:uiPriority w:val="1"/>
    <w:qFormat/>
    <w:rsid w:val="000C73C6"/>
    <w:pPr>
      <w:spacing w:line="240" w:lineRule="auto"/>
    </w:pPr>
  </w:style>
  <w:style w:type="character" w:styleId="CommentReference">
    <w:name w:val="annotation reference"/>
    <w:basedOn w:val="DefaultParagraphFont"/>
    <w:uiPriority w:val="99"/>
    <w:semiHidden/>
    <w:unhideWhenUsed/>
    <w:rsid w:val="00AA0A40"/>
    <w:rPr>
      <w:sz w:val="16"/>
      <w:szCs w:val="16"/>
    </w:rPr>
  </w:style>
  <w:style w:type="paragraph" w:styleId="CommentText">
    <w:name w:val="annotation text"/>
    <w:basedOn w:val="Normal"/>
    <w:link w:val="CommentTextChar"/>
    <w:uiPriority w:val="99"/>
    <w:semiHidden/>
    <w:unhideWhenUsed/>
    <w:rsid w:val="00AA0A40"/>
    <w:pPr>
      <w:spacing w:line="240" w:lineRule="auto"/>
    </w:pPr>
    <w:rPr>
      <w:sz w:val="20"/>
      <w:szCs w:val="20"/>
    </w:rPr>
  </w:style>
  <w:style w:type="character" w:customStyle="1" w:styleId="CommentTextChar">
    <w:name w:val="Comment Text Char"/>
    <w:basedOn w:val="DefaultParagraphFont"/>
    <w:link w:val="CommentText"/>
    <w:uiPriority w:val="99"/>
    <w:semiHidden/>
    <w:rsid w:val="00AA0A40"/>
    <w:rPr>
      <w:sz w:val="20"/>
      <w:szCs w:val="20"/>
    </w:rPr>
  </w:style>
  <w:style w:type="paragraph" w:styleId="CommentSubject">
    <w:name w:val="annotation subject"/>
    <w:basedOn w:val="CommentText"/>
    <w:next w:val="CommentText"/>
    <w:link w:val="CommentSubjectChar"/>
    <w:uiPriority w:val="99"/>
    <w:semiHidden/>
    <w:unhideWhenUsed/>
    <w:rsid w:val="00AA0A40"/>
    <w:rPr>
      <w:b/>
      <w:bCs/>
    </w:rPr>
  </w:style>
  <w:style w:type="character" w:customStyle="1" w:styleId="CommentSubjectChar">
    <w:name w:val="Comment Subject Char"/>
    <w:basedOn w:val="CommentTextChar"/>
    <w:link w:val="CommentSubject"/>
    <w:uiPriority w:val="99"/>
    <w:semiHidden/>
    <w:rsid w:val="00AA0A40"/>
    <w:rPr>
      <w:b/>
      <w:bCs/>
      <w:sz w:val="20"/>
      <w:szCs w:val="20"/>
    </w:rPr>
  </w:style>
  <w:style w:type="character" w:styleId="Hyperlink">
    <w:name w:val="Hyperlink"/>
    <w:basedOn w:val="DefaultParagraphFont"/>
    <w:uiPriority w:val="99"/>
    <w:unhideWhenUsed/>
    <w:rsid w:val="007C2FB5"/>
    <w:rPr>
      <w:color w:val="0000FF" w:themeColor="hyperlink"/>
      <w:u w:val="single"/>
    </w:rPr>
  </w:style>
  <w:style w:type="character" w:styleId="UnresolvedMention">
    <w:name w:val="Unresolved Mention"/>
    <w:basedOn w:val="DefaultParagraphFont"/>
    <w:uiPriority w:val="99"/>
    <w:semiHidden/>
    <w:unhideWhenUsed/>
    <w:rsid w:val="007C2FB5"/>
    <w:rPr>
      <w:color w:val="605E5C"/>
      <w:shd w:val="clear" w:color="auto" w:fill="E1DFDD"/>
    </w:rPr>
  </w:style>
  <w:style w:type="paragraph" w:styleId="Footer">
    <w:name w:val="footer"/>
    <w:basedOn w:val="Normal"/>
    <w:link w:val="FooterChar1"/>
    <w:uiPriority w:val="99"/>
    <w:rsid w:val="00EA26B5"/>
    <w:pPr>
      <w:tabs>
        <w:tab w:val="center" w:pos="4320"/>
        <w:tab w:val="right" w:pos="8640"/>
      </w:tabs>
      <w:spacing w:after="240" w:line="240" w:lineRule="auto"/>
    </w:pPr>
    <w:rPr>
      <w:rFonts w:ascii="Times New Roman" w:eastAsia="Times New Roman" w:hAnsi="Times New Roman" w:cs="Times New Roman"/>
      <w:color w:val="000000"/>
      <w:szCs w:val="20"/>
      <w:lang w:val="en-GB" w:eastAsia="zh-CN"/>
    </w:rPr>
  </w:style>
  <w:style w:type="character" w:customStyle="1" w:styleId="FooterChar">
    <w:name w:val="Footer Char"/>
    <w:basedOn w:val="DefaultParagraphFont"/>
    <w:uiPriority w:val="99"/>
    <w:semiHidden/>
    <w:rsid w:val="00EA26B5"/>
  </w:style>
  <w:style w:type="character" w:styleId="PageNumber">
    <w:name w:val="page number"/>
    <w:basedOn w:val="DefaultParagraphFont"/>
    <w:rsid w:val="00EA26B5"/>
  </w:style>
  <w:style w:type="paragraph" w:styleId="Header">
    <w:name w:val="header"/>
    <w:aliases w:val="EthylHeader"/>
    <w:basedOn w:val="Normal"/>
    <w:link w:val="HeaderChar1"/>
    <w:uiPriority w:val="99"/>
    <w:rsid w:val="00EA26B5"/>
    <w:pPr>
      <w:tabs>
        <w:tab w:val="center" w:pos="4320"/>
        <w:tab w:val="right" w:pos="8640"/>
      </w:tabs>
      <w:spacing w:after="240" w:line="240" w:lineRule="auto"/>
    </w:pPr>
    <w:rPr>
      <w:rFonts w:ascii="Times New Roman" w:eastAsia="Times New Roman" w:hAnsi="Times New Roman" w:cs="Times New Roman"/>
      <w:color w:val="000000"/>
      <w:szCs w:val="20"/>
      <w:lang w:val="en-GB" w:eastAsia="zh-CN"/>
    </w:rPr>
  </w:style>
  <w:style w:type="character" w:customStyle="1" w:styleId="HeaderChar">
    <w:name w:val="Header Char"/>
    <w:basedOn w:val="DefaultParagraphFont"/>
    <w:uiPriority w:val="99"/>
    <w:semiHidden/>
    <w:rsid w:val="00EA26B5"/>
  </w:style>
  <w:style w:type="character" w:customStyle="1" w:styleId="HeaderChar1">
    <w:name w:val="Header Char1"/>
    <w:aliases w:val="EthylHeader Char"/>
    <w:link w:val="Header"/>
    <w:uiPriority w:val="99"/>
    <w:rsid w:val="00EA26B5"/>
    <w:rPr>
      <w:rFonts w:ascii="Times New Roman" w:eastAsia="Times New Roman" w:hAnsi="Times New Roman" w:cs="Times New Roman"/>
      <w:color w:val="000000"/>
      <w:szCs w:val="20"/>
      <w:lang w:val="en-GB" w:eastAsia="zh-CN"/>
    </w:rPr>
  </w:style>
  <w:style w:type="character" w:customStyle="1" w:styleId="FooterChar1">
    <w:name w:val="Footer Char1"/>
    <w:link w:val="Footer"/>
    <w:uiPriority w:val="99"/>
    <w:rsid w:val="00EA26B5"/>
    <w:rPr>
      <w:rFonts w:ascii="Times New Roman" w:eastAsia="Times New Roman" w:hAnsi="Times New Roman" w:cs="Times New Roman"/>
      <w:color w:val="000000"/>
      <w:szCs w:val="20"/>
      <w:lang w:val="en-GB" w:eastAsia="zh-CN"/>
    </w:rPr>
  </w:style>
  <w:style w:type="paragraph" w:styleId="TOCHeading">
    <w:name w:val="TOC Heading"/>
    <w:basedOn w:val="Heading1"/>
    <w:next w:val="Normal"/>
    <w:uiPriority w:val="39"/>
    <w:unhideWhenUsed/>
    <w:qFormat/>
    <w:rsid w:val="00154C39"/>
    <w:pPr>
      <w:spacing w:before="480" w:after="0"/>
      <w:outlineLvl w:val="9"/>
    </w:pPr>
    <w:rPr>
      <w:rFonts w:asciiTheme="majorHAnsi" w:eastAsiaTheme="majorEastAsia" w:hAnsiTheme="majorHAnsi" w:cstheme="majorBidi"/>
      <w:bCs/>
      <w:color w:val="365F91" w:themeColor="accent1" w:themeShade="BF"/>
      <w:szCs w:val="28"/>
      <w:lang w:val="en-US"/>
    </w:rPr>
  </w:style>
  <w:style w:type="paragraph" w:styleId="TOC1">
    <w:name w:val="toc 1"/>
    <w:basedOn w:val="Normal"/>
    <w:next w:val="Normal"/>
    <w:autoRedefine/>
    <w:uiPriority w:val="39"/>
    <w:unhideWhenUsed/>
    <w:rsid w:val="00154C39"/>
    <w:pPr>
      <w:spacing w:before="120"/>
    </w:pPr>
    <w:rPr>
      <w:rFonts w:asciiTheme="minorHAnsi" w:hAnsiTheme="minorHAnsi"/>
      <w:b/>
      <w:bCs/>
      <w:i/>
      <w:iCs/>
      <w:sz w:val="24"/>
      <w:szCs w:val="24"/>
    </w:rPr>
  </w:style>
  <w:style w:type="paragraph" w:styleId="TOC2">
    <w:name w:val="toc 2"/>
    <w:basedOn w:val="Normal"/>
    <w:next w:val="Normal"/>
    <w:autoRedefine/>
    <w:uiPriority w:val="39"/>
    <w:unhideWhenUsed/>
    <w:rsid w:val="00154C39"/>
    <w:pPr>
      <w:spacing w:before="120"/>
      <w:ind w:left="220"/>
    </w:pPr>
    <w:rPr>
      <w:rFonts w:asciiTheme="minorHAnsi" w:hAnsiTheme="minorHAnsi"/>
      <w:b/>
      <w:bCs/>
    </w:rPr>
  </w:style>
  <w:style w:type="paragraph" w:styleId="TOC3">
    <w:name w:val="toc 3"/>
    <w:basedOn w:val="Normal"/>
    <w:next w:val="Normal"/>
    <w:autoRedefine/>
    <w:uiPriority w:val="39"/>
    <w:semiHidden/>
    <w:unhideWhenUsed/>
    <w:rsid w:val="00154C39"/>
    <w:pPr>
      <w:ind w:left="440"/>
    </w:pPr>
    <w:rPr>
      <w:rFonts w:asciiTheme="minorHAnsi" w:hAnsiTheme="minorHAnsi"/>
      <w:sz w:val="20"/>
      <w:szCs w:val="20"/>
    </w:rPr>
  </w:style>
  <w:style w:type="paragraph" w:styleId="TOC4">
    <w:name w:val="toc 4"/>
    <w:basedOn w:val="Normal"/>
    <w:next w:val="Normal"/>
    <w:autoRedefine/>
    <w:uiPriority w:val="39"/>
    <w:semiHidden/>
    <w:unhideWhenUsed/>
    <w:rsid w:val="00154C39"/>
    <w:pPr>
      <w:ind w:left="660"/>
    </w:pPr>
    <w:rPr>
      <w:rFonts w:asciiTheme="minorHAnsi" w:hAnsiTheme="minorHAnsi"/>
      <w:sz w:val="20"/>
      <w:szCs w:val="20"/>
    </w:rPr>
  </w:style>
  <w:style w:type="paragraph" w:styleId="TOC5">
    <w:name w:val="toc 5"/>
    <w:basedOn w:val="Normal"/>
    <w:next w:val="Normal"/>
    <w:autoRedefine/>
    <w:uiPriority w:val="39"/>
    <w:semiHidden/>
    <w:unhideWhenUsed/>
    <w:rsid w:val="00154C39"/>
    <w:pPr>
      <w:ind w:left="880"/>
    </w:pPr>
    <w:rPr>
      <w:rFonts w:asciiTheme="minorHAnsi" w:hAnsiTheme="minorHAnsi"/>
      <w:sz w:val="20"/>
      <w:szCs w:val="20"/>
    </w:rPr>
  </w:style>
  <w:style w:type="paragraph" w:styleId="TOC6">
    <w:name w:val="toc 6"/>
    <w:basedOn w:val="Normal"/>
    <w:next w:val="Normal"/>
    <w:autoRedefine/>
    <w:uiPriority w:val="39"/>
    <w:semiHidden/>
    <w:unhideWhenUsed/>
    <w:rsid w:val="00154C39"/>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154C39"/>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154C39"/>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154C39"/>
    <w:pPr>
      <w:ind w:left="1760"/>
    </w:pPr>
    <w:rPr>
      <w:rFonts w:asciiTheme="minorHAnsi" w:hAnsiTheme="minorHAnsi"/>
      <w:sz w:val="20"/>
      <w:szCs w:val="20"/>
    </w:rPr>
  </w:style>
  <w:style w:type="character" w:customStyle="1" w:styleId="normaltextrun">
    <w:name w:val="normaltextrun"/>
    <w:basedOn w:val="DefaultParagraphFont"/>
    <w:rsid w:val="00183BE9"/>
  </w:style>
  <w:style w:type="character" w:customStyle="1" w:styleId="eop">
    <w:name w:val="eop"/>
    <w:basedOn w:val="DefaultParagraphFont"/>
    <w:rsid w:val="00183BE9"/>
  </w:style>
  <w:style w:type="paragraph" w:styleId="Revision">
    <w:name w:val="Revision"/>
    <w:hidden/>
    <w:uiPriority w:val="99"/>
    <w:semiHidden/>
    <w:rsid w:val="00436918"/>
    <w:pPr>
      <w:spacing w:line="240" w:lineRule="auto"/>
    </w:pPr>
  </w:style>
  <w:style w:type="paragraph" w:styleId="ListParagraph">
    <w:name w:val="List Paragraph"/>
    <w:basedOn w:val="Normal"/>
    <w:uiPriority w:val="34"/>
    <w:qFormat/>
    <w:rsid w:val="000331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4.png"/><Relationship Id="rId39" Type="http://schemas.openxmlformats.org/officeDocument/2006/relationships/hyperlink" Target="https://www.multilateralfund.org/api/drupal-documents/download/file/d9de4464-f1cf-4bb9-9ec9-bda022dbe581?filename=8474ri.pdf" TargetMode="External"/><Relationship Id="rId21" Type="http://schemas.openxmlformats.org/officeDocument/2006/relationships/footer" Target="footer5.xml"/><Relationship Id="rId34" Type="http://schemas.openxmlformats.org/officeDocument/2006/relationships/hyperlink" Target="https://doi.org/10.1038/s41467-019-13899-4" TargetMode="External"/><Relationship Id="rId42" Type="http://schemas.openxmlformats.org/officeDocument/2006/relationships/hyperlink" Target="https://di.unfccc.int/flex_annex1" TargetMode="External"/><Relationship Id="rId47" Type="http://schemas.openxmlformats.org/officeDocument/2006/relationships/hyperlink" Target="https://unfccc.int/documents/646590"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7.png"/><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yperlink" Target="https://assets.publishing.service.gov.uk/media/62d7b9bee90e071e7e59c97e/verification-uk-greenhouse-gas-emissions-using-atmospheric-observations-annual-report-2021.pdf" TargetMode="External"/><Relationship Id="rId37" Type="http://schemas.openxmlformats.org/officeDocument/2006/relationships/hyperlink" Target="https://www.multilateralfund.org/api/drupal-documents/download/file/bf95e959-8d1c-4c51-a272-6067c595bf7b?filename=8268c1.pdf" TargetMode="External"/><Relationship Id="rId40" Type="http://schemas.openxmlformats.org/officeDocument/2006/relationships/hyperlink" Target="https://www.multilateralfund.org/api/drupal-documents/download/file/42701818-11fe-430d-8437-8044eba552fc?filename=9171ri.pdf" TargetMode="External"/><Relationship Id="rId45" Type="http://schemas.openxmlformats.org/officeDocument/2006/relationships/hyperlink" Target="https://di.unfccc.int/flex_non_annex1"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image" Target="media/image6.png"/><Relationship Id="rId36" Type="http://schemas.openxmlformats.org/officeDocument/2006/relationships/hyperlink" Target="https://www.multilateralfund.org/api/drupal-documents/download/file/f2afb7a1-99bc-4856-b69b-71107139b9d8?filename=8268.pdf" TargetMode="Externa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yperlink" Target="https://assets.publishing.service.gov.uk/media/62d7b9bee90e071e7e59c97e/verification-uk-greenhouse-gas-emissions-using-atmospheric-observations-annual-report-2021.pdf" TargetMode="External"/><Relationship Id="rId44" Type="http://schemas.openxmlformats.org/officeDocument/2006/relationships/hyperlink" Target="https://di.unfccc.int/flex_non_annex1"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hyperlink" Target="https://www.multilateralfund.org/api/drupal-documents/download/file/c10263d8-f57f-4148-b980-e51b9aa3cb05?filename=7411.pdf" TargetMode="External"/><Relationship Id="rId43" Type="http://schemas.openxmlformats.org/officeDocument/2006/relationships/hyperlink" Target="https://di.unfccc.int/flex_annex1" TargetMode="External"/><Relationship Id="rId48" Type="http://schemas.openxmlformats.org/officeDocument/2006/relationships/hyperlink" Target="https://doi.org/10.1021/acs.est.3c00695" TargetMode="Externa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image" Target="media/image3.png"/><Relationship Id="rId33" Type="http://schemas.openxmlformats.org/officeDocument/2006/relationships/hyperlink" Target="https://doi.org/10.1038/s41586-024-07833-y" TargetMode="External"/><Relationship Id="rId38" Type="http://schemas.openxmlformats.org/officeDocument/2006/relationships/hyperlink" Target="http://multilateralfund.org/84/English/1/8474ri.pdf" TargetMode="External"/><Relationship Id="rId46" Type="http://schemas.openxmlformats.org/officeDocument/2006/relationships/hyperlink" Target="https://unfccc.int/documents/646507" TargetMode="External"/><Relationship Id="rId20" Type="http://schemas.openxmlformats.org/officeDocument/2006/relationships/header" Target="header8.xml"/><Relationship Id="rId41" Type="http://schemas.openxmlformats.org/officeDocument/2006/relationships/hyperlink" Target="https://unfccc.int/documents/64659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F9C05-49CB-4BC1-86E6-4D9B5C94A129}">
  <ds:schemaRefs>
    <ds:schemaRef ds:uri="http://schemas.openxmlformats.org/officeDocument/2006/bibliography"/>
  </ds:schemaRefs>
</ds:datastoreItem>
</file>

<file path=docMetadata/LabelInfo.xml><?xml version="1.0" encoding="utf-8"?>
<clbl:labelList xmlns:clbl="http://schemas.microsoft.com/office/2020/mipLabelMetadata">
  <clbl:label id="{0f9e35db-544f-4f60-bdcc-5ea416e6dc70}" enabled="0" method="" siteId="{0f9e35db-544f-4f60-bdcc-5ea416e6dc70}" removed="1"/>
</clbl:labelList>
</file>

<file path=docProps/app.xml><?xml version="1.0" encoding="utf-8"?>
<Properties xmlns="http://schemas.openxmlformats.org/officeDocument/2006/extended-properties" xmlns:vt="http://schemas.openxmlformats.org/officeDocument/2006/docPropsVTypes">
  <Template>Normal</Template>
  <TotalTime>12</TotalTime>
  <Pages>32</Pages>
  <Words>9653</Words>
  <Characters>55028</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 Montzka</dc:creator>
  <cp:lastModifiedBy>Judy Ngungi</cp:lastModifiedBy>
  <cp:revision>8</cp:revision>
  <cp:lastPrinted>2025-09-22T10:16:00Z</cp:lastPrinted>
  <dcterms:created xsi:type="dcterms:W3CDTF">2025-09-22T08:29:00Z</dcterms:created>
  <dcterms:modified xsi:type="dcterms:W3CDTF">2025-09-22T10:17:00Z</dcterms:modified>
</cp:coreProperties>
</file>