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3F4CC7" w14:textId="70713BC4" w:rsidR="00A4676F" w:rsidRPr="009D6AB1" w:rsidRDefault="00A4676F" w:rsidP="00030657">
      <w:pPr>
        <w:jc w:val="right"/>
        <w:rPr>
          <w:i/>
        </w:rPr>
      </w:pPr>
      <w:bookmarkStart w:id="0" w:name="_GoBack"/>
      <w:bookmarkEnd w:id="0"/>
      <w:r w:rsidRPr="009D6AB1">
        <w:rPr>
          <w:i/>
        </w:rPr>
        <w:t>4.11.2015</w:t>
      </w:r>
    </w:p>
    <w:p w14:paraId="256283B3" w14:textId="77777777" w:rsidR="00BF6E34" w:rsidRPr="009D6AB1" w:rsidRDefault="007B615F" w:rsidP="00030657">
      <w:pPr>
        <w:rPr>
          <w:b/>
          <w:sz w:val="28"/>
          <w:szCs w:val="28"/>
        </w:rPr>
      </w:pPr>
      <w:r w:rsidRPr="009D6AB1">
        <w:rPr>
          <w:b/>
          <w:sz w:val="28"/>
          <w:szCs w:val="28"/>
        </w:rPr>
        <w:t>Flexibility in implementation</w:t>
      </w:r>
    </w:p>
    <w:p w14:paraId="4F6320BA" w14:textId="77777777" w:rsidR="007B615F" w:rsidRPr="008B582D" w:rsidRDefault="007B615F" w:rsidP="00030657">
      <w:pPr>
        <w:rPr>
          <w:sz w:val="16"/>
          <w:szCs w:val="16"/>
        </w:rPr>
      </w:pPr>
    </w:p>
    <w:p w14:paraId="28EB60FB" w14:textId="65D1E929" w:rsidR="007B615F" w:rsidRPr="009D6AB1" w:rsidRDefault="00A45079" w:rsidP="00030657">
      <w:pPr>
        <w:rPr>
          <w:rFonts w:asciiTheme="majorHAnsi" w:hAnsiTheme="majorHAnsi"/>
          <w:b/>
          <w:color w:val="1F497D" w:themeColor="text2"/>
        </w:rPr>
      </w:pPr>
      <w:r w:rsidRPr="009D6AB1">
        <w:rPr>
          <w:rFonts w:asciiTheme="majorHAnsi" w:hAnsiTheme="majorHAnsi"/>
          <w:b/>
          <w:color w:val="1F497D" w:themeColor="text2"/>
        </w:rPr>
        <w:t>Key issues addressed by parties</w:t>
      </w:r>
    </w:p>
    <w:p w14:paraId="68F435C1" w14:textId="77777777" w:rsidR="007B615F" w:rsidRPr="00DD5944" w:rsidRDefault="007B615F" w:rsidP="00030657">
      <w:pPr>
        <w:rPr>
          <w:rFonts w:asciiTheme="majorHAnsi" w:hAnsiTheme="majorHAnsi"/>
          <w:sz w:val="12"/>
          <w:szCs w:val="12"/>
        </w:rPr>
      </w:pPr>
    </w:p>
    <w:p w14:paraId="7CD0852C" w14:textId="2313B134" w:rsidR="00092651" w:rsidRPr="00092651" w:rsidRDefault="00A45079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Country-driven approach</w:t>
      </w:r>
    </w:p>
    <w:p w14:paraId="47666003" w14:textId="55908712" w:rsidR="00A45079" w:rsidRDefault="00A45079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Exemptions</w:t>
      </w:r>
      <w:r w:rsidR="00A4676F">
        <w:rPr>
          <w:rFonts w:asciiTheme="majorHAnsi" w:hAnsiTheme="majorHAnsi" w:cs="Arial"/>
        </w:rPr>
        <w:t xml:space="preserve"> </w:t>
      </w:r>
    </w:p>
    <w:p w14:paraId="2EDBBD9F" w14:textId="4BF735A5" w:rsidR="00A45079" w:rsidRDefault="00A45079" w:rsidP="00030657">
      <w:pPr>
        <w:pStyle w:val="ListParagraph"/>
        <w:numPr>
          <w:ilvl w:val="1"/>
          <w:numId w:val="3"/>
        </w:num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Basket of HCFCs/HFCs</w:t>
      </w:r>
    </w:p>
    <w:p w14:paraId="710445D0" w14:textId="153C53EF" w:rsidR="00A45079" w:rsidRDefault="00682515" w:rsidP="00030657">
      <w:pPr>
        <w:pStyle w:val="ListParagraph"/>
        <w:numPr>
          <w:ilvl w:val="1"/>
          <w:numId w:val="3"/>
        </w:numPr>
        <w:spacing w:after="0" w:line="240" w:lineRule="auto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Phase-</w:t>
      </w:r>
      <w:r w:rsidR="00A45079">
        <w:rPr>
          <w:rFonts w:asciiTheme="majorHAnsi" w:hAnsiTheme="majorHAnsi" w:cs="Arial"/>
        </w:rPr>
        <w:t>down instead of phase-out</w:t>
      </w:r>
    </w:p>
    <w:p w14:paraId="49955460" w14:textId="77777777" w:rsidR="00030657" w:rsidRDefault="00A45079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Cost effectiveness </w:t>
      </w:r>
    </w:p>
    <w:p w14:paraId="0D77E8B7" w14:textId="00D2C404" w:rsidR="00A45079" w:rsidRPr="00030657" w:rsidRDefault="00A54C63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 w:rsidRPr="00030657">
        <w:rPr>
          <w:rFonts w:asciiTheme="majorHAnsi" w:hAnsiTheme="majorHAnsi" w:cs="Arial"/>
        </w:rPr>
        <w:t>Servicing sector</w:t>
      </w:r>
    </w:p>
    <w:p w14:paraId="0BF2C8FF" w14:textId="1F23EC93" w:rsidR="007D35DE" w:rsidRDefault="007D35DE" w:rsidP="00030657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90" w:firstLine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Volumetric analysis of HFCs used by countries </w:t>
      </w:r>
    </w:p>
    <w:p w14:paraId="28BFD16D" w14:textId="26DE8971" w:rsidR="001A4DBA" w:rsidRDefault="00117B00" w:rsidP="00030657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90" w:firstLine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Capacity-building</w:t>
      </w:r>
    </w:p>
    <w:p w14:paraId="672A2EDC" w14:textId="77777777" w:rsidR="00030657" w:rsidRDefault="00A4676F" w:rsidP="00030657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90" w:firstLine="0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MOP / </w:t>
      </w:r>
      <w:proofErr w:type="spellStart"/>
      <w:r>
        <w:rPr>
          <w:rFonts w:asciiTheme="majorHAnsi" w:hAnsiTheme="majorHAnsi" w:cs="Arial"/>
        </w:rPr>
        <w:t>ExCom</w:t>
      </w:r>
      <w:proofErr w:type="spellEnd"/>
      <w:r>
        <w:rPr>
          <w:rFonts w:asciiTheme="majorHAnsi" w:hAnsiTheme="majorHAnsi" w:cs="Arial"/>
        </w:rPr>
        <w:t xml:space="preserve">  </w:t>
      </w:r>
    </w:p>
    <w:p w14:paraId="0B6E6626" w14:textId="77777777" w:rsidR="00030657" w:rsidRPr="00030657" w:rsidRDefault="00030657" w:rsidP="00030657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90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0657">
        <w:rPr>
          <w:rFonts w:ascii="Calibri" w:eastAsia="Times New Roman" w:hAnsi="Calibri" w:cs="Times New Roman"/>
        </w:rPr>
        <w:t xml:space="preserve">Need for the </w:t>
      </w:r>
      <w:proofErr w:type="spellStart"/>
      <w:r w:rsidRPr="00030657">
        <w:rPr>
          <w:rFonts w:ascii="Calibri" w:eastAsia="Times New Roman" w:hAnsi="Calibri" w:cs="Times New Roman"/>
        </w:rPr>
        <w:t>ExCom</w:t>
      </w:r>
      <w:proofErr w:type="spellEnd"/>
      <w:r w:rsidRPr="00030657">
        <w:rPr>
          <w:rFonts w:ascii="Calibri" w:eastAsia="Times New Roman" w:hAnsi="Calibri" w:cs="Times New Roman"/>
        </w:rPr>
        <w:t xml:space="preserve"> to quickly develop guidelines for the production sector</w:t>
      </w:r>
    </w:p>
    <w:p w14:paraId="0F029F84" w14:textId="77777777" w:rsidR="00030657" w:rsidRPr="00030657" w:rsidRDefault="00030657" w:rsidP="00030657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90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0657">
        <w:rPr>
          <w:rFonts w:ascii="Calibri" w:eastAsia="Times New Roman" w:hAnsi="Calibri" w:cs="Times New Roman"/>
        </w:rPr>
        <w:t>Need for alternatives to be available in-country</w:t>
      </w:r>
    </w:p>
    <w:p w14:paraId="0C886227" w14:textId="72AE543B" w:rsidR="00030657" w:rsidRPr="00030657" w:rsidRDefault="00030657" w:rsidP="00030657">
      <w:pPr>
        <w:pStyle w:val="ListParagraph"/>
        <w:numPr>
          <w:ilvl w:val="0"/>
          <w:numId w:val="3"/>
        </w:numPr>
        <w:tabs>
          <w:tab w:val="left" w:pos="450"/>
        </w:tabs>
        <w:spacing w:after="0" w:line="240" w:lineRule="auto"/>
        <w:ind w:left="90" w:firstLine="0"/>
        <w:rPr>
          <w:rFonts w:ascii="Times New Roman" w:eastAsia="Times New Roman" w:hAnsi="Times New Roman" w:cs="Times New Roman"/>
          <w:sz w:val="24"/>
          <w:szCs w:val="24"/>
        </w:rPr>
      </w:pPr>
      <w:r w:rsidRPr="00030657">
        <w:rPr>
          <w:rFonts w:ascii="Calibri" w:eastAsia="Times New Roman" w:hAnsi="Calibri" w:cs="Times New Roman"/>
        </w:rPr>
        <w:t>Niche sectors, such as marine need to be addressed.</w:t>
      </w:r>
    </w:p>
    <w:p w14:paraId="4B921DB3" w14:textId="62BE4D2C" w:rsidR="00A4676F" w:rsidRPr="00030657" w:rsidRDefault="00A4676F" w:rsidP="00030657">
      <w:pPr>
        <w:pStyle w:val="ListParagraph"/>
        <w:spacing w:after="0" w:line="240" w:lineRule="auto"/>
        <w:ind w:left="90"/>
        <w:rPr>
          <w:rFonts w:asciiTheme="majorHAnsi" w:hAnsiTheme="majorHAnsi" w:cs="Arial"/>
        </w:rPr>
      </w:pPr>
    </w:p>
    <w:p w14:paraId="6F976B13" w14:textId="77777777" w:rsidR="00F5301F" w:rsidRPr="008B582D" w:rsidRDefault="00F5301F" w:rsidP="00030657">
      <w:pPr>
        <w:rPr>
          <w:rFonts w:asciiTheme="majorHAnsi" w:hAnsiTheme="majorHAnsi" w:cs="Arial"/>
          <w:sz w:val="16"/>
          <w:szCs w:val="16"/>
        </w:rPr>
      </w:pPr>
    </w:p>
    <w:p w14:paraId="6A17DD58" w14:textId="6BE197B8" w:rsidR="000F304C" w:rsidRPr="009D6AB1" w:rsidRDefault="00A45079" w:rsidP="00030657">
      <w:pPr>
        <w:rPr>
          <w:rFonts w:asciiTheme="majorHAnsi" w:hAnsiTheme="majorHAnsi" w:cs="Arial"/>
          <w:b/>
          <w:color w:val="1F497D" w:themeColor="text2"/>
        </w:rPr>
      </w:pPr>
      <w:r w:rsidRPr="009D6AB1">
        <w:rPr>
          <w:rFonts w:asciiTheme="majorHAnsi" w:hAnsiTheme="majorHAnsi" w:cs="Arial"/>
          <w:b/>
          <w:color w:val="1F497D" w:themeColor="text2"/>
        </w:rPr>
        <w:t>Possible solutions suggested</w:t>
      </w:r>
      <w:r w:rsidR="000F304C" w:rsidRPr="009D6AB1">
        <w:rPr>
          <w:rFonts w:asciiTheme="majorHAnsi" w:hAnsiTheme="majorHAnsi" w:cs="Arial"/>
          <w:b/>
          <w:color w:val="1F497D" w:themeColor="text2"/>
        </w:rPr>
        <w:t xml:space="preserve"> by parties</w:t>
      </w:r>
      <w:r w:rsidRPr="009D6AB1">
        <w:rPr>
          <w:rFonts w:asciiTheme="majorHAnsi" w:hAnsiTheme="majorHAnsi" w:cs="Arial"/>
          <w:b/>
          <w:color w:val="1F497D" w:themeColor="text2"/>
        </w:rPr>
        <w:t>/</w:t>
      </w:r>
      <w:r w:rsidR="009341DF" w:rsidRPr="009D6AB1">
        <w:rPr>
          <w:rFonts w:asciiTheme="majorHAnsi" w:hAnsiTheme="majorHAnsi" w:cs="Arial"/>
          <w:b/>
          <w:color w:val="1F497D" w:themeColor="text2"/>
        </w:rPr>
        <w:t>Suggestions by part</w:t>
      </w:r>
      <w:r w:rsidR="006F4CB3" w:rsidRPr="009D6AB1">
        <w:rPr>
          <w:rFonts w:asciiTheme="majorHAnsi" w:hAnsiTheme="majorHAnsi" w:cs="Arial"/>
          <w:b/>
          <w:color w:val="1F497D" w:themeColor="text2"/>
        </w:rPr>
        <w:t>i</w:t>
      </w:r>
      <w:r w:rsidR="009341DF" w:rsidRPr="009D6AB1">
        <w:rPr>
          <w:rFonts w:asciiTheme="majorHAnsi" w:hAnsiTheme="majorHAnsi" w:cs="Arial"/>
          <w:b/>
          <w:color w:val="1F497D" w:themeColor="text2"/>
        </w:rPr>
        <w:t>es</w:t>
      </w:r>
    </w:p>
    <w:p w14:paraId="3093689D" w14:textId="77777777" w:rsidR="007B615F" w:rsidRPr="00DD5944" w:rsidRDefault="007B615F" w:rsidP="00030657">
      <w:pPr>
        <w:rPr>
          <w:rFonts w:asciiTheme="majorHAnsi" w:hAnsiTheme="majorHAnsi"/>
          <w:sz w:val="12"/>
          <w:szCs w:val="12"/>
        </w:rPr>
      </w:pPr>
    </w:p>
    <w:p w14:paraId="022C10F9" w14:textId="3DF5F010" w:rsidR="009F4739" w:rsidRDefault="00A044C0" w:rsidP="00030657">
      <w:pPr>
        <w:pStyle w:val="ListParagraph"/>
        <w:numPr>
          <w:ilvl w:val="0"/>
          <w:numId w:val="4"/>
        </w:numPr>
        <w:spacing w:after="0" w:line="240" w:lineRule="auto"/>
        <w:ind w:left="425" w:hanging="357"/>
        <w:rPr>
          <w:rFonts w:asciiTheme="majorHAnsi" w:hAnsiTheme="majorHAnsi" w:cs="Arial"/>
        </w:rPr>
      </w:pPr>
      <w:r w:rsidRPr="00A044C0">
        <w:rPr>
          <w:rFonts w:asciiTheme="majorHAnsi" w:hAnsiTheme="majorHAnsi" w:cs="Arial"/>
        </w:rPr>
        <w:t>Flexibility under the Executive Committee – le</w:t>
      </w:r>
      <w:r w:rsidR="00F5301F">
        <w:rPr>
          <w:rFonts w:asciiTheme="majorHAnsi" w:hAnsiTheme="majorHAnsi" w:cs="Arial"/>
        </w:rPr>
        <w:t xml:space="preserve">arn from past lessons from </w:t>
      </w:r>
      <w:r w:rsidRPr="00A044C0">
        <w:rPr>
          <w:rFonts w:asciiTheme="majorHAnsi" w:hAnsiTheme="majorHAnsi" w:cs="Arial"/>
        </w:rPr>
        <w:t>deal</w:t>
      </w:r>
      <w:r w:rsidR="00F5301F">
        <w:rPr>
          <w:rFonts w:asciiTheme="majorHAnsi" w:hAnsiTheme="majorHAnsi" w:cs="Arial"/>
        </w:rPr>
        <w:t>ing</w:t>
      </w:r>
      <w:r w:rsidRPr="00A044C0">
        <w:rPr>
          <w:rFonts w:asciiTheme="majorHAnsi" w:hAnsiTheme="majorHAnsi" w:cs="Arial"/>
        </w:rPr>
        <w:t xml:space="preserve"> with ODS</w:t>
      </w:r>
      <w:r w:rsidR="00092651">
        <w:rPr>
          <w:rFonts w:asciiTheme="majorHAnsi" w:hAnsiTheme="majorHAnsi" w:cs="Arial"/>
        </w:rPr>
        <w:t xml:space="preserve">; </w:t>
      </w:r>
      <w:r w:rsidR="008B582D">
        <w:rPr>
          <w:rFonts w:asciiTheme="majorHAnsi" w:hAnsiTheme="majorHAnsi" w:cs="Arial"/>
        </w:rPr>
        <w:t>A</w:t>
      </w:r>
      <w:r w:rsidR="00092651" w:rsidRPr="00092651">
        <w:rPr>
          <w:rFonts w:asciiTheme="majorHAnsi" w:hAnsiTheme="majorHAnsi" w:cs="Arial"/>
        </w:rPr>
        <w:t xml:space="preserve">ll important issues should be dealt with in any amendment and related decisions </w:t>
      </w:r>
      <w:r w:rsidR="00A4676F">
        <w:rPr>
          <w:rFonts w:asciiTheme="majorHAnsi" w:hAnsiTheme="majorHAnsi" w:cs="Arial"/>
        </w:rPr>
        <w:t xml:space="preserve">at the Meeting of the Parties </w:t>
      </w:r>
      <w:r w:rsidR="00092651" w:rsidRPr="00092651">
        <w:rPr>
          <w:rFonts w:asciiTheme="majorHAnsi" w:hAnsiTheme="majorHAnsi" w:cs="Arial"/>
        </w:rPr>
        <w:t>and not left to the Ex</w:t>
      </w:r>
      <w:r w:rsidR="008B582D">
        <w:rPr>
          <w:rFonts w:asciiTheme="majorHAnsi" w:hAnsiTheme="majorHAnsi" w:cs="Arial"/>
        </w:rPr>
        <w:t>ecutive Committee;</w:t>
      </w:r>
    </w:p>
    <w:p w14:paraId="7C860035" w14:textId="77777777" w:rsidR="008B582D" w:rsidRPr="008B582D" w:rsidRDefault="008B582D" w:rsidP="00030657">
      <w:pPr>
        <w:pStyle w:val="ListParagraph"/>
        <w:spacing w:after="0" w:line="240" w:lineRule="auto"/>
        <w:ind w:left="425"/>
        <w:rPr>
          <w:rFonts w:asciiTheme="majorHAnsi" w:hAnsiTheme="majorHAnsi" w:cs="Arial"/>
          <w:sz w:val="8"/>
          <w:szCs w:val="8"/>
        </w:rPr>
      </w:pPr>
    </w:p>
    <w:p w14:paraId="2FB29102" w14:textId="28FB7BEE" w:rsidR="008B582D" w:rsidRDefault="0015226C" w:rsidP="00030657">
      <w:pPr>
        <w:pStyle w:val="ListParagraph"/>
        <w:numPr>
          <w:ilvl w:val="0"/>
          <w:numId w:val="4"/>
        </w:numPr>
        <w:spacing w:after="0" w:line="240" w:lineRule="auto"/>
        <w:ind w:left="425" w:hanging="357"/>
        <w:rPr>
          <w:rFonts w:asciiTheme="majorHAnsi" w:hAnsiTheme="majorHAnsi" w:cs="Arial"/>
        </w:rPr>
      </w:pPr>
      <w:r w:rsidRPr="0015226C">
        <w:rPr>
          <w:rFonts w:asciiTheme="majorHAnsi" w:hAnsiTheme="majorHAnsi" w:cs="Arial"/>
        </w:rPr>
        <w:t xml:space="preserve">Flexibility of implementation </w:t>
      </w:r>
      <w:r w:rsidR="00B07F2B">
        <w:rPr>
          <w:rFonts w:asciiTheme="majorHAnsi" w:hAnsiTheme="majorHAnsi" w:cs="Arial"/>
        </w:rPr>
        <w:t>means country</w:t>
      </w:r>
      <w:r w:rsidR="008B582D">
        <w:rPr>
          <w:rFonts w:asciiTheme="majorHAnsi" w:hAnsiTheme="majorHAnsi" w:cs="Arial"/>
        </w:rPr>
        <w:t>-</w:t>
      </w:r>
      <w:r w:rsidR="00B07F2B">
        <w:rPr>
          <w:rFonts w:asciiTheme="majorHAnsi" w:hAnsiTheme="majorHAnsi" w:cs="Arial"/>
        </w:rPr>
        <w:t xml:space="preserve">driven implementation </w:t>
      </w:r>
      <w:r w:rsidRPr="0015226C">
        <w:rPr>
          <w:rFonts w:asciiTheme="majorHAnsi" w:hAnsiTheme="majorHAnsi" w:cs="Arial"/>
        </w:rPr>
        <w:t>that enables countries to set their own strategies</w:t>
      </w:r>
      <w:r w:rsidR="00A10B98">
        <w:rPr>
          <w:rFonts w:asciiTheme="majorHAnsi" w:hAnsiTheme="majorHAnsi" w:cs="Arial"/>
        </w:rPr>
        <w:t xml:space="preserve">, </w:t>
      </w:r>
      <w:r w:rsidR="00B07F2B">
        <w:rPr>
          <w:rFonts w:asciiTheme="majorHAnsi" w:hAnsiTheme="majorHAnsi" w:cs="Arial"/>
        </w:rPr>
        <w:t xml:space="preserve">including with regard to timing, </w:t>
      </w:r>
      <w:r w:rsidR="00A10B98">
        <w:rPr>
          <w:rFonts w:asciiTheme="majorHAnsi" w:hAnsiTheme="majorHAnsi" w:cs="Arial"/>
        </w:rPr>
        <w:t>prioritizing</w:t>
      </w:r>
      <w:r w:rsidRPr="0015226C">
        <w:rPr>
          <w:rFonts w:asciiTheme="majorHAnsi" w:hAnsiTheme="majorHAnsi" w:cs="Arial"/>
        </w:rPr>
        <w:t xml:space="preserve"> sectors</w:t>
      </w:r>
      <w:r w:rsidR="00B108C5">
        <w:rPr>
          <w:rFonts w:asciiTheme="majorHAnsi" w:hAnsiTheme="majorHAnsi" w:cs="Arial"/>
        </w:rPr>
        <w:t xml:space="preserve"> and</w:t>
      </w:r>
      <w:r w:rsidR="00A10B98">
        <w:rPr>
          <w:rFonts w:asciiTheme="majorHAnsi" w:hAnsiTheme="majorHAnsi" w:cs="Arial"/>
        </w:rPr>
        <w:t xml:space="preserve"> choosing</w:t>
      </w:r>
      <w:r w:rsidR="00B95EB2">
        <w:rPr>
          <w:rFonts w:asciiTheme="majorHAnsi" w:hAnsiTheme="majorHAnsi" w:cs="Arial"/>
        </w:rPr>
        <w:t xml:space="preserve"> substances</w:t>
      </w:r>
      <w:r w:rsidRPr="0015226C">
        <w:rPr>
          <w:rFonts w:asciiTheme="majorHAnsi" w:hAnsiTheme="majorHAnsi" w:cs="Arial"/>
        </w:rPr>
        <w:t xml:space="preserve"> </w:t>
      </w:r>
      <w:r w:rsidR="00B95EB2">
        <w:rPr>
          <w:rFonts w:asciiTheme="majorHAnsi" w:hAnsiTheme="majorHAnsi" w:cs="Arial"/>
        </w:rPr>
        <w:t xml:space="preserve">and </w:t>
      </w:r>
      <w:r w:rsidRPr="0015226C">
        <w:rPr>
          <w:rFonts w:asciiTheme="majorHAnsi" w:hAnsiTheme="majorHAnsi" w:cs="Arial"/>
        </w:rPr>
        <w:t>technologies in the light of their national circumstances</w:t>
      </w:r>
      <w:r w:rsidR="008B582D">
        <w:rPr>
          <w:rFonts w:asciiTheme="majorHAnsi" w:hAnsiTheme="majorHAnsi" w:cs="Arial"/>
        </w:rPr>
        <w:t>;</w:t>
      </w:r>
      <w:r w:rsidRPr="0015226C">
        <w:rPr>
          <w:rFonts w:asciiTheme="majorHAnsi" w:hAnsiTheme="majorHAnsi" w:cs="Arial"/>
        </w:rPr>
        <w:t xml:space="preserve"> </w:t>
      </w:r>
    </w:p>
    <w:p w14:paraId="52CE1361" w14:textId="77777777" w:rsidR="008B582D" w:rsidRPr="008B582D" w:rsidRDefault="008B582D" w:rsidP="00030657">
      <w:pPr>
        <w:rPr>
          <w:rFonts w:asciiTheme="majorHAnsi" w:hAnsiTheme="majorHAnsi" w:cs="Arial"/>
          <w:sz w:val="8"/>
          <w:szCs w:val="8"/>
        </w:rPr>
      </w:pPr>
    </w:p>
    <w:p w14:paraId="5DA1F86B" w14:textId="780737F2" w:rsidR="00D80271" w:rsidRDefault="00D80271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HFC surveys are needed to enable countries to design strategies suitable to their national circumstances</w:t>
      </w:r>
      <w:r w:rsidR="008B582D">
        <w:rPr>
          <w:rFonts w:asciiTheme="majorHAnsi" w:hAnsiTheme="majorHAnsi" w:cs="Arial"/>
        </w:rPr>
        <w:t>;</w:t>
      </w:r>
    </w:p>
    <w:p w14:paraId="1BBE238A" w14:textId="77777777" w:rsidR="008B582D" w:rsidRPr="008B582D" w:rsidRDefault="008B582D" w:rsidP="00030657">
      <w:pPr>
        <w:rPr>
          <w:rFonts w:asciiTheme="majorHAnsi" w:hAnsiTheme="majorHAnsi" w:cs="Arial"/>
          <w:sz w:val="8"/>
          <w:szCs w:val="8"/>
        </w:rPr>
      </w:pPr>
    </w:p>
    <w:p w14:paraId="0CE357C9" w14:textId="3CADE99F" w:rsidR="005F760C" w:rsidRPr="00F22C17" w:rsidRDefault="0085584B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Exemptions should be provided to allow for flexibility in implementation</w:t>
      </w:r>
      <w:r w:rsidR="008B582D">
        <w:rPr>
          <w:rFonts w:asciiTheme="majorHAnsi" w:hAnsiTheme="majorHAnsi" w:cs="Arial"/>
        </w:rPr>
        <w:t>;</w:t>
      </w:r>
      <w:r w:rsidR="00556D9A">
        <w:rPr>
          <w:rFonts w:asciiTheme="majorHAnsi" w:hAnsiTheme="majorHAnsi" w:cs="Arial"/>
        </w:rPr>
        <w:t xml:space="preserve"> </w:t>
      </w:r>
      <w:r w:rsidR="005F760C">
        <w:rPr>
          <w:rFonts w:asciiTheme="majorHAnsi" w:hAnsiTheme="majorHAnsi" w:cs="Arial"/>
        </w:rPr>
        <w:t>They:</w:t>
      </w:r>
    </w:p>
    <w:p w14:paraId="21A874B6" w14:textId="77777777" w:rsidR="00F22C17" w:rsidRDefault="005F760C" w:rsidP="00030657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Theme="majorHAnsi" w:hAnsiTheme="majorHAnsi" w:cs="Arial"/>
        </w:rPr>
      </w:pPr>
      <w:r w:rsidRPr="00F22C17">
        <w:rPr>
          <w:rFonts w:asciiTheme="majorHAnsi" w:hAnsiTheme="majorHAnsi" w:cs="Arial"/>
        </w:rPr>
        <w:t>S</w:t>
      </w:r>
      <w:r w:rsidR="00556D9A" w:rsidRPr="00F22C17">
        <w:rPr>
          <w:rFonts w:asciiTheme="majorHAnsi" w:hAnsiTheme="majorHAnsi" w:cs="Arial"/>
        </w:rPr>
        <w:t>hould build on experience under the Montreal Protocol</w:t>
      </w:r>
      <w:r w:rsidRPr="00F22C17">
        <w:rPr>
          <w:rFonts w:asciiTheme="majorHAnsi" w:hAnsiTheme="majorHAnsi" w:cs="Arial"/>
        </w:rPr>
        <w:t xml:space="preserve">; </w:t>
      </w:r>
    </w:p>
    <w:p w14:paraId="006D0F00" w14:textId="77777777" w:rsidR="00F22C17" w:rsidRDefault="005F760C" w:rsidP="00030657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Theme="majorHAnsi" w:hAnsiTheme="majorHAnsi" w:cs="Arial"/>
        </w:rPr>
      </w:pPr>
      <w:r w:rsidRPr="00F22C17">
        <w:rPr>
          <w:rFonts w:asciiTheme="majorHAnsi" w:hAnsiTheme="majorHAnsi" w:cs="Arial"/>
        </w:rPr>
        <w:t>M</w:t>
      </w:r>
      <w:r w:rsidR="00556D9A" w:rsidRPr="00F22C17">
        <w:rPr>
          <w:rFonts w:asciiTheme="majorHAnsi" w:hAnsiTheme="majorHAnsi" w:cs="Arial"/>
        </w:rPr>
        <w:t>ay be subject to periodic review along the lines of quadrennial assessments;</w:t>
      </w:r>
    </w:p>
    <w:p w14:paraId="0487D0A3" w14:textId="77777777" w:rsidR="00F22C17" w:rsidRPr="00F22C17" w:rsidRDefault="005F760C" w:rsidP="00030657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Theme="majorHAnsi" w:hAnsiTheme="majorHAnsi" w:cs="Arial"/>
        </w:rPr>
      </w:pPr>
      <w:r w:rsidRPr="003F3802">
        <w:t>S</w:t>
      </w:r>
      <w:r w:rsidR="00210079" w:rsidRPr="003F3802">
        <w:t>hould be linked to economic or technical need</w:t>
      </w:r>
      <w:r w:rsidR="003F3802">
        <w:t>;</w:t>
      </w:r>
    </w:p>
    <w:p w14:paraId="57A84B6E" w14:textId="77777777" w:rsidR="00F22C17" w:rsidRPr="00F22C17" w:rsidRDefault="00F22C17" w:rsidP="00030657">
      <w:pPr>
        <w:pStyle w:val="ListParagraph"/>
        <w:numPr>
          <w:ilvl w:val="0"/>
          <w:numId w:val="9"/>
        </w:numPr>
        <w:spacing w:after="0" w:line="240" w:lineRule="auto"/>
        <w:ind w:left="851"/>
        <w:rPr>
          <w:rFonts w:asciiTheme="majorHAnsi" w:hAnsiTheme="majorHAnsi" w:cs="Arial"/>
        </w:rPr>
      </w:pPr>
      <w:r>
        <w:t>B</w:t>
      </w:r>
      <w:r w:rsidR="00556D9A" w:rsidRPr="003F3802">
        <w:t xml:space="preserve">e </w:t>
      </w:r>
      <w:r w:rsidR="00210079" w:rsidRPr="003F3802">
        <w:t>sector</w:t>
      </w:r>
      <w:r w:rsidR="008B582D" w:rsidRPr="003F3802">
        <w:t>-</w:t>
      </w:r>
      <w:r w:rsidR="006A7588" w:rsidRPr="003F3802">
        <w:t>specific</w:t>
      </w:r>
      <w:r w:rsidR="00210079" w:rsidRPr="003F3802">
        <w:t xml:space="preserve">; TEAP </w:t>
      </w:r>
      <w:r w:rsidR="008B582D" w:rsidRPr="003F3802">
        <w:t xml:space="preserve">to </w:t>
      </w:r>
      <w:r w:rsidR="00210079" w:rsidRPr="003F3802">
        <w:t>advise on sectors where exemptions might be needed;</w:t>
      </w:r>
    </w:p>
    <w:p w14:paraId="265262B0" w14:textId="6E62994B" w:rsidR="000E6EDD" w:rsidRPr="00F22C17" w:rsidRDefault="00210079" w:rsidP="00030657">
      <w:pPr>
        <w:pStyle w:val="ListParagraph"/>
        <w:spacing w:after="0" w:line="240" w:lineRule="auto"/>
        <w:ind w:left="851"/>
        <w:rPr>
          <w:rFonts w:asciiTheme="majorHAnsi" w:hAnsiTheme="majorHAnsi" w:cs="Arial"/>
          <w:sz w:val="8"/>
          <w:szCs w:val="8"/>
        </w:rPr>
      </w:pPr>
      <w:r w:rsidRPr="00F22C17">
        <w:rPr>
          <w:sz w:val="8"/>
          <w:szCs w:val="8"/>
        </w:rPr>
        <w:t xml:space="preserve"> </w:t>
      </w:r>
    </w:p>
    <w:p w14:paraId="6A7A264E" w14:textId="555B25C7" w:rsidR="000E6EDD" w:rsidRPr="00495AA6" w:rsidRDefault="000E6EDD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 w:rsidRPr="00495AA6">
        <w:rPr>
          <w:rFonts w:asciiTheme="majorHAnsi" w:hAnsiTheme="majorHAnsi"/>
        </w:rPr>
        <w:t>D</w:t>
      </w:r>
      <w:r w:rsidR="00210079" w:rsidRPr="00495AA6">
        <w:rPr>
          <w:rFonts w:asciiTheme="majorHAnsi" w:hAnsiTheme="majorHAnsi"/>
        </w:rPr>
        <w:t>ecisions on exemptions should be made at the level of the MOP so as to win acceptance by al</w:t>
      </w:r>
      <w:r w:rsidR="00C505FB" w:rsidRPr="00495AA6">
        <w:rPr>
          <w:rFonts w:asciiTheme="majorHAnsi" w:hAnsiTheme="majorHAnsi"/>
        </w:rPr>
        <w:t>l parties; e</w:t>
      </w:r>
      <w:r w:rsidR="00210079" w:rsidRPr="00495AA6">
        <w:rPr>
          <w:rFonts w:asciiTheme="majorHAnsi" w:hAnsiTheme="majorHAnsi"/>
        </w:rPr>
        <w:t>xempt</w:t>
      </w:r>
      <w:r w:rsidR="00C505FB" w:rsidRPr="00495AA6">
        <w:rPr>
          <w:rFonts w:asciiTheme="majorHAnsi" w:hAnsiTheme="majorHAnsi"/>
        </w:rPr>
        <w:t>ions should be time limited</w:t>
      </w:r>
      <w:r w:rsidRPr="00495AA6">
        <w:rPr>
          <w:rFonts w:asciiTheme="majorHAnsi" w:hAnsiTheme="majorHAnsi"/>
        </w:rPr>
        <w:t>;</w:t>
      </w:r>
    </w:p>
    <w:p w14:paraId="1F95841E" w14:textId="77777777" w:rsidR="006A7588" w:rsidRPr="00495AA6" w:rsidRDefault="006A7588" w:rsidP="00030657">
      <w:pPr>
        <w:rPr>
          <w:rFonts w:asciiTheme="majorHAnsi" w:hAnsiTheme="majorHAnsi"/>
          <w:sz w:val="8"/>
          <w:szCs w:val="8"/>
        </w:rPr>
      </w:pPr>
    </w:p>
    <w:p w14:paraId="02E783F7" w14:textId="3E433EA2" w:rsidR="00210079" w:rsidRPr="00495AA6" w:rsidRDefault="000E6EDD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 w:rsidRPr="00495AA6">
        <w:rPr>
          <w:rFonts w:asciiTheme="majorHAnsi" w:hAnsiTheme="majorHAnsi"/>
        </w:rPr>
        <w:t>There s</w:t>
      </w:r>
      <w:r w:rsidR="00210079" w:rsidRPr="00495AA6">
        <w:rPr>
          <w:rFonts w:asciiTheme="majorHAnsi" w:hAnsiTheme="majorHAnsi"/>
        </w:rPr>
        <w:t xml:space="preserve">hould </w:t>
      </w:r>
      <w:r w:rsidR="005F760C" w:rsidRPr="00495AA6">
        <w:rPr>
          <w:rFonts w:asciiTheme="majorHAnsi" w:hAnsiTheme="majorHAnsi"/>
        </w:rPr>
        <w:t>be no</w:t>
      </w:r>
      <w:r w:rsidR="00DD5944" w:rsidRPr="00495AA6">
        <w:rPr>
          <w:rFonts w:asciiTheme="majorHAnsi" w:hAnsiTheme="majorHAnsi"/>
        </w:rPr>
        <w:t xml:space="preserve"> general exemption;</w:t>
      </w:r>
    </w:p>
    <w:p w14:paraId="7CE29FBA" w14:textId="77777777" w:rsidR="008B582D" w:rsidRPr="00495AA6" w:rsidRDefault="008B582D" w:rsidP="00030657">
      <w:pPr>
        <w:rPr>
          <w:rFonts w:asciiTheme="majorHAnsi" w:hAnsiTheme="majorHAnsi" w:cs="Arial"/>
          <w:sz w:val="8"/>
          <w:szCs w:val="8"/>
        </w:rPr>
      </w:pPr>
    </w:p>
    <w:p w14:paraId="38FC0EDF" w14:textId="7123D830" w:rsidR="00920F8E" w:rsidRDefault="00B37F64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 w:cs="Arial"/>
        </w:rPr>
      </w:pPr>
      <w:r w:rsidRPr="00495AA6">
        <w:rPr>
          <w:rFonts w:asciiTheme="majorHAnsi" w:hAnsiTheme="majorHAnsi" w:cs="Arial"/>
        </w:rPr>
        <w:t>Phasedown itself provides flexibility to parties,</w:t>
      </w:r>
      <w:r w:rsidR="00CE7D61" w:rsidRPr="00495AA6">
        <w:rPr>
          <w:rFonts w:asciiTheme="majorHAnsi" w:hAnsiTheme="majorHAnsi" w:cs="Arial"/>
        </w:rPr>
        <w:t xml:space="preserve"> recognizing</w:t>
      </w:r>
      <w:r w:rsidR="00CE7D61">
        <w:rPr>
          <w:rFonts w:asciiTheme="majorHAnsi" w:hAnsiTheme="majorHAnsi" w:cs="Arial"/>
        </w:rPr>
        <w:t xml:space="preserve"> that alternatives won't be available in all circumstances and</w:t>
      </w:r>
      <w:r w:rsidRPr="00B37F64">
        <w:rPr>
          <w:rFonts w:asciiTheme="majorHAnsi" w:hAnsiTheme="majorHAnsi" w:cs="Arial"/>
        </w:rPr>
        <w:t xml:space="preserve"> allowing </w:t>
      </w:r>
      <w:r w:rsidR="00CE7D61">
        <w:rPr>
          <w:rFonts w:asciiTheme="majorHAnsi" w:hAnsiTheme="majorHAnsi" w:cs="Arial"/>
        </w:rPr>
        <w:t>countries</w:t>
      </w:r>
      <w:r w:rsidRPr="00B37F64">
        <w:rPr>
          <w:rFonts w:asciiTheme="majorHAnsi" w:hAnsiTheme="majorHAnsi" w:cs="Arial"/>
        </w:rPr>
        <w:t xml:space="preserve"> to</w:t>
      </w:r>
      <w:r w:rsidR="004E4F24">
        <w:rPr>
          <w:rFonts w:asciiTheme="majorHAnsi" w:hAnsiTheme="majorHAnsi" w:cs="Arial"/>
        </w:rPr>
        <w:t xml:space="preserve"> use the "tail" as they see fit;</w:t>
      </w:r>
    </w:p>
    <w:p w14:paraId="55E98A46" w14:textId="77777777" w:rsidR="008B582D" w:rsidRPr="008B582D" w:rsidRDefault="008B582D" w:rsidP="00030657">
      <w:pPr>
        <w:pStyle w:val="ListParagraph"/>
        <w:spacing w:after="0" w:line="240" w:lineRule="auto"/>
        <w:ind w:left="426"/>
        <w:rPr>
          <w:rFonts w:asciiTheme="majorHAnsi" w:hAnsiTheme="majorHAnsi" w:cs="Arial"/>
          <w:sz w:val="8"/>
          <w:szCs w:val="8"/>
        </w:rPr>
      </w:pPr>
    </w:p>
    <w:p w14:paraId="0BECFB10" w14:textId="416EE312" w:rsidR="009F4739" w:rsidRDefault="00A044C0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 w:cs="Arial"/>
        </w:rPr>
      </w:pPr>
      <w:r w:rsidRPr="003F3802">
        <w:rPr>
          <w:rFonts w:asciiTheme="majorHAnsi" w:hAnsiTheme="majorHAnsi" w:cs="Arial"/>
        </w:rPr>
        <w:t xml:space="preserve">Treat </w:t>
      </w:r>
      <w:r w:rsidRPr="00F22C17">
        <w:rPr>
          <w:rFonts w:asciiTheme="majorHAnsi" w:hAnsiTheme="majorHAnsi" w:cs="Arial"/>
        </w:rPr>
        <w:t>H</w:t>
      </w:r>
      <w:r w:rsidR="003505D9" w:rsidRPr="00F22C17">
        <w:rPr>
          <w:rFonts w:asciiTheme="majorHAnsi" w:hAnsiTheme="majorHAnsi" w:cs="Arial"/>
        </w:rPr>
        <w:t>CFC</w:t>
      </w:r>
      <w:r w:rsidR="00606AC5" w:rsidRPr="00F22C17">
        <w:rPr>
          <w:rFonts w:asciiTheme="majorHAnsi" w:hAnsiTheme="majorHAnsi" w:cs="Arial"/>
        </w:rPr>
        <w:t xml:space="preserve">s </w:t>
      </w:r>
      <w:r w:rsidR="00F5301F" w:rsidRPr="00F22C17">
        <w:rPr>
          <w:rFonts w:asciiTheme="majorHAnsi" w:hAnsiTheme="majorHAnsi" w:cs="Arial"/>
        </w:rPr>
        <w:t>and H</w:t>
      </w:r>
      <w:r w:rsidRPr="00F22C17">
        <w:rPr>
          <w:rFonts w:asciiTheme="majorHAnsi" w:hAnsiTheme="majorHAnsi" w:cs="Arial"/>
        </w:rPr>
        <w:t>FC</w:t>
      </w:r>
      <w:r w:rsidR="00606AC5" w:rsidRPr="003F3802">
        <w:rPr>
          <w:rFonts w:asciiTheme="majorHAnsi" w:hAnsiTheme="majorHAnsi" w:cs="Arial"/>
        </w:rPr>
        <w:t>s</w:t>
      </w:r>
      <w:r w:rsidR="00C544ED" w:rsidRPr="003F3802">
        <w:rPr>
          <w:rFonts w:asciiTheme="majorHAnsi" w:hAnsiTheme="majorHAnsi" w:cs="Arial"/>
        </w:rPr>
        <w:t xml:space="preserve"> </w:t>
      </w:r>
      <w:r w:rsidRPr="003F3802">
        <w:rPr>
          <w:rFonts w:asciiTheme="majorHAnsi" w:hAnsiTheme="majorHAnsi" w:cs="Arial"/>
        </w:rPr>
        <w:t>as</w:t>
      </w:r>
      <w:r w:rsidRPr="009F4739">
        <w:rPr>
          <w:rFonts w:asciiTheme="majorHAnsi" w:hAnsiTheme="majorHAnsi" w:cs="Arial"/>
        </w:rPr>
        <w:t xml:space="preserve"> </w:t>
      </w:r>
      <w:r w:rsidRPr="00265F43">
        <w:rPr>
          <w:rFonts w:asciiTheme="majorHAnsi" w:hAnsiTheme="majorHAnsi" w:cs="Arial"/>
        </w:rPr>
        <w:t xml:space="preserve">a basket </w:t>
      </w:r>
      <w:r w:rsidR="00606AC5">
        <w:rPr>
          <w:rFonts w:asciiTheme="majorHAnsi" w:hAnsiTheme="majorHAnsi" w:cs="Arial"/>
        </w:rPr>
        <w:t>of gases</w:t>
      </w:r>
      <w:r w:rsidR="00C926DE">
        <w:rPr>
          <w:rFonts w:asciiTheme="majorHAnsi" w:hAnsiTheme="majorHAnsi" w:cs="Arial"/>
        </w:rPr>
        <w:t xml:space="preserve"> </w:t>
      </w:r>
      <w:r w:rsidRPr="00265F43">
        <w:rPr>
          <w:rFonts w:asciiTheme="majorHAnsi" w:hAnsiTheme="majorHAnsi" w:cs="Arial"/>
        </w:rPr>
        <w:t>to</w:t>
      </w:r>
      <w:r w:rsidRPr="009F4739">
        <w:rPr>
          <w:rFonts w:asciiTheme="majorHAnsi" w:hAnsiTheme="majorHAnsi" w:cs="Arial"/>
          <w:b/>
        </w:rPr>
        <w:t xml:space="preserve"> </w:t>
      </w:r>
      <w:r w:rsidR="00DD5944">
        <w:rPr>
          <w:rFonts w:asciiTheme="majorHAnsi" w:hAnsiTheme="majorHAnsi" w:cs="Arial"/>
        </w:rPr>
        <w:t>give A5 parties</w:t>
      </w:r>
      <w:r w:rsidRPr="009F4739">
        <w:rPr>
          <w:rFonts w:asciiTheme="majorHAnsi" w:hAnsiTheme="majorHAnsi" w:cs="Arial"/>
        </w:rPr>
        <w:t xml:space="preserve"> flexibility to deal with alternatives and to leave door open to possibility of using some high-GWP alternatives when no low-GWP ones </w:t>
      </w:r>
      <w:r w:rsidR="00852017">
        <w:rPr>
          <w:rFonts w:asciiTheme="majorHAnsi" w:hAnsiTheme="majorHAnsi" w:cs="Arial"/>
        </w:rPr>
        <w:t>are available</w:t>
      </w:r>
      <w:r w:rsidR="003F3802">
        <w:rPr>
          <w:rFonts w:asciiTheme="majorHAnsi" w:hAnsiTheme="majorHAnsi" w:cs="Arial"/>
        </w:rPr>
        <w:t>, allowing them to coordinate HFC phase-down with HCFC phase out</w:t>
      </w:r>
      <w:r w:rsidR="004E4F24">
        <w:rPr>
          <w:rFonts w:asciiTheme="majorHAnsi" w:hAnsiTheme="majorHAnsi" w:cs="Arial"/>
        </w:rPr>
        <w:t>;</w:t>
      </w:r>
    </w:p>
    <w:p w14:paraId="7B6A864E" w14:textId="77777777" w:rsidR="008B582D" w:rsidRPr="008B582D" w:rsidRDefault="008B582D" w:rsidP="00030657">
      <w:pPr>
        <w:rPr>
          <w:rFonts w:asciiTheme="majorHAnsi" w:hAnsiTheme="majorHAnsi" w:cs="Arial"/>
          <w:sz w:val="8"/>
          <w:szCs w:val="8"/>
        </w:rPr>
      </w:pPr>
    </w:p>
    <w:p w14:paraId="49638397" w14:textId="52EDC893" w:rsidR="00D15201" w:rsidRDefault="00F43752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 w:cs="Arial"/>
        </w:rPr>
      </w:pPr>
      <w:r w:rsidRPr="008773EC">
        <w:rPr>
          <w:rFonts w:asciiTheme="majorHAnsi" w:hAnsiTheme="majorHAnsi" w:cs="Arial"/>
        </w:rPr>
        <w:t>Parties should have flexibility in choosing alternatives but f</w:t>
      </w:r>
      <w:r w:rsidR="000C3FC7" w:rsidRPr="008773EC">
        <w:rPr>
          <w:rFonts w:asciiTheme="majorHAnsi" w:hAnsiTheme="majorHAnsi" w:cs="Arial"/>
        </w:rPr>
        <w:t xml:space="preserve">unding should reflect cost effectiveness </w:t>
      </w:r>
      <w:r w:rsidR="00D15201" w:rsidRPr="008773EC">
        <w:rPr>
          <w:rFonts w:asciiTheme="majorHAnsi" w:hAnsiTheme="majorHAnsi" w:cs="Arial"/>
        </w:rPr>
        <w:t>in the sense</w:t>
      </w:r>
      <w:r w:rsidR="000C3FC7" w:rsidRPr="008773EC">
        <w:rPr>
          <w:rFonts w:asciiTheme="majorHAnsi" w:hAnsiTheme="majorHAnsi" w:cs="Arial"/>
        </w:rPr>
        <w:t xml:space="preserve"> that greater reductions in CO</w:t>
      </w:r>
      <w:r w:rsidR="000C3FC7" w:rsidRPr="008773EC">
        <w:rPr>
          <w:rFonts w:asciiTheme="majorHAnsi" w:hAnsiTheme="majorHAnsi" w:cs="Arial"/>
          <w:vertAlign w:val="subscript"/>
        </w:rPr>
        <w:t>2</w:t>
      </w:r>
      <w:r w:rsidR="000C3FC7" w:rsidRPr="008773EC">
        <w:rPr>
          <w:rFonts w:asciiTheme="majorHAnsi" w:hAnsiTheme="majorHAnsi" w:cs="Arial"/>
        </w:rPr>
        <w:t xml:space="preserve"> equivalence </w:t>
      </w:r>
      <w:r w:rsidR="00D15201" w:rsidRPr="008773EC">
        <w:rPr>
          <w:rFonts w:asciiTheme="majorHAnsi" w:hAnsiTheme="majorHAnsi" w:cs="Arial"/>
        </w:rPr>
        <w:t>would result in</w:t>
      </w:r>
      <w:r w:rsidR="008B582D">
        <w:rPr>
          <w:rFonts w:asciiTheme="majorHAnsi" w:hAnsiTheme="majorHAnsi" w:cs="Arial"/>
        </w:rPr>
        <w:t xml:space="preserve"> greater funding</w:t>
      </w:r>
      <w:r w:rsidR="004E4F24">
        <w:rPr>
          <w:rFonts w:asciiTheme="majorHAnsi" w:hAnsiTheme="majorHAnsi" w:cs="Arial"/>
        </w:rPr>
        <w:t>;</w:t>
      </w:r>
    </w:p>
    <w:p w14:paraId="03020063" w14:textId="77777777" w:rsidR="008B582D" w:rsidRPr="008B582D" w:rsidRDefault="008B582D" w:rsidP="00030657">
      <w:pPr>
        <w:rPr>
          <w:rFonts w:asciiTheme="majorHAnsi" w:hAnsiTheme="majorHAnsi" w:cs="Arial"/>
          <w:sz w:val="8"/>
          <w:szCs w:val="8"/>
        </w:rPr>
      </w:pPr>
    </w:p>
    <w:p w14:paraId="7062652B" w14:textId="6C09ADEF" w:rsidR="00C54583" w:rsidRDefault="00C54583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lastRenderedPageBreak/>
        <w:t xml:space="preserve">Conduct volumetric analysis to grade countries according to their use of HFCs, as done with regard to emissions under UNFCCC, and </w:t>
      </w:r>
      <w:r w:rsidR="009B6311">
        <w:rPr>
          <w:rFonts w:asciiTheme="majorHAnsi" w:hAnsiTheme="majorHAnsi" w:cs="Arial"/>
        </w:rPr>
        <w:t>allow greater flexibi</w:t>
      </w:r>
      <w:r w:rsidR="004E4F24">
        <w:rPr>
          <w:rFonts w:asciiTheme="majorHAnsi" w:hAnsiTheme="majorHAnsi" w:cs="Arial"/>
        </w:rPr>
        <w:t>lity for low emitting countries;</w:t>
      </w:r>
    </w:p>
    <w:p w14:paraId="60BA743A" w14:textId="77777777" w:rsidR="004E4F24" w:rsidRPr="004E4F24" w:rsidRDefault="004E4F24" w:rsidP="00030657">
      <w:pPr>
        <w:rPr>
          <w:rFonts w:asciiTheme="majorHAnsi" w:hAnsiTheme="majorHAnsi" w:cs="Arial"/>
          <w:sz w:val="8"/>
          <w:szCs w:val="8"/>
        </w:rPr>
      </w:pPr>
    </w:p>
    <w:p w14:paraId="4E85180E" w14:textId="0B0D92FC" w:rsidR="00DD5944" w:rsidRDefault="00BD109E" w:rsidP="00030657">
      <w:pPr>
        <w:pStyle w:val="ListParagraph"/>
        <w:numPr>
          <w:ilvl w:val="0"/>
          <w:numId w:val="6"/>
        </w:numPr>
        <w:spacing w:after="0" w:line="240" w:lineRule="auto"/>
        <w:ind w:left="426"/>
        <w:rPr>
          <w:i/>
        </w:rPr>
      </w:pPr>
      <w:r w:rsidRPr="00DD5944">
        <w:rPr>
          <w:i/>
        </w:rPr>
        <w:t xml:space="preserve">Volumetric approach would not address the challenges specific to </w:t>
      </w:r>
      <w:r w:rsidR="008B582D" w:rsidRPr="00DD5944">
        <w:rPr>
          <w:i/>
        </w:rPr>
        <w:t>LVCs</w:t>
      </w:r>
      <w:r w:rsidR="00323AB4" w:rsidRPr="00DD5944">
        <w:rPr>
          <w:i/>
        </w:rPr>
        <w:t xml:space="preserve"> </w:t>
      </w:r>
      <w:r w:rsidRPr="00DD5944">
        <w:rPr>
          <w:i/>
        </w:rPr>
        <w:t xml:space="preserve">and </w:t>
      </w:r>
      <w:r w:rsidR="008B582D" w:rsidRPr="00DD5944">
        <w:rPr>
          <w:i/>
        </w:rPr>
        <w:t>VLVCs</w:t>
      </w:r>
      <w:r w:rsidR="00F22C17">
        <w:rPr>
          <w:i/>
        </w:rPr>
        <w:t>;</w:t>
      </w:r>
    </w:p>
    <w:p w14:paraId="4B93D11B" w14:textId="77777777" w:rsidR="00DD5944" w:rsidRPr="00DD5944" w:rsidRDefault="00DD5944" w:rsidP="00030657">
      <w:pPr>
        <w:pStyle w:val="ListParagraph"/>
        <w:spacing w:after="0" w:line="240" w:lineRule="auto"/>
        <w:ind w:left="426"/>
        <w:rPr>
          <w:i/>
          <w:sz w:val="8"/>
          <w:szCs w:val="8"/>
        </w:rPr>
      </w:pPr>
    </w:p>
    <w:p w14:paraId="316A56BC" w14:textId="278A8C6C" w:rsidR="00A044C0" w:rsidRDefault="008E342E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Some </w:t>
      </w:r>
      <w:r w:rsidR="00B243E1">
        <w:rPr>
          <w:rFonts w:asciiTheme="majorHAnsi" w:hAnsiTheme="majorHAnsi"/>
        </w:rPr>
        <w:t>A5s</w:t>
      </w:r>
      <w:r w:rsidR="00F22C17">
        <w:rPr>
          <w:rFonts w:asciiTheme="majorHAnsi" w:hAnsiTheme="majorHAnsi"/>
        </w:rPr>
        <w:t xml:space="preserve"> need capacity </w:t>
      </w:r>
      <w:r w:rsidR="001C54B1">
        <w:rPr>
          <w:rFonts w:asciiTheme="majorHAnsi" w:hAnsiTheme="majorHAnsi"/>
        </w:rPr>
        <w:t xml:space="preserve">building to enable them to </w:t>
      </w:r>
      <w:r w:rsidR="00824C8B">
        <w:rPr>
          <w:rFonts w:asciiTheme="majorHAnsi" w:hAnsiTheme="majorHAnsi"/>
        </w:rPr>
        <w:t>exercise flexibility effectively.</w:t>
      </w:r>
    </w:p>
    <w:p w14:paraId="563972CA" w14:textId="77777777" w:rsidR="00807519" w:rsidRPr="00063C43" w:rsidRDefault="00807519" w:rsidP="00030657">
      <w:pPr>
        <w:ind w:left="66"/>
        <w:rPr>
          <w:rFonts w:asciiTheme="majorHAnsi" w:hAnsiTheme="majorHAnsi"/>
        </w:rPr>
      </w:pPr>
    </w:p>
    <w:p w14:paraId="74F59F53" w14:textId="0DEE1B3B" w:rsidR="00807519" w:rsidRPr="009D6AB1" w:rsidRDefault="00807519" w:rsidP="00030657">
      <w:pPr>
        <w:keepNext/>
        <w:rPr>
          <w:b/>
          <w:sz w:val="28"/>
          <w:szCs w:val="28"/>
        </w:rPr>
      </w:pPr>
      <w:r w:rsidRPr="009D6AB1">
        <w:rPr>
          <w:b/>
          <w:sz w:val="28"/>
          <w:szCs w:val="28"/>
        </w:rPr>
        <w:t>Financial issues</w:t>
      </w:r>
    </w:p>
    <w:p w14:paraId="02976574" w14:textId="77777777" w:rsidR="00807519" w:rsidRDefault="00807519" w:rsidP="00030657">
      <w:pPr>
        <w:rPr>
          <w:b/>
        </w:rPr>
      </w:pPr>
    </w:p>
    <w:p w14:paraId="2759D342" w14:textId="77777777" w:rsidR="000B0414" w:rsidRPr="009D6AB1" w:rsidRDefault="000B0414" w:rsidP="00030657">
      <w:pPr>
        <w:rPr>
          <w:rFonts w:asciiTheme="majorHAnsi" w:hAnsiTheme="majorHAnsi"/>
          <w:b/>
          <w:color w:val="1F497D" w:themeColor="text2"/>
        </w:rPr>
      </w:pPr>
      <w:r w:rsidRPr="009D6AB1">
        <w:rPr>
          <w:rFonts w:asciiTheme="majorHAnsi" w:hAnsiTheme="majorHAnsi"/>
          <w:b/>
          <w:color w:val="1F497D" w:themeColor="text2"/>
        </w:rPr>
        <w:t>Key issues addressed by parties</w:t>
      </w:r>
    </w:p>
    <w:p w14:paraId="051BBD67" w14:textId="77777777" w:rsidR="00807519" w:rsidRPr="003063EF" w:rsidRDefault="00807519" w:rsidP="00030657">
      <w:pPr>
        <w:rPr>
          <w:b/>
          <w:sz w:val="8"/>
          <w:szCs w:val="8"/>
        </w:rPr>
      </w:pPr>
    </w:p>
    <w:p w14:paraId="3E785F3E" w14:textId="7BCB91E1" w:rsidR="00BE0401" w:rsidRDefault="00EA41CB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Clear guidance to Executive Committee</w:t>
      </w:r>
    </w:p>
    <w:p w14:paraId="3C0A5B86" w14:textId="3FC06648" w:rsidR="000B0414" w:rsidRPr="00704FDA" w:rsidRDefault="00B83339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 w:rsidRPr="00704FDA">
        <w:rPr>
          <w:rFonts w:asciiTheme="majorHAnsi" w:hAnsiTheme="majorHAnsi" w:cs="Arial"/>
        </w:rPr>
        <w:t>Second and third conversions</w:t>
      </w:r>
    </w:p>
    <w:p w14:paraId="4EAF8CFB" w14:textId="42127023" w:rsidR="00B83339" w:rsidRPr="00704FDA" w:rsidRDefault="00B83339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 w:rsidRPr="00704FDA">
        <w:rPr>
          <w:rFonts w:asciiTheme="majorHAnsi" w:hAnsiTheme="majorHAnsi" w:cs="Arial"/>
        </w:rPr>
        <w:t>Cut-off date/Eligibility</w:t>
      </w:r>
      <w:r w:rsidR="001D2302" w:rsidRPr="00704FDA">
        <w:rPr>
          <w:rFonts w:asciiTheme="majorHAnsi" w:hAnsiTheme="majorHAnsi" w:cs="Arial"/>
        </w:rPr>
        <w:t xml:space="preserve"> date</w:t>
      </w:r>
    </w:p>
    <w:p w14:paraId="43919B0C" w14:textId="5CE7804F" w:rsidR="00B83339" w:rsidRDefault="00AA2225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Refrigeration</w:t>
      </w:r>
      <w:r w:rsidR="00932FB4">
        <w:rPr>
          <w:rFonts w:asciiTheme="majorHAnsi" w:hAnsiTheme="majorHAnsi" w:cs="Arial"/>
        </w:rPr>
        <w:t xml:space="preserve"> servicing</w:t>
      </w:r>
      <w:r w:rsidR="00DD5AEE">
        <w:rPr>
          <w:rFonts w:asciiTheme="majorHAnsi" w:hAnsiTheme="majorHAnsi" w:cs="Arial"/>
        </w:rPr>
        <w:t xml:space="preserve"> sector</w:t>
      </w:r>
    </w:p>
    <w:p w14:paraId="3FF63770" w14:textId="58198D45" w:rsidR="008D3E06" w:rsidRDefault="00B35D57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Financial i</w:t>
      </w:r>
      <w:r w:rsidR="008D3E06">
        <w:rPr>
          <w:rFonts w:asciiTheme="majorHAnsi" w:hAnsiTheme="majorHAnsi" w:cs="Arial"/>
        </w:rPr>
        <w:t>ncentives</w:t>
      </w:r>
    </w:p>
    <w:p w14:paraId="2259056B" w14:textId="0B2B7D29" w:rsidR="00934768" w:rsidRDefault="008D3E06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Disposal of HFCs</w:t>
      </w:r>
    </w:p>
    <w:p w14:paraId="62058877" w14:textId="09512708" w:rsidR="0086301F" w:rsidRDefault="0086301F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Intellectual Property Rights (IPR)</w:t>
      </w:r>
    </w:p>
    <w:p w14:paraId="5CCDA29D" w14:textId="57E45912" w:rsidR="00F556BA" w:rsidRDefault="00F556BA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Reporting and destruction of HFC-23</w:t>
      </w:r>
    </w:p>
    <w:p w14:paraId="06DB59B1" w14:textId="280C8E7B" w:rsidR="00AB4EB9" w:rsidRPr="00934768" w:rsidRDefault="00AB4EB9" w:rsidP="00030657">
      <w:pPr>
        <w:pStyle w:val="ListParagraph"/>
        <w:numPr>
          <w:ilvl w:val="0"/>
          <w:numId w:val="3"/>
        </w:numPr>
        <w:spacing w:after="0" w:line="240" w:lineRule="auto"/>
        <w:ind w:left="425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>Capacity building</w:t>
      </w:r>
    </w:p>
    <w:p w14:paraId="5ACFF143" w14:textId="77777777" w:rsidR="00063C43" w:rsidRPr="00063C43" w:rsidRDefault="00063C43" w:rsidP="00030657">
      <w:pPr>
        <w:rPr>
          <w:rFonts w:asciiTheme="majorHAnsi" w:hAnsiTheme="majorHAnsi" w:cs="Arial"/>
        </w:rPr>
      </w:pPr>
    </w:p>
    <w:p w14:paraId="381B4271" w14:textId="42665BEE" w:rsidR="000B0414" w:rsidRPr="009D6AB1" w:rsidRDefault="000B0414" w:rsidP="00030657">
      <w:pPr>
        <w:rPr>
          <w:rFonts w:asciiTheme="majorHAnsi" w:hAnsiTheme="majorHAnsi" w:cs="Arial"/>
          <w:b/>
          <w:color w:val="1F497D" w:themeColor="text2"/>
        </w:rPr>
      </w:pPr>
      <w:r w:rsidRPr="009D6AB1">
        <w:rPr>
          <w:rFonts w:asciiTheme="majorHAnsi" w:hAnsiTheme="majorHAnsi" w:cs="Arial"/>
          <w:b/>
          <w:color w:val="1F497D" w:themeColor="text2"/>
        </w:rPr>
        <w:t>Possible solutions suggested by parties/Suggestions by part</w:t>
      </w:r>
      <w:r w:rsidR="006F4CB3" w:rsidRPr="009D6AB1">
        <w:rPr>
          <w:rFonts w:asciiTheme="majorHAnsi" w:hAnsiTheme="majorHAnsi" w:cs="Arial"/>
          <w:b/>
          <w:color w:val="1F497D" w:themeColor="text2"/>
        </w:rPr>
        <w:t>i</w:t>
      </w:r>
      <w:r w:rsidRPr="009D6AB1">
        <w:rPr>
          <w:rFonts w:asciiTheme="majorHAnsi" w:hAnsiTheme="majorHAnsi" w:cs="Arial"/>
          <w:b/>
          <w:color w:val="1F497D" w:themeColor="text2"/>
        </w:rPr>
        <w:t>es</w:t>
      </w:r>
    </w:p>
    <w:p w14:paraId="746607A2" w14:textId="77777777" w:rsidR="000B0414" w:rsidRPr="003063EF" w:rsidRDefault="000B0414" w:rsidP="00030657">
      <w:pPr>
        <w:rPr>
          <w:b/>
          <w:sz w:val="8"/>
          <w:szCs w:val="8"/>
        </w:rPr>
      </w:pPr>
    </w:p>
    <w:p w14:paraId="093FB788" w14:textId="76E45256" w:rsidR="000B0414" w:rsidRDefault="00CE3BA1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MOP to p</w:t>
      </w:r>
      <w:r w:rsidR="006009FD" w:rsidRPr="003063EF">
        <w:rPr>
          <w:rFonts w:asciiTheme="majorHAnsi" w:hAnsiTheme="majorHAnsi"/>
        </w:rPr>
        <w:t xml:space="preserve">rovide clear and transparent </w:t>
      </w:r>
      <w:r>
        <w:rPr>
          <w:rFonts w:asciiTheme="majorHAnsi" w:hAnsiTheme="majorHAnsi"/>
        </w:rPr>
        <w:t>guidance/</w:t>
      </w:r>
      <w:r w:rsidR="006009FD" w:rsidRPr="003063EF">
        <w:rPr>
          <w:rFonts w:asciiTheme="majorHAnsi" w:hAnsiTheme="majorHAnsi"/>
        </w:rPr>
        <w:t xml:space="preserve">guidelines on financing parameters to ensure clear guidance </w:t>
      </w:r>
      <w:r w:rsidR="00D41930" w:rsidRPr="003063EF">
        <w:rPr>
          <w:rFonts w:asciiTheme="majorHAnsi" w:hAnsiTheme="majorHAnsi"/>
        </w:rPr>
        <w:t>to</w:t>
      </w:r>
      <w:r w:rsidR="006009FD" w:rsidRPr="003063EF">
        <w:rPr>
          <w:rFonts w:asciiTheme="majorHAnsi" w:hAnsiTheme="majorHAnsi"/>
        </w:rPr>
        <w:t xml:space="preserve"> the </w:t>
      </w:r>
      <w:r w:rsidR="003063EF">
        <w:rPr>
          <w:rFonts w:asciiTheme="majorHAnsi" w:hAnsiTheme="majorHAnsi"/>
        </w:rPr>
        <w:t xml:space="preserve">Executive Committee </w:t>
      </w:r>
      <w:r w:rsidR="00AE3521">
        <w:rPr>
          <w:rFonts w:asciiTheme="majorHAnsi" w:hAnsiTheme="majorHAnsi"/>
        </w:rPr>
        <w:t xml:space="preserve">of the MLF </w:t>
      </w:r>
      <w:r w:rsidR="003063EF">
        <w:rPr>
          <w:rFonts w:asciiTheme="majorHAnsi" w:hAnsiTheme="majorHAnsi"/>
        </w:rPr>
        <w:t xml:space="preserve">on </w:t>
      </w:r>
      <w:r w:rsidR="00E32CC2">
        <w:rPr>
          <w:rFonts w:asciiTheme="majorHAnsi" w:hAnsiTheme="majorHAnsi"/>
        </w:rPr>
        <w:t xml:space="preserve">various elements associated with the </w:t>
      </w:r>
      <w:r w:rsidR="003063EF">
        <w:rPr>
          <w:rFonts w:asciiTheme="majorHAnsi" w:hAnsiTheme="majorHAnsi"/>
        </w:rPr>
        <w:t>funding for HFC management</w:t>
      </w:r>
      <w:r w:rsidR="00E32CC2">
        <w:rPr>
          <w:rFonts w:asciiTheme="majorHAnsi" w:hAnsiTheme="majorHAnsi"/>
        </w:rPr>
        <w:t xml:space="preserve"> including </w:t>
      </w:r>
      <w:r w:rsidR="003A70E1">
        <w:rPr>
          <w:rFonts w:asciiTheme="majorHAnsi" w:hAnsiTheme="majorHAnsi"/>
        </w:rPr>
        <w:t>with regard to new obligations on HFC-23</w:t>
      </w:r>
      <w:r w:rsidR="003063EF">
        <w:rPr>
          <w:rFonts w:asciiTheme="majorHAnsi" w:hAnsiTheme="majorHAnsi"/>
        </w:rPr>
        <w:t>;</w:t>
      </w:r>
      <w:r w:rsidR="006009FD" w:rsidRPr="003063EF">
        <w:rPr>
          <w:rFonts w:asciiTheme="majorHAnsi" w:hAnsiTheme="majorHAnsi"/>
        </w:rPr>
        <w:t xml:space="preserve"> </w:t>
      </w:r>
      <w:r>
        <w:rPr>
          <w:rFonts w:asciiTheme="majorHAnsi" w:hAnsiTheme="majorHAnsi"/>
        </w:rPr>
        <w:t xml:space="preserve">Guidance should also be provided on the methodology to calculate costs of conversion projects and cost effectiveness (CE) thresholds; </w:t>
      </w:r>
      <w:r w:rsidR="003A70E1">
        <w:rPr>
          <w:rFonts w:asciiTheme="majorHAnsi" w:hAnsiTheme="majorHAnsi"/>
        </w:rPr>
        <w:t xml:space="preserve">Sufficient element should be included in the </w:t>
      </w:r>
      <w:r>
        <w:rPr>
          <w:rFonts w:asciiTheme="majorHAnsi" w:hAnsiTheme="majorHAnsi"/>
        </w:rPr>
        <w:t>guidance/</w:t>
      </w:r>
      <w:r w:rsidR="003A70E1">
        <w:rPr>
          <w:rFonts w:asciiTheme="majorHAnsi" w:hAnsiTheme="majorHAnsi"/>
        </w:rPr>
        <w:t xml:space="preserve">guidelines </w:t>
      </w:r>
      <w:r>
        <w:rPr>
          <w:rFonts w:asciiTheme="majorHAnsi" w:hAnsiTheme="majorHAnsi"/>
        </w:rPr>
        <w:t>by the MOP but details should be dealt with at Executive Committee level;</w:t>
      </w:r>
    </w:p>
    <w:p w14:paraId="5790A53D" w14:textId="77777777" w:rsidR="003063EF" w:rsidRPr="003063EF" w:rsidRDefault="003063EF" w:rsidP="00030657">
      <w:pPr>
        <w:pStyle w:val="ListParagraph"/>
        <w:spacing w:after="0" w:line="240" w:lineRule="auto"/>
        <w:ind w:left="426"/>
        <w:rPr>
          <w:rFonts w:asciiTheme="majorHAnsi" w:hAnsiTheme="majorHAnsi"/>
          <w:sz w:val="8"/>
          <w:szCs w:val="8"/>
        </w:rPr>
      </w:pPr>
    </w:p>
    <w:p w14:paraId="07261EF0" w14:textId="0F715A82" w:rsidR="00CE3BA1" w:rsidRPr="00A431E8" w:rsidRDefault="001B31AE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b/>
        </w:rPr>
      </w:pPr>
      <w:r>
        <w:rPr>
          <w:rFonts w:asciiTheme="majorHAnsi" w:hAnsiTheme="majorHAnsi"/>
        </w:rPr>
        <w:t>Address s</w:t>
      </w:r>
      <w:r w:rsidR="006009FD" w:rsidRPr="003063EF">
        <w:rPr>
          <w:rFonts w:asciiTheme="majorHAnsi" w:hAnsiTheme="majorHAnsi"/>
        </w:rPr>
        <w:t>econd and third conversions</w:t>
      </w:r>
      <w:r>
        <w:rPr>
          <w:rFonts w:asciiTheme="majorHAnsi" w:hAnsiTheme="majorHAnsi"/>
        </w:rPr>
        <w:t xml:space="preserve"> </w:t>
      </w:r>
      <w:r w:rsidR="0073754A" w:rsidRPr="003063EF">
        <w:rPr>
          <w:rFonts w:asciiTheme="majorHAnsi" w:hAnsiTheme="majorHAnsi"/>
        </w:rPr>
        <w:t>by defining them clear</w:t>
      </w:r>
      <w:r w:rsidR="003063EF">
        <w:rPr>
          <w:rFonts w:asciiTheme="majorHAnsi" w:hAnsiTheme="majorHAnsi"/>
        </w:rPr>
        <w:t xml:space="preserve">ly and clarifying that they </w:t>
      </w:r>
      <w:r w:rsidR="001E713A">
        <w:rPr>
          <w:rFonts w:asciiTheme="majorHAnsi" w:hAnsiTheme="majorHAnsi"/>
        </w:rPr>
        <w:t>will be</w:t>
      </w:r>
      <w:r w:rsidR="0073754A" w:rsidRPr="003063EF">
        <w:rPr>
          <w:rFonts w:asciiTheme="majorHAnsi" w:hAnsiTheme="majorHAnsi"/>
        </w:rPr>
        <w:t xml:space="preserve"> eligible for funding</w:t>
      </w:r>
      <w:r w:rsidR="006009FD" w:rsidRPr="003063EF">
        <w:rPr>
          <w:rFonts w:asciiTheme="majorHAnsi" w:hAnsiTheme="majorHAnsi"/>
        </w:rPr>
        <w:t xml:space="preserve">. </w:t>
      </w:r>
      <w:r w:rsidR="00535949" w:rsidRPr="003063EF">
        <w:rPr>
          <w:rFonts w:asciiTheme="majorHAnsi" w:hAnsiTheme="majorHAnsi"/>
        </w:rPr>
        <w:t>The term "s</w:t>
      </w:r>
      <w:r w:rsidR="00480233" w:rsidRPr="003063EF">
        <w:rPr>
          <w:rFonts w:asciiTheme="majorHAnsi" w:hAnsiTheme="majorHAnsi"/>
        </w:rPr>
        <w:t>econd conversions</w:t>
      </w:r>
      <w:r w:rsidR="00535949" w:rsidRPr="003063EF">
        <w:rPr>
          <w:rFonts w:asciiTheme="majorHAnsi" w:hAnsiTheme="majorHAnsi"/>
        </w:rPr>
        <w:t>"</w:t>
      </w:r>
      <w:r w:rsidR="00480233" w:rsidRPr="003063EF">
        <w:rPr>
          <w:rFonts w:asciiTheme="majorHAnsi" w:hAnsiTheme="majorHAnsi"/>
        </w:rPr>
        <w:t xml:space="preserve"> </w:t>
      </w:r>
      <w:r w:rsidR="00535949" w:rsidRPr="003063EF">
        <w:rPr>
          <w:rFonts w:asciiTheme="majorHAnsi" w:hAnsiTheme="majorHAnsi"/>
        </w:rPr>
        <w:t>is understood</w:t>
      </w:r>
      <w:r w:rsidR="00480233" w:rsidRPr="003063EF">
        <w:rPr>
          <w:rFonts w:asciiTheme="majorHAnsi" w:hAnsiTheme="majorHAnsi"/>
        </w:rPr>
        <w:t xml:space="preserve"> </w:t>
      </w:r>
      <w:r w:rsidR="00535949" w:rsidRPr="003063EF">
        <w:rPr>
          <w:rFonts w:asciiTheme="majorHAnsi" w:hAnsiTheme="majorHAnsi"/>
        </w:rPr>
        <w:t>to refer to</w:t>
      </w:r>
      <w:r w:rsidR="00480233" w:rsidRPr="003063EF">
        <w:rPr>
          <w:rFonts w:asciiTheme="majorHAnsi" w:hAnsiTheme="majorHAnsi"/>
        </w:rPr>
        <w:t xml:space="preserve"> enterprises that conve</w:t>
      </w:r>
      <w:r w:rsidR="00535949" w:rsidRPr="003063EF">
        <w:rPr>
          <w:rFonts w:asciiTheme="majorHAnsi" w:hAnsiTheme="majorHAnsi"/>
        </w:rPr>
        <w:t xml:space="preserve">rted from CFCs or HCFCs to HFCs, </w:t>
      </w:r>
      <w:r w:rsidR="00480233" w:rsidRPr="003063EF">
        <w:rPr>
          <w:rFonts w:asciiTheme="majorHAnsi" w:hAnsiTheme="majorHAnsi"/>
        </w:rPr>
        <w:t xml:space="preserve">and </w:t>
      </w:r>
      <w:r w:rsidR="00535949" w:rsidRPr="003063EF">
        <w:rPr>
          <w:rFonts w:asciiTheme="majorHAnsi" w:hAnsiTheme="majorHAnsi"/>
        </w:rPr>
        <w:t xml:space="preserve">the term "third </w:t>
      </w:r>
      <w:r w:rsidR="00480233" w:rsidRPr="003063EF">
        <w:rPr>
          <w:rFonts w:asciiTheme="majorHAnsi" w:hAnsiTheme="majorHAnsi"/>
        </w:rPr>
        <w:t>conversions</w:t>
      </w:r>
      <w:r w:rsidR="00535949" w:rsidRPr="003063EF">
        <w:rPr>
          <w:rFonts w:asciiTheme="majorHAnsi" w:hAnsiTheme="majorHAnsi"/>
        </w:rPr>
        <w:t>" is understood to refer to</w:t>
      </w:r>
      <w:r w:rsidR="00480233" w:rsidRPr="003063EF">
        <w:rPr>
          <w:rFonts w:asciiTheme="majorHAnsi" w:hAnsiTheme="majorHAnsi"/>
        </w:rPr>
        <w:t xml:space="preserve"> enterprises that converted initially from CFCs to</w:t>
      </w:r>
      <w:r w:rsidR="00535949" w:rsidRPr="003063EF">
        <w:rPr>
          <w:rFonts w:asciiTheme="majorHAnsi" w:hAnsiTheme="majorHAnsi"/>
        </w:rPr>
        <w:t xml:space="preserve"> HCFCs and subsequently to HFCs</w:t>
      </w:r>
      <w:r w:rsidR="003063EF">
        <w:rPr>
          <w:rFonts w:asciiTheme="majorHAnsi" w:hAnsiTheme="majorHAnsi"/>
        </w:rPr>
        <w:t>;</w:t>
      </w:r>
    </w:p>
    <w:p w14:paraId="0AA9E7E7" w14:textId="77777777" w:rsidR="00A431E8" w:rsidRPr="00A431E8" w:rsidRDefault="00A431E8" w:rsidP="00030657">
      <w:pPr>
        <w:rPr>
          <w:rFonts w:asciiTheme="majorHAnsi" w:hAnsiTheme="majorHAnsi"/>
          <w:b/>
          <w:sz w:val="8"/>
          <w:szCs w:val="8"/>
        </w:rPr>
      </w:pPr>
    </w:p>
    <w:p w14:paraId="2B6B8D7E" w14:textId="7B2C768A" w:rsidR="00FC2C03" w:rsidRDefault="0063708A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 w:rsidRPr="00A431E8">
        <w:rPr>
          <w:rFonts w:asciiTheme="majorHAnsi" w:hAnsiTheme="majorHAnsi"/>
        </w:rPr>
        <w:t xml:space="preserve">Reporting </w:t>
      </w:r>
      <w:r w:rsidR="00A42173">
        <w:rPr>
          <w:rFonts w:asciiTheme="majorHAnsi" w:hAnsiTheme="majorHAnsi"/>
        </w:rPr>
        <w:t>on HFC-23 by product to be treated under Article 7 data reporting; As a new compliance obligation, it would therefore be eligible for financial assistance under Article 10 of the Montreal Protocol;</w:t>
      </w:r>
    </w:p>
    <w:p w14:paraId="07872422" w14:textId="77777777" w:rsidR="00FC2C03" w:rsidRPr="00FC2C03" w:rsidRDefault="00FC2C03" w:rsidP="00030657">
      <w:pPr>
        <w:rPr>
          <w:rFonts w:asciiTheme="majorHAnsi" w:hAnsiTheme="majorHAnsi"/>
          <w:sz w:val="8"/>
          <w:szCs w:val="8"/>
        </w:rPr>
      </w:pPr>
    </w:p>
    <w:p w14:paraId="73CC813E" w14:textId="1473404F" w:rsidR="00FC2C03" w:rsidRPr="00FC2C03" w:rsidRDefault="00FC2C03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MLF to subsidize the differential costs between current imports and future imports of the new alternatives to avoid adverse impacts on the balance of payments; costs of technological changes should also be covered;</w:t>
      </w:r>
    </w:p>
    <w:p w14:paraId="668E6098" w14:textId="77777777" w:rsidR="00E276A2" w:rsidRPr="00D5122E" w:rsidRDefault="00E276A2" w:rsidP="00030657">
      <w:pPr>
        <w:rPr>
          <w:rFonts w:asciiTheme="majorHAnsi" w:hAnsiTheme="majorHAnsi"/>
          <w:sz w:val="8"/>
          <w:szCs w:val="8"/>
        </w:rPr>
      </w:pPr>
    </w:p>
    <w:p w14:paraId="297AF8D6" w14:textId="02C36061" w:rsidR="00C82072" w:rsidRDefault="00E276A2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The MLF to cover full conversion costs including capital costs, costs of </w:t>
      </w:r>
      <w:r w:rsidR="0086301F">
        <w:rPr>
          <w:rFonts w:asciiTheme="majorHAnsi" w:hAnsiTheme="majorHAnsi"/>
        </w:rPr>
        <w:t>IPR</w:t>
      </w:r>
      <w:r>
        <w:rPr>
          <w:rFonts w:asciiTheme="majorHAnsi" w:hAnsiTheme="majorHAnsi"/>
        </w:rPr>
        <w:t>, patents, technology transfer, research and development, lost profits due to shut-down of plants, change in structural design, layout of plant and machinery, civil, electrical and mechanical works;</w:t>
      </w:r>
      <w:r w:rsidR="00C82072">
        <w:rPr>
          <w:rFonts w:asciiTheme="majorHAnsi" w:hAnsiTheme="majorHAnsi"/>
        </w:rPr>
        <w:t xml:space="preserve"> </w:t>
      </w:r>
    </w:p>
    <w:p w14:paraId="529619FA" w14:textId="77777777" w:rsidR="00880868" w:rsidRPr="00880868" w:rsidRDefault="00880868" w:rsidP="00030657">
      <w:pPr>
        <w:rPr>
          <w:rFonts w:asciiTheme="majorHAnsi" w:hAnsiTheme="majorHAnsi"/>
          <w:sz w:val="8"/>
          <w:szCs w:val="8"/>
        </w:rPr>
      </w:pPr>
    </w:p>
    <w:p w14:paraId="4C1B68F3" w14:textId="219A0F5B" w:rsidR="00880868" w:rsidRDefault="00880868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When switch of plants from HCFCs to low-GWP alternatives is not possible, full funding for closure of plants should be provided;</w:t>
      </w:r>
    </w:p>
    <w:p w14:paraId="06C4CAC6" w14:textId="77777777" w:rsidR="00C82072" w:rsidRPr="0086301F" w:rsidRDefault="00C82072" w:rsidP="00030657">
      <w:pPr>
        <w:rPr>
          <w:rFonts w:asciiTheme="majorHAnsi" w:hAnsiTheme="majorHAnsi"/>
          <w:sz w:val="8"/>
          <w:szCs w:val="8"/>
        </w:rPr>
      </w:pPr>
    </w:p>
    <w:p w14:paraId="7602DABC" w14:textId="4218AA43" w:rsidR="00E276A2" w:rsidRPr="00A431E8" w:rsidRDefault="00C82072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Preference expressed for a financing mechanism covering second and third conversions, IPR, compensation for production plants </w:t>
      </w:r>
      <w:proofErr w:type="spellStart"/>
      <w:r>
        <w:rPr>
          <w:rFonts w:asciiTheme="majorHAnsi" w:hAnsiTheme="majorHAnsi"/>
        </w:rPr>
        <w:t>etc</w:t>
      </w:r>
      <w:proofErr w:type="spellEnd"/>
      <w:r>
        <w:rPr>
          <w:rFonts w:asciiTheme="majorHAnsi" w:hAnsiTheme="majorHAnsi"/>
        </w:rPr>
        <w:t xml:space="preserve"> to remain within the incremental cost approach of the MLF;</w:t>
      </w:r>
    </w:p>
    <w:p w14:paraId="5A37CF25" w14:textId="77777777" w:rsidR="003063EF" w:rsidRPr="003063EF" w:rsidRDefault="003063EF" w:rsidP="00030657">
      <w:pPr>
        <w:rPr>
          <w:rFonts w:asciiTheme="majorHAnsi" w:hAnsiTheme="majorHAnsi"/>
          <w:b/>
          <w:sz w:val="8"/>
          <w:szCs w:val="8"/>
        </w:rPr>
      </w:pPr>
    </w:p>
    <w:p w14:paraId="343E60C6" w14:textId="79431A22" w:rsidR="00535949" w:rsidRDefault="00C15F1B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lastRenderedPageBreak/>
        <w:t>Take e</w:t>
      </w:r>
      <w:r w:rsidR="00A93401" w:rsidRPr="003063EF">
        <w:rPr>
          <w:rFonts w:asciiTheme="majorHAnsi" w:hAnsiTheme="majorHAnsi"/>
        </w:rPr>
        <w:t>arly action</w:t>
      </w:r>
      <w:r>
        <w:rPr>
          <w:rFonts w:asciiTheme="majorHAnsi" w:hAnsiTheme="majorHAnsi"/>
        </w:rPr>
        <w:t xml:space="preserve"> </w:t>
      </w:r>
      <w:r w:rsidR="00535949" w:rsidRPr="003063EF">
        <w:rPr>
          <w:rFonts w:asciiTheme="majorHAnsi" w:hAnsiTheme="majorHAnsi"/>
        </w:rPr>
        <w:t>by setting an early freeze and allowin</w:t>
      </w:r>
      <w:r w:rsidR="00A93401" w:rsidRPr="003063EF">
        <w:rPr>
          <w:rFonts w:asciiTheme="majorHAnsi" w:hAnsiTheme="majorHAnsi"/>
        </w:rPr>
        <w:t>g alignment with the HCFC phase-</w:t>
      </w:r>
      <w:r w:rsidR="00535949" w:rsidRPr="003063EF">
        <w:rPr>
          <w:rFonts w:asciiTheme="majorHAnsi" w:hAnsiTheme="majorHAnsi"/>
        </w:rPr>
        <w:t xml:space="preserve">out </w:t>
      </w:r>
      <w:r w:rsidR="00A93401" w:rsidRPr="003063EF">
        <w:rPr>
          <w:rFonts w:asciiTheme="majorHAnsi" w:hAnsiTheme="majorHAnsi"/>
        </w:rPr>
        <w:t>in order to</w:t>
      </w:r>
      <w:r w:rsidR="00535949" w:rsidRPr="003063EF">
        <w:rPr>
          <w:rFonts w:asciiTheme="majorHAnsi" w:hAnsiTheme="majorHAnsi"/>
        </w:rPr>
        <w:t xml:space="preserve"> minimize </w:t>
      </w:r>
      <w:r w:rsidR="00A93401" w:rsidRPr="003063EF">
        <w:rPr>
          <w:rFonts w:asciiTheme="majorHAnsi" w:hAnsiTheme="majorHAnsi"/>
        </w:rPr>
        <w:t>the phase-in</w:t>
      </w:r>
      <w:r w:rsidR="00535949" w:rsidRPr="003063EF">
        <w:rPr>
          <w:rFonts w:asciiTheme="majorHAnsi" w:hAnsiTheme="majorHAnsi"/>
        </w:rPr>
        <w:t xml:space="preserve"> of HFCs and </w:t>
      </w:r>
      <w:r w:rsidR="00A93401" w:rsidRPr="003063EF">
        <w:rPr>
          <w:rFonts w:asciiTheme="majorHAnsi" w:hAnsiTheme="majorHAnsi"/>
        </w:rPr>
        <w:t xml:space="preserve">to </w:t>
      </w:r>
      <w:r w:rsidR="00535949" w:rsidRPr="003063EF">
        <w:rPr>
          <w:rFonts w:asciiTheme="majorHAnsi" w:hAnsiTheme="majorHAnsi"/>
        </w:rPr>
        <w:t xml:space="preserve">maximize opportunities for leapfrogging, thus avoiding </w:t>
      </w:r>
      <w:r w:rsidR="00A93401" w:rsidRPr="003063EF">
        <w:rPr>
          <w:rFonts w:asciiTheme="majorHAnsi" w:hAnsiTheme="majorHAnsi"/>
        </w:rPr>
        <w:t>second</w:t>
      </w:r>
      <w:r w:rsidR="00535949" w:rsidRPr="003063EF">
        <w:rPr>
          <w:rFonts w:asciiTheme="majorHAnsi" w:hAnsiTheme="majorHAnsi"/>
        </w:rPr>
        <w:t xml:space="preserve"> and </w:t>
      </w:r>
      <w:r w:rsidR="00A93401" w:rsidRPr="003063EF">
        <w:rPr>
          <w:rFonts w:asciiTheme="majorHAnsi" w:hAnsiTheme="majorHAnsi"/>
        </w:rPr>
        <w:t>third</w:t>
      </w:r>
      <w:r w:rsidR="00535949" w:rsidRPr="003063EF">
        <w:rPr>
          <w:rFonts w:asciiTheme="majorHAnsi" w:hAnsiTheme="majorHAnsi"/>
        </w:rPr>
        <w:t xml:space="preserve"> conversions to the extent possible, while at the same time providing countries with the flexibility to prioritize those sectors and </w:t>
      </w:r>
      <w:r w:rsidR="003063EF">
        <w:rPr>
          <w:rFonts w:asciiTheme="majorHAnsi" w:hAnsiTheme="majorHAnsi"/>
        </w:rPr>
        <w:t>substances they wish to address;</w:t>
      </w:r>
    </w:p>
    <w:p w14:paraId="17463A54" w14:textId="77777777" w:rsidR="003063EF" w:rsidRPr="003063EF" w:rsidRDefault="003063EF" w:rsidP="00030657">
      <w:pPr>
        <w:rPr>
          <w:rFonts w:asciiTheme="majorHAnsi" w:hAnsiTheme="majorHAnsi"/>
          <w:sz w:val="8"/>
          <w:szCs w:val="8"/>
        </w:rPr>
      </w:pPr>
    </w:p>
    <w:p w14:paraId="143DDCFC" w14:textId="67CAEA1E" w:rsidR="00807519" w:rsidRPr="003063EF" w:rsidRDefault="00C15F1B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b/>
        </w:rPr>
      </w:pPr>
      <w:r>
        <w:rPr>
          <w:rFonts w:asciiTheme="majorHAnsi" w:hAnsiTheme="majorHAnsi"/>
        </w:rPr>
        <w:t>Define c</w:t>
      </w:r>
      <w:r w:rsidR="006009FD" w:rsidRPr="003063EF">
        <w:rPr>
          <w:rFonts w:asciiTheme="majorHAnsi" w:hAnsiTheme="majorHAnsi"/>
        </w:rPr>
        <w:t>ut-off</w:t>
      </w:r>
      <w:r w:rsidR="001E713A">
        <w:rPr>
          <w:rFonts w:asciiTheme="majorHAnsi" w:hAnsiTheme="majorHAnsi"/>
        </w:rPr>
        <w:t>/Eligibility</w:t>
      </w:r>
      <w:r w:rsidR="006009FD" w:rsidRPr="003063EF">
        <w:rPr>
          <w:rFonts w:asciiTheme="majorHAnsi" w:hAnsiTheme="majorHAnsi"/>
        </w:rPr>
        <w:t xml:space="preserve"> date</w:t>
      </w:r>
      <w:r>
        <w:rPr>
          <w:rFonts w:asciiTheme="majorHAnsi" w:hAnsiTheme="majorHAnsi"/>
        </w:rPr>
        <w:t xml:space="preserve">, </w:t>
      </w:r>
      <w:r w:rsidR="00D14175" w:rsidRPr="003063EF">
        <w:rPr>
          <w:rFonts w:asciiTheme="majorHAnsi" w:hAnsiTheme="majorHAnsi"/>
        </w:rPr>
        <w:t xml:space="preserve">taking into account </w:t>
      </w:r>
      <w:r w:rsidR="00C37F66" w:rsidRPr="003063EF">
        <w:rPr>
          <w:rFonts w:asciiTheme="majorHAnsi" w:hAnsiTheme="majorHAnsi"/>
        </w:rPr>
        <w:t xml:space="preserve">the </w:t>
      </w:r>
      <w:r w:rsidR="006009FD" w:rsidRPr="003063EF">
        <w:rPr>
          <w:rFonts w:asciiTheme="majorHAnsi" w:hAnsiTheme="majorHAnsi"/>
        </w:rPr>
        <w:t xml:space="preserve">date of adoption of </w:t>
      </w:r>
      <w:r w:rsidR="00C37F66" w:rsidRPr="003063EF">
        <w:rPr>
          <w:rFonts w:asciiTheme="majorHAnsi" w:hAnsiTheme="majorHAnsi"/>
        </w:rPr>
        <w:t xml:space="preserve">the </w:t>
      </w:r>
      <w:r w:rsidR="006009FD" w:rsidRPr="003063EF">
        <w:rPr>
          <w:rFonts w:asciiTheme="majorHAnsi" w:hAnsiTheme="majorHAnsi"/>
        </w:rPr>
        <w:t>amendment</w:t>
      </w:r>
      <w:r w:rsidR="00D14175" w:rsidRPr="003063EF">
        <w:rPr>
          <w:rFonts w:asciiTheme="majorHAnsi" w:hAnsiTheme="majorHAnsi"/>
        </w:rPr>
        <w:t xml:space="preserve"> and overall funding arrangements</w:t>
      </w:r>
      <w:r w:rsidR="003063EF">
        <w:rPr>
          <w:rFonts w:asciiTheme="majorHAnsi" w:hAnsiTheme="majorHAnsi"/>
        </w:rPr>
        <w:t>;</w:t>
      </w:r>
    </w:p>
    <w:p w14:paraId="31D25358" w14:textId="77777777" w:rsidR="003063EF" w:rsidRPr="003063EF" w:rsidRDefault="003063EF" w:rsidP="00030657">
      <w:pPr>
        <w:rPr>
          <w:rFonts w:asciiTheme="majorHAnsi" w:hAnsiTheme="majorHAnsi"/>
          <w:b/>
          <w:sz w:val="8"/>
          <w:szCs w:val="8"/>
        </w:rPr>
      </w:pPr>
    </w:p>
    <w:p w14:paraId="0250E164" w14:textId="5E567D9B" w:rsidR="006009FD" w:rsidRPr="003063EF" w:rsidRDefault="006009FD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b/>
          <w:i/>
        </w:rPr>
      </w:pPr>
      <w:r w:rsidRPr="003063EF">
        <w:rPr>
          <w:rFonts w:asciiTheme="majorHAnsi" w:hAnsiTheme="majorHAnsi"/>
          <w:i/>
        </w:rPr>
        <w:t>Cut-off</w:t>
      </w:r>
      <w:r w:rsidR="001E713A">
        <w:rPr>
          <w:rFonts w:asciiTheme="majorHAnsi" w:hAnsiTheme="majorHAnsi"/>
          <w:i/>
        </w:rPr>
        <w:t>/Eligibility</w:t>
      </w:r>
      <w:r w:rsidRPr="003063EF">
        <w:rPr>
          <w:rFonts w:asciiTheme="majorHAnsi" w:hAnsiTheme="majorHAnsi"/>
          <w:i/>
        </w:rPr>
        <w:t xml:space="preserve"> date should not be </w:t>
      </w:r>
      <w:r w:rsidR="00C37F66" w:rsidRPr="003063EF">
        <w:rPr>
          <w:rFonts w:asciiTheme="majorHAnsi" w:hAnsiTheme="majorHAnsi"/>
          <w:i/>
        </w:rPr>
        <w:t xml:space="preserve">the </w:t>
      </w:r>
      <w:r w:rsidRPr="003063EF">
        <w:rPr>
          <w:rFonts w:asciiTheme="majorHAnsi" w:hAnsiTheme="majorHAnsi"/>
          <w:i/>
        </w:rPr>
        <w:t xml:space="preserve">date of adoption of </w:t>
      </w:r>
      <w:r w:rsidR="00C37F66" w:rsidRPr="003063EF">
        <w:rPr>
          <w:rFonts w:asciiTheme="majorHAnsi" w:hAnsiTheme="majorHAnsi"/>
          <w:i/>
        </w:rPr>
        <w:t xml:space="preserve">the </w:t>
      </w:r>
      <w:r w:rsidRPr="003063EF">
        <w:rPr>
          <w:rFonts w:asciiTheme="majorHAnsi" w:hAnsiTheme="majorHAnsi"/>
          <w:i/>
        </w:rPr>
        <w:t>amendment</w:t>
      </w:r>
      <w:r w:rsidR="00DF339F" w:rsidRPr="003063EF">
        <w:rPr>
          <w:rFonts w:asciiTheme="majorHAnsi" w:hAnsiTheme="majorHAnsi"/>
          <w:i/>
        </w:rPr>
        <w:t xml:space="preserve">, as </w:t>
      </w:r>
      <w:r w:rsidR="001E713A">
        <w:rPr>
          <w:rFonts w:asciiTheme="majorHAnsi" w:hAnsiTheme="majorHAnsi"/>
          <w:i/>
        </w:rPr>
        <w:t>Article 5 parties</w:t>
      </w:r>
      <w:r w:rsidR="00DF339F" w:rsidRPr="003063EF">
        <w:rPr>
          <w:rFonts w:asciiTheme="majorHAnsi" w:hAnsiTheme="majorHAnsi"/>
          <w:i/>
        </w:rPr>
        <w:t xml:space="preserve"> </w:t>
      </w:r>
      <w:r w:rsidR="001E713A">
        <w:rPr>
          <w:rFonts w:asciiTheme="majorHAnsi" w:hAnsiTheme="majorHAnsi"/>
          <w:i/>
        </w:rPr>
        <w:t>are</w:t>
      </w:r>
      <w:r w:rsidR="00DF339F" w:rsidRPr="003063EF">
        <w:rPr>
          <w:rFonts w:asciiTheme="majorHAnsi" w:hAnsiTheme="majorHAnsi"/>
          <w:i/>
        </w:rPr>
        <w:t xml:space="preserve"> in </w:t>
      </w:r>
      <w:r w:rsidR="004E1E31" w:rsidRPr="003063EF">
        <w:rPr>
          <w:rFonts w:asciiTheme="majorHAnsi" w:hAnsiTheme="majorHAnsi"/>
          <w:i/>
        </w:rPr>
        <w:t xml:space="preserve">the </w:t>
      </w:r>
      <w:r w:rsidR="00DF339F" w:rsidRPr="003063EF">
        <w:rPr>
          <w:rFonts w:asciiTheme="majorHAnsi" w:hAnsiTheme="majorHAnsi"/>
          <w:i/>
        </w:rPr>
        <w:t>early stages of HCFC phase-out and still use significant quantities of HFCs</w:t>
      </w:r>
      <w:r w:rsidR="001E713A">
        <w:rPr>
          <w:rFonts w:asciiTheme="majorHAnsi" w:hAnsiTheme="majorHAnsi"/>
          <w:i/>
        </w:rPr>
        <w:t>,</w:t>
      </w:r>
      <w:r w:rsidR="00DF339F" w:rsidRPr="003063EF">
        <w:rPr>
          <w:rFonts w:asciiTheme="majorHAnsi" w:hAnsiTheme="majorHAnsi"/>
          <w:i/>
        </w:rPr>
        <w:t xml:space="preserve"> most companies would not be eligible for funding</w:t>
      </w:r>
      <w:r w:rsidR="003063EF">
        <w:rPr>
          <w:rFonts w:asciiTheme="majorHAnsi" w:hAnsiTheme="majorHAnsi"/>
          <w:i/>
        </w:rPr>
        <w:t>;</w:t>
      </w:r>
    </w:p>
    <w:p w14:paraId="32D43573" w14:textId="77777777" w:rsidR="003063EF" w:rsidRPr="003063EF" w:rsidRDefault="003063EF" w:rsidP="00030657">
      <w:pPr>
        <w:rPr>
          <w:rFonts w:asciiTheme="majorHAnsi" w:hAnsiTheme="majorHAnsi"/>
          <w:b/>
          <w:i/>
          <w:sz w:val="8"/>
          <w:szCs w:val="8"/>
        </w:rPr>
      </w:pPr>
    </w:p>
    <w:p w14:paraId="4F9BD4E0" w14:textId="371D7B33" w:rsidR="003A7AA1" w:rsidRPr="003063EF" w:rsidRDefault="00063C43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i/>
        </w:rPr>
      </w:pPr>
      <w:r w:rsidRPr="003063EF">
        <w:rPr>
          <w:rFonts w:asciiTheme="majorHAnsi" w:hAnsiTheme="majorHAnsi"/>
        </w:rPr>
        <w:t>Disincentives to the establishment of new HFC production capacity need to be put in place, ensuring a level playing field for all enterprises</w:t>
      </w:r>
      <w:r w:rsidR="003063EF">
        <w:rPr>
          <w:rFonts w:asciiTheme="majorHAnsi" w:hAnsiTheme="majorHAnsi"/>
        </w:rPr>
        <w:t>;</w:t>
      </w:r>
    </w:p>
    <w:p w14:paraId="12036159" w14:textId="77777777" w:rsidR="003063EF" w:rsidRPr="003063EF" w:rsidRDefault="003063EF" w:rsidP="00030657">
      <w:pPr>
        <w:rPr>
          <w:rFonts w:asciiTheme="majorHAnsi" w:hAnsiTheme="majorHAnsi"/>
          <w:i/>
          <w:sz w:val="8"/>
          <w:szCs w:val="8"/>
        </w:rPr>
      </w:pPr>
    </w:p>
    <w:p w14:paraId="375B1432" w14:textId="1E8CCBF8" w:rsidR="00880868" w:rsidRPr="00880868" w:rsidRDefault="00063C43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i/>
        </w:rPr>
      </w:pPr>
      <w:r w:rsidRPr="003063EF">
        <w:rPr>
          <w:rFonts w:asciiTheme="majorHAnsi" w:hAnsiTheme="majorHAnsi"/>
        </w:rPr>
        <w:t>Funding for the servic</w:t>
      </w:r>
      <w:r w:rsidR="003063EF">
        <w:rPr>
          <w:rFonts w:asciiTheme="majorHAnsi" w:hAnsiTheme="majorHAnsi"/>
        </w:rPr>
        <w:t>ing sector need</w:t>
      </w:r>
      <w:r w:rsidR="001E713A">
        <w:rPr>
          <w:rFonts w:asciiTheme="majorHAnsi" w:hAnsiTheme="majorHAnsi"/>
        </w:rPr>
        <w:t>s</w:t>
      </w:r>
      <w:r w:rsidR="003063EF">
        <w:rPr>
          <w:rFonts w:asciiTheme="majorHAnsi" w:hAnsiTheme="majorHAnsi"/>
        </w:rPr>
        <w:t xml:space="preserve"> to be ensured;</w:t>
      </w:r>
      <w:r w:rsidRPr="003063EF">
        <w:rPr>
          <w:rFonts w:asciiTheme="majorHAnsi" w:hAnsiTheme="majorHAnsi"/>
        </w:rPr>
        <w:t xml:space="preserve"> </w:t>
      </w:r>
    </w:p>
    <w:p w14:paraId="1A79BBBE" w14:textId="77777777" w:rsidR="00880868" w:rsidRPr="00880868" w:rsidRDefault="00880868" w:rsidP="00030657">
      <w:pPr>
        <w:rPr>
          <w:rFonts w:asciiTheme="majorHAnsi" w:hAnsiTheme="majorHAnsi"/>
          <w:i/>
          <w:sz w:val="8"/>
          <w:szCs w:val="8"/>
        </w:rPr>
      </w:pPr>
    </w:p>
    <w:p w14:paraId="5A53037E" w14:textId="77777777" w:rsidR="003063EF" w:rsidRPr="003063EF" w:rsidRDefault="003063EF" w:rsidP="00030657">
      <w:pPr>
        <w:rPr>
          <w:rFonts w:asciiTheme="majorHAnsi" w:hAnsiTheme="majorHAnsi"/>
          <w:i/>
          <w:sz w:val="8"/>
          <w:szCs w:val="8"/>
        </w:rPr>
      </w:pPr>
    </w:p>
    <w:p w14:paraId="1EFC8EBF" w14:textId="6419B3BE" w:rsidR="001E132B" w:rsidRPr="00FC2C03" w:rsidRDefault="00063C43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i/>
        </w:rPr>
      </w:pPr>
      <w:r w:rsidRPr="003063EF">
        <w:rPr>
          <w:rFonts w:asciiTheme="majorHAnsi" w:hAnsiTheme="majorHAnsi"/>
        </w:rPr>
        <w:t xml:space="preserve">Funding should be available for early stage activities, including </w:t>
      </w:r>
      <w:r w:rsidR="00C23D78">
        <w:rPr>
          <w:rFonts w:asciiTheme="majorHAnsi" w:hAnsiTheme="majorHAnsi"/>
        </w:rPr>
        <w:t xml:space="preserve">capacity building activities </w:t>
      </w:r>
      <w:r w:rsidRPr="003063EF">
        <w:rPr>
          <w:rFonts w:asciiTheme="majorHAnsi" w:hAnsiTheme="majorHAnsi"/>
        </w:rPr>
        <w:t xml:space="preserve">with regard to licensing systems, </w:t>
      </w:r>
      <w:r w:rsidR="00FA2121" w:rsidRPr="003063EF">
        <w:rPr>
          <w:rFonts w:asciiTheme="majorHAnsi" w:hAnsiTheme="majorHAnsi"/>
        </w:rPr>
        <w:t>policy development</w:t>
      </w:r>
      <w:r w:rsidR="00C23D78">
        <w:rPr>
          <w:rFonts w:asciiTheme="majorHAnsi" w:hAnsiTheme="majorHAnsi"/>
        </w:rPr>
        <w:t xml:space="preserve">, </w:t>
      </w:r>
      <w:r w:rsidR="00FA2121" w:rsidRPr="003063EF">
        <w:rPr>
          <w:rFonts w:asciiTheme="majorHAnsi" w:hAnsiTheme="majorHAnsi"/>
        </w:rPr>
        <w:t>training, including train</w:t>
      </w:r>
      <w:r w:rsidR="002C0265" w:rsidRPr="003063EF">
        <w:rPr>
          <w:rFonts w:asciiTheme="majorHAnsi" w:hAnsiTheme="majorHAnsi"/>
        </w:rPr>
        <w:t>ing on alternative technologies</w:t>
      </w:r>
      <w:r w:rsidR="00C23D78">
        <w:rPr>
          <w:rFonts w:asciiTheme="majorHAnsi" w:hAnsiTheme="majorHAnsi"/>
        </w:rPr>
        <w:t>, equipment support to technicians and awareness raising</w:t>
      </w:r>
      <w:r w:rsidR="003063EF">
        <w:rPr>
          <w:rFonts w:asciiTheme="majorHAnsi" w:hAnsiTheme="majorHAnsi"/>
        </w:rPr>
        <w:t>;</w:t>
      </w:r>
      <w:r w:rsidR="00880868">
        <w:rPr>
          <w:rFonts w:asciiTheme="majorHAnsi" w:hAnsiTheme="majorHAnsi"/>
        </w:rPr>
        <w:t xml:space="preserve"> </w:t>
      </w:r>
    </w:p>
    <w:p w14:paraId="1CC9319C" w14:textId="77777777" w:rsidR="003063EF" w:rsidRPr="003063EF" w:rsidRDefault="003063EF" w:rsidP="00030657">
      <w:pPr>
        <w:rPr>
          <w:rFonts w:asciiTheme="majorHAnsi" w:hAnsiTheme="majorHAnsi"/>
          <w:i/>
          <w:sz w:val="8"/>
          <w:szCs w:val="8"/>
        </w:rPr>
      </w:pPr>
    </w:p>
    <w:p w14:paraId="4B2ABF9F" w14:textId="2476D903" w:rsidR="001E132B" w:rsidRPr="00FC2C03" w:rsidRDefault="002C0265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i/>
        </w:rPr>
      </w:pPr>
      <w:r w:rsidRPr="003063EF">
        <w:rPr>
          <w:rFonts w:asciiTheme="majorHAnsi" w:hAnsiTheme="majorHAnsi"/>
        </w:rPr>
        <w:t xml:space="preserve">Funding should </w:t>
      </w:r>
      <w:r w:rsidR="00C75F31" w:rsidRPr="003063EF">
        <w:rPr>
          <w:rFonts w:asciiTheme="majorHAnsi" w:hAnsiTheme="majorHAnsi"/>
        </w:rPr>
        <w:t xml:space="preserve">also </w:t>
      </w:r>
      <w:r w:rsidRPr="003063EF">
        <w:rPr>
          <w:rFonts w:asciiTheme="majorHAnsi" w:hAnsiTheme="majorHAnsi"/>
        </w:rPr>
        <w:t xml:space="preserve">be available for </w:t>
      </w:r>
      <w:r w:rsidR="00EC5F99" w:rsidRPr="003063EF">
        <w:rPr>
          <w:rFonts w:asciiTheme="majorHAnsi" w:hAnsiTheme="majorHAnsi"/>
        </w:rPr>
        <w:t>the definition and adoption of national safety standards</w:t>
      </w:r>
      <w:r w:rsidR="00372D5B">
        <w:rPr>
          <w:rFonts w:asciiTheme="majorHAnsi" w:hAnsiTheme="majorHAnsi"/>
        </w:rPr>
        <w:t xml:space="preserve">, building codes </w:t>
      </w:r>
      <w:r w:rsidR="00EC5F99" w:rsidRPr="003063EF">
        <w:rPr>
          <w:rFonts w:asciiTheme="majorHAnsi" w:hAnsiTheme="majorHAnsi"/>
        </w:rPr>
        <w:t xml:space="preserve">and </w:t>
      </w:r>
      <w:r w:rsidRPr="003063EF">
        <w:rPr>
          <w:rFonts w:asciiTheme="majorHAnsi" w:hAnsiTheme="majorHAnsi"/>
        </w:rPr>
        <w:t>pilot projects to facilitate market penetration of alternatives</w:t>
      </w:r>
      <w:r w:rsidR="003063EF">
        <w:rPr>
          <w:rFonts w:asciiTheme="majorHAnsi" w:hAnsiTheme="majorHAnsi"/>
        </w:rPr>
        <w:t>;</w:t>
      </w:r>
    </w:p>
    <w:p w14:paraId="5121FE85" w14:textId="77777777" w:rsidR="007D4166" w:rsidRPr="00FC2C03" w:rsidRDefault="007D4166" w:rsidP="00030657">
      <w:pPr>
        <w:rPr>
          <w:rFonts w:asciiTheme="majorHAnsi" w:hAnsiTheme="majorHAnsi"/>
          <w:i/>
          <w:sz w:val="8"/>
          <w:szCs w:val="8"/>
        </w:rPr>
      </w:pPr>
    </w:p>
    <w:p w14:paraId="73277119" w14:textId="342053B8" w:rsidR="001E132B" w:rsidRDefault="001E132B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 w:rsidRPr="00FC2C03">
        <w:rPr>
          <w:rFonts w:asciiTheme="majorHAnsi" w:hAnsiTheme="majorHAnsi"/>
        </w:rPr>
        <w:t xml:space="preserve">With regard </w:t>
      </w:r>
      <w:r>
        <w:rPr>
          <w:rFonts w:asciiTheme="majorHAnsi" w:hAnsiTheme="majorHAnsi"/>
        </w:rPr>
        <w:t>to technical and financial assistance, the MOP could ask the Executive Committee to pay special attention to LVCs and VLVCs;</w:t>
      </w:r>
    </w:p>
    <w:p w14:paraId="431AB35D" w14:textId="77777777" w:rsidR="007D4166" w:rsidRPr="00FC2C03" w:rsidRDefault="007D4166" w:rsidP="00030657">
      <w:pPr>
        <w:rPr>
          <w:rFonts w:asciiTheme="majorHAnsi" w:hAnsiTheme="majorHAnsi"/>
          <w:sz w:val="8"/>
          <w:szCs w:val="8"/>
        </w:rPr>
      </w:pPr>
    </w:p>
    <w:p w14:paraId="466245C0" w14:textId="157210D9" w:rsidR="007D4166" w:rsidRPr="00FC2C03" w:rsidRDefault="007D4166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</w:rPr>
      </w:pPr>
      <w:r>
        <w:rPr>
          <w:rFonts w:asciiTheme="majorHAnsi" w:hAnsiTheme="majorHAnsi"/>
        </w:rPr>
        <w:t>Important to address funding for small and medium enterprises (SMEs)</w:t>
      </w:r>
    </w:p>
    <w:p w14:paraId="100F7286" w14:textId="77777777" w:rsidR="003063EF" w:rsidRPr="00FC2C03" w:rsidRDefault="003063EF" w:rsidP="00030657">
      <w:pPr>
        <w:rPr>
          <w:rFonts w:asciiTheme="majorHAnsi" w:hAnsiTheme="majorHAnsi"/>
          <w:sz w:val="8"/>
          <w:szCs w:val="8"/>
        </w:rPr>
      </w:pPr>
    </w:p>
    <w:p w14:paraId="3530240B" w14:textId="7525745B" w:rsidR="00063C43" w:rsidRPr="003063EF" w:rsidRDefault="00B324E3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i/>
        </w:rPr>
      </w:pPr>
      <w:r w:rsidRPr="003063EF">
        <w:rPr>
          <w:rFonts w:asciiTheme="majorHAnsi" w:hAnsiTheme="majorHAnsi"/>
        </w:rPr>
        <w:t>Consideration should be given to extending</w:t>
      </w:r>
      <w:r w:rsidR="00063C43" w:rsidRPr="003063EF">
        <w:rPr>
          <w:rFonts w:asciiTheme="majorHAnsi" w:hAnsiTheme="majorHAnsi"/>
        </w:rPr>
        <w:t xml:space="preserve"> </w:t>
      </w:r>
      <w:r w:rsidRPr="003063EF">
        <w:rPr>
          <w:rFonts w:asciiTheme="majorHAnsi" w:hAnsiTheme="majorHAnsi"/>
        </w:rPr>
        <w:t xml:space="preserve">financial </w:t>
      </w:r>
      <w:r w:rsidR="00063C43" w:rsidRPr="003063EF">
        <w:rPr>
          <w:rFonts w:asciiTheme="majorHAnsi" w:hAnsiTheme="majorHAnsi"/>
        </w:rPr>
        <w:t xml:space="preserve">incentives beyond the manufacturing sector to embrace the </w:t>
      </w:r>
      <w:r w:rsidR="00642A7F" w:rsidRPr="003063EF">
        <w:rPr>
          <w:rFonts w:asciiTheme="majorHAnsi" w:hAnsiTheme="majorHAnsi"/>
        </w:rPr>
        <w:t>refrigerat</w:t>
      </w:r>
      <w:r w:rsidR="00063C43" w:rsidRPr="003063EF">
        <w:rPr>
          <w:rFonts w:asciiTheme="majorHAnsi" w:hAnsiTheme="majorHAnsi"/>
        </w:rPr>
        <w:t>ion servicing sector</w:t>
      </w:r>
      <w:r w:rsidR="003063EF">
        <w:rPr>
          <w:rFonts w:asciiTheme="majorHAnsi" w:hAnsiTheme="majorHAnsi"/>
        </w:rPr>
        <w:t>;</w:t>
      </w:r>
    </w:p>
    <w:p w14:paraId="5F0C47A5" w14:textId="77777777" w:rsidR="003063EF" w:rsidRPr="003063EF" w:rsidRDefault="003063EF" w:rsidP="00030657">
      <w:pPr>
        <w:rPr>
          <w:rFonts w:asciiTheme="majorHAnsi" w:hAnsiTheme="majorHAnsi"/>
          <w:i/>
          <w:sz w:val="8"/>
          <w:szCs w:val="8"/>
        </w:rPr>
      </w:pPr>
    </w:p>
    <w:p w14:paraId="2737A48A" w14:textId="0D094D70" w:rsidR="00285D85" w:rsidRPr="003063EF" w:rsidRDefault="00285D85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i/>
        </w:rPr>
      </w:pPr>
      <w:r w:rsidRPr="003063EF">
        <w:rPr>
          <w:rFonts w:asciiTheme="majorHAnsi" w:hAnsiTheme="majorHAnsi"/>
        </w:rPr>
        <w:t xml:space="preserve">Funding should be available for </w:t>
      </w:r>
      <w:r w:rsidR="00D031BB" w:rsidRPr="003063EF">
        <w:rPr>
          <w:rFonts w:asciiTheme="majorHAnsi" w:hAnsiTheme="majorHAnsi"/>
        </w:rPr>
        <w:t xml:space="preserve">the </w:t>
      </w:r>
      <w:r w:rsidRPr="003063EF">
        <w:rPr>
          <w:rFonts w:asciiTheme="majorHAnsi" w:hAnsiTheme="majorHAnsi"/>
        </w:rPr>
        <w:t>disposal of HFCs, especially in the case of LVCs and VLVCs</w:t>
      </w:r>
      <w:r w:rsidR="003063EF">
        <w:rPr>
          <w:rFonts w:asciiTheme="majorHAnsi" w:hAnsiTheme="majorHAnsi"/>
        </w:rPr>
        <w:t>;</w:t>
      </w:r>
    </w:p>
    <w:p w14:paraId="4C3AF657" w14:textId="77777777" w:rsidR="003063EF" w:rsidRPr="003063EF" w:rsidRDefault="003063EF" w:rsidP="00030657">
      <w:pPr>
        <w:rPr>
          <w:rFonts w:asciiTheme="majorHAnsi" w:hAnsiTheme="majorHAnsi"/>
          <w:i/>
          <w:sz w:val="8"/>
          <w:szCs w:val="8"/>
        </w:rPr>
      </w:pPr>
    </w:p>
    <w:p w14:paraId="1D7BE06C" w14:textId="6BDBD639" w:rsidR="00BA5BC7" w:rsidRPr="003063EF" w:rsidRDefault="0025323A" w:rsidP="00030657">
      <w:pPr>
        <w:pStyle w:val="ListParagraph"/>
        <w:numPr>
          <w:ilvl w:val="0"/>
          <w:numId w:val="4"/>
        </w:numPr>
        <w:spacing w:after="0" w:line="240" w:lineRule="auto"/>
        <w:ind w:left="426"/>
        <w:rPr>
          <w:rFonts w:asciiTheme="majorHAnsi" w:hAnsiTheme="majorHAnsi"/>
          <w:i/>
        </w:rPr>
      </w:pPr>
      <w:r w:rsidRPr="003063EF">
        <w:rPr>
          <w:rFonts w:asciiTheme="majorHAnsi" w:hAnsiTheme="majorHAnsi"/>
        </w:rPr>
        <w:t>The climate protection premium in</w:t>
      </w:r>
      <w:r w:rsidR="00BA5BC7" w:rsidRPr="003063EF">
        <w:rPr>
          <w:rFonts w:asciiTheme="majorHAnsi" w:hAnsiTheme="majorHAnsi"/>
        </w:rPr>
        <w:t xml:space="preserve"> </w:t>
      </w:r>
      <w:r w:rsidRPr="003063EF">
        <w:rPr>
          <w:rFonts w:asciiTheme="majorHAnsi" w:hAnsiTheme="majorHAnsi"/>
        </w:rPr>
        <w:t xml:space="preserve">MLF </w:t>
      </w:r>
      <w:r w:rsidR="00BA5BC7" w:rsidRPr="003063EF">
        <w:rPr>
          <w:rFonts w:asciiTheme="majorHAnsi" w:hAnsiTheme="majorHAnsi"/>
        </w:rPr>
        <w:t xml:space="preserve">funding </w:t>
      </w:r>
      <w:r w:rsidRPr="003063EF">
        <w:rPr>
          <w:rFonts w:asciiTheme="majorHAnsi" w:hAnsiTheme="majorHAnsi"/>
        </w:rPr>
        <w:t>should be increased and expanded to avoid uptake of high-GWP alternatives to HCFCs.</w:t>
      </w:r>
      <w:r w:rsidR="00BA5BC7" w:rsidRPr="003063EF">
        <w:rPr>
          <w:rFonts w:asciiTheme="majorHAnsi" w:hAnsiTheme="majorHAnsi"/>
        </w:rPr>
        <w:t xml:space="preserve"> </w:t>
      </w:r>
    </w:p>
    <w:sectPr w:rsidR="00BA5BC7" w:rsidRPr="003063EF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C420B"/>
    <w:multiLevelType w:val="hybridMultilevel"/>
    <w:tmpl w:val="B1A8F7A4"/>
    <w:lvl w:ilvl="0" w:tplc="F424BFEA"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5AA69A3"/>
    <w:multiLevelType w:val="hybridMultilevel"/>
    <w:tmpl w:val="E6140FF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05621"/>
    <w:multiLevelType w:val="hybridMultilevel"/>
    <w:tmpl w:val="704C7F84"/>
    <w:lvl w:ilvl="0" w:tplc="93AA7FB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EB44D6"/>
    <w:multiLevelType w:val="hybridMultilevel"/>
    <w:tmpl w:val="FE6E7462"/>
    <w:lvl w:ilvl="0" w:tplc="F424BFEA"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0A57964"/>
    <w:multiLevelType w:val="hybridMultilevel"/>
    <w:tmpl w:val="FF20276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24BFEA">
      <w:numFmt w:val="bullet"/>
      <w:lvlText w:val="-"/>
      <w:lvlJc w:val="left"/>
      <w:pPr>
        <w:ind w:left="2160" w:hanging="360"/>
      </w:pPr>
      <w:rPr>
        <w:rFonts w:ascii="Cambria" w:eastAsiaTheme="minorEastAsia" w:hAnsi="Cambria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4DB20C4"/>
    <w:multiLevelType w:val="hybridMultilevel"/>
    <w:tmpl w:val="63BEDE1E"/>
    <w:lvl w:ilvl="0" w:tplc="F424BFEA">
      <w:numFmt w:val="bullet"/>
      <w:lvlText w:val="-"/>
      <w:lvlJc w:val="left"/>
      <w:pPr>
        <w:ind w:left="144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60950498"/>
    <w:multiLevelType w:val="hybridMultilevel"/>
    <w:tmpl w:val="C16E0934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24B0FE7"/>
    <w:multiLevelType w:val="hybridMultilevel"/>
    <w:tmpl w:val="045C9052"/>
    <w:lvl w:ilvl="0" w:tplc="9544F1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B137A2"/>
    <w:multiLevelType w:val="hybridMultilevel"/>
    <w:tmpl w:val="2E9A56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1A272A">
      <w:numFmt w:val="bullet"/>
      <w:lvlText w:val="-"/>
      <w:lvlJc w:val="left"/>
      <w:pPr>
        <w:ind w:left="2220" w:hanging="420"/>
      </w:pPr>
      <w:rPr>
        <w:rFonts w:ascii="Calibri" w:eastAsia="Times New Roman" w:hAnsi="Calibri" w:cs="Times New Roman" w:hint="default"/>
        <w:color w:val="1F497D"/>
        <w:sz w:val="22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43775B"/>
    <w:multiLevelType w:val="hybridMultilevel"/>
    <w:tmpl w:val="5646326E"/>
    <w:lvl w:ilvl="0" w:tplc="040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4"/>
  </w:num>
  <w:num w:numId="5">
    <w:abstractNumId w:val="9"/>
  </w:num>
  <w:num w:numId="6">
    <w:abstractNumId w:val="1"/>
  </w:num>
  <w:num w:numId="7">
    <w:abstractNumId w:val="6"/>
  </w:num>
  <w:num w:numId="8">
    <w:abstractNumId w:val="5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15F"/>
    <w:rsid w:val="00030657"/>
    <w:rsid w:val="00063C43"/>
    <w:rsid w:val="0008041D"/>
    <w:rsid w:val="00092651"/>
    <w:rsid w:val="000B0414"/>
    <w:rsid w:val="000C3FC7"/>
    <w:rsid w:val="000D6F34"/>
    <w:rsid w:val="000E0D1C"/>
    <w:rsid w:val="000E6EDD"/>
    <w:rsid w:val="000F304C"/>
    <w:rsid w:val="00117B00"/>
    <w:rsid w:val="0015226C"/>
    <w:rsid w:val="0016545B"/>
    <w:rsid w:val="001A4DBA"/>
    <w:rsid w:val="001B31AE"/>
    <w:rsid w:val="001C54B1"/>
    <w:rsid w:val="001D2302"/>
    <w:rsid w:val="001D5D1E"/>
    <w:rsid w:val="001D66E0"/>
    <w:rsid w:val="001E132B"/>
    <w:rsid w:val="001E713A"/>
    <w:rsid w:val="002079E0"/>
    <w:rsid w:val="00210079"/>
    <w:rsid w:val="0025323A"/>
    <w:rsid w:val="002549A1"/>
    <w:rsid w:val="00265F43"/>
    <w:rsid w:val="00285D85"/>
    <w:rsid w:val="002C0265"/>
    <w:rsid w:val="003063EF"/>
    <w:rsid w:val="00317461"/>
    <w:rsid w:val="00323AB4"/>
    <w:rsid w:val="003505D9"/>
    <w:rsid w:val="00372D5B"/>
    <w:rsid w:val="003A70E1"/>
    <w:rsid w:val="003A7AA1"/>
    <w:rsid w:val="003D0F79"/>
    <w:rsid w:val="003F3802"/>
    <w:rsid w:val="00440DD7"/>
    <w:rsid w:val="00470ADC"/>
    <w:rsid w:val="00471A98"/>
    <w:rsid w:val="00480233"/>
    <w:rsid w:val="00495AA6"/>
    <w:rsid w:val="004A279D"/>
    <w:rsid w:val="004C2D8A"/>
    <w:rsid w:val="004E1E31"/>
    <w:rsid w:val="004E4F24"/>
    <w:rsid w:val="00530F54"/>
    <w:rsid w:val="00535949"/>
    <w:rsid w:val="00556D9A"/>
    <w:rsid w:val="0057625C"/>
    <w:rsid w:val="00597B68"/>
    <w:rsid w:val="005A2B21"/>
    <w:rsid w:val="005A4C3D"/>
    <w:rsid w:val="005C71D6"/>
    <w:rsid w:val="005E1BE7"/>
    <w:rsid w:val="005F760C"/>
    <w:rsid w:val="006009FD"/>
    <w:rsid w:val="00606AC5"/>
    <w:rsid w:val="00606E52"/>
    <w:rsid w:val="00631D4D"/>
    <w:rsid w:val="0063708A"/>
    <w:rsid w:val="00637107"/>
    <w:rsid w:val="00642A7F"/>
    <w:rsid w:val="00682515"/>
    <w:rsid w:val="006A7588"/>
    <w:rsid w:val="006F4CB3"/>
    <w:rsid w:val="00704FDA"/>
    <w:rsid w:val="0073754A"/>
    <w:rsid w:val="007631B1"/>
    <w:rsid w:val="00780307"/>
    <w:rsid w:val="00784F28"/>
    <w:rsid w:val="0079009B"/>
    <w:rsid w:val="007B615F"/>
    <w:rsid w:val="007C565F"/>
    <w:rsid w:val="007D28A4"/>
    <w:rsid w:val="007D35DE"/>
    <w:rsid w:val="007D4166"/>
    <w:rsid w:val="007F14B3"/>
    <w:rsid w:val="007F6D3C"/>
    <w:rsid w:val="00807519"/>
    <w:rsid w:val="008157D8"/>
    <w:rsid w:val="00824C8B"/>
    <w:rsid w:val="00852017"/>
    <w:rsid w:val="0085584B"/>
    <w:rsid w:val="0086301F"/>
    <w:rsid w:val="008773EC"/>
    <w:rsid w:val="00880868"/>
    <w:rsid w:val="0089319A"/>
    <w:rsid w:val="00895A26"/>
    <w:rsid w:val="008B582D"/>
    <w:rsid w:val="008D3E06"/>
    <w:rsid w:val="008E342E"/>
    <w:rsid w:val="009001A8"/>
    <w:rsid w:val="00920F8E"/>
    <w:rsid w:val="00932FB4"/>
    <w:rsid w:val="009341DF"/>
    <w:rsid w:val="00934768"/>
    <w:rsid w:val="009B6311"/>
    <w:rsid w:val="009D6AB1"/>
    <w:rsid w:val="009E6F73"/>
    <w:rsid w:val="009F4739"/>
    <w:rsid w:val="00A044C0"/>
    <w:rsid w:val="00A10B98"/>
    <w:rsid w:val="00A42173"/>
    <w:rsid w:val="00A431E8"/>
    <w:rsid w:val="00A45079"/>
    <w:rsid w:val="00A4676F"/>
    <w:rsid w:val="00A54C63"/>
    <w:rsid w:val="00A93401"/>
    <w:rsid w:val="00AA2225"/>
    <w:rsid w:val="00AB4EB9"/>
    <w:rsid w:val="00AD799E"/>
    <w:rsid w:val="00AE3521"/>
    <w:rsid w:val="00B07F2B"/>
    <w:rsid w:val="00B108C5"/>
    <w:rsid w:val="00B243E1"/>
    <w:rsid w:val="00B324E3"/>
    <w:rsid w:val="00B35D57"/>
    <w:rsid w:val="00B379ED"/>
    <w:rsid w:val="00B37F64"/>
    <w:rsid w:val="00B510CA"/>
    <w:rsid w:val="00B83339"/>
    <w:rsid w:val="00B95EB2"/>
    <w:rsid w:val="00BA5BC7"/>
    <w:rsid w:val="00BD0E37"/>
    <w:rsid w:val="00BD109E"/>
    <w:rsid w:val="00BE0401"/>
    <w:rsid w:val="00BF6E34"/>
    <w:rsid w:val="00C1279D"/>
    <w:rsid w:val="00C15F1B"/>
    <w:rsid w:val="00C23D78"/>
    <w:rsid w:val="00C27C03"/>
    <w:rsid w:val="00C37F66"/>
    <w:rsid w:val="00C505FB"/>
    <w:rsid w:val="00C544ED"/>
    <w:rsid w:val="00C54583"/>
    <w:rsid w:val="00C75F31"/>
    <w:rsid w:val="00C82072"/>
    <w:rsid w:val="00C926DE"/>
    <w:rsid w:val="00CE3BA1"/>
    <w:rsid w:val="00CE7D61"/>
    <w:rsid w:val="00D031BB"/>
    <w:rsid w:val="00D133BB"/>
    <w:rsid w:val="00D14175"/>
    <w:rsid w:val="00D15201"/>
    <w:rsid w:val="00D159D6"/>
    <w:rsid w:val="00D3577D"/>
    <w:rsid w:val="00D41930"/>
    <w:rsid w:val="00D5122E"/>
    <w:rsid w:val="00D80271"/>
    <w:rsid w:val="00D852E0"/>
    <w:rsid w:val="00DD5944"/>
    <w:rsid w:val="00DD5AEE"/>
    <w:rsid w:val="00DF339F"/>
    <w:rsid w:val="00E050F4"/>
    <w:rsid w:val="00E159AC"/>
    <w:rsid w:val="00E276A2"/>
    <w:rsid w:val="00E32CC2"/>
    <w:rsid w:val="00E40861"/>
    <w:rsid w:val="00E97D74"/>
    <w:rsid w:val="00EA41CB"/>
    <w:rsid w:val="00EA7D7E"/>
    <w:rsid w:val="00EC5F99"/>
    <w:rsid w:val="00EE5AE0"/>
    <w:rsid w:val="00F00CC8"/>
    <w:rsid w:val="00F22C17"/>
    <w:rsid w:val="00F43752"/>
    <w:rsid w:val="00F5301F"/>
    <w:rsid w:val="00F556BA"/>
    <w:rsid w:val="00FA2121"/>
    <w:rsid w:val="00FC2C03"/>
    <w:rsid w:val="00FD3340"/>
    <w:rsid w:val="00FF2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CD68EC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04C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8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82D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04C"/>
    <w:pPr>
      <w:spacing w:after="200" w:line="276" w:lineRule="auto"/>
      <w:ind w:left="720"/>
      <w:contextualSpacing/>
    </w:pPr>
    <w:rPr>
      <w:rFonts w:eastAsiaTheme="minorHAns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582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82D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075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6" Type="http://schemas.openxmlformats.org/officeDocument/2006/relationships/webSettings" Target="webSettings.xml"/><Relationship Id="rId1" Type="http://schemas.openxmlformats.org/officeDocument/2006/relationships/customXml" Target="../customXml/item1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A5028697DC3145AFD5BA725BF32397" ma:contentTypeVersion="" ma:contentTypeDescription="Create a new document." ma:contentTypeScope="" ma:versionID="44c068c95a9453bdce2b87fefc4612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85B6387-758C-4847-B164-A2F5AAE26B3D}"/>
</file>

<file path=customXml/itemProps2.xml><?xml version="1.0" encoding="utf-8"?>
<ds:datastoreItem xmlns:ds="http://schemas.openxmlformats.org/officeDocument/2006/customXml" ds:itemID="{2C22E86F-4832-4F10-AEBA-E0CE88C03354}"/>
</file>

<file path=customXml/itemProps3.xml><?xml version="1.0" encoding="utf-8"?>
<ds:datastoreItem xmlns:ds="http://schemas.openxmlformats.org/officeDocument/2006/customXml" ds:itemID="{D62DA316-122B-4FB3-9031-5455F48018F7}"/>
</file>

<file path=customXml/itemProps4.xml><?xml version="1.0" encoding="utf-8"?>
<ds:datastoreItem xmlns:ds="http://schemas.openxmlformats.org/officeDocument/2006/customXml" ds:itemID="{0130682B-D5EB-4A97-B662-DEBCB87B29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1033</Words>
  <Characters>5890</Characters>
  <Application>Microsoft Macintosh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UNEP/Ozone</Company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Ozone Secretariat</dc:creator>
  <cp:lastModifiedBy>Ozone Secretariat</cp:lastModifiedBy>
  <cp:revision>2</cp:revision>
  <cp:lastPrinted>2015-11-03T10:54:00Z</cp:lastPrinted>
  <dcterms:created xsi:type="dcterms:W3CDTF">2015-11-05T12:03:00Z</dcterms:created>
  <dcterms:modified xsi:type="dcterms:W3CDTF">2015-11-05T12:03:00Z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0x01010092A5028697DC3145AFD5BA725BF32397</vt:lpwstr>
  </property>
</Properties>
</file>