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E5F9A" w14:textId="77777777" w:rsidR="00995610" w:rsidRPr="006308D9" w:rsidRDefault="00995610" w:rsidP="007F5411">
      <w:pPr>
        <w:pStyle w:val="CH1"/>
      </w:pPr>
      <w:r>
        <w:tab/>
      </w:r>
      <w:r>
        <w:tab/>
      </w:r>
      <w:r w:rsidRPr="00533FB6">
        <w:t>Draft decision XXIX/[E]: Issues related to financial and technical support for energy efficiency in countries operatin</w:t>
      </w:r>
      <w:r w:rsidR="00314CE0">
        <w:t>g under paragraph 1 of Article 5</w:t>
      </w:r>
    </w:p>
    <w:p w14:paraId="55A672E2" w14:textId="77777777" w:rsidR="00995610" w:rsidRPr="003E6E6C" w:rsidRDefault="00995610" w:rsidP="00995610">
      <w:pPr>
        <w:pStyle w:val="CH2"/>
        <w:rPr>
          <w:sz w:val="20"/>
          <w:szCs w:val="20"/>
        </w:rPr>
      </w:pPr>
      <w:r w:rsidRPr="006308D9">
        <w:tab/>
      </w:r>
      <w:r w:rsidRPr="006308D9">
        <w:tab/>
      </w:r>
      <w:r w:rsidRPr="003E6E6C">
        <w:rPr>
          <w:sz w:val="20"/>
          <w:szCs w:val="20"/>
        </w:rPr>
        <w:t>Submission by India, Bahrain, Kuwait, Lebanon, Saudi Arabia and the African Group</w:t>
      </w:r>
    </w:p>
    <w:p w14:paraId="6D921D11" w14:textId="77777777" w:rsidR="00995610" w:rsidRPr="006308D9" w:rsidRDefault="00995610" w:rsidP="00995610">
      <w:pPr>
        <w:keepNext/>
        <w:keepLines/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>The Twenty-Ninth Meeting of the Parties decides:</w:t>
      </w:r>
    </w:p>
    <w:p w14:paraId="197214A2" w14:textId="5347A81E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Recalling</w:t>
      </w:r>
      <w:r w:rsidRPr="006308D9">
        <w:rPr>
          <w:i/>
        </w:rPr>
        <w:t xml:space="preserve"> </w:t>
      </w:r>
      <w:r w:rsidRPr="006308D9">
        <w:t>decision XXVIII/2, which</w:t>
      </w:r>
      <w:r w:rsidRPr="00533FB6">
        <w:t xml:space="preserve"> </w:t>
      </w:r>
      <w:r w:rsidRPr="00533FB6">
        <w:rPr>
          <w:iCs/>
        </w:rPr>
        <w:t>inter alia</w:t>
      </w:r>
      <w:r w:rsidRPr="00533FB6">
        <w:t xml:space="preserve"> </w:t>
      </w:r>
      <w:r w:rsidR="008D61EC">
        <w:t xml:space="preserve">requests the Executive Committee to develop </w:t>
      </w:r>
      <w:r w:rsidRPr="00533FB6">
        <w:t xml:space="preserve">cost guidance associated with maintaining and/or enhancing the energy efficiency of low global warming potential </w:t>
      </w:r>
      <w:r w:rsidRPr="006308D9">
        <w:t>(GWP) or zero</w:t>
      </w:r>
      <w:r w:rsidRPr="00533FB6">
        <w:t>-GWP replacement technologies and equipment</w:t>
      </w:r>
      <w:r w:rsidRPr="006308D9">
        <w:t xml:space="preserve">, when phasing down hydrofluorocarbons, while taking note of the role of other institutions </w:t>
      </w:r>
      <w:r w:rsidRPr="00533FB6">
        <w:t>addressing energy efficiency, when appropriate,</w:t>
      </w:r>
    </w:p>
    <w:p w14:paraId="488E3D47" w14:textId="7F095904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</w:pPr>
      <w:r w:rsidRPr="006308D9">
        <w:rPr>
          <w:i/>
          <w:iCs/>
        </w:rPr>
        <w:t xml:space="preserve">Recognizing </w:t>
      </w:r>
      <w:r w:rsidRPr="006308D9">
        <w:t>the</w:t>
      </w:r>
      <w:r w:rsidRPr="006308D9">
        <w:rPr>
          <w:iCs/>
        </w:rPr>
        <w:t xml:space="preserve"> </w:t>
      </w:r>
      <w:r w:rsidR="00BA7271">
        <w:rPr>
          <w:iCs/>
        </w:rPr>
        <w:t>importance</w:t>
      </w:r>
      <w:r w:rsidR="00FB6CE0">
        <w:rPr>
          <w:iCs/>
        </w:rPr>
        <w:t xml:space="preserve"> </w:t>
      </w:r>
      <w:r w:rsidRPr="006308D9">
        <w:t>to maintain and/or enhance energy efficiency while transitioning away from high-</w:t>
      </w:r>
      <w:r w:rsidRPr="00533FB6">
        <w:t>GWP hydrofluorocarbons to low-GWP alternatives in the refrigeration, air conditioning and heat pump sectors,</w:t>
      </w:r>
    </w:p>
    <w:p w14:paraId="13D1B000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strike/>
        </w:rPr>
      </w:pPr>
      <w:r w:rsidRPr="006308D9">
        <w:rPr>
          <w:i/>
          <w:iCs/>
        </w:rPr>
        <w:t>Noting</w:t>
      </w:r>
      <w:r w:rsidRPr="006308D9">
        <w:rPr>
          <w:i/>
        </w:rPr>
        <w:t xml:space="preserve"> </w:t>
      </w:r>
      <w:r w:rsidRPr="006308D9">
        <w:t>that the use of air</w:t>
      </w:r>
      <w:r w:rsidRPr="00533FB6">
        <w:t>-conditioning and refrigeration is growing in countries operating under paragraph 1</w:t>
      </w:r>
      <w:r w:rsidRPr="006308D9">
        <w:t xml:space="preserve"> of Article 5,</w:t>
      </w:r>
    </w:p>
    <w:p w14:paraId="02B5B068" w14:textId="0693F8A7" w:rsidR="00995610" w:rsidRPr="006308D9" w:rsidRDefault="00FB6CE0" w:rsidP="00FB6CE0">
      <w:pPr>
        <w:tabs>
          <w:tab w:val="left" w:pos="624"/>
          <w:tab w:val="left" w:pos="720"/>
        </w:tabs>
        <w:spacing w:after="120"/>
        <w:ind w:left="1247" w:firstLine="624"/>
      </w:pPr>
      <w:r w:rsidRPr="006308D9" w:rsidDel="00FB6CE0">
        <w:rPr>
          <w:i/>
          <w:iCs/>
        </w:rPr>
        <w:t xml:space="preserve"> </w:t>
      </w:r>
      <w:r w:rsidR="00993F6E" w:rsidRPr="006308D9">
        <w:rPr>
          <w:i/>
          <w:iCs/>
        </w:rPr>
        <w:t>Recognizing</w:t>
      </w:r>
      <w:r w:rsidR="00993F6E" w:rsidRPr="006308D9">
        <w:rPr>
          <w:i/>
        </w:rPr>
        <w:t xml:space="preserve"> </w:t>
      </w:r>
      <w:r w:rsidR="00993F6E" w:rsidRPr="006308D9">
        <w:t xml:space="preserve">that </w:t>
      </w:r>
      <w:r w:rsidR="00993F6E" w:rsidRPr="00533FB6">
        <w:t>maintaining and/</w:t>
      </w:r>
      <w:r w:rsidR="00993F6E" w:rsidRPr="006308D9">
        <w:t>or enhancing energy efficiency</w:t>
      </w:r>
      <w:r w:rsidR="00993F6E">
        <w:t xml:space="preserve"> </w:t>
      </w:r>
      <w:r>
        <w:t xml:space="preserve">could </w:t>
      </w:r>
      <w:r w:rsidR="00993F6E" w:rsidRPr="006308D9">
        <w:t xml:space="preserve">have </w:t>
      </w:r>
      <w:r w:rsidR="00993F6E" w:rsidRPr="00533FB6">
        <w:t>significant</w:t>
      </w:r>
      <w:r w:rsidR="00993F6E">
        <w:t xml:space="preserve"> climate </w:t>
      </w:r>
      <w:r>
        <w:t>benefits</w:t>
      </w:r>
    </w:p>
    <w:p w14:paraId="0F3D3643" w14:textId="7187DD8B" w:rsidR="00632CBF" w:rsidRPr="00E05527" w:rsidRDefault="00632CBF" w:rsidP="00F7727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rFonts w:ascii="Times" w:eastAsiaTheme="minorEastAsia" w:hAnsi="Times"/>
          <w:lang w:val="en-US"/>
        </w:rPr>
      </w:pPr>
      <w:r w:rsidRPr="00E05527">
        <w:rPr>
          <w:rFonts w:ascii="Times" w:eastAsiaTheme="minorEastAsia" w:hAnsi="Times"/>
          <w:bCs/>
          <w:bdr w:val="none" w:sz="0" w:space="0" w:color="auto" w:frame="1"/>
        </w:rPr>
        <w:t>1</w:t>
      </w:r>
      <w:r w:rsidRPr="00632CBF">
        <w:rPr>
          <w:rFonts w:ascii="Times" w:eastAsiaTheme="minorEastAsia" w:hAnsi="Times"/>
          <w:b/>
          <w:bCs/>
          <w:bdr w:val="none" w:sz="0" w:space="0" w:color="auto" w:frame="1"/>
        </w:rPr>
        <w:t>.</w:t>
      </w:r>
      <w:r w:rsidRPr="00632CBF">
        <w:rPr>
          <w:rFonts w:ascii="Times" w:eastAsiaTheme="minorEastAsia" w:hAnsi="Times"/>
          <w:bdr w:val="none" w:sz="0" w:space="0" w:color="auto" w:frame="1"/>
        </w:rPr>
        <w:t xml:space="preserve"> To request the Technology and Economic Assessment Panel in relation to </w:t>
      </w:r>
      <w:r w:rsidRPr="00F77276">
        <w:t>maintaining</w:t>
      </w:r>
      <w:r w:rsidRPr="00632CBF">
        <w:rPr>
          <w:rFonts w:ascii="Times" w:eastAsiaTheme="minorEastAsia" w:hAnsi="Times"/>
          <w:bdr w:val="none" w:sz="0" w:space="0" w:color="auto" w:frame="1"/>
        </w:rPr>
        <w:t xml:space="preserve"> and/or enhancing energy efficiency in the refrigeration and air-conditioning and heat-pump sectors</w:t>
      </w:r>
      <w:r w:rsidR="00AE2FB1">
        <w:rPr>
          <w:rFonts w:ascii="Times" w:eastAsiaTheme="minorEastAsia" w:hAnsi="Times"/>
          <w:bdr w:val="none" w:sz="0" w:space="0" w:color="auto" w:frame="1"/>
        </w:rPr>
        <w:t xml:space="preserve">, including in high-ambient temperature </w:t>
      </w:r>
      <w:r w:rsidR="00AE2FB1" w:rsidRPr="00E05527">
        <w:rPr>
          <w:rFonts w:ascii="Times" w:eastAsiaTheme="minorEastAsia" w:hAnsi="Times"/>
          <w:bdr w:val="none" w:sz="0" w:space="0" w:color="auto" w:frame="1"/>
        </w:rPr>
        <w:t xml:space="preserve">conditions, </w:t>
      </w:r>
      <w:r w:rsidR="00EC3E95" w:rsidRPr="00E05527">
        <w:rPr>
          <w:rFonts w:ascii="Times" w:eastAsiaTheme="minorEastAsia" w:hAnsi="Times"/>
          <w:bCs/>
          <w:bdr w:val="none" w:sz="0" w:space="0" w:color="auto" w:frame="1"/>
        </w:rPr>
        <w:t>while</w:t>
      </w:r>
      <w:r w:rsidRPr="00E05527">
        <w:rPr>
          <w:rFonts w:ascii="Times" w:eastAsiaTheme="minorEastAsia" w:hAnsi="Times"/>
          <w:bCs/>
          <w:bdr w:val="none" w:sz="0" w:space="0" w:color="auto" w:frame="1"/>
        </w:rPr>
        <w:t xml:space="preserve"> </w:t>
      </w:r>
      <w:r w:rsidRPr="00E05527">
        <w:rPr>
          <w:rFonts w:ascii="Times" w:eastAsiaTheme="minorEastAsia" w:hAnsi="Times"/>
          <w:bdr w:val="none" w:sz="0" w:space="0" w:color="auto" w:frame="1"/>
        </w:rPr>
        <w:t>phasing down hydrofluorocarbons under the Kigali Amendment to the Montreal Protocol in parties operating under paragraph 1 of Article 5,</w:t>
      </w:r>
      <w:r w:rsidRPr="00E05527">
        <w:rPr>
          <w:rFonts w:ascii="Times" w:eastAsiaTheme="minorEastAsia" w:hAnsi="Times"/>
        </w:rPr>
        <w:t xml:space="preserve"> </w:t>
      </w:r>
      <w:r w:rsidRPr="00E05527">
        <w:rPr>
          <w:rFonts w:ascii="Times" w:eastAsiaTheme="minorEastAsia" w:hAnsi="Times"/>
          <w:bdr w:val="none" w:sz="0" w:space="0" w:color="auto" w:frame="1"/>
        </w:rPr>
        <w:t>to assess</w:t>
      </w:r>
      <w:r w:rsidR="00EC3E95" w:rsidRPr="00E05527">
        <w:rPr>
          <w:rFonts w:ascii="Times" w:eastAsiaTheme="minorEastAsia" w:hAnsi="Times"/>
          <w:bdr w:val="none" w:sz="0" w:space="0" w:color="auto" w:frame="1"/>
        </w:rPr>
        <w:t xml:space="preserve"> the following items</w:t>
      </w:r>
      <w:r w:rsidRPr="00E05527">
        <w:rPr>
          <w:rFonts w:ascii="Times" w:eastAsiaTheme="minorEastAsia" w:hAnsi="Times"/>
          <w:bdr w:val="none" w:sz="0" w:space="0" w:color="auto" w:frame="1"/>
        </w:rPr>
        <w:t xml:space="preserve">: </w:t>
      </w:r>
    </w:p>
    <w:p w14:paraId="6E0E67F9" w14:textId="0C83D354" w:rsidR="002757B0" w:rsidRPr="00E05527" w:rsidRDefault="00632CBF" w:rsidP="00AA1BF5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1418"/>
        </w:tabs>
        <w:snapToGrid w:val="0"/>
        <w:ind w:left="1843" w:right="127"/>
        <w:contextualSpacing/>
        <w:textAlignment w:val="baseline"/>
        <w:rPr>
          <w:rFonts w:ascii="Times" w:hAnsi="Times"/>
          <w:lang w:val="en-US"/>
        </w:rPr>
      </w:pPr>
      <w:r w:rsidRPr="00E05527">
        <w:rPr>
          <w:rFonts w:ascii="Times" w:hAnsi="Times"/>
          <w:bdr w:val="none" w:sz="0" w:space="0" w:color="auto" w:frame="1"/>
        </w:rPr>
        <w:t xml:space="preserve">technology </w:t>
      </w:r>
      <w:r w:rsidR="00864560" w:rsidRPr="00E05527">
        <w:rPr>
          <w:rFonts w:ascii="Times" w:hAnsi="Times"/>
          <w:bCs/>
          <w:bdr w:val="none" w:sz="0" w:space="0" w:color="auto" w:frame="1"/>
        </w:rPr>
        <w:t>options and requirements</w:t>
      </w:r>
      <w:r w:rsidR="00AE2FB1" w:rsidRPr="00E05527">
        <w:rPr>
          <w:rFonts w:ascii="Times" w:hAnsi="Times"/>
          <w:bCs/>
          <w:bdr w:val="none" w:sz="0" w:space="0" w:color="auto" w:frame="1"/>
        </w:rPr>
        <w:t xml:space="preserve"> including</w:t>
      </w:r>
      <w:r w:rsidR="002757B0" w:rsidRPr="00E05527">
        <w:rPr>
          <w:rFonts w:ascii="Times" w:hAnsi="Times"/>
          <w:bCs/>
          <w:bdr w:val="none" w:sz="0" w:space="0" w:color="auto" w:frame="1"/>
        </w:rPr>
        <w:t>:</w:t>
      </w:r>
    </w:p>
    <w:p w14:paraId="095262F5" w14:textId="127E2CAD" w:rsidR="002757B0" w:rsidRPr="00E05527" w:rsidRDefault="00AE2FB1" w:rsidP="002757B0">
      <w:pPr>
        <w:pStyle w:val="ListParagraph"/>
        <w:numPr>
          <w:ilvl w:val="1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napToGrid w:val="0"/>
        <w:ind w:left="2268" w:right="127" w:hanging="425"/>
        <w:textAlignment w:val="baseline"/>
        <w:rPr>
          <w:rFonts w:ascii="Times" w:hAnsi="Times"/>
          <w:lang w:val="en-US"/>
        </w:rPr>
      </w:pPr>
      <w:r w:rsidRPr="00E05527">
        <w:rPr>
          <w:rFonts w:ascii="Times" w:hAnsi="Times"/>
          <w:bCs/>
          <w:bdr w:val="none" w:sz="0" w:space="0" w:color="auto" w:frame="1"/>
        </w:rPr>
        <w:t>challenges</w:t>
      </w:r>
      <w:r w:rsidR="00AA1BF5" w:rsidRPr="00E05527">
        <w:rPr>
          <w:rFonts w:ascii="Times" w:hAnsi="Times"/>
          <w:bCs/>
          <w:bdr w:val="none" w:sz="0" w:space="0" w:color="auto" w:frame="1"/>
        </w:rPr>
        <w:t xml:space="preserve"> </w:t>
      </w:r>
      <w:r w:rsidRPr="00E05527">
        <w:rPr>
          <w:rFonts w:ascii="Times" w:hAnsi="Times"/>
          <w:bCs/>
          <w:bdr w:val="none" w:sz="0" w:space="0" w:color="auto" w:frame="1"/>
        </w:rPr>
        <w:t>for the</w:t>
      </w:r>
      <w:r w:rsidR="000262C1" w:rsidRPr="00E05527">
        <w:rPr>
          <w:rFonts w:ascii="Times" w:hAnsi="Times"/>
          <w:bCs/>
          <w:bdr w:val="none" w:sz="0" w:space="0" w:color="auto" w:frame="1"/>
        </w:rPr>
        <w:t>ir</w:t>
      </w:r>
      <w:r w:rsidRPr="00E05527">
        <w:rPr>
          <w:rFonts w:ascii="Times" w:hAnsi="Times"/>
          <w:bCs/>
          <w:bdr w:val="none" w:sz="0" w:space="0" w:color="auto" w:frame="1"/>
        </w:rPr>
        <w:t xml:space="preserve"> uptake</w:t>
      </w:r>
      <w:r w:rsidR="002757B0" w:rsidRPr="00E05527">
        <w:rPr>
          <w:rFonts w:ascii="Times" w:hAnsi="Times"/>
          <w:bCs/>
          <w:bdr w:val="none" w:sz="0" w:space="0" w:color="auto" w:frame="1"/>
        </w:rPr>
        <w:t>;</w:t>
      </w:r>
      <w:r w:rsidR="00AA1BF5" w:rsidRPr="00E05527">
        <w:rPr>
          <w:rFonts w:ascii="Times" w:hAnsi="Times"/>
        </w:rPr>
        <w:t xml:space="preserve"> </w:t>
      </w:r>
    </w:p>
    <w:p w14:paraId="095B6A0D" w14:textId="352B79C8" w:rsidR="002757B0" w:rsidRPr="00E05527" w:rsidRDefault="00A5188F" w:rsidP="002757B0">
      <w:pPr>
        <w:pStyle w:val="ListParagraph"/>
        <w:numPr>
          <w:ilvl w:val="1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napToGrid w:val="0"/>
        <w:ind w:left="2268" w:right="127" w:hanging="425"/>
        <w:textAlignment w:val="baseline"/>
        <w:rPr>
          <w:rFonts w:ascii="Times" w:hAnsi="Times"/>
          <w:lang w:val="en-US"/>
        </w:rPr>
      </w:pPr>
      <w:bookmarkStart w:id="0" w:name="_GoBack"/>
      <w:bookmarkEnd w:id="0"/>
      <w:r w:rsidRPr="00E05527">
        <w:rPr>
          <w:rFonts w:ascii="Times" w:hAnsi="Times"/>
          <w:bCs/>
        </w:rPr>
        <w:t>the</w:t>
      </w:r>
      <w:r w:rsidR="000262C1" w:rsidRPr="00E05527">
        <w:rPr>
          <w:rFonts w:ascii="Times" w:hAnsi="Times"/>
          <w:bCs/>
        </w:rPr>
        <w:t>ir</w:t>
      </w:r>
      <w:r w:rsidRPr="00E05527">
        <w:rPr>
          <w:rFonts w:ascii="Times" w:hAnsi="Times"/>
          <w:bCs/>
        </w:rPr>
        <w:t xml:space="preserve"> long</w:t>
      </w:r>
      <w:r w:rsidR="004B0D6D" w:rsidRPr="00E05527">
        <w:rPr>
          <w:rFonts w:ascii="Times" w:hAnsi="Times"/>
          <w:bCs/>
        </w:rPr>
        <w:t>-</w:t>
      </w:r>
      <w:r w:rsidRPr="00E05527">
        <w:rPr>
          <w:rFonts w:ascii="Times" w:hAnsi="Times"/>
          <w:bCs/>
        </w:rPr>
        <w:t>term</w:t>
      </w:r>
      <w:r w:rsidR="005E5EB8" w:rsidRPr="00E05527">
        <w:rPr>
          <w:rFonts w:ascii="Times" w:hAnsi="Times"/>
          <w:bCs/>
        </w:rPr>
        <w:t xml:space="preserve"> sustainable</w:t>
      </w:r>
      <w:r w:rsidR="008E496F" w:rsidRPr="00E05527">
        <w:rPr>
          <w:rFonts w:ascii="Times" w:hAnsi="Times"/>
          <w:bCs/>
        </w:rPr>
        <w:t xml:space="preserve"> </w:t>
      </w:r>
      <w:r w:rsidR="005E5EB8" w:rsidRPr="00E05527">
        <w:rPr>
          <w:rFonts w:ascii="Times" w:hAnsi="Times"/>
          <w:bCs/>
        </w:rPr>
        <w:t>performance</w:t>
      </w:r>
      <w:r w:rsidR="008E496F" w:rsidRPr="00E05527">
        <w:rPr>
          <w:rFonts w:ascii="Times" w:hAnsi="Times"/>
          <w:bCs/>
        </w:rPr>
        <w:t xml:space="preserve"> and </w:t>
      </w:r>
      <w:r w:rsidRPr="00E05527">
        <w:rPr>
          <w:rFonts w:ascii="Times" w:hAnsi="Times"/>
          <w:bCs/>
        </w:rPr>
        <w:t>viability</w:t>
      </w:r>
      <w:r w:rsidR="002757B0" w:rsidRPr="00E05527">
        <w:rPr>
          <w:rFonts w:ascii="Times" w:hAnsi="Times"/>
          <w:bCs/>
        </w:rPr>
        <w:t>; and</w:t>
      </w:r>
      <w:r w:rsidR="004B0D6D" w:rsidRPr="00E05527">
        <w:rPr>
          <w:rFonts w:ascii="Times" w:hAnsi="Times"/>
          <w:bCs/>
        </w:rPr>
        <w:t xml:space="preserve"> </w:t>
      </w:r>
    </w:p>
    <w:p w14:paraId="3A576FD3" w14:textId="72952DA8" w:rsidR="00632CBF" w:rsidRPr="00E05527" w:rsidRDefault="000262C1" w:rsidP="00E05527">
      <w:pPr>
        <w:pStyle w:val="ListParagraph"/>
        <w:numPr>
          <w:ilvl w:val="1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napToGrid w:val="0"/>
        <w:ind w:left="2268" w:right="127" w:hanging="425"/>
        <w:textAlignment w:val="baseline"/>
        <w:rPr>
          <w:rFonts w:ascii="Times" w:hAnsi="Times"/>
          <w:lang w:val="en-US"/>
        </w:rPr>
      </w:pPr>
      <w:r w:rsidRPr="00E05527">
        <w:rPr>
          <w:rFonts w:ascii="Times" w:hAnsi="Times"/>
          <w:bCs/>
          <w:lang w:val="en-US"/>
        </w:rPr>
        <w:t xml:space="preserve">their </w:t>
      </w:r>
      <w:r w:rsidR="00280537" w:rsidRPr="00E05527">
        <w:rPr>
          <w:rFonts w:ascii="Times" w:hAnsi="Times"/>
          <w:bCs/>
        </w:rPr>
        <w:t xml:space="preserve">environmental benefits in terms of CO2 </w:t>
      </w:r>
      <w:proofErr w:type="spellStart"/>
      <w:r w:rsidR="00280537" w:rsidRPr="00E05527">
        <w:rPr>
          <w:rFonts w:ascii="Times" w:hAnsi="Times"/>
          <w:bCs/>
        </w:rPr>
        <w:t>eq</w:t>
      </w:r>
      <w:proofErr w:type="spellEnd"/>
      <w:r w:rsidR="00632CBF" w:rsidRPr="00E05527">
        <w:rPr>
          <w:rFonts w:ascii="Times" w:hAnsi="Times"/>
          <w:bCs/>
          <w:bdr w:val="none" w:sz="0" w:space="0" w:color="auto" w:frame="1"/>
        </w:rPr>
        <w:t>;</w:t>
      </w:r>
    </w:p>
    <w:p w14:paraId="4006DA13" w14:textId="3ED78537" w:rsidR="00632CBF" w:rsidRPr="00E05527" w:rsidRDefault="00632CBF" w:rsidP="00E05527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rFonts w:ascii="Times" w:hAnsi="Times"/>
          <w:lang w:val="en-US"/>
        </w:rPr>
      </w:pPr>
      <w:r w:rsidRPr="00E05527">
        <w:rPr>
          <w:rFonts w:ascii="Times" w:hAnsi="Times"/>
          <w:bdr w:val="none" w:sz="0" w:space="0" w:color="auto" w:frame="1"/>
        </w:rPr>
        <w:t xml:space="preserve">capacity building and servicing sector </w:t>
      </w:r>
      <w:r w:rsidR="00542B69" w:rsidRPr="00E05527">
        <w:rPr>
          <w:rFonts w:ascii="Times" w:hAnsi="Times"/>
          <w:bdr w:val="none" w:sz="0" w:space="0" w:color="auto" w:frame="1"/>
        </w:rPr>
        <w:t>requirements</w:t>
      </w:r>
      <w:r w:rsidRPr="00E05527">
        <w:rPr>
          <w:rFonts w:ascii="Times" w:hAnsi="Times"/>
          <w:bdr w:val="none" w:sz="0" w:space="0" w:color="auto" w:frame="1"/>
        </w:rPr>
        <w:t xml:space="preserve"> in the refrigeration and air-conditioning and heat-pump sectors;</w:t>
      </w:r>
    </w:p>
    <w:p w14:paraId="76417FCB" w14:textId="31D470F3" w:rsidR="00F975E6" w:rsidRPr="00E05527" w:rsidRDefault="00632CBF" w:rsidP="00C610AA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textAlignment w:val="baseline"/>
      </w:pPr>
      <w:r w:rsidRPr="00E05527">
        <w:rPr>
          <w:rFonts w:ascii="Times" w:hAnsi="Times"/>
          <w:bCs/>
          <w:bdr w:val="none" w:sz="0" w:space="0" w:color="auto" w:frame="1"/>
        </w:rPr>
        <w:t>related costs</w:t>
      </w:r>
      <w:r w:rsidR="00007A26" w:rsidRPr="00E05527">
        <w:rPr>
          <w:rFonts w:ascii="Times" w:hAnsi="Times"/>
          <w:bCs/>
          <w:bdr w:val="none" w:sz="0" w:space="0" w:color="auto" w:frame="1"/>
        </w:rPr>
        <w:t xml:space="preserve"> </w:t>
      </w:r>
      <w:r w:rsidR="000B7A0D" w:rsidRPr="00E05527">
        <w:rPr>
          <w:rFonts w:ascii="Times" w:hAnsi="Times"/>
          <w:bCs/>
          <w:bdr w:val="none" w:sz="0" w:space="0" w:color="auto" w:frame="1"/>
        </w:rPr>
        <w:t>including capital and operating costs</w:t>
      </w:r>
      <w:r w:rsidR="00C610AA" w:rsidRPr="00E05527">
        <w:rPr>
          <w:rFonts w:ascii="Times" w:hAnsi="Times"/>
          <w:bCs/>
          <w:bdr w:val="none" w:sz="0" w:space="0" w:color="auto" w:frame="1"/>
        </w:rPr>
        <w:t>.</w:t>
      </w:r>
    </w:p>
    <w:p w14:paraId="57180B9B" w14:textId="77777777" w:rsidR="00E05527" w:rsidRDefault="00E05527" w:rsidP="00F7727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</w:pPr>
    </w:p>
    <w:p w14:paraId="4E3CBB7B" w14:textId="517CDCAC" w:rsidR="00F77276" w:rsidRDefault="00140E46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2</w:t>
      </w:r>
      <w:r w:rsidR="00F77276">
        <w:t>.</w:t>
      </w:r>
      <w:r>
        <w:t xml:space="preserve">  To </w:t>
      </w:r>
      <w:r w:rsidRPr="00F77276">
        <w:rPr>
          <w:rFonts w:ascii="Times" w:eastAsiaTheme="minorEastAsia" w:hAnsi="Times"/>
          <w:bdr w:val="none" w:sz="0" w:space="0" w:color="auto" w:frame="1"/>
        </w:rPr>
        <w:t>further</w:t>
      </w:r>
      <w:r>
        <w:t xml:space="preserve"> request the TEAP to provide an overview of the activities and funding provided by other </w:t>
      </w:r>
      <w:r w:rsidR="00CB5828">
        <w:t xml:space="preserve">relevant </w:t>
      </w:r>
      <w:r>
        <w:t>institutions, as well as definitions, criteria and methodologies used in addressing energy efficiency in the RACHP sectors</w:t>
      </w:r>
      <w:r w:rsidR="004B5DC7">
        <w:t xml:space="preserve"> </w:t>
      </w:r>
      <w:r w:rsidR="00542B69">
        <w:t>in relation to maintaining and/or enhancing energy efficiency in the RACHP sectors</w:t>
      </w:r>
      <w:r w:rsidR="00CB5828">
        <w:t xml:space="preserve"> </w:t>
      </w:r>
      <w:r w:rsidR="00542B69">
        <w:t>while phasing down hydrofluo</w:t>
      </w:r>
      <w:r w:rsidR="00252CF8">
        <w:t>r</w:t>
      </w:r>
      <w:r w:rsidR="00542B69">
        <w:t>ocarbons under the Kigali Amendment to the Montreal Protocol</w:t>
      </w:r>
      <w:r w:rsidR="000D464E">
        <w:t xml:space="preserve">, </w:t>
      </w:r>
      <w:r w:rsidR="00CB5828">
        <w:t>as well as those</w:t>
      </w:r>
      <w:r w:rsidR="006B0836">
        <w:t xml:space="preserve"> related to low- and zero-GWP HFC alternatives</w:t>
      </w:r>
      <w:r>
        <w:t xml:space="preserve"> including on different financing modalities;</w:t>
      </w:r>
    </w:p>
    <w:p w14:paraId="5D2BFE83" w14:textId="515D5123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3.</w:t>
      </w:r>
      <w:r w:rsidRPr="006308D9">
        <w:tab/>
      </w:r>
      <w:r w:rsidRPr="00533FB6">
        <w:t xml:space="preserve">To request the Technology and Economic Assessment Panel to </w:t>
      </w:r>
      <w:r w:rsidR="00EA3885">
        <w:t xml:space="preserve">prepare a final report for consideration by the Open-ended Working Group at its fortieth meeting, and thereafter an updated final report to be submitted to the Thirtieth Meeting of the Parties to the Protocol on Substances that Deplete </w:t>
      </w:r>
      <w:r w:rsidR="00EA3885">
        <w:t xml:space="preserve">the Ozone Layer </w:t>
      </w:r>
      <w:r w:rsidR="00BB6B45">
        <w:t>taking into consideration the outcome of the workshop taking place as per paragraph 4 below</w:t>
      </w:r>
      <w:r w:rsidRPr="00533FB6">
        <w:t>;</w:t>
      </w:r>
    </w:p>
    <w:p w14:paraId="7BCFC625" w14:textId="62F2A99F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4.</w:t>
      </w:r>
      <w:r w:rsidRPr="006308D9">
        <w:tab/>
      </w:r>
      <w:r w:rsidRPr="00533FB6">
        <w:t xml:space="preserve">To request the Ozone Secretariat to organize a workshop on energy efficiency opportunities </w:t>
      </w:r>
      <w:r w:rsidR="00B23692">
        <w:t>while</w:t>
      </w:r>
      <w:r w:rsidR="00B83E27">
        <w:t xml:space="preserve"> </w:t>
      </w:r>
      <w:r w:rsidRPr="00533FB6">
        <w:t>phasing</w:t>
      </w:r>
      <w:r w:rsidR="00B83E27">
        <w:t>-</w:t>
      </w:r>
      <w:r w:rsidRPr="00533FB6">
        <w:t xml:space="preserve">down hydrofluorocarbons at the </w:t>
      </w:r>
      <w:r w:rsidR="008A3CB2" w:rsidRPr="00533FB6">
        <w:t>fortieth meeting of the Open-ended Working Group</w:t>
      </w:r>
      <w:r w:rsidRPr="00533FB6">
        <w:t>.</w:t>
      </w:r>
    </w:p>
    <w:p w14:paraId="6CF1827C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43868"/>
    <w:multiLevelType w:val="multilevel"/>
    <w:tmpl w:val="7AF441F2"/>
    <w:lvl w:ilvl="0">
      <w:start w:val="1"/>
      <w:numFmt w:val="lowerLetter"/>
      <w:lvlText w:val="%1."/>
      <w:lvlJc w:val="left"/>
      <w:pPr>
        <w:tabs>
          <w:tab w:val="num" w:pos="5040"/>
        </w:tabs>
        <w:ind w:left="5040" w:hanging="360"/>
      </w:pPr>
    </w:lvl>
    <w:lvl w:ilvl="1">
      <w:start w:val="1"/>
      <w:numFmt w:val="lowerRoman"/>
      <w:lvlText w:val="%2)"/>
      <w:lvlJc w:val="left"/>
      <w:pPr>
        <w:ind w:left="6120" w:hanging="72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6480"/>
        </w:tabs>
        <w:ind w:left="648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7200"/>
        </w:tabs>
        <w:ind w:left="72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8640"/>
        </w:tabs>
        <w:ind w:left="864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9360"/>
        </w:tabs>
        <w:ind w:left="93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10800"/>
        </w:tabs>
        <w:ind w:left="1080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10"/>
    <w:rsid w:val="00001AB9"/>
    <w:rsid w:val="00007A26"/>
    <w:rsid w:val="0001313F"/>
    <w:rsid w:val="000262C1"/>
    <w:rsid w:val="00031D3A"/>
    <w:rsid w:val="000B7A0D"/>
    <w:rsid w:val="000D464E"/>
    <w:rsid w:val="000E7580"/>
    <w:rsid w:val="000F45B5"/>
    <w:rsid w:val="001103C2"/>
    <w:rsid w:val="00140E46"/>
    <w:rsid w:val="0021387A"/>
    <w:rsid w:val="00216962"/>
    <w:rsid w:val="00217722"/>
    <w:rsid w:val="00222FD5"/>
    <w:rsid w:val="00236A4C"/>
    <w:rsid w:val="00242ECC"/>
    <w:rsid w:val="00252CF8"/>
    <w:rsid w:val="002757B0"/>
    <w:rsid w:val="00280537"/>
    <w:rsid w:val="00314CE0"/>
    <w:rsid w:val="00343CA5"/>
    <w:rsid w:val="0047134E"/>
    <w:rsid w:val="004B0D6D"/>
    <w:rsid w:val="004B5DC7"/>
    <w:rsid w:val="005149FF"/>
    <w:rsid w:val="00531007"/>
    <w:rsid w:val="00542B69"/>
    <w:rsid w:val="00577DAC"/>
    <w:rsid w:val="005A0F1E"/>
    <w:rsid w:val="005E5EB8"/>
    <w:rsid w:val="00632CBF"/>
    <w:rsid w:val="006604E3"/>
    <w:rsid w:val="006A75C6"/>
    <w:rsid w:val="006B0836"/>
    <w:rsid w:val="006C4789"/>
    <w:rsid w:val="00790C44"/>
    <w:rsid w:val="007914C1"/>
    <w:rsid w:val="007F5411"/>
    <w:rsid w:val="008575EA"/>
    <w:rsid w:val="00864560"/>
    <w:rsid w:val="00877394"/>
    <w:rsid w:val="008A3CB2"/>
    <w:rsid w:val="008D61EC"/>
    <w:rsid w:val="008E496F"/>
    <w:rsid w:val="00922F2E"/>
    <w:rsid w:val="0098590F"/>
    <w:rsid w:val="00993F6E"/>
    <w:rsid w:val="00995610"/>
    <w:rsid w:val="009B2D08"/>
    <w:rsid w:val="00A5188F"/>
    <w:rsid w:val="00AA1BF5"/>
    <w:rsid w:val="00AB5F48"/>
    <w:rsid w:val="00AE2FB1"/>
    <w:rsid w:val="00B23692"/>
    <w:rsid w:val="00B83E27"/>
    <w:rsid w:val="00BA7271"/>
    <w:rsid w:val="00BB6B45"/>
    <w:rsid w:val="00BF6E34"/>
    <w:rsid w:val="00C15E75"/>
    <w:rsid w:val="00C610AA"/>
    <w:rsid w:val="00C84EB3"/>
    <w:rsid w:val="00CB5828"/>
    <w:rsid w:val="00CD2754"/>
    <w:rsid w:val="00D00429"/>
    <w:rsid w:val="00D22872"/>
    <w:rsid w:val="00E05527"/>
    <w:rsid w:val="00E33EFC"/>
    <w:rsid w:val="00E96DE0"/>
    <w:rsid w:val="00EA3885"/>
    <w:rsid w:val="00EC3E95"/>
    <w:rsid w:val="00F3746B"/>
    <w:rsid w:val="00F77276"/>
    <w:rsid w:val="00F941AC"/>
    <w:rsid w:val="00F975E6"/>
    <w:rsid w:val="00FB6CE0"/>
    <w:rsid w:val="00FC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CE8F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qFormat/>
    <w:rsid w:val="0099561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CH2"/>
    <w:rsid w:val="0099561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99561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Revision">
    <w:name w:val="Revision"/>
    <w:hidden/>
    <w:uiPriority w:val="99"/>
    <w:semiHidden/>
    <w:rsid w:val="00314CE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E0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32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qFormat/>
    <w:rsid w:val="0099561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CH2"/>
    <w:rsid w:val="0099561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99561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Revision">
    <w:name w:val="Revision"/>
    <w:hidden/>
    <w:uiPriority w:val="99"/>
    <w:semiHidden/>
    <w:rsid w:val="00314CE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E0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32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microsoft.com/office/2011/relationships/people" Target="people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8554C8ADFCF49B590EDA927B0E823" ma:contentTypeVersion="" ma:contentTypeDescription="Create a new document." ma:contentTypeScope="" ma:versionID="f34b7ef3b9cbe1101ae75260357356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796533D-9F36-449F-B809-DC3F02BF555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673A65-BEB2-4765-A38A-7D492642A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37D3832-08A7-49FE-B29E-9040628A627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449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3006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Ozone Secretariat</dc:creator>
  <cp:lastModifiedBy>Sophia Mylona</cp:lastModifiedBy>
  <cp:revision>2</cp:revision>
  <cp:lastPrinted>2017-11-24T19:01:00Z</cp:lastPrinted>
  <dcterms:created xsi:type="dcterms:W3CDTF">2017-11-28T07:09:00Z</dcterms:created>
  <dcterms:modified xsi:type="dcterms:W3CDTF">2017-11-28T07:09:00Z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0x010100E698554C8ADFCF49B590EDA927B0E823</vt:lpwstr>
  </property>
</Properties>
</file>