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D79A91" w14:textId="4D09A69D" w:rsidR="007F7C84" w:rsidRDefault="2D8D6D1B" w:rsidP="007F7C84">
      <w:pPr>
        <w:spacing w:line="240" w:lineRule="atLeast"/>
        <w:jc w:val="center"/>
        <w:rPr>
          <w:b/>
          <w:sz w:val="32"/>
          <w:szCs w:val="32"/>
        </w:rPr>
      </w:pPr>
      <w:bookmarkStart w:id="0" w:name="_Hlk71089346"/>
      <w:bookmarkStart w:id="1" w:name="_Toc354570759"/>
      <w:bookmarkStart w:id="2" w:name="_Toc388648326"/>
      <w:bookmarkStart w:id="3" w:name="_Toc295406110"/>
      <w:bookmarkStart w:id="4" w:name="_Toc326507336"/>
      <w:bookmarkStart w:id="5" w:name="_Toc9109560"/>
      <w:bookmarkEnd w:id="0"/>
      <w:r w:rsidRPr="2D8D6D1B">
        <w:rPr>
          <w:b/>
          <w:bCs/>
          <w:sz w:val="32"/>
          <w:szCs w:val="32"/>
        </w:rPr>
        <w:t>MONTREAL PROTOCOL ON SUBSTANCES THAT DEPLETE THE OZONE LAYER</w:t>
      </w:r>
    </w:p>
    <w:p w14:paraId="28519235" w14:textId="77777777" w:rsidR="007F7C84" w:rsidRDefault="007F7C84" w:rsidP="007F7C84">
      <w:pPr>
        <w:spacing w:line="240" w:lineRule="atLeast"/>
        <w:jc w:val="center"/>
      </w:pPr>
    </w:p>
    <w:p w14:paraId="5C62B373" w14:textId="7E820C0D" w:rsidR="007F7C84" w:rsidRDefault="007F7C84" w:rsidP="007F7C84">
      <w:pPr>
        <w:spacing w:line="240" w:lineRule="atLeast"/>
        <w:jc w:val="center"/>
      </w:pPr>
    </w:p>
    <w:p w14:paraId="5E153EBD" w14:textId="7014C7C7" w:rsidR="00322051" w:rsidRDefault="00322051" w:rsidP="00322051"/>
    <w:p w14:paraId="68410571" w14:textId="44564C60" w:rsidR="00322051" w:rsidRDefault="00322051" w:rsidP="00322051"/>
    <w:p w14:paraId="7A37716D" w14:textId="3C0749C6" w:rsidR="00322051" w:rsidRDefault="00322051" w:rsidP="00322051"/>
    <w:p w14:paraId="7EA60F69" w14:textId="43AA3138" w:rsidR="00322051" w:rsidRDefault="00322051" w:rsidP="00322051"/>
    <w:p w14:paraId="732F17C5" w14:textId="77777777" w:rsidR="00322051" w:rsidRPr="00322051" w:rsidRDefault="00322051" w:rsidP="00322051"/>
    <w:p w14:paraId="518B2575" w14:textId="77777777" w:rsidR="007F7C84" w:rsidRPr="00C56167" w:rsidRDefault="007F7C84" w:rsidP="007F7C84">
      <w:pPr>
        <w:spacing w:line="240" w:lineRule="atLeast"/>
        <w:jc w:val="center"/>
        <w:rPr>
          <w:sz w:val="48"/>
          <w:szCs w:val="48"/>
        </w:rPr>
      </w:pPr>
    </w:p>
    <w:p w14:paraId="6228DBCF" w14:textId="30040CF4" w:rsidR="007F7C84" w:rsidRDefault="007F7C84" w:rsidP="007F7C84">
      <w:pPr>
        <w:spacing w:line="240" w:lineRule="atLeast"/>
        <w:jc w:val="center"/>
        <w:rPr>
          <w:b/>
          <w:smallCaps/>
          <w:sz w:val="32"/>
        </w:rPr>
      </w:pPr>
      <w:r>
        <w:rPr>
          <w:b/>
          <w:smallCaps/>
          <w:sz w:val="32"/>
        </w:rPr>
        <w:t>Report of the</w:t>
      </w:r>
      <w:r w:rsidR="00D873FA">
        <w:rPr>
          <w:b/>
          <w:smallCaps/>
          <w:sz w:val="32"/>
        </w:rPr>
        <w:t xml:space="preserve"> </w:t>
      </w:r>
      <w:r>
        <w:rPr>
          <w:b/>
          <w:smallCaps/>
          <w:sz w:val="32"/>
        </w:rPr>
        <w:t>Technology and Economic Assessment Panel</w:t>
      </w:r>
    </w:p>
    <w:p w14:paraId="54857A07" w14:textId="77777777" w:rsidR="007F7C84" w:rsidRDefault="007F7C84" w:rsidP="007F7C84">
      <w:pPr>
        <w:spacing w:line="240" w:lineRule="atLeast"/>
        <w:jc w:val="center"/>
        <w:rPr>
          <w:b/>
          <w:smallCaps/>
          <w:sz w:val="36"/>
        </w:rPr>
      </w:pPr>
    </w:p>
    <w:p w14:paraId="1FA7329D" w14:textId="40443DDF" w:rsidR="007F7C84" w:rsidRDefault="0052260C" w:rsidP="007F7C84">
      <w:pPr>
        <w:spacing w:line="240" w:lineRule="atLeast"/>
        <w:jc w:val="center"/>
        <w:rPr>
          <w:b/>
          <w:smallCaps/>
          <w:sz w:val="32"/>
        </w:rPr>
      </w:pPr>
      <w:r>
        <w:rPr>
          <w:b/>
          <w:smallCaps/>
          <w:sz w:val="36"/>
        </w:rPr>
        <w:t>May</w:t>
      </w:r>
      <w:r w:rsidR="007F7C84">
        <w:rPr>
          <w:b/>
          <w:smallCaps/>
          <w:sz w:val="32"/>
        </w:rPr>
        <w:t xml:space="preserve"> 202</w:t>
      </w:r>
      <w:r w:rsidR="009219C5">
        <w:rPr>
          <w:b/>
          <w:smallCaps/>
          <w:sz w:val="32"/>
        </w:rPr>
        <w:t>1</w:t>
      </w:r>
    </w:p>
    <w:p w14:paraId="6C4D833B" w14:textId="77777777" w:rsidR="007F7C84" w:rsidRDefault="007F7C84" w:rsidP="007F7C84">
      <w:pPr>
        <w:spacing w:line="240" w:lineRule="atLeast"/>
        <w:jc w:val="center"/>
        <w:rPr>
          <w:b/>
          <w:smallCaps/>
          <w:sz w:val="30"/>
        </w:rPr>
      </w:pPr>
    </w:p>
    <w:p w14:paraId="74B0523C" w14:textId="25CF9923" w:rsidR="007F7C84" w:rsidRDefault="007F7C84" w:rsidP="007F7C84">
      <w:pPr>
        <w:jc w:val="center"/>
        <w:rPr>
          <w:b/>
          <w:smallCaps/>
          <w:sz w:val="28"/>
        </w:rPr>
      </w:pPr>
      <w:r>
        <w:rPr>
          <w:b/>
          <w:smallCaps/>
          <w:sz w:val="28"/>
        </w:rPr>
        <w:t xml:space="preserve">Volume </w:t>
      </w:r>
      <w:r w:rsidR="00676730">
        <w:rPr>
          <w:b/>
          <w:smallCaps/>
          <w:sz w:val="28"/>
        </w:rPr>
        <w:t>3</w:t>
      </w:r>
      <w:r>
        <w:rPr>
          <w:b/>
          <w:smallCaps/>
          <w:sz w:val="28"/>
        </w:rPr>
        <w:t xml:space="preserve">: </w:t>
      </w:r>
      <w:r w:rsidR="008542F5" w:rsidRPr="008542F5">
        <w:rPr>
          <w:b/>
          <w:smallCaps/>
          <w:sz w:val="28"/>
        </w:rPr>
        <w:t>Decision XXX</w:t>
      </w:r>
      <w:r w:rsidR="008542F5">
        <w:rPr>
          <w:b/>
          <w:smallCaps/>
          <w:sz w:val="28"/>
        </w:rPr>
        <w:t>I</w:t>
      </w:r>
      <w:r w:rsidR="008542F5" w:rsidRPr="008542F5">
        <w:rPr>
          <w:b/>
          <w:smallCaps/>
          <w:sz w:val="28"/>
        </w:rPr>
        <w:t>/3 TEAP Task Force Report on Unexpected Emissions of Trichlorofluoromethane (CFC-11)</w:t>
      </w:r>
    </w:p>
    <w:p w14:paraId="2B4FC5E7" w14:textId="77777777" w:rsidR="007F7C84" w:rsidRDefault="007F7C84" w:rsidP="007F7C84">
      <w:pPr>
        <w:jc w:val="center"/>
        <w:rPr>
          <w:b/>
          <w:smallCaps/>
          <w:noProof/>
          <w:sz w:val="28"/>
        </w:rPr>
      </w:pPr>
    </w:p>
    <w:p w14:paraId="2E67FD5F" w14:textId="77777777" w:rsidR="007F7C84" w:rsidRDefault="007F7C84" w:rsidP="007F7C84">
      <w:pPr>
        <w:jc w:val="center"/>
        <w:rPr>
          <w:b/>
          <w:smallCaps/>
          <w:noProof/>
          <w:sz w:val="28"/>
        </w:rPr>
      </w:pPr>
    </w:p>
    <w:p w14:paraId="666FDFCE" w14:textId="1B934B17" w:rsidR="007F7C84" w:rsidRDefault="007F7C84" w:rsidP="007F7C84">
      <w:pPr>
        <w:jc w:val="center"/>
        <w:rPr>
          <w:b/>
          <w:smallCaps/>
          <w:noProof/>
          <w:sz w:val="28"/>
        </w:rPr>
      </w:pPr>
    </w:p>
    <w:p w14:paraId="15DE71E7" w14:textId="77777777" w:rsidR="00F876BE" w:rsidRDefault="007F7C84" w:rsidP="007E5DBF">
      <w:pPr>
        <w:spacing w:after="0"/>
        <w:jc w:val="right"/>
      </w:pPr>
      <w:r>
        <w:rPr>
          <w:b/>
          <w:smallCaps/>
          <w:noProof/>
          <w:sz w:val="28"/>
          <w:lang w:eastAsia="en-GB"/>
        </w:rPr>
        <w:drawing>
          <wp:inline distT="0" distB="0" distL="0" distR="0" wp14:anchorId="700F7604" wp14:editId="1C2F58B6">
            <wp:extent cx="1276602" cy="1328952"/>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7449" r="7753"/>
                    <a:stretch/>
                  </pic:blipFill>
                  <pic:spPr bwMode="auto">
                    <a:xfrm>
                      <a:off x="0" y="0"/>
                      <a:ext cx="1276701" cy="1329055"/>
                    </a:xfrm>
                    <a:prstGeom prst="rect">
                      <a:avLst/>
                    </a:prstGeom>
                    <a:noFill/>
                    <a:ln>
                      <a:noFill/>
                    </a:ln>
                    <a:extLst>
                      <a:ext uri="{53640926-AAD7-44D8-BBD7-CCE9431645EC}">
                        <a14:shadowObscured xmlns:a14="http://schemas.microsoft.com/office/drawing/2010/main"/>
                      </a:ext>
                    </a:extLst>
                  </pic:spPr>
                </pic:pic>
              </a:graphicData>
            </a:graphic>
          </wp:inline>
        </w:drawing>
      </w:r>
    </w:p>
    <w:p w14:paraId="24DE1716" w14:textId="29E01DA8" w:rsidR="007F7C84" w:rsidRDefault="007F7C84" w:rsidP="007E5DBF">
      <w:pPr>
        <w:spacing w:after="0"/>
        <w:jc w:val="right"/>
      </w:pPr>
      <w:r>
        <w:br w:type="page"/>
      </w:r>
    </w:p>
    <w:p w14:paraId="77286508" w14:textId="77777777" w:rsidR="007F7C84" w:rsidRPr="00D23986" w:rsidRDefault="007F7C84" w:rsidP="007F7C84">
      <w:pPr>
        <w:jc w:val="right"/>
        <w:rPr>
          <w:b/>
          <w:smallCaps/>
          <w:sz w:val="28"/>
        </w:rPr>
        <w:sectPr w:rsidR="007F7C84" w:rsidRPr="00D23986" w:rsidSect="007A211A">
          <w:headerReference w:type="even" r:id="rId12"/>
          <w:headerReference w:type="default" r:id="rId13"/>
          <w:footerReference w:type="even" r:id="rId14"/>
          <w:footerReference w:type="default" r:id="rId15"/>
          <w:headerReference w:type="first" r:id="rId16"/>
          <w:footerReference w:type="first" r:id="rId17"/>
          <w:footnotePr>
            <w:numRestart w:val="eachSect"/>
          </w:footnotePr>
          <w:type w:val="oddPage"/>
          <w:pgSz w:w="11907" w:h="16839" w:code="9"/>
          <w:pgMar w:top="1701" w:right="1797" w:bottom="1871" w:left="1797" w:header="720" w:footer="794" w:gutter="0"/>
          <w:pgNumType w:fmt="lowerRoman"/>
          <w:cols w:space="720"/>
          <w:titlePg/>
          <w:docGrid w:linePitch="299"/>
        </w:sectPr>
      </w:pPr>
    </w:p>
    <w:p w14:paraId="63B8CD07" w14:textId="77777777" w:rsidR="007F7C84" w:rsidRPr="00B4636E" w:rsidRDefault="007F7C84" w:rsidP="007F7C84">
      <w:pPr>
        <w:spacing w:before="240" w:after="120"/>
        <w:jc w:val="right"/>
        <w:rPr>
          <w:b/>
          <w:sz w:val="24"/>
        </w:rPr>
      </w:pPr>
      <w:bookmarkStart w:id="6" w:name="_Hlk41990389"/>
      <w:r w:rsidRPr="00D23986">
        <w:rPr>
          <w:b/>
          <w:sz w:val="24"/>
        </w:rPr>
        <w:lastRenderedPageBreak/>
        <w:t>Montreal Protocol</w:t>
      </w:r>
      <w:r>
        <w:rPr>
          <w:b/>
          <w:sz w:val="24"/>
        </w:rPr>
        <w:t xml:space="preserve"> o</w:t>
      </w:r>
      <w:r w:rsidRPr="00D23986">
        <w:rPr>
          <w:b/>
          <w:sz w:val="24"/>
        </w:rPr>
        <w:t>n Substances that Deplete the Ozone Layer</w:t>
      </w:r>
    </w:p>
    <w:p w14:paraId="439E7FC0" w14:textId="77777777" w:rsidR="007F7C84" w:rsidRPr="00851E59" w:rsidRDefault="007F7C84" w:rsidP="007F7C84">
      <w:pPr>
        <w:jc w:val="right"/>
        <w:rPr>
          <w:b/>
          <w:bCs/>
          <w:sz w:val="24"/>
          <w:szCs w:val="24"/>
        </w:rPr>
      </w:pPr>
      <w:r w:rsidRPr="00851E59">
        <w:rPr>
          <w:b/>
          <w:bCs/>
          <w:sz w:val="24"/>
          <w:szCs w:val="24"/>
        </w:rPr>
        <w:t>United Nations Environment Programme (UNEP)</w:t>
      </w:r>
    </w:p>
    <w:p w14:paraId="3297CC68" w14:textId="77777777" w:rsidR="007F7C84" w:rsidRPr="00851E59" w:rsidRDefault="007F7C84" w:rsidP="007F7C84">
      <w:pPr>
        <w:jc w:val="right"/>
        <w:rPr>
          <w:b/>
          <w:bCs/>
          <w:sz w:val="24"/>
          <w:szCs w:val="24"/>
        </w:rPr>
      </w:pPr>
      <w:r w:rsidRPr="00851E59">
        <w:rPr>
          <w:b/>
          <w:bCs/>
          <w:sz w:val="24"/>
          <w:szCs w:val="24"/>
        </w:rPr>
        <w:t>Report of the Technology and Economic Assessment Panel</w:t>
      </w:r>
    </w:p>
    <w:p w14:paraId="04897B97" w14:textId="77777777" w:rsidR="007F7C84" w:rsidRPr="00851E59" w:rsidRDefault="007F7C84" w:rsidP="007F7C84">
      <w:pPr>
        <w:jc w:val="right"/>
        <w:rPr>
          <w:b/>
          <w:bCs/>
          <w:sz w:val="24"/>
          <w:szCs w:val="24"/>
        </w:rPr>
      </w:pPr>
    </w:p>
    <w:p w14:paraId="2957001C" w14:textId="21AE383A" w:rsidR="007F7C84" w:rsidRPr="00851E59" w:rsidRDefault="00580146" w:rsidP="007F7C84">
      <w:pPr>
        <w:jc w:val="right"/>
        <w:rPr>
          <w:b/>
          <w:bCs/>
          <w:sz w:val="24"/>
          <w:szCs w:val="24"/>
        </w:rPr>
      </w:pPr>
      <w:r w:rsidRPr="00851E59">
        <w:rPr>
          <w:b/>
          <w:bCs/>
          <w:sz w:val="24"/>
          <w:szCs w:val="24"/>
        </w:rPr>
        <w:t>May</w:t>
      </w:r>
      <w:r w:rsidR="007F7C84" w:rsidRPr="00851E59">
        <w:rPr>
          <w:b/>
          <w:bCs/>
          <w:sz w:val="24"/>
          <w:szCs w:val="24"/>
        </w:rPr>
        <w:t xml:space="preserve"> 202</w:t>
      </w:r>
      <w:r w:rsidR="00BB7B3A" w:rsidRPr="00851E59">
        <w:rPr>
          <w:b/>
          <w:bCs/>
          <w:sz w:val="24"/>
          <w:szCs w:val="24"/>
        </w:rPr>
        <w:t>1</w:t>
      </w:r>
    </w:p>
    <w:p w14:paraId="09AC0B1E" w14:textId="77777777" w:rsidR="007F7C84" w:rsidRDefault="007F7C84" w:rsidP="007F7C84">
      <w:pPr>
        <w:spacing w:before="100" w:after="100"/>
        <w:outlineLvl w:val="0"/>
        <w:rPr>
          <w:b/>
          <w:smallCaps/>
          <w:sz w:val="32"/>
        </w:rPr>
      </w:pPr>
      <w:bookmarkStart w:id="7" w:name="_Toc8318739"/>
      <w:bookmarkStart w:id="8" w:name="_Toc8320264"/>
      <w:bookmarkStart w:id="9" w:name="_Toc8396730"/>
      <w:bookmarkStart w:id="10" w:name="_Toc8638141"/>
      <w:bookmarkStart w:id="11" w:name="_Toc8638202"/>
      <w:bookmarkStart w:id="12" w:name="_Toc8639531"/>
      <w:bookmarkStart w:id="13" w:name="_Toc8888495"/>
      <w:bookmarkStart w:id="14" w:name="_Toc9075746"/>
      <w:bookmarkStart w:id="15" w:name="_Toc9109556"/>
    </w:p>
    <w:bookmarkEnd w:id="7"/>
    <w:bookmarkEnd w:id="8"/>
    <w:bookmarkEnd w:id="9"/>
    <w:bookmarkEnd w:id="10"/>
    <w:bookmarkEnd w:id="11"/>
    <w:bookmarkEnd w:id="12"/>
    <w:bookmarkEnd w:id="13"/>
    <w:bookmarkEnd w:id="14"/>
    <w:bookmarkEnd w:id="15"/>
    <w:p w14:paraId="28332251" w14:textId="38FCEBFF" w:rsidR="007F7C84" w:rsidRPr="002E42C7" w:rsidRDefault="008542F5" w:rsidP="002E42C7">
      <w:pPr>
        <w:rPr>
          <w:rFonts w:ascii="Times New Roman Bold" w:hAnsi="Times New Roman Bold"/>
          <w:b/>
          <w:bCs/>
          <w:smallCaps/>
          <w:sz w:val="40"/>
          <w:szCs w:val="24"/>
        </w:rPr>
      </w:pPr>
      <w:r w:rsidRPr="008542F5">
        <w:rPr>
          <w:rFonts w:ascii="Times New Roman Bold" w:hAnsi="Times New Roman Bold"/>
          <w:b/>
          <w:bCs/>
          <w:smallCaps/>
          <w:sz w:val="28"/>
          <w:szCs w:val="24"/>
        </w:rPr>
        <w:t xml:space="preserve">Volume </w:t>
      </w:r>
      <w:r w:rsidR="00676730">
        <w:rPr>
          <w:rFonts w:ascii="Times New Roman Bold" w:hAnsi="Times New Roman Bold"/>
          <w:b/>
          <w:bCs/>
          <w:smallCaps/>
          <w:sz w:val="28"/>
          <w:szCs w:val="24"/>
        </w:rPr>
        <w:t>3</w:t>
      </w:r>
      <w:r w:rsidRPr="008542F5">
        <w:rPr>
          <w:rFonts w:ascii="Times New Roman Bold" w:hAnsi="Times New Roman Bold"/>
          <w:b/>
          <w:bCs/>
          <w:smallCaps/>
          <w:sz w:val="28"/>
          <w:szCs w:val="24"/>
        </w:rPr>
        <w:t>: Decision XXXI/3 TEAP Task Force Report on Unexpected Emissions of Trichlorofluoromethane (CFC-11)</w:t>
      </w:r>
    </w:p>
    <w:p w14:paraId="4CB83B8A" w14:textId="77777777" w:rsidR="007F7C84" w:rsidRPr="00D23986" w:rsidRDefault="007F7C84" w:rsidP="007F7C84">
      <w:pPr>
        <w:spacing w:before="100" w:after="100"/>
      </w:pPr>
    </w:p>
    <w:p w14:paraId="52D10D3A" w14:textId="77777777" w:rsidR="007F7C84" w:rsidRPr="00D23986" w:rsidRDefault="007F7C84" w:rsidP="007F7C84">
      <w:pPr>
        <w:spacing w:before="100" w:after="100"/>
      </w:pPr>
      <w:r w:rsidRPr="00D23986">
        <w:t>The text of this report is composed in Times New Roman.</w:t>
      </w:r>
    </w:p>
    <w:p w14:paraId="38F539B8" w14:textId="77777777" w:rsidR="007F7C84" w:rsidRPr="00D23986" w:rsidRDefault="007F7C84" w:rsidP="002E42C7">
      <w:bookmarkStart w:id="16" w:name="_Toc8318740"/>
      <w:bookmarkStart w:id="17" w:name="_Toc8320265"/>
      <w:bookmarkStart w:id="18" w:name="_Toc8396731"/>
      <w:bookmarkStart w:id="19" w:name="_Toc8638142"/>
      <w:bookmarkStart w:id="20" w:name="_Toc8638203"/>
      <w:bookmarkStart w:id="21" w:name="_Toc8639532"/>
      <w:bookmarkStart w:id="22" w:name="_Toc8888496"/>
      <w:bookmarkStart w:id="23" w:name="_Toc9075747"/>
      <w:bookmarkStart w:id="24" w:name="_Toc9109557"/>
      <w:bookmarkStart w:id="25" w:name="_Toc40190250"/>
      <w:bookmarkStart w:id="26" w:name="_Toc40191876"/>
      <w:bookmarkStart w:id="27" w:name="_Toc40194835"/>
      <w:bookmarkStart w:id="28" w:name="_Toc40209771"/>
      <w:bookmarkStart w:id="29" w:name="_Toc40696029"/>
      <w:bookmarkStart w:id="30" w:name="_Toc40696298"/>
      <w:bookmarkStart w:id="31" w:name="_Toc40696688"/>
      <w:bookmarkStart w:id="32" w:name="_Toc40697450"/>
      <w:bookmarkStart w:id="33" w:name="_Toc40765280"/>
      <w:bookmarkStart w:id="34" w:name="_Toc40765501"/>
      <w:bookmarkStart w:id="35" w:name="_Toc41335666"/>
      <w:bookmarkStart w:id="36" w:name="_Toc41660036"/>
      <w:bookmarkStart w:id="37" w:name="_Toc41805943"/>
      <w:bookmarkStart w:id="38" w:name="_Toc41837738"/>
      <w:r w:rsidRPr="008542F5">
        <w:t>Co-ordination</w:t>
      </w:r>
      <w:r w:rsidRPr="00D23986">
        <w:t>:</w:t>
      </w:r>
      <w:r w:rsidRPr="00D23986">
        <w:tab/>
      </w:r>
      <w:r w:rsidRPr="008542F5">
        <w:rPr>
          <w:b/>
          <w:bCs/>
        </w:rPr>
        <w:t>Technology and Economic Assessment Panel</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32B424E8" w14:textId="1936D8DA" w:rsidR="007F7C84" w:rsidRPr="00D23986" w:rsidRDefault="007F7C84" w:rsidP="00C56167">
      <w:pPr>
        <w:tabs>
          <w:tab w:val="left" w:pos="2880"/>
        </w:tabs>
        <w:spacing w:before="100" w:after="100"/>
      </w:pPr>
      <w:r w:rsidRPr="00D23986">
        <w:t>Composition of the report:</w:t>
      </w:r>
      <w:r w:rsidRPr="00D23986">
        <w:tab/>
      </w:r>
      <w:r w:rsidR="008542F5" w:rsidRPr="008542F5">
        <w:t>Jose Pons, Helen Tope, Helen Walter-Terrinoni</w:t>
      </w:r>
    </w:p>
    <w:p w14:paraId="43F8A2AF" w14:textId="6C90C182" w:rsidR="007F7C84" w:rsidRPr="00D23986" w:rsidRDefault="007F7C84" w:rsidP="00C56167">
      <w:pPr>
        <w:tabs>
          <w:tab w:val="left" w:pos="2880"/>
        </w:tabs>
        <w:spacing w:before="100" w:after="100"/>
        <w:ind w:left="2160" w:hanging="2160"/>
      </w:pPr>
      <w:r w:rsidRPr="00D23986">
        <w:t>Layout and formatting:</w:t>
      </w:r>
      <w:r w:rsidRPr="00D23986">
        <w:tab/>
      </w:r>
      <w:r w:rsidRPr="00D23986">
        <w:tab/>
      </w:r>
      <w:r w:rsidR="008542F5" w:rsidRPr="008542F5">
        <w:t xml:space="preserve">Helen Tope </w:t>
      </w:r>
      <w:r w:rsidRPr="00D23986">
        <w:t xml:space="preserve">(UNEP TEAP) </w:t>
      </w:r>
      <w:r w:rsidRPr="00D23986">
        <w:tab/>
      </w:r>
    </w:p>
    <w:p w14:paraId="3485FB93" w14:textId="01303F95" w:rsidR="007F7C84" w:rsidRPr="00D23986" w:rsidRDefault="007F7C84" w:rsidP="00C56167">
      <w:pPr>
        <w:tabs>
          <w:tab w:val="left" w:pos="2880"/>
        </w:tabs>
        <w:spacing w:before="100" w:after="100"/>
      </w:pPr>
      <w:r w:rsidRPr="00D23986">
        <w:t>Date:</w:t>
      </w:r>
      <w:r w:rsidRPr="00D23986">
        <w:tab/>
      </w:r>
      <w:r w:rsidR="00580146">
        <w:t>May</w:t>
      </w:r>
      <w:r w:rsidRPr="00D23986">
        <w:t xml:space="preserve"> 20</w:t>
      </w:r>
      <w:r>
        <w:t>2</w:t>
      </w:r>
      <w:r w:rsidR="00BB7B3A">
        <w:t>1</w:t>
      </w:r>
    </w:p>
    <w:p w14:paraId="131114BD" w14:textId="77777777" w:rsidR="007F7C84" w:rsidRPr="00D23986" w:rsidRDefault="007F7C84" w:rsidP="007F7C84">
      <w:pPr>
        <w:spacing w:before="100" w:after="100"/>
      </w:pPr>
    </w:p>
    <w:p w14:paraId="11556470" w14:textId="77777777" w:rsidR="007F7C84" w:rsidRDefault="007F7C84" w:rsidP="007F7C84">
      <w:pPr>
        <w:spacing w:before="100" w:after="100"/>
      </w:pPr>
      <w:r w:rsidRPr="00D23986">
        <w:t>Under certain conditions, printed copies of this report are available from:</w:t>
      </w:r>
    </w:p>
    <w:p w14:paraId="13FAE4FF" w14:textId="77777777" w:rsidR="007F7C84" w:rsidRPr="003231D4" w:rsidRDefault="007F7C84" w:rsidP="007F7C84"/>
    <w:p w14:paraId="1B2FC8FB" w14:textId="77777777" w:rsidR="007F7C84" w:rsidRDefault="007F7C84" w:rsidP="007F7C84">
      <w:pPr>
        <w:spacing w:before="100" w:after="100"/>
      </w:pPr>
      <w:r w:rsidRPr="00D23986">
        <w:t>UNITED NATIONS ENVIRONMENT PROGRAMME</w:t>
      </w:r>
    </w:p>
    <w:p w14:paraId="133DFD75" w14:textId="77777777" w:rsidR="007F7C84" w:rsidRDefault="007F7C84" w:rsidP="007F7C84">
      <w:pPr>
        <w:spacing w:before="100" w:after="100"/>
      </w:pPr>
      <w:r w:rsidRPr="00D23986">
        <w:t>Ozone Secretariat</w:t>
      </w:r>
    </w:p>
    <w:p w14:paraId="4C3134CA" w14:textId="77777777" w:rsidR="007F7C84" w:rsidRDefault="007F7C84" w:rsidP="007F7C84">
      <w:pPr>
        <w:spacing w:before="100" w:after="100"/>
      </w:pPr>
      <w:r w:rsidRPr="00D23986">
        <w:t>P.O. Box 30552</w:t>
      </w:r>
    </w:p>
    <w:p w14:paraId="16C30792" w14:textId="77777777" w:rsidR="007F7C84" w:rsidRPr="00D23986" w:rsidRDefault="007F7C84" w:rsidP="007F7C84">
      <w:pPr>
        <w:spacing w:before="100" w:after="100"/>
      </w:pPr>
      <w:r w:rsidRPr="00D23986">
        <w:t>Nairobi, Kenya</w:t>
      </w:r>
    </w:p>
    <w:p w14:paraId="53062BE1" w14:textId="77777777" w:rsidR="007F7C84" w:rsidRPr="00D23986" w:rsidRDefault="007F7C84" w:rsidP="007F7C84">
      <w:pPr>
        <w:spacing w:before="100" w:after="100"/>
        <w:outlineLvl w:val="0"/>
      </w:pPr>
    </w:p>
    <w:p w14:paraId="2ECE274A" w14:textId="77777777" w:rsidR="007F7C84" w:rsidRPr="00D23986" w:rsidRDefault="007F7C84" w:rsidP="002E42C7">
      <w:bookmarkStart w:id="39" w:name="_Toc8318741"/>
      <w:bookmarkStart w:id="40" w:name="_Toc8320266"/>
      <w:bookmarkStart w:id="41" w:name="_Toc8396732"/>
      <w:bookmarkStart w:id="42" w:name="_Toc8638143"/>
      <w:bookmarkStart w:id="43" w:name="_Toc8638204"/>
      <w:bookmarkStart w:id="44" w:name="_Toc8639533"/>
      <w:bookmarkStart w:id="45" w:name="_Toc8888497"/>
      <w:bookmarkStart w:id="46" w:name="_Toc9075748"/>
      <w:bookmarkStart w:id="47" w:name="_Toc9109558"/>
      <w:bookmarkStart w:id="48" w:name="_Toc40190251"/>
      <w:bookmarkStart w:id="49" w:name="_Toc40191877"/>
      <w:bookmarkStart w:id="50" w:name="_Toc40194836"/>
      <w:bookmarkStart w:id="51" w:name="_Toc40209772"/>
      <w:bookmarkStart w:id="52" w:name="_Toc40696030"/>
      <w:bookmarkStart w:id="53" w:name="_Toc40696299"/>
      <w:bookmarkStart w:id="54" w:name="_Toc40696689"/>
      <w:bookmarkStart w:id="55" w:name="_Toc40697451"/>
      <w:bookmarkStart w:id="56" w:name="_Toc40765281"/>
      <w:bookmarkStart w:id="57" w:name="_Toc40765502"/>
      <w:bookmarkStart w:id="58" w:name="_Toc41335667"/>
      <w:bookmarkStart w:id="59" w:name="_Toc41660037"/>
      <w:bookmarkStart w:id="60" w:name="_Toc41805944"/>
      <w:bookmarkStart w:id="61" w:name="_Toc41837739"/>
      <w:r w:rsidRPr="00D23986">
        <w:t>This document is also available in portable document format from the UNEP Ozone Secretariat's website:</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07E6AAA3" w14:textId="2A78D8DE" w:rsidR="007F7C84" w:rsidRDefault="000E1B45" w:rsidP="007F7C84">
      <w:pPr>
        <w:spacing w:before="100" w:after="100"/>
      </w:pPr>
      <w:r w:rsidRPr="000E1B45">
        <w:t>https://ozone.unep.org/science/assessment/teap</w:t>
      </w:r>
    </w:p>
    <w:p w14:paraId="79247511" w14:textId="77777777" w:rsidR="000E1B45" w:rsidRPr="000E1B45" w:rsidRDefault="000E1B45" w:rsidP="000E1B45"/>
    <w:p w14:paraId="372CF559" w14:textId="08819A4A" w:rsidR="007F7C84" w:rsidRPr="00D23986" w:rsidRDefault="007F7C84" w:rsidP="007F7C84">
      <w:pPr>
        <w:spacing w:before="100" w:after="100"/>
      </w:pPr>
      <w:r w:rsidRPr="00D23986">
        <w:t>No copyright involved.</w:t>
      </w:r>
      <w:r w:rsidR="00A64639">
        <w:t xml:space="preserve"> </w:t>
      </w:r>
      <w:r w:rsidRPr="00D23986">
        <w:t>This publication may be freely copied, abstracted and cited, with acknowledgement of the source of the material.</w:t>
      </w:r>
    </w:p>
    <w:bookmarkEnd w:id="6"/>
    <w:p w14:paraId="52CD31C5" w14:textId="77777777" w:rsidR="007F7C84" w:rsidRPr="00D23986" w:rsidRDefault="007F7C84" w:rsidP="007F7C84">
      <w:pPr>
        <w:spacing w:before="100" w:after="100"/>
      </w:pPr>
    </w:p>
    <w:p w14:paraId="24FB35A0" w14:textId="696AF202" w:rsidR="007F7C84" w:rsidRPr="00D23986" w:rsidRDefault="007F7C84" w:rsidP="007F7C84">
      <w:pPr>
        <w:autoSpaceDE w:val="0"/>
        <w:autoSpaceDN w:val="0"/>
        <w:adjustRightInd w:val="0"/>
        <w:spacing w:before="100" w:after="100"/>
        <w:rPr>
          <w:b/>
          <w:highlight w:val="yellow"/>
        </w:rPr>
        <w:sectPr w:rsidR="007F7C84" w:rsidRPr="00D23986" w:rsidSect="009345EE">
          <w:headerReference w:type="even" r:id="rId18"/>
          <w:headerReference w:type="default" r:id="rId19"/>
          <w:footerReference w:type="default" r:id="rId20"/>
          <w:headerReference w:type="first" r:id="rId21"/>
          <w:footnotePr>
            <w:numRestart w:val="eachSect"/>
          </w:footnotePr>
          <w:type w:val="oddPage"/>
          <w:pgSz w:w="11907" w:h="16839" w:code="9"/>
          <w:pgMar w:top="1701" w:right="1797" w:bottom="1871" w:left="1797" w:header="720" w:footer="794" w:gutter="0"/>
          <w:pgNumType w:fmt="lowerRoman"/>
          <w:cols w:space="720"/>
          <w:docGrid w:linePitch="299"/>
        </w:sectPr>
      </w:pPr>
      <w:bookmarkStart w:id="63" w:name="_Hlk41990715"/>
      <w:r w:rsidRPr="00D23986">
        <w:rPr>
          <w:b/>
        </w:rPr>
        <w:t>ISBN:</w:t>
      </w:r>
      <w:r w:rsidRPr="00D23986">
        <w:rPr>
          <w:b/>
        </w:rPr>
        <w:tab/>
      </w:r>
      <w:bookmarkEnd w:id="63"/>
      <w:r w:rsidR="00851E59" w:rsidRPr="00851E59">
        <w:rPr>
          <w:b/>
        </w:rPr>
        <w:t>978-9966-076-89-2</w:t>
      </w:r>
    </w:p>
    <w:p w14:paraId="5444F38C" w14:textId="77777777" w:rsidR="007F7C84" w:rsidRPr="00D23986" w:rsidRDefault="007F7C84" w:rsidP="007F7C84">
      <w:pPr>
        <w:outlineLvl w:val="0"/>
        <w:rPr>
          <w:b/>
        </w:rPr>
      </w:pPr>
      <w:bookmarkStart w:id="64" w:name="_Toc8318742"/>
      <w:bookmarkStart w:id="65" w:name="_Toc8320267"/>
      <w:bookmarkStart w:id="66" w:name="_Toc8396733"/>
      <w:bookmarkStart w:id="67" w:name="_Toc8638144"/>
      <w:bookmarkStart w:id="68" w:name="_Toc8638205"/>
      <w:bookmarkStart w:id="69" w:name="_Toc8639534"/>
      <w:bookmarkStart w:id="70" w:name="_Toc8888498"/>
      <w:bookmarkStart w:id="71" w:name="_Toc9075749"/>
      <w:bookmarkStart w:id="72" w:name="_Toc9109559"/>
      <w:bookmarkStart w:id="73" w:name="_Toc40190252"/>
      <w:bookmarkStart w:id="74" w:name="_Toc40191878"/>
      <w:bookmarkStart w:id="75" w:name="_Toc40194837"/>
      <w:bookmarkStart w:id="76" w:name="_Toc40209773"/>
      <w:bookmarkStart w:id="77" w:name="_Toc40696031"/>
      <w:bookmarkStart w:id="78" w:name="_Toc40696300"/>
      <w:bookmarkStart w:id="79" w:name="_Toc40696690"/>
      <w:bookmarkStart w:id="80" w:name="_Toc40697452"/>
      <w:bookmarkStart w:id="81" w:name="_Toc40765282"/>
      <w:bookmarkStart w:id="82" w:name="_Toc40765503"/>
      <w:bookmarkStart w:id="83" w:name="_Toc41335668"/>
      <w:bookmarkStart w:id="84" w:name="_Toc41660038"/>
      <w:bookmarkStart w:id="85" w:name="_Toc41805945"/>
      <w:bookmarkStart w:id="86" w:name="_Toc41837740"/>
      <w:bookmarkStart w:id="87" w:name="_Toc73045581"/>
      <w:r w:rsidRPr="00D23986">
        <w:rPr>
          <w:b/>
        </w:rPr>
        <w:lastRenderedPageBreak/>
        <w:t>Disclaimer</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74401314" w14:textId="376E961E" w:rsidR="007F7C84" w:rsidRPr="00D23986" w:rsidRDefault="007F7C84" w:rsidP="007F7C84">
      <w:pPr>
        <w:jc w:val="both"/>
        <w:rPr>
          <w:sz w:val="20"/>
        </w:rPr>
      </w:pPr>
      <w:r w:rsidRPr="00D23986">
        <w:rPr>
          <w:sz w:val="20"/>
        </w:rPr>
        <w:t>The United Nations Environment Programme (UNEP), the Technology and Economic Assessment Panel (TEAP) Co-chairs and members, the Technical Options Committees Co-chairs and members, the TEAP Task Forces Co-chairs and members, and the companies and organisations that employ them do not endorse the performance, worker safety, or environmental acceptability of any of the technical options discussed.</w:t>
      </w:r>
      <w:r w:rsidR="00A64639">
        <w:rPr>
          <w:sz w:val="20"/>
        </w:rPr>
        <w:t xml:space="preserve"> </w:t>
      </w:r>
      <w:r w:rsidRPr="00D23986">
        <w:rPr>
          <w:sz w:val="20"/>
        </w:rPr>
        <w:t>Every industrial operation requires consideration of worker safety and proper disposal of contaminants and waste products.</w:t>
      </w:r>
      <w:r w:rsidR="00A64639">
        <w:rPr>
          <w:sz w:val="20"/>
        </w:rPr>
        <w:t xml:space="preserve"> </w:t>
      </w:r>
      <w:r w:rsidRPr="00D23986">
        <w:rPr>
          <w:sz w:val="20"/>
        </w:rPr>
        <w:t>Moreover, as work continues - including additional toxicity evaluation - more information on health, environmental and safety effects of alternatives and replacements will become available for use in selecting among the options discussed in this document.</w:t>
      </w:r>
    </w:p>
    <w:p w14:paraId="5928E292" w14:textId="77777777" w:rsidR="007F7C84" w:rsidRPr="00D23986" w:rsidRDefault="007F7C84" w:rsidP="007F7C84">
      <w:pPr>
        <w:pStyle w:val="MainTextNon-indent"/>
        <w:widowControl/>
        <w:spacing w:after="240" w:line="240" w:lineRule="auto"/>
        <w:jc w:val="both"/>
        <w:rPr>
          <w:rFonts w:ascii="Times New Roman" w:hAnsi="Times New Roman"/>
          <w:lang w:val="en-GB"/>
        </w:rPr>
      </w:pPr>
      <w:r w:rsidRPr="00D23986">
        <w:rPr>
          <w:rFonts w:ascii="Times New Roman" w:hAnsi="Times New Roman"/>
          <w:lang w:val="en-GB"/>
        </w:rPr>
        <w:t>UNEP, the TEAP Co-chairs and members, the Technical Options Committees Co-chairs and members, and the TEAP Task Forces Co-chairs and members, in furnishing or distributing this information, do not make any warranty or representation, either express or implied, with respect to the accuracy, completeness, or utility; nor do they assume any liability of any kind whatsoever resulting from the use or reliance upon any information, material, or procedure contained herein, including but not limited to any claims regarding health, safety, environmental effect or fate, efficacy, or performance, made by the source of information.</w:t>
      </w:r>
    </w:p>
    <w:p w14:paraId="1088E212" w14:textId="77777777" w:rsidR="007F7C84" w:rsidRPr="00D23986" w:rsidRDefault="007F7C84" w:rsidP="007F7C84">
      <w:pPr>
        <w:jc w:val="both"/>
        <w:rPr>
          <w:sz w:val="20"/>
        </w:rPr>
      </w:pPr>
      <w:r w:rsidRPr="00D23986">
        <w:rPr>
          <w:sz w:val="20"/>
        </w:rPr>
        <w:t>Mention of any company, association, or product in this document is for information purposes only and does not constitute a recommendation of any such company, association, or product, either express or implied by UNEP, the Technology and Economic Assessment Panel Co-chairs or members, the Technical and Economic Options Committee Co-chairs or members, the TEAP Task Forces Co-chairs or members or the companies or organisations that employ them.</w:t>
      </w:r>
    </w:p>
    <w:p w14:paraId="6E5576A5" w14:textId="77777777" w:rsidR="007F7C84" w:rsidRPr="00D23986" w:rsidRDefault="007F7C84" w:rsidP="00132BBC"/>
    <w:p w14:paraId="5FB59B4A" w14:textId="77777777" w:rsidR="007F7C84" w:rsidRPr="00D23986" w:rsidRDefault="007F7C84" w:rsidP="00132BBC"/>
    <w:p w14:paraId="55134FC1" w14:textId="77777777" w:rsidR="007F7C84" w:rsidRPr="00D23986" w:rsidRDefault="007F7C84" w:rsidP="00132BBC"/>
    <w:p w14:paraId="60E79234" w14:textId="77777777" w:rsidR="007F7C84" w:rsidRPr="00D23986" w:rsidRDefault="007F7C84" w:rsidP="00132BBC"/>
    <w:p w14:paraId="2EE0AEBB" w14:textId="77777777" w:rsidR="007F7C84" w:rsidRPr="00D23986" w:rsidRDefault="007F7C84" w:rsidP="00132BBC"/>
    <w:p w14:paraId="7C9C0D9A" w14:textId="77777777" w:rsidR="007F7C84" w:rsidRPr="00D23986" w:rsidRDefault="007F7C84" w:rsidP="00132BBC"/>
    <w:p w14:paraId="09C2CCB4" w14:textId="77777777" w:rsidR="007F7C84" w:rsidRPr="00D23986" w:rsidRDefault="007F7C84" w:rsidP="007F7C84">
      <w:pPr>
        <w:keepNext/>
        <w:suppressAutoHyphens/>
        <w:spacing w:before="120"/>
        <w:ind w:right="244"/>
        <w:jc w:val="both"/>
        <w:rPr>
          <w:b/>
        </w:rPr>
      </w:pPr>
      <w:r w:rsidRPr="00D23986">
        <w:rPr>
          <w:b/>
        </w:rPr>
        <w:t>Acknowledgements</w:t>
      </w:r>
    </w:p>
    <w:p w14:paraId="1133BD55" w14:textId="656F157E" w:rsidR="007F7C84" w:rsidRPr="00D23986" w:rsidRDefault="007F7C84" w:rsidP="007F7C84">
      <w:pPr>
        <w:jc w:val="both"/>
        <w:rPr>
          <w:sz w:val="20"/>
        </w:rPr>
      </w:pPr>
      <w:r w:rsidRPr="00D23986">
        <w:rPr>
          <w:sz w:val="20"/>
        </w:rPr>
        <w:t>The Technology and Economic Assessment Panel, its Technical Options Committees and the TEAP Task Force Co-chairs and members acknowledge with thanks the outstanding contributions from all of the individuals and organisations that provided support to Panel, Committees and TEAP Task Force Co-chairs and members.</w:t>
      </w:r>
      <w:r w:rsidR="00A64639">
        <w:rPr>
          <w:sz w:val="20"/>
        </w:rPr>
        <w:t xml:space="preserve"> </w:t>
      </w:r>
      <w:r w:rsidRPr="00D23986">
        <w:rPr>
          <w:sz w:val="20"/>
        </w:rPr>
        <w:t xml:space="preserve">The opinions expressed are those of the Panel, the Committees and </w:t>
      </w:r>
      <w:r w:rsidR="007364BC">
        <w:rPr>
          <w:sz w:val="20"/>
        </w:rPr>
        <w:t xml:space="preserve">the </w:t>
      </w:r>
      <w:r w:rsidRPr="00D23986">
        <w:rPr>
          <w:sz w:val="20"/>
        </w:rPr>
        <w:t>TEAP Task Forces and do not necessarily reflect the reviews of any sponsoring or supporting organisation.</w:t>
      </w:r>
    </w:p>
    <w:p w14:paraId="594F6B63" w14:textId="08F3123D" w:rsidR="007F7C84" w:rsidRDefault="007F7C84">
      <w:pPr>
        <w:pStyle w:val="Heading1"/>
      </w:pPr>
      <w:r w:rsidRPr="00D23986">
        <w:br w:type="page"/>
      </w:r>
    </w:p>
    <w:p w14:paraId="21BBFFE3" w14:textId="66FB7F4C" w:rsidR="00AD4B2A" w:rsidRPr="00D23986" w:rsidRDefault="00591AA8">
      <w:pPr>
        <w:pStyle w:val="Heading1"/>
      </w:pPr>
      <w:bookmarkStart w:id="88" w:name="_Toc40696032"/>
      <w:bookmarkStart w:id="89" w:name="_Toc40696301"/>
      <w:bookmarkStart w:id="90" w:name="_Toc40696691"/>
      <w:bookmarkStart w:id="91" w:name="_Toc40697453"/>
      <w:bookmarkStart w:id="92" w:name="_Toc40765283"/>
      <w:bookmarkStart w:id="93" w:name="_Toc40765504"/>
      <w:bookmarkStart w:id="94" w:name="_Toc41335669"/>
      <w:bookmarkStart w:id="95" w:name="_Toc41660039"/>
      <w:bookmarkStart w:id="96" w:name="_Toc41805946"/>
      <w:bookmarkStart w:id="97" w:name="_Toc41837741"/>
      <w:bookmarkStart w:id="98" w:name="_Toc73045582"/>
      <w:r w:rsidRPr="00D23986">
        <w:lastRenderedPageBreak/>
        <w:t>Foreword</w:t>
      </w:r>
      <w:bookmarkEnd w:id="1"/>
      <w:bookmarkEnd w:id="2"/>
      <w:bookmarkEnd w:id="3"/>
      <w:bookmarkEnd w:id="4"/>
      <w:bookmarkEnd w:id="5"/>
      <w:bookmarkEnd w:id="88"/>
      <w:bookmarkEnd w:id="89"/>
      <w:bookmarkEnd w:id="90"/>
      <w:bookmarkEnd w:id="91"/>
      <w:bookmarkEnd w:id="92"/>
      <w:bookmarkEnd w:id="93"/>
      <w:bookmarkEnd w:id="94"/>
      <w:bookmarkEnd w:id="95"/>
      <w:bookmarkEnd w:id="96"/>
      <w:bookmarkEnd w:id="97"/>
      <w:bookmarkEnd w:id="98"/>
    </w:p>
    <w:p w14:paraId="445470BF" w14:textId="56BF0C10" w:rsidR="00AD4B2A" w:rsidRPr="00D23986" w:rsidRDefault="00591AA8">
      <w:pPr>
        <w:pStyle w:val="BodyText"/>
        <w:spacing w:line="240" w:lineRule="auto"/>
        <w:rPr>
          <w:b/>
        </w:rPr>
      </w:pPr>
      <w:r w:rsidRPr="00D23986">
        <w:rPr>
          <w:b/>
        </w:rPr>
        <w:t xml:space="preserve">The </w:t>
      </w:r>
      <w:r w:rsidR="00871C44" w:rsidRPr="00D23986">
        <w:rPr>
          <w:b/>
        </w:rPr>
        <w:t>20</w:t>
      </w:r>
      <w:r w:rsidR="00696CB5">
        <w:rPr>
          <w:b/>
        </w:rPr>
        <w:t>2</w:t>
      </w:r>
      <w:r w:rsidR="00BB7B3A">
        <w:rPr>
          <w:b/>
        </w:rPr>
        <w:t>1</w:t>
      </w:r>
      <w:r w:rsidRPr="00D23986">
        <w:rPr>
          <w:b/>
        </w:rPr>
        <w:t xml:space="preserve"> TEAP Report</w:t>
      </w:r>
    </w:p>
    <w:p w14:paraId="76761B96" w14:textId="09E314CB" w:rsidR="00FA5909" w:rsidRPr="00D23986" w:rsidRDefault="00FA5909" w:rsidP="007824A3">
      <w:pPr>
        <w:spacing w:after="120"/>
        <w:rPr>
          <w:szCs w:val="22"/>
          <w:lang w:eastAsia="en-US"/>
        </w:rPr>
      </w:pPr>
      <w:r w:rsidRPr="00D23986">
        <w:rPr>
          <w:szCs w:val="22"/>
          <w:lang w:eastAsia="en-US"/>
        </w:rPr>
        <w:t>The 20</w:t>
      </w:r>
      <w:r w:rsidR="00696CB5">
        <w:rPr>
          <w:szCs w:val="22"/>
          <w:lang w:eastAsia="en-US"/>
        </w:rPr>
        <w:t>2</w:t>
      </w:r>
      <w:r w:rsidR="0024123F">
        <w:rPr>
          <w:szCs w:val="22"/>
          <w:lang w:eastAsia="en-US"/>
        </w:rPr>
        <w:t>1</w:t>
      </w:r>
      <w:r w:rsidRPr="00D23986">
        <w:rPr>
          <w:szCs w:val="22"/>
          <w:lang w:eastAsia="en-US"/>
        </w:rPr>
        <w:t xml:space="preserve"> TEAP Report consists of </w:t>
      </w:r>
      <w:r w:rsidR="00983661">
        <w:rPr>
          <w:szCs w:val="22"/>
          <w:lang w:eastAsia="en-US"/>
        </w:rPr>
        <w:t>4</w:t>
      </w:r>
      <w:r w:rsidR="00983661" w:rsidRPr="00D23986">
        <w:rPr>
          <w:szCs w:val="22"/>
          <w:lang w:eastAsia="en-US"/>
        </w:rPr>
        <w:t xml:space="preserve"> </w:t>
      </w:r>
      <w:r w:rsidRPr="00D23986">
        <w:rPr>
          <w:szCs w:val="22"/>
          <w:lang w:eastAsia="en-US"/>
        </w:rPr>
        <w:t>volumes:</w:t>
      </w:r>
    </w:p>
    <w:p w14:paraId="67A4FFC0" w14:textId="640D61FE" w:rsidR="00AF5D0B" w:rsidRPr="00AF5D0B" w:rsidRDefault="00AF5D0B" w:rsidP="00AF5D0B">
      <w:pPr>
        <w:spacing w:after="0"/>
        <w:rPr>
          <w:i/>
          <w:szCs w:val="22"/>
          <w:lang w:eastAsia="en-US"/>
        </w:rPr>
      </w:pPr>
      <w:r w:rsidRPr="00AF5D0B">
        <w:rPr>
          <w:i/>
          <w:szCs w:val="22"/>
          <w:lang w:eastAsia="en-US"/>
        </w:rPr>
        <w:t xml:space="preserve">Volume 1: TEAP Progress </w:t>
      </w:r>
      <w:r>
        <w:rPr>
          <w:i/>
          <w:szCs w:val="22"/>
          <w:lang w:eastAsia="en-US"/>
        </w:rPr>
        <w:t>R</w:t>
      </w:r>
      <w:r w:rsidRPr="00AF5D0B">
        <w:rPr>
          <w:i/>
          <w:szCs w:val="22"/>
          <w:lang w:eastAsia="en-US"/>
        </w:rPr>
        <w:t>eport</w:t>
      </w:r>
    </w:p>
    <w:p w14:paraId="103148AF" w14:textId="0DBD73F4" w:rsidR="00AF5D0B" w:rsidRDefault="00AF5D0B" w:rsidP="00AF5D0B">
      <w:pPr>
        <w:spacing w:after="0"/>
        <w:rPr>
          <w:i/>
          <w:szCs w:val="22"/>
          <w:lang w:eastAsia="en-US"/>
        </w:rPr>
      </w:pPr>
      <w:r w:rsidRPr="00AF5D0B">
        <w:rPr>
          <w:i/>
          <w:szCs w:val="22"/>
          <w:lang w:eastAsia="en-US"/>
        </w:rPr>
        <w:t xml:space="preserve">Volume 2: Interim </w:t>
      </w:r>
      <w:r w:rsidR="00F804EB" w:rsidRPr="00AF5D0B">
        <w:rPr>
          <w:i/>
          <w:szCs w:val="22"/>
          <w:lang w:eastAsia="en-US"/>
        </w:rPr>
        <w:t xml:space="preserve">Evaluation </w:t>
      </w:r>
      <w:r w:rsidRPr="00AF5D0B">
        <w:rPr>
          <w:i/>
          <w:szCs w:val="22"/>
          <w:lang w:eastAsia="en-US"/>
        </w:rPr>
        <w:t xml:space="preserve">of 2021 </w:t>
      </w:r>
      <w:r w:rsidR="00F804EB" w:rsidRPr="00AF5D0B">
        <w:rPr>
          <w:i/>
          <w:szCs w:val="22"/>
          <w:lang w:eastAsia="en-US"/>
        </w:rPr>
        <w:t xml:space="preserve">Critical Use Nominations </w:t>
      </w:r>
      <w:r w:rsidRPr="00AF5D0B">
        <w:rPr>
          <w:i/>
          <w:szCs w:val="22"/>
          <w:lang w:eastAsia="en-US"/>
        </w:rPr>
        <w:t xml:space="preserve">for </w:t>
      </w:r>
      <w:r w:rsidR="00F804EB" w:rsidRPr="00AF5D0B">
        <w:rPr>
          <w:i/>
          <w:szCs w:val="22"/>
          <w:lang w:eastAsia="en-US"/>
        </w:rPr>
        <w:t xml:space="preserve">Methyl Bromide </w:t>
      </w:r>
      <w:r w:rsidRPr="00AF5D0B">
        <w:rPr>
          <w:i/>
          <w:szCs w:val="22"/>
          <w:lang w:eastAsia="en-US"/>
        </w:rPr>
        <w:t xml:space="preserve">and </w:t>
      </w:r>
      <w:r w:rsidR="00F804EB" w:rsidRPr="00AF5D0B">
        <w:rPr>
          <w:i/>
          <w:szCs w:val="22"/>
          <w:lang w:eastAsia="en-US"/>
        </w:rPr>
        <w:t>Related Issues</w:t>
      </w:r>
    </w:p>
    <w:p w14:paraId="613D92CC" w14:textId="3A7406AF" w:rsidR="00175540" w:rsidRDefault="00FA5909" w:rsidP="008542F5">
      <w:pPr>
        <w:spacing w:after="0"/>
        <w:rPr>
          <w:i/>
          <w:szCs w:val="22"/>
          <w:lang w:eastAsia="en-US"/>
        </w:rPr>
      </w:pPr>
      <w:r w:rsidRPr="008542F5">
        <w:rPr>
          <w:i/>
          <w:szCs w:val="22"/>
          <w:lang w:eastAsia="en-US"/>
        </w:rPr>
        <w:t xml:space="preserve">Volume </w:t>
      </w:r>
      <w:r w:rsidR="004D30B1">
        <w:rPr>
          <w:i/>
          <w:szCs w:val="22"/>
          <w:lang w:eastAsia="en-US"/>
        </w:rPr>
        <w:t>3</w:t>
      </w:r>
      <w:r w:rsidR="008542F5" w:rsidRPr="008542F5">
        <w:rPr>
          <w:i/>
          <w:szCs w:val="22"/>
          <w:lang w:eastAsia="en-US"/>
        </w:rPr>
        <w:t>: Decision XXX</w:t>
      </w:r>
      <w:r w:rsidR="006A5E41">
        <w:rPr>
          <w:i/>
          <w:szCs w:val="22"/>
          <w:lang w:eastAsia="en-US"/>
        </w:rPr>
        <w:t>I</w:t>
      </w:r>
      <w:r w:rsidR="008542F5" w:rsidRPr="008542F5">
        <w:rPr>
          <w:i/>
          <w:szCs w:val="22"/>
          <w:lang w:eastAsia="en-US"/>
        </w:rPr>
        <w:t>/3 Task Force Report on Unexpected Emissions of Trichlorofluoromethane (CFC-11)</w:t>
      </w:r>
    </w:p>
    <w:p w14:paraId="1D6BC12E" w14:textId="753D542E" w:rsidR="00983661" w:rsidRPr="008542F5" w:rsidRDefault="00983661" w:rsidP="008542F5">
      <w:pPr>
        <w:spacing w:after="0"/>
        <w:rPr>
          <w:i/>
          <w:color w:val="auto"/>
          <w:szCs w:val="22"/>
          <w:lang w:eastAsia="en-US"/>
        </w:rPr>
      </w:pPr>
      <w:r>
        <w:rPr>
          <w:i/>
          <w:szCs w:val="22"/>
          <w:lang w:eastAsia="en-US"/>
        </w:rPr>
        <w:t xml:space="preserve">Volume 4: </w:t>
      </w:r>
      <w:r w:rsidR="00C94643" w:rsidRPr="00C94643">
        <w:rPr>
          <w:i/>
          <w:szCs w:val="22"/>
          <w:lang w:eastAsia="en-US"/>
        </w:rPr>
        <w:t xml:space="preserve">Decision XXXI/7 </w:t>
      </w:r>
      <w:r w:rsidR="001360FE">
        <w:rPr>
          <w:i/>
          <w:szCs w:val="22"/>
          <w:lang w:eastAsia="en-US"/>
        </w:rPr>
        <w:t>Task Force Report on</w:t>
      </w:r>
      <w:r w:rsidR="00C94643" w:rsidRPr="00C94643">
        <w:rPr>
          <w:i/>
          <w:szCs w:val="22"/>
          <w:lang w:eastAsia="en-US"/>
        </w:rPr>
        <w:t xml:space="preserve"> Continued Provision of Information on Energy-Efficient and Low-Global-Warming-Potential Technologies</w:t>
      </w:r>
    </w:p>
    <w:p w14:paraId="439BF54F" w14:textId="77777777" w:rsidR="00322051" w:rsidRDefault="00322051" w:rsidP="009A6E68">
      <w:pPr>
        <w:pStyle w:val="BodyText"/>
        <w:spacing w:after="0" w:line="240" w:lineRule="auto"/>
      </w:pPr>
    </w:p>
    <w:p w14:paraId="12358529" w14:textId="02C0FBED" w:rsidR="00AD4B2A" w:rsidRPr="00D23986" w:rsidRDefault="00A1682B" w:rsidP="00A1682B">
      <w:pPr>
        <w:pStyle w:val="BodyText"/>
        <w:spacing w:line="240" w:lineRule="auto"/>
      </w:pPr>
      <w:r>
        <w:t xml:space="preserve">This is Volume </w:t>
      </w:r>
      <w:r w:rsidR="00676730">
        <w:t>3</w:t>
      </w:r>
      <w:r w:rsidR="0024123F">
        <w:t>.</w:t>
      </w:r>
    </w:p>
    <w:p w14:paraId="2A4242B3" w14:textId="77777777" w:rsidR="00AD4B2A" w:rsidRPr="00D23986" w:rsidRDefault="00591AA8">
      <w:pPr>
        <w:rPr>
          <w:b/>
        </w:rPr>
      </w:pPr>
      <w:r w:rsidRPr="00D23986">
        <w:rPr>
          <w:b/>
        </w:rPr>
        <w:t>The UNEP Technology and Economic Assessment Panel (TEAP):</w:t>
      </w:r>
    </w:p>
    <w:tbl>
      <w:tblPr>
        <w:tblW w:w="836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3544"/>
        <w:gridCol w:w="850"/>
        <w:gridCol w:w="2446"/>
        <w:gridCol w:w="1524"/>
      </w:tblGrid>
      <w:tr w:rsidR="004E15A5" w:rsidRPr="00D23986" w14:paraId="67945C54" w14:textId="77777777" w:rsidTr="00696CB5">
        <w:tc>
          <w:tcPr>
            <w:tcW w:w="3544" w:type="dxa"/>
            <w:shd w:val="clear" w:color="auto" w:fill="auto"/>
          </w:tcPr>
          <w:p w14:paraId="4B058779" w14:textId="77777777" w:rsidR="004E15A5" w:rsidRPr="00D23986" w:rsidRDefault="004E15A5" w:rsidP="004E15A5">
            <w:pPr>
              <w:pStyle w:val="BodyText"/>
              <w:spacing w:before="20" w:after="0" w:line="240" w:lineRule="auto"/>
            </w:pPr>
            <w:r w:rsidRPr="00D23986">
              <w:t>Bella Maranion, co-chair</w:t>
            </w:r>
          </w:p>
        </w:tc>
        <w:tc>
          <w:tcPr>
            <w:tcW w:w="850" w:type="dxa"/>
            <w:shd w:val="clear" w:color="auto" w:fill="auto"/>
          </w:tcPr>
          <w:p w14:paraId="2E2AFA82" w14:textId="77777777" w:rsidR="004E15A5" w:rsidRPr="00D23986" w:rsidRDefault="004E15A5" w:rsidP="004E15A5">
            <w:pPr>
              <w:pStyle w:val="BodyText"/>
              <w:spacing w:before="20" w:after="0" w:line="240" w:lineRule="auto"/>
              <w:ind w:right="33"/>
              <w:jc w:val="both"/>
            </w:pPr>
            <w:r w:rsidRPr="00D23986">
              <w:t>US</w:t>
            </w:r>
          </w:p>
        </w:tc>
        <w:tc>
          <w:tcPr>
            <w:tcW w:w="2446" w:type="dxa"/>
            <w:shd w:val="clear" w:color="auto" w:fill="auto"/>
          </w:tcPr>
          <w:p w14:paraId="41D926FE" w14:textId="08191535" w:rsidR="004E15A5" w:rsidRPr="00D23986" w:rsidRDefault="004E15A5" w:rsidP="004E15A5">
            <w:pPr>
              <w:pStyle w:val="BodyText"/>
              <w:spacing w:before="20" w:after="0" w:line="240" w:lineRule="auto"/>
            </w:pPr>
            <w:r w:rsidRPr="00D23986">
              <w:t>Kei-</w:t>
            </w:r>
            <w:proofErr w:type="spellStart"/>
            <w:r w:rsidRPr="00D23986">
              <w:t>ichi</w:t>
            </w:r>
            <w:proofErr w:type="spellEnd"/>
            <w:r w:rsidRPr="00D23986">
              <w:t xml:space="preserve"> Ohnishi</w:t>
            </w:r>
          </w:p>
        </w:tc>
        <w:tc>
          <w:tcPr>
            <w:tcW w:w="1524" w:type="dxa"/>
            <w:shd w:val="clear" w:color="auto" w:fill="auto"/>
          </w:tcPr>
          <w:p w14:paraId="42B9A8FA" w14:textId="454F58C3" w:rsidR="004E15A5" w:rsidRPr="00D23986" w:rsidRDefault="004E15A5" w:rsidP="004E15A5">
            <w:pPr>
              <w:pStyle w:val="BodyText"/>
              <w:spacing w:before="20" w:after="0" w:line="240" w:lineRule="auto"/>
              <w:ind w:left="72" w:right="33"/>
            </w:pPr>
            <w:r w:rsidRPr="00D23986">
              <w:t>J</w:t>
            </w:r>
          </w:p>
        </w:tc>
      </w:tr>
      <w:tr w:rsidR="004E15A5" w:rsidRPr="00D23986" w14:paraId="3A3EF3E1" w14:textId="77777777" w:rsidTr="00696CB5">
        <w:tc>
          <w:tcPr>
            <w:tcW w:w="3544" w:type="dxa"/>
            <w:shd w:val="clear" w:color="auto" w:fill="auto"/>
          </w:tcPr>
          <w:p w14:paraId="41A6F6BB" w14:textId="77777777" w:rsidR="004E15A5" w:rsidRPr="00D23986" w:rsidRDefault="004E15A5" w:rsidP="004E15A5">
            <w:pPr>
              <w:pStyle w:val="BodyText"/>
              <w:tabs>
                <w:tab w:val="left" w:pos="3010"/>
              </w:tabs>
              <w:spacing w:before="20" w:after="0" w:line="240" w:lineRule="auto"/>
              <w:ind w:right="-108"/>
            </w:pPr>
            <w:r w:rsidRPr="00D23986">
              <w:t>Marta Pizano, co-chair</w:t>
            </w:r>
          </w:p>
        </w:tc>
        <w:tc>
          <w:tcPr>
            <w:tcW w:w="850" w:type="dxa"/>
            <w:shd w:val="clear" w:color="auto" w:fill="auto"/>
          </w:tcPr>
          <w:p w14:paraId="3D543335" w14:textId="77777777" w:rsidR="004E15A5" w:rsidRPr="00D23986" w:rsidRDefault="004E15A5" w:rsidP="004E15A5">
            <w:pPr>
              <w:pStyle w:val="BodyText"/>
              <w:tabs>
                <w:tab w:val="left" w:pos="3010"/>
              </w:tabs>
              <w:spacing w:before="20" w:after="0" w:line="240" w:lineRule="auto"/>
              <w:ind w:right="33"/>
              <w:jc w:val="both"/>
            </w:pPr>
            <w:r w:rsidRPr="00D23986">
              <w:t>COL</w:t>
            </w:r>
          </w:p>
        </w:tc>
        <w:tc>
          <w:tcPr>
            <w:tcW w:w="2446" w:type="dxa"/>
            <w:shd w:val="clear" w:color="auto" w:fill="auto"/>
          </w:tcPr>
          <w:p w14:paraId="623D58D6" w14:textId="270B28B3" w:rsidR="004E15A5" w:rsidRPr="00D23986" w:rsidRDefault="004E15A5" w:rsidP="004E15A5">
            <w:pPr>
              <w:pStyle w:val="BodyText"/>
              <w:spacing w:before="20" w:after="0" w:line="240" w:lineRule="auto"/>
            </w:pPr>
            <w:r w:rsidRPr="00D23986">
              <w:t>Roberto Peixoto</w:t>
            </w:r>
          </w:p>
        </w:tc>
        <w:tc>
          <w:tcPr>
            <w:tcW w:w="1524" w:type="dxa"/>
            <w:shd w:val="clear" w:color="auto" w:fill="auto"/>
          </w:tcPr>
          <w:p w14:paraId="6685E8C0" w14:textId="72253517" w:rsidR="004E15A5" w:rsidRPr="00D23986" w:rsidRDefault="004E15A5" w:rsidP="004E15A5">
            <w:pPr>
              <w:pStyle w:val="BodyText"/>
              <w:spacing w:before="20" w:after="0" w:line="240" w:lineRule="auto"/>
              <w:ind w:left="72" w:right="33"/>
            </w:pPr>
            <w:r w:rsidRPr="00D23986">
              <w:t>BRA</w:t>
            </w:r>
          </w:p>
        </w:tc>
      </w:tr>
      <w:tr w:rsidR="004E15A5" w:rsidRPr="00D23986" w14:paraId="1CD01C75" w14:textId="77777777" w:rsidTr="00696CB5">
        <w:trPr>
          <w:trHeight w:val="90"/>
        </w:trPr>
        <w:tc>
          <w:tcPr>
            <w:tcW w:w="3544" w:type="dxa"/>
            <w:shd w:val="clear" w:color="auto" w:fill="auto"/>
          </w:tcPr>
          <w:p w14:paraId="1C1EC852" w14:textId="77777777" w:rsidR="004E15A5" w:rsidRPr="00D23986" w:rsidRDefault="004E15A5" w:rsidP="004E15A5">
            <w:pPr>
              <w:pStyle w:val="BodyText"/>
              <w:spacing w:before="20" w:after="0" w:line="240" w:lineRule="auto"/>
            </w:pPr>
            <w:r w:rsidRPr="00D23986">
              <w:t xml:space="preserve">Ashley Woodcock, co-chair </w:t>
            </w:r>
          </w:p>
        </w:tc>
        <w:tc>
          <w:tcPr>
            <w:tcW w:w="850" w:type="dxa"/>
            <w:shd w:val="clear" w:color="auto" w:fill="auto"/>
          </w:tcPr>
          <w:p w14:paraId="63F7B380" w14:textId="77777777" w:rsidR="004E15A5" w:rsidRPr="00D23986" w:rsidRDefault="004E15A5" w:rsidP="004E15A5">
            <w:pPr>
              <w:pStyle w:val="BodyText"/>
              <w:spacing w:before="20" w:after="0" w:line="240" w:lineRule="auto"/>
              <w:ind w:right="33"/>
              <w:jc w:val="both"/>
            </w:pPr>
            <w:r w:rsidRPr="00D23986">
              <w:t>UK</w:t>
            </w:r>
          </w:p>
        </w:tc>
        <w:tc>
          <w:tcPr>
            <w:tcW w:w="2446" w:type="dxa"/>
            <w:shd w:val="clear" w:color="auto" w:fill="auto"/>
          </w:tcPr>
          <w:p w14:paraId="30AE1ACE" w14:textId="187299EF" w:rsidR="004E15A5" w:rsidRPr="00D23986" w:rsidRDefault="004E15A5" w:rsidP="004E15A5">
            <w:pPr>
              <w:pStyle w:val="BodyText"/>
              <w:spacing w:before="20" w:after="0" w:line="240" w:lineRule="auto"/>
            </w:pPr>
            <w:r w:rsidRPr="00D23986">
              <w:t xml:space="preserve">Fabio </w:t>
            </w:r>
            <w:proofErr w:type="spellStart"/>
            <w:r w:rsidRPr="00D23986">
              <w:t>Polonara</w:t>
            </w:r>
            <w:proofErr w:type="spellEnd"/>
            <w:r w:rsidRPr="00D23986">
              <w:t xml:space="preserve"> </w:t>
            </w:r>
          </w:p>
        </w:tc>
        <w:tc>
          <w:tcPr>
            <w:tcW w:w="1524" w:type="dxa"/>
            <w:shd w:val="clear" w:color="auto" w:fill="auto"/>
          </w:tcPr>
          <w:p w14:paraId="22471A7E" w14:textId="7F8832EC" w:rsidR="004E15A5" w:rsidRPr="00D23986" w:rsidRDefault="004E15A5" w:rsidP="004E15A5">
            <w:pPr>
              <w:pStyle w:val="BodyText"/>
              <w:spacing w:before="20" w:after="0" w:line="240" w:lineRule="auto"/>
              <w:ind w:left="72" w:right="33"/>
            </w:pPr>
            <w:r w:rsidRPr="00D23986">
              <w:t>IT</w:t>
            </w:r>
            <w:r w:rsidRPr="00D23986" w:rsidDel="008B5DAA">
              <w:t xml:space="preserve"> </w:t>
            </w:r>
          </w:p>
        </w:tc>
      </w:tr>
      <w:tr w:rsidR="004E15A5" w:rsidRPr="00D23986" w14:paraId="05D1A1C8" w14:textId="77777777" w:rsidTr="00696CB5">
        <w:tc>
          <w:tcPr>
            <w:tcW w:w="3544" w:type="dxa"/>
            <w:shd w:val="clear" w:color="auto" w:fill="auto"/>
          </w:tcPr>
          <w:p w14:paraId="76E06F52" w14:textId="0AEF2E86" w:rsidR="004E15A5" w:rsidRPr="00D23986" w:rsidRDefault="004E15A5" w:rsidP="004E15A5">
            <w:pPr>
              <w:pStyle w:val="BodyText"/>
              <w:spacing w:before="20" w:after="0" w:line="240" w:lineRule="auto"/>
            </w:pPr>
            <w:r>
              <w:t>Omar Abdelaziz</w:t>
            </w:r>
          </w:p>
        </w:tc>
        <w:tc>
          <w:tcPr>
            <w:tcW w:w="850" w:type="dxa"/>
            <w:shd w:val="clear" w:color="auto" w:fill="auto"/>
          </w:tcPr>
          <w:p w14:paraId="1B1B8D2F" w14:textId="2D7E54E7" w:rsidR="004E15A5" w:rsidRPr="00D23986" w:rsidRDefault="004E15A5" w:rsidP="004E15A5">
            <w:pPr>
              <w:pStyle w:val="BodyText"/>
              <w:spacing w:before="20" w:after="0" w:line="240" w:lineRule="auto"/>
              <w:ind w:right="33"/>
              <w:jc w:val="both"/>
            </w:pPr>
            <w:r>
              <w:t>EGY</w:t>
            </w:r>
          </w:p>
        </w:tc>
        <w:tc>
          <w:tcPr>
            <w:tcW w:w="2446" w:type="dxa"/>
            <w:shd w:val="clear" w:color="auto" w:fill="auto"/>
          </w:tcPr>
          <w:p w14:paraId="0B04093D" w14:textId="2716846B" w:rsidR="004E15A5" w:rsidRPr="00D23986" w:rsidRDefault="004E15A5" w:rsidP="004E15A5">
            <w:pPr>
              <w:pStyle w:val="BodyText"/>
              <w:spacing w:before="20" w:after="0" w:line="240" w:lineRule="auto"/>
            </w:pPr>
            <w:r w:rsidRPr="00D23986">
              <w:t>Ian Porter</w:t>
            </w:r>
          </w:p>
        </w:tc>
        <w:tc>
          <w:tcPr>
            <w:tcW w:w="1524" w:type="dxa"/>
            <w:shd w:val="clear" w:color="auto" w:fill="auto"/>
          </w:tcPr>
          <w:p w14:paraId="34E30F60" w14:textId="25E2B9F1" w:rsidR="004E15A5" w:rsidRPr="00D23986" w:rsidRDefault="004E15A5" w:rsidP="004E15A5">
            <w:pPr>
              <w:pStyle w:val="BodyText"/>
              <w:spacing w:before="20" w:after="0" w:line="240" w:lineRule="auto"/>
              <w:ind w:left="72" w:right="33"/>
            </w:pPr>
            <w:r w:rsidRPr="00D23986">
              <w:t>AUS</w:t>
            </w:r>
          </w:p>
        </w:tc>
      </w:tr>
      <w:tr w:rsidR="004E15A5" w:rsidRPr="00D23986" w14:paraId="089B68D4" w14:textId="77777777" w:rsidTr="00696CB5">
        <w:tc>
          <w:tcPr>
            <w:tcW w:w="3544" w:type="dxa"/>
            <w:shd w:val="clear" w:color="auto" w:fill="auto"/>
          </w:tcPr>
          <w:p w14:paraId="56382935" w14:textId="7A883EBD" w:rsidR="004E15A5" w:rsidRPr="00D23986" w:rsidRDefault="004E15A5" w:rsidP="004E15A5">
            <w:pPr>
              <w:pStyle w:val="BodyText"/>
              <w:spacing w:before="20" w:after="0" w:line="240" w:lineRule="auto"/>
            </w:pPr>
            <w:r w:rsidRPr="00D23986">
              <w:t>Paulo Altoe</w:t>
            </w:r>
          </w:p>
        </w:tc>
        <w:tc>
          <w:tcPr>
            <w:tcW w:w="850" w:type="dxa"/>
            <w:shd w:val="clear" w:color="auto" w:fill="auto"/>
          </w:tcPr>
          <w:p w14:paraId="4391AEE5" w14:textId="57DBCF32" w:rsidR="004E15A5" w:rsidRPr="00D23986" w:rsidRDefault="004E15A5" w:rsidP="004E15A5">
            <w:pPr>
              <w:pStyle w:val="BodyText"/>
              <w:spacing w:before="20" w:after="0" w:line="240" w:lineRule="auto"/>
              <w:ind w:right="33"/>
              <w:jc w:val="both"/>
            </w:pPr>
            <w:r w:rsidRPr="00D23986">
              <w:t>BRA</w:t>
            </w:r>
          </w:p>
        </w:tc>
        <w:tc>
          <w:tcPr>
            <w:tcW w:w="2446" w:type="dxa"/>
            <w:shd w:val="clear" w:color="auto" w:fill="auto"/>
          </w:tcPr>
          <w:p w14:paraId="46EF5C76" w14:textId="06040774" w:rsidR="004E15A5" w:rsidRPr="00D23986" w:rsidRDefault="004E15A5" w:rsidP="004E15A5">
            <w:pPr>
              <w:pStyle w:val="BodyText"/>
              <w:spacing w:before="20" w:after="0" w:line="240" w:lineRule="auto"/>
            </w:pPr>
            <w:r w:rsidRPr="00D23986">
              <w:t>Rajendra Shende</w:t>
            </w:r>
          </w:p>
        </w:tc>
        <w:tc>
          <w:tcPr>
            <w:tcW w:w="1524" w:type="dxa"/>
            <w:shd w:val="clear" w:color="auto" w:fill="auto"/>
          </w:tcPr>
          <w:p w14:paraId="67BAE977" w14:textId="639EA9C1" w:rsidR="004E15A5" w:rsidRPr="00D23986" w:rsidRDefault="004E15A5" w:rsidP="004E15A5">
            <w:pPr>
              <w:pStyle w:val="BodyText"/>
              <w:spacing w:before="20" w:after="0" w:line="240" w:lineRule="auto"/>
              <w:ind w:left="72" w:right="33"/>
            </w:pPr>
            <w:r w:rsidRPr="00D23986">
              <w:t xml:space="preserve">IN </w:t>
            </w:r>
          </w:p>
        </w:tc>
      </w:tr>
      <w:tr w:rsidR="004E15A5" w:rsidRPr="00D23986" w14:paraId="73C866C0" w14:textId="77777777" w:rsidTr="00696CB5">
        <w:tc>
          <w:tcPr>
            <w:tcW w:w="3544" w:type="dxa"/>
            <w:shd w:val="clear" w:color="auto" w:fill="auto"/>
          </w:tcPr>
          <w:p w14:paraId="4D114463" w14:textId="204FD9FF" w:rsidR="004E15A5" w:rsidRPr="00D23986" w:rsidRDefault="004E15A5" w:rsidP="004E15A5">
            <w:pPr>
              <w:pStyle w:val="BodyText"/>
              <w:spacing w:before="20" w:after="0" w:line="240" w:lineRule="auto"/>
            </w:pPr>
            <w:proofErr w:type="spellStart"/>
            <w:r w:rsidRPr="00D23986">
              <w:t>Suely</w:t>
            </w:r>
            <w:proofErr w:type="spellEnd"/>
            <w:r w:rsidRPr="00D23986">
              <w:t xml:space="preserve"> Machado Carvalho</w:t>
            </w:r>
          </w:p>
        </w:tc>
        <w:tc>
          <w:tcPr>
            <w:tcW w:w="850" w:type="dxa"/>
            <w:shd w:val="clear" w:color="auto" w:fill="auto"/>
          </w:tcPr>
          <w:p w14:paraId="2A796CB9" w14:textId="326AC628" w:rsidR="004E15A5" w:rsidRPr="00D23986" w:rsidRDefault="004E15A5" w:rsidP="004E15A5">
            <w:pPr>
              <w:pStyle w:val="BodyText"/>
              <w:spacing w:before="20" w:after="0" w:line="240" w:lineRule="auto"/>
              <w:ind w:right="33"/>
              <w:jc w:val="both"/>
            </w:pPr>
            <w:r w:rsidRPr="00D23986">
              <w:t>BRA</w:t>
            </w:r>
          </w:p>
        </w:tc>
        <w:tc>
          <w:tcPr>
            <w:tcW w:w="2446" w:type="dxa"/>
            <w:shd w:val="clear" w:color="auto" w:fill="auto"/>
          </w:tcPr>
          <w:p w14:paraId="0F4CB81F" w14:textId="58E34F4B" w:rsidR="004E15A5" w:rsidRPr="00D23986" w:rsidRDefault="004E15A5" w:rsidP="004E15A5">
            <w:pPr>
              <w:pStyle w:val="BodyText"/>
              <w:spacing w:before="20" w:after="0" w:line="240" w:lineRule="auto"/>
            </w:pPr>
            <w:r w:rsidRPr="00D23986">
              <w:t xml:space="preserve">Helen Tope </w:t>
            </w:r>
          </w:p>
        </w:tc>
        <w:tc>
          <w:tcPr>
            <w:tcW w:w="1524" w:type="dxa"/>
            <w:shd w:val="clear" w:color="auto" w:fill="auto"/>
          </w:tcPr>
          <w:p w14:paraId="0D40389C" w14:textId="2365C597" w:rsidR="004E15A5" w:rsidRPr="00D23986" w:rsidRDefault="004E15A5" w:rsidP="004E15A5">
            <w:pPr>
              <w:pStyle w:val="BodyText"/>
              <w:spacing w:before="20" w:after="0" w:line="240" w:lineRule="auto"/>
              <w:ind w:left="72" w:right="33"/>
            </w:pPr>
            <w:r w:rsidRPr="00D23986">
              <w:t>AUS</w:t>
            </w:r>
            <w:r w:rsidRPr="00D23986" w:rsidDel="008B5DAA">
              <w:t xml:space="preserve"> </w:t>
            </w:r>
          </w:p>
        </w:tc>
      </w:tr>
      <w:tr w:rsidR="004E15A5" w:rsidRPr="00D23986" w14:paraId="0EFDCB54" w14:textId="77777777" w:rsidTr="00696CB5">
        <w:tc>
          <w:tcPr>
            <w:tcW w:w="3544" w:type="dxa"/>
            <w:shd w:val="clear" w:color="auto" w:fill="auto"/>
          </w:tcPr>
          <w:p w14:paraId="6A1AC8C9" w14:textId="191DF96C" w:rsidR="004E15A5" w:rsidRPr="00D23986" w:rsidRDefault="004E15A5" w:rsidP="004E15A5">
            <w:pPr>
              <w:pStyle w:val="BodyText"/>
              <w:spacing w:before="20" w:after="0" w:line="240" w:lineRule="auto"/>
            </w:pPr>
            <w:r w:rsidRPr="00D23986">
              <w:t xml:space="preserve">Adam Chattaway </w:t>
            </w:r>
          </w:p>
        </w:tc>
        <w:tc>
          <w:tcPr>
            <w:tcW w:w="850" w:type="dxa"/>
            <w:shd w:val="clear" w:color="auto" w:fill="auto"/>
          </w:tcPr>
          <w:p w14:paraId="2095BCBC" w14:textId="2DF66307" w:rsidR="004E15A5" w:rsidRPr="00D23986" w:rsidRDefault="004E15A5" w:rsidP="004E15A5">
            <w:pPr>
              <w:pStyle w:val="BodyText"/>
              <w:spacing w:before="20" w:after="0" w:line="240" w:lineRule="auto"/>
              <w:ind w:right="33"/>
              <w:jc w:val="both"/>
            </w:pPr>
            <w:r w:rsidRPr="00D23986">
              <w:t>UK</w:t>
            </w:r>
          </w:p>
        </w:tc>
        <w:tc>
          <w:tcPr>
            <w:tcW w:w="2446" w:type="dxa"/>
            <w:shd w:val="clear" w:color="auto" w:fill="auto"/>
          </w:tcPr>
          <w:p w14:paraId="2B76397C" w14:textId="125A076D" w:rsidR="004E15A5" w:rsidRPr="00D23986" w:rsidRDefault="004E15A5" w:rsidP="004E15A5">
            <w:pPr>
              <w:pStyle w:val="BodyText"/>
              <w:spacing w:before="20" w:after="0" w:line="240" w:lineRule="auto"/>
            </w:pPr>
            <w:r w:rsidRPr="00D23986">
              <w:t>Dan Verdonik</w:t>
            </w:r>
          </w:p>
        </w:tc>
        <w:tc>
          <w:tcPr>
            <w:tcW w:w="1524" w:type="dxa"/>
            <w:shd w:val="clear" w:color="auto" w:fill="auto"/>
          </w:tcPr>
          <w:p w14:paraId="718824EF" w14:textId="22DBA4B6" w:rsidR="004E15A5" w:rsidRPr="00D23986" w:rsidRDefault="004E15A5" w:rsidP="004E15A5">
            <w:pPr>
              <w:pStyle w:val="BodyText"/>
              <w:spacing w:before="20" w:after="0" w:line="240" w:lineRule="auto"/>
              <w:ind w:left="72" w:right="33"/>
            </w:pPr>
            <w:r w:rsidRPr="00D23986">
              <w:t>US</w:t>
            </w:r>
          </w:p>
        </w:tc>
      </w:tr>
      <w:tr w:rsidR="004E15A5" w:rsidRPr="00D23986" w14:paraId="23587B94" w14:textId="77777777" w:rsidTr="00696CB5">
        <w:tc>
          <w:tcPr>
            <w:tcW w:w="3544" w:type="dxa"/>
            <w:shd w:val="clear" w:color="auto" w:fill="auto"/>
          </w:tcPr>
          <w:p w14:paraId="396E1B93" w14:textId="2441C7C3" w:rsidR="004E15A5" w:rsidRPr="00D23986" w:rsidRDefault="004E15A5" w:rsidP="004E15A5">
            <w:pPr>
              <w:pStyle w:val="BodyText"/>
              <w:spacing w:before="20" w:after="0" w:line="240" w:lineRule="auto"/>
            </w:pPr>
            <w:r>
              <w:t xml:space="preserve">Ray </w:t>
            </w:r>
            <w:proofErr w:type="spellStart"/>
            <w:r>
              <w:t>Gluckman</w:t>
            </w:r>
            <w:proofErr w:type="spellEnd"/>
          </w:p>
        </w:tc>
        <w:tc>
          <w:tcPr>
            <w:tcW w:w="850" w:type="dxa"/>
            <w:shd w:val="clear" w:color="auto" w:fill="auto"/>
          </w:tcPr>
          <w:p w14:paraId="5024A9DF" w14:textId="3655C8C9" w:rsidR="004E15A5" w:rsidRPr="00D23986" w:rsidRDefault="004E15A5" w:rsidP="004E15A5">
            <w:pPr>
              <w:pStyle w:val="BodyText"/>
              <w:spacing w:before="20" w:after="0" w:line="240" w:lineRule="auto"/>
              <w:ind w:right="33"/>
              <w:jc w:val="both"/>
            </w:pPr>
            <w:r>
              <w:t>UK</w:t>
            </w:r>
          </w:p>
        </w:tc>
        <w:tc>
          <w:tcPr>
            <w:tcW w:w="2446" w:type="dxa"/>
            <w:shd w:val="clear" w:color="auto" w:fill="auto"/>
          </w:tcPr>
          <w:p w14:paraId="2995B731" w14:textId="5F4A91DD" w:rsidR="004E15A5" w:rsidRPr="00D23986" w:rsidRDefault="004E15A5" w:rsidP="004E15A5">
            <w:pPr>
              <w:pStyle w:val="BodyText"/>
              <w:spacing w:before="20" w:after="0" w:line="240" w:lineRule="auto"/>
            </w:pPr>
            <w:r w:rsidRPr="00D23986">
              <w:t>Helen Walter-Terrinoni</w:t>
            </w:r>
          </w:p>
        </w:tc>
        <w:tc>
          <w:tcPr>
            <w:tcW w:w="1524" w:type="dxa"/>
            <w:shd w:val="clear" w:color="auto" w:fill="auto"/>
          </w:tcPr>
          <w:p w14:paraId="6FA18AD8" w14:textId="4ACAAA85" w:rsidR="004E15A5" w:rsidRPr="00D23986" w:rsidRDefault="004E15A5" w:rsidP="004E15A5">
            <w:pPr>
              <w:pStyle w:val="BodyText"/>
              <w:spacing w:before="20" w:after="0" w:line="240" w:lineRule="auto"/>
              <w:ind w:left="72" w:right="33"/>
            </w:pPr>
            <w:r w:rsidRPr="00D23986">
              <w:t>US</w:t>
            </w:r>
          </w:p>
        </w:tc>
      </w:tr>
      <w:tr w:rsidR="004E15A5" w:rsidRPr="00D23986" w14:paraId="012B55D8" w14:textId="77777777" w:rsidTr="00696CB5">
        <w:trPr>
          <w:trHeight w:val="212"/>
        </w:trPr>
        <w:tc>
          <w:tcPr>
            <w:tcW w:w="3544" w:type="dxa"/>
            <w:shd w:val="clear" w:color="auto" w:fill="auto"/>
          </w:tcPr>
          <w:p w14:paraId="1489A107" w14:textId="4CE572A5" w:rsidR="004E15A5" w:rsidRPr="00D23986" w:rsidRDefault="004E15A5" w:rsidP="004E15A5">
            <w:pPr>
              <w:pStyle w:val="BodyText"/>
              <w:spacing w:before="20" w:after="0" w:line="240" w:lineRule="auto"/>
            </w:pPr>
            <w:r w:rsidRPr="00D23986">
              <w:t>Marco Gonzalez</w:t>
            </w:r>
          </w:p>
        </w:tc>
        <w:tc>
          <w:tcPr>
            <w:tcW w:w="850" w:type="dxa"/>
            <w:shd w:val="clear" w:color="auto" w:fill="auto"/>
          </w:tcPr>
          <w:p w14:paraId="7EF34F39" w14:textId="196C11DD" w:rsidR="004E15A5" w:rsidRPr="00D23986" w:rsidRDefault="004E15A5" w:rsidP="004E15A5">
            <w:pPr>
              <w:pStyle w:val="BodyText"/>
              <w:spacing w:before="20" w:after="0" w:line="240" w:lineRule="auto"/>
              <w:ind w:right="33"/>
              <w:jc w:val="both"/>
            </w:pPr>
            <w:r w:rsidRPr="00D23986">
              <w:t>CR</w:t>
            </w:r>
          </w:p>
        </w:tc>
        <w:tc>
          <w:tcPr>
            <w:tcW w:w="2446" w:type="dxa"/>
            <w:shd w:val="clear" w:color="auto" w:fill="auto"/>
          </w:tcPr>
          <w:p w14:paraId="57333B10" w14:textId="5BFC84FC" w:rsidR="004E15A5" w:rsidRPr="00D23986" w:rsidRDefault="004E15A5" w:rsidP="004E15A5">
            <w:pPr>
              <w:pStyle w:val="BodyText"/>
              <w:spacing w:before="20" w:after="0" w:line="240" w:lineRule="auto"/>
            </w:pPr>
            <w:proofErr w:type="spellStart"/>
            <w:r w:rsidRPr="00D23986">
              <w:t>Shiqiu</w:t>
            </w:r>
            <w:proofErr w:type="spellEnd"/>
            <w:r w:rsidRPr="00D23986">
              <w:t xml:space="preserve"> Zhang</w:t>
            </w:r>
          </w:p>
        </w:tc>
        <w:tc>
          <w:tcPr>
            <w:tcW w:w="1524" w:type="dxa"/>
            <w:shd w:val="clear" w:color="auto" w:fill="auto"/>
          </w:tcPr>
          <w:p w14:paraId="636DAA4E" w14:textId="01869B21" w:rsidR="004E15A5" w:rsidRPr="00D23986" w:rsidRDefault="004E15A5" w:rsidP="004E15A5">
            <w:pPr>
              <w:pStyle w:val="BodyText"/>
              <w:spacing w:before="20" w:after="0" w:line="240" w:lineRule="auto"/>
              <w:ind w:left="72" w:right="33"/>
            </w:pPr>
            <w:r w:rsidRPr="00D23986">
              <w:t>PRC</w:t>
            </w:r>
          </w:p>
        </w:tc>
      </w:tr>
      <w:tr w:rsidR="004E15A5" w:rsidRPr="00D23986" w14:paraId="43DBFF25" w14:textId="77777777" w:rsidTr="00696CB5">
        <w:trPr>
          <w:trHeight w:val="212"/>
        </w:trPr>
        <w:tc>
          <w:tcPr>
            <w:tcW w:w="3544" w:type="dxa"/>
            <w:shd w:val="clear" w:color="auto" w:fill="auto"/>
          </w:tcPr>
          <w:p w14:paraId="7688FB55" w14:textId="61F610AB" w:rsidR="004E15A5" w:rsidRPr="00D23986" w:rsidRDefault="004E15A5" w:rsidP="004E15A5">
            <w:pPr>
              <w:pStyle w:val="BodyText"/>
              <w:spacing w:before="20" w:after="0" w:line="240" w:lineRule="auto"/>
            </w:pPr>
            <w:r w:rsidRPr="00D23986">
              <w:t>Sergey Kopylov</w:t>
            </w:r>
          </w:p>
        </w:tc>
        <w:tc>
          <w:tcPr>
            <w:tcW w:w="850" w:type="dxa"/>
            <w:shd w:val="clear" w:color="auto" w:fill="auto"/>
          </w:tcPr>
          <w:p w14:paraId="001EF11B" w14:textId="37EA519B" w:rsidR="004E15A5" w:rsidRPr="00D23986" w:rsidRDefault="004E15A5" w:rsidP="004E15A5">
            <w:pPr>
              <w:pStyle w:val="BodyText"/>
              <w:spacing w:before="20" w:after="0" w:line="240" w:lineRule="auto"/>
              <w:ind w:left="72" w:right="33"/>
            </w:pPr>
            <w:r w:rsidRPr="00D23986">
              <w:t>RF</w:t>
            </w:r>
          </w:p>
        </w:tc>
        <w:tc>
          <w:tcPr>
            <w:tcW w:w="2446" w:type="dxa"/>
            <w:shd w:val="clear" w:color="auto" w:fill="auto"/>
          </w:tcPr>
          <w:p w14:paraId="3E14562D" w14:textId="23FA03D4" w:rsidR="004E15A5" w:rsidRPr="00D23986" w:rsidRDefault="004E15A5" w:rsidP="004E15A5">
            <w:pPr>
              <w:pStyle w:val="BodyText"/>
              <w:spacing w:before="20" w:after="0" w:line="240" w:lineRule="auto"/>
            </w:pPr>
            <w:r w:rsidRPr="00D23986">
              <w:t>Jianjun Zhang</w:t>
            </w:r>
          </w:p>
        </w:tc>
        <w:tc>
          <w:tcPr>
            <w:tcW w:w="1524" w:type="dxa"/>
            <w:shd w:val="clear" w:color="auto" w:fill="auto"/>
          </w:tcPr>
          <w:p w14:paraId="2D3ACD20" w14:textId="49719064" w:rsidR="004E15A5" w:rsidRPr="00D23986" w:rsidRDefault="004E15A5" w:rsidP="004E15A5">
            <w:pPr>
              <w:pStyle w:val="BodyText"/>
              <w:spacing w:before="20" w:after="0" w:line="240" w:lineRule="auto"/>
              <w:ind w:left="72" w:right="33"/>
            </w:pPr>
            <w:r w:rsidRPr="00D23986">
              <w:t>PRC</w:t>
            </w:r>
          </w:p>
        </w:tc>
      </w:tr>
    </w:tbl>
    <w:p w14:paraId="69D802F5" w14:textId="77777777" w:rsidR="00AD4B2A" w:rsidRPr="00D23986" w:rsidRDefault="00AD4B2A">
      <w:pPr>
        <w:spacing w:after="0"/>
        <w:jc w:val="right"/>
        <w:rPr>
          <w:b/>
          <w:smallCaps/>
          <w:sz w:val="28"/>
        </w:rPr>
      </w:pPr>
    </w:p>
    <w:p w14:paraId="25C15D2E" w14:textId="77777777" w:rsidR="00771CBB" w:rsidRDefault="00771CBB" w:rsidP="003231D4">
      <w:pPr>
        <w:spacing w:after="0"/>
        <w:jc w:val="center"/>
        <w:rPr>
          <w:b/>
          <w:smallCaps/>
          <w:sz w:val="28"/>
        </w:rPr>
      </w:pPr>
    </w:p>
    <w:p w14:paraId="2528C9FF" w14:textId="77777777" w:rsidR="00771CBB" w:rsidRDefault="00771CBB" w:rsidP="00771CBB">
      <w:r>
        <w:br w:type="page"/>
      </w:r>
    </w:p>
    <w:p w14:paraId="2B324DE7" w14:textId="08D1A36C" w:rsidR="00F3279B" w:rsidRPr="00F3279B" w:rsidRDefault="00F3279B" w:rsidP="00004CD5">
      <w:pPr>
        <w:pStyle w:val="TOC1"/>
        <w:sectPr w:rsidR="00F3279B" w:rsidRPr="00F3279B" w:rsidSect="009345EE">
          <w:headerReference w:type="even" r:id="rId22"/>
          <w:headerReference w:type="default" r:id="rId23"/>
          <w:footerReference w:type="even" r:id="rId24"/>
          <w:headerReference w:type="first" r:id="rId25"/>
          <w:footnotePr>
            <w:numRestart w:val="eachSect"/>
          </w:footnotePr>
          <w:type w:val="oddPage"/>
          <w:pgSz w:w="11907" w:h="16839" w:code="9"/>
          <w:pgMar w:top="1701" w:right="1797" w:bottom="1871" w:left="1797" w:header="720" w:footer="794" w:gutter="0"/>
          <w:pgNumType w:fmt="lowerRoman"/>
          <w:cols w:space="720"/>
          <w:docGrid w:linePitch="299"/>
        </w:sectPr>
      </w:pPr>
    </w:p>
    <w:p w14:paraId="51C1D026" w14:textId="77777777" w:rsidR="00067CE9" w:rsidRPr="00067CE9" w:rsidRDefault="00187136" w:rsidP="00004CD5">
      <w:pPr>
        <w:pStyle w:val="TOC1"/>
        <w:rPr>
          <w:sz w:val="20"/>
          <w:szCs w:val="20"/>
        </w:rPr>
      </w:pPr>
      <w:bookmarkStart w:id="99" w:name="_Toc388648327"/>
      <w:bookmarkStart w:id="100" w:name="_Toc295406111"/>
      <w:bookmarkStart w:id="101" w:name="_Toc514151614"/>
      <w:bookmarkStart w:id="102" w:name="_Toc9109561"/>
      <w:bookmarkStart w:id="103" w:name="OLE_LINK19"/>
      <w:bookmarkStart w:id="104" w:name="_Toc39573643"/>
      <w:bookmarkStart w:id="105" w:name="OLE_LINK23"/>
      <w:bookmarkStart w:id="106" w:name="OLE_LINK28"/>
      <w:r w:rsidRPr="004867A6">
        <w:lastRenderedPageBreak/>
        <w:t xml:space="preserve">Table of </w:t>
      </w:r>
      <w:r w:rsidRPr="00F64E0A">
        <w:t>Conten</w:t>
      </w:r>
      <w:r w:rsidR="004867A6" w:rsidRPr="00F64E0A">
        <w:t>ts</w:t>
      </w:r>
      <w:r w:rsidR="00543531">
        <w:fldChar w:fldCharType="begin"/>
      </w:r>
      <w:r w:rsidR="00543531">
        <w:instrText xml:space="preserve"> TOC \o "1-4" \h \z \u \t "Heading 5,4,Heading 6,4" </w:instrText>
      </w:r>
      <w:r w:rsidR="00543531">
        <w:fldChar w:fldCharType="separate"/>
      </w:r>
    </w:p>
    <w:p w14:paraId="135B1C79" w14:textId="2838B95C" w:rsidR="00067CE9" w:rsidRPr="00067CE9" w:rsidRDefault="00877370">
      <w:pPr>
        <w:pStyle w:val="TOC1"/>
        <w:rPr>
          <w:rFonts w:asciiTheme="minorHAnsi" w:eastAsiaTheme="minorEastAsia" w:hAnsiTheme="minorHAnsi" w:cstheme="minorBidi"/>
          <w:b w:val="0"/>
          <w:bCs w:val="0"/>
          <w:caps w:val="0"/>
          <w:color w:val="auto"/>
          <w:sz w:val="20"/>
          <w:szCs w:val="20"/>
          <w:lang w:val="en-AU" w:eastAsia="en-GB"/>
        </w:rPr>
      </w:pPr>
      <w:hyperlink w:anchor="_Toc73045581" w:history="1">
        <w:r w:rsidR="00067CE9" w:rsidRPr="00067CE9">
          <w:rPr>
            <w:rStyle w:val="Hyperlink"/>
            <w:sz w:val="20"/>
            <w:szCs w:val="20"/>
          </w:rPr>
          <w:t>Disclaimer</w:t>
        </w:r>
        <w:r w:rsidR="00067CE9" w:rsidRPr="00067CE9">
          <w:rPr>
            <w:webHidden/>
            <w:sz w:val="20"/>
            <w:szCs w:val="20"/>
          </w:rPr>
          <w:tab/>
        </w:r>
        <w:r w:rsidR="00067CE9">
          <w:rPr>
            <w:webHidden/>
            <w:sz w:val="20"/>
            <w:szCs w:val="20"/>
          </w:rPr>
          <w:tab/>
        </w:r>
        <w:r w:rsidR="00067CE9" w:rsidRPr="00067CE9">
          <w:rPr>
            <w:webHidden/>
            <w:sz w:val="20"/>
            <w:szCs w:val="20"/>
          </w:rPr>
          <w:fldChar w:fldCharType="begin"/>
        </w:r>
        <w:r w:rsidR="00067CE9" w:rsidRPr="00067CE9">
          <w:rPr>
            <w:webHidden/>
            <w:sz w:val="20"/>
            <w:szCs w:val="20"/>
          </w:rPr>
          <w:instrText xml:space="preserve"> PAGEREF _Toc73045581 \h </w:instrText>
        </w:r>
        <w:r w:rsidR="00067CE9" w:rsidRPr="00067CE9">
          <w:rPr>
            <w:webHidden/>
            <w:sz w:val="20"/>
            <w:szCs w:val="20"/>
          </w:rPr>
        </w:r>
        <w:r w:rsidR="00067CE9" w:rsidRPr="00067CE9">
          <w:rPr>
            <w:webHidden/>
            <w:sz w:val="20"/>
            <w:szCs w:val="20"/>
          </w:rPr>
          <w:fldChar w:fldCharType="separate"/>
        </w:r>
        <w:r w:rsidR="00067CE9" w:rsidRPr="00067CE9">
          <w:rPr>
            <w:webHidden/>
            <w:sz w:val="20"/>
            <w:szCs w:val="20"/>
          </w:rPr>
          <w:t>v</w:t>
        </w:r>
        <w:r w:rsidR="00067CE9" w:rsidRPr="00067CE9">
          <w:rPr>
            <w:webHidden/>
            <w:sz w:val="20"/>
            <w:szCs w:val="20"/>
          </w:rPr>
          <w:fldChar w:fldCharType="end"/>
        </w:r>
      </w:hyperlink>
    </w:p>
    <w:p w14:paraId="295FF931" w14:textId="232BCF46" w:rsidR="00067CE9" w:rsidRPr="00067CE9" w:rsidRDefault="00877370">
      <w:pPr>
        <w:pStyle w:val="TOC1"/>
        <w:rPr>
          <w:rFonts w:asciiTheme="minorHAnsi" w:eastAsiaTheme="minorEastAsia" w:hAnsiTheme="minorHAnsi" w:cstheme="minorBidi"/>
          <w:b w:val="0"/>
          <w:bCs w:val="0"/>
          <w:caps w:val="0"/>
          <w:color w:val="auto"/>
          <w:sz w:val="20"/>
          <w:szCs w:val="20"/>
          <w:lang w:val="en-AU" w:eastAsia="en-GB"/>
        </w:rPr>
      </w:pPr>
      <w:hyperlink w:anchor="_Toc73045582" w:history="1">
        <w:r w:rsidR="00067CE9" w:rsidRPr="00067CE9">
          <w:rPr>
            <w:rStyle w:val="Hyperlink"/>
            <w:sz w:val="20"/>
            <w:szCs w:val="20"/>
          </w:rPr>
          <w:t>Foreword</w:t>
        </w:r>
        <w:r w:rsidR="00067CE9" w:rsidRPr="00067CE9">
          <w:rPr>
            <w:webHidden/>
            <w:sz w:val="20"/>
            <w:szCs w:val="20"/>
          </w:rPr>
          <w:tab/>
        </w:r>
        <w:r w:rsidR="00067CE9">
          <w:rPr>
            <w:webHidden/>
            <w:sz w:val="20"/>
            <w:szCs w:val="20"/>
          </w:rPr>
          <w:tab/>
        </w:r>
        <w:r w:rsidR="00067CE9" w:rsidRPr="00067CE9">
          <w:rPr>
            <w:webHidden/>
            <w:sz w:val="20"/>
            <w:szCs w:val="20"/>
          </w:rPr>
          <w:fldChar w:fldCharType="begin"/>
        </w:r>
        <w:r w:rsidR="00067CE9" w:rsidRPr="00067CE9">
          <w:rPr>
            <w:webHidden/>
            <w:sz w:val="20"/>
            <w:szCs w:val="20"/>
          </w:rPr>
          <w:instrText xml:space="preserve"> PAGEREF _Toc73045582 \h </w:instrText>
        </w:r>
        <w:r w:rsidR="00067CE9" w:rsidRPr="00067CE9">
          <w:rPr>
            <w:webHidden/>
            <w:sz w:val="20"/>
            <w:szCs w:val="20"/>
          </w:rPr>
        </w:r>
        <w:r w:rsidR="00067CE9" w:rsidRPr="00067CE9">
          <w:rPr>
            <w:webHidden/>
            <w:sz w:val="20"/>
            <w:szCs w:val="20"/>
          </w:rPr>
          <w:fldChar w:fldCharType="separate"/>
        </w:r>
        <w:r w:rsidR="00067CE9" w:rsidRPr="00067CE9">
          <w:rPr>
            <w:webHidden/>
            <w:sz w:val="20"/>
            <w:szCs w:val="20"/>
          </w:rPr>
          <w:t>vi</w:t>
        </w:r>
        <w:r w:rsidR="00067CE9" w:rsidRPr="00067CE9">
          <w:rPr>
            <w:webHidden/>
            <w:sz w:val="20"/>
            <w:szCs w:val="20"/>
          </w:rPr>
          <w:fldChar w:fldCharType="end"/>
        </w:r>
      </w:hyperlink>
    </w:p>
    <w:p w14:paraId="61E79F38" w14:textId="62BB6387" w:rsidR="00067CE9" w:rsidRPr="00067CE9" w:rsidRDefault="00877370">
      <w:pPr>
        <w:pStyle w:val="TOC1"/>
        <w:rPr>
          <w:rFonts w:asciiTheme="minorHAnsi" w:eastAsiaTheme="minorEastAsia" w:hAnsiTheme="minorHAnsi" w:cstheme="minorBidi"/>
          <w:b w:val="0"/>
          <w:bCs w:val="0"/>
          <w:caps w:val="0"/>
          <w:color w:val="auto"/>
          <w:sz w:val="20"/>
          <w:szCs w:val="20"/>
          <w:lang w:val="en-AU" w:eastAsia="en-GB"/>
        </w:rPr>
      </w:pPr>
      <w:hyperlink w:anchor="_Toc73045583" w:history="1">
        <w:r w:rsidR="00067CE9" w:rsidRPr="00067CE9">
          <w:rPr>
            <w:rStyle w:val="Hyperlink"/>
            <w:sz w:val="20"/>
            <w:szCs w:val="20"/>
          </w:rPr>
          <w:t>Key Messages</w:t>
        </w:r>
        <w:r w:rsidR="00067CE9" w:rsidRPr="00067CE9">
          <w:rPr>
            <w:webHidden/>
            <w:sz w:val="20"/>
            <w:szCs w:val="20"/>
          </w:rPr>
          <w:tab/>
        </w:r>
        <w:r w:rsidR="00067CE9">
          <w:rPr>
            <w:webHidden/>
            <w:sz w:val="20"/>
            <w:szCs w:val="20"/>
          </w:rPr>
          <w:tab/>
        </w:r>
        <w:r w:rsidR="00067CE9" w:rsidRPr="00067CE9">
          <w:rPr>
            <w:webHidden/>
            <w:sz w:val="20"/>
            <w:szCs w:val="20"/>
          </w:rPr>
          <w:fldChar w:fldCharType="begin"/>
        </w:r>
        <w:r w:rsidR="00067CE9" w:rsidRPr="00067CE9">
          <w:rPr>
            <w:webHidden/>
            <w:sz w:val="20"/>
            <w:szCs w:val="20"/>
          </w:rPr>
          <w:instrText xml:space="preserve"> PAGEREF _Toc73045583 \h </w:instrText>
        </w:r>
        <w:r w:rsidR="00067CE9" w:rsidRPr="00067CE9">
          <w:rPr>
            <w:webHidden/>
            <w:sz w:val="20"/>
            <w:szCs w:val="20"/>
          </w:rPr>
        </w:r>
        <w:r w:rsidR="00067CE9" w:rsidRPr="00067CE9">
          <w:rPr>
            <w:webHidden/>
            <w:sz w:val="20"/>
            <w:szCs w:val="20"/>
          </w:rPr>
          <w:fldChar w:fldCharType="separate"/>
        </w:r>
        <w:r w:rsidR="00067CE9" w:rsidRPr="00067CE9">
          <w:rPr>
            <w:webHidden/>
            <w:sz w:val="20"/>
            <w:szCs w:val="20"/>
          </w:rPr>
          <w:t>1</w:t>
        </w:r>
        <w:r w:rsidR="00067CE9" w:rsidRPr="00067CE9">
          <w:rPr>
            <w:webHidden/>
            <w:sz w:val="20"/>
            <w:szCs w:val="20"/>
          </w:rPr>
          <w:fldChar w:fldCharType="end"/>
        </w:r>
      </w:hyperlink>
    </w:p>
    <w:p w14:paraId="0DD4200E" w14:textId="6B1B0026" w:rsidR="00067CE9" w:rsidRPr="00067CE9" w:rsidRDefault="00877370">
      <w:pPr>
        <w:pStyle w:val="TOC1"/>
        <w:rPr>
          <w:rFonts w:asciiTheme="minorHAnsi" w:eastAsiaTheme="minorEastAsia" w:hAnsiTheme="minorHAnsi" w:cstheme="minorBidi"/>
          <w:b w:val="0"/>
          <w:bCs w:val="0"/>
          <w:caps w:val="0"/>
          <w:color w:val="auto"/>
          <w:sz w:val="20"/>
          <w:szCs w:val="20"/>
          <w:lang w:val="en-AU" w:eastAsia="en-GB"/>
        </w:rPr>
      </w:pPr>
      <w:hyperlink w:anchor="_Toc73045584" w:history="1">
        <w:r w:rsidR="00067CE9" w:rsidRPr="00067CE9">
          <w:rPr>
            <w:rStyle w:val="Hyperlink"/>
            <w:sz w:val="20"/>
            <w:szCs w:val="20"/>
          </w:rPr>
          <w:t>Executive summary</w:t>
        </w:r>
        <w:r w:rsidR="00067CE9" w:rsidRPr="00067CE9">
          <w:rPr>
            <w:webHidden/>
            <w:sz w:val="20"/>
            <w:szCs w:val="20"/>
          </w:rPr>
          <w:tab/>
        </w:r>
        <w:r w:rsidR="00067CE9" w:rsidRPr="00067CE9">
          <w:rPr>
            <w:webHidden/>
            <w:sz w:val="20"/>
            <w:szCs w:val="20"/>
          </w:rPr>
          <w:fldChar w:fldCharType="begin"/>
        </w:r>
        <w:r w:rsidR="00067CE9" w:rsidRPr="00067CE9">
          <w:rPr>
            <w:webHidden/>
            <w:sz w:val="20"/>
            <w:szCs w:val="20"/>
          </w:rPr>
          <w:instrText xml:space="preserve"> PAGEREF _Toc73045584 \h </w:instrText>
        </w:r>
        <w:r w:rsidR="00067CE9" w:rsidRPr="00067CE9">
          <w:rPr>
            <w:webHidden/>
            <w:sz w:val="20"/>
            <w:szCs w:val="20"/>
          </w:rPr>
        </w:r>
        <w:r w:rsidR="00067CE9" w:rsidRPr="00067CE9">
          <w:rPr>
            <w:webHidden/>
            <w:sz w:val="20"/>
            <w:szCs w:val="20"/>
          </w:rPr>
          <w:fldChar w:fldCharType="separate"/>
        </w:r>
        <w:r w:rsidR="00067CE9" w:rsidRPr="00067CE9">
          <w:rPr>
            <w:webHidden/>
            <w:sz w:val="20"/>
            <w:szCs w:val="20"/>
          </w:rPr>
          <w:t>3</w:t>
        </w:r>
        <w:r w:rsidR="00067CE9" w:rsidRPr="00067CE9">
          <w:rPr>
            <w:webHidden/>
            <w:sz w:val="20"/>
            <w:szCs w:val="20"/>
          </w:rPr>
          <w:fldChar w:fldCharType="end"/>
        </w:r>
      </w:hyperlink>
    </w:p>
    <w:p w14:paraId="1DDE8477" w14:textId="37AF6E49" w:rsidR="00067CE9" w:rsidRPr="00067CE9" w:rsidRDefault="00877370">
      <w:pPr>
        <w:pStyle w:val="TOC1"/>
        <w:rPr>
          <w:rFonts w:asciiTheme="minorHAnsi" w:eastAsiaTheme="minorEastAsia" w:hAnsiTheme="minorHAnsi" w:cstheme="minorBidi"/>
          <w:b w:val="0"/>
          <w:bCs w:val="0"/>
          <w:caps w:val="0"/>
          <w:color w:val="auto"/>
          <w:sz w:val="20"/>
          <w:szCs w:val="20"/>
          <w:lang w:val="en-AU" w:eastAsia="en-GB"/>
        </w:rPr>
      </w:pPr>
      <w:hyperlink w:anchor="_Toc73045585" w:history="1">
        <w:r w:rsidR="00067CE9" w:rsidRPr="00067CE9">
          <w:rPr>
            <w:rStyle w:val="Hyperlink"/>
            <w:sz w:val="20"/>
            <w:szCs w:val="20"/>
          </w:rPr>
          <w:t>1</w:t>
        </w:r>
        <w:r w:rsidR="00067CE9" w:rsidRPr="00067CE9">
          <w:rPr>
            <w:rFonts w:asciiTheme="minorHAnsi" w:eastAsiaTheme="minorEastAsia" w:hAnsiTheme="minorHAnsi" w:cstheme="minorBidi"/>
            <w:b w:val="0"/>
            <w:bCs w:val="0"/>
            <w:caps w:val="0"/>
            <w:color w:val="auto"/>
            <w:sz w:val="20"/>
            <w:szCs w:val="20"/>
            <w:lang w:val="en-AU" w:eastAsia="en-GB"/>
          </w:rPr>
          <w:tab/>
        </w:r>
        <w:r w:rsidR="00067CE9" w:rsidRPr="00067CE9">
          <w:rPr>
            <w:rStyle w:val="Hyperlink"/>
            <w:sz w:val="20"/>
            <w:szCs w:val="20"/>
          </w:rPr>
          <w:t>Introduction and updates</w:t>
        </w:r>
        <w:r w:rsidR="00067CE9" w:rsidRPr="00067CE9">
          <w:rPr>
            <w:webHidden/>
            <w:sz w:val="20"/>
            <w:szCs w:val="20"/>
          </w:rPr>
          <w:tab/>
        </w:r>
        <w:r w:rsidR="00067CE9" w:rsidRPr="00067CE9">
          <w:rPr>
            <w:webHidden/>
            <w:sz w:val="20"/>
            <w:szCs w:val="20"/>
          </w:rPr>
          <w:fldChar w:fldCharType="begin"/>
        </w:r>
        <w:r w:rsidR="00067CE9" w:rsidRPr="00067CE9">
          <w:rPr>
            <w:webHidden/>
            <w:sz w:val="20"/>
            <w:szCs w:val="20"/>
          </w:rPr>
          <w:instrText xml:space="preserve"> PAGEREF _Toc73045585 \h </w:instrText>
        </w:r>
        <w:r w:rsidR="00067CE9" w:rsidRPr="00067CE9">
          <w:rPr>
            <w:webHidden/>
            <w:sz w:val="20"/>
            <w:szCs w:val="20"/>
          </w:rPr>
        </w:r>
        <w:r w:rsidR="00067CE9" w:rsidRPr="00067CE9">
          <w:rPr>
            <w:webHidden/>
            <w:sz w:val="20"/>
            <w:szCs w:val="20"/>
          </w:rPr>
          <w:fldChar w:fldCharType="separate"/>
        </w:r>
        <w:r w:rsidR="00067CE9" w:rsidRPr="00067CE9">
          <w:rPr>
            <w:webHidden/>
            <w:sz w:val="20"/>
            <w:szCs w:val="20"/>
          </w:rPr>
          <w:t>11</w:t>
        </w:r>
        <w:r w:rsidR="00067CE9" w:rsidRPr="00067CE9">
          <w:rPr>
            <w:webHidden/>
            <w:sz w:val="20"/>
            <w:szCs w:val="20"/>
          </w:rPr>
          <w:fldChar w:fldCharType="end"/>
        </w:r>
      </w:hyperlink>
    </w:p>
    <w:p w14:paraId="7C8C98BA" w14:textId="3C50A6BF" w:rsidR="00067CE9" w:rsidRPr="00067CE9" w:rsidRDefault="00877370">
      <w:pPr>
        <w:pStyle w:val="TOC2"/>
        <w:rPr>
          <w:rFonts w:asciiTheme="minorHAnsi" w:eastAsiaTheme="minorEastAsia" w:hAnsiTheme="minorHAnsi" w:cstheme="minorBidi"/>
          <w:b w:val="0"/>
          <w:bCs w:val="0"/>
          <w:color w:val="auto"/>
          <w:lang w:val="en-AU" w:eastAsia="en-GB"/>
        </w:rPr>
      </w:pPr>
      <w:hyperlink w:anchor="_Toc73045586" w:history="1">
        <w:r w:rsidR="00067CE9" w:rsidRPr="00067CE9">
          <w:rPr>
            <w:rStyle w:val="Hyperlink"/>
          </w:rPr>
          <w:t>1.1</w:t>
        </w:r>
        <w:r w:rsidR="00067CE9" w:rsidRPr="00067CE9">
          <w:rPr>
            <w:rFonts w:asciiTheme="minorHAnsi" w:eastAsiaTheme="minorEastAsia" w:hAnsiTheme="minorHAnsi" w:cstheme="minorBidi"/>
            <w:b w:val="0"/>
            <w:bCs w:val="0"/>
            <w:color w:val="auto"/>
            <w:lang w:val="en-AU" w:eastAsia="en-GB"/>
          </w:rPr>
          <w:tab/>
        </w:r>
        <w:r w:rsidR="00067CE9" w:rsidRPr="00067CE9">
          <w:rPr>
            <w:rStyle w:val="Hyperlink"/>
          </w:rPr>
          <w:t>Decision XXXI/3: Unexpected emissions of trichlorofluoromethane (CFC-11)</w:t>
        </w:r>
        <w:r w:rsidR="00067CE9" w:rsidRPr="00067CE9">
          <w:rPr>
            <w:webHidden/>
          </w:rPr>
          <w:tab/>
        </w:r>
        <w:r w:rsidR="00067CE9" w:rsidRPr="00067CE9">
          <w:rPr>
            <w:webHidden/>
          </w:rPr>
          <w:fldChar w:fldCharType="begin"/>
        </w:r>
        <w:r w:rsidR="00067CE9" w:rsidRPr="00067CE9">
          <w:rPr>
            <w:webHidden/>
          </w:rPr>
          <w:instrText xml:space="preserve"> PAGEREF _Toc73045586 \h </w:instrText>
        </w:r>
        <w:r w:rsidR="00067CE9" w:rsidRPr="00067CE9">
          <w:rPr>
            <w:webHidden/>
          </w:rPr>
        </w:r>
        <w:r w:rsidR="00067CE9" w:rsidRPr="00067CE9">
          <w:rPr>
            <w:webHidden/>
          </w:rPr>
          <w:fldChar w:fldCharType="separate"/>
        </w:r>
        <w:r w:rsidR="00067CE9" w:rsidRPr="00067CE9">
          <w:rPr>
            <w:webHidden/>
          </w:rPr>
          <w:t>11</w:t>
        </w:r>
        <w:r w:rsidR="00067CE9" w:rsidRPr="00067CE9">
          <w:rPr>
            <w:webHidden/>
          </w:rPr>
          <w:fldChar w:fldCharType="end"/>
        </w:r>
      </w:hyperlink>
    </w:p>
    <w:p w14:paraId="38CC0D0F" w14:textId="0C01EE85" w:rsidR="00067CE9" w:rsidRPr="00067CE9" w:rsidRDefault="00877370">
      <w:pPr>
        <w:pStyle w:val="TOC2"/>
        <w:rPr>
          <w:rFonts w:asciiTheme="minorHAnsi" w:eastAsiaTheme="minorEastAsia" w:hAnsiTheme="minorHAnsi" w:cstheme="minorBidi"/>
          <w:b w:val="0"/>
          <w:bCs w:val="0"/>
          <w:color w:val="auto"/>
          <w:lang w:val="en-AU" w:eastAsia="en-GB"/>
        </w:rPr>
      </w:pPr>
      <w:hyperlink w:anchor="_Toc73045587" w:history="1">
        <w:r w:rsidR="00067CE9" w:rsidRPr="00067CE9">
          <w:rPr>
            <w:rStyle w:val="Hyperlink"/>
          </w:rPr>
          <w:t>1.2</w:t>
        </w:r>
        <w:r w:rsidR="00067CE9" w:rsidRPr="00067CE9">
          <w:rPr>
            <w:rFonts w:asciiTheme="minorHAnsi" w:eastAsiaTheme="minorEastAsia" w:hAnsiTheme="minorHAnsi" w:cstheme="minorBidi"/>
            <w:b w:val="0"/>
            <w:bCs w:val="0"/>
            <w:color w:val="auto"/>
            <w:lang w:val="en-AU" w:eastAsia="en-GB"/>
          </w:rPr>
          <w:tab/>
        </w:r>
        <w:r w:rsidR="00067CE9" w:rsidRPr="00067CE9">
          <w:rPr>
            <w:rStyle w:val="Hyperlink"/>
          </w:rPr>
          <w:t>Composition of the Task Force</w:t>
        </w:r>
        <w:r w:rsidR="00067CE9" w:rsidRPr="00067CE9">
          <w:rPr>
            <w:webHidden/>
          </w:rPr>
          <w:tab/>
        </w:r>
        <w:r w:rsidR="00067CE9" w:rsidRPr="00067CE9">
          <w:rPr>
            <w:webHidden/>
          </w:rPr>
          <w:fldChar w:fldCharType="begin"/>
        </w:r>
        <w:r w:rsidR="00067CE9" w:rsidRPr="00067CE9">
          <w:rPr>
            <w:webHidden/>
          </w:rPr>
          <w:instrText xml:space="preserve"> PAGEREF _Toc73045587 \h </w:instrText>
        </w:r>
        <w:r w:rsidR="00067CE9" w:rsidRPr="00067CE9">
          <w:rPr>
            <w:webHidden/>
          </w:rPr>
        </w:r>
        <w:r w:rsidR="00067CE9" w:rsidRPr="00067CE9">
          <w:rPr>
            <w:webHidden/>
          </w:rPr>
          <w:fldChar w:fldCharType="separate"/>
        </w:r>
        <w:r w:rsidR="00067CE9" w:rsidRPr="00067CE9">
          <w:rPr>
            <w:webHidden/>
          </w:rPr>
          <w:t>11</w:t>
        </w:r>
        <w:r w:rsidR="00067CE9" w:rsidRPr="00067CE9">
          <w:rPr>
            <w:webHidden/>
          </w:rPr>
          <w:fldChar w:fldCharType="end"/>
        </w:r>
      </w:hyperlink>
    </w:p>
    <w:p w14:paraId="071DCB19" w14:textId="454D801E" w:rsidR="00067CE9" w:rsidRPr="00067CE9" w:rsidRDefault="00877370">
      <w:pPr>
        <w:pStyle w:val="TOC2"/>
        <w:rPr>
          <w:rFonts w:asciiTheme="minorHAnsi" w:eastAsiaTheme="minorEastAsia" w:hAnsiTheme="minorHAnsi" w:cstheme="minorBidi"/>
          <w:b w:val="0"/>
          <w:bCs w:val="0"/>
          <w:color w:val="auto"/>
          <w:lang w:val="en-AU" w:eastAsia="en-GB"/>
        </w:rPr>
      </w:pPr>
      <w:hyperlink w:anchor="_Toc73045588" w:history="1">
        <w:r w:rsidR="00067CE9" w:rsidRPr="00067CE9">
          <w:rPr>
            <w:rStyle w:val="Hyperlink"/>
          </w:rPr>
          <w:t>1.3</w:t>
        </w:r>
        <w:r w:rsidR="00067CE9" w:rsidRPr="00067CE9">
          <w:rPr>
            <w:rFonts w:asciiTheme="minorHAnsi" w:eastAsiaTheme="minorEastAsia" w:hAnsiTheme="minorHAnsi" w:cstheme="minorBidi"/>
            <w:b w:val="0"/>
            <w:bCs w:val="0"/>
            <w:color w:val="auto"/>
            <w:lang w:val="en-AU" w:eastAsia="en-GB"/>
          </w:rPr>
          <w:tab/>
        </w:r>
        <w:r w:rsidR="00067CE9" w:rsidRPr="00067CE9">
          <w:rPr>
            <w:rStyle w:val="Hyperlink"/>
          </w:rPr>
          <w:t>Overview of the 2019 Task Force Final Report</w:t>
        </w:r>
        <w:r w:rsidR="00067CE9" w:rsidRPr="00067CE9">
          <w:rPr>
            <w:webHidden/>
          </w:rPr>
          <w:tab/>
        </w:r>
        <w:r w:rsidR="00067CE9" w:rsidRPr="00067CE9">
          <w:rPr>
            <w:webHidden/>
          </w:rPr>
          <w:fldChar w:fldCharType="begin"/>
        </w:r>
        <w:r w:rsidR="00067CE9" w:rsidRPr="00067CE9">
          <w:rPr>
            <w:webHidden/>
          </w:rPr>
          <w:instrText xml:space="preserve"> PAGEREF _Toc73045588 \h </w:instrText>
        </w:r>
        <w:r w:rsidR="00067CE9" w:rsidRPr="00067CE9">
          <w:rPr>
            <w:webHidden/>
          </w:rPr>
        </w:r>
        <w:r w:rsidR="00067CE9" w:rsidRPr="00067CE9">
          <w:rPr>
            <w:webHidden/>
          </w:rPr>
          <w:fldChar w:fldCharType="separate"/>
        </w:r>
        <w:r w:rsidR="00067CE9" w:rsidRPr="00067CE9">
          <w:rPr>
            <w:webHidden/>
          </w:rPr>
          <w:t>12</w:t>
        </w:r>
        <w:r w:rsidR="00067CE9" w:rsidRPr="00067CE9">
          <w:rPr>
            <w:webHidden/>
          </w:rPr>
          <w:fldChar w:fldCharType="end"/>
        </w:r>
      </w:hyperlink>
    </w:p>
    <w:p w14:paraId="1D053EF9" w14:textId="12D31AA7" w:rsidR="00067CE9" w:rsidRPr="00067CE9" w:rsidRDefault="00877370">
      <w:pPr>
        <w:pStyle w:val="TOC2"/>
        <w:rPr>
          <w:rFonts w:asciiTheme="minorHAnsi" w:eastAsiaTheme="minorEastAsia" w:hAnsiTheme="minorHAnsi" w:cstheme="minorBidi"/>
          <w:b w:val="0"/>
          <w:bCs w:val="0"/>
          <w:color w:val="auto"/>
          <w:lang w:val="en-AU" w:eastAsia="en-GB"/>
        </w:rPr>
      </w:pPr>
      <w:hyperlink w:anchor="_Toc73045589" w:history="1">
        <w:r w:rsidR="00067CE9" w:rsidRPr="00067CE9">
          <w:rPr>
            <w:rStyle w:val="Hyperlink"/>
          </w:rPr>
          <w:t>1.4</w:t>
        </w:r>
        <w:r w:rsidR="00067CE9" w:rsidRPr="00067CE9">
          <w:rPr>
            <w:rFonts w:asciiTheme="minorHAnsi" w:eastAsiaTheme="minorEastAsia" w:hAnsiTheme="minorHAnsi" w:cstheme="minorBidi"/>
            <w:b w:val="0"/>
            <w:bCs w:val="0"/>
            <w:color w:val="auto"/>
            <w:lang w:val="en-AU" w:eastAsia="en-GB"/>
          </w:rPr>
          <w:tab/>
        </w:r>
        <w:r w:rsidR="00067CE9" w:rsidRPr="00067CE9">
          <w:rPr>
            <w:rStyle w:val="Hyperlink"/>
          </w:rPr>
          <w:t>The 2021 Task Force Report</w:t>
        </w:r>
        <w:r w:rsidR="00067CE9" w:rsidRPr="00067CE9">
          <w:rPr>
            <w:webHidden/>
          </w:rPr>
          <w:tab/>
        </w:r>
        <w:r w:rsidR="00067CE9" w:rsidRPr="00067CE9">
          <w:rPr>
            <w:webHidden/>
          </w:rPr>
          <w:fldChar w:fldCharType="begin"/>
        </w:r>
        <w:r w:rsidR="00067CE9" w:rsidRPr="00067CE9">
          <w:rPr>
            <w:webHidden/>
          </w:rPr>
          <w:instrText xml:space="preserve"> PAGEREF _Toc73045589 \h </w:instrText>
        </w:r>
        <w:r w:rsidR="00067CE9" w:rsidRPr="00067CE9">
          <w:rPr>
            <w:webHidden/>
          </w:rPr>
        </w:r>
        <w:r w:rsidR="00067CE9" w:rsidRPr="00067CE9">
          <w:rPr>
            <w:webHidden/>
          </w:rPr>
          <w:fldChar w:fldCharType="separate"/>
        </w:r>
        <w:r w:rsidR="00067CE9" w:rsidRPr="00067CE9">
          <w:rPr>
            <w:webHidden/>
          </w:rPr>
          <w:t>13</w:t>
        </w:r>
        <w:r w:rsidR="00067CE9" w:rsidRPr="00067CE9">
          <w:rPr>
            <w:webHidden/>
          </w:rPr>
          <w:fldChar w:fldCharType="end"/>
        </w:r>
      </w:hyperlink>
    </w:p>
    <w:p w14:paraId="6D4D9578" w14:textId="1FA591A7" w:rsidR="00067CE9" w:rsidRPr="00067CE9" w:rsidRDefault="00877370">
      <w:pPr>
        <w:pStyle w:val="TOC2"/>
        <w:rPr>
          <w:rFonts w:asciiTheme="minorHAnsi" w:eastAsiaTheme="minorEastAsia" w:hAnsiTheme="minorHAnsi" w:cstheme="minorBidi"/>
          <w:b w:val="0"/>
          <w:bCs w:val="0"/>
          <w:color w:val="auto"/>
          <w:lang w:val="en-AU" w:eastAsia="en-GB"/>
        </w:rPr>
      </w:pPr>
      <w:hyperlink w:anchor="_Toc73045590" w:history="1">
        <w:r w:rsidR="00067CE9" w:rsidRPr="00067CE9">
          <w:rPr>
            <w:rStyle w:val="Hyperlink"/>
          </w:rPr>
          <w:t>1.5</w:t>
        </w:r>
        <w:r w:rsidR="00067CE9" w:rsidRPr="00067CE9">
          <w:rPr>
            <w:rFonts w:asciiTheme="minorHAnsi" w:eastAsiaTheme="minorEastAsia" w:hAnsiTheme="minorHAnsi" w:cstheme="minorBidi"/>
            <w:b w:val="0"/>
            <w:bCs w:val="0"/>
            <w:color w:val="auto"/>
            <w:lang w:val="en-AU" w:eastAsia="en-GB"/>
          </w:rPr>
          <w:tab/>
        </w:r>
        <w:r w:rsidR="00067CE9" w:rsidRPr="00067CE9">
          <w:rPr>
            <w:rStyle w:val="Hyperlink"/>
          </w:rPr>
          <w:t>Background to the unexpected CFC-11 emissions</w:t>
        </w:r>
        <w:r w:rsidR="00067CE9" w:rsidRPr="00067CE9">
          <w:rPr>
            <w:webHidden/>
          </w:rPr>
          <w:tab/>
        </w:r>
        <w:r w:rsidR="00067CE9" w:rsidRPr="00067CE9">
          <w:rPr>
            <w:webHidden/>
          </w:rPr>
          <w:fldChar w:fldCharType="begin"/>
        </w:r>
        <w:r w:rsidR="00067CE9" w:rsidRPr="00067CE9">
          <w:rPr>
            <w:webHidden/>
          </w:rPr>
          <w:instrText xml:space="preserve"> PAGEREF _Toc73045590 \h </w:instrText>
        </w:r>
        <w:r w:rsidR="00067CE9" w:rsidRPr="00067CE9">
          <w:rPr>
            <w:webHidden/>
          </w:rPr>
        </w:r>
        <w:r w:rsidR="00067CE9" w:rsidRPr="00067CE9">
          <w:rPr>
            <w:webHidden/>
          </w:rPr>
          <w:fldChar w:fldCharType="separate"/>
        </w:r>
        <w:r w:rsidR="00067CE9" w:rsidRPr="00067CE9">
          <w:rPr>
            <w:webHidden/>
          </w:rPr>
          <w:t>14</w:t>
        </w:r>
        <w:r w:rsidR="00067CE9" w:rsidRPr="00067CE9">
          <w:rPr>
            <w:webHidden/>
          </w:rPr>
          <w:fldChar w:fldCharType="end"/>
        </w:r>
      </w:hyperlink>
    </w:p>
    <w:p w14:paraId="546C1394" w14:textId="6DD1B8A9" w:rsidR="00067CE9" w:rsidRPr="00067CE9" w:rsidRDefault="00877370">
      <w:pPr>
        <w:pStyle w:val="TOC2"/>
        <w:rPr>
          <w:rFonts w:asciiTheme="minorHAnsi" w:eastAsiaTheme="minorEastAsia" w:hAnsiTheme="minorHAnsi" w:cstheme="minorBidi"/>
          <w:b w:val="0"/>
          <w:bCs w:val="0"/>
          <w:color w:val="auto"/>
          <w:lang w:val="en-AU" w:eastAsia="en-GB"/>
        </w:rPr>
      </w:pPr>
      <w:hyperlink w:anchor="_Toc73045591" w:history="1">
        <w:r w:rsidR="00067CE9" w:rsidRPr="00067CE9">
          <w:rPr>
            <w:rStyle w:val="Hyperlink"/>
          </w:rPr>
          <w:t>1.6</w:t>
        </w:r>
        <w:r w:rsidR="00067CE9" w:rsidRPr="00067CE9">
          <w:rPr>
            <w:rFonts w:asciiTheme="minorHAnsi" w:eastAsiaTheme="minorEastAsia" w:hAnsiTheme="minorHAnsi" w:cstheme="minorBidi"/>
            <w:b w:val="0"/>
            <w:bCs w:val="0"/>
            <w:color w:val="auto"/>
            <w:lang w:val="en-AU" w:eastAsia="en-GB"/>
          </w:rPr>
          <w:tab/>
        </w:r>
        <w:r w:rsidR="00067CE9" w:rsidRPr="00067CE9">
          <w:rPr>
            <w:rStyle w:val="Hyperlink"/>
          </w:rPr>
          <w:t>Summary of Science findings since 2019</w:t>
        </w:r>
        <w:r w:rsidR="00067CE9" w:rsidRPr="00067CE9">
          <w:rPr>
            <w:webHidden/>
          </w:rPr>
          <w:tab/>
        </w:r>
        <w:r w:rsidR="00067CE9" w:rsidRPr="00067CE9">
          <w:rPr>
            <w:webHidden/>
          </w:rPr>
          <w:fldChar w:fldCharType="begin"/>
        </w:r>
        <w:r w:rsidR="00067CE9" w:rsidRPr="00067CE9">
          <w:rPr>
            <w:webHidden/>
          </w:rPr>
          <w:instrText xml:space="preserve"> PAGEREF _Toc73045591 \h </w:instrText>
        </w:r>
        <w:r w:rsidR="00067CE9" w:rsidRPr="00067CE9">
          <w:rPr>
            <w:webHidden/>
          </w:rPr>
        </w:r>
        <w:r w:rsidR="00067CE9" w:rsidRPr="00067CE9">
          <w:rPr>
            <w:webHidden/>
          </w:rPr>
          <w:fldChar w:fldCharType="separate"/>
        </w:r>
        <w:r w:rsidR="00067CE9" w:rsidRPr="00067CE9">
          <w:rPr>
            <w:webHidden/>
          </w:rPr>
          <w:t>15</w:t>
        </w:r>
        <w:r w:rsidR="00067CE9" w:rsidRPr="00067CE9">
          <w:rPr>
            <w:webHidden/>
          </w:rPr>
          <w:fldChar w:fldCharType="end"/>
        </w:r>
      </w:hyperlink>
    </w:p>
    <w:p w14:paraId="5137FFB0" w14:textId="1117438A" w:rsidR="00067CE9" w:rsidRPr="00067CE9" w:rsidRDefault="00877370">
      <w:pPr>
        <w:pStyle w:val="TOC3"/>
        <w:rPr>
          <w:rFonts w:asciiTheme="minorHAnsi" w:eastAsiaTheme="minorEastAsia" w:hAnsiTheme="minorHAnsi" w:cstheme="minorBidi"/>
          <w:b w:val="0"/>
          <w:color w:val="auto"/>
          <w:lang w:val="en-AU" w:eastAsia="en-GB"/>
        </w:rPr>
      </w:pPr>
      <w:hyperlink w:anchor="_Toc73045592" w:history="1">
        <w:r w:rsidR="00067CE9" w:rsidRPr="00067CE9">
          <w:rPr>
            <w:rStyle w:val="Hyperlink"/>
          </w:rPr>
          <w:t>1.6.1</w:t>
        </w:r>
        <w:r w:rsidR="00067CE9" w:rsidRPr="00067CE9">
          <w:rPr>
            <w:rFonts w:asciiTheme="minorHAnsi" w:eastAsiaTheme="minorEastAsia" w:hAnsiTheme="minorHAnsi" w:cstheme="minorBidi"/>
            <w:b w:val="0"/>
            <w:color w:val="auto"/>
            <w:lang w:val="en-AU" w:eastAsia="en-GB"/>
          </w:rPr>
          <w:tab/>
        </w:r>
        <w:r w:rsidR="00067CE9" w:rsidRPr="00067CE9">
          <w:rPr>
            <w:rStyle w:val="Hyperlink"/>
          </w:rPr>
          <w:t xml:space="preserve">The Report on Unexpected Emissions of CFC-11, </w:t>
        </w:r>
        <w:r w:rsidR="00067CE9" w:rsidRPr="00067CE9">
          <w:rPr>
            <w:rStyle w:val="Hyperlink"/>
            <w:lang w:eastAsia="fr-FR"/>
          </w:rPr>
          <w:t>World M</w:t>
        </w:r>
        <w:r w:rsidR="00E067FC">
          <w:rPr>
            <w:rStyle w:val="Hyperlink"/>
            <w:lang w:eastAsia="fr-FR"/>
          </w:rPr>
          <w:t>eteorological</w:t>
        </w:r>
        <w:r w:rsidR="00067CE9" w:rsidRPr="00067CE9">
          <w:rPr>
            <w:rStyle w:val="Hyperlink"/>
            <w:lang w:eastAsia="fr-FR"/>
          </w:rPr>
          <w:t xml:space="preserve"> Organization</w:t>
        </w:r>
        <w:r w:rsidR="00067CE9" w:rsidRPr="00067CE9">
          <w:rPr>
            <w:webHidden/>
          </w:rPr>
          <w:tab/>
        </w:r>
        <w:r w:rsidR="00067CE9" w:rsidRPr="00067CE9">
          <w:rPr>
            <w:webHidden/>
          </w:rPr>
          <w:fldChar w:fldCharType="begin"/>
        </w:r>
        <w:r w:rsidR="00067CE9" w:rsidRPr="00067CE9">
          <w:rPr>
            <w:webHidden/>
          </w:rPr>
          <w:instrText xml:space="preserve"> PAGEREF _Toc73045592 \h </w:instrText>
        </w:r>
        <w:r w:rsidR="00067CE9" w:rsidRPr="00067CE9">
          <w:rPr>
            <w:webHidden/>
          </w:rPr>
        </w:r>
        <w:r w:rsidR="00067CE9" w:rsidRPr="00067CE9">
          <w:rPr>
            <w:webHidden/>
          </w:rPr>
          <w:fldChar w:fldCharType="separate"/>
        </w:r>
        <w:r w:rsidR="00067CE9" w:rsidRPr="00067CE9">
          <w:rPr>
            <w:webHidden/>
          </w:rPr>
          <w:t>15</w:t>
        </w:r>
        <w:r w:rsidR="00067CE9" w:rsidRPr="00067CE9">
          <w:rPr>
            <w:webHidden/>
          </w:rPr>
          <w:fldChar w:fldCharType="end"/>
        </w:r>
      </w:hyperlink>
    </w:p>
    <w:p w14:paraId="6C58E47E" w14:textId="66EE3722" w:rsidR="00067CE9" w:rsidRPr="00067CE9" w:rsidRDefault="00877370">
      <w:pPr>
        <w:pStyle w:val="TOC3"/>
        <w:rPr>
          <w:rFonts w:asciiTheme="minorHAnsi" w:eastAsiaTheme="minorEastAsia" w:hAnsiTheme="minorHAnsi" w:cstheme="minorBidi"/>
          <w:b w:val="0"/>
          <w:color w:val="auto"/>
          <w:lang w:val="en-AU" w:eastAsia="en-GB"/>
        </w:rPr>
      </w:pPr>
      <w:hyperlink w:anchor="_Toc73045593" w:history="1">
        <w:r w:rsidR="00067CE9" w:rsidRPr="00067CE9">
          <w:rPr>
            <w:rStyle w:val="Hyperlink"/>
          </w:rPr>
          <w:t>1.6.2</w:t>
        </w:r>
        <w:r w:rsidR="00067CE9" w:rsidRPr="00067CE9">
          <w:rPr>
            <w:rFonts w:asciiTheme="minorHAnsi" w:eastAsiaTheme="minorEastAsia" w:hAnsiTheme="minorHAnsi" w:cstheme="minorBidi"/>
            <w:b w:val="0"/>
            <w:color w:val="auto"/>
            <w:lang w:val="en-AU" w:eastAsia="en-GB"/>
          </w:rPr>
          <w:tab/>
        </w:r>
        <w:r w:rsidR="00067CE9" w:rsidRPr="00067CE9">
          <w:rPr>
            <w:rStyle w:val="Hyperlink"/>
          </w:rPr>
          <w:t>Additional Studies: Atmospherically derived CFC-11 emissions.</w:t>
        </w:r>
        <w:r w:rsidR="00067CE9" w:rsidRPr="00067CE9">
          <w:rPr>
            <w:webHidden/>
          </w:rPr>
          <w:tab/>
        </w:r>
        <w:r w:rsidR="00067CE9" w:rsidRPr="00067CE9">
          <w:rPr>
            <w:webHidden/>
          </w:rPr>
          <w:fldChar w:fldCharType="begin"/>
        </w:r>
        <w:r w:rsidR="00067CE9" w:rsidRPr="00067CE9">
          <w:rPr>
            <w:webHidden/>
          </w:rPr>
          <w:instrText xml:space="preserve"> PAGEREF _Toc73045593 \h </w:instrText>
        </w:r>
        <w:r w:rsidR="00067CE9" w:rsidRPr="00067CE9">
          <w:rPr>
            <w:webHidden/>
          </w:rPr>
        </w:r>
        <w:r w:rsidR="00067CE9" w:rsidRPr="00067CE9">
          <w:rPr>
            <w:webHidden/>
          </w:rPr>
          <w:fldChar w:fldCharType="separate"/>
        </w:r>
        <w:r w:rsidR="00067CE9" w:rsidRPr="00067CE9">
          <w:rPr>
            <w:webHidden/>
          </w:rPr>
          <w:t>17</w:t>
        </w:r>
        <w:r w:rsidR="00067CE9" w:rsidRPr="00067CE9">
          <w:rPr>
            <w:webHidden/>
          </w:rPr>
          <w:fldChar w:fldCharType="end"/>
        </w:r>
      </w:hyperlink>
    </w:p>
    <w:p w14:paraId="2942A2A5" w14:textId="1DAF6268" w:rsidR="00067CE9" w:rsidRPr="00067CE9" w:rsidRDefault="00877370">
      <w:pPr>
        <w:pStyle w:val="TOC3"/>
        <w:rPr>
          <w:rFonts w:asciiTheme="minorHAnsi" w:eastAsiaTheme="minorEastAsia" w:hAnsiTheme="minorHAnsi" w:cstheme="minorBidi"/>
          <w:b w:val="0"/>
          <w:color w:val="auto"/>
          <w:lang w:val="en-AU" w:eastAsia="en-GB"/>
        </w:rPr>
      </w:pPr>
      <w:hyperlink w:anchor="_Toc73045594" w:history="1">
        <w:r w:rsidR="00067CE9" w:rsidRPr="00067CE9">
          <w:rPr>
            <w:rStyle w:val="Hyperlink"/>
          </w:rPr>
          <w:t>1.6.3</w:t>
        </w:r>
        <w:r w:rsidR="00067CE9" w:rsidRPr="00067CE9">
          <w:rPr>
            <w:rFonts w:asciiTheme="minorHAnsi" w:eastAsiaTheme="minorEastAsia" w:hAnsiTheme="minorHAnsi" w:cstheme="minorBidi"/>
            <w:b w:val="0"/>
            <w:color w:val="auto"/>
            <w:lang w:val="en-AU" w:eastAsia="en-GB"/>
          </w:rPr>
          <w:tab/>
        </w:r>
        <w:r w:rsidR="00067CE9" w:rsidRPr="00067CE9">
          <w:rPr>
            <w:rStyle w:val="Hyperlink"/>
          </w:rPr>
          <w:t>CFC-12</w:t>
        </w:r>
        <w:r w:rsidR="00067CE9" w:rsidRPr="00067CE9">
          <w:rPr>
            <w:webHidden/>
          </w:rPr>
          <w:tab/>
        </w:r>
        <w:r w:rsidR="00067CE9" w:rsidRPr="00067CE9">
          <w:rPr>
            <w:webHidden/>
          </w:rPr>
          <w:fldChar w:fldCharType="begin"/>
        </w:r>
        <w:r w:rsidR="00067CE9" w:rsidRPr="00067CE9">
          <w:rPr>
            <w:webHidden/>
          </w:rPr>
          <w:instrText xml:space="preserve"> PAGEREF _Toc73045594 \h </w:instrText>
        </w:r>
        <w:r w:rsidR="00067CE9" w:rsidRPr="00067CE9">
          <w:rPr>
            <w:webHidden/>
          </w:rPr>
        </w:r>
        <w:r w:rsidR="00067CE9" w:rsidRPr="00067CE9">
          <w:rPr>
            <w:webHidden/>
          </w:rPr>
          <w:fldChar w:fldCharType="separate"/>
        </w:r>
        <w:r w:rsidR="00067CE9" w:rsidRPr="00067CE9">
          <w:rPr>
            <w:webHidden/>
          </w:rPr>
          <w:t>18</w:t>
        </w:r>
        <w:r w:rsidR="00067CE9" w:rsidRPr="00067CE9">
          <w:rPr>
            <w:webHidden/>
          </w:rPr>
          <w:fldChar w:fldCharType="end"/>
        </w:r>
      </w:hyperlink>
    </w:p>
    <w:p w14:paraId="7C666AEE" w14:textId="312E2E2F" w:rsidR="00067CE9" w:rsidRPr="00067CE9" w:rsidRDefault="00877370">
      <w:pPr>
        <w:pStyle w:val="TOC3"/>
        <w:rPr>
          <w:rFonts w:asciiTheme="minorHAnsi" w:eastAsiaTheme="minorEastAsia" w:hAnsiTheme="minorHAnsi" w:cstheme="minorBidi"/>
          <w:b w:val="0"/>
          <w:color w:val="auto"/>
          <w:lang w:val="en-AU" w:eastAsia="en-GB"/>
        </w:rPr>
      </w:pPr>
      <w:hyperlink w:anchor="_Toc73045595" w:history="1">
        <w:r w:rsidR="00067CE9" w:rsidRPr="00067CE9">
          <w:rPr>
            <w:rStyle w:val="Hyperlink"/>
          </w:rPr>
          <w:t>1.6.4</w:t>
        </w:r>
        <w:r w:rsidR="00067CE9" w:rsidRPr="00067CE9">
          <w:rPr>
            <w:rFonts w:asciiTheme="minorHAnsi" w:eastAsiaTheme="minorEastAsia" w:hAnsiTheme="minorHAnsi" w:cstheme="minorBidi"/>
            <w:b w:val="0"/>
            <w:color w:val="auto"/>
            <w:lang w:val="en-AU" w:eastAsia="en-GB"/>
          </w:rPr>
          <w:tab/>
        </w:r>
        <w:r w:rsidR="00067CE9" w:rsidRPr="00067CE9">
          <w:rPr>
            <w:rStyle w:val="Hyperlink"/>
          </w:rPr>
          <w:t>Carbon tetrachloride (CCl</w:t>
        </w:r>
        <w:r w:rsidR="00067CE9" w:rsidRPr="00067CE9">
          <w:rPr>
            <w:rStyle w:val="Hyperlink"/>
            <w:vertAlign w:val="subscript"/>
          </w:rPr>
          <w:t>4</w:t>
        </w:r>
        <w:r w:rsidR="00067CE9" w:rsidRPr="00067CE9">
          <w:rPr>
            <w:rStyle w:val="Hyperlink"/>
          </w:rPr>
          <w:t>)</w:t>
        </w:r>
        <w:r w:rsidR="00067CE9" w:rsidRPr="00067CE9">
          <w:rPr>
            <w:webHidden/>
          </w:rPr>
          <w:tab/>
        </w:r>
        <w:r w:rsidR="00067CE9" w:rsidRPr="00067CE9">
          <w:rPr>
            <w:webHidden/>
          </w:rPr>
          <w:fldChar w:fldCharType="begin"/>
        </w:r>
        <w:r w:rsidR="00067CE9" w:rsidRPr="00067CE9">
          <w:rPr>
            <w:webHidden/>
          </w:rPr>
          <w:instrText xml:space="preserve"> PAGEREF _Toc73045595 \h </w:instrText>
        </w:r>
        <w:r w:rsidR="00067CE9" w:rsidRPr="00067CE9">
          <w:rPr>
            <w:webHidden/>
          </w:rPr>
        </w:r>
        <w:r w:rsidR="00067CE9" w:rsidRPr="00067CE9">
          <w:rPr>
            <w:webHidden/>
          </w:rPr>
          <w:fldChar w:fldCharType="separate"/>
        </w:r>
        <w:r w:rsidR="00067CE9" w:rsidRPr="00067CE9">
          <w:rPr>
            <w:webHidden/>
          </w:rPr>
          <w:t>18</w:t>
        </w:r>
        <w:r w:rsidR="00067CE9" w:rsidRPr="00067CE9">
          <w:rPr>
            <w:webHidden/>
          </w:rPr>
          <w:fldChar w:fldCharType="end"/>
        </w:r>
      </w:hyperlink>
    </w:p>
    <w:p w14:paraId="0021283F" w14:textId="50ABF47B" w:rsidR="00067CE9" w:rsidRPr="00067CE9" w:rsidRDefault="00877370">
      <w:pPr>
        <w:pStyle w:val="TOC3"/>
        <w:rPr>
          <w:rFonts w:asciiTheme="minorHAnsi" w:eastAsiaTheme="minorEastAsia" w:hAnsiTheme="minorHAnsi" w:cstheme="minorBidi"/>
          <w:b w:val="0"/>
          <w:color w:val="auto"/>
          <w:lang w:val="en-AU" w:eastAsia="en-GB"/>
        </w:rPr>
      </w:pPr>
      <w:hyperlink w:anchor="_Toc73045596" w:history="1">
        <w:r w:rsidR="00067CE9" w:rsidRPr="00067CE9">
          <w:rPr>
            <w:rStyle w:val="Hyperlink"/>
          </w:rPr>
          <w:t>1.6.5</w:t>
        </w:r>
        <w:r w:rsidR="00067CE9" w:rsidRPr="00067CE9">
          <w:rPr>
            <w:rFonts w:asciiTheme="minorHAnsi" w:eastAsiaTheme="minorEastAsia" w:hAnsiTheme="minorHAnsi" w:cstheme="minorBidi"/>
            <w:b w:val="0"/>
            <w:color w:val="auto"/>
            <w:lang w:val="en-AU" w:eastAsia="en-GB"/>
          </w:rPr>
          <w:tab/>
        </w:r>
        <w:r w:rsidR="00067CE9" w:rsidRPr="00067CE9">
          <w:rPr>
            <w:rStyle w:val="Hyperlink"/>
          </w:rPr>
          <w:t>Stratospheric Ozone Depletion Recovery</w:t>
        </w:r>
        <w:r w:rsidR="00067CE9" w:rsidRPr="00067CE9">
          <w:rPr>
            <w:webHidden/>
          </w:rPr>
          <w:tab/>
        </w:r>
        <w:r w:rsidR="00067CE9" w:rsidRPr="00067CE9">
          <w:rPr>
            <w:webHidden/>
          </w:rPr>
          <w:fldChar w:fldCharType="begin"/>
        </w:r>
        <w:r w:rsidR="00067CE9" w:rsidRPr="00067CE9">
          <w:rPr>
            <w:webHidden/>
          </w:rPr>
          <w:instrText xml:space="preserve"> PAGEREF _Toc73045596 \h </w:instrText>
        </w:r>
        <w:r w:rsidR="00067CE9" w:rsidRPr="00067CE9">
          <w:rPr>
            <w:webHidden/>
          </w:rPr>
        </w:r>
        <w:r w:rsidR="00067CE9" w:rsidRPr="00067CE9">
          <w:rPr>
            <w:webHidden/>
          </w:rPr>
          <w:fldChar w:fldCharType="separate"/>
        </w:r>
        <w:r w:rsidR="00067CE9" w:rsidRPr="00067CE9">
          <w:rPr>
            <w:webHidden/>
          </w:rPr>
          <w:t>18</w:t>
        </w:r>
        <w:r w:rsidR="00067CE9" w:rsidRPr="00067CE9">
          <w:rPr>
            <w:webHidden/>
          </w:rPr>
          <w:fldChar w:fldCharType="end"/>
        </w:r>
      </w:hyperlink>
    </w:p>
    <w:p w14:paraId="1311AF10" w14:textId="1FA55782" w:rsidR="00067CE9" w:rsidRPr="00067CE9" w:rsidRDefault="00877370">
      <w:pPr>
        <w:pStyle w:val="TOC3"/>
        <w:rPr>
          <w:rFonts w:asciiTheme="minorHAnsi" w:eastAsiaTheme="minorEastAsia" w:hAnsiTheme="minorHAnsi" w:cstheme="minorBidi"/>
          <w:b w:val="0"/>
          <w:color w:val="auto"/>
          <w:lang w:val="en-AU" w:eastAsia="en-GB"/>
        </w:rPr>
      </w:pPr>
      <w:hyperlink w:anchor="_Toc73045597" w:history="1">
        <w:r w:rsidR="00067CE9" w:rsidRPr="00067CE9">
          <w:rPr>
            <w:rStyle w:val="Hyperlink"/>
          </w:rPr>
          <w:t>1.6.6</w:t>
        </w:r>
        <w:r w:rsidR="00067CE9" w:rsidRPr="00067CE9">
          <w:rPr>
            <w:rFonts w:asciiTheme="minorHAnsi" w:eastAsiaTheme="minorEastAsia" w:hAnsiTheme="minorHAnsi" w:cstheme="minorBidi"/>
            <w:b w:val="0"/>
            <w:color w:val="auto"/>
            <w:lang w:val="en-AU" w:eastAsia="en-GB"/>
          </w:rPr>
          <w:tab/>
        </w:r>
        <w:r w:rsidR="00067CE9" w:rsidRPr="00067CE9">
          <w:rPr>
            <w:rStyle w:val="Hyperlink"/>
          </w:rPr>
          <w:t>Published studies of CFC-11 bank and emissions estimates</w:t>
        </w:r>
        <w:r w:rsidR="00067CE9" w:rsidRPr="00067CE9">
          <w:rPr>
            <w:webHidden/>
          </w:rPr>
          <w:tab/>
        </w:r>
        <w:r w:rsidR="00067CE9" w:rsidRPr="00067CE9">
          <w:rPr>
            <w:webHidden/>
          </w:rPr>
          <w:fldChar w:fldCharType="begin"/>
        </w:r>
        <w:r w:rsidR="00067CE9" w:rsidRPr="00067CE9">
          <w:rPr>
            <w:webHidden/>
          </w:rPr>
          <w:instrText xml:space="preserve"> PAGEREF _Toc73045597 \h </w:instrText>
        </w:r>
        <w:r w:rsidR="00067CE9" w:rsidRPr="00067CE9">
          <w:rPr>
            <w:webHidden/>
          </w:rPr>
        </w:r>
        <w:r w:rsidR="00067CE9" w:rsidRPr="00067CE9">
          <w:rPr>
            <w:webHidden/>
          </w:rPr>
          <w:fldChar w:fldCharType="separate"/>
        </w:r>
        <w:r w:rsidR="00067CE9" w:rsidRPr="00067CE9">
          <w:rPr>
            <w:webHidden/>
          </w:rPr>
          <w:t>19</w:t>
        </w:r>
        <w:r w:rsidR="00067CE9" w:rsidRPr="00067CE9">
          <w:rPr>
            <w:webHidden/>
          </w:rPr>
          <w:fldChar w:fldCharType="end"/>
        </w:r>
      </w:hyperlink>
    </w:p>
    <w:p w14:paraId="2875B8CE" w14:textId="30C69E2F" w:rsidR="00067CE9" w:rsidRPr="00067CE9" w:rsidRDefault="00877370">
      <w:pPr>
        <w:pStyle w:val="TOC1"/>
        <w:rPr>
          <w:rFonts w:asciiTheme="minorHAnsi" w:eastAsiaTheme="minorEastAsia" w:hAnsiTheme="minorHAnsi" w:cstheme="minorBidi"/>
          <w:b w:val="0"/>
          <w:bCs w:val="0"/>
          <w:caps w:val="0"/>
          <w:color w:val="auto"/>
          <w:sz w:val="20"/>
          <w:szCs w:val="20"/>
          <w:lang w:val="en-AU" w:eastAsia="en-GB"/>
        </w:rPr>
      </w:pPr>
      <w:hyperlink w:anchor="_Toc73045598" w:history="1">
        <w:r w:rsidR="00067CE9" w:rsidRPr="00067CE9">
          <w:rPr>
            <w:rStyle w:val="Hyperlink"/>
            <w:sz w:val="20"/>
            <w:szCs w:val="20"/>
          </w:rPr>
          <w:t>2</w:t>
        </w:r>
        <w:r w:rsidR="00067CE9" w:rsidRPr="00067CE9">
          <w:rPr>
            <w:rFonts w:asciiTheme="minorHAnsi" w:eastAsiaTheme="minorEastAsia" w:hAnsiTheme="minorHAnsi" w:cstheme="minorBidi"/>
            <w:b w:val="0"/>
            <w:bCs w:val="0"/>
            <w:caps w:val="0"/>
            <w:color w:val="auto"/>
            <w:sz w:val="20"/>
            <w:szCs w:val="20"/>
            <w:lang w:val="en-AU" w:eastAsia="en-GB"/>
          </w:rPr>
          <w:tab/>
        </w:r>
        <w:r w:rsidR="00067CE9" w:rsidRPr="00067CE9">
          <w:rPr>
            <w:rStyle w:val="Hyperlink"/>
            <w:sz w:val="20"/>
            <w:szCs w:val="20"/>
          </w:rPr>
          <w:t>Updated Task Force modelling of CFC-11 emissions and banks</w:t>
        </w:r>
        <w:r w:rsidR="00067CE9" w:rsidRPr="00067CE9">
          <w:rPr>
            <w:webHidden/>
            <w:sz w:val="20"/>
            <w:szCs w:val="20"/>
          </w:rPr>
          <w:tab/>
        </w:r>
        <w:r w:rsidR="00067CE9" w:rsidRPr="00067CE9">
          <w:rPr>
            <w:webHidden/>
            <w:sz w:val="20"/>
            <w:szCs w:val="20"/>
          </w:rPr>
          <w:fldChar w:fldCharType="begin"/>
        </w:r>
        <w:r w:rsidR="00067CE9" w:rsidRPr="00067CE9">
          <w:rPr>
            <w:webHidden/>
            <w:sz w:val="20"/>
            <w:szCs w:val="20"/>
          </w:rPr>
          <w:instrText xml:space="preserve"> PAGEREF _Toc73045598 \h </w:instrText>
        </w:r>
        <w:r w:rsidR="00067CE9" w:rsidRPr="00067CE9">
          <w:rPr>
            <w:webHidden/>
            <w:sz w:val="20"/>
            <w:szCs w:val="20"/>
          </w:rPr>
        </w:r>
        <w:r w:rsidR="00067CE9" w:rsidRPr="00067CE9">
          <w:rPr>
            <w:webHidden/>
            <w:sz w:val="20"/>
            <w:szCs w:val="20"/>
          </w:rPr>
          <w:fldChar w:fldCharType="separate"/>
        </w:r>
        <w:r w:rsidR="00067CE9" w:rsidRPr="00067CE9">
          <w:rPr>
            <w:webHidden/>
            <w:sz w:val="20"/>
            <w:szCs w:val="20"/>
          </w:rPr>
          <w:t>21</w:t>
        </w:r>
        <w:r w:rsidR="00067CE9" w:rsidRPr="00067CE9">
          <w:rPr>
            <w:webHidden/>
            <w:sz w:val="20"/>
            <w:szCs w:val="20"/>
          </w:rPr>
          <w:fldChar w:fldCharType="end"/>
        </w:r>
      </w:hyperlink>
    </w:p>
    <w:p w14:paraId="473F7D53" w14:textId="3B03FA3A" w:rsidR="00067CE9" w:rsidRPr="00067CE9" w:rsidRDefault="00877370">
      <w:pPr>
        <w:pStyle w:val="TOC2"/>
        <w:rPr>
          <w:rFonts w:asciiTheme="minorHAnsi" w:eastAsiaTheme="minorEastAsia" w:hAnsiTheme="minorHAnsi" w:cstheme="minorBidi"/>
          <w:b w:val="0"/>
          <w:bCs w:val="0"/>
          <w:color w:val="auto"/>
          <w:lang w:val="en-AU" w:eastAsia="en-GB"/>
        </w:rPr>
      </w:pPr>
      <w:hyperlink w:anchor="_Toc73045599" w:history="1">
        <w:r w:rsidR="00067CE9" w:rsidRPr="00067CE9">
          <w:rPr>
            <w:rStyle w:val="Hyperlink"/>
          </w:rPr>
          <w:t>2.1</w:t>
        </w:r>
        <w:r w:rsidR="00067CE9" w:rsidRPr="00067CE9">
          <w:rPr>
            <w:rFonts w:asciiTheme="minorHAnsi" w:eastAsiaTheme="minorEastAsia" w:hAnsiTheme="minorHAnsi" w:cstheme="minorBidi"/>
            <w:b w:val="0"/>
            <w:bCs w:val="0"/>
            <w:color w:val="auto"/>
            <w:lang w:val="en-AU" w:eastAsia="en-GB"/>
          </w:rPr>
          <w:tab/>
        </w:r>
        <w:r w:rsidR="00067CE9" w:rsidRPr="00067CE9">
          <w:rPr>
            <w:rStyle w:val="Hyperlink"/>
          </w:rPr>
          <w:t>Summary of inventory-based model</w:t>
        </w:r>
        <w:r w:rsidR="00067CE9" w:rsidRPr="00067CE9">
          <w:rPr>
            <w:webHidden/>
          </w:rPr>
          <w:tab/>
        </w:r>
        <w:r w:rsidR="00067CE9" w:rsidRPr="00067CE9">
          <w:rPr>
            <w:webHidden/>
          </w:rPr>
          <w:fldChar w:fldCharType="begin"/>
        </w:r>
        <w:r w:rsidR="00067CE9" w:rsidRPr="00067CE9">
          <w:rPr>
            <w:webHidden/>
          </w:rPr>
          <w:instrText xml:space="preserve"> PAGEREF _Toc73045599 \h </w:instrText>
        </w:r>
        <w:r w:rsidR="00067CE9" w:rsidRPr="00067CE9">
          <w:rPr>
            <w:webHidden/>
          </w:rPr>
        </w:r>
        <w:r w:rsidR="00067CE9" w:rsidRPr="00067CE9">
          <w:rPr>
            <w:webHidden/>
          </w:rPr>
          <w:fldChar w:fldCharType="separate"/>
        </w:r>
        <w:r w:rsidR="00067CE9" w:rsidRPr="00067CE9">
          <w:rPr>
            <w:webHidden/>
          </w:rPr>
          <w:t>21</w:t>
        </w:r>
        <w:r w:rsidR="00067CE9" w:rsidRPr="00067CE9">
          <w:rPr>
            <w:webHidden/>
          </w:rPr>
          <w:fldChar w:fldCharType="end"/>
        </w:r>
      </w:hyperlink>
    </w:p>
    <w:p w14:paraId="69B7B7EF" w14:textId="72D0C307" w:rsidR="00067CE9" w:rsidRPr="00067CE9" w:rsidRDefault="00877370">
      <w:pPr>
        <w:pStyle w:val="TOC2"/>
        <w:rPr>
          <w:rFonts w:asciiTheme="minorHAnsi" w:eastAsiaTheme="minorEastAsia" w:hAnsiTheme="minorHAnsi" w:cstheme="minorBidi"/>
          <w:b w:val="0"/>
          <w:bCs w:val="0"/>
          <w:color w:val="auto"/>
          <w:lang w:val="en-AU" w:eastAsia="en-GB"/>
        </w:rPr>
      </w:pPr>
      <w:hyperlink w:anchor="_Toc73045600" w:history="1">
        <w:r w:rsidR="00067CE9" w:rsidRPr="00067CE9">
          <w:rPr>
            <w:rStyle w:val="Hyperlink"/>
          </w:rPr>
          <w:t>2.2</w:t>
        </w:r>
        <w:r w:rsidR="00067CE9" w:rsidRPr="00067CE9">
          <w:rPr>
            <w:rFonts w:asciiTheme="minorHAnsi" w:eastAsiaTheme="minorEastAsia" w:hAnsiTheme="minorHAnsi" w:cstheme="minorBidi"/>
            <w:b w:val="0"/>
            <w:bCs w:val="0"/>
            <w:color w:val="auto"/>
            <w:lang w:val="en-AU" w:eastAsia="en-GB"/>
          </w:rPr>
          <w:tab/>
        </w:r>
        <w:r w:rsidR="00067CE9" w:rsidRPr="00067CE9">
          <w:rPr>
            <w:rStyle w:val="Hyperlink"/>
          </w:rPr>
          <w:t>Inventory-based model methodology</w:t>
        </w:r>
        <w:r w:rsidR="00067CE9" w:rsidRPr="00067CE9">
          <w:rPr>
            <w:webHidden/>
          </w:rPr>
          <w:tab/>
        </w:r>
        <w:r w:rsidR="00067CE9" w:rsidRPr="00067CE9">
          <w:rPr>
            <w:webHidden/>
          </w:rPr>
          <w:fldChar w:fldCharType="begin"/>
        </w:r>
        <w:r w:rsidR="00067CE9" w:rsidRPr="00067CE9">
          <w:rPr>
            <w:webHidden/>
          </w:rPr>
          <w:instrText xml:space="preserve"> PAGEREF _Toc73045600 \h </w:instrText>
        </w:r>
        <w:r w:rsidR="00067CE9" w:rsidRPr="00067CE9">
          <w:rPr>
            <w:webHidden/>
          </w:rPr>
        </w:r>
        <w:r w:rsidR="00067CE9" w:rsidRPr="00067CE9">
          <w:rPr>
            <w:webHidden/>
          </w:rPr>
          <w:fldChar w:fldCharType="separate"/>
        </w:r>
        <w:r w:rsidR="00067CE9" w:rsidRPr="00067CE9">
          <w:rPr>
            <w:webHidden/>
          </w:rPr>
          <w:t>21</w:t>
        </w:r>
        <w:r w:rsidR="00067CE9" w:rsidRPr="00067CE9">
          <w:rPr>
            <w:webHidden/>
          </w:rPr>
          <w:fldChar w:fldCharType="end"/>
        </w:r>
      </w:hyperlink>
    </w:p>
    <w:p w14:paraId="48184369" w14:textId="4F90A824" w:rsidR="00067CE9" w:rsidRPr="00067CE9" w:rsidRDefault="00877370">
      <w:pPr>
        <w:pStyle w:val="TOC2"/>
        <w:rPr>
          <w:rFonts w:asciiTheme="minorHAnsi" w:eastAsiaTheme="minorEastAsia" w:hAnsiTheme="minorHAnsi" w:cstheme="minorBidi"/>
          <w:b w:val="0"/>
          <w:bCs w:val="0"/>
          <w:color w:val="auto"/>
          <w:lang w:val="en-AU" w:eastAsia="en-GB"/>
        </w:rPr>
      </w:pPr>
      <w:hyperlink w:anchor="_Toc73045601" w:history="1">
        <w:r w:rsidR="00067CE9" w:rsidRPr="00067CE9">
          <w:rPr>
            <w:rStyle w:val="Hyperlink"/>
          </w:rPr>
          <w:t>2.3</w:t>
        </w:r>
        <w:r w:rsidR="00067CE9" w:rsidRPr="00067CE9">
          <w:rPr>
            <w:rFonts w:asciiTheme="minorHAnsi" w:eastAsiaTheme="minorEastAsia" w:hAnsiTheme="minorHAnsi" w:cstheme="minorBidi"/>
            <w:b w:val="0"/>
            <w:bCs w:val="0"/>
            <w:color w:val="auto"/>
            <w:lang w:val="en-AU" w:eastAsia="en-GB"/>
          </w:rPr>
          <w:tab/>
        </w:r>
        <w:r w:rsidR="00067CE9" w:rsidRPr="00067CE9">
          <w:rPr>
            <w:rStyle w:val="Hyperlink"/>
          </w:rPr>
          <w:t>Model assumptions for CFC-11 market sectors and production</w:t>
        </w:r>
        <w:r w:rsidR="00067CE9" w:rsidRPr="00067CE9">
          <w:rPr>
            <w:webHidden/>
          </w:rPr>
          <w:tab/>
        </w:r>
        <w:r w:rsidR="00067CE9" w:rsidRPr="00067CE9">
          <w:rPr>
            <w:webHidden/>
          </w:rPr>
          <w:fldChar w:fldCharType="begin"/>
        </w:r>
        <w:r w:rsidR="00067CE9" w:rsidRPr="00067CE9">
          <w:rPr>
            <w:webHidden/>
          </w:rPr>
          <w:instrText xml:space="preserve"> PAGEREF _Toc73045601 \h </w:instrText>
        </w:r>
        <w:r w:rsidR="00067CE9" w:rsidRPr="00067CE9">
          <w:rPr>
            <w:webHidden/>
          </w:rPr>
        </w:r>
        <w:r w:rsidR="00067CE9" w:rsidRPr="00067CE9">
          <w:rPr>
            <w:webHidden/>
          </w:rPr>
          <w:fldChar w:fldCharType="separate"/>
        </w:r>
        <w:r w:rsidR="00067CE9" w:rsidRPr="00067CE9">
          <w:rPr>
            <w:webHidden/>
          </w:rPr>
          <w:t>22</w:t>
        </w:r>
        <w:r w:rsidR="00067CE9" w:rsidRPr="00067CE9">
          <w:rPr>
            <w:webHidden/>
          </w:rPr>
          <w:fldChar w:fldCharType="end"/>
        </w:r>
      </w:hyperlink>
    </w:p>
    <w:p w14:paraId="65DEE916" w14:textId="5C9FF1EA" w:rsidR="00067CE9" w:rsidRPr="00067CE9" w:rsidRDefault="00877370">
      <w:pPr>
        <w:pStyle w:val="TOC3"/>
        <w:rPr>
          <w:rFonts w:asciiTheme="minorHAnsi" w:eastAsiaTheme="minorEastAsia" w:hAnsiTheme="minorHAnsi" w:cstheme="minorBidi"/>
          <w:b w:val="0"/>
          <w:color w:val="auto"/>
          <w:lang w:val="en-AU" w:eastAsia="en-GB"/>
        </w:rPr>
      </w:pPr>
      <w:hyperlink w:anchor="_Toc73045602" w:history="1">
        <w:r w:rsidR="00067CE9" w:rsidRPr="00067CE9">
          <w:rPr>
            <w:rStyle w:val="Hyperlink"/>
          </w:rPr>
          <w:t>2.3.1</w:t>
        </w:r>
        <w:r w:rsidR="00067CE9" w:rsidRPr="00067CE9">
          <w:rPr>
            <w:rFonts w:asciiTheme="minorHAnsi" w:eastAsiaTheme="minorEastAsia" w:hAnsiTheme="minorHAnsi" w:cstheme="minorBidi"/>
            <w:b w:val="0"/>
            <w:color w:val="auto"/>
            <w:lang w:val="en-AU" w:eastAsia="en-GB"/>
          </w:rPr>
          <w:tab/>
        </w:r>
        <w:r w:rsidR="00067CE9" w:rsidRPr="00067CE9">
          <w:rPr>
            <w:rStyle w:val="Hyperlink"/>
          </w:rPr>
          <w:t>Centrifugal chillers</w:t>
        </w:r>
        <w:r w:rsidR="00067CE9" w:rsidRPr="00067CE9">
          <w:rPr>
            <w:webHidden/>
          </w:rPr>
          <w:tab/>
        </w:r>
        <w:r w:rsidR="00067CE9" w:rsidRPr="00067CE9">
          <w:rPr>
            <w:webHidden/>
          </w:rPr>
          <w:fldChar w:fldCharType="begin"/>
        </w:r>
        <w:r w:rsidR="00067CE9" w:rsidRPr="00067CE9">
          <w:rPr>
            <w:webHidden/>
          </w:rPr>
          <w:instrText xml:space="preserve"> PAGEREF _Toc73045602 \h </w:instrText>
        </w:r>
        <w:r w:rsidR="00067CE9" w:rsidRPr="00067CE9">
          <w:rPr>
            <w:webHidden/>
          </w:rPr>
        </w:r>
        <w:r w:rsidR="00067CE9" w:rsidRPr="00067CE9">
          <w:rPr>
            <w:webHidden/>
          </w:rPr>
          <w:fldChar w:fldCharType="separate"/>
        </w:r>
        <w:r w:rsidR="00067CE9" w:rsidRPr="00067CE9">
          <w:rPr>
            <w:webHidden/>
          </w:rPr>
          <w:t>23</w:t>
        </w:r>
        <w:r w:rsidR="00067CE9" w:rsidRPr="00067CE9">
          <w:rPr>
            <w:webHidden/>
          </w:rPr>
          <w:fldChar w:fldCharType="end"/>
        </w:r>
      </w:hyperlink>
    </w:p>
    <w:p w14:paraId="33A0D7F2" w14:textId="493B6ED2" w:rsidR="00067CE9" w:rsidRPr="00067CE9" w:rsidRDefault="00877370">
      <w:pPr>
        <w:pStyle w:val="TOC3"/>
        <w:rPr>
          <w:rFonts w:asciiTheme="minorHAnsi" w:eastAsiaTheme="minorEastAsia" w:hAnsiTheme="minorHAnsi" w:cstheme="minorBidi"/>
          <w:b w:val="0"/>
          <w:color w:val="auto"/>
          <w:lang w:val="en-AU" w:eastAsia="en-GB"/>
        </w:rPr>
      </w:pPr>
      <w:hyperlink w:anchor="_Toc73045603" w:history="1">
        <w:r w:rsidR="00067CE9" w:rsidRPr="00067CE9">
          <w:rPr>
            <w:rStyle w:val="Hyperlink"/>
          </w:rPr>
          <w:t>2.3.2</w:t>
        </w:r>
        <w:r w:rsidR="00067CE9" w:rsidRPr="00067CE9">
          <w:rPr>
            <w:rFonts w:asciiTheme="minorHAnsi" w:eastAsiaTheme="minorEastAsia" w:hAnsiTheme="minorHAnsi" w:cstheme="minorBidi"/>
            <w:b w:val="0"/>
            <w:color w:val="auto"/>
            <w:lang w:val="en-AU" w:eastAsia="en-GB"/>
          </w:rPr>
          <w:tab/>
        </w:r>
        <w:r w:rsidR="00067CE9" w:rsidRPr="00067CE9">
          <w:rPr>
            <w:rStyle w:val="Hyperlink"/>
          </w:rPr>
          <w:t>Closed-cell foams</w:t>
        </w:r>
        <w:r w:rsidR="00067CE9" w:rsidRPr="00067CE9">
          <w:rPr>
            <w:webHidden/>
          </w:rPr>
          <w:tab/>
        </w:r>
        <w:r w:rsidR="00067CE9" w:rsidRPr="00067CE9">
          <w:rPr>
            <w:webHidden/>
          </w:rPr>
          <w:fldChar w:fldCharType="begin"/>
        </w:r>
        <w:r w:rsidR="00067CE9" w:rsidRPr="00067CE9">
          <w:rPr>
            <w:webHidden/>
          </w:rPr>
          <w:instrText xml:space="preserve"> PAGEREF _Toc73045603 \h </w:instrText>
        </w:r>
        <w:r w:rsidR="00067CE9" w:rsidRPr="00067CE9">
          <w:rPr>
            <w:webHidden/>
          </w:rPr>
        </w:r>
        <w:r w:rsidR="00067CE9" w:rsidRPr="00067CE9">
          <w:rPr>
            <w:webHidden/>
          </w:rPr>
          <w:fldChar w:fldCharType="separate"/>
        </w:r>
        <w:r w:rsidR="00067CE9" w:rsidRPr="00067CE9">
          <w:rPr>
            <w:webHidden/>
          </w:rPr>
          <w:t>25</w:t>
        </w:r>
        <w:r w:rsidR="00067CE9" w:rsidRPr="00067CE9">
          <w:rPr>
            <w:webHidden/>
          </w:rPr>
          <w:fldChar w:fldCharType="end"/>
        </w:r>
      </w:hyperlink>
    </w:p>
    <w:p w14:paraId="3C89286B" w14:textId="1165948E" w:rsidR="00067CE9" w:rsidRPr="00067CE9" w:rsidRDefault="00877370">
      <w:pPr>
        <w:pStyle w:val="TOC3"/>
        <w:rPr>
          <w:rFonts w:asciiTheme="minorHAnsi" w:eastAsiaTheme="minorEastAsia" w:hAnsiTheme="minorHAnsi" w:cstheme="minorBidi"/>
          <w:b w:val="0"/>
          <w:color w:val="auto"/>
          <w:lang w:val="en-AU" w:eastAsia="en-GB"/>
        </w:rPr>
      </w:pPr>
      <w:hyperlink w:anchor="_Toc73045604" w:history="1">
        <w:r w:rsidR="00067CE9" w:rsidRPr="00067CE9">
          <w:rPr>
            <w:rStyle w:val="Hyperlink"/>
          </w:rPr>
          <w:t>2.3.3</w:t>
        </w:r>
        <w:r w:rsidR="00067CE9" w:rsidRPr="00067CE9">
          <w:rPr>
            <w:rFonts w:asciiTheme="minorHAnsi" w:eastAsiaTheme="minorEastAsia" w:hAnsiTheme="minorHAnsi" w:cstheme="minorBidi"/>
            <w:b w:val="0"/>
            <w:color w:val="auto"/>
            <w:lang w:val="en-AU" w:eastAsia="en-GB"/>
          </w:rPr>
          <w:tab/>
        </w:r>
        <w:r w:rsidR="00067CE9" w:rsidRPr="00067CE9">
          <w:rPr>
            <w:rStyle w:val="Hyperlink"/>
          </w:rPr>
          <w:t>Emissive uses (aerosols, open-cell foams, tobacco expansion)</w:t>
        </w:r>
        <w:r w:rsidR="00067CE9" w:rsidRPr="00067CE9">
          <w:rPr>
            <w:webHidden/>
          </w:rPr>
          <w:tab/>
        </w:r>
        <w:r w:rsidR="00067CE9" w:rsidRPr="00067CE9">
          <w:rPr>
            <w:webHidden/>
          </w:rPr>
          <w:fldChar w:fldCharType="begin"/>
        </w:r>
        <w:r w:rsidR="00067CE9" w:rsidRPr="00067CE9">
          <w:rPr>
            <w:webHidden/>
          </w:rPr>
          <w:instrText xml:space="preserve"> PAGEREF _Toc73045604 \h </w:instrText>
        </w:r>
        <w:r w:rsidR="00067CE9" w:rsidRPr="00067CE9">
          <w:rPr>
            <w:webHidden/>
          </w:rPr>
        </w:r>
        <w:r w:rsidR="00067CE9" w:rsidRPr="00067CE9">
          <w:rPr>
            <w:webHidden/>
          </w:rPr>
          <w:fldChar w:fldCharType="separate"/>
        </w:r>
        <w:r w:rsidR="00067CE9" w:rsidRPr="00067CE9">
          <w:rPr>
            <w:webHidden/>
          </w:rPr>
          <w:t>26</w:t>
        </w:r>
        <w:r w:rsidR="00067CE9" w:rsidRPr="00067CE9">
          <w:rPr>
            <w:webHidden/>
          </w:rPr>
          <w:fldChar w:fldCharType="end"/>
        </w:r>
      </w:hyperlink>
    </w:p>
    <w:p w14:paraId="74E071FA" w14:textId="47404D65" w:rsidR="00067CE9" w:rsidRPr="00067CE9" w:rsidRDefault="00877370">
      <w:pPr>
        <w:pStyle w:val="TOC3"/>
        <w:rPr>
          <w:rFonts w:asciiTheme="minorHAnsi" w:eastAsiaTheme="minorEastAsia" w:hAnsiTheme="minorHAnsi" w:cstheme="minorBidi"/>
          <w:b w:val="0"/>
          <w:color w:val="auto"/>
          <w:lang w:val="en-AU" w:eastAsia="en-GB"/>
        </w:rPr>
      </w:pPr>
      <w:hyperlink w:anchor="_Toc73045605" w:history="1">
        <w:r w:rsidR="00067CE9" w:rsidRPr="00067CE9">
          <w:rPr>
            <w:rStyle w:val="Hyperlink"/>
          </w:rPr>
          <w:t>2.3.4</w:t>
        </w:r>
        <w:r w:rsidR="00067CE9" w:rsidRPr="00067CE9">
          <w:rPr>
            <w:rFonts w:asciiTheme="minorHAnsi" w:eastAsiaTheme="minorEastAsia" w:hAnsiTheme="minorHAnsi" w:cstheme="minorBidi"/>
            <w:b w:val="0"/>
            <w:color w:val="auto"/>
            <w:lang w:val="en-AU" w:eastAsia="en-GB"/>
          </w:rPr>
          <w:tab/>
        </w:r>
        <w:r w:rsidR="00067CE9" w:rsidRPr="00067CE9">
          <w:rPr>
            <w:rStyle w:val="Hyperlink"/>
          </w:rPr>
          <w:t>CFC-11 production</w:t>
        </w:r>
        <w:r w:rsidR="00067CE9" w:rsidRPr="00067CE9">
          <w:rPr>
            <w:webHidden/>
          </w:rPr>
          <w:tab/>
        </w:r>
        <w:r w:rsidR="00067CE9" w:rsidRPr="00067CE9">
          <w:rPr>
            <w:webHidden/>
          </w:rPr>
          <w:fldChar w:fldCharType="begin"/>
        </w:r>
        <w:r w:rsidR="00067CE9" w:rsidRPr="00067CE9">
          <w:rPr>
            <w:webHidden/>
          </w:rPr>
          <w:instrText xml:space="preserve"> PAGEREF _Toc73045605 \h </w:instrText>
        </w:r>
        <w:r w:rsidR="00067CE9" w:rsidRPr="00067CE9">
          <w:rPr>
            <w:webHidden/>
          </w:rPr>
        </w:r>
        <w:r w:rsidR="00067CE9" w:rsidRPr="00067CE9">
          <w:rPr>
            <w:webHidden/>
          </w:rPr>
          <w:fldChar w:fldCharType="separate"/>
        </w:r>
        <w:r w:rsidR="00067CE9" w:rsidRPr="00067CE9">
          <w:rPr>
            <w:webHidden/>
          </w:rPr>
          <w:t>26</w:t>
        </w:r>
        <w:r w:rsidR="00067CE9" w:rsidRPr="00067CE9">
          <w:rPr>
            <w:webHidden/>
          </w:rPr>
          <w:fldChar w:fldCharType="end"/>
        </w:r>
      </w:hyperlink>
    </w:p>
    <w:p w14:paraId="61816D3E" w14:textId="33EF4DE5" w:rsidR="00067CE9" w:rsidRPr="00067CE9" w:rsidRDefault="00877370">
      <w:pPr>
        <w:pStyle w:val="TOC2"/>
        <w:rPr>
          <w:rFonts w:asciiTheme="minorHAnsi" w:eastAsiaTheme="minorEastAsia" w:hAnsiTheme="minorHAnsi" w:cstheme="minorBidi"/>
          <w:b w:val="0"/>
          <w:bCs w:val="0"/>
          <w:color w:val="auto"/>
          <w:lang w:val="en-AU" w:eastAsia="en-GB"/>
        </w:rPr>
      </w:pPr>
      <w:hyperlink w:anchor="_Toc73045606" w:history="1">
        <w:r w:rsidR="00067CE9" w:rsidRPr="00067CE9">
          <w:rPr>
            <w:rStyle w:val="Hyperlink"/>
          </w:rPr>
          <w:t>2.4</w:t>
        </w:r>
        <w:r w:rsidR="00067CE9" w:rsidRPr="00067CE9">
          <w:rPr>
            <w:rFonts w:asciiTheme="minorHAnsi" w:eastAsiaTheme="minorEastAsia" w:hAnsiTheme="minorHAnsi" w:cstheme="minorBidi"/>
            <w:b w:val="0"/>
            <w:bCs w:val="0"/>
            <w:color w:val="auto"/>
            <w:lang w:val="en-AU" w:eastAsia="en-GB"/>
          </w:rPr>
          <w:tab/>
        </w:r>
        <w:r w:rsidR="00067CE9" w:rsidRPr="00067CE9">
          <w:rPr>
            <w:rStyle w:val="Hyperlink"/>
          </w:rPr>
          <w:t>CFC-11 emissions and banks based on the updated methodology</w:t>
        </w:r>
        <w:r w:rsidR="00067CE9" w:rsidRPr="00067CE9">
          <w:rPr>
            <w:webHidden/>
          </w:rPr>
          <w:tab/>
        </w:r>
        <w:r w:rsidR="00067CE9" w:rsidRPr="00067CE9">
          <w:rPr>
            <w:webHidden/>
          </w:rPr>
          <w:fldChar w:fldCharType="begin"/>
        </w:r>
        <w:r w:rsidR="00067CE9" w:rsidRPr="00067CE9">
          <w:rPr>
            <w:webHidden/>
          </w:rPr>
          <w:instrText xml:space="preserve"> PAGEREF _Toc73045606 \h </w:instrText>
        </w:r>
        <w:r w:rsidR="00067CE9" w:rsidRPr="00067CE9">
          <w:rPr>
            <w:webHidden/>
          </w:rPr>
        </w:r>
        <w:r w:rsidR="00067CE9" w:rsidRPr="00067CE9">
          <w:rPr>
            <w:webHidden/>
          </w:rPr>
          <w:fldChar w:fldCharType="separate"/>
        </w:r>
        <w:r w:rsidR="00067CE9" w:rsidRPr="00067CE9">
          <w:rPr>
            <w:webHidden/>
          </w:rPr>
          <w:t>26</w:t>
        </w:r>
        <w:r w:rsidR="00067CE9" w:rsidRPr="00067CE9">
          <w:rPr>
            <w:webHidden/>
          </w:rPr>
          <w:fldChar w:fldCharType="end"/>
        </w:r>
      </w:hyperlink>
    </w:p>
    <w:p w14:paraId="3D48D33E" w14:textId="65541D43" w:rsidR="00067CE9" w:rsidRPr="00067CE9" w:rsidRDefault="00877370">
      <w:pPr>
        <w:pStyle w:val="TOC2"/>
        <w:rPr>
          <w:rFonts w:asciiTheme="minorHAnsi" w:eastAsiaTheme="minorEastAsia" w:hAnsiTheme="minorHAnsi" w:cstheme="minorBidi"/>
          <w:b w:val="0"/>
          <w:bCs w:val="0"/>
          <w:color w:val="auto"/>
          <w:lang w:val="en-AU" w:eastAsia="en-GB"/>
        </w:rPr>
      </w:pPr>
      <w:hyperlink w:anchor="_Toc73045607" w:history="1">
        <w:r w:rsidR="00067CE9" w:rsidRPr="00067CE9">
          <w:rPr>
            <w:rStyle w:val="Hyperlink"/>
          </w:rPr>
          <w:t>2.5</w:t>
        </w:r>
        <w:r w:rsidR="00067CE9" w:rsidRPr="00067CE9">
          <w:rPr>
            <w:rFonts w:asciiTheme="minorHAnsi" w:eastAsiaTheme="minorEastAsia" w:hAnsiTheme="minorHAnsi" w:cstheme="minorBidi"/>
            <w:b w:val="0"/>
            <w:bCs w:val="0"/>
            <w:color w:val="auto"/>
            <w:lang w:val="en-AU" w:eastAsia="en-GB"/>
          </w:rPr>
          <w:tab/>
        </w:r>
        <w:r w:rsidR="00067CE9" w:rsidRPr="00067CE9">
          <w:rPr>
            <w:rStyle w:val="Hyperlink"/>
          </w:rPr>
          <w:t>Analysis of CFC-11 foam banks by geographic location and foam type</w:t>
        </w:r>
        <w:r w:rsidR="00067CE9" w:rsidRPr="00067CE9">
          <w:rPr>
            <w:webHidden/>
          </w:rPr>
          <w:tab/>
        </w:r>
        <w:r w:rsidR="00067CE9" w:rsidRPr="00067CE9">
          <w:rPr>
            <w:webHidden/>
          </w:rPr>
          <w:fldChar w:fldCharType="begin"/>
        </w:r>
        <w:r w:rsidR="00067CE9" w:rsidRPr="00067CE9">
          <w:rPr>
            <w:webHidden/>
          </w:rPr>
          <w:instrText xml:space="preserve"> PAGEREF _Toc73045607 \h </w:instrText>
        </w:r>
        <w:r w:rsidR="00067CE9" w:rsidRPr="00067CE9">
          <w:rPr>
            <w:webHidden/>
          </w:rPr>
        </w:r>
        <w:r w:rsidR="00067CE9" w:rsidRPr="00067CE9">
          <w:rPr>
            <w:webHidden/>
          </w:rPr>
          <w:fldChar w:fldCharType="separate"/>
        </w:r>
        <w:r w:rsidR="00067CE9" w:rsidRPr="00067CE9">
          <w:rPr>
            <w:webHidden/>
          </w:rPr>
          <w:t>31</w:t>
        </w:r>
        <w:r w:rsidR="00067CE9" w:rsidRPr="00067CE9">
          <w:rPr>
            <w:webHidden/>
          </w:rPr>
          <w:fldChar w:fldCharType="end"/>
        </w:r>
      </w:hyperlink>
    </w:p>
    <w:p w14:paraId="2DDCC4B2" w14:textId="37B2CB9C" w:rsidR="00067CE9" w:rsidRPr="00067CE9" w:rsidRDefault="00877370">
      <w:pPr>
        <w:pStyle w:val="TOC3"/>
        <w:rPr>
          <w:rFonts w:asciiTheme="minorHAnsi" w:eastAsiaTheme="minorEastAsia" w:hAnsiTheme="minorHAnsi" w:cstheme="minorBidi"/>
          <w:b w:val="0"/>
          <w:color w:val="auto"/>
          <w:lang w:val="en-AU" w:eastAsia="en-GB"/>
        </w:rPr>
      </w:pPr>
      <w:hyperlink w:anchor="_Toc73045608" w:history="1">
        <w:r w:rsidR="00067CE9" w:rsidRPr="00067CE9">
          <w:rPr>
            <w:rStyle w:val="Hyperlink"/>
          </w:rPr>
          <w:t>2.5.1</w:t>
        </w:r>
        <w:r w:rsidR="00067CE9" w:rsidRPr="00067CE9">
          <w:rPr>
            <w:rFonts w:asciiTheme="minorHAnsi" w:eastAsiaTheme="minorEastAsia" w:hAnsiTheme="minorHAnsi" w:cstheme="minorBidi"/>
            <w:b w:val="0"/>
            <w:color w:val="auto"/>
            <w:lang w:val="en-AU" w:eastAsia="en-GB"/>
          </w:rPr>
          <w:tab/>
        </w:r>
        <w:r w:rsidR="00067CE9" w:rsidRPr="00067CE9">
          <w:rPr>
            <w:rStyle w:val="Hyperlink"/>
          </w:rPr>
          <w:t>Estimated global use of CFC-11 by foam type</w:t>
        </w:r>
        <w:r w:rsidR="00067CE9" w:rsidRPr="00067CE9">
          <w:rPr>
            <w:webHidden/>
          </w:rPr>
          <w:tab/>
        </w:r>
        <w:r w:rsidR="00067CE9" w:rsidRPr="00067CE9">
          <w:rPr>
            <w:webHidden/>
          </w:rPr>
          <w:fldChar w:fldCharType="begin"/>
        </w:r>
        <w:r w:rsidR="00067CE9" w:rsidRPr="00067CE9">
          <w:rPr>
            <w:webHidden/>
          </w:rPr>
          <w:instrText xml:space="preserve"> PAGEREF _Toc73045608 \h </w:instrText>
        </w:r>
        <w:r w:rsidR="00067CE9" w:rsidRPr="00067CE9">
          <w:rPr>
            <w:webHidden/>
          </w:rPr>
        </w:r>
        <w:r w:rsidR="00067CE9" w:rsidRPr="00067CE9">
          <w:rPr>
            <w:webHidden/>
          </w:rPr>
          <w:fldChar w:fldCharType="separate"/>
        </w:r>
        <w:r w:rsidR="00067CE9" w:rsidRPr="00067CE9">
          <w:rPr>
            <w:webHidden/>
          </w:rPr>
          <w:t>34</w:t>
        </w:r>
        <w:r w:rsidR="00067CE9" w:rsidRPr="00067CE9">
          <w:rPr>
            <w:webHidden/>
          </w:rPr>
          <w:fldChar w:fldCharType="end"/>
        </w:r>
      </w:hyperlink>
    </w:p>
    <w:p w14:paraId="0972ABF8" w14:textId="3D81086B" w:rsidR="00067CE9" w:rsidRPr="00067CE9" w:rsidRDefault="00877370">
      <w:pPr>
        <w:pStyle w:val="TOC1"/>
        <w:rPr>
          <w:rFonts w:asciiTheme="minorHAnsi" w:eastAsiaTheme="minorEastAsia" w:hAnsiTheme="minorHAnsi" w:cstheme="minorBidi"/>
          <w:b w:val="0"/>
          <w:bCs w:val="0"/>
          <w:caps w:val="0"/>
          <w:color w:val="auto"/>
          <w:sz w:val="20"/>
          <w:szCs w:val="20"/>
          <w:lang w:val="en-AU" w:eastAsia="en-GB"/>
        </w:rPr>
      </w:pPr>
      <w:hyperlink w:anchor="_Toc73045609" w:history="1">
        <w:r w:rsidR="00067CE9" w:rsidRPr="00067CE9">
          <w:rPr>
            <w:rStyle w:val="Hyperlink"/>
            <w:sz w:val="20"/>
            <w:szCs w:val="20"/>
          </w:rPr>
          <w:t>3</w:t>
        </w:r>
        <w:r w:rsidR="00067CE9" w:rsidRPr="00067CE9">
          <w:rPr>
            <w:rFonts w:asciiTheme="minorHAnsi" w:eastAsiaTheme="minorEastAsia" w:hAnsiTheme="minorHAnsi" w:cstheme="minorBidi"/>
            <w:b w:val="0"/>
            <w:bCs w:val="0"/>
            <w:caps w:val="0"/>
            <w:color w:val="auto"/>
            <w:sz w:val="20"/>
            <w:szCs w:val="20"/>
            <w:lang w:val="en-AU" w:eastAsia="en-GB"/>
          </w:rPr>
          <w:tab/>
        </w:r>
        <w:r w:rsidR="00067CE9" w:rsidRPr="00067CE9">
          <w:rPr>
            <w:rStyle w:val="Hyperlink"/>
            <w:sz w:val="20"/>
            <w:szCs w:val="20"/>
          </w:rPr>
          <w:t>CFC-11 production</w:t>
        </w:r>
        <w:r w:rsidR="00067CE9" w:rsidRPr="00067CE9">
          <w:rPr>
            <w:webHidden/>
            <w:sz w:val="20"/>
            <w:szCs w:val="20"/>
          </w:rPr>
          <w:tab/>
        </w:r>
        <w:r w:rsidR="00067CE9" w:rsidRPr="00067CE9">
          <w:rPr>
            <w:webHidden/>
            <w:sz w:val="20"/>
            <w:szCs w:val="20"/>
          </w:rPr>
          <w:fldChar w:fldCharType="begin"/>
        </w:r>
        <w:r w:rsidR="00067CE9" w:rsidRPr="00067CE9">
          <w:rPr>
            <w:webHidden/>
            <w:sz w:val="20"/>
            <w:szCs w:val="20"/>
          </w:rPr>
          <w:instrText xml:space="preserve"> PAGEREF _Toc73045609 \h </w:instrText>
        </w:r>
        <w:r w:rsidR="00067CE9" w:rsidRPr="00067CE9">
          <w:rPr>
            <w:webHidden/>
            <w:sz w:val="20"/>
            <w:szCs w:val="20"/>
          </w:rPr>
        </w:r>
        <w:r w:rsidR="00067CE9" w:rsidRPr="00067CE9">
          <w:rPr>
            <w:webHidden/>
            <w:sz w:val="20"/>
            <w:szCs w:val="20"/>
          </w:rPr>
          <w:fldChar w:fldCharType="separate"/>
        </w:r>
        <w:r w:rsidR="00067CE9" w:rsidRPr="00067CE9">
          <w:rPr>
            <w:webHidden/>
            <w:sz w:val="20"/>
            <w:szCs w:val="20"/>
          </w:rPr>
          <w:t>41</w:t>
        </w:r>
        <w:r w:rsidR="00067CE9" w:rsidRPr="00067CE9">
          <w:rPr>
            <w:webHidden/>
            <w:sz w:val="20"/>
            <w:szCs w:val="20"/>
          </w:rPr>
          <w:fldChar w:fldCharType="end"/>
        </w:r>
      </w:hyperlink>
    </w:p>
    <w:p w14:paraId="0F3C11A1" w14:textId="2B8DB4DD" w:rsidR="00067CE9" w:rsidRPr="00067CE9" w:rsidRDefault="00877370">
      <w:pPr>
        <w:pStyle w:val="TOC2"/>
        <w:rPr>
          <w:rFonts w:asciiTheme="minorHAnsi" w:eastAsiaTheme="minorEastAsia" w:hAnsiTheme="minorHAnsi" w:cstheme="minorBidi"/>
          <w:b w:val="0"/>
          <w:bCs w:val="0"/>
          <w:color w:val="auto"/>
          <w:lang w:val="en-AU" w:eastAsia="en-GB"/>
        </w:rPr>
      </w:pPr>
      <w:hyperlink w:anchor="_Toc73045610" w:history="1">
        <w:r w:rsidR="00067CE9" w:rsidRPr="00067CE9">
          <w:rPr>
            <w:rStyle w:val="Hyperlink"/>
          </w:rPr>
          <w:t>3.1</w:t>
        </w:r>
        <w:r w:rsidR="00067CE9" w:rsidRPr="00067CE9">
          <w:rPr>
            <w:rFonts w:asciiTheme="minorHAnsi" w:eastAsiaTheme="minorEastAsia" w:hAnsiTheme="minorHAnsi" w:cstheme="minorBidi"/>
            <w:b w:val="0"/>
            <w:bCs w:val="0"/>
            <w:color w:val="auto"/>
            <w:lang w:val="en-AU" w:eastAsia="en-GB"/>
          </w:rPr>
          <w:tab/>
        </w:r>
        <w:r w:rsidR="00067CE9" w:rsidRPr="00067CE9">
          <w:rPr>
            <w:rStyle w:val="Hyperlink"/>
          </w:rPr>
          <w:t>Estimated unreported CFC-11 production to account for unexpected emissions</w:t>
        </w:r>
        <w:r w:rsidR="00067CE9" w:rsidRPr="00067CE9">
          <w:rPr>
            <w:webHidden/>
          </w:rPr>
          <w:tab/>
        </w:r>
        <w:r w:rsidR="00067CE9" w:rsidRPr="00067CE9">
          <w:rPr>
            <w:webHidden/>
          </w:rPr>
          <w:fldChar w:fldCharType="begin"/>
        </w:r>
        <w:r w:rsidR="00067CE9" w:rsidRPr="00067CE9">
          <w:rPr>
            <w:webHidden/>
          </w:rPr>
          <w:instrText xml:space="preserve"> PAGEREF _Toc73045610 \h </w:instrText>
        </w:r>
        <w:r w:rsidR="00067CE9" w:rsidRPr="00067CE9">
          <w:rPr>
            <w:webHidden/>
          </w:rPr>
        </w:r>
        <w:r w:rsidR="00067CE9" w:rsidRPr="00067CE9">
          <w:rPr>
            <w:webHidden/>
          </w:rPr>
          <w:fldChar w:fldCharType="separate"/>
        </w:r>
        <w:r w:rsidR="00067CE9" w:rsidRPr="00067CE9">
          <w:rPr>
            <w:webHidden/>
          </w:rPr>
          <w:t>41</w:t>
        </w:r>
        <w:r w:rsidR="00067CE9" w:rsidRPr="00067CE9">
          <w:rPr>
            <w:webHidden/>
          </w:rPr>
          <w:fldChar w:fldCharType="end"/>
        </w:r>
      </w:hyperlink>
    </w:p>
    <w:p w14:paraId="0E7CFA60" w14:textId="26824CF3" w:rsidR="00067CE9" w:rsidRPr="00067CE9" w:rsidRDefault="00877370">
      <w:pPr>
        <w:pStyle w:val="TOC2"/>
        <w:rPr>
          <w:rFonts w:asciiTheme="minorHAnsi" w:eastAsiaTheme="minorEastAsia" w:hAnsiTheme="minorHAnsi" w:cstheme="minorBidi"/>
          <w:b w:val="0"/>
          <w:bCs w:val="0"/>
          <w:color w:val="auto"/>
          <w:lang w:val="en-AU" w:eastAsia="en-GB"/>
        </w:rPr>
      </w:pPr>
      <w:hyperlink w:anchor="_Toc73045611" w:history="1">
        <w:r w:rsidR="00067CE9" w:rsidRPr="00067CE9">
          <w:rPr>
            <w:rStyle w:val="Hyperlink"/>
          </w:rPr>
          <w:t>3.2</w:t>
        </w:r>
        <w:r w:rsidR="00067CE9" w:rsidRPr="00067CE9">
          <w:rPr>
            <w:rFonts w:asciiTheme="minorHAnsi" w:eastAsiaTheme="minorEastAsia" w:hAnsiTheme="minorHAnsi" w:cstheme="minorBidi"/>
            <w:b w:val="0"/>
            <w:bCs w:val="0"/>
            <w:color w:val="auto"/>
            <w:lang w:val="en-AU" w:eastAsia="en-GB"/>
          </w:rPr>
          <w:tab/>
        </w:r>
        <w:r w:rsidR="00067CE9" w:rsidRPr="00067CE9">
          <w:rPr>
            <w:rStyle w:val="Hyperlink"/>
          </w:rPr>
          <w:t>Updates to the possible fate of any co-produced CFC-12</w:t>
        </w:r>
        <w:r w:rsidR="00067CE9" w:rsidRPr="00067CE9">
          <w:rPr>
            <w:webHidden/>
          </w:rPr>
          <w:tab/>
        </w:r>
        <w:r w:rsidR="00067CE9" w:rsidRPr="00067CE9">
          <w:rPr>
            <w:webHidden/>
          </w:rPr>
          <w:fldChar w:fldCharType="begin"/>
        </w:r>
        <w:r w:rsidR="00067CE9" w:rsidRPr="00067CE9">
          <w:rPr>
            <w:webHidden/>
          </w:rPr>
          <w:instrText xml:space="preserve"> PAGEREF _Toc73045611 \h </w:instrText>
        </w:r>
        <w:r w:rsidR="00067CE9" w:rsidRPr="00067CE9">
          <w:rPr>
            <w:webHidden/>
          </w:rPr>
        </w:r>
        <w:r w:rsidR="00067CE9" w:rsidRPr="00067CE9">
          <w:rPr>
            <w:webHidden/>
          </w:rPr>
          <w:fldChar w:fldCharType="separate"/>
        </w:r>
        <w:r w:rsidR="00067CE9" w:rsidRPr="00067CE9">
          <w:rPr>
            <w:webHidden/>
          </w:rPr>
          <w:t>43</w:t>
        </w:r>
        <w:r w:rsidR="00067CE9" w:rsidRPr="00067CE9">
          <w:rPr>
            <w:webHidden/>
          </w:rPr>
          <w:fldChar w:fldCharType="end"/>
        </w:r>
      </w:hyperlink>
    </w:p>
    <w:p w14:paraId="6B9DE0C8" w14:textId="6DDE4BE5" w:rsidR="00067CE9" w:rsidRPr="00067CE9" w:rsidRDefault="00877370">
      <w:pPr>
        <w:pStyle w:val="TOC2"/>
        <w:rPr>
          <w:rFonts w:asciiTheme="minorHAnsi" w:eastAsiaTheme="minorEastAsia" w:hAnsiTheme="minorHAnsi" w:cstheme="minorBidi"/>
          <w:b w:val="0"/>
          <w:bCs w:val="0"/>
          <w:color w:val="auto"/>
          <w:lang w:val="en-AU" w:eastAsia="en-GB"/>
        </w:rPr>
      </w:pPr>
      <w:hyperlink w:anchor="_Toc73045612" w:history="1">
        <w:r w:rsidR="00067CE9" w:rsidRPr="00067CE9">
          <w:rPr>
            <w:rStyle w:val="Hyperlink"/>
          </w:rPr>
          <w:t>3.3</w:t>
        </w:r>
        <w:r w:rsidR="00067CE9" w:rsidRPr="00067CE9">
          <w:rPr>
            <w:rFonts w:asciiTheme="minorHAnsi" w:eastAsiaTheme="minorEastAsia" w:hAnsiTheme="minorHAnsi" w:cstheme="minorBidi"/>
            <w:b w:val="0"/>
            <w:bCs w:val="0"/>
            <w:color w:val="auto"/>
            <w:lang w:val="en-AU" w:eastAsia="en-GB"/>
          </w:rPr>
          <w:tab/>
        </w:r>
        <w:r w:rsidR="00067CE9" w:rsidRPr="00067CE9">
          <w:rPr>
            <w:rStyle w:val="Hyperlink"/>
          </w:rPr>
          <w:t>Linkages between production of anhydrous hydrogen fluoride and carbon tetrachloride and unexpected emissions of CFC-11</w:t>
        </w:r>
        <w:r w:rsidR="00067CE9" w:rsidRPr="00067CE9">
          <w:rPr>
            <w:webHidden/>
          </w:rPr>
          <w:tab/>
        </w:r>
        <w:r w:rsidR="00067CE9" w:rsidRPr="00067CE9">
          <w:rPr>
            <w:webHidden/>
          </w:rPr>
          <w:fldChar w:fldCharType="begin"/>
        </w:r>
        <w:r w:rsidR="00067CE9" w:rsidRPr="00067CE9">
          <w:rPr>
            <w:webHidden/>
          </w:rPr>
          <w:instrText xml:space="preserve"> PAGEREF _Toc73045612 \h </w:instrText>
        </w:r>
        <w:r w:rsidR="00067CE9" w:rsidRPr="00067CE9">
          <w:rPr>
            <w:webHidden/>
          </w:rPr>
        </w:r>
        <w:r w:rsidR="00067CE9" w:rsidRPr="00067CE9">
          <w:rPr>
            <w:webHidden/>
          </w:rPr>
          <w:fldChar w:fldCharType="separate"/>
        </w:r>
        <w:r w:rsidR="00067CE9" w:rsidRPr="00067CE9">
          <w:rPr>
            <w:webHidden/>
          </w:rPr>
          <w:t>44</w:t>
        </w:r>
        <w:r w:rsidR="00067CE9" w:rsidRPr="00067CE9">
          <w:rPr>
            <w:webHidden/>
          </w:rPr>
          <w:fldChar w:fldCharType="end"/>
        </w:r>
      </w:hyperlink>
    </w:p>
    <w:p w14:paraId="22C5436E" w14:textId="003E3D1C" w:rsidR="00067CE9" w:rsidRPr="00067CE9" w:rsidRDefault="00877370">
      <w:pPr>
        <w:pStyle w:val="TOC3"/>
        <w:rPr>
          <w:rFonts w:asciiTheme="minorHAnsi" w:eastAsiaTheme="minorEastAsia" w:hAnsiTheme="minorHAnsi" w:cstheme="minorBidi"/>
          <w:b w:val="0"/>
          <w:color w:val="auto"/>
          <w:lang w:val="en-AU" w:eastAsia="en-GB"/>
        </w:rPr>
      </w:pPr>
      <w:hyperlink w:anchor="_Toc73045613" w:history="1">
        <w:r w:rsidR="00067CE9" w:rsidRPr="00067CE9">
          <w:rPr>
            <w:rStyle w:val="Hyperlink"/>
          </w:rPr>
          <w:t>3.3.1</w:t>
        </w:r>
        <w:r w:rsidR="00067CE9" w:rsidRPr="00067CE9">
          <w:rPr>
            <w:rFonts w:asciiTheme="minorHAnsi" w:eastAsiaTheme="minorEastAsia" w:hAnsiTheme="minorHAnsi" w:cstheme="minorBidi"/>
            <w:b w:val="0"/>
            <w:color w:val="auto"/>
            <w:lang w:val="en-AU" w:eastAsia="en-GB"/>
          </w:rPr>
          <w:tab/>
        </w:r>
        <w:r w:rsidR="00067CE9" w:rsidRPr="00067CE9">
          <w:rPr>
            <w:rStyle w:val="Hyperlink"/>
          </w:rPr>
          <w:t>Linkages between the level of production of carbon tetrachloride and unexpected emissions of CFC</w:t>
        </w:r>
        <w:r w:rsidR="00067CE9" w:rsidRPr="00067CE9">
          <w:rPr>
            <w:rStyle w:val="Hyperlink"/>
          </w:rPr>
          <w:noBreakHyphen/>
          <w:t>11</w:t>
        </w:r>
        <w:r w:rsidR="00067CE9" w:rsidRPr="00067CE9">
          <w:rPr>
            <w:webHidden/>
          </w:rPr>
          <w:tab/>
        </w:r>
        <w:r w:rsidR="00067CE9" w:rsidRPr="00067CE9">
          <w:rPr>
            <w:webHidden/>
          </w:rPr>
          <w:fldChar w:fldCharType="begin"/>
        </w:r>
        <w:r w:rsidR="00067CE9" w:rsidRPr="00067CE9">
          <w:rPr>
            <w:webHidden/>
          </w:rPr>
          <w:instrText xml:space="preserve"> PAGEREF _Toc73045613 \h </w:instrText>
        </w:r>
        <w:r w:rsidR="00067CE9" w:rsidRPr="00067CE9">
          <w:rPr>
            <w:webHidden/>
          </w:rPr>
        </w:r>
        <w:r w:rsidR="00067CE9" w:rsidRPr="00067CE9">
          <w:rPr>
            <w:webHidden/>
          </w:rPr>
          <w:fldChar w:fldCharType="separate"/>
        </w:r>
        <w:r w:rsidR="00067CE9" w:rsidRPr="00067CE9">
          <w:rPr>
            <w:webHidden/>
          </w:rPr>
          <w:t>44</w:t>
        </w:r>
        <w:r w:rsidR="00067CE9" w:rsidRPr="00067CE9">
          <w:rPr>
            <w:webHidden/>
          </w:rPr>
          <w:fldChar w:fldCharType="end"/>
        </w:r>
      </w:hyperlink>
    </w:p>
    <w:p w14:paraId="04B8A6A9" w14:textId="50213FE7" w:rsidR="00067CE9" w:rsidRPr="00067CE9" w:rsidRDefault="00877370">
      <w:pPr>
        <w:pStyle w:val="TOC3"/>
        <w:rPr>
          <w:rFonts w:asciiTheme="minorHAnsi" w:eastAsiaTheme="minorEastAsia" w:hAnsiTheme="minorHAnsi" w:cstheme="minorBidi"/>
          <w:b w:val="0"/>
          <w:color w:val="auto"/>
          <w:lang w:val="en-AU" w:eastAsia="en-GB"/>
        </w:rPr>
      </w:pPr>
      <w:hyperlink w:anchor="_Toc73045614" w:history="1">
        <w:r w:rsidR="00067CE9" w:rsidRPr="00067CE9">
          <w:rPr>
            <w:rStyle w:val="Hyperlink"/>
          </w:rPr>
          <w:t>3.3.2</w:t>
        </w:r>
        <w:r w:rsidR="00067CE9" w:rsidRPr="00067CE9">
          <w:rPr>
            <w:rFonts w:asciiTheme="minorHAnsi" w:eastAsiaTheme="minorEastAsia" w:hAnsiTheme="minorHAnsi" w:cstheme="minorBidi"/>
            <w:b w:val="0"/>
            <w:color w:val="auto"/>
            <w:lang w:val="en-AU" w:eastAsia="en-GB"/>
          </w:rPr>
          <w:tab/>
        </w:r>
        <w:r w:rsidR="00067CE9" w:rsidRPr="00067CE9">
          <w:rPr>
            <w:rStyle w:val="Hyperlink"/>
          </w:rPr>
          <w:t>Monitoring and control of CTC feedstock use</w:t>
        </w:r>
        <w:r w:rsidR="00067CE9" w:rsidRPr="00067CE9">
          <w:rPr>
            <w:webHidden/>
          </w:rPr>
          <w:tab/>
        </w:r>
        <w:r w:rsidR="00067CE9" w:rsidRPr="00067CE9">
          <w:rPr>
            <w:webHidden/>
          </w:rPr>
          <w:fldChar w:fldCharType="begin"/>
        </w:r>
        <w:r w:rsidR="00067CE9" w:rsidRPr="00067CE9">
          <w:rPr>
            <w:webHidden/>
          </w:rPr>
          <w:instrText xml:space="preserve"> PAGEREF _Toc73045614 \h </w:instrText>
        </w:r>
        <w:r w:rsidR="00067CE9" w:rsidRPr="00067CE9">
          <w:rPr>
            <w:webHidden/>
          </w:rPr>
        </w:r>
        <w:r w:rsidR="00067CE9" w:rsidRPr="00067CE9">
          <w:rPr>
            <w:webHidden/>
          </w:rPr>
          <w:fldChar w:fldCharType="separate"/>
        </w:r>
        <w:r w:rsidR="00067CE9" w:rsidRPr="00067CE9">
          <w:rPr>
            <w:webHidden/>
          </w:rPr>
          <w:t>47</w:t>
        </w:r>
        <w:r w:rsidR="00067CE9" w:rsidRPr="00067CE9">
          <w:rPr>
            <w:webHidden/>
          </w:rPr>
          <w:fldChar w:fldCharType="end"/>
        </w:r>
      </w:hyperlink>
    </w:p>
    <w:p w14:paraId="3ADE50C0" w14:textId="7F6147B8" w:rsidR="00067CE9" w:rsidRPr="00067CE9" w:rsidRDefault="00877370">
      <w:pPr>
        <w:pStyle w:val="TOC1"/>
        <w:rPr>
          <w:rFonts w:asciiTheme="minorHAnsi" w:eastAsiaTheme="minorEastAsia" w:hAnsiTheme="minorHAnsi" w:cstheme="minorBidi"/>
          <w:b w:val="0"/>
          <w:bCs w:val="0"/>
          <w:caps w:val="0"/>
          <w:color w:val="auto"/>
          <w:sz w:val="20"/>
          <w:szCs w:val="20"/>
          <w:lang w:val="en-AU" w:eastAsia="en-GB"/>
        </w:rPr>
      </w:pPr>
      <w:hyperlink w:anchor="_Toc73045615" w:history="1">
        <w:r w:rsidR="00067CE9" w:rsidRPr="00067CE9">
          <w:rPr>
            <w:rStyle w:val="Hyperlink"/>
            <w:sz w:val="20"/>
            <w:szCs w:val="20"/>
          </w:rPr>
          <w:t>4</w:t>
        </w:r>
        <w:r w:rsidR="00067CE9" w:rsidRPr="00067CE9">
          <w:rPr>
            <w:rFonts w:asciiTheme="minorHAnsi" w:eastAsiaTheme="minorEastAsia" w:hAnsiTheme="minorHAnsi" w:cstheme="minorBidi"/>
            <w:b w:val="0"/>
            <w:bCs w:val="0"/>
            <w:caps w:val="0"/>
            <w:color w:val="auto"/>
            <w:sz w:val="20"/>
            <w:szCs w:val="20"/>
            <w:lang w:val="en-AU" w:eastAsia="en-GB"/>
          </w:rPr>
          <w:tab/>
        </w:r>
        <w:r w:rsidR="00067CE9" w:rsidRPr="00067CE9">
          <w:rPr>
            <w:rStyle w:val="Hyperlink"/>
            <w:sz w:val="20"/>
            <w:szCs w:val="20"/>
          </w:rPr>
          <w:t>Possible drivers of illegal production of and trade in CFC-11</w:t>
        </w:r>
        <w:r w:rsidR="00067CE9" w:rsidRPr="00067CE9">
          <w:rPr>
            <w:webHidden/>
            <w:sz w:val="20"/>
            <w:szCs w:val="20"/>
          </w:rPr>
          <w:tab/>
        </w:r>
        <w:r w:rsidR="00067CE9" w:rsidRPr="00067CE9">
          <w:rPr>
            <w:webHidden/>
            <w:sz w:val="20"/>
            <w:szCs w:val="20"/>
          </w:rPr>
          <w:fldChar w:fldCharType="begin"/>
        </w:r>
        <w:r w:rsidR="00067CE9" w:rsidRPr="00067CE9">
          <w:rPr>
            <w:webHidden/>
            <w:sz w:val="20"/>
            <w:szCs w:val="20"/>
          </w:rPr>
          <w:instrText xml:space="preserve"> PAGEREF _Toc73045615 \h </w:instrText>
        </w:r>
        <w:r w:rsidR="00067CE9" w:rsidRPr="00067CE9">
          <w:rPr>
            <w:webHidden/>
            <w:sz w:val="20"/>
            <w:szCs w:val="20"/>
          </w:rPr>
        </w:r>
        <w:r w:rsidR="00067CE9" w:rsidRPr="00067CE9">
          <w:rPr>
            <w:webHidden/>
            <w:sz w:val="20"/>
            <w:szCs w:val="20"/>
          </w:rPr>
          <w:fldChar w:fldCharType="separate"/>
        </w:r>
        <w:r w:rsidR="00067CE9" w:rsidRPr="00067CE9">
          <w:rPr>
            <w:webHidden/>
            <w:sz w:val="20"/>
            <w:szCs w:val="20"/>
          </w:rPr>
          <w:t>49</w:t>
        </w:r>
        <w:r w:rsidR="00067CE9" w:rsidRPr="00067CE9">
          <w:rPr>
            <w:webHidden/>
            <w:sz w:val="20"/>
            <w:szCs w:val="20"/>
          </w:rPr>
          <w:fldChar w:fldCharType="end"/>
        </w:r>
      </w:hyperlink>
    </w:p>
    <w:p w14:paraId="7DCCA7CB" w14:textId="77DF2955" w:rsidR="00067CE9" w:rsidRPr="00067CE9" w:rsidRDefault="00877370">
      <w:pPr>
        <w:pStyle w:val="TOC2"/>
        <w:rPr>
          <w:rFonts w:asciiTheme="minorHAnsi" w:eastAsiaTheme="minorEastAsia" w:hAnsiTheme="minorHAnsi" w:cstheme="minorBidi"/>
          <w:b w:val="0"/>
          <w:bCs w:val="0"/>
          <w:color w:val="auto"/>
          <w:lang w:val="en-AU" w:eastAsia="en-GB"/>
        </w:rPr>
      </w:pPr>
      <w:hyperlink w:anchor="_Toc73045616" w:history="1">
        <w:r w:rsidR="00067CE9" w:rsidRPr="00067CE9">
          <w:rPr>
            <w:rStyle w:val="Hyperlink"/>
          </w:rPr>
          <w:t>4.1</w:t>
        </w:r>
        <w:r w:rsidR="00067CE9" w:rsidRPr="00067CE9">
          <w:rPr>
            <w:rFonts w:asciiTheme="minorHAnsi" w:eastAsiaTheme="minorEastAsia" w:hAnsiTheme="minorHAnsi" w:cstheme="minorBidi"/>
            <w:b w:val="0"/>
            <w:bCs w:val="0"/>
            <w:color w:val="auto"/>
            <w:lang w:val="en-AU" w:eastAsia="en-GB"/>
          </w:rPr>
          <w:tab/>
        </w:r>
        <w:r w:rsidR="00067CE9" w:rsidRPr="00067CE9">
          <w:rPr>
            <w:rStyle w:val="Hyperlink"/>
          </w:rPr>
          <w:t>Demand for CFC-11 in foams</w:t>
        </w:r>
        <w:r w:rsidR="00067CE9" w:rsidRPr="00067CE9">
          <w:rPr>
            <w:webHidden/>
          </w:rPr>
          <w:tab/>
        </w:r>
        <w:r w:rsidR="00067CE9" w:rsidRPr="00067CE9">
          <w:rPr>
            <w:webHidden/>
          </w:rPr>
          <w:fldChar w:fldCharType="begin"/>
        </w:r>
        <w:r w:rsidR="00067CE9" w:rsidRPr="00067CE9">
          <w:rPr>
            <w:webHidden/>
          </w:rPr>
          <w:instrText xml:space="preserve"> PAGEREF _Toc73045616 \h </w:instrText>
        </w:r>
        <w:r w:rsidR="00067CE9" w:rsidRPr="00067CE9">
          <w:rPr>
            <w:webHidden/>
          </w:rPr>
        </w:r>
        <w:r w:rsidR="00067CE9" w:rsidRPr="00067CE9">
          <w:rPr>
            <w:webHidden/>
          </w:rPr>
          <w:fldChar w:fldCharType="separate"/>
        </w:r>
        <w:r w:rsidR="00067CE9" w:rsidRPr="00067CE9">
          <w:rPr>
            <w:webHidden/>
          </w:rPr>
          <w:t>49</w:t>
        </w:r>
        <w:r w:rsidR="00067CE9" w:rsidRPr="00067CE9">
          <w:rPr>
            <w:webHidden/>
          </w:rPr>
          <w:fldChar w:fldCharType="end"/>
        </w:r>
      </w:hyperlink>
    </w:p>
    <w:p w14:paraId="2F4E12FB" w14:textId="261CF213" w:rsidR="00067CE9" w:rsidRPr="00067CE9" w:rsidRDefault="00877370">
      <w:pPr>
        <w:pStyle w:val="TOC3"/>
        <w:rPr>
          <w:rFonts w:asciiTheme="minorHAnsi" w:eastAsiaTheme="minorEastAsia" w:hAnsiTheme="minorHAnsi" w:cstheme="minorBidi"/>
          <w:b w:val="0"/>
          <w:color w:val="auto"/>
          <w:lang w:val="en-AU" w:eastAsia="en-GB"/>
        </w:rPr>
      </w:pPr>
      <w:hyperlink w:anchor="_Toc73045617" w:history="1">
        <w:r w:rsidR="00067CE9" w:rsidRPr="00067CE9">
          <w:rPr>
            <w:rStyle w:val="Hyperlink"/>
          </w:rPr>
          <w:t>4.1.1</w:t>
        </w:r>
        <w:r w:rsidR="00067CE9" w:rsidRPr="00067CE9">
          <w:rPr>
            <w:rFonts w:asciiTheme="minorHAnsi" w:eastAsiaTheme="minorEastAsia" w:hAnsiTheme="minorHAnsi" w:cstheme="minorBidi"/>
            <w:b w:val="0"/>
            <w:color w:val="auto"/>
            <w:lang w:val="en-AU" w:eastAsia="en-GB"/>
          </w:rPr>
          <w:tab/>
        </w:r>
        <w:r w:rsidR="00067CE9" w:rsidRPr="00067CE9">
          <w:rPr>
            <w:rStyle w:val="Hyperlink"/>
          </w:rPr>
          <w:t>Drivers and feasibility of converting to CFC-11</w:t>
        </w:r>
        <w:r w:rsidR="00067CE9" w:rsidRPr="00067CE9">
          <w:rPr>
            <w:webHidden/>
          </w:rPr>
          <w:tab/>
        </w:r>
        <w:r w:rsidR="00067CE9" w:rsidRPr="00067CE9">
          <w:rPr>
            <w:webHidden/>
          </w:rPr>
          <w:fldChar w:fldCharType="begin"/>
        </w:r>
        <w:r w:rsidR="00067CE9" w:rsidRPr="00067CE9">
          <w:rPr>
            <w:webHidden/>
          </w:rPr>
          <w:instrText xml:space="preserve"> PAGEREF _Toc73045617 \h </w:instrText>
        </w:r>
        <w:r w:rsidR="00067CE9" w:rsidRPr="00067CE9">
          <w:rPr>
            <w:webHidden/>
          </w:rPr>
        </w:r>
        <w:r w:rsidR="00067CE9" w:rsidRPr="00067CE9">
          <w:rPr>
            <w:webHidden/>
          </w:rPr>
          <w:fldChar w:fldCharType="separate"/>
        </w:r>
        <w:r w:rsidR="00067CE9" w:rsidRPr="00067CE9">
          <w:rPr>
            <w:webHidden/>
          </w:rPr>
          <w:t>49</w:t>
        </w:r>
        <w:r w:rsidR="00067CE9" w:rsidRPr="00067CE9">
          <w:rPr>
            <w:webHidden/>
          </w:rPr>
          <w:fldChar w:fldCharType="end"/>
        </w:r>
      </w:hyperlink>
    </w:p>
    <w:p w14:paraId="613AE0F4" w14:textId="367260D6" w:rsidR="00067CE9" w:rsidRPr="00067CE9" w:rsidRDefault="00877370">
      <w:pPr>
        <w:pStyle w:val="TOC3"/>
        <w:rPr>
          <w:rFonts w:asciiTheme="minorHAnsi" w:eastAsiaTheme="minorEastAsia" w:hAnsiTheme="minorHAnsi" w:cstheme="minorBidi"/>
          <w:b w:val="0"/>
          <w:color w:val="auto"/>
          <w:lang w:val="en-AU" w:eastAsia="en-GB"/>
        </w:rPr>
      </w:pPr>
      <w:hyperlink w:anchor="_Toc73045618" w:history="1">
        <w:r w:rsidR="00067CE9" w:rsidRPr="00067CE9">
          <w:rPr>
            <w:rStyle w:val="Hyperlink"/>
          </w:rPr>
          <w:t>4.1.2</w:t>
        </w:r>
        <w:r w:rsidR="00067CE9" w:rsidRPr="00067CE9">
          <w:rPr>
            <w:rFonts w:asciiTheme="minorHAnsi" w:eastAsiaTheme="minorEastAsia" w:hAnsiTheme="minorHAnsi" w:cstheme="minorBidi"/>
            <w:b w:val="0"/>
            <w:color w:val="auto"/>
            <w:lang w:val="en-AU" w:eastAsia="en-GB"/>
          </w:rPr>
          <w:tab/>
        </w:r>
        <w:r w:rsidR="00067CE9" w:rsidRPr="00067CE9">
          <w:rPr>
            <w:rStyle w:val="Hyperlink"/>
          </w:rPr>
          <w:t>Technical feasibility and implications of reverting to CFC-11 use in foams</w:t>
        </w:r>
        <w:r w:rsidR="00067CE9" w:rsidRPr="00067CE9">
          <w:rPr>
            <w:webHidden/>
          </w:rPr>
          <w:tab/>
        </w:r>
        <w:r w:rsidR="00067CE9" w:rsidRPr="00067CE9">
          <w:rPr>
            <w:webHidden/>
          </w:rPr>
          <w:fldChar w:fldCharType="begin"/>
        </w:r>
        <w:r w:rsidR="00067CE9" w:rsidRPr="00067CE9">
          <w:rPr>
            <w:webHidden/>
          </w:rPr>
          <w:instrText xml:space="preserve"> PAGEREF _Toc73045618 \h </w:instrText>
        </w:r>
        <w:r w:rsidR="00067CE9" w:rsidRPr="00067CE9">
          <w:rPr>
            <w:webHidden/>
          </w:rPr>
        </w:r>
        <w:r w:rsidR="00067CE9" w:rsidRPr="00067CE9">
          <w:rPr>
            <w:webHidden/>
          </w:rPr>
          <w:fldChar w:fldCharType="separate"/>
        </w:r>
        <w:r w:rsidR="00067CE9" w:rsidRPr="00067CE9">
          <w:rPr>
            <w:webHidden/>
          </w:rPr>
          <w:t>49</w:t>
        </w:r>
        <w:r w:rsidR="00067CE9" w:rsidRPr="00067CE9">
          <w:rPr>
            <w:webHidden/>
          </w:rPr>
          <w:fldChar w:fldCharType="end"/>
        </w:r>
      </w:hyperlink>
    </w:p>
    <w:p w14:paraId="2AD4CC34" w14:textId="3F30ED04" w:rsidR="00067CE9" w:rsidRPr="00067CE9" w:rsidRDefault="00877370">
      <w:pPr>
        <w:pStyle w:val="TOC3"/>
        <w:rPr>
          <w:rFonts w:asciiTheme="minorHAnsi" w:eastAsiaTheme="minorEastAsia" w:hAnsiTheme="minorHAnsi" w:cstheme="minorBidi"/>
          <w:b w:val="0"/>
          <w:color w:val="auto"/>
          <w:lang w:val="en-AU" w:eastAsia="en-GB"/>
        </w:rPr>
      </w:pPr>
      <w:hyperlink w:anchor="_Toc73045619" w:history="1">
        <w:r w:rsidR="00067CE9" w:rsidRPr="00067CE9">
          <w:rPr>
            <w:rStyle w:val="Hyperlink"/>
          </w:rPr>
          <w:t>4.1.3</w:t>
        </w:r>
        <w:r w:rsidR="00067CE9" w:rsidRPr="00067CE9">
          <w:rPr>
            <w:rFonts w:asciiTheme="minorHAnsi" w:eastAsiaTheme="minorEastAsia" w:hAnsiTheme="minorHAnsi" w:cstheme="minorBidi"/>
            <w:b w:val="0"/>
            <w:color w:val="auto"/>
            <w:lang w:val="en-AU" w:eastAsia="en-GB"/>
          </w:rPr>
          <w:tab/>
        </w:r>
        <w:r w:rsidR="00067CE9" w:rsidRPr="00067CE9">
          <w:rPr>
            <w:rStyle w:val="Hyperlink"/>
          </w:rPr>
          <w:t>Economic and technical viability of transition from HCFC-141b to CFC-11</w:t>
        </w:r>
        <w:r w:rsidR="00067CE9" w:rsidRPr="00067CE9">
          <w:rPr>
            <w:webHidden/>
          </w:rPr>
          <w:tab/>
        </w:r>
        <w:r w:rsidR="00067CE9" w:rsidRPr="00067CE9">
          <w:rPr>
            <w:webHidden/>
          </w:rPr>
          <w:fldChar w:fldCharType="begin"/>
        </w:r>
        <w:r w:rsidR="00067CE9" w:rsidRPr="00067CE9">
          <w:rPr>
            <w:webHidden/>
          </w:rPr>
          <w:instrText xml:space="preserve"> PAGEREF _Toc73045619 \h </w:instrText>
        </w:r>
        <w:r w:rsidR="00067CE9" w:rsidRPr="00067CE9">
          <w:rPr>
            <w:webHidden/>
          </w:rPr>
        </w:r>
        <w:r w:rsidR="00067CE9" w:rsidRPr="00067CE9">
          <w:rPr>
            <w:webHidden/>
          </w:rPr>
          <w:fldChar w:fldCharType="separate"/>
        </w:r>
        <w:r w:rsidR="00067CE9" w:rsidRPr="00067CE9">
          <w:rPr>
            <w:webHidden/>
          </w:rPr>
          <w:t>50</w:t>
        </w:r>
        <w:r w:rsidR="00067CE9" w:rsidRPr="00067CE9">
          <w:rPr>
            <w:webHidden/>
          </w:rPr>
          <w:fldChar w:fldCharType="end"/>
        </w:r>
      </w:hyperlink>
    </w:p>
    <w:p w14:paraId="40AABF62" w14:textId="3BCE7B9A" w:rsidR="00067CE9" w:rsidRPr="00067CE9" w:rsidRDefault="00877370">
      <w:pPr>
        <w:pStyle w:val="TOC3"/>
        <w:rPr>
          <w:rFonts w:asciiTheme="minorHAnsi" w:eastAsiaTheme="minorEastAsia" w:hAnsiTheme="minorHAnsi" w:cstheme="minorBidi"/>
          <w:b w:val="0"/>
          <w:color w:val="auto"/>
          <w:lang w:val="en-AU" w:eastAsia="en-GB"/>
        </w:rPr>
      </w:pPr>
      <w:hyperlink w:anchor="_Toc73045620" w:history="1">
        <w:r w:rsidR="00067CE9" w:rsidRPr="00067CE9">
          <w:rPr>
            <w:rStyle w:val="Hyperlink"/>
          </w:rPr>
          <w:t>4.1.4</w:t>
        </w:r>
        <w:r w:rsidR="00067CE9" w:rsidRPr="00067CE9">
          <w:rPr>
            <w:rFonts w:asciiTheme="minorHAnsi" w:eastAsiaTheme="minorEastAsia" w:hAnsiTheme="minorHAnsi" w:cstheme="minorBidi"/>
            <w:b w:val="0"/>
            <w:color w:val="auto"/>
            <w:lang w:val="en-AU" w:eastAsia="en-GB"/>
          </w:rPr>
          <w:tab/>
        </w:r>
        <w:r w:rsidR="00067CE9" w:rsidRPr="00067CE9">
          <w:rPr>
            <w:rStyle w:val="Hyperlink"/>
          </w:rPr>
          <w:t>Regulations and costs impacting blowing agent selection</w:t>
        </w:r>
        <w:r w:rsidR="00067CE9" w:rsidRPr="00067CE9">
          <w:rPr>
            <w:webHidden/>
          </w:rPr>
          <w:tab/>
        </w:r>
        <w:r w:rsidR="00067CE9" w:rsidRPr="00067CE9">
          <w:rPr>
            <w:webHidden/>
          </w:rPr>
          <w:fldChar w:fldCharType="begin"/>
        </w:r>
        <w:r w:rsidR="00067CE9" w:rsidRPr="00067CE9">
          <w:rPr>
            <w:webHidden/>
          </w:rPr>
          <w:instrText xml:space="preserve"> PAGEREF _Toc73045620 \h </w:instrText>
        </w:r>
        <w:r w:rsidR="00067CE9" w:rsidRPr="00067CE9">
          <w:rPr>
            <w:webHidden/>
          </w:rPr>
        </w:r>
        <w:r w:rsidR="00067CE9" w:rsidRPr="00067CE9">
          <w:rPr>
            <w:webHidden/>
          </w:rPr>
          <w:fldChar w:fldCharType="separate"/>
        </w:r>
        <w:r w:rsidR="00067CE9" w:rsidRPr="00067CE9">
          <w:rPr>
            <w:webHidden/>
          </w:rPr>
          <w:t>50</w:t>
        </w:r>
        <w:r w:rsidR="00067CE9" w:rsidRPr="00067CE9">
          <w:rPr>
            <w:webHidden/>
          </w:rPr>
          <w:fldChar w:fldCharType="end"/>
        </w:r>
      </w:hyperlink>
    </w:p>
    <w:p w14:paraId="717CD9EE" w14:textId="2AE27841" w:rsidR="00067CE9" w:rsidRPr="00067CE9" w:rsidRDefault="00877370">
      <w:pPr>
        <w:pStyle w:val="TOC3"/>
        <w:rPr>
          <w:rFonts w:asciiTheme="minorHAnsi" w:eastAsiaTheme="minorEastAsia" w:hAnsiTheme="minorHAnsi" w:cstheme="minorBidi"/>
          <w:b w:val="0"/>
          <w:color w:val="auto"/>
          <w:lang w:val="en-AU" w:eastAsia="en-GB"/>
        </w:rPr>
      </w:pPr>
      <w:hyperlink w:anchor="_Toc73045621" w:history="1">
        <w:r w:rsidR="00067CE9" w:rsidRPr="00067CE9">
          <w:rPr>
            <w:rStyle w:val="Hyperlink"/>
          </w:rPr>
          <w:t>4.1.5</w:t>
        </w:r>
        <w:r w:rsidR="00067CE9" w:rsidRPr="00067CE9">
          <w:rPr>
            <w:rFonts w:asciiTheme="minorHAnsi" w:eastAsiaTheme="minorEastAsia" w:hAnsiTheme="minorHAnsi" w:cstheme="minorBidi"/>
            <w:b w:val="0"/>
            <w:color w:val="auto"/>
            <w:lang w:val="en-AU" w:eastAsia="en-GB"/>
          </w:rPr>
          <w:tab/>
        </w:r>
        <w:r w:rsidR="00067CE9" w:rsidRPr="00067CE9">
          <w:rPr>
            <w:rStyle w:val="Hyperlink"/>
          </w:rPr>
          <w:t>Impact of HCFC-141b production control measures</w:t>
        </w:r>
        <w:r w:rsidR="00067CE9" w:rsidRPr="00067CE9">
          <w:rPr>
            <w:webHidden/>
          </w:rPr>
          <w:tab/>
        </w:r>
        <w:r w:rsidR="00067CE9" w:rsidRPr="00067CE9">
          <w:rPr>
            <w:webHidden/>
          </w:rPr>
          <w:fldChar w:fldCharType="begin"/>
        </w:r>
        <w:r w:rsidR="00067CE9" w:rsidRPr="00067CE9">
          <w:rPr>
            <w:webHidden/>
          </w:rPr>
          <w:instrText xml:space="preserve"> PAGEREF _Toc73045621 \h </w:instrText>
        </w:r>
        <w:r w:rsidR="00067CE9" w:rsidRPr="00067CE9">
          <w:rPr>
            <w:webHidden/>
          </w:rPr>
        </w:r>
        <w:r w:rsidR="00067CE9" w:rsidRPr="00067CE9">
          <w:rPr>
            <w:webHidden/>
          </w:rPr>
          <w:fldChar w:fldCharType="separate"/>
        </w:r>
        <w:r w:rsidR="00067CE9" w:rsidRPr="00067CE9">
          <w:rPr>
            <w:webHidden/>
          </w:rPr>
          <w:t>52</w:t>
        </w:r>
        <w:r w:rsidR="00067CE9" w:rsidRPr="00067CE9">
          <w:rPr>
            <w:webHidden/>
          </w:rPr>
          <w:fldChar w:fldCharType="end"/>
        </w:r>
      </w:hyperlink>
    </w:p>
    <w:p w14:paraId="5DC17CAA" w14:textId="7279FC1E" w:rsidR="00067CE9" w:rsidRPr="00067CE9" w:rsidRDefault="00877370">
      <w:pPr>
        <w:pStyle w:val="TOC3"/>
        <w:rPr>
          <w:rFonts w:asciiTheme="minorHAnsi" w:eastAsiaTheme="minorEastAsia" w:hAnsiTheme="minorHAnsi" w:cstheme="minorBidi"/>
          <w:b w:val="0"/>
          <w:color w:val="auto"/>
          <w:lang w:val="en-AU" w:eastAsia="en-GB"/>
        </w:rPr>
      </w:pPr>
      <w:hyperlink w:anchor="_Toc73045622" w:history="1">
        <w:r w:rsidR="00067CE9" w:rsidRPr="00067CE9">
          <w:rPr>
            <w:rStyle w:val="Hyperlink"/>
          </w:rPr>
          <w:t>4.1.6</w:t>
        </w:r>
        <w:r w:rsidR="00067CE9" w:rsidRPr="00067CE9">
          <w:rPr>
            <w:rFonts w:asciiTheme="minorHAnsi" w:eastAsiaTheme="minorEastAsia" w:hAnsiTheme="minorHAnsi" w:cstheme="minorBidi"/>
            <w:b w:val="0"/>
            <w:color w:val="auto"/>
            <w:lang w:val="en-AU" w:eastAsia="en-GB"/>
          </w:rPr>
          <w:tab/>
        </w:r>
        <w:r w:rsidR="00067CE9" w:rsidRPr="00067CE9">
          <w:rPr>
            <w:rStyle w:val="Hyperlink"/>
          </w:rPr>
          <w:t>Impact of the availability of fluorocarbon alternatives to HCFC-141b in 2012 to 2018 period</w:t>
        </w:r>
        <w:r w:rsidR="00067CE9" w:rsidRPr="00067CE9">
          <w:rPr>
            <w:webHidden/>
          </w:rPr>
          <w:tab/>
        </w:r>
        <w:r w:rsidR="00067CE9" w:rsidRPr="00067CE9">
          <w:rPr>
            <w:webHidden/>
          </w:rPr>
          <w:fldChar w:fldCharType="begin"/>
        </w:r>
        <w:r w:rsidR="00067CE9" w:rsidRPr="00067CE9">
          <w:rPr>
            <w:webHidden/>
          </w:rPr>
          <w:instrText xml:space="preserve"> PAGEREF _Toc73045622 \h </w:instrText>
        </w:r>
        <w:r w:rsidR="00067CE9" w:rsidRPr="00067CE9">
          <w:rPr>
            <w:webHidden/>
          </w:rPr>
        </w:r>
        <w:r w:rsidR="00067CE9" w:rsidRPr="00067CE9">
          <w:rPr>
            <w:webHidden/>
          </w:rPr>
          <w:fldChar w:fldCharType="separate"/>
        </w:r>
        <w:r w:rsidR="00067CE9" w:rsidRPr="00067CE9">
          <w:rPr>
            <w:webHidden/>
          </w:rPr>
          <w:t>53</w:t>
        </w:r>
        <w:r w:rsidR="00067CE9" w:rsidRPr="00067CE9">
          <w:rPr>
            <w:webHidden/>
          </w:rPr>
          <w:fldChar w:fldCharType="end"/>
        </w:r>
      </w:hyperlink>
    </w:p>
    <w:p w14:paraId="62D873AD" w14:textId="172F7DF0" w:rsidR="00067CE9" w:rsidRPr="00067CE9" w:rsidRDefault="00877370">
      <w:pPr>
        <w:pStyle w:val="TOC2"/>
        <w:rPr>
          <w:rFonts w:asciiTheme="minorHAnsi" w:eastAsiaTheme="minorEastAsia" w:hAnsiTheme="minorHAnsi" w:cstheme="minorBidi"/>
          <w:b w:val="0"/>
          <w:bCs w:val="0"/>
          <w:color w:val="auto"/>
          <w:lang w:val="en-AU" w:eastAsia="en-GB"/>
        </w:rPr>
      </w:pPr>
      <w:hyperlink w:anchor="_Toc73045623" w:history="1">
        <w:r w:rsidR="00067CE9" w:rsidRPr="00067CE9">
          <w:rPr>
            <w:rStyle w:val="Hyperlink"/>
          </w:rPr>
          <w:t>4.2</w:t>
        </w:r>
        <w:r w:rsidR="00067CE9" w:rsidRPr="00067CE9">
          <w:rPr>
            <w:rFonts w:asciiTheme="minorHAnsi" w:eastAsiaTheme="minorEastAsia" w:hAnsiTheme="minorHAnsi" w:cstheme="minorBidi"/>
            <w:b w:val="0"/>
            <w:bCs w:val="0"/>
            <w:color w:val="auto"/>
            <w:lang w:val="en-AU" w:eastAsia="en-GB"/>
          </w:rPr>
          <w:tab/>
        </w:r>
        <w:r w:rsidR="00067CE9" w:rsidRPr="00067CE9">
          <w:rPr>
            <w:rStyle w:val="Hyperlink"/>
          </w:rPr>
          <w:t>Production and supply of CFC-11</w:t>
        </w:r>
        <w:r w:rsidR="00067CE9" w:rsidRPr="00067CE9">
          <w:rPr>
            <w:webHidden/>
          </w:rPr>
          <w:tab/>
        </w:r>
        <w:r w:rsidR="00067CE9" w:rsidRPr="00067CE9">
          <w:rPr>
            <w:webHidden/>
          </w:rPr>
          <w:fldChar w:fldCharType="begin"/>
        </w:r>
        <w:r w:rsidR="00067CE9" w:rsidRPr="00067CE9">
          <w:rPr>
            <w:webHidden/>
          </w:rPr>
          <w:instrText xml:space="preserve"> PAGEREF _Toc73045623 \h </w:instrText>
        </w:r>
        <w:r w:rsidR="00067CE9" w:rsidRPr="00067CE9">
          <w:rPr>
            <w:webHidden/>
          </w:rPr>
        </w:r>
        <w:r w:rsidR="00067CE9" w:rsidRPr="00067CE9">
          <w:rPr>
            <w:webHidden/>
          </w:rPr>
          <w:fldChar w:fldCharType="separate"/>
        </w:r>
        <w:r w:rsidR="00067CE9" w:rsidRPr="00067CE9">
          <w:rPr>
            <w:webHidden/>
          </w:rPr>
          <w:t>55</w:t>
        </w:r>
        <w:r w:rsidR="00067CE9" w:rsidRPr="00067CE9">
          <w:rPr>
            <w:webHidden/>
          </w:rPr>
          <w:fldChar w:fldCharType="end"/>
        </w:r>
      </w:hyperlink>
    </w:p>
    <w:p w14:paraId="24DA9F99" w14:textId="1A26D2F0" w:rsidR="00067CE9" w:rsidRPr="00067CE9" w:rsidRDefault="00877370">
      <w:pPr>
        <w:pStyle w:val="TOC3"/>
        <w:rPr>
          <w:rFonts w:asciiTheme="minorHAnsi" w:eastAsiaTheme="minorEastAsia" w:hAnsiTheme="minorHAnsi" w:cstheme="minorBidi"/>
          <w:b w:val="0"/>
          <w:color w:val="auto"/>
          <w:lang w:val="en-AU" w:eastAsia="en-GB"/>
        </w:rPr>
      </w:pPr>
      <w:hyperlink w:anchor="_Toc73045624" w:history="1">
        <w:r w:rsidR="00067CE9" w:rsidRPr="00067CE9">
          <w:rPr>
            <w:rStyle w:val="Hyperlink"/>
          </w:rPr>
          <w:t>4.2.1</w:t>
        </w:r>
        <w:r w:rsidR="00067CE9" w:rsidRPr="00067CE9">
          <w:rPr>
            <w:rFonts w:asciiTheme="minorHAnsi" w:eastAsiaTheme="minorEastAsia" w:hAnsiTheme="minorHAnsi" w:cstheme="minorBidi"/>
            <w:b w:val="0"/>
            <w:color w:val="auto"/>
            <w:lang w:val="en-AU" w:eastAsia="en-GB"/>
          </w:rPr>
          <w:tab/>
        </w:r>
        <w:r w:rsidR="00067CE9" w:rsidRPr="00067CE9">
          <w:rPr>
            <w:rStyle w:val="Hyperlink"/>
          </w:rPr>
          <w:t>Economic factors and technical requirements for swinging HCFC-22 and HFC-32 plants to CFC-11 and for use of small-scale production plants</w:t>
        </w:r>
        <w:r w:rsidR="00067CE9" w:rsidRPr="00067CE9">
          <w:rPr>
            <w:webHidden/>
          </w:rPr>
          <w:tab/>
        </w:r>
        <w:r w:rsidR="00067CE9" w:rsidRPr="00067CE9">
          <w:rPr>
            <w:webHidden/>
          </w:rPr>
          <w:fldChar w:fldCharType="begin"/>
        </w:r>
        <w:r w:rsidR="00067CE9" w:rsidRPr="00067CE9">
          <w:rPr>
            <w:webHidden/>
          </w:rPr>
          <w:instrText xml:space="preserve"> PAGEREF _Toc73045624 \h </w:instrText>
        </w:r>
        <w:r w:rsidR="00067CE9" w:rsidRPr="00067CE9">
          <w:rPr>
            <w:webHidden/>
          </w:rPr>
        </w:r>
        <w:r w:rsidR="00067CE9" w:rsidRPr="00067CE9">
          <w:rPr>
            <w:webHidden/>
          </w:rPr>
          <w:fldChar w:fldCharType="separate"/>
        </w:r>
        <w:r w:rsidR="00067CE9" w:rsidRPr="00067CE9">
          <w:rPr>
            <w:webHidden/>
          </w:rPr>
          <w:t>55</w:t>
        </w:r>
        <w:r w:rsidR="00067CE9" w:rsidRPr="00067CE9">
          <w:rPr>
            <w:webHidden/>
          </w:rPr>
          <w:fldChar w:fldCharType="end"/>
        </w:r>
      </w:hyperlink>
    </w:p>
    <w:p w14:paraId="72296BB3" w14:textId="5813CE87" w:rsidR="00067CE9" w:rsidRPr="00067CE9" w:rsidRDefault="00877370">
      <w:pPr>
        <w:pStyle w:val="TOC3"/>
        <w:rPr>
          <w:rFonts w:asciiTheme="minorHAnsi" w:eastAsiaTheme="minorEastAsia" w:hAnsiTheme="minorHAnsi" w:cstheme="minorBidi"/>
          <w:b w:val="0"/>
          <w:color w:val="auto"/>
          <w:lang w:val="en-AU" w:eastAsia="en-GB"/>
        </w:rPr>
      </w:pPr>
      <w:hyperlink w:anchor="_Toc73045625" w:history="1">
        <w:r w:rsidR="00067CE9" w:rsidRPr="00067CE9">
          <w:rPr>
            <w:rStyle w:val="Hyperlink"/>
          </w:rPr>
          <w:t>4.2.2</w:t>
        </w:r>
        <w:r w:rsidR="00067CE9" w:rsidRPr="00067CE9">
          <w:rPr>
            <w:rFonts w:asciiTheme="minorHAnsi" w:eastAsiaTheme="minorEastAsia" w:hAnsiTheme="minorHAnsi" w:cstheme="minorBidi"/>
            <w:b w:val="0"/>
            <w:color w:val="auto"/>
            <w:lang w:val="en-AU" w:eastAsia="en-GB"/>
          </w:rPr>
          <w:tab/>
        </w:r>
        <w:r w:rsidR="00067CE9" w:rsidRPr="00067CE9">
          <w:rPr>
            <w:rStyle w:val="Hyperlink"/>
          </w:rPr>
          <w:t>Technical requirements and economic factors for small-scale production plants</w:t>
        </w:r>
        <w:r w:rsidR="00067CE9" w:rsidRPr="00067CE9">
          <w:rPr>
            <w:webHidden/>
          </w:rPr>
          <w:tab/>
        </w:r>
        <w:r w:rsidR="00067CE9" w:rsidRPr="00067CE9">
          <w:rPr>
            <w:webHidden/>
          </w:rPr>
          <w:fldChar w:fldCharType="begin"/>
        </w:r>
        <w:r w:rsidR="00067CE9" w:rsidRPr="00067CE9">
          <w:rPr>
            <w:webHidden/>
          </w:rPr>
          <w:instrText xml:space="preserve"> PAGEREF _Toc73045625 \h </w:instrText>
        </w:r>
        <w:r w:rsidR="00067CE9" w:rsidRPr="00067CE9">
          <w:rPr>
            <w:webHidden/>
          </w:rPr>
        </w:r>
        <w:r w:rsidR="00067CE9" w:rsidRPr="00067CE9">
          <w:rPr>
            <w:webHidden/>
          </w:rPr>
          <w:fldChar w:fldCharType="separate"/>
        </w:r>
        <w:r w:rsidR="00067CE9" w:rsidRPr="00067CE9">
          <w:rPr>
            <w:webHidden/>
          </w:rPr>
          <w:t>56</w:t>
        </w:r>
        <w:r w:rsidR="00067CE9" w:rsidRPr="00067CE9">
          <w:rPr>
            <w:webHidden/>
          </w:rPr>
          <w:fldChar w:fldCharType="end"/>
        </w:r>
      </w:hyperlink>
    </w:p>
    <w:p w14:paraId="3A1597EE" w14:textId="3FF8494E" w:rsidR="00067CE9" w:rsidRPr="00067CE9" w:rsidRDefault="00877370">
      <w:pPr>
        <w:pStyle w:val="TOC1"/>
        <w:rPr>
          <w:rFonts w:asciiTheme="minorHAnsi" w:eastAsiaTheme="minorEastAsia" w:hAnsiTheme="minorHAnsi" w:cstheme="minorBidi"/>
          <w:b w:val="0"/>
          <w:bCs w:val="0"/>
          <w:caps w:val="0"/>
          <w:color w:val="auto"/>
          <w:sz w:val="20"/>
          <w:szCs w:val="20"/>
          <w:lang w:val="en-AU" w:eastAsia="en-GB"/>
        </w:rPr>
      </w:pPr>
      <w:hyperlink w:anchor="_Toc73045626" w:history="1">
        <w:r w:rsidR="00067CE9" w:rsidRPr="00067CE9">
          <w:rPr>
            <w:rStyle w:val="Hyperlink"/>
            <w:sz w:val="20"/>
            <w:szCs w:val="20"/>
          </w:rPr>
          <w:t>5</w:t>
        </w:r>
        <w:r w:rsidR="00067CE9" w:rsidRPr="00067CE9">
          <w:rPr>
            <w:rFonts w:asciiTheme="minorHAnsi" w:eastAsiaTheme="minorEastAsia" w:hAnsiTheme="minorHAnsi" w:cstheme="minorBidi"/>
            <w:b w:val="0"/>
            <w:bCs w:val="0"/>
            <w:caps w:val="0"/>
            <w:color w:val="auto"/>
            <w:sz w:val="20"/>
            <w:szCs w:val="20"/>
            <w:lang w:val="en-AU" w:eastAsia="en-GB"/>
          </w:rPr>
          <w:tab/>
        </w:r>
        <w:r w:rsidR="00067CE9" w:rsidRPr="00067CE9">
          <w:rPr>
            <w:rStyle w:val="Hyperlink"/>
            <w:sz w:val="20"/>
            <w:szCs w:val="20"/>
          </w:rPr>
          <w:t>Types of CFC-11 products and their disposition, and opportunities for detection and potential recovery of CFC-11</w:t>
        </w:r>
        <w:r w:rsidR="00067CE9" w:rsidRPr="00067CE9">
          <w:rPr>
            <w:webHidden/>
            <w:sz w:val="20"/>
            <w:szCs w:val="20"/>
          </w:rPr>
          <w:tab/>
        </w:r>
        <w:r w:rsidR="00067CE9" w:rsidRPr="00067CE9">
          <w:rPr>
            <w:webHidden/>
            <w:sz w:val="20"/>
            <w:szCs w:val="20"/>
          </w:rPr>
          <w:fldChar w:fldCharType="begin"/>
        </w:r>
        <w:r w:rsidR="00067CE9" w:rsidRPr="00067CE9">
          <w:rPr>
            <w:webHidden/>
            <w:sz w:val="20"/>
            <w:szCs w:val="20"/>
          </w:rPr>
          <w:instrText xml:space="preserve"> PAGEREF _Toc73045626 \h </w:instrText>
        </w:r>
        <w:r w:rsidR="00067CE9" w:rsidRPr="00067CE9">
          <w:rPr>
            <w:webHidden/>
            <w:sz w:val="20"/>
            <w:szCs w:val="20"/>
          </w:rPr>
        </w:r>
        <w:r w:rsidR="00067CE9" w:rsidRPr="00067CE9">
          <w:rPr>
            <w:webHidden/>
            <w:sz w:val="20"/>
            <w:szCs w:val="20"/>
          </w:rPr>
          <w:fldChar w:fldCharType="separate"/>
        </w:r>
        <w:r w:rsidR="00067CE9" w:rsidRPr="00067CE9">
          <w:rPr>
            <w:webHidden/>
            <w:sz w:val="20"/>
            <w:szCs w:val="20"/>
          </w:rPr>
          <w:t>59</w:t>
        </w:r>
        <w:r w:rsidR="00067CE9" w:rsidRPr="00067CE9">
          <w:rPr>
            <w:webHidden/>
            <w:sz w:val="20"/>
            <w:szCs w:val="20"/>
          </w:rPr>
          <w:fldChar w:fldCharType="end"/>
        </w:r>
      </w:hyperlink>
    </w:p>
    <w:p w14:paraId="6972607F" w14:textId="7C202EE6" w:rsidR="00067CE9" w:rsidRPr="00067CE9" w:rsidRDefault="00877370">
      <w:pPr>
        <w:pStyle w:val="TOC2"/>
        <w:rPr>
          <w:rFonts w:asciiTheme="minorHAnsi" w:eastAsiaTheme="minorEastAsia" w:hAnsiTheme="minorHAnsi" w:cstheme="minorBidi"/>
          <w:b w:val="0"/>
          <w:bCs w:val="0"/>
          <w:color w:val="auto"/>
          <w:lang w:val="en-AU" w:eastAsia="en-GB"/>
        </w:rPr>
      </w:pPr>
      <w:hyperlink w:anchor="_Toc73045627" w:history="1">
        <w:r w:rsidR="00067CE9" w:rsidRPr="00067CE9">
          <w:rPr>
            <w:rStyle w:val="Hyperlink"/>
          </w:rPr>
          <w:t>5.1</w:t>
        </w:r>
        <w:r w:rsidR="00067CE9" w:rsidRPr="00067CE9">
          <w:rPr>
            <w:rFonts w:asciiTheme="minorHAnsi" w:eastAsiaTheme="minorEastAsia" w:hAnsiTheme="minorHAnsi" w:cstheme="minorBidi"/>
            <w:b w:val="0"/>
            <w:bCs w:val="0"/>
            <w:color w:val="auto"/>
            <w:lang w:val="en-AU" w:eastAsia="en-GB"/>
          </w:rPr>
          <w:tab/>
        </w:r>
        <w:r w:rsidR="00067CE9" w:rsidRPr="00067CE9">
          <w:rPr>
            <w:rStyle w:val="Hyperlink"/>
          </w:rPr>
          <w:t>Foam products</w:t>
        </w:r>
        <w:r w:rsidR="00067CE9" w:rsidRPr="00067CE9">
          <w:rPr>
            <w:webHidden/>
          </w:rPr>
          <w:tab/>
        </w:r>
        <w:r w:rsidR="00067CE9" w:rsidRPr="00067CE9">
          <w:rPr>
            <w:webHidden/>
          </w:rPr>
          <w:fldChar w:fldCharType="begin"/>
        </w:r>
        <w:r w:rsidR="00067CE9" w:rsidRPr="00067CE9">
          <w:rPr>
            <w:webHidden/>
          </w:rPr>
          <w:instrText xml:space="preserve"> PAGEREF _Toc73045627 \h </w:instrText>
        </w:r>
        <w:r w:rsidR="00067CE9" w:rsidRPr="00067CE9">
          <w:rPr>
            <w:webHidden/>
          </w:rPr>
        </w:r>
        <w:r w:rsidR="00067CE9" w:rsidRPr="00067CE9">
          <w:rPr>
            <w:webHidden/>
          </w:rPr>
          <w:fldChar w:fldCharType="separate"/>
        </w:r>
        <w:r w:rsidR="00067CE9" w:rsidRPr="00067CE9">
          <w:rPr>
            <w:webHidden/>
          </w:rPr>
          <w:t>59</w:t>
        </w:r>
        <w:r w:rsidR="00067CE9" w:rsidRPr="00067CE9">
          <w:rPr>
            <w:webHidden/>
          </w:rPr>
          <w:fldChar w:fldCharType="end"/>
        </w:r>
      </w:hyperlink>
    </w:p>
    <w:p w14:paraId="63ECDC93" w14:textId="2BA6349D" w:rsidR="00067CE9" w:rsidRPr="00067CE9" w:rsidRDefault="00877370">
      <w:pPr>
        <w:pStyle w:val="TOC3"/>
        <w:rPr>
          <w:rFonts w:asciiTheme="minorHAnsi" w:eastAsiaTheme="minorEastAsia" w:hAnsiTheme="minorHAnsi" w:cstheme="minorBidi"/>
          <w:b w:val="0"/>
          <w:color w:val="auto"/>
          <w:lang w:val="en-AU" w:eastAsia="en-GB"/>
        </w:rPr>
      </w:pPr>
      <w:hyperlink w:anchor="_Toc73045628" w:history="1">
        <w:r w:rsidR="00067CE9" w:rsidRPr="00067CE9">
          <w:rPr>
            <w:rStyle w:val="Hyperlink"/>
          </w:rPr>
          <w:t>5.1.1</w:t>
        </w:r>
        <w:r w:rsidR="00067CE9" w:rsidRPr="00067CE9">
          <w:rPr>
            <w:rFonts w:asciiTheme="minorHAnsi" w:eastAsiaTheme="minorEastAsia" w:hAnsiTheme="minorHAnsi" w:cstheme="minorBidi"/>
            <w:b w:val="0"/>
            <w:color w:val="auto"/>
            <w:lang w:val="en-AU" w:eastAsia="en-GB"/>
          </w:rPr>
          <w:tab/>
        </w:r>
        <w:r w:rsidR="00067CE9" w:rsidRPr="00067CE9">
          <w:rPr>
            <w:rStyle w:val="Hyperlink"/>
          </w:rPr>
          <w:t>Methods to detect CFC-11 in foam products</w:t>
        </w:r>
        <w:r w:rsidR="00067CE9" w:rsidRPr="00067CE9">
          <w:rPr>
            <w:webHidden/>
          </w:rPr>
          <w:tab/>
        </w:r>
        <w:r w:rsidR="00067CE9" w:rsidRPr="00067CE9">
          <w:rPr>
            <w:webHidden/>
          </w:rPr>
          <w:fldChar w:fldCharType="begin"/>
        </w:r>
        <w:r w:rsidR="00067CE9" w:rsidRPr="00067CE9">
          <w:rPr>
            <w:webHidden/>
          </w:rPr>
          <w:instrText xml:space="preserve"> PAGEREF _Toc73045628 \h </w:instrText>
        </w:r>
        <w:r w:rsidR="00067CE9" w:rsidRPr="00067CE9">
          <w:rPr>
            <w:webHidden/>
          </w:rPr>
        </w:r>
        <w:r w:rsidR="00067CE9" w:rsidRPr="00067CE9">
          <w:rPr>
            <w:webHidden/>
          </w:rPr>
          <w:fldChar w:fldCharType="separate"/>
        </w:r>
        <w:r w:rsidR="00067CE9" w:rsidRPr="00067CE9">
          <w:rPr>
            <w:webHidden/>
          </w:rPr>
          <w:t>63</w:t>
        </w:r>
        <w:r w:rsidR="00067CE9" w:rsidRPr="00067CE9">
          <w:rPr>
            <w:webHidden/>
          </w:rPr>
          <w:fldChar w:fldCharType="end"/>
        </w:r>
      </w:hyperlink>
    </w:p>
    <w:p w14:paraId="10D6D796" w14:textId="1A95D4F6" w:rsidR="00067CE9" w:rsidRPr="00067CE9" w:rsidRDefault="00877370">
      <w:pPr>
        <w:pStyle w:val="TOC3"/>
        <w:rPr>
          <w:rFonts w:asciiTheme="minorHAnsi" w:eastAsiaTheme="minorEastAsia" w:hAnsiTheme="minorHAnsi" w:cstheme="minorBidi"/>
          <w:b w:val="0"/>
          <w:color w:val="auto"/>
          <w:lang w:val="en-AU" w:eastAsia="en-GB"/>
        </w:rPr>
      </w:pPr>
      <w:hyperlink w:anchor="_Toc73045629" w:history="1">
        <w:r w:rsidR="00067CE9" w:rsidRPr="00067CE9">
          <w:rPr>
            <w:rStyle w:val="Hyperlink"/>
          </w:rPr>
          <w:t>5.1.2</w:t>
        </w:r>
        <w:r w:rsidR="00067CE9" w:rsidRPr="00067CE9">
          <w:rPr>
            <w:rFonts w:asciiTheme="minorHAnsi" w:eastAsiaTheme="minorEastAsia" w:hAnsiTheme="minorHAnsi" w:cstheme="minorBidi"/>
            <w:b w:val="0"/>
            <w:color w:val="auto"/>
            <w:lang w:val="en-AU" w:eastAsia="en-GB"/>
          </w:rPr>
          <w:tab/>
        </w:r>
        <w:r w:rsidR="00067CE9" w:rsidRPr="00067CE9">
          <w:rPr>
            <w:rStyle w:val="Hyperlink"/>
          </w:rPr>
          <w:t>Recovery of CFC-11 from foam products</w:t>
        </w:r>
        <w:r w:rsidR="00067CE9" w:rsidRPr="00067CE9">
          <w:rPr>
            <w:webHidden/>
          </w:rPr>
          <w:tab/>
        </w:r>
        <w:r w:rsidR="00067CE9" w:rsidRPr="00067CE9">
          <w:rPr>
            <w:webHidden/>
          </w:rPr>
          <w:fldChar w:fldCharType="begin"/>
        </w:r>
        <w:r w:rsidR="00067CE9" w:rsidRPr="00067CE9">
          <w:rPr>
            <w:webHidden/>
          </w:rPr>
          <w:instrText xml:space="preserve"> PAGEREF _Toc73045629 \h </w:instrText>
        </w:r>
        <w:r w:rsidR="00067CE9" w:rsidRPr="00067CE9">
          <w:rPr>
            <w:webHidden/>
          </w:rPr>
        </w:r>
        <w:r w:rsidR="00067CE9" w:rsidRPr="00067CE9">
          <w:rPr>
            <w:webHidden/>
          </w:rPr>
          <w:fldChar w:fldCharType="separate"/>
        </w:r>
        <w:r w:rsidR="00067CE9" w:rsidRPr="00067CE9">
          <w:rPr>
            <w:webHidden/>
          </w:rPr>
          <w:t>63</w:t>
        </w:r>
        <w:r w:rsidR="00067CE9" w:rsidRPr="00067CE9">
          <w:rPr>
            <w:webHidden/>
          </w:rPr>
          <w:fldChar w:fldCharType="end"/>
        </w:r>
      </w:hyperlink>
    </w:p>
    <w:p w14:paraId="1D19435A" w14:textId="59A670EE" w:rsidR="00067CE9" w:rsidRPr="00067CE9" w:rsidRDefault="00877370">
      <w:pPr>
        <w:pStyle w:val="TOC2"/>
        <w:rPr>
          <w:rFonts w:asciiTheme="minorHAnsi" w:eastAsiaTheme="minorEastAsia" w:hAnsiTheme="minorHAnsi" w:cstheme="minorBidi"/>
          <w:b w:val="0"/>
          <w:bCs w:val="0"/>
          <w:color w:val="auto"/>
          <w:lang w:val="en-AU" w:eastAsia="en-GB"/>
        </w:rPr>
      </w:pPr>
      <w:hyperlink w:anchor="_Toc73045630" w:history="1">
        <w:r w:rsidR="00067CE9" w:rsidRPr="00067CE9">
          <w:rPr>
            <w:rStyle w:val="Hyperlink"/>
          </w:rPr>
          <w:t>5.2</w:t>
        </w:r>
        <w:r w:rsidR="00067CE9" w:rsidRPr="00067CE9">
          <w:rPr>
            <w:rFonts w:asciiTheme="minorHAnsi" w:eastAsiaTheme="minorEastAsia" w:hAnsiTheme="minorHAnsi" w:cstheme="minorBidi"/>
            <w:b w:val="0"/>
            <w:bCs w:val="0"/>
            <w:color w:val="auto"/>
            <w:lang w:val="en-AU" w:eastAsia="en-GB"/>
          </w:rPr>
          <w:tab/>
        </w:r>
        <w:r w:rsidR="00067CE9" w:rsidRPr="00067CE9">
          <w:rPr>
            <w:rStyle w:val="Hyperlink"/>
          </w:rPr>
          <w:t>Centrifugal chillers</w:t>
        </w:r>
        <w:r w:rsidR="00067CE9" w:rsidRPr="00067CE9">
          <w:rPr>
            <w:webHidden/>
          </w:rPr>
          <w:tab/>
        </w:r>
        <w:r w:rsidR="00067CE9" w:rsidRPr="00067CE9">
          <w:rPr>
            <w:webHidden/>
          </w:rPr>
          <w:fldChar w:fldCharType="begin"/>
        </w:r>
        <w:r w:rsidR="00067CE9" w:rsidRPr="00067CE9">
          <w:rPr>
            <w:webHidden/>
          </w:rPr>
          <w:instrText xml:space="preserve"> PAGEREF _Toc73045630 \h </w:instrText>
        </w:r>
        <w:r w:rsidR="00067CE9" w:rsidRPr="00067CE9">
          <w:rPr>
            <w:webHidden/>
          </w:rPr>
        </w:r>
        <w:r w:rsidR="00067CE9" w:rsidRPr="00067CE9">
          <w:rPr>
            <w:webHidden/>
          </w:rPr>
          <w:fldChar w:fldCharType="separate"/>
        </w:r>
        <w:r w:rsidR="00067CE9" w:rsidRPr="00067CE9">
          <w:rPr>
            <w:webHidden/>
          </w:rPr>
          <w:t>66</w:t>
        </w:r>
        <w:r w:rsidR="00067CE9" w:rsidRPr="00067CE9">
          <w:rPr>
            <w:webHidden/>
          </w:rPr>
          <w:fldChar w:fldCharType="end"/>
        </w:r>
      </w:hyperlink>
    </w:p>
    <w:p w14:paraId="6D398D76" w14:textId="67FCA7CD" w:rsidR="00067CE9" w:rsidRPr="00067CE9" w:rsidRDefault="00877370">
      <w:pPr>
        <w:pStyle w:val="TOC3"/>
        <w:rPr>
          <w:rFonts w:asciiTheme="minorHAnsi" w:eastAsiaTheme="minorEastAsia" w:hAnsiTheme="minorHAnsi" w:cstheme="minorBidi"/>
          <w:b w:val="0"/>
          <w:color w:val="auto"/>
          <w:lang w:val="en-AU" w:eastAsia="en-GB"/>
        </w:rPr>
      </w:pPr>
      <w:hyperlink w:anchor="_Toc73045631" w:history="1">
        <w:r w:rsidR="00067CE9" w:rsidRPr="00067CE9">
          <w:rPr>
            <w:rStyle w:val="Hyperlink"/>
          </w:rPr>
          <w:t>5.2.1</w:t>
        </w:r>
        <w:r w:rsidR="00067CE9" w:rsidRPr="00067CE9">
          <w:rPr>
            <w:rFonts w:asciiTheme="minorHAnsi" w:eastAsiaTheme="minorEastAsia" w:hAnsiTheme="minorHAnsi" w:cstheme="minorBidi"/>
            <w:b w:val="0"/>
            <w:color w:val="auto"/>
            <w:lang w:val="en-AU" w:eastAsia="en-GB"/>
          </w:rPr>
          <w:tab/>
        </w:r>
        <w:r w:rsidR="00067CE9" w:rsidRPr="00067CE9">
          <w:rPr>
            <w:rStyle w:val="Hyperlink"/>
          </w:rPr>
          <w:t>Methods to detect CFC-11 in refrigerants</w:t>
        </w:r>
        <w:r w:rsidR="00067CE9" w:rsidRPr="00067CE9">
          <w:rPr>
            <w:webHidden/>
          </w:rPr>
          <w:tab/>
        </w:r>
        <w:r w:rsidR="00067CE9" w:rsidRPr="00067CE9">
          <w:rPr>
            <w:webHidden/>
          </w:rPr>
          <w:fldChar w:fldCharType="begin"/>
        </w:r>
        <w:r w:rsidR="00067CE9" w:rsidRPr="00067CE9">
          <w:rPr>
            <w:webHidden/>
          </w:rPr>
          <w:instrText xml:space="preserve"> PAGEREF _Toc73045631 \h </w:instrText>
        </w:r>
        <w:r w:rsidR="00067CE9" w:rsidRPr="00067CE9">
          <w:rPr>
            <w:webHidden/>
          </w:rPr>
        </w:r>
        <w:r w:rsidR="00067CE9" w:rsidRPr="00067CE9">
          <w:rPr>
            <w:webHidden/>
          </w:rPr>
          <w:fldChar w:fldCharType="separate"/>
        </w:r>
        <w:r w:rsidR="00067CE9" w:rsidRPr="00067CE9">
          <w:rPr>
            <w:webHidden/>
          </w:rPr>
          <w:t>68</w:t>
        </w:r>
        <w:r w:rsidR="00067CE9" w:rsidRPr="00067CE9">
          <w:rPr>
            <w:webHidden/>
          </w:rPr>
          <w:fldChar w:fldCharType="end"/>
        </w:r>
      </w:hyperlink>
    </w:p>
    <w:p w14:paraId="53F4E9CB" w14:textId="3777AEE6" w:rsidR="00067CE9" w:rsidRPr="00067CE9" w:rsidRDefault="00877370">
      <w:pPr>
        <w:pStyle w:val="TOC3"/>
        <w:rPr>
          <w:rFonts w:asciiTheme="minorHAnsi" w:eastAsiaTheme="minorEastAsia" w:hAnsiTheme="minorHAnsi" w:cstheme="minorBidi"/>
          <w:b w:val="0"/>
          <w:color w:val="auto"/>
          <w:lang w:val="en-AU" w:eastAsia="en-GB"/>
        </w:rPr>
      </w:pPr>
      <w:hyperlink w:anchor="_Toc73045632" w:history="1">
        <w:r w:rsidR="00067CE9" w:rsidRPr="00067CE9">
          <w:rPr>
            <w:rStyle w:val="Hyperlink"/>
          </w:rPr>
          <w:t>5.2.2</w:t>
        </w:r>
        <w:r w:rsidR="00067CE9" w:rsidRPr="00067CE9">
          <w:rPr>
            <w:rFonts w:asciiTheme="minorHAnsi" w:eastAsiaTheme="minorEastAsia" w:hAnsiTheme="minorHAnsi" w:cstheme="minorBidi"/>
            <w:b w:val="0"/>
            <w:color w:val="auto"/>
            <w:lang w:val="en-AU" w:eastAsia="en-GB"/>
          </w:rPr>
          <w:tab/>
        </w:r>
        <w:r w:rsidR="00067CE9" w:rsidRPr="00067CE9">
          <w:rPr>
            <w:rStyle w:val="Hyperlink"/>
          </w:rPr>
          <w:t>Availability of CFC-11 for recovery from centrifugal chillers</w:t>
        </w:r>
        <w:r w:rsidR="00067CE9" w:rsidRPr="00067CE9">
          <w:rPr>
            <w:webHidden/>
          </w:rPr>
          <w:tab/>
        </w:r>
        <w:r w:rsidR="00067CE9" w:rsidRPr="00067CE9">
          <w:rPr>
            <w:webHidden/>
          </w:rPr>
          <w:fldChar w:fldCharType="begin"/>
        </w:r>
        <w:r w:rsidR="00067CE9" w:rsidRPr="00067CE9">
          <w:rPr>
            <w:webHidden/>
          </w:rPr>
          <w:instrText xml:space="preserve"> PAGEREF _Toc73045632 \h </w:instrText>
        </w:r>
        <w:r w:rsidR="00067CE9" w:rsidRPr="00067CE9">
          <w:rPr>
            <w:webHidden/>
          </w:rPr>
        </w:r>
        <w:r w:rsidR="00067CE9" w:rsidRPr="00067CE9">
          <w:rPr>
            <w:webHidden/>
          </w:rPr>
          <w:fldChar w:fldCharType="separate"/>
        </w:r>
        <w:r w:rsidR="00067CE9" w:rsidRPr="00067CE9">
          <w:rPr>
            <w:webHidden/>
          </w:rPr>
          <w:t>68</w:t>
        </w:r>
        <w:r w:rsidR="00067CE9" w:rsidRPr="00067CE9">
          <w:rPr>
            <w:webHidden/>
          </w:rPr>
          <w:fldChar w:fldCharType="end"/>
        </w:r>
      </w:hyperlink>
    </w:p>
    <w:p w14:paraId="75B9E962" w14:textId="1612EC16" w:rsidR="00067CE9" w:rsidRPr="00067CE9" w:rsidRDefault="00877370">
      <w:pPr>
        <w:pStyle w:val="TOC3"/>
        <w:rPr>
          <w:rFonts w:asciiTheme="minorHAnsi" w:eastAsiaTheme="minorEastAsia" w:hAnsiTheme="minorHAnsi" w:cstheme="minorBidi"/>
          <w:b w:val="0"/>
          <w:color w:val="auto"/>
          <w:lang w:val="en-AU" w:eastAsia="en-GB"/>
        </w:rPr>
      </w:pPr>
      <w:hyperlink w:anchor="_Toc73045633" w:history="1">
        <w:r w:rsidR="00067CE9" w:rsidRPr="00067CE9">
          <w:rPr>
            <w:rStyle w:val="Hyperlink"/>
          </w:rPr>
          <w:t>5.2.3</w:t>
        </w:r>
        <w:r w:rsidR="00067CE9" w:rsidRPr="00067CE9">
          <w:rPr>
            <w:rFonts w:asciiTheme="minorHAnsi" w:eastAsiaTheme="minorEastAsia" w:hAnsiTheme="minorHAnsi" w:cstheme="minorBidi"/>
            <w:b w:val="0"/>
            <w:color w:val="auto"/>
            <w:lang w:val="en-AU" w:eastAsia="en-GB"/>
          </w:rPr>
          <w:tab/>
        </w:r>
        <w:r w:rsidR="00067CE9" w:rsidRPr="00067CE9">
          <w:rPr>
            <w:rStyle w:val="Hyperlink"/>
          </w:rPr>
          <w:t>Recovery and disposition of CFC-11 from centrifugal chillers</w:t>
        </w:r>
        <w:r w:rsidR="00067CE9" w:rsidRPr="00067CE9">
          <w:rPr>
            <w:webHidden/>
          </w:rPr>
          <w:tab/>
        </w:r>
        <w:r w:rsidR="00067CE9" w:rsidRPr="00067CE9">
          <w:rPr>
            <w:webHidden/>
          </w:rPr>
          <w:fldChar w:fldCharType="begin"/>
        </w:r>
        <w:r w:rsidR="00067CE9" w:rsidRPr="00067CE9">
          <w:rPr>
            <w:webHidden/>
          </w:rPr>
          <w:instrText xml:space="preserve"> PAGEREF _Toc73045633 \h </w:instrText>
        </w:r>
        <w:r w:rsidR="00067CE9" w:rsidRPr="00067CE9">
          <w:rPr>
            <w:webHidden/>
          </w:rPr>
        </w:r>
        <w:r w:rsidR="00067CE9" w:rsidRPr="00067CE9">
          <w:rPr>
            <w:webHidden/>
          </w:rPr>
          <w:fldChar w:fldCharType="separate"/>
        </w:r>
        <w:r w:rsidR="00067CE9" w:rsidRPr="00067CE9">
          <w:rPr>
            <w:webHidden/>
          </w:rPr>
          <w:t>69</w:t>
        </w:r>
        <w:r w:rsidR="00067CE9" w:rsidRPr="00067CE9">
          <w:rPr>
            <w:webHidden/>
          </w:rPr>
          <w:fldChar w:fldCharType="end"/>
        </w:r>
      </w:hyperlink>
    </w:p>
    <w:p w14:paraId="783B503B" w14:textId="599415D4" w:rsidR="00067CE9" w:rsidRPr="00067CE9" w:rsidRDefault="00877370">
      <w:pPr>
        <w:pStyle w:val="TOC2"/>
        <w:rPr>
          <w:rFonts w:asciiTheme="minorHAnsi" w:eastAsiaTheme="minorEastAsia" w:hAnsiTheme="minorHAnsi" w:cstheme="minorBidi"/>
          <w:b w:val="0"/>
          <w:bCs w:val="0"/>
          <w:color w:val="auto"/>
          <w:lang w:val="en-AU" w:eastAsia="en-GB"/>
        </w:rPr>
      </w:pPr>
      <w:hyperlink w:anchor="_Toc73045634" w:history="1">
        <w:r w:rsidR="00067CE9" w:rsidRPr="00067CE9">
          <w:rPr>
            <w:rStyle w:val="Hyperlink"/>
          </w:rPr>
          <w:t>5.3</w:t>
        </w:r>
        <w:r w:rsidR="00067CE9" w:rsidRPr="00067CE9">
          <w:rPr>
            <w:rFonts w:asciiTheme="minorHAnsi" w:eastAsiaTheme="minorEastAsia" w:hAnsiTheme="minorHAnsi" w:cstheme="minorBidi"/>
            <w:b w:val="0"/>
            <w:bCs w:val="0"/>
            <w:color w:val="auto"/>
            <w:lang w:val="en-AU" w:eastAsia="en-GB"/>
          </w:rPr>
          <w:tab/>
        </w:r>
        <w:r w:rsidR="00067CE9" w:rsidRPr="00067CE9">
          <w:rPr>
            <w:rStyle w:val="Hyperlink"/>
          </w:rPr>
          <w:t>Aerosols, solvents and other uses</w:t>
        </w:r>
        <w:r w:rsidR="00067CE9" w:rsidRPr="00067CE9">
          <w:rPr>
            <w:webHidden/>
          </w:rPr>
          <w:tab/>
        </w:r>
        <w:r w:rsidR="00067CE9" w:rsidRPr="00067CE9">
          <w:rPr>
            <w:webHidden/>
          </w:rPr>
          <w:fldChar w:fldCharType="begin"/>
        </w:r>
        <w:r w:rsidR="00067CE9" w:rsidRPr="00067CE9">
          <w:rPr>
            <w:webHidden/>
          </w:rPr>
          <w:instrText xml:space="preserve"> PAGEREF _Toc73045634 \h </w:instrText>
        </w:r>
        <w:r w:rsidR="00067CE9" w:rsidRPr="00067CE9">
          <w:rPr>
            <w:webHidden/>
          </w:rPr>
        </w:r>
        <w:r w:rsidR="00067CE9" w:rsidRPr="00067CE9">
          <w:rPr>
            <w:webHidden/>
          </w:rPr>
          <w:fldChar w:fldCharType="separate"/>
        </w:r>
        <w:r w:rsidR="00067CE9" w:rsidRPr="00067CE9">
          <w:rPr>
            <w:webHidden/>
          </w:rPr>
          <w:t>70</w:t>
        </w:r>
        <w:r w:rsidR="00067CE9" w:rsidRPr="00067CE9">
          <w:rPr>
            <w:webHidden/>
          </w:rPr>
          <w:fldChar w:fldCharType="end"/>
        </w:r>
      </w:hyperlink>
    </w:p>
    <w:p w14:paraId="1681DC8D" w14:textId="15541C1A" w:rsidR="00067CE9" w:rsidRPr="00067CE9" w:rsidRDefault="00877370">
      <w:pPr>
        <w:pStyle w:val="TOC2"/>
        <w:rPr>
          <w:rFonts w:asciiTheme="minorHAnsi" w:eastAsiaTheme="minorEastAsia" w:hAnsiTheme="minorHAnsi" w:cstheme="minorBidi"/>
          <w:b w:val="0"/>
          <w:bCs w:val="0"/>
          <w:color w:val="auto"/>
          <w:lang w:val="en-AU" w:eastAsia="en-GB"/>
        </w:rPr>
      </w:pPr>
      <w:hyperlink w:anchor="_Toc73045635" w:history="1">
        <w:r w:rsidR="00067CE9" w:rsidRPr="00067CE9">
          <w:rPr>
            <w:rStyle w:val="Hyperlink"/>
          </w:rPr>
          <w:t>5.4</w:t>
        </w:r>
        <w:r w:rsidR="00067CE9" w:rsidRPr="00067CE9">
          <w:rPr>
            <w:rFonts w:asciiTheme="minorHAnsi" w:eastAsiaTheme="minorEastAsia" w:hAnsiTheme="minorHAnsi" w:cstheme="minorBidi"/>
            <w:b w:val="0"/>
            <w:bCs w:val="0"/>
            <w:color w:val="auto"/>
            <w:lang w:val="en-AU" w:eastAsia="en-GB"/>
          </w:rPr>
          <w:tab/>
        </w:r>
        <w:r w:rsidR="00067CE9" w:rsidRPr="00067CE9">
          <w:rPr>
            <w:rStyle w:val="Hyperlink"/>
          </w:rPr>
          <w:t>Opportunities to detect CFC-11</w:t>
        </w:r>
        <w:r w:rsidR="00067CE9" w:rsidRPr="00067CE9">
          <w:rPr>
            <w:webHidden/>
          </w:rPr>
          <w:tab/>
        </w:r>
        <w:r w:rsidR="00067CE9" w:rsidRPr="00067CE9">
          <w:rPr>
            <w:webHidden/>
          </w:rPr>
          <w:fldChar w:fldCharType="begin"/>
        </w:r>
        <w:r w:rsidR="00067CE9" w:rsidRPr="00067CE9">
          <w:rPr>
            <w:webHidden/>
          </w:rPr>
          <w:instrText xml:space="preserve"> PAGEREF _Toc73045635 \h </w:instrText>
        </w:r>
        <w:r w:rsidR="00067CE9" w:rsidRPr="00067CE9">
          <w:rPr>
            <w:webHidden/>
          </w:rPr>
        </w:r>
        <w:r w:rsidR="00067CE9" w:rsidRPr="00067CE9">
          <w:rPr>
            <w:webHidden/>
          </w:rPr>
          <w:fldChar w:fldCharType="separate"/>
        </w:r>
        <w:r w:rsidR="00067CE9" w:rsidRPr="00067CE9">
          <w:rPr>
            <w:webHidden/>
          </w:rPr>
          <w:t>70</w:t>
        </w:r>
        <w:r w:rsidR="00067CE9" w:rsidRPr="00067CE9">
          <w:rPr>
            <w:webHidden/>
          </w:rPr>
          <w:fldChar w:fldCharType="end"/>
        </w:r>
      </w:hyperlink>
    </w:p>
    <w:p w14:paraId="0EF6BD1B" w14:textId="345AE3B7" w:rsidR="00067CE9" w:rsidRPr="00067CE9" w:rsidRDefault="00877370">
      <w:pPr>
        <w:pStyle w:val="TOC3"/>
        <w:rPr>
          <w:rFonts w:asciiTheme="minorHAnsi" w:eastAsiaTheme="minorEastAsia" w:hAnsiTheme="minorHAnsi" w:cstheme="minorBidi"/>
          <w:b w:val="0"/>
          <w:color w:val="auto"/>
          <w:lang w:val="en-AU" w:eastAsia="en-GB"/>
        </w:rPr>
      </w:pPr>
      <w:hyperlink w:anchor="_Toc73045636" w:history="1">
        <w:r w:rsidR="00067CE9" w:rsidRPr="00067CE9">
          <w:rPr>
            <w:rStyle w:val="Hyperlink"/>
          </w:rPr>
          <w:t>5.4.1</w:t>
        </w:r>
        <w:r w:rsidR="00067CE9" w:rsidRPr="00067CE9">
          <w:rPr>
            <w:rFonts w:asciiTheme="minorHAnsi" w:eastAsiaTheme="minorEastAsia" w:hAnsiTheme="minorHAnsi" w:cstheme="minorBidi"/>
            <w:b w:val="0"/>
            <w:color w:val="auto"/>
            <w:lang w:val="en-AU" w:eastAsia="en-GB"/>
          </w:rPr>
          <w:tab/>
        </w:r>
        <w:r w:rsidR="00067CE9" w:rsidRPr="00067CE9">
          <w:rPr>
            <w:rStyle w:val="Hyperlink"/>
          </w:rPr>
          <w:t>Methods to detect CFC-11</w:t>
        </w:r>
        <w:r w:rsidR="00067CE9" w:rsidRPr="00067CE9">
          <w:rPr>
            <w:webHidden/>
          </w:rPr>
          <w:tab/>
        </w:r>
        <w:r w:rsidR="00067CE9" w:rsidRPr="00067CE9">
          <w:rPr>
            <w:webHidden/>
          </w:rPr>
          <w:fldChar w:fldCharType="begin"/>
        </w:r>
        <w:r w:rsidR="00067CE9" w:rsidRPr="00067CE9">
          <w:rPr>
            <w:webHidden/>
          </w:rPr>
          <w:instrText xml:space="preserve"> PAGEREF _Toc73045636 \h </w:instrText>
        </w:r>
        <w:r w:rsidR="00067CE9" w:rsidRPr="00067CE9">
          <w:rPr>
            <w:webHidden/>
          </w:rPr>
        </w:r>
        <w:r w:rsidR="00067CE9" w:rsidRPr="00067CE9">
          <w:rPr>
            <w:webHidden/>
          </w:rPr>
          <w:fldChar w:fldCharType="separate"/>
        </w:r>
        <w:r w:rsidR="00067CE9" w:rsidRPr="00067CE9">
          <w:rPr>
            <w:webHidden/>
          </w:rPr>
          <w:t>70</w:t>
        </w:r>
        <w:r w:rsidR="00067CE9" w:rsidRPr="00067CE9">
          <w:rPr>
            <w:webHidden/>
          </w:rPr>
          <w:fldChar w:fldCharType="end"/>
        </w:r>
      </w:hyperlink>
    </w:p>
    <w:p w14:paraId="2AC16AE9" w14:textId="0C258329" w:rsidR="00067CE9" w:rsidRPr="00067CE9" w:rsidRDefault="00877370">
      <w:pPr>
        <w:pStyle w:val="TOC3"/>
        <w:rPr>
          <w:rFonts w:asciiTheme="minorHAnsi" w:eastAsiaTheme="minorEastAsia" w:hAnsiTheme="minorHAnsi" w:cstheme="minorBidi"/>
          <w:b w:val="0"/>
          <w:color w:val="auto"/>
          <w:lang w:val="en-AU" w:eastAsia="en-GB"/>
        </w:rPr>
      </w:pPr>
      <w:hyperlink w:anchor="_Toc73045637" w:history="1">
        <w:r w:rsidR="00067CE9" w:rsidRPr="00067CE9">
          <w:rPr>
            <w:rStyle w:val="Hyperlink"/>
          </w:rPr>
          <w:t>5.4.2</w:t>
        </w:r>
        <w:r w:rsidR="00067CE9" w:rsidRPr="00067CE9">
          <w:rPr>
            <w:rFonts w:asciiTheme="minorHAnsi" w:eastAsiaTheme="minorEastAsia" w:hAnsiTheme="minorHAnsi" w:cstheme="minorBidi"/>
            <w:b w:val="0"/>
            <w:color w:val="auto"/>
            <w:lang w:val="en-AU" w:eastAsia="en-GB"/>
          </w:rPr>
          <w:tab/>
        </w:r>
        <w:r w:rsidR="00067CE9" w:rsidRPr="00067CE9">
          <w:rPr>
            <w:rStyle w:val="Hyperlink"/>
          </w:rPr>
          <w:t>Detection of illicit international trade in CFC-11 and CFC-11 containing products</w:t>
        </w:r>
        <w:r w:rsidR="00067CE9" w:rsidRPr="00067CE9">
          <w:rPr>
            <w:webHidden/>
          </w:rPr>
          <w:tab/>
        </w:r>
        <w:r w:rsidR="00067CE9" w:rsidRPr="00067CE9">
          <w:rPr>
            <w:webHidden/>
          </w:rPr>
          <w:fldChar w:fldCharType="begin"/>
        </w:r>
        <w:r w:rsidR="00067CE9" w:rsidRPr="00067CE9">
          <w:rPr>
            <w:webHidden/>
          </w:rPr>
          <w:instrText xml:space="preserve"> PAGEREF _Toc73045637 \h </w:instrText>
        </w:r>
        <w:r w:rsidR="00067CE9" w:rsidRPr="00067CE9">
          <w:rPr>
            <w:webHidden/>
          </w:rPr>
        </w:r>
        <w:r w:rsidR="00067CE9" w:rsidRPr="00067CE9">
          <w:rPr>
            <w:webHidden/>
          </w:rPr>
          <w:fldChar w:fldCharType="separate"/>
        </w:r>
        <w:r w:rsidR="00067CE9" w:rsidRPr="00067CE9">
          <w:rPr>
            <w:webHidden/>
          </w:rPr>
          <w:t>72</w:t>
        </w:r>
        <w:r w:rsidR="00067CE9" w:rsidRPr="00067CE9">
          <w:rPr>
            <w:webHidden/>
          </w:rPr>
          <w:fldChar w:fldCharType="end"/>
        </w:r>
      </w:hyperlink>
    </w:p>
    <w:p w14:paraId="592F25AA" w14:textId="2D9016C8" w:rsidR="00067CE9" w:rsidRPr="00067CE9" w:rsidRDefault="00877370">
      <w:pPr>
        <w:pStyle w:val="TOC3"/>
        <w:rPr>
          <w:rFonts w:asciiTheme="minorHAnsi" w:eastAsiaTheme="minorEastAsia" w:hAnsiTheme="minorHAnsi" w:cstheme="minorBidi"/>
          <w:b w:val="0"/>
          <w:color w:val="auto"/>
          <w:lang w:val="en-AU" w:eastAsia="en-GB"/>
        </w:rPr>
      </w:pPr>
      <w:hyperlink w:anchor="_Toc73045638" w:history="1">
        <w:r w:rsidR="00067CE9" w:rsidRPr="00067CE9">
          <w:rPr>
            <w:rStyle w:val="Hyperlink"/>
          </w:rPr>
          <w:t>5.4.3</w:t>
        </w:r>
        <w:r w:rsidR="00067CE9" w:rsidRPr="00067CE9">
          <w:rPr>
            <w:rFonts w:asciiTheme="minorHAnsi" w:eastAsiaTheme="minorEastAsia" w:hAnsiTheme="minorHAnsi" w:cstheme="minorBidi"/>
            <w:b w:val="0"/>
            <w:color w:val="auto"/>
            <w:lang w:val="en-AU" w:eastAsia="en-GB"/>
          </w:rPr>
          <w:tab/>
        </w:r>
        <w:r w:rsidR="00067CE9" w:rsidRPr="00067CE9">
          <w:rPr>
            <w:rStyle w:val="Hyperlink"/>
          </w:rPr>
          <w:t>CFC-11 fingerprinting as a detection method to identify production sources</w:t>
        </w:r>
        <w:r w:rsidR="00067CE9" w:rsidRPr="00067CE9">
          <w:rPr>
            <w:webHidden/>
          </w:rPr>
          <w:tab/>
        </w:r>
        <w:r w:rsidR="00067CE9" w:rsidRPr="00067CE9">
          <w:rPr>
            <w:webHidden/>
          </w:rPr>
          <w:fldChar w:fldCharType="begin"/>
        </w:r>
        <w:r w:rsidR="00067CE9" w:rsidRPr="00067CE9">
          <w:rPr>
            <w:webHidden/>
          </w:rPr>
          <w:instrText xml:space="preserve"> PAGEREF _Toc73045638 \h </w:instrText>
        </w:r>
        <w:r w:rsidR="00067CE9" w:rsidRPr="00067CE9">
          <w:rPr>
            <w:webHidden/>
          </w:rPr>
        </w:r>
        <w:r w:rsidR="00067CE9" w:rsidRPr="00067CE9">
          <w:rPr>
            <w:webHidden/>
          </w:rPr>
          <w:fldChar w:fldCharType="separate"/>
        </w:r>
        <w:r w:rsidR="00067CE9" w:rsidRPr="00067CE9">
          <w:rPr>
            <w:webHidden/>
          </w:rPr>
          <w:t>74</w:t>
        </w:r>
        <w:r w:rsidR="00067CE9" w:rsidRPr="00067CE9">
          <w:rPr>
            <w:webHidden/>
          </w:rPr>
          <w:fldChar w:fldCharType="end"/>
        </w:r>
      </w:hyperlink>
    </w:p>
    <w:p w14:paraId="00C4CD5E" w14:textId="206BEC3D" w:rsidR="00067CE9" w:rsidRPr="00067CE9" w:rsidRDefault="00877370">
      <w:pPr>
        <w:pStyle w:val="TOC2"/>
        <w:rPr>
          <w:rFonts w:asciiTheme="minorHAnsi" w:eastAsiaTheme="minorEastAsia" w:hAnsiTheme="minorHAnsi" w:cstheme="minorBidi"/>
          <w:b w:val="0"/>
          <w:bCs w:val="0"/>
          <w:color w:val="auto"/>
          <w:lang w:val="en-AU" w:eastAsia="en-GB"/>
        </w:rPr>
      </w:pPr>
      <w:hyperlink w:anchor="_Toc73045639" w:history="1">
        <w:r w:rsidR="00067CE9" w:rsidRPr="00067CE9">
          <w:rPr>
            <w:rStyle w:val="Hyperlink"/>
          </w:rPr>
          <w:t>5.5</w:t>
        </w:r>
        <w:r w:rsidR="00067CE9" w:rsidRPr="00067CE9">
          <w:rPr>
            <w:rFonts w:asciiTheme="minorHAnsi" w:eastAsiaTheme="minorEastAsia" w:hAnsiTheme="minorHAnsi" w:cstheme="minorBidi"/>
            <w:b w:val="0"/>
            <w:bCs w:val="0"/>
            <w:color w:val="auto"/>
            <w:lang w:val="en-AU" w:eastAsia="en-GB"/>
          </w:rPr>
          <w:tab/>
        </w:r>
        <w:r w:rsidR="00067CE9" w:rsidRPr="00067CE9">
          <w:rPr>
            <w:rStyle w:val="Hyperlink"/>
          </w:rPr>
          <w:t>Opportunities for potential recovery and disposition of CFC-11 in products</w:t>
        </w:r>
        <w:r w:rsidR="00067CE9" w:rsidRPr="00067CE9">
          <w:rPr>
            <w:webHidden/>
          </w:rPr>
          <w:tab/>
        </w:r>
        <w:r w:rsidR="00067CE9" w:rsidRPr="00067CE9">
          <w:rPr>
            <w:webHidden/>
          </w:rPr>
          <w:fldChar w:fldCharType="begin"/>
        </w:r>
        <w:r w:rsidR="00067CE9" w:rsidRPr="00067CE9">
          <w:rPr>
            <w:webHidden/>
          </w:rPr>
          <w:instrText xml:space="preserve"> PAGEREF _Toc73045639 \h </w:instrText>
        </w:r>
        <w:r w:rsidR="00067CE9" w:rsidRPr="00067CE9">
          <w:rPr>
            <w:webHidden/>
          </w:rPr>
        </w:r>
        <w:r w:rsidR="00067CE9" w:rsidRPr="00067CE9">
          <w:rPr>
            <w:webHidden/>
          </w:rPr>
          <w:fldChar w:fldCharType="separate"/>
        </w:r>
        <w:r w:rsidR="00067CE9" w:rsidRPr="00067CE9">
          <w:rPr>
            <w:webHidden/>
          </w:rPr>
          <w:t>74</w:t>
        </w:r>
        <w:r w:rsidR="00067CE9" w:rsidRPr="00067CE9">
          <w:rPr>
            <w:webHidden/>
          </w:rPr>
          <w:fldChar w:fldCharType="end"/>
        </w:r>
      </w:hyperlink>
    </w:p>
    <w:p w14:paraId="19074420" w14:textId="1982BDC7" w:rsidR="00067CE9" w:rsidRPr="00067CE9" w:rsidRDefault="00877370">
      <w:pPr>
        <w:pStyle w:val="TOC3"/>
        <w:rPr>
          <w:rFonts w:asciiTheme="minorHAnsi" w:eastAsiaTheme="minorEastAsia" w:hAnsiTheme="minorHAnsi" w:cstheme="minorBidi"/>
          <w:b w:val="0"/>
          <w:color w:val="auto"/>
          <w:lang w:val="en-AU" w:eastAsia="en-GB"/>
        </w:rPr>
      </w:pPr>
      <w:hyperlink w:anchor="_Toc73045640" w:history="1">
        <w:r w:rsidR="00067CE9" w:rsidRPr="00067CE9">
          <w:rPr>
            <w:rStyle w:val="Hyperlink"/>
          </w:rPr>
          <w:t>5.5.1</w:t>
        </w:r>
        <w:r w:rsidR="00067CE9" w:rsidRPr="00067CE9">
          <w:rPr>
            <w:rFonts w:asciiTheme="minorHAnsi" w:eastAsiaTheme="minorEastAsia" w:hAnsiTheme="minorHAnsi" w:cstheme="minorBidi"/>
            <w:b w:val="0"/>
            <w:color w:val="auto"/>
            <w:lang w:val="en-AU" w:eastAsia="en-GB"/>
          </w:rPr>
          <w:tab/>
        </w:r>
        <w:r w:rsidR="00067CE9" w:rsidRPr="00067CE9">
          <w:rPr>
            <w:rStyle w:val="Hyperlink"/>
          </w:rPr>
          <w:t>Quantities of CFC-11 entering the waste stream available for potential recovery</w:t>
        </w:r>
        <w:r w:rsidR="00067CE9" w:rsidRPr="00067CE9">
          <w:rPr>
            <w:webHidden/>
          </w:rPr>
          <w:tab/>
        </w:r>
        <w:r w:rsidR="00067CE9" w:rsidRPr="00067CE9">
          <w:rPr>
            <w:webHidden/>
          </w:rPr>
          <w:fldChar w:fldCharType="begin"/>
        </w:r>
        <w:r w:rsidR="00067CE9" w:rsidRPr="00067CE9">
          <w:rPr>
            <w:webHidden/>
          </w:rPr>
          <w:instrText xml:space="preserve"> PAGEREF _Toc73045640 \h </w:instrText>
        </w:r>
        <w:r w:rsidR="00067CE9" w:rsidRPr="00067CE9">
          <w:rPr>
            <w:webHidden/>
          </w:rPr>
        </w:r>
        <w:r w:rsidR="00067CE9" w:rsidRPr="00067CE9">
          <w:rPr>
            <w:webHidden/>
          </w:rPr>
          <w:fldChar w:fldCharType="separate"/>
        </w:r>
        <w:r w:rsidR="00067CE9" w:rsidRPr="00067CE9">
          <w:rPr>
            <w:webHidden/>
          </w:rPr>
          <w:t>75</w:t>
        </w:r>
        <w:r w:rsidR="00067CE9" w:rsidRPr="00067CE9">
          <w:rPr>
            <w:webHidden/>
          </w:rPr>
          <w:fldChar w:fldCharType="end"/>
        </w:r>
      </w:hyperlink>
    </w:p>
    <w:p w14:paraId="46CD4336" w14:textId="37E8902B" w:rsidR="00067CE9" w:rsidRPr="00067CE9" w:rsidRDefault="00877370">
      <w:pPr>
        <w:pStyle w:val="TOC3"/>
        <w:rPr>
          <w:rFonts w:asciiTheme="minorHAnsi" w:eastAsiaTheme="minorEastAsia" w:hAnsiTheme="minorHAnsi" w:cstheme="minorBidi"/>
          <w:b w:val="0"/>
          <w:color w:val="auto"/>
          <w:lang w:val="en-AU" w:eastAsia="en-GB"/>
        </w:rPr>
      </w:pPr>
      <w:hyperlink w:anchor="_Toc73045641" w:history="1">
        <w:r w:rsidR="00067CE9" w:rsidRPr="00067CE9">
          <w:rPr>
            <w:rStyle w:val="Hyperlink"/>
          </w:rPr>
          <w:t>5.5.2</w:t>
        </w:r>
        <w:r w:rsidR="00067CE9" w:rsidRPr="00067CE9">
          <w:rPr>
            <w:rFonts w:asciiTheme="minorHAnsi" w:eastAsiaTheme="minorEastAsia" w:hAnsiTheme="minorHAnsi" w:cstheme="minorBidi"/>
            <w:b w:val="0"/>
            <w:color w:val="auto"/>
            <w:lang w:val="en-AU" w:eastAsia="en-GB"/>
          </w:rPr>
          <w:tab/>
        </w:r>
        <w:r w:rsidR="00067CE9" w:rsidRPr="00067CE9">
          <w:rPr>
            <w:rStyle w:val="Hyperlink"/>
          </w:rPr>
          <w:t>Opportunities and challenges for recovery and disposition of CFC-11</w:t>
        </w:r>
        <w:r w:rsidR="00067CE9" w:rsidRPr="00067CE9">
          <w:rPr>
            <w:webHidden/>
          </w:rPr>
          <w:tab/>
        </w:r>
        <w:r w:rsidR="00067CE9" w:rsidRPr="00067CE9">
          <w:rPr>
            <w:webHidden/>
          </w:rPr>
          <w:fldChar w:fldCharType="begin"/>
        </w:r>
        <w:r w:rsidR="00067CE9" w:rsidRPr="00067CE9">
          <w:rPr>
            <w:webHidden/>
          </w:rPr>
          <w:instrText xml:space="preserve"> PAGEREF _Toc73045641 \h </w:instrText>
        </w:r>
        <w:r w:rsidR="00067CE9" w:rsidRPr="00067CE9">
          <w:rPr>
            <w:webHidden/>
          </w:rPr>
        </w:r>
        <w:r w:rsidR="00067CE9" w:rsidRPr="00067CE9">
          <w:rPr>
            <w:webHidden/>
          </w:rPr>
          <w:fldChar w:fldCharType="separate"/>
        </w:r>
        <w:r w:rsidR="00067CE9" w:rsidRPr="00067CE9">
          <w:rPr>
            <w:webHidden/>
          </w:rPr>
          <w:t>84</w:t>
        </w:r>
        <w:r w:rsidR="00067CE9" w:rsidRPr="00067CE9">
          <w:rPr>
            <w:webHidden/>
          </w:rPr>
          <w:fldChar w:fldCharType="end"/>
        </w:r>
      </w:hyperlink>
    </w:p>
    <w:p w14:paraId="4B984DD0" w14:textId="39C072BB" w:rsidR="00067CE9" w:rsidRPr="00067CE9" w:rsidRDefault="00877370">
      <w:pPr>
        <w:pStyle w:val="TOC3"/>
        <w:rPr>
          <w:rFonts w:asciiTheme="minorHAnsi" w:eastAsiaTheme="minorEastAsia" w:hAnsiTheme="minorHAnsi" w:cstheme="minorBidi"/>
          <w:b w:val="0"/>
          <w:color w:val="auto"/>
          <w:lang w:val="en-AU" w:eastAsia="en-GB"/>
        </w:rPr>
      </w:pPr>
      <w:hyperlink w:anchor="_Toc73045642" w:history="1">
        <w:r w:rsidR="00067CE9" w:rsidRPr="00067CE9">
          <w:rPr>
            <w:rStyle w:val="Hyperlink"/>
          </w:rPr>
          <w:t>5.5.3</w:t>
        </w:r>
        <w:r w:rsidR="00067CE9" w:rsidRPr="00067CE9">
          <w:rPr>
            <w:rFonts w:asciiTheme="minorHAnsi" w:eastAsiaTheme="minorEastAsia" w:hAnsiTheme="minorHAnsi" w:cstheme="minorBidi"/>
            <w:b w:val="0"/>
            <w:color w:val="auto"/>
            <w:lang w:val="en-AU" w:eastAsia="en-GB"/>
          </w:rPr>
          <w:tab/>
        </w:r>
        <w:r w:rsidR="00067CE9" w:rsidRPr="00067CE9">
          <w:rPr>
            <w:rStyle w:val="Hyperlink"/>
          </w:rPr>
          <w:t>Opportunities and challenges for destruction</w:t>
        </w:r>
        <w:r w:rsidR="00067CE9" w:rsidRPr="00067CE9">
          <w:rPr>
            <w:webHidden/>
          </w:rPr>
          <w:tab/>
        </w:r>
        <w:r w:rsidR="00067CE9" w:rsidRPr="00067CE9">
          <w:rPr>
            <w:webHidden/>
          </w:rPr>
          <w:fldChar w:fldCharType="begin"/>
        </w:r>
        <w:r w:rsidR="00067CE9" w:rsidRPr="00067CE9">
          <w:rPr>
            <w:webHidden/>
          </w:rPr>
          <w:instrText xml:space="preserve"> PAGEREF _Toc73045642 \h </w:instrText>
        </w:r>
        <w:r w:rsidR="00067CE9" w:rsidRPr="00067CE9">
          <w:rPr>
            <w:webHidden/>
          </w:rPr>
        </w:r>
        <w:r w:rsidR="00067CE9" w:rsidRPr="00067CE9">
          <w:rPr>
            <w:webHidden/>
          </w:rPr>
          <w:fldChar w:fldCharType="separate"/>
        </w:r>
        <w:r w:rsidR="00067CE9" w:rsidRPr="00067CE9">
          <w:rPr>
            <w:webHidden/>
          </w:rPr>
          <w:t>87</w:t>
        </w:r>
        <w:r w:rsidR="00067CE9" w:rsidRPr="00067CE9">
          <w:rPr>
            <w:webHidden/>
          </w:rPr>
          <w:fldChar w:fldCharType="end"/>
        </w:r>
      </w:hyperlink>
    </w:p>
    <w:p w14:paraId="2CEE08F8" w14:textId="2789F4D9" w:rsidR="00067CE9" w:rsidRPr="00067CE9" w:rsidRDefault="00877370">
      <w:pPr>
        <w:pStyle w:val="TOC1"/>
        <w:rPr>
          <w:rFonts w:asciiTheme="minorHAnsi" w:eastAsiaTheme="minorEastAsia" w:hAnsiTheme="minorHAnsi" w:cstheme="minorBidi"/>
          <w:b w:val="0"/>
          <w:bCs w:val="0"/>
          <w:caps w:val="0"/>
          <w:color w:val="auto"/>
          <w:sz w:val="20"/>
          <w:szCs w:val="20"/>
          <w:lang w:val="en-AU" w:eastAsia="en-GB"/>
        </w:rPr>
      </w:pPr>
      <w:hyperlink w:anchor="_Toc73045643" w:history="1">
        <w:r w:rsidR="00067CE9" w:rsidRPr="00067CE9">
          <w:rPr>
            <w:rStyle w:val="Hyperlink"/>
            <w:sz w:val="20"/>
            <w:szCs w:val="20"/>
          </w:rPr>
          <w:t>Appendix 1:</w:t>
        </w:r>
        <w:r w:rsidR="00067CE9">
          <w:rPr>
            <w:rStyle w:val="Hyperlink"/>
            <w:sz w:val="20"/>
            <w:szCs w:val="20"/>
          </w:rPr>
          <w:t xml:space="preserve"> </w:t>
        </w:r>
        <w:r w:rsidR="00067CE9" w:rsidRPr="00067CE9">
          <w:rPr>
            <w:rStyle w:val="Hyperlink"/>
            <w:sz w:val="20"/>
            <w:szCs w:val="20"/>
          </w:rPr>
          <w:t>Summary of 2019 Task Force Report findings</w:t>
        </w:r>
        <w:r w:rsidR="00067CE9" w:rsidRPr="00067CE9">
          <w:rPr>
            <w:webHidden/>
            <w:sz w:val="20"/>
            <w:szCs w:val="20"/>
          </w:rPr>
          <w:tab/>
        </w:r>
        <w:r w:rsidR="00067CE9" w:rsidRPr="00067CE9">
          <w:rPr>
            <w:webHidden/>
            <w:sz w:val="20"/>
            <w:szCs w:val="20"/>
          </w:rPr>
          <w:fldChar w:fldCharType="begin"/>
        </w:r>
        <w:r w:rsidR="00067CE9" w:rsidRPr="00067CE9">
          <w:rPr>
            <w:webHidden/>
            <w:sz w:val="20"/>
            <w:szCs w:val="20"/>
          </w:rPr>
          <w:instrText xml:space="preserve"> PAGEREF _Toc73045643 \h </w:instrText>
        </w:r>
        <w:r w:rsidR="00067CE9" w:rsidRPr="00067CE9">
          <w:rPr>
            <w:webHidden/>
            <w:sz w:val="20"/>
            <w:szCs w:val="20"/>
          </w:rPr>
        </w:r>
        <w:r w:rsidR="00067CE9" w:rsidRPr="00067CE9">
          <w:rPr>
            <w:webHidden/>
            <w:sz w:val="20"/>
            <w:szCs w:val="20"/>
          </w:rPr>
          <w:fldChar w:fldCharType="separate"/>
        </w:r>
        <w:r w:rsidR="00067CE9" w:rsidRPr="00067CE9">
          <w:rPr>
            <w:webHidden/>
            <w:sz w:val="20"/>
            <w:szCs w:val="20"/>
          </w:rPr>
          <w:t>91</w:t>
        </w:r>
        <w:r w:rsidR="00067CE9" w:rsidRPr="00067CE9">
          <w:rPr>
            <w:webHidden/>
            <w:sz w:val="20"/>
            <w:szCs w:val="20"/>
          </w:rPr>
          <w:fldChar w:fldCharType="end"/>
        </w:r>
      </w:hyperlink>
    </w:p>
    <w:p w14:paraId="42DAD4DB" w14:textId="111AA375" w:rsidR="00067CE9" w:rsidRPr="00067CE9" w:rsidRDefault="00877370">
      <w:pPr>
        <w:pStyle w:val="TOC1"/>
        <w:rPr>
          <w:rFonts w:asciiTheme="minorHAnsi" w:eastAsiaTheme="minorEastAsia" w:hAnsiTheme="minorHAnsi" w:cstheme="minorBidi"/>
          <w:b w:val="0"/>
          <w:bCs w:val="0"/>
          <w:caps w:val="0"/>
          <w:color w:val="auto"/>
          <w:sz w:val="20"/>
          <w:szCs w:val="20"/>
          <w:lang w:val="en-AU" w:eastAsia="en-GB"/>
        </w:rPr>
      </w:pPr>
      <w:hyperlink w:anchor="_Toc73045644" w:history="1">
        <w:r w:rsidR="00067CE9" w:rsidRPr="00067CE9">
          <w:rPr>
            <w:rStyle w:val="Hyperlink"/>
            <w:sz w:val="20"/>
            <w:szCs w:val="20"/>
          </w:rPr>
          <w:t>Appendix 2:</w:t>
        </w:r>
        <w:r w:rsidR="00067CE9">
          <w:rPr>
            <w:rStyle w:val="Hyperlink"/>
            <w:sz w:val="20"/>
            <w:szCs w:val="20"/>
          </w:rPr>
          <w:t xml:space="preserve"> </w:t>
        </w:r>
        <w:r w:rsidR="00067CE9" w:rsidRPr="00067CE9">
          <w:rPr>
            <w:rStyle w:val="Hyperlink"/>
            <w:sz w:val="20"/>
            <w:szCs w:val="20"/>
          </w:rPr>
          <w:t>Model description</w:t>
        </w:r>
        <w:r w:rsidR="00067CE9" w:rsidRPr="00067CE9">
          <w:rPr>
            <w:webHidden/>
            <w:sz w:val="20"/>
            <w:szCs w:val="20"/>
          </w:rPr>
          <w:tab/>
        </w:r>
        <w:r w:rsidR="00067CE9" w:rsidRPr="00067CE9">
          <w:rPr>
            <w:webHidden/>
            <w:sz w:val="20"/>
            <w:szCs w:val="20"/>
          </w:rPr>
          <w:fldChar w:fldCharType="begin"/>
        </w:r>
        <w:r w:rsidR="00067CE9" w:rsidRPr="00067CE9">
          <w:rPr>
            <w:webHidden/>
            <w:sz w:val="20"/>
            <w:szCs w:val="20"/>
          </w:rPr>
          <w:instrText xml:space="preserve"> PAGEREF _Toc73045644 \h </w:instrText>
        </w:r>
        <w:r w:rsidR="00067CE9" w:rsidRPr="00067CE9">
          <w:rPr>
            <w:webHidden/>
            <w:sz w:val="20"/>
            <w:szCs w:val="20"/>
          </w:rPr>
        </w:r>
        <w:r w:rsidR="00067CE9" w:rsidRPr="00067CE9">
          <w:rPr>
            <w:webHidden/>
            <w:sz w:val="20"/>
            <w:szCs w:val="20"/>
          </w:rPr>
          <w:fldChar w:fldCharType="separate"/>
        </w:r>
        <w:r w:rsidR="00067CE9" w:rsidRPr="00067CE9">
          <w:rPr>
            <w:webHidden/>
            <w:sz w:val="20"/>
            <w:szCs w:val="20"/>
          </w:rPr>
          <w:t>93</w:t>
        </w:r>
        <w:r w:rsidR="00067CE9" w:rsidRPr="00067CE9">
          <w:rPr>
            <w:webHidden/>
            <w:sz w:val="20"/>
            <w:szCs w:val="20"/>
          </w:rPr>
          <w:fldChar w:fldCharType="end"/>
        </w:r>
      </w:hyperlink>
    </w:p>
    <w:p w14:paraId="6024A954" w14:textId="304DE3DC" w:rsidR="00067CE9" w:rsidRPr="00067CE9" w:rsidRDefault="00877370">
      <w:pPr>
        <w:pStyle w:val="TOC1"/>
        <w:rPr>
          <w:rFonts w:asciiTheme="minorHAnsi" w:eastAsiaTheme="minorEastAsia" w:hAnsiTheme="minorHAnsi" w:cstheme="minorBidi"/>
          <w:b w:val="0"/>
          <w:bCs w:val="0"/>
          <w:caps w:val="0"/>
          <w:color w:val="auto"/>
          <w:sz w:val="20"/>
          <w:szCs w:val="20"/>
          <w:lang w:val="en-AU" w:eastAsia="en-GB"/>
        </w:rPr>
      </w:pPr>
      <w:hyperlink w:anchor="_Toc73045645" w:history="1">
        <w:r w:rsidR="00067CE9" w:rsidRPr="00067CE9">
          <w:rPr>
            <w:rStyle w:val="Hyperlink"/>
            <w:sz w:val="20"/>
            <w:szCs w:val="20"/>
          </w:rPr>
          <w:t>Appendix 3:</w:t>
        </w:r>
        <w:r w:rsidR="00067CE9">
          <w:rPr>
            <w:rStyle w:val="Hyperlink"/>
            <w:sz w:val="20"/>
            <w:szCs w:val="20"/>
          </w:rPr>
          <w:t xml:space="preserve"> </w:t>
        </w:r>
        <w:r w:rsidR="00067CE9" w:rsidRPr="00067CE9">
          <w:rPr>
            <w:rStyle w:val="Hyperlink"/>
            <w:sz w:val="20"/>
            <w:szCs w:val="20"/>
          </w:rPr>
          <w:t>Product lifetimes in the global and regional models</w:t>
        </w:r>
        <w:r w:rsidR="00067CE9" w:rsidRPr="00067CE9">
          <w:rPr>
            <w:webHidden/>
            <w:sz w:val="20"/>
            <w:szCs w:val="20"/>
          </w:rPr>
          <w:tab/>
        </w:r>
        <w:r w:rsidR="00067CE9" w:rsidRPr="00067CE9">
          <w:rPr>
            <w:webHidden/>
            <w:sz w:val="20"/>
            <w:szCs w:val="20"/>
          </w:rPr>
          <w:fldChar w:fldCharType="begin"/>
        </w:r>
        <w:r w:rsidR="00067CE9" w:rsidRPr="00067CE9">
          <w:rPr>
            <w:webHidden/>
            <w:sz w:val="20"/>
            <w:szCs w:val="20"/>
          </w:rPr>
          <w:instrText xml:space="preserve"> PAGEREF _Toc73045645 \h </w:instrText>
        </w:r>
        <w:r w:rsidR="00067CE9" w:rsidRPr="00067CE9">
          <w:rPr>
            <w:webHidden/>
            <w:sz w:val="20"/>
            <w:szCs w:val="20"/>
          </w:rPr>
        </w:r>
        <w:r w:rsidR="00067CE9" w:rsidRPr="00067CE9">
          <w:rPr>
            <w:webHidden/>
            <w:sz w:val="20"/>
            <w:szCs w:val="20"/>
          </w:rPr>
          <w:fldChar w:fldCharType="separate"/>
        </w:r>
        <w:r w:rsidR="00067CE9" w:rsidRPr="00067CE9">
          <w:rPr>
            <w:webHidden/>
            <w:sz w:val="20"/>
            <w:szCs w:val="20"/>
          </w:rPr>
          <w:t>99</w:t>
        </w:r>
        <w:r w:rsidR="00067CE9" w:rsidRPr="00067CE9">
          <w:rPr>
            <w:webHidden/>
            <w:sz w:val="20"/>
            <w:szCs w:val="20"/>
          </w:rPr>
          <w:fldChar w:fldCharType="end"/>
        </w:r>
      </w:hyperlink>
    </w:p>
    <w:p w14:paraId="7980D833" w14:textId="7F4DBF42" w:rsidR="00067CE9" w:rsidRPr="00067CE9" w:rsidRDefault="00877370">
      <w:pPr>
        <w:pStyle w:val="TOC1"/>
        <w:rPr>
          <w:rFonts w:asciiTheme="minorHAnsi" w:eastAsiaTheme="minorEastAsia" w:hAnsiTheme="minorHAnsi" w:cstheme="minorBidi"/>
          <w:b w:val="0"/>
          <w:bCs w:val="0"/>
          <w:caps w:val="0"/>
          <w:color w:val="auto"/>
          <w:sz w:val="20"/>
          <w:szCs w:val="20"/>
          <w:lang w:val="en-AU" w:eastAsia="en-GB"/>
        </w:rPr>
      </w:pPr>
      <w:hyperlink w:anchor="_Toc73045646" w:history="1">
        <w:r w:rsidR="00067CE9" w:rsidRPr="00067CE9">
          <w:rPr>
            <w:rStyle w:val="Hyperlink"/>
            <w:sz w:val="20"/>
            <w:szCs w:val="20"/>
          </w:rPr>
          <w:t>Appendix 4:</w:t>
        </w:r>
        <w:r w:rsidR="00067CE9">
          <w:rPr>
            <w:rStyle w:val="Hyperlink"/>
            <w:sz w:val="20"/>
            <w:szCs w:val="20"/>
          </w:rPr>
          <w:t xml:space="preserve"> </w:t>
        </w:r>
        <w:r w:rsidR="00067CE9" w:rsidRPr="00067CE9">
          <w:rPr>
            <w:rStyle w:val="Hyperlink"/>
            <w:sz w:val="20"/>
            <w:szCs w:val="20"/>
          </w:rPr>
          <w:t>Foam model assumptions</w:t>
        </w:r>
        <w:r w:rsidR="00067CE9" w:rsidRPr="00067CE9">
          <w:rPr>
            <w:webHidden/>
            <w:sz w:val="20"/>
            <w:szCs w:val="20"/>
          </w:rPr>
          <w:tab/>
        </w:r>
        <w:r w:rsidR="00067CE9" w:rsidRPr="00067CE9">
          <w:rPr>
            <w:webHidden/>
            <w:sz w:val="20"/>
            <w:szCs w:val="20"/>
          </w:rPr>
          <w:fldChar w:fldCharType="begin"/>
        </w:r>
        <w:r w:rsidR="00067CE9" w:rsidRPr="00067CE9">
          <w:rPr>
            <w:webHidden/>
            <w:sz w:val="20"/>
            <w:szCs w:val="20"/>
          </w:rPr>
          <w:instrText xml:space="preserve"> PAGEREF _Toc73045646 \h </w:instrText>
        </w:r>
        <w:r w:rsidR="00067CE9" w:rsidRPr="00067CE9">
          <w:rPr>
            <w:webHidden/>
            <w:sz w:val="20"/>
            <w:szCs w:val="20"/>
          </w:rPr>
        </w:r>
        <w:r w:rsidR="00067CE9" w:rsidRPr="00067CE9">
          <w:rPr>
            <w:webHidden/>
            <w:sz w:val="20"/>
            <w:szCs w:val="20"/>
          </w:rPr>
          <w:fldChar w:fldCharType="separate"/>
        </w:r>
        <w:r w:rsidR="00067CE9" w:rsidRPr="00067CE9">
          <w:rPr>
            <w:webHidden/>
            <w:sz w:val="20"/>
            <w:szCs w:val="20"/>
          </w:rPr>
          <w:t>101</w:t>
        </w:r>
        <w:r w:rsidR="00067CE9" w:rsidRPr="00067CE9">
          <w:rPr>
            <w:webHidden/>
            <w:sz w:val="20"/>
            <w:szCs w:val="20"/>
          </w:rPr>
          <w:fldChar w:fldCharType="end"/>
        </w:r>
      </w:hyperlink>
    </w:p>
    <w:p w14:paraId="5EF310D1" w14:textId="549FBE86" w:rsidR="00067CE9" w:rsidRPr="00067CE9" w:rsidRDefault="00877370">
      <w:pPr>
        <w:pStyle w:val="TOC1"/>
        <w:rPr>
          <w:rFonts w:asciiTheme="minorHAnsi" w:eastAsiaTheme="minorEastAsia" w:hAnsiTheme="minorHAnsi" w:cstheme="minorBidi"/>
          <w:b w:val="0"/>
          <w:bCs w:val="0"/>
          <w:caps w:val="0"/>
          <w:color w:val="auto"/>
          <w:sz w:val="20"/>
          <w:szCs w:val="20"/>
          <w:lang w:val="en-AU" w:eastAsia="en-GB"/>
        </w:rPr>
      </w:pPr>
      <w:hyperlink w:anchor="_Toc73045647" w:history="1">
        <w:r w:rsidR="00067CE9" w:rsidRPr="00067CE9">
          <w:rPr>
            <w:rStyle w:val="Hyperlink"/>
            <w:sz w:val="20"/>
            <w:szCs w:val="20"/>
          </w:rPr>
          <w:t>Appendix 5:</w:t>
        </w:r>
        <w:r w:rsidR="00067CE9">
          <w:rPr>
            <w:rStyle w:val="Hyperlink"/>
            <w:sz w:val="20"/>
            <w:szCs w:val="20"/>
          </w:rPr>
          <w:t xml:space="preserve"> </w:t>
        </w:r>
        <w:r w:rsidR="00067CE9" w:rsidRPr="00067CE9">
          <w:rPr>
            <w:rStyle w:val="Hyperlink"/>
            <w:sz w:val="20"/>
            <w:szCs w:val="20"/>
          </w:rPr>
          <w:t>2006 FTOC Assessment report regional summaries</w:t>
        </w:r>
        <w:r w:rsidR="00067CE9" w:rsidRPr="00067CE9">
          <w:rPr>
            <w:webHidden/>
            <w:sz w:val="20"/>
            <w:szCs w:val="20"/>
          </w:rPr>
          <w:tab/>
        </w:r>
        <w:r w:rsidR="00067CE9" w:rsidRPr="00067CE9">
          <w:rPr>
            <w:webHidden/>
            <w:sz w:val="20"/>
            <w:szCs w:val="20"/>
          </w:rPr>
          <w:fldChar w:fldCharType="begin"/>
        </w:r>
        <w:r w:rsidR="00067CE9" w:rsidRPr="00067CE9">
          <w:rPr>
            <w:webHidden/>
            <w:sz w:val="20"/>
            <w:szCs w:val="20"/>
          </w:rPr>
          <w:instrText xml:space="preserve"> PAGEREF _Toc73045647 \h </w:instrText>
        </w:r>
        <w:r w:rsidR="00067CE9" w:rsidRPr="00067CE9">
          <w:rPr>
            <w:webHidden/>
            <w:sz w:val="20"/>
            <w:szCs w:val="20"/>
          </w:rPr>
        </w:r>
        <w:r w:rsidR="00067CE9" w:rsidRPr="00067CE9">
          <w:rPr>
            <w:webHidden/>
            <w:sz w:val="20"/>
            <w:szCs w:val="20"/>
          </w:rPr>
          <w:fldChar w:fldCharType="separate"/>
        </w:r>
        <w:r w:rsidR="00067CE9" w:rsidRPr="00067CE9">
          <w:rPr>
            <w:webHidden/>
            <w:sz w:val="20"/>
            <w:szCs w:val="20"/>
          </w:rPr>
          <w:t>103</w:t>
        </w:r>
        <w:r w:rsidR="00067CE9" w:rsidRPr="00067CE9">
          <w:rPr>
            <w:webHidden/>
            <w:sz w:val="20"/>
            <w:szCs w:val="20"/>
          </w:rPr>
          <w:fldChar w:fldCharType="end"/>
        </w:r>
      </w:hyperlink>
    </w:p>
    <w:p w14:paraId="2DD8F82B" w14:textId="6BD596D2" w:rsidR="00067CE9" w:rsidRPr="00067CE9" w:rsidRDefault="00877370">
      <w:pPr>
        <w:pStyle w:val="TOC1"/>
        <w:rPr>
          <w:rFonts w:asciiTheme="minorHAnsi" w:eastAsiaTheme="minorEastAsia" w:hAnsiTheme="minorHAnsi" w:cstheme="minorBidi"/>
          <w:b w:val="0"/>
          <w:bCs w:val="0"/>
          <w:caps w:val="0"/>
          <w:color w:val="auto"/>
          <w:sz w:val="20"/>
          <w:szCs w:val="20"/>
          <w:lang w:val="en-AU" w:eastAsia="en-GB"/>
        </w:rPr>
      </w:pPr>
      <w:hyperlink w:anchor="_Toc73045648" w:history="1">
        <w:r w:rsidR="00067CE9" w:rsidRPr="00067CE9">
          <w:rPr>
            <w:rStyle w:val="Hyperlink"/>
            <w:sz w:val="20"/>
            <w:szCs w:val="20"/>
          </w:rPr>
          <w:t>Appendix 6:</w:t>
        </w:r>
        <w:r w:rsidR="00067CE9">
          <w:rPr>
            <w:rStyle w:val="Hyperlink"/>
            <w:sz w:val="20"/>
            <w:szCs w:val="20"/>
          </w:rPr>
          <w:t xml:space="preserve"> </w:t>
        </w:r>
        <w:r w:rsidR="00067CE9" w:rsidRPr="00067CE9">
          <w:rPr>
            <w:rStyle w:val="Hyperlink"/>
            <w:sz w:val="20"/>
            <w:szCs w:val="20"/>
          </w:rPr>
          <w:t>Polyurethane foam blowing agent CFC-11 replacement</w:t>
        </w:r>
        <w:r w:rsidR="00067CE9" w:rsidRPr="00067CE9">
          <w:rPr>
            <w:webHidden/>
            <w:sz w:val="20"/>
            <w:szCs w:val="20"/>
          </w:rPr>
          <w:tab/>
        </w:r>
        <w:r w:rsidR="00067CE9" w:rsidRPr="00067CE9">
          <w:rPr>
            <w:webHidden/>
            <w:sz w:val="20"/>
            <w:szCs w:val="20"/>
          </w:rPr>
          <w:fldChar w:fldCharType="begin"/>
        </w:r>
        <w:r w:rsidR="00067CE9" w:rsidRPr="00067CE9">
          <w:rPr>
            <w:webHidden/>
            <w:sz w:val="20"/>
            <w:szCs w:val="20"/>
          </w:rPr>
          <w:instrText xml:space="preserve"> PAGEREF _Toc73045648 \h </w:instrText>
        </w:r>
        <w:r w:rsidR="00067CE9" w:rsidRPr="00067CE9">
          <w:rPr>
            <w:webHidden/>
            <w:sz w:val="20"/>
            <w:szCs w:val="20"/>
          </w:rPr>
        </w:r>
        <w:r w:rsidR="00067CE9" w:rsidRPr="00067CE9">
          <w:rPr>
            <w:webHidden/>
            <w:sz w:val="20"/>
            <w:szCs w:val="20"/>
          </w:rPr>
          <w:fldChar w:fldCharType="separate"/>
        </w:r>
        <w:r w:rsidR="00067CE9" w:rsidRPr="00067CE9">
          <w:rPr>
            <w:webHidden/>
            <w:sz w:val="20"/>
            <w:szCs w:val="20"/>
          </w:rPr>
          <w:t>105</w:t>
        </w:r>
        <w:r w:rsidR="00067CE9" w:rsidRPr="00067CE9">
          <w:rPr>
            <w:webHidden/>
            <w:sz w:val="20"/>
            <w:szCs w:val="20"/>
          </w:rPr>
          <w:fldChar w:fldCharType="end"/>
        </w:r>
      </w:hyperlink>
    </w:p>
    <w:p w14:paraId="77B56614" w14:textId="47E68441" w:rsidR="00067CE9" w:rsidRPr="00067CE9" w:rsidRDefault="00877370">
      <w:pPr>
        <w:pStyle w:val="TOC1"/>
        <w:rPr>
          <w:rFonts w:asciiTheme="minorHAnsi" w:eastAsiaTheme="minorEastAsia" w:hAnsiTheme="minorHAnsi" w:cstheme="minorBidi"/>
          <w:b w:val="0"/>
          <w:bCs w:val="0"/>
          <w:caps w:val="0"/>
          <w:color w:val="auto"/>
          <w:sz w:val="20"/>
          <w:szCs w:val="20"/>
          <w:lang w:val="en-AU" w:eastAsia="en-GB"/>
        </w:rPr>
      </w:pPr>
      <w:hyperlink w:anchor="_Toc73045649" w:history="1">
        <w:r w:rsidR="00067CE9" w:rsidRPr="00067CE9">
          <w:rPr>
            <w:rStyle w:val="Hyperlink"/>
            <w:sz w:val="20"/>
            <w:szCs w:val="20"/>
          </w:rPr>
          <w:t>Appendix 7:</w:t>
        </w:r>
        <w:r w:rsidR="00067CE9">
          <w:rPr>
            <w:rFonts w:asciiTheme="minorHAnsi" w:eastAsiaTheme="minorEastAsia" w:hAnsiTheme="minorHAnsi" w:cstheme="minorBidi"/>
            <w:b w:val="0"/>
            <w:bCs w:val="0"/>
            <w:caps w:val="0"/>
            <w:color w:val="auto"/>
            <w:sz w:val="20"/>
            <w:szCs w:val="20"/>
            <w:lang w:val="en-AU" w:eastAsia="en-GB"/>
          </w:rPr>
          <w:t xml:space="preserve"> </w:t>
        </w:r>
        <w:r w:rsidR="00067CE9" w:rsidRPr="00067CE9">
          <w:rPr>
            <w:rStyle w:val="Hyperlink"/>
            <w:sz w:val="20"/>
            <w:szCs w:val="20"/>
          </w:rPr>
          <w:t>Regional CFC-11 foam product sectors distribution based on FTOC 2006 Assessment Report</w:t>
        </w:r>
        <w:r w:rsidR="00067CE9" w:rsidRPr="00067CE9">
          <w:rPr>
            <w:webHidden/>
            <w:sz w:val="20"/>
            <w:szCs w:val="20"/>
          </w:rPr>
          <w:tab/>
        </w:r>
        <w:r w:rsidR="00067CE9" w:rsidRPr="00067CE9">
          <w:rPr>
            <w:webHidden/>
            <w:sz w:val="20"/>
            <w:szCs w:val="20"/>
          </w:rPr>
          <w:fldChar w:fldCharType="begin"/>
        </w:r>
        <w:r w:rsidR="00067CE9" w:rsidRPr="00067CE9">
          <w:rPr>
            <w:webHidden/>
            <w:sz w:val="20"/>
            <w:szCs w:val="20"/>
          </w:rPr>
          <w:instrText xml:space="preserve"> PAGEREF _Toc73045649 \h </w:instrText>
        </w:r>
        <w:r w:rsidR="00067CE9" w:rsidRPr="00067CE9">
          <w:rPr>
            <w:webHidden/>
            <w:sz w:val="20"/>
            <w:szCs w:val="20"/>
          </w:rPr>
        </w:r>
        <w:r w:rsidR="00067CE9" w:rsidRPr="00067CE9">
          <w:rPr>
            <w:webHidden/>
            <w:sz w:val="20"/>
            <w:szCs w:val="20"/>
          </w:rPr>
          <w:fldChar w:fldCharType="separate"/>
        </w:r>
        <w:r w:rsidR="00067CE9" w:rsidRPr="00067CE9">
          <w:rPr>
            <w:webHidden/>
            <w:sz w:val="20"/>
            <w:szCs w:val="20"/>
          </w:rPr>
          <w:t>109</w:t>
        </w:r>
        <w:r w:rsidR="00067CE9" w:rsidRPr="00067CE9">
          <w:rPr>
            <w:webHidden/>
            <w:sz w:val="20"/>
            <w:szCs w:val="20"/>
          </w:rPr>
          <w:fldChar w:fldCharType="end"/>
        </w:r>
      </w:hyperlink>
    </w:p>
    <w:p w14:paraId="051A1304" w14:textId="519DDE1E" w:rsidR="00067CE9" w:rsidRPr="00067CE9" w:rsidRDefault="00877370">
      <w:pPr>
        <w:pStyle w:val="TOC1"/>
        <w:rPr>
          <w:rFonts w:asciiTheme="minorHAnsi" w:eastAsiaTheme="minorEastAsia" w:hAnsiTheme="minorHAnsi" w:cstheme="minorBidi"/>
          <w:b w:val="0"/>
          <w:bCs w:val="0"/>
          <w:caps w:val="0"/>
          <w:color w:val="auto"/>
          <w:sz w:val="20"/>
          <w:szCs w:val="20"/>
          <w:lang w:val="en-AU" w:eastAsia="en-GB"/>
        </w:rPr>
      </w:pPr>
      <w:hyperlink w:anchor="_Toc73045650" w:history="1">
        <w:r w:rsidR="00067CE9" w:rsidRPr="00067CE9">
          <w:rPr>
            <w:rStyle w:val="Hyperlink"/>
            <w:sz w:val="20"/>
            <w:szCs w:val="20"/>
          </w:rPr>
          <w:t>Appendix 8:</w:t>
        </w:r>
        <w:r w:rsidR="00067CE9">
          <w:rPr>
            <w:rFonts w:asciiTheme="minorHAnsi" w:eastAsiaTheme="minorEastAsia" w:hAnsiTheme="minorHAnsi" w:cstheme="minorBidi"/>
            <w:b w:val="0"/>
            <w:bCs w:val="0"/>
            <w:caps w:val="0"/>
            <w:color w:val="auto"/>
            <w:sz w:val="20"/>
            <w:szCs w:val="20"/>
            <w:lang w:val="en-AU" w:eastAsia="en-GB"/>
          </w:rPr>
          <w:t xml:space="preserve"> </w:t>
        </w:r>
        <w:r w:rsidR="00067CE9" w:rsidRPr="00067CE9">
          <w:rPr>
            <w:rStyle w:val="Hyperlink"/>
            <w:sz w:val="20"/>
            <w:szCs w:val="20"/>
          </w:rPr>
          <w:t>CFC and HCFC production and consumption phase-out schedules</w:t>
        </w:r>
        <w:r w:rsidR="00067CE9">
          <w:rPr>
            <w:rStyle w:val="Hyperlink"/>
            <w:sz w:val="20"/>
            <w:szCs w:val="20"/>
          </w:rPr>
          <w:tab/>
        </w:r>
        <w:r w:rsidR="00067CE9" w:rsidRPr="00067CE9">
          <w:rPr>
            <w:webHidden/>
            <w:sz w:val="20"/>
            <w:szCs w:val="20"/>
          </w:rPr>
          <w:tab/>
        </w:r>
        <w:r w:rsidR="00067CE9" w:rsidRPr="00067CE9">
          <w:rPr>
            <w:webHidden/>
            <w:sz w:val="20"/>
            <w:szCs w:val="20"/>
          </w:rPr>
          <w:fldChar w:fldCharType="begin"/>
        </w:r>
        <w:r w:rsidR="00067CE9" w:rsidRPr="00067CE9">
          <w:rPr>
            <w:webHidden/>
            <w:sz w:val="20"/>
            <w:szCs w:val="20"/>
          </w:rPr>
          <w:instrText xml:space="preserve"> PAGEREF _Toc73045650 \h </w:instrText>
        </w:r>
        <w:r w:rsidR="00067CE9" w:rsidRPr="00067CE9">
          <w:rPr>
            <w:webHidden/>
            <w:sz w:val="20"/>
            <w:szCs w:val="20"/>
          </w:rPr>
        </w:r>
        <w:r w:rsidR="00067CE9" w:rsidRPr="00067CE9">
          <w:rPr>
            <w:webHidden/>
            <w:sz w:val="20"/>
            <w:szCs w:val="20"/>
          </w:rPr>
          <w:fldChar w:fldCharType="separate"/>
        </w:r>
        <w:r w:rsidR="00067CE9" w:rsidRPr="00067CE9">
          <w:rPr>
            <w:webHidden/>
            <w:sz w:val="20"/>
            <w:szCs w:val="20"/>
          </w:rPr>
          <w:t>113</w:t>
        </w:r>
        <w:r w:rsidR="00067CE9" w:rsidRPr="00067CE9">
          <w:rPr>
            <w:webHidden/>
            <w:sz w:val="20"/>
            <w:szCs w:val="20"/>
          </w:rPr>
          <w:fldChar w:fldCharType="end"/>
        </w:r>
      </w:hyperlink>
    </w:p>
    <w:p w14:paraId="5379CD96" w14:textId="34A603BB" w:rsidR="00317779" w:rsidRDefault="00543531" w:rsidP="00004CD5">
      <w:pPr>
        <w:pStyle w:val="TOC1"/>
        <w:sectPr w:rsidR="00317779" w:rsidSect="009345EE">
          <w:headerReference w:type="even" r:id="rId26"/>
          <w:headerReference w:type="default" r:id="rId27"/>
          <w:headerReference w:type="first" r:id="rId28"/>
          <w:type w:val="oddPage"/>
          <w:pgSz w:w="11907" w:h="16839" w:code="9"/>
          <w:pgMar w:top="1701" w:right="1797" w:bottom="1871" w:left="1797" w:header="720" w:footer="794" w:gutter="0"/>
          <w:pgNumType w:fmt="lowerRoman"/>
          <w:cols w:space="708"/>
          <w:docGrid w:linePitch="360"/>
        </w:sectPr>
      </w:pPr>
      <w:r>
        <w:fldChar w:fldCharType="end"/>
      </w:r>
    </w:p>
    <w:p w14:paraId="4C98CC00" w14:textId="799CB25E" w:rsidR="00B06D0B" w:rsidRDefault="00B06D0B" w:rsidP="00751ECE">
      <w:pPr>
        <w:pStyle w:val="Heading1"/>
      </w:pPr>
      <w:bookmarkStart w:id="107" w:name="_Toc73045583"/>
      <w:bookmarkStart w:id="108" w:name="_Toc484164349"/>
      <w:bookmarkStart w:id="109" w:name="_Toc40190274"/>
      <w:bookmarkStart w:id="110" w:name="_Toc40696074"/>
      <w:bookmarkStart w:id="111" w:name="_Toc356240461"/>
      <w:bookmarkStart w:id="112" w:name="_Toc388648365"/>
      <w:bookmarkStart w:id="113" w:name="_Toc295406142"/>
      <w:bookmarkStart w:id="114" w:name="_Toc230592156"/>
      <w:bookmarkEnd w:id="99"/>
      <w:bookmarkEnd w:id="100"/>
      <w:bookmarkEnd w:id="101"/>
      <w:bookmarkEnd w:id="102"/>
      <w:bookmarkEnd w:id="103"/>
      <w:bookmarkEnd w:id="104"/>
      <w:bookmarkEnd w:id="105"/>
      <w:bookmarkEnd w:id="106"/>
      <w:r>
        <w:lastRenderedPageBreak/>
        <w:t>Key Messages</w:t>
      </w:r>
      <w:bookmarkEnd w:id="107"/>
    </w:p>
    <w:p w14:paraId="2BCD79D4" w14:textId="0926A390" w:rsidR="009D42A8" w:rsidRPr="00E028BE" w:rsidRDefault="009D42A8" w:rsidP="00132BBC">
      <w:pPr>
        <w:pStyle w:val="ListParagraph"/>
        <w:ind w:right="-192"/>
      </w:pPr>
      <w:r w:rsidRPr="00E028BE">
        <w:t xml:space="preserve">Based on refined global and regional inventory-based modelling of CFC-11 production, usage, </w:t>
      </w:r>
      <w:r w:rsidR="00B312D5">
        <w:t xml:space="preserve">and </w:t>
      </w:r>
      <w:r w:rsidR="001E5AE9">
        <w:t>a comparison</w:t>
      </w:r>
      <w:r w:rsidR="00B312D5">
        <w:t xml:space="preserve"> of </w:t>
      </w:r>
      <w:r w:rsidR="00C54D18">
        <w:t xml:space="preserve">resulting </w:t>
      </w:r>
      <w:r w:rsidRPr="00E028BE">
        <w:t xml:space="preserve">emissions against derived CFC-11 emissions, </w:t>
      </w:r>
      <w:r w:rsidR="002E647E">
        <w:t xml:space="preserve">the 2021 Task Force </w:t>
      </w:r>
      <w:r w:rsidR="0065469E">
        <w:t xml:space="preserve">has </w:t>
      </w:r>
      <w:r w:rsidR="00422D3A">
        <w:t xml:space="preserve">confirmed </w:t>
      </w:r>
      <w:r w:rsidRPr="00E028BE">
        <w:t>results of the 2019 Task Force</w:t>
      </w:r>
      <w:r w:rsidR="00F16D9D" w:rsidRPr="00F16D9D">
        <w:t xml:space="preserve"> </w:t>
      </w:r>
      <w:r w:rsidR="00F16D9D">
        <w:t xml:space="preserve">and </w:t>
      </w:r>
      <w:r w:rsidR="008C490E">
        <w:t xml:space="preserve">concluded </w:t>
      </w:r>
      <w:r w:rsidR="00F16D9D">
        <w:t>new</w:t>
      </w:r>
      <w:r w:rsidR="00A235BB">
        <w:t xml:space="preserve"> </w:t>
      </w:r>
      <w:r w:rsidR="00F16D9D">
        <w:t>results</w:t>
      </w:r>
      <w:r w:rsidR="00D30B2E">
        <w:t>, as outlined below</w:t>
      </w:r>
      <w:r w:rsidRPr="00E028BE">
        <w:t>.</w:t>
      </w:r>
    </w:p>
    <w:p w14:paraId="182EB0AE" w14:textId="28D48CDE" w:rsidR="00925D69" w:rsidRDefault="009D42A8" w:rsidP="00132BBC">
      <w:pPr>
        <w:pStyle w:val="ListParagraph"/>
        <w:ind w:right="-192"/>
      </w:pPr>
      <w:r w:rsidRPr="00E028BE">
        <w:t>Th</w:t>
      </w:r>
      <w:r w:rsidR="003B02B8">
        <w:t>e 2021 Task Force</w:t>
      </w:r>
      <w:r w:rsidRPr="00E028BE">
        <w:t xml:space="preserve"> analysis shows a difference between the inventory-based model’s </w:t>
      </w:r>
      <w:r w:rsidR="00D5452D">
        <w:t xml:space="preserve">estimation </w:t>
      </w:r>
      <w:r w:rsidRPr="00E028BE">
        <w:t>of expected CFC-11 emissions and CFC-11 emissions</w:t>
      </w:r>
      <w:r w:rsidR="00D5452D">
        <w:t xml:space="preserve"> </w:t>
      </w:r>
      <w:r w:rsidR="00702946" w:rsidRPr="00E028BE">
        <w:t xml:space="preserve">derived </w:t>
      </w:r>
      <w:r w:rsidR="00702946">
        <w:t xml:space="preserve">from </w:t>
      </w:r>
      <w:r w:rsidR="00A934C5">
        <w:t xml:space="preserve">atmospheric </w:t>
      </w:r>
      <w:r w:rsidR="00702946">
        <w:t>observations</w:t>
      </w:r>
      <w:r w:rsidRPr="00E028BE">
        <w:t>. Th</w:t>
      </w:r>
      <w:r w:rsidR="00925D69">
        <w:t>is</w:t>
      </w:r>
      <w:r w:rsidRPr="00E028BE">
        <w:t xml:space="preserve"> difference is indicative of unreported CFC-11 production and use; emissions from CFC-11 banks alone cannot explain the unexpected increase in CFC-11 emissions between 2013 and 2018. </w:t>
      </w:r>
    </w:p>
    <w:p w14:paraId="04C7931C" w14:textId="4A4E8074" w:rsidR="009D42A8" w:rsidRPr="00E028BE" w:rsidRDefault="00925D69" w:rsidP="00132BBC">
      <w:pPr>
        <w:pStyle w:val="ListParagraph"/>
        <w:ind w:right="-192"/>
      </w:pPr>
      <w:r>
        <w:t>A new conclusion of the 2021 Task Force is that u</w:t>
      </w:r>
      <w:r w:rsidRPr="00E028BE">
        <w:t xml:space="preserve">nreported CFC-11 production </w:t>
      </w:r>
      <w:r>
        <w:t>would seem to</w:t>
      </w:r>
      <w:r w:rsidRPr="00E028BE">
        <w:t xml:space="preserve"> have </w:t>
      </w:r>
      <w:r>
        <w:t xml:space="preserve">been </w:t>
      </w:r>
      <w:r w:rsidR="00B26F5E">
        <w:t xml:space="preserve">already </w:t>
      </w:r>
      <w:r>
        <w:t>occurring</w:t>
      </w:r>
      <w:r w:rsidRPr="00E028BE">
        <w:t xml:space="preserve"> </w:t>
      </w:r>
      <w:r>
        <w:t xml:space="preserve">in the period </w:t>
      </w:r>
      <w:r w:rsidR="007F2950">
        <w:t xml:space="preserve">from </w:t>
      </w:r>
      <w:r w:rsidRPr="00E028BE">
        <w:t>2007</w:t>
      </w:r>
      <w:r>
        <w:t xml:space="preserve"> to 2012</w:t>
      </w:r>
      <w:r w:rsidRPr="00E028BE">
        <w:t>.</w:t>
      </w:r>
      <w:r w:rsidR="007F2950">
        <w:t xml:space="preserve"> </w:t>
      </w:r>
      <w:r w:rsidR="007F2950" w:rsidRPr="002C7B18">
        <w:t>This unreported production is necessary to explain the difference between inventory-based expected emissions and derived CFC-11 emissions during this earlier period</w:t>
      </w:r>
      <w:r w:rsidR="00012D33">
        <w:rPr>
          <w:rStyle w:val="FootnoteReference"/>
        </w:rPr>
        <w:footnoteReference w:id="2"/>
      </w:r>
      <w:r w:rsidR="007F2950" w:rsidRPr="002C7B18">
        <w:t>.</w:t>
      </w:r>
    </w:p>
    <w:p w14:paraId="4DC2A6BE" w14:textId="62AAB83B" w:rsidR="009D42A8" w:rsidRDefault="007F2950" w:rsidP="00132BBC">
      <w:pPr>
        <w:pStyle w:val="ListParagraph"/>
        <w:ind w:right="-192"/>
      </w:pPr>
      <w:r>
        <w:rPr>
          <w:lang w:val="en-US" w:eastAsia="fr-FR"/>
        </w:rPr>
        <w:t>Based on estimation</w:t>
      </w:r>
      <w:r w:rsidR="00FF0E6B">
        <w:rPr>
          <w:lang w:val="en-US" w:eastAsia="fr-FR"/>
        </w:rPr>
        <w:t>s</w:t>
      </w:r>
      <w:r>
        <w:rPr>
          <w:lang w:val="en-US" w:eastAsia="fr-FR"/>
        </w:rPr>
        <w:t xml:space="preserve"> of the</w:t>
      </w:r>
      <w:r w:rsidR="00276248">
        <w:rPr>
          <w:lang w:val="en-US" w:eastAsia="fr-FR"/>
        </w:rPr>
        <w:t xml:space="preserve"> additional CFC-11 production necessary for the </w:t>
      </w:r>
      <w:r>
        <w:rPr>
          <w:lang w:val="en-US" w:eastAsia="fr-FR"/>
        </w:rPr>
        <w:t>inventory-based expected</w:t>
      </w:r>
      <w:r w:rsidR="00276248">
        <w:rPr>
          <w:lang w:val="en-US" w:eastAsia="fr-FR"/>
        </w:rPr>
        <w:t xml:space="preserve"> emissions to align </w:t>
      </w:r>
      <w:r>
        <w:rPr>
          <w:lang w:val="en-US" w:eastAsia="fr-FR"/>
        </w:rPr>
        <w:t>with</w:t>
      </w:r>
      <w:r w:rsidR="00276248">
        <w:rPr>
          <w:lang w:val="en-US" w:eastAsia="fr-FR"/>
        </w:rPr>
        <w:t xml:space="preserve"> the derived emissions</w:t>
      </w:r>
      <w:r>
        <w:rPr>
          <w:lang w:val="en-US" w:eastAsia="fr-FR"/>
        </w:rPr>
        <w:t>,</w:t>
      </w:r>
      <w:r w:rsidR="00276248">
        <w:rPr>
          <w:lang w:val="en-US" w:eastAsia="fr-FR"/>
        </w:rPr>
        <w:t xml:space="preserve"> </w:t>
      </w:r>
      <w:r>
        <w:rPr>
          <w:lang w:val="en-US" w:eastAsia="fr-FR"/>
        </w:rPr>
        <w:t>u</w:t>
      </w:r>
      <w:r w:rsidR="00276248">
        <w:rPr>
          <w:lang w:val="en-US" w:eastAsia="fr-FR"/>
        </w:rPr>
        <w:t xml:space="preserve">nreported </w:t>
      </w:r>
      <w:r w:rsidR="009D42A8" w:rsidRPr="00E028BE">
        <w:t xml:space="preserve">CFC-11 production </w:t>
      </w:r>
      <w:r>
        <w:t>can be</w:t>
      </w:r>
      <w:r w:rsidRPr="00E028BE">
        <w:t xml:space="preserve"> </w:t>
      </w:r>
      <w:r w:rsidR="001B1C3F">
        <w:t xml:space="preserve">estimated </w:t>
      </w:r>
      <w:r>
        <w:t>to be</w:t>
      </w:r>
      <w:r w:rsidR="009D42A8" w:rsidRPr="00E028BE">
        <w:t xml:space="preserve">: </w:t>
      </w:r>
    </w:p>
    <w:p w14:paraId="1E8BB4BC" w14:textId="77777777" w:rsidR="009D42A8" w:rsidRPr="00E028BE" w:rsidRDefault="009D42A8" w:rsidP="00132BBC">
      <w:pPr>
        <w:pStyle w:val="ListParagraph"/>
        <w:numPr>
          <w:ilvl w:val="1"/>
          <w:numId w:val="68"/>
        </w:numPr>
        <w:spacing w:after="180"/>
        <w:ind w:left="1434" w:right="-192" w:hanging="357"/>
      </w:pPr>
      <w:r w:rsidRPr="00E028BE">
        <w:rPr>
          <w:lang w:val="en-US" w:eastAsia="fr-FR"/>
        </w:rPr>
        <w:t>10</w:t>
      </w:r>
      <w:r w:rsidRPr="009D42A8">
        <w:rPr>
          <w:lang w:eastAsia="fr-FR"/>
        </w:rPr>
        <w:t xml:space="preserve"> to 40</w:t>
      </w:r>
      <w:r w:rsidRPr="00E028BE">
        <w:rPr>
          <w:lang w:val="en-US" w:eastAsia="fr-FR"/>
        </w:rPr>
        <w:t xml:space="preserve"> </w:t>
      </w:r>
      <w:proofErr w:type="spellStart"/>
      <w:r w:rsidRPr="00E028BE">
        <w:rPr>
          <w:lang w:val="en-US" w:eastAsia="fr-FR"/>
        </w:rPr>
        <w:t>kilotonnes</w:t>
      </w:r>
      <w:proofErr w:type="spellEnd"/>
      <w:r w:rsidRPr="00E028BE">
        <w:rPr>
          <w:lang w:val="en-US" w:eastAsia="fr-FR"/>
        </w:rPr>
        <w:t xml:space="preserve"> per year between 200</w:t>
      </w:r>
      <w:r w:rsidRPr="009D42A8">
        <w:rPr>
          <w:lang w:eastAsia="fr-FR"/>
        </w:rPr>
        <w:t>7</w:t>
      </w:r>
      <w:r w:rsidRPr="00E028BE">
        <w:rPr>
          <w:lang w:val="en-US" w:eastAsia="fr-FR"/>
        </w:rPr>
        <w:t xml:space="preserve">-2012 </w:t>
      </w:r>
    </w:p>
    <w:p w14:paraId="511844CF" w14:textId="4A6A9915" w:rsidR="009D42A8" w:rsidRPr="00E028BE" w:rsidRDefault="009D42A8" w:rsidP="00132BBC">
      <w:pPr>
        <w:pStyle w:val="ListParagraph"/>
        <w:numPr>
          <w:ilvl w:val="1"/>
          <w:numId w:val="68"/>
        </w:numPr>
        <w:spacing w:after="180"/>
        <w:ind w:left="1434" w:right="-192" w:hanging="357"/>
      </w:pPr>
      <w:r w:rsidRPr="00E028BE">
        <w:rPr>
          <w:lang w:val="en-US" w:eastAsia="fr-FR"/>
        </w:rPr>
        <w:t>40</w:t>
      </w:r>
      <w:r w:rsidRPr="009D42A8">
        <w:rPr>
          <w:lang w:eastAsia="fr-FR"/>
        </w:rPr>
        <w:t xml:space="preserve"> to 70</w:t>
      </w:r>
      <w:r w:rsidRPr="00E028BE">
        <w:rPr>
          <w:lang w:val="en-US" w:eastAsia="fr-FR"/>
        </w:rPr>
        <w:t xml:space="preserve"> </w:t>
      </w:r>
      <w:proofErr w:type="spellStart"/>
      <w:r w:rsidRPr="00E028BE">
        <w:rPr>
          <w:lang w:val="en-US" w:eastAsia="fr-FR"/>
        </w:rPr>
        <w:t>kilotonnes</w:t>
      </w:r>
      <w:proofErr w:type="spellEnd"/>
      <w:r w:rsidRPr="00E028BE">
        <w:rPr>
          <w:lang w:val="en-US" w:eastAsia="fr-FR"/>
        </w:rPr>
        <w:t xml:space="preserve"> per year between 2013-2018, </w:t>
      </w:r>
      <w:r w:rsidRPr="009D42A8">
        <w:rPr>
          <w:lang w:eastAsia="fr-FR"/>
        </w:rPr>
        <w:t xml:space="preserve">the same as estimated </w:t>
      </w:r>
      <w:r w:rsidRPr="00E028BE">
        <w:rPr>
          <w:lang w:val="en-US" w:eastAsia="fr-FR"/>
        </w:rPr>
        <w:t>in the 2019 Task Force Report for this period</w:t>
      </w:r>
    </w:p>
    <w:p w14:paraId="025B97AD" w14:textId="767F98D0" w:rsidR="009D42A8" w:rsidRPr="00E028BE" w:rsidRDefault="00361441" w:rsidP="00132BBC">
      <w:pPr>
        <w:pStyle w:val="ListParagraph"/>
        <w:numPr>
          <w:ilvl w:val="1"/>
          <w:numId w:val="68"/>
        </w:numPr>
        <w:ind w:right="-192"/>
      </w:pPr>
      <w:r>
        <w:t>15</w:t>
      </w:r>
      <w:r w:rsidRPr="009D42A8">
        <w:t xml:space="preserve"> </w:t>
      </w:r>
      <w:r w:rsidR="009D42A8" w:rsidRPr="009D42A8">
        <w:t xml:space="preserve">to 40 </w:t>
      </w:r>
      <w:proofErr w:type="spellStart"/>
      <w:r w:rsidR="009D42A8" w:rsidRPr="009D42A8">
        <w:t>kilotonnes</w:t>
      </w:r>
      <w:proofErr w:type="spellEnd"/>
      <w:r w:rsidR="009D42A8" w:rsidRPr="009D42A8">
        <w:t xml:space="preserve"> </w:t>
      </w:r>
      <w:r w:rsidR="009D42A8" w:rsidRPr="009D42A8">
        <w:rPr>
          <w:lang w:eastAsia="fr-FR"/>
        </w:rPr>
        <w:t xml:space="preserve">of </w:t>
      </w:r>
      <w:r w:rsidR="009D42A8" w:rsidRPr="009D42A8">
        <w:t>new production</w:t>
      </w:r>
      <w:r w:rsidR="001B438F">
        <w:t>,</w:t>
      </w:r>
      <w:r w:rsidR="009D42A8" w:rsidRPr="009D42A8">
        <w:t xml:space="preserve"> or </w:t>
      </w:r>
      <w:r w:rsidR="00EB552E">
        <w:t xml:space="preserve">use </w:t>
      </w:r>
      <w:r w:rsidR="00CC11FD">
        <w:t xml:space="preserve">from recent </w:t>
      </w:r>
      <w:r w:rsidR="009D42A8" w:rsidRPr="005A06C8">
        <w:rPr>
          <w:lang w:eastAsia="fr-FR"/>
        </w:rPr>
        <w:t>inventory</w:t>
      </w:r>
      <w:r w:rsidR="001B438F">
        <w:rPr>
          <w:lang w:eastAsia="fr-FR"/>
        </w:rPr>
        <w:t>,</w:t>
      </w:r>
      <w:r w:rsidR="009D42A8" w:rsidRPr="005A06C8">
        <w:rPr>
          <w:lang w:eastAsia="fr-FR"/>
        </w:rPr>
        <w:t xml:space="preserve"> </w:t>
      </w:r>
      <w:r w:rsidR="009D42A8" w:rsidRPr="00EB67B3">
        <w:t>for 2019</w:t>
      </w:r>
      <w:r w:rsidR="009D42A8" w:rsidRPr="0073346C">
        <w:rPr>
          <w:sz w:val="18"/>
          <w:szCs w:val="18"/>
          <w:vertAlign w:val="superscript"/>
        </w:rPr>
        <w:footnoteReference w:id="3"/>
      </w:r>
      <w:r w:rsidR="009D42A8" w:rsidRPr="009D42A8">
        <w:t>.</w:t>
      </w:r>
    </w:p>
    <w:p w14:paraId="0ED67795" w14:textId="66C590CA" w:rsidR="009D42A8" w:rsidRPr="00E028BE" w:rsidRDefault="00AC1C77" w:rsidP="00132BBC">
      <w:pPr>
        <w:pStyle w:val="ListParagraph"/>
        <w:ind w:right="-192"/>
      </w:pPr>
      <w:r>
        <w:t>T</w:t>
      </w:r>
      <w:r w:rsidR="009D42A8" w:rsidRPr="00E028BE">
        <w:t xml:space="preserve">he estimated cumulative total of unreported CFC-11 production is 320-700 </w:t>
      </w:r>
      <w:proofErr w:type="spellStart"/>
      <w:r w:rsidR="009D42A8" w:rsidRPr="00E028BE">
        <w:t>kilotonnes</w:t>
      </w:r>
      <w:proofErr w:type="spellEnd"/>
      <w:r w:rsidR="009D42A8" w:rsidRPr="00E028BE">
        <w:t xml:space="preserve"> in the period 2007-2019. </w:t>
      </w:r>
      <w:r w:rsidR="00925D69">
        <w:t>Assuming us</w:t>
      </w:r>
      <w:r w:rsidR="00FF0E6B">
        <w:t>age</w:t>
      </w:r>
      <w:r w:rsidR="00925D69">
        <w:t xml:space="preserve"> in closed-cell foam</w:t>
      </w:r>
      <w:r w:rsidR="00FF0E6B">
        <w:t xml:space="preserve"> production</w:t>
      </w:r>
      <w:r w:rsidR="00925D69">
        <w:t>, t</w:t>
      </w:r>
      <w:r w:rsidR="009D42A8" w:rsidRPr="00E028BE">
        <w:t>h</w:t>
      </w:r>
      <w:r w:rsidR="0047749E">
        <w:t>is</w:t>
      </w:r>
      <w:r w:rsidR="009D42A8" w:rsidRPr="00E028BE">
        <w:t xml:space="preserve"> cumulative unreported </w:t>
      </w:r>
      <w:r w:rsidR="00FF0E6B">
        <w:t xml:space="preserve">CFC-11 </w:t>
      </w:r>
      <w:r w:rsidR="009D42A8" w:rsidRPr="00E028BE">
        <w:t>production</w:t>
      </w:r>
      <w:r>
        <w:t xml:space="preserve"> would</w:t>
      </w:r>
      <w:r w:rsidR="009D42A8" w:rsidRPr="00E028BE">
        <w:t xml:space="preserve"> lead to an </w:t>
      </w:r>
      <w:r w:rsidR="00EC5ABA">
        <w:t xml:space="preserve">estimated </w:t>
      </w:r>
      <w:r w:rsidR="009D42A8" w:rsidRPr="00E028BE">
        <w:t xml:space="preserve">increase in the magnitude of the CFC-11 bank of 300 (266-333) </w:t>
      </w:r>
      <w:proofErr w:type="spellStart"/>
      <w:r w:rsidR="005127BE">
        <w:t>kilotonnes</w:t>
      </w:r>
      <w:proofErr w:type="spellEnd"/>
      <w:r w:rsidR="005127BE" w:rsidRPr="00E028BE">
        <w:t xml:space="preserve"> </w:t>
      </w:r>
      <w:r w:rsidR="009D42A8" w:rsidRPr="00E028BE">
        <w:t>by the end of 2019.</w:t>
      </w:r>
    </w:p>
    <w:p w14:paraId="54B6374B" w14:textId="35685ED3" w:rsidR="009D42A8" w:rsidRPr="00E028BE" w:rsidRDefault="009D42A8" w:rsidP="00132BBC">
      <w:pPr>
        <w:pStyle w:val="ListParagraph"/>
        <w:ind w:right="-192"/>
      </w:pPr>
      <w:r w:rsidRPr="005A06C8">
        <w:t>Any additional unexpected emissions of CFC-12 are likely to be as a co-product associated with the production of CFC-11, rather than from any specific production initiated to supply</w:t>
      </w:r>
      <w:r w:rsidRPr="00EB67B3">
        <w:t xml:space="preserve"> CFC-12 in </w:t>
      </w:r>
      <w:r w:rsidR="0047749E">
        <w:t xml:space="preserve">its own </w:t>
      </w:r>
      <w:r w:rsidRPr="00EB67B3">
        <w:t>applications.</w:t>
      </w:r>
    </w:p>
    <w:p w14:paraId="700C2C71" w14:textId="7213B9F1" w:rsidR="00B06D0B" w:rsidRPr="00E028BE" w:rsidRDefault="009D42A8" w:rsidP="00132BBC">
      <w:pPr>
        <w:pStyle w:val="ListParagraph"/>
        <w:ind w:right="-192"/>
      </w:pPr>
      <w:r w:rsidRPr="00E028BE">
        <w:t xml:space="preserve">Between 45 to 120 </w:t>
      </w:r>
      <w:proofErr w:type="spellStart"/>
      <w:r w:rsidRPr="00E028BE">
        <w:t>kilotonnes</w:t>
      </w:r>
      <w:proofErr w:type="spellEnd"/>
      <w:r w:rsidRPr="00E028BE">
        <w:t xml:space="preserve"> of CTC would be required to supply between 40 to 70 </w:t>
      </w:r>
      <w:proofErr w:type="spellStart"/>
      <w:r w:rsidRPr="00E028BE">
        <w:t>kilotonnes</w:t>
      </w:r>
      <w:proofErr w:type="spellEnd"/>
      <w:r w:rsidRPr="00E028BE">
        <w:t xml:space="preserve"> of CFC-11 production annually in the period 2013 to 2018, depending on the proportion of co-produced CFC-12 and expected to be at the lower end of the range. In the period 2007-2019, the cumulative CTC quantity required to produce 320-700 </w:t>
      </w:r>
      <w:proofErr w:type="spellStart"/>
      <w:r w:rsidRPr="00E028BE">
        <w:t>kilotonnes</w:t>
      </w:r>
      <w:proofErr w:type="spellEnd"/>
      <w:r w:rsidRPr="00E028BE">
        <w:t xml:space="preserve"> of CFC-11 is at least 360 </w:t>
      </w:r>
      <w:proofErr w:type="spellStart"/>
      <w:r w:rsidRPr="00E028BE">
        <w:t>kilotonnes</w:t>
      </w:r>
      <w:proofErr w:type="spellEnd"/>
      <w:r w:rsidRPr="00E028BE">
        <w:t>.</w:t>
      </w:r>
    </w:p>
    <w:p w14:paraId="161CCA60" w14:textId="1CD6EB5A" w:rsidR="00B06D0B" w:rsidRPr="00CA7412" w:rsidRDefault="00B06D0B" w:rsidP="00B92A7D">
      <w:pPr>
        <w:rPr>
          <w:lang w:val="en-US" w:eastAsia="en-US"/>
        </w:rPr>
        <w:sectPr w:rsidR="00B06D0B" w:rsidRPr="00CA7412" w:rsidSect="007A211A">
          <w:headerReference w:type="even" r:id="rId29"/>
          <w:headerReference w:type="default" r:id="rId30"/>
          <w:footerReference w:type="even" r:id="rId31"/>
          <w:headerReference w:type="first" r:id="rId32"/>
          <w:type w:val="oddPage"/>
          <w:pgSz w:w="11907" w:h="16839" w:code="9"/>
          <w:pgMar w:top="1701" w:right="1797" w:bottom="1871" w:left="1797" w:header="720" w:footer="794" w:gutter="0"/>
          <w:pgNumType w:start="1"/>
          <w:cols w:space="720"/>
          <w:docGrid w:linePitch="299"/>
        </w:sectPr>
      </w:pPr>
    </w:p>
    <w:p w14:paraId="5756BD00" w14:textId="4AC136C8" w:rsidR="00FA3389" w:rsidRPr="00FA3389" w:rsidRDefault="003036CE" w:rsidP="00751ECE">
      <w:pPr>
        <w:pStyle w:val="Heading1"/>
      </w:pPr>
      <w:bookmarkStart w:id="115" w:name="_Toc73045584"/>
      <w:r>
        <w:lastRenderedPageBreak/>
        <w:t>Executive summary</w:t>
      </w:r>
      <w:bookmarkEnd w:id="115"/>
    </w:p>
    <w:p w14:paraId="701B1778" w14:textId="61C74269" w:rsidR="0096224C" w:rsidRPr="0096224C" w:rsidRDefault="006D27E8" w:rsidP="0096224C">
      <w:pPr>
        <w:rPr>
          <w:lang w:val="en-US" w:eastAsia="fr-FR"/>
        </w:rPr>
      </w:pPr>
      <w:r>
        <w:rPr>
          <w:lang w:val="en-US" w:eastAsia="fr-FR"/>
        </w:rPr>
        <w:t>Following</w:t>
      </w:r>
      <w:r w:rsidRPr="00F24E3A">
        <w:rPr>
          <w:lang w:val="en-US" w:eastAsia="fr-FR"/>
        </w:rPr>
        <w:t xml:space="preserve"> </w:t>
      </w:r>
      <w:r w:rsidR="00A55A4B">
        <w:rPr>
          <w:lang w:val="en-US" w:eastAsia="fr-FR"/>
        </w:rPr>
        <w:t>reported scientific</w:t>
      </w:r>
      <w:r w:rsidRPr="00F24E3A">
        <w:rPr>
          <w:lang w:val="en-US" w:eastAsia="fr-FR"/>
        </w:rPr>
        <w:t xml:space="preserve"> findings of an unexpected increase in global emissions of CFC-11 after 2012 </w:t>
      </w:r>
      <w:r>
        <w:rPr>
          <w:lang w:val="en-US" w:eastAsia="fr-FR"/>
        </w:rPr>
        <w:t xml:space="preserve">and </w:t>
      </w:r>
      <w:r w:rsidR="007A1DCF">
        <w:rPr>
          <w:lang w:val="en-US" w:eastAsia="fr-FR"/>
        </w:rPr>
        <w:t>the 2019 Task Force</w:t>
      </w:r>
      <w:r>
        <w:rPr>
          <w:lang w:val="en-US" w:eastAsia="fr-FR"/>
        </w:rPr>
        <w:t xml:space="preserve"> </w:t>
      </w:r>
      <w:r w:rsidR="007A1DCF">
        <w:rPr>
          <w:lang w:val="en-US" w:eastAsia="fr-FR"/>
        </w:rPr>
        <w:t>R</w:t>
      </w:r>
      <w:r>
        <w:rPr>
          <w:lang w:val="en-US" w:eastAsia="fr-FR"/>
        </w:rPr>
        <w:t xml:space="preserve">eport in response to </w:t>
      </w:r>
      <w:r w:rsidRPr="00F24E3A">
        <w:rPr>
          <w:lang w:val="en-US" w:eastAsia="fr-FR"/>
        </w:rPr>
        <w:t>decision XXX/3</w:t>
      </w:r>
      <w:r>
        <w:rPr>
          <w:lang w:val="en-US" w:eastAsia="fr-FR"/>
        </w:rPr>
        <w:t xml:space="preserve">, </w:t>
      </w:r>
      <w:r w:rsidR="00805D50" w:rsidRPr="00F24E3A">
        <w:rPr>
          <w:lang w:val="en-US" w:eastAsia="fr-FR"/>
        </w:rPr>
        <w:t>parties</w:t>
      </w:r>
      <w:r w:rsidR="00B46511">
        <w:rPr>
          <w:lang w:val="en-US" w:eastAsia="fr-FR"/>
        </w:rPr>
        <w:t xml:space="preserve"> </w:t>
      </w:r>
      <w:r w:rsidR="00F54E66">
        <w:rPr>
          <w:lang w:val="en-US" w:eastAsia="fr-FR"/>
        </w:rPr>
        <w:t>at the Meeting of the Parties in 2019</w:t>
      </w:r>
      <w:r w:rsidR="00B46511">
        <w:rPr>
          <w:lang w:val="en-US" w:eastAsia="fr-FR"/>
        </w:rPr>
        <w:t xml:space="preserve"> </w:t>
      </w:r>
      <w:r w:rsidRPr="00F24E3A">
        <w:rPr>
          <w:lang w:val="en-US" w:eastAsia="fr-FR"/>
        </w:rPr>
        <w:t xml:space="preserve">requested the Technology and Economic Assessment Panel (TEAP) to provide </w:t>
      </w:r>
      <w:r>
        <w:rPr>
          <w:lang w:val="en-US" w:eastAsia="fr-FR"/>
        </w:rPr>
        <w:t>an update report, includ</w:t>
      </w:r>
      <w:r w:rsidR="00C41348">
        <w:rPr>
          <w:lang w:val="en-US" w:eastAsia="fr-FR"/>
        </w:rPr>
        <w:t>ing</w:t>
      </w:r>
      <w:r>
        <w:rPr>
          <w:lang w:val="en-US" w:eastAsia="fr-FR"/>
        </w:rPr>
        <w:t xml:space="preserve"> </w:t>
      </w:r>
      <w:r w:rsidR="00D76B70">
        <w:rPr>
          <w:lang w:val="en-US" w:eastAsia="fr-FR"/>
        </w:rPr>
        <w:t xml:space="preserve">any </w:t>
      </w:r>
      <w:r>
        <w:rPr>
          <w:lang w:val="en-US" w:eastAsia="fr-FR"/>
        </w:rPr>
        <w:t xml:space="preserve">new </w:t>
      </w:r>
      <w:r w:rsidR="00C41348">
        <w:rPr>
          <w:lang w:val="en-US" w:eastAsia="fr-FR"/>
        </w:rPr>
        <w:t xml:space="preserve">available </w:t>
      </w:r>
      <w:r>
        <w:rPr>
          <w:lang w:val="en-US" w:eastAsia="fr-FR"/>
        </w:rPr>
        <w:t xml:space="preserve">compelling information and </w:t>
      </w:r>
      <w:r w:rsidR="00990C04">
        <w:rPr>
          <w:lang w:val="en-US" w:eastAsia="fr-FR"/>
        </w:rPr>
        <w:t xml:space="preserve">a response to </w:t>
      </w:r>
      <w:r>
        <w:rPr>
          <w:lang w:val="en-US" w:eastAsia="fr-FR"/>
        </w:rPr>
        <w:t>specific instruct</w:t>
      </w:r>
      <w:r w:rsidR="00990C04">
        <w:rPr>
          <w:lang w:val="en-US" w:eastAsia="fr-FR"/>
        </w:rPr>
        <w:t>ions</w:t>
      </w:r>
      <w:r>
        <w:rPr>
          <w:lang w:val="en-US" w:eastAsia="fr-FR"/>
        </w:rPr>
        <w:t xml:space="preserve"> in decision XXXI/3, paragraph 7</w:t>
      </w:r>
      <w:r w:rsidRPr="00F24E3A">
        <w:rPr>
          <w:lang w:val="en-US" w:eastAsia="fr-FR"/>
        </w:rPr>
        <w:t>.</w:t>
      </w:r>
      <w:r w:rsidR="00685D82">
        <w:rPr>
          <w:lang w:val="en-US" w:eastAsia="fr-FR"/>
        </w:rPr>
        <w:t xml:space="preserve"> </w:t>
      </w:r>
    </w:p>
    <w:p w14:paraId="4C5B76B0" w14:textId="2202BF02" w:rsidR="006D27E8" w:rsidRDefault="00F519C9" w:rsidP="006D27E8">
      <w:r w:rsidRPr="007902D6">
        <w:t>CFC-11 (trichlorofluoromethane, CFCl</w:t>
      </w:r>
      <w:r w:rsidRPr="007902D6">
        <w:rPr>
          <w:vertAlign w:val="subscript"/>
        </w:rPr>
        <w:t>3</w:t>
      </w:r>
      <w:r w:rsidRPr="007902D6">
        <w:t xml:space="preserve">) was used primarily as a foam-blowing agent (for flexible and polyurethane </w:t>
      </w:r>
      <w:r>
        <w:t>closed</w:t>
      </w:r>
      <w:r w:rsidR="00C41348">
        <w:t>-</w:t>
      </w:r>
      <w:r>
        <w:t xml:space="preserve">cell </w:t>
      </w:r>
      <w:r w:rsidRPr="007902D6">
        <w:t xml:space="preserve">insulating foams), </w:t>
      </w:r>
      <w:r>
        <w:t xml:space="preserve">as an aerosol propellant, </w:t>
      </w:r>
      <w:r w:rsidRPr="007902D6">
        <w:t xml:space="preserve">as a refrigerant (for centrifugal chillers used in large commercial buildings), and in a range of other smaller uses, including asthma inhalers, </w:t>
      </w:r>
      <w:r>
        <w:t xml:space="preserve">and </w:t>
      </w:r>
      <w:r w:rsidRPr="007902D6">
        <w:t xml:space="preserve">tobacco expansion. </w:t>
      </w:r>
      <w:r>
        <w:t xml:space="preserve">A bank of CFC-11 remains </w:t>
      </w:r>
      <w:r w:rsidR="00F51B6F">
        <w:t>present</w:t>
      </w:r>
      <w:r>
        <w:t xml:space="preserve"> in </w:t>
      </w:r>
      <w:r w:rsidR="002D6454">
        <w:t>closed-cell</w:t>
      </w:r>
      <w:r>
        <w:t xml:space="preserve"> foams and centrifugal chillers, from which CFC-11 is released </w:t>
      </w:r>
      <w:r w:rsidR="008A701D">
        <w:t xml:space="preserve">slowly </w:t>
      </w:r>
      <w:r>
        <w:t>into the atmosphere over time</w:t>
      </w:r>
      <w:r w:rsidR="00712FD6">
        <w:t xml:space="preserve">, until </w:t>
      </w:r>
      <w:r w:rsidR="005068D5">
        <w:t>reaching end-of-life</w:t>
      </w:r>
      <w:r>
        <w:t>.</w:t>
      </w:r>
    </w:p>
    <w:p w14:paraId="248B0290" w14:textId="1C3D0DEE" w:rsidR="00F519C9" w:rsidRDefault="00F11FED" w:rsidP="006D27E8">
      <w:pPr>
        <w:rPr>
          <w:lang w:val="en-US" w:eastAsia="fr-FR"/>
        </w:rPr>
      </w:pPr>
      <w:r>
        <w:rPr>
          <w:szCs w:val="22"/>
        </w:rPr>
        <w:t>Global r</w:t>
      </w:r>
      <w:r w:rsidRPr="7260EB12">
        <w:rPr>
          <w:szCs w:val="22"/>
        </w:rPr>
        <w:t xml:space="preserve">eported production of CFC-11 peaked in 1987 at 434 </w:t>
      </w:r>
      <w:proofErr w:type="spellStart"/>
      <w:r w:rsidR="00CA34C0">
        <w:rPr>
          <w:szCs w:val="22"/>
        </w:rPr>
        <w:t>kilo</w:t>
      </w:r>
      <w:r w:rsidRPr="7260EB12">
        <w:rPr>
          <w:szCs w:val="22"/>
        </w:rPr>
        <w:t>tonnes</w:t>
      </w:r>
      <w:proofErr w:type="spellEnd"/>
      <w:r w:rsidRPr="7260EB12">
        <w:rPr>
          <w:szCs w:val="22"/>
        </w:rPr>
        <w:t xml:space="preserve"> in</w:t>
      </w:r>
      <w:r w:rsidR="00092646">
        <w:rPr>
          <w:szCs w:val="22"/>
        </w:rPr>
        <w:t xml:space="preserve"> mostly</w:t>
      </w:r>
      <w:r w:rsidRPr="7260EB12">
        <w:rPr>
          <w:szCs w:val="22"/>
        </w:rPr>
        <w:t xml:space="preserve"> non-Article 5 </w:t>
      </w:r>
      <w:r>
        <w:rPr>
          <w:szCs w:val="22"/>
        </w:rPr>
        <w:t>parties</w:t>
      </w:r>
      <w:r w:rsidRPr="7260EB12">
        <w:rPr>
          <w:szCs w:val="22"/>
        </w:rPr>
        <w:t xml:space="preserve">, and in 1997 at </w:t>
      </w:r>
      <w:r w:rsidRPr="7260EB12">
        <w:rPr>
          <w:szCs w:val="22"/>
          <w:lang w:val="en-AU"/>
        </w:rPr>
        <w:t xml:space="preserve">46 </w:t>
      </w:r>
      <w:proofErr w:type="spellStart"/>
      <w:r w:rsidR="00622270">
        <w:rPr>
          <w:szCs w:val="22"/>
          <w:lang w:val="en-AU"/>
        </w:rPr>
        <w:t>kilo</w:t>
      </w:r>
      <w:r w:rsidRPr="7260EB12">
        <w:rPr>
          <w:szCs w:val="22"/>
          <w:lang w:val="en-AU"/>
        </w:rPr>
        <w:t>tonnes</w:t>
      </w:r>
      <w:proofErr w:type="spellEnd"/>
      <w:r w:rsidRPr="7260EB12">
        <w:rPr>
          <w:szCs w:val="22"/>
          <w:lang w:val="en-AU"/>
        </w:rPr>
        <w:t xml:space="preserve"> in Article 5 </w:t>
      </w:r>
      <w:r>
        <w:rPr>
          <w:szCs w:val="22"/>
          <w:lang w:val="en-AU"/>
        </w:rPr>
        <w:t>parties</w:t>
      </w:r>
      <w:r w:rsidRPr="7260EB12">
        <w:rPr>
          <w:szCs w:val="22"/>
          <w:lang w:val="en-AU"/>
        </w:rPr>
        <w:t>.</w:t>
      </w:r>
      <w:r>
        <w:rPr>
          <w:szCs w:val="22"/>
          <w:lang w:val="en-AU"/>
        </w:rPr>
        <w:t xml:space="preserve"> </w:t>
      </w:r>
      <w:r w:rsidR="00AF42A9" w:rsidRPr="00AF42A9">
        <w:rPr>
          <w:lang w:val="en-US" w:eastAsia="fr-FR"/>
        </w:rPr>
        <w:t xml:space="preserve">Under the Montreal Protocol, </w:t>
      </w:r>
      <w:r w:rsidR="000D6C45">
        <w:rPr>
          <w:lang w:val="en-US" w:eastAsia="fr-FR"/>
        </w:rPr>
        <w:t xml:space="preserve">the phase-out of </w:t>
      </w:r>
      <w:r w:rsidR="00D54D4D">
        <w:rPr>
          <w:lang w:val="en-US" w:eastAsia="fr-FR"/>
        </w:rPr>
        <w:t xml:space="preserve">CFC-11 </w:t>
      </w:r>
      <w:r w:rsidR="00AF42A9" w:rsidRPr="00AF42A9">
        <w:rPr>
          <w:lang w:val="en-US" w:eastAsia="fr-FR"/>
        </w:rPr>
        <w:t xml:space="preserve">production </w:t>
      </w:r>
      <w:r w:rsidR="00D54D4D">
        <w:rPr>
          <w:lang w:val="en-US" w:eastAsia="fr-FR"/>
        </w:rPr>
        <w:t>and consumption</w:t>
      </w:r>
      <w:r w:rsidR="00AF42A9" w:rsidRPr="00AF42A9">
        <w:rPr>
          <w:lang w:val="en-US" w:eastAsia="fr-FR"/>
        </w:rPr>
        <w:t xml:space="preserve"> </w:t>
      </w:r>
      <w:r w:rsidR="009E5D41">
        <w:rPr>
          <w:lang w:val="en-US" w:eastAsia="fr-FR"/>
        </w:rPr>
        <w:t>were mandated</w:t>
      </w:r>
      <w:r w:rsidR="00AF42A9" w:rsidRPr="00AF42A9">
        <w:rPr>
          <w:lang w:val="en-US" w:eastAsia="fr-FR"/>
        </w:rPr>
        <w:t xml:space="preserve"> </w:t>
      </w:r>
      <w:r w:rsidR="009E5D41" w:rsidRPr="00AF42A9">
        <w:rPr>
          <w:lang w:val="en-US" w:eastAsia="fr-FR"/>
        </w:rPr>
        <w:t xml:space="preserve">in non-Article 5 parties </w:t>
      </w:r>
      <w:r w:rsidR="00300B63">
        <w:rPr>
          <w:lang w:val="en-US" w:eastAsia="fr-FR"/>
        </w:rPr>
        <w:t>by</w:t>
      </w:r>
      <w:r w:rsidR="00300B63" w:rsidRPr="00AF42A9">
        <w:rPr>
          <w:lang w:val="en-US" w:eastAsia="fr-FR"/>
        </w:rPr>
        <w:t xml:space="preserve"> </w:t>
      </w:r>
      <w:r w:rsidR="00AF42A9" w:rsidRPr="00AF42A9">
        <w:rPr>
          <w:lang w:val="en-US" w:eastAsia="fr-FR"/>
        </w:rPr>
        <w:t xml:space="preserve">1996 </w:t>
      </w:r>
      <w:r w:rsidR="00AB3E82">
        <w:rPr>
          <w:lang w:val="en-US" w:eastAsia="fr-FR"/>
        </w:rPr>
        <w:t>and</w:t>
      </w:r>
      <w:r w:rsidR="00AF42A9" w:rsidRPr="00AF42A9">
        <w:rPr>
          <w:lang w:val="en-US" w:eastAsia="fr-FR"/>
        </w:rPr>
        <w:t xml:space="preserve"> </w:t>
      </w:r>
      <w:r w:rsidR="009E5D41">
        <w:rPr>
          <w:lang w:val="en-US" w:eastAsia="fr-FR"/>
        </w:rPr>
        <w:t>by</w:t>
      </w:r>
      <w:r w:rsidR="009E5D41" w:rsidRPr="00AF42A9">
        <w:rPr>
          <w:lang w:val="en-US" w:eastAsia="fr-FR"/>
        </w:rPr>
        <w:t xml:space="preserve"> 2010</w:t>
      </w:r>
      <w:r w:rsidR="009E5D41">
        <w:rPr>
          <w:lang w:val="en-US" w:eastAsia="fr-FR"/>
        </w:rPr>
        <w:t xml:space="preserve"> </w:t>
      </w:r>
      <w:r w:rsidR="00AF42A9" w:rsidRPr="00AF42A9">
        <w:rPr>
          <w:lang w:val="en-US" w:eastAsia="fr-FR"/>
        </w:rPr>
        <w:t xml:space="preserve">in Article 5 parties. Exceptions were made for small amounts of CFC-11 production for essential uses (i.e., metered dose inhalers for the treatment of asthma and chronic obstructive pulmonary disease), as </w:t>
      </w:r>
      <w:r w:rsidR="00AF42A9" w:rsidRPr="00E97694">
        <w:rPr>
          <w:lang w:eastAsia="fr-FR"/>
        </w:rPr>
        <w:t>authorised</w:t>
      </w:r>
      <w:r w:rsidR="00AF42A9" w:rsidRPr="00AF42A9">
        <w:rPr>
          <w:lang w:val="en-US" w:eastAsia="fr-FR"/>
        </w:rPr>
        <w:t xml:space="preserve"> by parties, and for non-Article 5 parties to produce CFC-11 for the basic domestic needs of Article 5 parties.</w:t>
      </w:r>
    </w:p>
    <w:p w14:paraId="2D0F7446" w14:textId="61432526" w:rsidR="00BB7550" w:rsidRDefault="00790D93" w:rsidP="00BB7550">
      <w:r>
        <w:rPr>
          <w:color w:val="000000" w:themeColor="text1"/>
          <w:lang w:val="en-US"/>
        </w:rPr>
        <w:t>Despite these successful measures</w:t>
      </w:r>
      <w:r w:rsidR="00003FFD" w:rsidRPr="00003FFD">
        <w:rPr>
          <w:color w:val="000000" w:themeColor="text1"/>
          <w:lang w:val="en-US"/>
        </w:rPr>
        <w:t xml:space="preserve">, </w:t>
      </w:r>
      <w:proofErr w:type="spellStart"/>
      <w:r w:rsidR="00003FFD" w:rsidRPr="00003FFD">
        <w:rPr>
          <w:color w:val="000000" w:themeColor="text1"/>
          <w:lang w:val="en-US"/>
        </w:rPr>
        <w:t>Montzka</w:t>
      </w:r>
      <w:proofErr w:type="spellEnd"/>
      <w:r w:rsidR="00003FFD" w:rsidRPr="00003FFD">
        <w:rPr>
          <w:color w:val="000000" w:themeColor="text1"/>
          <w:lang w:val="en-US"/>
        </w:rPr>
        <w:t xml:space="preserve"> </w:t>
      </w:r>
      <w:r w:rsidR="00003FFD" w:rsidRPr="00760DE8">
        <w:rPr>
          <w:i/>
          <w:iCs/>
          <w:color w:val="000000" w:themeColor="text1"/>
          <w:lang w:val="en-US"/>
        </w:rPr>
        <w:t>et al.</w:t>
      </w:r>
      <w:r w:rsidR="005A6B5B" w:rsidRPr="005A6B5B">
        <w:rPr>
          <w:rStyle w:val="FootnoteReference"/>
          <w:iCs/>
        </w:rPr>
        <w:t xml:space="preserve"> </w:t>
      </w:r>
      <w:r w:rsidR="005A6B5B" w:rsidRPr="00D32C74">
        <w:rPr>
          <w:rStyle w:val="FootnoteReference"/>
          <w:iCs/>
        </w:rPr>
        <w:footnoteReference w:id="4"/>
      </w:r>
      <w:r w:rsidR="00003FFD" w:rsidRPr="00003FFD">
        <w:rPr>
          <w:color w:val="000000" w:themeColor="text1"/>
          <w:lang w:val="en-US"/>
        </w:rPr>
        <w:t xml:space="preserve">, in a letter to Nature in 2018, reported </w:t>
      </w:r>
      <w:r w:rsidR="004F1DF6" w:rsidRPr="6F3C6FA3">
        <w:t xml:space="preserve">the </w:t>
      </w:r>
      <w:r w:rsidR="00202BA0">
        <w:t xml:space="preserve">estimated </w:t>
      </w:r>
      <w:r w:rsidR="004F1DF6" w:rsidRPr="6F3C6FA3">
        <w:t xml:space="preserve">mean </w:t>
      </w:r>
      <w:r w:rsidR="004F1DF6">
        <w:t xml:space="preserve">global emission derived </w:t>
      </w:r>
      <w:r w:rsidR="004F1DF6" w:rsidRPr="6F3C6FA3">
        <w:t xml:space="preserve">for 2014–2016 (67 ± 3 </w:t>
      </w:r>
      <w:proofErr w:type="spellStart"/>
      <w:r w:rsidR="009E1FD5">
        <w:t>kilotonnes</w:t>
      </w:r>
      <w:proofErr w:type="spellEnd"/>
      <w:r w:rsidR="004F1DF6" w:rsidRPr="6F3C6FA3">
        <w:t xml:space="preserve"> yr</w:t>
      </w:r>
      <w:r w:rsidR="004F1DF6" w:rsidRPr="00872AAE">
        <w:rPr>
          <w:vertAlign w:val="superscript"/>
        </w:rPr>
        <w:t>-1</w:t>
      </w:r>
      <w:r w:rsidR="004F1DF6" w:rsidRPr="6F3C6FA3">
        <w:t xml:space="preserve">) to be 13 ± 5 </w:t>
      </w:r>
      <w:proofErr w:type="spellStart"/>
      <w:r w:rsidR="0041783C">
        <w:t>kilotonnes</w:t>
      </w:r>
      <w:proofErr w:type="spellEnd"/>
      <w:r w:rsidR="004F1DF6" w:rsidRPr="6F3C6FA3">
        <w:t xml:space="preserve"> yr</w:t>
      </w:r>
      <w:r w:rsidR="004F1DF6" w:rsidRPr="00872AAE">
        <w:rPr>
          <w:vertAlign w:val="superscript"/>
        </w:rPr>
        <w:t>-1</w:t>
      </w:r>
      <w:r w:rsidR="004F1DF6" w:rsidRPr="6F3C6FA3">
        <w:t xml:space="preserve"> larger than for 2002–2012</w:t>
      </w:r>
      <w:r w:rsidR="00E46085">
        <w:t xml:space="preserve">, </w:t>
      </w:r>
      <w:r w:rsidR="003E4153">
        <w:t>which was</w:t>
      </w:r>
      <w:r w:rsidR="00202BA0">
        <w:t xml:space="preserve"> </w:t>
      </w:r>
      <w:r w:rsidR="00003FFD" w:rsidRPr="00003FFD">
        <w:rPr>
          <w:color w:val="000000" w:themeColor="text1"/>
          <w:lang w:val="en-US"/>
        </w:rPr>
        <w:t>an unexpected, global increase in CFC-11 emissions.</w:t>
      </w:r>
      <w:r w:rsidR="006A2F47">
        <w:rPr>
          <w:color w:val="000000" w:themeColor="text1"/>
          <w:lang w:val="en-US"/>
        </w:rPr>
        <w:t xml:space="preserve"> </w:t>
      </w:r>
      <w:r w:rsidR="00E46085" w:rsidRPr="6F3C6FA3">
        <w:t xml:space="preserve">Emissions in 2018 (70 ± 10 </w:t>
      </w:r>
      <w:proofErr w:type="spellStart"/>
      <w:r w:rsidR="00C96AC5">
        <w:t>kilotonnes</w:t>
      </w:r>
      <w:proofErr w:type="spellEnd"/>
      <w:r w:rsidR="00E46085" w:rsidRPr="6F3C6FA3">
        <w:t xml:space="preserve"> yr</w:t>
      </w:r>
      <w:r w:rsidR="00E46085" w:rsidRPr="00872AAE">
        <w:rPr>
          <w:vertAlign w:val="superscript"/>
        </w:rPr>
        <w:t>-1</w:t>
      </w:r>
      <w:r w:rsidR="00E46085" w:rsidRPr="6F3C6FA3">
        <w:t xml:space="preserve">) were </w:t>
      </w:r>
      <w:r w:rsidR="003C6453">
        <w:t xml:space="preserve">subsequently found to be </w:t>
      </w:r>
      <w:r w:rsidR="00E46085" w:rsidRPr="6F3C6FA3">
        <w:t>similar to the 2014–2017 mean</w:t>
      </w:r>
      <w:r w:rsidR="00FA6D73">
        <w:t xml:space="preserve"> in an updated study</w:t>
      </w:r>
      <w:r w:rsidR="00E46085" w:rsidRPr="6F3C6FA3">
        <w:t xml:space="preserve">. CFC-11 atmospheric concentrations declined </w:t>
      </w:r>
      <w:r w:rsidR="00E46085">
        <w:t>at a mean rate of</w:t>
      </w:r>
      <w:r w:rsidR="00E46085" w:rsidRPr="6F3C6FA3">
        <w:t xml:space="preserve"> –0.7% yr</w:t>
      </w:r>
      <w:r w:rsidR="00E46085" w:rsidRPr="00872AAE">
        <w:rPr>
          <w:vertAlign w:val="superscript"/>
        </w:rPr>
        <w:t>-1</w:t>
      </w:r>
      <w:r w:rsidR="00E46085" w:rsidRPr="6F3C6FA3">
        <w:t xml:space="preserve"> </w:t>
      </w:r>
      <w:r w:rsidR="00E46085">
        <w:t xml:space="preserve">from </w:t>
      </w:r>
      <w:r w:rsidR="00E46085" w:rsidRPr="6F3C6FA3">
        <w:t>2018</w:t>
      </w:r>
      <w:r w:rsidR="00E46085">
        <w:t xml:space="preserve"> to </w:t>
      </w:r>
      <w:r w:rsidR="00E46085" w:rsidRPr="6F3C6FA3">
        <w:t>2019.</w:t>
      </w:r>
      <w:r w:rsidR="00671B5D">
        <w:t xml:space="preserve"> </w:t>
      </w:r>
      <w:r w:rsidR="0061272C">
        <w:t xml:space="preserve">The faster concentration decline measured after 2018 indicated that global emissions in 2019 were 18 </w:t>
      </w:r>
      <w:r w:rsidR="0061272C" w:rsidRPr="6F3C6FA3">
        <w:t>±</w:t>
      </w:r>
      <w:r w:rsidR="0061272C">
        <w:t xml:space="preserve"> 6 </w:t>
      </w:r>
      <w:proofErr w:type="spellStart"/>
      <w:r w:rsidR="00C96AC5">
        <w:t>kilotonnes</w:t>
      </w:r>
      <w:proofErr w:type="spellEnd"/>
      <w:r w:rsidR="0061272C">
        <w:t xml:space="preserve"> yr</w:t>
      </w:r>
      <w:r w:rsidR="0061272C" w:rsidRPr="310F063D">
        <w:rPr>
          <w:vertAlign w:val="superscript"/>
        </w:rPr>
        <w:t>-1</w:t>
      </w:r>
      <w:r w:rsidR="0061272C">
        <w:t xml:space="preserve"> lower than they had been during the 2014-2018 period. </w:t>
      </w:r>
      <w:r w:rsidR="00012F58">
        <w:rPr>
          <w:color w:val="000000" w:themeColor="text1"/>
          <w:lang w:val="en-US"/>
        </w:rPr>
        <w:t xml:space="preserve">The </w:t>
      </w:r>
      <w:r w:rsidR="0061272C">
        <w:rPr>
          <w:color w:val="000000" w:themeColor="text1"/>
          <w:lang w:val="en-US"/>
        </w:rPr>
        <w:t xml:space="preserve">abrupt </w:t>
      </w:r>
      <w:r w:rsidR="00012F58" w:rsidRPr="00012F58">
        <w:rPr>
          <w:color w:val="000000" w:themeColor="text1"/>
          <w:lang w:val="en-US"/>
        </w:rPr>
        <w:t xml:space="preserve">decline </w:t>
      </w:r>
      <w:r w:rsidR="0061272C">
        <w:t xml:space="preserve">of </w:t>
      </w:r>
      <w:r w:rsidR="007E5D4A">
        <w:t xml:space="preserve">CFC-11 </w:t>
      </w:r>
      <w:r w:rsidR="0061272C">
        <w:t>emissions</w:t>
      </w:r>
      <w:r w:rsidR="00A65A07" w:rsidRPr="7FD706EE">
        <w:t xml:space="preserve"> in 2019</w:t>
      </w:r>
      <w:r w:rsidR="00B813B9">
        <w:t xml:space="preserve"> </w:t>
      </w:r>
      <w:r w:rsidR="000936BE">
        <w:t xml:space="preserve">returned global emissions to a level </w:t>
      </w:r>
      <w:r w:rsidR="00020BB0">
        <w:t xml:space="preserve">comparable </w:t>
      </w:r>
      <w:r w:rsidR="00012F58" w:rsidRPr="00012F58">
        <w:rPr>
          <w:color w:val="000000" w:themeColor="text1"/>
          <w:lang w:val="en-US"/>
        </w:rPr>
        <w:t>to pre-2013</w:t>
      </w:r>
      <w:r w:rsidR="00EB0C98">
        <w:rPr>
          <w:color w:val="000000" w:themeColor="text1"/>
          <w:lang w:val="en-US"/>
        </w:rPr>
        <w:t>,</w:t>
      </w:r>
      <w:r w:rsidR="00020BB0" w:rsidRPr="00020BB0">
        <w:t xml:space="preserve"> </w:t>
      </w:r>
      <w:r w:rsidR="00020BB0" w:rsidRPr="7FD706EE">
        <w:t xml:space="preserve">before the unexpected </w:t>
      </w:r>
      <w:r w:rsidR="00B813B9">
        <w:t>increase</w:t>
      </w:r>
      <w:r w:rsidR="00020BB0" w:rsidRPr="7FD706EE">
        <w:t xml:space="preserve"> </w:t>
      </w:r>
      <w:r w:rsidR="007E5D4A">
        <w:t xml:space="preserve">in CFC-11 emissions </w:t>
      </w:r>
      <w:r w:rsidR="00020BB0" w:rsidRPr="7FD706EE">
        <w:t>occurred</w:t>
      </w:r>
      <w:r w:rsidR="00012F58" w:rsidRPr="00012F58">
        <w:rPr>
          <w:color w:val="000000" w:themeColor="text1"/>
          <w:lang w:val="en-US"/>
        </w:rPr>
        <w:t xml:space="preserve">, according to a </w:t>
      </w:r>
      <w:r w:rsidR="00003FFD" w:rsidRPr="6B8BD80C" w:rsidDel="6B8BD80C">
        <w:rPr>
          <w:color w:val="000000" w:themeColor="text1"/>
          <w:lang w:val="en-US"/>
        </w:rPr>
        <w:t xml:space="preserve">new </w:t>
      </w:r>
      <w:r w:rsidR="00012F58" w:rsidRPr="00012F58">
        <w:rPr>
          <w:color w:val="000000" w:themeColor="text1"/>
          <w:lang w:val="en-US"/>
        </w:rPr>
        <w:t xml:space="preserve">study by </w:t>
      </w:r>
      <w:proofErr w:type="spellStart"/>
      <w:r w:rsidR="00625FD5" w:rsidRPr="7FD706EE">
        <w:t>Montzka</w:t>
      </w:r>
      <w:proofErr w:type="spellEnd"/>
      <w:r w:rsidR="00625FD5" w:rsidRPr="7FD706EE">
        <w:t xml:space="preserve"> </w:t>
      </w:r>
      <w:r w:rsidR="00625FD5" w:rsidRPr="310F063D">
        <w:rPr>
          <w:i/>
          <w:iCs/>
        </w:rPr>
        <w:t>et al</w:t>
      </w:r>
      <w:r w:rsidR="00625FD5" w:rsidRPr="7FD706EE">
        <w:t>.</w:t>
      </w:r>
      <w:r w:rsidR="00625FD5" w:rsidRPr="00AB3B88">
        <w:rPr>
          <w:rStyle w:val="FootnoteReference"/>
        </w:rPr>
        <w:footnoteReference w:id="5"/>
      </w:r>
      <w:r w:rsidR="00BB7550">
        <w:t xml:space="preserve"> </w:t>
      </w:r>
    </w:p>
    <w:p w14:paraId="32620F40" w14:textId="52CB0C01" w:rsidR="00D31E99" w:rsidRDefault="007726B7" w:rsidP="00BB7550">
      <w:r>
        <w:t xml:space="preserve">Increasing hemispheric differences in CFC-11 concentrations (with larger values in the northern hemisphere) suggest that the sources of unexpected emissions from 2012 to 2018 were predominantly in the northern hemisphere. </w:t>
      </w:r>
      <w:r w:rsidR="005A6B5B" w:rsidRPr="009326CB">
        <w:rPr>
          <w:lang w:val="en-US"/>
        </w:rPr>
        <w:t xml:space="preserve">Rigby </w:t>
      </w:r>
      <w:r w:rsidR="005A6B5B" w:rsidRPr="009326CB">
        <w:rPr>
          <w:i/>
          <w:iCs/>
          <w:lang w:val="en-US"/>
        </w:rPr>
        <w:t>et al.</w:t>
      </w:r>
      <w:r w:rsidR="005A6B5B" w:rsidRPr="00D32C74">
        <w:rPr>
          <w:rStyle w:val="FootnoteReference"/>
          <w:color w:val="auto"/>
          <w:lang w:val="en-US"/>
        </w:rPr>
        <w:footnoteReference w:id="6"/>
      </w:r>
      <w:r w:rsidR="005A6B5B" w:rsidRPr="009326CB">
        <w:rPr>
          <w:lang w:val="en-US"/>
        </w:rPr>
        <w:t xml:space="preserve"> reported increased emissions of CFC-11 from eastern mainland China, with emissions shown to be 7.0 ± 3.0 (±</w:t>
      </w:r>
      <w:r w:rsidR="005A6B5B">
        <w:rPr>
          <w:lang w:val="en-US"/>
        </w:rPr>
        <w:t>one</w:t>
      </w:r>
      <w:r w:rsidR="005A6B5B" w:rsidRPr="009326CB">
        <w:rPr>
          <w:lang w:val="en-US"/>
        </w:rPr>
        <w:t xml:space="preserve"> standard deviation) </w:t>
      </w:r>
      <w:proofErr w:type="spellStart"/>
      <w:r w:rsidR="00FD7BD7">
        <w:rPr>
          <w:lang w:val="en-US"/>
        </w:rPr>
        <w:t>kilotonnes</w:t>
      </w:r>
      <w:proofErr w:type="spellEnd"/>
      <w:r w:rsidR="00FD7BD7">
        <w:rPr>
          <w:lang w:val="en-US"/>
        </w:rPr>
        <w:t xml:space="preserve"> (or gigagrams)</w:t>
      </w:r>
      <w:r w:rsidR="00FD7BD7" w:rsidRPr="009326CB">
        <w:rPr>
          <w:lang w:val="en-US"/>
        </w:rPr>
        <w:t xml:space="preserve"> </w:t>
      </w:r>
      <w:r w:rsidR="005A6B5B" w:rsidRPr="009326CB">
        <w:rPr>
          <w:lang w:val="en-US"/>
        </w:rPr>
        <w:t xml:space="preserve">per year higher in 2014–2017 than in 2008–2012, arising primarily from the northeastern provinces of Shandong and Hebei. </w:t>
      </w:r>
      <w:r w:rsidR="002B2FC3" w:rsidRPr="002D3118">
        <w:t xml:space="preserve">In </w:t>
      </w:r>
      <w:r w:rsidR="0045497E" w:rsidRPr="002D3118">
        <w:t>an updated study</w:t>
      </w:r>
      <w:r w:rsidR="00492859" w:rsidRPr="002D3118">
        <w:rPr>
          <w:rStyle w:val="FootnoteReference"/>
        </w:rPr>
        <w:footnoteReference w:id="7"/>
      </w:r>
      <w:r w:rsidR="0045497E" w:rsidRPr="002D3118">
        <w:t xml:space="preserve"> in</w:t>
      </w:r>
      <w:r w:rsidR="002B2FC3" w:rsidRPr="002D3118">
        <w:t xml:space="preserve"> </w:t>
      </w:r>
      <w:r w:rsidR="00BF2B75" w:rsidRPr="002D3118">
        <w:lastRenderedPageBreak/>
        <w:t>2021</w:t>
      </w:r>
      <w:r w:rsidR="002B2FC3" w:rsidRPr="002D3118">
        <w:t xml:space="preserve">, emissions from Eastern China </w:t>
      </w:r>
      <w:r w:rsidR="000B2FBF" w:rsidRPr="002D3118">
        <w:t xml:space="preserve">in 2019 </w:t>
      </w:r>
      <w:r w:rsidR="009C1246" w:rsidRPr="002D3118">
        <w:t xml:space="preserve">had </w:t>
      </w:r>
      <w:r w:rsidR="002B2FC3" w:rsidRPr="002D3118">
        <w:t xml:space="preserve">declined by 10 ± 3 </w:t>
      </w:r>
      <w:proofErr w:type="spellStart"/>
      <w:r w:rsidR="00C96AC5">
        <w:t>kilotonnes</w:t>
      </w:r>
      <w:proofErr w:type="spellEnd"/>
      <w:r w:rsidR="002B2FC3" w:rsidRPr="002D3118">
        <w:t xml:space="preserve"> yr</w:t>
      </w:r>
      <w:r w:rsidR="002B2FC3" w:rsidRPr="002D3118">
        <w:rPr>
          <w:vertAlign w:val="superscript"/>
        </w:rPr>
        <w:t>-1</w:t>
      </w:r>
      <w:r w:rsidR="002B2FC3" w:rsidRPr="002D3118">
        <w:t xml:space="preserve"> relative to emissions during 2014 to</w:t>
      </w:r>
      <w:r w:rsidR="005907F7" w:rsidRPr="002D3118">
        <w:t xml:space="preserve"> </w:t>
      </w:r>
      <w:r w:rsidR="002B2FC3" w:rsidRPr="002D3118">
        <w:t>2017. This regional emission decrease accounted for 60 ± 30% of the global decline.</w:t>
      </w:r>
    </w:p>
    <w:p w14:paraId="332BF7E7" w14:textId="32F1B4EB" w:rsidR="004255BE" w:rsidRDefault="004255BE" w:rsidP="004255BE">
      <w:r>
        <w:rPr>
          <w:color w:val="000000" w:themeColor="text1"/>
          <w:lang w:val="en-US"/>
        </w:rPr>
        <w:t>E</w:t>
      </w:r>
      <w:r w:rsidRPr="00834733">
        <w:rPr>
          <w:color w:val="000000" w:themeColor="text1"/>
          <w:lang w:val="en-US"/>
        </w:rPr>
        <w:t>missions of carbon tetrachloride (CCl</w:t>
      </w:r>
      <w:r w:rsidRPr="00760DE8">
        <w:rPr>
          <w:color w:val="000000" w:themeColor="text1"/>
          <w:vertAlign w:val="subscript"/>
          <w:lang w:val="en-US"/>
        </w:rPr>
        <w:t>4</w:t>
      </w:r>
      <w:r w:rsidRPr="00834733">
        <w:rPr>
          <w:color w:val="000000" w:themeColor="text1"/>
          <w:lang w:val="en-US"/>
        </w:rPr>
        <w:t>) and CFC-12 were higher than expected after 2013 and then declined</w:t>
      </w:r>
      <w:r w:rsidR="00956054">
        <w:rPr>
          <w:color w:val="000000" w:themeColor="text1"/>
          <w:lang w:val="en-US"/>
        </w:rPr>
        <w:t xml:space="preserve"> by 2019</w:t>
      </w:r>
      <w:r w:rsidRPr="00834733">
        <w:rPr>
          <w:color w:val="000000" w:themeColor="text1"/>
          <w:lang w:val="en-US"/>
        </w:rPr>
        <w:t>.</w:t>
      </w:r>
      <w:r>
        <w:rPr>
          <w:color w:val="000000" w:themeColor="text1"/>
          <w:lang w:val="en-US"/>
        </w:rPr>
        <w:t xml:space="preserve"> </w:t>
      </w:r>
      <w:r w:rsidRPr="00834733">
        <w:rPr>
          <w:color w:val="000000" w:themeColor="text1"/>
          <w:lang w:val="en-US"/>
        </w:rPr>
        <w:t xml:space="preserve">The presence </w:t>
      </w:r>
      <w:r w:rsidR="00F27032">
        <w:rPr>
          <w:color w:val="000000" w:themeColor="text1"/>
          <w:lang w:val="en-US"/>
        </w:rPr>
        <w:t xml:space="preserve">and location </w:t>
      </w:r>
      <w:r w:rsidRPr="00834733">
        <w:rPr>
          <w:color w:val="000000" w:themeColor="text1"/>
          <w:lang w:val="en-US"/>
        </w:rPr>
        <w:t xml:space="preserve">of elevated emissions of </w:t>
      </w:r>
      <w:r w:rsidR="00E81238" w:rsidRPr="00834733">
        <w:rPr>
          <w:color w:val="000000" w:themeColor="text1"/>
          <w:lang w:val="en-US"/>
        </w:rPr>
        <w:t>CCl</w:t>
      </w:r>
      <w:r w:rsidR="00E81238" w:rsidRPr="00616550">
        <w:rPr>
          <w:color w:val="000000" w:themeColor="text1"/>
          <w:vertAlign w:val="subscript"/>
          <w:lang w:val="en-US"/>
        </w:rPr>
        <w:t>4</w:t>
      </w:r>
      <w:r w:rsidR="00E81238" w:rsidRPr="00760DE8">
        <w:rPr>
          <w:color w:val="000000" w:themeColor="text1"/>
          <w:lang w:val="en-US"/>
        </w:rPr>
        <w:t xml:space="preserve"> </w:t>
      </w:r>
      <w:r w:rsidRPr="00834733">
        <w:rPr>
          <w:color w:val="000000" w:themeColor="text1"/>
          <w:lang w:val="en-US"/>
        </w:rPr>
        <w:t xml:space="preserve">and CFC-12 </w:t>
      </w:r>
      <w:r w:rsidR="00527E3F">
        <w:rPr>
          <w:color w:val="000000" w:themeColor="text1"/>
          <w:lang w:val="en-US"/>
        </w:rPr>
        <w:t xml:space="preserve">were </w:t>
      </w:r>
      <w:r w:rsidRPr="00834733">
        <w:rPr>
          <w:color w:val="000000" w:themeColor="text1"/>
          <w:lang w:val="en-US"/>
        </w:rPr>
        <w:t>suggest</w:t>
      </w:r>
      <w:r w:rsidR="004A0373">
        <w:rPr>
          <w:color w:val="000000" w:themeColor="text1"/>
          <w:lang w:val="en-US"/>
        </w:rPr>
        <w:t>ive of</w:t>
      </w:r>
      <w:r w:rsidRPr="00834733">
        <w:rPr>
          <w:color w:val="000000" w:themeColor="text1"/>
          <w:lang w:val="en-US"/>
        </w:rPr>
        <w:t xml:space="preserve"> CFC-11 production in eastern China between 2013-2017.</w:t>
      </w:r>
      <w:r>
        <w:rPr>
          <w:color w:val="000000" w:themeColor="text1"/>
          <w:lang w:val="en-US"/>
        </w:rPr>
        <w:t xml:space="preserve"> </w:t>
      </w:r>
      <w:r w:rsidR="00F57F81" w:rsidRPr="00834733">
        <w:rPr>
          <w:color w:val="000000" w:themeColor="text1"/>
          <w:lang w:val="en-US"/>
        </w:rPr>
        <w:t>CCl</w:t>
      </w:r>
      <w:r w:rsidR="00F57F81" w:rsidRPr="00616550">
        <w:rPr>
          <w:color w:val="000000" w:themeColor="text1"/>
          <w:vertAlign w:val="subscript"/>
          <w:lang w:val="en-US"/>
        </w:rPr>
        <w:t>4</w:t>
      </w:r>
      <w:r w:rsidR="00F57F81" w:rsidRPr="00760DE8">
        <w:rPr>
          <w:color w:val="000000" w:themeColor="text1"/>
          <w:lang w:val="en-US"/>
        </w:rPr>
        <w:t xml:space="preserve"> </w:t>
      </w:r>
      <w:r w:rsidR="00165308">
        <w:t>is</w:t>
      </w:r>
      <w:r w:rsidRPr="7FD706EE">
        <w:t xml:space="preserve"> used as a feedstock for the production of CFC-11, and CFC-12 is co-produced with CFC-11.</w:t>
      </w:r>
      <w:r>
        <w:t xml:space="preserve"> </w:t>
      </w:r>
      <w:r w:rsidR="00DA0E52">
        <w:t>Global CCl</w:t>
      </w:r>
      <w:r w:rsidR="00DA0E52" w:rsidRPr="24483D61">
        <w:rPr>
          <w:vertAlign w:val="subscript"/>
        </w:rPr>
        <w:t>4</w:t>
      </w:r>
      <w:r w:rsidR="00DA0E52">
        <w:t xml:space="preserve"> emissions have remained elevated above expectations for many years, and year-to-year changes have significant uncertainty</w:t>
      </w:r>
      <w:r w:rsidR="00C34A4B">
        <w:t xml:space="preserve">, which </w:t>
      </w:r>
      <w:r w:rsidR="00806B59">
        <w:t xml:space="preserve">currently </w:t>
      </w:r>
      <w:r w:rsidR="00C34A4B">
        <w:t>precludes a robust assessment of the relationship between global emissions of CCl</w:t>
      </w:r>
      <w:r w:rsidR="00C34A4B" w:rsidRPr="00E142ED">
        <w:rPr>
          <w:vertAlign w:val="subscript"/>
        </w:rPr>
        <w:t>4</w:t>
      </w:r>
      <w:r w:rsidR="00C34A4B">
        <w:t xml:space="preserve"> and CFC-11.</w:t>
      </w:r>
      <w:r w:rsidR="00DA0E52" w:rsidRPr="7FD706EE" w:rsidDel="00931138">
        <w:t xml:space="preserve"> </w:t>
      </w:r>
    </w:p>
    <w:p w14:paraId="1A4C2550" w14:textId="5C06C02D" w:rsidR="0004643F" w:rsidRDefault="008741A9" w:rsidP="008741A9">
      <w:pPr>
        <w:rPr>
          <w:color w:val="000000" w:themeColor="text1"/>
          <w:lang w:val="en-US"/>
        </w:rPr>
      </w:pPr>
      <w:r w:rsidRPr="008741A9">
        <w:rPr>
          <w:color w:val="000000" w:themeColor="text1"/>
          <w:lang w:val="en-US"/>
        </w:rPr>
        <w:t xml:space="preserve">Based on modelling of CFC-11 production, usage, emissions and comparison against atmospheric-derived emissions, </w:t>
      </w:r>
      <w:r>
        <w:rPr>
          <w:color w:val="000000" w:themeColor="text1"/>
          <w:lang w:val="en-US"/>
        </w:rPr>
        <w:t>the 2019 Task Force</w:t>
      </w:r>
      <w:r w:rsidR="00596C72">
        <w:rPr>
          <w:color w:val="000000" w:themeColor="text1"/>
          <w:lang w:val="en-US"/>
        </w:rPr>
        <w:t xml:space="preserve"> Report</w:t>
      </w:r>
      <w:r w:rsidR="00596C72" w:rsidRPr="00AB3B88">
        <w:rPr>
          <w:rStyle w:val="FootnoteReference"/>
        </w:rPr>
        <w:footnoteReference w:id="8"/>
      </w:r>
      <w:r>
        <w:rPr>
          <w:color w:val="000000" w:themeColor="text1"/>
          <w:lang w:val="en-US"/>
        </w:rPr>
        <w:t xml:space="preserve"> concluded that</w:t>
      </w:r>
      <w:r w:rsidR="0004643F">
        <w:rPr>
          <w:color w:val="000000" w:themeColor="text1"/>
          <w:lang w:val="en-US"/>
        </w:rPr>
        <w:t>:</w:t>
      </w:r>
    </w:p>
    <w:p w14:paraId="6FE96741" w14:textId="7DB65FDA" w:rsidR="0004643F" w:rsidRPr="00760DE8" w:rsidRDefault="00D301C7" w:rsidP="00760DE8">
      <w:pPr>
        <w:pStyle w:val="ListParagraph"/>
        <w:numPr>
          <w:ilvl w:val="0"/>
          <w:numId w:val="73"/>
        </w:numPr>
        <w:rPr>
          <w:color w:val="000000" w:themeColor="text1"/>
          <w:lang w:val="en-US"/>
        </w:rPr>
      </w:pPr>
      <w:r w:rsidRPr="00760DE8">
        <w:rPr>
          <w:color w:val="000000" w:themeColor="text1"/>
          <w:lang w:val="en-US"/>
        </w:rPr>
        <w:t>I</w:t>
      </w:r>
      <w:r w:rsidR="008741A9" w:rsidRPr="00760DE8">
        <w:rPr>
          <w:color w:val="000000" w:themeColor="text1"/>
          <w:lang w:val="en-US"/>
        </w:rPr>
        <w:t xml:space="preserve">t was unlikely that past production and historic usage could account for the unexpected CFC-11 emissions, including from foam banks. </w:t>
      </w:r>
    </w:p>
    <w:p w14:paraId="00AFDF55" w14:textId="430940E0" w:rsidR="008741A9" w:rsidRPr="00760DE8" w:rsidRDefault="008741A9" w:rsidP="00760DE8">
      <w:pPr>
        <w:pStyle w:val="ListParagraph"/>
        <w:numPr>
          <w:ilvl w:val="0"/>
          <w:numId w:val="73"/>
        </w:numPr>
        <w:rPr>
          <w:color w:val="000000" w:themeColor="text1"/>
          <w:lang w:val="en-US"/>
        </w:rPr>
      </w:pPr>
      <w:r w:rsidRPr="00760DE8">
        <w:rPr>
          <w:color w:val="000000" w:themeColor="text1"/>
          <w:lang w:val="en-US"/>
        </w:rPr>
        <w:t xml:space="preserve">It </w:t>
      </w:r>
      <w:r w:rsidR="0004643F" w:rsidRPr="00760DE8">
        <w:rPr>
          <w:color w:val="000000" w:themeColor="text1"/>
          <w:lang w:val="en-US"/>
        </w:rPr>
        <w:t>was</w:t>
      </w:r>
      <w:r w:rsidRPr="00760DE8">
        <w:rPr>
          <w:color w:val="000000" w:themeColor="text1"/>
          <w:lang w:val="en-US"/>
        </w:rPr>
        <w:t xml:space="preserve"> unlikely that there has been a resumption of newly produced CFC-11 usage in refrigeration and air-conditioning uses, flexible foams, aerosols, solvents, feedstock uses, tobacco expansion and other miscellaneous applications.</w:t>
      </w:r>
      <w:r w:rsidR="0076055D">
        <w:rPr>
          <w:color w:val="000000" w:themeColor="text1"/>
          <w:lang w:val="en-US"/>
        </w:rPr>
        <w:t xml:space="preserve"> </w:t>
      </w:r>
    </w:p>
    <w:p w14:paraId="2A0FE3F8" w14:textId="555CBC94" w:rsidR="008741A9" w:rsidRPr="00760DE8" w:rsidRDefault="008741A9" w:rsidP="00760DE8">
      <w:pPr>
        <w:pStyle w:val="ListParagraph"/>
        <w:numPr>
          <w:ilvl w:val="0"/>
          <w:numId w:val="73"/>
        </w:numPr>
        <w:rPr>
          <w:color w:val="000000" w:themeColor="text1"/>
          <w:lang w:val="en-US"/>
        </w:rPr>
      </w:pPr>
      <w:r w:rsidRPr="00760DE8">
        <w:rPr>
          <w:color w:val="000000" w:themeColor="text1"/>
          <w:lang w:val="en-US"/>
        </w:rPr>
        <w:t>It is likely that there has been a resumption of newly produced CFC-11 usage in closed-cell foams.</w:t>
      </w:r>
    </w:p>
    <w:p w14:paraId="72DAE3E4" w14:textId="2428581C" w:rsidR="001D30D5" w:rsidRDefault="00F43420" w:rsidP="00AD428D">
      <w:pPr>
        <w:rPr>
          <w:lang w:val="en-AU"/>
        </w:rPr>
      </w:pPr>
      <w:r>
        <w:rPr>
          <w:color w:val="000000" w:themeColor="text1"/>
          <w:lang w:val="en-US"/>
        </w:rPr>
        <w:t xml:space="preserve">Building on the </w:t>
      </w:r>
      <w:r w:rsidR="004B6712">
        <w:rPr>
          <w:color w:val="000000" w:themeColor="text1"/>
          <w:lang w:val="en-US"/>
        </w:rPr>
        <w:t xml:space="preserve">modelling </w:t>
      </w:r>
      <w:r w:rsidR="00DE73EA">
        <w:rPr>
          <w:color w:val="000000" w:themeColor="text1"/>
          <w:lang w:val="en-US"/>
        </w:rPr>
        <w:t xml:space="preserve">work </w:t>
      </w:r>
      <w:r w:rsidR="004B6712">
        <w:rPr>
          <w:color w:val="000000" w:themeColor="text1"/>
          <w:lang w:val="en-US"/>
        </w:rPr>
        <w:t>of</w:t>
      </w:r>
      <w:r w:rsidR="00DE73EA">
        <w:rPr>
          <w:color w:val="000000" w:themeColor="text1"/>
          <w:lang w:val="en-US"/>
        </w:rPr>
        <w:t xml:space="preserve"> the </w:t>
      </w:r>
      <w:r w:rsidR="004D37E1">
        <w:rPr>
          <w:color w:val="000000" w:themeColor="text1"/>
          <w:lang w:val="en-US"/>
        </w:rPr>
        <w:t xml:space="preserve">2019 Task Force, </w:t>
      </w:r>
      <w:r w:rsidR="00983EB2">
        <w:rPr>
          <w:color w:val="000000" w:themeColor="text1"/>
          <w:lang w:val="en-US"/>
        </w:rPr>
        <w:t>a</w:t>
      </w:r>
      <w:r w:rsidR="001203BC">
        <w:rPr>
          <w:color w:val="000000" w:themeColor="text1"/>
          <w:lang w:val="en-US"/>
        </w:rPr>
        <w:t>n</w:t>
      </w:r>
      <w:r w:rsidR="00983EB2">
        <w:rPr>
          <w:color w:val="000000" w:themeColor="text1"/>
          <w:lang w:val="en-US"/>
        </w:rPr>
        <w:t xml:space="preserve"> </w:t>
      </w:r>
      <w:r w:rsidR="0097547F">
        <w:rPr>
          <w:color w:val="000000" w:themeColor="text1"/>
          <w:lang w:val="en-US"/>
        </w:rPr>
        <w:t>inventory-based</w:t>
      </w:r>
      <w:r w:rsidR="00983EB2">
        <w:rPr>
          <w:color w:val="000000" w:themeColor="text1"/>
          <w:lang w:val="en-US"/>
        </w:rPr>
        <w:t xml:space="preserve"> model</w:t>
      </w:r>
      <w:r w:rsidR="00FA3C27">
        <w:rPr>
          <w:color w:val="000000" w:themeColor="text1"/>
          <w:lang w:val="en-US"/>
        </w:rPr>
        <w:t xml:space="preserve"> </w:t>
      </w:r>
      <w:r w:rsidR="00992AC6">
        <w:rPr>
          <w:color w:val="000000" w:themeColor="text1"/>
          <w:lang w:val="en-US"/>
        </w:rPr>
        <w:t xml:space="preserve">has been </w:t>
      </w:r>
      <w:proofErr w:type="spellStart"/>
      <w:r w:rsidR="00FA3C27">
        <w:rPr>
          <w:color w:val="000000" w:themeColor="text1"/>
          <w:lang w:val="en-US"/>
        </w:rPr>
        <w:t>utili</w:t>
      </w:r>
      <w:r w:rsidR="001203BC">
        <w:rPr>
          <w:color w:val="000000" w:themeColor="text1"/>
          <w:lang w:val="en-US"/>
        </w:rPr>
        <w:t>s</w:t>
      </w:r>
      <w:r w:rsidR="00FA3C27">
        <w:rPr>
          <w:color w:val="000000" w:themeColor="text1"/>
          <w:lang w:val="en-US"/>
        </w:rPr>
        <w:t>ed</w:t>
      </w:r>
      <w:proofErr w:type="spellEnd"/>
      <w:r w:rsidR="008C1632">
        <w:rPr>
          <w:color w:val="000000" w:themeColor="text1"/>
          <w:lang w:val="en-US"/>
        </w:rPr>
        <w:t xml:space="preserve"> by the 2021 Task Force</w:t>
      </w:r>
      <w:r w:rsidR="00CA523E">
        <w:rPr>
          <w:color w:val="000000" w:themeColor="text1"/>
          <w:lang w:val="en-US"/>
        </w:rPr>
        <w:t>;</w:t>
      </w:r>
      <w:r w:rsidR="00FA3C27">
        <w:rPr>
          <w:color w:val="000000" w:themeColor="text1"/>
          <w:lang w:val="en-US"/>
        </w:rPr>
        <w:t xml:space="preserve"> </w:t>
      </w:r>
      <w:r w:rsidR="00120D21">
        <w:rPr>
          <w:color w:val="000000" w:themeColor="text1"/>
          <w:lang w:val="en-US"/>
        </w:rPr>
        <w:t xml:space="preserve">the </w:t>
      </w:r>
      <w:r w:rsidR="0097547F">
        <w:rPr>
          <w:color w:val="000000" w:themeColor="text1"/>
          <w:lang w:val="en-US"/>
        </w:rPr>
        <w:t>inventory-based</w:t>
      </w:r>
      <w:r w:rsidR="00120D21">
        <w:rPr>
          <w:color w:val="000000" w:themeColor="text1"/>
          <w:lang w:val="en-US"/>
        </w:rPr>
        <w:t xml:space="preserve"> model</w:t>
      </w:r>
      <w:r w:rsidR="000D003A">
        <w:rPr>
          <w:color w:val="000000" w:themeColor="text1"/>
          <w:lang w:val="en-US"/>
        </w:rPr>
        <w:t xml:space="preserve"> is a detailed inventory </w:t>
      </w:r>
      <w:r w:rsidR="00BA542F">
        <w:rPr>
          <w:color w:val="000000" w:themeColor="text1"/>
          <w:lang w:val="en-US"/>
        </w:rPr>
        <w:t xml:space="preserve">and representation </w:t>
      </w:r>
      <w:r w:rsidR="000D003A">
        <w:rPr>
          <w:color w:val="000000" w:themeColor="text1"/>
          <w:lang w:val="en-US"/>
        </w:rPr>
        <w:t>of</w:t>
      </w:r>
      <w:r w:rsidR="008512F3">
        <w:rPr>
          <w:color w:val="000000" w:themeColor="text1"/>
          <w:lang w:val="en-US"/>
        </w:rPr>
        <w:t xml:space="preserve"> historic reported global CFC-11 production and use</w:t>
      </w:r>
      <w:r w:rsidR="00694629">
        <w:rPr>
          <w:color w:val="000000" w:themeColor="text1"/>
          <w:lang w:val="en-US"/>
        </w:rPr>
        <w:t xml:space="preserve">. </w:t>
      </w:r>
      <w:r w:rsidR="00CA080C">
        <w:rPr>
          <w:color w:val="000000" w:themeColor="text1"/>
          <w:lang w:val="en-US"/>
        </w:rPr>
        <w:t xml:space="preserve">The model represents </w:t>
      </w:r>
      <w:r w:rsidR="00025A03">
        <w:rPr>
          <w:color w:val="000000" w:themeColor="text1"/>
          <w:lang w:val="en-US"/>
        </w:rPr>
        <w:t xml:space="preserve">the </w:t>
      </w:r>
      <w:proofErr w:type="spellStart"/>
      <w:r w:rsidR="000D6D4C">
        <w:rPr>
          <w:color w:val="000000" w:themeColor="text1"/>
          <w:lang w:val="en-US"/>
        </w:rPr>
        <w:t>behaviour</w:t>
      </w:r>
      <w:proofErr w:type="spellEnd"/>
      <w:r w:rsidR="00B54113">
        <w:rPr>
          <w:color w:val="000000" w:themeColor="text1"/>
          <w:lang w:val="en-US"/>
        </w:rPr>
        <w:t xml:space="preserve"> </w:t>
      </w:r>
      <w:r w:rsidR="00025A03">
        <w:rPr>
          <w:color w:val="000000" w:themeColor="text1"/>
          <w:lang w:val="en-US"/>
        </w:rPr>
        <w:t xml:space="preserve">of </w:t>
      </w:r>
      <w:r w:rsidR="00694629" w:rsidRPr="07B910CD">
        <w:rPr>
          <w:lang w:val="en-AU"/>
        </w:rPr>
        <w:t xml:space="preserve">CFC-11 </w:t>
      </w:r>
      <w:r w:rsidR="00025A03">
        <w:rPr>
          <w:lang w:val="en-AU"/>
        </w:rPr>
        <w:t>over time</w:t>
      </w:r>
      <w:r w:rsidR="00CB42F5">
        <w:rPr>
          <w:lang w:val="en-AU"/>
        </w:rPr>
        <w:t xml:space="preserve"> </w:t>
      </w:r>
      <w:r w:rsidR="00B54113">
        <w:rPr>
          <w:lang w:val="en-AU"/>
        </w:rPr>
        <w:t xml:space="preserve">at points in the life cycle of CFC-11 production, </w:t>
      </w:r>
      <w:r w:rsidR="00660250">
        <w:rPr>
          <w:lang w:val="en-AU"/>
        </w:rPr>
        <w:t xml:space="preserve">usage, in </w:t>
      </w:r>
      <w:r w:rsidR="00B54113">
        <w:rPr>
          <w:lang w:val="en-AU"/>
        </w:rPr>
        <w:t xml:space="preserve">products, </w:t>
      </w:r>
      <w:r w:rsidR="00660250">
        <w:rPr>
          <w:lang w:val="en-AU"/>
        </w:rPr>
        <w:t xml:space="preserve">at </w:t>
      </w:r>
      <w:r w:rsidR="00A16C6B">
        <w:rPr>
          <w:lang w:val="en-AU"/>
        </w:rPr>
        <w:t>end-of-life</w:t>
      </w:r>
      <w:r w:rsidR="00320D3D">
        <w:rPr>
          <w:lang w:val="en-AU"/>
        </w:rPr>
        <w:t xml:space="preserve">, and is </w:t>
      </w:r>
      <w:r w:rsidR="00CB42F5">
        <w:rPr>
          <w:lang w:val="en-AU"/>
        </w:rPr>
        <w:t xml:space="preserve">based on available </w:t>
      </w:r>
      <w:r w:rsidR="00612183">
        <w:rPr>
          <w:lang w:val="en-AU"/>
        </w:rPr>
        <w:t>information</w:t>
      </w:r>
      <w:r w:rsidR="004831ED">
        <w:rPr>
          <w:lang w:val="en-AU"/>
        </w:rPr>
        <w:t xml:space="preserve">, such as </w:t>
      </w:r>
      <w:r w:rsidR="006E16EE">
        <w:rPr>
          <w:lang w:val="en-AU"/>
        </w:rPr>
        <w:t xml:space="preserve">emissions rates, </w:t>
      </w:r>
      <w:r w:rsidR="00A16C6B">
        <w:rPr>
          <w:lang w:val="en-AU"/>
        </w:rPr>
        <w:t xml:space="preserve">product </w:t>
      </w:r>
      <w:r w:rsidR="006E16EE">
        <w:rPr>
          <w:lang w:val="en-AU"/>
        </w:rPr>
        <w:t xml:space="preserve">lifetimes, </w:t>
      </w:r>
      <w:r w:rsidR="00653449">
        <w:rPr>
          <w:lang w:val="en-AU"/>
        </w:rPr>
        <w:t xml:space="preserve">sectoral </w:t>
      </w:r>
      <w:r w:rsidR="001173F6">
        <w:rPr>
          <w:lang w:val="en-AU"/>
        </w:rPr>
        <w:t xml:space="preserve">and regional </w:t>
      </w:r>
      <w:r w:rsidR="00BC76CD">
        <w:rPr>
          <w:lang w:val="en-AU"/>
        </w:rPr>
        <w:t>practice</w:t>
      </w:r>
      <w:r w:rsidR="00B421F4">
        <w:rPr>
          <w:lang w:val="en-AU"/>
        </w:rPr>
        <w:t>s</w:t>
      </w:r>
      <w:r w:rsidR="000D6D4C">
        <w:rPr>
          <w:lang w:val="en-AU"/>
        </w:rPr>
        <w:t xml:space="preserve">. </w:t>
      </w:r>
      <w:r w:rsidR="00694629" w:rsidRPr="00694629">
        <w:rPr>
          <w:lang w:val="en-AU"/>
        </w:rPr>
        <w:t xml:space="preserve">The CFC-11 that remains in products and equipment is </w:t>
      </w:r>
      <w:r w:rsidR="002E05C9">
        <w:rPr>
          <w:lang w:val="en-AU"/>
        </w:rPr>
        <w:t>describe</w:t>
      </w:r>
      <w:r w:rsidR="00F71B94">
        <w:rPr>
          <w:lang w:val="en-AU"/>
        </w:rPr>
        <w:t>d</w:t>
      </w:r>
      <w:r w:rsidR="002E05C9" w:rsidRPr="00694629">
        <w:rPr>
          <w:lang w:val="en-AU"/>
        </w:rPr>
        <w:t xml:space="preserve"> </w:t>
      </w:r>
      <w:r w:rsidR="00694629" w:rsidRPr="00694629">
        <w:rPr>
          <w:lang w:val="en-AU"/>
        </w:rPr>
        <w:t>as a bank, which is characteri</w:t>
      </w:r>
      <w:r w:rsidR="00F71B94">
        <w:rPr>
          <w:lang w:val="en-AU"/>
        </w:rPr>
        <w:t>s</w:t>
      </w:r>
      <w:r w:rsidR="00694629" w:rsidRPr="00694629">
        <w:rPr>
          <w:lang w:val="en-AU"/>
        </w:rPr>
        <w:t xml:space="preserve">ed as active if the product is still in use or as inactive if the product has been landfilled. The compilation of emissions from different products and at different stages produces the expected emissions profile of CFC-11. </w:t>
      </w:r>
      <w:r w:rsidR="00D0450A" w:rsidRPr="24483D61">
        <w:rPr>
          <w:lang w:val="en-AU"/>
        </w:rPr>
        <w:t>A range of assumptions is tested and bound based on literature and expert input.</w:t>
      </w:r>
      <w:r w:rsidR="00D0450A">
        <w:rPr>
          <w:lang w:val="en-AU"/>
        </w:rPr>
        <w:t xml:space="preserve"> </w:t>
      </w:r>
      <w:r w:rsidR="00694629" w:rsidRPr="00694629">
        <w:rPr>
          <w:lang w:val="en-AU"/>
        </w:rPr>
        <w:t xml:space="preserve">The expected emissions produced by the </w:t>
      </w:r>
      <w:r w:rsidR="0097547F">
        <w:rPr>
          <w:lang w:val="en-AU"/>
        </w:rPr>
        <w:t>inventory-based</w:t>
      </w:r>
      <w:r w:rsidR="00694629" w:rsidRPr="00694629">
        <w:rPr>
          <w:lang w:val="en-AU"/>
        </w:rPr>
        <w:t xml:space="preserve"> model are then compared to </w:t>
      </w:r>
      <w:r w:rsidR="00DC3099">
        <w:rPr>
          <w:lang w:val="en-AU"/>
        </w:rPr>
        <w:t xml:space="preserve">global </w:t>
      </w:r>
      <w:r w:rsidR="00AF4400">
        <w:rPr>
          <w:lang w:val="en-AU"/>
        </w:rPr>
        <w:t>emissions derived f</w:t>
      </w:r>
      <w:r w:rsidR="00EA15AF">
        <w:rPr>
          <w:lang w:val="en-AU"/>
        </w:rPr>
        <w:t>or</w:t>
      </w:r>
      <w:r w:rsidR="007A12DF">
        <w:rPr>
          <w:lang w:val="en-AU"/>
        </w:rPr>
        <w:t xml:space="preserve"> </w:t>
      </w:r>
      <w:r w:rsidR="00694629" w:rsidRPr="00694629">
        <w:rPr>
          <w:lang w:val="en-AU"/>
        </w:rPr>
        <w:t>CFC-11</w:t>
      </w:r>
      <w:r w:rsidR="00800E4D">
        <w:rPr>
          <w:lang w:val="en-AU"/>
        </w:rPr>
        <w:t xml:space="preserve"> </w:t>
      </w:r>
      <w:r w:rsidR="00AF4400">
        <w:rPr>
          <w:lang w:val="en-AU"/>
        </w:rPr>
        <w:t xml:space="preserve">from </w:t>
      </w:r>
      <w:r w:rsidR="00800E4D">
        <w:rPr>
          <w:lang w:val="en-AU"/>
        </w:rPr>
        <w:t xml:space="preserve">atmospheric </w:t>
      </w:r>
      <w:r w:rsidR="00AF4400">
        <w:rPr>
          <w:lang w:val="en-AU"/>
        </w:rPr>
        <w:t>concentration</w:t>
      </w:r>
      <w:r w:rsidR="00694629" w:rsidRPr="00694629">
        <w:rPr>
          <w:lang w:val="en-AU"/>
        </w:rPr>
        <w:t xml:space="preserve"> measurements</w:t>
      </w:r>
      <w:r w:rsidR="006D6F68">
        <w:rPr>
          <w:lang w:val="en-AU"/>
        </w:rPr>
        <w:t xml:space="preserve"> (derived emissions)</w:t>
      </w:r>
      <w:r w:rsidR="00694629" w:rsidRPr="00694629">
        <w:rPr>
          <w:lang w:val="en-AU"/>
        </w:rPr>
        <w:t xml:space="preserve"> </w:t>
      </w:r>
      <w:r w:rsidR="00800E4D">
        <w:rPr>
          <w:lang w:val="en-AU"/>
        </w:rPr>
        <w:t>and our understanding of its global loss rate, or lifetime</w:t>
      </w:r>
      <w:r w:rsidR="00694629" w:rsidRPr="00694629">
        <w:rPr>
          <w:lang w:val="en-AU"/>
        </w:rPr>
        <w:t>.</w:t>
      </w:r>
      <w:r w:rsidR="0021259D">
        <w:rPr>
          <w:lang w:val="en-AU"/>
        </w:rPr>
        <w:t xml:space="preserve"> </w:t>
      </w:r>
      <w:r w:rsidR="0021259D">
        <w:rPr>
          <w:lang w:val="en-US"/>
        </w:rPr>
        <w:t>The</w:t>
      </w:r>
      <w:r w:rsidR="0021259D" w:rsidRPr="4F66A1AC">
        <w:rPr>
          <w:lang w:val="en-US"/>
        </w:rPr>
        <w:t xml:space="preserve"> Task Force incorporated</w:t>
      </w:r>
      <w:r w:rsidR="0021259D" w:rsidRPr="6F3C6FA3">
        <w:rPr>
          <w:lang w:val="en-US"/>
        </w:rPr>
        <w:t xml:space="preserve"> updated derived emissions </w:t>
      </w:r>
      <w:r w:rsidR="0021259D">
        <w:t>estimat</w:t>
      </w:r>
      <w:r w:rsidR="00E83B5D">
        <w:t>ions</w:t>
      </w:r>
      <w:r w:rsidR="0021259D">
        <w:t xml:space="preserve"> from 1979 through 2019 based on </w:t>
      </w:r>
      <w:r w:rsidR="008556B9">
        <w:t xml:space="preserve">NOAA and </w:t>
      </w:r>
      <w:r w:rsidR="0021259D">
        <w:t xml:space="preserve">AGAGE data </w:t>
      </w:r>
      <w:r w:rsidR="00D20201">
        <w:t>using the same methodologies given in</w:t>
      </w:r>
      <w:r w:rsidR="00D66528">
        <w:t xml:space="preserve"> </w:t>
      </w:r>
      <w:r w:rsidR="0021259D">
        <w:t>Engel and Rigby</w:t>
      </w:r>
      <w:r w:rsidR="0021259D" w:rsidRPr="6F3C6FA3">
        <w:rPr>
          <w:i/>
        </w:rPr>
        <w:t xml:space="preserve"> et al</w:t>
      </w:r>
      <w:r w:rsidR="0021259D">
        <w:t>. 2018</w:t>
      </w:r>
      <w:r w:rsidR="0021259D" w:rsidRPr="06CB019C">
        <w:rPr>
          <w:vertAlign w:val="superscript"/>
        </w:rPr>
        <w:footnoteReference w:id="9"/>
      </w:r>
      <w:r w:rsidR="0021259D">
        <w:t xml:space="preserve"> into this </w:t>
      </w:r>
      <w:r w:rsidR="00BB45F5">
        <w:t xml:space="preserve">updated </w:t>
      </w:r>
      <w:r w:rsidR="0097547F">
        <w:t>inventory-based</w:t>
      </w:r>
      <w:r w:rsidR="00BB45F5">
        <w:t xml:space="preserve"> </w:t>
      </w:r>
      <w:r w:rsidR="0021259D">
        <w:t>analysis.</w:t>
      </w:r>
    </w:p>
    <w:p w14:paraId="2CF2828E" w14:textId="2705CD4F" w:rsidR="008B2A57" w:rsidRDefault="008B2A57" w:rsidP="00AD428D">
      <w:pPr>
        <w:rPr>
          <w:lang w:val="en-AU"/>
        </w:rPr>
      </w:pPr>
      <w:r w:rsidRPr="70005DF7">
        <w:rPr>
          <w:lang w:val="en-AU"/>
        </w:rPr>
        <w:lastRenderedPageBreak/>
        <w:t>For this report, the Task Force refined the model using a Weibull distribution</w:t>
      </w:r>
      <w:r>
        <w:rPr>
          <w:rStyle w:val="FootnoteReference"/>
          <w:lang w:val="en-AU"/>
        </w:rPr>
        <w:footnoteReference w:id="10"/>
      </w:r>
      <w:r w:rsidRPr="70005DF7">
        <w:rPr>
          <w:lang w:val="en-AU"/>
        </w:rPr>
        <w:t xml:space="preserve"> to better represent varying chiller </w:t>
      </w:r>
      <w:r w:rsidRPr="247A4AD4">
        <w:rPr>
          <w:lang w:val="en-AU"/>
        </w:rPr>
        <w:t xml:space="preserve">and foam </w:t>
      </w:r>
      <w:r w:rsidRPr="70005DF7">
        <w:rPr>
          <w:lang w:val="en-AU"/>
        </w:rPr>
        <w:t xml:space="preserve">lifetimes rather than </w:t>
      </w:r>
      <w:r w:rsidR="004016C6">
        <w:rPr>
          <w:lang w:val="en-AU"/>
        </w:rPr>
        <w:t xml:space="preserve">using </w:t>
      </w:r>
      <w:r w:rsidRPr="70005DF7">
        <w:rPr>
          <w:lang w:val="en-AU"/>
        </w:rPr>
        <w:t xml:space="preserve">average </w:t>
      </w:r>
      <w:r>
        <w:rPr>
          <w:lang w:val="en-AU"/>
        </w:rPr>
        <w:t>lifetime</w:t>
      </w:r>
      <w:r w:rsidR="00DD7CCD">
        <w:rPr>
          <w:lang w:val="en-AU"/>
        </w:rPr>
        <w:t>s</w:t>
      </w:r>
      <w:r>
        <w:rPr>
          <w:lang w:val="en-AU"/>
        </w:rPr>
        <w:t xml:space="preserve">, which </w:t>
      </w:r>
      <w:r w:rsidR="00FC06A3">
        <w:rPr>
          <w:lang w:val="en-AU"/>
        </w:rPr>
        <w:t>were</w:t>
      </w:r>
      <w:r>
        <w:rPr>
          <w:lang w:val="en-AU"/>
        </w:rPr>
        <w:t xml:space="preserve"> </w:t>
      </w:r>
      <w:r w:rsidRPr="70005DF7">
        <w:rPr>
          <w:lang w:val="en-AU"/>
        </w:rPr>
        <w:t>used</w:t>
      </w:r>
      <w:r>
        <w:rPr>
          <w:lang w:val="en-AU"/>
        </w:rPr>
        <w:t xml:space="preserve"> in the model </w:t>
      </w:r>
      <w:r w:rsidR="00FC06A3">
        <w:rPr>
          <w:lang w:val="en-AU"/>
        </w:rPr>
        <w:t>for</w:t>
      </w:r>
      <w:r>
        <w:rPr>
          <w:lang w:val="en-AU"/>
        </w:rPr>
        <w:t xml:space="preserve"> the 2019 Task Force Report</w:t>
      </w:r>
      <w:r>
        <w:rPr>
          <w:rStyle w:val="FootnoteReference"/>
          <w:lang w:val="en-AU"/>
        </w:rPr>
        <w:footnoteReference w:id="11"/>
      </w:r>
      <w:r w:rsidRPr="70005DF7">
        <w:rPr>
          <w:lang w:val="en-AU"/>
        </w:rPr>
        <w:t>. The model also incorporates new information regarding refrigerant management practices</w:t>
      </w:r>
      <w:r w:rsidR="003A785B">
        <w:rPr>
          <w:lang w:val="en-AU"/>
        </w:rPr>
        <w:t>,</w:t>
      </w:r>
      <w:r w:rsidRPr="70005DF7">
        <w:rPr>
          <w:lang w:val="en-AU"/>
        </w:rPr>
        <w:t xml:space="preserve"> especially </w:t>
      </w:r>
      <w:r w:rsidR="0096491C">
        <w:rPr>
          <w:lang w:val="en-AU"/>
        </w:rPr>
        <w:t>with respect to</w:t>
      </w:r>
      <w:r w:rsidRPr="70005DF7">
        <w:rPr>
          <w:lang w:val="en-AU"/>
        </w:rPr>
        <w:t xml:space="preserve"> reclaimed refrigerant</w:t>
      </w:r>
      <w:r>
        <w:rPr>
          <w:lang w:val="en-AU"/>
        </w:rPr>
        <w:t>.</w:t>
      </w:r>
      <w:r w:rsidR="00336D47">
        <w:rPr>
          <w:lang w:val="en-AU"/>
        </w:rPr>
        <w:t xml:space="preserve"> </w:t>
      </w:r>
    </w:p>
    <w:p w14:paraId="7BEF8700" w14:textId="70E97768" w:rsidR="00336D47" w:rsidRDefault="00336D47" w:rsidP="00AD428D">
      <w:pPr>
        <w:rPr>
          <w:lang w:val="en-AU"/>
        </w:rPr>
      </w:pPr>
      <w:r>
        <w:rPr>
          <w:lang w:val="en-AU"/>
        </w:rPr>
        <w:t xml:space="preserve">The Task Force also developed regional and product-based foams models for both banks and emissions </w:t>
      </w:r>
      <w:r w:rsidR="00E147F1">
        <w:rPr>
          <w:lang w:val="en-AU"/>
        </w:rPr>
        <w:t xml:space="preserve">to respond to the decision of the parties </w:t>
      </w:r>
      <w:r>
        <w:rPr>
          <w:lang w:val="en-AU"/>
        </w:rPr>
        <w:t xml:space="preserve">and </w:t>
      </w:r>
      <w:r w:rsidR="00F02CA0">
        <w:rPr>
          <w:lang w:val="en-AU"/>
        </w:rPr>
        <w:t>incorporated the total results in</w:t>
      </w:r>
      <w:r w:rsidR="00B75827">
        <w:rPr>
          <w:lang w:val="en-AU"/>
        </w:rPr>
        <w:t xml:space="preserve">to the overall model. </w:t>
      </w:r>
      <w:r w:rsidR="00E147F1">
        <w:rPr>
          <w:lang w:val="en-AU"/>
        </w:rPr>
        <w:t xml:space="preserve">The regional and product-based models provided similar emissions results but have some marked differences in </w:t>
      </w:r>
      <w:r w:rsidR="00590EE8">
        <w:rPr>
          <w:lang w:val="en-AU"/>
        </w:rPr>
        <w:t>timing of retirement of foams containing CFC-11</w:t>
      </w:r>
      <w:r w:rsidR="00A1498B">
        <w:rPr>
          <w:lang w:val="en-AU"/>
        </w:rPr>
        <w:t>,</w:t>
      </w:r>
      <w:r w:rsidR="00590EE8">
        <w:rPr>
          <w:lang w:val="en-AU"/>
        </w:rPr>
        <w:t xml:space="preserve"> and c</w:t>
      </w:r>
      <w:r w:rsidR="00A1498B">
        <w:rPr>
          <w:lang w:val="en-AU"/>
        </w:rPr>
        <w:t xml:space="preserve">onsequently, the timing </w:t>
      </w:r>
      <w:r w:rsidR="001272E0">
        <w:rPr>
          <w:lang w:val="en-AU"/>
        </w:rPr>
        <w:t xml:space="preserve">of the transitions of </w:t>
      </w:r>
      <w:r w:rsidR="00A1498B">
        <w:rPr>
          <w:lang w:val="en-AU"/>
        </w:rPr>
        <w:t xml:space="preserve">CFC-11 from the active </w:t>
      </w:r>
      <w:r w:rsidR="001272E0">
        <w:rPr>
          <w:lang w:val="en-AU"/>
        </w:rPr>
        <w:t xml:space="preserve">bank </w:t>
      </w:r>
      <w:r w:rsidR="00A1498B">
        <w:rPr>
          <w:lang w:val="en-AU"/>
        </w:rPr>
        <w:t xml:space="preserve">to the inactive bank. </w:t>
      </w:r>
    </w:p>
    <w:p w14:paraId="255A737C" w14:textId="7FDC254A" w:rsidR="002D168C" w:rsidRDefault="00B62677" w:rsidP="00AD428D">
      <w:pPr>
        <w:rPr>
          <w:lang w:val="en-AU"/>
        </w:rPr>
      </w:pPr>
      <w:r>
        <w:t xml:space="preserve">A mid-range scenario was developed by the 2019 Task Force titled the “most-likely” scenario using assumptions defined by </w:t>
      </w:r>
      <w:r w:rsidR="005E279C">
        <w:t>that</w:t>
      </w:r>
      <w:r w:rsidR="00137418">
        <w:t xml:space="preserve"> </w:t>
      </w:r>
      <w:r>
        <w:t>Task Force</w:t>
      </w:r>
      <w:r w:rsidR="00295783">
        <w:t>, which</w:t>
      </w:r>
      <w:r>
        <w:t xml:space="preserve"> is illustrated in the Figure below</w:t>
      </w:r>
      <w:r w:rsidRPr="6F3C6FA3">
        <w:rPr>
          <w:lang w:val="en-US"/>
        </w:rPr>
        <w:t xml:space="preserve"> </w:t>
      </w:r>
      <w:r w:rsidRPr="17261C23">
        <w:rPr>
          <w:lang w:val="en-US"/>
        </w:rPr>
        <w:t xml:space="preserve">as </w:t>
      </w:r>
      <w:r w:rsidRPr="6F3C6FA3">
        <w:rPr>
          <w:lang w:val="en-US"/>
        </w:rPr>
        <w:t xml:space="preserve">the solid blue line. </w:t>
      </w:r>
      <w:r w:rsidR="002D168C">
        <w:t xml:space="preserve">The </w:t>
      </w:r>
      <w:r w:rsidR="00E72856">
        <w:t xml:space="preserve">2021 </w:t>
      </w:r>
      <w:r w:rsidR="002D168C">
        <w:t xml:space="preserve">Task Force investigated a range of assumptions, </w:t>
      </w:r>
      <w:r w:rsidR="002D168C" w:rsidRPr="00BD47DB">
        <w:t xml:space="preserve">resulting in the range </w:t>
      </w:r>
      <w:r w:rsidR="002D168C">
        <w:t xml:space="preserve">of emissions uncertainties </w:t>
      </w:r>
      <w:r w:rsidR="002D168C" w:rsidRPr="00BD47DB">
        <w:t>represented</w:t>
      </w:r>
      <w:r w:rsidR="002D168C">
        <w:t xml:space="preserve"> by the blue ribbon.</w:t>
      </w:r>
      <w:r w:rsidR="002D168C" w:rsidRPr="6F3C6FA3">
        <w:rPr>
          <w:lang w:val="en-US"/>
        </w:rPr>
        <w:t xml:space="preserve"> The purple shaded area indicates the range of </w:t>
      </w:r>
      <w:r w:rsidR="002D168C" w:rsidRPr="00D177AE">
        <w:rPr>
          <w:lang w:val="en-US"/>
        </w:rPr>
        <w:t>derived CFC-11 emissions</w:t>
      </w:r>
      <w:r w:rsidR="002D168C" w:rsidRPr="6F3C6FA3">
        <w:rPr>
          <w:lang w:val="en-US"/>
        </w:rPr>
        <w:t>, whereas the dashed line indicates the mean atmospherically derived emissions.</w:t>
      </w:r>
    </w:p>
    <w:p w14:paraId="50EF0998" w14:textId="0D5E9A91" w:rsidR="00F5092C" w:rsidRDefault="00F5092C" w:rsidP="00043208">
      <w:pPr>
        <w:pStyle w:val="FigureandTableTitle"/>
      </w:pPr>
      <w:r>
        <w:t>Figure ES.1</w:t>
      </w:r>
      <w:r>
        <w:tab/>
        <w:t xml:space="preserve">CFC-11 derived </w:t>
      </w:r>
      <w:r w:rsidR="0015104B">
        <w:t xml:space="preserve">emissions </w:t>
      </w:r>
      <w:r>
        <w:t xml:space="preserve">and </w:t>
      </w:r>
      <w:r w:rsidR="0097547F">
        <w:t>inventory-based</w:t>
      </w:r>
      <w:r>
        <w:t xml:space="preserve"> estimated emissions (</w:t>
      </w:r>
      <w:proofErr w:type="spellStart"/>
      <w:r>
        <w:t>kilotonnes</w:t>
      </w:r>
      <w:proofErr w:type="spellEnd"/>
      <w:r>
        <w:t>)</w:t>
      </w:r>
    </w:p>
    <w:p w14:paraId="0DD5F33D" w14:textId="7814332F" w:rsidR="005828CF" w:rsidRDefault="00BF05B1" w:rsidP="00AD428D">
      <w:pPr>
        <w:rPr>
          <w:rStyle w:val="CommentReference"/>
        </w:rPr>
      </w:pPr>
      <w:r>
        <w:rPr>
          <w:noProof/>
        </w:rPr>
        <w:drawing>
          <wp:inline distT="0" distB="0" distL="0" distR="0" wp14:anchorId="39FC9892" wp14:editId="25E78100">
            <wp:extent cx="5276852" cy="26003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3">
                      <a:extLst>
                        <a:ext uri="{28A0092B-C50C-407E-A947-70E740481C1C}">
                          <a14:useLocalDpi xmlns:a14="http://schemas.microsoft.com/office/drawing/2010/main" val="0"/>
                        </a:ext>
                      </a:extLst>
                    </a:blip>
                    <a:stretch>
                      <a:fillRect/>
                    </a:stretch>
                  </pic:blipFill>
                  <pic:spPr>
                    <a:xfrm>
                      <a:off x="0" y="0"/>
                      <a:ext cx="5276852" cy="2600325"/>
                    </a:xfrm>
                    <a:prstGeom prst="rect">
                      <a:avLst/>
                    </a:prstGeom>
                  </pic:spPr>
                </pic:pic>
              </a:graphicData>
            </a:graphic>
          </wp:inline>
        </w:drawing>
      </w:r>
    </w:p>
    <w:p w14:paraId="0EE0CB3A" w14:textId="77777777" w:rsidR="00BB669F" w:rsidRDefault="00BB669F" w:rsidP="00AD428D"/>
    <w:p w14:paraId="11CC86E1" w14:textId="4FEA2974" w:rsidR="003B3E5C" w:rsidRDefault="2FE2C3C9" w:rsidP="00AD428D">
      <w:r>
        <w:lastRenderedPageBreak/>
        <w:t xml:space="preserve">The refinement of the model yielded similar results to those of the 2019 Task Force Report. </w:t>
      </w:r>
      <w:r w:rsidR="00B16370">
        <w:t>Although</w:t>
      </w:r>
      <w:r w:rsidR="00A517FE">
        <w:t>, t</w:t>
      </w:r>
      <w:r>
        <w:t>he use of a lifetime distribution for both chillers and closed-cell foams resulted in a more stable emissions curve.</w:t>
      </w:r>
    </w:p>
    <w:p w14:paraId="616D7683" w14:textId="3EB16806" w:rsidR="00594D9E" w:rsidRDefault="00CE3A85" w:rsidP="00AD428D">
      <w:r>
        <w:t>T</w:t>
      </w:r>
      <w:r w:rsidR="00594D9E">
        <w:t xml:space="preserve">he analysis shows a </w:t>
      </w:r>
      <w:r>
        <w:t>difference</w:t>
      </w:r>
      <w:r w:rsidR="00594D9E">
        <w:t xml:space="preserve"> between </w:t>
      </w:r>
      <w:r w:rsidR="0097547F">
        <w:t>inventory-based</w:t>
      </w:r>
      <w:r w:rsidR="00937C98">
        <w:t xml:space="preserve"> </w:t>
      </w:r>
      <w:r w:rsidR="00773203">
        <w:t xml:space="preserve">estimated </w:t>
      </w:r>
      <w:r w:rsidR="00594D9E">
        <w:t xml:space="preserve">expected </w:t>
      </w:r>
      <w:r>
        <w:t xml:space="preserve">CFC-11 </w:t>
      </w:r>
      <w:r w:rsidR="00594D9E">
        <w:t>emissions (represented by the blue band</w:t>
      </w:r>
      <w:r w:rsidR="008D53DB">
        <w:t xml:space="preserve"> and line) and </w:t>
      </w:r>
      <w:r w:rsidR="00937C98" w:rsidRPr="00DE4761">
        <w:t xml:space="preserve">the </w:t>
      </w:r>
      <w:r w:rsidRPr="00DE4761">
        <w:t>derived</w:t>
      </w:r>
      <w:r>
        <w:t xml:space="preserve"> CFC-11</w:t>
      </w:r>
      <w:r w:rsidR="00937C98">
        <w:t xml:space="preserve"> emissions</w:t>
      </w:r>
      <w:r>
        <w:t xml:space="preserve"> (the purple band and dashed line)</w:t>
      </w:r>
      <w:r w:rsidR="00220B11">
        <w:t xml:space="preserve">. </w:t>
      </w:r>
      <w:r w:rsidR="00495A07">
        <w:t xml:space="preserve">With the </w:t>
      </w:r>
      <w:r w:rsidR="0097547F">
        <w:t>inventory-based</w:t>
      </w:r>
      <w:r w:rsidR="00495A07">
        <w:t xml:space="preserve"> model representing </w:t>
      </w:r>
      <w:r w:rsidR="004B10E6">
        <w:t>expect</w:t>
      </w:r>
      <w:r w:rsidR="002A6642">
        <w:t>ed emissions</w:t>
      </w:r>
      <w:r w:rsidR="004B10E6">
        <w:t xml:space="preserve"> based on historic CFC-11 production and use, t</w:t>
      </w:r>
      <w:r w:rsidR="00220B11">
        <w:t>he difference</w:t>
      </w:r>
      <w:r w:rsidR="00204CF8">
        <w:t xml:space="preserve"> with </w:t>
      </w:r>
      <w:r w:rsidR="00204CF8" w:rsidRPr="00DE4761">
        <w:t>derived emissions</w:t>
      </w:r>
      <w:r w:rsidR="00204CF8">
        <w:t>,</w:t>
      </w:r>
      <w:r w:rsidR="007800EA">
        <w:t xml:space="preserve"> </w:t>
      </w:r>
      <w:r w:rsidR="00204CF8">
        <w:t>and</w:t>
      </w:r>
      <w:r w:rsidR="007800EA">
        <w:t xml:space="preserve"> </w:t>
      </w:r>
      <w:r w:rsidR="00106DEE">
        <w:t xml:space="preserve">the period </w:t>
      </w:r>
      <w:r w:rsidR="00204CF8">
        <w:t>over which</w:t>
      </w:r>
      <w:r w:rsidR="00106DEE">
        <w:t xml:space="preserve"> the difference occurs</w:t>
      </w:r>
      <w:r w:rsidR="007800EA">
        <w:t>,</w:t>
      </w:r>
      <w:r w:rsidR="00220B11">
        <w:t xml:space="preserve"> </w:t>
      </w:r>
      <w:r w:rsidR="00106DEE">
        <w:t xml:space="preserve">is indicative of </w:t>
      </w:r>
      <w:r w:rsidR="00797D5D">
        <w:t>unreported CFC-11 production and use</w:t>
      </w:r>
      <w:r w:rsidR="008D6E40">
        <w:rPr>
          <w:lang w:val="en-US" w:eastAsia="fr-FR"/>
        </w:rPr>
        <w:t>;</w:t>
      </w:r>
      <w:r w:rsidR="008D6E40" w:rsidRPr="655B3037">
        <w:rPr>
          <w:lang w:val="en-US" w:eastAsia="fr-FR"/>
        </w:rPr>
        <w:t xml:space="preserve"> emissions from </w:t>
      </w:r>
      <w:r w:rsidR="008D6E40">
        <w:rPr>
          <w:lang w:val="en-US" w:eastAsia="fr-FR"/>
        </w:rPr>
        <w:t xml:space="preserve">CFC-11 </w:t>
      </w:r>
      <w:r w:rsidR="008D6E40" w:rsidRPr="655B3037">
        <w:rPr>
          <w:lang w:val="en-US" w:eastAsia="fr-FR"/>
        </w:rPr>
        <w:t xml:space="preserve">banks alone cannot explain the unexpected </w:t>
      </w:r>
      <w:r w:rsidR="008D6E40">
        <w:rPr>
          <w:lang w:val="en-US" w:eastAsia="fr-FR"/>
        </w:rPr>
        <w:t>increase</w:t>
      </w:r>
      <w:r w:rsidR="008D6E40" w:rsidRPr="655B3037">
        <w:rPr>
          <w:lang w:val="en-US" w:eastAsia="fr-FR"/>
        </w:rPr>
        <w:t xml:space="preserve"> in CFC-11 emissions between 201</w:t>
      </w:r>
      <w:r w:rsidR="008D6E40">
        <w:rPr>
          <w:lang w:val="en-US" w:eastAsia="fr-FR"/>
        </w:rPr>
        <w:t>3</w:t>
      </w:r>
      <w:r w:rsidR="008D6E40" w:rsidRPr="655B3037">
        <w:rPr>
          <w:lang w:val="en-US" w:eastAsia="fr-FR"/>
        </w:rPr>
        <w:t xml:space="preserve"> and 2018. </w:t>
      </w:r>
      <w:r w:rsidR="00D80E5E">
        <w:t xml:space="preserve">Based </w:t>
      </w:r>
      <w:r w:rsidR="00CC48E3">
        <w:t xml:space="preserve">on this analysis, unreported CFC-11 production and use would seem to have </w:t>
      </w:r>
      <w:r w:rsidR="00925D69">
        <w:t xml:space="preserve">been </w:t>
      </w:r>
      <w:r w:rsidR="00DB4391">
        <w:t xml:space="preserve">already </w:t>
      </w:r>
      <w:r w:rsidR="00925D69">
        <w:t>occurring earlier</w:t>
      </w:r>
      <w:r w:rsidR="00EC5ABA">
        <w:t xml:space="preserve"> in the period </w:t>
      </w:r>
      <w:r w:rsidR="002F3EB4">
        <w:t>2007-2012</w:t>
      </w:r>
      <w:r w:rsidR="002D5E08">
        <w:t>.</w:t>
      </w:r>
      <w:r w:rsidR="0076055D">
        <w:t xml:space="preserve"> </w:t>
      </w:r>
    </w:p>
    <w:p w14:paraId="3B7FF0CE" w14:textId="3AC8F5B3" w:rsidR="00FE6C1C" w:rsidRDefault="00E96F6A" w:rsidP="00AD428D">
      <w:pPr>
        <w:rPr>
          <w:lang w:val="en-US" w:eastAsia="fr-FR"/>
        </w:rPr>
      </w:pPr>
      <w:r>
        <w:rPr>
          <w:lang w:val="en-US" w:eastAsia="fr-FR"/>
        </w:rPr>
        <w:t>T</w:t>
      </w:r>
      <w:r w:rsidRPr="1061C58E">
        <w:rPr>
          <w:lang w:val="en-US" w:eastAsia="fr-FR"/>
        </w:rPr>
        <w:t>he model</w:t>
      </w:r>
      <w:r w:rsidDel="0052261C">
        <w:rPr>
          <w:lang w:val="en-US" w:eastAsia="fr-FR"/>
        </w:rPr>
        <w:t xml:space="preserve"> </w:t>
      </w:r>
      <w:r w:rsidRPr="1061C58E">
        <w:rPr>
          <w:lang w:val="en-US" w:eastAsia="fr-FR"/>
        </w:rPr>
        <w:t xml:space="preserve">was </w:t>
      </w:r>
      <w:r>
        <w:rPr>
          <w:lang w:val="en-US" w:eastAsia="fr-FR"/>
        </w:rPr>
        <w:t xml:space="preserve">used to </w:t>
      </w:r>
      <w:r w:rsidRPr="1061C58E">
        <w:rPr>
          <w:lang w:val="en-US" w:eastAsia="fr-FR"/>
        </w:rPr>
        <w:t xml:space="preserve">reconcile </w:t>
      </w:r>
      <w:r>
        <w:rPr>
          <w:lang w:val="en-US" w:eastAsia="fr-FR"/>
        </w:rPr>
        <w:t>t</w:t>
      </w:r>
      <w:r w:rsidRPr="48FFB62C">
        <w:rPr>
          <w:lang w:val="en-US" w:eastAsia="fr-FR"/>
        </w:rPr>
        <w:t>he</w:t>
      </w:r>
      <w:r w:rsidRPr="399A8975">
        <w:rPr>
          <w:lang w:val="en-US" w:eastAsia="fr-FR"/>
        </w:rPr>
        <w:t xml:space="preserve"> </w:t>
      </w:r>
      <w:r>
        <w:rPr>
          <w:lang w:val="en-US" w:eastAsia="fr-FR"/>
        </w:rPr>
        <w:t>differences</w:t>
      </w:r>
      <w:r w:rsidRPr="399A8975">
        <w:rPr>
          <w:lang w:val="en-US" w:eastAsia="fr-FR"/>
        </w:rPr>
        <w:t xml:space="preserve"> between the </w:t>
      </w:r>
      <w:r>
        <w:rPr>
          <w:lang w:val="en-US" w:eastAsia="fr-FR"/>
        </w:rPr>
        <w:t xml:space="preserve">estimated </w:t>
      </w:r>
      <w:r w:rsidR="0097547F">
        <w:rPr>
          <w:lang w:val="en-US" w:eastAsia="fr-FR"/>
        </w:rPr>
        <w:t>inventory-based</w:t>
      </w:r>
      <w:r w:rsidRPr="48FFB62C">
        <w:rPr>
          <w:lang w:val="en-US" w:eastAsia="fr-FR"/>
        </w:rPr>
        <w:t xml:space="preserve"> </w:t>
      </w:r>
      <w:r w:rsidRPr="399A8975">
        <w:rPr>
          <w:lang w:val="en-US" w:eastAsia="fr-FR"/>
        </w:rPr>
        <w:t xml:space="preserve">emissions and those </w:t>
      </w:r>
      <w:r w:rsidR="007B16E4">
        <w:rPr>
          <w:lang w:val="en-US" w:eastAsia="fr-FR"/>
        </w:rPr>
        <w:t xml:space="preserve">derived from </w:t>
      </w:r>
      <w:r w:rsidRPr="0FC105AC">
        <w:rPr>
          <w:lang w:val="en-US" w:eastAsia="fr-FR"/>
        </w:rPr>
        <w:t>atmospher</w:t>
      </w:r>
      <w:r w:rsidR="007B16E4">
        <w:rPr>
          <w:lang w:val="en-US" w:eastAsia="fr-FR"/>
        </w:rPr>
        <w:t>ic concentrations</w:t>
      </w:r>
      <w:r>
        <w:rPr>
          <w:lang w:val="en-US" w:eastAsia="fr-FR"/>
        </w:rPr>
        <w:t>,</w:t>
      </w:r>
      <w:r w:rsidRPr="1061C58E">
        <w:rPr>
          <w:lang w:val="en-US" w:eastAsia="fr-FR"/>
        </w:rPr>
        <w:t xml:space="preserve"> assuming that those emissions </w:t>
      </w:r>
      <w:r>
        <w:rPr>
          <w:lang w:val="en-US" w:eastAsia="fr-FR"/>
        </w:rPr>
        <w:t>were</w:t>
      </w:r>
      <w:r w:rsidRPr="1061C58E">
        <w:rPr>
          <w:lang w:val="en-US" w:eastAsia="fr-FR"/>
        </w:rPr>
        <w:t xml:space="preserve"> associated with closed-cell foam production and use</w:t>
      </w:r>
      <w:r w:rsidR="00FE6C1C">
        <w:rPr>
          <w:lang w:val="en-US" w:eastAsia="fr-FR"/>
        </w:rPr>
        <w:t xml:space="preserve"> (as concluded in the 2019 Task Force Report)</w:t>
      </w:r>
      <w:r w:rsidR="0073216D" w:rsidRPr="0073216D">
        <w:rPr>
          <w:rStyle w:val="FootnoteReference"/>
          <w:lang w:val="en-US" w:eastAsia="fr-FR"/>
        </w:rPr>
        <w:t xml:space="preserve"> </w:t>
      </w:r>
      <w:r w:rsidR="0073216D">
        <w:rPr>
          <w:rStyle w:val="FootnoteReference"/>
          <w:lang w:val="en-US" w:eastAsia="fr-FR"/>
        </w:rPr>
        <w:footnoteReference w:id="12"/>
      </w:r>
      <w:r w:rsidRPr="1061C58E">
        <w:rPr>
          <w:lang w:val="en-US" w:eastAsia="fr-FR"/>
        </w:rPr>
        <w:t>.</w:t>
      </w:r>
      <w:r w:rsidR="00A96259">
        <w:rPr>
          <w:lang w:val="en-US" w:eastAsia="fr-FR"/>
        </w:rPr>
        <w:t xml:space="preserve"> </w:t>
      </w:r>
      <w:r w:rsidR="007F2950">
        <w:rPr>
          <w:lang w:val="en-US" w:eastAsia="fr-FR"/>
        </w:rPr>
        <w:t>Based on estimation</w:t>
      </w:r>
      <w:r w:rsidR="00EC5ABA">
        <w:rPr>
          <w:lang w:val="en-US" w:eastAsia="fr-FR"/>
        </w:rPr>
        <w:t>s</w:t>
      </w:r>
      <w:r w:rsidR="007F2950">
        <w:rPr>
          <w:lang w:val="en-US" w:eastAsia="fr-FR"/>
        </w:rPr>
        <w:t xml:space="preserve"> of the</w:t>
      </w:r>
      <w:r w:rsidR="00A96259">
        <w:rPr>
          <w:lang w:val="en-US" w:eastAsia="fr-FR"/>
        </w:rPr>
        <w:t xml:space="preserve"> </w:t>
      </w:r>
      <w:r w:rsidR="00D4426F">
        <w:rPr>
          <w:lang w:val="en-US" w:eastAsia="fr-FR"/>
        </w:rPr>
        <w:t xml:space="preserve">additional CFC-11 </w:t>
      </w:r>
      <w:r w:rsidR="008D1310">
        <w:rPr>
          <w:lang w:val="en-US" w:eastAsia="fr-FR"/>
        </w:rPr>
        <w:t>production</w:t>
      </w:r>
      <w:r w:rsidR="00D4426F">
        <w:rPr>
          <w:lang w:val="en-US" w:eastAsia="fr-FR"/>
        </w:rPr>
        <w:t xml:space="preserve"> </w:t>
      </w:r>
      <w:r w:rsidR="001D43B3">
        <w:rPr>
          <w:lang w:val="en-US" w:eastAsia="fr-FR"/>
        </w:rPr>
        <w:t xml:space="preserve">necessary </w:t>
      </w:r>
      <w:r w:rsidR="00AF0F09">
        <w:rPr>
          <w:lang w:val="en-US" w:eastAsia="fr-FR"/>
        </w:rPr>
        <w:t xml:space="preserve">for the </w:t>
      </w:r>
      <w:r w:rsidR="0097547F">
        <w:rPr>
          <w:lang w:val="en-US" w:eastAsia="fr-FR"/>
        </w:rPr>
        <w:t>inventory-based</w:t>
      </w:r>
      <w:r w:rsidR="007F2950">
        <w:rPr>
          <w:lang w:val="en-US" w:eastAsia="fr-FR"/>
        </w:rPr>
        <w:t xml:space="preserve"> expected</w:t>
      </w:r>
      <w:r w:rsidR="00AF0F09">
        <w:rPr>
          <w:lang w:val="en-US" w:eastAsia="fr-FR"/>
        </w:rPr>
        <w:t xml:space="preserve"> emissions</w:t>
      </w:r>
      <w:r w:rsidR="00D4426F">
        <w:rPr>
          <w:lang w:val="en-US" w:eastAsia="fr-FR"/>
        </w:rPr>
        <w:t xml:space="preserve"> </w:t>
      </w:r>
      <w:r w:rsidR="00F925BB">
        <w:rPr>
          <w:lang w:val="en-US" w:eastAsia="fr-FR"/>
        </w:rPr>
        <w:t xml:space="preserve">to align </w:t>
      </w:r>
      <w:r w:rsidR="007F2950">
        <w:rPr>
          <w:lang w:val="en-US" w:eastAsia="fr-FR"/>
        </w:rPr>
        <w:t>with</w:t>
      </w:r>
      <w:r w:rsidR="00F925BB">
        <w:rPr>
          <w:lang w:val="en-US" w:eastAsia="fr-FR"/>
        </w:rPr>
        <w:t xml:space="preserve"> the derived </w:t>
      </w:r>
      <w:r w:rsidR="00B33172">
        <w:rPr>
          <w:lang w:val="en-US" w:eastAsia="fr-FR"/>
        </w:rPr>
        <w:t>emissions</w:t>
      </w:r>
      <w:r w:rsidR="007F2950">
        <w:rPr>
          <w:lang w:val="en-US" w:eastAsia="fr-FR"/>
        </w:rPr>
        <w:t>,</w:t>
      </w:r>
      <w:r w:rsidR="00276248" w:rsidRPr="00276248">
        <w:rPr>
          <w:lang w:val="en-US" w:eastAsia="fr-FR"/>
        </w:rPr>
        <w:t xml:space="preserve"> </w:t>
      </w:r>
      <w:r w:rsidR="007F2950">
        <w:rPr>
          <w:lang w:val="en-US" w:eastAsia="fr-FR"/>
        </w:rPr>
        <w:t>u</w:t>
      </w:r>
      <w:r w:rsidR="00276248">
        <w:rPr>
          <w:lang w:val="en-US" w:eastAsia="fr-FR"/>
        </w:rPr>
        <w:t xml:space="preserve">nreported </w:t>
      </w:r>
      <w:r w:rsidR="00276248" w:rsidRPr="00E028BE">
        <w:t xml:space="preserve">CFC-11 production </w:t>
      </w:r>
      <w:r w:rsidR="007F2950">
        <w:t>can be</w:t>
      </w:r>
      <w:r w:rsidR="00276248">
        <w:t xml:space="preserve"> estimated to be:</w:t>
      </w:r>
    </w:p>
    <w:p w14:paraId="761EEA37" w14:textId="3572931E" w:rsidR="00E1425E" w:rsidRPr="00616550" w:rsidRDefault="00BC13FF" w:rsidP="00E1425E">
      <w:pPr>
        <w:pStyle w:val="ListParagraph"/>
        <w:numPr>
          <w:ilvl w:val="0"/>
          <w:numId w:val="72"/>
        </w:numPr>
        <w:rPr>
          <w:lang w:val="en-US" w:eastAsia="fr-FR"/>
        </w:rPr>
      </w:pPr>
      <w:r w:rsidRPr="16474680">
        <w:rPr>
          <w:lang w:eastAsia="fr-FR"/>
        </w:rPr>
        <w:t xml:space="preserve"> </w:t>
      </w:r>
      <w:r w:rsidR="00E1425E">
        <w:rPr>
          <w:lang w:val="en-US" w:eastAsia="fr-FR"/>
        </w:rPr>
        <w:t>10</w:t>
      </w:r>
      <w:r w:rsidR="00E1425E">
        <w:rPr>
          <w:lang w:eastAsia="fr-FR"/>
        </w:rPr>
        <w:t xml:space="preserve"> to 40</w:t>
      </w:r>
      <w:r w:rsidR="00E1425E" w:rsidRPr="00616550">
        <w:rPr>
          <w:lang w:val="en-US" w:eastAsia="fr-FR"/>
        </w:rPr>
        <w:t xml:space="preserve"> </w:t>
      </w:r>
      <w:proofErr w:type="spellStart"/>
      <w:r w:rsidR="00E1425E" w:rsidRPr="00616550">
        <w:rPr>
          <w:lang w:val="en-US" w:eastAsia="fr-FR"/>
        </w:rPr>
        <w:t>kilotonnes</w:t>
      </w:r>
      <w:proofErr w:type="spellEnd"/>
      <w:r w:rsidR="00E1425E" w:rsidRPr="00616550">
        <w:rPr>
          <w:lang w:val="en-US" w:eastAsia="fr-FR"/>
        </w:rPr>
        <w:t xml:space="preserve"> per year between 200</w:t>
      </w:r>
      <w:r w:rsidR="00E1425E" w:rsidRPr="16474680">
        <w:rPr>
          <w:lang w:eastAsia="fr-FR"/>
        </w:rPr>
        <w:t>7</w:t>
      </w:r>
      <w:r w:rsidR="00E1425E" w:rsidRPr="00616550">
        <w:rPr>
          <w:lang w:val="en-US" w:eastAsia="fr-FR"/>
        </w:rPr>
        <w:t>-2012</w:t>
      </w:r>
      <w:r w:rsidR="003966E1">
        <w:rPr>
          <w:rStyle w:val="FootnoteReference"/>
          <w:lang w:val="en-US" w:eastAsia="fr-FR"/>
        </w:rPr>
        <w:footnoteReference w:id="13"/>
      </w:r>
      <w:r w:rsidR="00E1425E" w:rsidRPr="00616550">
        <w:rPr>
          <w:lang w:val="en-US" w:eastAsia="fr-FR"/>
        </w:rPr>
        <w:t xml:space="preserve"> </w:t>
      </w:r>
    </w:p>
    <w:p w14:paraId="1B0C497A" w14:textId="77777777" w:rsidR="00E1425E" w:rsidRPr="00616550" w:rsidRDefault="00E1425E" w:rsidP="00E1425E">
      <w:pPr>
        <w:pStyle w:val="ListParagraph"/>
        <w:numPr>
          <w:ilvl w:val="0"/>
          <w:numId w:val="72"/>
        </w:numPr>
        <w:rPr>
          <w:lang w:val="en-US" w:eastAsia="fr-FR"/>
        </w:rPr>
      </w:pPr>
      <w:r>
        <w:rPr>
          <w:lang w:val="en-US" w:eastAsia="fr-FR"/>
        </w:rPr>
        <w:t>40</w:t>
      </w:r>
      <w:r>
        <w:rPr>
          <w:lang w:eastAsia="fr-FR"/>
        </w:rPr>
        <w:t xml:space="preserve"> to 70</w:t>
      </w:r>
      <w:r w:rsidRPr="00616550">
        <w:rPr>
          <w:lang w:val="en-US" w:eastAsia="fr-FR"/>
        </w:rPr>
        <w:t xml:space="preserve"> </w:t>
      </w:r>
      <w:proofErr w:type="spellStart"/>
      <w:r w:rsidRPr="00616550">
        <w:rPr>
          <w:lang w:val="en-US" w:eastAsia="fr-FR"/>
        </w:rPr>
        <w:t>kilotonnes</w:t>
      </w:r>
      <w:proofErr w:type="spellEnd"/>
      <w:r w:rsidRPr="00616550">
        <w:rPr>
          <w:lang w:val="en-US" w:eastAsia="fr-FR"/>
        </w:rPr>
        <w:t xml:space="preserve"> per year between 2013-2018, </w:t>
      </w:r>
      <w:r w:rsidRPr="16474680">
        <w:rPr>
          <w:lang w:eastAsia="fr-FR"/>
        </w:rPr>
        <w:t xml:space="preserve">the same as estimated </w:t>
      </w:r>
      <w:r w:rsidRPr="00616550">
        <w:rPr>
          <w:lang w:val="en-US" w:eastAsia="fr-FR"/>
        </w:rPr>
        <w:t xml:space="preserve">in the 2019 </w:t>
      </w:r>
      <w:r>
        <w:rPr>
          <w:lang w:val="en-US" w:eastAsia="fr-FR"/>
        </w:rPr>
        <w:t>Task Force R</w:t>
      </w:r>
      <w:r w:rsidRPr="00616550">
        <w:rPr>
          <w:lang w:val="en-US" w:eastAsia="fr-FR"/>
        </w:rPr>
        <w:t>eport</w:t>
      </w:r>
      <w:r>
        <w:rPr>
          <w:lang w:val="en-US" w:eastAsia="fr-FR"/>
        </w:rPr>
        <w:t xml:space="preserve"> for this period</w:t>
      </w:r>
      <w:r>
        <w:rPr>
          <w:rStyle w:val="FootnoteReference"/>
          <w:lang w:val="en-US" w:eastAsia="fr-FR"/>
        </w:rPr>
        <w:footnoteReference w:id="14"/>
      </w:r>
    </w:p>
    <w:p w14:paraId="416B8CC9" w14:textId="3CC1F805" w:rsidR="00E1425E" w:rsidRPr="00616550" w:rsidRDefault="00361441" w:rsidP="00E1425E">
      <w:pPr>
        <w:pStyle w:val="ListParagraph"/>
        <w:numPr>
          <w:ilvl w:val="0"/>
          <w:numId w:val="72"/>
        </w:numPr>
        <w:rPr>
          <w:lang w:val="en-US" w:eastAsia="fr-FR"/>
        </w:rPr>
      </w:pPr>
      <w:r>
        <w:t>15</w:t>
      </w:r>
      <w:r w:rsidRPr="00616550">
        <w:t xml:space="preserve"> </w:t>
      </w:r>
      <w:r w:rsidR="00E1425E" w:rsidRPr="00616550">
        <w:t xml:space="preserve">to 40 </w:t>
      </w:r>
      <w:proofErr w:type="spellStart"/>
      <w:r w:rsidR="00E1425E" w:rsidRPr="00616550">
        <w:t>kilotonnes</w:t>
      </w:r>
      <w:proofErr w:type="spellEnd"/>
      <w:r w:rsidR="00E1425E" w:rsidRPr="00616550">
        <w:t xml:space="preserve"> </w:t>
      </w:r>
      <w:r w:rsidR="00E1425E" w:rsidRPr="00DE4761">
        <w:rPr>
          <w:lang w:eastAsia="fr-FR"/>
        </w:rPr>
        <w:t xml:space="preserve">of </w:t>
      </w:r>
      <w:r w:rsidR="00E1425E" w:rsidRPr="00DE4761">
        <w:t>new production</w:t>
      </w:r>
      <w:r w:rsidR="00EB552E">
        <w:t>,</w:t>
      </w:r>
      <w:r w:rsidR="00E1425E" w:rsidRPr="00DE4761">
        <w:t xml:space="preserve"> or </w:t>
      </w:r>
      <w:r w:rsidR="00752F38" w:rsidRPr="00DE4761">
        <w:t>use</w:t>
      </w:r>
      <w:r w:rsidR="00E1425E" w:rsidRPr="00DE4761">
        <w:t xml:space="preserve"> </w:t>
      </w:r>
      <w:r w:rsidRPr="00DE4761">
        <w:t xml:space="preserve">from recent </w:t>
      </w:r>
      <w:r w:rsidR="00E1425E" w:rsidRPr="00DE4761">
        <w:rPr>
          <w:lang w:eastAsia="fr-FR"/>
        </w:rPr>
        <w:t>inventory</w:t>
      </w:r>
      <w:r w:rsidR="00EB552E">
        <w:rPr>
          <w:lang w:eastAsia="fr-FR"/>
        </w:rPr>
        <w:t>,</w:t>
      </w:r>
      <w:r w:rsidR="00E1425E" w:rsidRPr="00DE4761">
        <w:rPr>
          <w:lang w:eastAsia="fr-FR"/>
        </w:rPr>
        <w:t xml:space="preserve"> </w:t>
      </w:r>
      <w:r w:rsidR="00E1425E" w:rsidRPr="00616550">
        <w:t>for 2019</w:t>
      </w:r>
      <w:r w:rsidR="00E1425E" w:rsidRPr="00616550">
        <w:rPr>
          <w:rStyle w:val="FootnoteReference"/>
        </w:rPr>
        <w:footnoteReference w:id="15"/>
      </w:r>
      <w:r w:rsidR="00E1425E" w:rsidRPr="00616550">
        <w:t>.</w:t>
      </w:r>
      <w:r w:rsidR="00C36DD4">
        <w:t xml:space="preserve"> </w:t>
      </w:r>
    </w:p>
    <w:p w14:paraId="4EF81211" w14:textId="7854B03B" w:rsidR="0015104B" w:rsidRPr="0015104B" w:rsidRDefault="00143E15" w:rsidP="0015104B">
      <w:r>
        <w:rPr>
          <w:lang w:val="en-US" w:eastAsia="fr-FR"/>
        </w:rPr>
        <w:t>Based on</w:t>
      </w:r>
      <w:r>
        <w:rPr>
          <w:lang w:eastAsia="fr-FR"/>
        </w:rPr>
        <w:t xml:space="preserve"> t</w:t>
      </w:r>
      <w:r w:rsidRPr="1061C58E">
        <w:rPr>
          <w:lang w:eastAsia="fr-FR"/>
        </w:rPr>
        <w:t>his analysis</w:t>
      </w:r>
      <w:r>
        <w:rPr>
          <w:lang w:eastAsia="fr-FR"/>
        </w:rPr>
        <w:t>,</w:t>
      </w:r>
      <w:r w:rsidRPr="1061C58E">
        <w:rPr>
          <w:lang w:eastAsia="fr-FR"/>
        </w:rPr>
        <w:t xml:space="preserve"> </w:t>
      </w:r>
      <w:r>
        <w:rPr>
          <w:lang w:val="en-US" w:eastAsia="fr-FR"/>
        </w:rPr>
        <w:t xml:space="preserve">the </w:t>
      </w:r>
      <w:r>
        <w:rPr>
          <w:lang w:eastAsia="fr-FR"/>
        </w:rPr>
        <w:t>estimated c</w:t>
      </w:r>
      <w:r w:rsidRPr="5694BFED">
        <w:rPr>
          <w:lang w:eastAsia="fr-FR"/>
        </w:rPr>
        <w:t>umulative</w:t>
      </w:r>
      <w:r w:rsidRPr="5694BFED">
        <w:rPr>
          <w:lang w:val="en-US" w:eastAsia="fr-FR"/>
        </w:rPr>
        <w:t xml:space="preserve"> </w:t>
      </w:r>
      <w:r>
        <w:rPr>
          <w:lang w:val="en-US" w:eastAsia="fr-FR"/>
        </w:rPr>
        <w:t>total</w:t>
      </w:r>
      <w:r>
        <w:rPr>
          <w:lang w:eastAsia="fr-FR"/>
        </w:rPr>
        <w:t xml:space="preserve"> of</w:t>
      </w:r>
      <w:r w:rsidRPr="5694BFED">
        <w:rPr>
          <w:lang w:eastAsia="fr-FR"/>
        </w:rPr>
        <w:t xml:space="preserve"> unreported CFC-11 </w:t>
      </w:r>
      <w:r w:rsidRPr="1B76770D">
        <w:rPr>
          <w:lang w:eastAsia="fr-FR"/>
        </w:rPr>
        <w:t xml:space="preserve">production </w:t>
      </w:r>
      <w:r>
        <w:rPr>
          <w:lang w:eastAsia="fr-FR"/>
        </w:rPr>
        <w:t>is</w:t>
      </w:r>
      <w:r w:rsidRPr="1B76770D">
        <w:rPr>
          <w:lang w:eastAsia="fr-FR"/>
        </w:rPr>
        <w:t xml:space="preserve"> </w:t>
      </w:r>
      <w:r>
        <w:rPr>
          <w:lang w:eastAsia="fr-FR"/>
        </w:rPr>
        <w:t>320</w:t>
      </w:r>
      <w:r w:rsidRPr="4B7B26E6">
        <w:rPr>
          <w:lang w:eastAsia="fr-FR"/>
        </w:rPr>
        <w:t>-</w:t>
      </w:r>
      <w:r>
        <w:rPr>
          <w:lang w:eastAsia="fr-FR"/>
        </w:rPr>
        <w:t>700</w:t>
      </w:r>
      <w:r w:rsidRPr="64A31332">
        <w:rPr>
          <w:lang w:eastAsia="fr-FR"/>
        </w:rPr>
        <w:t xml:space="preserve"> </w:t>
      </w:r>
      <w:proofErr w:type="spellStart"/>
      <w:r w:rsidRPr="64A31332">
        <w:rPr>
          <w:lang w:eastAsia="fr-FR"/>
        </w:rPr>
        <w:t>kilotonnes</w:t>
      </w:r>
      <w:proofErr w:type="spellEnd"/>
      <w:r w:rsidRPr="00953A24">
        <w:rPr>
          <w:lang w:eastAsia="fr-FR"/>
        </w:rPr>
        <w:t xml:space="preserve"> </w:t>
      </w:r>
      <w:r>
        <w:rPr>
          <w:lang w:eastAsia="fr-FR"/>
        </w:rPr>
        <w:t>i</w:t>
      </w:r>
      <w:r w:rsidRPr="5694BFED">
        <w:rPr>
          <w:lang w:eastAsia="fr-FR"/>
        </w:rPr>
        <w:t>n the period 200</w:t>
      </w:r>
      <w:r w:rsidRPr="4B7B26E6">
        <w:rPr>
          <w:lang w:eastAsia="fr-FR"/>
        </w:rPr>
        <w:t>7</w:t>
      </w:r>
      <w:r w:rsidRPr="5694BFED">
        <w:rPr>
          <w:lang w:eastAsia="fr-FR"/>
        </w:rPr>
        <w:t>-20</w:t>
      </w:r>
      <w:r>
        <w:rPr>
          <w:lang w:eastAsia="fr-FR"/>
        </w:rPr>
        <w:t>19</w:t>
      </w:r>
      <w:r w:rsidRPr="64A31332">
        <w:rPr>
          <w:lang w:eastAsia="fr-FR"/>
        </w:rPr>
        <w:t>.</w:t>
      </w:r>
      <w:r>
        <w:rPr>
          <w:lang w:eastAsia="fr-FR"/>
        </w:rPr>
        <w:t xml:space="preserve"> </w:t>
      </w:r>
      <w:r w:rsidR="00925D69">
        <w:t>Assuming us</w:t>
      </w:r>
      <w:r w:rsidR="00EC5ABA">
        <w:t>age</w:t>
      </w:r>
      <w:r w:rsidR="00925D69">
        <w:t xml:space="preserve"> in closed-cell foam</w:t>
      </w:r>
      <w:r w:rsidR="00EC5ABA">
        <w:t xml:space="preserve"> production</w:t>
      </w:r>
      <w:r w:rsidR="00925D69">
        <w:t>, this</w:t>
      </w:r>
      <w:r w:rsidR="00AC1C77">
        <w:t xml:space="preserve"> </w:t>
      </w:r>
      <w:r>
        <w:t xml:space="preserve">cumulative unreported </w:t>
      </w:r>
      <w:r w:rsidR="00EC5ABA">
        <w:t xml:space="preserve">CFC-11 </w:t>
      </w:r>
      <w:r>
        <w:t>production</w:t>
      </w:r>
      <w:r w:rsidR="00894353">
        <w:t xml:space="preserve"> </w:t>
      </w:r>
      <w:r w:rsidR="00AC1C77">
        <w:t xml:space="preserve">would </w:t>
      </w:r>
      <w:r>
        <w:t xml:space="preserve">lead to an </w:t>
      </w:r>
      <w:r w:rsidR="00EC5ABA">
        <w:t xml:space="preserve">estimated </w:t>
      </w:r>
      <w:r>
        <w:t xml:space="preserve">increase in the magnitude of the CFC-11 bank of 300 (266-333) </w:t>
      </w:r>
      <w:proofErr w:type="spellStart"/>
      <w:r w:rsidR="00AC1C77">
        <w:t>kilotonnes</w:t>
      </w:r>
      <w:proofErr w:type="spellEnd"/>
      <w:r w:rsidR="00AC1C77">
        <w:t xml:space="preserve"> </w:t>
      </w:r>
      <w:r>
        <w:t>by the end of 2019.</w:t>
      </w:r>
    </w:p>
    <w:p w14:paraId="2EDF8A92" w14:textId="143DED18" w:rsidR="00A64296" w:rsidRPr="00812D03" w:rsidRDefault="00A64296" w:rsidP="006178D2">
      <w:pPr>
        <w:keepNext/>
        <w:spacing w:line="259" w:lineRule="auto"/>
        <w:rPr>
          <w:color w:val="000000" w:themeColor="text1"/>
          <w:lang w:val="en-US"/>
        </w:rPr>
      </w:pPr>
      <w:r w:rsidRPr="00616550">
        <w:rPr>
          <w:b/>
          <w:bCs/>
          <w:i/>
          <w:iCs/>
          <w:lang w:val="en-US" w:eastAsia="fr-FR"/>
        </w:rPr>
        <w:lastRenderedPageBreak/>
        <w:t>Response to decision XXXI/3, paragraph 7(</w:t>
      </w:r>
      <w:r>
        <w:rPr>
          <w:b/>
          <w:bCs/>
          <w:i/>
          <w:iCs/>
          <w:lang w:val="en-US" w:eastAsia="fr-FR"/>
        </w:rPr>
        <w:t>a</w:t>
      </w:r>
      <w:r w:rsidRPr="00616550">
        <w:rPr>
          <w:b/>
          <w:bCs/>
          <w:i/>
          <w:iCs/>
          <w:lang w:val="en-US" w:eastAsia="fr-FR"/>
        </w:rPr>
        <w:t>)</w:t>
      </w:r>
      <w:r w:rsidR="003940D6">
        <w:rPr>
          <w:b/>
          <w:bCs/>
          <w:i/>
          <w:iCs/>
          <w:lang w:val="en-US" w:eastAsia="fr-FR"/>
        </w:rPr>
        <w:t xml:space="preserve">: </w:t>
      </w:r>
      <w:r w:rsidR="003940D6" w:rsidRPr="003B5720">
        <w:rPr>
          <w:b/>
          <w:bCs/>
          <w:i/>
          <w:iCs/>
          <w:lang w:val="en-US" w:eastAsia="fr-FR"/>
        </w:rPr>
        <w:t>An analysis of CFC-11 banks by geographic location and by market sector</w:t>
      </w:r>
      <w:r w:rsidR="003940D6" w:rsidRPr="003B5720" w:rsidDel="000D177B">
        <w:rPr>
          <w:b/>
          <w:bCs/>
          <w:i/>
          <w:iCs/>
          <w:color w:val="000000" w:themeColor="text1"/>
          <w:lang w:val="en-US"/>
        </w:rPr>
        <w:t xml:space="preserve"> </w:t>
      </w:r>
    </w:p>
    <w:p w14:paraId="2D2B75B5" w14:textId="2C52E91D" w:rsidR="004E6C06" w:rsidRDefault="005454F9" w:rsidP="00917421">
      <w:pPr>
        <w:rPr>
          <w:lang w:val="en-US"/>
        </w:rPr>
      </w:pPr>
      <w:r>
        <w:rPr>
          <w:lang w:val="en-US"/>
        </w:rPr>
        <w:t xml:space="preserve">An analysis of CFC-11 foam banks by geographic location and foam type </w:t>
      </w:r>
      <w:r w:rsidR="0040082D">
        <w:rPr>
          <w:lang w:val="en-US"/>
        </w:rPr>
        <w:t>is reported in response to decision XXXI/3.</w:t>
      </w:r>
      <w:r w:rsidR="001D7915">
        <w:rPr>
          <w:lang w:val="en-US"/>
        </w:rPr>
        <w:t xml:space="preserve"> </w:t>
      </w:r>
      <w:r w:rsidR="00917421" w:rsidRPr="00917421">
        <w:rPr>
          <w:lang w:val="en-US"/>
        </w:rPr>
        <w:t xml:space="preserve">The majority of </w:t>
      </w:r>
      <w:r w:rsidR="004A46BA">
        <w:rPr>
          <w:lang w:val="en-US"/>
        </w:rPr>
        <w:t>reported</w:t>
      </w:r>
      <w:r w:rsidR="00917421" w:rsidRPr="00917421">
        <w:rPr>
          <w:lang w:val="en-US"/>
        </w:rPr>
        <w:t xml:space="preserve"> </w:t>
      </w:r>
      <w:r w:rsidR="00494713">
        <w:rPr>
          <w:lang w:val="en-US"/>
        </w:rPr>
        <w:t xml:space="preserve">global </w:t>
      </w:r>
      <w:r w:rsidR="00917421" w:rsidRPr="00917421">
        <w:rPr>
          <w:lang w:val="en-US"/>
        </w:rPr>
        <w:t xml:space="preserve">CFC-11 production </w:t>
      </w:r>
      <w:r w:rsidR="00F13D8E">
        <w:rPr>
          <w:lang w:val="en-US"/>
        </w:rPr>
        <w:t xml:space="preserve">and </w:t>
      </w:r>
      <w:r w:rsidR="00230297">
        <w:rPr>
          <w:lang w:val="en-US"/>
        </w:rPr>
        <w:t>use</w:t>
      </w:r>
      <w:r w:rsidR="00F13D8E">
        <w:rPr>
          <w:lang w:val="en-US"/>
        </w:rPr>
        <w:t xml:space="preserve"> </w:t>
      </w:r>
      <w:r w:rsidR="00D42190">
        <w:rPr>
          <w:lang w:val="en-US"/>
        </w:rPr>
        <w:t xml:space="preserve">in closed-cell foams </w:t>
      </w:r>
      <w:r w:rsidR="00917421" w:rsidRPr="00917421">
        <w:rPr>
          <w:lang w:val="en-US"/>
        </w:rPr>
        <w:t>was in non-Article 5 parties</w:t>
      </w:r>
      <w:r w:rsidR="00494713">
        <w:rPr>
          <w:lang w:val="en-US"/>
        </w:rPr>
        <w:t>,</w:t>
      </w:r>
      <w:r w:rsidR="00917421" w:rsidRPr="00917421">
        <w:rPr>
          <w:lang w:val="en-US"/>
        </w:rPr>
        <w:t xml:space="preserve"> specifically in North America and Europe.</w:t>
      </w:r>
      <w:r w:rsidR="00917421">
        <w:rPr>
          <w:lang w:val="en-US"/>
        </w:rPr>
        <w:t xml:space="preserve"> </w:t>
      </w:r>
      <w:r w:rsidR="00C2405C">
        <w:rPr>
          <w:lang w:val="en-US"/>
        </w:rPr>
        <w:t xml:space="preserve">The quantities of CFC-11 </w:t>
      </w:r>
      <w:r w:rsidR="00214D3A">
        <w:rPr>
          <w:lang w:val="en-US"/>
        </w:rPr>
        <w:t xml:space="preserve">used in closed-cell foams </w:t>
      </w:r>
      <w:r w:rsidR="00C2405C">
        <w:rPr>
          <w:lang w:val="en-US"/>
        </w:rPr>
        <w:t xml:space="preserve">in Article 5 parties </w:t>
      </w:r>
      <w:r w:rsidR="003522D5">
        <w:rPr>
          <w:lang w:val="en-US"/>
        </w:rPr>
        <w:t xml:space="preserve">were </w:t>
      </w:r>
      <w:r w:rsidR="00C2405C">
        <w:rPr>
          <w:lang w:val="en-US"/>
        </w:rPr>
        <w:t>much smaller</w:t>
      </w:r>
      <w:r w:rsidR="007502F1">
        <w:rPr>
          <w:lang w:val="en-US"/>
        </w:rPr>
        <w:t>.</w:t>
      </w:r>
      <w:r w:rsidR="00C2405C">
        <w:rPr>
          <w:lang w:val="en-US"/>
        </w:rPr>
        <w:t xml:space="preserve"> </w:t>
      </w:r>
      <w:r w:rsidR="0042457F">
        <w:rPr>
          <w:lang w:val="en-US"/>
        </w:rPr>
        <w:t xml:space="preserve">The majority of </w:t>
      </w:r>
      <w:r w:rsidR="0011594B">
        <w:rPr>
          <w:lang w:val="en-US"/>
        </w:rPr>
        <w:t xml:space="preserve">this CFC-11 was </w:t>
      </w:r>
      <w:r w:rsidR="001F6489">
        <w:rPr>
          <w:lang w:val="en-US"/>
        </w:rPr>
        <w:t>use</w:t>
      </w:r>
      <w:r w:rsidR="0011594B">
        <w:rPr>
          <w:lang w:val="en-US"/>
        </w:rPr>
        <w:t>d</w:t>
      </w:r>
      <w:r w:rsidR="001F6489">
        <w:rPr>
          <w:lang w:val="en-US"/>
        </w:rPr>
        <w:t xml:space="preserve"> </w:t>
      </w:r>
      <w:r w:rsidR="00D73ED1">
        <w:rPr>
          <w:lang w:val="en-US"/>
        </w:rPr>
        <w:t xml:space="preserve">in </w:t>
      </w:r>
      <w:r w:rsidR="00151DD1">
        <w:rPr>
          <w:lang w:val="en-US"/>
        </w:rPr>
        <w:t>closed</w:t>
      </w:r>
      <w:r w:rsidR="00434DA5">
        <w:rPr>
          <w:lang w:val="en-US"/>
        </w:rPr>
        <w:t>-</w:t>
      </w:r>
      <w:r w:rsidR="00151DD1">
        <w:rPr>
          <w:lang w:val="en-US"/>
        </w:rPr>
        <w:t xml:space="preserve">cell </w:t>
      </w:r>
      <w:r w:rsidR="0011594B">
        <w:rPr>
          <w:lang w:val="en-US"/>
        </w:rPr>
        <w:t xml:space="preserve">insulating </w:t>
      </w:r>
      <w:r w:rsidR="00151DD1">
        <w:rPr>
          <w:lang w:val="en-US"/>
        </w:rPr>
        <w:t>foams</w:t>
      </w:r>
      <w:r w:rsidR="00D4286A">
        <w:rPr>
          <w:lang w:val="en-US"/>
        </w:rPr>
        <w:t xml:space="preserve"> </w:t>
      </w:r>
      <w:r w:rsidR="00073F35">
        <w:rPr>
          <w:lang w:val="en-US"/>
        </w:rPr>
        <w:t xml:space="preserve">for </w:t>
      </w:r>
      <w:r w:rsidR="00DB69D2">
        <w:rPr>
          <w:lang w:val="en-US"/>
        </w:rPr>
        <w:t>construction and refrigeration</w:t>
      </w:r>
      <w:r w:rsidR="00151DD1">
        <w:rPr>
          <w:lang w:val="en-US"/>
        </w:rPr>
        <w:t>.</w:t>
      </w:r>
      <w:r w:rsidR="00F70F2D">
        <w:rPr>
          <w:lang w:val="en-US"/>
        </w:rPr>
        <w:t xml:space="preserve"> </w:t>
      </w:r>
      <w:r w:rsidR="00085CDA">
        <w:rPr>
          <w:lang w:val="en-US"/>
        </w:rPr>
        <w:t xml:space="preserve">The majority of </w:t>
      </w:r>
      <w:r w:rsidR="00FE74C2">
        <w:rPr>
          <w:lang w:val="en-US"/>
        </w:rPr>
        <w:t xml:space="preserve">the remaining </w:t>
      </w:r>
      <w:r w:rsidR="00CA09A4">
        <w:rPr>
          <w:lang w:val="en-US"/>
        </w:rPr>
        <w:t xml:space="preserve">global </w:t>
      </w:r>
      <w:r w:rsidR="00EF3ECC">
        <w:rPr>
          <w:lang w:val="en-US"/>
        </w:rPr>
        <w:t xml:space="preserve">CFC-11 </w:t>
      </w:r>
      <w:r w:rsidR="007E1C0E">
        <w:rPr>
          <w:lang w:val="en-US"/>
        </w:rPr>
        <w:t xml:space="preserve">active </w:t>
      </w:r>
      <w:r w:rsidR="00FE74C2">
        <w:rPr>
          <w:lang w:val="en-US"/>
        </w:rPr>
        <w:t xml:space="preserve">bank </w:t>
      </w:r>
      <w:r w:rsidR="001B7D9E">
        <w:rPr>
          <w:lang w:val="en-US"/>
        </w:rPr>
        <w:t>remains in closed</w:t>
      </w:r>
      <w:r w:rsidR="00434DA5">
        <w:rPr>
          <w:lang w:val="en-US"/>
        </w:rPr>
        <w:t>-</w:t>
      </w:r>
      <w:r w:rsidR="001B7D9E">
        <w:rPr>
          <w:lang w:val="en-US"/>
        </w:rPr>
        <w:t>cell insulating foams used in construction</w:t>
      </w:r>
      <w:r w:rsidR="001F016F">
        <w:rPr>
          <w:lang w:val="en-US"/>
        </w:rPr>
        <w:t xml:space="preserve"> </w:t>
      </w:r>
      <w:r w:rsidR="0077306F">
        <w:rPr>
          <w:lang w:val="en-US"/>
        </w:rPr>
        <w:t>in North America and Europe</w:t>
      </w:r>
      <w:r w:rsidR="00A85003">
        <w:rPr>
          <w:lang w:val="en-US"/>
        </w:rPr>
        <w:t>. Nearly all foams used in appliances</w:t>
      </w:r>
      <w:r w:rsidR="0034119E">
        <w:rPr>
          <w:lang w:val="en-US"/>
        </w:rPr>
        <w:t xml:space="preserve"> have been decommissioned and either landfilled or destroyed</w:t>
      </w:r>
      <w:r w:rsidR="001B7D9E">
        <w:rPr>
          <w:lang w:val="en-US"/>
        </w:rPr>
        <w:t>.</w:t>
      </w:r>
      <w:r w:rsidR="00F12711">
        <w:rPr>
          <w:lang w:val="en-US"/>
        </w:rPr>
        <w:t xml:space="preserve"> </w:t>
      </w:r>
    </w:p>
    <w:p w14:paraId="4E334B37" w14:textId="6AB7A3BB" w:rsidR="00C33E74" w:rsidRDefault="00BD2E3A" w:rsidP="00917421">
      <w:pPr>
        <w:rPr>
          <w:lang w:val="en-US"/>
        </w:rPr>
      </w:pPr>
      <w:r w:rsidRPr="00191301">
        <w:rPr>
          <w:lang w:val="en-US"/>
        </w:rPr>
        <w:t>Globally, t</w:t>
      </w:r>
      <w:r w:rsidR="00F12711" w:rsidRPr="00191301">
        <w:rPr>
          <w:lang w:val="en-US"/>
        </w:rPr>
        <w:t>here are an estimated 7</w:t>
      </w:r>
      <w:r w:rsidR="00766CAC" w:rsidRPr="00191301">
        <w:rPr>
          <w:lang w:val="en-US"/>
        </w:rPr>
        <w:t>5</w:t>
      </w:r>
      <w:r w:rsidR="00F12711" w:rsidRPr="00191301">
        <w:rPr>
          <w:lang w:val="en-US"/>
        </w:rPr>
        <w:t xml:space="preserve">0 ± 50 </w:t>
      </w:r>
      <w:proofErr w:type="spellStart"/>
      <w:r w:rsidR="00F12711" w:rsidRPr="00191301">
        <w:rPr>
          <w:lang w:val="en-US"/>
        </w:rPr>
        <w:t>kilotonnes</w:t>
      </w:r>
      <w:proofErr w:type="spellEnd"/>
      <w:r w:rsidR="00F12711" w:rsidRPr="00191301">
        <w:rPr>
          <w:lang w:val="en-US"/>
        </w:rPr>
        <w:t xml:space="preserve"> of CFC-11 in active foams banks</w:t>
      </w:r>
      <w:r w:rsidRPr="00191301">
        <w:rPr>
          <w:lang w:val="en-US"/>
        </w:rPr>
        <w:t xml:space="preserve">, </w:t>
      </w:r>
      <w:r w:rsidR="0034119E" w:rsidRPr="00191301">
        <w:rPr>
          <w:lang w:val="en-US"/>
        </w:rPr>
        <w:t>the majority</w:t>
      </w:r>
      <w:r w:rsidRPr="00191301">
        <w:rPr>
          <w:lang w:val="en-US"/>
        </w:rPr>
        <w:t xml:space="preserve"> remaining in building stock in North America and Europe, </w:t>
      </w:r>
      <w:r w:rsidR="00F12711" w:rsidRPr="00191301">
        <w:rPr>
          <w:lang w:val="en-US"/>
        </w:rPr>
        <w:t xml:space="preserve">and </w:t>
      </w:r>
      <w:r w:rsidR="009B4B1B" w:rsidRPr="00191301">
        <w:rPr>
          <w:lang w:val="en-US"/>
        </w:rPr>
        <w:t xml:space="preserve">an estimated </w:t>
      </w:r>
      <w:r w:rsidR="00F12711" w:rsidRPr="00191301">
        <w:rPr>
          <w:lang w:val="en-US"/>
        </w:rPr>
        <w:t>7</w:t>
      </w:r>
      <w:r w:rsidR="00766CAC" w:rsidRPr="00191301">
        <w:rPr>
          <w:lang w:val="en-US"/>
        </w:rPr>
        <w:t>0</w:t>
      </w:r>
      <w:r w:rsidR="00F12711" w:rsidRPr="00191301">
        <w:rPr>
          <w:lang w:val="en-US"/>
        </w:rPr>
        <w:t xml:space="preserve">0 ± 50 </w:t>
      </w:r>
      <w:proofErr w:type="spellStart"/>
      <w:r w:rsidR="00F12711" w:rsidRPr="00191301">
        <w:rPr>
          <w:lang w:val="en-US"/>
        </w:rPr>
        <w:t>kilotonnes</w:t>
      </w:r>
      <w:proofErr w:type="spellEnd"/>
      <w:r w:rsidR="00F12711" w:rsidRPr="00191301">
        <w:rPr>
          <w:lang w:val="en-US"/>
        </w:rPr>
        <w:t xml:space="preserve"> in inactive </w:t>
      </w:r>
      <w:r w:rsidR="00A8663C" w:rsidRPr="00191301">
        <w:rPr>
          <w:lang w:val="en-US"/>
        </w:rPr>
        <w:t xml:space="preserve">foam </w:t>
      </w:r>
      <w:r w:rsidR="00F12711" w:rsidRPr="00191301">
        <w:rPr>
          <w:lang w:val="en-US"/>
        </w:rPr>
        <w:t>banks in 2021</w:t>
      </w:r>
      <w:r w:rsidR="007B3783" w:rsidRPr="00191301">
        <w:rPr>
          <w:rStyle w:val="FootnoteReference"/>
          <w:lang w:val="en-US"/>
        </w:rPr>
        <w:footnoteReference w:id="16"/>
      </w:r>
      <w:r w:rsidR="00F12711" w:rsidRPr="00191301">
        <w:rPr>
          <w:lang w:val="en-US"/>
        </w:rPr>
        <w:t>.</w:t>
      </w:r>
      <w:r w:rsidR="00751968" w:rsidRPr="00191301">
        <w:rPr>
          <w:lang w:val="en-US"/>
        </w:rPr>
        <w:t xml:space="preserve"> </w:t>
      </w:r>
      <w:r w:rsidR="0034119E" w:rsidRPr="00191301">
        <w:rPr>
          <w:lang w:val="en-US"/>
        </w:rPr>
        <w:t>For</w:t>
      </w:r>
      <w:r w:rsidR="0034119E">
        <w:rPr>
          <w:lang w:val="en-US"/>
        </w:rPr>
        <w:t xml:space="preserve"> refrigeration foams, t</w:t>
      </w:r>
      <w:r w:rsidR="0000641D">
        <w:rPr>
          <w:lang w:val="en-US"/>
        </w:rPr>
        <w:t xml:space="preserve">here are </w:t>
      </w:r>
      <w:r w:rsidR="0041620E">
        <w:rPr>
          <w:lang w:val="en-US"/>
        </w:rPr>
        <w:t xml:space="preserve">only an estimated 100 </w:t>
      </w:r>
      <w:proofErr w:type="spellStart"/>
      <w:r w:rsidR="0041620E">
        <w:rPr>
          <w:lang w:val="en-US"/>
        </w:rPr>
        <w:t>kilotonnes</w:t>
      </w:r>
      <w:proofErr w:type="spellEnd"/>
      <w:r w:rsidR="0041620E">
        <w:rPr>
          <w:lang w:val="en-US"/>
        </w:rPr>
        <w:t xml:space="preserve"> </w:t>
      </w:r>
      <w:r w:rsidR="006B7EC9">
        <w:rPr>
          <w:lang w:val="en-US"/>
        </w:rPr>
        <w:t xml:space="preserve">of </w:t>
      </w:r>
      <w:r w:rsidR="0081548A">
        <w:rPr>
          <w:lang w:val="en-US"/>
        </w:rPr>
        <w:t>CFC-11</w:t>
      </w:r>
      <w:r w:rsidR="006B7EC9">
        <w:rPr>
          <w:lang w:val="en-US"/>
        </w:rPr>
        <w:t xml:space="preserve"> blown foams</w:t>
      </w:r>
      <w:r w:rsidR="0041620E">
        <w:rPr>
          <w:lang w:val="en-US"/>
        </w:rPr>
        <w:t xml:space="preserve"> remaining in the active bank </w:t>
      </w:r>
      <w:r w:rsidR="001D7813">
        <w:rPr>
          <w:lang w:val="en-US"/>
        </w:rPr>
        <w:t>in appliances</w:t>
      </w:r>
      <w:r w:rsidR="0041620E">
        <w:rPr>
          <w:lang w:val="en-US"/>
        </w:rPr>
        <w:t xml:space="preserve"> </w:t>
      </w:r>
      <w:r w:rsidR="009B4B1B">
        <w:rPr>
          <w:lang w:val="en-US"/>
        </w:rPr>
        <w:t xml:space="preserve">and </w:t>
      </w:r>
      <w:r w:rsidR="0000641D">
        <w:rPr>
          <w:lang w:val="en-US"/>
        </w:rPr>
        <w:t xml:space="preserve">an estimated </w:t>
      </w:r>
      <w:r w:rsidR="00CA7CFE">
        <w:rPr>
          <w:lang w:val="en-US"/>
        </w:rPr>
        <w:t>4</w:t>
      </w:r>
      <w:r w:rsidR="0000641D">
        <w:rPr>
          <w:lang w:val="en-US"/>
        </w:rPr>
        <w:t xml:space="preserve">00 </w:t>
      </w:r>
      <w:proofErr w:type="spellStart"/>
      <w:r w:rsidR="0000641D">
        <w:rPr>
          <w:lang w:val="en-US"/>
        </w:rPr>
        <w:t>kilotonnes</w:t>
      </w:r>
      <w:proofErr w:type="spellEnd"/>
      <w:r w:rsidR="0000641D">
        <w:rPr>
          <w:lang w:val="en-US"/>
        </w:rPr>
        <w:t xml:space="preserve"> remaining in the inactive bank</w:t>
      </w:r>
      <w:r w:rsidR="0076055D">
        <w:rPr>
          <w:lang w:val="en-US"/>
        </w:rPr>
        <w:t xml:space="preserve"> </w:t>
      </w:r>
      <w:r w:rsidR="00357601">
        <w:rPr>
          <w:lang w:val="en-US"/>
        </w:rPr>
        <w:t>in addition to the construction foam banks</w:t>
      </w:r>
      <w:r w:rsidR="0000641D">
        <w:rPr>
          <w:lang w:val="en-US"/>
        </w:rPr>
        <w:t>.</w:t>
      </w:r>
      <w:r w:rsidR="00434DA5">
        <w:rPr>
          <w:lang w:val="en-US"/>
        </w:rPr>
        <w:t xml:space="preserve"> </w:t>
      </w:r>
      <w:r w:rsidR="00434DA5" w:rsidRPr="00434DA5">
        <w:rPr>
          <w:lang w:val="en-US"/>
        </w:rPr>
        <w:t xml:space="preserve">The </w:t>
      </w:r>
      <w:r w:rsidR="0034119E">
        <w:rPr>
          <w:lang w:val="en-US"/>
        </w:rPr>
        <w:t xml:space="preserve">active </w:t>
      </w:r>
      <w:r w:rsidR="00434DA5" w:rsidRPr="00434DA5">
        <w:rPr>
          <w:lang w:val="en-US"/>
        </w:rPr>
        <w:t xml:space="preserve">bank of CFC-11 used in chillers </w:t>
      </w:r>
      <w:r w:rsidR="00434DA5">
        <w:rPr>
          <w:lang w:val="en-US"/>
        </w:rPr>
        <w:t>is</w:t>
      </w:r>
      <w:r w:rsidR="00434DA5" w:rsidRPr="00434DA5">
        <w:rPr>
          <w:lang w:val="en-US"/>
        </w:rPr>
        <w:t xml:space="preserve"> estimated to be small compared to the </w:t>
      </w:r>
      <w:r w:rsidR="0034119E">
        <w:rPr>
          <w:lang w:val="en-US"/>
        </w:rPr>
        <w:t xml:space="preserve">active </w:t>
      </w:r>
      <w:r w:rsidR="00434DA5" w:rsidRPr="00434DA5">
        <w:rPr>
          <w:lang w:val="en-US"/>
        </w:rPr>
        <w:t>banks for closed-c</w:t>
      </w:r>
      <w:r w:rsidR="00434DA5">
        <w:rPr>
          <w:lang w:val="en-US"/>
        </w:rPr>
        <w:t>e</w:t>
      </w:r>
      <w:r w:rsidR="00434DA5" w:rsidRPr="00434DA5">
        <w:rPr>
          <w:lang w:val="en-US"/>
        </w:rPr>
        <w:t>ll foam</w:t>
      </w:r>
      <w:r w:rsidR="00434DA5">
        <w:rPr>
          <w:lang w:val="en-US"/>
        </w:rPr>
        <w:t>s.</w:t>
      </w:r>
      <w:r w:rsidR="00434DA5" w:rsidRPr="00434DA5" w:rsidDel="005454F9">
        <w:rPr>
          <w:lang w:val="en-US"/>
        </w:rPr>
        <w:t xml:space="preserve"> </w:t>
      </w:r>
    </w:p>
    <w:p w14:paraId="689AF900" w14:textId="0E2B109A" w:rsidR="00A64296" w:rsidRPr="00AC5A35" w:rsidRDefault="006E1475" w:rsidP="00075AFF">
      <w:pPr>
        <w:rPr>
          <w:b/>
          <w:bCs/>
          <w:i/>
          <w:iCs/>
        </w:rPr>
      </w:pPr>
      <w:r w:rsidRPr="00B14CD8">
        <w:rPr>
          <w:b/>
          <w:bCs/>
          <w:i/>
          <w:iCs/>
        </w:rPr>
        <w:t>The</w:t>
      </w:r>
      <w:r>
        <w:rPr>
          <w:b/>
          <w:bCs/>
          <w:i/>
          <w:iCs/>
        </w:rPr>
        <w:t xml:space="preserve"> possible</w:t>
      </w:r>
      <w:r w:rsidRPr="00B14CD8">
        <w:rPr>
          <w:b/>
          <w:bCs/>
          <w:i/>
          <w:iCs/>
        </w:rPr>
        <w:t xml:space="preserve"> fate of </w:t>
      </w:r>
      <w:r w:rsidR="00ED35EB">
        <w:rPr>
          <w:b/>
          <w:bCs/>
          <w:i/>
          <w:iCs/>
        </w:rPr>
        <w:t xml:space="preserve">any </w:t>
      </w:r>
      <w:r w:rsidRPr="00AC5A35">
        <w:rPr>
          <w:b/>
          <w:bCs/>
          <w:i/>
          <w:iCs/>
        </w:rPr>
        <w:t>co-produced CFC-12</w:t>
      </w:r>
    </w:p>
    <w:p w14:paraId="2EEE2865" w14:textId="03C5D0EF" w:rsidR="00075AFF" w:rsidRDefault="00075AFF" w:rsidP="00075AFF">
      <w:r w:rsidRPr="007D48A8">
        <w:t>The quantity of CFC-12 co-produced with CFC-11 is dependent on the production route chosen, and how the plant is set up and operated. With CFC-11 as the target chemical, the range of CFC-12 co-production is up to 30% of total CFC-11/12 production for the most likely production routes.</w:t>
      </w:r>
      <w:r>
        <w:t xml:space="preserve"> </w:t>
      </w:r>
      <w:r w:rsidR="000D6516">
        <w:t xml:space="preserve">While substantial uncertainties exist, </w:t>
      </w:r>
      <w:r w:rsidR="001272E0">
        <w:t xml:space="preserve">a number of factors suggest that global CFC-12 emission changes may be associated with unreported CFC-11 production: </w:t>
      </w:r>
      <w:r w:rsidR="00C40214">
        <w:t xml:space="preserve">the </w:t>
      </w:r>
      <w:r w:rsidR="00E83B5D">
        <w:t xml:space="preserve">indication of </w:t>
      </w:r>
      <w:r w:rsidR="001272E0">
        <w:t>increase</w:t>
      </w:r>
      <w:r w:rsidR="00E83B5D">
        <w:t>d</w:t>
      </w:r>
      <w:r w:rsidR="00C40214">
        <w:t xml:space="preserve"> global </w:t>
      </w:r>
      <w:r w:rsidR="001272E0">
        <w:t xml:space="preserve">CFC-12 </w:t>
      </w:r>
      <w:r w:rsidR="00C40214">
        <w:t>emissions in the 2010 to 2017 period, the subsequent indicated significant reduction in global CFC-12 emissions in 2019, and the geographic origin of the</w:t>
      </w:r>
      <w:r w:rsidR="00A92865">
        <w:t>se</w:t>
      </w:r>
      <w:r w:rsidR="00C40214">
        <w:t xml:space="preserve"> changes.</w:t>
      </w:r>
      <w:r w:rsidR="005862DE">
        <w:t xml:space="preserve"> There are no technical reasons to believe that the conclusion of the 2019 Task Force has changed; any additional unexpected emissions of CFC-12 are likely to be as a co-product associated with the production of CFC-11, rather than from any specific production initiated to supply CFC-12 in </w:t>
      </w:r>
      <w:r w:rsidR="00E83B5D">
        <w:t xml:space="preserve">its own </w:t>
      </w:r>
      <w:r w:rsidR="005862DE">
        <w:t>applications.</w:t>
      </w:r>
    </w:p>
    <w:p w14:paraId="4EB0A411" w14:textId="490C6AFD" w:rsidR="00BC24A5" w:rsidRPr="00616550" w:rsidRDefault="00BC24A5" w:rsidP="00DC4297">
      <w:pPr>
        <w:keepNext/>
        <w:rPr>
          <w:b/>
          <w:bCs/>
          <w:i/>
          <w:iCs/>
          <w:lang w:val="en-US" w:eastAsia="fr-FR"/>
        </w:rPr>
      </w:pPr>
      <w:r w:rsidRPr="00616550">
        <w:rPr>
          <w:b/>
          <w:bCs/>
          <w:i/>
          <w:iCs/>
          <w:lang w:val="en-US" w:eastAsia="fr-FR"/>
        </w:rPr>
        <w:t>Response to decision XXXI/3, paragraph 7(</w:t>
      </w:r>
      <w:r w:rsidR="00086C31">
        <w:rPr>
          <w:b/>
          <w:bCs/>
          <w:i/>
          <w:iCs/>
          <w:lang w:val="en-US" w:eastAsia="fr-FR"/>
        </w:rPr>
        <w:t>b</w:t>
      </w:r>
      <w:r w:rsidRPr="00616550">
        <w:rPr>
          <w:b/>
          <w:bCs/>
          <w:i/>
          <w:iCs/>
          <w:lang w:val="en-US" w:eastAsia="fr-FR"/>
        </w:rPr>
        <w:t>)</w:t>
      </w:r>
      <w:r w:rsidR="003E7552">
        <w:rPr>
          <w:b/>
          <w:bCs/>
          <w:i/>
          <w:iCs/>
          <w:lang w:val="en-US" w:eastAsia="fr-FR"/>
        </w:rPr>
        <w:t xml:space="preserve">: </w:t>
      </w:r>
      <w:r w:rsidR="009D0FB4" w:rsidRPr="00DC4297">
        <w:rPr>
          <w:b/>
          <w:bCs/>
          <w:i/>
          <w:iCs/>
        </w:rPr>
        <w:t>Linkages between production of anhydrous hydrogen fluoride and carbon tetrachloride and unexpected emissions of CFC-11</w:t>
      </w:r>
    </w:p>
    <w:p w14:paraId="2E2DDEF9" w14:textId="17E69BB3" w:rsidR="00D4739B" w:rsidRDefault="00C272EC" w:rsidP="008D0063">
      <w:pPr>
        <w:rPr>
          <w:lang w:val="en-US" w:eastAsia="fr-FR"/>
        </w:rPr>
      </w:pPr>
      <w:r w:rsidRPr="00B25CFF">
        <w:rPr>
          <w:lang w:val="en-US" w:eastAsia="fr-FR"/>
        </w:rPr>
        <w:t xml:space="preserve">There are direct linkages between </w:t>
      </w:r>
      <w:r>
        <w:rPr>
          <w:lang w:val="en-US" w:eastAsia="fr-FR"/>
        </w:rPr>
        <w:t>unreported</w:t>
      </w:r>
      <w:r w:rsidRPr="00B25CFF">
        <w:rPr>
          <w:lang w:val="en-US" w:eastAsia="fr-FR"/>
        </w:rPr>
        <w:t xml:space="preserve"> CFC-11 (CCl</w:t>
      </w:r>
      <w:r w:rsidRPr="00E33C9D">
        <w:rPr>
          <w:vertAlign w:val="subscript"/>
          <w:lang w:val="en-US" w:eastAsia="fr-FR"/>
        </w:rPr>
        <w:t>3</w:t>
      </w:r>
      <w:r w:rsidRPr="00B25CFF">
        <w:rPr>
          <w:lang w:val="en-US" w:eastAsia="fr-FR"/>
        </w:rPr>
        <w:t>F) production,</w:t>
      </w:r>
      <w:r w:rsidR="0076055D">
        <w:rPr>
          <w:lang w:val="en-US" w:eastAsia="fr-FR"/>
        </w:rPr>
        <w:t xml:space="preserve"> </w:t>
      </w:r>
      <w:r w:rsidR="00E97FEA">
        <w:rPr>
          <w:lang w:val="en-US" w:eastAsia="fr-FR"/>
        </w:rPr>
        <w:t xml:space="preserve">associated unexpected CFC-11 </w:t>
      </w:r>
      <w:r w:rsidRPr="00B25CFF">
        <w:rPr>
          <w:lang w:val="en-US" w:eastAsia="fr-FR"/>
        </w:rPr>
        <w:t>emissions</w:t>
      </w:r>
      <w:r w:rsidR="00052984">
        <w:rPr>
          <w:lang w:val="en-US" w:eastAsia="fr-FR"/>
        </w:rPr>
        <w:t>,</w:t>
      </w:r>
      <w:r w:rsidRPr="00B25CFF">
        <w:rPr>
          <w:lang w:val="en-US" w:eastAsia="fr-FR"/>
        </w:rPr>
        <w:t xml:space="preserve"> </w:t>
      </w:r>
      <w:r w:rsidR="00055C7F">
        <w:rPr>
          <w:lang w:val="en-US" w:eastAsia="fr-FR"/>
        </w:rPr>
        <w:t xml:space="preserve">and the production of </w:t>
      </w:r>
      <w:r w:rsidRPr="00B25CFF">
        <w:rPr>
          <w:lang w:val="en-US" w:eastAsia="fr-FR"/>
        </w:rPr>
        <w:t>anhydrous hydrogen fluoride (HF) and carbon tetrachloride (CTC</w:t>
      </w:r>
      <w:r>
        <w:rPr>
          <w:lang w:val="en-US" w:eastAsia="fr-FR"/>
        </w:rPr>
        <w:t xml:space="preserve"> or CCl</w:t>
      </w:r>
      <w:r w:rsidRPr="000E3AB9">
        <w:rPr>
          <w:vertAlign w:val="subscript"/>
          <w:lang w:val="en-US" w:eastAsia="fr-FR"/>
        </w:rPr>
        <w:t>4</w:t>
      </w:r>
      <w:r w:rsidRPr="00B25CFF">
        <w:rPr>
          <w:lang w:val="en-US" w:eastAsia="fr-FR"/>
        </w:rPr>
        <w:t>)</w:t>
      </w:r>
      <w:r w:rsidR="00055C7F">
        <w:rPr>
          <w:lang w:val="en-US" w:eastAsia="fr-FR"/>
        </w:rPr>
        <w:t>,</w:t>
      </w:r>
      <w:r w:rsidRPr="00B25CFF">
        <w:rPr>
          <w:lang w:val="en-US" w:eastAsia="fr-FR"/>
        </w:rPr>
        <w:t xml:space="preserve"> based on the normal and most likely </w:t>
      </w:r>
      <w:r>
        <w:rPr>
          <w:lang w:val="en-US" w:eastAsia="fr-FR"/>
        </w:rPr>
        <w:t xml:space="preserve">chemical </w:t>
      </w:r>
      <w:r w:rsidRPr="00B25CFF">
        <w:rPr>
          <w:lang w:val="en-US" w:eastAsia="fr-FR"/>
        </w:rPr>
        <w:t>production route</w:t>
      </w:r>
      <w:r>
        <w:rPr>
          <w:lang w:val="en-US" w:eastAsia="fr-FR"/>
        </w:rPr>
        <w:t xml:space="preserve"> and its associated chemistry</w:t>
      </w:r>
      <w:r w:rsidRPr="00B25CFF">
        <w:rPr>
          <w:lang w:val="en-US" w:eastAsia="fr-FR"/>
        </w:rPr>
        <w:t>.</w:t>
      </w:r>
      <w:r w:rsidR="008C1B34">
        <w:rPr>
          <w:lang w:val="en-US" w:eastAsia="fr-FR"/>
        </w:rPr>
        <w:t xml:space="preserve"> </w:t>
      </w:r>
      <w:r w:rsidR="008C1B34" w:rsidRPr="00B25CFF">
        <w:rPr>
          <w:lang w:val="en-US" w:eastAsia="fr-FR"/>
        </w:rPr>
        <w:t xml:space="preserve">However, there are important differences between </w:t>
      </w:r>
      <w:r w:rsidR="008C1B34">
        <w:rPr>
          <w:lang w:val="en-US" w:eastAsia="fr-FR"/>
        </w:rPr>
        <w:t xml:space="preserve">the </w:t>
      </w:r>
      <w:r w:rsidR="008C1B34" w:rsidRPr="00B25CFF">
        <w:rPr>
          <w:lang w:val="en-US" w:eastAsia="fr-FR"/>
        </w:rPr>
        <w:t>HF and CTC</w:t>
      </w:r>
      <w:r w:rsidR="008C1B34">
        <w:rPr>
          <w:lang w:val="en-US" w:eastAsia="fr-FR"/>
        </w:rPr>
        <w:t xml:space="preserve"> production</w:t>
      </w:r>
      <w:r w:rsidR="008C1B34" w:rsidRPr="00B25CFF">
        <w:rPr>
          <w:lang w:val="en-US" w:eastAsia="fr-FR"/>
        </w:rPr>
        <w:t xml:space="preserve"> </w:t>
      </w:r>
      <w:r w:rsidR="008C1B34">
        <w:rPr>
          <w:lang w:val="en-US" w:eastAsia="fr-FR"/>
        </w:rPr>
        <w:t>linkages with</w:t>
      </w:r>
      <w:r w:rsidR="008C1B34" w:rsidRPr="00B25CFF">
        <w:rPr>
          <w:lang w:val="en-US" w:eastAsia="fr-FR"/>
        </w:rPr>
        <w:t xml:space="preserve"> CFC-11 production</w:t>
      </w:r>
      <w:r w:rsidR="00DF46D1">
        <w:rPr>
          <w:lang w:val="en-US" w:eastAsia="fr-FR"/>
        </w:rPr>
        <w:t xml:space="preserve">, which make </w:t>
      </w:r>
      <w:r w:rsidR="00DF46D1" w:rsidRPr="00B25CFF">
        <w:rPr>
          <w:lang w:val="en-US" w:eastAsia="fr-FR"/>
        </w:rPr>
        <w:t xml:space="preserve">the linkage between CTC production and </w:t>
      </w:r>
      <w:r w:rsidR="00DF46D1">
        <w:rPr>
          <w:lang w:val="en-US" w:eastAsia="fr-FR"/>
        </w:rPr>
        <w:t>unreported</w:t>
      </w:r>
      <w:r w:rsidR="00DF46D1" w:rsidRPr="00B25CFF">
        <w:rPr>
          <w:lang w:val="en-US" w:eastAsia="fr-FR"/>
        </w:rPr>
        <w:t xml:space="preserve"> CFC-11 production and </w:t>
      </w:r>
      <w:r w:rsidR="00DF46D1">
        <w:rPr>
          <w:lang w:val="en-US" w:eastAsia="fr-FR"/>
        </w:rPr>
        <w:t xml:space="preserve">CFC-11 </w:t>
      </w:r>
      <w:r w:rsidR="00DF46D1" w:rsidRPr="00B25CFF">
        <w:rPr>
          <w:lang w:val="en-US" w:eastAsia="fr-FR"/>
        </w:rPr>
        <w:t>emissions the most important linkage</w:t>
      </w:r>
      <w:r w:rsidR="008C1B34" w:rsidRPr="00B25CFF">
        <w:rPr>
          <w:lang w:val="en-US" w:eastAsia="fr-FR"/>
        </w:rPr>
        <w:t>.</w:t>
      </w:r>
    </w:p>
    <w:p w14:paraId="0FBBC073" w14:textId="029519A2" w:rsidR="001C3DCF" w:rsidRDefault="00D4739B" w:rsidP="00D31E99">
      <w:pPr>
        <w:rPr>
          <w:lang w:eastAsia="fr-FR"/>
        </w:rPr>
      </w:pPr>
      <w:r w:rsidRPr="00616550">
        <w:rPr>
          <w:lang w:eastAsia="fr-FR"/>
        </w:rPr>
        <w:t xml:space="preserve">Between 45 to 120 </w:t>
      </w:r>
      <w:proofErr w:type="spellStart"/>
      <w:r w:rsidRPr="00616550">
        <w:rPr>
          <w:lang w:eastAsia="fr-FR"/>
        </w:rPr>
        <w:t>kilotonnes</w:t>
      </w:r>
      <w:proofErr w:type="spellEnd"/>
      <w:r w:rsidRPr="00616550">
        <w:rPr>
          <w:lang w:eastAsia="fr-FR"/>
        </w:rPr>
        <w:t xml:space="preserve"> of CTC would be required to supply between 40 to 70 </w:t>
      </w:r>
      <w:proofErr w:type="spellStart"/>
      <w:r w:rsidRPr="00616550">
        <w:rPr>
          <w:lang w:eastAsia="fr-FR"/>
        </w:rPr>
        <w:t>kilotonnes</w:t>
      </w:r>
      <w:proofErr w:type="spellEnd"/>
      <w:r w:rsidRPr="00ED7889">
        <w:rPr>
          <w:lang w:eastAsia="fr-FR"/>
        </w:rPr>
        <w:t xml:space="preserve"> </w:t>
      </w:r>
      <w:r w:rsidRPr="00CA0CD1">
        <w:rPr>
          <w:lang w:eastAsia="fr-FR"/>
        </w:rPr>
        <w:t xml:space="preserve">of CFC-11 production </w:t>
      </w:r>
      <w:r>
        <w:rPr>
          <w:lang w:eastAsia="fr-FR"/>
        </w:rPr>
        <w:t>annually</w:t>
      </w:r>
      <w:r w:rsidR="003D5946">
        <w:rPr>
          <w:lang w:eastAsia="fr-FR"/>
        </w:rPr>
        <w:t>,</w:t>
      </w:r>
      <w:r>
        <w:rPr>
          <w:lang w:eastAsia="fr-FR"/>
        </w:rPr>
        <w:t xml:space="preserve"> </w:t>
      </w:r>
      <w:r w:rsidRPr="00CA0CD1">
        <w:rPr>
          <w:lang w:eastAsia="fr-FR"/>
        </w:rPr>
        <w:t>to account for the increased CFC-11 emissions</w:t>
      </w:r>
      <w:r>
        <w:rPr>
          <w:lang w:eastAsia="fr-FR"/>
        </w:rPr>
        <w:t xml:space="preserve"> in the period 2013 to 2018</w:t>
      </w:r>
      <w:r w:rsidRPr="00CA0CD1">
        <w:rPr>
          <w:lang w:eastAsia="fr-FR"/>
        </w:rPr>
        <w:t>, depending on the proportion of co-produced CFC-12.</w:t>
      </w:r>
      <w:r w:rsidR="00BC5370">
        <w:rPr>
          <w:lang w:eastAsia="fr-FR"/>
        </w:rPr>
        <w:t xml:space="preserve"> </w:t>
      </w:r>
      <w:r w:rsidR="00BC5370" w:rsidRPr="00CA0CD1">
        <w:rPr>
          <w:lang w:eastAsia="fr-FR"/>
        </w:rPr>
        <w:t xml:space="preserve">The CTC quantity required for CFC-11 production is expected to be at the lower end of the range if, as </w:t>
      </w:r>
      <w:r w:rsidR="00BC5370" w:rsidRPr="00CA0CD1">
        <w:rPr>
          <w:lang w:eastAsia="fr-FR"/>
        </w:rPr>
        <w:lastRenderedPageBreak/>
        <w:t>predicted, the objective is higher CFC-11 selectivity.</w:t>
      </w:r>
      <w:r w:rsidR="001456FA">
        <w:rPr>
          <w:lang w:eastAsia="fr-FR"/>
        </w:rPr>
        <w:t xml:space="preserve"> </w:t>
      </w:r>
      <w:r w:rsidR="001456FA" w:rsidRPr="00616550">
        <w:rPr>
          <w:lang w:eastAsia="fr-FR"/>
        </w:rPr>
        <w:t xml:space="preserve">In the period 2007-2019, the cumulative CTC quantity required to produce 320-700 </w:t>
      </w:r>
      <w:proofErr w:type="spellStart"/>
      <w:r w:rsidR="001456FA" w:rsidRPr="00616550">
        <w:rPr>
          <w:lang w:eastAsia="fr-FR"/>
        </w:rPr>
        <w:t>kilotonnes</w:t>
      </w:r>
      <w:proofErr w:type="spellEnd"/>
      <w:r w:rsidR="001456FA" w:rsidRPr="00616550">
        <w:rPr>
          <w:lang w:eastAsia="fr-FR"/>
        </w:rPr>
        <w:t xml:space="preserve"> of CFC-11 is at least</w:t>
      </w:r>
      <w:r w:rsidR="001456FA">
        <w:rPr>
          <w:lang w:eastAsia="fr-FR"/>
        </w:rPr>
        <w:t xml:space="preserve"> 360</w:t>
      </w:r>
      <w:r w:rsidR="001456FA" w:rsidRPr="00616550">
        <w:rPr>
          <w:lang w:eastAsia="fr-FR"/>
        </w:rPr>
        <w:t xml:space="preserve"> </w:t>
      </w:r>
      <w:proofErr w:type="spellStart"/>
      <w:r w:rsidR="001456FA" w:rsidRPr="00616550">
        <w:rPr>
          <w:lang w:eastAsia="fr-FR"/>
        </w:rPr>
        <w:t>kilotonnes</w:t>
      </w:r>
      <w:proofErr w:type="spellEnd"/>
      <w:r w:rsidR="001456FA" w:rsidRPr="00616550">
        <w:rPr>
          <w:lang w:eastAsia="fr-FR"/>
        </w:rPr>
        <w:t xml:space="preserve"> and could be considerably higher depending on the CFC-11 selectivity</w:t>
      </w:r>
      <w:r w:rsidR="003D5946">
        <w:rPr>
          <w:lang w:eastAsia="fr-FR"/>
        </w:rPr>
        <w:t>.</w:t>
      </w:r>
      <w:r w:rsidR="004A6CDE">
        <w:rPr>
          <w:lang w:eastAsia="fr-FR"/>
        </w:rPr>
        <w:t xml:space="preserve"> </w:t>
      </w:r>
      <w:r w:rsidR="006843C9" w:rsidRPr="00A8663C">
        <w:rPr>
          <w:lang w:eastAsia="fr-FR"/>
        </w:rPr>
        <w:t>Given the scale of production and that CTC supply to unreported CFC production was undetected for years</w:t>
      </w:r>
      <w:r w:rsidR="009D3EC7" w:rsidRPr="009D3EC7">
        <w:rPr>
          <w:lang w:eastAsia="fr-FR"/>
        </w:rPr>
        <w:t>, it seems more likely that CFC-11 production occurred within the same country</w:t>
      </w:r>
      <w:r w:rsidR="00D374DA">
        <w:rPr>
          <w:lang w:eastAsia="fr-FR"/>
        </w:rPr>
        <w:t>,</w:t>
      </w:r>
      <w:r w:rsidR="009D3EC7" w:rsidRPr="009D3EC7">
        <w:rPr>
          <w:lang w:eastAsia="fr-FR"/>
        </w:rPr>
        <w:t xml:space="preserve"> and even on the same site.</w:t>
      </w:r>
    </w:p>
    <w:p w14:paraId="6C6D7C28" w14:textId="2D051B2B" w:rsidR="00C96AE6" w:rsidRDefault="005A121A" w:rsidP="00D31E99">
      <w:pPr>
        <w:rPr>
          <w:lang w:eastAsia="fr-FR"/>
        </w:rPr>
      </w:pPr>
      <w:r w:rsidRPr="00CA0CD1">
        <w:rPr>
          <w:lang w:eastAsia="fr-FR"/>
        </w:rPr>
        <w:t>CTC is produced in chloromethanes plants as an unavoidable part of the production of dichloromethane and chloroform. China (&lt;3</w:t>
      </w:r>
      <w:r>
        <w:rPr>
          <w:lang w:eastAsia="fr-FR"/>
        </w:rPr>
        <w:t>,000</w:t>
      </w:r>
      <w:r w:rsidRPr="00CA0CD1">
        <w:rPr>
          <w:lang w:eastAsia="fr-FR"/>
        </w:rPr>
        <w:t xml:space="preserve"> </w:t>
      </w:r>
      <w:proofErr w:type="spellStart"/>
      <w:r>
        <w:rPr>
          <w:lang w:eastAsia="fr-FR"/>
        </w:rPr>
        <w:t>kilo</w:t>
      </w:r>
      <w:r w:rsidRPr="00CA0CD1">
        <w:rPr>
          <w:lang w:eastAsia="fr-FR"/>
        </w:rPr>
        <w:t>ton</w:t>
      </w:r>
      <w:r>
        <w:rPr>
          <w:lang w:eastAsia="fr-FR"/>
        </w:rPr>
        <w:t>ne</w:t>
      </w:r>
      <w:r w:rsidRPr="00CA0CD1">
        <w:rPr>
          <w:lang w:eastAsia="fr-FR"/>
        </w:rPr>
        <w:t>s</w:t>
      </w:r>
      <w:proofErr w:type="spellEnd"/>
      <w:r w:rsidR="003623EB">
        <w:rPr>
          <w:lang w:eastAsia="fr-FR"/>
        </w:rPr>
        <w:t>/year</w:t>
      </w:r>
      <w:r w:rsidRPr="00CA0CD1">
        <w:rPr>
          <w:lang w:eastAsia="fr-FR"/>
        </w:rPr>
        <w:t>), the European Union (&lt;500</w:t>
      </w:r>
      <w:r>
        <w:rPr>
          <w:lang w:eastAsia="fr-FR"/>
        </w:rPr>
        <w:t xml:space="preserve"> </w:t>
      </w:r>
      <w:proofErr w:type="spellStart"/>
      <w:r>
        <w:rPr>
          <w:lang w:eastAsia="fr-FR"/>
        </w:rPr>
        <w:t>kilotonnes</w:t>
      </w:r>
      <w:proofErr w:type="spellEnd"/>
      <w:r w:rsidR="003623EB">
        <w:rPr>
          <w:lang w:eastAsia="fr-FR"/>
        </w:rPr>
        <w:t>/year</w:t>
      </w:r>
      <w:r w:rsidRPr="00CA0CD1">
        <w:rPr>
          <w:lang w:eastAsia="fr-FR"/>
        </w:rPr>
        <w:t>), and the United States (&lt;400</w:t>
      </w:r>
      <w:r>
        <w:rPr>
          <w:lang w:eastAsia="fr-FR"/>
        </w:rPr>
        <w:t xml:space="preserve"> </w:t>
      </w:r>
      <w:proofErr w:type="spellStart"/>
      <w:r>
        <w:rPr>
          <w:lang w:eastAsia="fr-FR"/>
        </w:rPr>
        <w:t>kilotonnes</w:t>
      </w:r>
      <w:proofErr w:type="spellEnd"/>
      <w:r w:rsidR="003623EB">
        <w:rPr>
          <w:lang w:eastAsia="fr-FR"/>
        </w:rPr>
        <w:t>/year</w:t>
      </w:r>
      <w:r w:rsidRPr="00CA0CD1">
        <w:rPr>
          <w:lang w:eastAsia="fr-FR"/>
        </w:rPr>
        <w:t xml:space="preserve">) have the largest chloromethanes </w:t>
      </w:r>
      <w:r>
        <w:rPr>
          <w:lang w:eastAsia="fr-FR"/>
        </w:rPr>
        <w:t xml:space="preserve">production </w:t>
      </w:r>
      <w:r w:rsidRPr="00CA0CD1">
        <w:rPr>
          <w:lang w:eastAsia="fr-FR"/>
        </w:rPr>
        <w:t>capacities, and therefore also the largest potential availability of CTC.</w:t>
      </w:r>
      <w:r w:rsidR="005D74E2">
        <w:rPr>
          <w:lang w:eastAsia="fr-FR"/>
        </w:rPr>
        <w:t xml:space="preserve"> </w:t>
      </w:r>
      <w:r w:rsidR="005D74E2" w:rsidRPr="00CA0CD1">
        <w:rPr>
          <w:lang w:eastAsia="fr-FR"/>
        </w:rPr>
        <w:t xml:space="preserve">Only China has the spare annual capacity </w:t>
      </w:r>
      <w:r w:rsidR="005D74E2">
        <w:rPr>
          <w:lang w:eastAsia="fr-FR"/>
        </w:rPr>
        <w:t xml:space="preserve">on chloromethanes plants </w:t>
      </w:r>
      <w:r w:rsidR="005D74E2" w:rsidRPr="00CA0CD1">
        <w:rPr>
          <w:lang w:eastAsia="fr-FR"/>
        </w:rPr>
        <w:t>that might allow CTC production to supply the amounts of CTC required for large-scale CFC-11 production.</w:t>
      </w:r>
      <w:r w:rsidR="00AC3EAD">
        <w:rPr>
          <w:lang w:eastAsia="fr-FR"/>
        </w:rPr>
        <w:t xml:space="preserve"> </w:t>
      </w:r>
    </w:p>
    <w:p w14:paraId="7F5C9F78" w14:textId="0E400B8F" w:rsidR="00DE1B7F" w:rsidRDefault="009A2E8D" w:rsidP="00D31E99">
      <w:pPr>
        <w:rPr>
          <w:lang w:eastAsia="fr-FR"/>
        </w:rPr>
      </w:pPr>
      <w:r w:rsidRPr="00CA0CD1">
        <w:rPr>
          <w:lang w:eastAsia="fr-FR"/>
        </w:rPr>
        <w:t xml:space="preserve">CTC is also produced </w:t>
      </w:r>
      <w:r>
        <w:rPr>
          <w:lang w:eastAsia="fr-FR"/>
        </w:rPr>
        <w:t xml:space="preserve">(or processed) </w:t>
      </w:r>
      <w:r w:rsidRPr="00CA0CD1">
        <w:rPr>
          <w:lang w:eastAsia="fr-FR"/>
        </w:rPr>
        <w:t xml:space="preserve">in perchloroethylene/CTC (PCE/CTC) plants, which have the flexibility to produce </w:t>
      </w:r>
      <w:r>
        <w:rPr>
          <w:lang w:eastAsia="fr-FR"/>
        </w:rPr>
        <w:t xml:space="preserve">up to 100% of </w:t>
      </w:r>
      <w:r w:rsidRPr="00CA0CD1">
        <w:rPr>
          <w:lang w:eastAsia="fr-FR"/>
        </w:rPr>
        <w:t>either substance according to demand.</w:t>
      </w:r>
      <w:r w:rsidR="004B6151">
        <w:rPr>
          <w:lang w:eastAsia="fr-FR"/>
        </w:rPr>
        <w:t xml:space="preserve"> </w:t>
      </w:r>
      <w:r w:rsidR="004B6151" w:rsidRPr="00CA0CD1">
        <w:rPr>
          <w:lang w:eastAsia="fr-FR"/>
        </w:rPr>
        <w:t xml:space="preserve">Five PCE/CTC plants are operative in Europe and the United States, and at least nine are operating in China. Spare global capacity to produce CTC by this process is estimated to be between 50-100 </w:t>
      </w:r>
      <w:proofErr w:type="spellStart"/>
      <w:r w:rsidR="007A6871">
        <w:rPr>
          <w:lang w:eastAsia="fr-FR"/>
        </w:rPr>
        <w:t>kilo</w:t>
      </w:r>
      <w:r w:rsidR="004B6151" w:rsidRPr="00CA0CD1">
        <w:rPr>
          <w:lang w:eastAsia="fr-FR"/>
        </w:rPr>
        <w:t>tonnes</w:t>
      </w:r>
      <w:proofErr w:type="spellEnd"/>
      <w:r w:rsidR="00C52517">
        <w:rPr>
          <w:lang w:eastAsia="fr-FR"/>
        </w:rPr>
        <w:t>/year</w:t>
      </w:r>
      <w:r w:rsidR="004B6151" w:rsidRPr="00CA0CD1">
        <w:rPr>
          <w:lang w:eastAsia="fr-FR"/>
        </w:rPr>
        <w:t>, existing mainly in the European Union.</w:t>
      </w:r>
      <w:r w:rsidR="00CF6BD3">
        <w:rPr>
          <w:lang w:eastAsia="fr-FR"/>
        </w:rPr>
        <w:t xml:space="preserve"> </w:t>
      </w:r>
      <w:r w:rsidR="00FD5F9F" w:rsidRPr="00A02915">
        <w:rPr>
          <w:lang w:eastAsia="fr-FR"/>
        </w:rPr>
        <w:t xml:space="preserve">Many of the </w:t>
      </w:r>
      <w:r w:rsidR="00FD5F9F">
        <w:rPr>
          <w:lang w:eastAsia="fr-FR"/>
        </w:rPr>
        <w:t>chloromethanes</w:t>
      </w:r>
      <w:r w:rsidR="00FD5F9F" w:rsidRPr="00A02915">
        <w:rPr>
          <w:lang w:eastAsia="fr-FR"/>
        </w:rPr>
        <w:t xml:space="preserve"> producers in China elected to build </w:t>
      </w:r>
      <w:r w:rsidR="00FD5F9F">
        <w:rPr>
          <w:lang w:eastAsia="fr-FR"/>
        </w:rPr>
        <w:t xml:space="preserve">CTC to PCE </w:t>
      </w:r>
      <w:r w:rsidR="00FD5F9F" w:rsidRPr="00A02915">
        <w:rPr>
          <w:lang w:eastAsia="fr-FR"/>
        </w:rPr>
        <w:t xml:space="preserve">plants, which transform </w:t>
      </w:r>
      <w:r w:rsidR="00FD5F9F">
        <w:rPr>
          <w:lang w:eastAsia="fr-FR"/>
        </w:rPr>
        <w:t xml:space="preserve">otherwise surplus </w:t>
      </w:r>
      <w:r w:rsidR="00FD5F9F" w:rsidRPr="00A02915">
        <w:rPr>
          <w:lang w:eastAsia="fr-FR"/>
        </w:rPr>
        <w:t xml:space="preserve">CTC into PCE. </w:t>
      </w:r>
    </w:p>
    <w:p w14:paraId="081FAAE5" w14:textId="176E5918" w:rsidR="005A121A" w:rsidRDefault="00CF6BD3" w:rsidP="00D31E99">
      <w:r>
        <w:rPr>
          <w:lang w:eastAsia="fr-FR"/>
        </w:rPr>
        <w:t>F</w:t>
      </w:r>
      <w:r w:rsidRPr="00D83588">
        <w:rPr>
          <w:lang w:eastAsia="fr-FR"/>
        </w:rPr>
        <w:t>or China</w:t>
      </w:r>
      <w:r>
        <w:rPr>
          <w:lang w:eastAsia="fr-FR"/>
        </w:rPr>
        <w:t>,</w:t>
      </w:r>
      <w:r w:rsidRPr="00D83588">
        <w:rPr>
          <w:lang w:eastAsia="fr-FR"/>
        </w:rPr>
        <w:t xml:space="preserve"> additional CTC could have been </w:t>
      </w:r>
      <w:r w:rsidR="00803990">
        <w:rPr>
          <w:lang w:eastAsia="fr-FR"/>
        </w:rPr>
        <w:t>made</w:t>
      </w:r>
      <w:r w:rsidRPr="00D83588">
        <w:rPr>
          <w:lang w:eastAsia="fr-FR"/>
        </w:rPr>
        <w:t xml:space="preserve"> available either by increasing the amount of CTC produced on chloromethane plants or by diverting CTC from PCE production or a combination of both.</w:t>
      </w:r>
      <w:r w:rsidR="00B306AF">
        <w:rPr>
          <w:lang w:eastAsia="fr-FR"/>
        </w:rPr>
        <w:t xml:space="preserve"> </w:t>
      </w:r>
      <w:r w:rsidR="00930574">
        <w:t>S</w:t>
      </w:r>
      <w:r w:rsidR="00B306AF" w:rsidRPr="00CD47E6">
        <w:t>ince 2019</w:t>
      </w:r>
      <w:r w:rsidR="00B306AF">
        <w:t>,</w:t>
      </w:r>
      <w:r w:rsidR="00B306AF" w:rsidRPr="00CD47E6">
        <w:t xml:space="preserve"> </w:t>
      </w:r>
      <w:r w:rsidR="00930574">
        <w:t>China</w:t>
      </w:r>
      <w:r w:rsidR="00B306AF" w:rsidRPr="00CD47E6">
        <w:t xml:space="preserve"> has imposed additional control measures on enterprises generating CTC as by-product to prevent illegal CFC-11 production. The measures require all </w:t>
      </w:r>
      <w:r w:rsidR="00B306AF">
        <w:t>chloromethanes</w:t>
      </w:r>
      <w:r w:rsidR="00B306AF" w:rsidRPr="00CD47E6">
        <w:t xml:space="preserve"> production enterprises to install a whole-process, real-time monitoring system.</w:t>
      </w:r>
    </w:p>
    <w:p w14:paraId="35FB3D24" w14:textId="38523E9C" w:rsidR="00427DF7" w:rsidRPr="00DC4297" w:rsidRDefault="00A62B6F" w:rsidP="00D31E99">
      <w:pPr>
        <w:rPr>
          <w:b/>
          <w:bCs/>
          <w:i/>
          <w:iCs/>
          <w:lang w:val="en-US" w:eastAsia="fr-FR"/>
        </w:rPr>
      </w:pPr>
      <w:r w:rsidRPr="00DC4297">
        <w:rPr>
          <w:b/>
          <w:bCs/>
          <w:i/>
          <w:iCs/>
          <w:lang w:val="en-US" w:eastAsia="fr-FR"/>
        </w:rPr>
        <w:t xml:space="preserve">Response to decision </w:t>
      </w:r>
      <w:r w:rsidR="009B585A" w:rsidRPr="00DC4297">
        <w:rPr>
          <w:b/>
          <w:bCs/>
          <w:i/>
          <w:iCs/>
          <w:lang w:val="en-US" w:eastAsia="fr-FR"/>
        </w:rPr>
        <w:t>XXXI/3, paragraph 7(</w:t>
      </w:r>
      <w:r w:rsidR="00BC24A5" w:rsidRPr="00DC4297">
        <w:rPr>
          <w:b/>
          <w:bCs/>
          <w:i/>
          <w:iCs/>
          <w:lang w:val="en-US" w:eastAsia="fr-FR"/>
        </w:rPr>
        <w:t>d)</w:t>
      </w:r>
      <w:r w:rsidR="00DA358A">
        <w:rPr>
          <w:b/>
          <w:bCs/>
          <w:i/>
          <w:iCs/>
          <w:lang w:val="en-US" w:eastAsia="fr-FR"/>
        </w:rPr>
        <w:t xml:space="preserve">: </w:t>
      </w:r>
      <w:r w:rsidR="00DA358A" w:rsidRPr="00DA358A">
        <w:rPr>
          <w:b/>
          <w:bCs/>
          <w:i/>
          <w:iCs/>
          <w:lang w:val="en-US" w:eastAsia="fr-FR"/>
        </w:rPr>
        <w:t>Possible drivers of illegal production of and trade in CFC-11</w:t>
      </w:r>
    </w:p>
    <w:p w14:paraId="6BBC1A83" w14:textId="42839203" w:rsidR="009927E7" w:rsidRDefault="002031B4" w:rsidP="00D31E99">
      <w:pPr>
        <w:rPr>
          <w:lang w:val="en-US" w:eastAsia="fr-FR"/>
        </w:rPr>
      </w:pPr>
      <w:r w:rsidRPr="002031B4">
        <w:rPr>
          <w:lang w:val="en-US" w:eastAsia="fr-FR"/>
        </w:rPr>
        <w:t>The higher pricing and lack of availability of HCFC-141b related to the ODS phase-out combined with the technical ease of conversion to CFC-11 could</w:t>
      </w:r>
      <w:r w:rsidR="008C0871">
        <w:rPr>
          <w:lang w:val="en-US" w:eastAsia="fr-FR"/>
        </w:rPr>
        <w:t xml:space="preserve"> </w:t>
      </w:r>
      <w:r w:rsidRPr="002031B4">
        <w:rPr>
          <w:lang w:val="en-US" w:eastAsia="fr-FR"/>
        </w:rPr>
        <w:t>have been</w:t>
      </w:r>
      <w:r w:rsidR="008C0871">
        <w:rPr>
          <w:lang w:val="en-US" w:eastAsia="fr-FR"/>
        </w:rPr>
        <w:t xml:space="preserve"> </w:t>
      </w:r>
      <w:r w:rsidRPr="002031B4">
        <w:rPr>
          <w:lang w:val="en-US" w:eastAsia="fr-FR"/>
        </w:rPr>
        <w:t>a driver for reverting to use of CFC-11 as a blowing agent. CFC-11 as a blowing could also be of interest to companies who believe that it may reduce foam flammability without using expensive fire retardants.</w:t>
      </w:r>
      <w:r w:rsidR="0077319B">
        <w:rPr>
          <w:lang w:val="en-US" w:eastAsia="fr-FR"/>
        </w:rPr>
        <w:t xml:space="preserve"> </w:t>
      </w:r>
      <w:r w:rsidR="0077319B" w:rsidRPr="1CAEEFD9">
        <w:rPr>
          <w:lang w:val="en-AU"/>
        </w:rPr>
        <w:t>It would be economically attractive and technically straight-forward to revert to using CFC-11 from HCFC-141b, or another fluorocarbon, as the other raw materials and equipment used to produce polyurethane closed-cell foams are compatible</w:t>
      </w:r>
      <w:r w:rsidR="0077319B">
        <w:rPr>
          <w:lang w:val="en-AU"/>
        </w:rPr>
        <w:t>,</w:t>
      </w:r>
      <w:r w:rsidR="0077319B" w:rsidRPr="1CAEEFD9">
        <w:rPr>
          <w:lang w:val="en-AU"/>
        </w:rPr>
        <w:t xml:space="preserve"> with only slight modifications to ingredient ratios.</w:t>
      </w:r>
      <w:r w:rsidR="00086EE9">
        <w:rPr>
          <w:lang w:val="en-AU"/>
        </w:rPr>
        <w:t xml:space="preserve"> </w:t>
      </w:r>
      <w:r w:rsidR="00174DFD">
        <w:rPr>
          <w:lang w:val="en-AU"/>
        </w:rPr>
        <w:t>T</w:t>
      </w:r>
      <w:r w:rsidR="00086EE9" w:rsidRPr="1CAEEFD9">
        <w:rPr>
          <w:lang w:val="en-AU"/>
        </w:rPr>
        <w:t>here are a number of drivers that might encourage the transition back to CFC-11</w:t>
      </w:r>
      <w:r w:rsidR="00174DFD">
        <w:rPr>
          <w:lang w:val="en-AU"/>
        </w:rPr>
        <w:t xml:space="preserve">, including </w:t>
      </w:r>
      <w:r w:rsidR="00833510">
        <w:rPr>
          <w:lang w:val="en-AU"/>
        </w:rPr>
        <w:t xml:space="preserve">the </w:t>
      </w:r>
      <w:r w:rsidR="00252F30">
        <w:rPr>
          <w:lang w:val="en-AU"/>
        </w:rPr>
        <w:t xml:space="preserve">technical and economic </w:t>
      </w:r>
      <w:r w:rsidR="00833510">
        <w:rPr>
          <w:lang w:val="en-AU"/>
        </w:rPr>
        <w:t>challenges of the phase-out of HCFC-141b in the spray foam sector and in SMEs</w:t>
      </w:r>
      <w:r w:rsidR="00252F30">
        <w:rPr>
          <w:lang w:val="en-AU"/>
        </w:rPr>
        <w:t xml:space="preserve">, </w:t>
      </w:r>
      <w:r w:rsidR="0086633B">
        <w:rPr>
          <w:lang w:val="en-AU"/>
        </w:rPr>
        <w:t xml:space="preserve">and </w:t>
      </w:r>
      <w:r w:rsidR="00252F30">
        <w:rPr>
          <w:lang w:val="en-AU"/>
        </w:rPr>
        <w:t>challenges with alternatives</w:t>
      </w:r>
      <w:r w:rsidR="0086633B">
        <w:rPr>
          <w:lang w:val="en-AU"/>
        </w:rPr>
        <w:t>.</w:t>
      </w:r>
      <w:r w:rsidR="006F4153">
        <w:rPr>
          <w:lang w:val="en-AU"/>
        </w:rPr>
        <w:t xml:space="preserve"> </w:t>
      </w:r>
    </w:p>
    <w:p w14:paraId="585D63B7" w14:textId="2075D705" w:rsidR="00C60CC8" w:rsidRDefault="00C60CC8" w:rsidP="00C60CC8">
      <w:pPr>
        <w:rPr>
          <w:lang w:val="en-US" w:eastAsia="fr-FR"/>
        </w:rPr>
      </w:pPr>
      <w:r w:rsidRPr="00C60CC8">
        <w:rPr>
          <w:lang w:val="en-US" w:eastAsia="fr-FR"/>
        </w:rPr>
        <w:t>Based on technical similarities with production routes, a liquid phase plant producing one of CFC-11/12, HCFC-22 and HFC-32 can be successfully swung to produce one or the others.</w:t>
      </w:r>
      <w:r w:rsidR="0024616D">
        <w:rPr>
          <w:lang w:val="en-US" w:eastAsia="fr-FR"/>
        </w:rPr>
        <w:t xml:space="preserve"> </w:t>
      </w:r>
      <w:r w:rsidRPr="00C60CC8">
        <w:rPr>
          <w:lang w:val="en-US" w:eastAsia="fr-FR"/>
        </w:rPr>
        <w:t>Production plants with a larger range of allowable operating pressures and temperatures, such as purpose designed swing plants, can make a larger range of products. Purpose-built swing plants are designed to</w:t>
      </w:r>
      <w:r w:rsidR="0024616D">
        <w:rPr>
          <w:lang w:val="en-US" w:eastAsia="fr-FR"/>
        </w:rPr>
        <w:t xml:space="preserve"> h</w:t>
      </w:r>
      <w:r w:rsidRPr="00C60CC8">
        <w:rPr>
          <w:lang w:val="en-US" w:eastAsia="fr-FR"/>
        </w:rPr>
        <w:t>ave the required technical requirements to change products</w:t>
      </w:r>
      <w:r w:rsidR="0024616D">
        <w:rPr>
          <w:lang w:val="en-US" w:eastAsia="fr-FR"/>
        </w:rPr>
        <w:t xml:space="preserve"> and </w:t>
      </w:r>
      <w:proofErr w:type="spellStart"/>
      <w:r w:rsidR="0024616D">
        <w:rPr>
          <w:lang w:val="en-US" w:eastAsia="fr-FR"/>
        </w:rPr>
        <w:t>m</w:t>
      </w:r>
      <w:r w:rsidRPr="00C60CC8">
        <w:rPr>
          <w:lang w:val="en-US" w:eastAsia="fr-FR"/>
        </w:rPr>
        <w:t>inimise</w:t>
      </w:r>
      <w:proofErr w:type="spellEnd"/>
      <w:r w:rsidRPr="00C60CC8">
        <w:rPr>
          <w:lang w:val="en-US" w:eastAsia="fr-FR"/>
        </w:rPr>
        <w:t xml:space="preserve"> economic impacts when swinging</w:t>
      </w:r>
      <w:r w:rsidR="0024616D">
        <w:rPr>
          <w:lang w:val="en-US" w:eastAsia="fr-FR"/>
        </w:rPr>
        <w:t xml:space="preserve">. </w:t>
      </w:r>
      <w:r w:rsidRPr="00C60CC8">
        <w:rPr>
          <w:lang w:val="en-US" w:eastAsia="fr-FR"/>
        </w:rPr>
        <w:t>Large plants built for production of a single product are</w:t>
      </w:r>
      <w:r w:rsidR="0024616D">
        <w:rPr>
          <w:lang w:val="en-US" w:eastAsia="fr-FR"/>
        </w:rPr>
        <w:t xml:space="preserve"> t</w:t>
      </w:r>
      <w:r w:rsidRPr="00C60CC8">
        <w:rPr>
          <w:lang w:val="en-US" w:eastAsia="fr-FR"/>
        </w:rPr>
        <w:t>echnically capable of swinging to another product, but this can come at the cost of reduced capacity and product quality</w:t>
      </w:r>
      <w:r w:rsidR="00C741B4">
        <w:rPr>
          <w:lang w:val="en-US" w:eastAsia="fr-FR"/>
        </w:rPr>
        <w:t xml:space="preserve"> and are e</w:t>
      </w:r>
      <w:r w:rsidRPr="00C60CC8">
        <w:rPr>
          <w:lang w:val="en-US" w:eastAsia="fr-FR"/>
        </w:rPr>
        <w:t>conomically less suited to swinging</w:t>
      </w:r>
      <w:r w:rsidR="00C741B4">
        <w:rPr>
          <w:lang w:val="en-US" w:eastAsia="fr-FR"/>
        </w:rPr>
        <w:t xml:space="preserve">. </w:t>
      </w:r>
      <w:r w:rsidRPr="00C60CC8">
        <w:rPr>
          <w:lang w:val="en-US" w:eastAsia="fr-FR"/>
        </w:rPr>
        <w:t>Micro-</w:t>
      </w:r>
      <w:r w:rsidRPr="00C60CC8">
        <w:rPr>
          <w:lang w:val="en-US" w:eastAsia="fr-FR"/>
        </w:rPr>
        <w:lastRenderedPageBreak/>
        <w:t>scale plants would be</w:t>
      </w:r>
      <w:r w:rsidR="00C741B4">
        <w:rPr>
          <w:lang w:val="en-US" w:eastAsia="fr-FR"/>
        </w:rPr>
        <w:t xml:space="preserve"> l</w:t>
      </w:r>
      <w:r w:rsidRPr="00C60CC8">
        <w:rPr>
          <w:lang w:val="en-US" w:eastAsia="fr-FR"/>
        </w:rPr>
        <w:t>ow tech and low cost, easy to relocate, hard to detect</w:t>
      </w:r>
      <w:r w:rsidR="00C741B4">
        <w:rPr>
          <w:lang w:val="en-US" w:eastAsia="fr-FR"/>
        </w:rPr>
        <w:t>, and l</w:t>
      </w:r>
      <w:r w:rsidRPr="00C60CC8">
        <w:rPr>
          <w:lang w:val="en-US" w:eastAsia="fr-FR"/>
        </w:rPr>
        <w:t>imited economically by small annual production capacity.</w:t>
      </w:r>
    </w:p>
    <w:p w14:paraId="6888A712" w14:textId="073093F9" w:rsidR="006A4B44" w:rsidRPr="00DC4297" w:rsidRDefault="006A4B44" w:rsidP="00132BBC">
      <w:pPr>
        <w:keepNext/>
        <w:rPr>
          <w:b/>
          <w:bCs/>
          <w:i/>
          <w:iCs/>
          <w:lang w:val="en-US" w:eastAsia="fr-FR"/>
        </w:rPr>
      </w:pPr>
      <w:r w:rsidRPr="00616550">
        <w:rPr>
          <w:b/>
          <w:bCs/>
          <w:i/>
          <w:iCs/>
          <w:lang w:val="en-US" w:eastAsia="fr-FR"/>
        </w:rPr>
        <w:t>Response to decision XXXI/3, paragraph 7(</w:t>
      </w:r>
      <w:r w:rsidR="00B5534C">
        <w:rPr>
          <w:b/>
          <w:bCs/>
          <w:i/>
          <w:iCs/>
          <w:lang w:val="en-US" w:eastAsia="fr-FR"/>
        </w:rPr>
        <w:t>c</w:t>
      </w:r>
      <w:r w:rsidRPr="00616550">
        <w:rPr>
          <w:b/>
          <w:bCs/>
          <w:i/>
          <w:iCs/>
          <w:lang w:val="en-US" w:eastAsia="fr-FR"/>
        </w:rPr>
        <w:t>)</w:t>
      </w:r>
      <w:r>
        <w:rPr>
          <w:b/>
          <w:bCs/>
          <w:i/>
          <w:iCs/>
          <w:lang w:val="en-US" w:eastAsia="fr-FR"/>
        </w:rPr>
        <w:t xml:space="preserve">: </w:t>
      </w:r>
      <w:r w:rsidR="00B5534C" w:rsidRPr="00B5534C">
        <w:rPr>
          <w:b/>
          <w:bCs/>
          <w:i/>
          <w:iCs/>
          <w:lang w:val="en-US" w:eastAsia="fr-FR"/>
        </w:rPr>
        <w:t>Types of CFC-11 products and their disposition, and opportunities for detection and potential recovery of CFC-11</w:t>
      </w:r>
    </w:p>
    <w:p w14:paraId="7BF79922" w14:textId="2BB28C42" w:rsidR="00A631E4" w:rsidRDefault="006A4B44" w:rsidP="00C60CC8">
      <w:pPr>
        <w:rPr>
          <w:lang w:val="en-US"/>
        </w:rPr>
      </w:pPr>
      <w:r>
        <w:rPr>
          <w:lang w:val="en-US"/>
        </w:rPr>
        <w:t>Opportunities to recover CFC-11 from products containing CFC-11 are limited to a few: active banks</w:t>
      </w:r>
      <w:r w:rsidR="007A2231">
        <w:rPr>
          <w:lang w:val="en-US"/>
        </w:rPr>
        <w:t>,</w:t>
      </w:r>
      <w:r>
        <w:rPr>
          <w:lang w:val="en-US"/>
        </w:rPr>
        <w:t xml:space="preserve"> </w:t>
      </w:r>
      <w:r w:rsidR="007A2231">
        <w:rPr>
          <w:lang w:val="en-US"/>
        </w:rPr>
        <w:t xml:space="preserve">mainly </w:t>
      </w:r>
      <w:r w:rsidR="008A544B">
        <w:rPr>
          <w:lang w:val="en-US"/>
        </w:rPr>
        <w:t>of</w:t>
      </w:r>
      <w:r>
        <w:rPr>
          <w:lang w:val="en-US"/>
        </w:rPr>
        <w:t xml:space="preserve"> insulation foams</w:t>
      </w:r>
      <w:r w:rsidR="007A2231">
        <w:rPr>
          <w:lang w:val="en-US"/>
        </w:rPr>
        <w:t>,</w:t>
      </w:r>
      <w:r>
        <w:rPr>
          <w:lang w:val="en-US"/>
        </w:rPr>
        <w:t xml:space="preserve"> and </w:t>
      </w:r>
      <w:r w:rsidR="007A2231">
        <w:rPr>
          <w:lang w:val="en-US"/>
        </w:rPr>
        <w:t>to a lesser extent</w:t>
      </w:r>
      <w:r w:rsidR="008A544B">
        <w:rPr>
          <w:lang w:val="en-US"/>
        </w:rPr>
        <w:t>,</w:t>
      </w:r>
      <w:r w:rsidR="007A2231">
        <w:rPr>
          <w:lang w:val="en-US"/>
        </w:rPr>
        <w:t xml:space="preserve"> </w:t>
      </w:r>
      <w:r w:rsidR="00106051">
        <w:rPr>
          <w:lang w:val="en-US"/>
        </w:rPr>
        <w:t>centrif</w:t>
      </w:r>
      <w:r w:rsidR="00A27877">
        <w:rPr>
          <w:lang w:val="en-US"/>
        </w:rPr>
        <w:t xml:space="preserve">ugal </w:t>
      </w:r>
      <w:r>
        <w:rPr>
          <w:lang w:val="en-US"/>
        </w:rPr>
        <w:t>chillers. Other technologies that used CFC-11, i.e., aerosols, solvents and other uses, are no longer available for disposal, detection or potential recovery of CFC-11. As the definition suggests, inactive banks, primarily as waste foam products in landfills, do not present a readily available or economically feasible opportunity to recover the associated CFC-11.</w:t>
      </w:r>
    </w:p>
    <w:p w14:paraId="43484AC8" w14:textId="4A1153B3" w:rsidR="003E0EEF" w:rsidRDefault="000D24C0" w:rsidP="00B939E0">
      <w:pPr>
        <w:rPr>
          <w:lang w:val="en-US" w:eastAsia="fr-FR"/>
        </w:rPr>
      </w:pPr>
      <w:r>
        <w:rPr>
          <w:lang w:val="en-US" w:eastAsia="fr-FR"/>
        </w:rPr>
        <w:t>For foams, t</w:t>
      </w:r>
      <w:r w:rsidR="00B939E0" w:rsidRPr="00B939E0">
        <w:rPr>
          <w:lang w:val="en-US" w:eastAsia="fr-FR"/>
        </w:rPr>
        <w:t xml:space="preserve">he most commonly adopted </w:t>
      </w:r>
      <w:r w:rsidR="00234E64">
        <w:rPr>
          <w:lang w:val="en-US" w:eastAsia="fr-FR"/>
        </w:rPr>
        <w:t>disposal</w:t>
      </w:r>
      <w:r w:rsidR="00B939E0" w:rsidRPr="00B939E0">
        <w:rPr>
          <w:lang w:val="en-US" w:eastAsia="fr-FR"/>
        </w:rPr>
        <w:t xml:space="preserve"> practice globally is </w:t>
      </w:r>
      <w:r w:rsidR="00234E64">
        <w:rPr>
          <w:lang w:val="en-US" w:eastAsia="fr-FR"/>
        </w:rPr>
        <w:t xml:space="preserve">to </w:t>
      </w:r>
      <w:r w:rsidR="00B939E0" w:rsidRPr="00B939E0">
        <w:rPr>
          <w:lang w:val="en-US" w:eastAsia="fr-FR"/>
        </w:rPr>
        <w:t xml:space="preserve">landfill </w:t>
      </w:r>
      <w:r w:rsidR="00234E64" w:rsidRPr="00B939E0">
        <w:rPr>
          <w:lang w:val="en-US" w:eastAsia="fr-FR"/>
        </w:rPr>
        <w:t xml:space="preserve">foam </w:t>
      </w:r>
      <w:r w:rsidR="00234E64">
        <w:rPr>
          <w:lang w:val="en-US" w:eastAsia="fr-FR"/>
        </w:rPr>
        <w:t>waste</w:t>
      </w:r>
      <w:r w:rsidR="00B939E0" w:rsidRPr="00B939E0">
        <w:rPr>
          <w:lang w:val="en-US" w:eastAsia="fr-FR"/>
        </w:rPr>
        <w:t xml:space="preserve">. The foam is buried and </w:t>
      </w:r>
      <w:r w:rsidR="00841EF3">
        <w:rPr>
          <w:lang w:val="en-US" w:eastAsia="fr-FR"/>
        </w:rPr>
        <w:t>often</w:t>
      </w:r>
      <w:r w:rsidR="00036904">
        <w:rPr>
          <w:lang w:val="en-US" w:eastAsia="fr-FR"/>
        </w:rPr>
        <w:t xml:space="preserve"> partially</w:t>
      </w:r>
      <w:r w:rsidR="00841EF3">
        <w:rPr>
          <w:lang w:val="en-US" w:eastAsia="fr-FR"/>
        </w:rPr>
        <w:t xml:space="preserve"> </w:t>
      </w:r>
      <w:r w:rsidR="00B939E0" w:rsidRPr="00B939E0">
        <w:rPr>
          <w:lang w:val="en-US" w:eastAsia="fr-FR"/>
        </w:rPr>
        <w:t xml:space="preserve">crushed </w:t>
      </w:r>
      <w:r w:rsidR="000D16DF">
        <w:rPr>
          <w:lang w:val="en-US" w:eastAsia="fr-FR"/>
        </w:rPr>
        <w:t>in the</w:t>
      </w:r>
      <w:r w:rsidR="00841EF3">
        <w:rPr>
          <w:lang w:val="en-US" w:eastAsia="fr-FR"/>
        </w:rPr>
        <w:t xml:space="preserve"> process</w:t>
      </w:r>
      <w:r w:rsidR="00F52889">
        <w:rPr>
          <w:lang w:val="en-US" w:eastAsia="fr-FR"/>
        </w:rPr>
        <w:t>,</w:t>
      </w:r>
      <w:r w:rsidR="00A1087C">
        <w:rPr>
          <w:lang w:val="en-US" w:eastAsia="fr-FR"/>
        </w:rPr>
        <w:t xml:space="preserve"> leading to </w:t>
      </w:r>
      <w:r w:rsidR="00AC2998">
        <w:rPr>
          <w:lang w:val="en-US" w:eastAsia="fr-FR"/>
        </w:rPr>
        <w:t>emission</w:t>
      </w:r>
      <w:r w:rsidR="000D16DF">
        <w:rPr>
          <w:lang w:val="en-US" w:eastAsia="fr-FR"/>
        </w:rPr>
        <w:t xml:space="preserve">s </w:t>
      </w:r>
      <w:r w:rsidR="00AC2998">
        <w:rPr>
          <w:lang w:val="en-US" w:eastAsia="fr-FR"/>
        </w:rPr>
        <w:t>of</w:t>
      </w:r>
      <w:r w:rsidR="00827E3E">
        <w:rPr>
          <w:lang w:val="en-US" w:eastAsia="fr-FR"/>
        </w:rPr>
        <w:t xml:space="preserve"> </w:t>
      </w:r>
      <w:r w:rsidR="00D15FB3">
        <w:rPr>
          <w:lang w:val="en-US" w:eastAsia="fr-FR"/>
        </w:rPr>
        <w:t xml:space="preserve">a portion of the </w:t>
      </w:r>
      <w:r w:rsidR="00B939E0" w:rsidRPr="00B939E0">
        <w:rPr>
          <w:lang w:val="en-US" w:eastAsia="fr-FR"/>
        </w:rPr>
        <w:t>CFC-11</w:t>
      </w:r>
      <w:r w:rsidR="00FD07B5" w:rsidDel="00E83B5D">
        <w:rPr>
          <w:lang w:val="en-US" w:eastAsia="fr-FR"/>
        </w:rPr>
        <w:t xml:space="preserve">contained </w:t>
      </w:r>
      <w:r w:rsidR="00FD07B5">
        <w:rPr>
          <w:lang w:val="en-US" w:eastAsia="fr-FR"/>
        </w:rPr>
        <w:t xml:space="preserve">in </w:t>
      </w:r>
      <w:r w:rsidR="009968F8">
        <w:rPr>
          <w:lang w:val="en-US" w:eastAsia="fr-FR"/>
        </w:rPr>
        <w:t xml:space="preserve">the </w:t>
      </w:r>
      <w:r w:rsidR="006C5E7B">
        <w:rPr>
          <w:lang w:val="en-US" w:eastAsia="fr-FR"/>
        </w:rPr>
        <w:t>foam</w:t>
      </w:r>
      <w:r w:rsidR="006C5E7B" w:rsidDel="00E83B5D">
        <w:rPr>
          <w:lang w:val="en-US" w:eastAsia="fr-FR"/>
        </w:rPr>
        <w:t xml:space="preserve"> </w:t>
      </w:r>
      <w:r w:rsidR="009968F8">
        <w:rPr>
          <w:lang w:val="en-US" w:eastAsia="fr-FR"/>
        </w:rPr>
        <w:t>cells</w:t>
      </w:r>
      <w:r w:rsidR="00B939E0" w:rsidRPr="00B939E0">
        <w:rPr>
          <w:lang w:val="en-US" w:eastAsia="fr-FR"/>
        </w:rPr>
        <w:t xml:space="preserve">. </w:t>
      </w:r>
      <w:r w:rsidR="00E83B5D">
        <w:rPr>
          <w:lang w:val="en-US" w:eastAsia="fr-FR"/>
        </w:rPr>
        <w:t>The r</w:t>
      </w:r>
      <w:r w:rsidR="00B939E0" w:rsidRPr="00B939E0">
        <w:rPr>
          <w:lang w:val="en-US" w:eastAsia="fr-FR"/>
        </w:rPr>
        <w:t>emaining</w:t>
      </w:r>
      <w:r w:rsidR="000D491E">
        <w:rPr>
          <w:lang w:val="en-US" w:eastAsia="fr-FR"/>
        </w:rPr>
        <w:t xml:space="preserve"> </w:t>
      </w:r>
      <w:r w:rsidR="00B939E0" w:rsidRPr="00B939E0">
        <w:rPr>
          <w:lang w:val="en-US" w:eastAsia="fr-FR"/>
        </w:rPr>
        <w:t xml:space="preserve">CFC-11 is emitted </w:t>
      </w:r>
      <w:r w:rsidR="00350020">
        <w:rPr>
          <w:lang w:val="en-US" w:eastAsia="fr-FR"/>
        </w:rPr>
        <w:t xml:space="preserve">from landfills </w:t>
      </w:r>
      <w:r w:rsidR="00110A72">
        <w:rPr>
          <w:lang w:val="en-US" w:eastAsia="fr-FR"/>
        </w:rPr>
        <w:t xml:space="preserve">slowly </w:t>
      </w:r>
      <w:r w:rsidR="00B939E0" w:rsidRPr="00B939E0">
        <w:rPr>
          <w:lang w:val="en-US" w:eastAsia="fr-FR"/>
        </w:rPr>
        <w:t xml:space="preserve">over time, </w:t>
      </w:r>
      <w:r w:rsidR="003A3A94">
        <w:rPr>
          <w:lang w:val="en-US" w:eastAsia="fr-FR"/>
        </w:rPr>
        <w:t xml:space="preserve">except for </w:t>
      </w:r>
      <w:r w:rsidR="00BE6F2E">
        <w:rPr>
          <w:lang w:val="en-US" w:eastAsia="fr-FR"/>
        </w:rPr>
        <w:t xml:space="preserve">possibly some </w:t>
      </w:r>
      <w:r w:rsidR="003A3A94">
        <w:rPr>
          <w:szCs w:val="22"/>
        </w:rPr>
        <w:t>relatively small</w:t>
      </w:r>
      <w:r w:rsidR="003A3A94" w:rsidRPr="00D403A7">
        <w:rPr>
          <w:szCs w:val="22"/>
        </w:rPr>
        <w:t xml:space="preserve"> amount</w:t>
      </w:r>
      <w:r w:rsidR="003A3A94">
        <w:rPr>
          <w:szCs w:val="22"/>
        </w:rPr>
        <w:t>s</w:t>
      </w:r>
      <w:r w:rsidR="003A3A94" w:rsidRPr="00D403A7">
        <w:rPr>
          <w:szCs w:val="22"/>
        </w:rPr>
        <w:t xml:space="preserve"> that </w:t>
      </w:r>
      <w:r w:rsidR="00367B92">
        <w:rPr>
          <w:szCs w:val="22"/>
        </w:rPr>
        <w:t xml:space="preserve">may </w:t>
      </w:r>
      <w:r w:rsidR="003A3A94">
        <w:rPr>
          <w:szCs w:val="22"/>
        </w:rPr>
        <w:t>undergo</w:t>
      </w:r>
      <w:r w:rsidR="003A3A94" w:rsidRPr="00D403A7">
        <w:rPr>
          <w:szCs w:val="22"/>
        </w:rPr>
        <w:t xml:space="preserve"> </w:t>
      </w:r>
      <w:r w:rsidR="003A3A94">
        <w:rPr>
          <w:szCs w:val="22"/>
        </w:rPr>
        <w:t>anaerobic degradation</w:t>
      </w:r>
      <w:r w:rsidR="00B939E0" w:rsidRPr="00B939E0">
        <w:rPr>
          <w:lang w:val="en-US" w:eastAsia="fr-FR"/>
        </w:rPr>
        <w:t>.</w:t>
      </w:r>
      <w:r w:rsidR="0090703E">
        <w:rPr>
          <w:lang w:val="en-US" w:eastAsia="fr-FR"/>
        </w:rPr>
        <w:t xml:space="preserve"> </w:t>
      </w:r>
      <w:r w:rsidR="00B939E0" w:rsidRPr="00B939E0">
        <w:rPr>
          <w:lang w:val="en-US" w:eastAsia="fr-FR"/>
        </w:rPr>
        <w:t>Foam waste is occasionally recycled for secondary uses</w:t>
      </w:r>
      <w:r w:rsidR="00C25C38">
        <w:rPr>
          <w:lang w:val="en-US" w:eastAsia="fr-FR"/>
        </w:rPr>
        <w:t>.</w:t>
      </w:r>
      <w:r w:rsidR="00B939E0" w:rsidRPr="00B939E0">
        <w:rPr>
          <w:lang w:val="en-US" w:eastAsia="fr-FR"/>
        </w:rPr>
        <w:t xml:space="preserve"> </w:t>
      </w:r>
      <w:r w:rsidR="00C25C38">
        <w:rPr>
          <w:lang w:val="en-US" w:eastAsia="fr-FR"/>
        </w:rPr>
        <w:t>U</w:t>
      </w:r>
      <w:r w:rsidR="00B939E0" w:rsidRPr="00B939E0">
        <w:rPr>
          <w:lang w:val="en-US" w:eastAsia="fr-FR"/>
        </w:rPr>
        <w:t xml:space="preserve">p to 50% CFC-11 </w:t>
      </w:r>
      <w:r w:rsidR="00C8020E">
        <w:rPr>
          <w:lang w:val="en-US" w:eastAsia="fr-FR"/>
        </w:rPr>
        <w:t>can be</w:t>
      </w:r>
      <w:r w:rsidR="00B939E0" w:rsidRPr="00B939E0">
        <w:rPr>
          <w:lang w:val="en-US" w:eastAsia="fr-FR"/>
        </w:rPr>
        <w:t xml:space="preserve"> emitted if foam is shredded/ground in waste handling. </w:t>
      </w:r>
    </w:p>
    <w:p w14:paraId="4FF4B879" w14:textId="5E1D6E19" w:rsidR="00B939E0" w:rsidRDefault="003E0EEF" w:rsidP="00B939E0">
      <w:pPr>
        <w:rPr>
          <w:lang w:val="en-US" w:eastAsia="fr-FR"/>
        </w:rPr>
      </w:pPr>
      <w:r>
        <w:rPr>
          <w:lang w:val="en-US" w:eastAsia="fr-FR"/>
        </w:rPr>
        <w:t>F</w:t>
      </w:r>
      <w:r w:rsidR="00B939E0" w:rsidRPr="00B939E0">
        <w:rPr>
          <w:lang w:val="en-US" w:eastAsia="fr-FR"/>
        </w:rPr>
        <w:t>oam</w:t>
      </w:r>
      <w:r>
        <w:rPr>
          <w:lang w:val="en-US" w:eastAsia="fr-FR"/>
        </w:rPr>
        <w:t>s</w:t>
      </w:r>
      <w:r w:rsidR="00B939E0" w:rsidRPr="00B939E0">
        <w:rPr>
          <w:lang w:val="en-US" w:eastAsia="fr-FR"/>
        </w:rPr>
        <w:t xml:space="preserve"> and blowing agent</w:t>
      </w:r>
      <w:r>
        <w:rPr>
          <w:lang w:val="en-US" w:eastAsia="fr-FR"/>
        </w:rPr>
        <w:t>s are</w:t>
      </w:r>
      <w:r w:rsidR="00B939E0" w:rsidRPr="00B939E0">
        <w:rPr>
          <w:lang w:val="en-US" w:eastAsia="fr-FR"/>
        </w:rPr>
        <w:t xml:space="preserve"> incinerated (</w:t>
      </w:r>
      <w:r w:rsidR="00E83B5D">
        <w:rPr>
          <w:lang w:val="en-US" w:eastAsia="fr-FR"/>
        </w:rPr>
        <w:t xml:space="preserve">using </w:t>
      </w:r>
      <w:r w:rsidR="00B939E0" w:rsidRPr="00B939E0">
        <w:rPr>
          <w:lang w:val="en-US" w:eastAsia="fr-FR"/>
        </w:rPr>
        <w:t>rotary kiln incinerator, cement kiln, or municipal solid waste incinerator)</w:t>
      </w:r>
      <w:r>
        <w:rPr>
          <w:lang w:val="en-US" w:eastAsia="fr-FR"/>
        </w:rPr>
        <w:t xml:space="preserve"> in some </w:t>
      </w:r>
      <w:r w:rsidR="003C16FC">
        <w:rPr>
          <w:lang w:val="en-US" w:eastAsia="fr-FR"/>
        </w:rPr>
        <w:t>countries</w:t>
      </w:r>
      <w:r w:rsidR="00B939E0" w:rsidRPr="00B939E0">
        <w:rPr>
          <w:lang w:val="en-US" w:eastAsia="fr-FR"/>
        </w:rPr>
        <w:t xml:space="preserve">. Economies of scale are important in </w:t>
      </w:r>
      <w:proofErr w:type="spellStart"/>
      <w:r w:rsidR="00B939E0" w:rsidRPr="00B939E0">
        <w:rPr>
          <w:lang w:val="en-US" w:eastAsia="fr-FR"/>
        </w:rPr>
        <w:t>maximising</w:t>
      </w:r>
      <w:proofErr w:type="spellEnd"/>
      <w:r w:rsidR="00B939E0" w:rsidRPr="00B939E0">
        <w:rPr>
          <w:lang w:val="en-US" w:eastAsia="fr-FR"/>
        </w:rPr>
        <w:t xml:space="preserve"> benefits and </w:t>
      </w:r>
      <w:proofErr w:type="spellStart"/>
      <w:r w:rsidR="00B939E0" w:rsidRPr="00B939E0">
        <w:rPr>
          <w:lang w:val="en-US" w:eastAsia="fr-FR"/>
        </w:rPr>
        <w:t>minimising</w:t>
      </w:r>
      <w:proofErr w:type="spellEnd"/>
      <w:r w:rsidR="00B939E0" w:rsidRPr="00B939E0">
        <w:rPr>
          <w:lang w:val="en-US" w:eastAsia="fr-FR"/>
        </w:rPr>
        <w:t xml:space="preserve"> costs of recovery/destruction of CFC-11 foams. Recovering CFC-11 foams only, and in isolation of foams containing other blowing agents, is less practical and less likely to succeed. Combining foam wastes </w:t>
      </w:r>
      <w:r w:rsidR="00533B08">
        <w:rPr>
          <w:lang w:val="en-US" w:eastAsia="fr-FR"/>
        </w:rPr>
        <w:t>containing</w:t>
      </w:r>
      <w:r w:rsidR="00533B08" w:rsidRPr="00B939E0">
        <w:rPr>
          <w:lang w:val="en-US" w:eastAsia="fr-FR"/>
        </w:rPr>
        <w:t xml:space="preserve"> ODS and HFC</w:t>
      </w:r>
      <w:r w:rsidR="00533B08">
        <w:rPr>
          <w:lang w:val="en-US" w:eastAsia="fr-FR"/>
        </w:rPr>
        <w:t>s</w:t>
      </w:r>
      <w:r w:rsidR="00533B08" w:rsidRPr="00B939E0">
        <w:rPr>
          <w:lang w:val="en-US" w:eastAsia="fr-FR"/>
        </w:rPr>
        <w:t xml:space="preserve"> </w:t>
      </w:r>
      <w:r w:rsidR="00B939E0" w:rsidRPr="00B939E0">
        <w:rPr>
          <w:lang w:val="en-US" w:eastAsia="fr-FR"/>
        </w:rPr>
        <w:t xml:space="preserve">would </w:t>
      </w:r>
      <w:proofErr w:type="spellStart"/>
      <w:r w:rsidR="00B939E0" w:rsidRPr="00B939E0">
        <w:rPr>
          <w:lang w:val="en-US" w:eastAsia="fr-FR"/>
        </w:rPr>
        <w:t>realise</w:t>
      </w:r>
      <w:proofErr w:type="spellEnd"/>
      <w:r w:rsidR="00B939E0" w:rsidRPr="00B939E0">
        <w:rPr>
          <w:lang w:val="en-US" w:eastAsia="fr-FR"/>
        </w:rPr>
        <w:t xml:space="preserve"> the largest economies of scale and accrue the greatest benefits.</w:t>
      </w:r>
    </w:p>
    <w:p w14:paraId="51D88428" w14:textId="2734F265" w:rsidR="00626D97" w:rsidRDefault="00626D97" w:rsidP="00626D97">
      <w:pPr>
        <w:rPr>
          <w:lang w:val="en-US" w:eastAsia="fr-FR"/>
        </w:rPr>
      </w:pPr>
      <w:r w:rsidRPr="00626D97">
        <w:rPr>
          <w:lang w:val="en-US" w:eastAsia="fr-FR"/>
        </w:rPr>
        <w:t>The few remaining CFC-11 centrifugal chillers</w:t>
      </w:r>
      <w:r w:rsidR="00E83B5D">
        <w:rPr>
          <w:lang w:val="en-US" w:eastAsia="fr-FR"/>
        </w:rPr>
        <w:t>,</w:t>
      </w:r>
      <w:r w:rsidRPr="00626D97">
        <w:rPr>
          <w:lang w:val="en-US" w:eastAsia="fr-FR"/>
        </w:rPr>
        <w:t xml:space="preserve"> </w:t>
      </w:r>
      <w:r w:rsidR="00E83B5D" w:rsidRPr="00626D97">
        <w:rPr>
          <w:lang w:val="en-US" w:eastAsia="fr-FR"/>
        </w:rPr>
        <w:t>largely in the United States</w:t>
      </w:r>
      <w:r w:rsidR="00E83B5D">
        <w:rPr>
          <w:lang w:val="en-US" w:eastAsia="fr-FR"/>
        </w:rPr>
        <w:t>,</w:t>
      </w:r>
      <w:r w:rsidR="00E83B5D" w:rsidRPr="00626D97" w:rsidDel="00E83B5D">
        <w:rPr>
          <w:lang w:val="en-US" w:eastAsia="fr-FR"/>
        </w:rPr>
        <w:t xml:space="preserve"> </w:t>
      </w:r>
      <w:r w:rsidR="00E83B5D">
        <w:rPr>
          <w:lang w:val="en-US" w:eastAsia="fr-FR"/>
        </w:rPr>
        <w:t>are likely to</w:t>
      </w:r>
      <w:r w:rsidR="00E83B5D" w:rsidRPr="00626D97">
        <w:rPr>
          <w:lang w:val="en-US" w:eastAsia="fr-FR"/>
        </w:rPr>
        <w:t xml:space="preserve"> </w:t>
      </w:r>
      <w:r w:rsidRPr="00626D97">
        <w:rPr>
          <w:lang w:val="en-US" w:eastAsia="fr-FR"/>
        </w:rPr>
        <w:t xml:space="preserve">continue to be in operation for the next 10-20 years. Centrifugal chillers leak very little during operation. CFC-11 is generally carefully recovered for reuse or destruction in </w:t>
      </w:r>
      <w:r w:rsidR="001B591E">
        <w:rPr>
          <w:lang w:val="en-US" w:eastAsia="fr-FR"/>
        </w:rPr>
        <w:t>the United States</w:t>
      </w:r>
      <w:r w:rsidRPr="00626D97">
        <w:rPr>
          <w:lang w:val="en-US" w:eastAsia="fr-FR"/>
        </w:rPr>
        <w:t>. CFC-11 recovery rates are thought to be mostly below 10% in developing countries.</w:t>
      </w:r>
      <w:r w:rsidR="00CC66CA">
        <w:rPr>
          <w:lang w:val="en-US" w:eastAsia="fr-FR"/>
        </w:rPr>
        <w:t xml:space="preserve"> </w:t>
      </w:r>
      <w:r w:rsidRPr="00626D97">
        <w:rPr>
          <w:lang w:val="en-US" w:eastAsia="fr-FR"/>
        </w:rPr>
        <w:t>Once recovered, CFC-11 is either destroyed or, if recovered for reuse, is reclaimed for re-sale.</w:t>
      </w:r>
      <w:r w:rsidR="00CC66CA">
        <w:rPr>
          <w:lang w:val="en-US" w:eastAsia="fr-FR"/>
        </w:rPr>
        <w:t xml:space="preserve"> </w:t>
      </w:r>
      <w:r w:rsidRPr="00626D97">
        <w:rPr>
          <w:lang w:val="en-US" w:eastAsia="fr-FR"/>
        </w:rPr>
        <w:t>Stationary air conditioning, including centrifugal chillers, is one of the sub-sectors that is the most cost</w:t>
      </w:r>
      <w:r w:rsidR="05B717DE" w:rsidRPr="05B717DE">
        <w:rPr>
          <w:lang w:val="en-US" w:eastAsia="fr-FR"/>
        </w:rPr>
        <w:t>-</w:t>
      </w:r>
      <w:r w:rsidRPr="00626D97">
        <w:rPr>
          <w:lang w:val="en-US" w:eastAsia="fr-FR"/>
        </w:rPr>
        <w:t>effective for recovery/destruction of ODS and HFCs (once recycling and reclamation/reuse opportunities are exhausted).</w:t>
      </w:r>
    </w:p>
    <w:p w14:paraId="5FA50F27" w14:textId="4746FA01" w:rsidR="00257F5F" w:rsidRDefault="00CC66CA" w:rsidP="00FB0AD0">
      <w:pPr>
        <w:rPr>
          <w:lang w:val="en-US" w:eastAsia="fr-FR"/>
        </w:rPr>
      </w:pPr>
      <w:r w:rsidRPr="00611802">
        <w:rPr>
          <w:lang w:val="en-US" w:eastAsia="fr-FR"/>
        </w:rPr>
        <w:t xml:space="preserve">The total active and inactive CFC-11 banks </w:t>
      </w:r>
      <w:r w:rsidR="00775784" w:rsidRPr="00611802">
        <w:rPr>
          <w:lang w:val="en-US" w:eastAsia="fr-FR"/>
        </w:rPr>
        <w:t>(</w:t>
      </w:r>
      <w:r w:rsidR="007030B6" w:rsidRPr="00611802">
        <w:rPr>
          <w:lang w:val="en-US" w:eastAsia="fr-FR"/>
        </w:rPr>
        <w:t>foams, refrigerants and storage</w:t>
      </w:r>
      <w:r w:rsidR="00775784" w:rsidRPr="00611802">
        <w:rPr>
          <w:lang w:val="en-US" w:eastAsia="fr-FR"/>
        </w:rPr>
        <w:t>)</w:t>
      </w:r>
      <w:r w:rsidR="007030B6" w:rsidRPr="00611802">
        <w:rPr>
          <w:lang w:val="en-US" w:eastAsia="fr-FR"/>
        </w:rPr>
        <w:t xml:space="preserve"> </w:t>
      </w:r>
      <w:r w:rsidR="00775784" w:rsidRPr="00611802">
        <w:rPr>
          <w:lang w:val="en-US" w:eastAsia="fr-FR"/>
        </w:rPr>
        <w:t xml:space="preserve">are estimated to be 1500 ± 100 </w:t>
      </w:r>
      <w:proofErr w:type="spellStart"/>
      <w:r w:rsidR="00775784" w:rsidRPr="00611802">
        <w:rPr>
          <w:lang w:val="en-US" w:eastAsia="fr-FR"/>
        </w:rPr>
        <w:t>kilotonnes</w:t>
      </w:r>
      <w:proofErr w:type="spellEnd"/>
      <w:r w:rsidR="00775784" w:rsidRPr="00611802">
        <w:rPr>
          <w:lang w:val="en-US" w:eastAsia="fr-FR"/>
        </w:rPr>
        <w:t xml:space="preserve"> </w:t>
      </w:r>
      <w:r w:rsidRPr="00611802">
        <w:rPr>
          <w:lang w:val="en-US" w:eastAsia="fr-FR"/>
        </w:rPr>
        <w:t>in 2021</w:t>
      </w:r>
      <w:r w:rsidR="007B3783">
        <w:rPr>
          <w:rStyle w:val="FootnoteReference"/>
          <w:lang w:val="en-US" w:eastAsia="fr-FR"/>
        </w:rPr>
        <w:footnoteReference w:id="17"/>
      </w:r>
      <w:r w:rsidR="00511086">
        <w:rPr>
          <w:lang w:val="en-US" w:eastAsia="fr-FR"/>
        </w:rPr>
        <w:t xml:space="preserve">. The total active CFC-11 bank is estimated to be </w:t>
      </w:r>
      <w:r w:rsidR="002E3C28">
        <w:rPr>
          <w:lang w:val="en-US" w:eastAsia="fr-FR"/>
        </w:rPr>
        <w:t>8</w:t>
      </w:r>
      <w:r w:rsidR="00691CE7" w:rsidRPr="00DC4297">
        <w:rPr>
          <w:lang w:val="en-US" w:eastAsia="fr-FR"/>
        </w:rPr>
        <w:t>0</w:t>
      </w:r>
      <w:r w:rsidR="00257F5F">
        <w:rPr>
          <w:lang w:val="en-US" w:eastAsia="fr-FR"/>
        </w:rPr>
        <w:t>0</w:t>
      </w:r>
      <w:r w:rsidR="00C70189">
        <w:rPr>
          <w:lang w:val="en-US" w:eastAsia="fr-FR"/>
        </w:rPr>
        <w:t xml:space="preserve"> </w:t>
      </w:r>
      <w:r w:rsidR="00691CE7" w:rsidRPr="00611802">
        <w:rPr>
          <w:lang w:val="en-US" w:eastAsia="fr-FR"/>
        </w:rPr>
        <w:t xml:space="preserve">± 50 </w:t>
      </w:r>
      <w:proofErr w:type="spellStart"/>
      <w:r w:rsidR="00691CE7" w:rsidRPr="00611802">
        <w:rPr>
          <w:lang w:val="en-US" w:eastAsia="fr-FR"/>
        </w:rPr>
        <w:t>kilotonnes</w:t>
      </w:r>
      <w:proofErr w:type="spellEnd"/>
      <w:r w:rsidR="00D523B2" w:rsidRPr="00BF4A1E">
        <w:rPr>
          <w:lang w:val="en-US" w:eastAsia="fr-FR"/>
        </w:rPr>
        <w:t>, 3.</w:t>
      </w:r>
      <w:r w:rsidR="005E7422">
        <w:rPr>
          <w:lang w:val="en-US" w:eastAsia="fr-FR"/>
        </w:rPr>
        <w:t>8</w:t>
      </w:r>
      <w:r w:rsidR="00D523B2" w:rsidRPr="00BF4A1E">
        <w:rPr>
          <w:lang w:val="en-US" w:eastAsia="fr-FR"/>
        </w:rPr>
        <w:t xml:space="preserve"> Gt CO</w:t>
      </w:r>
      <w:r w:rsidR="00D523B2" w:rsidRPr="00022619">
        <w:rPr>
          <w:vertAlign w:val="subscript"/>
          <w:lang w:val="en-US" w:eastAsia="fr-FR"/>
        </w:rPr>
        <w:t>2</w:t>
      </w:r>
      <w:r w:rsidR="00D523B2" w:rsidRPr="00BF4A1E">
        <w:rPr>
          <w:lang w:val="en-US" w:eastAsia="fr-FR"/>
        </w:rPr>
        <w:t>eq</w:t>
      </w:r>
      <w:r w:rsidR="00637EAE">
        <w:rPr>
          <w:lang w:val="en-US" w:eastAsia="fr-FR"/>
        </w:rPr>
        <w:t>,</w:t>
      </w:r>
      <w:r w:rsidR="00D523B2" w:rsidRPr="00BF4A1E">
        <w:rPr>
          <w:lang w:val="en-US" w:eastAsia="fr-FR"/>
        </w:rPr>
        <w:t xml:space="preserve"> in 2021</w:t>
      </w:r>
      <w:r w:rsidR="00691CE7" w:rsidRPr="00BF4A1E">
        <w:rPr>
          <w:lang w:val="en-US" w:eastAsia="fr-FR"/>
        </w:rPr>
        <w:t>.</w:t>
      </w:r>
      <w:r w:rsidR="0076055D">
        <w:rPr>
          <w:lang w:val="en-US" w:eastAsia="fr-FR"/>
        </w:rPr>
        <w:t xml:space="preserve"> </w:t>
      </w:r>
    </w:p>
    <w:p w14:paraId="177DEA99" w14:textId="7ACDE66F" w:rsidR="00FB0AD0" w:rsidRPr="00FB0AD0" w:rsidRDefault="00FB0AD0" w:rsidP="00FB0AD0">
      <w:pPr>
        <w:rPr>
          <w:lang w:val="en-US" w:eastAsia="fr-FR"/>
        </w:rPr>
      </w:pPr>
      <w:r w:rsidRPr="00DC4297">
        <w:rPr>
          <w:lang w:val="en-US" w:eastAsia="fr-FR"/>
        </w:rPr>
        <w:t xml:space="preserve">The </w:t>
      </w:r>
      <w:r w:rsidR="001C43B5">
        <w:rPr>
          <w:lang w:val="en-US" w:eastAsia="fr-FR"/>
        </w:rPr>
        <w:t xml:space="preserve">global </w:t>
      </w:r>
      <w:r w:rsidRPr="00DC4297">
        <w:rPr>
          <w:lang w:val="en-US" w:eastAsia="fr-FR"/>
        </w:rPr>
        <w:t>peak of decommissioned CFC-11 from the largest portion of active banks (foams), when dismantled at end-of-life, is estimated to have occurred</w:t>
      </w:r>
      <w:r w:rsidRPr="00FB0AD0">
        <w:rPr>
          <w:lang w:val="en-US" w:eastAsia="fr-FR"/>
        </w:rPr>
        <w:t xml:space="preserve"> </w:t>
      </w:r>
      <w:r w:rsidRPr="00DC4297">
        <w:rPr>
          <w:lang w:val="en-US" w:eastAsia="fr-FR"/>
        </w:rPr>
        <w:t>around the year 2010, at about</w:t>
      </w:r>
      <w:r w:rsidRPr="00FB0AD0">
        <w:rPr>
          <w:lang w:val="en-US" w:eastAsia="fr-FR"/>
        </w:rPr>
        <w:t xml:space="preserve"> </w:t>
      </w:r>
      <w:r w:rsidRPr="00DC4297">
        <w:rPr>
          <w:lang w:val="en-US" w:eastAsia="fr-FR"/>
        </w:rPr>
        <w:t xml:space="preserve">45 </w:t>
      </w:r>
      <w:proofErr w:type="spellStart"/>
      <w:r w:rsidRPr="00DC4297">
        <w:rPr>
          <w:lang w:val="en-US" w:eastAsia="fr-FR"/>
        </w:rPr>
        <w:t>kilotonnes</w:t>
      </w:r>
      <w:proofErr w:type="spellEnd"/>
      <w:r w:rsidR="005229B0">
        <w:rPr>
          <w:lang w:val="en-US" w:eastAsia="fr-FR"/>
        </w:rPr>
        <w:t>/</w:t>
      </w:r>
      <w:r w:rsidRPr="00DC4297">
        <w:rPr>
          <w:lang w:val="en-US" w:eastAsia="fr-FR"/>
        </w:rPr>
        <w:t>y</w:t>
      </w:r>
      <w:r w:rsidR="0012496A">
        <w:rPr>
          <w:lang w:val="en-US" w:eastAsia="fr-FR"/>
        </w:rPr>
        <w:t>ea</w:t>
      </w:r>
      <w:r w:rsidRPr="00DC4297">
        <w:rPr>
          <w:lang w:val="en-US" w:eastAsia="fr-FR"/>
        </w:rPr>
        <w:t xml:space="preserve">r, then decreases slowly over time, to </w:t>
      </w:r>
      <w:r w:rsidR="00DC4297">
        <w:rPr>
          <w:lang w:val="en-US" w:eastAsia="fr-FR"/>
        </w:rPr>
        <w:t>less than 10</w:t>
      </w:r>
      <w:r w:rsidRPr="00DC4297">
        <w:rPr>
          <w:lang w:val="en-US" w:eastAsia="fr-FR"/>
        </w:rPr>
        <w:t xml:space="preserve"> </w:t>
      </w:r>
      <w:proofErr w:type="spellStart"/>
      <w:r w:rsidRPr="00DC4297">
        <w:rPr>
          <w:lang w:val="en-US" w:eastAsia="fr-FR"/>
        </w:rPr>
        <w:t>kilotonnes</w:t>
      </w:r>
      <w:proofErr w:type="spellEnd"/>
      <w:r w:rsidRPr="00FB0AD0">
        <w:rPr>
          <w:lang w:val="en-US" w:eastAsia="fr-FR"/>
        </w:rPr>
        <w:t xml:space="preserve"> by 2050.</w:t>
      </w:r>
      <w:r w:rsidR="00BA3FDC">
        <w:rPr>
          <w:lang w:val="en-US" w:eastAsia="fr-FR"/>
        </w:rPr>
        <w:t xml:space="preserve"> </w:t>
      </w:r>
      <w:r w:rsidR="000D6EB1">
        <w:t>T</w:t>
      </w:r>
      <w:r w:rsidR="000D6EB1" w:rsidRPr="00120375">
        <w:t xml:space="preserve">here are underlying variations to the regional peaks in CFC-11 foam decommissioning </w:t>
      </w:r>
      <w:r w:rsidR="007F59B7">
        <w:t xml:space="preserve">that are obscured </w:t>
      </w:r>
      <w:r w:rsidR="000D6EB1" w:rsidRPr="00120375">
        <w:t xml:space="preserve">within the global analysis, where some regions and foam types, </w:t>
      </w:r>
      <w:r w:rsidR="00073ECB">
        <w:t>are</w:t>
      </w:r>
      <w:r w:rsidR="000D6EB1" w:rsidRPr="00120375">
        <w:t xml:space="preserve"> </w:t>
      </w:r>
      <w:r w:rsidR="00073ECB">
        <w:t xml:space="preserve">likely </w:t>
      </w:r>
      <w:r w:rsidR="000D6EB1" w:rsidRPr="00120375">
        <w:t>yet to reach their</w:t>
      </w:r>
      <w:r w:rsidR="00BD5293">
        <w:t xml:space="preserve"> decommissioning</w:t>
      </w:r>
      <w:r w:rsidR="000D6EB1" w:rsidRPr="00120375">
        <w:t xml:space="preserve"> peak</w:t>
      </w:r>
      <w:r w:rsidR="00363B5C">
        <w:t>,</w:t>
      </w:r>
      <w:r w:rsidR="000D6EB1" w:rsidRPr="00120375">
        <w:t xml:space="preserve"> e.g., Europe for foam panels in buildings.</w:t>
      </w:r>
      <w:r w:rsidR="00073ECB">
        <w:t xml:space="preserve"> </w:t>
      </w:r>
      <w:r w:rsidRPr="00FB0AD0">
        <w:rPr>
          <w:lang w:val="en-US" w:eastAsia="fr-FR"/>
        </w:rPr>
        <w:t>The opportunity for CFC-11 recovery and destruction lies in higher management of active foam banks at end-</w:t>
      </w:r>
      <w:r w:rsidRPr="00FB0AD0">
        <w:rPr>
          <w:lang w:val="en-US" w:eastAsia="fr-FR"/>
        </w:rPr>
        <w:lastRenderedPageBreak/>
        <w:t xml:space="preserve">of-life, with potential diversion of foam wastes away from landfill and emissive secondary usage towards destruction, which mitigates the majority of emissions. </w:t>
      </w:r>
    </w:p>
    <w:p w14:paraId="4A6D8425" w14:textId="4A06E324" w:rsidR="00FB0AD0" w:rsidRDefault="00FB0AD0" w:rsidP="00FB0AD0">
      <w:pPr>
        <w:rPr>
          <w:lang w:val="en-US" w:eastAsia="fr-FR"/>
        </w:rPr>
      </w:pPr>
      <w:r w:rsidRPr="00FB0AD0">
        <w:rPr>
          <w:lang w:val="en-US" w:eastAsia="fr-FR"/>
        </w:rPr>
        <w:t>Relative investment and operating costs in ODS waste recovery and destruction present a challenge c</w:t>
      </w:r>
      <w:r w:rsidR="003760B2">
        <w:rPr>
          <w:lang w:val="en-US" w:eastAsia="fr-FR"/>
        </w:rPr>
        <w:t>ompared</w:t>
      </w:r>
      <w:r w:rsidRPr="00FB0AD0">
        <w:rPr>
          <w:lang w:val="en-US" w:eastAsia="fr-FR"/>
        </w:rPr>
        <w:t xml:space="preserve"> with cheaper forms of </w:t>
      </w:r>
      <w:r w:rsidR="003760B2">
        <w:rPr>
          <w:lang w:val="en-US" w:eastAsia="fr-FR"/>
        </w:rPr>
        <w:t>disposition</w:t>
      </w:r>
      <w:r w:rsidRPr="00FB0AD0">
        <w:rPr>
          <w:lang w:val="en-US" w:eastAsia="fr-FR"/>
        </w:rPr>
        <w:t xml:space="preserve"> (venting and landfill disposal). The low </w:t>
      </w:r>
      <w:proofErr w:type="spellStart"/>
      <w:r w:rsidRPr="00FB0AD0">
        <w:rPr>
          <w:lang w:val="en-US" w:eastAsia="fr-FR"/>
        </w:rPr>
        <w:t>internalised</w:t>
      </w:r>
      <w:proofErr w:type="spellEnd"/>
      <w:r w:rsidRPr="00FB0AD0">
        <w:rPr>
          <w:lang w:val="en-US" w:eastAsia="fr-FR"/>
        </w:rPr>
        <w:t xml:space="preserve"> waste disposal costs for cheaper forms of recovery and disposal can be weighed against the </w:t>
      </w:r>
      <w:proofErr w:type="spellStart"/>
      <w:r w:rsidRPr="00FB0AD0">
        <w:rPr>
          <w:lang w:val="en-US" w:eastAsia="fr-FR"/>
        </w:rPr>
        <w:t>externalised</w:t>
      </w:r>
      <w:proofErr w:type="spellEnd"/>
      <w:r w:rsidRPr="00FB0AD0">
        <w:rPr>
          <w:lang w:val="en-US" w:eastAsia="fr-FR"/>
        </w:rPr>
        <w:t xml:space="preserve"> costs to society of future health and environmental impacts of ODS emissions from venting or landfill disposal. </w:t>
      </w:r>
      <w:r w:rsidRPr="00BC034E">
        <w:rPr>
          <w:lang w:val="en-US" w:eastAsia="fr-FR"/>
        </w:rPr>
        <w:t>With long building lifetimes, the drivers for recovery and destruction of building insulation foams may change over time. The evolution of net zero carbon requirements and the circular economy may improve end-of-life choices.</w:t>
      </w:r>
    </w:p>
    <w:p w14:paraId="6C2813C5" w14:textId="36D8D77E" w:rsidR="00404302" w:rsidRDefault="00D13F94" w:rsidP="00D13F94">
      <w:pPr>
        <w:rPr>
          <w:lang w:val="en-US" w:eastAsia="fr-FR"/>
        </w:rPr>
      </w:pPr>
      <w:r w:rsidRPr="00D13F94">
        <w:rPr>
          <w:lang w:val="en-US" w:eastAsia="fr-FR"/>
        </w:rPr>
        <w:t>While encouraging parties to undertake environmentally sound destruction of surplus or contaminated end-of-life ODS/HFCs, the Montreal Protocol does not mandate the destruction of ODS or Annex F Group I HFCs. The exception is HFC-23 (Annex F, Group II) generated in manufacturing facilities, from which emissions must be destroyed to the extent practicable using technologies approved by parties.</w:t>
      </w:r>
      <w:r w:rsidR="00404302">
        <w:rPr>
          <w:lang w:val="en-US" w:eastAsia="fr-FR"/>
        </w:rPr>
        <w:t xml:space="preserve"> </w:t>
      </w:r>
      <w:r w:rsidRPr="00D13F94">
        <w:rPr>
          <w:lang w:val="en-US" w:eastAsia="fr-FR"/>
        </w:rPr>
        <w:t xml:space="preserve">The use of destruction technologies approved by parties applies to the amounts of controlled substances destroyed and accounted for within the Protocol’s definition of </w:t>
      </w:r>
      <w:r w:rsidR="005B2BC8">
        <w:rPr>
          <w:lang w:val="en-US" w:eastAsia="fr-FR"/>
        </w:rPr>
        <w:t>“</w:t>
      </w:r>
      <w:r w:rsidRPr="00D13F94">
        <w:rPr>
          <w:lang w:val="en-US" w:eastAsia="fr-FR"/>
        </w:rPr>
        <w:t>production</w:t>
      </w:r>
      <w:r w:rsidR="005B2BC8">
        <w:rPr>
          <w:lang w:val="en-US" w:eastAsia="fr-FR"/>
        </w:rPr>
        <w:t>”</w:t>
      </w:r>
      <w:r w:rsidRPr="00D13F94">
        <w:rPr>
          <w:lang w:val="en-US" w:eastAsia="fr-FR"/>
        </w:rPr>
        <w:t xml:space="preserve">. </w:t>
      </w:r>
    </w:p>
    <w:p w14:paraId="21E2F341" w14:textId="645DA61A" w:rsidR="00D13F94" w:rsidRPr="00D13F94" w:rsidRDefault="00D13F94" w:rsidP="00D13F94">
      <w:pPr>
        <w:rPr>
          <w:lang w:val="en-US" w:eastAsia="fr-FR"/>
        </w:rPr>
      </w:pPr>
      <w:r w:rsidRPr="00D13F94">
        <w:rPr>
          <w:lang w:val="en-US" w:eastAsia="fr-FR"/>
        </w:rPr>
        <w:t>Whether a destruction technology is approved or not approved for each group of controlled substance by the Montreal Protocol does not determine if the technology is suitable to destroy ODS or HFC wastes and should not necessarily be considered a barrier to the destruction of ODS wastes.</w:t>
      </w:r>
      <w:r w:rsidR="006349C1">
        <w:rPr>
          <w:lang w:val="en-US" w:eastAsia="fr-FR"/>
        </w:rPr>
        <w:t xml:space="preserve"> </w:t>
      </w:r>
      <w:r w:rsidRPr="00D13F94">
        <w:rPr>
          <w:lang w:val="en-US" w:eastAsia="fr-FR"/>
        </w:rPr>
        <w:t xml:space="preserve">ODS foam waste recovery and destruction using a technology with reasonable </w:t>
      </w:r>
      <w:r w:rsidR="00B04528">
        <w:rPr>
          <w:lang w:val="en-US" w:eastAsia="fr-FR"/>
        </w:rPr>
        <w:t xml:space="preserve">ODS </w:t>
      </w:r>
      <w:r w:rsidRPr="00D13F94">
        <w:rPr>
          <w:lang w:val="en-US" w:eastAsia="fr-FR"/>
        </w:rPr>
        <w:t>destruction efficiency will still result in significantly less ODS emissions than landfill disposal</w:t>
      </w:r>
      <w:r w:rsidR="006E5632">
        <w:rPr>
          <w:rStyle w:val="FootnoteReference"/>
          <w:lang w:val="en-US" w:eastAsia="fr-FR"/>
        </w:rPr>
        <w:footnoteReference w:id="18"/>
      </w:r>
      <w:r w:rsidRPr="00D13F94">
        <w:rPr>
          <w:lang w:val="en-US" w:eastAsia="fr-FR"/>
        </w:rPr>
        <w:t>.</w:t>
      </w:r>
    </w:p>
    <w:p w14:paraId="0BE339A0" w14:textId="47393DDB" w:rsidR="00D13F94" w:rsidRDefault="00D13F94" w:rsidP="00D13F94">
      <w:pPr>
        <w:rPr>
          <w:lang w:val="en-US" w:eastAsia="fr-FR"/>
        </w:rPr>
      </w:pPr>
      <w:r w:rsidRPr="00D13F94">
        <w:rPr>
          <w:lang w:val="en-US" w:eastAsia="fr-FR"/>
        </w:rPr>
        <w:t>Destruction costs represent a minor proportion of total costs of recovery and destruction, with recovery costs being the major portion and dependent on factors such as the sector waste type, infrastructure, logistics, and transport distances. It is also important to appreciate that the recovery and destruction of waste foam is essentially considered to be a broader waste management issue</w:t>
      </w:r>
      <w:r>
        <w:rPr>
          <w:lang w:val="en-US" w:eastAsia="fr-FR"/>
        </w:rPr>
        <w:t>.</w:t>
      </w:r>
    </w:p>
    <w:p w14:paraId="219D8071" w14:textId="35010695" w:rsidR="002E2914" w:rsidRDefault="2FE2C3C9" w:rsidP="002E2914">
      <w:pPr>
        <w:rPr>
          <w:lang w:val="en-US" w:eastAsia="fr-FR"/>
        </w:rPr>
      </w:pPr>
      <w:r w:rsidRPr="2FE2C3C9">
        <w:rPr>
          <w:lang w:val="en-US" w:eastAsia="fr-FR"/>
        </w:rPr>
        <w:t>At the global, regional and national level, detection of CFC-11 occurs through the systems of globally representative continuous measurement networks and other atmospheric measurements. Highly effective methods are used to detect unexpected activities, as evidenced by the discoveries that led to increased awareness and mitigating actions being taken by parties. Parties may wish to consider reviewing their enforcement programs and associated training to ensure that opportunities to detect CFC-11 (or any controlled substance) are not being overlooked through a lack of technical awareness about sampling and detection methods. Parties may also wish to investigate incentives and tools to encourage increased industry reporting of potentially illegal or suspicious activities to authorities.</w:t>
      </w:r>
    </w:p>
    <w:p w14:paraId="339503DF" w14:textId="5CFD9C2E" w:rsidR="003036CE" w:rsidRDefault="003036CE" w:rsidP="003036CE">
      <w:pPr>
        <w:rPr>
          <w:lang w:val="en-US"/>
        </w:rPr>
        <w:sectPr w:rsidR="003036CE" w:rsidSect="009345EE">
          <w:type w:val="oddPage"/>
          <w:pgSz w:w="11907" w:h="16839" w:code="9"/>
          <w:pgMar w:top="1701" w:right="1797" w:bottom="1871" w:left="1797" w:header="720" w:footer="794" w:gutter="0"/>
          <w:cols w:space="720"/>
          <w:docGrid w:linePitch="299"/>
        </w:sectPr>
      </w:pPr>
    </w:p>
    <w:p w14:paraId="3B3BD94A" w14:textId="2E528F4E" w:rsidR="00C86F2A" w:rsidRPr="0057483F" w:rsidRDefault="00151851" w:rsidP="00CF3955">
      <w:pPr>
        <w:pStyle w:val="Heading1"/>
      </w:pPr>
      <w:bookmarkStart w:id="116" w:name="_Toc73045585"/>
      <w:r>
        <w:lastRenderedPageBreak/>
        <w:t>1</w:t>
      </w:r>
      <w:r w:rsidR="00C86F2A" w:rsidRPr="0057483F">
        <w:tab/>
      </w:r>
      <w:bookmarkEnd w:id="108"/>
      <w:bookmarkEnd w:id="109"/>
      <w:bookmarkEnd w:id="110"/>
      <w:r w:rsidR="008542F5">
        <w:t>Introduction and updates</w:t>
      </w:r>
      <w:bookmarkEnd w:id="116"/>
    </w:p>
    <w:p w14:paraId="6E3573BD" w14:textId="73444409" w:rsidR="009B39CF" w:rsidRDefault="00151851" w:rsidP="00E31A1E">
      <w:pPr>
        <w:pStyle w:val="Heading2"/>
      </w:pPr>
      <w:bookmarkStart w:id="117" w:name="_Toc40190275"/>
      <w:bookmarkStart w:id="118" w:name="_Toc40696075"/>
      <w:bookmarkStart w:id="119" w:name="_Toc73045586"/>
      <w:r w:rsidRPr="00E846F9">
        <w:t>1</w:t>
      </w:r>
      <w:r w:rsidR="00C86F2A" w:rsidRPr="00E846F9">
        <w:t>.1</w:t>
      </w:r>
      <w:r w:rsidR="00C86F2A" w:rsidRPr="00E846F9">
        <w:tab/>
      </w:r>
      <w:bookmarkEnd w:id="117"/>
      <w:bookmarkEnd w:id="118"/>
      <w:r w:rsidR="00B13B97" w:rsidRPr="00B13B97">
        <w:t>Decision XXX</w:t>
      </w:r>
      <w:r w:rsidR="007150BA">
        <w:t>I</w:t>
      </w:r>
      <w:r w:rsidR="00B13B97" w:rsidRPr="00B13B97">
        <w:t>/3: Unexpected emissions of trichlorofluoromethane (CFC</w:t>
      </w:r>
      <w:r w:rsidR="00C75D16">
        <w:t>-</w:t>
      </w:r>
      <w:r w:rsidR="00B13B97" w:rsidRPr="00B13B97">
        <w:t>11)</w:t>
      </w:r>
      <w:bookmarkEnd w:id="119"/>
    </w:p>
    <w:p w14:paraId="7464E1A7" w14:textId="3E669010" w:rsidR="007150BA" w:rsidRDefault="007C4BF1" w:rsidP="007150BA">
      <w:pPr>
        <w:rPr>
          <w:lang w:val="en-US" w:eastAsia="fr-FR"/>
        </w:rPr>
      </w:pPr>
      <w:r>
        <w:rPr>
          <w:lang w:val="en-US" w:eastAsia="fr-FR"/>
        </w:rPr>
        <w:t>Following</w:t>
      </w:r>
      <w:r w:rsidR="00F24E3A" w:rsidRPr="00F24E3A">
        <w:rPr>
          <w:lang w:val="en-US" w:eastAsia="fr-FR"/>
        </w:rPr>
        <w:t xml:space="preserve"> </w:t>
      </w:r>
      <w:r w:rsidR="002A7221">
        <w:rPr>
          <w:lang w:val="en-US" w:eastAsia="fr-FR"/>
        </w:rPr>
        <w:t xml:space="preserve">reported </w:t>
      </w:r>
      <w:r w:rsidR="00F24E3A" w:rsidRPr="00F24E3A">
        <w:rPr>
          <w:lang w:val="en-US" w:eastAsia="fr-FR"/>
        </w:rPr>
        <w:t xml:space="preserve">scientific findings of an unexpected increase in global emissions of CFC-11 after 2012 </w:t>
      </w:r>
      <w:r w:rsidR="00124421">
        <w:rPr>
          <w:lang w:val="en-US" w:eastAsia="fr-FR"/>
        </w:rPr>
        <w:t xml:space="preserve">and </w:t>
      </w:r>
      <w:r w:rsidR="002A7221">
        <w:rPr>
          <w:lang w:val="en-US" w:eastAsia="fr-FR"/>
        </w:rPr>
        <w:t>the 2019 Task Force Repor</w:t>
      </w:r>
      <w:r w:rsidR="00124421">
        <w:rPr>
          <w:lang w:val="en-US" w:eastAsia="fr-FR"/>
        </w:rPr>
        <w:t xml:space="preserve">t </w:t>
      </w:r>
      <w:r w:rsidR="00A71F6B">
        <w:rPr>
          <w:lang w:val="en-US" w:eastAsia="fr-FR"/>
        </w:rPr>
        <w:t xml:space="preserve">in </w:t>
      </w:r>
      <w:r w:rsidR="00124421">
        <w:rPr>
          <w:lang w:val="en-US" w:eastAsia="fr-FR"/>
        </w:rPr>
        <w:t xml:space="preserve">response to </w:t>
      </w:r>
      <w:r w:rsidR="00124421" w:rsidRPr="00F24E3A">
        <w:rPr>
          <w:lang w:val="en-US" w:eastAsia="fr-FR"/>
        </w:rPr>
        <w:t>decision XXX/3</w:t>
      </w:r>
      <w:r w:rsidR="00D962E1">
        <w:rPr>
          <w:rStyle w:val="FootnoteReference"/>
          <w:lang w:val="en-US" w:eastAsia="fr-FR"/>
        </w:rPr>
        <w:footnoteReference w:id="19"/>
      </w:r>
      <w:r w:rsidR="000A4702">
        <w:rPr>
          <w:lang w:val="en-US" w:eastAsia="fr-FR"/>
        </w:rPr>
        <w:t xml:space="preserve"> in 2019</w:t>
      </w:r>
      <w:r w:rsidR="00A71F6B">
        <w:rPr>
          <w:lang w:val="en-US" w:eastAsia="fr-FR"/>
        </w:rPr>
        <w:t>,</w:t>
      </w:r>
      <w:r w:rsidR="00124421">
        <w:rPr>
          <w:lang w:val="en-US" w:eastAsia="fr-FR"/>
        </w:rPr>
        <w:t xml:space="preserve"> </w:t>
      </w:r>
      <w:r w:rsidR="00045F68" w:rsidRPr="00F24E3A">
        <w:rPr>
          <w:lang w:val="en-US" w:eastAsia="fr-FR"/>
        </w:rPr>
        <w:t>parties</w:t>
      </w:r>
      <w:r w:rsidR="009E3C4E" w:rsidRPr="009E3C4E">
        <w:rPr>
          <w:lang w:val="en-US" w:eastAsia="fr-FR"/>
        </w:rPr>
        <w:t xml:space="preserve"> </w:t>
      </w:r>
      <w:r w:rsidR="009E3C4E">
        <w:rPr>
          <w:lang w:val="en-US" w:eastAsia="fr-FR"/>
        </w:rPr>
        <w:t>at the Meeting of the Parties in 2019</w:t>
      </w:r>
      <w:r w:rsidR="00F24E3A" w:rsidRPr="00F24E3A">
        <w:rPr>
          <w:lang w:val="en-US" w:eastAsia="fr-FR"/>
        </w:rPr>
        <w:t xml:space="preserve"> requested the Technology and Economic Assessment Panel (TEAP) to provide </w:t>
      </w:r>
      <w:r w:rsidR="005E0FF6">
        <w:rPr>
          <w:lang w:val="en-US" w:eastAsia="fr-FR"/>
        </w:rPr>
        <w:t>an update report</w:t>
      </w:r>
      <w:r w:rsidR="00F53D27">
        <w:rPr>
          <w:lang w:val="en-US" w:eastAsia="fr-FR"/>
        </w:rPr>
        <w:t xml:space="preserve">, </w:t>
      </w:r>
      <w:r w:rsidR="005E0FF6">
        <w:rPr>
          <w:lang w:val="en-US" w:eastAsia="fr-FR"/>
        </w:rPr>
        <w:t xml:space="preserve">which would </w:t>
      </w:r>
      <w:r w:rsidR="00F53D27">
        <w:rPr>
          <w:lang w:val="en-US" w:eastAsia="fr-FR"/>
        </w:rPr>
        <w:t>includ</w:t>
      </w:r>
      <w:r w:rsidR="005E0FF6">
        <w:rPr>
          <w:lang w:val="en-US" w:eastAsia="fr-FR"/>
        </w:rPr>
        <w:t>e</w:t>
      </w:r>
      <w:r w:rsidR="00F53D27">
        <w:rPr>
          <w:lang w:val="en-US" w:eastAsia="fr-FR"/>
        </w:rPr>
        <w:t xml:space="preserve"> any new compelling information that becomes available, and specific information as instructed in decision XXXI/3</w:t>
      </w:r>
      <w:r w:rsidR="00396CA8">
        <w:rPr>
          <w:lang w:val="en-US" w:eastAsia="fr-FR"/>
        </w:rPr>
        <w:t>, paragraph 7</w:t>
      </w:r>
      <w:r w:rsidR="00F24E3A" w:rsidRPr="00F24E3A">
        <w:rPr>
          <w:lang w:val="en-US" w:eastAsia="fr-FR"/>
        </w:rPr>
        <w:t>.</w:t>
      </w:r>
    </w:p>
    <w:p w14:paraId="153C5CC6" w14:textId="77777777" w:rsidR="00953A12" w:rsidRPr="007C4BF1" w:rsidRDefault="00953A12" w:rsidP="00953A12">
      <w:pPr>
        <w:rPr>
          <w:i/>
          <w:iCs/>
          <w:lang w:val="en-US" w:eastAsia="fr-FR"/>
        </w:rPr>
      </w:pPr>
      <w:r w:rsidRPr="007C4BF1">
        <w:rPr>
          <w:i/>
          <w:iCs/>
          <w:lang w:val="en-US" w:eastAsia="fr-FR"/>
        </w:rPr>
        <w:t>Decision XXXI/3: Unexplained emissions of trichlorofluoromethane (CFC-11)</w:t>
      </w:r>
    </w:p>
    <w:p w14:paraId="47BFE52E" w14:textId="77777777" w:rsidR="00953A12" w:rsidRPr="00953A12" w:rsidRDefault="00953A12" w:rsidP="00953A12">
      <w:pPr>
        <w:rPr>
          <w:lang w:val="en-US" w:eastAsia="fr-FR"/>
        </w:rPr>
      </w:pPr>
      <w:r w:rsidRPr="00953A12">
        <w:rPr>
          <w:lang w:val="en-US" w:eastAsia="fr-FR"/>
        </w:rPr>
        <w:t>7.</w:t>
      </w:r>
      <w:r w:rsidRPr="00953A12">
        <w:rPr>
          <w:lang w:val="en-US" w:eastAsia="fr-FR"/>
        </w:rPr>
        <w:tab/>
        <w:t>To request the Technology and Economic Assessment Panel to provide the parties with an update to the information provided pursuant to paragraph 2 of decision XXX/3, and to provide a report thereon to the Thirty-Second Meeting of the Parties, including any new compelling information that becomes available, as well as providing information on the following:</w:t>
      </w:r>
    </w:p>
    <w:p w14:paraId="27C7F9F7" w14:textId="77777777" w:rsidR="00953A12" w:rsidRPr="00953A12" w:rsidRDefault="00953A12" w:rsidP="00D7060D">
      <w:pPr>
        <w:tabs>
          <w:tab w:val="left" w:pos="1134"/>
        </w:tabs>
        <w:ind w:firstLine="567"/>
        <w:rPr>
          <w:lang w:val="en-US" w:eastAsia="fr-FR"/>
        </w:rPr>
      </w:pPr>
      <w:r w:rsidRPr="00953A12">
        <w:rPr>
          <w:lang w:val="en-US" w:eastAsia="fr-FR"/>
        </w:rPr>
        <w:t>(a)</w:t>
      </w:r>
      <w:r w:rsidRPr="00953A12">
        <w:rPr>
          <w:lang w:val="en-US" w:eastAsia="fr-FR"/>
        </w:rPr>
        <w:tab/>
        <w:t>An analysis of CFC-11 banks by geographic location and by market sector;</w:t>
      </w:r>
    </w:p>
    <w:p w14:paraId="3DCD53EB" w14:textId="7A9984E8" w:rsidR="00953A12" w:rsidRPr="00953A12" w:rsidRDefault="00953A12" w:rsidP="00550011">
      <w:pPr>
        <w:tabs>
          <w:tab w:val="left" w:pos="1134"/>
        </w:tabs>
        <w:ind w:left="1134" w:hanging="567"/>
        <w:rPr>
          <w:lang w:val="en-US" w:eastAsia="fr-FR"/>
        </w:rPr>
      </w:pPr>
      <w:r w:rsidRPr="00953A12">
        <w:rPr>
          <w:lang w:val="en-US" w:eastAsia="fr-FR"/>
        </w:rPr>
        <w:t>(b)</w:t>
      </w:r>
      <w:r w:rsidRPr="00953A12">
        <w:rPr>
          <w:lang w:val="en-US" w:eastAsia="fr-FR"/>
        </w:rPr>
        <w:tab/>
        <w:t>Linkages between the level of production of anhydrous hydrogen fluoride and carb</w:t>
      </w:r>
      <w:r w:rsidR="00CC71D5">
        <w:rPr>
          <w:lang w:val="en-US" w:eastAsia="fr-FR"/>
        </w:rPr>
        <w:t>on</w:t>
      </w:r>
      <w:r w:rsidRPr="00953A12">
        <w:rPr>
          <w:lang w:val="en-US" w:eastAsia="fr-FR"/>
        </w:rPr>
        <w:t xml:space="preserve"> tetrachloride and unexpected emissions of CFC-11;</w:t>
      </w:r>
    </w:p>
    <w:p w14:paraId="09193A63" w14:textId="77777777" w:rsidR="00953A12" w:rsidRPr="00953A12" w:rsidRDefault="00953A12" w:rsidP="00550011">
      <w:pPr>
        <w:tabs>
          <w:tab w:val="left" w:pos="1134"/>
        </w:tabs>
        <w:ind w:left="1134" w:hanging="567"/>
        <w:rPr>
          <w:lang w:val="en-US" w:eastAsia="fr-FR"/>
        </w:rPr>
      </w:pPr>
      <w:r w:rsidRPr="00953A12">
        <w:rPr>
          <w:lang w:val="en-US" w:eastAsia="fr-FR"/>
        </w:rPr>
        <w:t>(c)</w:t>
      </w:r>
      <w:r w:rsidRPr="00953A12">
        <w:rPr>
          <w:lang w:val="en-US" w:eastAsia="fr-FR"/>
        </w:rPr>
        <w:tab/>
        <w:t>The types of CFC-11 products, the disposition of any such products, and opportunities and methods to detect such products and potentially recover the associated CFC-11;</w:t>
      </w:r>
    </w:p>
    <w:p w14:paraId="5A04DAC3" w14:textId="56B8DE93" w:rsidR="00582B76" w:rsidRPr="007150BA" w:rsidRDefault="00953A12" w:rsidP="00550011">
      <w:pPr>
        <w:tabs>
          <w:tab w:val="left" w:pos="1134"/>
        </w:tabs>
        <w:ind w:left="1134" w:hanging="567"/>
        <w:rPr>
          <w:lang w:val="en-US" w:eastAsia="fr-FR"/>
        </w:rPr>
      </w:pPr>
      <w:r w:rsidRPr="00953A12">
        <w:rPr>
          <w:lang w:val="en-US" w:eastAsia="fr-FR"/>
        </w:rPr>
        <w:t>(d)</w:t>
      </w:r>
      <w:r w:rsidRPr="00953A12">
        <w:rPr>
          <w:lang w:val="en-US" w:eastAsia="fr-FR"/>
        </w:rPr>
        <w:tab/>
        <w:t>Identification of possible drivers of illegal production of and trade in CFC-11, such as the availability of technically and economically feasible alternatives to CFC-11 and HCFC-141b and their sustained effectiveness</w:t>
      </w:r>
      <w:r w:rsidR="00550011">
        <w:rPr>
          <w:lang w:val="en-US" w:eastAsia="fr-FR"/>
        </w:rPr>
        <w:t>.</w:t>
      </w:r>
    </w:p>
    <w:p w14:paraId="48A14896" w14:textId="64F33177" w:rsidR="001D6DAF" w:rsidRDefault="00151851" w:rsidP="00751ECE">
      <w:pPr>
        <w:pStyle w:val="Heading2"/>
      </w:pPr>
      <w:bookmarkStart w:id="120" w:name="_Toc40190276"/>
      <w:bookmarkStart w:id="121" w:name="_Toc40696076"/>
      <w:bookmarkStart w:id="122" w:name="_Toc73045587"/>
      <w:bookmarkStart w:id="123" w:name="_Toc356240457"/>
      <w:bookmarkStart w:id="124" w:name="_Toc484164356"/>
      <w:r w:rsidRPr="00E63512">
        <w:t>1</w:t>
      </w:r>
      <w:r w:rsidR="00C86F2A" w:rsidRPr="00E63512">
        <w:t>.2</w:t>
      </w:r>
      <w:r w:rsidR="00C86F2A" w:rsidRPr="00E63512">
        <w:tab/>
      </w:r>
      <w:bookmarkEnd w:id="120"/>
      <w:bookmarkEnd w:id="121"/>
      <w:r w:rsidR="001D6DAF">
        <w:t>Composition of the Task Force</w:t>
      </w:r>
      <w:bookmarkEnd w:id="122"/>
    </w:p>
    <w:p w14:paraId="47D906E3" w14:textId="71DDCC6D" w:rsidR="00D351BA" w:rsidRDefault="00074EDA" w:rsidP="001D6DAF">
      <w:pPr>
        <w:rPr>
          <w:lang w:val="en-US" w:eastAsia="fr-FR"/>
        </w:rPr>
      </w:pPr>
      <w:r w:rsidRPr="00074EDA">
        <w:rPr>
          <w:lang w:val="en-US" w:eastAsia="fr-FR"/>
        </w:rPr>
        <w:t>In response to decision XXX</w:t>
      </w:r>
      <w:r>
        <w:rPr>
          <w:lang w:val="en-US" w:eastAsia="fr-FR"/>
        </w:rPr>
        <w:t>I</w:t>
      </w:r>
      <w:r w:rsidRPr="00074EDA">
        <w:rPr>
          <w:lang w:val="en-US" w:eastAsia="fr-FR"/>
        </w:rPr>
        <w:t>/3, TEAP formed a temporary subsidiary body, in the form of a Task Force</w:t>
      </w:r>
      <w:r w:rsidR="00B35E8D">
        <w:rPr>
          <w:lang w:val="en-US" w:eastAsia="fr-FR"/>
        </w:rPr>
        <w:t xml:space="preserve"> </w:t>
      </w:r>
      <w:r w:rsidR="0022333F" w:rsidRPr="00074EDA">
        <w:rPr>
          <w:lang w:val="en-US" w:eastAsia="fr-FR"/>
        </w:rPr>
        <w:t xml:space="preserve">on Unexpected CFC-11 Emissions </w:t>
      </w:r>
      <w:r w:rsidR="00B35E8D">
        <w:rPr>
          <w:lang w:val="en-US" w:eastAsia="fr-FR"/>
        </w:rPr>
        <w:t>(the Task Force)</w:t>
      </w:r>
      <w:r w:rsidRPr="00074EDA">
        <w:rPr>
          <w:lang w:val="en-US" w:eastAsia="fr-FR"/>
        </w:rPr>
        <w:t>, which combines expertise from TEAP and its Technical Options Committee (TOCs), and also outside expert</w:t>
      </w:r>
      <w:r>
        <w:rPr>
          <w:lang w:val="en-US" w:eastAsia="fr-FR"/>
        </w:rPr>
        <w:t>s</w:t>
      </w:r>
      <w:r w:rsidRPr="00074EDA">
        <w:rPr>
          <w:lang w:val="en-US" w:eastAsia="fr-FR"/>
        </w:rPr>
        <w:t xml:space="preserve">, to address the requirements of this decision. </w:t>
      </w:r>
      <w:r w:rsidR="00772F16">
        <w:rPr>
          <w:lang w:val="en-US" w:eastAsia="fr-FR"/>
        </w:rPr>
        <w:t>The m</w:t>
      </w:r>
      <w:r w:rsidRPr="00074EDA">
        <w:rPr>
          <w:lang w:val="en-US" w:eastAsia="fr-FR"/>
        </w:rPr>
        <w:t xml:space="preserve">embership of the Task Force is listed below. </w:t>
      </w:r>
      <w:r w:rsidR="00D351BA">
        <w:rPr>
          <w:lang w:val="en-US" w:eastAsia="fr-FR"/>
        </w:rPr>
        <w:t xml:space="preserve">At </w:t>
      </w:r>
      <w:r w:rsidR="00CA2782">
        <w:rPr>
          <w:lang w:val="en-US" w:eastAsia="fr-FR"/>
        </w:rPr>
        <w:t>MOP-32, p</w:t>
      </w:r>
      <w:r w:rsidR="00D351BA">
        <w:rPr>
          <w:lang w:val="en-US" w:eastAsia="fr-FR"/>
        </w:rPr>
        <w:t>arties confirmed that the Task Force could continue its work up until and including MOP-33.</w:t>
      </w:r>
      <w:r w:rsidR="00232674">
        <w:rPr>
          <w:lang w:val="en-US" w:eastAsia="fr-FR"/>
        </w:rPr>
        <w:t xml:space="preserve"> The Task Force differs in composition from the Task Force formed by TEAP in response to decision XXX/3 (the 2019 Task Force).</w:t>
      </w:r>
    </w:p>
    <w:p w14:paraId="60BD831C" w14:textId="209092A2" w:rsidR="003C2352" w:rsidRDefault="00074EDA" w:rsidP="001D6DAF">
      <w:pPr>
        <w:rPr>
          <w:lang w:val="en-US" w:eastAsia="fr-FR"/>
        </w:rPr>
      </w:pPr>
      <w:r w:rsidRPr="00074EDA">
        <w:rPr>
          <w:lang w:val="en-US" w:eastAsia="fr-FR"/>
        </w:rPr>
        <w:t xml:space="preserve">The Task Force includes a number of consulting experts, who have provided an invaluable resource. Disclosures of interests </w:t>
      </w:r>
      <w:r w:rsidR="00E21AD6">
        <w:rPr>
          <w:lang w:val="en-US" w:eastAsia="fr-FR"/>
        </w:rPr>
        <w:t xml:space="preserve">for members and consulting experts </w:t>
      </w:r>
      <w:r w:rsidRPr="00074EDA">
        <w:rPr>
          <w:lang w:val="en-US" w:eastAsia="fr-FR"/>
        </w:rPr>
        <w:t>are posted on the Ozone Secretariat’s website.</w:t>
      </w:r>
    </w:p>
    <w:p w14:paraId="65560467" w14:textId="77777777" w:rsidR="003C2352" w:rsidRDefault="003C2352">
      <w:pPr>
        <w:spacing w:after="0"/>
        <w:rPr>
          <w:lang w:val="en-US" w:eastAsia="fr-FR"/>
        </w:rPr>
      </w:pPr>
      <w:r>
        <w:rPr>
          <w:lang w:val="en-US" w:eastAsia="fr-FR"/>
        </w:rPr>
        <w:br w:type="page"/>
      </w:r>
    </w:p>
    <w:tbl>
      <w:tblPr>
        <w:tblStyle w:val="TableGrid"/>
        <w:tblW w:w="8788" w:type="dxa"/>
        <w:tblInd w:w="49" w:type="dxa"/>
        <w:tblLook w:val="04A0" w:firstRow="1" w:lastRow="0" w:firstColumn="1" w:lastColumn="0" w:noHBand="0" w:noVBand="1"/>
      </w:tblPr>
      <w:tblGrid>
        <w:gridCol w:w="2041"/>
        <w:gridCol w:w="3628"/>
        <w:gridCol w:w="1928"/>
        <w:gridCol w:w="1191"/>
      </w:tblGrid>
      <w:tr w:rsidR="00921A94" w:rsidRPr="00BA421F" w14:paraId="3A82113D" w14:textId="77777777" w:rsidTr="007249A3">
        <w:tc>
          <w:tcPr>
            <w:tcW w:w="2041" w:type="dxa"/>
            <w:shd w:val="clear" w:color="auto" w:fill="D5DCE4" w:themeFill="text2" w:themeFillTint="33"/>
          </w:tcPr>
          <w:p w14:paraId="79F42BC5" w14:textId="1CBAB6F8" w:rsidR="00921A94" w:rsidRPr="00BA421F" w:rsidRDefault="00921A94" w:rsidP="007249A3">
            <w:pPr>
              <w:pStyle w:val="BodyText"/>
              <w:spacing w:after="0" w:line="240" w:lineRule="auto"/>
              <w:rPr>
                <w:b/>
                <w:sz w:val="19"/>
                <w:szCs w:val="19"/>
              </w:rPr>
            </w:pPr>
            <w:r w:rsidRPr="00BA421F">
              <w:rPr>
                <w:b/>
                <w:sz w:val="19"/>
                <w:szCs w:val="19"/>
              </w:rPr>
              <w:lastRenderedPageBreak/>
              <w:t>Members</w:t>
            </w:r>
          </w:p>
        </w:tc>
        <w:tc>
          <w:tcPr>
            <w:tcW w:w="3628" w:type="dxa"/>
            <w:shd w:val="clear" w:color="auto" w:fill="D5DCE4" w:themeFill="text2" w:themeFillTint="33"/>
          </w:tcPr>
          <w:p w14:paraId="27401F9A" w14:textId="77777777" w:rsidR="00921A94" w:rsidRPr="00BA421F" w:rsidRDefault="00921A94" w:rsidP="007249A3">
            <w:pPr>
              <w:pStyle w:val="BodyText"/>
              <w:spacing w:after="0" w:line="240" w:lineRule="auto"/>
              <w:rPr>
                <w:b/>
                <w:sz w:val="19"/>
                <w:szCs w:val="19"/>
              </w:rPr>
            </w:pPr>
            <w:r w:rsidRPr="00BA421F">
              <w:rPr>
                <w:b/>
                <w:sz w:val="19"/>
                <w:szCs w:val="19"/>
              </w:rPr>
              <w:t>Relevant Expertise to the Task Force</w:t>
            </w:r>
          </w:p>
        </w:tc>
        <w:tc>
          <w:tcPr>
            <w:tcW w:w="1928" w:type="dxa"/>
            <w:shd w:val="clear" w:color="auto" w:fill="D5DCE4" w:themeFill="text2" w:themeFillTint="33"/>
          </w:tcPr>
          <w:p w14:paraId="6209144F" w14:textId="77777777" w:rsidR="00921A94" w:rsidRPr="00BA421F" w:rsidRDefault="00921A94" w:rsidP="007249A3">
            <w:pPr>
              <w:pStyle w:val="BodyText"/>
              <w:spacing w:after="0" w:line="240" w:lineRule="auto"/>
              <w:rPr>
                <w:b/>
                <w:sz w:val="19"/>
                <w:szCs w:val="19"/>
              </w:rPr>
            </w:pPr>
            <w:r w:rsidRPr="00BA421F">
              <w:rPr>
                <w:b/>
                <w:sz w:val="19"/>
                <w:szCs w:val="19"/>
              </w:rPr>
              <w:t>Affiliation</w:t>
            </w:r>
          </w:p>
        </w:tc>
        <w:tc>
          <w:tcPr>
            <w:tcW w:w="1191" w:type="dxa"/>
            <w:shd w:val="clear" w:color="auto" w:fill="D5DCE4" w:themeFill="text2" w:themeFillTint="33"/>
          </w:tcPr>
          <w:p w14:paraId="115D11D7" w14:textId="77777777" w:rsidR="00921A94" w:rsidRPr="00BA421F" w:rsidRDefault="00921A94" w:rsidP="007249A3">
            <w:pPr>
              <w:pStyle w:val="BodyText"/>
              <w:spacing w:after="0" w:line="240" w:lineRule="auto"/>
              <w:rPr>
                <w:b/>
                <w:sz w:val="19"/>
                <w:szCs w:val="19"/>
              </w:rPr>
            </w:pPr>
            <w:r w:rsidRPr="00BA421F">
              <w:rPr>
                <w:b/>
                <w:sz w:val="19"/>
                <w:szCs w:val="19"/>
              </w:rPr>
              <w:t>Party</w:t>
            </w:r>
          </w:p>
        </w:tc>
      </w:tr>
      <w:tr w:rsidR="00921A94" w:rsidRPr="00BA421F" w14:paraId="64FA861D" w14:textId="77777777" w:rsidTr="007249A3">
        <w:tc>
          <w:tcPr>
            <w:tcW w:w="2041" w:type="dxa"/>
          </w:tcPr>
          <w:p w14:paraId="2ADC2A7A" w14:textId="77777777" w:rsidR="00921A94" w:rsidRPr="00BA421F" w:rsidRDefault="00921A94" w:rsidP="007249A3">
            <w:pPr>
              <w:pStyle w:val="BodyText"/>
              <w:spacing w:after="0" w:line="240" w:lineRule="auto"/>
              <w:rPr>
                <w:sz w:val="19"/>
                <w:szCs w:val="19"/>
              </w:rPr>
            </w:pPr>
            <w:r w:rsidRPr="00BA421F">
              <w:rPr>
                <w:sz w:val="19"/>
                <w:szCs w:val="19"/>
              </w:rPr>
              <w:t>Jose Pons (co-chair)</w:t>
            </w:r>
          </w:p>
        </w:tc>
        <w:tc>
          <w:tcPr>
            <w:tcW w:w="3628" w:type="dxa"/>
          </w:tcPr>
          <w:p w14:paraId="5B565193" w14:textId="77777777" w:rsidR="00921A94" w:rsidRPr="00BA421F" w:rsidRDefault="00921A94" w:rsidP="007249A3">
            <w:pPr>
              <w:pStyle w:val="BodyText"/>
              <w:spacing w:after="0" w:line="240" w:lineRule="auto"/>
              <w:rPr>
                <w:sz w:val="19"/>
                <w:szCs w:val="19"/>
              </w:rPr>
            </w:pPr>
            <w:r w:rsidRPr="00BA421F">
              <w:rPr>
                <w:sz w:val="19"/>
                <w:szCs w:val="19"/>
              </w:rPr>
              <w:t>Production, aerosols, solvents</w:t>
            </w:r>
          </w:p>
        </w:tc>
        <w:tc>
          <w:tcPr>
            <w:tcW w:w="1928" w:type="dxa"/>
          </w:tcPr>
          <w:p w14:paraId="19846AA4" w14:textId="77777777" w:rsidR="00921A94" w:rsidRPr="00BA421F" w:rsidRDefault="00921A94" w:rsidP="007249A3">
            <w:pPr>
              <w:pStyle w:val="BodyText"/>
              <w:spacing w:after="0" w:line="240" w:lineRule="auto"/>
              <w:rPr>
                <w:sz w:val="19"/>
                <w:szCs w:val="19"/>
              </w:rPr>
            </w:pPr>
            <w:r w:rsidRPr="00BA421F">
              <w:rPr>
                <w:sz w:val="19"/>
                <w:szCs w:val="19"/>
              </w:rPr>
              <w:t>MCTOC member</w:t>
            </w:r>
          </w:p>
        </w:tc>
        <w:tc>
          <w:tcPr>
            <w:tcW w:w="1191" w:type="dxa"/>
          </w:tcPr>
          <w:p w14:paraId="07FBE12F" w14:textId="77777777" w:rsidR="00921A94" w:rsidRPr="00BA421F" w:rsidRDefault="00921A94" w:rsidP="007249A3">
            <w:pPr>
              <w:pStyle w:val="BodyText"/>
              <w:spacing w:after="0" w:line="240" w:lineRule="auto"/>
              <w:rPr>
                <w:sz w:val="19"/>
                <w:szCs w:val="19"/>
              </w:rPr>
            </w:pPr>
            <w:r w:rsidRPr="00BA421F">
              <w:rPr>
                <w:sz w:val="19"/>
                <w:szCs w:val="19"/>
              </w:rPr>
              <w:t>Venezuela</w:t>
            </w:r>
          </w:p>
        </w:tc>
      </w:tr>
      <w:tr w:rsidR="00921A94" w:rsidRPr="00BA421F" w14:paraId="4FB19021" w14:textId="77777777" w:rsidTr="007249A3">
        <w:tc>
          <w:tcPr>
            <w:tcW w:w="2041" w:type="dxa"/>
          </w:tcPr>
          <w:p w14:paraId="79F7EFA8" w14:textId="77777777" w:rsidR="00921A94" w:rsidRPr="00BA421F" w:rsidRDefault="00921A94" w:rsidP="007249A3">
            <w:pPr>
              <w:pStyle w:val="BodyText"/>
              <w:spacing w:after="0" w:line="240" w:lineRule="auto"/>
              <w:rPr>
                <w:sz w:val="19"/>
                <w:szCs w:val="19"/>
              </w:rPr>
            </w:pPr>
            <w:r w:rsidRPr="00BA421F">
              <w:rPr>
                <w:sz w:val="19"/>
                <w:szCs w:val="19"/>
              </w:rPr>
              <w:t>Helen Tope (co-chair)</w:t>
            </w:r>
          </w:p>
        </w:tc>
        <w:tc>
          <w:tcPr>
            <w:tcW w:w="3628" w:type="dxa"/>
          </w:tcPr>
          <w:p w14:paraId="37B1FA2A" w14:textId="77777777" w:rsidR="00921A94" w:rsidRPr="00BA421F" w:rsidRDefault="00921A94" w:rsidP="007249A3">
            <w:pPr>
              <w:pStyle w:val="BodyText"/>
              <w:spacing w:after="0" w:line="240" w:lineRule="auto"/>
              <w:rPr>
                <w:sz w:val="19"/>
                <w:szCs w:val="19"/>
              </w:rPr>
            </w:pPr>
            <w:r w:rsidRPr="00BA421F">
              <w:rPr>
                <w:sz w:val="19"/>
                <w:szCs w:val="19"/>
              </w:rPr>
              <w:t>Production, aerosols, solvents</w:t>
            </w:r>
          </w:p>
        </w:tc>
        <w:tc>
          <w:tcPr>
            <w:tcW w:w="1928" w:type="dxa"/>
          </w:tcPr>
          <w:p w14:paraId="41D6FA18" w14:textId="77777777" w:rsidR="00921A94" w:rsidRPr="00BA421F" w:rsidRDefault="00921A94" w:rsidP="007249A3">
            <w:pPr>
              <w:pStyle w:val="BodyText"/>
              <w:spacing w:after="0" w:line="240" w:lineRule="auto"/>
              <w:rPr>
                <w:sz w:val="19"/>
                <w:szCs w:val="19"/>
              </w:rPr>
            </w:pPr>
            <w:r w:rsidRPr="00BA421F">
              <w:rPr>
                <w:sz w:val="19"/>
                <w:szCs w:val="19"/>
              </w:rPr>
              <w:t>MCTOC co-chair</w:t>
            </w:r>
          </w:p>
        </w:tc>
        <w:tc>
          <w:tcPr>
            <w:tcW w:w="1191" w:type="dxa"/>
          </w:tcPr>
          <w:p w14:paraId="6F454694" w14:textId="77777777" w:rsidR="00921A94" w:rsidRPr="00BA421F" w:rsidRDefault="00921A94" w:rsidP="007249A3">
            <w:pPr>
              <w:pStyle w:val="BodyText"/>
              <w:spacing w:after="0" w:line="240" w:lineRule="auto"/>
              <w:rPr>
                <w:sz w:val="19"/>
                <w:szCs w:val="19"/>
              </w:rPr>
            </w:pPr>
            <w:r w:rsidRPr="00BA421F">
              <w:rPr>
                <w:sz w:val="19"/>
                <w:szCs w:val="19"/>
              </w:rPr>
              <w:t>Australia</w:t>
            </w:r>
          </w:p>
        </w:tc>
      </w:tr>
      <w:tr w:rsidR="00921A94" w:rsidRPr="00BA421F" w14:paraId="656705BF" w14:textId="77777777" w:rsidTr="007249A3">
        <w:tc>
          <w:tcPr>
            <w:tcW w:w="2041" w:type="dxa"/>
          </w:tcPr>
          <w:p w14:paraId="69F31F46" w14:textId="77777777" w:rsidR="00921A94" w:rsidRPr="005871F5" w:rsidRDefault="00921A94" w:rsidP="007249A3">
            <w:pPr>
              <w:pStyle w:val="BodyText"/>
              <w:spacing w:after="0" w:line="240" w:lineRule="auto"/>
              <w:rPr>
                <w:sz w:val="19"/>
                <w:szCs w:val="19"/>
              </w:rPr>
            </w:pPr>
            <w:r w:rsidRPr="005871F5">
              <w:rPr>
                <w:sz w:val="19"/>
                <w:szCs w:val="19"/>
              </w:rPr>
              <w:t>Helen Walter-Terrinoni (co-chair)</w:t>
            </w:r>
          </w:p>
        </w:tc>
        <w:tc>
          <w:tcPr>
            <w:tcW w:w="3628" w:type="dxa"/>
          </w:tcPr>
          <w:p w14:paraId="2F039FBD" w14:textId="77777777" w:rsidR="00921A94" w:rsidRPr="005871F5" w:rsidRDefault="00921A94" w:rsidP="007249A3">
            <w:pPr>
              <w:pStyle w:val="BodyText"/>
              <w:spacing w:after="0" w:line="240" w:lineRule="auto"/>
              <w:rPr>
                <w:sz w:val="19"/>
                <w:szCs w:val="19"/>
              </w:rPr>
            </w:pPr>
            <w:r w:rsidRPr="005871F5">
              <w:rPr>
                <w:sz w:val="19"/>
                <w:szCs w:val="19"/>
              </w:rPr>
              <w:t>Foams, banks, emissions modelling</w:t>
            </w:r>
          </w:p>
        </w:tc>
        <w:tc>
          <w:tcPr>
            <w:tcW w:w="1928" w:type="dxa"/>
          </w:tcPr>
          <w:p w14:paraId="3913F14C" w14:textId="77777777" w:rsidR="00921A94" w:rsidRPr="005871F5" w:rsidRDefault="00921A94" w:rsidP="007249A3">
            <w:pPr>
              <w:pStyle w:val="BodyText"/>
              <w:spacing w:after="0" w:line="240" w:lineRule="auto"/>
              <w:rPr>
                <w:sz w:val="19"/>
                <w:szCs w:val="19"/>
              </w:rPr>
            </w:pPr>
            <w:r w:rsidRPr="005871F5">
              <w:rPr>
                <w:sz w:val="19"/>
                <w:szCs w:val="19"/>
              </w:rPr>
              <w:t>FTOC co-chair</w:t>
            </w:r>
          </w:p>
        </w:tc>
        <w:tc>
          <w:tcPr>
            <w:tcW w:w="1191" w:type="dxa"/>
          </w:tcPr>
          <w:p w14:paraId="4D1CD011" w14:textId="5512D5FD" w:rsidR="00921A94" w:rsidRPr="005871F5" w:rsidRDefault="004F03D7" w:rsidP="007249A3">
            <w:pPr>
              <w:pStyle w:val="BodyText"/>
              <w:spacing w:after="0" w:line="240" w:lineRule="auto"/>
              <w:rPr>
                <w:sz w:val="19"/>
                <w:szCs w:val="19"/>
              </w:rPr>
            </w:pPr>
            <w:r>
              <w:rPr>
                <w:sz w:val="19"/>
                <w:szCs w:val="19"/>
              </w:rPr>
              <w:t>USA</w:t>
            </w:r>
          </w:p>
        </w:tc>
      </w:tr>
      <w:tr w:rsidR="00921A94" w:rsidRPr="00BA421F" w14:paraId="78F38922" w14:textId="77777777" w:rsidTr="007249A3">
        <w:tc>
          <w:tcPr>
            <w:tcW w:w="2041" w:type="dxa"/>
          </w:tcPr>
          <w:p w14:paraId="3C546DF8" w14:textId="77777777" w:rsidR="00921A94" w:rsidRPr="00BA421F" w:rsidRDefault="00921A94" w:rsidP="007249A3">
            <w:pPr>
              <w:pStyle w:val="BodyText"/>
              <w:spacing w:after="0" w:line="240" w:lineRule="auto"/>
              <w:rPr>
                <w:sz w:val="19"/>
                <w:szCs w:val="19"/>
              </w:rPr>
            </w:pPr>
            <w:r w:rsidRPr="00BA421F">
              <w:rPr>
                <w:sz w:val="19"/>
                <w:szCs w:val="19"/>
              </w:rPr>
              <w:t xml:space="preserve">Paulo </w:t>
            </w:r>
            <w:proofErr w:type="spellStart"/>
            <w:r w:rsidRPr="00BA421F">
              <w:rPr>
                <w:sz w:val="19"/>
                <w:szCs w:val="19"/>
              </w:rPr>
              <w:t>Altoé</w:t>
            </w:r>
            <w:proofErr w:type="spellEnd"/>
          </w:p>
        </w:tc>
        <w:tc>
          <w:tcPr>
            <w:tcW w:w="3628" w:type="dxa"/>
          </w:tcPr>
          <w:p w14:paraId="0E0B870F" w14:textId="77777777" w:rsidR="00921A94" w:rsidRPr="00BA421F" w:rsidRDefault="00921A94" w:rsidP="007249A3">
            <w:pPr>
              <w:pStyle w:val="BodyText"/>
              <w:spacing w:after="0" w:line="240" w:lineRule="auto"/>
              <w:rPr>
                <w:sz w:val="19"/>
                <w:szCs w:val="19"/>
              </w:rPr>
            </w:pPr>
            <w:r w:rsidRPr="00BA421F">
              <w:rPr>
                <w:sz w:val="19"/>
                <w:szCs w:val="19"/>
              </w:rPr>
              <w:t>Foams</w:t>
            </w:r>
          </w:p>
        </w:tc>
        <w:tc>
          <w:tcPr>
            <w:tcW w:w="1928" w:type="dxa"/>
          </w:tcPr>
          <w:p w14:paraId="6B48F442" w14:textId="77777777" w:rsidR="00921A94" w:rsidRPr="00BA421F" w:rsidRDefault="00921A94" w:rsidP="007249A3">
            <w:pPr>
              <w:pStyle w:val="BodyText"/>
              <w:spacing w:after="0" w:line="240" w:lineRule="auto"/>
              <w:rPr>
                <w:sz w:val="19"/>
                <w:szCs w:val="19"/>
              </w:rPr>
            </w:pPr>
            <w:r w:rsidRPr="00BA421F">
              <w:rPr>
                <w:sz w:val="19"/>
                <w:szCs w:val="19"/>
              </w:rPr>
              <w:t>FTOC co-chair</w:t>
            </w:r>
          </w:p>
        </w:tc>
        <w:tc>
          <w:tcPr>
            <w:tcW w:w="1191" w:type="dxa"/>
          </w:tcPr>
          <w:p w14:paraId="68CF6F73" w14:textId="77777777" w:rsidR="00921A94" w:rsidRPr="00BA421F" w:rsidRDefault="00921A94" w:rsidP="007249A3">
            <w:pPr>
              <w:pStyle w:val="BodyText"/>
              <w:spacing w:after="0" w:line="240" w:lineRule="auto"/>
              <w:rPr>
                <w:sz w:val="19"/>
                <w:szCs w:val="19"/>
              </w:rPr>
            </w:pPr>
            <w:r w:rsidRPr="00BA421F">
              <w:rPr>
                <w:sz w:val="19"/>
                <w:szCs w:val="19"/>
              </w:rPr>
              <w:t>Brazil</w:t>
            </w:r>
          </w:p>
        </w:tc>
      </w:tr>
      <w:tr w:rsidR="00921A94" w:rsidRPr="00BA421F" w14:paraId="0E4944AD" w14:textId="77777777" w:rsidTr="007249A3">
        <w:tc>
          <w:tcPr>
            <w:tcW w:w="2041" w:type="dxa"/>
          </w:tcPr>
          <w:p w14:paraId="31E0CEF2" w14:textId="77777777" w:rsidR="00921A94" w:rsidRPr="005871F5" w:rsidRDefault="00921A94" w:rsidP="007249A3">
            <w:pPr>
              <w:pStyle w:val="BodyText"/>
              <w:spacing w:after="0" w:line="240" w:lineRule="auto"/>
              <w:rPr>
                <w:sz w:val="19"/>
                <w:szCs w:val="19"/>
              </w:rPr>
            </w:pPr>
            <w:r w:rsidRPr="005871F5">
              <w:rPr>
                <w:sz w:val="19"/>
                <w:szCs w:val="19"/>
              </w:rPr>
              <w:t>Paul Ashford</w:t>
            </w:r>
          </w:p>
        </w:tc>
        <w:tc>
          <w:tcPr>
            <w:tcW w:w="3628" w:type="dxa"/>
          </w:tcPr>
          <w:p w14:paraId="186FDB7B" w14:textId="77777777" w:rsidR="00921A94" w:rsidRPr="005871F5" w:rsidRDefault="00921A94" w:rsidP="007249A3">
            <w:pPr>
              <w:pStyle w:val="BodyText"/>
              <w:spacing w:after="0" w:line="240" w:lineRule="auto"/>
              <w:rPr>
                <w:sz w:val="19"/>
                <w:szCs w:val="19"/>
              </w:rPr>
            </w:pPr>
            <w:r w:rsidRPr="005871F5">
              <w:rPr>
                <w:sz w:val="19"/>
                <w:szCs w:val="19"/>
              </w:rPr>
              <w:t>Foams, banks, emissions modelling</w:t>
            </w:r>
          </w:p>
        </w:tc>
        <w:tc>
          <w:tcPr>
            <w:tcW w:w="1928" w:type="dxa"/>
          </w:tcPr>
          <w:p w14:paraId="1643AEB1" w14:textId="77777777" w:rsidR="00921A94" w:rsidRPr="005871F5" w:rsidRDefault="00921A94" w:rsidP="007249A3">
            <w:pPr>
              <w:pStyle w:val="BodyText"/>
              <w:spacing w:after="0" w:line="240" w:lineRule="auto"/>
              <w:rPr>
                <w:sz w:val="19"/>
                <w:szCs w:val="19"/>
              </w:rPr>
            </w:pPr>
            <w:r w:rsidRPr="005871F5">
              <w:rPr>
                <w:sz w:val="19"/>
                <w:szCs w:val="19"/>
              </w:rPr>
              <w:t>FTOC member</w:t>
            </w:r>
          </w:p>
        </w:tc>
        <w:tc>
          <w:tcPr>
            <w:tcW w:w="1191" w:type="dxa"/>
          </w:tcPr>
          <w:p w14:paraId="3D9167D6" w14:textId="77777777" w:rsidR="00921A94" w:rsidRPr="005871F5" w:rsidRDefault="00921A94" w:rsidP="007249A3">
            <w:pPr>
              <w:pStyle w:val="BodyText"/>
              <w:spacing w:after="0" w:line="240" w:lineRule="auto"/>
              <w:rPr>
                <w:sz w:val="19"/>
                <w:szCs w:val="19"/>
              </w:rPr>
            </w:pPr>
            <w:r w:rsidRPr="005871F5">
              <w:rPr>
                <w:sz w:val="19"/>
                <w:szCs w:val="19"/>
              </w:rPr>
              <w:t>UK</w:t>
            </w:r>
          </w:p>
        </w:tc>
      </w:tr>
      <w:tr w:rsidR="00921A94" w:rsidRPr="00BA421F" w14:paraId="09A4124F" w14:textId="77777777" w:rsidTr="007249A3">
        <w:tc>
          <w:tcPr>
            <w:tcW w:w="2041" w:type="dxa"/>
          </w:tcPr>
          <w:p w14:paraId="2BDC62B6" w14:textId="77777777" w:rsidR="00921A94" w:rsidRPr="005871F5" w:rsidRDefault="00921A94" w:rsidP="007249A3">
            <w:pPr>
              <w:pStyle w:val="BodyText"/>
              <w:spacing w:after="0" w:line="240" w:lineRule="auto"/>
              <w:rPr>
                <w:sz w:val="19"/>
                <w:szCs w:val="19"/>
              </w:rPr>
            </w:pPr>
            <w:r w:rsidRPr="005871F5">
              <w:rPr>
                <w:sz w:val="19"/>
                <w:szCs w:val="19"/>
              </w:rPr>
              <w:t>Nick Campbell</w:t>
            </w:r>
          </w:p>
        </w:tc>
        <w:tc>
          <w:tcPr>
            <w:tcW w:w="3628" w:type="dxa"/>
          </w:tcPr>
          <w:p w14:paraId="40C3ACFE" w14:textId="77777777" w:rsidR="00921A94" w:rsidRPr="005871F5" w:rsidRDefault="00921A94" w:rsidP="007249A3">
            <w:pPr>
              <w:pStyle w:val="BodyText"/>
              <w:spacing w:after="0" w:line="240" w:lineRule="auto"/>
              <w:rPr>
                <w:sz w:val="19"/>
                <w:szCs w:val="19"/>
              </w:rPr>
            </w:pPr>
            <w:r w:rsidRPr="005871F5">
              <w:rPr>
                <w:sz w:val="19"/>
                <w:szCs w:val="19"/>
              </w:rPr>
              <w:t>Production, supply chain</w:t>
            </w:r>
          </w:p>
        </w:tc>
        <w:tc>
          <w:tcPr>
            <w:tcW w:w="1928" w:type="dxa"/>
          </w:tcPr>
          <w:p w14:paraId="2DD0740D" w14:textId="77777777" w:rsidR="00921A94" w:rsidRPr="005871F5" w:rsidRDefault="00921A94" w:rsidP="007249A3">
            <w:pPr>
              <w:pStyle w:val="BodyText"/>
              <w:spacing w:after="0" w:line="240" w:lineRule="auto"/>
              <w:rPr>
                <w:sz w:val="19"/>
                <w:szCs w:val="19"/>
              </w:rPr>
            </w:pPr>
            <w:r w:rsidRPr="005871F5">
              <w:rPr>
                <w:sz w:val="19"/>
                <w:szCs w:val="19"/>
              </w:rPr>
              <w:t>MCTOC member</w:t>
            </w:r>
          </w:p>
        </w:tc>
        <w:tc>
          <w:tcPr>
            <w:tcW w:w="1191" w:type="dxa"/>
          </w:tcPr>
          <w:p w14:paraId="3100E027" w14:textId="77777777" w:rsidR="00921A94" w:rsidRPr="005871F5" w:rsidRDefault="00921A94" w:rsidP="007249A3">
            <w:pPr>
              <w:pStyle w:val="BodyText"/>
              <w:spacing w:after="0" w:line="240" w:lineRule="auto"/>
              <w:rPr>
                <w:sz w:val="19"/>
                <w:szCs w:val="19"/>
              </w:rPr>
            </w:pPr>
            <w:r w:rsidRPr="005871F5">
              <w:rPr>
                <w:sz w:val="19"/>
                <w:szCs w:val="19"/>
              </w:rPr>
              <w:t>France</w:t>
            </w:r>
          </w:p>
        </w:tc>
      </w:tr>
      <w:tr w:rsidR="00921A94" w:rsidRPr="00BA421F" w14:paraId="16B58E60" w14:textId="77777777" w:rsidTr="007249A3">
        <w:tc>
          <w:tcPr>
            <w:tcW w:w="2041" w:type="dxa"/>
          </w:tcPr>
          <w:p w14:paraId="765F27E1" w14:textId="77777777" w:rsidR="00921A94" w:rsidRPr="005871F5" w:rsidRDefault="00921A94" w:rsidP="007249A3">
            <w:pPr>
              <w:pStyle w:val="BodyText"/>
              <w:spacing w:after="0" w:line="240" w:lineRule="auto"/>
              <w:rPr>
                <w:sz w:val="19"/>
                <w:szCs w:val="19"/>
              </w:rPr>
            </w:pPr>
            <w:r w:rsidRPr="005871F5">
              <w:rPr>
                <w:sz w:val="19"/>
                <w:szCs w:val="19"/>
              </w:rPr>
              <w:t>Marco Gonzalez</w:t>
            </w:r>
          </w:p>
        </w:tc>
        <w:tc>
          <w:tcPr>
            <w:tcW w:w="3628" w:type="dxa"/>
          </w:tcPr>
          <w:p w14:paraId="3B89D202" w14:textId="77777777" w:rsidR="00921A94" w:rsidRPr="005871F5" w:rsidRDefault="00921A94" w:rsidP="007249A3">
            <w:pPr>
              <w:pStyle w:val="BodyText"/>
              <w:spacing w:after="0" w:line="240" w:lineRule="auto"/>
              <w:rPr>
                <w:sz w:val="19"/>
                <w:szCs w:val="19"/>
              </w:rPr>
            </w:pPr>
            <w:r w:rsidRPr="005871F5">
              <w:rPr>
                <w:sz w:val="19"/>
                <w:szCs w:val="19"/>
              </w:rPr>
              <w:t>Montreal Protocol and institutions</w:t>
            </w:r>
          </w:p>
        </w:tc>
        <w:tc>
          <w:tcPr>
            <w:tcW w:w="1928" w:type="dxa"/>
          </w:tcPr>
          <w:p w14:paraId="314A6687" w14:textId="77777777" w:rsidR="00921A94" w:rsidRPr="005871F5" w:rsidRDefault="00921A94" w:rsidP="007249A3">
            <w:pPr>
              <w:pStyle w:val="BodyText"/>
              <w:spacing w:after="0" w:line="240" w:lineRule="auto"/>
              <w:rPr>
                <w:sz w:val="19"/>
                <w:szCs w:val="19"/>
              </w:rPr>
            </w:pPr>
            <w:r w:rsidRPr="005871F5">
              <w:rPr>
                <w:sz w:val="19"/>
                <w:szCs w:val="19"/>
              </w:rPr>
              <w:t>TEAP Senior Expert</w:t>
            </w:r>
          </w:p>
        </w:tc>
        <w:tc>
          <w:tcPr>
            <w:tcW w:w="1191" w:type="dxa"/>
          </w:tcPr>
          <w:p w14:paraId="0E4C0DAE" w14:textId="77777777" w:rsidR="00921A94" w:rsidRPr="005871F5" w:rsidRDefault="00921A94" w:rsidP="007249A3">
            <w:pPr>
              <w:pStyle w:val="BodyText"/>
              <w:spacing w:after="0" w:line="240" w:lineRule="auto"/>
              <w:rPr>
                <w:sz w:val="19"/>
                <w:szCs w:val="19"/>
              </w:rPr>
            </w:pPr>
            <w:r w:rsidRPr="005871F5">
              <w:rPr>
                <w:sz w:val="19"/>
                <w:szCs w:val="19"/>
              </w:rPr>
              <w:t>Costa Rica</w:t>
            </w:r>
          </w:p>
        </w:tc>
      </w:tr>
      <w:tr w:rsidR="00921A94" w:rsidRPr="00BA421F" w14:paraId="1918DF3B" w14:textId="77777777" w:rsidTr="007249A3">
        <w:tc>
          <w:tcPr>
            <w:tcW w:w="2041" w:type="dxa"/>
          </w:tcPr>
          <w:p w14:paraId="2D9E9EB5" w14:textId="77777777" w:rsidR="00921A94" w:rsidRPr="005871F5" w:rsidRDefault="00921A94" w:rsidP="007249A3">
            <w:pPr>
              <w:pStyle w:val="BodyText"/>
              <w:spacing w:after="0" w:line="240" w:lineRule="auto"/>
              <w:rPr>
                <w:sz w:val="19"/>
                <w:szCs w:val="19"/>
              </w:rPr>
            </w:pPr>
            <w:proofErr w:type="spellStart"/>
            <w:r w:rsidRPr="005871F5">
              <w:rPr>
                <w:sz w:val="19"/>
                <w:szCs w:val="19"/>
              </w:rPr>
              <w:t>Jianxin</w:t>
            </w:r>
            <w:proofErr w:type="spellEnd"/>
            <w:r w:rsidRPr="005871F5">
              <w:rPr>
                <w:sz w:val="19"/>
                <w:szCs w:val="19"/>
              </w:rPr>
              <w:t xml:space="preserve"> Hu</w:t>
            </w:r>
          </w:p>
        </w:tc>
        <w:tc>
          <w:tcPr>
            <w:tcW w:w="3628" w:type="dxa"/>
          </w:tcPr>
          <w:p w14:paraId="393B5BC6" w14:textId="77777777" w:rsidR="00921A94" w:rsidRPr="005871F5" w:rsidRDefault="00921A94" w:rsidP="007249A3">
            <w:pPr>
              <w:pStyle w:val="BodyText"/>
              <w:spacing w:after="0" w:line="240" w:lineRule="auto"/>
              <w:rPr>
                <w:sz w:val="19"/>
                <w:szCs w:val="19"/>
              </w:rPr>
            </w:pPr>
            <w:r w:rsidRPr="005871F5">
              <w:rPr>
                <w:sz w:val="19"/>
                <w:szCs w:val="19"/>
              </w:rPr>
              <w:t>Production, phase-out</w:t>
            </w:r>
          </w:p>
        </w:tc>
        <w:tc>
          <w:tcPr>
            <w:tcW w:w="1928" w:type="dxa"/>
          </w:tcPr>
          <w:p w14:paraId="353C827D" w14:textId="77777777" w:rsidR="00921A94" w:rsidRPr="005871F5" w:rsidRDefault="00921A94" w:rsidP="007249A3">
            <w:pPr>
              <w:pStyle w:val="BodyText"/>
              <w:spacing w:after="0" w:line="240" w:lineRule="auto"/>
              <w:rPr>
                <w:sz w:val="19"/>
                <w:szCs w:val="19"/>
              </w:rPr>
            </w:pPr>
            <w:r w:rsidRPr="005871F5">
              <w:rPr>
                <w:sz w:val="19"/>
                <w:szCs w:val="19"/>
              </w:rPr>
              <w:t>MCTOC member</w:t>
            </w:r>
          </w:p>
        </w:tc>
        <w:tc>
          <w:tcPr>
            <w:tcW w:w="1191" w:type="dxa"/>
          </w:tcPr>
          <w:p w14:paraId="6D66BACB" w14:textId="77777777" w:rsidR="00921A94" w:rsidRPr="005871F5" w:rsidRDefault="00921A94" w:rsidP="007249A3">
            <w:pPr>
              <w:pStyle w:val="BodyText"/>
              <w:spacing w:after="0" w:line="240" w:lineRule="auto"/>
              <w:rPr>
                <w:sz w:val="19"/>
                <w:szCs w:val="19"/>
              </w:rPr>
            </w:pPr>
            <w:r w:rsidRPr="005871F5">
              <w:rPr>
                <w:sz w:val="19"/>
                <w:szCs w:val="19"/>
              </w:rPr>
              <w:t>PRC</w:t>
            </w:r>
          </w:p>
        </w:tc>
      </w:tr>
      <w:tr w:rsidR="00921A94" w:rsidRPr="00BA421F" w14:paraId="550132B2" w14:textId="77777777" w:rsidTr="007249A3">
        <w:tc>
          <w:tcPr>
            <w:tcW w:w="2041" w:type="dxa"/>
          </w:tcPr>
          <w:p w14:paraId="6A389A0C" w14:textId="77777777" w:rsidR="00921A94" w:rsidRPr="005871F5" w:rsidRDefault="00921A94" w:rsidP="007249A3">
            <w:pPr>
              <w:pStyle w:val="BodyText"/>
              <w:spacing w:after="0" w:line="240" w:lineRule="auto"/>
              <w:rPr>
                <w:sz w:val="19"/>
                <w:szCs w:val="19"/>
              </w:rPr>
            </w:pPr>
            <w:proofErr w:type="spellStart"/>
            <w:r w:rsidRPr="005871F5">
              <w:rPr>
                <w:sz w:val="19"/>
                <w:szCs w:val="19"/>
              </w:rPr>
              <w:t>Rabinder</w:t>
            </w:r>
            <w:proofErr w:type="spellEnd"/>
            <w:r w:rsidRPr="005871F5">
              <w:rPr>
                <w:sz w:val="19"/>
                <w:szCs w:val="19"/>
              </w:rPr>
              <w:t xml:space="preserve"> Kaul</w:t>
            </w:r>
          </w:p>
        </w:tc>
        <w:tc>
          <w:tcPr>
            <w:tcW w:w="3628" w:type="dxa"/>
          </w:tcPr>
          <w:p w14:paraId="187AA05E" w14:textId="77777777" w:rsidR="00921A94" w:rsidRPr="005871F5" w:rsidRDefault="00921A94" w:rsidP="007249A3">
            <w:pPr>
              <w:pStyle w:val="BodyText"/>
              <w:spacing w:after="0" w:line="240" w:lineRule="auto"/>
              <w:rPr>
                <w:sz w:val="19"/>
                <w:szCs w:val="19"/>
              </w:rPr>
            </w:pPr>
            <w:r w:rsidRPr="005871F5">
              <w:rPr>
                <w:sz w:val="19"/>
                <w:szCs w:val="19"/>
              </w:rPr>
              <w:t>Production, supply chain</w:t>
            </w:r>
          </w:p>
        </w:tc>
        <w:tc>
          <w:tcPr>
            <w:tcW w:w="1928" w:type="dxa"/>
          </w:tcPr>
          <w:p w14:paraId="3367001B" w14:textId="101AC7A0" w:rsidR="00921A94" w:rsidRPr="005871F5" w:rsidRDefault="007D211A" w:rsidP="007249A3">
            <w:pPr>
              <w:pStyle w:val="BodyText"/>
              <w:spacing w:after="0" w:line="240" w:lineRule="auto"/>
              <w:rPr>
                <w:sz w:val="19"/>
                <w:szCs w:val="19"/>
              </w:rPr>
            </w:pPr>
            <w:r>
              <w:rPr>
                <w:sz w:val="19"/>
                <w:szCs w:val="19"/>
              </w:rPr>
              <w:t>MCTOC member</w:t>
            </w:r>
          </w:p>
        </w:tc>
        <w:tc>
          <w:tcPr>
            <w:tcW w:w="1191" w:type="dxa"/>
          </w:tcPr>
          <w:p w14:paraId="117BCA01" w14:textId="77777777" w:rsidR="00921A94" w:rsidRPr="005871F5" w:rsidRDefault="00921A94" w:rsidP="007249A3">
            <w:pPr>
              <w:pStyle w:val="BodyText"/>
              <w:spacing w:after="0" w:line="240" w:lineRule="auto"/>
              <w:rPr>
                <w:sz w:val="19"/>
                <w:szCs w:val="19"/>
              </w:rPr>
            </w:pPr>
            <w:r w:rsidRPr="005871F5">
              <w:rPr>
                <w:sz w:val="19"/>
                <w:szCs w:val="19"/>
              </w:rPr>
              <w:t>India</w:t>
            </w:r>
          </w:p>
        </w:tc>
      </w:tr>
      <w:tr w:rsidR="00921A94" w:rsidRPr="00BA421F" w14:paraId="39D85C76" w14:textId="77777777" w:rsidTr="007249A3">
        <w:tc>
          <w:tcPr>
            <w:tcW w:w="2041" w:type="dxa"/>
          </w:tcPr>
          <w:p w14:paraId="2A02C88F" w14:textId="77777777" w:rsidR="00921A94" w:rsidRPr="005871F5" w:rsidRDefault="00921A94" w:rsidP="007249A3">
            <w:pPr>
              <w:pStyle w:val="BodyText"/>
              <w:spacing w:after="0" w:line="240" w:lineRule="auto"/>
              <w:rPr>
                <w:sz w:val="19"/>
                <w:szCs w:val="19"/>
              </w:rPr>
            </w:pPr>
            <w:r w:rsidRPr="005871F5">
              <w:rPr>
                <w:sz w:val="19"/>
                <w:szCs w:val="19"/>
              </w:rPr>
              <w:t xml:space="preserve">Lambert </w:t>
            </w:r>
            <w:proofErr w:type="spellStart"/>
            <w:r w:rsidRPr="005871F5">
              <w:rPr>
                <w:sz w:val="19"/>
                <w:szCs w:val="19"/>
              </w:rPr>
              <w:t>Kuijpers</w:t>
            </w:r>
            <w:proofErr w:type="spellEnd"/>
          </w:p>
        </w:tc>
        <w:tc>
          <w:tcPr>
            <w:tcW w:w="3628" w:type="dxa"/>
          </w:tcPr>
          <w:p w14:paraId="47D4CD05" w14:textId="77777777" w:rsidR="00921A94" w:rsidRPr="005871F5" w:rsidRDefault="00921A94" w:rsidP="007249A3">
            <w:pPr>
              <w:pStyle w:val="BodyText"/>
              <w:spacing w:after="0" w:line="240" w:lineRule="auto"/>
              <w:rPr>
                <w:sz w:val="19"/>
                <w:szCs w:val="19"/>
              </w:rPr>
            </w:pPr>
            <w:r w:rsidRPr="005871F5">
              <w:rPr>
                <w:sz w:val="19"/>
                <w:szCs w:val="19"/>
              </w:rPr>
              <w:t>Refrigeration and air conditioning, banks, emissions modelling</w:t>
            </w:r>
          </w:p>
        </w:tc>
        <w:tc>
          <w:tcPr>
            <w:tcW w:w="1928" w:type="dxa"/>
          </w:tcPr>
          <w:p w14:paraId="49CA2610" w14:textId="77777777" w:rsidR="00921A94" w:rsidRPr="005871F5" w:rsidRDefault="00921A94" w:rsidP="007249A3">
            <w:pPr>
              <w:pStyle w:val="BodyText"/>
              <w:spacing w:after="0" w:line="240" w:lineRule="auto"/>
              <w:rPr>
                <w:sz w:val="19"/>
                <w:szCs w:val="19"/>
              </w:rPr>
            </w:pPr>
            <w:r w:rsidRPr="005871F5">
              <w:rPr>
                <w:sz w:val="19"/>
                <w:szCs w:val="19"/>
              </w:rPr>
              <w:t>RTOC member</w:t>
            </w:r>
          </w:p>
        </w:tc>
        <w:tc>
          <w:tcPr>
            <w:tcW w:w="1191" w:type="dxa"/>
          </w:tcPr>
          <w:p w14:paraId="6B230735" w14:textId="77777777" w:rsidR="00921A94" w:rsidRPr="005871F5" w:rsidRDefault="00921A94" w:rsidP="007249A3">
            <w:pPr>
              <w:pStyle w:val="BodyText"/>
              <w:spacing w:after="0" w:line="240" w:lineRule="auto"/>
              <w:rPr>
                <w:sz w:val="19"/>
                <w:szCs w:val="19"/>
              </w:rPr>
            </w:pPr>
            <w:r w:rsidRPr="005871F5">
              <w:rPr>
                <w:sz w:val="19"/>
                <w:szCs w:val="19"/>
              </w:rPr>
              <w:t>Netherlands</w:t>
            </w:r>
          </w:p>
        </w:tc>
      </w:tr>
      <w:tr w:rsidR="00921A94" w:rsidRPr="00BA421F" w14:paraId="71464D66" w14:textId="77777777" w:rsidTr="007249A3">
        <w:tc>
          <w:tcPr>
            <w:tcW w:w="2041" w:type="dxa"/>
          </w:tcPr>
          <w:p w14:paraId="499D621A" w14:textId="77777777" w:rsidR="00921A94" w:rsidRPr="005871F5" w:rsidRDefault="00921A94" w:rsidP="007249A3">
            <w:pPr>
              <w:pStyle w:val="BodyText"/>
              <w:spacing w:after="0" w:line="240" w:lineRule="auto"/>
              <w:rPr>
                <w:sz w:val="19"/>
                <w:szCs w:val="19"/>
              </w:rPr>
            </w:pPr>
            <w:r w:rsidRPr="005871F5">
              <w:rPr>
                <w:sz w:val="19"/>
                <w:szCs w:val="19"/>
              </w:rPr>
              <w:t>Andy Lindley</w:t>
            </w:r>
          </w:p>
        </w:tc>
        <w:tc>
          <w:tcPr>
            <w:tcW w:w="3628" w:type="dxa"/>
          </w:tcPr>
          <w:p w14:paraId="35C96367" w14:textId="77777777" w:rsidR="00921A94" w:rsidRPr="005871F5" w:rsidRDefault="00921A94" w:rsidP="007249A3">
            <w:pPr>
              <w:pStyle w:val="BodyText"/>
              <w:spacing w:after="0" w:line="240" w:lineRule="auto"/>
              <w:rPr>
                <w:sz w:val="19"/>
                <w:szCs w:val="19"/>
              </w:rPr>
            </w:pPr>
            <w:r w:rsidRPr="005871F5">
              <w:rPr>
                <w:sz w:val="19"/>
                <w:szCs w:val="19"/>
              </w:rPr>
              <w:t>Production, supply chain</w:t>
            </w:r>
          </w:p>
        </w:tc>
        <w:tc>
          <w:tcPr>
            <w:tcW w:w="1928" w:type="dxa"/>
          </w:tcPr>
          <w:p w14:paraId="09F725BC" w14:textId="77777777" w:rsidR="00921A94" w:rsidRPr="005871F5" w:rsidRDefault="00921A94" w:rsidP="007249A3">
            <w:pPr>
              <w:pStyle w:val="BodyText"/>
              <w:spacing w:after="0" w:line="240" w:lineRule="auto"/>
              <w:rPr>
                <w:sz w:val="19"/>
                <w:szCs w:val="19"/>
              </w:rPr>
            </w:pPr>
            <w:r w:rsidRPr="005871F5">
              <w:rPr>
                <w:sz w:val="19"/>
                <w:szCs w:val="19"/>
              </w:rPr>
              <w:t>MCTOC member</w:t>
            </w:r>
          </w:p>
        </w:tc>
        <w:tc>
          <w:tcPr>
            <w:tcW w:w="1191" w:type="dxa"/>
          </w:tcPr>
          <w:p w14:paraId="696F636D" w14:textId="77777777" w:rsidR="00921A94" w:rsidRPr="005871F5" w:rsidRDefault="00921A94" w:rsidP="007249A3">
            <w:pPr>
              <w:pStyle w:val="BodyText"/>
              <w:spacing w:after="0" w:line="240" w:lineRule="auto"/>
              <w:rPr>
                <w:sz w:val="19"/>
                <w:szCs w:val="19"/>
              </w:rPr>
            </w:pPr>
            <w:r w:rsidRPr="005871F5">
              <w:rPr>
                <w:sz w:val="19"/>
                <w:szCs w:val="19"/>
              </w:rPr>
              <w:t>UK</w:t>
            </w:r>
          </w:p>
        </w:tc>
      </w:tr>
      <w:tr w:rsidR="00921A94" w:rsidRPr="00BA421F" w14:paraId="40FC909C" w14:textId="77777777" w:rsidTr="007249A3">
        <w:tc>
          <w:tcPr>
            <w:tcW w:w="2041" w:type="dxa"/>
          </w:tcPr>
          <w:p w14:paraId="5042BDB8" w14:textId="77777777" w:rsidR="00921A94" w:rsidRPr="005871F5" w:rsidRDefault="00921A94" w:rsidP="007249A3">
            <w:pPr>
              <w:pStyle w:val="BodyText"/>
              <w:spacing w:after="0" w:line="240" w:lineRule="auto"/>
              <w:rPr>
                <w:sz w:val="19"/>
                <w:szCs w:val="19"/>
              </w:rPr>
            </w:pPr>
            <w:r w:rsidRPr="005871F5">
              <w:rPr>
                <w:sz w:val="19"/>
                <w:szCs w:val="19"/>
              </w:rPr>
              <w:t>Bella Maranion</w:t>
            </w:r>
          </w:p>
        </w:tc>
        <w:tc>
          <w:tcPr>
            <w:tcW w:w="3628" w:type="dxa"/>
          </w:tcPr>
          <w:p w14:paraId="2B750FFD" w14:textId="77777777" w:rsidR="00921A94" w:rsidRPr="005871F5" w:rsidRDefault="00921A94" w:rsidP="007249A3">
            <w:pPr>
              <w:pStyle w:val="BodyText"/>
              <w:spacing w:after="0" w:line="240" w:lineRule="auto"/>
              <w:rPr>
                <w:sz w:val="19"/>
                <w:szCs w:val="19"/>
              </w:rPr>
            </w:pPr>
            <w:r w:rsidRPr="005871F5">
              <w:rPr>
                <w:sz w:val="19"/>
                <w:szCs w:val="19"/>
              </w:rPr>
              <w:t>Montreal Protocol and institutions</w:t>
            </w:r>
          </w:p>
        </w:tc>
        <w:tc>
          <w:tcPr>
            <w:tcW w:w="1928" w:type="dxa"/>
          </w:tcPr>
          <w:p w14:paraId="44F33613" w14:textId="77777777" w:rsidR="00921A94" w:rsidRPr="005871F5" w:rsidRDefault="00921A94" w:rsidP="007249A3">
            <w:pPr>
              <w:pStyle w:val="BodyText"/>
              <w:spacing w:after="0" w:line="240" w:lineRule="auto"/>
              <w:rPr>
                <w:sz w:val="19"/>
                <w:szCs w:val="19"/>
              </w:rPr>
            </w:pPr>
            <w:r w:rsidRPr="005871F5">
              <w:rPr>
                <w:sz w:val="19"/>
                <w:szCs w:val="19"/>
              </w:rPr>
              <w:t>TEAP co-chair</w:t>
            </w:r>
          </w:p>
        </w:tc>
        <w:tc>
          <w:tcPr>
            <w:tcW w:w="1191" w:type="dxa"/>
          </w:tcPr>
          <w:p w14:paraId="416E5696" w14:textId="27793EAD" w:rsidR="00921A94" w:rsidRPr="005871F5" w:rsidRDefault="004F03D7" w:rsidP="007249A3">
            <w:pPr>
              <w:pStyle w:val="BodyText"/>
              <w:spacing w:after="0" w:line="240" w:lineRule="auto"/>
              <w:rPr>
                <w:sz w:val="19"/>
                <w:szCs w:val="19"/>
              </w:rPr>
            </w:pPr>
            <w:r>
              <w:rPr>
                <w:sz w:val="19"/>
                <w:szCs w:val="19"/>
              </w:rPr>
              <w:t>USA</w:t>
            </w:r>
          </w:p>
        </w:tc>
      </w:tr>
      <w:tr w:rsidR="004A03D5" w:rsidRPr="00BA421F" w14:paraId="1D747981" w14:textId="77777777" w:rsidTr="007249A3">
        <w:tc>
          <w:tcPr>
            <w:tcW w:w="2041" w:type="dxa"/>
          </w:tcPr>
          <w:p w14:paraId="1A4F520C" w14:textId="21746697" w:rsidR="004A03D5" w:rsidRPr="005871F5" w:rsidRDefault="002F5077" w:rsidP="007249A3">
            <w:pPr>
              <w:pStyle w:val="BodyText"/>
              <w:spacing w:after="0" w:line="240" w:lineRule="auto"/>
              <w:rPr>
                <w:sz w:val="19"/>
                <w:szCs w:val="19"/>
              </w:rPr>
            </w:pPr>
            <w:r w:rsidRPr="002F5077">
              <w:rPr>
                <w:sz w:val="19"/>
                <w:szCs w:val="19"/>
              </w:rPr>
              <w:t xml:space="preserve">Elvira </w:t>
            </w:r>
            <w:proofErr w:type="spellStart"/>
            <w:r w:rsidRPr="002F5077">
              <w:rPr>
                <w:sz w:val="19"/>
                <w:szCs w:val="19"/>
              </w:rPr>
              <w:t>Nigido</w:t>
            </w:r>
            <w:proofErr w:type="spellEnd"/>
          </w:p>
        </w:tc>
        <w:tc>
          <w:tcPr>
            <w:tcW w:w="3628" w:type="dxa"/>
          </w:tcPr>
          <w:p w14:paraId="700B663B" w14:textId="4467EA6E" w:rsidR="004A03D5" w:rsidRPr="005871F5" w:rsidRDefault="002F5077" w:rsidP="007249A3">
            <w:pPr>
              <w:pStyle w:val="BodyText"/>
              <w:spacing w:after="0" w:line="240" w:lineRule="auto"/>
              <w:rPr>
                <w:sz w:val="19"/>
                <w:szCs w:val="19"/>
              </w:rPr>
            </w:pPr>
            <w:r w:rsidRPr="002F5077">
              <w:rPr>
                <w:sz w:val="19"/>
                <w:szCs w:val="19"/>
              </w:rPr>
              <w:t>Disposal, detection</w:t>
            </w:r>
          </w:p>
        </w:tc>
        <w:tc>
          <w:tcPr>
            <w:tcW w:w="1928" w:type="dxa"/>
          </w:tcPr>
          <w:p w14:paraId="005DD767" w14:textId="158C354C" w:rsidR="004A03D5" w:rsidRPr="005871F5" w:rsidRDefault="002075FB" w:rsidP="007249A3">
            <w:pPr>
              <w:pStyle w:val="BodyText"/>
              <w:spacing w:after="0" w:line="240" w:lineRule="auto"/>
              <w:rPr>
                <w:sz w:val="19"/>
                <w:szCs w:val="19"/>
              </w:rPr>
            </w:pPr>
            <w:r w:rsidRPr="002075FB">
              <w:rPr>
                <w:sz w:val="19"/>
                <w:szCs w:val="19"/>
              </w:rPr>
              <w:t>HTOC member</w:t>
            </w:r>
          </w:p>
        </w:tc>
        <w:tc>
          <w:tcPr>
            <w:tcW w:w="1191" w:type="dxa"/>
          </w:tcPr>
          <w:p w14:paraId="2B1D4889" w14:textId="798E9638" w:rsidR="004A03D5" w:rsidRPr="005871F5" w:rsidRDefault="002075FB" w:rsidP="007249A3">
            <w:pPr>
              <w:pStyle w:val="BodyText"/>
              <w:spacing w:after="0" w:line="240" w:lineRule="auto"/>
              <w:rPr>
                <w:sz w:val="19"/>
                <w:szCs w:val="19"/>
              </w:rPr>
            </w:pPr>
            <w:r>
              <w:rPr>
                <w:sz w:val="19"/>
                <w:szCs w:val="19"/>
              </w:rPr>
              <w:t>Australia</w:t>
            </w:r>
          </w:p>
        </w:tc>
      </w:tr>
      <w:tr w:rsidR="00921A94" w:rsidRPr="00BA421F" w14:paraId="51436973" w14:textId="77777777" w:rsidTr="007249A3">
        <w:tc>
          <w:tcPr>
            <w:tcW w:w="2041" w:type="dxa"/>
          </w:tcPr>
          <w:p w14:paraId="6EAE1EFE" w14:textId="77777777" w:rsidR="00921A94" w:rsidRPr="005871F5" w:rsidRDefault="00921A94" w:rsidP="007249A3">
            <w:pPr>
              <w:pStyle w:val="BodyText"/>
              <w:spacing w:after="0" w:line="240" w:lineRule="auto"/>
              <w:rPr>
                <w:sz w:val="19"/>
                <w:szCs w:val="19"/>
              </w:rPr>
            </w:pPr>
            <w:r w:rsidRPr="005871F5">
              <w:rPr>
                <w:sz w:val="19"/>
                <w:szCs w:val="19"/>
              </w:rPr>
              <w:t xml:space="preserve">Fabio </w:t>
            </w:r>
            <w:proofErr w:type="spellStart"/>
            <w:r w:rsidRPr="005871F5">
              <w:rPr>
                <w:sz w:val="19"/>
                <w:szCs w:val="19"/>
              </w:rPr>
              <w:t>Polonara</w:t>
            </w:r>
            <w:proofErr w:type="spellEnd"/>
          </w:p>
        </w:tc>
        <w:tc>
          <w:tcPr>
            <w:tcW w:w="3628" w:type="dxa"/>
          </w:tcPr>
          <w:p w14:paraId="28E7E026" w14:textId="77777777" w:rsidR="00921A94" w:rsidRPr="005871F5" w:rsidRDefault="00921A94" w:rsidP="007249A3">
            <w:pPr>
              <w:pStyle w:val="BodyText"/>
              <w:spacing w:after="0" w:line="240" w:lineRule="auto"/>
              <w:rPr>
                <w:sz w:val="19"/>
                <w:szCs w:val="19"/>
              </w:rPr>
            </w:pPr>
            <w:r w:rsidRPr="005871F5">
              <w:rPr>
                <w:sz w:val="19"/>
                <w:szCs w:val="19"/>
              </w:rPr>
              <w:t>Refrigeration and air conditioning</w:t>
            </w:r>
          </w:p>
        </w:tc>
        <w:tc>
          <w:tcPr>
            <w:tcW w:w="1928" w:type="dxa"/>
          </w:tcPr>
          <w:p w14:paraId="628EDE9B" w14:textId="77777777" w:rsidR="00921A94" w:rsidRPr="005871F5" w:rsidRDefault="00921A94" w:rsidP="007249A3">
            <w:pPr>
              <w:pStyle w:val="BodyText"/>
              <w:spacing w:after="0" w:line="240" w:lineRule="auto"/>
              <w:rPr>
                <w:sz w:val="19"/>
                <w:szCs w:val="19"/>
              </w:rPr>
            </w:pPr>
            <w:r w:rsidRPr="005871F5">
              <w:rPr>
                <w:sz w:val="19"/>
                <w:szCs w:val="19"/>
              </w:rPr>
              <w:t>RTOC co-chair</w:t>
            </w:r>
          </w:p>
        </w:tc>
        <w:tc>
          <w:tcPr>
            <w:tcW w:w="1191" w:type="dxa"/>
          </w:tcPr>
          <w:p w14:paraId="1DFEC11E" w14:textId="77777777" w:rsidR="00921A94" w:rsidRPr="005871F5" w:rsidRDefault="00921A94" w:rsidP="007249A3">
            <w:pPr>
              <w:pStyle w:val="BodyText"/>
              <w:spacing w:after="0" w:line="240" w:lineRule="auto"/>
              <w:rPr>
                <w:sz w:val="19"/>
                <w:szCs w:val="19"/>
              </w:rPr>
            </w:pPr>
            <w:r w:rsidRPr="005871F5">
              <w:rPr>
                <w:sz w:val="19"/>
                <w:szCs w:val="19"/>
              </w:rPr>
              <w:t>Italy</w:t>
            </w:r>
          </w:p>
        </w:tc>
      </w:tr>
      <w:tr w:rsidR="00921A94" w:rsidRPr="00BA421F" w14:paraId="4539E452" w14:textId="77777777" w:rsidTr="007249A3">
        <w:tc>
          <w:tcPr>
            <w:tcW w:w="2041" w:type="dxa"/>
          </w:tcPr>
          <w:p w14:paraId="22313A8B" w14:textId="77777777" w:rsidR="00921A94" w:rsidRPr="005871F5" w:rsidRDefault="00921A94" w:rsidP="007249A3">
            <w:pPr>
              <w:pStyle w:val="BodyText"/>
              <w:spacing w:after="0" w:line="240" w:lineRule="auto"/>
              <w:rPr>
                <w:sz w:val="19"/>
                <w:szCs w:val="19"/>
              </w:rPr>
            </w:pPr>
            <w:r w:rsidRPr="005871F5">
              <w:rPr>
                <w:sz w:val="19"/>
                <w:szCs w:val="19"/>
              </w:rPr>
              <w:t>Miguel Quintero</w:t>
            </w:r>
          </w:p>
        </w:tc>
        <w:tc>
          <w:tcPr>
            <w:tcW w:w="3628" w:type="dxa"/>
          </w:tcPr>
          <w:p w14:paraId="559FB133" w14:textId="77777777" w:rsidR="00921A94" w:rsidRPr="005871F5" w:rsidRDefault="00921A94" w:rsidP="007249A3">
            <w:pPr>
              <w:pStyle w:val="BodyText"/>
              <w:spacing w:after="0" w:line="240" w:lineRule="auto"/>
              <w:rPr>
                <w:sz w:val="19"/>
                <w:szCs w:val="19"/>
              </w:rPr>
            </w:pPr>
            <w:r w:rsidRPr="005871F5">
              <w:rPr>
                <w:sz w:val="19"/>
                <w:szCs w:val="19"/>
              </w:rPr>
              <w:t>Foams</w:t>
            </w:r>
          </w:p>
        </w:tc>
        <w:tc>
          <w:tcPr>
            <w:tcW w:w="1928" w:type="dxa"/>
          </w:tcPr>
          <w:p w14:paraId="6A5DCF09" w14:textId="77777777" w:rsidR="00921A94" w:rsidRPr="005871F5" w:rsidRDefault="00921A94" w:rsidP="007249A3">
            <w:pPr>
              <w:pStyle w:val="BodyText"/>
              <w:spacing w:after="0" w:line="240" w:lineRule="auto"/>
              <w:rPr>
                <w:sz w:val="19"/>
                <w:szCs w:val="19"/>
              </w:rPr>
            </w:pPr>
            <w:r w:rsidRPr="005871F5">
              <w:rPr>
                <w:sz w:val="19"/>
                <w:szCs w:val="19"/>
              </w:rPr>
              <w:t>FTOC member</w:t>
            </w:r>
          </w:p>
        </w:tc>
        <w:tc>
          <w:tcPr>
            <w:tcW w:w="1191" w:type="dxa"/>
          </w:tcPr>
          <w:p w14:paraId="2BDC807C" w14:textId="77777777" w:rsidR="00921A94" w:rsidRPr="005871F5" w:rsidRDefault="00921A94" w:rsidP="007249A3">
            <w:pPr>
              <w:pStyle w:val="BodyText"/>
              <w:spacing w:after="0" w:line="240" w:lineRule="auto"/>
              <w:rPr>
                <w:sz w:val="19"/>
                <w:szCs w:val="19"/>
              </w:rPr>
            </w:pPr>
            <w:r w:rsidRPr="005871F5">
              <w:rPr>
                <w:sz w:val="19"/>
                <w:szCs w:val="19"/>
              </w:rPr>
              <w:t>Colombia</w:t>
            </w:r>
          </w:p>
        </w:tc>
      </w:tr>
      <w:tr w:rsidR="00921A94" w:rsidRPr="00BA421F" w14:paraId="2063F75A" w14:textId="77777777" w:rsidTr="007249A3">
        <w:tc>
          <w:tcPr>
            <w:tcW w:w="2041" w:type="dxa"/>
          </w:tcPr>
          <w:p w14:paraId="58F8FE5F" w14:textId="77777777" w:rsidR="00921A94" w:rsidRPr="005871F5" w:rsidRDefault="00921A94" w:rsidP="007249A3">
            <w:pPr>
              <w:pStyle w:val="BodyText"/>
              <w:spacing w:after="0" w:line="240" w:lineRule="auto"/>
              <w:rPr>
                <w:sz w:val="19"/>
                <w:szCs w:val="19"/>
              </w:rPr>
            </w:pPr>
            <w:proofErr w:type="spellStart"/>
            <w:r w:rsidRPr="005871F5">
              <w:rPr>
                <w:sz w:val="19"/>
                <w:szCs w:val="19"/>
              </w:rPr>
              <w:t>Enshan</w:t>
            </w:r>
            <w:proofErr w:type="spellEnd"/>
            <w:r w:rsidRPr="005871F5">
              <w:rPr>
                <w:sz w:val="19"/>
                <w:szCs w:val="19"/>
              </w:rPr>
              <w:t xml:space="preserve"> Sheng</w:t>
            </w:r>
          </w:p>
        </w:tc>
        <w:tc>
          <w:tcPr>
            <w:tcW w:w="3628" w:type="dxa"/>
          </w:tcPr>
          <w:p w14:paraId="63436185" w14:textId="77777777" w:rsidR="00921A94" w:rsidRPr="005871F5" w:rsidRDefault="00921A94" w:rsidP="007249A3">
            <w:pPr>
              <w:pStyle w:val="BodyText"/>
              <w:spacing w:after="0" w:line="240" w:lineRule="auto"/>
              <w:rPr>
                <w:sz w:val="19"/>
                <w:szCs w:val="19"/>
              </w:rPr>
            </w:pPr>
            <w:r w:rsidRPr="005871F5">
              <w:rPr>
                <w:sz w:val="19"/>
                <w:szCs w:val="19"/>
              </w:rPr>
              <w:t>Foams</w:t>
            </w:r>
          </w:p>
        </w:tc>
        <w:tc>
          <w:tcPr>
            <w:tcW w:w="1928" w:type="dxa"/>
          </w:tcPr>
          <w:p w14:paraId="2B011172" w14:textId="1C5F9841" w:rsidR="00921A94" w:rsidRPr="005871F5" w:rsidRDefault="009C1333" w:rsidP="007249A3">
            <w:pPr>
              <w:pStyle w:val="BodyText"/>
              <w:spacing w:after="0" w:line="240" w:lineRule="auto"/>
              <w:rPr>
                <w:sz w:val="19"/>
                <w:szCs w:val="19"/>
              </w:rPr>
            </w:pPr>
            <w:r>
              <w:rPr>
                <w:sz w:val="19"/>
                <w:szCs w:val="19"/>
              </w:rPr>
              <w:t>FTOC member</w:t>
            </w:r>
          </w:p>
        </w:tc>
        <w:tc>
          <w:tcPr>
            <w:tcW w:w="1191" w:type="dxa"/>
          </w:tcPr>
          <w:p w14:paraId="63070BFE" w14:textId="77777777" w:rsidR="00921A94" w:rsidRPr="005871F5" w:rsidRDefault="00921A94" w:rsidP="007249A3">
            <w:pPr>
              <w:pStyle w:val="BodyText"/>
              <w:spacing w:after="0" w:line="240" w:lineRule="auto"/>
              <w:rPr>
                <w:sz w:val="19"/>
                <w:szCs w:val="19"/>
              </w:rPr>
            </w:pPr>
            <w:r w:rsidRPr="005871F5">
              <w:rPr>
                <w:sz w:val="19"/>
                <w:szCs w:val="19"/>
              </w:rPr>
              <w:t>Singapore</w:t>
            </w:r>
          </w:p>
        </w:tc>
      </w:tr>
      <w:tr w:rsidR="00921A94" w:rsidRPr="00BA421F" w14:paraId="43A7B927" w14:textId="77777777" w:rsidTr="007249A3">
        <w:tc>
          <w:tcPr>
            <w:tcW w:w="2041" w:type="dxa"/>
          </w:tcPr>
          <w:p w14:paraId="3614F6A3" w14:textId="77777777" w:rsidR="00921A94" w:rsidRPr="005871F5" w:rsidRDefault="00921A94" w:rsidP="007249A3">
            <w:pPr>
              <w:pStyle w:val="BodyText"/>
              <w:spacing w:after="0" w:line="240" w:lineRule="auto"/>
              <w:rPr>
                <w:sz w:val="19"/>
                <w:szCs w:val="19"/>
              </w:rPr>
            </w:pPr>
            <w:r w:rsidRPr="005871F5">
              <w:rPr>
                <w:sz w:val="19"/>
                <w:szCs w:val="19"/>
              </w:rPr>
              <w:t>David Sherry</w:t>
            </w:r>
          </w:p>
        </w:tc>
        <w:tc>
          <w:tcPr>
            <w:tcW w:w="3628" w:type="dxa"/>
          </w:tcPr>
          <w:p w14:paraId="5D4694DE" w14:textId="77777777" w:rsidR="00921A94" w:rsidRPr="005871F5" w:rsidRDefault="00921A94" w:rsidP="007249A3">
            <w:pPr>
              <w:pStyle w:val="BodyText"/>
              <w:spacing w:after="0" w:line="240" w:lineRule="auto"/>
              <w:rPr>
                <w:sz w:val="19"/>
                <w:szCs w:val="19"/>
              </w:rPr>
            </w:pPr>
            <w:r w:rsidRPr="005871F5">
              <w:rPr>
                <w:sz w:val="19"/>
                <w:szCs w:val="19"/>
              </w:rPr>
              <w:t>Production</w:t>
            </w:r>
            <w:r>
              <w:rPr>
                <w:sz w:val="19"/>
                <w:szCs w:val="19"/>
              </w:rPr>
              <w:t>, supply chain</w:t>
            </w:r>
          </w:p>
        </w:tc>
        <w:tc>
          <w:tcPr>
            <w:tcW w:w="1928" w:type="dxa"/>
          </w:tcPr>
          <w:p w14:paraId="77C9F7B0" w14:textId="3044D23F" w:rsidR="00921A94" w:rsidRPr="005871F5" w:rsidRDefault="009C1333" w:rsidP="007249A3">
            <w:pPr>
              <w:pStyle w:val="BodyText"/>
              <w:spacing w:after="0" w:line="240" w:lineRule="auto"/>
              <w:rPr>
                <w:sz w:val="19"/>
                <w:szCs w:val="19"/>
              </w:rPr>
            </w:pPr>
            <w:r>
              <w:rPr>
                <w:sz w:val="19"/>
                <w:szCs w:val="19"/>
              </w:rPr>
              <w:t>MCTOC member</w:t>
            </w:r>
          </w:p>
        </w:tc>
        <w:tc>
          <w:tcPr>
            <w:tcW w:w="1191" w:type="dxa"/>
          </w:tcPr>
          <w:p w14:paraId="1A30227C" w14:textId="77777777" w:rsidR="00921A94" w:rsidRPr="005871F5" w:rsidRDefault="00921A94" w:rsidP="007249A3">
            <w:pPr>
              <w:pStyle w:val="BodyText"/>
              <w:spacing w:after="0" w:line="240" w:lineRule="auto"/>
              <w:rPr>
                <w:sz w:val="19"/>
                <w:szCs w:val="19"/>
              </w:rPr>
            </w:pPr>
            <w:r w:rsidRPr="005871F5">
              <w:rPr>
                <w:sz w:val="19"/>
                <w:szCs w:val="19"/>
              </w:rPr>
              <w:t>UK</w:t>
            </w:r>
          </w:p>
        </w:tc>
      </w:tr>
      <w:tr w:rsidR="00921A94" w:rsidRPr="00BA421F" w14:paraId="2BE26EED" w14:textId="77777777" w:rsidTr="007249A3">
        <w:tc>
          <w:tcPr>
            <w:tcW w:w="2041" w:type="dxa"/>
          </w:tcPr>
          <w:p w14:paraId="655775FA" w14:textId="77777777" w:rsidR="00921A94" w:rsidRPr="005871F5" w:rsidRDefault="00921A94" w:rsidP="007249A3">
            <w:pPr>
              <w:pStyle w:val="BodyText"/>
              <w:spacing w:after="0" w:line="240" w:lineRule="auto"/>
              <w:rPr>
                <w:sz w:val="19"/>
                <w:szCs w:val="19"/>
              </w:rPr>
            </w:pPr>
            <w:r w:rsidRPr="005871F5">
              <w:rPr>
                <w:sz w:val="19"/>
                <w:szCs w:val="19"/>
              </w:rPr>
              <w:t>Peter Sleigh</w:t>
            </w:r>
          </w:p>
        </w:tc>
        <w:tc>
          <w:tcPr>
            <w:tcW w:w="3628" w:type="dxa"/>
          </w:tcPr>
          <w:p w14:paraId="6755DB2D" w14:textId="77777777" w:rsidR="00921A94" w:rsidRPr="005871F5" w:rsidRDefault="00921A94" w:rsidP="007249A3">
            <w:pPr>
              <w:pStyle w:val="BodyText"/>
              <w:spacing w:after="0" w:line="240" w:lineRule="auto"/>
              <w:rPr>
                <w:sz w:val="19"/>
                <w:szCs w:val="19"/>
              </w:rPr>
            </w:pPr>
            <w:r w:rsidRPr="005871F5">
              <w:rPr>
                <w:sz w:val="19"/>
                <w:szCs w:val="19"/>
              </w:rPr>
              <w:t>Production, supply chain</w:t>
            </w:r>
          </w:p>
        </w:tc>
        <w:tc>
          <w:tcPr>
            <w:tcW w:w="1928" w:type="dxa"/>
          </w:tcPr>
          <w:p w14:paraId="63C62D1B" w14:textId="0C37CB35" w:rsidR="00921A94" w:rsidRPr="005871F5" w:rsidRDefault="009C1333" w:rsidP="007249A3">
            <w:pPr>
              <w:pStyle w:val="BodyText"/>
              <w:spacing w:after="0" w:line="240" w:lineRule="auto"/>
              <w:rPr>
                <w:sz w:val="19"/>
                <w:szCs w:val="19"/>
              </w:rPr>
            </w:pPr>
            <w:r>
              <w:rPr>
                <w:sz w:val="19"/>
                <w:szCs w:val="19"/>
              </w:rPr>
              <w:t>MCTOC member</w:t>
            </w:r>
          </w:p>
        </w:tc>
        <w:tc>
          <w:tcPr>
            <w:tcW w:w="1191" w:type="dxa"/>
          </w:tcPr>
          <w:p w14:paraId="44BD43E5" w14:textId="77777777" w:rsidR="00921A94" w:rsidRPr="005871F5" w:rsidRDefault="00921A94" w:rsidP="007249A3">
            <w:pPr>
              <w:pStyle w:val="BodyText"/>
              <w:spacing w:after="0" w:line="240" w:lineRule="auto"/>
              <w:rPr>
                <w:sz w:val="19"/>
                <w:szCs w:val="19"/>
              </w:rPr>
            </w:pPr>
            <w:r w:rsidRPr="005871F5">
              <w:rPr>
                <w:sz w:val="19"/>
                <w:szCs w:val="19"/>
              </w:rPr>
              <w:t>UK</w:t>
            </w:r>
          </w:p>
        </w:tc>
      </w:tr>
      <w:tr w:rsidR="00921A94" w:rsidRPr="00BA421F" w14:paraId="211F9145" w14:textId="77777777" w:rsidTr="007249A3">
        <w:tc>
          <w:tcPr>
            <w:tcW w:w="2041" w:type="dxa"/>
          </w:tcPr>
          <w:p w14:paraId="28C63F8F" w14:textId="77777777" w:rsidR="00921A94" w:rsidRPr="005871F5" w:rsidRDefault="00921A94" w:rsidP="007249A3">
            <w:pPr>
              <w:pStyle w:val="BodyText"/>
              <w:spacing w:after="0" w:line="240" w:lineRule="auto"/>
              <w:rPr>
                <w:sz w:val="19"/>
                <w:szCs w:val="19"/>
              </w:rPr>
            </w:pPr>
            <w:r w:rsidRPr="005871F5">
              <w:rPr>
                <w:sz w:val="19"/>
                <w:szCs w:val="19"/>
              </w:rPr>
              <w:t xml:space="preserve">Christina </w:t>
            </w:r>
            <w:proofErr w:type="spellStart"/>
            <w:r w:rsidRPr="005871F5">
              <w:rPr>
                <w:sz w:val="19"/>
                <w:szCs w:val="19"/>
              </w:rPr>
              <w:t>Theodoridi</w:t>
            </w:r>
            <w:proofErr w:type="spellEnd"/>
          </w:p>
        </w:tc>
        <w:tc>
          <w:tcPr>
            <w:tcW w:w="3628" w:type="dxa"/>
          </w:tcPr>
          <w:p w14:paraId="58811309" w14:textId="77777777" w:rsidR="00921A94" w:rsidRPr="005871F5" w:rsidRDefault="00921A94" w:rsidP="007249A3">
            <w:pPr>
              <w:pStyle w:val="BodyText"/>
              <w:spacing w:after="0" w:line="240" w:lineRule="auto"/>
              <w:rPr>
                <w:sz w:val="19"/>
                <w:szCs w:val="19"/>
              </w:rPr>
            </w:pPr>
            <w:r w:rsidRPr="005871F5">
              <w:rPr>
                <w:sz w:val="19"/>
                <w:szCs w:val="19"/>
              </w:rPr>
              <w:t>Catalyst, emissions modelling</w:t>
            </w:r>
          </w:p>
        </w:tc>
        <w:tc>
          <w:tcPr>
            <w:tcW w:w="1928" w:type="dxa"/>
          </w:tcPr>
          <w:p w14:paraId="6AC4220C" w14:textId="77777777" w:rsidR="00921A94" w:rsidRPr="005871F5" w:rsidRDefault="00921A94" w:rsidP="007249A3">
            <w:pPr>
              <w:pStyle w:val="BodyText"/>
              <w:spacing w:after="0" w:line="240" w:lineRule="auto"/>
              <w:rPr>
                <w:sz w:val="19"/>
                <w:szCs w:val="19"/>
              </w:rPr>
            </w:pPr>
            <w:r w:rsidRPr="005871F5">
              <w:rPr>
                <w:sz w:val="19"/>
                <w:szCs w:val="19"/>
              </w:rPr>
              <w:t>NRDC</w:t>
            </w:r>
          </w:p>
        </w:tc>
        <w:tc>
          <w:tcPr>
            <w:tcW w:w="1191" w:type="dxa"/>
          </w:tcPr>
          <w:p w14:paraId="015B2824" w14:textId="77777777" w:rsidR="00921A94" w:rsidRPr="005871F5" w:rsidRDefault="00921A94" w:rsidP="007249A3">
            <w:pPr>
              <w:pStyle w:val="BodyText"/>
              <w:spacing w:after="0" w:line="240" w:lineRule="auto"/>
              <w:rPr>
                <w:sz w:val="19"/>
                <w:szCs w:val="19"/>
              </w:rPr>
            </w:pPr>
            <w:r w:rsidRPr="005871F5">
              <w:rPr>
                <w:sz w:val="19"/>
                <w:szCs w:val="19"/>
              </w:rPr>
              <w:t>Greece</w:t>
            </w:r>
          </w:p>
        </w:tc>
      </w:tr>
      <w:tr w:rsidR="00A83A5D" w:rsidRPr="00BA421F" w14:paraId="44A774B7" w14:textId="77777777" w:rsidTr="007249A3">
        <w:tc>
          <w:tcPr>
            <w:tcW w:w="2041" w:type="dxa"/>
          </w:tcPr>
          <w:p w14:paraId="7E4B8A2F" w14:textId="1C84E085" w:rsidR="00A83A5D" w:rsidRPr="005871F5" w:rsidRDefault="00A83A5D" w:rsidP="007249A3">
            <w:pPr>
              <w:pStyle w:val="BodyText"/>
              <w:spacing w:after="0" w:line="240" w:lineRule="auto"/>
              <w:rPr>
                <w:sz w:val="19"/>
                <w:szCs w:val="19"/>
              </w:rPr>
            </w:pPr>
            <w:r>
              <w:rPr>
                <w:sz w:val="19"/>
                <w:szCs w:val="19"/>
              </w:rPr>
              <w:t>Jianjun Zhang</w:t>
            </w:r>
          </w:p>
        </w:tc>
        <w:tc>
          <w:tcPr>
            <w:tcW w:w="3628" w:type="dxa"/>
          </w:tcPr>
          <w:p w14:paraId="33011B12" w14:textId="77777777" w:rsidR="00A83A5D" w:rsidRPr="005871F5" w:rsidRDefault="00A83A5D" w:rsidP="007249A3">
            <w:pPr>
              <w:pStyle w:val="BodyText"/>
              <w:spacing w:after="0" w:line="240" w:lineRule="auto"/>
              <w:rPr>
                <w:sz w:val="19"/>
                <w:szCs w:val="19"/>
              </w:rPr>
            </w:pPr>
            <w:r w:rsidRPr="005871F5">
              <w:rPr>
                <w:sz w:val="19"/>
                <w:szCs w:val="19"/>
              </w:rPr>
              <w:t>Production, supply chain, solvents</w:t>
            </w:r>
          </w:p>
        </w:tc>
        <w:tc>
          <w:tcPr>
            <w:tcW w:w="1928" w:type="dxa"/>
          </w:tcPr>
          <w:p w14:paraId="4C784DE4" w14:textId="77777777" w:rsidR="00A83A5D" w:rsidRPr="005871F5" w:rsidRDefault="00A83A5D" w:rsidP="007249A3">
            <w:pPr>
              <w:pStyle w:val="BodyText"/>
              <w:spacing w:after="0" w:line="240" w:lineRule="auto"/>
              <w:rPr>
                <w:sz w:val="19"/>
                <w:szCs w:val="19"/>
              </w:rPr>
            </w:pPr>
            <w:r w:rsidRPr="005871F5">
              <w:rPr>
                <w:sz w:val="19"/>
                <w:szCs w:val="19"/>
              </w:rPr>
              <w:t>MCTOC co-chair</w:t>
            </w:r>
          </w:p>
        </w:tc>
        <w:tc>
          <w:tcPr>
            <w:tcW w:w="1191" w:type="dxa"/>
          </w:tcPr>
          <w:p w14:paraId="3E510130" w14:textId="0BB96857" w:rsidR="00A83A5D" w:rsidRPr="005871F5" w:rsidRDefault="009C03B4" w:rsidP="007249A3">
            <w:pPr>
              <w:pStyle w:val="BodyText"/>
              <w:spacing w:after="0" w:line="240" w:lineRule="auto"/>
              <w:rPr>
                <w:sz w:val="19"/>
                <w:szCs w:val="19"/>
              </w:rPr>
            </w:pPr>
            <w:r>
              <w:rPr>
                <w:sz w:val="19"/>
                <w:szCs w:val="19"/>
              </w:rPr>
              <w:t>PRC</w:t>
            </w:r>
          </w:p>
        </w:tc>
      </w:tr>
      <w:tr w:rsidR="00921A94" w:rsidRPr="00BA421F" w14:paraId="12A68234" w14:textId="77777777" w:rsidTr="007249A3">
        <w:tc>
          <w:tcPr>
            <w:tcW w:w="2041" w:type="dxa"/>
            <w:tcBorders>
              <w:bottom w:val="single" w:sz="4" w:space="0" w:color="auto"/>
            </w:tcBorders>
            <w:shd w:val="clear" w:color="auto" w:fill="D5DCE4" w:themeFill="text2" w:themeFillTint="33"/>
          </w:tcPr>
          <w:p w14:paraId="52B141D8" w14:textId="77777777" w:rsidR="00921A94" w:rsidRPr="005871F5" w:rsidRDefault="00921A94" w:rsidP="007249A3">
            <w:pPr>
              <w:pStyle w:val="BodyText"/>
              <w:spacing w:after="0" w:line="240" w:lineRule="auto"/>
              <w:rPr>
                <w:b/>
                <w:sz w:val="19"/>
                <w:szCs w:val="19"/>
              </w:rPr>
            </w:pPr>
            <w:r w:rsidRPr="005871F5">
              <w:rPr>
                <w:b/>
                <w:sz w:val="19"/>
                <w:szCs w:val="19"/>
              </w:rPr>
              <w:t>Consulting Experts</w:t>
            </w:r>
          </w:p>
        </w:tc>
        <w:tc>
          <w:tcPr>
            <w:tcW w:w="3628" w:type="dxa"/>
            <w:tcBorders>
              <w:bottom w:val="single" w:sz="4" w:space="0" w:color="auto"/>
            </w:tcBorders>
            <w:shd w:val="clear" w:color="auto" w:fill="D5DCE4" w:themeFill="text2" w:themeFillTint="33"/>
          </w:tcPr>
          <w:p w14:paraId="7537E890" w14:textId="77777777" w:rsidR="00921A94" w:rsidRPr="005871F5" w:rsidRDefault="00921A94" w:rsidP="007249A3">
            <w:pPr>
              <w:pStyle w:val="BodyText"/>
              <w:spacing w:after="0" w:line="240" w:lineRule="auto"/>
              <w:rPr>
                <w:b/>
                <w:sz w:val="19"/>
                <w:szCs w:val="19"/>
              </w:rPr>
            </w:pPr>
            <w:r w:rsidRPr="005871F5">
              <w:rPr>
                <w:b/>
                <w:sz w:val="19"/>
                <w:szCs w:val="19"/>
              </w:rPr>
              <w:t>Relevant Expertise to the Task Force</w:t>
            </w:r>
          </w:p>
        </w:tc>
        <w:tc>
          <w:tcPr>
            <w:tcW w:w="1928" w:type="dxa"/>
            <w:tcBorders>
              <w:bottom w:val="single" w:sz="4" w:space="0" w:color="auto"/>
            </w:tcBorders>
            <w:shd w:val="clear" w:color="auto" w:fill="D5DCE4" w:themeFill="text2" w:themeFillTint="33"/>
          </w:tcPr>
          <w:p w14:paraId="7CE1C822" w14:textId="77777777" w:rsidR="00921A94" w:rsidRPr="005871F5" w:rsidRDefault="00921A94" w:rsidP="007249A3">
            <w:pPr>
              <w:pStyle w:val="BodyText"/>
              <w:spacing w:after="0" w:line="240" w:lineRule="auto"/>
              <w:rPr>
                <w:b/>
                <w:sz w:val="19"/>
                <w:szCs w:val="19"/>
              </w:rPr>
            </w:pPr>
            <w:r w:rsidRPr="005871F5">
              <w:rPr>
                <w:b/>
                <w:sz w:val="19"/>
                <w:szCs w:val="19"/>
              </w:rPr>
              <w:t>Affiliation</w:t>
            </w:r>
          </w:p>
        </w:tc>
        <w:tc>
          <w:tcPr>
            <w:tcW w:w="1191" w:type="dxa"/>
            <w:tcBorders>
              <w:bottom w:val="single" w:sz="4" w:space="0" w:color="auto"/>
            </w:tcBorders>
            <w:shd w:val="clear" w:color="auto" w:fill="D5DCE4" w:themeFill="text2" w:themeFillTint="33"/>
          </w:tcPr>
          <w:p w14:paraId="7CC7A8E0" w14:textId="77777777" w:rsidR="00921A94" w:rsidRPr="005871F5" w:rsidRDefault="00921A94" w:rsidP="007249A3">
            <w:pPr>
              <w:pStyle w:val="BodyText"/>
              <w:spacing w:after="0" w:line="240" w:lineRule="auto"/>
              <w:rPr>
                <w:b/>
                <w:sz w:val="19"/>
                <w:szCs w:val="19"/>
              </w:rPr>
            </w:pPr>
            <w:r w:rsidRPr="005871F5">
              <w:rPr>
                <w:b/>
                <w:sz w:val="19"/>
                <w:szCs w:val="19"/>
              </w:rPr>
              <w:t>Party</w:t>
            </w:r>
          </w:p>
        </w:tc>
      </w:tr>
      <w:tr w:rsidR="004E6AF7" w:rsidRPr="00BA421F" w14:paraId="7803F7AD" w14:textId="77777777" w:rsidTr="007249A3">
        <w:trPr>
          <w:trHeight w:val="119"/>
        </w:trPr>
        <w:tc>
          <w:tcPr>
            <w:tcW w:w="2041" w:type="dxa"/>
          </w:tcPr>
          <w:p w14:paraId="3DFB69F6" w14:textId="2B3072D2" w:rsidR="004E6AF7" w:rsidRPr="005871F5" w:rsidRDefault="004E6AF7" w:rsidP="007249A3">
            <w:pPr>
              <w:pStyle w:val="BodyText"/>
              <w:spacing w:after="0" w:line="240" w:lineRule="auto"/>
              <w:rPr>
                <w:sz w:val="19"/>
                <w:szCs w:val="19"/>
              </w:rPr>
            </w:pPr>
            <w:r>
              <w:rPr>
                <w:sz w:val="19"/>
                <w:szCs w:val="19"/>
              </w:rPr>
              <w:t>Paul Fraser</w:t>
            </w:r>
          </w:p>
        </w:tc>
        <w:tc>
          <w:tcPr>
            <w:tcW w:w="3628" w:type="dxa"/>
          </w:tcPr>
          <w:p w14:paraId="711CC739" w14:textId="65CB352B" w:rsidR="004E6AF7" w:rsidRPr="005871F5" w:rsidRDefault="004E6AF7" w:rsidP="007249A3">
            <w:pPr>
              <w:pStyle w:val="BodyText"/>
              <w:spacing w:after="0" w:line="240" w:lineRule="auto"/>
              <w:rPr>
                <w:sz w:val="19"/>
                <w:szCs w:val="19"/>
              </w:rPr>
            </w:pPr>
            <w:r>
              <w:rPr>
                <w:sz w:val="19"/>
                <w:szCs w:val="19"/>
              </w:rPr>
              <w:t>Atmospheric science</w:t>
            </w:r>
          </w:p>
        </w:tc>
        <w:tc>
          <w:tcPr>
            <w:tcW w:w="1928" w:type="dxa"/>
          </w:tcPr>
          <w:p w14:paraId="7813D322" w14:textId="562BC81D" w:rsidR="004E6AF7" w:rsidRPr="005871F5" w:rsidRDefault="004E6AF7" w:rsidP="007249A3">
            <w:pPr>
              <w:pStyle w:val="BodyText"/>
              <w:spacing w:after="0" w:line="240" w:lineRule="auto"/>
              <w:rPr>
                <w:sz w:val="19"/>
                <w:szCs w:val="19"/>
              </w:rPr>
            </w:pPr>
            <w:r>
              <w:rPr>
                <w:sz w:val="19"/>
                <w:szCs w:val="19"/>
              </w:rPr>
              <w:t>CSIRO</w:t>
            </w:r>
          </w:p>
        </w:tc>
        <w:tc>
          <w:tcPr>
            <w:tcW w:w="1191" w:type="dxa"/>
          </w:tcPr>
          <w:p w14:paraId="2B97C241" w14:textId="23E3595E" w:rsidR="004E6AF7" w:rsidRPr="005871F5" w:rsidRDefault="004E6AF7" w:rsidP="007249A3">
            <w:pPr>
              <w:pStyle w:val="BodyText"/>
              <w:spacing w:after="0" w:line="240" w:lineRule="auto"/>
              <w:rPr>
                <w:sz w:val="19"/>
                <w:szCs w:val="19"/>
              </w:rPr>
            </w:pPr>
            <w:r>
              <w:rPr>
                <w:sz w:val="19"/>
                <w:szCs w:val="19"/>
              </w:rPr>
              <w:t>Australia</w:t>
            </w:r>
          </w:p>
        </w:tc>
      </w:tr>
      <w:tr w:rsidR="00170833" w:rsidRPr="00BA421F" w14:paraId="288912BE" w14:textId="77777777" w:rsidTr="007249A3">
        <w:trPr>
          <w:trHeight w:val="119"/>
        </w:trPr>
        <w:tc>
          <w:tcPr>
            <w:tcW w:w="2041" w:type="dxa"/>
          </w:tcPr>
          <w:p w14:paraId="5D87C25E" w14:textId="44B61B78" w:rsidR="00170833" w:rsidRPr="005871F5" w:rsidRDefault="00170833" w:rsidP="007249A3">
            <w:pPr>
              <w:pStyle w:val="BodyText"/>
              <w:spacing w:after="0" w:line="240" w:lineRule="auto"/>
              <w:rPr>
                <w:sz w:val="19"/>
                <w:szCs w:val="19"/>
              </w:rPr>
            </w:pPr>
            <w:r>
              <w:rPr>
                <w:sz w:val="19"/>
                <w:szCs w:val="19"/>
              </w:rPr>
              <w:t xml:space="preserve">Nick </w:t>
            </w:r>
            <w:proofErr w:type="spellStart"/>
            <w:r>
              <w:rPr>
                <w:sz w:val="19"/>
                <w:szCs w:val="19"/>
              </w:rPr>
              <w:t>Harbeck</w:t>
            </w:r>
            <w:proofErr w:type="spellEnd"/>
          </w:p>
        </w:tc>
        <w:tc>
          <w:tcPr>
            <w:tcW w:w="3628" w:type="dxa"/>
          </w:tcPr>
          <w:p w14:paraId="3C3874C7" w14:textId="54DBB5AF" w:rsidR="00170833" w:rsidRPr="005871F5" w:rsidRDefault="003A244E" w:rsidP="007249A3">
            <w:pPr>
              <w:pStyle w:val="BodyText"/>
              <w:spacing w:after="0" w:line="240" w:lineRule="auto"/>
              <w:rPr>
                <w:sz w:val="19"/>
                <w:szCs w:val="19"/>
              </w:rPr>
            </w:pPr>
            <w:r>
              <w:rPr>
                <w:sz w:val="19"/>
                <w:szCs w:val="19"/>
              </w:rPr>
              <w:t>M</w:t>
            </w:r>
            <w:r w:rsidR="00140EE5">
              <w:rPr>
                <w:sz w:val="19"/>
                <w:szCs w:val="19"/>
              </w:rPr>
              <w:t>odelling</w:t>
            </w:r>
          </w:p>
        </w:tc>
        <w:tc>
          <w:tcPr>
            <w:tcW w:w="1928" w:type="dxa"/>
          </w:tcPr>
          <w:p w14:paraId="5CE4CDF5" w14:textId="61AE2B97" w:rsidR="00170833" w:rsidRPr="005871F5" w:rsidRDefault="00140EE5" w:rsidP="007249A3">
            <w:pPr>
              <w:pStyle w:val="BodyText"/>
              <w:spacing w:after="0" w:line="240" w:lineRule="auto"/>
              <w:rPr>
                <w:sz w:val="19"/>
                <w:szCs w:val="19"/>
              </w:rPr>
            </w:pPr>
            <w:r w:rsidRPr="00140EE5">
              <w:rPr>
                <w:sz w:val="19"/>
                <w:szCs w:val="19"/>
              </w:rPr>
              <w:t>Air-Conditioning, Heating, and Refrigeration Institute</w:t>
            </w:r>
          </w:p>
        </w:tc>
        <w:tc>
          <w:tcPr>
            <w:tcW w:w="1191" w:type="dxa"/>
          </w:tcPr>
          <w:p w14:paraId="50BE1DC6" w14:textId="7B905981" w:rsidR="00170833" w:rsidRPr="005871F5" w:rsidRDefault="004F03D7" w:rsidP="007249A3">
            <w:pPr>
              <w:pStyle w:val="BodyText"/>
              <w:spacing w:after="0" w:line="240" w:lineRule="auto"/>
              <w:rPr>
                <w:sz w:val="19"/>
                <w:szCs w:val="19"/>
              </w:rPr>
            </w:pPr>
            <w:r>
              <w:rPr>
                <w:sz w:val="19"/>
                <w:szCs w:val="19"/>
              </w:rPr>
              <w:t>USA</w:t>
            </w:r>
          </w:p>
        </w:tc>
      </w:tr>
      <w:tr w:rsidR="00921A94" w:rsidRPr="00BA421F" w14:paraId="4517F807" w14:textId="77777777" w:rsidTr="007249A3">
        <w:trPr>
          <w:trHeight w:val="119"/>
        </w:trPr>
        <w:tc>
          <w:tcPr>
            <w:tcW w:w="2041" w:type="dxa"/>
          </w:tcPr>
          <w:p w14:paraId="616E3913" w14:textId="77777777" w:rsidR="00921A94" w:rsidRPr="005871F5" w:rsidRDefault="00921A94" w:rsidP="007249A3">
            <w:pPr>
              <w:pStyle w:val="BodyText"/>
              <w:spacing w:after="0" w:line="240" w:lineRule="auto"/>
              <w:rPr>
                <w:sz w:val="19"/>
                <w:szCs w:val="19"/>
              </w:rPr>
            </w:pPr>
            <w:r w:rsidRPr="005871F5">
              <w:rPr>
                <w:sz w:val="19"/>
                <w:szCs w:val="19"/>
              </w:rPr>
              <w:t xml:space="preserve">Steve </w:t>
            </w:r>
            <w:proofErr w:type="spellStart"/>
            <w:r w:rsidRPr="005871F5">
              <w:rPr>
                <w:sz w:val="19"/>
                <w:szCs w:val="19"/>
              </w:rPr>
              <w:t>Montzka</w:t>
            </w:r>
            <w:proofErr w:type="spellEnd"/>
          </w:p>
        </w:tc>
        <w:tc>
          <w:tcPr>
            <w:tcW w:w="3628" w:type="dxa"/>
          </w:tcPr>
          <w:p w14:paraId="5C9075AD" w14:textId="77777777" w:rsidR="00921A94" w:rsidRPr="005871F5" w:rsidRDefault="00921A94" w:rsidP="007249A3">
            <w:pPr>
              <w:pStyle w:val="BodyText"/>
              <w:spacing w:after="0" w:line="240" w:lineRule="auto"/>
              <w:rPr>
                <w:sz w:val="19"/>
                <w:szCs w:val="19"/>
              </w:rPr>
            </w:pPr>
            <w:r w:rsidRPr="005871F5">
              <w:rPr>
                <w:sz w:val="19"/>
                <w:szCs w:val="19"/>
              </w:rPr>
              <w:t>Atmospheric science</w:t>
            </w:r>
          </w:p>
        </w:tc>
        <w:tc>
          <w:tcPr>
            <w:tcW w:w="1928" w:type="dxa"/>
          </w:tcPr>
          <w:p w14:paraId="2CFF5DA4" w14:textId="77777777" w:rsidR="00921A94" w:rsidRPr="005871F5" w:rsidRDefault="00921A94" w:rsidP="007249A3">
            <w:pPr>
              <w:pStyle w:val="BodyText"/>
              <w:spacing w:after="0" w:line="240" w:lineRule="auto"/>
              <w:rPr>
                <w:sz w:val="19"/>
                <w:szCs w:val="19"/>
              </w:rPr>
            </w:pPr>
            <w:r w:rsidRPr="005871F5">
              <w:rPr>
                <w:sz w:val="19"/>
                <w:szCs w:val="19"/>
              </w:rPr>
              <w:t>NOAA</w:t>
            </w:r>
          </w:p>
        </w:tc>
        <w:tc>
          <w:tcPr>
            <w:tcW w:w="1191" w:type="dxa"/>
          </w:tcPr>
          <w:p w14:paraId="5BB836B7" w14:textId="3EBF2833" w:rsidR="00921A94" w:rsidRPr="005871F5" w:rsidRDefault="004F03D7" w:rsidP="007249A3">
            <w:pPr>
              <w:pStyle w:val="BodyText"/>
              <w:spacing w:after="0" w:line="240" w:lineRule="auto"/>
              <w:rPr>
                <w:sz w:val="19"/>
                <w:szCs w:val="19"/>
              </w:rPr>
            </w:pPr>
            <w:r>
              <w:rPr>
                <w:sz w:val="19"/>
                <w:szCs w:val="19"/>
              </w:rPr>
              <w:t>USA</w:t>
            </w:r>
          </w:p>
        </w:tc>
      </w:tr>
      <w:tr w:rsidR="00921A94" w:rsidRPr="00BA421F" w14:paraId="42F4292F" w14:textId="77777777" w:rsidTr="007249A3">
        <w:trPr>
          <w:trHeight w:val="155"/>
        </w:trPr>
        <w:tc>
          <w:tcPr>
            <w:tcW w:w="2041" w:type="dxa"/>
          </w:tcPr>
          <w:p w14:paraId="4392ED73" w14:textId="77777777" w:rsidR="00921A94" w:rsidRPr="005871F5" w:rsidRDefault="00921A94" w:rsidP="007249A3">
            <w:pPr>
              <w:pStyle w:val="BodyText"/>
              <w:spacing w:after="0" w:line="240" w:lineRule="auto"/>
              <w:rPr>
                <w:sz w:val="19"/>
                <w:szCs w:val="19"/>
              </w:rPr>
            </w:pPr>
            <w:r w:rsidRPr="005871F5">
              <w:rPr>
                <w:sz w:val="19"/>
                <w:szCs w:val="19"/>
              </w:rPr>
              <w:t>Matt Rigby</w:t>
            </w:r>
          </w:p>
        </w:tc>
        <w:tc>
          <w:tcPr>
            <w:tcW w:w="3628" w:type="dxa"/>
          </w:tcPr>
          <w:p w14:paraId="76AC247F" w14:textId="77777777" w:rsidR="00921A94" w:rsidRPr="005871F5" w:rsidRDefault="00921A94" w:rsidP="007249A3">
            <w:pPr>
              <w:pStyle w:val="BodyText"/>
              <w:spacing w:after="0" w:line="240" w:lineRule="auto"/>
              <w:rPr>
                <w:sz w:val="19"/>
                <w:szCs w:val="19"/>
              </w:rPr>
            </w:pPr>
            <w:r w:rsidRPr="00217C11">
              <w:rPr>
                <w:sz w:val="19"/>
                <w:szCs w:val="19"/>
              </w:rPr>
              <w:t>Atmospheric science</w:t>
            </w:r>
          </w:p>
        </w:tc>
        <w:tc>
          <w:tcPr>
            <w:tcW w:w="1928" w:type="dxa"/>
          </w:tcPr>
          <w:p w14:paraId="45012687" w14:textId="77777777" w:rsidR="00921A94" w:rsidRPr="005871F5" w:rsidRDefault="00921A94" w:rsidP="007249A3">
            <w:pPr>
              <w:pStyle w:val="BodyText"/>
              <w:spacing w:after="0" w:line="240" w:lineRule="auto"/>
              <w:rPr>
                <w:sz w:val="19"/>
                <w:szCs w:val="19"/>
              </w:rPr>
            </w:pPr>
            <w:r w:rsidRPr="005871F5">
              <w:rPr>
                <w:sz w:val="19"/>
                <w:szCs w:val="19"/>
              </w:rPr>
              <w:t>University of Bristol</w:t>
            </w:r>
          </w:p>
        </w:tc>
        <w:tc>
          <w:tcPr>
            <w:tcW w:w="1191" w:type="dxa"/>
          </w:tcPr>
          <w:p w14:paraId="582FF5C3" w14:textId="77777777" w:rsidR="00921A94" w:rsidRPr="005871F5" w:rsidRDefault="00921A94" w:rsidP="007249A3">
            <w:pPr>
              <w:pStyle w:val="BodyText"/>
              <w:spacing w:after="0" w:line="240" w:lineRule="auto"/>
              <w:rPr>
                <w:sz w:val="19"/>
                <w:szCs w:val="19"/>
              </w:rPr>
            </w:pPr>
            <w:r w:rsidRPr="005871F5">
              <w:rPr>
                <w:sz w:val="19"/>
                <w:szCs w:val="19"/>
              </w:rPr>
              <w:t>UK</w:t>
            </w:r>
          </w:p>
        </w:tc>
      </w:tr>
      <w:tr w:rsidR="00921A94" w:rsidRPr="00BA421F" w14:paraId="50AEF73D" w14:textId="77777777" w:rsidTr="007249A3">
        <w:tc>
          <w:tcPr>
            <w:tcW w:w="2041" w:type="dxa"/>
          </w:tcPr>
          <w:p w14:paraId="2BDCC6C5" w14:textId="77777777" w:rsidR="00921A94" w:rsidRPr="005871F5" w:rsidRDefault="00921A94" w:rsidP="007249A3">
            <w:pPr>
              <w:pStyle w:val="BodyText"/>
              <w:spacing w:after="0" w:line="240" w:lineRule="auto"/>
              <w:rPr>
                <w:sz w:val="19"/>
                <w:szCs w:val="19"/>
              </w:rPr>
            </w:pPr>
            <w:r w:rsidRPr="005871F5">
              <w:rPr>
                <w:sz w:val="19"/>
                <w:szCs w:val="19"/>
              </w:rPr>
              <w:t>Susan Solomon</w:t>
            </w:r>
          </w:p>
        </w:tc>
        <w:tc>
          <w:tcPr>
            <w:tcW w:w="3628" w:type="dxa"/>
          </w:tcPr>
          <w:p w14:paraId="4FC22D1C" w14:textId="3B8ED3DB" w:rsidR="00921A94" w:rsidRPr="005871F5" w:rsidRDefault="00921A94" w:rsidP="007249A3">
            <w:pPr>
              <w:pStyle w:val="BodyText"/>
              <w:spacing w:after="0" w:line="240" w:lineRule="auto"/>
              <w:rPr>
                <w:sz w:val="19"/>
                <w:szCs w:val="19"/>
              </w:rPr>
            </w:pPr>
            <w:r w:rsidRPr="00217C11">
              <w:rPr>
                <w:sz w:val="19"/>
                <w:szCs w:val="19"/>
              </w:rPr>
              <w:t>Atmospheric science</w:t>
            </w:r>
          </w:p>
        </w:tc>
        <w:tc>
          <w:tcPr>
            <w:tcW w:w="1928" w:type="dxa"/>
          </w:tcPr>
          <w:p w14:paraId="67497831" w14:textId="77777777" w:rsidR="00921A94" w:rsidRPr="005871F5" w:rsidRDefault="00921A94" w:rsidP="007249A3">
            <w:pPr>
              <w:pStyle w:val="BodyText"/>
              <w:spacing w:after="0" w:line="240" w:lineRule="auto"/>
              <w:rPr>
                <w:sz w:val="19"/>
                <w:szCs w:val="19"/>
              </w:rPr>
            </w:pPr>
            <w:r w:rsidRPr="005871F5">
              <w:rPr>
                <w:sz w:val="19"/>
                <w:szCs w:val="19"/>
              </w:rPr>
              <w:t>MIT</w:t>
            </w:r>
          </w:p>
        </w:tc>
        <w:tc>
          <w:tcPr>
            <w:tcW w:w="1191" w:type="dxa"/>
          </w:tcPr>
          <w:p w14:paraId="0894D4A8" w14:textId="392412B8" w:rsidR="00921A94" w:rsidRPr="005871F5" w:rsidRDefault="004F03D7" w:rsidP="007249A3">
            <w:pPr>
              <w:pStyle w:val="BodyText"/>
              <w:spacing w:after="0" w:line="240" w:lineRule="auto"/>
              <w:rPr>
                <w:sz w:val="19"/>
                <w:szCs w:val="19"/>
              </w:rPr>
            </w:pPr>
            <w:r>
              <w:rPr>
                <w:sz w:val="19"/>
                <w:szCs w:val="19"/>
              </w:rPr>
              <w:t>USA</w:t>
            </w:r>
          </w:p>
        </w:tc>
      </w:tr>
      <w:tr w:rsidR="00921A94" w:rsidRPr="00BA421F" w14:paraId="054E4FF8" w14:textId="77777777" w:rsidTr="007249A3">
        <w:tc>
          <w:tcPr>
            <w:tcW w:w="2041" w:type="dxa"/>
          </w:tcPr>
          <w:p w14:paraId="634FC091" w14:textId="77777777" w:rsidR="00921A94" w:rsidRPr="005871F5" w:rsidRDefault="00921A94" w:rsidP="007249A3">
            <w:pPr>
              <w:pStyle w:val="BodyText"/>
              <w:spacing w:after="0" w:line="240" w:lineRule="auto"/>
              <w:rPr>
                <w:sz w:val="19"/>
                <w:szCs w:val="19"/>
              </w:rPr>
            </w:pPr>
            <w:proofErr w:type="spellStart"/>
            <w:r w:rsidRPr="005871F5">
              <w:rPr>
                <w:sz w:val="19"/>
                <w:szCs w:val="19"/>
              </w:rPr>
              <w:t>Guus</w:t>
            </w:r>
            <w:proofErr w:type="spellEnd"/>
            <w:r w:rsidRPr="005871F5">
              <w:rPr>
                <w:sz w:val="19"/>
                <w:szCs w:val="19"/>
              </w:rPr>
              <w:t xml:space="preserve"> </w:t>
            </w:r>
            <w:proofErr w:type="spellStart"/>
            <w:r w:rsidRPr="005871F5">
              <w:rPr>
                <w:sz w:val="19"/>
                <w:szCs w:val="19"/>
              </w:rPr>
              <w:t>Velders</w:t>
            </w:r>
            <w:proofErr w:type="spellEnd"/>
          </w:p>
        </w:tc>
        <w:tc>
          <w:tcPr>
            <w:tcW w:w="3628" w:type="dxa"/>
          </w:tcPr>
          <w:p w14:paraId="059B599D" w14:textId="3E09E979" w:rsidR="00921A94" w:rsidRPr="005871F5" w:rsidRDefault="00921A94" w:rsidP="007249A3">
            <w:pPr>
              <w:pStyle w:val="BodyText"/>
              <w:spacing w:after="0" w:line="240" w:lineRule="auto"/>
              <w:rPr>
                <w:sz w:val="19"/>
                <w:szCs w:val="19"/>
              </w:rPr>
            </w:pPr>
            <w:r w:rsidRPr="00217C11">
              <w:rPr>
                <w:sz w:val="19"/>
                <w:szCs w:val="19"/>
              </w:rPr>
              <w:t>Atmospheric science</w:t>
            </w:r>
            <w:r>
              <w:rPr>
                <w:sz w:val="19"/>
                <w:szCs w:val="19"/>
              </w:rPr>
              <w:t xml:space="preserve"> and modelling</w:t>
            </w:r>
          </w:p>
        </w:tc>
        <w:tc>
          <w:tcPr>
            <w:tcW w:w="1928" w:type="dxa"/>
          </w:tcPr>
          <w:p w14:paraId="33C994D5" w14:textId="77777777" w:rsidR="00921A94" w:rsidRPr="005871F5" w:rsidRDefault="00921A94" w:rsidP="007249A3">
            <w:pPr>
              <w:pStyle w:val="BodyText"/>
              <w:spacing w:after="0" w:line="240" w:lineRule="auto"/>
              <w:rPr>
                <w:sz w:val="19"/>
                <w:szCs w:val="19"/>
              </w:rPr>
            </w:pPr>
            <w:r w:rsidRPr="005871F5">
              <w:rPr>
                <w:sz w:val="19"/>
                <w:szCs w:val="19"/>
              </w:rPr>
              <w:t>Utrecht University</w:t>
            </w:r>
          </w:p>
        </w:tc>
        <w:tc>
          <w:tcPr>
            <w:tcW w:w="1191" w:type="dxa"/>
          </w:tcPr>
          <w:p w14:paraId="575F7D14" w14:textId="77777777" w:rsidR="00921A94" w:rsidRPr="005871F5" w:rsidRDefault="00921A94" w:rsidP="007249A3">
            <w:pPr>
              <w:pStyle w:val="BodyText"/>
              <w:spacing w:after="0" w:line="240" w:lineRule="auto"/>
              <w:rPr>
                <w:sz w:val="19"/>
                <w:szCs w:val="19"/>
              </w:rPr>
            </w:pPr>
            <w:r w:rsidRPr="005871F5">
              <w:rPr>
                <w:sz w:val="19"/>
                <w:szCs w:val="19"/>
              </w:rPr>
              <w:t>Netherlands</w:t>
            </w:r>
          </w:p>
        </w:tc>
      </w:tr>
    </w:tbl>
    <w:p w14:paraId="03B96213" w14:textId="77777777" w:rsidR="00921A94" w:rsidRPr="001D6DAF" w:rsidRDefault="00921A94" w:rsidP="001D6DAF">
      <w:pPr>
        <w:rPr>
          <w:lang w:val="en-US" w:eastAsia="fr-FR"/>
        </w:rPr>
      </w:pPr>
    </w:p>
    <w:p w14:paraId="08411191" w14:textId="7275D0FB" w:rsidR="00F20A36" w:rsidRDefault="005A7022" w:rsidP="00751ECE">
      <w:pPr>
        <w:pStyle w:val="Heading2"/>
      </w:pPr>
      <w:bookmarkStart w:id="125" w:name="_Toc73045588"/>
      <w:r>
        <w:t>1.3</w:t>
      </w:r>
      <w:r>
        <w:tab/>
      </w:r>
      <w:r w:rsidR="00B875DB">
        <w:t xml:space="preserve">Overview of </w:t>
      </w:r>
      <w:r w:rsidR="00F20A36">
        <w:t xml:space="preserve">the </w:t>
      </w:r>
      <w:r w:rsidR="003453A4">
        <w:t xml:space="preserve">2019 </w:t>
      </w:r>
      <w:r w:rsidR="00FF0776">
        <w:t xml:space="preserve">Task Force </w:t>
      </w:r>
      <w:r w:rsidR="00D22432">
        <w:t xml:space="preserve">Final </w:t>
      </w:r>
      <w:r w:rsidR="00FF0776">
        <w:t>Report</w:t>
      </w:r>
      <w:bookmarkEnd w:id="125"/>
    </w:p>
    <w:p w14:paraId="78AF02F3" w14:textId="7E11AF09" w:rsidR="00D22432" w:rsidRDefault="002C548C" w:rsidP="00F20A36">
      <w:pPr>
        <w:rPr>
          <w:lang w:val="en-US" w:eastAsia="fr-FR"/>
        </w:rPr>
      </w:pPr>
      <w:r>
        <w:rPr>
          <w:lang w:val="en-US" w:eastAsia="fr-FR"/>
        </w:rPr>
        <w:t>D</w:t>
      </w:r>
      <w:r w:rsidRPr="008853C8">
        <w:rPr>
          <w:lang w:val="en-US" w:eastAsia="fr-FR"/>
        </w:rPr>
        <w:t>ecision XXX/3 request</w:t>
      </w:r>
      <w:r>
        <w:rPr>
          <w:lang w:val="en-US" w:eastAsia="fr-FR"/>
        </w:rPr>
        <w:t>ed</w:t>
      </w:r>
      <w:r w:rsidRPr="008853C8">
        <w:rPr>
          <w:lang w:val="en-US" w:eastAsia="fr-FR"/>
        </w:rPr>
        <w:t xml:space="preserve"> TEAP to “</w:t>
      </w:r>
      <w:r w:rsidRPr="0059513E">
        <w:rPr>
          <w:i/>
          <w:iCs/>
          <w:lang w:val="en-US" w:eastAsia="fr-FR"/>
        </w:rPr>
        <w:t>provide information on potential sources of emissions of CFC-11 and related controlled substances from potential production and uses, as well as from banks, that may have resulted in emissions of CFC-11 in unexpected quantities in the relevant regions</w:t>
      </w:r>
      <w:r w:rsidRPr="008853C8">
        <w:rPr>
          <w:lang w:val="en-US" w:eastAsia="fr-FR"/>
        </w:rPr>
        <w:t>”</w:t>
      </w:r>
      <w:r>
        <w:rPr>
          <w:lang w:val="en-US" w:eastAsia="fr-FR"/>
        </w:rPr>
        <w:t xml:space="preserve"> and </w:t>
      </w:r>
      <w:r w:rsidR="004B16B8" w:rsidRPr="004B16B8">
        <w:rPr>
          <w:lang w:val="en-US" w:eastAsia="fr-FR"/>
        </w:rPr>
        <w:t xml:space="preserve">to prepare a preliminary report for </w:t>
      </w:r>
      <w:r w:rsidR="00805624">
        <w:rPr>
          <w:lang w:val="en-US" w:eastAsia="fr-FR"/>
        </w:rPr>
        <w:t>OEWG-41</w:t>
      </w:r>
      <w:r w:rsidR="004B16B8" w:rsidRPr="004B16B8">
        <w:rPr>
          <w:lang w:val="en-US" w:eastAsia="fr-FR"/>
        </w:rPr>
        <w:t xml:space="preserve"> and a final report for </w:t>
      </w:r>
      <w:r w:rsidR="00805624">
        <w:rPr>
          <w:lang w:val="en-US" w:eastAsia="fr-FR"/>
        </w:rPr>
        <w:t>MOP-31</w:t>
      </w:r>
      <w:r w:rsidR="004B16B8" w:rsidRPr="004B16B8">
        <w:rPr>
          <w:lang w:val="en-US" w:eastAsia="fr-FR"/>
        </w:rPr>
        <w:t>.</w:t>
      </w:r>
      <w:r w:rsidR="004B16B8">
        <w:rPr>
          <w:lang w:val="en-US" w:eastAsia="fr-FR"/>
        </w:rPr>
        <w:t xml:space="preserve"> </w:t>
      </w:r>
      <w:r w:rsidR="00D22432">
        <w:rPr>
          <w:lang w:val="en-US" w:eastAsia="fr-FR"/>
        </w:rPr>
        <w:t xml:space="preserve">The 2019 Task Force Final Report </w:t>
      </w:r>
      <w:r w:rsidR="0006372A">
        <w:rPr>
          <w:lang w:val="en-US" w:eastAsia="fr-FR"/>
        </w:rPr>
        <w:t>added directly to</w:t>
      </w:r>
      <w:r w:rsidR="00D22432">
        <w:rPr>
          <w:lang w:val="en-US" w:eastAsia="fr-FR"/>
        </w:rPr>
        <w:t xml:space="preserve"> </w:t>
      </w:r>
      <w:r w:rsidR="0006372A">
        <w:rPr>
          <w:lang w:val="en-US" w:eastAsia="fr-FR"/>
        </w:rPr>
        <w:t xml:space="preserve">the preliminary report </w:t>
      </w:r>
      <w:r w:rsidR="00B935B5">
        <w:rPr>
          <w:lang w:val="en-US" w:eastAsia="fr-FR"/>
        </w:rPr>
        <w:t xml:space="preserve">to </w:t>
      </w:r>
      <w:r w:rsidR="0042316D">
        <w:rPr>
          <w:lang w:val="en-US" w:eastAsia="fr-FR"/>
        </w:rPr>
        <w:t>conclude</w:t>
      </w:r>
      <w:r w:rsidR="00B935B5">
        <w:rPr>
          <w:lang w:val="en-US" w:eastAsia="fr-FR"/>
        </w:rPr>
        <w:t xml:space="preserve"> TEAP’s response to decision XXX/3.</w:t>
      </w:r>
      <w:r w:rsidR="0006372A">
        <w:rPr>
          <w:lang w:val="en-US" w:eastAsia="fr-FR"/>
        </w:rPr>
        <w:t xml:space="preserve"> </w:t>
      </w:r>
    </w:p>
    <w:p w14:paraId="598B35B3" w14:textId="6D54EE8A" w:rsidR="004338EF" w:rsidRDefault="007D123A" w:rsidP="00EC50A8">
      <w:r>
        <w:t xml:space="preserve">The key messages from the 2019 Task Force Report </w:t>
      </w:r>
      <w:r w:rsidR="004338EF">
        <w:t>are reproduced in Appendix 1 and summarised below:</w:t>
      </w:r>
    </w:p>
    <w:p w14:paraId="559299C9" w14:textId="7928B502" w:rsidR="004338EF" w:rsidRPr="004338EF" w:rsidRDefault="004338EF" w:rsidP="00043208">
      <w:pPr>
        <w:pStyle w:val="ListParagraph"/>
        <w:numPr>
          <w:ilvl w:val="0"/>
          <w:numId w:val="70"/>
        </w:numPr>
      </w:pPr>
      <w:r w:rsidRPr="004338EF">
        <w:t xml:space="preserve">Pre-2010 CFC-11 production and usage is unlikely to explain the </w:t>
      </w:r>
      <w:r w:rsidR="00CA2612">
        <w:t xml:space="preserve">unexpected </w:t>
      </w:r>
      <w:r w:rsidRPr="004338EF">
        <w:t>increase</w:t>
      </w:r>
      <w:r w:rsidR="00CA2612">
        <w:t xml:space="preserve"> in</w:t>
      </w:r>
      <w:r w:rsidRPr="004338EF">
        <w:t xml:space="preserve"> CFC-11 emissions</w:t>
      </w:r>
      <w:r w:rsidR="001015EE">
        <w:t>, including existing foam banks</w:t>
      </w:r>
      <w:r w:rsidRPr="004338EF">
        <w:t xml:space="preserve">. </w:t>
      </w:r>
    </w:p>
    <w:p w14:paraId="38100787" w14:textId="2D8B9A55" w:rsidR="003A3B60" w:rsidRDefault="003A3B60" w:rsidP="003A3B60">
      <w:pPr>
        <w:pStyle w:val="ListParagraph"/>
        <w:numPr>
          <w:ilvl w:val="0"/>
          <w:numId w:val="70"/>
        </w:numPr>
      </w:pPr>
      <w:r>
        <w:t>It is unlikely that there has been a resumption of newly produced CFC-11 usage in refrigeration and air-conditioning uses, flexible foams, aerosols, solvents, feedstock uses, tobacco expansion and other miscellaneous applications.</w:t>
      </w:r>
      <w:r w:rsidR="0076055D">
        <w:t xml:space="preserve"> </w:t>
      </w:r>
    </w:p>
    <w:p w14:paraId="59FD8DE6" w14:textId="77777777" w:rsidR="003A3B60" w:rsidRDefault="003A3B60" w:rsidP="003A3B60">
      <w:pPr>
        <w:pStyle w:val="ListParagraph"/>
        <w:numPr>
          <w:ilvl w:val="0"/>
          <w:numId w:val="70"/>
        </w:numPr>
      </w:pPr>
      <w:r>
        <w:t>It is likely that there has been a resumption of newly produced CFC-11 usage in closed-cell foams.</w:t>
      </w:r>
    </w:p>
    <w:p w14:paraId="7082F63B" w14:textId="6F733146" w:rsidR="004338EF" w:rsidRPr="004338EF" w:rsidRDefault="004338EF" w:rsidP="00043208">
      <w:pPr>
        <w:pStyle w:val="ListParagraph"/>
        <w:numPr>
          <w:ilvl w:val="0"/>
          <w:numId w:val="70"/>
        </w:numPr>
      </w:pPr>
      <w:r w:rsidRPr="004338EF">
        <w:lastRenderedPageBreak/>
        <w:t xml:space="preserve">Newly produced CFC-11 usage in closed-cell foams results in immediate CFC-11 emissions increase, and long-term emissions increase </w:t>
      </w:r>
      <w:r w:rsidR="00CA2612">
        <w:t xml:space="preserve">resulting </w:t>
      </w:r>
      <w:r w:rsidRPr="004338EF">
        <w:t xml:space="preserve">from </w:t>
      </w:r>
      <w:r w:rsidR="008E0FF5">
        <w:t>enlarged</w:t>
      </w:r>
      <w:r w:rsidR="00767E20">
        <w:t xml:space="preserve"> </w:t>
      </w:r>
      <w:r w:rsidRPr="004338EF">
        <w:t xml:space="preserve">foam banks. </w:t>
      </w:r>
    </w:p>
    <w:p w14:paraId="41443664" w14:textId="29A65088" w:rsidR="004338EF" w:rsidRPr="004338EF" w:rsidRDefault="004338EF" w:rsidP="00043208">
      <w:pPr>
        <w:pStyle w:val="ListParagraph"/>
        <w:numPr>
          <w:ilvl w:val="0"/>
          <w:numId w:val="70"/>
        </w:numPr>
      </w:pPr>
      <w:r w:rsidRPr="004338EF">
        <w:t xml:space="preserve">An estimated 40 to 70 </w:t>
      </w:r>
      <w:proofErr w:type="spellStart"/>
      <w:r w:rsidR="009A622E">
        <w:t>kilo</w:t>
      </w:r>
      <w:r w:rsidRPr="004338EF">
        <w:t>tonnes</w:t>
      </w:r>
      <w:proofErr w:type="spellEnd"/>
      <w:r w:rsidRPr="004338EF">
        <w:t xml:space="preserve">/year CFC-11 production would be required to supply the post-2010 foams usage and other associated emissions. </w:t>
      </w:r>
    </w:p>
    <w:p w14:paraId="70E77CB5" w14:textId="0CE0D77E" w:rsidR="004338EF" w:rsidRPr="004338EF" w:rsidRDefault="004338EF" w:rsidP="00043208">
      <w:pPr>
        <w:pStyle w:val="ListParagraph"/>
        <w:numPr>
          <w:ilvl w:val="0"/>
          <w:numId w:val="70"/>
        </w:numPr>
      </w:pPr>
      <w:r w:rsidRPr="004338EF">
        <w:t xml:space="preserve">45 to 120 </w:t>
      </w:r>
      <w:proofErr w:type="spellStart"/>
      <w:r w:rsidR="005229B0">
        <w:t>kilo</w:t>
      </w:r>
      <w:r w:rsidRPr="004338EF">
        <w:t>tonnes</w:t>
      </w:r>
      <w:proofErr w:type="spellEnd"/>
      <w:r w:rsidRPr="004338EF">
        <w:t>/year CTC would be required to supply the estimated CFC-11 production, likely at lower end of the range.</w:t>
      </w:r>
    </w:p>
    <w:p w14:paraId="48DAE45B" w14:textId="4347D341" w:rsidR="004338EF" w:rsidRDefault="004338EF" w:rsidP="004338EF">
      <w:pPr>
        <w:pStyle w:val="ListParagraph"/>
        <w:numPr>
          <w:ilvl w:val="0"/>
          <w:numId w:val="70"/>
        </w:numPr>
      </w:pPr>
      <w:r w:rsidRPr="004338EF">
        <w:t>Most likely CFC-11 production routes</w:t>
      </w:r>
      <w:r w:rsidR="00EF6E94">
        <w:t xml:space="preserve"> were considered to be</w:t>
      </w:r>
      <w:r w:rsidRPr="004338EF">
        <w:t>:</w:t>
      </w:r>
    </w:p>
    <w:p w14:paraId="764F3E70" w14:textId="28B7A802" w:rsidR="004338EF" w:rsidRDefault="004338EF" w:rsidP="00043208">
      <w:pPr>
        <w:pStyle w:val="ListParagraph"/>
        <w:numPr>
          <w:ilvl w:val="1"/>
          <w:numId w:val="70"/>
        </w:numPr>
      </w:pPr>
      <w:r w:rsidRPr="004338EF">
        <w:rPr>
          <w:rFonts w:hint="eastAsia"/>
        </w:rPr>
        <w:t>CTC to CFC-11/12 on a large-scale (</w:t>
      </w:r>
      <w:r w:rsidRPr="004338EF">
        <w:rPr>
          <w:rFonts w:hint="eastAsia"/>
        </w:rPr>
        <w:t>≥</w:t>
      </w:r>
      <w:r w:rsidRPr="004338EF">
        <w:rPr>
          <w:rFonts w:hint="eastAsia"/>
        </w:rPr>
        <w:t xml:space="preserve"> 50 </w:t>
      </w:r>
      <w:proofErr w:type="spellStart"/>
      <w:r w:rsidR="009A3073">
        <w:t>kilo</w:t>
      </w:r>
      <w:r w:rsidRPr="004338EF">
        <w:rPr>
          <w:rFonts w:hint="eastAsia"/>
        </w:rPr>
        <w:t>tonnes</w:t>
      </w:r>
      <w:proofErr w:type="spellEnd"/>
      <w:r w:rsidRPr="004338EF">
        <w:rPr>
          <w:rFonts w:hint="eastAsia"/>
        </w:rPr>
        <w:t>/year) in an existing liquid phase plant (HCFC-22 and/or HFC-32 plant)</w:t>
      </w:r>
    </w:p>
    <w:p w14:paraId="7FD17E2C" w14:textId="48ABAF27" w:rsidR="004338EF" w:rsidRDefault="004338EF" w:rsidP="00043208">
      <w:pPr>
        <w:pStyle w:val="ListParagraph"/>
        <w:numPr>
          <w:ilvl w:val="1"/>
          <w:numId w:val="70"/>
        </w:numPr>
      </w:pPr>
      <w:r w:rsidRPr="004338EF">
        <w:t>CTC to CFC-11 on micro-scale (</w:t>
      </w:r>
      <w:r w:rsidR="006A68DD">
        <w:t>0.</w:t>
      </w:r>
      <w:r w:rsidRPr="004338EF">
        <w:t xml:space="preserve">1 to 2 </w:t>
      </w:r>
      <w:proofErr w:type="spellStart"/>
      <w:r w:rsidR="00BC4880">
        <w:t>kilo</w:t>
      </w:r>
      <w:r w:rsidRPr="004338EF">
        <w:t>tonnes</w:t>
      </w:r>
      <w:proofErr w:type="spellEnd"/>
      <w:r w:rsidRPr="004338EF">
        <w:t>/year) plants using minimal equipment (to make low grade CFC-11 for foam blowing use)</w:t>
      </w:r>
    </w:p>
    <w:p w14:paraId="0E15FD06" w14:textId="141BA294" w:rsidR="00CE76A0" w:rsidRDefault="00F20A36" w:rsidP="00751ECE">
      <w:pPr>
        <w:pStyle w:val="Heading2"/>
      </w:pPr>
      <w:bookmarkStart w:id="126" w:name="_Toc73045589"/>
      <w:r>
        <w:t>1.4</w:t>
      </w:r>
      <w:r>
        <w:tab/>
      </w:r>
      <w:r w:rsidR="006A3AF1">
        <w:t>T</w:t>
      </w:r>
      <w:r>
        <w:t xml:space="preserve">he </w:t>
      </w:r>
      <w:r w:rsidR="00FF0776">
        <w:t>2021 Task Force Report</w:t>
      </w:r>
      <w:bookmarkEnd w:id="126"/>
    </w:p>
    <w:p w14:paraId="7E632B85" w14:textId="32E561D1" w:rsidR="00FF0776" w:rsidRDefault="00AC6157" w:rsidP="00FF0776">
      <w:pPr>
        <w:rPr>
          <w:lang w:val="en-US" w:eastAsia="fr-FR"/>
        </w:rPr>
      </w:pPr>
      <w:r>
        <w:rPr>
          <w:lang w:val="en-US" w:eastAsia="fr-FR"/>
        </w:rPr>
        <w:t xml:space="preserve">The 2021 Task Force Report </w:t>
      </w:r>
      <w:r w:rsidR="00F606E1">
        <w:rPr>
          <w:lang w:val="en-US" w:eastAsia="fr-FR"/>
        </w:rPr>
        <w:t>addresses the elements of decision XXXI/3</w:t>
      </w:r>
      <w:r w:rsidR="00F25EAE">
        <w:rPr>
          <w:lang w:val="en-US" w:eastAsia="fr-FR"/>
        </w:rPr>
        <w:t xml:space="preserve"> with</w:t>
      </w:r>
      <w:r w:rsidR="00F606E1">
        <w:rPr>
          <w:lang w:val="en-US" w:eastAsia="fr-FR"/>
        </w:rPr>
        <w:t xml:space="preserve"> update</w:t>
      </w:r>
      <w:r w:rsidR="00F25EAE">
        <w:rPr>
          <w:lang w:val="en-US" w:eastAsia="fr-FR"/>
        </w:rPr>
        <w:t>s</w:t>
      </w:r>
      <w:r w:rsidR="00F606E1">
        <w:rPr>
          <w:lang w:val="en-US" w:eastAsia="fr-FR"/>
        </w:rPr>
        <w:t xml:space="preserve"> to </w:t>
      </w:r>
      <w:r w:rsidR="00A542E2">
        <w:rPr>
          <w:lang w:val="en-US" w:eastAsia="fr-FR"/>
        </w:rPr>
        <w:t>information provided in</w:t>
      </w:r>
      <w:r w:rsidR="008322F8">
        <w:rPr>
          <w:lang w:val="en-US" w:eastAsia="fr-FR"/>
        </w:rPr>
        <w:t xml:space="preserve"> the 2019 Task Force Report</w:t>
      </w:r>
      <w:r w:rsidR="00F25EAE">
        <w:rPr>
          <w:lang w:val="en-US" w:eastAsia="fr-FR"/>
        </w:rPr>
        <w:t xml:space="preserve">, new compelling </w:t>
      </w:r>
      <w:r w:rsidR="000B0491">
        <w:rPr>
          <w:lang w:val="en-US" w:eastAsia="fr-FR"/>
        </w:rPr>
        <w:t xml:space="preserve">information that has become available, as well as information on specific requests contained in </w:t>
      </w:r>
      <w:r w:rsidR="00F72012">
        <w:rPr>
          <w:lang w:val="en-US" w:eastAsia="fr-FR"/>
        </w:rPr>
        <w:t>sub-</w:t>
      </w:r>
      <w:r w:rsidR="000B0491">
        <w:rPr>
          <w:lang w:val="en-US" w:eastAsia="fr-FR"/>
        </w:rPr>
        <w:t>paragraph</w:t>
      </w:r>
      <w:r w:rsidR="00F72012">
        <w:rPr>
          <w:lang w:val="en-US" w:eastAsia="fr-FR"/>
        </w:rPr>
        <w:t>s</w:t>
      </w:r>
      <w:r w:rsidR="000B0491">
        <w:rPr>
          <w:lang w:val="en-US" w:eastAsia="fr-FR"/>
        </w:rPr>
        <w:t xml:space="preserve"> 7</w:t>
      </w:r>
      <w:r w:rsidR="00AA104D">
        <w:rPr>
          <w:lang w:val="en-US" w:eastAsia="fr-FR"/>
        </w:rPr>
        <w:t>(</w:t>
      </w:r>
      <w:r w:rsidR="00F72012">
        <w:rPr>
          <w:lang w:val="en-US" w:eastAsia="fr-FR"/>
        </w:rPr>
        <w:t>a</w:t>
      </w:r>
      <w:r w:rsidR="00AA104D">
        <w:rPr>
          <w:lang w:val="en-US" w:eastAsia="fr-FR"/>
        </w:rPr>
        <w:t>)</w:t>
      </w:r>
      <w:r w:rsidR="00F72012">
        <w:rPr>
          <w:lang w:val="en-US" w:eastAsia="fr-FR"/>
        </w:rPr>
        <w:t xml:space="preserve"> to 7</w:t>
      </w:r>
      <w:r w:rsidR="00AA104D">
        <w:rPr>
          <w:lang w:val="en-US" w:eastAsia="fr-FR"/>
        </w:rPr>
        <w:t>(</w:t>
      </w:r>
      <w:r w:rsidR="00F72012">
        <w:rPr>
          <w:lang w:val="en-US" w:eastAsia="fr-FR"/>
        </w:rPr>
        <w:t>d</w:t>
      </w:r>
      <w:r w:rsidR="00AA104D">
        <w:rPr>
          <w:lang w:val="en-US" w:eastAsia="fr-FR"/>
        </w:rPr>
        <w:t>)</w:t>
      </w:r>
      <w:r w:rsidR="00F72012">
        <w:rPr>
          <w:lang w:val="en-US" w:eastAsia="fr-FR"/>
        </w:rPr>
        <w:t>.</w:t>
      </w:r>
      <w:r w:rsidR="0076055D">
        <w:rPr>
          <w:lang w:val="en-US" w:eastAsia="fr-FR"/>
        </w:rPr>
        <w:t xml:space="preserve"> </w:t>
      </w:r>
    </w:p>
    <w:p w14:paraId="05760E0C" w14:textId="544D2538" w:rsidR="00F72012" w:rsidRDefault="00F72012" w:rsidP="00FF0776">
      <w:pPr>
        <w:rPr>
          <w:lang w:val="en-US" w:eastAsia="fr-FR"/>
        </w:rPr>
      </w:pPr>
      <w:r>
        <w:rPr>
          <w:lang w:val="en-US" w:eastAsia="fr-FR"/>
        </w:rPr>
        <w:t xml:space="preserve">The 2021 Task Force Report is </w:t>
      </w:r>
      <w:proofErr w:type="spellStart"/>
      <w:r>
        <w:rPr>
          <w:lang w:val="en-US" w:eastAsia="fr-FR"/>
        </w:rPr>
        <w:t>organised</w:t>
      </w:r>
      <w:proofErr w:type="spellEnd"/>
      <w:r>
        <w:rPr>
          <w:lang w:val="en-US" w:eastAsia="fr-FR"/>
        </w:rPr>
        <w:t xml:space="preserve"> as follows:</w:t>
      </w:r>
    </w:p>
    <w:p w14:paraId="55B5F72F" w14:textId="7D6B368B" w:rsidR="00F72012" w:rsidRDefault="00C50341" w:rsidP="00C50341">
      <w:pPr>
        <w:pStyle w:val="ListParagraph"/>
        <w:numPr>
          <w:ilvl w:val="0"/>
          <w:numId w:val="71"/>
        </w:numPr>
        <w:rPr>
          <w:lang w:val="en-US" w:eastAsia="fr-FR"/>
        </w:rPr>
      </w:pPr>
      <w:r>
        <w:rPr>
          <w:lang w:val="en-US" w:eastAsia="fr-FR"/>
        </w:rPr>
        <w:t>Chapter 1 provides an introduction</w:t>
      </w:r>
      <w:r w:rsidR="00F648D4">
        <w:rPr>
          <w:lang w:val="en-US" w:eastAsia="fr-FR"/>
        </w:rPr>
        <w:t xml:space="preserve"> to this report and </w:t>
      </w:r>
      <w:r>
        <w:rPr>
          <w:lang w:val="en-US" w:eastAsia="fr-FR"/>
        </w:rPr>
        <w:t xml:space="preserve">background on the 2019 </w:t>
      </w:r>
      <w:r w:rsidR="00C86F7A">
        <w:rPr>
          <w:lang w:val="en-US" w:eastAsia="fr-FR"/>
        </w:rPr>
        <w:t>Task Force R</w:t>
      </w:r>
      <w:r>
        <w:rPr>
          <w:lang w:val="en-US" w:eastAsia="fr-FR"/>
        </w:rPr>
        <w:t>eport</w:t>
      </w:r>
      <w:r w:rsidR="00F648D4">
        <w:rPr>
          <w:lang w:val="en-US" w:eastAsia="fr-FR"/>
        </w:rPr>
        <w:t>,</w:t>
      </w:r>
      <w:r>
        <w:rPr>
          <w:lang w:val="en-US" w:eastAsia="fr-FR"/>
        </w:rPr>
        <w:t xml:space="preserve"> </w:t>
      </w:r>
      <w:r w:rsidR="00AC4AB5">
        <w:rPr>
          <w:lang w:val="en-US" w:eastAsia="fr-FR"/>
        </w:rPr>
        <w:t xml:space="preserve">the unexpected CFC-11 emissions, </w:t>
      </w:r>
      <w:r w:rsidR="00F648D4">
        <w:rPr>
          <w:lang w:val="en-US" w:eastAsia="fr-FR"/>
        </w:rPr>
        <w:t xml:space="preserve">summary </w:t>
      </w:r>
      <w:r w:rsidR="00AC4AB5">
        <w:rPr>
          <w:lang w:val="en-US" w:eastAsia="fr-FR"/>
        </w:rPr>
        <w:t xml:space="preserve">updates to the science findings relating to CFC-11 emissions, </w:t>
      </w:r>
      <w:r w:rsidR="00AB01C3">
        <w:rPr>
          <w:lang w:val="en-US" w:eastAsia="fr-FR"/>
        </w:rPr>
        <w:t xml:space="preserve">summary science </w:t>
      </w:r>
      <w:r w:rsidR="00F648D4">
        <w:rPr>
          <w:lang w:val="en-US" w:eastAsia="fr-FR"/>
        </w:rPr>
        <w:t>findings on CFC-12 and carbon tetrachloride</w:t>
      </w:r>
      <w:r w:rsidR="00E51987">
        <w:rPr>
          <w:lang w:val="en-US" w:eastAsia="fr-FR"/>
        </w:rPr>
        <w:t>, and a summary of published studies on CFC-11 bank estimates</w:t>
      </w:r>
      <w:r w:rsidR="008F3B2E">
        <w:rPr>
          <w:lang w:val="en-US" w:eastAsia="fr-FR"/>
        </w:rPr>
        <w:t>.</w:t>
      </w:r>
    </w:p>
    <w:p w14:paraId="403154FE" w14:textId="1518685C" w:rsidR="00C233F8" w:rsidRDefault="008F3B2E" w:rsidP="00C50341">
      <w:pPr>
        <w:pStyle w:val="ListParagraph"/>
        <w:numPr>
          <w:ilvl w:val="0"/>
          <w:numId w:val="71"/>
        </w:numPr>
        <w:rPr>
          <w:lang w:val="en-US" w:eastAsia="fr-FR"/>
        </w:rPr>
      </w:pPr>
      <w:r>
        <w:rPr>
          <w:lang w:val="en-US" w:eastAsia="fr-FR"/>
        </w:rPr>
        <w:t xml:space="preserve">Chapter 2 provides </w:t>
      </w:r>
      <w:r w:rsidR="00FD194F">
        <w:rPr>
          <w:lang w:val="en-US" w:eastAsia="fr-FR"/>
        </w:rPr>
        <w:t xml:space="preserve">information on the </w:t>
      </w:r>
      <w:r w:rsidR="000E24BB">
        <w:rPr>
          <w:lang w:val="en-US" w:eastAsia="fr-FR"/>
        </w:rPr>
        <w:t xml:space="preserve">methodology for the </w:t>
      </w:r>
      <w:r w:rsidR="0097547F">
        <w:rPr>
          <w:lang w:val="en-US" w:eastAsia="fr-FR"/>
        </w:rPr>
        <w:t>inventory-based</w:t>
      </w:r>
      <w:r w:rsidR="00FD194F">
        <w:rPr>
          <w:lang w:val="en-US" w:eastAsia="fr-FR"/>
        </w:rPr>
        <w:t xml:space="preserve"> model used by the 2019 and 2021 Task Forces</w:t>
      </w:r>
      <w:r w:rsidR="000E24BB">
        <w:rPr>
          <w:lang w:val="en-US" w:eastAsia="fr-FR"/>
        </w:rPr>
        <w:t>,</w:t>
      </w:r>
      <w:r w:rsidR="00FD194F">
        <w:rPr>
          <w:lang w:val="en-US" w:eastAsia="fr-FR"/>
        </w:rPr>
        <w:t xml:space="preserve"> </w:t>
      </w:r>
      <w:r w:rsidR="0067083A">
        <w:rPr>
          <w:lang w:val="en-US" w:eastAsia="fr-FR"/>
        </w:rPr>
        <w:t xml:space="preserve">and further refinements made to this methodology, </w:t>
      </w:r>
      <w:r w:rsidR="00FD194F">
        <w:rPr>
          <w:lang w:val="en-US" w:eastAsia="fr-FR"/>
        </w:rPr>
        <w:t xml:space="preserve">historic </w:t>
      </w:r>
      <w:r w:rsidR="000E24BB">
        <w:rPr>
          <w:lang w:val="en-US" w:eastAsia="fr-FR"/>
        </w:rPr>
        <w:t xml:space="preserve">CFC-11 </w:t>
      </w:r>
      <w:r w:rsidR="00FD194F">
        <w:rPr>
          <w:lang w:val="en-US" w:eastAsia="fr-FR"/>
        </w:rPr>
        <w:t>production and use</w:t>
      </w:r>
      <w:r w:rsidR="0009346D">
        <w:rPr>
          <w:lang w:val="en-US" w:eastAsia="fr-FR"/>
        </w:rPr>
        <w:t>-</w:t>
      </w:r>
      <w:r w:rsidR="00FD194F">
        <w:rPr>
          <w:lang w:val="en-US" w:eastAsia="fr-FR"/>
        </w:rPr>
        <w:t>patterns</w:t>
      </w:r>
      <w:r w:rsidR="005675AB">
        <w:rPr>
          <w:lang w:val="en-US" w:eastAsia="fr-FR"/>
        </w:rPr>
        <w:t xml:space="preserve">, and an analysis of CFC-11 banks by geographic </w:t>
      </w:r>
      <w:r w:rsidR="00136593">
        <w:rPr>
          <w:lang w:val="en-US" w:eastAsia="fr-FR"/>
        </w:rPr>
        <w:t>location and foam type (decision XXXI/3, para. 7</w:t>
      </w:r>
      <w:r w:rsidR="00C233F8">
        <w:rPr>
          <w:lang w:val="en-US" w:eastAsia="fr-FR"/>
        </w:rPr>
        <w:t>(a)).</w:t>
      </w:r>
    </w:p>
    <w:p w14:paraId="5773CA7C" w14:textId="36B5E022" w:rsidR="008F3B2E" w:rsidRDefault="00C233F8" w:rsidP="00C50341">
      <w:pPr>
        <w:pStyle w:val="ListParagraph"/>
        <w:numPr>
          <w:ilvl w:val="0"/>
          <w:numId w:val="71"/>
        </w:numPr>
        <w:rPr>
          <w:lang w:val="en-US" w:eastAsia="fr-FR"/>
        </w:rPr>
      </w:pPr>
      <w:r>
        <w:rPr>
          <w:lang w:val="en-US" w:eastAsia="fr-FR"/>
        </w:rPr>
        <w:t xml:space="preserve">Chapter 3 provides </w:t>
      </w:r>
      <w:r w:rsidR="009E1B3E">
        <w:rPr>
          <w:lang w:val="en-US" w:eastAsia="fr-FR"/>
        </w:rPr>
        <w:t>updates to estimated CFC-11 production quantities</w:t>
      </w:r>
      <w:r w:rsidR="008F2026">
        <w:rPr>
          <w:lang w:val="en-US" w:eastAsia="fr-FR"/>
        </w:rPr>
        <w:t xml:space="preserve"> based on the modelling and the newest atmospheric observations for 2019</w:t>
      </w:r>
      <w:r w:rsidR="006F5B61">
        <w:rPr>
          <w:lang w:val="en-US" w:eastAsia="fr-FR"/>
        </w:rPr>
        <w:t xml:space="preserve">, updates to the possible fate of any co-produced CFC-12, </w:t>
      </w:r>
      <w:r w:rsidR="00FF621A">
        <w:rPr>
          <w:lang w:val="en-US" w:eastAsia="fr-FR"/>
        </w:rPr>
        <w:t xml:space="preserve">and </w:t>
      </w:r>
      <w:r w:rsidR="00984E42">
        <w:rPr>
          <w:lang w:val="en-US" w:eastAsia="fr-FR"/>
        </w:rPr>
        <w:t xml:space="preserve">information on </w:t>
      </w:r>
      <w:r w:rsidR="00FF621A">
        <w:rPr>
          <w:lang w:val="en-US" w:eastAsia="fr-FR"/>
        </w:rPr>
        <w:t>linkages between the production of anhydrous hydrogen fluoride and carbon tetrachloride and unexpected CFC-11 emissions</w:t>
      </w:r>
      <w:r w:rsidR="006C4204">
        <w:rPr>
          <w:lang w:val="en-US" w:eastAsia="fr-FR"/>
        </w:rPr>
        <w:t xml:space="preserve"> (decision XXXI/3, para. 7(b)).</w:t>
      </w:r>
    </w:p>
    <w:p w14:paraId="640850BA" w14:textId="7D9FC8A6" w:rsidR="006C4204" w:rsidRDefault="006C4204" w:rsidP="00C50341">
      <w:pPr>
        <w:pStyle w:val="ListParagraph"/>
        <w:numPr>
          <w:ilvl w:val="0"/>
          <w:numId w:val="71"/>
        </w:numPr>
        <w:rPr>
          <w:lang w:val="en-US" w:eastAsia="fr-FR"/>
        </w:rPr>
      </w:pPr>
      <w:r>
        <w:rPr>
          <w:lang w:val="en-US" w:eastAsia="fr-FR"/>
        </w:rPr>
        <w:t>Chapter 4</w:t>
      </w:r>
      <w:r w:rsidR="00984E42">
        <w:rPr>
          <w:lang w:val="en-US" w:eastAsia="fr-FR"/>
        </w:rPr>
        <w:t xml:space="preserve"> provides information on possible drivers of illegal</w:t>
      </w:r>
      <w:r w:rsidR="005E0329">
        <w:rPr>
          <w:lang w:val="en-US" w:eastAsia="fr-FR"/>
        </w:rPr>
        <w:t xml:space="preserve"> production of and trade in CFC-11, addressing technical and economic factors in the demand for CFC-11 in foams and in the production and supply of CFC-11</w:t>
      </w:r>
      <w:r w:rsidR="007F0AB7">
        <w:rPr>
          <w:lang w:val="en-US" w:eastAsia="fr-FR"/>
        </w:rPr>
        <w:t xml:space="preserve"> (decision XXXI/3, para. 7(d))</w:t>
      </w:r>
      <w:r w:rsidR="005E0329">
        <w:rPr>
          <w:lang w:val="en-US" w:eastAsia="fr-FR"/>
        </w:rPr>
        <w:t>.</w:t>
      </w:r>
    </w:p>
    <w:p w14:paraId="41389E18" w14:textId="79CAC75E" w:rsidR="005E0329" w:rsidRDefault="007F0AB7" w:rsidP="00C50341">
      <w:pPr>
        <w:pStyle w:val="ListParagraph"/>
        <w:numPr>
          <w:ilvl w:val="0"/>
          <w:numId w:val="71"/>
        </w:numPr>
        <w:rPr>
          <w:lang w:val="en-US" w:eastAsia="fr-FR"/>
        </w:rPr>
      </w:pPr>
      <w:r>
        <w:rPr>
          <w:lang w:val="en-US" w:eastAsia="fr-FR"/>
        </w:rPr>
        <w:t>Chapter 5 provides information on the types of CFC-11 products and their disposition, and opportunities for detection and potential recovery of CFC-11</w:t>
      </w:r>
      <w:r w:rsidR="00671B04">
        <w:rPr>
          <w:lang w:val="en-US" w:eastAsia="fr-FR"/>
        </w:rPr>
        <w:t xml:space="preserve"> (decision XXXI/3, para. 7(c)).</w:t>
      </w:r>
    </w:p>
    <w:p w14:paraId="46623682" w14:textId="6468609F" w:rsidR="00671B04" w:rsidRPr="00F53A09" w:rsidRDefault="00671B04" w:rsidP="000A1D5A">
      <w:pPr>
        <w:pStyle w:val="ListParagraph"/>
        <w:keepLines/>
        <w:numPr>
          <w:ilvl w:val="0"/>
          <w:numId w:val="71"/>
        </w:numPr>
      </w:pPr>
      <w:r>
        <w:rPr>
          <w:lang w:val="en-US" w:eastAsia="fr-FR"/>
        </w:rPr>
        <w:lastRenderedPageBreak/>
        <w:t>Appendices include key messages from the 2019 Task Force Report</w:t>
      </w:r>
      <w:r w:rsidR="00796EC7">
        <w:rPr>
          <w:lang w:val="en-US" w:eastAsia="fr-FR"/>
        </w:rPr>
        <w:t xml:space="preserve"> </w:t>
      </w:r>
      <w:r>
        <w:rPr>
          <w:lang w:val="en-US" w:eastAsia="fr-FR"/>
        </w:rPr>
        <w:t>a</w:t>
      </w:r>
      <w:r w:rsidR="00796EC7">
        <w:rPr>
          <w:lang w:val="en-US" w:eastAsia="fr-FR"/>
        </w:rPr>
        <w:t>nd</w:t>
      </w:r>
      <w:r>
        <w:rPr>
          <w:lang w:val="en-US" w:eastAsia="fr-FR"/>
        </w:rPr>
        <w:t xml:space="preserve"> more detailed </w:t>
      </w:r>
      <w:r w:rsidR="00A70650">
        <w:rPr>
          <w:lang w:val="en-US" w:eastAsia="fr-FR"/>
        </w:rPr>
        <w:t>information about</w:t>
      </w:r>
      <w:r>
        <w:rPr>
          <w:lang w:val="en-US" w:eastAsia="fr-FR"/>
        </w:rPr>
        <w:t xml:space="preserve"> the </w:t>
      </w:r>
      <w:r w:rsidR="0097547F">
        <w:rPr>
          <w:lang w:val="en-US" w:eastAsia="fr-FR"/>
        </w:rPr>
        <w:t>inventory-based</w:t>
      </w:r>
      <w:r>
        <w:rPr>
          <w:lang w:val="en-US" w:eastAsia="fr-FR"/>
        </w:rPr>
        <w:t xml:space="preserve"> model, product lifetimes in the global and regional models, </w:t>
      </w:r>
      <w:r w:rsidR="00A70650">
        <w:rPr>
          <w:lang w:val="en-US" w:eastAsia="fr-FR"/>
        </w:rPr>
        <w:t xml:space="preserve">foam model assumptions, regional summaries of foam </w:t>
      </w:r>
      <w:r w:rsidR="00796EC7">
        <w:rPr>
          <w:lang w:val="en-US" w:eastAsia="fr-FR"/>
        </w:rPr>
        <w:t xml:space="preserve">sectors and distribution </w:t>
      </w:r>
      <w:r w:rsidR="00A70650">
        <w:rPr>
          <w:lang w:val="en-US" w:eastAsia="fr-FR"/>
        </w:rPr>
        <w:t xml:space="preserve">from the 2006 FTOC Assessment Report, </w:t>
      </w:r>
      <w:r w:rsidR="00611802">
        <w:rPr>
          <w:lang w:val="en-US" w:eastAsia="fr-FR"/>
        </w:rPr>
        <w:t xml:space="preserve">and </w:t>
      </w:r>
      <w:r w:rsidR="00A70650">
        <w:rPr>
          <w:lang w:val="en-US" w:eastAsia="fr-FR"/>
        </w:rPr>
        <w:t>polyurethane foam blowing agent CFC-11 replacement</w:t>
      </w:r>
      <w:r w:rsidR="00796EC7">
        <w:rPr>
          <w:lang w:val="en-US" w:eastAsia="fr-FR"/>
        </w:rPr>
        <w:t>.</w:t>
      </w:r>
      <w:r w:rsidR="00A70650">
        <w:rPr>
          <w:lang w:val="en-US" w:eastAsia="fr-FR"/>
        </w:rPr>
        <w:t xml:space="preserve"> </w:t>
      </w:r>
    </w:p>
    <w:p w14:paraId="253904AB" w14:textId="671C094D" w:rsidR="002E7EC3" w:rsidRDefault="00CE76A0" w:rsidP="00751ECE">
      <w:pPr>
        <w:pStyle w:val="Heading2"/>
      </w:pPr>
      <w:bookmarkStart w:id="127" w:name="_Toc73045590"/>
      <w:r>
        <w:t>1.</w:t>
      </w:r>
      <w:r w:rsidR="00F20A36">
        <w:t>5</w:t>
      </w:r>
      <w:r>
        <w:tab/>
      </w:r>
      <w:r w:rsidR="00D24EB6">
        <w:t>B</w:t>
      </w:r>
      <w:r w:rsidR="005A7022">
        <w:t>ackground</w:t>
      </w:r>
      <w:r>
        <w:t xml:space="preserve"> to </w:t>
      </w:r>
      <w:r w:rsidR="008D34C6">
        <w:t xml:space="preserve">the </w:t>
      </w:r>
      <w:r>
        <w:t>unexpected CFC-11 emissions</w:t>
      </w:r>
      <w:bookmarkEnd w:id="127"/>
    </w:p>
    <w:p w14:paraId="797A8997" w14:textId="6DEF7F01" w:rsidR="00A4274D" w:rsidRPr="007902D6" w:rsidRDefault="00A4274D" w:rsidP="00A4274D">
      <w:r w:rsidRPr="007902D6">
        <w:t>CFC-11 (trichlorofluoromethane, CFCl</w:t>
      </w:r>
      <w:r w:rsidRPr="007902D6">
        <w:rPr>
          <w:vertAlign w:val="subscript"/>
        </w:rPr>
        <w:t>3</w:t>
      </w:r>
      <w:r w:rsidRPr="007902D6">
        <w:t xml:space="preserve">) was used primarily as a foam-blowing agent (for flexible </w:t>
      </w:r>
      <w:r w:rsidR="0007132D">
        <w:t>(open cell)</w:t>
      </w:r>
      <w:r w:rsidR="0007132D" w:rsidRPr="007902D6">
        <w:t xml:space="preserve"> </w:t>
      </w:r>
      <w:r w:rsidR="0007132D">
        <w:t xml:space="preserve">polyurethane foams for furniture and other comfort uses </w:t>
      </w:r>
      <w:r w:rsidRPr="007902D6">
        <w:t xml:space="preserve">and </w:t>
      </w:r>
      <w:r w:rsidR="0007132D">
        <w:t>for rigid</w:t>
      </w:r>
      <w:r w:rsidRPr="007902D6">
        <w:t xml:space="preserve"> </w:t>
      </w:r>
      <w:r w:rsidR="00311ECB">
        <w:t>(</w:t>
      </w:r>
      <w:r w:rsidR="00811AEF">
        <w:t>closed-cell</w:t>
      </w:r>
      <w:r w:rsidR="00311ECB">
        <w:t xml:space="preserve">) </w:t>
      </w:r>
      <w:r w:rsidRPr="007902D6">
        <w:t xml:space="preserve">polyurethane </w:t>
      </w:r>
      <w:r w:rsidR="003C451A">
        <w:t xml:space="preserve">thermal </w:t>
      </w:r>
      <w:r w:rsidRPr="007902D6">
        <w:t xml:space="preserve">insulating foams), </w:t>
      </w:r>
      <w:r>
        <w:t xml:space="preserve">as an aerosol propellant, </w:t>
      </w:r>
      <w:r w:rsidRPr="007902D6">
        <w:t xml:space="preserve">as a refrigerant (for centrifugal chillers </w:t>
      </w:r>
      <w:r w:rsidR="00407451">
        <w:t xml:space="preserve">mostly </w:t>
      </w:r>
      <w:r w:rsidRPr="007902D6">
        <w:t xml:space="preserve">used in large commercial buildings), and in a range of other smaller uses, including asthma inhalers, </w:t>
      </w:r>
      <w:r>
        <w:t xml:space="preserve">and </w:t>
      </w:r>
      <w:r w:rsidRPr="007902D6">
        <w:t xml:space="preserve">tobacco expansion. There are alternative chemicals or products available as replacements for CFC-11. </w:t>
      </w:r>
      <w:r w:rsidR="0090017B">
        <w:t>However, a</w:t>
      </w:r>
      <w:r>
        <w:t xml:space="preserve"> bank of CFC-11 remains </w:t>
      </w:r>
      <w:r w:rsidR="007273A8">
        <w:t xml:space="preserve">present </w:t>
      </w:r>
      <w:r>
        <w:t xml:space="preserve">in </w:t>
      </w:r>
      <w:r w:rsidR="00811AEF">
        <w:t>closed-cell</w:t>
      </w:r>
      <w:r>
        <w:t xml:space="preserve"> foams and centrifugal chillers, from which CFC-11 is released slowly into the atmosphere over time</w:t>
      </w:r>
      <w:r w:rsidR="008A701D">
        <w:t>, until reaching end-of-life</w:t>
      </w:r>
      <w:r>
        <w:t>.</w:t>
      </w:r>
    </w:p>
    <w:p w14:paraId="6CFD5C47" w14:textId="2D122189" w:rsidR="00A4274D" w:rsidRDefault="0057334D" w:rsidP="00A4274D">
      <w:r>
        <w:rPr>
          <w:szCs w:val="22"/>
        </w:rPr>
        <w:t>Global r</w:t>
      </w:r>
      <w:r w:rsidRPr="7260EB12">
        <w:rPr>
          <w:szCs w:val="22"/>
        </w:rPr>
        <w:t xml:space="preserve">eported production of CFC-11 peaked in 1987 at 434 </w:t>
      </w:r>
      <w:proofErr w:type="spellStart"/>
      <w:r>
        <w:rPr>
          <w:szCs w:val="22"/>
        </w:rPr>
        <w:t>kilo</w:t>
      </w:r>
      <w:r w:rsidRPr="7260EB12">
        <w:rPr>
          <w:szCs w:val="22"/>
        </w:rPr>
        <w:t>tonnes</w:t>
      </w:r>
      <w:proofErr w:type="spellEnd"/>
      <w:r w:rsidRPr="7260EB12">
        <w:rPr>
          <w:szCs w:val="22"/>
        </w:rPr>
        <w:t xml:space="preserve"> in</w:t>
      </w:r>
      <w:r>
        <w:rPr>
          <w:szCs w:val="22"/>
        </w:rPr>
        <w:t xml:space="preserve"> mostly</w:t>
      </w:r>
      <w:r w:rsidRPr="7260EB12">
        <w:rPr>
          <w:szCs w:val="22"/>
        </w:rPr>
        <w:t xml:space="preserve"> non-Article 5 </w:t>
      </w:r>
      <w:r>
        <w:rPr>
          <w:szCs w:val="22"/>
        </w:rPr>
        <w:t>parties</w:t>
      </w:r>
      <w:r w:rsidRPr="7260EB12">
        <w:rPr>
          <w:szCs w:val="22"/>
        </w:rPr>
        <w:t xml:space="preserve">, and in 1997 at </w:t>
      </w:r>
      <w:r w:rsidRPr="7260EB12">
        <w:rPr>
          <w:szCs w:val="22"/>
          <w:lang w:val="en-AU"/>
        </w:rPr>
        <w:t xml:space="preserve">46 </w:t>
      </w:r>
      <w:proofErr w:type="spellStart"/>
      <w:r>
        <w:rPr>
          <w:szCs w:val="22"/>
          <w:lang w:val="en-AU"/>
        </w:rPr>
        <w:t>kilo</w:t>
      </w:r>
      <w:r w:rsidRPr="7260EB12">
        <w:rPr>
          <w:szCs w:val="22"/>
          <w:lang w:val="en-AU"/>
        </w:rPr>
        <w:t>tonnes</w:t>
      </w:r>
      <w:proofErr w:type="spellEnd"/>
      <w:r w:rsidRPr="7260EB12">
        <w:rPr>
          <w:szCs w:val="22"/>
          <w:lang w:val="en-AU"/>
        </w:rPr>
        <w:t xml:space="preserve"> in Article 5 </w:t>
      </w:r>
      <w:r>
        <w:rPr>
          <w:szCs w:val="22"/>
          <w:lang w:val="en-AU"/>
        </w:rPr>
        <w:t>parties</w:t>
      </w:r>
      <w:r w:rsidR="00A4274D" w:rsidRPr="007902D6">
        <w:t xml:space="preserve">. </w:t>
      </w:r>
      <w:r w:rsidR="00A4274D">
        <w:t>P</w:t>
      </w:r>
      <w:r w:rsidR="00A4274D" w:rsidRPr="007902D6">
        <w:t xml:space="preserve">eak emissions were about 350 </w:t>
      </w:r>
      <w:proofErr w:type="spellStart"/>
      <w:r w:rsidR="00675CAB">
        <w:t>kilotonnes</w:t>
      </w:r>
      <w:proofErr w:type="spellEnd"/>
      <w:r w:rsidR="005E17F1">
        <w:t>/year</w:t>
      </w:r>
      <w:r w:rsidR="00A4274D" w:rsidRPr="00F64C84">
        <w:t xml:space="preserve"> </w:t>
      </w:r>
      <w:r w:rsidR="00A4274D" w:rsidRPr="007902D6">
        <w:t>in the late 1980s</w:t>
      </w:r>
      <w:r w:rsidR="006F2CE0">
        <w:rPr>
          <w:rStyle w:val="FootnoteReference"/>
        </w:rPr>
        <w:footnoteReference w:id="20"/>
      </w:r>
      <w:r w:rsidR="00A4274D">
        <w:t xml:space="preserve">. </w:t>
      </w:r>
      <w:r w:rsidR="00A4274D" w:rsidRPr="007902D6">
        <w:t xml:space="preserve">Under the Montreal Protocol, production </w:t>
      </w:r>
      <w:r w:rsidR="00B162D2">
        <w:t xml:space="preserve">and consumption </w:t>
      </w:r>
      <w:r w:rsidR="00A4274D" w:rsidRPr="007902D6">
        <w:t xml:space="preserve">of CFC-11 in </w:t>
      </w:r>
      <w:r w:rsidR="00A4274D">
        <w:t>non-Article 5 parties</w:t>
      </w:r>
      <w:r w:rsidR="00A4274D" w:rsidRPr="007902D6">
        <w:t xml:space="preserve"> was phased out </w:t>
      </w:r>
      <w:r w:rsidR="00BF26E6">
        <w:t>by</w:t>
      </w:r>
      <w:r w:rsidR="00BF26E6" w:rsidRPr="007902D6">
        <w:t xml:space="preserve"> </w:t>
      </w:r>
      <w:r w:rsidR="00A4274D" w:rsidRPr="007902D6">
        <w:t xml:space="preserve">1996; production </w:t>
      </w:r>
      <w:r w:rsidR="00B162D2">
        <w:t xml:space="preserve">and consumption </w:t>
      </w:r>
      <w:r w:rsidR="00A4274D" w:rsidRPr="007902D6">
        <w:t xml:space="preserve">of CFC-11 in </w:t>
      </w:r>
      <w:r w:rsidR="00A4274D">
        <w:t>Article 5 parties</w:t>
      </w:r>
      <w:r w:rsidR="00A4274D" w:rsidRPr="007902D6">
        <w:t xml:space="preserve"> was phased out </w:t>
      </w:r>
      <w:r w:rsidR="00BF26E6">
        <w:t>by</w:t>
      </w:r>
      <w:r w:rsidR="00BF26E6" w:rsidRPr="007902D6">
        <w:t xml:space="preserve"> </w:t>
      </w:r>
      <w:r w:rsidR="00A4274D" w:rsidRPr="007902D6">
        <w:t>2010. Exceptions were made for small amounts of CFC-11 production for essential uses (</w:t>
      </w:r>
      <w:r w:rsidR="00A4274D">
        <w:t>i.e.,</w:t>
      </w:r>
      <w:r w:rsidR="00A4274D" w:rsidRPr="007902D6">
        <w:t xml:space="preserve"> </w:t>
      </w:r>
      <w:r w:rsidR="00A4274D">
        <w:t>metered dose</w:t>
      </w:r>
      <w:r w:rsidR="00A4274D" w:rsidRPr="007902D6">
        <w:t xml:space="preserve"> inhalers</w:t>
      </w:r>
      <w:r w:rsidR="00A4274D">
        <w:t xml:space="preserve"> for the treatment of asthma and chronic obstructive pulmonary disease</w:t>
      </w:r>
      <w:r w:rsidR="00A4274D" w:rsidRPr="007902D6">
        <w:t>)</w:t>
      </w:r>
      <w:r w:rsidR="00A4274D">
        <w:t>, as</w:t>
      </w:r>
      <w:r w:rsidR="00A4274D" w:rsidRPr="007902D6">
        <w:t xml:space="preserve"> authorised by </w:t>
      </w:r>
      <w:r w:rsidR="00A4274D">
        <w:t xml:space="preserve">parties, and </w:t>
      </w:r>
      <w:r w:rsidR="00A4274D" w:rsidRPr="0084381C">
        <w:t>for non-Article 5 parties to produce CFC-11 for the basic domestic needs of Article 5 parties</w:t>
      </w:r>
      <w:r w:rsidR="00A4274D" w:rsidRPr="007902D6">
        <w:t>.</w:t>
      </w:r>
      <w:r w:rsidR="00BA7387">
        <w:t xml:space="preserve"> As of 1995, there have been alternative chemicals or products available as replacements for CFC-11, including </w:t>
      </w:r>
      <w:r w:rsidR="00442B28">
        <w:t xml:space="preserve">non-fluorocarbon and fluorocarbon </w:t>
      </w:r>
      <w:r w:rsidR="000D6008">
        <w:t>blowing agents</w:t>
      </w:r>
      <w:r w:rsidR="00BA7387">
        <w:t xml:space="preserve"> for foams and </w:t>
      </w:r>
      <w:r w:rsidR="000D6008">
        <w:t>fluorocarbons</w:t>
      </w:r>
      <w:r w:rsidR="00442B28">
        <w:t xml:space="preserve"> for </w:t>
      </w:r>
      <w:r w:rsidR="00BA7387">
        <w:t>centrifugal chillers</w:t>
      </w:r>
      <w:r w:rsidR="006F2CE0">
        <w:rPr>
          <w:rStyle w:val="FootnoteReference"/>
        </w:rPr>
        <w:footnoteReference w:id="21"/>
      </w:r>
      <w:r w:rsidR="000D6008">
        <w:t>.</w:t>
      </w:r>
    </w:p>
    <w:p w14:paraId="58BCA259" w14:textId="0A4BF2FB" w:rsidR="002F032B" w:rsidRDefault="00A4274D" w:rsidP="00A4274D">
      <w:r w:rsidRPr="00FB7C57">
        <w:t xml:space="preserve">The Montreal Protocol was </w:t>
      </w:r>
      <w:r>
        <w:t>established</w:t>
      </w:r>
      <w:r w:rsidRPr="00FB7C57">
        <w:t xml:space="preserve"> to protect the stratospheric ozone layer by </w:t>
      </w:r>
      <w:r w:rsidR="00751BFB">
        <w:t xml:space="preserve">phasing out the production and consumption of </w:t>
      </w:r>
      <w:r w:rsidRPr="00FB7C57">
        <w:t>ozone</w:t>
      </w:r>
      <w:r>
        <w:t>-</w:t>
      </w:r>
      <w:r w:rsidRPr="00FB7C57">
        <w:t>depleting substances (ODS)</w:t>
      </w:r>
      <w:r>
        <w:t>,</w:t>
      </w:r>
      <w:r w:rsidRPr="00FB7C57">
        <w:t xml:space="preserve"> such as chlorofluorocarbons (CFCs</w:t>
      </w:r>
      <w:r w:rsidR="00FB0732">
        <w:t>)</w:t>
      </w:r>
      <w:r w:rsidRPr="00FB7C57">
        <w:t xml:space="preserve">. </w:t>
      </w:r>
      <w:r>
        <w:t>Successful</w:t>
      </w:r>
      <w:r w:rsidRPr="00FB7C57">
        <w:t xml:space="preserve"> measures </w:t>
      </w:r>
      <w:r>
        <w:t xml:space="preserve">were </w:t>
      </w:r>
      <w:r w:rsidRPr="00FB7C57">
        <w:t>taken</w:t>
      </w:r>
      <w:r>
        <w:t>,</w:t>
      </w:r>
      <w:r w:rsidRPr="00FB7C57">
        <w:t xml:space="preserve"> </w:t>
      </w:r>
      <w:r w:rsidR="0078012D">
        <w:t xml:space="preserve">and </w:t>
      </w:r>
      <w:r w:rsidRPr="00FB7C57">
        <w:t xml:space="preserve">the abundance of </w:t>
      </w:r>
      <w:r w:rsidR="00CF7086">
        <w:t>fully halogenated</w:t>
      </w:r>
      <w:r w:rsidR="008C51F1">
        <w:t xml:space="preserve"> </w:t>
      </w:r>
      <w:r w:rsidRPr="00FB7C57">
        <w:t>ODS peak</w:t>
      </w:r>
      <w:r w:rsidR="00052FE5">
        <w:t>ed</w:t>
      </w:r>
      <w:r w:rsidRPr="00FB7C57">
        <w:t xml:space="preserve"> in the late 1990s and continuously decreas</w:t>
      </w:r>
      <w:r w:rsidR="008C51F1">
        <w:t>ed</w:t>
      </w:r>
      <w:r w:rsidRPr="00FB7C57">
        <w:t xml:space="preserve"> </w:t>
      </w:r>
      <w:r>
        <w:t>thereafter</w:t>
      </w:r>
      <w:r w:rsidRPr="00FB7C57">
        <w:t xml:space="preserve">. </w:t>
      </w:r>
    </w:p>
    <w:p w14:paraId="4ECA001C" w14:textId="37CFDCC2" w:rsidR="00A4274D" w:rsidRDefault="00A4274D" w:rsidP="00A4274D">
      <w:r w:rsidRPr="00FB7C57">
        <w:t xml:space="preserve">However, </w:t>
      </w:r>
      <w:proofErr w:type="spellStart"/>
      <w:r w:rsidRPr="00FB7C57">
        <w:t>Montzka</w:t>
      </w:r>
      <w:proofErr w:type="spellEnd"/>
      <w:r w:rsidRPr="00FB7C57">
        <w:t xml:space="preserve"> </w:t>
      </w:r>
      <w:r w:rsidRPr="008A092C">
        <w:rPr>
          <w:i/>
        </w:rPr>
        <w:t>et al.</w:t>
      </w:r>
      <w:r w:rsidRPr="00D32C74">
        <w:rPr>
          <w:rStyle w:val="FootnoteReference"/>
          <w:iCs/>
        </w:rPr>
        <w:footnoteReference w:id="22"/>
      </w:r>
      <w:r>
        <w:rPr>
          <w:iCs/>
        </w:rPr>
        <w:t xml:space="preserve">, </w:t>
      </w:r>
      <w:r>
        <w:t>i</w:t>
      </w:r>
      <w:r w:rsidRPr="00FB7C57">
        <w:t xml:space="preserve">n a </w:t>
      </w:r>
      <w:r>
        <w:t xml:space="preserve">letter </w:t>
      </w:r>
      <w:r w:rsidRPr="00FB7C57">
        <w:t>to Nature</w:t>
      </w:r>
      <w:r>
        <w:t xml:space="preserve"> in 2018,</w:t>
      </w:r>
      <w:r w:rsidRPr="00FB7C57">
        <w:t xml:space="preserve"> reported an unexpected</w:t>
      </w:r>
      <w:r>
        <w:t>,</w:t>
      </w:r>
      <w:r w:rsidRPr="00FB7C57">
        <w:t xml:space="preserve"> global increase </w:t>
      </w:r>
      <w:r>
        <w:t xml:space="preserve">in CFC-11 </w:t>
      </w:r>
      <w:r w:rsidRPr="00FB7C57">
        <w:t>emission</w:t>
      </w:r>
      <w:r>
        <w:t>s</w:t>
      </w:r>
      <w:r w:rsidRPr="00FB7C57">
        <w:t xml:space="preserve"> of 13</w:t>
      </w:r>
      <w:r w:rsidR="00387FA7">
        <w:t xml:space="preserve"> </w:t>
      </w:r>
      <w:r>
        <w:rPr>
          <w:rFonts w:asciiTheme="minorHAnsi" w:hAnsiTheme="minorHAnsi" w:cstheme="minorHAnsi"/>
        </w:rPr>
        <w:t>±</w:t>
      </w:r>
      <w:r w:rsidR="00387FA7">
        <w:rPr>
          <w:rFonts w:asciiTheme="minorHAnsi" w:hAnsiTheme="minorHAnsi" w:cstheme="minorHAnsi"/>
        </w:rPr>
        <w:t xml:space="preserve"> </w:t>
      </w:r>
      <w:r>
        <w:t>5</w:t>
      </w:r>
      <w:r w:rsidRPr="00FB7C57">
        <w:t xml:space="preserve"> </w:t>
      </w:r>
      <w:proofErr w:type="spellStart"/>
      <w:r w:rsidR="0020590A">
        <w:t>kilo</w:t>
      </w:r>
      <w:r w:rsidRPr="00FB7C57">
        <w:t>tonnes</w:t>
      </w:r>
      <w:proofErr w:type="spellEnd"/>
      <w:r w:rsidR="005E17F1">
        <w:t>/year</w:t>
      </w:r>
      <w:r w:rsidRPr="00FB7C57">
        <w:t xml:space="preserve"> </w:t>
      </w:r>
      <w:r>
        <w:t>after 2012</w:t>
      </w:r>
      <w:r w:rsidRPr="00FB7C57">
        <w:t xml:space="preserve">. </w:t>
      </w:r>
      <w:r>
        <w:t>The study</w:t>
      </w:r>
      <w:r w:rsidRPr="00FB7C57">
        <w:t xml:space="preserve"> </w:t>
      </w:r>
      <w:r>
        <w:t>strongly suggest</w:t>
      </w:r>
      <w:r w:rsidR="00D03F76">
        <w:t>ed</w:t>
      </w:r>
      <w:r>
        <w:t xml:space="preserve"> a concurrent increase in</w:t>
      </w:r>
      <w:r w:rsidRPr="00FB7C57">
        <w:t xml:space="preserve"> </w:t>
      </w:r>
      <w:r>
        <w:t xml:space="preserve">CFC-11 </w:t>
      </w:r>
      <w:r w:rsidRPr="00FB7C57">
        <w:t>emissions from eastern Asia</w:t>
      </w:r>
      <w:r>
        <w:t xml:space="preserve"> </w:t>
      </w:r>
      <w:r w:rsidRPr="00411FBE">
        <w:t>although the contribution of this region to the global increase was not quantified</w:t>
      </w:r>
      <w:r w:rsidRPr="00FB7C57">
        <w:t xml:space="preserve">. </w:t>
      </w:r>
      <w:r>
        <w:t>The study</w:t>
      </w:r>
      <w:r w:rsidRPr="00FB7C57">
        <w:t xml:space="preserve"> also </w:t>
      </w:r>
      <w:r>
        <w:t>suggest</w:t>
      </w:r>
      <w:r w:rsidR="003C5101">
        <w:t>ed</w:t>
      </w:r>
      <w:r w:rsidRPr="00FB7C57">
        <w:t xml:space="preserve"> that the CFC-11 emission</w:t>
      </w:r>
      <w:r>
        <w:t>s</w:t>
      </w:r>
      <w:r w:rsidRPr="00FB7C57">
        <w:t xml:space="preserve"> increase </w:t>
      </w:r>
      <w:r w:rsidR="00A341D7">
        <w:t xml:space="preserve">had </w:t>
      </w:r>
      <w:r w:rsidRPr="00FB7C57">
        <w:t>arise</w:t>
      </w:r>
      <w:r w:rsidR="00A341D7">
        <w:t>n</w:t>
      </w:r>
      <w:r w:rsidRPr="00FB7C57">
        <w:t xml:space="preserve"> from new production </w:t>
      </w:r>
      <w:r w:rsidR="00E3737A">
        <w:t>had</w:t>
      </w:r>
      <w:r w:rsidRPr="00FB7C57">
        <w:t xml:space="preserve"> not been reported to the</w:t>
      </w:r>
      <w:r>
        <w:t xml:space="preserve"> </w:t>
      </w:r>
      <w:r w:rsidRPr="00FB7C57">
        <w:t>Ozone Secretariat</w:t>
      </w:r>
      <w:r w:rsidRPr="00B47261">
        <w:t xml:space="preserve">, which is inconsistent with the agreed </w:t>
      </w:r>
      <w:r w:rsidR="00095A56">
        <w:t xml:space="preserve">Article 5 </w:t>
      </w:r>
      <w:r w:rsidRPr="00B47261">
        <w:t>phase-out of CFC production by 2010.</w:t>
      </w:r>
    </w:p>
    <w:p w14:paraId="367316CD" w14:textId="048FF810" w:rsidR="00A4274D" w:rsidRPr="000F4647" w:rsidRDefault="00A4274D" w:rsidP="00A4274D">
      <w:pPr>
        <w:rPr>
          <w:lang w:val="en-AU"/>
        </w:rPr>
      </w:pPr>
      <w:r>
        <w:t xml:space="preserve">Subsequently, in July and November 2018, the Environmental Investigation Agency published findings of its investigations into potential sources of the increased CFC-11 </w:t>
      </w:r>
      <w:r>
        <w:lastRenderedPageBreak/>
        <w:t>emissions from eastern Asia</w:t>
      </w:r>
      <w:r w:rsidR="006F2CE0">
        <w:rPr>
          <w:rStyle w:val="FootnoteReference"/>
        </w:rPr>
        <w:footnoteReference w:id="23"/>
      </w:r>
      <w:r>
        <w:t>. Parties and the international media</w:t>
      </w:r>
      <w:r>
        <w:rPr>
          <w:rStyle w:val="FootnoteReference"/>
        </w:rPr>
        <w:footnoteReference w:id="24"/>
      </w:r>
      <w:r>
        <w:t xml:space="preserve"> also investigated and </w:t>
      </w:r>
      <w:r w:rsidR="000B0C7D">
        <w:t>identified</w:t>
      </w:r>
      <w:r w:rsidR="001F2B84">
        <w:t xml:space="preserve"> and/or reported on</w:t>
      </w:r>
      <w:r>
        <w:t xml:space="preserve"> potential sources of these emissions.</w:t>
      </w:r>
      <w:r w:rsidR="00EB571A">
        <w:t xml:space="preserve"> In November 2018, parties </w:t>
      </w:r>
      <w:r w:rsidR="008D5278">
        <w:t xml:space="preserve">responded with decision XXX/3 on </w:t>
      </w:r>
      <w:r w:rsidR="00B268C4">
        <w:t xml:space="preserve">the </w:t>
      </w:r>
      <w:r w:rsidR="008D5278">
        <w:t>unexpected emissions of CFC-11</w:t>
      </w:r>
      <w:r w:rsidR="00C60E1F">
        <w:t xml:space="preserve"> </w:t>
      </w:r>
      <w:r w:rsidR="00B268C4">
        <w:t>and</w:t>
      </w:r>
      <w:r w:rsidR="00C60E1F">
        <w:t>,</w:t>
      </w:r>
      <w:r w:rsidR="00B07871">
        <w:t xml:space="preserve"> among other things, requested the SAP and the TEAP to prepare reports. </w:t>
      </w:r>
    </w:p>
    <w:p w14:paraId="39C8F271" w14:textId="250AF5EE" w:rsidR="00FF2A2B" w:rsidRPr="00F37AA8" w:rsidRDefault="009326CB">
      <w:pPr>
        <w:rPr>
          <w:lang w:val="en-US" w:eastAsia="fr-FR"/>
        </w:rPr>
      </w:pPr>
      <w:r w:rsidRPr="009326CB">
        <w:rPr>
          <w:lang w:val="en-US"/>
        </w:rPr>
        <w:t>In a letter to Nature</w:t>
      </w:r>
      <w:r w:rsidR="00FA290B">
        <w:rPr>
          <w:lang w:val="en-US"/>
        </w:rPr>
        <w:t xml:space="preserve">, </w:t>
      </w:r>
      <w:r w:rsidRPr="009326CB">
        <w:rPr>
          <w:lang w:val="en-US"/>
        </w:rPr>
        <w:t xml:space="preserve">in 2019, Rigby </w:t>
      </w:r>
      <w:r w:rsidRPr="009326CB">
        <w:rPr>
          <w:i/>
          <w:iCs/>
          <w:lang w:val="en-US"/>
        </w:rPr>
        <w:t>et al.</w:t>
      </w:r>
      <w:r w:rsidRPr="00D32C74">
        <w:rPr>
          <w:rStyle w:val="FootnoteReference"/>
          <w:color w:val="auto"/>
          <w:lang w:val="en-US"/>
        </w:rPr>
        <w:footnoteReference w:id="25"/>
      </w:r>
      <w:r w:rsidRPr="009326CB">
        <w:rPr>
          <w:lang w:val="en-US"/>
        </w:rPr>
        <w:t xml:space="preserve"> reported increased emissions of CFC-11 from eastern mainland China, with emissions shown to be 7.0 ± 3.0 (±</w:t>
      </w:r>
      <w:r w:rsidR="00D368DA">
        <w:rPr>
          <w:lang w:val="en-US"/>
        </w:rPr>
        <w:t>one</w:t>
      </w:r>
      <w:r w:rsidRPr="009326CB">
        <w:rPr>
          <w:lang w:val="en-US"/>
        </w:rPr>
        <w:t xml:space="preserve"> standard deviation) </w:t>
      </w:r>
      <w:proofErr w:type="spellStart"/>
      <w:r w:rsidR="00864E9A">
        <w:rPr>
          <w:lang w:val="en-US"/>
        </w:rPr>
        <w:t>kilotonnes</w:t>
      </w:r>
      <w:proofErr w:type="spellEnd"/>
      <w:r w:rsidR="00C20352">
        <w:rPr>
          <w:lang w:val="en-US"/>
        </w:rPr>
        <w:t>/year</w:t>
      </w:r>
      <w:r w:rsidRPr="009326CB">
        <w:rPr>
          <w:lang w:val="en-US"/>
        </w:rPr>
        <w:t xml:space="preserve"> higher in 2014–2017 than in 2008–2012, arising primarily from the northeastern provinces of Shandong and Hebei. These regional emissions were found to account for at least 40-60% of the global increase in CFC-11 emissions</w:t>
      </w:r>
      <w:r w:rsidR="00812A95">
        <w:rPr>
          <w:lang w:val="en-US"/>
        </w:rPr>
        <w:t xml:space="preserve">. The </w:t>
      </w:r>
      <w:r w:rsidR="00BD2878">
        <w:rPr>
          <w:lang w:val="en-US"/>
        </w:rPr>
        <w:t xml:space="preserve">paper </w:t>
      </w:r>
      <w:r w:rsidR="00773281">
        <w:rPr>
          <w:lang w:val="en-US"/>
        </w:rPr>
        <w:t>reported</w:t>
      </w:r>
      <w:r w:rsidR="00BD2878">
        <w:rPr>
          <w:lang w:val="en-US"/>
        </w:rPr>
        <w:t xml:space="preserve"> </w:t>
      </w:r>
      <w:r w:rsidR="00773281">
        <w:rPr>
          <w:lang w:val="en-US"/>
        </w:rPr>
        <w:t xml:space="preserve">that there </w:t>
      </w:r>
      <w:r w:rsidR="00E0630E">
        <w:rPr>
          <w:lang w:val="en-US"/>
        </w:rPr>
        <w:t xml:space="preserve">was </w:t>
      </w:r>
      <w:r w:rsidRPr="009326CB">
        <w:rPr>
          <w:lang w:val="en-US"/>
        </w:rPr>
        <w:t xml:space="preserve">no evidence </w:t>
      </w:r>
      <w:r w:rsidR="00E0630E">
        <w:rPr>
          <w:lang w:val="en-US"/>
        </w:rPr>
        <w:t>of</w:t>
      </w:r>
      <w:r w:rsidRPr="009326CB">
        <w:rPr>
          <w:lang w:val="en-US"/>
        </w:rPr>
        <w:t xml:space="preserve"> any significant increase in CFC-11 emissions from any other regions of the world </w:t>
      </w:r>
      <w:r w:rsidRPr="009326CB">
        <w:t>that were adequately monitored by atmospheric measurements</w:t>
      </w:r>
      <w:r w:rsidR="00273010">
        <w:t xml:space="preserve">, </w:t>
      </w:r>
      <w:r w:rsidR="006A651F">
        <w:t xml:space="preserve">and </w:t>
      </w:r>
      <w:r w:rsidR="00773281">
        <w:t xml:space="preserve">that there are some regions where </w:t>
      </w:r>
      <w:r w:rsidR="00773281">
        <w:rPr>
          <w:lang w:val="en-US"/>
        </w:rPr>
        <w:t>there is</w:t>
      </w:r>
      <w:r w:rsidR="00773281" w:rsidRPr="009326CB">
        <w:rPr>
          <w:lang w:val="en-US"/>
        </w:rPr>
        <w:t xml:space="preserve"> limited available data</w:t>
      </w:r>
      <w:r w:rsidRPr="009326CB">
        <w:rPr>
          <w:rStyle w:val="FootnoteReference"/>
          <w:color w:val="auto"/>
          <w:lang w:val="en-US"/>
        </w:rPr>
        <w:footnoteReference w:id="26"/>
      </w:r>
      <w:r w:rsidRPr="009326CB">
        <w:rPr>
          <w:lang w:val="en-US"/>
        </w:rPr>
        <w:t xml:space="preserve">. Between 2008 and 2012, annual global </w:t>
      </w:r>
      <w:r w:rsidR="00357ECC">
        <w:rPr>
          <w:lang w:val="en-US"/>
        </w:rPr>
        <w:t xml:space="preserve">derived </w:t>
      </w:r>
      <w:r w:rsidRPr="009326CB">
        <w:rPr>
          <w:lang w:val="en-US"/>
        </w:rPr>
        <w:t xml:space="preserve">emissions of CFC-11 were 64 ± 2 </w:t>
      </w:r>
      <w:proofErr w:type="spellStart"/>
      <w:r w:rsidR="002D1378">
        <w:rPr>
          <w:lang w:val="en-US"/>
        </w:rPr>
        <w:t>kilo</w:t>
      </w:r>
      <w:r w:rsidRPr="009326CB">
        <w:rPr>
          <w:lang w:val="en-US"/>
        </w:rPr>
        <w:t>tonnes</w:t>
      </w:r>
      <w:proofErr w:type="spellEnd"/>
      <w:r w:rsidR="00C20352">
        <w:rPr>
          <w:lang w:val="en-US"/>
        </w:rPr>
        <w:t>/year</w:t>
      </w:r>
      <w:r w:rsidRPr="009326CB">
        <w:rPr>
          <w:lang w:val="en-US"/>
        </w:rPr>
        <w:t xml:space="preserve"> </w:t>
      </w:r>
      <w:r w:rsidR="00AD43D7">
        <w:rPr>
          <w:lang w:val="en-US"/>
        </w:rPr>
        <w:t>bas</w:t>
      </w:r>
      <w:r w:rsidR="00C76E84">
        <w:rPr>
          <w:lang w:val="en-US"/>
        </w:rPr>
        <w:t xml:space="preserve">ed on observations from AGAGE </w:t>
      </w:r>
      <w:r w:rsidRPr="009326CB">
        <w:rPr>
          <w:lang w:val="en-US"/>
        </w:rPr>
        <w:t xml:space="preserve">or 63 ± 2 </w:t>
      </w:r>
      <w:proofErr w:type="spellStart"/>
      <w:r w:rsidR="002D1378">
        <w:rPr>
          <w:lang w:val="en-US"/>
        </w:rPr>
        <w:t>kilo</w:t>
      </w:r>
      <w:r w:rsidRPr="009326CB">
        <w:rPr>
          <w:lang w:val="en-US"/>
        </w:rPr>
        <w:t>tonnes</w:t>
      </w:r>
      <w:proofErr w:type="spellEnd"/>
      <w:r w:rsidR="00C20352">
        <w:rPr>
          <w:lang w:val="en-US"/>
        </w:rPr>
        <w:t>/year</w:t>
      </w:r>
      <w:r w:rsidRPr="009326CB">
        <w:rPr>
          <w:lang w:val="en-US"/>
        </w:rPr>
        <w:t>, based on observations from NOAA</w:t>
      </w:r>
      <w:r w:rsidR="006F2CE0" w:rsidRPr="009326CB">
        <w:rPr>
          <w:rStyle w:val="FootnoteReference"/>
          <w:color w:val="auto"/>
          <w:lang w:val="en-US"/>
        </w:rPr>
        <w:footnoteReference w:id="27"/>
      </w:r>
      <w:r w:rsidRPr="009326CB">
        <w:rPr>
          <w:lang w:val="en-US"/>
        </w:rPr>
        <w:t xml:space="preserve">. Based on several considerations, Rigby </w:t>
      </w:r>
      <w:r w:rsidRPr="009326CB">
        <w:rPr>
          <w:i/>
          <w:iCs/>
          <w:lang w:val="en-US"/>
        </w:rPr>
        <w:t>et al.</w:t>
      </w:r>
      <w:r w:rsidRPr="009326CB">
        <w:rPr>
          <w:lang w:val="en-US"/>
        </w:rPr>
        <w:t xml:space="preserve"> suggested </w:t>
      </w:r>
      <w:r w:rsidRPr="009326CB">
        <w:t xml:space="preserve">that the increase in CFC-11 emissions from eastern mainland China was likely to result from new production and use of CFC-11. </w:t>
      </w:r>
    </w:p>
    <w:p w14:paraId="15B28BA5" w14:textId="3C3C45D5" w:rsidR="00322C26" w:rsidRPr="00E846F9" w:rsidRDefault="00015917" w:rsidP="00751ECE">
      <w:pPr>
        <w:pStyle w:val="Heading2"/>
      </w:pPr>
      <w:bookmarkStart w:id="128" w:name="_Toc73045591"/>
      <w:r>
        <w:t>1.</w:t>
      </w:r>
      <w:r w:rsidR="001D6B1F">
        <w:t>6</w:t>
      </w:r>
      <w:r>
        <w:tab/>
      </w:r>
      <w:r w:rsidR="00B757B5">
        <w:t xml:space="preserve">Summary of </w:t>
      </w:r>
      <w:r w:rsidR="0021044D">
        <w:t>S</w:t>
      </w:r>
      <w:r w:rsidR="00322C26">
        <w:t xml:space="preserve">cience </w:t>
      </w:r>
      <w:r w:rsidR="006500D0">
        <w:t>findings</w:t>
      </w:r>
      <w:r w:rsidR="00CE1A51">
        <w:t xml:space="preserve"> since 2019</w:t>
      </w:r>
      <w:bookmarkEnd w:id="128"/>
    </w:p>
    <w:p w14:paraId="279D7CE9" w14:textId="77777777" w:rsidR="00476056" w:rsidRPr="002B3A66" w:rsidRDefault="00476056" w:rsidP="00476056">
      <w:pPr>
        <w:rPr>
          <w:lang w:val="en-US" w:eastAsia="fr-FR"/>
        </w:rPr>
      </w:pPr>
      <w:r w:rsidRPr="007C4BF1">
        <w:rPr>
          <w:i/>
          <w:iCs/>
          <w:lang w:val="en-US" w:eastAsia="fr-FR"/>
        </w:rPr>
        <w:t>Decision XXXI/3: Unexplained emissions of trichlorofluoromethane (CFC-11)</w:t>
      </w:r>
      <w:r>
        <w:rPr>
          <w:i/>
          <w:iCs/>
          <w:lang w:val="en-US" w:eastAsia="fr-FR"/>
        </w:rPr>
        <w:t xml:space="preserve"> </w:t>
      </w:r>
      <w:r>
        <w:rPr>
          <w:lang w:val="en-US" w:eastAsia="fr-FR"/>
        </w:rPr>
        <w:t xml:space="preserve">requested that TEAP provide an update of </w:t>
      </w:r>
      <w:r w:rsidRPr="00953A12">
        <w:rPr>
          <w:lang w:val="en-US" w:eastAsia="fr-FR"/>
        </w:rPr>
        <w:t>any new compelling information available</w:t>
      </w:r>
      <w:r>
        <w:rPr>
          <w:lang w:val="en-US" w:eastAsia="fr-FR"/>
        </w:rPr>
        <w:t xml:space="preserve">. This section </w:t>
      </w:r>
      <w:proofErr w:type="spellStart"/>
      <w:r>
        <w:rPr>
          <w:lang w:val="en-US" w:eastAsia="fr-FR"/>
        </w:rPr>
        <w:t>summarises</w:t>
      </w:r>
      <w:proofErr w:type="spellEnd"/>
      <w:r>
        <w:rPr>
          <w:lang w:val="en-US" w:eastAsia="fr-FR"/>
        </w:rPr>
        <w:t xml:space="preserve"> the most recent scientific findings related to this topic.</w:t>
      </w:r>
    </w:p>
    <w:p w14:paraId="309B2EDE" w14:textId="68ED6A3A" w:rsidR="00374484" w:rsidRPr="004E25C2" w:rsidRDefault="001D3D6C" w:rsidP="00751ECE">
      <w:pPr>
        <w:pStyle w:val="Heading3"/>
      </w:pPr>
      <w:bookmarkStart w:id="129" w:name="_Toc73045592"/>
      <w:r w:rsidRPr="0040589C">
        <w:t>1.6.1</w:t>
      </w:r>
      <w:r w:rsidRPr="0040589C">
        <w:tab/>
      </w:r>
      <w:r w:rsidR="00374484" w:rsidRPr="00030C7B">
        <w:t>The Report on Unexpected Emissions of CFC-11</w:t>
      </w:r>
      <w:r>
        <w:t>,</w:t>
      </w:r>
      <w:r w:rsidR="00830EF1" w:rsidRPr="00030C7B">
        <w:t xml:space="preserve"> </w:t>
      </w:r>
      <w:r w:rsidR="00374484">
        <w:rPr>
          <w:lang w:eastAsia="fr-FR"/>
        </w:rPr>
        <w:t xml:space="preserve">World </w:t>
      </w:r>
      <w:r w:rsidR="00E067FC">
        <w:rPr>
          <w:lang w:eastAsia="fr-FR"/>
        </w:rPr>
        <w:t>Meteorological</w:t>
      </w:r>
      <w:r w:rsidR="00374484">
        <w:rPr>
          <w:lang w:eastAsia="fr-FR"/>
        </w:rPr>
        <w:t xml:space="preserve"> Organization</w:t>
      </w:r>
      <w:r w:rsidR="00503438">
        <w:rPr>
          <w:rStyle w:val="FootnoteReference"/>
          <w:lang w:eastAsia="fr-FR"/>
        </w:rPr>
        <w:footnoteReference w:id="28"/>
      </w:r>
      <w:bookmarkEnd w:id="129"/>
      <w:r w:rsidR="00374484">
        <w:rPr>
          <w:lang w:eastAsia="fr-FR"/>
        </w:rPr>
        <w:t xml:space="preserve"> </w:t>
      </w:r>
    </w:p>
    <w:p w14:paraId="79EFEB7A" w14:textId="61701CAF" w:rsidR="00AB3B88" w:rsidRDefault="1CAEEFD9" w:rsidP="00DC6E8C">
      <w:r w:rsidRPr="1CAEEFD9">
        <w:t xml:space="preserve">In </w:t>
      </w:r>
      <w:r w:rsidR="784DA6A2">
        <w:t>2018</w:t>
      </w:r>
      <w:r w:rsidRPr="1CAEEFD9">
        <w:t xml:space="preserve">, parties </w:t>
      </w:r>
      <w:r w:rsidR="00D2440F">
        <w:t>requested</w:t>
      </w:r>
      <w:r w:rsidR="00D2440F" w:rsidRPr="1CAEEFD9">
        <w:t xml:space="preserve"> </w:t>
      </w:r>
      <w:r w:rsidRPr="1CAEEFD9">
        <w:t>the Scientific Assessment Panel (SAP) (Decision XXX</w:t>
      </w:r>
      <w:r w:rsidR="00D2440F">
        <w:t>/3</w:t>
      </w:r>
      <w:r w:rsidRPr="1CAEEFD9">
        <w:t>) to review newly available information related to the unexpected increase in CFC-11 emissions</w:t>
      </w:r>
      <w:r w:rsidR="00B92DFF">
        <w:t>,</w:t>
      </w:r>
      <w:r w:rsidRPr="1CAEEFD9">
        <w:t xml:space="preserve"> which is </w:t>
      </w:r>
      <w:r w:rsidR="00251085">
        <w:t>provided</w:t>
      </w:r>
      <w:r w:rsidR="00251085" w:rsidRPr="1CAEEFD9">
        <w:t xml:space="preserve"> </w:t>
      </w:r>
      <w:r w:rsidRPr="1CAEEFD9">
        <w:t xml:space="preserve">in </w:t>
      </w:r>
      <w:r w:rsidRPr="00043208">
        <w:rPr>
          <w:i/>
          <w:iCs/>
        </w:rPr>
        <w:t>The Report on Unexpected Emissions of CFC-11</w:t>
      </w:r>
      <w:r w:rsidR="00314B6A">
        <w:t xml:space="preserve"> (the SAP Report)</w:t>
      </w:r>
      <w:r w:rsidR="004430A5">
        <w:rPr>
          <w:rStyle w:val="FootnoteReference"/>
        </w:rPr>
        <w:footnoteReference w:id="29"/>
      </w:r>
      <w:r w:rsidRPr="1CAEEFD9">
        <w:t xml:space="preserve">. </w:t>
      </w:r>
      <w:r w:rsidR="00F64A5A">
        <w:t xml:space="preserve">The </w:t>
      </w:r>
      <w:r w:rsidR="00F64A5A">
        <w:lastRenderedPageBreak/>
        <w:t xml:space="preserve">following briefly summarises </w:t>
      </w:r>
      <w:r w:rsidR="004D5CCA">
        <w:t xml:space="preserve">the </w:t>
      </w:r>
      <w:r w:rsidR="00F64A5A">
        <w:t xml:space="preserve">findings </w:t>
      </w:r>
      <w:r w:rsidR="004D5CCA">
        <w:t>from that report</w:t>
      </w:r>
      <w:r w:rsidR="00F64A5A">
        <w:t xml:space="preserve"> </w:t>
      </w:r>
      <w:r w:rsidR="00606F4F">
        <w:t>as background for this 2021 Task Force Report.</w:t>
      </w:r>
    </w:p>
    <w:p w14:paraId="455549B9" w14:textId="4591CFD0" w:rsidR="00AB3B88" w:rsidRDefault="2FE2C3C9" w:rsidP="0040589C">
      <w:r>
        <w:t>Global annual totals for CFC-11 emissions are derived from atmospheric concentration measurements of CFC-11 at remote sites throughout the globe and an understanding of global loss rates, or CFC-11's global atmospheric lifetime.</w:t>
      </w:r>
      <w:r w:rsidR="00EC4CC3">
        <w:t xml:space="preserve"> </w:t>
      </w:r>
      <w:r>
        <w:t>These “atmosphere-based” or “atmosphere-derived” global emissions are inferred from estimates of globally averaged concentrations and their changes interannually as supplied by the Advanced Global Atmospheric Gases Experiment (AGAGE) and the National Oceanic and Atmospheric Administration (NOAA) global atmospheric monitoring networks. These measurement programs continually monitor the atmospheric abundances of CFC-11, other ozone-depleting substances and most long-lived substitute chemicals. New information from those networks was incorporated into the SAP Report.</w:t>
      </w:r>
    </w:p>
    <w:p w14:paraId="1307D144" w14:textId="74024C17" w:rsidR="00393C9A" w:rsidRDefault="00342BC8" w:rsidP="00342BC8">
      <w:r w:rsidRPr="6F3C6FA3">
        <w:t xml:space="preserve">The </w:t>
      </w:r>
      <w:r>
        <w:t xml:space="preserve">SAP </w:t>
      </w:r>
      <w:r w:rsidR="00DC379E">
        <w:t>R</w:t>
      </w:r>
      <w:r w:rsidRPr="6F3C6FA3">
        <w:t xml:space="preserve">eport notes that there was an expectation that global emissions of CFC-11 would </w:t>
      </w:r>
      <w:r>
        <w:t xml:space="preserve">continue to </w:t>
      </w:r>
      <w:r w:rsidRPr="6F3C6FA3">
        <w:t>gradually decrease after 2010 because of the phase</w:t>
      </w:r>
      <w:r w:rsidR="009E5460">
        <w:t>-</w:t>
      </w:r>
      <w:r w:rsidRPr="6F3C6FA3">
        <w:t>out of production and consumption of CFC-11</w:t>
      </w:r>
      <w:r w:rsidR="00BA2597">
        <w:t xml:space="preserve"> globally</w:t>
      </w:r>
      <w:r w:rsidRPr="6F3C6FA3">
        <w:t xml:space="preserve">. </w:t>
      </w:r>
      <w:r>
        <w:t>If this had happened, the decline in global mean concentration would have accelerated</w:t>
      </w:r>
      <w:r w:rsidR="1061C58E">
        <w:t xml:space="preserve"> until emissions were negligible</w:t>
      </w:r>
      <w:r>
        <w:t xml:space="preserve">, but instead, the concentration decline slowed after </w:t>
      </w:r>
      <w:r w:rsidR="000A00EE">
        <w:t>2012</w:t>
      </w:r>
      <w:r>
        <w:t>.</w:t>
      </w:r>
      <w:r w:rsidR="00A64639">
        <w:t xml:space="preserve"> </w:t>
      </w:r>
      <w:r w:rsidRPr="6F3C6FA3">
        <w:t xml:space="preserve">Global CFC-11 </w:t>
      </w:r>
      <w:r w:rsidR="00FB6758">
        <w:t>atmospheric</w:t>
      </w:r>
      <w:r w:rsidRPr="6F3C6FA3">
        <w:t xml:space="preserve"> abundances decline</w:t>
      </w:r>
      <w:r>
        <w:t>d</w:t>
      </w:r>
      <w:r w:rsidRPr="6F3C6FA3">
        <w:t xml:space="preserve"> by approximately 0.8% yr</w:t>
      </w:r>
      <w:r w:rsidRPr="00872AAE">
        <w:rPr>
          <w:vertAlign w:val="superscript"/>
        </w:rPr>
        <w:t>-1</w:t>
      </w:r>
      <w:r w:rsidRPr="6F3C6FA3">
        <w:t xml:space="preserve"> from 2002 to 2012, but </w:t>
      </w:r>
      <w:r w:rsidR="00986D64">
        <w:t xml:space="preserve">during </w:t>
      </w:r>
      <w:r w:rsidR="00475553">
        <w:t xml:space="preserve">the period </w:t>
      </w:r>
      <w:r w:rsidRPr="6F3C6FA3">
        <w:t xml:space="preserve">from 2014 to 2018, the decline was reduced </w:t>
      </w:r>
      <w:r>
        <w:t xml:space="preserve">or slowed </w:t>
      </w:r>
      <w:r w:rsidRPr="6F3C6FA3">
        <w:t>to 0.5% yr</w:t>
      </w:r>
      <w:r w:rsidRPr="00872AAE">
        <w:rPr>
          <w:vertAlign w:val="superscript"/>
        </w:rPr>
        <w:t>-1</w:t>
      </w:r>
      <w:r>
        <w:t>.</w:t>
      </w:r>
      <w:r w:rsidR="00A64639">
        <w:t xml:space="preserve"> </w:t>
      </w:r>
    </w:p>
    <w:p w14:paraId="025D6588" w14:textId="7E289F6F" w:rsidR="00342BC8" w:rsidRDefault="00342BC8" w:rsidP="00342BC8">
      <w:r w:rsidRPr="6F3C6FA3">
        <w:t xml:space="preserve">Notably, the mean </w:t>
      </w:r>
      <w:r>
        <w:t>global emission</w:t>
      </w:r>
      <w:r w:rsidR="00B12E2F">
        <w:t>s</w:t>
      </w:r>
      <w:r>
        <w:t xml:space="preserve"> derived </w:t>
      </w:r>
      <w:r w:rsidRPr="6F3C6FA3">
        <w:t xml:space="preserve">for 2014–2016 (67 ± 3 </w:t>
      </w:r>
      <w:proofErr w:type="spellStart"/>
      <w:r w:rsidR="00C96AC5">
        <w:t>kilotonnes</w:t>
      </w:r>
      <w:proofErr w:type="spellEnd"/>
      <w:r w:rsidRPr="6F3C6FA3">
        <w:t xml:space="preserve"> yr</w:t>
      </w:r>
      <w:r w:rsidRPr="00872AAE">
        <w:rPr>
          <w:vertAlign w:val="superscript"/>
        </w:rPr>
        <w:t>-1</w:t>
      </w:r>
      <w:r w:rsidRPr="6F3C6FA3">
        <w:t xml:space="preserve">) was estimated to be 13 ± 5 </w:t>
      </w:r>
      <w:proofErr w:type="spellStart"/>
      <w:r w:rsidR="00C96AC5">
        <w:t>kilotonnes</w:t>
      </w:r>
      <w:proofErr w:type="spellEnd"/>
      <w:r w:rsidRPr="6F3C6FA3">
        <w:t xml:space="preserve"> yr</w:t>
      </w:r>
      <w:r w:rsidRPr="00872AAE">
        <w:rPr>
          <w:vertAlign w:val="superscript"/>
        </w:rPr>
        <w:t>-1</w:t>
      </w:r>
      <w:r w:rsidRPr="6F3C6FA3">
        <w:t xml:space="preserve"> larger than for 2002–2012. Emissions in 2018 (70 ± 10 </w:t>
      </w:r>
      <w:proofErr w:type="spellStart"/>
      <w:r w:rsidR="00C96AC5">
        <w:t>kilotonnes</w:t>
      </w:r>
      <w:proofErr w:type="spellEnd"/>
      <w:r w:rsidRPr="6F3C6FA3">
        <w:t xml:space="preserve"> yr</w:t>
      </w:r>
      <w:r w:rsidRPr="00872AAE">
        <w:rPr>
          <w:vertAlign w:val="superscript"/>
        </w:rPr>
        <w:t>-1</w:t>
      </w:r>
      <w:r w:rsidRPr="6F3C6FA3">
        <w:t xml:space="preserve">) were similar to the 2014–2017 mean. CFC-11 atmospheric concentrations declined </w:t>
      </w:r>
      <w:r>
        <w:t>at a mean rate of</w:t>
      </w:r>
      <w:r w:rsidRPr="6F3C6FA3">
        <w:t xml:space="preserve"> –0.7% yr</w:t>
      </w:r>
      <w:r w:rsidRPr="00872AAE">
        <w:rPr>
          <w:vertAlign w:val="superscript"/>
        </w:rPr>
        <w:t>-1</w:t>
      </w:r>
      <w:r w:rsidRPr="6F3C6FA3">
        <w:t xml:space="preserve"> </w:t>
      </w:r>
      <w:r>
        <w:t xml:space="preserve">from </w:t>
      </w:r>
      <w:r w:rsidRPr="6F3C6FA3">
        <w:t>2018</w:t>
      </w:r>
      <w:r>
        <w:t xml:space="preserve"> to </w:t>
      </w:r>
      <w:r w:rsidRPr="6F3C6FA3">
        <w:t>2019.</w:t>
      </w:r>
      <w:r w:rsidR="005D4BEF">
        <w:t xml:space="preserve"> </w:t>
      </w:r>
      <w:r w:rsidR="310F063D">
        <w:t xml:space="preserve">The faster concentration decline measured after 2018 indicated that global emissions in 2019 were 18 </w:t>
      </w:r>
      <w:r w:rsidR="00BE61C3" w:rsidRPr="6F3C6FA3">
        <w:t>±</w:t>
      </w:r>
      <w:r w:rsidR="310F063D">
        <w:t xml:space="preserve"> 6 </w:t>
      </w:r>
      <w:proofErr w:type="spellStart"/>
      <w:r w:rsidR="00C96AC5">
        <w:t>kilotonnes</w:t>
      </w:r>
      <w:proofErr w:type="spellEnd"/>
      <w:r w:rsidR="310F063D">
        <w:t xml:space="preserve"> yr</w:t>
      </w:r>
      <w:r w:rsidR="310F063D" w:rsidRPr="310F063D">
        <w:rPr>
          <w:vertAlign w:val="superscript"/>
        </w:rPr>
        <w:t>-1</w:t>
      </w:r>
      <w:r w:rsidR="310F063D">
        <w:t xml:space="preserve"> lower than they had been during the 2014-</w:t>
      </w:r>
      <w:r w:rsidR="1061C58E">
        <w:t>2018</w:t>
      </w:r>
      <w:r w:rsidR="310F063D">
        <w:t xml:space="preserve"> period.</w:t>
      </w:r>
    </w:p>
    <w:p w14:paraId="68F8A277" w14:textId="6C428E8A" w:rsidR="00CC743B" w:rsidRDefault="00077684" w:rsidP="00DC6E8C">
      <w:r>
        <w:t>Concurrent with the slower decline</w:t>
      </w:r>
      <w:r w:rsidRPr="6F3C6FA3">
        <w:t xml:space="preserve"> </w:t>
      </w:r>
      <w:r>
        <w:t xml:space="preserve">in atmospheric abundance </w:t>
      </w:r>
      <w:r w:rsidRPr="6F3C6FA3">
        <w:t xml:space="preserve">was a </w:t>
      </w:r>
      <w:r>
        <w:t xml:space="preserve">notable </w:t>
      </w:r>
      <w:r w:rsidRPr="6F3C6FA3">
        <w:t xml:space="preserve">increase in </w:t>
      </w:r>
      <w:r>
        <w:t xml:space="preserve">the mean </w:t>
      </w:r>
      <w:r w:rsidRPr="6F3C6FA3">
        <w:t>hemispheric concentration</w:t>
      </w:r>
      <w:r>
        <w:t xml:space="preserve"> difference</w:t>
      </w:r>
      <w:r w:rsidRPr="6F3C6FA3">
        <w:t>.</w:t>
      </w:r>
      <w:r>
        <w:t xml:space="preserve"> </w:t>
      </w:r>
      <w:r w:rsidR="24483D61">
        <w:t>Increasing hemispheric differences in CFC-11 concentrations</w:t>
      </w:r>
      <w:r w:rsidR="00A85B40">
        <w:t>,</w:t>
      </w:r>
      <w:r w:rsidR="1061C58E">
        <w:t xml:space="preserve"> with larger values in the northern hemisphere</w:t>
      </w:r>
      <w:r w:rsidR="00A85B40">
        <w:t>,</w:t>
      </w:r>
      <w:r w:rsidR="00383D77">
        <w:t xml:space="preserve"> </w:t>
      </w:r>
      <w:r w:rsidR="24483D61">
        <w:t xml:space="preserve">suggest that the sources of unexpected emissions from 2012 to 2018 were predominantly in the northern hemisphere. </w:t>
      </w:r>
    </w:p>
    <w:p w14:paraId="70820502" w14:textId="061F0A78" w:rsidR="00AB3B88" w:rsidRDefault="00677C1F" w:rsidP="00DC6E8C">
      <w:r>
        <w:t>M</w:t>
      </w:r>
      <w:r w:rsidR="24483D61">
        <w:t xml:space="preserve">easurements </w:t>
      </w:r>
      <w:r w:rsidR="00536DFD">
        <w:t xml:space="preserve">taken </w:t>
      </w:r>
      <w:r w:rsidR="24483D61">
        <w:t xml:space="preserve">from the </w:t>
      </w:r>
      <w:proofErr w:type="spellStart"/>
      <w:r w:rsidR="24483D61">
        <w:t>Hateruma</w:t>
      </w:r>
      <w:proofErr w:type="spellEnd"/>
      <w:r w:rsidR="24483D61">
        <w:t xml:space="preserve">, Japan and </w:t>
      </w:r>
      <w:proofErr w:type="spellStart"/>
      <w:r w:rsidR="24483D61">
        <w:t>Gosan</w:t>
      </w:r>
      <w:proofErr w:type="spellEnd"/>
      <w:r w:rsidR="24483D61">
        <w:t xml:space="preserve">, Korea stations, </w:t>
      </w:r>
      <w:r w:rsidR="00673FA0">
        <w:t>allowed</w:t>
      </w:r>
      <w:r w:rsidR="00D868A4">
        <w:t xml:space="preserve"> </w:t>
      </w:r>
      <w:r w:rsidR="00A11243">
        <w:t>regional emissions to be estimated from eastern Asia</w:t>
      </w:r>
      <w:r w:rsidR="00F67C00">
        <w:t xml:space="preserve">. </w:t>
      </w:r>
      <w:r w:rsidR="002B28A0">
        <w:t>The regional estimate</w:t>
      </w:r>
      <w:r w:rsidR="00D657B3">
        <w:t xml:space="preserve"> </w:t>
      </w:r>
      <w:r w:rsidR="24483D61">
        <w:t xml:space="preserve">indicated an increase in CFC-11 emissions from Eastern China by 7 ± 4 </w:t>
      </w:r>
      <w:proofErr w:type="spellStart"/>
      <w:r w:rsidR="00C96AC5">
        <w:t>kilotonnes</w:t>
      </w:r>
      <w:proofErr w:type="spellEnd"/>
      <w:r w:rsidR="24483D61">
        <w:t xml:space="preserve"> yr</w:t>
      </w:r>
      <w:r w:rsidR="24483D61" w:rsidRPr="24483D61">
        <w:rPr>
          <w:vertAlign w:val="superscript"/>
        </w:rPr>
        <w:t>-1</w:t>
      </w:r>
      <w:r w:rsidR="24483D61">
        <w:t xml:space="preserve"> from 20</w:t>
      </w:r>
      <w:r w:rsidR="004621F6">
        <w:t>14</w:t>
      </w:r>
      <w:r w:rsidR="24483D61">
        <w:t>–201</w:t>
      </w:r>
      <w:r w:rsidR="004621F6">
        <w:t>7</w:t>
      </w:r>
      <w:r w:rsidR="24483D61">
        <w:t xml:space="preserve"> compared to 20</w:t>
      </w:r>
      <w:r w:rsidR="004621F6">
        <w:t>08</w:t>
      </w:r>
      <w:r w:rsidR="24483D61">
        <w:t>–201</w:t>
      </w:r>
      <w:r w:rsidR="006E628C">
        <w:t>2</w:t>
      </w:r>
      <w:r w:rsidR="24483D61">
        <w:t xml:space="preserve"> periods, thus accounting for 60 ± 40% of the global increase. In 2019, emissions from Eastern China declined by 10 ± 3 </w:t>
      </w:r>
      <w:proofErr w:type="spellStart"/>
      <w:r w:rsidR="00C96AC5">
        <w:t>kilotonnes</w:t>
      </w:r>
      <w:proofErr w:type="spellEnd"/>
      <w:r w:rsidR="24483D61">
        <w:t xml:space="preserve"> yr</w:t>
      </w:r>
      <w:r w:rsidR="24483D61" w:rsidRPr="00043208">
        <w:rPr>
          <w:vertAlign w:val="superscript"/>
        </w:rPr>
        <w:t>-1</w:t>
      </w:r>
      <w:r w:rsidR="24483D61">
        <w:t xml:space="preserve"> relative to emissions during 2014</w:t>
      </w:r>
      <w:r w:rsidR="0048654A">
        <w:t xml:space="preserve"> to</w:t>
      </w:r>
      <w:r w:rsidR="24483D61">
        <w:t>2017. This regional emission decrease accounted for 60 ± 30% of the global decline.</w:t>
      </w:r>
    </w:p>
    <w:p w14:paraId="054EF901" w14:textId="5B0E882F" w:rsidR="00AB3B88" w:rsidRDefault="310F063D" w:rsidP="00DC6E8C">
      <w:r>
        <w:t xml:space="preserve">Although there is continued refinement of estimated bank calculations, the increase of global CFC-11 emissions after 2012 and the subsequent reduction in 2019 is not considered to be the result of changes in CFC-11 bank releases. The World Meteorological Organization noted in </w:t>
      </w:r>
      <w:r w:rsidR="005719D3">
        <w:t xml:space="preserve">its </w:t>
      </w:r>
      <w:r>
        <w:t xml:space="preserve">2021 </w:t>
      </w:r>
      <w:r w:rsidR="009E4FE7">
        <w:t xml:space="preserve">SAP </w:t>
      </w:r>
      <w:r w:rsidR="00BF32AA">
        <w:t>R</w:t>
      </w:r>
      <w:r>
        <w:t>eport, “</w:t>
      </w:r>
      <w:r w:rsidRPr="310F063D">
        <w:rPr>
          <w:i/>
          <w:iCs/>
        </w:rPr>
        <w:t>emission increases observed to date are small enough so that they will not have a major impact on CFC-11 atmospheric abundances and therefore will not have a major impact on the expected stratospheric ozone recovery. However, increases in banks and how they might augment future emissions remains to be tightly constrained.</w:t>
      </w:r>
      <w:r>
        <w:t xml:space="preserve">” </w:t>
      </w:r>
    </w:p>
    <w:p w14:paraId="39D61A01" w14:textId="3AD7A1BA" w:rsidR="00AB3B88" w:rsidRDefault="24483D61" w:rsidP="00DC6E8C">
      <w:r>
        <w:t>The unreported production since 2010 likely enhanced banks globally as well as leading to unexpected emissions</w:t>
      </w:r>
      <w:r w:rsidR="00626587">
        <w:t>,</w:t>
      </w:r>
      <w:r>
        <w:t xml:space="preserve"> </w:t>
      </w:r>
      <w:r w:rsidR="008918D2">
        <w:t>a</w:t>
      </w:r>
      <w:r>
        <w:t xml:space="preserve">lthough the precise quantification is not yet clear. </w:t>
      </w:r>
      <w:r w:rsidR="00A82321">
        <w:t>According to the SAP Report, a</w:t>
      </w:r>
      <w:r>
        <w:t xml:space="preserve"> simplified model estimated that the bank </w:t>
      </w:r>
      <w:r w:rsidR="00E41E0F">
        <w:t xml:space="preserve">of CFC-11 </w:t>
      </w:r>
      <w:r>
        <w:t xml:space="preserve">is 1475 </w:t>
      </w:r>
      <w:proofErr w:type="spellStart"/>
      <w:r w:rsidR="00C96AC5">
        <w:t>kilotonnes</w:t>
      </w:r>
      <w:proofErr w:type="spellEnd"/>
      <w:r>
        <w:t xml:space="preserve"> for </w:t>
      </w:r>
      <w:r>
        <w:lastRenderedPageBreak/>
        <w:t xml:space="preserve">2018 while another study </w:t>
      </w:r>
      <w:r w:rsidR="00DE440A">
        <w:t xml:space="preserve">by </w:t>
      </w:r>
      <w:r w:rsidR="00DE440A" w:rsidRPr="00022619">
        <w:t xml:space="preserve">Park </w:t>
      </w:r>
      <w:r w:rsidR="00DE440A" w:rsidRPr="00022619">
        <w:rPr>
          <w:i/>
          <w:iCs/>
        </w:rPr>
        <w:t>et al</w:t>
      </w:r>
      <w:r w:rsidR="00277F17" w:rsidRPr="005D3B09">
        <w:rPr>
          <w:i/>
          <w:iCs/>
        </w:rPr>
        <w:t>.</w:t>
      </w:r>
      <w:r w:rsidR="00277F17" w:rsidRPr="005D3B09">
        <w:rPr>
          <w:rStyle w:val="FootnoteReference"/>
        </w:rPr>
        <w:footnoteReference w:id="30"/>
      </w:r>
      <w:r w:rsidR="00DE440A">
        <w:t xml:space="preserve"> </w:t>
      </w:r>
      <w:r>
        <w:t xml:space="preserve">estimates the range of 900 to 2300 </w:t>
      </w:r>
      <w:proofErr w:type="spellStart"/>
      <w:r w:rsidR="00C96AC5">
        <w:t>kilotonnes</w:t>
      </w:r>
      <w:proofErr w:type="spellEnd"/>
      <w:r>
        <w:t xml:space="preserve"> without consideration of the unreported production and suggest that the additional banks in eastern China as of 2019 could be as high as 112 </w:t>
      </w:r>
      <w:proofErr w:type="spellStart"/>
      <w:r w:rsidR="0030159C">
        <w:t>kilotonnes</w:t>
      </w:r>
      <w:proofErr w:type="spellEnd"/>
      <w:r>
        <w:t xml:space="preserve">. </w:t>
      </w:r>
    </w:p>
    <w:p w14:paraId="0CA2BC51" w14:textId="2CB3E0E9" w:rsidR="00CB53F4" w:rsidRDefault="00CB53F4" w:rsidP="00751ECE">
      <w:pPr>
        <w:pStyle w:val="Heading3"/>
      </w:pPr>
      <w:bookmarkStart w:id="130" w:name="_Toc73045593"/>
      <w:r>
        <w:t>1.</w:t>
      </w:r>
      <w:r w:rsidR="001D6B1F">
        <w:t>6</w:t>
      </w:r>
      <w:r>
        <w:t>.</w:t>
      </w:r>
      <w:r w:rsidR="00B462A7">
        <w:t>2</w:t>
      </w:r>
      <w:r>
        <w:tab/>
      </w:r>
      <w:r w:rsidR="00A75BCC">
        <w:t xml:space="preserve">Additional </w:t>
      </w:r>
      <w:r w:rsidR="00E41F83">
        <w:t>Studies</w:t>
      </w:r>
      <w:r w:rsidR="001B130F">
        <w:t>:</w:t>
      </w:r>
      <w:r w:rsidR="00F179CE">
        <w:t xml:space="preserve"> </w:t>
      </w:r>
      <w:r w:rsidRPr="7FD706EE">
        <w:t>Atmospherically derived CFC-11 emissions.</w:t>
      </w:r>
      <w:bookmarkEnd w:id="130"/>
      <w:r w:rsidRPr="7FD706EE">
        <w:t xml:space="preserve"> </w:t>
      </w:r>
    </w:p>
    <w:p w14:paraId="5A1F37CE" w14:textId="7D642D90" w:rsidR="00CB53F4" w:rsidRDefault="00CB53F4" w:rsidP="00CB53F4">
      <w:pPr>
        <w:rPr>
          <w:color w:val="A6A6A6" w:themeColor="background1" w:themeShade="A6"/>
        </w:rPr>
      </w:pPr>
      <w:r w:rsidRPr="00622AE7">
        <w:rPr>
          <w:szCs w:val="22"/>
        </w:rPr>
        <w:t>The unexpected increase of global CFC-11 emissions that first</w:t>
      </w:r>
      <w:r w:rsidRPr="7FD706EE">
        <w:t xml:space="preserve"> emerged in 2013 continued through 2018 and then declined to pre-2013 levels by 2019, according to a new study by </w:t>
      </w:r>
      <w:proofErr w:type="spellStart"/>
      <w:r w:rsidRPr="7FD706EE">
        <w:t>Montzka</w:t>
      </w:r>
      <w:proofErr w:type="spellEnd"/>
      <w:r w:rsidRPr="7FD706EE">
        <w:t xml:space="preserve"> </w:t>
      </w:r>
      <w:r w:rsidRPr="24483D61">
        <w:rPr>
          <w:i/>
          <w:iCs/>
        </w:rPr>
        <w:t>et al</w:t>
      </w:r>
      <w:r w:rsidRPr="7FD706EE">
        <w:t>.</w:t>
      </w:r>
      <w:r w:rsidRPr="00AB3B88">
        <w:rPr>
          <w:rStyle w:val="FootnoteReference"/>
        </w:rPr>
        <w:footnoteReference w:id="31"/>
      </w:r>
      <w:r w:rsidRPr="7FD706EE">
        <w:t xml:space="preserve"> The global atmospheric concentration measurements were obtained through the National Oceanic and Atmospheric Administration (NOAA) and the Advanced Global Atmospheric Gases Experiment (AGAGE) monitoring networks. Global emissions are derived from atmospheric mole fraction measurements </w:t>
      </w:r>
      <w:r>
        <w:t>with consideration of</w:t>
      </w:r>
      <w:r w:rsidRPr="7FD706EE">
        <w:t xml:space="preserve"> </w:t>
      </w:r>
      <w:r>
        <w:t xml:space="preserve">the </w:t>
      </w:r>
      <w:r w:rsidRPr="7FD706EE">
        <w:t xml:space="preserve">lifetime </w:t>
      </w:r>
      <w:r>
        <w:t xml:space="preserve">of </w:t>
      </w:r>
      <w:r w:rsidRPr="7FD706EE">
        <w:t>CFC-11 and changes in atmospheric transport and mixing. Measurements from all remote sites concur that atmospheric CFC-11 concentrations declined at a substantially accelerated rate</w:t>
      </w:r>
      <w:r>
        <w:t xml:space="preserve"> during 2019</w:t>
      </w:r>
      <w:r w:rsidRPr="7FD706EE">
        <w:t xml:space="preserve">. Emissions of CFC-11 declined abruptly to 52 ± 10 </w:t>
      </w:r>
      <w:proofErr w:type="spellStart"/>
      <w:r w:rsidR="0030159C">
        <w:t>kilotonnes</w:t>
      </w:r>
      <w:proofErr w:type="spellEnd"/>
      <w:r w:rsidR="00B16955">
        <w:t>/year</w:t>
      </w:r>
      <w:r w:rsidRPr="7FD706EE">
        <w:t xml:space="preserve"> in 2019, which is comparable to global emissions before the unexpected uptick occurred. </w:t>
      </w:r>
    </w:p>
    <w:p w14:paraId="7AACC581" w14:textId="6B65F630" w:rsidR="00CB53F4" w:rsidRDefault="00CB53F4" w:rsidP="00CB53F4">
      <w:r w:rsidRPr="7FD706EE">
        <w:t>Expectations of future emission magnitudes are uncertain because they rely on estimates of the total amount of unreported CFC-11 production</w:t>
      </w:r>
      <w:r w:rsidR="005D0142">
        <w:t>, how it was used</w:t>
      </w:r>
      <w:r w:rsidRPr="7FD706EE">
        <w:t xml:space="preserve"> and </w:t>
      </w:r>
      <w:r w:rsidR="00433422">
        <w:t>estimates of the banks</w:t>
      </w:r>
      <w:r w:rsidRPr="7FD706EE">
        <w:t xml:space="preserve">. These factors </w:t>
      </w:r>
      <w:r w:rsidR="00972035">
        <w:t xml:space="preserve">influence estimates of </w:t>
      </w:r>
      <w:r>
        <w:t>new</w:t>
      </w:r>
      <w:r w:rsidRPr="7FD706EE">
        <w:t xml:space="preserve"> CFC-11 </w:t>
      </w:r>
      <w:r w:rsidR="00972035">
        <w:t>produced and</w:t>
      </w:r>
      <w:r>
        <w:t xml:space="preserve"> added to the </w:t>
      </w:r>
      <w:r w:rsidRPr="7FD706EE">
        <w:t>bank. The most likely use of the newly produced CFC-11 is for manufacturing closed-cell foams</w:t>
      </w:r>
      <w:r w:rsidR="006F2CE0" w:rsidRPr="00AB3B88">
        <w:rPr>
          <w:rStyle w:val="FootnoteReference"/>
        </w:rPr>
        <w:footnoteReference w:id="32"/>
      </w:r>
      <w:r w:rsidRPr="7FD706EE">
        <w:t xml:space="preserve">. Based on that assumption, and using industry estimates for fugitive emissions from foams, </w:t>
      </w:r>
      <w:proofErr w:type="spellStart"/>
      <w:r w:rsidRPr="7FD706EE">
        <w:t>Montzka</w:t>
      </w:r>
      <w:proofErr w:type="spellEnd"/>
      <w:r w:rsidRPr="7FD706EE">
        <w:t xml:space="preserve"> </w:t>
      </w:r>
      <w:r w:rsidRPr="7FD706EE">
        <w:rPr>
          <w:i/>
          <w:iCs/>
        </w:rPr>
        <w:t>et al</w:t>
      </w:r>
      <w:r w:rsidRPr="7FD706EE">
        <w:t xml:space="preserve">. calculate that global unreported production between 2013 and 2018 averages 25−100 </w:t>
      </w:r>
      <w:proofErr w:type="spellStart"/>
      <w:r w:rsidR="0030159C">
        <w:t>kilotonnes</w:t>
      </w:r>
      <w:proofErr w:type="spellEnd"/>
      <w:r w:rsidR="00B16955">
        <w:t>/year</w:t>
      </w:r>
      <w:r w:rsidRPr="7FD706EE">
        <w:t xml:space="preserve">. This implies that unreported CFC-11 production resulted in a 90−725 </w:t>
      </w:r>
      <w:proofErr w:type="spellStart"/>
      <w:r w:rsidR="0093109F">
        <w:t>kilotonnes</w:t>
      </w:r>
      <w:proofErr w:type="spellEnd"/>
      <w:r w:rsidRPr="7FD706EE">
        <w:t xml:space="preserve"> increase of the global foam banks </w:t>
      </w:r>
      <w:r>
        <w:t>by</w:t>
      </w:r>
      <w:r w:rsidRPr="7FD706EE">
        <w:t xml:space="preserve"> the beginning of 2020. </w:t>
      </w:r>
    </w:p>
    <w:p w14:paraId="5121E6BD" w14:textId="6749ACF2" w:rsidR="00CB53F4" w:rsidRDefault="24483D61" w:rsidP="00CB53F4">
      <w:r>
        <w:t xml:space="preserve">Emission reductions in eastern mainland China contributed to 60 ± 30% </w:t>
      </w:r>
      <w:r w:rsidR="00246EDF">
        <w:t xml:space="preserve">of </w:t>
      </w:r>
      <w:r>
        <w:t xml:space="preserve">the global emission decline </w:t>
      </w:r>
      <w:r w:rsidR="00246EDF">
        <w:t xml:space="preserve">of CFC-11 </w:t>
      </w:r>
      <w:r>
        <w:t>in 2019, according to measurements from sites sensitive to that region (</w:t>
      </w:r>
      <w:proofErr w:type="spellStart"/>
      <w:r w:rsidR="00425661">
        <w:t>Gosan</w:t>
      </w:r>
      <w:proofErr w:type="spellEnd"/>
      <w:r w:rsidR="005719D3">
        <w:t xml:space="preserve"> </w:t>
      </w:r>
      <w:r>
        <w:t xml:space="preserve">Island in South Korea, </w:t>
      </w:r>
      <w:proofErr w:type="spellStart"/>
      <w:r>
        <w:t>Hateruma</w:t>
      </w:r>
      <w:proofErr w:type="spellEnd"/>
      <w:r>
        <w:t xml:space="preserve"> Island in Japan). Other, still unknown, regions also </w:t>
      </w:r>
      <w:r w:rsidR="00274AB4">
        <w:t xml:space="preserve">must have </w:t>
      </w:r>
      <w:r>
        <w:t>contributed to the post-2017 reduction. A significant amount of the emission enhancements observed during 2014-2018 and subsequent emission reduction in 2019 have likely occurred in regions not directly monitored by the current network of monitoring stations</w:t>
      </w:r>
      <w:r w:rsidR="008573DE">
        <w:t>;</w:t>
      </w:r>
      <w:r w:rsidDel="00423967">
        <w:t xml:space="preserve"> </w:t>
      </w:r>
      <w:r w:rsidR="008573DE">
        <w:t>f</w:t>
      </w:r>
      <w:r w:rsidR="00DE72CB">
        <w:t xml:space="preserve">or clarity, </w:t>
      </w:r>
      <w:r w:rsidR="00BB07C3" w:rsidDel="00423967">
        <w:t>this could</w:t>
      </w:r>
      <w:r w:rsidR="00BB07C3">
        <w:t xml:space="preserve"> includ</w:t>
      </w:r>
      <w:r w:rsidR="00BB07C3" w:rsidDel="00423967">
        <w:t>e</w:t>
      </w:r>
      <w:r>
        <w:t xml:space="preserve"> other regions within China that are not monitored. </w:t>
      </w:r>
    </w:p>
    <w:p w14:paraId="7145D3C1" w14:textId="674DFDEB" w:rsidR="00CB53F4" w:rsidRDefault="000B1F4D" w:rsidP="00CB53F4">
      <w:r>
        <w:t xml:space="preserve">According to </w:t>
      </w:r>
      <w:r w:rsidRPr="006553D0">
        <w:t>Rigby</w:t>
      </w:r>
      <w:r w:rsidRPr="006553D0">
        <w:rPr>
          <w:i/>
          <w:iCs/>
        </w:rPr>
        <w:t xml:space="preserve"> et al</w:t>
      </w:r>
      <w:r w:rsidR="00E142ED" w:rsidRPr="006553D0">
        <w:rPr>
          <w:i/>
          <w:iCs/>
        </w:rPr>
        <w:t>.</w:t>
      </w:r>
      <w:r w:rsidR="00D42E15" w:rsidRPr="00043208">
        <w:rPr>
          <w:rStyle w:val="FootnoteReference"/>
        </w:rPr>
        <w:footnoteReference w:id="33"/>
      </w:r>
      <w:r w:rsidRPr="006553D0">
        <w:t>,</w:t>
      </w:r>
      <w:r>
        <w:t xml:space="preserve"> </w:t>
      </w:r>
      <w:r w:rsidR="00E142ED">
        <w:t>t</w:t>
      </w:r>
      <w:r w:rsidR="24483D61">
        <w:t xml:space="preserve">he CFC-11 emissions magnitude from eastern China in 2019 (5.0 ± 1.0 </w:t>
      </w:r>
      <w:proofErr w:type="spellStart"/>
      <w:r w:rsidR="00BB791E">
        <w:t>kilotonnes</w:t>
      </w:r>
      <w:proofErr w:type="spellEnd"/>
      <w:r w:rsidR="00DE6044">
        <w:t xml:space="preserve"> </w:t>
      </w:r>
      <w:r w:rsidR="00556D86">
        <w:t>yr</w:t>
      </w:r>
      <w:r w:rsidR="00556D86" w:rsidRPr="00043208">
        <w:rPr>
          <w:vertAlign w:val="superscript"/>
        </w:rPr>
        <w:t>-1</w:t>
      </w:r>
      <w:r w:rsidR="24483D61">
        <w:t xml:space="preserve">) is comparable to pre-2013 levels. </w:t>
      </w:r>
      <w:r w:rsidR="00193B49" w:rsidRPr="001D09CE">
        <w:t>Rigby</w:t>
      </w:r>
      <w:r w:rsidR="00193B49">
        <w:rPr>
          <w:i/>
          <w:iCs/>
        </w:rPr>
        <w:t xml:space="preserve"> et al</w:t>
      </w:r>
      <w:r w:rsidR="00E142ED">
        <w:rPr>
          <w:i/>
          <w:iCs/>
        </w:rPr>
        <w:t>.</w:t>
      </w:r>
      <w:r w:rsidR="00193B49">
        <w:rPr>
          <w:i/>
          <w:iCs/>
        </w:rPr>
        <w:t xml:space="preserve"> </w:t>
      </w:r>
      <w:r w:rsidR="00D53364">
        <w:t>also</w:t>
      </w:r>
      <w:r w:rsidR="00193B49">
        <w:t xml:space="preserve"> </w:t>
      </w:r>
      <w:r w:rsidR="00193B49" w:rsidRPr="001D09CE">
        <w:t xml:space="preserve">estimates that </w:t>
      </w:r>
      <w:r w:rsidR="00193B49" w:rsidRPr="00193B49">
        <w:t>c</w:t>
      </w:r>
      <w:r w:rsidR="24483D61" w:rsidRPr="00193B49">
        <w:t>umulatively</w:t>
      </w:r>
      <w:r w:rsidR="24483D61">
        <w:t xml:space="preserve">, the excess emissions of CFC-11 from eastern mainland China between 2013 and 2018 are 34–60 </w:t>
      </w:r>
      <w:proofErr w:type="spellStart"/>
      <w:r w:rsidR="00BB791E">
        <w:t>kilotonnes</w:t>
      </w:r>
      <w:proofErr w:type="spellEnd"/>
      <w:r w:rsidR="24483D61">
        <w:t xml:space="preserve">. </w:t>
      </w:r>
      <w:r w:rsidR="002A682E">
        <w:t xml:space="preserve">If additional production was used </w:t>
      </w:r>
      <w:r w:rsidR="00043695">
        <w:t xml:space="preserve">in the manufacture of closed-cell foams or other non-emissive applications, </w:t>
      </w:r>
      <w:r w:rsidR="00303A3A" w:rsidRPr="006553D0">
        <w:t xml:space="preserve">a larger quantity of CFC-11 </w:t>
      </w:r>
      <w:r w:rsidR="00D01E4D" w:rsidRPr="006553D0">
        <w:t>would have</w:t>
      </w:r>
      <w:r w:rsidR="24483D61" w:rsidRPr="006553D0">
        <w:t xml:space="preserve"> </w:t>
      </w:r>
      <w:r w:rsidR="00D01E4D" w:rsidRPr="006553D0">
        <w:t>been</w:t>
      </w:r>
      <w:r w:rsidR="24483D61" w:rsidRPr="006553D0">
        <w:t xml:space="preserve"> </w:t>
      </w:r>
      <w:r w:rsidR="00303A3A" w:rsidRPr="006553D0">
        <w:t>produced</w:t>
      </w:r>
      <w:r w:rsidR="005B63DD" w:rsidRPr="006553D0">
        <w:t xml:space="preserve"> </w:t>
      </w:r>
      <w:r w:rsidR="24483D61" w:rsidRPr="006553D0">
        <w:t xml:space="preserve">since a fraction of what was produced </w:t>
      </w:r>
      <w:r w:rsidR="00240061" w:rsidRPr="006553D0">
        <w:t>would have</w:t>
      </w:r>
      <w:r w:rsidR="24483D61" w:rsidRPr="006553D0">
        <w:t xml:space="preserve"> augmented the bank.</w:t>
      </w:r>
      <w:r w:rsidR="24483D61">
        <w:t xml:space="preserve"> </w:t>
      </w:r>
    </w:p>
    <w:p w14:paraId="37FAA73C" w14:textId="6421C963" w:rsidR="00AB3B88" w:rsidRDefault="00C77E9C" w:rsidP="00751ECE">
      <w:pPr>
        <w:pStyle w:val="Heading3"/>
      </w:pPr>
      <w:bookmarkStart w:id="131" w:name="_Toc73045594"/>
      <w:r>
        <w:lastRenderedPageBreak/>
        <w:t>1.</w:t>
      </w:r>
      <w:r w:rsidR="001D6B1F">
        <w:t>6</w:t>
      </w:r>
      <w:r>
        <w:t>.</w:t>
      </w:r>
      <w:r w:rsidR="00B462A7">
        <w:t>3</w:t>
      </w:r>
      <w:r>
        <w:tab/>
      </w:r>
      <w:r w:rsidR="6F3C6FA3" w:rsidRPr="6F3C6FA3">
        <w:t>CFC-12</w:t>
      </w:r>
      <w:bookmarkEnd w:id="131"/>
    </w:p>
    <w:p w14:paraId="29F5E57D" w14:textId="3613200D" w:rsidR="005B63DD" w:rsidRPr="00043208" w:rsidRDefault="24483D61" w:rsidP="005B63DD">
      <w:pPr>
        <w:rPr>
          <w:lang w:val="en-US" w:eastAsia="ja-JP"/>
        </w:rPr>
      </w:pPr>
      <w:r>
        <w:t xml:space="preserve">CFC-12 is typically (but not necessarily) co-produced during the manufacture of CFC-11 and </w:t>
      </w:r>
      <w:r w:rsidR="003B375B">
        <w:t xml:space="preserve">was mandated </w:t>
      </w:r>
      <w:r>
        <w:t xml:space="preserve">to cease </w:t>
      </w:r>
      <w:r w:rsidR="00FF4DD9">
        <w:t xml:space="preserve">by </w:t>
      </w:r>
      <w:r>
        <w:t>2010 under the Montreal Protocol</w:t>
      </w:r>
      <w:r w:rsidR="003B375B">
        <w:t>,</w:t>
      </w:r>
      <w:r>
        <w:t xml:space="preserve"> except for small quantity exemptions for metered-dose inhalers until 2015. The rate of decline of global </w:t>
      </w:r>
      <w:r w:rsidR="007F27C4">
        <w:t xml:space="preserve">derived atmospheric emissions of </w:t>
      </w:r>
      <w:r>
        <w:t>CFC-12 (CCl</w:t>
      </w:r>
      <w:r w:rsidRPr="24483D61">
        <w:rPr>
          <w:vertAlign w:val="subscript"/>
        </w:rPr>
        <w:t>2</w:t>
      </w:r>
      <w:r>
        <w:t>F</w:t>
      </w:r>
      <w:r w:rsidRPr="24483D61">
        <w:rPr>
          <w:vertAlign w:val="subscript"/>
        </w:rPr>
        <w:t>2</w:t>
      </w:r>
      <w:r>
        <w:t>) was slower in the 2010–2017 period compared to the 2000–2009 period. Global CFC-12 emissions decreased at 12 ± 2% yr</w:t>
      </w:r>
      <w:r w:rsidRPr="00E142ED">
        <w:rPr>
          <w:vertAlign w:val="superscript"/>
        </w:rPr>
        <w:t>-1</w:t>
      </w:r>
      <w:r>
        <w:t xml:space="preserve"> during 2000–2009 which slowed to 5 ± 2% </w:t>
      </w:r>
      <w:proofErr w:type="spellStart"/>
      <w:r>
        <w:t>yr</w:t>
      </w:r>
      <w:proofErr w:type="spellEnd"/>
      <w:r w:rsidRPr="00E142ED">
        <w:rPr>
          <w:vertAlign w:val="superscript"/>
        </w:rPr>
        <w:t>-</w:t>
      </w:r>
      <w:r w:rsidR="002F1784">
        <w:rPr>
          <w:vertAlign w:val="superscript"/>
        </w:rPr>
        <w:t>-</w:t>
      </w:r>
      <w:r w:rsidRPr="00E142ED">
        <w:rPr>
          <w:vertAlign w:val="superscript"/>
        </w:rPr>
        <w:t>1</w:t>
      </w:r>
      <w:r>
        <w:t xml:space="preserve"> during 2010–2017. Global CFC-12 emissions in 2019 were 21 ± 7 </w:t>
      </w:r>
      <w:proofErr w:type="spellStart"/>
      <w:r w:rsidR="00BB791E">
        <w:t>kilotonnes</w:t>
      </w:r>
      <w:proofErr w:type="spellEnd"/>
      <w:r>
        <w:t xml:space="preserve"> </w:t>
      </w:r>
      <w:proofErr w:type="spellStart"/>
      <w:r>
        <w:t>yr</w:t>
      </w:r>
      <w:proofErr w:type="spellEnd"/>
      <w:r w:rsidRPr="00E142ED">
        <w:rPr>
          <w:vertAlign w:val="superscript"/>
        </w:rPr>
        <w:t>-</w:t>
      </w:r>
      <w:r w:rsidR="00A975D6">
        <w:rPr>
          <w:vertAlign w:val="superscript"/>
        </w:rPr>
        <w:t>-</w:t>
      </w:r>
      <w:r w:rsidRPr="00E142ED">
        <w:rPr>
          <w:vertAlign w:val="superscript"/>
        </w:rPr>
        <w:t>1</w:t>
      </w:r>
      <w:r>
        <w:t xml:space="preserve">, which is 38 ± 15% lower than estimated for 2018, indicating a significant reduction in global CFC-12 emissions, which is similar to the timing of the global CFC-11 emission decline. Significant emission decreases for CFC-12 were also observed </w:t>
      </w:r>
      <w:r w:rsidR="00135658">
        <w:t xml:space="preserve">to originate </w:t>
      </w:r>
      <w:r>
        <w:t xml:space="preserve">from Eastern China during the 2016-2019 period </w:t>
      </w:r>
      <w:r w:rsidR="00C750C2">
        <w:t xml:space="preserve">compared to </w:t>
      </w:r>
      <w:r w:rsidR="00EF48F2">
        <w:t>20</w:t>
      </w:r>
      <w:r w:rsidR="006A19A8">
        <w:t>00 to 2009</w:t>
      </w:r>
      <w:r w:rsidR="00F6716F">
        <w:rPr>
          <w:rStyle w:val="FootnoteReference"/>
        </w:rPr>
        <w:footnoteReference w:id="34"/>
      </w:r>
      <w:r>
        <w:t>.</w:t>
      </w:r>
    </w:p>
    <w:p w14:paraId="2FD7D3FB" w14:textId="1A46817D" w:rsidR="00AB3B88" w:rsidRDefault="00DC6E8C" w:rsidP="00751ECE">
      <w:pPr>
        <w:pStyle w:val="Heading3"/>
      </w:pPr>
      <w:bookmarkStart w:id="132" w:name="_Toc73045595"/>
      <w:r>
        <w:t>1.</w:t>
      </w:r>
      <w:r w:rsidR="001D6B1F">
        <w:t>6</w:t>
      </w:r>
      <w:r>
        <w:t>.</w:t>
      </w:r>
      <w:r w:rsidR="00B462A7">
        <w:t>4</w:t>
      </w:r>
      <w:r>
        <w:tab/>
      </w:r>
      <w:r w:rsidR="6F3C6FA3" w:rsidRPr="6F3C6FA3">
        <w:t>Carbon tetrachloride (CCl</w:t>
      </w:r>
      <w:r w:rsidR="6F3C6FA3" w:rsidRPr="00DC6E8C">
        <w:rPr>
          <w:vertAlign w:val="subscript"/>
        </w:rPr>
        <w:t>4</w:t>
      </w:r>
      <w:r w:rsidR="6F3C6FA3" w:rsidRPr="6F3C6FA3">
        <w:t>)</w:t>
      </w:r>
      <w:bookmarkEnd w:id="132"/>
      <w:r w:rsidR="6F3C6FA3" w:rsidRPr="6F3C6FA3">
        <w:t xml:space="preserve"> </w:t>
      </w:r>
    </w:p>
    <w:p w14:paraId="1A27C41C" w14:textId="6D872820" w:rsidR="00003E11" w:rsidRDefault="24483D61" w:rsidP="00003E11">
      <w:r>
        <w:t>Global CCl</w:t>
      </w:r>
      <w:r w:rsidRPr="24483D61">
        <w:rPr>
          <w:vertAlign w:val="subscript"/>
        </w:rPr>
        <w:t>4</w:t>
      </w:r>
      <w:r>
        <w:t xml:space="preserve"> emissions have remained elevated above expectations for many years, and year-to-year changes have significant uncertainty, which </w:t>
      </w:r>
      <w:r w:rsidR="00806B59">
        <w:t xml:space="preserve">currently </w:t>
      </w:r>
      <w:r>
        <w:t xml:space="preserve">precludes a robust assessment of </w:t>
      </w:r>
      <w:r w:rsidR="00A341B0">
        <w:t xml:space="preserve">the relationship between global </w:t>
      </w:r>
      <w:r w:rsidR="00AB6F34">
        <w:t xml:space="preserve">emissions of </w:t>
      </w:r>
      <w:r w:rsidR="00A341B0">
        <w:t>CCl</w:t>
      </w:r>
      <w:r w:rsidR="00A341B0" w:rsidRPr="00E142ED">
        <w:rPr>
          <w:vertAlign w:val="subscript"/>
        </w:rPr>
        <w:t>4</w:t>
      </w:r>
      <w:r>
        <w:t xml:space="preserve"> </w:t>
      </w:r>
      <w:r w:rsidR="00A341B0">
        <w:t>and CFC-11</w:t>
      </w:r>
      <w:r>
        <w:t>. Global CCl</w:t>
      </w:r>
      <w:r w:rsidRPr="24483D61">
        <w:rPr>
          <w:vertAlign w:val="subscript"/>
        </w:rPr>
        <w:t>4</w:t>
      </w:r>
      <w:r>
        <w:t xml:space="preserve"> emissions did not significantly decline during the 2010–2019 period (0.1 ± 0.2 </w:t>
      </w:r>
      <w:proofErr w:type="spellStart"/>
      <w:r w:rsidR="00BB791E">
        <w:t>kilotonnes</w:t>
      </w:r>
      <w:proofErr w:type="spellEnd"/>
      <w:r>
        <w:t xml:space="preserve"> yr</w:t>
      </w:r>
      <w:r w:rsidRPr="00E142ED">
        <w:rPr>
          <w:vertAlign w:val="superscript"/>
        </w:rPr>
        <w:t>-1</w:t>
      </w:r>
      <w:r>
        <w:t xml:space="preserve">); compared to the 2000–2009 period (1.6 ± 0.3 </w:t>
      </w:r>
      <w:proofErr w:type="spellStart"/>
      <w:r w:rsidR="00BB791E">
        <w:t>kilotonnes</w:t>
      </w:r>
      <w:proofErr w:type="spellEnd"/>
      <w:r>
        <w:t xml:space="preserve"> yr</w:t>
      </w:r>
      <w:r w:rsidRPr="00E142ED">
        <w:rPr>
          <w:vertAlign w:val="superscript"/>
        </w:rPr>
        <w:t>-1</w:t>
      </w:r>
      <w:r>
        <w:t xml:space="preserve">). However, the SAP </w:t>
      </w:r>
      <w:r w:rsidR="003F5B42">
        <w:t>R</w:t>
      </w:r>
      <w:r>
        <w:t>eport suggests that an inverse analysis of CCl</w:t>
      </w:r>
      <w:r w:rsidRPr="24483D61">
        <w:rPr>
          <w:vertAlign w:val="subscript"/>
        </w:rPr>
        <w:t>4</w:t>
      </w:r>
      <w:r>
        <w:t xml:space="preserve"> observations indicates that CCl</w:t>
      </w:r>
      <w:r w:rsidRPr="24483D61">
        <w:rPr>
          <w:vertAlign w:val="subscript"/>
        </w:rPr>
        <w:t>4</w:t>
      </w:r>
      <w:r>
        <w:t xml:space="preserve"> emissions increased from Eastern China after 2012 and </w:t>
      </w:r>
      <w:r w:rsidR="005E1815">
        <w:t xml:space="preserve">then </w:t>
      </w:r>
      <w:r>
        <w:t>subsequently decreased around 2017</w:t>
      </w:r>
      <w:r w:rsidR="006F5EEF">
        <w:t xml:space="preserve"> estimating that</w:t>
      </w:r>
      <w:r w:rsidR="00624EB9">
        <w:t xml:space="preserve"> </w:t>
      </w:r>
      <w:r w:rsidR="0083700B">
        <w:t>r</w:t>
      </w:r>
      <w:r>
        <w:t>egional emissions of CCl</w:t>
      </w:r>
      <w:r w:rsidRPr="24483D61">
        <w:rPr>
          <w:vertAlign w:val="subscript"/>
        </w:rPr>
        <w:t>4</w:t>
      </w:r>
      <w:r>
        <w:t xml:space="preserve"> from Eastern China increased from 6.0 ± 1.4 </w:t>
      </w:r>
      <w:proofErr w:type="spellStart"/>
      <w:r w:rsidR="00BB791E">
        <w:t>kilotonnes</w:t>
      </w:r>
      <w:proofErr w:type="spellEnd"/>
      <w:r>
        <w:t xml:space="preserve"> yr</w:t>
      </w:r>
      <w:r w:rsidRPr="00E142ED">
        <w:rPr>
          <w:vertAlign w:val="superscript"/>
        </w:rPr>
        <w:t>-1</w:t>
      </w:r>
      <w:r>
        <w:t xml:space="preserve"> during 2011–2012 to 10 ± 2 </w:t>
      </w:r>
      <w:proofErr w:type="spellStart"/>
      <w:r w:rsidR="00BB791E">
        <w:t>kilotonnes</w:t>
      </w:r>
      <w:proofErr w:type="spellEnd"/>
      <w:r>
        <w:t xml:space="preserve"> yr</w:t>
      </w:r>
      <w:r w:rsidRPr="00E142ED">
        <w:rPr>
          <w:vertAlign w:val="superscript"/>
        </w:rPr>
        <w:t>-1</w:t>
      </w:r>
      <w:r>
        <w:t xml:space="preserve"> for 2014–2017, before declining over 2017–2019 to values </w:t>
      </w:r>
      <w:r w:rsidR="005E1815">
        <w:t xml:space="preserve">which were </w:t>
      </w:r>
      <w:r>
        <w:t xml:space="preserve">consistent with the 2011–2012 average. </w:t>
      </w:r>
    </w:p>
    <w:p w14:paraId="74E42769" w14:textId="1408DECD" w:rsidR="00AB3B88" w:rsidRPr="00D15545" w:rsidRDefault="00D15545" w:rsidP="00751ECE">
      <w:pPr>
        <w:pStyle w:val="Heading3"/>
      </w:pPr>
      <w:bookmarkStart w:id="133" w:name="_Toc73045596"/>
      <w:r>
        <w:t>1.</w:t>
      </w:r>
      <w:r w:rsidR="001D6B1F">
        <w:t>6</w:t>
      </w:r>
      <w:r>
        <w:t>.</w:t>
      </w:r>
      <w:r w:rsidR="00B462A7">
        <w:t>5</w:t>
      </w:r>
      <w:r>
        <w:tab/>
      </w:r>
      <w:r w:rsidR="6F3C6FA3" w:rsidRPr="00D15545">
        <w:t>Stratospheric Ozone Depletion Recovery</w:t>
      </w:r>
      <w:bookmarkEnd w:id="133"/>
    </w:p>
    <w:p w14:paraId="1720E5BC" w14:textId="4225D324" w:rsidR="00FA3E6F" w:rsidRDefault="00FA3E6F" w:rsidP="00FA3E6F">
      <w:r w:rsidRPr="6F3C6FA3">
        <w:t xml:space="preserve">The </w:t>
      </w:r>
      <w:r w:rsidR="0082182A">
        <w:t>SAP Report</w:t>
      </w:r>
      <w:r w:rsidR="00776811">
        <w:rPr>
          <w:rStyle w:val="FootnoteReference"/>
        </w:rPr>
        <w:footnoteReference w:id="35"/>
      </w:r>
      <w:r w:rsidR="0082182A">
        <w:t xml:space="preserve"> </w:t>
      </w:r>
      <w:r w:rsidRPr="6F3C6FA3">
        <w:t>anticipate</w:t>
      </w:r>
      <w:r w:rsidR="005B5A83">
        <w:t>s</w:t>
      </w:r>
      <w:r w:rsidRPr="6F3C6FA3">
        <w:t xml:space="preserve"> recovery from stratospheric ozone depletion will not be substantially delayed by these enhanced CFC-11 emissions because they were significantly elevated only for a brief time</w:t>
      </w:r>
      <w:r>
        <w:t>,</w:t>
      </w:r>
      <w:r w:rsidRPr="6F3C6FA3">
        <w:t xml:space="preserve"> assuming future compliance with the Montreal Protocol phase</w:t>
      </w:r>
      <w:r w:rsidR="00B033C1">
        <w:t>-</w:t>
      </w:r>
      <w:r w:rsidRPr="6F3C6FA3">
        <w:t>out of CFC-11 production.</w:t>
      </w:r>
      <w:r w:rsidR="00A64639">
        <w:t xml:space="preserve"> </w:t>
      </w:r>
      <w:r w:rsidRPr="6F3C6FA3">
        <w:t xml:space="preserve">Ozone recovery, measured as a return to 1980 levels, </w:t>
      </w:r>
      <w:r>
        <w:t>will be</w:t>
      </w:r>
      <w:r w:rsidRPr="6F3C6FA3">
        <w:t xml:space="preserve"> delayed by 0.4–1.3 years globally and by 0.5–3.1 years for the Antarctic ozone hole</w:t>
      </w:r>
      <w:r>
        <w:t xml:space="preserve"> as a result of these emission enhancements</w:t>
      </w:r>
      <w:r w:rsidRPr="6F3C6FA3">
        <w:t xml:space="preserve">. </w:t>
      </w:r>
    </w:p>
    <w:p w14:paraId="641A2A79" w14:textId="2219FEBA" w:rsidR="00AB3B88" w:rsidRDefault="00FA3E6F" w:rsidP="00D15545">
      <w:r w:rsidRPr="6F3C6FA3">
        <w:t>Addition</w:t>
      </w:r>
      <w:r>
        <w:t>s of</w:t>
      </w:r>
      <w:r w:rsidRPr="6F3C6FA3">
        <w:t xml:space="preserve"> </w:t>
      </w:r>
      <w:r>
        <w:t>newly produced</w:t>
      </w:r>
      <w:r w:rsidR="6F3C6FA3" w:rsidRPr="6F3C6FA3">
        <w:t xml:space="preserve"> CFC-11 </w:t>
      </w:r>
      <w:r>
        <w:t>to</w:t>
      </w:r>
      <w:r w:rsidR="6F3C6FA3" w:rsidRPr="6F3C6FA3">
        <w:t xml:space="preserve"> foam banks that would continue to increase future CFC-11 emissions above expectations and uncertainty around </w:t>
      </w:r>
      <w:r w:rsidRPr="6F3C6FA3">
        <w:t>bank</w:t>
      </w:r>
      <w:r>
        <w:t xml:space="preserve"> magnitudes and release rate</w:t>
      </w:r>
      <w:r w:rsidRPr="6F3C6FA3">
        <w:t xml:space="preserve">s </w:t>
      </w:r>
      <w:r>
        <w:t>in general adds im</w:t>
      </w:r>
      <w:r w:rsidRPr="6F3C6FA3">
        <w:t xml:space="preserve">precision </w:t>
      </w:r>
      <w:r>
        <w:t>to estimates of total</w:t>
      </w:r>
      <w:r w:rsidR="6F3C6FA3" w:rsidRPr="6F3C6FA3">
        <w:t xml:space="preserve"> future ozone depletion associated with the </w:t>
      </w:r>
      <w:r>
        <w:t>unreported</w:t>
      </w:r>
      <w:r w:rsidR="6F3C6FA3" w:rsidRPr="6F3C6FA3">
        <w:t xml:space="preserve"> CFC-11 </w:t>
      </w:r>
      <w:r>
        <w:t>production</w:t>
      </w:r>
      <w:r w:rsidRPr="6F3C6FA3">
        <w:t>.</w:t>
      </w:r>
      <w:r w:rsidR="6F3C6FA3" w:rsidRPr="6F3C6FA3">
        <w:t xml:space="preserve"> </w:t>
      </w:r>
    </w:p>
    <w:p w14:paraId="5ADC583F" w14:textId="30F66599" w:rsidR="00AB3B88" w:rsidRDefault="24483D61" w:rsidP="00D15545">
      <w:r>
        <w:t xml:space="preserve">Assuming decreasing CFC-11 emissions from banks, the projected global cumulative CFC-11 emissions for 2020–2060 are </w:t>
      </w:r>
      <w:r w:rsidR="006B0481">
        <w:t xml:space="preserve">estimated to be </w:t>
      </w:r>
      <w:r>
        <w:t xml:space="preserve">580–780 </w:t>
      </w:r>
      <w:proofErr w:type="spellStart"/>
      <w:r w:rsidR="00BB791E">
        <w:t>kilotonnes</w:t>
      </w:r>
      <w:proofErr w:type="spellEnd"/>
      <w:r>
        <w:t xml:space="preserve"> based on only reported production in estimates from previous Assessments. Emissions from unreported production after 2012 are expected to total 60-200 </w:t>
      </w:r>
      <w:proofErr w:type="spellStart"/>
      <w:r w:rsidR="00BB791E">
        <w:t>kilotonnes</w:t>
      </w:r>
      <w:proofErr w:type="spellEnd"/>
      <w:r>
        <w:t xml:space="preserve"> for 2020-2060 depending on the assumed rate of release from the banks.</w:t>
      </w:r>
    </w:p>
    <w:p w14:paraId="46762DA8" w14:textId="3A524960" w:rsidR="00205D1E" w:rsidRPr="00205D1E" w:rsidRDefault="6F3C6FA3" w:rsidP="00205D1E">
      <w:r w:rsidRPr="6F3C6FA3">
        <w:t>Note that additional CFC-12 and CCl</w:t>
      </w:r>
      <w:r w:rsidRPr="00934F2E">
        <w:rPr>
          <w:vertAlign w:val="subscript"/>
        </w:rPr>
        <w:t>4</w:t>
      </w:r>
      <w:r w:rsidRPr="6F3C6FA3">
        <w:t xml:space="preserve"> emissions</w:t>
      </w:r>
      <w:r w:rsidR="0002790D">
        <w:t xml:space="preserve"> to date</w:t>
      </w:r>
      <w:r w:rsidRPr="6F3C6FA3">
        <w:t xml:space="preserve">, possibly associated with the enhanced CFC-11 production, will lead to small additional impacts on future ozone depletion, </w:t>
      </w:r>
      <w:r w:rsidRPr="6F3C6FA3">
        <w:lastRenderedPageBreak/>
        <w:t>delayed ozone recovery, and greater climate forcing.</w:t>
      </w:r>
      <w:r w:rsidR="00A64639">
        <w:t xml:space="preserve"> </w:t>
      </w:r>
      <w:r w:rsidRPr="6F3C6FA3">
        <w:t>CFC-11 atmospheric abundances are projected to continue to decline in emission scenarios that assume future compliance with the Montreal Protocol.</w:t>
      </w:r>
    </w:p>
    <w:p w14:paraId="6D5FF35A" w14:textId="77A45BF2" w:rsidR="00E703B0" w:rsidRDefault="0064747A" w:rsidP="0064747A">
      <w:r w:rsidRPr="00043208">
        <w:t>Rigby</w:t>
      </w:r>
      <w:r>
        <w:rPr>
          <w:i/>
          <w:iCs/>
        </w:rPr>
        <w:t xml:space="preserve"> et al</w:t>
      </w:r>
      <w:r w:rsidR="0031284F">
        <w:rPr>
          <w:i/>
          <w:iCs/>
        </w:rPr>
        <w:t>.</w:t>
      </w:r>
      <w:r>
        <w:rPr>
          <w:i/>
          <w:iCs/>
        </w:rPr>
        <w:t xml:space="preserve"> </w:t>
      </w:r>
      <w:r>
        <w:t xml:space="preserve">confirms the SAP conclusion and estimates that the cumulative increase inferred for CFC-11, CFC-12, and carbon tetrachloride production and use in eastern mainland China between 2013 and 2018 accounts for 71 (52–90) </w:t>
      </w:r>
      <w:proofErr w:type="spellStart"/>
      <w:r w:rsidR="00BB791E">
        <w:t>kilotonnes</w:t>
      </w:r>
      <w:proofErr w:type="spellEnd"/>
      <w:r>
        <w:t xml:space="preserve"> of CFC-11-equivalent emissions in terms of stratospheric ozone depletion and 362 (247–479) </w:t>
      </w:r>
      <w:proofErr w:type="spellStart"/>
      <w:r>
        <w:t>Tg</w:t>
      </w:r>
      <w:proofErr w:type="spellEnd"/>
      <w:r>
        <w:t xml:space="preserve"> of CO</w:t>
      </w:r>
      <w:r w:rsidRPr="24483D61">
        <w:rPr>
          <w:vertAlign w:val="subscript"/>
        </w:rPr>
        <w:t>2</w:t>
      </w:r>
      <w:r>
        <w:t>–equivalent emissions</w:t>
      </w:r>
      <w:r>
        <w:rPr>
          <w:rStyle w:val="FootnoteReference"/>
        </w:rPr>
        <w:footnoteReference w:id="36"/>
      </w:r>
      <w:r>
        <w:t xml:space="preserve">. The harm of these additional regional emissions to the ozone layer has been dampened by the relatively short duration of the unexpected emissions spike. </w:t>
      </w:r>
    </w:p>
    <w:p w14:paraId="48F258E1" w14:textId="22FA5E1B" w:rsidR="0064747A" w:rsidRDefault="00E703B0" w:rsidP="00D15545">
      <w:r>
        <w:t xml:space="preserve">The </w:t>
      </w:r>
      <w:r w:rsidR="007A3AC1">
        <w:t xml:space="preserve">2021 </w:t>
      </w:r>
      <w:r>
        <w:t xml:space="preserve">SAP Report </w:t>
      </w:r>
      <w:r w:rsidR="007A3AC1">
        <w:t>estimates that, i</w:t>
      </w:r>
      <w:r w:rsidR="0064747A">
        <w:t>n total, Antarctic ozone loss associated with these additional emissions will be less than 0.2%</w:t>
      </w:r>
      <w:r w:rsidR="00352B31">
        <w:rPr>
          <w:rStyle w:val="FootnoteReference"/>
        </w:rPr>
        <w:footnoteReference w:id="37"/>
      </w:r>
      <w:r w:rsidR="0064747A">
        <w:t xml:space="preserve">. </w:t>
      </w:r>
    </w:p>
    <w:p w14:paraId="67DBE4D6" w14:textId="67AC0C08" w:rsidR="00001A8A" w:rsidRPr="00013BFB" w:rsidRDefault="006F3631" w:rsidP="00751ECE">
      <w:pPr>
        <w:pStyle w:val="Heading3"/>
      </w:pPr>
      <w:bookmarkStart w:id="134" w:name="_Toc73045597"/>
      <w:r w:rsidRPr="00013BFB">
        <w:t>1.</w:t>
      </w:r>
      <w:r w:rsidR="001D6B1F">
        <w:t>6</w:t>
      </w:r>
      <w:r w:rsidRPr="00013BFB">
        <w:t>.</w:t>
      </w:r>
      <w:r w:rsidR="00B462A7">
        <w:t>6</w:t>
      </w:r>
      <w:r w:rsidRPr="00013BFB">
        <w:tab/>
      </w:r>
      <w:r w:rsidR="002A33F5">
        <w:t>Published studies</w:t>
      </w:r>
      <w:r w:rsidR="002A33F5" w:rsidRPr="00013BFB">
        <w:t xml:space="preserve"> </w:t>
      </w:r>
      <w:r w:rsidR="002A33F5">
        <w:t xml:space="preserve">of </w:t>
      </w:r>
      <w:r w:rsidR="7FD706EE" w:rsidRPr="00013BFB">
        <w:t xml:space="preserve">CFC-11 bank </w:t>
      </w:r>
      <w:r w:rsidR="00E51987">
        <w:t xml:space="preserve">and emissions </w:t>
      </w:r>
      <w:r w:rsidR="7FD706EE" w:rsidRPr="00013BFB">
        <w:t>estimates</w:t>
      </w:r>
      <w:bookmarkEnd w:id="134"/>
      <w:r w:rsidR="000C32DD">
        <w:t xml:space="preserve"> </w:t>
      </w:r>
    </w:p>
    <w:p w14:paraId="4E6F677F" w14:textId="1A2D79F8" w:rsidR="001A53D9" w:rsidRDefault="092087BF" w:rsidP="001A53D9">
      <w:r>
        <w:t>The fraction of CFC-11 that has been historically manufactured but not yet emitted resides in the bank</w:t>
      </w:r>
      <w:r w:rsidR="009B1ED5">
        <w:t>;</w:t>
      </w:r>
      <w:r>
        <w:t xml:space="preserve"> mostly </w:t>
      </w:r>
      <w:r w:rsidR="00753408">
        <w:t xml:space="preserve">overwhelmingly </w:t>
      </w:r>
      <w:r>
        <w:t xml:space="preserve">contained in </w:t>
      </w:r>
      <w:r w:rsidR="00753408">
        <w:t xml:space="preserve">insulating </w:t>
      </w:r>
      <w:r>
        <w:t>foams</w:t>
      </w:r>
      <w:r w:rsidR="00753408">
        <w:t xml:space="preserve"> in buildings</w:t>
      </w:r>
      <w:r>
        <w:t>.</w:t>
      </w:r>
      <w:r w:rsidRPr="092087BF">
        <w:rPr>
          <w:b/>
          <w:bCs/>
        </w:rPr>
        <w:t xml:space="preserve"> </w:t>
      </w:r>
      <w:r>
        <w:t>The magnitude and characteristics of the CFC-11 bank affect ongoing and future CFC-11 emissions and how emissions are expected to change in the absence of unreported production. There are several parameters that affect our estimates of the size of the bank, many of which are not well constrained.</w:t>
      </w:r>
    </w:p>
    <w:p w14:paraId="594A03C4" w14:textId="060DDF3F" w:rsidR="001A4B0C" w:rsidRDefault="001A53D9" w:rsidP="001A53D9">
      <w:r>
        <w:t xml:space="preserve">In the absence of </w:t>
      </w:r>
      <w:r w:rsidR="7FD706EE">
        <w:t>unreported production</w:t>
      </w:r>
      <w:r>
        <w:t xml:space="preserve"> after </w:t>
      </w:r>
      <w:r w:rsidR="7FD706EE">
        <w:t>2010</w:t>
      </w:r>
      <w:r>
        <w:t xml:space="preserve">, the increase in </w:t>
      </w:r>
      <w:r w:rsidR="7FD706EE">
        <w:t xml:space="preserve">CFC-11 emissions </w:t>
      </w:r>
      <w:r>
        <w:t xml:space="preserve">would have </w:t>
      </w:r>
      <w:r w:rsidR="7FD706EE">
        <w:t xml:space="preserve">originated from </w:t>
      </w:r>
      <w:r>
        <w:t xml:space="preserve">an accelerated depletion or loss of CFC-11 from </w:t>
      </w:r>
      <w:r w:rsidR="7FD706EE">
        <w:t>banks</w:t>
      </w:r>
      <w:r>
        <w:t xml:space="preserve"> or other stocks.</w:t>
      </w:r>
      <w:r w:rsidR="7FD706EE">
        <w:t xml:space="preserve"> The </w:t>
      </w:r>
      <w:r w:rsidR="00853C85">
        <w:t>2019 T</w:t>
      </w:r>
      <w:r w:rsidR="7FD706EE">
        <w:t xml:space="preserve">ask </w:t>
      </w:r>
      <w:r w:rsidR="00853C85">
        <w:t>F</w:t>
      </w:r>
      <w:r w:rsidR="7FD706EE">
        <w:t xml:space="preserve">orce, using </w:t>
      </w:r>
      <w:r w:rsidR="000405D1">
        <w:t>an</w:t>
      </w:r>
      <w:r w:rsidR="7FD706EE">
        <w:t xml:space="preserve"> </w:t>
      </w:r>
      <w:r w:rsidR="0097547F">
        <w:t>inventory-based</w:t>
      </w:r>
      <w:r w:rsidR="7FD706EE">
        <w:t xml:space="preserve"> model, had previously estimated that the bank in 2018 was approximately </w:t>
      </w:r>
      <w:r w:rsidR="001224B1">
        <w:t>1400 to 1700</w:t>
      </w:r>
      <w:r w:rsidR="7FD706EE">
        <w:t xml:space="preserve"> </w:t>
      </w:r>
      <w:proofErr w:type="spellStart"/>
      <w:r w:rsidR="0066398F">
        <w:t>kilotonnes</w:t>
      </w:r>
      <w:proofErr w:type="spellEnd"/>
      <w:r w:rsidR="00132BBC" w:rsidRPr="006F3631">
        <w:rPr>
          <w:rStyle w:val="FootnoteReference"/>
        </w:rPr>
        <w:footnoteReference w:id="38"/>
      </w:r>
      <w:r w:rsidR="7FD706EE">
        <w:t xml:space="preserve">. A </w:t>
      </w:r>
      <w:r>
        <w:t xml:space="preserve">different </w:t>
      </w:r>
      <w:r w:rsidR="003032E0">
        <w:t xml:space="preserve">probabilistic </w:t>
      </w:r>
      <w:r>
        <w:t>modelling</w:t>
      </w:r>
      <w:r w:rsidR="7FD706EE">
        <w:t xml:space="preserve"> technique used</w:t>
      </w:r>
      <w:r w:rsidR="7CB98FA7">
        <w:t xml:space="preserve"> by </w:t>
      </w:r>
      <w:proofErr w:type="spellStart"/>
      <w:r w:rsidR="7CB98FA7">
        <w:t>Lickley</w:t>
      </w:r>
      <w:proofErr w:type="spellEnd"/>
      <w:r w:rsidR="7CB98FA7">
        <w:t xml:space="preserve"> </w:t>
      </w:r>
      <w:r w:rsidR="7CB98FA7" w:rsidRPr="092087BF">
        <w:rPr>
          <w:i/>
          <w:iCs/>
        </w:rPr>
        <w:t>et al.</w:t>
      </w:r>
      <w:r w:rsidR="7FD706EE">
        <w:t xml:space="preserve"> suggests a bank range of 878– 2264 </w:t>
      </w:r>
      <w:proofErr w:type="spellStart"/>
      <w:r w:rsidR="0066398F">
        <w:t>kilotonnes</w:t>
      </w:r>
      <w:proofErr w:type="spellEnd"/>
      <w:r w:rsidR="7FD706EE">
        <w:t xml:space="preserve"> for 2018</w:t>
      </w:r>
      <w:r w:rsidR="00132BBC" w:rsidRPr="60C9B3CE">
        <w:rPr>
          <w:vertAlign w:val="superscript"/>
        </w:rPr>
        <w:footnoteReference w:id="39"/>
      </w:r>
      <w:r w:rsidR="7FD706EE">
        <w:t xml:space="preserve">. Both analyses concur that the elevated emissions </w:t>
      </w:r>
      <w:r>
        <w:t xml:space="preserve">detected during 2013-2018 </w:t>
      </w:r>
      <w:r w:rsidR="7FD706EE">
        <w:t xml:space="preserve">suggest unreported production and cannot be attributed to </w:t>
      </w:r>
      <w:r>
        <w:t xml:space="preserve">increased </w:t>
      </w:r>
      <w:r w:rsidR="7FD706EE">
        <w:t xml:space="preserve">releases from the pre-existing CFC-11 bank. </w:t>
      </w:r>
    </w:p>
    <w:p w14:paraId="7C2917A2" w14:textId="62DB0EDD" w:rsidR="008A44E7" w:rsidRPr="008A44E7" w:rsidRDefault="092087BF" w:rsidP="008A44E7">
      <w:r>
        <w:t xml:space="preserve">According to the </w:t>
      </w:r>
      <w:proofErr w:type="spellStart"/>
      <w:r>
        <w:t>Lickley</w:t>
      </w:r>
      <w:proofErr w:type="spellEnd"/>
      <w:r>
        <w:t xml:space="preserve"> </w:t>
      </w:r>
      <w:r w:rsidRPr="092087BF">
        <w:rPr>
          <w:i/>
          <w:iCs/>
        </w:rPr>
        <w:t>et al.</w:t>
      </w:r>
      <w:r>
        <w:t xml:space="preserve"> model, </w:t>
      </w:r>
      <w:r w:rsidR="003356AE">
        <w:t xml:space="preserve">uncertainties in </w:t>
      </w:r>
      <w:r>
        <w:t>CFC banks have been underestimated by previous estimates</w:t>
      </w:r>
      <w:r w:rsidR="00132BBC">
        <w:t>,</w:t>
      </w:r>
      <w:r>
        <w:t xml:space="preserve"> in part due to apparent underreporting of production </w:t>
      </w:r>
      <w:r w:rsidR="003356AE">
        <w:t>and potential underestimation of the atmospheric lifetime</w:t>
      </w:r>
      <w:r w:rsidR="00132BBC">
        <w:t>,</w:t>
      </w:r>
      <w:r>
        <w:t xml:space="preserve"> and that substantial CFC-12 banks are likely still present. The analysis also concurs that the observed uptick in CFC-11 emissions was likely due to production after the 2010 global phase-out. This additional production would also likely increase the CFC-11 bank size. Finally, CFC-113 was found to have substantially higher emissions than what was expected from the banks alone after 2010. CFC-113 is a feedstock used for production of other chemicals which </w:t>
      </w:r>
      <w:r w:rsidR="008F2719">
        <w:t xml:space="preserve">may </w:t>
      </w:r>
      <w:r>
        <w:t xml:space="preserve">help explain its emissions, but further analysis is warranted. </w:t>
      </w:r>
    </w:p>
    <w:p w14:paraId="5B9D8000" w14:textId="5F94910F" w:rsidR="00101A3A" w:rsidRDefault="00101A3A" w:rsidP="00101A3A">
      <w:r w:rsidRPr="0058393E">
        <w:lastRenderedPageBreak/>
        <w:t>A</w:t>
      </w:r>
      <w:r w:rsidR="007443E4">
        <w:t>nother</w:t>
      </w:r>
      <w:r w:rsidRPr="0058393E">
        <w:t xml:space="preserve"> recent study by </w:t>
      </w:r>
      <w:proofErr w:type="spellStart"/>
      <w:r w:rsidRPr="0058393E">
        <w:t>Lickley</w:t>
      </w:r>
      <w:proofErr w:type="spellEnd"/>
      <w:r w:rsidRPr="0058393E">
        <w:t xml:space="preserve"> </w:t>
      </w:r>
      <w:r w:rsidRPr="00A27A34">
        <w:rPr>
          <w:i/>
          <w:iCs/>
        </w:rPr>
        <w:t>et al</w:t>
      </w:r>
      <w:r w:rsidR="00A27A34">
        <w:t>.</w:t>
      </w:r>
      <w:r w:rsidR="008A11C3">
        <w:rPr>
          <w:rStyle w:val="FootnoteReference"/>
        </w:rPr>
        <w:footnoteReference w:id="40"/>
      </w:r>
      <w:r w:rsidRPr="0058393E">
        <w:t xml:space="preserve"> (2021) simultaneously considered time-dependent atmospheric lifetimes, banks, and emissions of CFC-11, CFC-12, and CFC-13 in a probabilistic framework.</w:t>
      </w:r>
      <w:r w:rsidR="000B7470">
        <w:t xml:space="preserve"> </w:t>
      </w:r>
      <w:r w:rsidRPr="0058393E">
        <w:t xml:space="preserve">Their best estimate of the 2014-2016 unexpected emissions of CFC-11 is 23.2 </w:t>
      </w:r>
      <w:proofErr w:type="spellStart"/>
      <w:r w:rsidR="00132BBC">
        <w:t>kilotonnes</w:t>
      </w:r>
      <w:proofErr w:type="spellEnd"/>
      <w:r w:rsidRPr="0058393E">
        <w:t>/year (with a 95% confidence range of 13.7-35.8).</w:t>
      </w:r>
      <w:r w:rsidR="00AF7D25">
        <w:t xml:space="preserve"> </w:t>
      </w:r>
      <w:r w:rsidRPr="0058393E">
        <w:t xml:space="preserve">Their analysis also indicates unexpected emissions of CFC-12 over these years at a comparable level to CFC-11, about 18 </w:t>
      </w:r>
      <w:proofErr w:type="spellStart"/>
      <w:r w:rsidR="00132BBC">
        <w:t>kilotonnes</w:t>
      </w:r>
      <w:proofErr w:type="spellEnd"/>
      <w:r w:rsidRPr="0058393E">
        <w:t xml:space="preserve">/year (with an increase at 95% </w:t>
      </w:r>
      <w:r w:rsidRPr="005C0E89">
        <w:t>confidence of 11.8 to 22.7).</w:t>
      </w:r>
      <w:r w:rsidR="000B7470">
        <w:t xml:space="preserve"> </w:t>
      </w:r>
      <w:r w:rsidRPr="005C0E89">
        <w:t xml:space="preserve">They found emissions of CFC-113 (CFC-113 </w:t>
      </w:r>
      <w:r w:rsidR="0076055D">
        <w:t>and</w:t>
      </w:r>
      <w:r w:rsidRPr="005C0E89">
        <w:t xml:space="preserve"> CFC-113a) of about 8 </w:t>
      </w:r>
      <w:proofErr w:type="spellStart"/>
      <w:r w:rsidR="00132BBC">
        <w:t>kilotonnes</w:t>
      </w:r>
      <w:proofErr w:type="spellEnd"/>
      <w:r w:rsidRPr="005C0E89">
        <w:t>/year (with a 95% confidence range of 6 to 11), which they suggest is substantially larger than expected from its allowed reported global use in feedstocks.</w:t>
      </w:r>
    </w:p>
    <w:bookmarkEnd w:id="123"/>
    <w:bookmarkEnd w:id="124"/>
    <w:p w14:paraId="5D731715" w14:textId="77777777" w:rsidR="00F96370" w:rsidRDefault="00F96370" w:rsidP="00873713"/>
    <w:p w14:paraId="2E10FA88" w14:textId="77777777" w:rsidR="00DE3BEE" w:rsidRDefault="00DE3BEE" w:rsidP="00873713">
      <w:pPr>
        <w:sectPr w:rsidR="00DE3BEE" w:rsidSect="009345EE">
          <w:type w:val="oddPage"/>
          <w:pgSz w:w="11907" w:h="16839" w:code="9"/>
          <w:pgMar w:top="1701" w:right="1797" w:bottom="1871" w:left="1797" w:header="720" w:footer="794" w:gutter="0"/>
          <w:cols w:space="720"/>
          <w:docGrid w:linePitch="299"/>
        </w:sectPr>
      </w:pPr>
    </w:p>
    <w:p w14:paraId="3D97A240" w14:textId="6668004E" w:rsidR="008542F5" w:rsidRDefault="008542F5" w:rsidP="00CF3955">
      <w:pPr>
        <w:pStyle w:val="Heading1"/>
      </w:pPr>
      <w:bookmarkStart w:id="135" w:name="_Toc73045598"/>
      <w:bookmarkStart w:id="136" w:name="_Toc295289741"/>
      <w:bookmarkStart w:id="137" w:name="_Toc388648379"/>
      <w:bookmarkStart w:id="138" w:name="_Toc295406184"/>
      <w:bookmarkStart w:id="139" w:name="_Toc514151692"/>
      <w:bookmarkStart w:id="140" w:name="_Toc9109614"/>
      <w:bookmarkStart w:id="141" w:name="_Toc40696113"/>
      <w:bookmarkEnd w:id="111"/>
      <w:bookmarkEnd w:id="112"/>
      <w:bookmarkEnd w:id="113"/>
      <w:bookmarkEnd w:id="114"/>
      <w:r>
        <w:lastRenderedPageBreak/>
        <w:t>2</w:t>
      </w:r>
      <w:r>
        <w:tab/>
      </w:r>
      <w:r w:rsidR="1061C58E">
        <w:t>Updated Task Force mode</w:t>
      </w:r>
      <w:r w:rsidR="00E142ED">
        <w:t>l</w:t>
      </w:r>
      <w:r w:rsidR="1061C58E">
        <w:t xml:space="preserve">ling of </w:t>
      </w:r>
      <w:r>
        <w:t>CFC-11 emissions and banks</w:t>
      </w:r>
      <w:bookmarkEnd w:id="135"/>
      <w:r>
        <w:t xml:space="preserve"> </w:t>
      </w:r>
    </w:p>
    <w:p w14:paraId="4A5EA15A" w14:textId="2B8D5AB6" w:rsidR="002313D4" w:rsidRPr="00660A90" w:rsidRDefault="7260EB12" w:rsidP="00E31A1E">
      <w:pPr>
        <w:pStyle w:val="Heading2"/>
      </w:pPr>
      <w:bookmarkStart w:id="142" w:name="_Toc73045599"/>
      <w:r w:rsidRPr="00660A90">
        <w:t>2.1</w:t>
      </w:r>
      <w:r w:rsidR="008542F5" w:rsidRPr="00660A90">
        <w:tab/>
      </w:r>
      <w:r w:rsidRPr="00CD0A17">
        <w:t xml:space="preserve">Summary of </w:t>
      </w:r>
      <w:r w:rsidR="0097547F">
        <w:t>inventory-based</w:t>
      </w:r>
      <w:r w:rsidRPr="00CD0A17">
        <w:t xml:space="preserve"> model</w:t>
      </w:r>
      <w:bookmarkEnd w:id="142"/>
    </w:p>
    <w:p w14:paraId="247CEFD9" w14:textId="3870F11E" w:rsidR="002313D4" w:rsidRPr="00E63512" w:rsidRDefault="7260EB12" w:rsidP="7260EB12">
      <w:r w:rsidRPr="07B910CD">
        <w:rPr>
          <w:lang w:val="en-AU"/>
        </w:rPr>
        <w:t xml:space="preserve">The </w:t>
      </w:r>
      <w:r w:rsidR="0097547F">
        <w:rPr>
          <w:lang w:val="en-AU"/>
        </w:rPr>
        <w:t>inventory-based</w:t>
      </w:r>
      <w:r w:rsidRPr="07B910CD">
        <w:rPr>
          <w:lang w:val="en-AU"/>
        </w:rPr>
        <w:t xml:space="preserve"> model is an inventory-based analysis, built on historically reported global </w:t>
      </w:r>
      <w:r w:rsidR="00D8021D">
        <w:rPr>
          <w:lang w:val="en-AU"/>
        </w:rPr>
        <w:t xml:space="preserve">CFC-11 </w:t>
      </w:r>
      <w:r w:rsidRPr="07B910CD">
        <w:rPr>
          <w:lang w:val="en-AU"/>
        </w:rPr>
        <w:t xml:space="preserve">production </w:t>
      </w:r>
      <w:r w:rsidR="00836CFE">
        <w:rPr>
          <w:lang w:val="en-AU"/>
        </w:rPr>
        <w:t xml:space="preserve">and </w:t>
      </w:r>
      <w:r w:rsidR="0077505C">
        <w:rPr>
          <w:lang w:val="en-AU"/>
        </w:rPr>
        <w:t>use</w:t>
      </w:r>
      <w:r w:rsidRPr="07B910CD">
        <w:rPr>
          <w:lang w:val="en-AU"/>
        </w:rPr>
        <w:t xml:space="preserve">. </w:t>
      </w:r>
      <w:r w:rsidR="07B910CD" w:rsidRPr="07B910CD">
        <w:rPr>
          <w:lang w:val="en-AU"/>
        </w:rPr>
        <w:t xml:space="preserve">This model builds on the work conducted for the 2019 Task Force </w:t>
      </w:r>
      <w:r w:rsidR="00DA5A4F">
        <w:rPr>
          <w:lang w:val="en-AU"/>
        </w:rPr>
        <w:t>R</w:t>
      </w:r>
      <w:r w:rsidR="07B910CD" w:rsidRPr="07B910CD">
        <w:rPr>
          <w:lang w:val="en-AU"/>
        </w:rPr>
        <w:t>eport</w:t>
      </w:r>
      <w:r w:rsidR="00DA5A4F" w:rsidRPr="00567908">
        <w:rPr>
          <w:rStyle w:val="FootnoteReference"/>
        </w:rPr>
        <w:footnoteReference w:id="41"/>
      </w:r>
      <w:r w:rsidR="07B910CD" w:rsidRPr="07B910CD">
        <w:rPr>
          <w:lang w:val="en-AU"/>
        </w:rPr>
        <w:t>.</w:t>
      </w:r>
      <w:r w:rsidR="2405DD02" w:rsidRPr="2405DD02">
        <w:rPr>
          <w:lang w:val="en-AU"/>
        </w:rPr>
        <w:t xml:space="preserve"> </w:t>
      </w:r>
      <w:r w:rsidR="07B910CD" w:rsidRPr="07B910CD">
        <w:rPr>
          <w:lang w:val="en-AU"/>
        </w:rPr>
        <w:t xml:space="preserve">CFC-11 </w:t>
      </w:r>
      <w:r w:rsidR="00874B22">
        <w:rPr>
          <w:lang w:val="en-AU"/>
        </w:rPr>
        <w:t>was</w:t>
      </w:r>
      <w:r w:rsidR="07B910CD" w:rsidRPr="07B910CD">
        <w:rPr>
          <w:lang w:val="en-AU"/>
        </w:rPr>
        <w:t xml:space="preserve"> used in several applications that can be broadly grouped in 3 market sectors: closed-cell foams, </w:t>
      </w:r>
      <w:r w:rsidR="001350CA">
        <w:rPr>
          <w:lang w:val="en-AU"/>
        </w:rPr>
        <w:t>centrifugal</w:t>
      </w:r>
      <w:r w:rsidR="07B910CD" w:rsidRPr="07B910CD">
        <w:rPr>
          <w:lang w:val="en-AU"/>
        </w:rPr>
        <w:t xml:space="preserve"> chillers (R/AC), and emissive uses (e.g., open-cell foams, solvents, aerosols). </w:t>
      </w:r>
      <w:r w:rsidRPr="07B910CD">
        <w:rPr>
          <w:lang w:val="en-AU"/>
        </w:rPr>
        <w:t xml:space="preserve">CFC-11 remains in chillers and foams and is gradually released </w:t>
      </w:r>
      <w:r w:rsidR="00E335B3">
        <w:rPr>
          <w:lang w:val="en-AU"/>
        </w:rPr>
        <w:t xml:space="preserve">in </w:t>
      </w:r>
      <w:r w:rsidR="00720939">
        <w:rPr>
          <w:lang w:val="en-AU"/>
        </w:rPr>
        <w:t>part</w:t>
      </w:r>
      <w:r w:rsidRPr="07B910CD">
        <w:rPr>
          <w:lang w:val="en-AU"/>
        </w:rPr>
        <w:t xml:space="preserve"> to the atmosphere over the product’s useful lifetime. CFC-11 is emitted at different stages </w:t>
      </w:r>
      <w:r w:rsidR="00720939">
        <w:rPr>
          <w:lang w:val="en-AU"/>
        </w:rPr>
        <w:t xml:space="preserve">of the product’s </w:t>
      </w:r>
      <w:r w:rsidRPr="07B910CD">
        <w:rPr>
          <w:lang w:val="en-AU"/>
        </w:rPr>
        <w:t>lifetime of the products. The fraction</w:t>
      </w:r>
      <w:r w:rsidR="00D12BA4">
        <w:rPr>
          <w:lang w:val="en-AU"/>
        </w:rPr>
        <w:t>s</w:t>
      </w:r>
      <w:r w:rsidRPr="07B910CD">
        <w:rPr>
          <w:lang w:val="en-AU"/>
        </w:rPr>
        <w:t xml:space="preserve"> of CFC-11 that </w:t>
      </w:r>
      <w:r w:rsidR="00D12BA4">
        <w:rPr>
          <w:lang w:val="en-AU"/>
        </w:rPr>
        <w:t>are</w:t>
      </w:r>
      <w:r w:rsidRPr="07B910CD">
        <w:rPr>
          <w:lang w:val="en-AU"/>
        </w:rPr>
        <w:t xml:space="preserve"> released var</w:t>
      </w:r>
      <w:r w:rsidR="00D12BA4">
        <w:rPr>
          <w:lang w:val="en-AU"/>
        </w:rPr>
        <w:t>y</w:t>
      </w:r>
      <w:r w:rsidRPr="07B910CD">
        <w:rPr>
          <w:lang w:val="en-AU"/>
        </w:rPr>
        <w:t xml:space="preserve"> by product, </w:t>
      </w:r>
      <w:r w:rsidR="00D12BA4">
        <w:rPr>
          <w:lang w:val="en-AU"/>
        </w:rPr>
        <w:t>life-cycle stage</w:t>
      </w:r>
      <w:r w:rsidR="00D12BA4" w:rsidRPr="07B910CD">
        <w:rPr>
          <w:lang w:val="en-AU"/>
        </w:rPr>
        <w:t xml:space="preserve"> </w:t>
      </w:r>
      <w:r w:rsidRPr="07B910CD">
        <w:rPr>
          <w:lang w:val="en-AU"/>
        </w:rPr>
        <w:t xml:space="preserve">(servicing, end-of-life dismantling) and regional practices. Identifying the appropriate emission rates for each stage and product is </w:t>
      </w:r>
      <w:r w:rsidR="006C6ED5">
        <w:rPr>
          <w:lang w:val="en-AU"/>
        </w:rPr>
        <w:t>important</w:t>
      </w:r>
      <w:r w:rsidR="006C6ED5" w:rsidRPr="07B910CD">
        <w:rPr>
          <w:lang w:val="en-AU"/>
        </w:rPr>
        <w:t xml:space="preserve"> </w:t>
      </w:r>
      <w:r w:rsidRPr="07B910CD">
        <w:rPr>
          <w:lang w:val="en-AU"/>
        </w:rPr>
        <w:t>to confidently estimate expected emissions</w:t>
      </w:r>
      <w:r w:rsidR="00370510">
        <w:rPr>
          <w:rStyle w:val="FootnoteReference"/>
          <w:lang w:val="en-AU"/>
        </w:rPr>
        <w:footnoteReference w:id="42"/>
      </w:r>
      <w:r w:rsidRPr="07B910CD">
        <w:rPr>
          <w:lang w:val="en-AU"/>
        </w:rPr>
        <w:t xml:space="preserve">. The CFC-11 that remains in products and equipment is </w:t>
      </w:r>
      <w:r w:rsidR="00F71B94">
        <w:rPr>
          <w:lang w:val="en-AU"/>
        </w:rPr>
        <w:t>described</w:t>
      </w:r>
      <w:r w:rsidR="00F71B94" w:rsidRPr="07B910CD">
        <w:rPr>
          <w:lang w:val="en-AU"/>
        </w:rPr>
        <w:t xml:space="preserve"> </w:t>
      </w:r>
      <w:r w:rsidRPr="07B910CD">
        <w:rPr>
          <w:lang w:val="en-AU"/>
        </w:rPr>
        <w:t>as a bank, which is characteri</w:t>
      </w:r>
      <w:r w:rsidR="00F71B94">
        <w:rPr>
          <w:lang w:val="en-AU"/>
        </w:rPr>
        <w:t>s</w:t>
      </w:r>
      <w:r w:rsidRPr="07B910CD">
        <w:rPr>
          <w:lang w:val="en-AU"/>
        </w:rPr>
        <w:t>ed as active if the product is still in use or as inactive if the product has been</w:t>
      </w:r>
      <w:r w:rsidR="00C923F6">
        <w:rPr>
          <w:lang w:val="en-AU"/>
        </w:rPr>
        <w:t xml:space="preserve"> decommissioned</w:t>
      </w:r>
      <w:r w:rsidRPr="07B910CD">
        <w:rPr>
          <w:lang w:val="en-AU"/>
        </w:rPr>
        <w:t xml:space="preserve">. The </w:t>
      </w:r>
      <w:r w:rsidR="00E42784">
        <w:rPr>
          <w:lang w:val="en-AU"/>
        </w:rPr>
        <w:t xml:space="preserve">time-series </w:t>
      </w:r>
      <w:r w:rsidRPr="07B910CD">
        <w:rPr>
          <w:lang w:val="en-AU"/>
        </w:rPr>
        <w:t xml:space="preserve">of emissions from different products and at different stages </w:t>
      </w:r>
      <w:r w:rsidR="004A1C0C">
        <w:rPr>
          <w:lang w:val="en-AU"/>
        </w:rPr>
        <w:t xml:space="preserve">over the lifetime </w:t>
      </w:r>
      <w:r w:rsidRPr="07B910CD">
        <w:rPr>
          <w:lang w:val="en-AU"/>
        </w:rPr>
        <w:t xml:space="preserve">produces the expected emissions profile of CFC-11. The </w:t>
      </w:r>
      <w:r w:rsidR="007D4AB8">
        <w:rPr>
          <w:lang w:val="en-AU"/>
        </w:rPr>
        <w:t xml:space="preserve">estimated </w:t>
      </w:r>
      <w:r w:rsidRPr="07B910CD">
        <w:rPr>
          <w:lang w:val="en-AU"/>
        </w:rPr>
        <w:t>expected emissions</w:t>
      </w:r>
      <w:r w:rsidR="00244F0D">
        <w:rPr>
          <w:lang w:val="en-AU"/>
        </w:rPr>
        <w:t>,</w:t>
      </w:r>
      <w:r w:rsidRPr="07B910CD">
        <w:rPr>
          <w:lang w:val="en-AU"/>
        </w:rPr>
        <w:t xml:space="preserve"> produced by the </w:t>
      </w:r>
      <w:r w:rsidR="0097547F">
        <w:rPr>
          <w:lang w:val="en-AU"/>
        </w:rPr>
        <w:t>inventory-based</w:t>
      </w:r>
      <w:r w:rsidRPr="07B910CD">
        <w:rPr>
          <w:lang w:val="en-AU"/>
        </w:rPr>
        <w:t xml:space="preserve"> model</w:t>
      </w:r>
      <w:r w:rsidR="00244F0D">
        <w:rPr>
          <w:lang w:val="en-AU"/>
        </w:rPr>
        <w:t>,</w:t>
      </w:r>
      <w:r w:rsidRPr="07B910CD">
        <w:rPr>
          <w:lang w:val="en-AU"/>
        </w:rPr>
        <w:t xml:space="preserve"> are then compared to</w:t>
      </w:r>
      <w:r w:rsidR="00A47332">
        <w:rPr>
          <w:lang w:val="en-AU"/>
        </w:rPr>
        <w:t xml:space="preserve"> </w:t>
      </w:r>
      <w:r w:rsidR="004A7EEE">
        <w:rPr>
          <w:lang w:val="en-AU"/>
        </w:rPr>
        <w:t>global emissions derived for</w:t>
      </w:r>
      <w:r w:rsidRPr="07B910CD">
        <w:rPr>
          <w:lang w:val="en-AU"/>
        </w:rPr>
        <w:t xml:space="preserve"> CFC-11 </w:t>
      </w:r>
      <w:r w:rsidR="004A7EEE">
        <w:rPr>
          <w:lang w:val="en-AU"/>
        </w:rPr>
        <w:t>from atmospheric con</w:t>
      </w:r>
      <w:r w:rsidR="00893FD4">
        <w:rPr>
          <w:lang w:val="en-AU"/>
        </w:rPr>
        <w:t>c</w:t>
      </w:r>
      <w:r w:rsidR="004A7EEE">
        <w:rPr>
          <w:lang w:val="en-AU"/>
        </w:rPr>
        <w:t>e</w:t>
      </w:r>
      <w:r w:rsidR="00893FD4">
        <w:rPr>
          <w:lang w:val="en-AU"/>
        </w:rPr>
        <w:t>n</w:t>
      </w:r>
      <w:r w:rsidR="004A7EEE">
        <w:rPr>
          <w:lang w:val="en-AU"/>
        </w:rPr>
        <w:t xml:space="preserve">tration measurements </w:t>
      </w:r>
      <w:r w:rsidR="00E35A25">
        <w:rPr>
          <w:lang w:val="en-AU"/>
        </w:rPr>
        <w:t>(derived emissions) and our understanding of its global loss rate</w:t>
      </w:r>
      <w:r w:rsidR="00E80228">
        <w:rPr>
          <w:lang w:val="en-AU"/>
        </w:rPr>
        <w:t>, or lifetime</w:t>
      </w:r>
      <w:r w:rsidRPr="07B910CD">
        <w:rPr>
          <w:lang w:val="en-AU"/>
        </w:rPr>
        <w:t xml:space="preserve">. </w:t>
      </w:r>
    </w:p>
    <w:p w14:paraId="07E36FB6" w14:textId="5FDEE80F" w:rsidR="002313D4" w:rsidRPr="00E63512" w:rsidRDefault="22D0EC5E" w:rsidP="00751ECE">
      <w:pPr>
        <w:pStyle w:val="Heading2"/>
        <w:rPr>
          <w:color w:val="000000" w:themeColor="text1"/>
          <w:szCs w:val="28"/>
        </w:rPr>
      </w:pPr>
      <w:bookmarkStart w:id="143" w:name="_Toc73045600"/>
      <w:r w:rsidRPr="22D0EC5E">
        <w:t>2.2</w:t>
      </w:r>
      <w:r w:rsidR="00660A90">
        <w:tab/>
      </w:r>
      <w:r w:rsidR="0097547F">
        <w:t>Inventory-based</w:t>
      </w:r>
      <w:r w:rsidRPr="22D0EC5E">
        <w:t xml:space="preserve"> model methodology</w:t>
      </w:r>
      <w:bookmarkEnd w:id="143"/>
    </w:p>
    <w:p w14:paraId="6BB66346" w14:textId="32475348" w:rsidR="002313D4" w:rsidRPr="00E63512" w:rsidRDefault="00BD5650" w:rsidP="7260EB12">
      <w:pPr>
        <w:rPr>
          <w:vertAlign w:val="superscript"/>
          <w:lang w:val="en-AU"/>
        </w:rPr>
      </w:pPr>
      <w:r>
        <w:rPr>
          <w:lang w:val="en-AU"/>
        </w:rPr>
        <w:t>T</w:t>
      </w:r>
      <w:r w:rsidR="7260EB12" w:rsidRPr="1CD6F94A">
        <w:rPr>
          <w:lang w:val="en-AU"/>
        </w:rPr>
        <w:t xml:space="preserve">otal sales of CFC-11 </w:t>
      </w:r>
      <w:r>
        <w:rPr>
          <w:lang w:val="en-AU"/>
        </w:rPr>
        <w:t>from</w:t>
      </w:r>
      <w:r w:rsidRPr="1CD6F94A">
        <w:rPr>
          <w:lang w:val="en-AU"/>
        </w:rPr>
        <w:t xml:space="preserve"> 1930</w:t>
      </w:r>
      <w:r>
        <w:rPr>
          <w:lang w:val="en-AU"/>
        </w:rPr>
        <w:t xml:space="preserve"> </w:t>
      </w:r>
      <w:r w:rsidR="7260EB12" w:rsidRPr="1CD6F94A">
        <w:rPr>
          <w:lang w:val="en-AU"/>
        </w:rPr>
        <w:t>were voluntarily reported by industry to the Alternative Fluorocarbons Environmental Acceptability Study (AFEAS)</w:t>
      </w:r>
      <w:r w:rsidR="001C6D05">
        <w:rPr>
          <w:rStyle w:val="FootnoteReference"/>
          <w:lang w:val="en-AU"/>
        </w:rPr>
        <w:footnoteReference w:id="43"/>
      </w:r>
      <w:r w:rsidR="7260EB12" w:rsidRPr="1CD6F94A">
        <w:rPr>
          <w:lang w:val="en-AU"/>
        </w:rPr>
        <w:t xml:space="preserve">. The AFEAS database includes audited </w:t>
      </w:r>
      <w:r w:rsidR="005F702A">
        <w:rPr>
          <w:lang w:val="en-AU"/>
        </w:rPr>
        <w:t xml:space="preserve">production and </w:t>
      </w:r>
      <w:r w:rsidR="7260EB12" w:rsidRPr="1CD6F94A">
        <w:rPr>
          <w:lang w:val="en-AU"/>
        </w:rPr>
        <w:t>sales data from Argentina, Australia, Brazil, Canada, France, Germany, Greece, Italy, Japan, Mexico, Netherlands, South Africa, Spain, U</w:t>
      </w:r>
      <w:r w:rsidR="00E638B6">
        <w:rPr>
          <w:lang w:val="en-AU"/>
        </w:rPr>
        <w:t xml:space="preserve">nited </w:t>
      </w:r>
      <w:r w:rsidR="7260EB12" w:rsidRPr="1CD6F94A">
        <w:rPr>
          <w:lang w:val="en-AU"/>
        </w:rPr>
        <w:t>K</w:t>
      </w:r>
      <w:r w:rsidR="00E638B6">
        <w:rPr>
          <w:lang w:val="en-AU"/>
        </w:rPr>
        <w:t>ingdom</w:t>
      </w:r>
      <w:r w:rsidR="7260EB12" w:rsidRPr="1CD6F94A">
        <w:rPr>
          <w:lang w:val="en-AU"/>
        </w:rPr>
        <w:t xml:space="preserve">, </w:t>
      </w:r>
      <w:r w:rsidR="00E638B6">
        <w:rPr>
          <w:lang w:val="en-AU"/>
        </w:rPr>
        <w:t>the United States</w:t>
      </w:r>
      <w:r w:rsidR="7260EB12" w:rsidRPr="1CD6F94A">
        <w:rPr>
          <w:lang w:val="en-AU"/>
        </w:rPr>
        <w:t xml:space="preserve"> and Venezuela. While extensive, the database did not encompass data from China, Czech Republic, India, North Korea, South Korea, Romania and Russia</w:t>
      </w:r>
      <w:r w:rsidR="006F2CE0" w:rsidRPr="00D16B58">
        <w:rPr>
          <w:rStyle w:val="FootnoteReference"/>
        </w:rPr>
        <w:footnoteReference w:id="44"/>
      </w:r>
      <w:r w:rsidR="1CD6F94A" w:rsidRPr="1CD6F94A">
        <w:rPr>
          <w:lang w:val="en-AU"/>
        </w:rPr>
        <w:t>.</w:t>
      </w:r>
    </w:p>
    <w:p w14:paraId="207D475F" w14:textId="3CFB23BD" w:rsidR="002313D4" w:rsidRPr="00E63512" w:rsidRDefault="7260EB12" w:rsidP="7260EB12">
      <w:pPr>
        <w:rPr>
          <w:color w:val="000000" w:themeColor="text1"/>
          <w:vertAlign w:val="superscript"/>
          <w:lang w:val="en-AU"/>
        </w:rPr>
      </w:pPr>
      <w:r w:rsidRPr="4B1E1435">
        <w:rPr>
          <w:lang w:val="en-AU"/>
        </w:rPr>
        <w:t xml:space="preserve">Since 1989 parties are required by the Montreal Protocol to report </w:t>
      </w:r>
      <w:r w:rsidR="000B74FB">
        <w:rPr>
          <w:lang w:val="en-AU"/>
        </w:rPr>
        <w:t>their national annual</w:t>
      </w:r>
      <w:r w:rsidRPr="4B1E1435">
        <w:rPr>
          <w:lang w:val="en-AU"/>
        </w:rPr>
        <w:t xml:space="preserve"> total production</w:t>
      </w:r>
      <w:r w:rsidR="00FF6E06">
        <w:rPr>
          <w:lang w:val="en-AU"/>
        </w:rPr>
        <w:t>, import</w:t>
      </w:r>
      <w:r w:rsidR="00CF4CD6">
        <w:rPr>
          <w:lang w:val="en-AU"/>
        </w:rPr>
        <w:t>,</w:t>
      </w:r>
      <w:r w:rsidR="00FF6E06">
        <w:rPr>
          <w:lang w:val="en-AU"/>
        </w:rPr>
        <w:t xml:space="preserve"> </w:t>
      </w:r>
      <w:r w:rsidR="00A94F5F">
        <w:rPr>
          <w:lang w:val="en-AU"/>
        </w:rPr>
        <w:t>and export</w:t>
      </w:r>
      <w:r w:rsidR="00E142ED">
        <w:rPr>
          <w:lang w:val="en-AU"/>
        </w:rPr>
        <w:t xml:space="preserve"> </w:t>
      </w:r>
      <w:r w:rsidR="00F2116F">
        <w:rPr>
          <w:lang w:val="en-AU"/>
        </w:rPr>
        <w:t>quantities</w:t>
      </w:r>
      <w:r w:rsidRPr="4B1E1435">
        <w:rPr>
          <w:lang w:val="en-AU"/>
        </w:rPr>
        <w:t xml:space="preserve"> of </w:t>
      </w:r>
      <w:r w:rsidR="00377CB6">
        <w:rPr>
          <w:lang w:val="en-AU"/>
        </w:rPr>
        <w:t>controlled</w:t>
      </w:r>
      <w:r w:rsidRPr="4B1E1435">
        <w:rPr>
          <w:lang w:val="en-AU"/>
        </w:rPr>
        <w:t xml:space="preserve"> substances, including CFC-11, to the Ozone Secretariat. The present </w:t>
      </w:r>
      <w:r w:rsidR="00A55594">
        <w:rPr>
          <w:lang w:val="en-AU"/>
        </w:rPr>
        <w:t>global</w:t>
      </w:r>
      <w:r w:rsidRPr="4B1E1435">
        <w:rPr>
          <w:lang w:val="en-AU"/>
        </w:rPr>
        <w:t xml:space="preserve"> inventory-based analysis uses total production </w:t>
      </w:r>
      <w:r w:rsidR="00F2116F">
        <w:rPr>
          <w:lang w:val="en-AU"/>
        </w:rPr>
        <w:lastRenderedPageBreak/>
        <w:t>quantities</w:t>
      </w:r>
      <w:r w:rsidRPr="4B1E1435">
        <w:rPr>
          <w:lang w:val="en-AU"/>
        </w:rPr>
        <w:t xml:space="preserve"> from both AFEAS and the Ozone Secretariat, adjusted to include estimates of CFC-11 produced in countries not reporting to AFEAS between 1968-2000</w:t>
      </w:r>
      <w:r w:rsidR="006F2CE0" w:rsidRPr="00F66363">
        <w:rPr>
          <w:rStyle w:val="FootnoteReference"/>
        </w:rPr>
        <w:footnoteReference w:id="45"/>
      </w:r>
      <w:r w:rsidRPr="4B1E1435">
        <w:rPr>
          <w:lang w:val="en-AU"/>
        </w:rPr>
        <w:t>.</w:t>
      </w:r>
    </w:p>
    <w:p w14:paraId="0179F282" w14:textId="20DA807F" w:rsidR="00277DC9" w:rsidRDefault="24483D61" w:rsidP="00277DC9">
      <w:pPr>
        <w:rPr>
          <w:lang w:val="en-AU"/>
        </w:rPr>
      </w:pPr>
      <w:r w:rsidRPr="24483D61">
        <w:rPr>
          <w:lang w:val="en-AU"/>
        </w:rPr>
        <w:t xml:space="preserve">CFC-11 was historically produced for use in </w:t>
      </w:r>
      <w:r w:rsidR="00BD0CCF">
        <w:rPr>
          <w:lang w:val="en-AU"/>
        </w:rPr>
        <w:t>centrifugal</w:t>
      </w:r>
      <w:r w:rsidRPr="24483D61">
        <w:rPr>
          <w:lang w:val="en-AU"/>
        </w:rPr>
        <w:t xml:space="preserve"> chillers, closed-cell foams, and for several emissive applications such as open-cell foam production, aerosols etc (referred to as emissive uses). The quantification of expected CFC-11 emissions is based on several assumptions regarding losses during the charging, operation and decommissioning of chillers, the foam blowing process and during the life of the foam </w:t>
      </w:r>
      <w:r w:rsidRPr="24483D61">
        <w:rPr>
          <w:i/>
          <w:iCs/>
          <w:lang w:val="en-AU"/>
        </w:rPr>
        <w:t>in situ</w:t>
      </w:r>
      <w:r w:rsidRPr="24483D61">
        <w:rPr>
          <w:lang w:val="en-AU"/>
        </w:rPr>
        <w:t xml:space="preserve"> as well as the use of aerosols, and solvents. The model also incorporates assumptions about fugitive emissions from the chemical production plants, the lifetime of products, the market breakdown among applications and the handling of products at the end of their useful life. A range of assumptions is tested and bound based on literature and expert input.</w:t>
      </w:r>
    </w:p>
    <w:p w14:paraId="3E31A047" w14:textId="2EDA1F65" w:rsidR="00916A4D" w:rsidRPr="007F6B7C" w:rsidRDefault="00916A4D" w:rsidP="00234A1D">
      <w:pPr>
        <w:keepNext/>
        <w:tabs>
          <w:tab w:val="left" w:pos="1134"/>
        </w:tabs>
        <w:rPr>
          <w:b/>
          <w:bCs/>
        </w:rPr>
      </w:pPr>
      <w:r w:rsidRPr="00CF26C8">
        <w:rPr>
          <w:b/>
          <w:bCs/>
          <w:lang w:val="en-AU"/>
        </w:rPr>
        <w:t>Figure 2.1</w:t>
      </w:r>
      <w:r w:rsidRPr="00CF26C8">
        <w:rPr>
          <w:b/>
          <w:bCs/>
          <w:lang w:val="en-AU"/>
        </w:rPr>
        <w:tab/>
      </w:r>
      <w:r w:rsidR="00CF2DF4" w:rsidRPr="00CF26C8">
        <w:rPr>
          <w:b/>
          <w:bCs/>
          <w:lang w:val="en-AU"/>
        </w:rPr>
        <w:t>Pictorial</w:t>
      </w:r>
      <w:r w:rsidR="007F6B7C" w:rsidRPr="00CF26C8">
        <w:rPr>
          <w:b/>
          <w:bCs/>
          <w:lang w:val="en-AU"/>
        </w:rPr>
        <w:t xml:space="preserve"> of CFC-11 lifecycle</w:t>
      </w:r>
    </w:p>
    <w:p w14:paraId="185834FE" w14:textId="6EBC5478" w:rsidR="0098762D" w:rsidRDefault="0098762D" w:rsidP="7260EB12">
      <w:pPr>
        <w:rPr>
          <w:szCs w:val="22"/>
        </w:rPr>
      </w:pPr>
      <w:r>
        <w:rPr>
          <w:noProof/>
        </w:rPr>
        <w:drawing>
          <wp:inline distT="0" distB="0" distL="0" distR="0" wp14:anchorId="4A01650C" wp14:editId="580AF8A3">
            <wp:extent cx="5278754" cy="1864995"/>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34">
                      <a:extLst>
                        <a:ext uri="{28A0092B-C50C-407E-A947-70E740481C1C}">
                          <a14:useLocalDpi xmlns:a14="http://schemas.microsoft.com/office/drawing/2010/main" val="0"/>
                        </a:ext>
                      </a:extLst>
                    </a:blip>
                    <a:stretch>
                      <a:fillRect/>
                    </a:stretch>
                  </pic:blipFill>
                  <pic:spPr>
                    <a:xfrm>
                      <a:off x="0" y="0"/>
                      <a:ext cx="5278754" cy="1864995"/>
                    </a:xfrm>
                    <a:prstGeom prst="rect">
                      <a:avLst/>
                    </a:prstGeom>
                  </pic:spPr>
                </pic:pic>
              </a:graphicData>
            </a:graphic>
          </wp:inline>
        </w:drawing>
      </w:r>
    </w:p>
    <w:p w14:paraId="57ED1F87" w14:textId="77777777" w:rsidR="0098762D" w:rsidRDefault="0098762D" w:rsidP="7260EB12">
      <w:pPr>
        <w:rPr>
          <w:szCs w:val="22"/>
        </w:rPr>
      </w:pPr>
    </w:p>
    <w:p w14:paraId="39D1A24B" w14:textId="2F56FD70" w:rsidR="002313D4" w:rsidRPr="00E63512" w:rsidRDefault="7260EB12" w:rsidP="7260EB12">
      <w:r w:rsidRPr="7260EB12">
        <w:rPr>
          <w:szCs w:val="22"/>
        </w:rPr>
        <w:t xml:space="preserve">Historically, CFC-11 production was concentrated in non-Article 5 </w:t>
      </w:r>
      <w:r w:rsidR="00AE0153">
        <w:rPr>
          <w:szCs w:val="22"/>
        </w:rPr>
        <w:t>parties</w:t>
      </w:r>
      <w:r w:rsidRPr="7260EB12">
        <w:rPr>
          <w:szCs w:val="22"/>
        </w:rPr>
        <w:t xml:space="preserve"> in the mid-1980s</w:t>
      </w:r>
      <w:r w:rsidR="00F3467A">
        <w:rPr>
          <w:szCs w:val="22"/>
        </w:rPr>
        <w:t xml:space="preserve">. Production in </w:t>
      </w:r>
      <w:r w:rsidRPr="7260EB12">
        <w:rPr>
          <w:szCs w:val="22"/>
        </w:rPr>
        <w:t xml:space="preserve">Article 5 </w:t>
      </w:r>
      <w:r w:rsidR="00AE0153">
        <w:rPr>
          <w:szCs w:val="22"/>
        </w:rPr>
        <w:t>parties</w:t>
      </w:r>
      <w:r w:rsidRPr="7260EB12">
        <w:rPr>
          <w:szCs w:val="22"/>
        </w:rPr>
        <w:t xml:space="preserve"> </w:t>
      </w:r>
      <w:r w:rsidR="00F3467A">
        <w:rPr>
          <w:szCs w:val="22"/>
        </w:rPr>
        <w:t>gradually increased</w:t>
      </w:r>
      <w:r w:rsidRPr="7260EB12">
        <w:rPr>
          <w:szCs w:val="22"/>
        </w:rPr>
        <w:t xml:space="preserve"> </w:t>
      </w:r>
      <w:r w:rsidR="0031622A">
        <w:rPr>
          <w:szCs w:val="22"/>
        </w:rPr>
        <w:t xml:space="preserve">over </w:t>
      </w:r>
      <w:r w:rsidRPr="00A3719C">
        <w:rPr>
          <w:szCs w:val="22"/>
        </w:rPr>
        <w:t>the mid-1990s</w:t>
      </w:r>
      <w:r w:rsidR="00363B8C">
        <w:rPr>
          <w:szCs w:val="22"/>
        </w:rPr>
        <w:t>.</w:t>
      </w:r>
      <w:r w:rsidR="00446D8A">
        <w:rPr>
          <w:szCs w:val="22"/>
        </w:rPr>
        <w:t xml:space="preserve"> </w:t>
      </w:r>
      <w:r w:rsidR="00622905">
        <w:rPr>
          <w:szCs w:val="22"/>
        </w:rPr>
        <w:t>Glob</w:t>
      </w:r>
      <w:r w:rsidR="001A0856">
        <w:rPr>
          <w:szCs w:val="22"/>
        </w:rPr>
        <w:t>al</w:t>
      </w:r>
      <w:r w:rsidR="00AE4975">
        <w:rPr>
          <w:szCs w:val="22"/>
        </w:rPr>
        <w:t xml:space="preserve"> </w:t>
      </w:r>
      <w:r w:rsidR="001A0856">
        <w:rPr>
          <w:szCs w:val="22"/>
        </w:rPr>
        <w:t>r</w:t>
      </w:r>
      <w:r w:rsidRPr="7260EB12">
        <w:rPr>
          <w:szCs w:val="22"/>
        </w:rPr>
        <w:t xml:space="preserve">eported production of CFC-11 peaked in 1987 at 434 </w:t>
      </w:r>
      <w:proofErr w:type="spellStart"/>
      <w:r w:rsidR="002D1378">
        <w:rPr>
          <w:szCs w:val="22"/>
        </w:rPr>
        <w:t>kilo</w:t>
      </w:r>
      <w:r w:rsidRPr="7260EB12">
        <w:rPr>
          <w:szCs w:val="22"/>
        </w:rPr>
        <w:t>tonnes</w:t>
      </w:r>
      <w:proofErr w:type="spellEnd"/>
      <w:r w:rsidRPr="7260EB12">
        <w:rPr>
          <w:szCs w:val="22"/>
        </w:rPr>
        <w:t xml:space="preserve"> in non-Article 5 </w:t>
      </w:r>
      <w:r w:rsidR="00AE0153">
        <w:rPr>
          <w:szCs w:val="22"/>
        </w:rPr>
        <w:t>parties</w:t>
      </w:r>
      <w:r w:rsidRPr="7260EB12">
        <w:rPr>
          <w:szCs w:val="22"/>
        </w:rPr>
        <w:t xml:space="preserve">, and in 1997 at </w:t>
      </w:r>
      <w:r w:rsidRPr="7260EB12">
        <w:rPr>
          <w:szCs w:val="22"/>
          <w:lang w:val="en-AU"/>
        </w:rPr>
        <w:t xml:space="preserve">46 </w:t>
      </w:r>
      <w:proofErr w:type="spellStart"/>
      <w:r w:rsidR="002D1378">
        <w:rPr>
          <w:szCs w:val="22"/>
          <w:lang w:val="en-AU"/>
        </w:rPr>
        <w:t>kilo</w:t>
      </w:r>
      <w:r w:rsidRPr="7260EB12">
        <w:rPr>
          <w:szCs w:val="22"/>
          <w:lang w:val="en-AU"/>
        </w:rPr>
        <w:t>tonnes</w:t>
      </w:r>
      <w:proofErr w:type="spellEnd"/>
      <w:r w:rsidRPr="7260EB12">
        <w:rPr>
          <w:szCs w:val="22"/>
          <w:lang w:val="en-AU"/>
        </w:rPr>
        <w:t xml:space="preserve"> in Article 5 </w:t>
      </w:r>
      <w:r w:rsidR="00AE0153">
        <w:rPr>
          <w:szCs w:val="22"/>
          <w:lang w:val="en-AU"/>
        </w:rPr>
        <w:t>parties</w:t>
      </w:r>
      <w:r w:rsidRPr="7260EB12">
        <w:rPr>
          <w:szCs w:val="22"/>
          <w:lang w:val="en-AU"/>
        </w:rPr>
        <w:t>. Complete phase</w:t>
      </w:r>
      <w:r w:rsidR="00103BFE">
        <w:rPr>
          <w:szCs w:val="22"/>
          <w:lang w:val="en-AU"/>
        </w:rPr>
        <w:t>-</w:t>
      </w:r>
      <w:r w:rsidRPr="7260EB12">
        <w:rPr>
          <w:szCs w:val="22"/>
          <w:lang w:val="en-AU"/>
        </w:rPr>
        <w:t xml:space="preserve">out of CFC-11 production </w:t>
      </w:r>
      <w:r w:rsidR="00B8789B">
        <w:rPr>
          <w:szCs w:val="22"/>
          <w:lang w:val="en-AU"/>
        </w:rPr>
        <w:t>and consumption were</w:t>
      </w:r>
      <w:r w:rsidRPr="7260EB12">
        <w:rPr>
          <w:szCs w:val="22"/>
          <w:lang w:val="en-AU"/>
        </w:rPr>
        <w:t xml:space="preserve"> mandated </w:t>
      </w:r>
      <w:r w:rsidR="00680026">
        <w:rPr>
          <w:szCs w:val="22"/>
        </w:rPr>
        <w:t>by</w:t>
      </w:r>
      <w:r w:rsidR="00680026" w:rsidRPr="7260EB12">
        <w:rPr>
          <w:szCs w:val="22"/>
        </w:rPr>
        <w:t xml:space="preserve"> </w:t>
      </w:r>
      <w:r w:rsidRPr="7260EB12">
        <w:rPr>
          <w:szCs w:val="22"/>
        </w:rPr>
        <w:t xml:space="preserve">1996 in non-Article 5 parties and </w:t>
      </w:r>
      <w:r w:rsidR="00680026">
        <w:rPr>
          <w:szCs w:val="22"/>
        </w:rPr>
        <w:t>by</w:t>
      </w:r>
      <w:r w:rsidR="00680026" w:rsidRPr="7260EB12">
        <w:rPr>
          <w:szCs w:val="22"/>
        </w:rPr>
        <w:t xml:space="preserve"> </w:t>
      </w:r>
      <w:r w:rsidRPr="7260EB12">
        <w:rPr>
          <w:szCs w:val="22"/>
        </w:rPr>
        <w:t>2010 in Article 5 parties.</w:t>
      </w:r>
    </w:p>
    <w:p w14:paraId="3A8D2BB0" w14:textId="4CDABAA8" w:rsidR="00B8699E" w:rsidRDefault="0075529E" w:rsidP="00751ECE">
      <w:pPr>
        <w:pStyle w:val="Heading2"/>
      </w:pPr>
      <w:bookmarkStart w:id="144" w:name="_Toc73045601"/>
      <w:r>
        <w:t>2.3</w:t>
      </w:r>
      <w:r>
        <w:tab/>
        <w:t xml:space="preserve">Model assumptions for </w:t>
      </w:r>
      <w:r w:rsidR="00B8699E">
        <w:t>CFC-11 market sectors</w:t>
      </w:r>
      <w:r w:rsidR="00396B4D">
        <w:t xml:space="preserve"> and production</w:t>
      </w:r>
      <w:bookmarkEnd w:id="144"/>
    </w:p>
    <w:p w14:paraId="072603BD" w14:textId="37458B3A" w:rsidR="00761579" w:rsidRDefault="00761579" w:rsidP="00761579">
      <w:pPr>
        <w:rPr>
          <w:lang w:val="en-AU"/>
        </w:rPr>
      </w:pPr>
      <w:r w:rsidRPr="70005DF7">
        <w:rPr>
          <w:lang w:val="en-AU"/>
        </w:rPr>
        <w:t xml:space="preserve">The following section provides a short overview of each of the CFC-11 market sectors, which is important information for establishing inputs and parameters for the </w:t>
      </w:r>
      <w:r w:rsidR="0097547F">
        <w:rPr>
          <w:lang w:val="en-AU"/>
        </w:rPr>
        <w:t>inventory-based</w:t>
      </w:r>
      <w:r w:rsidR="004F6934">
        <w:rPr>
          <w:lang w:val="en-AU"/>
        </w:rPr>
        <w:t xml:space="preserve"> </w:t>
      </w:r>
      <w:r w:rsidRPr="70005DF7">
        <w:rPr>
          <w:lang w:val="en-AU"/>
        </w:rPr>
        <w:t>model. For this report, the Task Force refined the model using a Weibull distribution</w:t>
      </w:r>
      <w:r w:rsidR="00047528">
        <w:rPr>
          <w:rStyle w:val="FootnoteReference"/>
          <w:lang w:val="en-AU"/>
        </w:rPr>
        <w:footnoteReference w:id="46"/>
      </w:r>
      <w:r w:rsidRPr="70005DF7">
        <w:rPr>
          <w:lang w:val="en-AU"/>
        </w:rPr>
        <w:t xml:space="preserve"> </w:t>
      </w:r>
      <w:r w:rsidR="006526AC">
        <w:rPr>
          <w:lang w:val="en-AU"/>
        </w:rPr>
        <w:t>(</w:t>
      </w:r>
      <w:r w:rsidR="006526AC" w:rsidRPr="00A3719C">
        <w:rPr>
          <w:lang w:val="en-AU"/>
        </w:rPr>
        <w:t xml:space="preserve">Appendix </w:t>
      </w:r>
      <w:r w:rsidR="003C44BE" w:rsidRPr="00A3719C">
        <w:rPr>
          <w:lang w:val="en-AU"/>
        </w:rPr>
        <w:t>3</w:t>
      </w:r>
      <w:r w:rsidR="006526AC" w:rsidRPr="00A3719C">
        <w:rPr>
          <w:lang w:val="en-AU"/>
        </w:rPr>
        <w:t>)</w:t>
      </w:r>
      <w:r w:rsidRPr="70005DF7">
        <w:rPr>
          <w:lang w:val="en-AU"/>
        </w:rPr>
        <w:t xml:space="preserve"> to better represent varying chiller </w:t>
      </w:r>
      <w:r w:rsidRPr="247A4AD4">
        <w:rPr>
          <w:lang w:val="en-AU"/>
        </w:rPr>
        <w:t xml:space="preserve">and foam </w:t>
      </w:r>
      <w:r w:rsidRPr="70005DF7">
        <w:rPr>
          <w:lang w:val="en-AU"/>
        </w:rPr>
        <w:t xml:space="preserve">lifetimes rather than </w:t>
      </w:r>
      <w:r w:rsidR="004016C6">
        <w:rPr>
          <w:lang w:val="en-AU"/>
        </w:rPr>
        <w:t xml:space="preserve">using </w:t>
      </w:r>
      <w:r w:rsidRPr="70005DF7">
        <w:rPr>
          <w:lang w:val="en-AU"/>
        </w:rPr>
        <w:t xml:space="preserve">average </w:t>
      </w:r>
      <w:r w:rsidR="00154C03">
        <w:rPr>
          <w:lang w:val="en-AU"/>
        </w:rPr>
        <w:lastRenderedPageBreak/>
        <w:t>lifetime</w:t>
      </w:r>
      <w:r w:rsidR="00DD7CCD">
        <w:rPr>
          <w:lang w:val="en-AU"/>
        </w:rPr>
        <w:t>s</w:t>
      </w:r>
      <w:r>
        <w:rPr>
          <w:lang w:val="en-AU"/>
        </w:rPr>
        <w:t xml:space="preserve">, which </w:t>
      </w:r>
      <w:r w:rsidR="00FC06A3">
        <w:rPr>
          <w:lang w:val="en-AU"/>
        </w:rPr>
        <w:t xml:space="preserve">were </w:t>
      </w:r>
      <w:r w:rsidRPr="70005DF7">
        <w:rPr>
          <w:lang w:val="en-AU"/>
        </w:rPr>
        <w:t>used</w:t>
      </w:r>
      <w:r>
        <w:rPr>
          <w:lang w:val="en-AU"/>
        </w:rPr>
        <w:t xml:space="preserve"> in the model </w:t>
      </w:r>
      <w:r w:rsidR="00FC06A3">
        <w:rPr>
          <w:lang w:val="en-AU"/>
        </w:rPr>
        <w:t>for</w:t>
      </w:r>
      <w:r>
        <w:rPr>
          <w:lang w:val="en-AU"/>
        </w:rPr>
        <w:t xml:space="preserve"> the </w:t>
      </w:r>
      <w:r w:rsidR="00C57B81">
        <w:rPr>
          <w:lang w:val="en-AU"/>
        </w:rPr>
        <w:t>2019 Task Force R</w:t>
      </w:r>
      <w:r>
        <w:rPr>
          <w:lang w:val="en-AU"/>
        </w:rPr>
        <w:t>eport</w:t>
      </w:r>
      <w:r w:rsidR="00C57B81">
        <w:rPr>
          <w:rStyle w:val="FootnoteReference"/>
          <w:lang w:val="en-AU"/>
        </w:rPr>
        <w:footnoteReference w:id="47"/>
      </w:r>
      <w:r w:rsidRPr="70005DF7">
        <w:rPr>
          <w:lang w:val="en-AU"/>
        </w:rPr>
        <w:t>. The model also incorporates new information regarding refrigerant management practices</w:t>
      </w:r>
      <w:r w:rsidR="0096491C">
        <w:rPr>
          <w:lang w:val="en-AU"/>
        </w:rPr>
        <w:t>,</w:t>
      </w:r>
      <w:r w:rsidRPr="70005DF7">
        <w:rPr>
          <w:lang w:val="en-AU"/>
        </w:rPr>
        <w:t xml:space="preserve"> especially with respect to reclaimed refrigerant</w:t>
      </w:r>
      <w:r>
        <w:rPr>
          <w:lang w:val="en-AU"/>
        </w:rPr>
        <w:t>.</w:t>
      </w:r>
    </w:p>
    <w:p w14:paraId="54ECBA20" w14:textId="377D2206" w:rsidR="0075529E" w:rsidRDefault="0075529E" w:rsidP="00751ECE">
      <w:pPr>
        <w:pStyle w:val="Heading3"/>
        <w:rPr>
          <w:iCs/>
        </w:rPr>
      </w:pPr>
      <w:bookmarkStart w:id="145" w:name="_Toc73045602"/>
      <w:r>
        <w:t>2.3.1</w:t>
      </w:r>
      <w:r>
        <w:tab/>
      </w:r>
      <w:r w:rsidR="7260EB12" w:rsidRPr="7260EB12">
        <w:t>Centrifugal chillers</w:t>
      </w:r>
      <w:bookmarkEnd w:id="145"/>
    </w:p>
    <w:p w14:paraId="4859B14F" w14:textId="1ABFC54C" w:rsidR="002313D4" w:rsidRDefault="7260EB12" w:rsidP="474DAC91">
      <w:pPr>
        <w:rPr>
          <w:lang w:val="en-AU"/>
        </w:rPr>
      </w:pPr>
      <w:r w:rsidRPr="2270424A">
        <w:rPr>
          <w:lang w:val="en-AU"/>
        </w:rPr>
        <w:t>CFC-11 was extensively used as a refrigerant in large, water-cooled centrifugal chillers (referred to as R/AC in previous reports</w:t>
      </w:r>
      <w:r w:rsidR="474DAC91" w:rsidRPr="474DAC91">
        <w:rPr>
          <w:lang w:val="en-AU"/>
        </w:rPr>
        <w:t>)</w:t>
      </w:r>
      <w:r w:rsidR="008C252E">
        <w:rPr>
          <w:lang w:val="en-AU"/>
        </w:rPr>
        <w:t>.</w:t>
      </w:r>
      <w:r w:rsidR="474DAC91" w:rsidRPr="474DAC91">
        <w:rPr>
          <w:lang w:val="en-AU"/>
        </w:rPr>
        <w:t xml:space="preserve"> Approximately 80-90% of centrifugal chillers in the 1970s and 1980s used CFC-11</w:t>
      </w:r>
      <w:r w:rsidR="00D24B2C">
        <w:rPr>
          <w:rStyle w:val="FootnoteReference"/>
          <w:lang w:val="en-AU"/>
        </w:rPr>
        <w:footnoteReference w:id="48"/>
      </w:r>
      <w:r w:rsidR="474DAC91" w:rsidRPr="474DAC91">
        <w:rPr>
          <w:lang w:val="en-AU"/>
        </w:rPr>
        <w:t>.</w:t>
      </w:r>
      <w:r w:rsidRPr="2270424A">
        <w:rPr>
          <w:lang w:val="en-AU"/>
        </w:rPr>
        <w:t xml:space="preserve"> They have historically been over-designed, well-engineered equipment. </w:t>
      </w:r>
      <w:r w:rsidR="006B0B25">
        <w:rPr>
          <w:lang w:val="en-AU"/>
        </w:rPr>
        <w:t>Chillers repr</w:t>
      </w:r>
      <w:r w:rsidR="00D01BAC">
        <w:rPr>
          <w:lang w:val="en-AU"/>
        </w:rPr>
        <w:t>esent a significant capital investment</w:t>
      </w:r>
      <w:r w:rsidRPr="2270424A">
        <w:rPr>
          <w:lang w:val="en-AU"/>
        </w:rPr>
        <w:t xml:space="preserve"> and difficult to access as they were often installed in second basements</w:t>
      </w:r>
      <w:r w:rsidR="003458E3">
        <w:rPr>
          <w:lang w:val="en-AU"/>
        </w:rPr>
        <w:t xml:space="preserve"> in North America</w:t>
      </w:r>
      <w:r w:rsidRPr="2270424A">
        <w:rPr>
          <w:lang w:val="en-AU"/>
        </w:rPr>
        <w:t xml:space="preserve">. </w:t>
      </w:r>
      <w:r w:rsidR="00D01BAC">
        <w:rPr>
          <w:lang w:val="en-AU"/>
        </w:rPr>
        <w:t xml:space="preserve">As a result, </w:t>
      </w:r>
      <w:r w:rsidR="003458E3">
        <w:rPr>
          <w:lang w:val="en-AU"/>
        </w:rPr>
        <w:t xml:space="preserve">they have </w:t>
      </w:r>
      <w:r w:rsidR="0081440D">
        <w:rPr>
          <w:lang w:val="en-AU"/>
        </w:rPr>
        <w:t xml:space="preserve">been </w:t>
      </w:r>
      <w:r w:rsidR="003458E3">
        <w:rPr>
          <w:lang w:val="en-AU"/>
        </w:rPr>
        <w:t xml:space="preserve">largely well-maintained, and there are still chillers in service </w:t>
      </w:r>
      <w:r w:rsidR="00A45BE9">
        <w:rPr>
          <w:lang w:val="en-AU"/>
        </w:rPr>
        <w:t xml:space="preserve">using CFC-11 today. </w:t>
      </w:r>
    </w:p>
    <w:p w14:paraId="3B2E7898" w14:textId="36EE4675" w:rsidR="002313D4" w:rsidRPr="00E63512" w:rsidRDefault="474DAC91" w:rsidP="7260EB12">
      <w:pPr>
        <w:rPr>
          <w:lang w:val="en-AU"/>
        </w:rPr>
      </w:pPr>
      <w:r w:rsidRPr="474DAC91">
        <w:rPr>
          <w:lang w:val="en-AU"/>
        </w:rPr>
        <w:t>Centrifugal chillers leak</w:t>
      </w:r>
      <w:r w:rsidR="2270424A" w:rsidRPr="2270424A">
        <w:rPr>
          <w:lang w:val="en-AU"/>
        </w:rPr>
        <w:t xml:space="preserve"> very little</w:t>
      </w:r>
      <w:r w:rsidR="7260EB12" w:rsidRPr="2270424A">
        <w:rPr>
          <w:lang w:val="en-AU"/>
        </w:rPr>
        <w:t xml:space="preserve"> during operation </w:t>
      </w:r>
      <w:r w:rsidR="2270424A" w:rsidRPr="2270424A">
        <w:rPr>
          <w:lang w:val="en-AU"/>
        </w:rPr>
        <w:t>(</w:t>
      </w:r>
      <w:r w:rsidR="7260EB12" w:rsidRPr="2270424A">
        <w:rPr>
          <w:lang w:val="en-AU"/>
        </w:rPr>
        <w:t>0.5%-2% of their refrigerant charge per year</w:t>
      </w:r>
      <w:r w:rsidR="2270424A" w:rsidRPr="2270424A">
        <w:rPr>
          <w:lang w:val="en-AU"/>
        </w:rPr>
        <w:t>).</w:t>
      </w:r>
      <w:r w:rsidR="7260EB12" w:rsidRPr="2270424A">
        <w:rPr>
          <w:lang w:val="en-AU"/>
        </w:rPr>
        <w:t xml:space="preserve"> </w:t>
      </w:r>
      <w:r w:rsidR="00F22799">
        <w:rPr>
          <w:rFonts w:eastAsia="Times New Roman"/>
        </w:rPr>
        <w:t>An</w:t>
      </w:r>
      <w:r w:rsidR="00C359A3">
        <w:rPr>
          <w:rFonts w:eastAsia="Times New Roman"/>
        </w:rPr>
        <w:t xml:space="preserve"> operating chiller evaporator temperature </w:t>
      </w:r>
      <w:r w:rsidR="00BE418A">
        <w:rPr>
          <w:rFonts w:eastAsia="Times New Roman"/>
        </w:rPr>
        <w:t xml:space="preserve">would </w:t>
      </w:r>
      <w:r w:rsidR="00C359A3">
        <w:rPr>
          <w:rFonts w:eastAsia="Times New Roman"/>
        </w:rPr>
        <w:t xml:space="preserve">be </w:t>
      </w:r>
      <w:r w:rsidR="00BE418A">
        <w:rPr>
          <w:rFonts w:eastAsia="Times New Roman"/>
        </w:rPr>
        <w:t>approximately</w:t>
      </w:r>
      <w:r w:rsidR="00C359A3">
        <w:rPr>
          <w:rFonts w:eastAsia="Times New Roman"/>
        </w:rPr>
        <w:t xml:space="preserve"> 0-5</w:t>
      </w:r>
      <w:r w:rsidR="00C359A3">
        <w:rPr>
          <w:rFonts w:eastAsia="Times New Roman"/>
          <w:vertAlign w:val="superscript"/>
        </w:rPr>
        <w:t>o</w:t>
      </w:r>
      <w:r w:rsidR="00C359A3">
        <w:rPr>
          <w:rFonts w:eastAsia="Times New Roman"/>
        </w:rPr>
        <w:t>C</w:t>
      </w:r>
      <w:r w:rsidR="008D302E">
        <w:rPr>
          <w:rFonts w:eastAsia="Times New Roman"/>
        </w:rPr>
        <w:t xml:space="preserve"> indicating</w:t>
      </w:r>
      <w:r w:rsidR="00C359A3">
        <w:rPr>
          <w:rFonts w:eastAsia="Times New Roman"/>
        </w:rPr>
        <w:t xml:space="preserve"> a CFC-11 pressure of 40-50 kPa (0.4-0.5 bar), which is below atmospheric pressure</w:t>
      </w:r>
      <w:r w:rsidR="00F411D0">
        <w:rPr>
          <w:rFonts w:eastAsia="Times New Roman"/>
        </w:rPr>
        <w:t>. W</w:t>
      </w:r>
      <w:r w:rsidR="00C359A3">
        <w:rPr>
          <w:rFonts w:eastAsia="Times New Roman"/>
        </w:rPr>
        <w:t>ith the inside evaporator remaining below atmospheric pressure, the smallest opening would result in air leaking into the evaporator instead of CFC-11 refrigerant leaking out of the system</w:t>
      </w:r>
      <w:r w:rsidR="00D4428E">
        <w:rPr>
          <w:rStyle w:val="FootnoteReference"/>
          <w:rFonts w:eastAsia="Times New Roman"/>
        </w:rPr>
        <w:footnoteReference w:id="49"/>
      </w:r>
      <w:r w:rsidR="00C359A3">
        <w:rPr>
          <w:rFonts w:eastAsia="Times New Roman"/>
        </w:rPr>
        <w:t>.</w:t>
      </w:r>
    </w:p>
    <w:p w14:paraId="5AE8B740" w14:textId="037BA2E9" w:rsidR="00BD0DC8" w:rsidRDefault="7260EB12" w:rsidP="7260EB12">
      <w:pPr>
        <w:ind w:firstLine="720"/>
        <w:rPr>
          <w:lang w:val="en-AU"/>
        </w:rPr>
      </w:pPr>
      <w:r w:rsidRPr="474DAC91">
        <w:rPr>
          <w:i/>
          <w:lang w:val="en-AU"/>
        </w:rPr>
        <w:t>Technology adoption</w:t>
      </w:r>
      <w:r w:rsidR="474DAC91" w:rsidRPr="474DAC91">
        <w:rPr>
          <w:i/>
          <w:iCs/>
          <w:lang w:val="en-AU"/>
        </w:rPr>
        <w:t>—</w:t>
      </w:r>
      <w:r w:rsidRPr="474DAC91">
        <w:rPr>
          <w:lang w:val="en-AU"/>
        </w:rPr>
        <w:t xml:space="preserve"> The use of CFC-11 in </w:t>
      </w:r>
      <w:r w:rsidR="00AB6412">
        <w:rPr>
          <w:lang w:val="en-AU"/>
        </w:rPr>
        <w:t>centrifugal</w:t>
      </w:r>
      <w:r w:rsidRPr="474DAC91">
        <w:rPr>
          <w:lang w:val="en-AU"/>
        </w:rPr>
        <w:t xml:space="preserve"> </w:t>
      </w:r>
      <w:r w:rsidR="474DAC91" w:rsidRPr="474DAC91">
        <w:rPr>
          <w:lang w:val="en-AU"/>
        </w:rPr>
        <w:t>chillers</w:t>
      </w:r>
      <w:r w:rsidRPr="474DAC91">
        <w:rPr>
          <w:lang w:val="en-AU"/>
        </w:rPr>
        <w:t xml:space="preserve"> commenced in the mid-1930s and peaked in the late 1980</w:t>
      </w:r>
      <w:r w:rsidR="006E1545" w:rsidRPr="474DAC91">
        <w:rPr>
          <w:lang w:val="en-AU"/>
        </w:rPr>
        <w:t>s.</w:t>
      </w:r>
      <w:r w:rsidRPr="474DAC91">
        <w:rPr>
          <w:lang w:val="en-AU"/>
        </w:rPr>
        <w:t xml:space="preserve"> For </w:t>
      </w:r>
      <w:r w:rsidR="006E1545" w:rsidRPr="474DAC91">
        <w:rPr>
          <w:lang w:val="en-AU"/>
        </w:rPr>
        <w:t xml:space="preserve">many </w:t>
      </w:r>
      <w:r w:rsidRPr="474DAC91">
        <w:rPr>
          <w:lang w:val="en-AU"/>
        </w:rPr>
        <w:t xml:space="preserve">years, </w:t>
      </w:r>
      <w:r w:rsidR="006B3999">
        <w:rPr>
          <w:lang w:val="en-AU"/>
        </w:rPr>
        <w:t xml:space="preserve">the vast majority of </w:t>
      </w:r>
      <w:r w:rsidRPr="474DAC91">
        <w:rPr>
          <w:lang w:val="en-AU"/>
        </w:rPr>
        <w:t>most CFC-11 chillers were manufactured and installed in North America and Japan</w:t>
      </w:r>
      <w:r w:rsidR="00156302">
        <w:rPr>
          <w:rStyle w:val="FootnoteReference"/>
          <w:lang w:val="en-AU"/>
        </w:rPr>
        <w:footnoteReference w:id="50"/>
      </w:r>
      <w:r w:rsidR="00E300D6">
        <w:rPr>
          <w:lang w:val="en-AU"/>
        </w:rPr>
        <w:t>.</w:t>
      </w:r>
      <w:r w:rsidRPr="474DAC91">
        <w:rPr>
          <w:lang w:val="en-AU"/>
        </w:rPr>
        <w:t xml:space="preserve"> Installation of </w:t>
      </w:r>
      <w:r w:rsidR="007A3C3B">
        <w:rPr>
          <w:lang w:val="en-AU"/>
        </w:rPr>
        <w:t>centrifugal</w:t>
      </w:r>
      <w:r w:rsidRPr="474DAC91">
        <w:rPr>
          <w:lang w:val="en-AU"/>
        </w:rPr>
        <w:t xml:space="preserve"> chillers in the </w:t>
      </w:r>
      <w:r w:rsidR="00827DF2">
        <w:rPr>
          <w:lang w:val="en-AU"/>
        </w:rPr>
        <w:t>United States</w:t>
      </w:r>
      <w:r w:rsidRPr="474DAC91">
        <w:rPr>
          <w:lang w:val="en-AU"/>
        </w:rPr>
        <w:t xml:space="preserve"> and Canada peaked between 1980-1989, whereas exports from </w:t>
      </w:r>
      <w:r w:rsidR="002D4DEE">
        <w:rPr>
          <w:lang w:val="en-AU"/>
        </w:rPr>
        <w:t xml:space="preserve">the United States </w:t>
      </w:r>
      <w:r w:rsidRPr="474DAC91">
        <w:rPr>
          <w:lang w:val="en-AU"/>
        </w:rPr>
        <w:t xml:space="preserve">expanded in the 1990s. </w:t>
      </w:r>
      <w:r w:rsidR="004C42AF">
        <w:rPr>
          <w:lang w:val="en-AU"/>
        </w:rPr>
        <w:t>United States’</w:t>
      </w:r>
      <w:r w:rsidRPr="474DAC91">
        <w:rPr>
          <w:lang w:val="en-AU"/>
        </w:rPr>
        <w:t xml:space="preserve"> manufacturers started switching their production lines to alternative refrigerants around 1992. More than 90% of total CFC-11 chiller production ceased around 1996. </w:t>
      </w:r>
    </w:p>
    <w:p w14:paraId="65447597" w14:textId="3925854F" w:rsidR="00931DF3" w:rsidRDefault="001B43E5" w:rsidP="00BD0DC8">
      <w:pPr>
        <w:rPr>
          <w:lang w:val="en-AU"/>
        </w:rPr>
      </w:pPr>
      <w:r>
        <w:rPr>
          <w:lang w:val="en-AU"/>
        </w:rPr>
        <w:t>Some chillers were shipped to other regions</w:t>
      </w:r>
      <w:r>
        <w:rPr>
          <w:rStyle w:val="FootnoteReference"/>
          <w:lang w:val="en-AU"/>
        </w:rPr>
        <w:footnoteReference w:id="51"/>
      </w:r>
      <w:r w:rsidR="000C6407">
        <w:rPr>
          <w:lang w:val="en-AU"/>
        </w:rPr>
        <w:t>; however, n</w:t>
      </w:r>
      <w:r w:rsidRPr="474DAC91">
        <w:rPr>
          <w:lang w:val="en-AU"/>
        </w:rPr>
        <w:t xml:space="preserve">ot all countries around the world adopted this technology. </w:t>
      </w:r>
      <w:r w:rsidR="00060A1D" w:rsidRPr="474DAC91">
        <w:rPr>
          <w:lang w:val="en-AU"/>
        </w:rPr>
        <w:t>CFC-11 chillers did not become popular in Europe and the few that existed were</w:t>
      </w:r>
      <w:r w:rsidR="0071721A">
        <w:rPr>
          <w:lang w:val="en-AU"/>
        </w:rPr>
        <w:t xml:space="preserve"> generally retrofitted</w:t>
      </w:r>
      <w:r w:rsidR="00060A1D" w:rsidRPr="474DAC91">
        <w:rPr>
          <w:lang w:val="en-AU"/>
        </w:rPr>
        <w:t xml:space="preserve"> to other refrigerants </w:t>
      </w:r>
      <w:r w:rsidR="00F11A5E">
        <w:rPr>
          <w:lang w:val="en-AU"/>
        </w:rPr>
        <w:t>years ago</w:t>
      </w:r>
      <w:r w:rsidR="00703FB1">
        <w:rPr>
          <w:rStyle w:val="FootnoteReference"/>
          <w:lang w:val="en-AU"/>
        </w:rPr>
        <w:footnoteReference w:id="52"/>
      </w:r>
      <w:r w:rsidR="00060A1D" w:rsidRPr="474DAC91">
        <w:rPr>
          <w:lang w:val="en-AU"/>
        </w:rPr>
        <w:t xml:space="preserve">. </w:t>
      </w:r>
    </w:p>
    <w:p w14:paraId="342F7A21" w14:textId="67B723A7" w:rsidR="002313D4" w:rsidRPr="00E63512" w:rsidRDefault="7260EB12" w:rsidP="00043208">
      <w:r w:rsidRPr="474DAC91">
        <w:rPr>
          <w:lang w:val="en-AU"/>
        </w:rPr>
        <w:t>Article</w:t>
      </w:r>
      <w:r w:rsidR="001C2574" w:rsidRPr="474DAC91">
        <w:rPr>
          <w:lang w:val="en-AU"/>
        </w:rPr>
        <w:t xml:space="preserve"> </w:t>
      </w:r>
      <w:r w:rsidRPr="474DAC91">
        <w:rPr>
          <w:lang w:val="en-AU"/>
        </w:rPr>
        <w:t>5</w:t>
      </w:r>
      <w:r w:rsidRPr="474DAC91" w:rsidDel="00230020">
        <w:rPr>
          <w:lang w:val="en-AU"/>
        </w:rPr>
        <w:t xml:space="preserve"> </w:t>
      </w:r>
      <w:r w:rsidR="00230020" w:rsidRPr="474DAC91">
        <w:rPr>
          <w:lang w:val="en-AU"/>
        </w:rPr>
        <w:t xml:space="preserve">parties </w:t>
      </w:r>
      <w:r w:rsidRPr="474DAC91">
        <w:rPr>
          <w:lang w:val="en-AU"/>
        </w:rPr>
        <w:t xml:space="preserve">represent a much smaller fraction of the CFC-11 chiller market. </w:t>
      </w:r>
      <w:r w:rsidR="00A775DD">
        <w:rPr>
          <w:lang w:val="en-AU"/>
        </w:rPr>
        <w:t>E</w:t>
      </w:r>
      <w:r w:rsidRPr="474DAC91">
        <w:rPr>
          <w:lang w:val="en-AU"/>
        </w:rPr>
        <w:t xml:space="preserve">quipment manufacturers </w:t>
      </w:r>
      <w:r w:rsidR="00A775DD">
        <w:rPr>
          <w:lang w:val="en-AU"/>
        </w:rPr>
        <w:t xml:space="preserve">in China </w:t>
      </w:r>
      <w:r w:rsidRPr="474DAC91">
        <w:rPr>
          <w:lang w:val="en-AU"/>
        </w:rPr>
        <w:t>started producing CFC-11 chillers in the 1960s and 1970s</w:t>
      </w:r>
      <w:r w:rsidR="474DAC91" w:rsidRPr="474DAC91">
        <w:rPr>
          <w:lang w:val="en-AU"/>
        </w:rPr>
        <w:t>.</w:t>
      </w:r>
      <w:r w:rsidRPr="474DAC91" w:rsidDel="00F23A39">
        <w:rPr>
          <w:lang w:val="en-AU"/>
        </w:rPr>
        <w:t xml:space="preserve"> </w:t>
      </w:r>
      <w:r w:rsidR="000078E5" w:rsidRPr="474DAC91">
        <w:rPr>
          <w:lang w:val="en-AU"/>
        </w:rPr>
        <w:t xml:space="preserve">Some CFC-11 chillers were installed in the Middle East and Asia where it is likely that a few are still running. </w:t>
      </w:r>
      <w:r w:rsidR="00C75DEF">
        <w:rPr>
          <w:lang w:val="en-AU"/>
        </w:rPr>
        <w:t>Most c</w:t>
      </w:r>
      <w:r w:rsidR="00EC011C">
        <w:rPr>
          <w:lang w:val="en-AU"/>
        </w:rPr>
        <w:t xml:space="preserve">ountries in </w:t>
      </w:r>
      <w:r w:rsidR="000078E5" w:rsidRPr="474DAC91">
        <w:rPr>
          <w:lang w:val="en-AU"/>
        </w:rPr>
        <w:t xml:space="preserve">Latin America </w:t>
      </w:r>
      <w:r w:rsidR="000078E5" w:rsidRPr="474DAC91" w:rsidDel="00C971E4">
        <w:rPr>
          <w:lang w:val="en-AU"/>
        </w:rPr>
        <w:t>largely</w:t>
      </w:r>
      <w:r w:rsidR="000078E5" w:rsidRPr="474DAC91" w:rsidDel="00C75DEF">
        <w:rPr>
          <w:lang w:val="en-AU"/>
        </w:rPr>
        <w:t xml:space="preserve"> </w:t>
      </w:r>
      <w:r w:rsidR="000078E5" w:rsidRPr="474DAC91">
        <w:rPr>
          <w:lang w:val="en-AU"/>
        </w:rPr>
        <w:t xml:space="preserve">adopted air-cooled technologies instead </w:t>
      </w:r>
      <w:r w:rsidR="000078E5" w:rsidRPr="474DAC91">
        <w:rPr>
          <w:lang w:val="en-AU"/>
        </w:rPr>
        <w:lastRenderedPageBreak/>
        <w:t>of CFC-11 centrifugal chillers.</w:t>
      </w:r>
      <w:r w:rsidR="00EC011C">
        <w:rPr>
          <w:lang w:val="en-AU"/>
        </w:rPr>
        <w:t xml:space="preserve"> </w:t>
      </w:r>
      <w:r w:rsidR="0024215F">
        <w:rPr>
          <w:lang w:val="en-AU"/>
        </w:rPr>
        <w:t>Brazil</w:t>
      </w:r>
      <w:r w:rsidR="00256DED">
        <w:rPr>
          <w:lang w:val="en-AU"/>
        </w:rPr>
        <w:t>, nevertheless,</w:t>
      </w:r>
      <w:r w:rsidR="0024215F">
        <w:rPr>
          <w:lang w:val="en-AU"/>
        </w:rPr>
        <w:t xml:space="preserve"> ha</w:t>
      </w:r>
      <w:r w:rsidR="00C971E4">
        <w:rPr>
          <w:lang w:val="en-AU"/>
        </w:rPr>
        <w:t>d</w:t>
      </w:r>
      <w:r w:rsidR="0024215F">
        <w:rPr>
          <w:lang w:val="en-AU"/>
        </w:rPr>
        <w:t xml:space="preserve"> a significant inventory of CFC-11 centrifugal chillers</w:t>
      </w:r>
      <w:r w:rsidR="003E24C9">
        <w:rPr>
          <w:rStyle w:val="FootnoteReference"/>
          <w:lang w:val="en-AU"/>
        </w:rPr>
        <w:footnoteReference w:id="53"/>
      </w:r>
      <w:r w:rsidR="000E23DA">
        <w:rPr>
          <w:lang w:val="en-AU"/>
        </w:rPr>
        <w:t>.</w:t>
      </w:r>
    </w:p>
    <w:p w14:paraId="1A000EB1" w14:textId="3FA2000D" w:rsidR="002313D4" w:rsidRPr="00E63512" w:rsidRDefault="00265585" w:rsidP="7260EB12">
      <w:r>
        <w:rPr>
          <w:lang w:val="en-AU"/>
        </w:rPr>
        <w:t>Procedures were developed to convert</w:t>
      </w:r>
      <w:r w:rsidRPr="78800E4B">
        <w:rPr>
          <w:lang w:val="en-AU"/>
        </w:rPr>
        <w:t xml:space="preserve"> </w:t>
      </w:r>
      <w:r w:rsidR="7260EB12" w:rsidRPr="78800E4B">
        <w:rPr>
          <w:lang w:val="en-AU"/>
        </w:rPr>
        <w:t xml:space="preserve">CFC-11 chillers to </w:t>
      </w:r>
      <w:r w:rsidR="474DAC91" w:rsidRPr="474DAC91">
        <w:rPr>
          <w:lang w:val="en-AU"/>
        </w:rPr>
        <w:t>HCFC</w:t>
      </w:r>
      <w:r w:rsidR="7260EB12" w:rsidRPr="78800E4B">
        <w:rPr>
          <w:lang w:val="en-AU"/>
        </w:rPr>
        <w:t>-123, a low-pressure refrigerant with better energy performance</w:t>
      </w:r>
      <w:r w:rsidR="00C95A94" w:rsidRPr="78800E4B">
        <w:rPr>
          <w:lang w:val="en-AU"/>
        </w:rPr>
        <w:t>,</w:t>
      </w:r>
      <w:r w:rsidR="7260EB12" w:rsidRPr="78800E4B">
        <w:rPr>
          <w:lang w:val="en-AU"/>
        </w:rPr>
        <w:t xml:space="preserve"> </w:t>
      </w:r>
      <w:r w:rsidR="00721DD9">
        <w:rPr>
          <w:lang w:val="en-AU"/>
        </w:rPr>
        <w:t xml:space="preserve">which was </w:t>
      </w:r>
      <w:r w:rsidR="001E2221">
        <w:rPr>
          <w:lang w:val="en-AU"/>
        </w:rPr>
        <w:t>commercialized</w:t>
      </w:r>
      <w:r w:rsidR="7260EB12" w:rsidRPr="78800E4B">
        <w:rPr>
          <w:lang w:val="en-AU"/>
        </w:rPr>
        <w:t xml:space="preserve"> in the mid</w:t>
      </w:r>
      <w:r w:rsidR="00C95A94" w:rsidRPr="78800E4B">
        <w:rPr>
          <w:lang w:val="en-AU"/>
        </w:rPr>
        <w:t>-</w:t>
      </w:r>
      <w:r w:rsidR="7260EB12" w:rsidRPr="78800E4B">
        <w:rPr>
          <w:lang w:val="en-AU"/>
        </w:rPr>
        <w:t xml:space="preserve"> to late 1990s. </w:t>
      </w:r>
      <w:r w:rsidR="00C521CE">
        <w:rPr>
          <w:lang w:val="en-AU"/>
        </w:rPr>
        <w:t xml:space="preserve">Servicing companies estimated that </w:t>
      </w:r>
      <w:r w:rsidR="7260EB12" w:rsidRPr="78800E4B">
        <w:rPr>
          <w:lang w:val="en-AU"/>
        </w:rPr>
        <w:t xml:space="preserve">30,000-70,000 CFC-11 chillers were </w:t>
      </w:r>
      <w:r w:rsidR="004200FD" w:rsidRPr="78800E4B">
        <w:rPr>
          <w:lang w:val="en-AU"/>
        </w:rPr>
        <w:t>in</w:t>
      </w:r>
      <w:r w:rsidR="7260EB12" w:rsidRPr="78800E4B">
        <w:rPr>
          <w:lang w:val="en-AU"/>
        </w:rPr>
        <w:t xml:space="preserve"> </w:t>
      </w:r>
      <w:r w:rsidR="474DAC91" w:rsidRPr="474DAC91">
        <w:rPr>
          <w:lang w:val="en-AU"/>
        </w:rPr>
        <w:t>operation</w:t>
      </w:r>
      <w:r w:rsidR="7260EB12" w:rsidRPr="78800E4B">
        <w:rPr>
          <w:lang w:val="en-AU"/>
        </w:rPr>
        <w:t xml:space="preserve"> in the </w:t>
      </w:r>
      <w:r w:rsidR="004C42AF">
        <w:rPr>
          <w:lang w:val="en-AU"/>
        </w:rPr>
        <w:t>United States</w:t>
      </w:r>
      <w:r w:rsidR="7260EB12" w:rsidRPr="78800E4B">
        <w:rPr>
          <w:lang w:val="en-AU"/>
        </w:rPr>
        <w:t xml:space="preserve"> </w:t>
      </w:r>
      <w:r w:rsidR="0020398D">
        <w:rPr>
          <w:lang w:val="en-AU"/>
        </w:rPr>
        <w:t>in</w:t>
      </w:r>
      <w:r w:rsidR="7260EB12" w:rsidRPr="78800E4B">
        <w:rPr>
          <w:lang w:val="en-AU"/>
        </w:rPr>
        <w:t xml:space="preserve"> 1994-1996. </w:t>
      </w:r>
      <w:r w:rsidR="00793E8A">
        <w:rPr>
          <w:lang w:val="en-AU"/>
        </w:rPr>
        <w:t xml:space="preserve">They also </w:t>
      </w:r>
      <w:r w:rsidR="00B333F3">
        <w:rPr>
          <w:lang w:val="en-AU"/>
        </w:rPr>
        <w:t xml:space="preserve">note that </w:t>
      </w:r>
      <w:r w:rsidR="7260EB12" w:rsidRPr="78800E4B">
        <w:rPr>
          <w:lang w:val="en-AU"/>
        </w:rPr>
        <w:t xml:space="preserve">approximately 50% </w:t>
      </w:r>
      <w:r w:rsidR="00B333F3">
        <w:rPr>
          <w:lang w:val="en-AU"/>
        </w:rPr>
        <w:t>of CFC-11</w:t>
      </w:r>
      <w:r w:rsidR="7260EB12" w:rsidRPr="78800E4B">
        <w:rPr>
          <w:lang w:val="en-AU"/>
        </w:rPr>
        <w:t xml:space="preserve"> </w:t>
      </w:r>
      <w:r w:rsidR="00721DD9">
        <w:rPr>
          <w:lang w:val="en-AU"/>
        </w:rPr>
        <w:t xml:space="preserve">chillers </w:t>
      </w:r>
      <w:r w:rsidR="7260EB12" w:rsidRPr="78800E4B">
        <w:rPr>
          <w:lang w:val="en-AU"/>
        </w:rPr>
        <w:t xml:space="preserve">were converted to </w:t>
      </w:r>
      <w:r w:rsidR="003433EC">
        <w:rPr>
          <w:lang w:val="en-AU"/>
        </w:rPr>
        <w:t>HCFC</w:t>
      </w:r>
      <w:r w:rsidR="7260EB12" w:rsidRPr="78800E4B">
        <w:rPr>
          <w:lang w:val="en-AU"/>
        </w:rPr>
        <w:t>-123</w:t>
      </w:r>
      <w:r w:rsidR="00B333F3">
        <w:rPr>
          <w:lang w:val="en-AU"/>
        </w:rPr>
        <w:t xml:space="preserve"> in the </w:t>
      </w:r>
      <w:r w:rsidR="00E70731">
        <w:rPr>
          <w:lang w:val="en-AU"/>
        </w:rPr>
        <w:t>United States</w:t>
      </w:r>
      <w:r w:rsidR="005E7BDA">
        <w:rPr>
          <w:lang w:val="en-AU"/>
        </w:rPr>
        <w:t xml:space="preserve"> large</w:t>
      </w:r>
      <w:r w:rsidR="00B92892">
        <w:rPr>
          <w:lang w:val="en-AU"/>
        </w:rPr>
        <w:t xml:space="preserve">ly prior </w:t>
      </w:r>
      <w:r w:rsidR="000546FC">
        <w:rPr>
          <w:lang w:val="en-AU"/>
        </w:rPr>
        <w:t>to 2010</w:t>
      </w:r>
      <w:r w:rsidR="7260EB12" w:rsidRPr="78800E4B">
        <w:rPr>
          <w:lang w:val="en-AU"/>
        </w:rPr>
        <w:t xml:space="preserve">. </w:t>
      </w:r>
      <w:r w:rsidR="004F788B">
        <w:rPr>
          <w:lang w:val="en-AU"/>
        </w:rPr>
        <w:t xml:space="preserve">The </w:t>
      </w:r>
      <w:r w:rsidR="001D2C09" w:rsidRPr="78800E4B">
        <w:rPr>
          <w:lang w:val="en-AU"/>
        </w:rPr>
        <w:t>proportion</w:t>
      </w:r>
      <w:r w:rsidR="000B3C97">
        <w:rPr>
          <w:lang w:val="en-AU"/>
        </w:rPr>
        <w:t xml:space="preserve"> replaced with alternative technologies</w:t>
      </w:r>
      <w:r w:rsidR="001D2C09" w:rsidRPr="78800E4B">
        <w:rPr>
          <w:lang w:val="en-AU"/>
        </w:rPr>
        <w:t xml:space="preserve"> </w:t>
      </w:r>
      <w:r w:rsidR="001D2C09" w:rsidRPr="78800E4B" w:rsidDel="000B3C97">
        <w:rPr>
          <w:lang w:val="en-AU"/>
        </w:rPr>
        <w:t xml:space="preserve">is </w:t>
      </w:r>
      <w:r w:rsidR="007642FA">
        <w:rPr>
          <w:lang w:val="en-AU"/>
        </w:rPr>
        <w:t>unknown.</w:t>
      </w:r>
      <w:r w:rsidR="0096491C">
        <w:rPr>
          <w:lang w:val="en-AU"/>
        </w:rPr>
        <w:t xml:space="preserve"> </w:t>
      </w:r>
      <w:r w:rsidR="006F2D75">
        <w:rPr>
          <w:lang w:val="en-AU"/>
        </w:rPr>
        <w:t>A small number</w:t>
      </w:r>
      <w:r w:rsidR="00F31A70" w:rsidRPr="78800E4B">
        <w:rPr>
          <w:lang w:val="en-AU"/>
        </w:rPr>
        <w:t xml:space="preserve"> of CFC-11 chillers </w:t>
      </w:r>
      <w:r w:rsidR="002C6F06">
        <w:rPr>
          <w:lang w:val="en-AU"/>
        </w:rPr>
        <w:t>may have been</w:t>
      </w:r>
      <w:r w:rsidR="00F31A70" w:rsidRPr="78800E4B">
        <w:rPr>
          <w:lang w:val="en-AU"/>
        </w:rPr>
        <w:t xml:space="preserve"> converted </w:t>
      </w:r>
      <w:r w:rsidR="002C6F06">
        <w:rPr>
          <w:lang w:val="en-AU"/>
        </w:rPr>
        <w:t>in other countries</w:t>
      </w:r>
      <w:r w:rsidR="003E3A87">
        <w:rPr>
          <w:lang w:val="en-AU"/>
        </w:rPr>
        <w:t xml:space="preserve"> prior to 1998</w:t>
      </w:r>
      <w:r w:rsidR="00F31A70" w:rsidRPr="78800E4B">
        <w:rPr>
          <w:lang w:val="en-AU"/>
        </w:rPr>
        <w:t>.</w:t>
      </w:r>
    </w:p>
    <w:p w14:paraId="7E4E4A2A" w14:textId="6E11D73C" w:rsidR="002313D4" w:rsidRPr="00E63512" w:rsidRDefault="7260EB12" w:rsidP="7260EB12">
      <w:pPr>
        <w:ind w:firstLine="720"/>
      </w:pPr>
      <w:r w:rsidRPr="00CD0A17">
        <w:rPr>
          <w:i/>
          <w:lang w:val="en-AU"/>
        </w:rPr>
        <w:t>Equipment lifetime</w:t>
      </w:r>
      <w:r w:rsidR="00900C71" w:rsidRPr="5590BA6B">
        <w:rPr>
          <w:i/>
          <w:lang w:val="en-AU"/>
        </w:rPr>
        <w:t>—</w:t>
      </w:r>
      <w:r w:rsidRPr="2405DD02">
        <w:rPr>
          <w:b/>
          <w:lang w:val="en-AU"/>
        </w:rPr>
        <w:t xml:space="preserve"> </w:t>
      </w:r>
      <w:r w:rsidR="00ED0B4B">
        <w:rPr>
          <w:lang w:val="en-AU"/>
        </w:rPr>
        <w:t>For</w:t>
      </w:r>
      <w:r w:rsidR="00ED0B4B" w:rsidRPr="2405DD02">
        <w:rPr>
          <w:lang w:val="en-AU"/>
        </w:rPr>
        <w:t xml:space="preserve"> </w:t>
      </w:r>
      <w:r w:rsidRPr="2405DD02">
        <w:rPr>
          <w:lang w:val="en-AU"/>
        </w:rPr>
        <w:t>this report, CFC-11 chillers are assumed to have a 29-year average lifetime</w:t>
      </w:r>
      <w:r w:rsidR="00DA58CF">
        <w:rPr>
          <w:rStyle w:val="FootnoteReference"/>
          <w:lang w:val="en-AU"/>
        </w:rPr>
        <w:footnoteReference w:id="54"/>
      </w:r>
      <w:r w:rsidR="00B5764B">
        <w:rPr>
          <w:lang w:val="en-AU"/>
        </w:rPr>
        <w:t xml:space="preserve"> before decommissioning</w:t>
      </w:r>
      <w:r w:rsidR="003B6B76">
        <w:rPr>
          <w:lang w:val="en-AU"/>
        </w:rPr>
        <w:t xml:space="preserve"> and retirement from service</w:t>
      </w:r>
      <w:r w:rsidRPr="2405DD02">
        <w:rPr>
          <w:lang w:val="en-AU"/>
        </w:rPr>
        <w:t xml:space="preserve">. Since they are well-engineered equipment with very low leak rates during operation, they are often kept online for several decades, sometimes reaching lifetimes of </w:t>
      </w:r>
      <w:r w:rsidR="00E918CC">
        <w:rPr>
          <w:lang w:val="en-AU"/>
        </w:rPr>
        <w:t xml:space="preserve">up to </w:t>
      </w:r>
      <w:r w:rsidRPr="2405DD02">
        <w:rPr>
          <w:lang w:val="en-AU"/>
        </w:rPr>
        <w:t xml:space="preserve">50 years. </w:t>
      </w:r>
      <w:r w:rsidR="005208C6">
        <w:rPr>
          <w:lang w:val="en-AU"/>
        </w:rPr>
        <w:t xml:space="preserve">Although there are some chillers still in operation in other parts of the world, the vast majority </w:t>
      </w:r>
      <w:r w:rsidR="0076179B">
        <w:rPr>
          <w:lang w:val="en-AU"/>
        </w:rPr>
        <w:t xml:space="preserve">of </w:t>
      </w:r>
      <w:r w:rsidR="00EF1651">
        <w:rPr>
          <w:lang w:val="en-AU"/>
        </w:rPr>
        <w:t xml:space="preserve">remaining </w:t>
      </w:r>
      <w:r w:rsidRPr="2405DD02">
        <w:rPr>
          <w:lang w:val="en-AU"/>
        </w:rPr>
        <w:t xml:space="preserve">CFC-11 </w:t>
      </w:r>
      <w:r w:rsidR="0076179B">
        <w:rPr>
          <w:lang w:val="en-AU"/>
        </w:rPr>
        <w:t xml:space="preserve">are </w:t>
      </w:r>
      <w:r w:rsidRPr="2405DD02">
        <w:rPr>
          <w:lang w:val="en-AU"/>
        </w:rPr>
        <w:t xml:space="preserve">largely </w:t>
      </w:r>
      <w:r w:rsidR="00A649BB">
        <w:rPr>
          <w:lang w:val="en-AU"/>
        </w:rPr>
        <w:t xml:space="preserve">still in service </w:t>
      </w:r>
      <w:r w:rsidRPr="2405DD02">
        <w:rPr>
          <w:lang w:val="en-AU"/>
        </w:rPr>
        <w:t>in the United States</w:t>
      </w:r>
      <w:r w:rsidR="008A1EBE" w:rsidRPr="00997266">
        <w:rPr>
          <w:rStyle w:val="FootnoteReference"/>
        </w:rPr>
        <w:footnoteReference w:id="55"/>
      </w:r>
      <w:r w:rsidR="2405DD02" w:rsidRPr="2405DD02">
        <w:rPr>
          <w:lang w:val="en-AU"/>
        </w:rPr>
        <w:t>.</w:t>
      </w:r>
      <w:r w:rsidRPr="2405DD02">
        <w:rPr>
          <w:lang w:val="en-AU"/>
        </w:rPr>
        <w:t xml:space="preserve"> In this analysis, </w:t>
      </w:r>
      <w:r w:rsidR="00AC5F2C">
        <w:rPr>
          <w:lang w:val="en-AU"/>
        </w:rPr>
        <w:t>the Task Force</w:t>
      </w:r>
      <w:r w:rsidRPr="2405DD02">
        <w:rPr>
          <w:lang w:val="en-AU"/>
        </w:rPr>
        <w:t xml:space="preserve"> used a Weibull</w:t>
      </w:r>
      <w:r w:rsidR="001165B8">
        <w:rPr>
          <w:rStyle w:val="FootnoteReference"/>
          <w:lang w:val="en-AU"/>
        </w:rPr>
        <w:footnoteReference w:id="56"/>
      </w:r>
      <w:r w:rsidRPr="2405DD02">
        <w:rPr>
          <w:lang w:val="en-AU"/>
        </w:rPr>
        <w:t xml:space="preserve"> </w:t>
      </w:r>
      <w:r w:rsidR="00507071">
        <w:rPr>
          <w:lang w:val="en-AU"/>
        </w:rPr>
        <w:t>function</w:t>
      </w:r>
      <w:r w:rsidRPr="2405DD02">
        <w:rPr>
          <w:lang w:val="en-AU"/>
        </w:rPr>
        <w:t xml:space="preserve"> </w:t>
      </w:r>
      <w:r w:rsidR="00146B11">
        <w:rPr>
          <w:lang w:val="en-AU"/>
        </w:rPr>
        <w:t>to provide a probabilistic analysis for the lifetime of</w:t>
      </w:r>
      <w:r w:rsidRPr="2405DD02">
        <w:rPr>
          <w:lang w:val="en-AU"/>
        </w:rPr>
        <w:t xml:space="preserve"> CFC-11 chillers, with an average of 29 years. For comparison, in </w:t>
      </w:r>
      <w:r w:rsidR="00583B43">
        <w:rPr>
          <w:lang w:val="en-AU"/>
        </w:rPr>
        <w:t>the 2019 Task Force</w:t>
      </w:r>
      <w:r w:rsidR="00D867E6">
        <w:rPr>
          <w:lang w:val="en-AU"/>
        </w:rPr>
        <w:t xml:space="preserve"> </w:t>
      </w:r>
      <w:r w:rsidRPr="2405DD02">
        <w:rPr>
          <w:lang w:val="en-AU"/>
        </w:rPr>
        <w:t xml:space="preserve">assumed a single-point average lifetime of 25 years. The </w:t>
      </w:r>
      <w:r w:rsidR="00395D59">
        <w:rPr>
          <w:lang w:val="en-AU"/>
        </w:rPr>
        <w:t>Weibull distribution is</w:t>
      </w:r>
      <w:r w:rsidRPr="2405DD02">
        <w:rPr>
          <w:lang w:val="en-AU"/>
        </w:rPr>
        <w:t xml:space="preserve"> used by the California Air Resources Board and the U.S. Department of Energy for appliance lifetimes. </w:t>
      </w:r>
    </w:p>
    <w:p w14:paraId="352FF726" w14:textId="642475AA" w:rsidR="002313D4" w:rsidRPr="00E63512" w:rsidRDefault="7260EB12" w:rsidP="7260EB12">
      <w:pPr>
        <w:ind w:firstLine="720"/>
      </w:pPr>
      <w:r w:rsidRPr="00CD0A17">
        <w:rPr>
          <w:i/>
          <w:iCs/>
          <w:szCs w:val="22"/>
          <w:lang w:val="en-AU"/>
        </w:rPr>
        <w:t>Refrigerant losses</w:t>
      </w:r>
      <w:r w:rsidR="00E4570F">
        <w:rPr>
          <w:i/>
          <w:iCs/>
          <w:szCs w:val="22"/>
          <w:lang w:val="en-AU"/>
        </w:rPr>
        <w:t>—</w:t>
      </w:r>
      <w:r w:rsidRPr="7260EB12">
        <w:rPr>
          <w:i/>
          <w:iCs/>
          <w:sz w:val="24"/>
          <w:szCs w:val="24"/>
          <w:lang w:val="en-AU"/>
        </w:rPr>
        <w:t xml:space="preserve"> </w:t>
      </w:r>
      <w:r w:rsidR="00E4570F">
        <w:rPr>
          <w:szCs w:val="22"/>
          <w:lang w:val="en-AU"/>
        </w:rPr>
        <w:t>Due to</w:t>
      </w:r>
      <w:r w:rsidRPr="7260EB12">
        <w:rPr>
          <w:szCs w:val="22"/>
          <w:lang w:val="en-AU"/>
        </w:rPr>
        <w:t xml:space="preserve"> the low-pressure environment in the evaporator of centrifugal chillers, air flows into the system</w:t>
      </w:r>
      <w:r w:rsidR="008C641D" w:rsidRPr="008C641D">
        <w:rPr>
          <w:szCs w:val="22"/>
          <w:lang w:val="en-AU"/>
        </w:rPr>
        <w:t xml:space="preserve"> </w:t>
      </w:r>
      <w:r w:rsidR="008C641D" w:rsidRPr="7260EB12">
        <w:rPr>
          <w:szCs w:val="22"/>
          <w:lang w:val="en-AU"/>
        </w:rPr>
        <w:t>when a leak occurs in the evaporator</w:t>
      </w:r>
      <w:r w:rsidRPr="7260EB12">
        <w:rPr>
          <w:szCs w:val="22"/>
          <w:lang w:val="en-AU"/>
        </w:rPr>
        <w:t xml:space="preserve">. To release the air, purges are usually </w:t>
      </w:r>
      <w:r w:rsidR="00FC787D">
        <w:rPr>
          <w:szCs w:val="22"/>
          <w:lang w:val="en-AU"/>
        </w:rPr>
        <w:t>employed</w:t>
      </w:r>
      <w:r w:rsidRPr="7260EB12">
        <w:rPr>
          <w:szCs w:val="22"/>
          <w:lang w:val="en-AU"/>
        </w:rPr>
        <w:t xml:space="preserve">. A purge separates the air from the refrigerant, vents the air, and returns the refrigerant to the chiller. </w:t>
      </w:r>
      <w:r w:rsidR="00011357">
        <w:rPr>
          <w:szCs w:val="22"/>
          <w:lang w:val="en-AU"/>
        </w:rPr>
        <w:t xml:space="preserve">According to </w:t>
      </w:r>
      <w:r w:rsidR="00C73AA8">
        <w:rPr>
          <w:szCs w:val="22"/>
          <w:lang w:val="en-AU"/>
        </w:rPr>
        <w:t xml:space="preserve">industry experts, </w:t>
      </w:r>
      <w:r w:rsidR="00CE11BE">
        <w:rPr>
          <w:szCs w:val="22"/>
          <w:lang w:val="en-AU"/>
        </w:rPr>
        <w:t xml:space="preserve">prior </w:t>
      </w:r>
      <w:r w:rsidRPr="7260EB12">
        <w:rPr>
          <w:szCs w:val="22"/>
          <w:lang w:val="en-AU"/>
        </w:rPr>
        <w:t xml:space="preserve">to </w:t>
      </w:r>
      <w:r w:rsidR="00CE11BE">
        <w:rPr>
          <w:szCs w:val="22"/>
          <w:lang w:val="en-AU"/>
        </w:rPr>
        <w:t>the</w:t>
      </w:r>
      <w:r w:rsidRPr="7260EB12">
        <w:rPr>
          <w:szCs w:val="22"/>
          <w:lang w:val="en-AU"/>
        </w:rPr>
        <w:t xml:space="preserve"> phase</w:t>
      </w:r>
      <w:r w:rsidR="0077154A">
        <w:rPr>
          <w:szCs w:val="22"/>
          <w:lang w:val="en-AU"/>
        </w:rPr>
        <w:t>-</w:t>
      </w:r>
      <w:r w:rsidRPr="7260EB12">
        <w:rPr>
          <w:szCs w:val="22"/>
          <w:lang w:val="en-AU"/>
        </w:rPr>
        <w:t xml:space="preserve">out </w:t>
      </w:r>
      <w:r w:rsidR="009C5530">
        <w:rPr>
          <w:szCs w:val="22"/>
          <w:lang w:val="en-AU"/>
        </w:rPr>
        <w:t>when</w:t>
      </w:r>
      <w:r w:rsidR="00D12966">
        <w:rPr>
          <w:szCs w:val="22"/>
          <w:lang w:val="en-AU"/>
        </w:rPr>
        <w:t xml:space="preserve"> </w:t>
      </w:r>
      <w:r w:rsidRPr="7260EB12">
        <w:rPr>
          <w:szCs w:val="22"/>
          <w:lang w:val="en-AU"/>
        </w:rPr>
        <w:t xml:space="preserve">the cost of refrigerant was </w:t>
      </w:r>
      <w:r w:rsidR="00F47449">
        <w:rPr>
          <w:szCs w:val="22"/>
          <w:lang w:val="en-AU"/>
        </w:rPr>
        <w:t>estimated to be</w:t>
      </w:r>
      <w:r w:rsidR="00F47449" w:rsidRPr="7260EB12">
        <w:rPr>
          <w:szCs w:val="22"/>
          <w:lang w:val="en-AU"/>
        </w:rPr>
        <w:t xml:space="preserve"> </w:t>
      </w:r>
      <w:r w:rsidRPr="7260EB12">
        <w:rPr>
          <w:szCs w:val="22"/>
          <w:lang w:val="en-AU"/>
        </w:rPr>
        <w:t xml:space="preserve">$1 per pound, the use of low-efficiency purges resulted in the release of refrigerant alongside any air being removed from the system. Any CFC-11 chillers </w:t>
      </w:r>
      <w:r w:rsidR="00494982">
        <w:rPr>
          <w:szCs w:val="22"/>
          <w:lang w:val="en-AU"/>
        </w:rPr>
        <w:t>still</w:t>
      </w:r>
      <w:r w:rsidRPr="7260EB12">
        <w:rPr>
          <w:szCs w:val="22"/>
          <w:lang w:val="en-AU"/>
        </w:rPr>
        <w:t xml:space="preserve"> in operation today are likely to have </w:t>
      </w:r>
      <w:r w:rsidR="00DA5A4B">
        <w:rPr>
          <w:szCs w:val="22"/>
          <w:lang w:val="en-AU"/>
        </w:rPr>
        <w:t>low-emission</w:t>
      </w:r>
      <w:r w:rsidRPr="7260EB12">
        <w:rPr>
          <w:szCs w:val="22"/>
          <w:lang w:val="en-AU"/>
        </w:rPr>
        <w:t xml:space="preserve"> </w:t>
      </w:r>
      <w:r w:rsidR="00E11908">
        <w:rPr>
          <w:szCs w:val="22"/>
          <w:lang w:val="en-AU"/>
        </w:rPr>
        <w:t>purges</w:t>
      </w:r>
      <w:r w:rsidR="00E11908" w:rsidRPr="7260EB12">
        <w:rPr>
          <w:szCs w:val="22"/>
          <w:lang w:val="en-AU"/>
        </w:rPr>
        <w:t xml:space="preserve"> </w:t>
      </w:r>
      <w:r w:rsidR="00494982">
        <w:rPr>
          <w:szCs w:val="22"/>
          <w:lang w:val="en-AU"/>
        </w:rPr>
        <w:t>and the resulting</w:t>
      </w:r>
      <w:r w:rsidRPr="7260EB12">
        <w:rPr>
          <w:szCs w:val="22"/>
          <w:lang w:val="en-AU"/>
        </w:rPr>
        <w:t xml:space="preserve"> very low CFC-11 releases.</w:t>
      </w:r>
      <w:r w:rsidR="000B7470">
        <w:rPr>
          <w:szCs w:val="22"/>
          <w:lang w:val="en-AU"/>
        </w:rPr>
        <w:t xml:space="preserve"> </w:t>
      </w:r>
    </w:p>
    <w:p w14:paraId="720F5ACA" w14:textId="00E24E3D" w:rsidR="002313D4" w:rsidRPr="00E63512" w:rsidRDefault="7260EB12" w:rsidP="7260EB12">
      <w:r w:rsidRPr="5590BA6B">
        <w:rPr>
          <w:lang w:val="en-AU"/>
        </w:rPr>
        <w:t>Leaks can also occur in the condenser, which</w:t>
      </w:r>
      <w:r w:rsidR="003B0592">
        <w:rPr>
          <w:lang w:val="en-AU"/>
        </w:rPr>
        <w:t>, in contrast to the evaporator</w:t>
      </w:r>
      <w:r w:rsidRPr="5590BA6B">
        <w:rPr>
          <w:lang w:val="en-AU"/>
        </w:rPr>
        <w:t xml:space="preserve"> operates </w:t>
      </w:r>
      <w:r w:rsidR="00FC4F23">
        <w:rPr>
          <w:lang w:val="en-AU"/>
        </w:rPr>
        <w:t>at</w:t>
      </w:r>
      <w:r w:rsidRPr="5590BA6B">
        <w:rPr>
          <w:lang w:val="en-AU"/>
        </w:rPr>
        <w:t xml:space="preserve"> positive pressure </w:t>
      </w:r>
      <w:r w:rsidR="00FC4F23">
        <w:rPr>
          <w:lang w:val="en-AU"/>
        </w:rPr>
        <w:t xml:space="preserve">(higher than atmospheric pressure) </w:t>
      </w:r>
      <w:r w:rsidRPr="5590BA6B">
        <w:rPr>
          <w:lang w:val="en-AU"/>
        </w:rPr>
        <w:t xml:space="preserve">and therefore </w:t>
      </w:r>
      <w:r w:rsidR="00CE69EF">
        <w:rPr>
          <w:lang w:val="en-AU"/>
        </w:rPr>
        <w:t xml:space="preserve">leaks </w:t>
      </w:r>
      <w:r w:rsidRPr="5590BA6B">
        <w:rPr>
          <w:lang w:val="en-AU"/>
        </w:rPr>
        <w:t xml:space="preserve">would result in refrigerant released to the atmosphere. In addition, a fraction of the CFC-11 that was sold into the chiller sector was used to clean equipment. </w:t>
      </w:r>
      <w:r w:rsidR="009E2D2B">
        <w:rPr>
          <w:lang w:val="en-AU"/>
        </w:rPr>
        <w:t>The Task Force assume</w:t>
      </w:r>
      <w:r w:rsidR="00EC73DB">
        <w:rPr>
          <w:lang w:val="en-AU"/>
        </w:rPr>
        <w:t>d</w:t>
      </w:r>
      <w:r w:rsidRPr="5590BA6B">
        <w:rPr>
          <w:lang w:val="en-AU"/>
        </w:rPr>
        <w:t xml:space="preserve"> that prior to 1990, 5% of the CFC-11 refrigerant sold in the chiller sector is either used as a cleaner or released prior to the adoption of high-efficiency purges. For later years, the fraction </w:t>
      </w:r>
      <w:r w:rsidR="00212459">
        <w:rPr>
          <w:lang w:val="en-AU"/>
        </w:rPr>
        <w:t>wa</w:t>
      </w:r>
      <w:r w:rsidR="5590BA6B" w:rsidRPr="5590BA6B">
        <w:rPr>
          <w:lang w:val="en-AU"/>
        </w:rPr>
        <w:t>s reduced</w:t>
      </w:r>
      <w:r w:rsidRPr="5590BA6B">
        <w:rPr>
          <w:lang w:val="en-AU"/>
        </w:rPr>
        <w:t xml:space="preserve"> to 1% with the adoption of better practices.</w:t>
      </w:r>
    </w:p>
    <w:p w14:paraId="2902CED8" w14:textId="6CA68C59" w:rsidR="002313D4" w:rsidRPr="00E63512" w:rsidRDefault="009D4F30" w:rsidP="7260EB12">
      <w:r>
        <w:rPr>
          <w:szCs w:val="22"/>
          <w:lang w:val="en-AU"/>
        </w:rPr>
        <w:lastRenderedPageBreak/>
        <w:t xml:space="preserve">Refrigerant that leaks from an appliance is </w:t>
      </w:r>
      <w:r w:rsidR="00965BC9">
        <w:rPr>
          <w:szCs w:val="22"/>
          <w:lang w:val="en-AU"/>
        </w:rPr>
        <w:t xml:space="preserve">periodically </w:t>
      </w:r>
      <w:r>
        <w:rPr>
          <w:szCs w:val="22"/>
          <w:lang w:val="en-AU"/>
        </w:rPr>
        <w:t xml:space="preserve">replaced </w:t>
      </w:r>
      <w:r w:rsidR="00965BC9">
        <w:rPr>
          <w:szCs w:val="22"/>
          <w:lang w:val="en-AU"/>
        </w:rPr>
        <w:t>during servicing</w:t>
      </w:r>
      <w:r w:rsidR="00966814">
        <w:rPr>
          <w:szCs w:val="22"/>
          <w:lang w:val="en-AU"/>
        </w:rPr>
        <w:t xml:space="preserve">. </w:t>
      </w:r>
      <w:r w:rsidR="7260EB12" w:rsidRPr="7260EB12">
        <w:rPr>
          <w:szCs w:val="22"/>
          <w:lang w:val="en-AU"/>
        </w:rPr>
        <w:t xml:space="preserve">Leak rates </w:t>
      </w:r>
      <w:r w:rsidR="005D4936">
        <w:rPr>
          <w:szCs w:val="22"/>
          <w:lang w:val="en-AU"/>
        </w:rPr>
        <w:t xml:space="preserve">are used to calculate </w:t>
      </w:r>
      <w:r w:rsidR="00D21792">
        <w:rPr>
          <w:szCs w:val="22"/>
          <w:lang w:val="en-AU"/>
        </w:rPr>
        <w:t xml:space="preserve">the quantity of refrigerant </w:t>
      </w:r>
      <w:r w:rsidR="0013786E">
        <w:rPr>
          <w:szCs w:val="22"/>
          <w:lang w:val="en-AU"/>
        </w:rPr>
        <w:t xml:space="preserve">needed to </w:t>
      </w:r>
      <w:r w:rsidR="00BA7119">
        <w:rPr>
          <w:szCs w:val="22"/>
          <w:lang w:val="en-AU"/>
        </w:rPr>
        <w:t xml:space="preserve">regularly </w:t>
      </w:r>
      <w:r w:rsidR="0013786E">
        <w:rPr>
          <w:szCs w:val="22"/>
          <w:lang w:val="en-AU"/>
        </w:rPr>
        <w:t xml:space="preserve">charge </w:t>
      </w:r>
      <w:r w:rsidR="00BA7119">
        <w:rPr>
          <w:szCs w:val="22"/>
          <w:lang w:val="en-AU"/>
        </w:rPr>
        <w:t>the</w:t>
      </w:r>
      <w:r w:rsidR="0013786E">
        <w:rPr>
          <w:szCs w:val="22"/>
          <w:lang w:val="en-AU"/>
        </w:rPr>
        <w:t xml:space="preserve"> equipment.</w:t>
      </w:r>
      <w:r w:rsidR="00DF4F0A">
        <w:rPr>
          <w:szCs w:val="22"/>
          <w:lang w:val="en-AU"/>
        </w:rPr>
        <w:t xml:space="preserve"> </w:t>
      </w:r>
      <w:r w:rsidR="7260EB12" w:rsidRPr="76509C7F">
        <w:rPr>
          <w:lang w:val="en-AU"/>
        </w:rPr>
        <w:t xml:space="preserve">The model offers some useful insight on the minimum amount of reclaimed CFC-11 that would be necessary to service the existing stock of CFC-11 chillers. </w:t>
      </w:r>
      <w:r w:rsidR="00B63634">
        <w:rPr>
          <w:lang w:val="en-AU"/>
        </w:rPr>
        <w:t xml:space="preserve">Industry experts noted that </w:t>
      </w:r>
      <w:r w:rsidR="7260EB12" w:rsidRPr="76509C7F">
        <w:rPr>
          <w:lang w:val="en-AU"/>
        </w:rPr>
        <w:t xml:space="preserve">reclamation </w:t>
      </w:r>
      <w:r w:rsidR="003F77A1">
        <w:rPr>
          <w:lang w:val="en-AU"/>
        </w:rPr>
        <w:t>increased</w:t>
      </w:r>
      <w:r w:rsidR="7260EB12" w:rsidRPr="76509C7F">
        <w:rPr>
          <w:lang w:val="en-AU"/>
        </w:rPr>
        <w:t xml:space="preserve"> </w:t>
      </w:r>
      <w:r w:rsidR="001849EF">
        <w:rPr>
          <w:lang w:val="en-AU"/>
        </w:rPr>
        <w:t xml:space="preserve">in North America </w:t>
      </w:r>
      <w:r w:rsidR="4CD07180" w:rsidRPr="4CD07180">
        <w:rPr>
          <w:lang w:val="en-AU"/>
        </w:rPr>
        <w:t>around 1993.</w:t>
      </w:r>
      <w:r w:rsidR="7260EB12" w:rsidRPr="76509C7F">
        <w:rPr>
          <w:lang w:val="en-AU"/>
        </w:rPr>
        <w:t xml:space="preserve"> </w:t>
      </w:r>
      <w:r w:rsidR="00427D54">
        <w:rPr>
          <w:lang w:val="en-AU"/>
        </w:rPr>
        <w:t>The Task Force</w:t>
      </w:r>
      <w:r w:rsidR="00060B29">
        <w:rPr>
          <w:lang w:val="en-AU"/>
        </w:rPr>
        <w:t xml:space="preserve"> assumed for modelling purposes</w:t>
      </w:r>
      <w:r w:rsidR="7260EB12" w:rsidRPr="76509C7F">
        <w:rPr>
          <w:lang w:val="en-AU"/>
        </w:rPr>
        <w:t xml:space="preserve"> that after </w:t>
      </w:r>
      <w:r w:rsidR="001F2A11" w:rsidRPr="4CD07180">
        <w:rPr>
          <w:lang w:val="en-AU"/>
        </w:rPr>
        <w:t>199</w:t>
      </w:r>
      <w:r w:rsidR="001F2A11">
        <w:rPr>
          <w:lang w:val="en-AU"/>
        </w:rPr>
        <w:t>5</w:t>
      </w:r>
      <w:r w:rsidR="7260EB12" w:rsidRPr="76509C7F">
        <w:rPr>
          <w:lang w:val="en-AU"/>
        </w:rPr>
        <w:t xml:space="preserve">, when CFC-11 was phased out in </w:t>
      </w:r>
      <w:r w:rsidR="00144108">
        <w:rPr>
          <w:lang w:val="en-AU"/>
        </w:rPr>
        <w:t>non-Article 5</w:t>
      </w:r>
      <w:r w:rsidR="7260EB12" w:rsidRPr="76509C7F">
        <w:rPr>
          <w:lang w:val="en-AU"/>
        </w:rPr>
        <w:t xml:space="preserve"> parties, chillers were serviced using reclaimed refrigerant</w:t>
      </w:r>
      <w:r w:rsidR="00446BE4">
        <w:rPr>
          <w:lang w:val="en-AU"/>
        </w:rPr>
        <w:t xml:space="preserve"> as needed</w:t>
      </w:r>
      <w:r w:rsidR="7260EB12" w:rsidRPr="76509C7F">
        <w:rPr>
          <w:lang w:val="en-AU"/>
        </w:rPr>
        <w:t xml:space="preserve">. </w:t>
      </w:r>
      <w:r w:rsidR="006169D9">
        <w:rPr>
          <w:szCs w:val="22"/>
          <w:lang w:val="en-AU"/>
        </w:rPr>
        <w:t>Some companies reportedly stockpiled CFC-11 to service equipment after the phase-out</w:t>
      </w:r>
      <w:r w:rsidR="00E76FE2">
        <w:rPr>
          <w:szCs w:val="22"/>
          <w:lang w:val="en-AU"/>
        </w:rPr>
        <w:t xml:space="preserve"> and some small quantities of that inventory still exists</w:t>
      </w:r>
      <w:r w:rsidR="0076055D">
        <w:rPr>
          <w:szCs w:val="22"/>
          <w:lang w:val="en-AU"/>
        </w:rPr>
        <w:t xml:space="preserve"> </w:t>
      </w:r>
      <w:r w:rsidR="009738C9">
        <w:rPr>
          <w:szCs w:val="22"/>
          <w:lang w:val="en-AU"/>
        </w:rPr>
        <w:t>in the United States.</w:t>
      </w:r>
    </w:p>
    <w:p w14:paraId="34703CC6" w14:textId="025FDD95" w:rsidR="00BB4EB5" w:rsidRDefault="7260EB12" w:rsidP="00C14035">
      <w:pPr>
        <w:rPr>
          <w:lang w:val="en-AU"/>
        </w:rPr>
      </w:pPr>
      <w:r w:rsidRPr="10E8D49E">
        <w:rPr>
          <w:lang w:val="en-AU"/>
        </w:rPr>
        <w:t>The E</w:t>
      </w:r>
      <w:r w:rsidR="00D2161A">
        <w:rPr>
          <w:lang w:val="en-AU"/>
        </w:rPr>
        <w:t>nd- of-Life</w:t>
      </w:r>
      <w:r w:rsidRPr="10E8D49E">
        <w:rPr>
          <w:lang w:val="en-AU"/>
        </w:rPr>
        <w:t xml:space="preserve"> model assumptions reflect this additional information, assuming that reclamation started becoming common practice </w:t>
      </w:r>
      <w:r w:rsidR="009E5477">
        <w:rPr>
          <w:lang w:val="en-AU"/>
        </w:rPr>
        <w:t xml:space="preserve">in the </w:t>
      </w:r>
      <w:r w:rsidR="004C42AF">
        <w:rPr>
          <w:lang w:val="en-AU"/>
        </w:rPr>
        <w:t>United States</w:t>
      </w:r>
      <w:r w:rsidR="009E5477">
        <w:rPr>
          <w:lang w:val="en-AU"/>
        </w:rPr>
        <w:t xml:space="preserve">, where the majority of remaining CFC-11 chillers are installed, </w:t>
      </w:r>
      <w:r w:rsidRPr="10E8D49E">
        <w:rPr>
          <w:lang w:val="en-AU"/>
        </w:rPr>
        <w:t xml:space="preserve">following the production bans. </w:t>
      </w:r>
    </w:p>
    <w:p w14:paraId="699E5F9B" w14:textId="3D7B05BE" w:rsidR="002633B8" w:rsidRPr="00043208" w:rsidRDefault="005C4B48" w:rsidP="002633B8">
      <w:pPr>
        <w:rPr>
          <w:lang w:val="en-AU"/>
        </w:rPr>
      </w:pPr>
      <w:r>
        <w:rPr>
          <w:lang w:val="en-AU"/>
        </w:rPr>
        <w:t>Less than 8% of the AFEAS CFC-11 sales data were reportedly sold for use in chillers. The overall bank of CFC-11 used in chillers was consequently estimated to be comparatively small compared to the banks for closed-</w:t>
      </w:r>
      <w:r w:rsidR="00245B0D">
        <w:rPr>
          <w:lang w:val="en-AU"/>
        </w:rPr>
        <w:t>cell</w:t>
      </w:r>
      <w:r>
        <w:rPr>
          <w:lang w:val="en-AU"/>
        </w:rPr>
        <w:t xml:space="preserve"> foam after </w:t>
      </w:r>
      <w:r w:rsidRPr="006A5E82">
        <w:rPr>
          <w:lang w:val="en-AU"/>
        </w:rPr>
        <w:t>1970. B</w:t>
      </w:r>
      <w:r w:rsidR="00BB4EB5" w:rsidRPr="006A5E82">
        <w:rPr>
          <w:lang w:val="en-AU"/>
        </w:rPr>
        <w:t>ased on the</w:t>
      </w:r>
      <w:r w:rsidR="00BB4EB5" w:rsidRPr="00355B29">
        <w:rPr>
          <w:lang w:val="en-AU"/>
        </w:rPr>
        <w:t xml:space="preserve"> </w:t>
      </w:r>
      <w:r w:rsidR="003F56E1" w:rsidRPr="006A5E82">
        <w:rPr>
          <w:lang w:val="en-AU"/>
        </w:rPr>
        <w:t>small number of remaining chillers in service, the</w:t>
      </w:r>
      <w:r w:rsidR="00BB4EB5" w:rsidRPr="006A5E82">
        <w:rPr>
          <w:lang w:val="en-AU"/>
        </w:rPr>
        <w:t xml:space="preserve"> low emissions rates </w:t>
      </w:r>
      <w:r w:rsidR="00146569" w:rsidRPr="006A5E82">
        <w:rPr>
          <w:lang w:val="en-AU"/>
        </w:rPr>
        <w:t xml:space="preserve">(0.5% per annum) </w:t>
      </w:r>
      <w:r w:rsidR="00BB4EB5" w:rsidRPr="006A5E82">
        <w:rPr>
          <w:lang w:val="en-AU"/>
        </w:rPr>
        <w:t>of centri</w:t>
      </w:r>
      <w:r w:rsidR="00BB4EB5" w:rsidRPr="00355B29">
        <w:rPr>
          <w:lang w:val="en-AU"/>
        </w:rPr>
        <w:t>fugal chillers and</w:t>
      </w:r>
      <w:r w:rsidR="0075383B" w:rsidRPr="009D58EC">
        <w:rPr>
          <w:lang w:val="en-AU"/>
        </w:rPr>
        <w:t xml:space="preserve"> end-of-life management </w:t>
      </w:r>
      <w:r w:rsidR="00010D9B" w:rsidRPr="00B81322">
        <w:rPr>
          <w:lang w:val="en-AU"/>
        </w:rPr>
        <w:t>in regions with a remaining centrifugal chiller bank</w:t>
      </w:r>
      <w:r w:rsidR="0075383B" w:rsidRPr="00B81322">
        <w:rPr>
          <w:lang w:val="en-AU"/>
        </w:rPr>
        <w:t>, t</w:t>
      </w:r>
      <w:r w:rsidR="00E82C34" w:rsidRPr="00B81322">
        <w:rPr>
          <w:lang w:val="en-AU"/>
        </w:rPr>
        <w:t xml:space="preserve">he estimated emissions </w:t>
      </w:r>
      <w:r w:rsidR="00FB09D6" w:rsidRPr="006A5E82">
        <w:rPr>
          <w:lang w:val="en-AU"/>
        </w:rPr>
        <w:t>today</w:t>
      </w:r>
      <w:r w:rsidR="00E82C34" w:rsidRPr="006A5E82">
        <w:rPr>
          <w:lang w:val="en-AU"/>
        </w:rPr>
        <w:t xml:space="preserve"> from CFC-11 ch</w:t>
      </w:r>
      <w:r w:rsidR="00DD1379" w:rsidRPr="00355B29">
        <w:rPr>
          <w:lang w:val="en-AU"/>
        </w:rPr>
        <w:t>illers are</w:t>
      </w:r>
      <w:r w:rsidR="7260EB12" w:rsidRPr="009D58EC">
        <w:rPr>
          <w:lang w:val="en-AU"/>
        </w:rPr>
        <w:t xml:space="preserve"> dwarfed by emissions from closed-cell foams</w:t>
      </w:r>
      <w:r w:rsidR="7260EB12" w:rsidRPr="00B81322">
        <w:rPr>
          <w:lang w:val="en-AU"/>
        </w:rPr>
        <w:t>.</w:t>
      </w:r>
      <w:r w:rsidR="7260EB12" w:rsidRPr="10E8D49E">
        <w:rPr>
          <w:lang w:val="en-AU"/>
        </w:rPr>
        <w:t xml:space="preserve"> </w:t>
      </w:r>
    </w:p>
    <w:p w14:paraId="43303D3B" w14:textId="3E8DFB08" w:rsidR="00C14035" w:rsidRDefault="000B4AF0" w:rsidP="00751ECE">
      <w:pPr>
        <w:pStyle w:val="Heading3"/>
      </w:pPr>
      <w:bookmarkStart w:id="146" w:name="_Toc73045603"/>
      <w:r>
        <w:t>2.3.2</w:t>
      </w:r>
      <w:r>
        <w:tab/>
      </w:r>
      <w:r w:rsidR="7260EB12" w:rsidRPr="7260EB12">
        <w:t>Closed-cell foams</w:t>
      </w:r>
      <w:bookmarkEnd w:id="146"/>
      <w:r w:rsidR="7260EB12" w:rsidRPr="4578BF50">
        <w:t xml:space="preserve"> </w:t>
      </w:r>
    </w:p>
    <w:p w14:paraId="5FDE33D0" w14:textId="6AA61332" w:rsidR="002313D4" w:rsidRPr="00E63512" w:rsidRDefault="7260EB12" w:rsidP="000B4AF0">
      <w:r w:rsidRPr="4578BF50">
        <w:rPr>
          <w:lang w:val="en-AU"/>
        </w:rPr>
        <w:t xml:space="preserve">CFC-11 was </w:t>
      </w:r>
      <w:r w:rsidR="00577634">
        <w:rPr>
          <w:lang w:val="en-AU"/>
        </w:rPr>
        <w:t>sold</w:t>
      </w:r>
      <w:r w:rsidRPr="4578BF50">
        <w:rPr>
          <w:lang w:val="en-AU"/>
        </w:rPr>
        <w:t xml:space="preserve"> as a blowing agent for the manufacture of closed-cell foams. The </w:t>
      </w:r>
      <w:r>
        <w:t>use of CFC-11 in closed-cell polyurethane foams (e.g., insulating foams in appliances and construction) started to increase in the mid-1960s. The majority of the global CFC-11 bank was installed in the 1970s and 1980s in North America and Europe</w:t>
      </w:r>
      <w:r w:rsidR="00CE7680" w:rsidRPr="00CE7680">
        <w:t xml:space="preserve"> </w:t>
      </w:r>
      <w:r w:rsidR="00CE7680">
        <w:t>in response to the energy shortages and pricing at that time</w:t>
      </w:r>
      <w:r>
        <w:t xml:space="preserve">. CFC-11 blown foams used to insulate appliances (e.g., refrigerators) are </w:t>
      </w:r>
      <w:r w:rsidR="004A4333">
        <w:t>un</w:t>
      </w:r>
      <w:r>
        <w:t xml:space="preserve">likely </w:t>
      </w:r>
      <w:r w:rsidR="004A4333">
        <w:t>to</w:t>
      </w:r>
      <w:r>
        <w:t xml:space="preserve"> still </w:t>
      </w:r>
      <w:r w:rsidR="00A242A4">
        <w:t xml:space="preserve">be </w:t>
      </w:r>
      <w:r>
        <w:t xml:space="preserve">in the active bank </w:t>
      </w:r>
      <w:r w:rsidR="004A4333">
        <w:t xml:space="preserve">except </w:t>
      </w:r>
      <w:r w:rsidR="5590BA6B">
        <w:t xml:space="preserve">in relatively small quantities. </w:t>
      </w:r>
      <w:r w:rsidR="009A0AB4">
        <w:t>N</w:t>
      </w:r>
      <w:r w:rsidR="5590BA6B">
        <w:t>umerous</w:t>
      </w:r>
      <w:r>
        <w:t xml:space="preserve"> buildings containing CFC-11 blown foam insulation are likely still in service </w:t>
      </w:r>
      <w:r w:rsidR="5590BA6B">
        <w:t>in North America,</w:t>
      </w:r>
      <w:r w:rsidR="0076055D">
        <w:t xml:space="preserve"> </w:t>
      </w:r>
      <w:r w:rsidR="5590BA6B">
        <w:t>Europe and in other parts of</w:t>
      </w:r>
      <w:r>
        <w:t xml:space="preserve"> the world. </w:t>
      </w:r>
    </w:p>
    <w:p w14:paraId="3DC69A52" w14:textId="263882FD" w:rsidR="002313D4" w:rsidRPr="00E63512" w:rsidRDefault="002403C5" w:rsidP="7260EB12">
      <w:r>
        <w:rPr>
          <w:lang w:val="en-AU"/>
        </w:rPr>
        <w:t xml:space="preserve">The 2019 Task Force </w:t>
      </w:r>
      <w:r w:rsidR="00B85CCF">
        <w:rPr>
          <w:lang w:val="en-AU"/>
        </w:rPr>
        <w:t xml:space="preserve">assumed </w:t>
      </w:r>
      <w:r w:rsidR="00F13127">
        <w:rPr>
          <w:lang w:val="en-AU"/>
        </w:rPr>
        <w:t>that</w:t>
      </w:r>
      <w:r w:rsidR="7260EB12" w:rsidRPr="45580F0F">
        <w:rPr>
          <w:lang w:val="en-AU"/>
        </w:rPr>
        <w:t xml:space="preserve"> the </w:t>
      </w:r>
      <w:r w:rsidR="00A969E1">
        <w:rPr>
          <w:lang w:val="en-AU"/>
        </w:rPr>
        <w:t>principal</w:t>
      </w:r>
      <w:r w:rsidR="00A969E1" w:rsidRPr="45580F0F">
        <w:rPr>
          <w:lang w:val="en-AU"/>
        </w:rPr>
        <w:t xml:space="preserve"> </w:t>
      </w:r>
      <w:r w:rsidR="7260EB12" w:rsidRPr="45580F0F">
        <w:rPr>
          <w:lang w:val="en-AU"/>
        </w:rPr>
        <w:t xml:space="preserve">market for CFC-11 </w:t>
      </w:r>
      <w:r w:rsidR="00F13127">
        <w:rPr>
          <w:lang w:val="en-AU"/>
        </w:rPr>
        <w:t xml:space="preserve">after </w:t>
      </w:r>
      <w:r w:rsidR="7260EB12" w:rsidRPr="45580F0F">
        <w:rPr>
          <w:lang w:val="en-AU"/>
        </w:rPr>
        <w:t>the late 1990s</w:t>
      </w:r>
      <w:r>
        <w:rPr>
          <w:lang w:val="en-AU"/>
        </w:rPr>
        <w:t xml:space="preserve"> </w:t>
      </w:r>
      <w:r w:rsidR="00F13127">
        <w:rPr>
          <w:lang w:val="en-AU"/>
        </w:rPr>
        <w:t>was likely for use in closed-cell foams</w:t>
      </w:r>
      <w:r w:rsidR="009B5DFC">
        <w:rPr>
          <w:lang w:val="en-AU"/>
        </w:rPr>
        <w:t xml:space="preserve"> as </w:t>
      </w:r>
      <w:r w:rsidR="00C3218A">
        <w:rPr>
          <w:lang w:val="en-AU"/>
        </w:rPr>
        <w:t>lower cost</w:t>
      </w:r>
      <w:r w:rsidR="00613685">
        <w:rPr>
          <w:lang w:val="en-AU"/>
        </w:rPr>
        <w:t>,</w:t>
      </w:r>
      <w:r w:rsidR="00C3218A">
        <w:rPr>
          <w:lang w:val="en-AU"/>
        </w:rPr>
        <w:t xml:space="preserve"> </w:t>
      </w:r>
      <w:r w:rsidR="008F2BA5">
        <w:rPr>
          <w:lang w:val="en-AU"/>
        </w:rPr>
        <w:t>effica</w:t>
      </w:r>
      <w:r w:rsidR="002661A7">
        <w:rPr>
          <w:lang w:val="en-AU"/>
        </w:rPr>
        <w:t xml:space="preserve">cious options were available for </w:t>
      </w:r>
      <w:r w:rsidR="005C3951">
        <w:rPr>
          <w:lang w:val="en-AU"/>
        </w:rPr>
        <w:t>flexible foams and other</w:t>
      </w:r>
      <w:r w:rsidR="002661A7">
        <w:rPr>
          <w:lang w:val="en-AU"/>
        </w:rPr>
        <w:t xml:space="preserve"> emissiv</w:t>
      </w:r>
      <w:r w:rsidR="005C3951">
        <w:rPr>
          <w:lang w:val="en-AU"/>
        </w:rPr>
        <w:t>e uses as well as for chillers</w:t>
      </w:r>
      <w:r w:rsidR="008162D1">
        <w:rPr>
          <w:lang w:val="en-AU"/>
        </w:rPr>
        <w:t xml:space="preserve">. </w:t>
      </w:r>
      <w:r w:rsidR="00C86511">
        <w:rPr>
          <w:lang w:val="en-AU"/>
        </w:rPr>
        <w:t>T</w:t>
      </w:r>
      <w:r w:rsidR="7260EB12" w:rsidRPr="45580F0F">
        <w:rPr>
          <w:lang w:val="en-AU"/>
        </w:rPr>
        <w:t xml:space="preserve">he 2019 Task Force </w:t>
      </w:r>
      <w:r w:rsidR="008A6767">
        <w:rPr>
          <w:lang w:val="en-AU"/>
        </w:rPr>
        <w:t>Report</w:t>
      </w:r>
      <w:r w:rsidR="7260EB12" w:rsidRPr="45580F0F">
        <w:rPr>
          <w:lang w:val="en-AU"/>
        </w:rPr>
        <w:t xml:space="preserve"> concluded that it is likely that a resumption of newly produced CFC-11 usage in closed-cell foams</w:t>
      </w:r>
      <w:r w:rsidR="00A3363E">
        <w:rPr>
          <w:lang w:val="en-AU"/>
        </w:rPr>
        <w:t xml:space="preserve"> </w:t>
      </w:r>
      <w:r w:rsidR="009762E4">
        <w:rPr>
          <w:lang w:val="en-AU"/>
        </w:rPr>
        <w:t xml:space="preserve">in some regions </w:t>
      </w:r>
      <w:r w:rsidR="00A3363E">
        <w:rPr>
          <w:lang w:val="en-AU"/>
        </w:rPr>
        <w:t>was the dominant cause for the emission increase after 2012</w:t>
      </w:r>
      <w:r w:rsidR="00F64807">
        <w:rPr>
          <w:lang w:val="en-AU"/>
        </w:rPr>
        <w:t>, due to technical ease and economic advantage of its use</w:t>
      </w:r>
      <w:r w:rsidR="006F2CE0" w:rsidRPr="00997266">
        <w:rPr>
          <w:rStyle w:val="FootnoteReference"/>
        </w:rPr>
        <w:footnoteReference w:id="57"/>
      </w:r>
      <w:r w:rsidR="00A3363E" w:rsidRPr="45580F0F">
        <w:rPr>
          <w:lang w:val="en-AU"/>
        </w:rPr>
        <w:t>.</w:t>
      </w:r>
      <w:r w:rsidR="7260EB12" w:rsidRPr="45580F0F">
        <w:rPr>
          <w:lang w:val="en-AU"/>
        </w:rPr>
        <w:t xml:space="preserve"> </w:t>
      </w:r>
    </w:p>
    <w:p w14:paraId="071B14A8" w14:textId="70589022" w:rsidR="00A3363E" w:rsidRPr="00E63512" w:rsidRDefault="7260EB12" w:rsidP="00A3363E">
      <w:pPr>
        <w:rPr>
          <w:highlight w:val="yellow"/>
          <w:lang w:val="en-AU"/>
        </w:rPr>
      </w:pPr>
      <w:r w:rsidRPr="1A4894E6">
        <w:rPr>
          <w:lang w:val="en-AU"/>
        </w:rPr>
        <w:t xml:space="preserve">The majority of the blowing agent remains trapped in the </w:t>
      </w:r>
      <w:r w:rsidR="00BF120A" w:rsidRPr="1A4894E6">
        <w:rPr>
          <w:lang w:val="en-AU"/>
        </w:rPr>
        <w:t>foam</w:t>
      </w:r>
      <w:r w:rsidR="00062EDD">
        <w:rPr>
          <w:lang w:val="en-AU"/>
        </w:rPr>
        <w:t>’s</w:t>
      </w:r>
      <w:r w:rsidR="00BF120A" w:rsidRPr="1A4894E6">
        <w:rPr>
          <w:lang w:val="en-AU"/>
        </w:rPr>
        <w:t xml:space="preserve"> </w:t>
      </w:r>
      <w:r w:rsidR="00811AEF">
        <w:rPr>
          <w:lang w:val="en-AU"/>
        </w:rPr>
        <w:t>close</w:t>
      </w:r>
      <w:r w:rsidR="00B10D94">
        <w:rPr>
          <w:lang w:val="en-AU"/>
        </w:rPr>
        <w:t xml:space="preserve">d </w:t>
      </w:r>
      <w:r w:rsidR="00811AEF">
        <w:rPr>
          <w:lang w:val="en-AU"/>
        </w:rPr>
        <w:t>cell</w:t>
      </w:r>
      <w:r w:rsidRPr="1A4894E6">
        <w:rPr>
          <w:lang w:val="en-AU"/>
        </w:rPr>
        <w:t xml:space="preserve">s during the product’s operational life. </w:t>
      </w:r>
      <w:r w:rsidR="00B66E59">
        <w:rPr>
          <w:lang w:val="en-AU"/>
        </w:rPr>
        <w:t xml:space="preserve">During </w:t>
      </w:r>
      <w:r w:rsidR="00207A57">
        <w:rPr>
          <w:lang w:val="en-AU"/>
        </w:rPr>
        <w:t>decommissioning</w:t>
      </w:r>
      <w:r w:rsidR="00B66E59">
        <w:rPr>
          <w:lang w:val="en-AU"/>
        </w:rPr>
        <w:t xml:space="preserve">, there is </w:t>
      </w:r>
      <w:r w:rsidR="00A60848">
        <w:rPr>
          <w:lang w:val="en-AU"/>
        </w:rPr>
        <w:t xml:space="preserve">generally a notable </w:t>
      </w:r>
      <w:r w:rsidR="00B66E59">
        <w:rPr>
          <w:lang w:val="en-AU"/>
        </w:rPr>
        <w:t xml:space="preserve">release of a portion </w:t>
      </w:r>
      <w:r w:rsidR="009E2917">
        <w:rPr>
          <w:lang w:val="en-AU"/>
        </w:rPr>
        <w:t>of foam blowing agent; although</w:t>
      </w:r>
      <w:r w:rsidR="002C5A7C">
        <w:rPr>
          <w:lang w:val="en-AU"/>
        </w:rPr>
        <w:t xml:space="preserve">, there are some technologies </w:t>
      </w:r>
      <w:r w:rsidR="00EE390F">
        <w:rPr>
          <w:lang w:val="en-AU"/>
        </w:rPr>
        <w:t xml:space="preserve">such as appliance reclamation </w:t>
      </w:r>
      <w:r w:rsidR="00790D81">
        <w:rPr>
          <w:lang w:val="en-AU"/>
        </w:rPr>
        <w:t>processes that collect the blowing agent</w:t>
      </w:r>
      <w:r w:rsidR="00A748B1">
        <w:rPr>
          <w:lang w:val="en-AU"/>
        </w:rPr>
        <w:t>.</w:t>
      </w:r>
      <w:r w:rsidR="00BF120A" w:rsidRPr="1A4894E6">
        <w:rPr>
          <w:lang w:val="en-AU"/>
        </w:rPr>
        <w:t xml:space="preserve"> </w:t>
      </w:r>
      <w:r w:rsidR="00BF120A">
        <w:rPr>
          <w:lang w:val="en-AU"/>
        </w:rPr>
        <w:t>C</w:t>
      </w:r>
      <w:r w:rsidR="009C0B29" w:rsidRPr="1A4894E6">
        <w:rPr>
          <w:lang w:val="en-AU"/>
        </w:rPr>
        <w:t xml:space="preserve">losed-cell foams are mostly used in building envelopes and in appliances, the rate, timing, and manner of decommissioning </w:t>
      </w:r>
      <w:r w:rsidR="00210E1F">
        <w:rPr>
          <w:lang w:val="en-AU"/>
        </w:rPr>
        <w:t xml:space="preserve">of </w:t>
      </w:r>
      <w:r w:rsidR="00210E1F">
        <w:rPr>
          <w:lang w:val="en-AU"/>
        </w:rPr>
        <w:lastRenderedPageBreak/>
        <w:t xml:space="preserve">buildings and appliances </w:t>
      </w:r>
      <w:r w:rsidR="009C0B29" w:rsidRPr="1A4894E6">
        <w:rPr>
          <w:lang w:val="en-AU"/>
        </w:rPr>
        <w:t xml:space="preserve">determines the </w:t>
      </w:r>
      <w:r w:rsidR="009C0B29" w:rsidRPr="5590BA6B">
        <w:rPr>
          <w:lang w:val="en-AU"/>
        </w:rPr>
        <w:t xml:space="preserve">timing of the </w:t>
      </w:r>
      <w:r w:rsidR="009C0B29" w:rsidRPr="1A4894E6">
        <w:rPr>
          <w:lang w:val="en-AU"/>
        </w:rPr>
        <w:t>release</w:t>
      </w:r>
      <w:r w:rsidR="009A23BA">
        <w:rPr>
          <w:lang w:val="en-AU"/>
        </w:rPr>
        <w:t xml:space="preserve"> </w:t>
      </w:r>
      <w:r w:rsidR="009C0B29" w:rsidRPr="1A4894E6">
        <w:rPr>
          <w:lang w:val="en-AU"/>
        </w:rPr>
        <w:t xml:space="preserve">of </w:t>
      </w:r>
      <w:r w:rsidR="00226A8C">
        <w:rPr>
          <w:lang w:val="en-AU"/>
        </w:rPr>
        <w:t xml:space="preserve">a portion of </w:t>
      </w:r>
      <w:r w:rsidR="009C0B29" w:rsidRPr="1A4894E6">
        <w:rPr>
          <w:lang w:val="en-AU"/>
        </w:rPr>
        <w:t>the blowing agent from the bank</w:t>
      </w:r>
      <w:r w:rsidR="00207A57">
        <w:rPr>
          <w:lang w:val="en-AU"/>
        </w:rPr>
        <w:t>.</w:t>
      </w:r>
      <w:r w:rsidRPr="1A4894E6">
        <w:rPr>
          <w:lang w:val="en-AU"/>
        </w:rPr>
        <w:t xml:space="preserve"> </w:t>
      </w:r>
    </w:p>
    <w:p w14:paraId="425D545C" w14:textId="77777777" w:rsidR="00964B0B" w:rsidRDefault="0033174D" w:rsidP="00043208">
      <w:pPr>
        <w:rPr>
          <w:lang w:val="en-AU"/>
        </w:rPr>
      </w:pPr>
      <w:r>
        <w:rPr>
          <w:lang w:val="en-AU"/>
        </w:rPr>
        <w:t>A</w:t>
      </w:r>
      <w:r w:rsidRPr="45580F0F">
        <w:rPr>
          <w:lang w:val="en-AU"/>
        </w:rPr>
        <w:t xml:space="preserve">dditional information was incorporated in the global emissions model to provide more detail based on region, foam product and varying production and bank handling techniques. </w:t>
      </w:r>
      <w:r w:rsidR="001E21E5">
        <w:rPr>
          <w:lang w:val="en-AU"/>
        </w:rPr>
        <w:t xml:space="preserve">Two modelling techniques were </w:t>
      </w:r>
      <w:r w:rsidR="00964B0B">
        <w:rPr>
          <w:lang w:val="en-AU"/>
        </w:rPr>
        <w:t xml:space="preserve">used in this report. </w:t>
      </w:r>
    </w:p>
    <w:p w14:paraId="2537D8FF" w14:textId="2D5D2C18" w:rsidR="00E648C3" w:rsidRPr="00043208" w:rsidRDefault="00964B0B" w:rsidP="00043208">
      <w:pPr>
        <w:rPr>
          <w:lang w:val="en-AU" w:eastAsia="ja-JP"/>
        </w:rPr>
      </w:pPr>
      <w:r>
        <w:rPr>
          <w:lang w:val="en-AU"/>
        </w:rPr>
        <w:t>A</w:t>
      </w:r>
      <w:r w:rsidR="78800E4B" w:rsidRPr="402BB925">
        <w:rPr>
          <w:lang w:val="en-AU"/>
        </w:rPr>
        <w:t xml:space="preserve"> Weibull distribution for the lifetime of </w:t>
      </w:r>
      <w:r w:rsidR="117583DE" w:rsidRPr="117583DE">
        <w:rPr>
          <w:lang w:val="en-AU"/>
        </w:rPr>
        <w:t xml:space="preserve">closed-cell </w:t>
      </w:r>
      <w:r w:rsidR="128075F5" w:rsidRPr="128075F5">
        <w:rPr>
          <w:lang w:val="en-AU"/>
        </w:rPr>
        <w:t>foams</w:t>
      </w:r>
      <w:r w:rsidR="008E6038">
        <w:rPr>
          <w:lang w:val="en-AU"/>
        </w:rPr>
        <w:t xml:space="preserve"> was used</w:t>
      </w:r>
      <w:r w:rsidR="128075F5" w:rsidRPr="128075F5">
        <w:rPr>
          <w:lang w:val="en-AU"/>
        </w:rPr>
        <w:t xml:space="preserve">, with an average </w:t>
      </w:r>
      <w:r w:rsidR="004E0F62">
        <w:rPr>
          <w:lang w:val="en-AU"/>
        </w:rPr>
        <w:t xml:space="preserve">global </w:t>
      </w:r>
      <w:r w:rsidR="6B4FADDC" w:rsidRPr="6B4FADDC">
        <w:rPr>
          <w:lang w:val="en-AU"/>
        </w:rPr>
        <w:t>lifetime of 30 years</w:t>
      </w:r>
      <w:r w:rsidR="17261C23" w:rsidRPr="17261C23">
        <w:rPr>
          <w:lang w:val="en-AU"/>
        </w:rPr>
        <w:t xml:space="preserve"> and it incorporated a 2% average release rate from the active bank</w:t>
      </w:r>
      <w:r w:rsidR="6B4FADDC" w:rsidRPr="6B4FADDC">
        <w:rPr>
          <w:lang w:val="en-AU"/>
        </w:rPr>
        <w:t xml:space="preserve">. </w:t>
      </w:r>
      <w:r w:rsidR="00C9168C">
        <w:rPr>
          <w:lang w:val="en-AU"/>
        </w:rPr>
        <w:t>An</w:t>
      </w:r>
      <w:r w:rsidR="00615462">
        <w:rPr>
          <w:lang w:val="en-AU"/>
        </w:rPr>
        <w:t xml:space="preserve"> </w:t>
      </w:r>
      <w:r w:rsidR="0097547F">
        <w:rPr>
          <w:lang w:val="en-AU"/>
        </w:rPr>
        <w:t>inventory-based</w:t>
      </w:r>
      <w:r w:rsidR="00615462">
        <w:rPr>
          <w:lang w:val="en-AU"/>
        </w:rPr>
        <w:t xml:space="preserve"> build of regional and product-based </w:t>
      </w:r>
      <w:r w:rsidR="00A37397">
        <w:rPr>
          <w:lang w:val="en-AU"/>
        </w:rPr>
        <w:t xml:space="preserve">lifetimes was also created using the Weibull distribution and </w:t>
      </w:r>
      <w:r w:rsidR="00A3099E">
        <w:rPr>
          <w:lang w:val="en-AU"/>
        </w:rPr>
        <w:t xml:space="preserve">varying lifetimes based on </w:t>
      </w:r>
      <w:r w:rsidR="007211ED">
        <w:rPr>
          <w:lang w:val="en-AU"/>
        </w:rPr>
        <w:t>product</w:t>
      </w:r>
      <w:r w:rsidR="00B2338B">
        <w:rPr>
          <w:lang w:val="en-AU"/>
        </w:rPr>
        <w:t>-type</w:t>
      </w:r>
      <w:r w:rsidR="00A3099E">
        <w:rPr>
          <w:lang w:val="en-AU"/>
        </w:rPr>
        <w:t xml:space="preserve"> and regional use with limited differences in outcome</w:t>
      </w:r>
      <w:r w:rsidR="00F9708B">
        <w:rPr>
          <w:lang w:val="en-AU"/>
        </w:rPr>
        <w:t xml:space="preserve"> and is included in the </w:t>
      </w:r>
      <w:r w:rsidR="00530E90">
        <w:rPr>
          <w:lang w:val="en-AU"/>
        </w:rPr>
        <w:t>A</w:t>
      </w:r>
      <w:r w:rsidR="00F9708B">
        <w:rPr>
          <w:lang w:val="en-AU"/>
        </w:rPr>
        <w:t>ppendix</w:t>
      </w:r>
      <w:r w:rsidR="00530E90">
        <w:rPr>
          <w:lang w:val="en-AU"/>
        </w:rPr>
        <w:t xml:space="preserve"> 3</w:t>
      </w:r>
      <w:r w:rsidR="00A3099E">
        <w:rPr>
          <w:lang w:val="en-AU"/>
        </w:rPr>
        <w:t xml:space="preserve">. Details of the Weibull distribution analysis can be found in the appendices. </w:t>
      </w:r>
      <w:r w:rsidR="00095FFC" w:rsidRPr="006A5E82">
        <w:t>Note that anaerobic degradation or bioremediation have not been incorporated into any of the models in this report which has been theorized to potentially reduce emissions of CFC-11 from landfills</w:t>
      </w:r>
      <w:r w:rsidR="00067CE9" w:rsidRPr="006A5E82">
        <w:rPr>
          <w:rStyle w:val="FootnoteReference"/>
        </w:rPr>
        <w:footnoteReference w:id="58"/>
      </w:r>
      <w:r w:rsidR="00095FFC" w:rsidRPr="006A5E82">
        <w:t>.</w:t>
      </w:r>
    </w:p>
    <w:p w14:paraId="398D034B" w14:textId="71D3B4F5" w:rsidR="000B4AF0" w:rsidRDefault="000B4AF0" w:rsidP="00751ECE">
      <w:pPr>
        <w:pStyle w:val="Heading3"/>
      </w:pPr>
      <w:bookmarkStart w:id="147" w:name="_Toc73045604"/>
      <w:r>
        <w:t>2.3.3</w:t>
      </w:r>
      <w:r>
        <w:tab/>
      </w:r>
      <w:r w:rsidR="7260EB12" w:rsidRPr="7260EB12">
        <w:t>Emissive uses</w:t>
      </w:r>
      <w:r w:rsidR="00B3280D">
        <w:t xml:space="preserve"> (aerosols, open-cell foams</w:t>
      </w:r>
      <w:r w:rsidR="006F2779">
        <w:t>, tobacco expansion)</w:t>
      </w:r>
      <w:bookmarkEnd w:id="147"/>
    </w:p>
    <w:p w14:paraId="6496D622" w14:textId="0F762325" w:rsidR="002313D4" w:rsidRDefault="7260EB12" w:rsidP="7260EB12">
      <w:pPr>
        <w:rPr>
          <w:lang w:val="en-US"/>
        </w:rPr>
      </w:pPr>
      <w:r w:rsidRPr="398767E3">
        <w:rPr>
          <w:lang w:val="en-US"/>
        </w:rPr>
        <w:t xml:space="preserve">CFC-11 was </w:t>
      </w:r>
      <w:r w:rsidR="00B3695F">
        <w:rPr>
          <w:lang w:val="en-US"/>
        </w:rPr>
        <w:t xml:space="preserve">sold </w:t>
      </w:r>
      <w:r w:rsidR="003F2514">
        <w:rPr>
          <w:lang w:val="en-US"/>
        </w:rPr>
        <w:t>for use in</w:t>
      </w:r>
      <w:r w:rsidRPr="398767E3">
        <w:rPr>
          <w:lang w:val="en-US"/>
        </w:rPr>
        <w:t xml:space="preserve"> several highly emissive applications. The main use of CFCs until the 1980s was as a pressurized </w:t>
      </w:r>
      <w:r w:rsidR="00A95EB6">
        <w:rPr>
          <w:lang w:val="en-US"/>
        </w:rPr>
        <w:t xml:space="preserve">propellant </w:t>
      </w:r>
      <w:r w:rsidRPr="398767E3">
        <w:rPr>
          <w:lang w:val="en-US"/>
        </w:rPr>
        <w:t>liquid in aerosols</w:t>
      </w:r>
      <w:r w:rsidR="00F74E1F">
        <w:rPr>
          <w:lang w:val="en-US"/>
        </w:rPr>
        <w:t xml:space="preserve"> and for o</w:t>
      </w:r>
      <w:r w:rsidRPr="398767E3">
        <w:rPr>
          <w:lang w:val="en-US"/>
        </w:rPr>
        <w:t xml:space="preserve">ther </w:t>
      </w:r>
      <w:r w:rsidR="008E71FE">
        <w:rPr>
          <w:lang w:val="en-US"/>
        </w:rPr>
        <w:t xml:space="preserve">emissive </w:t>
      </w:r>
      <w:r w:rsidRPr="398767E3">
        <w:rPr>
          <w:lang w:val="en-US"/>
        </w:rPr>
        <w:t>applications includ</w:t>
      </w:r>
      <w:r w:rsidR="004C6F54">
        <w:rPr>
          <w:lang w:val="en-US"/>
        </w:rPr>
        <w:t>ing</w:t>
      </w:r>
      <w:r w:rsidRPr="398767E3">
        <w:rPr>
          <w:lang w:val="en-US"/>
        </w:rPr>
        <w:t xml:space="preserve"> open-cell foams, and </w:t>
      </w:r>
      <w:r w:rsidR="008E71FE">
        <w:rPr>
          <w:lang w:val="en-US"/>
        </w:rPr>
        <w:t>tobacco expansion</w:t>
      </w:r>
      <w:r w:rsidRPr="398767E3">
        <w:rPr>
          <w:lang w:val="en-US"/>
        </w:rPr>
        <w:t xml:space="preserve">. These applications are characterized as </w:t>
      </w:r>
      <w:r w:rsidR="002A35E2">
        <w:rPr>
          <w:lang w:val="en-US"/>
        </w:rPr>
        <w:t xml:space="preserve">being </w:t>
      </w:r>
      <w:r w:rsidRPr="398767E3">
        <w:rPr>
          <w:lang w:val="en-US"/>
        </w:rPr>
        <w:t xml:space="preserve">highly emissive because the vast majority of CFC-11 is emitted </w:t>
      </w:r>
      <w:r w:rsidR="00F51F77">
        <w:rPr>
          <w:lang w:val="en-US"/>
        </w:rPr>
        <w:t xml:space="preserve">during </w:t>
      </w:r>
      <w:r w:rsidR="00101013">
        <w:rPr>
          <w:lang w:val="en-US"/>
        </w:rPr>
        <w:t xml:space="preserve">product manufacture or </w:t>
      </w:r>
      <w:r w:rsidR="00757669">
        <w:rPr>
          <w:lang w:val="en-US"/>
        </w:rPr>
        <w:t xml:space="preserve">product </w:t>
      </w:r>
      <w:r w:rsidR="00F51F77">
        <w:rPr>
          <w:lang w:val="en-US"/>
        </w:rPr>
        <w:t>usage</w:t>
      </w:r>
      <w:r w:rsidRPr="398767E3">
        <w:rPr>
          <w:lang w:val="en-US"/>
        </w:rPr>
        <w:t xml:space="preserve">. </w:t>
      </w:r>
      <w:r w:rsidR="00C92EA5">
        <w:rPr>
          <w:lang w:val="en-US"/>
        </w:rPr>
        <w:t>T</w:t>
      </w:r>
      <w:r w:rsidRPr="398767E3">
        <w:rPr>
          <w:lang w:val="en-US"/>
        </w:rPr>
        <w:t xml:space="preserve">here </w:t>
      </w:r>
      <w:r w:rsidR="00A7359A">
        <w:rPr>
          <w:lang w:val="en-US"/>
        </w:rPr>
        <w:t>have been</w:t>
      </w:r>
      <w:r w:rsidR="00A7359A" w:rsidRPr="398767E3">
        <w:rPr>
          <w:lang w:val="en-US"/>
        </w:rPr>
        <w:t xml:space="preserve"> </w:t>
      </w:r>
      <w:r w:rsidRPr="398767E3">
        <w:rPr>
          <w:lang w:val="en-US"/>
        </w:rPr>
        <w:t>cost-effective, suitable alternatives to CFC-11 in these uses</w:t>
      </w:r>
      <w:r w:rsidR="00A7359A">
        <w:rPr>
          <w:lang w:val="en-US"/>
        </w:rPr>
        <w:t xml:space="preserve"> for more than 20 years</w:t>
      </w:r>
      <w:r w:rsidR="00C54DB0">
        <w:rPr>
          <w:lang w:val="en-US"/>
        </w:rPr>
        <w:t xml:space="preserve">. </w:t>
      </w:r>
      <w:r w:rsidR="00C84A57">
        <w:rPr>
          <w:lang w:val="en-US"/>
        </w:rPr>
        <w:t>It is unlikely that any significant</w:t>
      </w:r>
      <w:r w:rsidR="007C4EB5" w:rsidRPr="398767E3">
        <w:rPr>
          <w:lang w:val="en-US"/>
        </w:rPr>
        <w:t xml:space="preserve"> </w:t>
      </w:r>
      <w:r w:rsidRPr="398767E3">
        <w:rPr>
          <w:lang w:val="en-US"/>
        </w:rPr>
        <w:t>resulting banks</w:t>
      </w:r>
      <w:r w:rsidR="00C84A57">
        <w:rPr>
          <w:lang w:val="en-US"/>
        </w:rPr>
        <w:t xml:space="preserve"> remain for this</w:t>
      </w:r>
      <w:r w:rsidRPr="398767E3">
        <w:rPr>
          <w:lang w:val="en-US"/>
        </w:rPr>
        <w:t xml:space="preserve"> </w:t>
      </w:r>
      <w:r w:rsidR="006F2779">
        <w:rPr>
          <w:lang w:val="en-US"/>
        </w:rPr>
        <w:t>market sector</w:t>
      </w:r>
      <w:r w:rsidR="00AD7FCF">
        <w:rPr>
          <w:lang w:val="en-US"/>
        </w:rPr>
        <w:t>.</w:t>
      </w:r>
      <w:r w:rsidR="006F2779">
        <w:rPr>
          <w:lang w:val="en-US"/>
        </w:rPr>
        <w:t xml:space="preserve"> </w:t>
      </w:r>
      <w:r w:rsidR="00C84A57">
        <w:rPr>
          <w:lang w:val="en-US"/>
        </w:rPr>
        <w:t>T</w:t>
      </w:r>
      <w:r w:rsidRPr="398767E3">
        <w:rPr>
          <w:lang w:val="en-US"/>
        </w:rPr>
        <w:t xml:space="preserve">he </w:t>
      </w:r>
      <w:r w:rsidR="00727DBE">
        <w:rPr>
          <w:lang w:val="en-US"/>
        </w:rPr>
        <w:t>T</w:t>
      </w:r>
      <w:r w:rsidRPr="398767E3">
        <w:rPr>
          <w:lang w:val="en-US"/>
        </w:rPr>
        <w:t xml:space="preserve">ask </w:t>
      </w:r>
      <w:r w:rsidR="00727DBE">
        <w:rPr>
          <w:lang w:val="en-US"/>
        </w:rPr>
        <w:t>F</w:t>
      </w:r>
      <w:r w:rsidRPr="398767E3">
        <w:rPr>
          <w:lang w:val="en-US"/>
        </w:rPr>
        <w:t xml:space="preserve">orce did not </w:t>
      </w:r>
      <w:r w:rsidR="00127468">
        <w:rPr>
          <w:lang w:val="en-US"/>
        </w:rPr>
        <w:t>make</w:t>
      </w:r>
      <w:r w:rsidR="00127468" w:rsidRPr="398767E3">
        <w:rPr>
          <w:lang w:val="en-US"/>
        </w:rPr>
        <w:t xml:space="preserve"> </w:t>
      </w:r>
      <w:r w:rsidR="007C4EB5">
        <w:rPr>
          <w:lang w:val="en-US"/>
        </w:rPr>
        <w:t xml:space="preserve">any </w:t>
      </w:r>
      <w:r w:rsidRPr="398767E3">
        <w:rPr>
          <w:lang w:val="en-US"/>
        </w:rPr>
        <w:t xml:space="preserve">additional </w:t>
      </w:r>
      <w:r w:rsidR="00127468">
        <w:rPr>
          <w:lang w:val="en-US"/>
        </w:rPr>
        <w:t>refinements</w:t>
      </w:r>
      <w:r w:rsidR="00127468" w:rsidRPr="398767E3">
        <w:rPr>
          <w:lang w:val="en-US"/>
        </w:rPr>
        <w:t xml:space="preserve"> </w:t>
      </w:r>
      <w:r w:rsidRPr="398767E3">
        <w:rPr>
          <w:lang w:val="en-US"/>
        </w:rPr>
        <w:t>to these uses in the model.</w:t>
      </w:r>
    </w:p>
    <w:p w14:paraId="45F06D69" w14:textId="1AA98069" w:rsidR="007F2474" w:rsidRPr="00B3280D" w:rsidRDefault="007F2474" w:rsidP="00751ECE">
      <w:pPr>
        <w:pStyle w:val="Heading3"/>
      </w:pPr>
      <w:bookmarkStart w:id="148" w:name="_Toc73045605"/>
      <w:r w:rsidRPr="00B3280D">
        <w:t>2.3.4</w:t>
      </w:r>
      <w:r w:rsidRPr="00B3280D">
        <w:tab/>
        <w:t>CFC-</w:t>
      </w:r>
      <w:r w:rsidR="00F83EE7" w:rsidRPr="00B3280D">
        <w:t>11 production</w:t>
      </w:r>
      <w:bookmarkEnd w:id="148"/>
      <w:r w:rsidR="00F83EE7" w:rsidRPr="00B3280D">
        <w:t xml:space="preserve"> </w:t>
      </w:r>
    </w:p>
    <w:p w14:paraId="102696DA" w14:textId="22F10FC1" w:rsidR="00A709D4" w:rsidRPr="00A709D4" w:rsidRDefault="5590BA6B" w:rsidP="00043208">
      <w:pPr>
        <w:rPr>
          <w:lang w:val="en-US"/>
        </w:rPr>
      </w:pPr>
      <w:r w:rsidRPr="5590BA6B">
        <w:rPr>
          <w:lang w:val="en-US"/>
        </w:rPr>
        <w:t xml:space="preserve">In both the 2019 Task Force </w:t>
      </w:r>
      <w:r w:rsidR="007C190A">
        <w:rPr>
          <w:lang w:val="en-US"/>
        </w:rPr>
        <w:t>R</w:t>
      </w:r>
      <w:r w:rsidRPr="5590BA6B">
        <w:rPr>
          <w:lang w:val="en-US"/>
        </w:rPr>
        <w:t>eport</w:t>
      </w:r>
      <w:r w:rsidR="002373A6">
        <w:rPr>
          <w:lang w:val="en-US"/>
        </w:rPr>
        <w:t xml:space="preserve"> and the 2021 Task Force Report</w:t>
      </w:r>
      <w:r w:rsidRPr="5590BA6B">
        <w:rPr>
          <w:lang w:val="en-US"/>
        </w:rPr>
        <w:t>, AFEAS data and data from the Ozone Secretariat were combined with additional data from parties</w:t>
      </w:r>
      <w:r w:rsidR="4B2441A4" w:rsidRPr="4B2441A4">
        <w:rPr>
          <w:lang w:val="en-US"/>
        </w:rPr>
        <w:t xml:space="preserve"> to build a production model. </w:t>
      </w:r>
    </w:p>
    <w:p w14:paraId="4229C20A" w14:textId="328A4D73" w:rsidR="002313D4" w:rsidRPr="00E63512" w:rsidRDefault="398767E3" w:rsidP="00751ECE">
      <w:pPr>
        <w:pStyle w:val="Heading2"/>
        <w:rPr>
          <w:color w:val="000000" w:themeColor="text1"/>
          <w:szCs w:val="28"/>
        </w:rPr>
      </w:pPr>
      <w:bookmarkStart w:id="149" w:name="_Toc73045606"/>
      <w:r w:rsidRPr="00CD0A17">
        <w:t>2.</w:t>
      </w:r>
      <w:r w:rsidR="00BC5C12">
        <w:t>4</w:t>
      </w:r>
      <w:r w:rsidR="00C150B7">
        <w:tab/>
      </w:r>
      <w:r w:rsidRPr="00CD0A17">
        <w:t xml:space="preserve">CFC-11 </w:t>
      </w:r>
      <w:r w:rsidR="00C150B7">
        <w:t>e</w:t>
      </w:r>
      <w:r w:rsidRPr="00CD0A17">
        <w:t xml:space="preserve">missions and </w:t>
      </w:r>
      <w:r w:rsidR="00C150B7">
        <w:t>b</w:t>
      </w:r>
      <w:r w:rsidRPr="00CD0A17">
        <w:t>anks based on the updated methodology</w:t>
      </w:r>
      <w:bookmarkEnd w:id="149"/>
    </w:p>
    <w:p w14:paraId="7BCC042B" w14:textId="72DD406B" w:rsidR="002313D4" w:rsidRPr="00E63512" w:rsidRDefault="00351BDF" w:rsidP="7260EB12">
      <w:r>
        <w:rPr>
          <w:lang w:val="en-US"/>
        </w:rPr>
        <w:t>The</w:t>
      </w:r>
      <w:r w:rsidR="4F66A1AC" w:rsidRPr="4F66A1AC">
        <w:rPr>
          <w:lang w:val="en-US"/>
        </w:rPr>
        <w:t xml:space="preserve"> Task Force incorporated</w:t>
      </w:r>
      <w:r w:rsidR="398767E3" w:rsidRPr="6F3C6FA3">
        <w:rPr>
          <w:lang w:val="en-US"/>
        </w:rPr>
        <w:t xml:space="preserve"> updated atmospherically derived emissions </w:t>
      </w:r>
      <w:r w:rsidR="398767E3">
        <w:t>estimates from 1979 through 2019 based on AGAGE data from Engel and Rigby</w:t>
      </w:r>
      <w:r w:rsidR="398767E3" w:rsidRPr="6F3C6FA3">
        <w:rPr>
          <w:i/>
        </w:rPr>
        <w:t xml:space="preserve"> et al</w:t>
      </w:r>
      <w:r w:rsidR="398767E3">
        <w:t>., 2018</w:t>
      </w:r>
      <w:r w:rsidR="008542F5" w:rsidRPr="06CB019C">
        <w:rPr>
          <w:vertAlign w:val="superscript"/>
        </w:rPr>
        <w:footnoteReference w:id="59"/>
      </w:r>
      <w:r>
        <w:t xml:space="preserve"> into this </w:t>
      </w:r>
      <w:r w:rsidR="00B712A6">
        <w:t>analysis</w:t>
      </w:r>
      <w:r w:rsidR="002A152E">
        <w:t>.</w:t>
      </w:r>
      <w:r w:rsidR="398767E3">
        <w:t xml:space="preserve"> </w:t>
      </w:r>
      <w:r w:rsidR="398767E3">
        <w:lastRenderedPageBreak/>
        <w:t xml:space="preserve">The data is derived from a 12-box model, assuming a </w:t>
      </w:r>
      <w:r w:rsidR="00BE7E7E">
        <w:t xml:space="preserve">constant </w:t>
      </w:r>
      <w:r w:rsidR="398767E3">
        <w:t>52-year atmospheric lifetime of CFC-11</w:t>
      </w:r>
      <w:r w:rsidR="00AB5DE4">
        <w:rPr>
          <w:rStyle w:val="FootnoteReference"/>
        </w:rPr>
        <w:footnoteReference w:id="60"/>
      </w:r>
      <w:r w:rsidR="398767E3">
        <w:t>.</w:t>
      </w:r>
      <w:r w:rsidR="00AD4222">
        <w:t xml:space="preserve"> </w:t>
      </w:r>
    </w:p>
    <w:p w14:paraId="07E13526" w14:textId="5370468D" w:rsidR="002313D4" w:rsidRPr="00E63512" w:rsidRDefault="398767E3" w:rsidP="7260EB12">
      <w:r w:rsidRPr="6F3C6FA3">
        <w:rPr>
          <w:lang w:val="en-US"/>
        </w:rPr>
        <w:t xml:space="preserve">The </w:t>
      </w:r>
      <w:r w:rsidR="779C9A5F" w:rsidRPr="779C9A5F">
        <w:rPr>
          <w:lang w:val="en-US"/>
        </w:rPr>
        <w:t>refined</w:t>
      </w:r>
      <w:r w:rsidR="1061C58E" w:rsidRPr="1061C58E">
        <w:rPr>
          <w:lang w:val="en-US"/>
        </w:rPr>
        <w:t xml:space="preserve"> TEAP inventory</w:t>
      </w:r>
      <w:r w:rsidRPr="6F3C6FA3">
        <w:rPr>
          <w:lang w:val="en-US"/>
        </w:rPr>
        <w:t xml:space="preserve"> model calculates expected emissions and bank magnitudes based on </w:t>
      </w:r>
      <w:r w:rsidR="60F2241A" w:rsidRPr="60F2241A">
        <w:rPr>
          <w:lang w:val="en-US"/>
        </w:rPr>
        <w:t>an</w:t>
      </w:r>
      <w:r w:rsidRPr="6F3C6FA3">
        <w:rPr>
          <w:lang w:val="en-US"/>
        </w:rPr>
        <w:t xml:space="preserve"> understanding of industry practices, release rates during different stages of each product type’s lifecycle, and </w:t>
      </w:r>
      <w:r w:rsidR="42920BEF" w:rsidRPr="42920BEF">
        <w:rPr>
          <w:lang w:val="en-US"/>
        </w:rPr>
        <w:t xml:space="preserve">refrigerant </w:t>
      </w:r>
      <w:r w:rsidRPr="6F3C6FA3">
        <w:rPr>
          <w:lang w:val="en-US"/>
        </w:rPr>
        <w:t xml:space="preserve">management during operation and at end-of-life. </w:t>
      </w:r>
    </w:p>
    <w:p w14:paraId="78C89046" w14:textId="6FCC179B" w:rsidR="00EA3350" w:rsidRDefault="398767E3" w:rsidP="398767E3">
      <w:r w:rsidRPr="6F3C6FA3">
        <w:rPr>
          <w:lang w:val="en-US"/>
        </w:rPr>
        <w:t xml:space="preserve">Without incorporating additional production from the unexpected emissions increase after 2012, the </w:t>
      </w:r>
      <w:r w:rsidR="1061C58E" w:rsidRPr="1061C58E">
        <w:rPr>
          <w:lang w:val="en-US"/>
        </w:rPr>
        <w:t xml:space="preserve">inventory </w:t>
      </w:r>
      <w:r w:rsidRPr="6F3C6FA3">
        <w:rPr>
          <w:lang w:val="en-US"/>
        </w:rPr>
        <w:t xml:space="preserve">model yields a </w:t>
      </w:r>
      <w:r w:rsidR="00E22846">
        <w:rPr>
          <w:lang w:val="en-US"/>
        </w:rPr>
        <w:t xml:space="preserve">CFC-11 </w:t>
      </w:r>
      <w:r w:rsidRPr="6F3C6FA3">
        <w:rPr>
          <w:lang w:val="en-US"/>
        </w:rPr>
        <w:t xml:space="preserve">bank in 2019 of </w:t>
      </w:r>
      <w:r w:rsidR="17261C23" w:rsidRPr="17261C23">
        <w:rPr>
          <w:lang w:val="en-US"/>
        </w:rPr>
        <w:t>1</w:t>
      </w:r>
      <w:r w:rsidR="00281A0A">
        <w:rPr>
          <w:lang w:val="en-US"/>
        </w:rPr>
        <w:t xml:space="preserve">500 </w:t>
      </w:r>
      <w:r w:rsidR="0022796C">
        <w:rPr>
          <w:lang w:val="en-US"/>
        </w:rPr>
        <w:t>±</w:t>
      </w:r>
      <w:r w:rsidR="00281A0A">
        <w:rPr>
          <w:lang w:val="en-US"/>
        </w:rPr>
        <w:t xml:space="preserve"> 100</w:t>
      </w:r>
      <w:r w:rsidR="17261C23" w:rsidRPr="17261C23">
        <w:rPr>
          <w:lang w:val="en-US"/>
        </w:rPr>
        <w:t xml:space="preserve"> </w:t>
      </w:r>
      <w:proofErr w:type="spellStart"/>
      <w:r w:rsidR="0066398F">
        <w:rPr>
          <w:lang w:val="en-US"/>
        </w:rPr>
        <w:t>kilotonnes</w:t>
      </w:r>
      <w:proofErr w:type="spellEnd"/>
      <w:r w:rsidRPr="6F3C6FA3">
        <w:rPr>
          <w:lang w:val="en-US"/>
        </w:rPr>
        <w:t xml:space="preserve"> and </w:t>
      </w:r>
      <w:r w:rsidR="00D64D17">
        <w:rPr>
          <w:lang w:val="en-US"/>
        </w:rPr>
        <w:t>22</w:t>
      </w:r>
      <w:r w:rsidR="0022796C">
        <w:rPr>
          <w:lang w:val="en-US"/>
        </w:rPr>
        <w:t xml:space="preserve"> ± </w:t>
      </w:r>
      <w:r w:rsidR="00753ED0">
        <w:rPr>
          <w:lang w:val="en-US"/>
        </w:rPr>
        <w:t>7</w:t>
      </w:r>
      <w:r w:rsidRPr="6F3C6FA3">
        <w:rPr>
          <w:lang w:val="en-US"/>
        </w:rPr>
        <w:t xml:space="preserve"> </w:t>
      </w:r>
      <w:proofErr w:type="spellStart"/>
      <w:r w:rsidR="00324706">
        <w:rPr>
          <w:lang w:val="en-US"/>
        </w:rPr>
        <w:t>kilotonnes</w:t>
      </w:r>
      <w:proofErr w:type="spellEnd"/>
      <w:r w:rsidRPr="6F3C6FA3">
        <w:rPr>
          <w:lang w:val="en-US"/>
        </w:rPr>
        <w:t xml:space="preserve"> of CFC-11 emissions. </w:t>
      </w:r>
      <w:r w:rsidR="17261C23">
        <w:t>The Task Force investigated a range of assumptions</w:t>
      </w:r>
      <w:r w:rsidR="00BD47DB">
        <w:t>,</w:t>
      </w:r>
      <w:r w:rsidR="17261C23">
        <w:t xml:space="preserve"> </w:t>
      </w:r>
      <w:r w:rsidR="00BD47DB" w:rsidRPr="00BD47DB">
        <w:t xml:space="preserve">resulting in the range </w:t>
      </w:r>
      <w:r w:rsidR="00BD47DB">
        <w:t xml:space="preserve">of emissions </w:t>
      </w:r>
      <w:r w:rsidR="00757933">
        <w:t xml:space="preserve">uncertainties </w:t>
      </w:r>
      <w:r w:rsidR="00BD47DB" w:rsidRPr="00BD47DB">
        <w:t>represented</w:t>
      </w:r>
      <w:r w:rsidR="00BD47DB">
        <w:t xml:space="preserve"> by </w:t>
      </w:r>
      <w:r w:rsidR="17261C23">
        <w:t>the blue ribbon</w:t>
      </w:r>
      <w:r w:rsidR="002A74E4">
        <w:t xml:space="preserve"> in Figure 2.2</w:t>
      </w:r>
      <w:r w:rsidR="17261C23">
        <w:t xml:space="preserve"> (see Appendix </w:t>
      </w:r>
      <w:r w:rsidR="001463EE">
        <w:t>2</w:t>
      </w:r>
      <w:r w:rsidR="17261C23">
        <w:t xml:space="preserve"> for details). </w:t>
      </w:r>
    </w:p>
    <w:p w14:paraId="6E0A5A3F" w14:textId="0E5DEFF7" w:rsidR="0099262E" w:rsidRDefault="00EA3350" w:rsidP="398767E3">
      <w:pPr>
        <w:rPr>
          <w:lang w:val="en-US"/>
        </w:rPr>
      </w:pPr>
      <w:r>
        <w:t xml:space="preserve">A </w:t>
      </w:r>
      <w:r w:rsidR="00ED6A90">
        <w:t xml:space="preserve">mid-range </w:t>
      </w:r>
      <w:r>
        <w:t xml:space="preserve">scenario was developed </w:t>
      </w:r>
      <w:r w:rsidR="0049781A">
        <w:t>by the 2019 Task Force</w:t>
      </w:r>
      <w:r w:rsidR="001002E5">
        <w:t xml:space="preserve"> titled the “most-likely” scen</w:t>
      </w:r>
      <w:r w:rsidR="00C06649">
        <w:t>ario u</w:t>
      </w:r>
      <w:r w:rsidR="00ED6A90">
        <w:t>sing assumptions</w:t>
      </w:r>
      <w:r w:rsidR="00292293">
        <w:t xml:space="preserve"> </w:t>
      </w:r>
      <w:r w:rsidR="00B95CCD">
        <w:t xml:space="preserve">defined by </w:t>
      </w:r>
      <w:r w:rsidR="00664475">
        <w:t>that</w:t>
      </w:r>
      <w:r w:rsidR="00B95CCD">
        <w:t xml:space="preserve"> </w:t>
      </w:r>
      <w:r w:rsidR="00E21A7E">
        <w:t>T</w:t>
      </w:r>
      <w:r w:rsidR="00B95CCD">
        <w:t xml:space="preserve">ask </w:t>
      </w:r>
      <w:r w:rsidR="00E21A7E">
        <w:t>F</w:t>
      </w:r>
      <w:r w:rsidR="00B95CCD">
        <w:t>orce</w:t>
      </w:r>
      <w:r w:rsidR="00681559">
        <w:t xml:space="preserve">. </w:t>
      </w:r>
      <w:r w:rsidR="17261C23">
        <w:t>The “most-likely” scenario is illustrated</w:t>
      </w:r>
      <w:r w:rsidR="000144DB">
        <w:t xml:space="preserve"> </w:t>
      </w:r>
      <w:r w:rsidR="00CD6EB7">
        <w:t>i</w:t>
      </w:r>
      <w:r w:rsidR="00C616E8">
        <w:t>n the Figure below</w:t>
      </w:r>
      <w:r w:rsidR="00CD6EB7" w:rsidRPr="6F3C6FA3">
        <w:rPr>
          <w:lang w:val="en-US"/>
        </w:rPr>
        <w:t xml:space="preserve"> </w:t>
      </w:r>
      <w:r w:rsidR="17261C23" w:rsidRPr="17261C23">
        <w:rPr>
          <w:lang w:val="en-US"/>
        </w:rPr>
        <w:t xml:space="preserve">as </w:t>
      </w:r>
      <w:r w:rsidR="398767E3" w:rsidRPr="6F3C6FA3">
        <w:rPr>
          <w:lang w:val="en-US"/>
        </w:rPr>
        <w:t xml:space="preserve">the solid blue line. </w:t>
      </w:r>
      <w:r w:rsidR="0099262E" w:rsidRPr="001640EC">
        <w:rPr>
          <w:lang w:val="en-US"/>
        </w:rPr>
        <w:t xml:space="preserve">The emissions predicted by the model are particularly sensitive to the assumptions made regarding the level of potential increased production over the years (i.e., where production was assumed to be higher than reported), the installation emissions rates, as well as the emissions rates from rigid foam banks. In the later years, the model is also sensitive to the lifetime of chillers and foams as well as the emissions rate from the inactive foam bank. The full range of uncertainty has not been probed here, but the calculations are illustrative of expected </w:t>
      </w:r>
      <w:proofErr w:type="spellStart"/>
      <w:r w:rsidR="0099262E" w:rsidRPr="001640EC">
        <w:rPr>
          <w:lang w:val="en-US"/>
        </w:rPr>
        <w:t>behavio</w:t>
      </w:r>
      <w:r w:rsidR="00956A52" w:rsidRPr="001640EC">
        <w:rPr>
          <w:lang w:val="en-US"/>
        </w:rPr>
        <w:t>u</w:t>
      </w:r>
      <w:r w:rsidR="0099262E" w:rsidRPr="001640EC">
        <w:rPr>
          <w:lang w:val="en-US"/>
        </w:rPr>
        <w:t>r</w:t>
      </w:r>
      <w:proofErr w:type="spellEnd"/>
      <w:r w:rsidR="0099262E" w:rsidRPr="00557556">
        <w:rPr>
          <w:lang w:val="en-US"/>
        </w:rPr>
        <w:t>.</w:t>
      </w:r>
      <w:r w:rsidR="00EC4CC3">
        <w:rPr>
          <w:lang w:val="en-US"/>
        </w:rPr>
        <w:t xml:space="preserve"> </w:t>
      </w:r>
    </w:p>
    <w:p w14:paraId="349E87A0" w14:textId="30023C28" w:rsidR="009271ED" w:rsidRPr="009271ED" w:rsidRDefault="398767E3" w:rsidP="009271ED">
      <w:pPr>
        <w:rPr>
          <w:lang w:val="en-US"/>
        </w:rPr>
      </w:pPr>
      <w:r w:rsidRPr="6F3C6FA3">
        <w:rPr>
          <w:lang w:val="en-US"/>
        </w:rPr>
        <w:t>The purple shaded area indicates the range of atmospherically</w:t>
      </w:r>
      <w:r w:rsidR="00DB3194">
        <w:rPr>
          <w:lang w:val="en-US"/>
        </w:rPr>
        <w:t xml:space="preserve"> </w:t>
      </w:r>
      <w:r w:rsidRPr="6F3C6FA3">
        <w:rPr>
          <w:lang w:val="en-US"/>
        </w:rPr>
        <w:t xml:space="preserve">derived CFC-11 emissions, whereas the dashed line indicates the mean atmospherically derived emissions. </w:t>
      </w:r>
      <w:r w:rsidR="00212BB3">
        <w:rPr>
          <w:lang w:val="en-US"/>
        </w:rPr>
        <w:t xml:space="preserve">The purple uncertainty region would be larger if uncertainties and time-dependence in atmospheric lifetimes were considered </w:t>
      </w:r>
      <w:r w:rsidR="0057744E">
        <w:rPr>
          <w:lang w:val="en-US"/>
        </w:rPr>
        <w:t>with</w:t>
      </w:r>
      <w:r w:rsidR="00212BB3">
        <w:rPr>
          <w:lang w:val="en-US"/>
        </w:rPr>
        <w:t xml:space="preserve"> a single constant value of 52 years</w:t>
      </w:r>
      <w:r w:rsidR="00A3413A">
        <w:rPr>
          <w:rStyle w:val="FootnoteReference"/>
          <w:lang w:val="en-US"/>
        </w:rPr>
        <w:footnoteReference w:id="61"/>
      </w:r>
      <w:r w:rsidR="00212BB3">
        <w:rPr>
          <w:lang w:val="en-US"/>
        </w:rPr>
        <w:t>.</w:t>
      </w:r>
      <w:r w:rsidR="0076055D">
        <w:rPr>
          <w:lang w:val="en-US"/>
        </w:rPr>
        <w:t xml:space="preserve"> </w:t>
      </w:r>
    </w:p>
    <w:p w14:paraId="26EF504E" w14:textId="726CB35F" w:rsidR="009C14FB" w:rsidRDefault="00F50CF7" w:rsidP="00F50CF7">
      <w:r>
        <w:t xml:space="preserve">The refinement of the model yielded similar results compared to the 2019 Task Force </w:t>
      </w:r>
      <w:r w:rsidR="00D7297B">
        <w:t>R</w:t>
      </w:r>
      <w:r>
        <w:t xml:space="preserve">eport. The following Figures compare the results of the current model with the 2019 Task Force Report. The purple line indicates current modelling, whereas the blue indicates the results presented in the </w:t>
      </w:r>
      <w:r w:rsidR="008A6767">
        <w:t>2019 Task Force Report</w:t>
      </w:r>
      <w:r>
        <w:t xml:space="preserve">. The use of a lifetime distribution for both chillers and closed-cell foams resulted in a more stable emissions curve. </w:t>
      </w:r>
    </w:p>
    <w:p w14:paraId="074FE372" w14:textId="4F2A41D7" w:rsidR="007E0743" w:rsidRDefault="009C14FB" w:rsidP="007E0743">
      <w:r>
        <w:rPr>
          <w:lang w:val="en-AU"/>
        </w:rPr>
        <w:t xml:space="preserve">Less than 8% of the AFEAS CFC-11 sales data were reportedly sold for use in chillers. The overall bank of CFC-11 used in chillers was consequently estimated to be comparatively small compared to the banks for closed-call foam after 1970. However, the simple average used for lifetimes in the model in the 2019 Task Force </w:t>
      </w:r>
      <w:r w:rsidR="008A6767">
        <w:rPr>
          <w:lang w:val="en-AU"/>
        </w:rPr>
        <w:t>Report</w:t>
      </w:r>
      <w:r>
        <w:rPr>
          <w:lang w:val="en-AU"/>
        </w:rPr>
        <w:t xml:space="preserve"> clustered decommissioning of chillers such that there was a noticeable increase in emissions from 2008 to 2011. The Weibull distribution eliminates the </w:t>
      </w:r>
      <w:r w:rsidR="00C6594C">
        <w:rPr>
          <w:lang w:val="en-AU"/>
        </w:rPr>
        <w:t>discrete</w:t>
      </w:r>
      <w:r w:rsidR="0076055D">
        <w:rPr>
          <w:lang w:val="en-AU"/>
        </w:rPr>
        <w:t xml:space="preserve"> </w:t>
      </w:r>
      <w:r>
        <w:rPr>
          <w:lang w:val="en-AU"/>
        </w:rPr>
        <w:t>emissions peaks during decommissioning introduced by the simple average</w:t>
      </w:r>
    </w:p>
    <w:p w14:paraId="055B7E92" w14:textId="60DE8CF7" w:rsidR="00F50CF7" w:rsidRDefault="00F50CF7" w:rsidP="398767E3">
      <w:r>
        <w:t xml:space="preserve">The lifetime distribution, combined with revised end-of-life assumptions for chillers leads to a larger bank from 1990 to 2020 due to the use of the Weibull distribution rather than the simple average lifetime. The model concurs with previous research that the banks are not </w:t>
      </w:r>
      <w:r>
        <w:lastRenderedPageBreak/>
        <w:t>sufficient to explain the spike in CFC-11 emissions observed from 2012 to 2018</w:t>
      </w:r>
      <w:r w:rsidR="002D59D8">
        <w:t xml:space="preserve"> notably during a period of </w:t>
      </w:r>
      <w:r w:rsidR="003931B3">
        <w:t>a decline in the retirement of foam and chillers containing CFC-11</w:t>
      </w:r>
      <w:r w:rsidR="00F8672C">
        <w:t>.</w:t>
      </w:r>
    </w:p>
    <w:p w14:paraId="228E9F43" w14:textId="0DA04FB6" w:rsidR="008A25DE" w:rsidRDefault="008A25DE" w:rsidP="398767E3">
      <w:pPr>
        <w:rPr>
          <w:lang w:val="en-US" w:eastAsia="fr-FR"/>
        </w:rPr>
      </w:pPr>
      <w:r>
        <w:t xml:space="preserve">The analysis shows a difference between </w:t>
      </w:r>
      <w:r w:rsidR="0097547F">
        <w:t>inventory-based</w:t>
      </w:r>
      <w:r>
        <w:t xml:space="preserve"> expected CFC-11 emissions (represented by the blue band and line) and the atmospherically derived CFC-11 emissions (the purple band and dashed line). With the </w:t>
      </w:r>
      <w:r w:rsidR="0097547F">
        <w:t>inventory-based</w:t>
      </w:r>
      <w:r>
        <w:t xml:space="preserve"> model representing expected emissions based on historic CFC-11 production and use, the difference with atmospheric derived emissions, and the period over which the difference occurs, is indicative of unreported CFC-11 production and use. Based on this analysis, unreported CFC-11 production and use would seem to have been </w:t>
      </w:r>
      <w:r w:rsidR="00E611E6">
        <w:t xml:space="preserve">already </w:t>
      </w:r>
      <w:r>
        <w:t xml:space="preserve">occurring </w:t>
      </w:r>
      <w:r w:rsidR="00C25E97">
        <w:t xml:space="preserve">earlier in the period </w:t>
      </w:r>
      <w:r>
        <w:t>2007</w:t>
      </w:r>
      <w:r w:rsidR="00C25E97">
        <w:t>-2012</w:t>
      </w:r>
      <w:r>
        <w:t>.</w:t>
      </w:r>
      <w:r w:rsidR="00875D6A">
        <w:t xml:space="preserve"> Chapter 3 </w:t>
      </w:r>
      <w:r w:rsidR="00E625EA">
        <w:rPr>
          <w:lang w:val="en-US" w:eastAsia="fr-FR"/>
        </w:rPr>
        <w:t>provides the conclusions for estimated unreported CFC-11 production that can be deduced from this analysis to account for the unexpected CFC-11 emissions.</w:t>
      </w:r>
    </w:p>
    <w:p w14:paraId="739B5A10" w14:textId="77777777" w:rsidR="00A403D2" w:rsidRDefault="00A403D2" w:rsidP="398767E3">
      <w:pPr>
        <w:rPr>
          <w:lang w:val="en-US" w:eastAsia="fr-FR"/>
        </w:rPr>
      </w:pPr>
    </w:p>
    <w:p w14:paraId="15525C14" w14:textId="456EB77F" w:rsidR="00CD6EB7" w:rsidRDefault="1A6C7BA6" w:rsidP="00043208">
      <w:pPr>
        <w:pStyle w:val="FigureandTableTitle"/>
      </w:pPr>
      <w:r>
        <w:t>Figure 2.2</w:t>
      </w:r>
      <w:r w:rsidR="6B8BD80C">
        <w:tab/>
      </w:r>
      <w:r>
        <w:t xml:space="preserve">CFC-11 derived and </w:t>
      </w:r>
      <w:r w:rsidR="0097547F">
        <w:t>inventory-based</w:t>
      </w:r>
      <w:r>
        <w:t xml:space="preserve"> estimated emissions (</w:t>
      </w:r>
      <w:proofErr w:type="spellStart"/>
      <w:r>
        <w:t>kilotonnes</w:t>
      </w:r>
      <w:proofErr w:type="spellEnd"/>
      <w:r>
        <w:t>)</w:t>
      </w:r>
    </w:p>
    <w:p w14:paraId="70E1DFE4" w14:textId="324FC28C" w:rsidR="00234A1D" w:rsidRDefault="002135FD" w:rsidP="05C564BA">
      <w:r>
        <w:rPr>
          <w:noProof/>
        </w:rPr>
        <w:drawing>
          <wp:inline distT="0" distB="0" distL="0" distR="0" wp14:anchorId="1F9BA3E1" wp14:editId="30EAA091">
            <wp:extent cx="5276852" cy="2600325"/>
            <wp:effectExtent l="0" t="0" r="0" b="0"/>
            <wp:docPr id="1533456171" name="Picture 1533456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456171"/>
                    <pic:cNvPicPr/>
                  </pic:nvPicPr>
                  <pic:blipFill>
                    <a:blip r:embed="rId33">
                      <a:extLst>
                        <a:ext uri="{28A0092B-C50C-407E-A947-70E740481C1C}">
                          <a14:useLocalDpi xmlns:a14="http://schemas.microsoft.com/office/drawing/2010/main" val="0"/>
                        </a:ext>
                      </a:extLst>
                    </a:blip>
                    <a:stretch>
                      <a:fillRect/>
                    </a:stretch>
                  </pic:blipFill>
                  <pic:spPr>
                    <a:xfrm>
                      <a:off x="0" y="0"/>
                      <a:ext cx="5276852" cy="2600325"/>
                    </a:xfrm>
                    <a:prstGeom prst="rect">
                      <a:avLst/>
                    </a:prstGeom>
                  </pic:spPr>
                </pic:pic>
              </a:graphicData>
            </a:graphic>
          </wp:inline>
        </w:drawing>
      </w:r>
    </w:p>
    <w:p w14:paraId="3BA567A9" w14:textId="4382515D" w:rsidR="00234A1D" w:rsidRPr="00B35D05" w:rsidRDefault="00824776" w:rsidP="00CD6EB7">
      <w:pPr>
        <w:pStyle w:val="FigureandTableTitle"/>
      </w:pPr>
      <w:r w:rsidRPr="00CD6EB7">
        <w:lastRenderedPageBreak/>
        <w:t>Figure 2.</w:t>
      </w:r>
      <w:r w:rsidR="00CD6EB7" w:rsidRPr="00CD6EB7">
        <w:t>3</w:t>
      </w:r>
      <w:r w:rsidR="00CD6EB7">
        <w:tab/>
      </w:r>
      <w:r w:rsidR="00894E05" w:rsidRPr="00CD6EB7">
        <w:t xml:space="preserve">CFC-11 bank as calculated from the </w:t>
      </w:r>
      <w:r w:rsidR="1061C58E" w:rsidRPr="00CD6EB7">
        <w:t xml:space="preserve">updated </w:t>
      </w:r>
      <w:r w:rsidR="0097547F">
        <w:t>inventory-based</w:t>
      </w:r>
      <w:r w:rsidR="00894E05" w:rsidRPr="00B35D05">
        <w:t xml:space="preserve"> </w:t>
      </w:r>
      <w:r w:rsidR="1061C58E" w:rsidRPr="00BA6545">
        <w:t xml:space="preserve">TEAP </w:t>
      </w:r>
      <w:r w:rsidR="00894E05" w:rsidRPr="00BA6545">
        <w:t>model</w:t>
      </w:r>
      <w:r w:rsidR="00EF49D8" w:rsidRPr="00BA6545">
        <w:t xml:space="preserve"> (</w:t>
      </w:r>
      <w:proofErr w:type="spellStart"/>
      <w:r w:rsidR="00EF49D8" w:rsidRPr="00BA6545">
        <w:t>kilotonnes</w:t>
      </w:r>
      <w:proofErr w:type="spellEnd"/>
      <w:r w:rsidR="00EF49D8" w:rsidRPr="00BA6545">
        <w:t>)</w:t>
      </w:r>
    </w:p>
    <w:p w14:paraId="4C470FB0" w14:textId="1D0517BA" w:rsidR="00234A1D" w:rsidRDefault="00782627" w:rsidP="05C564BA">
      <w:r>
        <w:rPr>
          <w:noProof/>
        </w:rPr>
        <w:drawing>
          <wp:inline distT="0" distB="0" distL="0" distR="0" wp14:anchorId="543CF14B" wp14:editId="72101230">
            <wp:extent cx="4795932" cy="3288640"/>
            <wp:effectExtent l="0" t="0" r="508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5">
                      <a:extLst>
                        <a:ext uri="{28A0092B-C50C-407E-A947-70E740481C1C}">
                          <a14:useLocalDpi xmlns:a14="http://schemas.microsoft.com/office/drawing/2010/main" val="0"/>
                        </a:ext>
                      </a:extLst>
                    </a:blip>
                    <a:stretch>
                      <a:fillRect/>
                    </a:stretch>
                  </pic:blipFill>
                  <pic:spPr>
                    <a:xfrm>
                      <a:off x="0" y="0"/>
                      <a:ext cx="4795932" cy="3288640"/>
                    </a:xfrm>
                    <a:prstGeom prst="rect">
                      <a:avLst/>
                    </a:prstGeom>
                  </pic:spPr>
                </pic:pic>
              </a:graphicData>
            </a:graphic>
          </wp:inline>
        </w:drawing>
      </w:r>
    </w:p>
    <w:p w14:paraId="09DDEE44" w14:textId="6F459FB6" w:rsidR="000A577A" w:rsidRPr="000A577A" w:rsidRDefault="6C7EC4CF" w:rsidP="007763C9">
      <w:r>
        <w:t xml:space="preserve">The refinement of the model yielded moderately different results compared to the </w:t>
      </w:r>
      <w:r w:rsidR="00C62BB6">
        <w:t>2019</w:t>
      </w:r>
      <w:r>
        <w:t xml:space="preserve"> </w:t>
      </w:r>
      <w:r w:rsidR="008A6767">
        <w:t>Task Force Report</w:t>
      </w:r>
      <w:r>
        <w:t xml:space="preserve">. The following </w:t>
      </w:r>
      <w:r w:rsidR="008B0110">
        <w:t>Figure</w:t>
      </w:r>
      <w:r>
        <w:t xml:space="preserve">s compare the results of the current model compared </w:t>
      </w:r>
      <w:r w:rsidR="005A2ADE">
        <w:t xml:space="preserve">with </w:t>
      </w:r>
      <w:r>
        <w:t xml:space="preserve">that of the </w:t>
      </w:r>
      <w:r w:rsidR="00BA6545">
        <w:t>2019 T</w:t>
      </w:r>
      <w:r>
        <w:t xml:space="preserve">ask </w:t>
      </w:r>
      <w:r w:rsidR="00BA6545">
        <w:t>F</w:t>
      </w:r>
      <w:r>
        <w:t xml:space="preserve">orce’s previous report. </w:t>
      </w:r>
      <w:r w:rsidR="006E5C79">
        <w:t xml:space="preserve">The </w:t>
      </w:r>
      <w:r w:rsidR="00A42130">
        <w:t>p</w:t>
      </w:r>
      <w:r>
        <w:t xml:space="preserve">urple </w:t>
      </w:r>
      <w:r w:rsidR="00A42130">
        <w:t>line</w:t>
      </w:r>
      <w:r>
        <w:t xml:space="preserve"> indicates current modelling, whereas </w:t>
      </w:r>
      <w:r w:rsidR="00BC0EEF">
        <w:t xml:space="preserve">the </w:t>
      </w:r>
      <w:r>
        <w:t xml:space="preserve">blue indicates the results presented in the </w:t>
      </w:r>
      <w:r w:rsidR="00FB2C54">
        <w:t>2019 Task Force Report</w:t>
      </w:r>
      <w:r>
        <w:t xml:space="preserve">. The use of a lifetime distribution for both chillers and closed-cell foams resulted in a smoother emissions curve. The lifetime distribution, combined with revised end-of-life assumptions for chillers leads to a slightly larger bank from 1990 onward. The model concurs with previous research that the banks are not sufficient to explain the spike in CFC-11 emissions observed </w:t>
      </w:r>
      <w:r w:rsidR="004F6581">
        <w:t>from</w:t>
      </w:r>
      <w:r>
        <w:t xml:space="preserve"> 2012 </w:t>
      </w:r>
      <w:r w:rsidR="004F6581">
        <w:t>to</w:t>
      </w:r>
      <w:r>
        <w:t xml:space="preserve"> 2018.</w:t>
      </w:r>
    </w:p>
    <w:p w14:paraId="01910032" w14:textId="5AF7CE95" w:rsidR="0097547F" w:rsidRPr="00CD0A17" w:rsidRDefault="526AD263" w:rsidP="00043208">
      <w:pPr>
        <w:rPr>
          <w:color w:val="000000" w:themeColor="text1"/>
          <w:lang w:val="en-AU"/>
        </w:rPr>
      </w:pPr>
      <w:r w:rsidRPr="526AD263">
        <w:t>The rate of decline of both emissions and bank size is substantial post-2007. Looking at the source of emissions it</w:t>
      </w:r>
      <w:r w:rsidR="00735447">
        <w:t xml:space="preserve"> i</w:t>
      </w:r>
      <w:r w:rsidRPr="526AD263">
        <w:t>s clear that the decline is largely driven by active bank emissions as well as emissions during the dismantling process of chillers (“inactive chiller bank 1</w:t>
      </w:r>
      <w:r w:rsidRPr="526AD263">
        <w:rPr>
          <w:vertAlign w:val="superscript"/>
        </w:rPr>
        <w:t>st</w:t>
      </w:r>
      <w:r w:rsidRPr="526AD263">
        <w:t xml:space="preserve"> year emissions”). The rate of decline in the active bank is dominate</w:t>
      </w:r>
      <w:r w:rsidR="00DE3388">
        <w:t>d</w:t>
      </w:r>
      <w:r w:rsidRPr="526AD263">
        <w:t xml:space="preserve"> by the decline in the </w:t>
      </w:r>
      <w:r w:rsidR="009421EE">
        <w:t>closed-cell</w:t>
      </w:r>
      <w:r w:rsidRPr="526AD263">
        <w:t xml:space="preserve"> foam bank emissions and to a lesser degree the chiller bank emissions.</w:t>
      </w:r>
      <w:r w:rsidR="00881D4B">
        <w:t xml:space="preserve"> </w:t>
      </w:r>
      <w:r w:rsidR="0097547F">
        <w:rPr>
          <w:lang w:val="en-US" w:eastAsia="fr-FR"/>
        </w:rPr>
        <w:t xml:space="preserve">The Task Force also estimated emissions and banks based on individual regional and foam sector estimates of emissions rates and sales based on the 2006 Flexible and Rigid Foams Technical Options Committee (FTOC) Assessment Report and latest research of lifetime of equipment and buildings containing foams. These models were created to better respond to the requests by the parties for information regarding which products might still contain CFC-11 and where those products may be located. More detail is discussed in Chapter 5 and the appendices. The graphs below also include the output of those models. </w:t>
      </w:r>
      <w:r w:rsidR="0097547F">
        <w:t xml:space="preserve">The grey and yellow lines indicate the results of the more granular, region-by-region model. </w:t>
      </w:r>
      <w:r w:rsidR="0097547F">
        <w:rPr>
          <w:lang w:val="en-US" w:eastAsia="fr-FR"/>
        </w:rPr>
        <w:t xml:space="preserve">They are very similar to the average foam lifetime model showing that the sensitivity during various periods is dominated by other </w:t>
      </w:r>
      <w:r w:rsidR="0097547F">
        <w:rPr>
          <w:lang w:val="en-US" w:eastAsia="fr-FR"/>
        </w:rPr>
        <w:lastRenderedPageBreak/>
        <w:t>features and that the overall average is a reasonable proxy for the Task Force assumptions for emissions</w:t>
      </w:r>
      <w:r w:rsidR="0097547F">
        <w:rPr>
          <w:rStyle w:val="FootnoteReference"/>
          <w:lang w:val="en-US" w:eastAsia="fr-FR"/>
        </w:rPr>
        <w:footnoteReference w:id="62"/>
      </w:r>
      <w:r w:rsidR="00067CE9">
        <w:rPr>
          <w:lang w:val="en-US" w:eastAsia="fr-FR"/>
        </w:rPr>
        <w:t>.</w:t>
      </w:r>
    </w:p>
    <w:p w14:paraId="5FF4332E" w14:textId="40376B47" w:rsidR="00751C7F" w:rsidRPr="00751C7F" w:rsidRDefault="526AD263" w:rsidP="00751C7F">
      <w:pPr>
        <w:pStyle w:val="FigureandTableTitle"/>
      </w:pPr>
      <w:r>
        <w:t>Figure 2.</w:t>
      </w:r>
      <w:r w:rsidR="00A503DB">
        <w:t>4</w:t>
      </w:r>
      <w:r w:rsidR="00824776">
        <w:tab/>
      </w:r>
      <w:r w:rsidR="008105B7">
        <w:t xml:space="preserve">Comparison of </w:t>
      </w:r>
      <w:r w:rsidR="00E92469">
        <w:t xml:space="preserve">the </w:t>
      </w:r>
      <w:r w:rsidR="008105B7">
        <w:t xml:space="preserve">2019 and </w:t>
      </w:r>
      <w:r w:rsidR="00E92469">
        <w:t xml:space="preserve">the </w:t>
      </w:r>
      <w:r w:rsidR="008105B7">
        <w:t>2021 Task Force</w:t>
      </w:r>
      <w:r w:rsidR="00E92469">
        <w:t>s’</w:t>
      </w:r>
      <w:r w:rsidR="008105B7">
        <w:t xml:space="preserve"> </w:t>
      </w:r>
      <w:r w:rsidR="00FD75CC">
        <w:t>emissions m</w:t>
      </w:r>
      <w:r w:rsidR="008105B7">
        <w:t>odels</w:t>
      </w:r>
      <w:r w:rsidR="0079146A">
        <w:t xml:space="preserve"> </w:t>
      </w:r>
      <w:r w:rsidR="002314DF">
        <w:t>(</w:t>
      </w:r>
      <w:proofErr w:type="spellStart"/>
      <w:r w:rsidR="002314DF">
        <w:t>kilotonnes</w:t>
      </w:r>
      <w:proofErr w:type="spellEnd"/>
      <w:r w:rsidR="002314DF">
        <w:t>)</w:t>
      </w:r>
    </w:p>
    <w:p w14:paraId="267757BB" w14:textId="57CC1C68" w:rsidR="00390184" w:rsidRDefault="00547078" w:rsidP="00CA7412">
      <w:r>
        <w:rPr>
          <w:noProof/>
        </w:rPr>
        <w:drawing>
          <wp:inline distT="0" distB="0" distL="0" distR="0" wp14:anchorId="4C6A9D45" wp14:editId="1C319AD4">
            <wp:extent cx="5038930" cy="3389459"/>
            <wp:effectExtent l="0" t="0" r="3175" b="1905"/>
            <wp:docPr id="298669058" name="Picture 298669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669058"/>
                    <pic:cNvPicPr/>
                  </pic:nvPicPr>
                  <pic:blipFill>
                    <a:blip r:embed="rId36">
                      <a:extLst>
                        <a:ext uri="{28A0092B-C50C-407E-A947-70E740481C1C}">
                          <a14:useLocalDpi xmlns:a14="http://schemas.microsoft.com/office/drawing/2010/main" val="0"/>
                        </a:ext>
                      </a:extLst>
                    </a:blip>
                    <a:stretch>
                      <a:fillRect/>
                    </a:stretch>
                  </pic:blipFill>
                  <pic:spPr>
                    <a:xfrm>
                      <a:off x="0" y="0"/>
                      <a:ext cx="5038930" cy="3389459"/>
                    </a:xfrm>
                    <a:prstGeom prst="rect">
                      <a:avLst/>
                    </a:prstGeom>
                  </pic:spPr>
                </pic:pic>
              </a:graphicData>
            </a:graphic>
          </wp:inline>
        </w:drawing>
      </w:r>
    </w:p>
    <w:p w14:paraId="2548E453" w14:textId="05A9DE23" w:rsidR="00A503DB" w:rsidRPr="00751C7F" w:rsidRDefault="00A503DB" w:rsidP="00A503DB">
      <w:pPr>
        <w:pStyle w:val="FigureandTableTitle"/>
      </w:pPr>
      <w:r>
        <w:lastRenderedPageBreak/>
        <w:t>Figure 2.5</w:t>
      </w:r>
      <w:r>
        <w:tab/>
        <w:t>Comparison of the 2019 and the 2021 Task Forces’ bank models (</w:t>
      </w:r>
      <w:proofErr w:type="spellStart"/>
      <w:r>
        <w:t>kilotonnes</w:t>
      </w:r>
      <w:proofErr w:type="spellEnd"/>
      <w:r>
        <w:t>)</w:t>
      </w:r>
    </w:p>
    <w:p w14:paraId="176512B5" w14:textId="6D00FB67" w:rsidR="00AF527C" w:rsidRDefault="00DB2959" w:rsidP="00CA7412">
      <w:r>
        <w:rPr>
          <w:noProof/>
        </w:rPr>
        <w:drawing>
          <wp:inline distT="0" distB="0" distL="0" distR="0" wp14:anchorId="77934BB0" wp14:editId="20643072">
            <wp:extent cx="4805464" cy="3295175"/>
            <wp:effectExtent l="0" t="0" r="0" b="0"/>
            <wp:docPr id="298669059" name="Picture 298669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669059"/>
                    <pic:cNvPicPr/>
                  </pic:nvPicPr>
                  <pic:blipFill>
                    <a:blip r:embed="rId35">
                      <a:extLst>
                        <a:ext uri="{28A0092B-C50C-407E-A947-70E740481C1C}">
                          <a14:useLocalDpi xmlns:a14="http://schemas.microsoft.com/office/drawing/2010/main" val="0"/>
                        </a:ext>
                      </a:extLst>
                    </a:blip>
                    <a:stretch>
                      <a:fillRect/>
                    </a:stretch>
                  </pic:blipFill>
                  <pic:spPr>
                    <a:xfrm>
                      <a:off x="0" y="0"/>
                      <a:ext cx="4805464" cy="3295175"/>
                    </a:xfrm>
                    <a:prstGeom prst="rect">
                      <a:avLst/>
                    </a:prstGeom>
                  </pic:spPr>
                </pic:pic>
              </a:graphicData>
            </a:graphic>
          </wp:inline>
        </w:drawing>
      </w:r>
    </w:p>
    <w:p w14:paraId="190B320C" w14:textId="6BCB934F" w:rsidR="18DC142A" w:rsidRDefault="18DC142A" w:rsidP="00AF527C"/>
    <w:p w14:paraId="52821053" w14:textId="6DC6E49A" w:rsidR="002313D4" w:rsidRPr="00E63512" w:rsidRDefault="00B67F14" w:rsidP="00751ECE">
      <w:pPr>
        <w:pStyle w:val="Heading2"/>
      </w:pPr>
      <w:bookmarkStart w:id="150" w:name="_Toc73045607"/>
      <w:r>
        <w:t>2.</w:t>
      </w:r>
      <w:r w:rsidR="00BC5C12">
        <w:t>5</w:t>
      </w:r>
      <w:r w:rsidR="00DC071B">
        <w:tab/>
      </w:r>
      <w:r w:rsidR="005F75BD">
        <w:t xml:space="preserve">Analysis of CFC-11 </w:t>
      </w:r>
      <w:r w:rsidR="00173967">
        <w:t xml:space="preserve">foam </w:t>
      </w:r>
      <w:r w:rsidR="005F75BD">
        <w:t xml:space="preserve">banks by geographic </w:t>
      </w:r>
      <w:r w:rsidR="072E91C8">
        <w:t>location</w:t>
      </w:r>
      <w:r w:rsidR="00B23924">
        <w:t xml:space="preserve"> </w:t>
      </w:r>
      <w:r w:rsidR="00037567">
        <w:t>and foam type</w:t>
      </w:r>
      <w:bookmarkEnd w:id="150"/>
    </w:p>
    <w:p w14:paraId="4674C4BC" w14:textId="1B7DF05A" w:rsidR="009D635F" w:rsidRDefault="00FA21D1" w:rsidP="00E915DF">
      <w:pPr>
        <w:rPr>
          <w:lang w:val="en-US"/>
        </w:rPr>
      </w:pPr>
      <w:r>
        <w:rPr>
          <w:lang w:val="en-US"/>
        </w:rPr>
        <w:t>Th</w:t>
      </w:r>
      <w:r w:rsidR="001D3226">
        <w:rPr>
          <w:lang w:val="en-US"/>
        </w:rPr>
        <w:t xml:space="preserve">e history of closed-cell foams and CFC-11 usage </w:t>
      </w:r>
      <w:r>
        <w:rPr>
          <w:lang w:val="en-US"/>
        </w:rPr>
        <w:t>is</w:t>
      </w:r>
      <w:r w:rsidR="00E31215">
        <w:rPr>
          <w:lang w:val="en-US"/>
        </w:rPr>
        <w:t xml:space="preserve"> offered </w:t>
      </w:r>
      <w:r w:rsidR="00514153">
        <w:rPr>
          <w:lang w:val="en-US"/>
        </w:rPr>
        <w:t>as</w:t>
      </w:r>
      <w:r>
        <w:rPr>
          <w:lang w:val="en-US"/>
        </w:rPr>
        <w:t xml:space="preserve"> </w:t>
      </w:r>
      <w:r w:rsidR="002A3140">
        <w:rPr>
          <w:lang w:val="en-US"/>
        </w:rPr>
        <w:t xml:space="preserve">necessary </w:t>
      </w:r>
      <w:r>
        <w:rPr>
          <w:lang w:val="en-US"/>
        </w:rPr>
        <w:t xml:space="preserve">background to </w:t>
      </w:r>
      <w:r w:rsidR="00B56EFC">
        <w:rPr>
          <w:lang w:val="en-US"/>
        </w:rPr>
        <w:t xml:space="preserve">respond to the parties’ request in </w:t>
      </w:r>
      <w:r w:rsidR="003F3022">
        <w:rPr>
          <w:lang w:val="en-US"/>
        </w:rPr>
        <w:t>d</w:t>
      </w:r>
      <w:r w:rsidR="00B56EFC">
        <w:rPr>
          <w:lang w:val="en-US"/>
        </w:rPr>
        <w:t>ecision XXX</w:t>
      </w:r>
      <w:r w:rsidR="00BC4085">
        <w:rPr>
          <w:lang w:val="en-US"/>
        </w:rPr>
        <w:t>I</w:t>
      </w:r>
      <w:r w:rsidR="00B56EFC">
        <w:rPr>
          <w:lang w:val="en-US"/>
        </w:rPr>
        <w:t>/</w:t>
      </w:r>
      <w:r w:rsidR="00D24787">
        <w:rPr>
          <w:lang w:val="en-US"/>
        </w:rPr>
        <w:t>3</w:t>
      </w:r>
      <w:r w:rsidR="001029A0">
        <w:rPr>
          <w:lang w:val="en-US"/>
        </w:rPr>
        <w:t xml:space="preserve"> for the TEAP to provide information </w:t>
      </w:r>
      <w:r w:rsidR="000F5A51">
        <w:rPr>
          <w:lang w:val="en-US"/>
        </w:rPr>
        <w:t xml:space="preserve">regarding the </w:t>
      </w:r>
      <w:r w:rsidR="00545F37">
        <w:rPr>
          <w:lang w:val="en-US"/>
        </w:rPr>
        <w:t xml:space="preserve">location and specific </w:t>
      </w:r>
      <w:r w:rsidR="003A6348">
        <w:rPr>
          <w:lang w:val="en-US"/>
        </w:rPr>
        <w:t xml:space="preserve">types of foams </w:t>
      </w:r>
      <w:r w:rsidR="00882A40">
        <w:rPr>
          <w:lang w:val="en-US"/>
        </w:rPr>
        <w:t xml:space="preserve">related to the </w:t>
      </w:r>
      <w:r w:rsidR="000F5A51">
        <w:rPr>
          <w:lang w:val="en-US"/>
        </w:rPr>
        <w:t xml:space="preserve">remaining </w:t>
      </w:r>
      <w:r w:rsidR="00882A40">
        <w:rPr>
          <w:lang w:val="en-US"/>
        </w:rPr>
        <w:t xml:space="preserve">CFC-11 </w:t>
      </w:r>
      <w:r w:rsidR="000F5A51">
        <w:rPr>
          <w:lang w:val="en-US"/>
        </w:rPr>
        <w:t>banks</w:t>
      </w:r>
      <w:r w:rsidR="00882A40">
        <w:rPr>
          <w:lang w:val="en-US"/>
        </w:rPr>
        <w:t>.</w:t>
      </w:r>
    </w:p>
    <w:p w14:paraId="7DA2502C" w14:textId="505574A6" w:rsidR="0052301E" w:rsidRDefault="00A53916" w:rsidP="00E915DF">
      <w:pPr>
        <w:rPr>
          <w:lang w:val="en-US"/>
        </w:rPr>
      </w:pPr>
      <w:r>
        <w:rPr>
          <w:lang w:val="en-US"/>
        </w:rPr>
        <w:t>Polyurethane</w:t>
      </w:r>
      <w:r w:rsidR="000A58A2">
        <w:rPr>
          <w:lang w:val="en-US"/>
        </w:rPr>
        <w:t>s</w:t>
      </w:r>
      <w:r>
        <w:rPr>
          <w:lang w:val="en-US"/>
        </w:rPr>
        <w:t xml:space="preserve"> were invented in the 1930s </w:t>
      </w:r>
      <w:r w:rsidR="00520B4A">
        <w:rPr>
          <w:lang w:val="en-US"/>
        </w:rPr>
        <w:t xml:space="preserve">and </w:t>
      </w:r>
      <w:r w:rsidR="00084E34">
        <w:rPr>
          <w:lang w:val="en-US"/>
        </w:rPr>
        <w:t>are</w:t>
      </w:r>
      <w:r w:rsidR="00520B4A">
        <w:rPr>
          <w:lang w:val="en-US"/>
        </w:rPr>
        <w:t xml:space="preserve"> used in wide variety of products.</w:t>
      </w:r>
      <w:r w:rsidR="000B7470">
        <w:rPr>
          <w:lang w:val="en-US"/>
        </w:rPr>
        <w:t xml:space="preserve"> </w:t>
      </w:r>
      <w:r w:rsidR="00520B4A">
        <w:rPr>
          <w:lang w:val="en-US"/>
        </w:rPr>
        <w:t xml:space="preserve">In </w:t>
      </w:r>
      <w:r w:rsidR="0067726D">
        <w:rPr>
          <w:lang w:val="en-US"/>
        </w:rPr>
        <w:t>1948</w:t>
      </w:r>
      <w:r w:rsidR="00304215">
        <w:rPr>
          <w:lang w:val="en-US"/>
        </w:rPr>
        <w:t xml:space="preserve">, </w:t>
      </w:r>
      <w:r w:rsidR="002D6454">
        <w:rPr>
          <w:lang w:val="en-US"/>
        </w:rPr>
        <w:t>closed-cell</w:t>
      </w:r>
      <w:r w:rsidR="00304215">
        <w:rPr>
          <w:lang w:val="en-US"/>
        </w:rPr>
        <w:t xml:space="preserve"> foams</w:t>
      </w:r>
      <w:r w:rsidR="00E54E4E">
        <w:rPr>
          <w:lang w:val="en-US"/>
        </w:rPr>
        <w:t xml:space="preserve"> </w:t>
      </w:r>
      <w:r w:rsidR="009D7A60">
        <w:rPr>
          <w:lang w:val="en-US"/>
        </w:rPr>
        <w:t>were</w:t>
      </w:r>
      <w:r w:rsidR="00B2301E">
        <w:rPr>
          <w:lang w:val="en-US"/>
        </w:rPr>
        <w:t xml:space="preserve"> initially</w:t>
      </w:r>
      <w:r w:rsidR="009D7A60">
        <w:rPr>
          <w:lang w:val="en-US"/>
        </w:rPr>
        <w:t xml:space="preserve"> </w:t>
      </w:r>
      <w:r w:rsidR="00C95005">
        <w:rPr>
          <w:lang w:val="en-US"/>
        </w:rPr>
        <w:t>introduced</w:t>
      </w:r>
      <w:r w:rsidR="00E54E4E">
        <w:rPr>
          <w:lang w:val="en-US"/>
        </w:rPr>
        <w:t xml:space="preserve"> as an insulation</w:t>
      </w:r>
      <w:r w:rsidR="00B2301E">
        <w:rPr>
          <w:lang w:val="en-US"/>
        </w:rPr>
        <w:t xml:space="preserve"> </w:t>
      </w:r>
      <w:r w:rsidR="00496189">
        <w:rPr>
          <w:lang w:val="en-US"/>
        </w:rPr>
        <w:t>in very small quantities</w:t>
      </w:r>
      <w:r w:rsidR="00B2301E">
        <w:rPr>
          <w:lang w:val="en-US"/>
        </w:rPr>
        <w:t xml:space="preserve"> and </w:t>
      </w:r>
      <w:r w:rsidR="006853B5">
        <w:rPr>
          <w:lang w:val="en-US"/>
        </w:rPr>
        <w:t xml:space="preserve">the market </w:t>
      </w:r>
      <w:r w:rsidR="00412CA6">
        <w:rPr>
          <w:lang w:val="en-US"/>
        </w:rPr>
        <w:t>slowly increased</w:t>
      </w:r>
      <w:r w:rsidR="00971C5F">
        <w:rPr>
          <w:lang w:val="en-US"/>
        </w:rPr>
        <w:t>.</w:t>
      </w:r>
      <w:r w:rsidR="000B7470">
        <w:rPr>
          <w:lang w:val="en-US"/>
        </w:rPr>
        <w:t xml:space="preserve"> </w:t>
      </w:r>
      <w:r w:rsidR="00B67A73">
        <w:rPr>
          <w:lang w:val="en-US"/>
        </w:rPr>
        <w:t>Use of steel sandwich building panels</w:t>
      </w:r>
      <w:r w:rsidR="00326E9C">
        <w:rPr>
          <w:lang w:val="en-US"/>
        </w:rPr>
        <w:t xml:space="preserve"> and integral skin</w:t>
      </w:r>
      <w:r w:rsidR="00B67A73">
        <w:rPr>
          <w:lang w:val="en-US"/>
        </w:rPr>
        <w:t xml:space="preserve"> began in the 1960s</w:t>
      </w:r>
      <w:r w:rsidR="00732CF4">
        <w:rPr>
          <w:lang w:val="en-US"/>
        </w:rPr>
        <w:t xml:space="preserve">. </w:t>
      </w:r>
      <w:r w:rsidR="00EF74F6">
        <w:rPr>
          <w:lang w:val="en-US"/>
        </w:rPr>
        <w:t>I</w:t>
      </w:r>
      <w:r w:rsidR="00BF0916">
        <w:rPr>
          <w:lang w:val="en-US"/>
        </w:rPr>
        <w:t>n the late 1970s</w:t>
      </w:r>
      <w:r w:rsidR="00600C73">
        <w:rPr>
          <w:lang w:val="en-US"/>
        </w:rPr>
        <w:t xml:space="preserve"> and 1980s</w:t>
      </w:r>
      <w:r w:rsidR="005918D2">
        <w:rPr>
          <w:lang w:val="en-US"/>
        </w:rPr>
        <w:t xml:space="preserve"> </w:t>
      </w:r>
      <w:r w:rsidR="002D6454">
        <w:rPr>
          <w:lang w:val="en-US"/>
        </w:rPr>
        <w:t>closed-cell</w:t>
      </w:r>
      <w:r w:rsidR="00EF74F6">
        <w:rPr>
          <w:lang w:val="en-US"/>
        </w:rPr>
        <w:t xml:space="preserve"> </w:t>
      </w:r>
      <w:r w:rsidR="005918D2">
        <w:rPr>
          <w:lang w:val="en-US"/>
        </w:rPr>
        <w:t xml:space="preserve">polyurethane </w:t>
      </w:r>
      <w:r w:rsidR="00BF0916">
        <w:rPr>
          <w:lang w:val="en-US"/>
        </w:rPr>
        <w:t>insulation</w:t>
      </w:r>
      <w:r w:rsidR="005918D2">
        <w:rPr>
          <w:lang w:val="en-US"/>
        </w:rPr>
        <w:t xml:space="preserve"> expanded to</w:t>
      </w:r>
      <w:r w:rsidR="00093E8C">
        <w:rPr>
          <w:lang w:val="en-US"/>
        </w:rPr>
        <w:t xml:space="preserve"> </w:t>
      </w:r>
      <w:r w:rsidR="005918D2">
        <w:rPr>
          <w:lang w:val="en-US"/>
        </w:rPr>
        <w:t>include spray foam and sandwich panels</w:t>
      </w:r>
      <w:r w:rsidR="00093E8C">
        <w:rPr>
          <w:lang w:val="en-US"/>
        </w:rPr>
        <w:t xml:space="preserve">. </w:t>
      </w:r>
      <w:r w:rsidR="005406C9">
        <w:rPr>
          <w:lang w:val="en-US"/>
        </w:rPr>
        <w:t>Separately,</w:t>
      </w:r>
      <w:r w:rsidR="00586AE8">
        <w:rPr>
          <w:lang w:val="en-US"/>
        </w:rPr>
        <w:t xml:space="preserve"> open cell foams such as</w:t>
      </w:r>
      <w:r w:rsidR="005406C9">
        <w:rPr>
          <w:lang w:val="en-US"/>
        </w:rPr>
        <w:t xml:space="preserve"> </w:t>
      </w:r>
      <w:r w:rsidR="00412CA6">
        <w:rPr>
          <w:lang w:val="en-US"/>
        </w:rPr>
        <w:t>flexible and cushioning foam</w:t>
      </w:r>
      <w:r w:rsidR="003C26CE">
        <w:rPr>
          <w:lang w:val="en-US"/>
        </w:rPr>
        <w:t>s</w:t>
      </w:r>
      <w:r w:rsidR="00412CA6">
        <w:rPr>
          <w:lang w:val="en-US"/>
        </w:rPr>
        <w:t xml:space="preserve"> (e.g.</w:t>
      </w:r>
      <w:r w:rsidR="00631350">
        <w:rPr>
          <w:lang w:val="en-US"/>
        </w:rPr>
        <w:t>,</w:t>
      </w:r>
      <w:r w:rsidR="00412CA6">
        <w:rPr>
          <w:lang w:val="en-US"/>
        </w:rPr>
        <w:t xml:space="preserve"> shoe soles and cushions)</w:t>
      </w:r>
      <w:r w:rsidR="005406C9">
        <w:rPr>
          <w:lang w:val="en-US"/>
        </w:rPr>
        <w:t xml:space="preserve"> </w:t>
      </w:r>
      <w:r w:rsidR="003C26CE">
        <w:rPr>
          <w:lang w:val="en-US"/>
        </w:rPr>
        <w:t xml:space="preserve">were commercialized </w:t>
      </w:r>
      <w:r w:rsidR="005406C9">
        <w:rPr>
          <w:lang w:val="en-US"/>
        </w:rPr>
        <w:t>in the 1950s.</w:t>
      </w:r>
    </w:p>
    <w:p w14:paraId="72BAB48D" w14:textId="4641AD12" w:rsidR="006B45FC" w:rsidRPr="006B45FC" w:rsidRDefault="00D13B0A" w:rsidP="00E915DF">
      <w:pPr>
        <w:rPr>
          <w:lang w:val="en-US"/>
        </w:rPr>
      </w:pPr>
      <w:r>
        <w:rPr>
          <w:lang w:val="en-US"/>
        </w:rPr>
        <w:t xml:space="preserve">The </w:t>
      </w:r>
      <w:r w:rsidR="002D6454">
        <w:rPr>
          <w:lang w:val="en-US"/>
        </w:rPr>
        <w:t>closed-cell</w:t>
      </w:r>
      <w:r w:rsidR="00EE3391">
        <w:rPr>
          <w:lang w:val="en-US"/>
        </w:rPr>
        <w:t xml:space="preserve"> </w:t>
      </w:r>
      <w:r>
        <w:rPr>
          <w:lang w:val="en-US"/>
        </w:rPr>
        <w:t>foam market developed gradually</w:t>
      </w:r>
      <w:r w:rsidR="00A2413F">
        <w:rPr>
          <w:lang w:val="en-US"/>
        </w:rPr>
        <w:t xml:space="preserve"> as confirmed by </w:t>
      </w:r>
      <w:r w:rsidR="00F8223A">
        <w:rPr>
          <w:lang w:val="en-US"/>
        </w:rPr>
        <w:t xml:space="preserve">AFEAS </w:t>
      </w:r>
      <w:r w:rsidR="00B83F02">
        <w:rPr>
          <w:lang w:val="en-US"/>
        </w:rPr>
        <w:t xml:space="preserve">CFC-11 </w:t>
      </w:r>
      <w:r w:rsidR="00F30140">
        <w:rPr>
          <w:lang w:val="en-US"/>
        </w:rPr>
        <w:t xml:space="preserve">sales </w:t>
      </w:r>
      <w:r w:rsidR="000C28FC">
        <w:rPr>
          <w:lang w:val="en-US"/>
        </w:rPr>
        <w:t>values showing</w:t>
      </w:r>
      <w:r w:rsidR="00DE35B2">
        <w:rPr>
          <w:lang w:val="en-US"/>
        </w:rPr>
        <w:t xml:space="preserve"> that</w:t>
      </w:r>
      <w:r w:rsidR="00A2413F">
        <w:rPr>
          <w:lang w:val="en-US"/>
        </w:rPr>
        <w:t xml:space="preserve"> CFC-11 sales </w:t>
      </w:r>
      <w:r w:rsidR="006414B9">
        <w:rPr>
          <w:lang w:val="en-US"/>
        </w:rPr>
        <w:t xml:space="preserve">into </w:t>
      </w:r>
      <w:r w:rsidR="002D6454">
        <w:rPr>
          <w:lang w:val="en-US"/>
        </w:rPr>
        <w:t>closed-cell</w:t>
      </w:r>
      <w:r w:rsidR="006414B9">
        <w:rPr>
          <w:lang w:val="en-US"/>
        </w:rPr>
        <w:t xml:space="preserve"> foams </w:t>
      </w:r>
      <w:r w:rsidR="00A2413F">
        <w:rPr>
          <w:lang w:val="en-US"/>
        </w:rPr>
        <w:t>we</w:t>
      </w:r>
      <w:r w:rsidR="0052301E">
        <w:rPr>
          <w:lang w:val="en-US"/>
        </w:rPr>
        <w:t>re relatively small</w:t>
      </w:r>
      <w:r w:rsidR="00C82C76">
        <w:rPr>
          <w:lang w:val="en-US"/>
        </w:rPr>
        <w:t xml:space="preserve"> </w:t>
      </w:r>
      <w:r w:rsidR="00F8223A">
        <w:rPr>
          <w:lang w:val="en-US"/>
        </w:rPr>
        <w:t xml:space="preserve">until the 1970s </w:t>
      </w:r>
      <w:r w:rsidR="00810920">
        <w:rPr>
          <w:lang w:val="en-US"/>
        </w:rPr>
        <w:t>with continuous growth throughout the</w:t>
      </w:r>
      <w:r w:rsidR="00F8223A">
        <w:rPr>
          <w:lang w:val="en-US"/>
        </w:rPr>
        <w:t xml:space="preserve"> </w:t>
      </w:r>
      <w:r w:rsidR="0068551F">
        <w:rPr>
          <w:lang w:val="en-US"/>
        </w:rPr>
        <w:t>19</w:t>
      </w:r>
      <w:r w:rsidR="00F8223A">
        <w:rPr>
          <w:lang w:val="en-US"/>
        </w:rPr>
        <w:t>80s</w:t>
      </w:r>
      <w:r w:rsidR="000A76CE">
        <w:rPr>
          <w:lang w:val="en-US"/>
        </w:rPr>
        <w:t xml:space="preserve">. </w:t>
      </w:r>
    </w:p>
    <w:p w14:paraId="44BD77E7" w14:textId="781B7A65" w:rsidR="00962B21" w:rsidRDefault="00962B21" w:rsidP="00A55593">
      <w:pPr>
        <w:pStyle w:val="FigureandTableTitle"/>
      </w:pPr>
      <w:r>
        <w:lastRenderedPageBreak/>
        <w:t>Figure 2.</w:t>
      </w:r>
      <w:r w:rsidR="00A503DB">
        <w:t>6</w:t>
      </w:r>
      <w:r w:rsidR="00824776">
        <w:tab/>
      </w:r>
      <w:r>
        <w:t xml:space="preserve">AFEAS </w:t>
      </w:r>
      <w:r w:rsidR="00824776">
        <w:t>cumulative</w:t>
      </w:r>
      <w:r>
        <w:t xml:space="preserve"> CFC-11 </w:t>
      </w:r>
      <w:r w:rsidR="00824776">
        <w:t>sales into closed-cell foams</w:t>
      </w:r>
    </w:p>
    <w:p w14:paraId="3F85711A" w14:textId="3BA3D6F2" w:rsidR="00A53916" w:rsidRDefault="000F2AFA" w:rsidP="48F36419">
      <w:pPr>
        <w:spacing w:line="259" w:lineRule="auto"/>
        <w:rPr>
          <w:color w:val="000000" w:themeColor="text1"/>
          <w:lang w:val="en-US"/>
        </w:rPr>
      </w:pPr>
      <w:r>
        <w:rPr>
          <w:noProof/>
        </w:rPr>
        <w:drawing>
          <wp:inline distT="0" distB="0" distL="0" distR="0" wp14:anchorId="423BE072" wp14:editId="418E7E82">
            <wp:extent cx="5278755" cy="2617470"/>
            <wp:effectExtent l="0" t="0" r="17145" b="11430"/>
            <wp:docPr id="17" name="Chart 17">
              <a:extLst xmlns:a="http://schemas.openxmlformats.org/drawingml/2006/main">
                <a:ext uri="{FF2B5EF4-FFF2-40B4-BE49-F238E27FC236}">
                  <a16:creationId xmlns:a16="http://schemas.microsoft.com/office/drawing/2014/main" id="{21F7BF47-5F13-4C0E-B531-397E0866A6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779D65C" w14:textId="38215619" w:rsidR="005D53CA" w:rsidRDefault="005D53CA" w:rsidP="001B5F72">
      <w:pPr>
        <w:rPr>
          <w:lang w:val="en-US"/>
        </w:rPr>
      </w:pPr>
    </w:p>
    <w:p w14:paraId="6118854A" w14:textId="2394AC09" w:rsidR="00FB3654" w:rsidRPr="00FB3654" w:rsidRDefault="00AA22AC" w:rsidP="001B5F72">
      <w:pPr>
        <w:rPr>
          <w:lang w:val="en-US"/>
        </w:rPr>
      </w:pPr>
      <w:r>
        <w:rPr>
          <w:lang w:val="en-US"/>
        </w:rPr>
        <w:t xml:space="preserve">After </w:t>
      </w:r>
      <w:r w:rsidR="00144108">
        <w:rPr>
          <w:lang w:val="en-US"/>
        </w:rPr>
        <w:t>non-Article 5</w:t>
      </w:r>
      <w:r>
        <w:rPr>
          <w:lang w:val="en-US"/>
        </w:rPr>
        <w:t xml:space="preserve"> parties </w:t>
      </w:r>
      <w:r w:rsidR="000A7970">
        <w:rPr>
          <w:lang w:val="en-US"/>
        </w:rPr>
        <w:t>banned</w:t>
      </w:r>
      <w:r>
        <w:rPr>
          <w:lang w:val="en-US"/>
        </w:rPr>
        <w:t xml:space="preserve"> the use of CFC-11 </w:t>
      </w:r>
      <w:r w:rsidR="00C0215C">
        <w:rPr>
          <w:lang w:val="en-US"/>
        </w:rPr>
        <w:t>by 1996</w:t>
      </w:r>
      <w:r w:rsidR="00153D5A">
        <w:rPr>
          <w:lang w:val="en-US"/>
        </w:rPr>
        <w:t>,</w:t>
      </w:r>
      <w:r>
        <w:rPr>
          <w:lang w:val="en-US"/>
        </w:rPr>
        <w:t xml:space="preserve"> except </w:t>
      </w:r>
      <w:r w:rsidR="00AD5CBD">
        <w:rPr>
          <w:lang w:val="en-US"/>
        </w:rPr>
        <w:t>for</w:t>
      </w:r>
      <w:r>
        <w:rPr>
          <w:lang w:val="en-US"/>
        </w:rPr>
        <w:t xml:space="preserve"> essential uses, </w:t>
      </w:r>
      <w:r w:rsidR="008B5F5F">
        <w:rPr>
          <w:lang w:val="en-US"/>
        </w:rPr>
        <w:t>t</w:t>
      </w:r>
      <w:r w:rsidR="002156EC">
        <w:rPr>
          <w:lang w:val="en-US"/>
        </w:rPr>
        <w:t xml:space="preserve">otal </w:t>
      </w:r>
      <w:r w:rsidR="00AA0925">
        <w:rPr>
          <w:lang w:val="en-US"/>
        </w:rPr>
        <w:t xml:space="preserve">quantities of </w:t>
      </w:r>
      <w:r w:rsidR="002156EC">
        <w:rPr>
          <w:lang w:val="en-US"/>
        </w:rPr>
        <w:t xml:space="preserve">CFC-11 production </w:t>
      </w:r>
      <w:r w:rsidR="00BD6D57">
        <w:rPr>
          <w:lang w:val="en-US"/>
        </w:rPr>
        <w:t>and consumption reported to the O</w:t>
      </w:r>
      <w:r w:rsidR="000A3310">
        <w:rPr>
          <w:lang w:val="en-US"/>
        </w:rPr>
        <w:t>zone Secretariat</w:t>
      </w:r>
      <w:r w:rsidR="008B5F5F">
        <w:rPr>
          <w:lang w:val="en-US"/>
        </w:rPr>
        <w:t xml:space="preserve"> </w:t>
      </w:r>
      <w:r w:rsidR="00153D5A">
        <w:rPr>
          <w:lang w:val="en-US"/>
        </w:rPr>
        <w:t xml:space="preserve">by </w:t>
      </w:r>
      <w:r w:rsidR="00626CD3">
        <w:rPr>
          <w:lang w:val="en-US"/>
        </w:rPr>
        <w:t>Article 5</w:t>
      </w:r>
      <w:r w:rsidR="00153D5A">
        <w:rPr>
          <w:lang w:val="en-US"/>
        </w:rPr>
        <w:t xml:space="preserve"> parties from </w:t>
      </w:r>
      <w:r w:rsidR="00107C98">
        <w:rPr>
          <w:lang w:val="en-US"/>
        </w:rPr>
        <w:t xml:space="preserve">1996 </w:t>
      </w:r>
      <w:r w:rsidR="00153D5A">
        <w:rPr>
          <w:lang w:val="en-US"/>
        </w:rPr>
        <w:t xml:space="preserve">and beyond </w:t>
      </w:r>
      <w:r w:rsidR="008B5F5F">
        <w:rPr>
          <w:lang w:val="en-US"/>
        </w:rPr>
        <w:t>wer</w:t>
      </w:r>
      <w:r w:rsidR="002156EC">
        <w:rPr>
          <w:lang w:val="en-US"/>
        </w:rPr>
        <w:t xml:space="preserve">e much smaller </w:t>
      </w:r>
      <w:r w:rsidR="008B5F5F">
        <w:rPr>
          <w:lang w:val="en-US"/>
        </w:rPr>
        <w:t>than the early</w:t>
      </w:r>
      <w:r w:rsidR="002156EC">
        <w:rPr>
          <w:lang w:val="en-US"/>
        </w:rPr>
        <w:t xml:space="preserve"> peak in </w:t>
      </w:r>
      <w:r w:rsidR="00AA7E06">
        <w:rPr>
          <w:lang w:val="en-US"/>
        </w:rPr>
        <w:t>reported data in 1986</w:t>
      </w:r>
      <w:r w:rsidR="00107C98">
        <w:rPr>
          <w:lang w:val="en-US"/>
        </w:rPr>
        <w:t>,</w:t>
      </w:r>
      <w:r w:rsidR="008C7397">
        <w:rPr>
          <w:lang w:val="en-US"/>
        </w:rPr>
        <w:t xml:space="preserve"> which included </w:t>
      </w:r>
      <w:r w:rsidR="00630027">
        <w:rPr>
          <w:lang w:val="en-US"/>
        </w:rPr>
        <w:t>non-Article 5 p</w:t>
      </w:r>
      <w:r w:rsidR="008C7397">
        <w:rPr>
          <w:lang w:val="en-US"/>
        </w:rPr>
        <w:t>arties</w:t>
      </w:r>
      <w:r w:rsidR="00BF1225">
        <w:rPr>
          <w:lang w:val="en-US"/>
        </w:rPr>
        <w:t xml:space="preserve">. </w:t>
      </w:r>
    </w:p>
    <w:p w14:paraId="1D35E394" w14:textId="49426A6A" w:rsidR="00F04BC3" w:rsidRPr="00F04BC3" w:rsidRDefault="00833B2D" w:rsidP="00ED0F61">
      <w:pPr>
        <w:rPr>
          <w:lang w:val="en-US"/>
        </w:rPr>
      </w:pPr>
      <w:r w:rsidRPr="00AD428D">
        <w:rPr>
          <w:lang w:val="en-US"/>
        </w:rPr>
        <w:t xml:space="preserve">The overwhelming majority of both the production and consumption </w:t>
      </w:r>
      <w:r w:rsidR="00880E05" w:rsidRPr="00AD428D">
        <w:rPr>
          <w:lang w:val="en-US"/>
        </w:rPr>
        <w:t>of CFC-11</w:t>
      </w:r>
      <w:r w:rsidRPr="00AD428D">
        <w:rPr>
          <w:lang w:val="en-US"/>
        </w:rPr>
        <w:t xml:space="preserve"> reported </w:t>
      </w:r>
      <w:r w:rsidR="00CF395C" w:rsidRPr="00AD428D">
        <w:rPr>
          <w:lang w:val="en-US"/>
        </w:rPr>
        <w:t xml:space="preserve">to the </w:t>
      </w:r>
      <w:r w:rsidR="00B04961" w:rsidRPr="00AD428D">
        <w:rPr>
          <w:lang w:val="en-US"/>
        </w:rPr>
        <w:t xml:space="preserve">Ozone Secretariat prior to </w:t>
      </w:r>
      <w:r w:rsidR="006E6F8A">
        <w:rPr>
          <w:lang w:val="en-US"/>
        </w:rPr>
        <w:t>1996</w:t>
      </w:r>
      <w:r w:rsidR="006E6F8A" w:rsidRPr="00AD428D">
        <w:rPr>
          <w:lang w:val="en-US"/>
        </w:rPr>
        <w:t xml:space="preserve"> </w:t>
      </w:r>
      <w:r w:rsidR="00B04961" w:rsidRPr="00AD428D">
        <w:rPr>
          <w:lang w:val="en-US"/>
        </w:rPr>
        <w:t xml:space="preserve">was in </w:t>
      </w:r>
      <w:r w:rsidR="00A82A5C">
        <w:rPr>
          <w:lang w:val="en-US"/>
        </w:rPr>
        <w:t>non-</w:t>
      </w:r>
      <w:r w:rsidR="00917421">
        <w:rPr>
          <w:lang w:val="en-US"/>
        </w:rPr>
        <w:t>A</w:t>
      </w:r>
      <w:r w:rsidR="00A82A5C">
        <w:rPr>
          <w:lang w:val="en-US"/>
        </w:rPr>
        <w:t xml:space="preserve">rticle 5 parties specifically in </w:t>
      </w:r>
      <w:r w:rsidRPr="00AD428D">
        <w:rPr>
          <w:lang w:val="en-US"/>
        </w:rPr>
        <w:t>North America and Europe</w:t>
      </w:r>
      <w:r w:rsidR="00805E1A">
        <w:rPr>
          <w:lang w:val="en-US"/>
        </w:rPr>
        <w:t>.</w:t>
      </w:r>
    </w:p>
    <w:p w14:paraId="0259FDC0" w14:textId="2237CF06" w:rsidR="0034082C" w:rsidRPr="0034082C" w:rsidRDefault="00272B1C" w:rsidP="00ED0F61">
      <w:pPr>
        <w:rPr>
          <w:lang w:val="en-US"/>
        </w:rPr>
      </w:pPr>
      <w:r>
        <w:rPr>
          <w:lang w:val="en-US"/>
        </w:rPr>
        <w:t xml:space="preserve">The use of </w:t>
      </w:r>
      <w:r w:rsidR="00F84B58">
        <w:rPr>
          <w:lang w:val="en-US"/>
        </w:rPr>
        <w:t>CFC-11</w:t>
      </w:r>
      <w:r>
        <w:rPr>
          <w:lang w:val="en-US"/>
        </w:rPr>
        <w:t xml:space="preserve"> </w:t>
      </w:r>
      <w:r w:rsidR="00456FBD">
        <w:rPr>
          <w:lang w:val="en-US"/>
        </w:rPr>
        <w:t xml:space="preserve">in </w:t>
      </w:r>
      <w:r w:rsidR="000E22D7">
        <w:rPr>
          <w:lang w:val="en-US"/>
        </w:rPr>
        <w:t>Article 5</w:t>
      </w:r>
      <w:r w:rsidR="00456FBD">
        <w:rPr>
          <w:lang w:val="en-US"/>
        </w:rPr>
        <w:t xml:space="preserve"> parties </w:t>
      </w:r>
      <w:r>
        <w:rPr>
          <w:lang w:val="en-US"/>
        </w:rPr>
        <w:t xml:space="preserve">gradually </w:t>
      </w:r>
      <w:r w:rsidR="003219F1">
        <w:rPr>
          <w:lang w:val="en-US"/>
        </w:rPr>
        <w:t>increased</w:t>
      </w:r>
      <w:r w:rsidR="00456FBD">
        <w:rPr>
          <w:lang w:val="en-US"/>
        </w:rPr>
        <w:t>.</w:t>
      </w:r>
      <w:r>
        <w:rPr>
          <w:lang w:val="en-US"/>
        </w:rPr>
        <w:t xml:space="preserve"> </w:t>
      </w:r>
      <w:r w:rsidR="008F577E">
        <w:rPr>
          <w:lang w:val="en-US"/>
        </w:rPr>
        <w:t xml:space="preserve">In the midst of this gradual growth, the </w:t>
      </w:r>
      <w:r w:rsidR="006C7137">
        <w:rPr>
          <w:lang w:val="en-US"/>
        </w:rPr>
        <w:t xml:space="preserve">Montreal Protocol </w:t>
      </w:r>
      <w:r w:rsidR="00A17437">
        <w:rPr>
          <w:lang w:val="en-US"/>
        </w:rPr>
        <w:t xml:space="preserve">phase-out of CFCs </w:t>
      </w:r>
      <w:r w:rsidR="00F33132">
        <w:rPr>
          <w:lang w:val="en-US"/>
        </w:rPr>
        <w:t xml:space="preserve">in Article 5 parties </w:t>
      </w:r>
      <w:r w:rsidR="00752AC1">
        <w:rPr>
          <w:lang w:val="en-US"/>
        </w:rPr>
        <w:t xml:space="preserve">was </w:t>
      </w:r>
      <w:r w:rsidR="00F33132">
        <w:rPr>
          <w:lang w:val="en-US"/>
        </w:rPr>
        <w:t xml:space="preserve">already </w:t>
      </w:r>
      <w:r w:rsidR="00752AC1">
        <w:rPr>
          <w:lang w:val="en-US"/>
        </w:rPr>
        <w:t>underway.</w:t>
      </w:r>
    </w:p>
    <w:p w14:paraId="6ECAD6DA" w14:textId="3E5734D8" w:rsidR="006C7137" w:rsidRDefault="006C7137" w:rsidP="00CC60B5">
      <w:pPr>
        <w:rPr>
          <w:lang w:val="en-US"/>
        </w:rPr>
      </w:pPr>
      <w:r>
        <w:rPr>
          <w:lang w:val="en-US"/>
        </w:rPr>
        <w:t>HCFC-141b was introduced as a replacement for CFC-11</w:t>
      </w:r>
      <w:r w:rsidR="00885158">
        <w:rPr>
          <w:lang w:val="en-US"/>
        </w:rPr>
        <w:t xml:space="preserve"> </w:t>
      </w:r>
      <w:r w:rsidR="00342459">
        <w:rPr>
          <w:lang w:val="en-US"/>
        </w:rPr>
        <w:t>for use as a</w:t>
      </w:r>
      <w:r w:rsidR="00885158">
        <w:rPr>
          <w:lang w:val="en-US"/>
        </w:rPr>
        <w:t xml:space="preserve"> </w:t>
      </w:r>
      <w:r w:rsidR="002D6454">
        <w:rPr>
          <w:lang w:val="en-US"/>
        </w:rPr>
        <w:t>closed-cell</w:t>
      </w:r>
      <w:r w:rsidR="0073513D">
        <w:rPr>
          <w:lang w:val="en-US"/>
        </w:rPr>
        <w:t xml:space="preserve"> foam blowing agent during</w:t>
      </w:r>
      <w:r w:rsidR="00885158">
        <w:rPr>
          <w:lang w:val="en-US"/>
        </w:rPr>
        <w:t xml:space="preserve"> the phase-out of CFC-11</w:t>
      </w:r>
      <w:r>
        <w:rPr>
          <w:lang w:val="en-US"/>
        </w:rPr>
        <w:t xml:space="preserve">. </w:t>
      </w:r>
      <w:r w:rsidR="00DF5BD4">
        <w:rPr>
          <w:lang w:val="en-US"/>
        </w:rPr>
        <w:t>HCFC-141b</w:t>
      </w:r>
      <w:r w:rsidR="009B63CB">
        <w:rPr>
          <w:lang w:val="en-US"/>
        </w:rPr>
        <w:t xml:space="preserve"> is also undergoing a phase-out as agreed by the parties to the Montreal Protocol</w:t>
      </w:r>
      <w:r w:rsidR="00774D5D">
        <w:rPr>
          <w:lang w:val="en-US"/>
        </w:rPr>
        <w:t>.</w:t>
      </w:r>
      <w:r w:rsidR="00F44F66">
        <w:rPr>
          <w:lang w:val="en-US"/>
        </w:rPr>
        <w:t xml:space="preserve"> The schedules can be found in </w:t>
      </w:r>
      <w:r w:rsidR="001B7B18">
        <w:rPr>
          <w:lang w:val="en-US"/>
        </w:rPr>
        <w:t>Appendix 8.</w:t>
      </w:r>
    </w:p>
    <w:p w14:paraId="745399A4" w14:textId="53F2DBCC" w:rsidR="00613F39" w:rsidRDefault="00144108" w:rsidP="001A6754">
      <w:pPr>
        <w:rPr>
          <w:lang w:val="en-US"/>
        </w:rPr>
      </w:pPr>
      <w:r>
        <w:rPr>
          <w:lang w:val="en-US"/>
        </w:rPr>
        <w:t>Non-Article 5</w:t>
      </w:r>
      <w:r w:rsidR="00B2455B">
        <w:rPr>
          <w:lang w:val="en-US"/>
        </w:rPr>
        <w:t xml:space="preserve"> parties were already</w:t>
      </w:r>
      <w:r w:rsidR="00DC4432">
        <w:rPr>
          <w:lang w:val="en-US"/>
        </w:rPr>
        <w:t xml:space="preserve"> transitioning </w:t>
      </w:r>
      <w:r w:rsidR="00B2455B">
        <w:rPr>
          <w:lang w:val="en-US"/>
        </w:rPr>
        <w:t>from ozone depleting blowing agents by the time the 2006 FTOC Assessment Report was written.</w:t>
      </w:r>
      <w:r w:rsidR="00AE14A7">
        <w:rPr>
          <w:lang w:val="en-US"/>
        </w:rPr>
        <w:t xml:space="preserve"> The phase-out of CFC-11 for </w:t>
      </w:r>
      <w:r>
        <w:rPr>
          <w:lang w:val="en-US"/>
        </w:rPr>
        <w:t>non-Article 5</w:t>
      </w:r>
      <w:r w:rsidR="00AE14A7">
        <w:rPr>
          <w:lang w:val="en-US"/>
        </w:rPr>
        <w:t xml:space="preserve"> parties was </w:t>
      </w:r>
      <w:r w:rsidR="00651C0A">
        <w:rPr>
          <w:lang w:val="en-US"/>
        </w:rPr>
        <w:t>complete</w:t>
      </w:r>
      <w:r w:rsidR="00C25D86">
        <w:rPr>
          <w:lang w:val="en-US"/>
        </w:rPr>
        <w:t>d</w:t>
      </w:r>
      <w:r w:rsidR="00651C0A">
        <w:rPr>
          <w:lang w:val="en-US"/>
        </w:rPr>
        <w:t xml:space="preserve"> </w:t>
      </w:r>
      <w:r w:rsidR="00C25D86">
        <w:rPr>
          <w:lang w:val="en-US"/>
        </w:rPr>
        <w:t xml:space="preserve">by </w:t>
      </w:r>
      <w:r w:rsidR="00651C0A">
        <w:rPr>
          <w:lang w:val="en-US"/>
        </w:rPr>
        <w:t>1996</w:t>
      </w:r>
      <w:r w:rsidR="00A91333">
        <w:rPr>
          <w:lang w:val="en-US"/>
        </w:rPr>
        <w:t xml:space="preserve"> and reductions were </w:t>
      </w:r>
      <w:r w:rsidR="007461F7">
        <w:rPr>
          <w:lang w:val="en-US"/>
        </w:rPr>
        <w:t xml:space="preserve">already </w:t>
      </w:r>
      <w:r w:rsidR="00A91333">
        <w:rPr>
          <w:lang w:val="en-US"/>
        </w:rPr>
        <w:t xml:space="preserve">well under way for HCFC-141b </w:t>
      </w:r>
      <w:r w:rsidR="00A76FFD">
        <w:rPr>
          <w:lang w:val="en-US"/>
        </w:rPr>
        <w:t xml:space="preserve">prior to </w:t>
      </w:r>
      <w:r w:rsidR="00A91333">
        <w:rPr>
          <w:lang w:val="en-US"/>
        </w:rPr>
        <w:t xml:space="preserve">the </w:t>
      </w:r>
      <w:r w:rsidR="00C86770">
        <w:rPr>
          <w:lang w:val="en-US"/>
        </w:rPr>
        <w:t>phase-out scheduled to be complete</w:t>
      </w:r>
      <w:r w:rsidR="00C25D86">
        <w:rPr>
          <w:lang w:val="en-US"/>
        </w:rPr>
        <w:t>d</w:t>
      </w:r>
      <w:r w:rsidR="00C86770">
        <w:rPr>
          <w:lang w:val="en-US"/>
        </w:rPr>
        <w:t xml:space="preserve"> </w:t>
      </w:r>
      <w:r w:rsidR="00944D8E">
        <w:rPr>
          <w:lang w:val="en-US"/>
        </w:rPr>
        <w:t>by</w:t>
      </w:r>
      <w:r w:rsidR="00C86770">
        <w:rPr>
          <w:lang w:val="en-US"/>
        </w:rPr>
        <w:t xml:space="preserve"> 2020</w:t>
      </w:r>
      <w:r w:rsidR="00B307C9">
        <w:rPr>
          <w:lang w:val="en-US"/>
        </w:rPr>
        <w:t xml:space="preserve">, but </w:t>
      </w:r>
      <w:r w:rsidR="00E874D0">
        <w:rPr>
          <w:lang w:val="en-US"/>
        </w:rPr>
        <w:t xml:space="preserve">many parties </w:t>
      </w:r>
      <w:r w:rsidR="00262D33">
        <w:rPr>
          <w:lang w:val="en-US"/>
        </w:rPr>
        <w:t xml:space="preserve">regulated </w:t>
      </w:r>
      <w:r w:rsidR="00E874D0">
        <w:rPr>
          <w:lang w:val="en-US"/>
        </w:rPr>
        <w:t xml:space="preserve">HCFC-141b </w:t>
      </w:r>
      <w:r w:rsidR="0058791B">
        <w:rPr>
          <w:lang w:val="en-US"/>
        </w:rPr>
        <w:t>early</w:t>
      </w:r>
      <w:r w:rsidR="005379DC">
        <w:rPr>
          <w:lang w:val="en-US"/>
        </w:rPr>
        <w:t xml:space="preserve"> using a “worst-first” strategy</w:t>
      </w:r>
      <w:r w:rsidR="1061C58E" w:rsidRPr="1061C58E">
        <w:rPr>
          <w:lang w:val="en-US"/>
        </w:rPr>
        <w:t>, given its higher ozone depletion potential.</w:t>
      </w:r>
      <w:r w:rsidR="00812483">
        <w:rPr>
          <w:lang w:val="en-US"/>
        </w:rPr>
        <w:t xml:space="preserve"> For example, </w:t>
      </w:r>
      <w:r w:rsidR="00FE55A5">
        <w:rPr>
          <w:lang w:val="en-US"/>
        </w:rPr>
        <w:t>the United States</w:t>
      </w:r>
      <w:r w:rsidR="00812483">
        <w:rPr>
          <w:lang w:val="en-US"/>
        </w:rPr>
        <w:t xml:space="preserve"> banned the use of HCFC-141b </w:t>
      </w:r>
      <w:r w:rsidR="003A2967">
        <w:rPr>
          <w:lang w:val="en-US"/>
        </w:rPr>
        <w:t xml:space="preserve">for use in </w:t>
      </w:r>
      <w:r w:rsidR="00810CC3">
        <w:rPr>
          <w:lang w:val="en-US"/>
        </w:rPr>
        <w:t xml:space="preserve">foam for appliances </w:t>
      </w:r>
      <w:r w:rsidR="0008051C">
        <w:rPr>
          <w:lang w:val="en-US"/>
        </w:rPr>
        <w:t xml:space="preserve">in </w:t>
      </w:r>
      <w:r w:rsidR="00DB09F9">
        <w:rPr>
          <w:lang w:val="en-US"/>
        </w:rPr>
        <w:t xml:space="preserve">2003 </w:t>
      </w:r>
      <w:r w:rsidR="00D572D4">
        <w:rPr>
          <w:lang w:val="en-US"/>
        </w:rPr>
        <w:t>and then in imports of products containing HCFC-141b in 2015</w:t>
      </w:r>
      <w:r w:rsidR="00186333">
        <w:rPr>
          <w:lang w:val="en-US"/>
        </w:rPr>
        <w:t>.</w:t>
      </w:r>
    </w:p>
    <w:p w14:paraId="1EB1EEFA" w14:textId="2208417E" w:rsidR="00B2455B" w:rsidRDefault="009C14CF" w:rsidP="001A6754">
      <w:pPr>
        <w:rPr>
          <w:lang w:val="en-US"/>
        </w:rPr>
      </w:pPr>
      <w:r>
        <w:rPr>
          <w:lang w:val="en-US"/>
        </w:rPr>
        <w:t xml:space="preserve">It is </w:t>
      </w:r>
      <w:r w:rsidR="00613F39">
        <w:rPr>
          <w:lang w:val="en-US"/>
        </w:rPr>
        <w:t>important to note</w:t>
      </w:r>
      <w:r>
        <w:rPr>
          <w:lang w:val="en-US"/>
        </w:rPr>
        <w:t xml:space="preserve"> that each transition in </w:t>
      </w:r>
      <w:r w:rsidR="00144108">
        <w:rPr>
          <w:lang w:val="en-US"/>
        </w:rPr>
        <w:t>non-Article 5</w:t>
      </w:r>
      <w:r>
        <w:rPr>
          <w:lang w:val="en-US"/>
        </w:rPr>
        <w:t xml:space="preserve"> parties resulted in much lower </w:t>
      </w:r>
      <w:r w:rsidR="003F4596">
        <w:rPr>
          <w:lang w:val="en-US"/>
        </w:rPr>
        <w:t>use</w:t>
      </w:r>
      <w:r>
        <w:rPr>
          <w:lang w:val="en-US"/>
        </w:rPr>
        <w:t xml:space="preserve"> of halocarbons</w:t>
      </w:r>
      <w:r w:rsidR="007A4DF3">
        <w:rPr>
          <w:lang w:val="en-US"/>
        </w:rPr>
        <w:t xml:space="preserve"> as foam blowing agents</w:t>
      </w:r>
      <w:r w:rsidR="00B44C8B">
        <w:rPr>
          <w:lang w:val="en-US"/>
        </w:rPr>
        <w:t xml:space="preserve"> as foam manufacturers shifted to </w:t>
      </w:r>
      <w:r w:rsidR="006E3125">
        <w:rPr>
          <w:lang w:val="en-US"/>
        </w:rPr>
        <w:t xml:space="preserve">other alternatives including water and hydrocarbons. </w:t>
      </w:r>
    </w:p>
    <w:p w14:paraId="7698798C" w14:textId="26E7164D" w:rsidR="00B2455B" w:rsidRDefault="00F27892" w:rsidP="00A55593">
      <w:pPr>
        <w:pStyle w:val="FigureandTableTitle"/>
      </w:pPr>
      <w:r>
        <w:lastRenderedPageBreak/>
        <w:t>Figure 2.</w:t>
      </w:r>
      <w:r w:rsidR="00A503DB">
        <w:t>7</w:t>
      </w:r>
      <w:r w:rsidR="001A6754">
        <w:tab/>
      </w:r>
      <w:r>
        <w:t>N</w:t>
      </w:r>
      <w:r w:rsidR="001A6754">
        <w:t>on-Article 5 p</w:t>
      </w:r>
      <w:r>
        <w:t xml:space="preserve">arty </w:t>
      </w:r>
      <w:r w:rsidR="001A6754">
        <w:t>consumption</w:t>
      </w:r>
      <w:r>
        <w:t xml:space="preserve"> of CFC-11 and HCFC-141b</w:t>
      </w:r>
    </w:p>
    <w:p w14:paraId="27E2F5D2" w14:textId="23C77BE6" w:rsidR="00F2265B" w:rsidRPr="00326734" w:rsidRDefault="00F2265B" w:rsidP="00B2455B">
      <w:pPr>
        <w:spacing w:line="259" w:lineRule="auto"/>
      </w:pPr>
      <w:r>
        <w:rPr>
          <w:noProof/>
        </w:rPr>
        <w:drawing>
          <wp:inline distT="0" distB="0" distL="0" distR="0" wp14:anchorId="36E8E592" wp14:editId="2F3D609D">
            <wp:extent cx="5278754" cy="2718435"/>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38">
                      <a:extLst>
                        <a:ext uri="{28A0092B-C50C-407E-A947-70E740481C1C}">
                          <a14:useLocalDpi xmlns:a14="http://schemas.microsoft.com/office/drawing/2010/main" val="0"/>
                        </a:ext>
                      </a:extLst>
                    </a:blip>
                    <a:stretch>
                      <a:fillRect/>
                    </a:stretch>
                  </pic:blipFill>
                  <pic:spPr>
                    <a:xfrm>
                      <a:off x="0" y="0"/>
                      <a:ext cx="5278754" cy="2718435"/>
                    </a:xfrm>
                    <a:prstGeom prst="rect">
                      <a:avLst/>
                    </a:prstGeom>
                  </pic:spPr>
                </pic:pic>
              </a:graphicData>
            </a:graphic>
          </wp:inline>
        </w:drawing>
      </w:r>
    </w:p>
    <w:p w14:paraId="74362850" w14:textId="0D331C17" w:rsidR="00B67FEA" w:rsidRDefault="00D13DDA" w:rsidP="00326734">
      <w:pPr>
        <w:rPr>
          <w:lang w:val="en-US"/>
        </w:rPr>
      </w:pPr>
      <w:r>
        <w:rPr>
          <w:lang w:val="en-US"/>
        </w:rPr>
        <w:t xml:space="preserve">The </w:t>
      </w:r>
      <w:r w:rsidR="000E22D7">
        <w:rPr>
          <w:lang w:val="en-US"/>
        </w:rPr>
        <w:t>Article 5</w:t>
      </w:r>
      <w:r w:rsidR="004E032F">
        <w:rPr>
          <w:lang w:val="en-US"/>
        </w:rPr>
        <w:t xml:space="preserve"> part</w:t>
      </w:r>
      <w:r w:rsidR="00A92A3E">
        <w:rPr>
          <w:lang w:val="en-US"/>
        </w:rPr>
        <w:t xml:space="preserve">y baselines were </w:t>
      </w:r>
      <w:r w:rsidR="000A6487">
        <w:rPr>
          <w:lang w:val="en-US"/>
        </w:rPr>
        <w:t>determined</w:t>
      </w:r>
      <w:r w:rsidR="00A92A3E">
        <w:rPr>
          <w:lang w:val="en-US"/>
        </w:rPr>
        <w:t xml:space="preserve"> in 199</w:t>
      </w:r>
      <w:r w:rsidR="0044307F">
        <w:rPr>
          <w:lang w:val="en-US"/>
        </w:rPr>
        <w:t>5-97</w:t>
      </w:r>
      <w:r w:rsidR="00A92A3E">
        <w:rPr>
          <w:lang w:val="en-US"/>
        </w:rPr>
        <w:t xml:space="preserve"> for CFCs and in </w:t>
      </w:r>
      <w:r w:rsidR="004E032F">
        <w:rPr>
          <w:lang w:val="en-US"/>
        </w:rPr>
        <w:t>2009-10</w:t>
      </w:r>
      <w:r w:rsidR="00242421">
        <w:rPr>
          <w:lang w:val="en-US"/>
        </w:rPr>
        <w:t xml:space="preserve"> for HCFCs.</w:t>
      </w:r>
      <w:r w:rsidR="000B7470">
        <w:rPr>
          <w:lang w:val="en-US"/>
        </w:rPr>
        <w:t xml:space="preserve"> </w:t>
      </w:r>
      <w:r w:rsidR="00242421">
        <w:rPr>
          <w:lang w:val="en-US"/>
        </w:rPr>
        <w:t xml:space="preserve">The </w:t>
      </w:r>
      <w:r w:rsidR="000E22D7">
        <w:rPr>
          <w:lang w:val="en-US"/>
        </w:rPr>
        <w:t>Article 5</w:t>
      </w:r>
      <w:r w:rsidR="00242421">
        <w:rPr>
          <w:lang w:val="en-US"/>
        </w:rPr>
        <w:t xml:space="preserve"> party freeze and phase-down started in</w:t>
      </w:r>
      <w:r w:rsidR="0044307F">
        <w:rPr>
          <w:lang w:val="en-US"/>
        </w:rPr>
        <w:t xml:space="preserve"> 1999 for CFCs and in</w:t>
      </w:r>
      <w:r w:rsidR="00B51E0E">
        <w:rPr>
          <w:lang w:val="en-US"/>
        </w:rPr>
        <w:t xml:space="preserve"> 2013 for HCFCs</w:t>
      </w:r>
      <w:r w:rsidR="004E032F">
        <w:rPr>
          <w:lang w:val="en-US"/>
        </w:rPr>
        <w:t>.</w:t>
      </w:r>
      <w:r w:rsidR="00D16443">
        <w:rPr>
          <w:lang w:val="en-US"/>
        </w:rPr>
        <w:t xml:space="preserve"> Many parties again </w:t>
      </w:r>
      <w:r w:rsidR="00427499">
        <w:rPr>
          <w:lang w:val="en-US"/>
        </w:rPr>
        <w:t xml:space="preserve">regulated </w:t>
      </w:r>
      <w:r w:rsidR="002F292A">
        <w:rPr>
          <w:lang w:val="en-US"/>
        </w:rPr>
        <w:t xml:space="preserve">HCFC-141b </w:t>
      </w:r>
      <w:r w:rsidR="00812483">
        <w:rPr>
          <w:lang w:val="en-US"/>
        </w:rPr>
        <w:t xml:space="preserve">using the same “worst-first” approach that </w:t>
      </w:r>
      <w:r w:rsidR="006E1793">
        <w:rPr>
          <w:lang w:val="en-US"/>
        </w:rPr>
        <w:t>non-Article 5</w:t>
      </w:r>
      <w:r w:rsidR="00812483">
        <w:rPr>
          <w:lang w:val="en-US"/>
        </w:rPr>
        <w:t xml:space="preserve"> parties used.</w:t>
      </w:r>
    </w:p>
    <w:p w14:paraId="6EF7FC9A" w14:textId="1CE1A16A" w:rsidR="003355D3" w:rsidRDefault="003355D3" w:rsidP="003355D3">
      <w:pPr>
        <w:pStyle w:val="FigureandTableTitle"/>
      </w:pPr>
      <w:r>
        <w:t>Figure 2.</w:t>
      </w:r>
      <w:r w:rsidR="00A503DB">
        <w:t>8</w:t>
      </w:r>
      <w:r>
        <w:tab/>
        <w:t>Article 5 party consumption of CFC-11 and HCFC-141b</w:t>
      </w:r>
    </w:p>
    <w:p w14:paraId="4A1BC2FA" w14:textId="53B3954D" w:rsidR="00741B80" w:rsidRDefault="00C24C9A" w:rsidP="003F642E">
      <w:pPr>
        <w:spacing w:line="259" w:lineRule="auto"/>
        <w:rPr>
          <w:color w:val="000000" w:themeColor="text1"/>
          <w:lang w:val="en-US"/>
        </w:rPr>
      </w:pPr>
      <w:r>
        <w:rPr>
          <w:noProof/>
        </w:rPr>
        <w:drawing>
          <wp:inline distT="0" distB="0" distL="0" distR="0" wp14:anchorId="5BB9B70C" wp14:editId="2AC03BD5">
            <wp:extent cx="5227488" cy="3336588"/>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9">
                      <a:extLst>
                        <a:ext uri="{28A0092B-C50C-407E-A947-70E740481C1C}">
                          <a14:useLocalDpi xmlns:a14="http://schemas.microsoft.com/office/drawing/2010/main" val="0"/>
                        </a:ext>
                      </a:extLst>
                    </a:blip>
                    <a:stretch>
                      <a:fillRect/>
                    </a:stretch>
                  </pic:blipFill>
                  <pic:spPr>
                    <a:xfrm>
                      <a:off x="0" y="0"/>
                      <a:ext cx="5227488" cy="3336588"/>
                    </a:xfrm>
                    <a:prstGeom prst="rect">
                      <a:avLst/>
                    </a:prstGeom>
                  </pic:spPr>
                </pic:pic>
              </a:graphicData>
            </a:graphic>
          </wp:inline>
        </w:drawing>
      </w:r>
    </w:p>
    <w:p w14:paraId="61AE576B" w14:textId="7AD5545A" w:rsidR="00741B80" w:rsidRDefault="008E3C01" w:rsidP="00326734">
      <w:pPr>
        <w:rPr>
          <w:lang w:val="en-US"/>
        </w:rPr>
      </w:pPr>
      <w:r>
        <w:rPr>
          <w:lang w:val="en-US"/>
        </w:rPr>
        <w:t>Again, i</w:t>
      </w:r>
      <w:r w:rsidR="008227DC">
        <w:rPr>
          <w:lang w:val="en-US"/>
        </w:rPr>
        <w:t xml:space="preserve">t is important to note that the </w:t>
      </w:r>
      <w:r w:rsidR="00C2405C">
        <w:rPr>
          <w:lang w:val="en-US"/>
        </w:rPr>
        <w:t xml:space="preserve">quantities </w:t>
      </w:r>
      <w:r w:rsidR="008227DC">
        <w:rPr>
          <w:lang w:val="en-US"/>
        </w:rPr>
        <w:t xml:space="preserve">of </w:t>
      </w:r>
      <w:r w:rsidR="00CE5F4A">
        <w:rPr>
          <w:lang w:val="en-US"/>
        </w:rPr>
        <w:t xml:space="preserve">CFC-11 </w:t>
      </w:r>
      <w:r>
        <w:rPr>
          <w:lang w:val="en-US"/>
        </w:rPr>
        <w:t xml:space="preserve">consumed in </w:t>
      </w:r>
      <w:r w:rsidR="000E22D7">
        <w:rPr>
          <w:lang w:val="en-US"/>
        </w:rPr>
        <w:t>Article 5</w:t>
      </w:r>
      <w:r>
        <w:rPr>
          <w:lang w:val="en-US"/>
        </w:rPr>
        <w:t xml:space="preserve"> parties </w:t>
      </w:r>
      <w:r w:rsidR="007502F1">
        <w:rPr>
          <w:lang w:val="en-US"/>
        </w:rPr>
        <w:t xml:space="preserve">were </w:t>
      </w:r>
      <w:r w:rsidR="007B2A14">
        <w:rPr>
          <w:lang w:val="en-US"/>
        </w:rPr>
        <w:t xml:space="preserve">much smaller than the quantities consumed in </w:t>
      </w:r>
      <w:r w:rsidR="006E1793">
        <w:rPr>
          <w:lang w:val="en-US"/>
        </w:rPr>
        <w:t>non-Article 5</w:t>
      </w:r>
      <w:r w:rsidR="007B2A14">
        <w:rPr>
          <w:lang w:val="en-US"/>
        </w:rPr>
        <w:t xml:space="preserve"> parties. </w:t>
      </w:r>
      <w:r w:rsidR="00877A36">
        <w:rPr>
          <w:lang w:val="en-US"/>
        </w:rPr>
        <w:t xml:space="preserve">The </w:t>
      </w:r>
      <w:r w:rsidR="00EF1EEA">
        <w:rPr>
          <w:lang w:val="en-US"/>
        </w:rPr>
        <w:t xml:space="preserve">vast </w:t>
      </w:r>
      <w:r w:rsidR="00877A36">
        <w:rPr>
          <w:lang w:val="en-US"/>
        </w:rPr>
        <w:t xml:space="preserve">majority of CFC-11 production and consumption took place in </w:t>
      </w:r>
      <w:r w:rsidR="006E1793">
        <w:rPr>
          <w:lang w:val="en-US"/>
        </w:rPr>
        <w:t>non-Article 5</w:t>
      </w:r>
      <w:r w:rsidR="00877A36">
        <w:rPr>
          <w:lang w:val="en-US"/>
        </w:rPr>
        <w:t xml:space="preserve"> parties. </w:t>
      </w:r>
    </w:p>
    <w:p w14:paraId="2BFFB4FF" w14:textId="53BADBF1" w:rsidR="00507579" w:rsidRDefault="001D68D2" w:rsidP="00751ECE">
      <w:pPr>
        <w:pStyle w:val="Heading3"/>
      </w:pPr>
      <w:bookmarkStart w:id="151" w:name="_Toc73045608"/>
      <w:r>
        <w:lastRenderedPageBreak/>
        <w:t>2.5.1</w:t>
      </w:r>
      <w:r>
        <w:tab/>
      </w:r>
      <w:r w:rsidR="00326734">
        <w:t>Estimated global use of CFC-11 by foam type</w:t>
      </w:r>
      <w:bookmarkEnd w:id="151"/>
      <w:r w:rsidR="00326734">
        <w:t xml:space="preserve"> </w:t>
      </w:r>
    </w:p>
    <w:p w14:paraId="3EBD5FED" w14:textId="79543A94" w:rsidR="00E33824" w:rsidRDefault="00365F2D" w:rsidP="00AF527C">
      <w:r>
        <w:rPr>
          <w:lang w:val="en-US"/>
        </w:rPr>
        <w:t>T</w:t>
      </w:r>
      <w:r w:rsidR="00C35A38">
        <w:rPr>
          <w:lang w:val="en-US"/>
        </w:rPr>
        <w:t xml:space="preserve">he Flexible and </w:t>
      </w:r>
      <w:r w:rsidR="00B30B90">
        <w:rPr>
          <w:lang w:val="en-US"/>
        </w:rPr>
        <w:t xml:space="preserve">Rigid Foams Technical Options Committee (FTOC) </w:t>
      </w:r>
      <w:r w:rsidR="00214BA0">
        <w:rPr>
          <w:lang w:val="en-US"/>
        </w:rPr>
        <w:t xml:space="preserve">completed a detailed analysis of </w:t>
      </w:r>
      <w:r w:rsidR="00972638">
        <w:rPr>
          <w:lang w:val="en-US"/>
        </w:rPr>
        <w:t xml:space="preserve">the </w:t>
      </w:r>
      <w:r w:rsidR="00214BA0">
        <w:rPr>
          <w:lang w:val="en-US"/>
        </w:rPr>
        <w:t>use of foam blowing agents by foam sector by region</w:t>
      </w:r>
      <w:r>
        <w:rPr>
          <w:lang w:val="en-US"/>
        </w:rPr>
        <w:t xml:space="preserve"> in the 2006 </w:t>
      </w:r>
      <w:r w:rsidR="001B1AA0">
        <w:rPr>
          <w:lang w:val="en-US"/>
        </w:rPr>
        <w:t xml:space="preserve">FTOC </w:t>
      </w:r>
      <w:r>
        <w:rPr>
          <w:lang w:val="en-US"/>
        </w:rPr>
        <w:t>Assessment Report</w:t>
      </w:r>
      <w:r w:rsidR="00214BA0">
        <w:rPr>
          <w:lang w:val="en-US"/>
        </w:rPr>
        <w:t xml:space="preserve">. </w:t>
      </w:r>
      <w:r w:rsidR="00E33824">
        <w:t xml:space="preserve">The 2006 FTOC Assessment Report provided regional estimates as noted in the </w:t>
      </w:r>
      <w:r w:rsidR="005D6AF9">
        <w:t>A</w:t>
      </w:r>
      <w:r w:rsidR="00E33824">
        <w:t>ppendix</w:t>
      </w:r>
      <w:r w:rsidR="005D6AF9" w:rsidRPr="009F1551">
        <w:t xml:space="preserve"> </w:t>
      </w:r>
      <w:r w:rsidR="006E1E87" w:rsidRPr="00996D30">
        <w:t>7</w:t>
      </w:r>
      <w:r w:rsidR="00E33824" w:rsidRPr="00433CDE">
        <w:t>.</w:t>
      </w:r>
      <w:r w:rsidR="00E33824">
        <w:t xml:space="preserve"> The Task Force has used the same regions.</w:t>
      </w:r>
    </w:p>
    <w:p w14:paraId="60D569B0" w14:textId="2F583062" w:rsidR="00A30089" w:rsidRPr="00A30089" w:rsidRDefault="00E44A98" w:rsidP="00CA7412">
      <w:pPr>
        <w:rPr>
          <w:lang w:val="en-US"/>
        </w:rPr>
      </w:pPr>
      <w:r>
        <w:rPr>
          <w:lang w:val="en-US"/>
        </w:rPr>
        <w:t xml:space="preserve">The </w:t>
      </w:r>
      <w:r w:rsidR="00365F2D">
        <w:rPr>
          <w:lang w:val="en-US"/>
        </w:rPr>
        <w:t xml:space="preserve">FTOC </w:t>
      </w:r>
      <w:r w:rsidR="000F75F1">
        <w:rPr>
          <w:lang w:val="en-US"/>
        </w:rPr>
        <w:t>des</w:t>
      </w:r>
      <w:r w:rsidR="002934F0">
        <w:rPr>
          <w:lang w:val="en-US"/>
        </w:rPr>
        <w:t xml:space="preserve">cribed </w:t>
      </w:r>
      <w:r w:rsidR="00953998">
        <w:rPr>
          <w:lang w:val="en-US"/>
        </w:rPr>
        <w:t xml:space="preserve">large, </w:t>
      </w:r>
      <w:r w:rsidR="002934F0">
        <w:rPr>
          <w:lang w:val="en-US"/>
        </w:rPr>
        <w:t xml:space="preserve">mature foam markets in </w:t>
      </w:r>
      <w:r w:rsidR="00953998">
        <w:rPr>
          <w:lang w:val="en-US"/>
        </w:rPr>
        <w:t xml:space="preserve">North America </w:t>
      </w:r>
      <w:r w:rsidR="00E33824">
        <w:rPr>
          <w:lang w:val="en-US"/>
        </w:rPr>
        <w:t xml:space="preserve">(NA) </w:t>
      </w:r>
      <w:r w:rsidR="00953998">
        <w:rPr>
          <w:lang w:val="en-US"/>
        </w:rPr>
        <w:t xml:space="preserve">and Europe </w:t>
      </w:r>
      <w:r w:rsidR="00E33824">
        <w:rPr>
          <w:lang w:val="en-US"/>
        </w:rPr>
        <w:t xml:space="preserve">(EU) </w:t>
      </w:r>
      <w:r w:rsidR="00953998">
        <w:rPr>
          <w:lang w:val="en-US"/>
        </w:rPr>
        <w:t xml:space="preserve">for the types of foams that historically used CFC-11. </w:t>
      </w:r>
      <w:r w:rsidR="00972185">
        <w:rPr>
          <w:lang w:val="en-US"/>
        </w:rPr>
        <w:t>O</w:t>
      </w:r>
      <w:r w:rsidR="00A7485A">
        <w:rPr>
          <w:lang w:val="en-US"/>
        </w:rPr>
        <w:t xml:space="preserve">ther regions all using less than one-third of the </w:t>
      </w:r>
      <w:r w:rsidR="0089070C">
        <w:rPr>
          <w:lang w:val="en-US"/>
        </w:rPr>
        <w:t>quantities</w:t>
      </w:r>
      <w:r w:rsidR="00A7485A">
        <w:rPr>
          <w:lang w:val="en-US"/>
        </w:rPr>
        <w:t xml:space="preserve"> used by either </w:t>
      </w:r>
      <w:r w:rsidR="00E154D7">
        <w:rPr>
          <w:lang w:val="en-US"/>
        </w:rPr>
        <w:t>North America</w:t>
      </w:r>
      <w:r w:rsidR="00C54C9B">
        <w:rPr>
          <w:lang w:val="en-US"/>
        </w:rPr>
        <w:t xml:space="preserve"> or </w:t>
      </w:r>
      <w:r w:rsidR="0066083B">
        <w:rPr>
          <w:lang w:val="en-US"/>
        </w:rPr>
        <w:t>Europe</w:t>
      </w:r>
      <w:r w:rsidR="002934F0">
        <w:rPr>
          <w:lang w:val="en-US"/>
        </w:rPr>
        <w:t xml:space="preserve">. </w:t>
      </w:r>
      <w:r w:rsidR="003E3AB9">
        <w:rPr>
          <w:lang w:val="en-US"/>
        </w:rPr>
        <w:t>Closed-cell</w:t>
      </w:r>
      <w:r w:rsidR="00201E9D">
        <w:rPr>
          <w:lang w:val="en-US"/>
        </w:rPr>
        <w:t xml:space="preserve"> foam markets in </w:t>
      </w:r>
      <w:r w:rsidR="00150648">
        <w:rPr>
          <w:lang w:val="en-US"/>
        </w:rPr>
        <w:t>Article 5</w:t>
      </w:r>
      <w:r w:rsidR="00201E9D">
        <w:rPr>
          <w:lang w:val="en-US"/>
        </w:rPr>
        <w:t xml:space="preserve"> parties had slowly been gr</w:t>
      </w:r>
      <w:r w:rsidR="00E27059">
        <w:rPr>
          <w:lang w:val="en-US"/>
        </w:rPr>
        <w:t>owing</w:t>
      </w:r>
      <w:r w:rsidR="003E3AB9">
        <w:rPr>
          <w:lang w:val="en-US"/>
        </w:rPr>
        <w:t xml:space="preserve"> prior to </w:t>
      </w:r>
      <w:r w:rsidR="004F324D">
        <w:rPr>
          <w:lang w:val="en-US"/>
        </w:rPr>
        <w:t>2006</w:t>
      </w:r>
      <w:r w:rsidR="00913263">
        <w:rPr>
          <w:lang w:val="en-US"/>
        </w:rPr>
        <w:t xml:space="preserve"> as shown above</w:t>
      </w:r>
      <w:r w:rsidR="004F324D">
        <w:rPr>
          <w:lang w:val="en-US"/>
        </w:rPr>
        <w:t>.</w:t>
      </w:r>
      <w:r w:rsidR="000B7470">
        <w:rPr>
          <w:lang w:val="en-US"/>
        </w:rPr>
        <w:t xml:space="preserve"> </w:t>
      </w:r>
    </w:p>
    <w:p w14:paraId="135AB750" w14:textId="46C10F8C" w:rsidR="000827E2" w:rsidRDefault="000827E2" w:rsidP="00A55593">
      <w:pPr>
        <w:pStyle w:val="FigureandTableTitle"/>
      </w:pPr>
      <w:r>
        <w:t>Figure 2</w:t>
      </w:r>
      <w:r w:rsidR="001D68D2">
        <w:t>.</w:t>
      </w:r>
      <w:r w:rsidR="00A503DB">
        <w:t>9</w:t>
      </w:r>
      <w:r w:rsidR="001D68D2">
        <w:tab/>
      </w:r>
      <w:r>
        <w:t xml:space="preserve">2006 FTOC Assessment Report: </w:t>
      </w:r>
      <w:r w:rsidR="005D73F5">
        <w:t>Total f</w:t>
      </w:r>
      <w:r w:rsidR="001D68D2">
        <w:t xml:space="preserve">oam blowing agent </w:t>
      </w:r>
      <w:r w:rsidR="005D73F5">
        <w:t>usage</w:t>
      </w:r>
      <w:r w:rsidR="001D68D2">
        <w:t xml:space="preserve"> for foam sectors that historically used</w:t>
      </w:r>
      <w:r>
        <w:t xml:space="preserve"> CFC-11</w:t>
      </w:r>
      <w:r w:rsidR="00171238">
        <w:t xml:space="preserve"> (tonnes)</w:t>
      </w:r>
      <w:r w:rsidR="00D34A2C">
        <w:rPr>
          <w:rStyle w:val="FootnoteReference"/>
        </w:rPr>
        <w:footnoteReference w:id="63"/>
      </w:r>
    </w:p>
    <w:p w14:paraId="1A373F06" w14:textId="77777777" w:rsidR="000827E2" w:rsidRDefault="000827E2" w:rsidP="000827E2">
      <w:pPr>
        <w:spacing w:line="259" w:lineRule="auto"/>
        <w:rPr>
          <w:color w:val="000000" w:themeColor="text1"/>
          <w:lang w:val="en-US"/>
        </w:rPr>
      </w:pPr>
      <w:r>
        <w:rPr>
          <w:noProof/>
        </w:rPr>
        <w:drawing>
          <wp:inline distT="0" distB="0" distL="0" distR="0" wp14:anchorId="53C429CC" wp14:editId="1A80CE0F">
            <wp:extent cx="5299022" cy="2762655"/>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40">
                      <a:extLst>
                        <a:ext uri="{28A0092B-C50C-407E-A947-70E740481C1C}">
                          <a14:useLocalDpi xmlns:a14="http://schemas.microsoft.com/office/drawing/2010/main" val="0"/>
                        </a:ext>
                      </a:extLst>
                    </a:blip>
                    <a:stretch>
                      <a:fillRect/>
                    </a:stretch>
                  </pic:blipFill>
                  <pic:spPr>
                    <a:xfrm>
                      <a:off x="0" y="0"/>
                      <a:ext cx="5299022" cy="2762655"/>
                    </a:xfrm>
                    <a:prstGeom prst="rect">
                      <a:avLst/>
                    </a:prstGeom>
                  </pic:spPr>
                </pic:pic>
              </a:graphicData>
            </a:graphic>
          </wp:inline>
        </w:drawing>
      </w:r>
    </w:p>
    <w:p w14:paraId="6941E1BC" w14:textId="77777777" w:rsidR="00FD1905" w:rsidRDefault="00FD1905" w:rsidP="002016B5">
      <w:pPr>
        <w:spacing w:line="259" w:lineRule="auto"/>
        <w:rPr>
          <w:color w:val="000000" w:themeColor="text1"/>
          <w:lang w:val="en-US"/>
        </w:rPr>
      </w:pPr>
    </w:p>
    <w:p w14:paraId="7577E35F" w14:textId="222DB535" w:rsidR="007261CC" w:rsidRPr="007261CC" w:rsidRDefault="00AD5641" w:rsidP="001C03A1">
      <w:pPr>
        <w:rPr>
          <w:lang w:val="en-US"/>
        </w:rPr>
      </w:pPr>
      <w:r>
        <w:rPr>
          <w:lang w:val="en-US"/>
        </w:rPr>
        <w:t>The</w:t>
      </w:r>
      <w:r w:rsidR="006B5AD4">
        <w:rPr>
          <w:lang w:val="en-US"/>
        </w:rPr>
        <w:t xml:space="preserve"> 2006 FTOC Assessment Report</w:t>
      </w:r>
      <w:r>
        <w:rPr>
          <w:lang w:val="en-US"/>
        </w:rPr>
        <w:t xml:space="preserve"> </w:t>
      </w:r>
      <w:r w:rsidR="00656D2C">
        <w:rPr>
          <w:lang w:val="en-US"/>
        </w:rPr>
        <w:t>sector</w:t>
      </w:r>
      <w:r w:rsidR="00113976">
        <w:rPr>
          <w:lang w:val="en-US"/>
        </w:rPr>
        <w:t>al</w:t>
      </w:r>
      <w:r w:rsidR="00656D2C">
        <w:rPr>
          <w:lang w:val="en-US"/>
        </w:rPr>
        <w:t xml:space="preserve"> and regional analysis </w:t>
      </w:r>
      <w:r w:rsidR="001C03A1">
        <w:rPr>
          <w:lang w:val="en-US"/>
        </w:rPr>
        <w:t>was</w:t>
      </w:r>
      <w:r w:rsidR="00656D2C">
        <w:rPr>
          <w:lang w:val="en-US"/>
        </w:rPr>
        <w:t xml:space="preserve"> used to create an estimate of </w:t>
      </w:r>
      <w:r w:rsidR="00C110C4">
        <w:rPr>
          <w:lang w:val="en-US"/>
        </w:rPr>
        <w:t>foam use for CFC-11</w:t>
      </w:r>
      <w:r w:rsidR="00C87756">
        <w:rPr>
          <w:lang w:val="en-US"/>
        </w:rPr>
        <w:t xml:space="preserve"> to determine </w:t>
      </w:r>
      <w:r w:rsidR="005001A1">
        <w:rPr>
          <w:lang w:val="en-US"/>
        </w:rPr>
        <w:t xml:space="preserve">banks </w:t>
      </w:r>
      <w:r w:rsidR="005F2F7A">
        <w:rPr>
          <w:lang w:val="en-US"/>
        </w:rPr>
        <w:t xml:space="preserve">and emissions based on the </w:t>
      </w:r>
      <w:r w:rsidR="00EF2312">
        <w:rPr>
          <w:lang w:val="en-US"/>
        </w:rPr>
        <w:t xml:space="preserve">losses of blowing agents during different foaming processes and foam lifetimes. </w:t>
      </w:r>
      <w:r w:rsidR="00420C65">
        <w:rPr>
          <w:lang w:val="en-US"/>
        </w:rPr>
        <w:t xml:space="preserve">The 2006 FTOC breakdown of products and regional uses of blowing agents skews </w:t>
      </w:r>
      <w:r w:rsidR="009F6360">
        <w:rPr>
          <w:lang w:val="en-US"/>
        </w:rPr>
        <w:t xml:space="preserve">CFC-11 </w:t>
      </w:r>
      <w:r w:rsidR="007354D8">
        <w:rPr>
          <w:lang w:val="en-US"/>
        </w:rPr>
        <w:t>quantities</w:t>
      </w:r>
      <w:r w:rsidR="00BB5B5A">
        <w:rPr>
          <w:lang w:val="en-US"/>
        </w:rPr>
        <w:t xml:space="preserve"> to be larger than </w:t>
      </w:r>
      <w:r w:rsidR="008A1F5A">
        <w:rPr>
          <w:lang w:val="en-US"/>
        </w:rPr>
        <w:t>they</w:t>
      </w:r>
      <w:r w:rsidR="00BB5B5A">
        <w:rPr>
          <w:lang w:val="en-US"/>
        </w:rPr>
        <w:t xml:space="preserve"> would </w:t>
      </w:r>
      <w:r w:rsidR="008A1F5A">
        <w:rPr>
          <w:lang w:val="en-US"/>
        </w:rPr>
        <w:t>have been</w:t>
      </w:r>
      <w:r w:rsidR="00BB5B5A">
        <w:rPr>
          <w:lang w:val="en-US"/>
        </w:rPr>
        <w:t xml:space="preserve"> for </w:t>
      </w:r>
      <w:r w:rsidR="00150648">
        <w:rPr>
          <w:lang w:val="en-US"/>
        </w:rPr>
        <w:t>Article 5</w:t>
      </w:r>
      <w:r w:rsidR="00BB5B5A">
        <w:rPr>
          <w:lang w:val="en-US"/>
        </w:rPr>
        <w:t xml:space="preserve"> parties</w:t>
      </w:r>
      <w:r w:rsidR="00D650A1">
        <w:rPr>
          <w:lang w:val="en-US"/>
        </w:rPr>
        <w:t xml:space="preserve"> as </w:t>
      </w:r>
      <w:r w:rsidR="008C4948">
        <w:rPr>
          <w:lang w:val="en-US"/>
        </w:rPr>
        <w:t>blowing agent usage in A5 parties would have been nascent and still growing from 19</w:t>
      </w:r>
      <w:r w:rsidR="00EE026C">
        <w:rPr>
          <w:lang w:val="en-US"/>
        </w:rPr>
        <w:t>90 onward</w:t>
      </w:r>
      <w:r w:rsidR="000A74FB">
        <w:rPr>
          <w:lang w:val="en-US"/>
        </w:rPr>
        <w:t xml:space="preserve">; however, the </w:t>
      </w:r>
      <w:r w:rsidR="007F3BEF">
        <w:rPr>
          <w:lang w:val="en-US"/>
        </w:rPr>
        <w:t>quantities</w:t>
      </w:r>
      <w:r w:rsidR="000A74FB">
        <w:rPr>
          <w:lang w:val="en-US"/>
        </w:rPr>
        <w:t xml:space="preserve"> are still very small.</w:t>
      </w:r>
      <w:r w:rsidR="00830AA0">
        <w:rPr>
          <w:lang w:val="en-US"/>
        </w:rPr>
        <w:t xml:space="preserve"> The pie chart below shows the </w:t>
      </w:r>
      <w:r w:rsidR="004A1EE5">
        <w:rPr>
          <w:lang w:val="en-US"/>
        </w:rPr>
        <w:t xml:space="preserve">relative </w:t>
      </w:r>
      <w:r w:rsidR="00830AA0">
        <w:rPr>
          <w:lang w:val="en-US"/>
        </w:rPr>
        <w:t>size</w:t>
      </w:r>
      <w:r w:rsidR="004A1EE5">
        <w:rPr>
          <w:lang w:val="en-US"/>
        </w:rPr>
        <w:t xml:space="preserve"> of the </w:t>
      </w:r>
      <w:r w:rsidR="003045E2">
        <w:rPr>
          <w:lang w:val="en-US"/>
        </w:rPr>
        <w:t>regional</w:t>
      </w:r>
      <w:r w:rsidR="004A1EE5">
        <w:rPr>
          <w:lang w:val="en-US"/>
        </w:rPr>
        <w:t xml:space="preserve"> markets in 2006</w:t>
      </w:r>
      <w:r w:rsidR="008B49FD">
        <w:rPr>
          <w:lang w:val="en-US"/>
        </w:rPr>
        <w:t xml:space="preserve"> showing the </w:t>
      </w:r>
      <w:r w:rsidR="000A4302">
        <w:rPr>
          <w:lang w:val="en-US"/>
        </w:rPr>
        <w:t xml:space="preserve">overwhelming </w:t>
      </w:r>
      <w:r w:rsidR="009853C0">
        <w:rPr>
          <w:lang w:val="en-US"/>
        </w:rPr>
        <w:t xml:space="preserve">majority </w:t>
      </w:r>
      <w:r w:rsidR="000A4302">
        <w:rPr>
          <w:lang w:val="en-US"/>
        </w:rPr>
        <w:t xml:space="preserve">of the closed-cell foam production took place in </w:t>
      </w:r>
      <w:r w:rsidR="0066083B">
        <w:rPr>
          <w:lang w:val="en-US"/>
        </w:rPr>
        <w:t>North America</w:t>
      </w:r>
      <w:r w:rsidR="000A4302">
        <w:rPr>
          <w:lang w:val="en-US"/>
        </w:rPr>
        <w:t xml:space="preserve"> and </w:t>
      </w:r>
      <w:r w:rsidR="00710E02">
        <w:rPr>
          <w:lang w:val="en-US"/>
        </w:rPr>
        <w:t>Europe</w:t>
      </w:r>
      <w:r w:rsidR="000A4302">
        <w:rPr>
          <w:lang w:val="en-US"/>
        </w:rPr>
        <w:t xml:space="preserve"> (</w:t>
      </w:r>
      <w:r w:rsidR="006E1793">
        <w:rPr>
          <w:lang w:val="en-US"/>
        </w:rPr>
        <w:t>non-Article 5</w:t>
      </w:r>
      <w:r w:rsidR="000A4302">
        <w:rPr>
          <w:lang w:val="en-US"/>
        </w:rPr>
        <w:t xml:space="preserve"> parties) even as late as 2006. An even larger percentage was produced in </w:t>
      </w:r>
      <w:r w:rsidR="006E1793">
        <w:rPr>
          <w:lang w:val="en-US"/>
        </w:rPr>
        <w:t>non-Article 5</w:t>
      </w:r>
      <w:r w:rsidR="000A4302">
        <w:rPr>
          <w:lang w:val="en-US"/>
        </w:rPr>
        <w:t xml:space="preserve"> parties in early years before the development of the closed-cell foam market in </w:t>
      </w:r>
      <w:r w:rsidR="00150648">
        <w:rPr>
          <w:lang w:val="en-US"/>
        </w:rPr>
        <w:t>Article 5</w:t>
      </w:r>
      <w:r w:rsidR="000A4302">
        <w:rPr>
          <w:lang w:val="en-US"/>
        </w:rPr>
        <w:t xml:space="preserve"> parties. </w:t>
      </w:r>
    </w:p>
    <w:p w14:paraId="0EB3FBE1" w14:textId="2A4334E6" w:rsidR="00A964F9" w:rsidRPr="00A55593" w:rsidRDefault="00A964F9" w:rsidP="00A55593">
      <w:pPr>
        <w:pStyle w:val="FigureandTableTitle"/>
      </w:pPr>
      <w:r w:rsidRPr="00A55593">
        <w:lastRenderedPageBreak/>
        <w:t xml:space="preserve">Figure </w:t>
      </w:r>
      <w:r w:rsidR="00E06E63" w:rsidRPr="00A55593">
        <w:t>2</w:t>
      </w:r>
      <w:r w:rsidRPr="00A55593">
        <w:t>.</w:t>
      </w:r>
      <w:r w:rsidR="001800F2">
        <w:t>10</w:t>
      </w:r>
      <w:r w:rsidR="007E7BE4" w:rsidRPr="00A55593">
        <w:tab/>
      </w:r>
      <w:r w:rsidRPr="00A55593">
        <w:t xml:space="preserve">Historic </w:t>
      </w:r>
      <w:r w:rsidR="00A55593" w:rsidRPr="00A55593">
        <w:t xml:space="preserve">foam production by region </w:t>
      </w:r>
      <w:r w:rsidRPr="00A55593">
        <w:t>for 2006 FTOC Assessment Report</w:t>
      </w:r>
      <w:r w:rsidR="00DD54E5">
        <w:t>,</w:t>
      </w:r>
      <w:r w:rsidR="0014582A">
        <w:t xml:space="preserve"> which estimated that approximately 3</w:t>
      </w:r>
      <w:r w:rsidR="0032244C">
        <w:t>6</w:t>
      </w:r>
      <w:r w:rsidR="0014582A">
        <w:t xml:space="preserve">0 </w:t>
      </w:r>
      <w:proofErr w:type="spellStart"/>
      <w:r w:rsidR="0014582A">
        <w:t>kilotonnes</w:t>
      </w:r>
      <w:proofErr w:type="spellEnd"/>
      <w:r w:rsidR="00C172A5">
        <w:t>/</w:t>
      </w:r>
      <w:r w:rsidR="00625EFC">
        <w:t xml:space="preserve">year </w:t>
      </w:r>
      <w:r w:rsidR="004836B6">
        <w:t>of blowing agents were in use around the timeframe of th</w:t>
      </w:r>
      <w:r w:rsidR="00471BBD">
        <w:t>at</w:t>
      </w:r>
      <w:r w:rsidR="004836B6">
        <w:t xml:space="preserve"> report</w:t>
      </w:r>
    </w:p>
    <w:p w14:paraId="29D2ADC6" w14:textId="77777777" w:rsidR="00A964F9" w:rsidRDefault="00A964F9" w:rsidP="00A964F9">
      <w:pPr>
        <w:spacing w:line="259" w:lineRule="auto"/>
      </w:pPr>
      <w:r>
        <w:rPr>
          <w:noProof/>
        </w:rPr>
        <w:drawing>
          <wp:inline distT="0" distB="0" distL="0" distR="0" wp14:anchorId="37DD3285" wp14:editId="66F07E38">
            <wp:extent cx="5133936" cy="2733773"/>
            <wp:effectExtent l="0" t="0" r="0" b="0"/>
            <wp:docPr id="1830075819" name="Picture 46494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940548"/>
                    <pic:cNvPicPr/>
                  </pic:nvPicPr>
                  <pic:blipFill>
                    <a:blip r:embed="rId41">
                      <a:extLst>
                        <a:ext uri="{28A0092B-C50C-407E-A947-70E740481C1C}">
                          <a14:useLocalDpi xmlns:a14="http://schemas.microsoft.com/office/drawing/2010/main" val="0"/>
                        </a:ext>
                      </a:extLst>
                    </a:blip>
                    <a:stretch>
                      <a:fillRect/>
                    </a:stretch>
                  </pic:blipFill>
                  <pic:spPr>
                    <a:xfrm>
                      <a:off x="0" y="0"/>
                      <a:ext cx="5133936" cy="2733773"/>
                    </a:xfrm>
                    <a:prstGeom prst="rect">
                      <a:avLst/>
                    </a:prstGeom>
                  </pic:spPr>
                </pic:pic>
              </a:graphicData>
            </a:graphic>
          </wp:inline>
        </w:drawing>
      </w:r>
    </w:p>
    <w:p w14:paraId="6CA9AA5D" w14:textId="77777777" w:rsidR="00171E2E" w:rsidRDefault="00171E2E" w:rsidP="00A964F9">
      <w:pPr>
        <w:spacing w:line="259" w:lineRule="auto"/>
      </w:pPr>
    </w:p>
    <w:p w14:paraId="4D034F54" w14:textId="77777777" w:rsidR="00762799" w:rsidRPr="008542F5" w:rsidRDefault="00762799" w:rsidP="00A964F9">
      <w:pPr>
        <w:spacing w:line="259" w:lineRule="auto"/>
      </w:pPr>
    </w:p>
    <w:p w14:paraId="2D10EA73" w14:textId="31AB6927" w:rsidR="00A973BD" w:rsidRPr="001B5F72" w:rsidRDefault="00A973BD" w:rsidP="00A973BD">
      <w:pPr>
        <w:pStyle w:val="FigureandTableTitle"/>
      </w:pPr>
      <w:r w:rsidRPr="001B5F72">
        <w:t>Figure 2.</w:t>
      </w:r>
      <w:r w:rsidR="005453EB">
        <w:t>11</w:t>
      </w:r>
      <w:r w:rsidRPr="001B5F72">
        <w:tab/>
        <w:t xml:space="preserve">Estimated </w:t>
      </w:r>
      <w:r>
        <w:t>c</w:t>
      </w:r>
      <w:r w:rsidRPr="001B5F72">
        <w:t xml:space="preserve">onsumption of CFC-11 by </w:t>
      </w:r>
      <w:r>
        <w:t>r</w:t>
      </w:r>
      <w:r w:rsidRPr="001B5F72">
        <w:t>egion (</w:t>
      </w:r>
      <w:r>
        <w:t>d</w:t>
      </w:r>
      <w:r w:rsidRPr="001B5F72">
        <w:t>ata reported to the Ozone Secretariat)</w:t>
      </w:r>
    </w:p>
    <w:p w14:paraId="7CFEF73E" w14:textId="77777777" w:rsidR="00A973BD" w:rsidRDefault="00A973BD" w:rsidP="00A973BD">
      <w:pPr>
        <w:spacing w:line="259" w:lineRule="auto"/>
        <w:rPr>
          <w:color w:val="000000" w:themeColor="text1"/>
          <w:lang w:val="en-US"/>
        </w:rPr>
      </w:pPr>
      <w:r>
        <w:rPr>
          <w:noProof/>
        </w:rPr>
        <w:drawing>
          <wp:inline distT="0" distB="0" distL="0" distR="0" wp14:anchorId="5C6011F0" wp14:editId="28DFAE90">
            <wp:extent cx="5171842" cy="3082565"/>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2">
                      <a:extLst>
                        <a:ext uri="{28A0092B-C50C-407E-A947-70E740481C1C}">
                          <a14:useLocalDpi xmlns:a14="http://schemas.microsoft.com/office/drawing/2010/main" val="0"/>
                        </a:ext>
                      </a:extLst>
                    </a:blip>
                    <a:stretch>
                      <a:fillRect/>
                    </a:stretch>
                  </pic:blipFill>
                  <pic:spPr>
                    <a:xfrm>
                      <a:off x="0" y="0"/>
                      <a:ext cx="5171842" cy="3082565"/>
                    </a:xfrm>
                    <a:prstGeom prst="rect">
                      <a:avLst/>
                    </a:prstGeom>
                  </pic:spPr>
                </pic:pic>
              </a:graphicData>
            </a:graphic>
          </wp:inline>
        </w:drawing>
      </w:r>
    </w:p>
    <w:p w14:paraId="3ED6F40E" w14:textId="70FA037C" w:rsidR="0029627B" w:rsidRDefault="0029627B" w:rsidP="00D541AE">
      <w:pPr>
        <w:rPr>
          <w:lang w:val="en-US"/>
        </w:rPr>
      </w:pPr>
    </w:p>
    <w:p w14:paraId="5128B072" w14:textId="2EE4457F" w:rsidR="0029627B" w:rsidRDefault="0029627B" w:rsidP="00D541AE">
      <w:pPr>
        <w:rPr>
          <w:lang w:val="en-US"/>
        </w:rPr>
      </w:pPr>
      <w:r>
        <w:rPr>
          <w:lang w:val="en-US"/>
        </w:rPr>
        <w:lastRenderedPageBreak/>
        <w:t xml:space="preserve">The </w:t>
      </w:r>
      <w:r w:rsidR="007D4E1D">
        <w:rPr>
          <w:lang w:val="en-US"/>
        </w:rPr>
        <w:t>analysis</w:t>
      </w:r>
      <w:r w:rsidR="00441DA6">
        <w:rPr>
          <w:lang w:val="en-US"/>
        </w:rPr>
        <w:t xml:space="preserve"> in this report</w:t>
      </w:r>
      <w:r w:rsidR="007D4E1D">
        <w:rPr>
          <w:lang w:val="en-US"/>
        </w:rPr>
        <w:t xml:space="preserve"> </w:t>
      </w:r>
      <w:r w:rsidR="00595049">
        <w:rPr>
          <w:lang w:val="en-US"/>
        </w:rPr>
        <w:t>incorporat</w:t>
      </w:r>
      <w:r w:rsidR="00C1282C">
        <w:rPr>
          <w:lang w:val="en-US"/>
        </w:rPr>
        <w:t>ed</w:t>
      </w:r>
      <w:r w:rsidR="00595049">
        <w:rPr>
          <w:lang w:val="en-US"/>
        </w:rPr>
        <w:t xml:space="preserve"> a Weibull function to create a </w:t>
      </w:r>
      <w:r w:rsidR="00695B60">
        <w:rPr>
          <w:lang w:val="en-US"/>
        </w:rPr>
        <w:t xml:space="preserve">probabilistic </w:t>
      </w:r>
      <w:r w:rsidR="00595049">
        <w:rPr>
          <w:lang w:val="en-US"/>
        </w:rPr>
        <w:t xml:space="preserve">distribution of </w:t>
      </w:r>
      <w:r w:rsidR="009E7166">
        <w:rPr>
          <w:lang w:val="en-US"/>
        </w:rPr>
        <w:t>the life cycle of</w:t>
      </w:r>
      <w:r w:rsidR="00C1282C">
        <w:rPr>
          <w:lang w:val="en-US"/>
        </w:rPr>
        <w:t xml:space="preserve"> foam</w:t>
      </w:r>
      <w:r w:rsidR="007D38F2">
        <w:rPr>
          <w:lang w:val="en-US"/>
        </w:rPr>
        <w:t xml:space="preserve">s including the </w:t>
      </w:r>
      <w:r w:rsidR="00705751">
        <w:rPr>
          <w:lang w:val="en-US"/>
        </w:rPr>
        <w:t>rate of decommissioning</w:t>
      </w:r>
      <w:r w:rsidR="008B3DCB">
        <w:rPr>
          <w:lang w:val="en-US"/>
        </w:rPr>
        <w:t xml:space="preserve">, </w:t>
      </w:r>
      <w:r w:rsidR="00604F96">
        <w:rPr>
          <w:lang w:val="en-US"/>
        </w:rPr>
        <w:t>estimate</w:t>
      </w:r>
      <w:r w:rsidR="008B3DCB">
        <w:rPr>
          <w:lang w:val="en-US"/>
        </w:rPr>
        <w:t>d</w:t>
      </w:r>
      <w:r w:rsidR="00604F96">
        <w:rPr>
          <w:lang w:val="en-US"/>
        </w:rPr>
        <w:t xml:space="preserve"> </w:t>
      </w:r>
      <w:r w:rsidR="00F2455B">
        <w:rPr>
          <w:lang w:val="en-US"/>
        </w:rPr>
        <w:t xml:space="preserve">timing of various life stages, emissions and the </w:t>
      </w:r>
      <w:r w:rsidR="00604F96">
        <w:rPr>
          <w:lang w:val="en-US"/>
        </w:rPr>
        <w:t xml:space="preserve">size of foam banks by types of closed-cell foam products. </w:t>
      </w:r>
      <w:r w:rsidR="00402BF5">
        <w:rPr>
          <w:lang w:val="en-US"/>
        </w:rPr>
        <w:t>There is a</w:t>
      </w:r>
      <w:r w:rsidR="00CA2004">
        <w:rPr>
          <w:lang w:val="en-US"/>
        </w:rPr>
        <w:t xml:space="preserve"> distinct bifurcation of lifetimes for foams used in refrigerating appli</w:t>
      </w:r>
      <w:r w:rsidR="00D468A8">
        <w:rPr>
          <w:lang w:val="en-US"/>
        </w:rPr>
        <w:t>cation</w:t>
      </w:r>
      <w:r w:rsidR="003D5EC6">
        <w:rPr>
          <w:lang w:val="en-US"/>
        </w:rPr>
        <w:t xml:space="preserve">s and </w:t>
      </w:r>
      <w:r w:rsidR="002D03BD">
        <w:rPr>
          <w:lang w:val="en-US"/>
        </w:rPr>
        <w:t xml:space="preserve">foams used in </w:t>
      </w:r>
      <w:r w:rsidR="0093006B">
        <w:rPr>
          <w:lang w:val="en-US"/>
        </w:rPr>
        <w:t>construction</w:t>
      </w:r>
      <w:r w:rsidR="00A523B1">
        <w:rPr>
          <w:lang w:val="en-US"/>
        </w:rPr>
        <w:t xml:space="preserve"> </w:t>
      </w:r>
      <w:r w:rsidR="00264116">
        <w:rPr>
          <w:lang w:val="en-US"/>
        </w:rPr>
        <w:t>of buildings</w:t>
      </w:r>
      <w:r w:rsidR="001B575A">
        <w:rPr>
          <w:lang w:val="en-US"/>
        </w:rPr>
        <w:t>.</w:t>
      </w:r>
      <w:r w:rsidR="0019273D">
        <w:rPr>
          <w:lang w:val="en-US"/>
        </w:rPr>
        <w:t xml:space="preserve"> </w:t>
      </w:r>
      <w:r w:rsidR="00B63242">
        <w:rPr>
          <w:lang w:val="en-US"/>
        </w:rPr>
        <w:t xml:space="preserve">Nearly all of the active bank is </w:t>
      </w:r>
      <w:r w:rsidR="00E736B5">
        <w:rPr>
          <w:lang w:val="en-US"/>
        </w:rPr>
        <w:t xml:space="preserve">comprised of foam panels and </w:t>
      </w:r>
      <w:proofErr w:type="spellStart"/>
      <w:r w:rsidR="00E736B5">
        <w:rPr>
          <w:lang w:val="en-US"/>
        </w:rPr>
        <w:t>boards</w:t>
      </w:r>
      <w:r w:rsidR="001B575A">
        <w:rPr>
          <w:lang w:val="en-US"/>
        </w:rPr>
        <w:t>tock</w:t>
      </w:r>
      <w:proofErr w:type="spellEnd"/>
      <w:r w:rsidR="00E736B5">
        <w:rPr>
          <w:lang w:val="en-US"/>
        </w:rPr>
        <w:t xml:space="preserve"> in buildings</w:t>
      </w:r>
      <w:r w:rsidR="00EB3BFF">
        <w:rPr>
          <w:lang w:val="en-US"/>
        </w:rPr>
        <w:t>.</w:t>
      </w:r>
      <w:r w:rsidR="009D7B35">
        <w:rPr>
          <w:lang w:val="en-US"/>
        </w:rPr>
        <w:t xml:space="preserve"> </w:t>
      </w:r>
      <w:r w:rsidR="00EE73B7">
        <w:rPr>
          <w:lang w:val="en-US"/>
        </w:rPr>
        <w:t xml:space="preserve">Nearly all of the </w:t>
      </w:r>
      <w:r w:rsidR="00575A6C">
        <w:rPr>
          <w:lang w:val="en-US"/>
        </w:rPr>
        <w:t xml:space="preserve">remaining bank of </w:t>
      </w:r>
      <w:r w:rsidR="00EE73B7">
        <w:rPr>
          <w:lang w:val="en-US"/>
        </w:rPr>
        <w:t xml:space="preserve">foams used in refrigerating applications </w:t>
      </w:r>
      <w:r w:rsidR="0032299B">
        <w:rPr>
          <w:lang w:val="en-US"/>
        </w:rPr>
        <w:t xml:space="preserve">have been decommissioned and </w:t>
      </w:r>
      <w:r w:rsidR="001B1737">
        <w:rPr>
          <w:lang w:val="en-US"/>
        </w:rPr>
        <w:t xml:space="preserve">either </w:t>
      </w:r>
      <w:r w:rsidR="0032299B">
        <w:rPr>
          <w:lang w:val="en-US"/>
        </w:rPr>
        <w:t>landfilled</w:t>
      </w:r>
      <w:r w:rsidR="001B1737">
        <w:rPr>
          <w:lang w:val="en-US"/>
        </w:rPr>
        <w:t xml:space="preserve"> or destroyed</w:t>
      </w:r>
      <w:r w:rsidR="00C42F00">
        <w:rPr>
          <w:rStyle w:val="FootnoteReference"/>
          <w:lang w:val="en-US"/>
        </w:rPr>
        <w:footnoteReference w:id="64"/>
      </w:r>
      <w:r w:rsidR="0032299B">
        <w:rPr>
          <w:lang w:val="en-US"/>
        </w:rPr>
        <w:t xml:space="preserve">. </w:t>
      </w:r>
      <w:r w:rsidR="00087D34">
        <w:rPr>
          <w:lang w:val="en-US"/>
        </w:rPr>
        <w:t>CFC-11 from t</w:t>
      </w:r>
      <w:r w:rsidR="0008578C">
        <w:rPr>
          <w:lang w:val="en-US"/>
        </w:rPr>
        <w:t xml:space="preserve">he </w:t>
      </w:r>
      <w:r w:rsidR="00E85975">
        <w:rPr>
          <w:lang w:val="en-US"/>
        </w:rPr>
        <w:t>relatively</w:t>
      </w:r>
      <w:r w:rsidR="0008578C">
        <w:rPr>
          <w:lang w:val="en-US"/>
        </w:rPr>
        <w:t xml:space="preserve"> small quantities of </w:t>
      </w:r>
      <w:r w:rsidR="00E85975">
        <w:rPr>
          <w:lang w:val="en-US"/>
        </w:rPr>
        <w:t>other types of foams</w:t>
      </w:r>
      <w:r w:rsidR="00087D34">
        <w:rPr>
          <w:lang w:val="en-US"/>
        </w:rPr>
        <w:t xml:space="preserve"> have largely been </w:t>
      </w:r>
      <w:r w:rsidR="006B1C3B">
        <w:rPr>
          <w:lang w:val="en-US"/>
        </w:rPr>
        <w:t>decommissioned</w:t>
      </w:r>
      <w:r w:rsidR="00773317">
        <w:rPr>
          <w:lang w:val="en-US"/>
        </w:rPr>
        <w:t xml:space="preserve">. </w:t>
      </w:r>
      <w:r w:rsidR="00773317" w:rsidRPr="008B1DFB">
        <w:rPr>
          <w:lang w:val="en-US"/>
        </w:rPr>
        <w:t xml:space="preserve">By </w:t>
      </w:r>
      <w:r w:rsidR="00773317" w:rsidRPr="001640EC">
        <w:rPr>
          <w:lang w:val="en-US"/>
        </w:rPr>
        <w:t xml:space="preserve">this analysis, there are an estimated </w:t>
      </w:r>
      <w:r w:rsidR="00A007AE" w:rsidRPr="001640EC">
        <w:rPr>
          <w:lang w:val="en-US"/>
        </w:rPr>
        <w:t>750</w:t>
      </w:r>
      <w:r w:rsidR="009640C0" w:rsidRPr="001640EC">
        <w:rPr>
          <w:lang w:val="en-US"/>
        </w:rPr>
        <w:t xml:space="preserve"> </w:t>
      </w:r>
      <w:r w:rsidR="006424BC" w:rsidRPr="001640EC">
        <w:rPr>
          <w:lang w:val="en-US"/>
        </w:rPr>
        <w:t>±</w:t>
      </w:r>
      <w:r w:rsidR="009640C0" w:rsidRPr="001640EC">
        <w:rPr>
          <w:lang w:val="en-US"/>
        </w:rPr>
        <w:t xml:space="preserve"> 50</w:t>
      </w:r>
      <w:r w:rsidR="00773317" w:rsidRPr="001640EC">
        <w:rPr>
          <w:lang w:val="en-US"/>
        </w:rPr>
        <w:t xml:space="preserve"> </w:t>
      </w:r>
      <w:proofErr w:type="spellStart"/>
      <w:r w:rsidR="00773317" w:rsidRPr="001640EC">
        <w:rPr>
          <w:lang w:val="en-US"/>
        </w:rPr>
        <w:t>kilotonnes</w:t>
      </w:r>
      <w:proofErr w:type="spellEnd"/>
      <w:r w:rsidR="00773317" w:rsidRPr="001640EC">
        <w:rPr>
          <w:lang w:val="en-US"/>
        </w:rPr>
        <w:t xml:space="preserve"> of CFC-11 in active foams banks and 7</w:t>
      </w:r>
      <w:r w:rsidR="001D416F" w:rsidRPr="001640EC">
        <w:rPr>
          <w:lang w:val="en-US"/>
        </w:rPr>
        <w:t>0</w:t>
      </w:r>
      <w:r w:rsidR="00773317" w:rsidRPr="001640EC">
        <w:rPr>
          <w:lang w:val="en-US"/>
        </w:rPr>
        <w:t>0</w:t>
      </w:r>
      <w:r w:rsidR="006424BC" w:rsidRPr="001640EC">
        <w:rPr>
          <w:lang w:val="en-US"/>
        </w:rPr>
        <w:t xml:space="preserve"> ±</w:t>
      </w:r>
      <w:r w:rsidR="00FD655C" w:rsidRPr="001640EC">
        <w:rPr>
          <w:lang w:val="en-US"/>
        </w:rPr>
        <w:t xml:space="preserve"> 50 </w:t>
      </w:r>
      <w:proofErr w:type="spellStart"/>
      <w:r w:rsidR="00773317" w:rsidRPr="001640EC">
        <w:rPr>
          <w:lang w:val="en-US"/>
        </w:rPr>
        <w:t>kilotonnes</w:t>
      </w:r>
      <w:proofErr w:type="spellEnd"/>
      <w:r w:rsidR="00773317" w:rsidRPr="001640EC">
        <w:rPr>
          <w:lang w:val="en-US"/>
        </w:rPr>
        <w:t xml:space="preserve"> in inactive banks</w:t>
      </w:r>
      <w:r w:rsidR="00E116D0" w:rsidRPr="001640EC">
        <w:rPr>
          <w:lang w:val="en-US"/>
        </w:rPr>
        <w:t xml:space="preserve"> in 2021</w:t>
      </w:r>
      <w:r w:rsidR="00735447" w:rsidRPr="001640EC">
        <w:rPr>
          <w:rStyle w:val="FootnoteReference"/>
          <w:lang w:val="en-US"/>
        </w:rPr>
        <w:footnoteReference w:id="65"/>
      </w:r>
      <w:r w:rsidR="00773317" w:rsidRPr="001640EC">
        <w:rPr>
          <w:lang w:val="en-US"/>
        </w:rPr>
        <w:t>.</w:t>
      </w:r>
    </w:p>
    <w:p w14:paraId="53DBB6EB" w14:textId="77777777" w:rsidR="00D276FA" w:rsidRDefault="00D276FA" w:rsidP="00D541AE">
      <w:pPr>
        <w:rPr>
          <w:lang w:val="en-US"/>
        </w:rPr>
      </w:pPr>
    </w:p>
    <w:p w14:paraId="73BB708F" w14:textId="210DAC1C" w:rsidR="0050456B" w:rsidRDefault="0050456B" w:rsidP="0050456B">
      <w:pPr>
        <w:pStyle w:val="FigureandTableTitle"/>
      </w:pPr>
      <w:r>
        <w:t>Figure 2.1</w:t>
      </w:r>
      <w:r w:rsidR="005453EB">
        <w:t>2</w:t>
      </w:r>
      <w:r>
        <w:tab/>
        <w:t xml:space="preserve">Estimated CFC-11 in </w:t>
      </w:r>
      <w:r w:rsidR="00E32F9D">
        <w:t xml:space="preserve">active and inactive foam banks </w:t>
      </w:r>
      <w:r>
        <w:t>(</w:t>
      </w:r>
      <w:proofErr w:type="spellStart"/>
      <w:r>
        <w:t>kilotonnes</w:t>
      </w:r>
      <w:proofErr w:type="spellEnd"/>
      <w:r>
        <w:t>)</w:t>
      </w:r>
      <w:r w:rsidR="00E32F9D">
        <w:rPr>
          <w:rStyle w:val="FootnoteReference"/>
        </w:rPr>
        <w:footnoteReference w:id="66"/>
      </w:r>
    </w:p>
    <w:p w14:paraId="4682A517" w14:textId="776D8368" w:rsidR="0050456B" w:rsidRDefault="003128DE" w:rsidP="00CA7412">
      <w:r w:rsidRPr="003128DE">
        <w:rPr>
          <w:rFonts w:ascii="Calibri" w:eastAsia="Calibri" w:hAnsi="Calibri"/>
          <w:noProof/>
          <w:color w:val="auto"/>
          <w:szCs w:val="22"/>
          <w:lang w:val="en-US" w:eastAsia="en-US"/>
        </w:rPr>
        <w:drawing>
          <wp:inline distT="0" distB="0" distL="0" distR="0" wp14:anchorId="3F572F9C" wp14:editId="1F0F4DA9">
            <wp:extent cx="5122734" cy="2932386"/>
            <wp:effectExtent l="0" t="0" r="0" b="1905"/>
            <wp:docPr id="1533456176" name="Picture 153345617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456176" name="Picture 1533456176" descr="Chart, histogram&#10;&#10;Description automatically generated"/>
                    <pic:cNvPicPr/>
                  </pic:nvPicPr>
                  <pic:blipFill>
                    <a:blip r:embed="rId43"/>
                    <a:stretch>
                      <a:fillRect/>
                    </a:stretch>
                  </pic:blipFill>
                  <pic:spPr>
                    <a:xfrm>
                      <a:off x="0" y="0"/>
                      <a:ext cx="5159099" cy="2953202"/>
                    </a:xfrm>
                    <a:prstGeom prst="rect">
                      <a:avLst/>
                    </a:prstGeom>
                  </pic:spPr>
                </pic:pic>
              </a:graphicData>
            </a:graphic>
          </wp:inline>
        </w:drawing>
      </w:r>
    </w:p>
    <w:p w14:paraId="3B43BDB5" w14:textId="267CE317" w:rsidR="00F4377C" w:rsidRDefault="00146BC8" w:rsidP="00D541AE">
      <w:pPr>
        <w:pStyle w:val="FigureandTableTitle"/>
      </w:pPr>
      <w:r>
        <w:lastRenderedPageBreak/>
        <w:t>Figure 2.</w:t>
      </w:r>
      <w:r w:rsidR="00D541AE">
        <w:t>1</w:t>
      </w:r>
      <w:r w:rsidR="005453EB">
        <w:t>3</w:t>
      </w:r>
      <w:r w:rsidR="00D541AE">
        <w:tab/>
      </w:r>
      <w:r>
        <w:t xml:space="preserve">Estimated CFC-11 in </w:t>
      </w:r>
      <w:r w:rsidR="00E32F9D">
        <w:t xml:space="preserve">active and inactive banks of </w:t>
      </w:r>
      <w:r w:rsidR="00D541AE">
        <w:t>p</w:t>
      </w:r>
      <w:r w:rsidR="00F4377C">
        <w:t>anels</w:t>
      </w:r>
      <w:r w:rsidR="007060DB">
        <w:t>,</w:t>
      </w:r>
      <w:r w:rsidR="00F4377C">
        <w:t xml:space="preserve"> </w:t>
      </w:r>
      <w:proofErr w:type="spellStart"/>
      <w:r w:rsidR="00D541AE">
        <w:t>boards</w:t>
      </w:r>
      <w:r w:rsidR="00680730">
        <w:t>tock</w:t>
      </w:r>
      <w:proofErr w:type="spellEnd"/>
      <w:r w:rsidR="0049359E">
        <w:t>,</w:t>
      </w:r>
      <w:r w:rsidR="00D541AE">
        <w:t xml:space="preserve"> and spray foams</w:t>
      </w:r>
      <w:r w:rsidR="00171238">
        <w:t xml:space="preserve"> (</w:t>
      </w:r>
      <w:proofErr w:type="spellStart"/>
      <w:r w:rsidR="00171238">
        <w:t>kilotonnes</w:t>
      </w:r>
      <w:proofErr w:type="spellEnd"/>
      <w:r w:rsidR="00171238">
        <w:t>)</w:t>
      </w:r>
      <w:r w:rsidR="00E32F9D">
        <w:rPr>
          <w:rStyle w:val="FootnoteReference"/>
        </w:rPr>
        <w:footnoteReference w:id="67"/>
      </w:r>
    </w:p>
    <w:p w14:paraId="7A4D1C7F" w14:textId="01A29A6F" w:rsidR="0050456B" w:rsidRDefault="00F1793F" w:rsidP="00707304">
      <w:pPr>
        <w:rPr>
          <w:lang w:val="en-US"/>
        </w:rPr>
      </w:pPr>
      <w:r>
        <w:rPr>
          <w:noProof/>
        </w:rPr>
        <w:drawing>
          <wp:inline distT="0" distB="0" distL="0" distR="0" wp14:anchorId="560B3AD6" wp14:editId="62CE4E1C">
            <wp:extent cx="5278754" cy="27882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44">
                      <a:extLst>
                        <a:ext uri="{28A0092B-C50C-407E-A947-70E740481C1C}">
                          <a14:useLocalDpi xmlns:a14="http://schemas.microsoft.com/office/drawing/2010/main" val="0"/>
                        </a:ext>
                      </a:extLst>
                    </a:blip>
                    <a:stretch>
                      <a:fillRect/>
                    </a:stretch>
                  </pic:blipFill>
                  <pic:spPr>
                    <a:xfrm>
                      <a:off x="0" y="0"/>
                      <a:ext cx="5278754" cy="2788285"/>
                    </a:xfrm>
                    <a:prstGeom prst="rect">
                      <a:avLst/>
                    </a:prstGeom>
                  </pic:spPr>
                </pic:pic>
              </a:graphicData>
            </a:graphic>
          </wp:inline>
        </w:drawing>
      </w:r>
    </w:p>
    <w:p w14:paraId="2AEDEE95" w14:textId="77777777" w:rsidR="00762799" w:rsidRDefault="00762799" w:rsidP="00707304">
      <w:pPr>
        <w:rPr>
          <w:lang w:val="en-US"/>
        </w:rPr>
      </w:pPr>
    </w:p>
    <w:p w14:paraId="73343173" w14:textId="080C0793" w:rsidR="00707304" w:rsidRDefault="00707304" w:rsidP="00707304">
      <w:pPr>
        <w:rPr>
          <w:lang w:val="en-US"/>
        </w:rPr>
      </w:pPr>
      <w:r>
        <w:rPr>
          <w:lang w:val="en-US"/>
        </w:rPr>
        <w:t>By this analysis, and using an average 25</w:t>
      </w:r>
      <w:r w:rsidR="00171E2E">
        <w:rPr>
          <w:lang w:val="en-US"/>
        </w:rPr>
        <w:t>-year</w:t>
      </w:r>
      <w:r>
        <w:rPr>
          <w:lang w:val="en-US"/>
        </w:rPr>
        <w:t xml:space="preserve"> lifetime, there are an estimated 500 </w:t>
      </w:r>
      <w:proofErr w:type="spellStart"/>
      <w:r>
        <w:rPr>
          <w:lang w:val="en-US"/>
        </w:rPr>
        <w:t>kilotonnes</w:t>
      </w:r>
      <w:proofErr w:type="spellEnd"/>
      <w:r>
        <w:rPr>
          <w:lang w:val="en-US"/>
        </w:rPr>
        <w:t xml:space="preserve"> remaining in </w:t>
      </w:r>
      <w:r w:rsidR="0000641D">
        <w:rPr>
          <w:lang w:val="en-US"/>
        </w:rPr>
        <w:t>the</w:t>
      </w:r>
      <w:r w:rsidR="007C7F9E">
        <w:rPr>
          <w:lang w:val="en-US"/>
        </w:rPr>
        <w:t xml:space="preserve"> inactive bank of </w:t>
      </w:r>
      <w:r>
        <w:rPr>
          <w:lang w:val="en-US"/>
        </w:rPr>
        <w:t>refrigerating foams</w:t>
      </w:r>
      <w:r w:rsidR="007C7F9E">
        <w:rPr>
          <w:lang w:val="en-US"/>
        </w:rPr>
        <w:t>,</w:t>
      </w:r>
      <w:r>
        <w:rPr>
          <w:lang w:val="en-US"/>
        </w:rPr>
        <w:t xml:space="preserve"> which has nearly all been dismantled </w:t>
      </w:r>
      <w:r w:rsidR="00171E2E">
        <w:rPr>
          <w:lang w:val="en-US"/>
        </w:rPr>
        <w:t xml:space="preserve">and </w:t>
      </w:r>
      <w:r>
        <w:rPr>
          <w:lang w:val="en-US"/>
        </w:rPr>
        <w:t>landfilled</w:t>
      </w:r>
      <w:r w:rsidR="000706BB">
        <w:rPr>
          <w:lang w:val="en-US"/>
        </w:rPr>
        <w:t xml:space="preserve"> or</w:t>
      </w:r>
      <w:r w:rsidR="00C52CBF">
        <w:rPr>
          <w:lang w:val="en-US"/>
        </w:rPr>
        <w:t>, in Eu</w:t>
      </w:r>
      <w:r w:rsidR="002678D1">
        <w:rPr>
          <w:lang w:val="en-US"/>
        </w:rPr>
        <w:t>rope</w:t>
      </w:r>
      <w:r w:rsidR="000706BB">
        <w:rPr>
          <w:lang w:val="en-US"/>
        </w:rPr>
        <w:t xml:space="preserve"> after 2002</w:t>
      </w:r>
      <w:r w:rsidR="00C05109">
        <w:rPr>
          <w:lang w:val="en-US"/>
        </w:rPr>
        <w:t>, destroyed</w:t>
      </w:r>
      <w:r>
        <w:rPr>
          <w:lang w:val="en-US"/>
        </w:rPr>
        <w:t>.</w:t>
      </w:r>
      <w:r w:rsidR="00235C67">
        <w:rPr>
          <w:lang w:val="en-US"/>
        </w:rPr>
        <w:t xml:space="preserve"> ICF</w:t>
      </w:r>
      <w:r w:rsidR="00596373">
        <w:rPr>
          <w:lang w:val="en-US"/>
        </w:rPr>
        <w:t xml:space="preserve"> International</w:t>
      </w:r>
      <w:r w:rsidR="00235C67">
        <w:rPr>
          <w:lang w:val="en-US"/>
        </w:rPr>
        <w:t xml:space="preserve"> estimated in 2010 that in 2020 there would be approximately 4 </w:t>
      </w:r>
      <w:proofErr w:type="spellStart"/>
      <w:r w:rsidR="00235C67">
        <w:rPr>
          <w:lang w:val="en-US"/>
        </w:rPr>
        <w:t>kilotonnes</w:t>
      </w:r>
      <w:proofErr w:type="spellEnd"/>
      <w:r w:rsidR="00235C67">
        <w:rPr>
          <w:lang w:val="en-US"/>
        </w:rPr>
        <w:t xml:space="preserve"> of CFC</w:t>
      </w:r>
      <w:r w:rsidR="00D41266">
        <w:rPr>
          <w:lang w:val="en-US"/>
        </w:rPr>
        <w:t>s available for destruction</w:t>
      </w:r>
      <w:r w:rsidR="007B3EF1">
        <w:rPr>
          <w:lang w:val="en-US"/>
        </w:rPr>
        <w:t xml:space="preserve"> from all types of foam</w:t>
      </w:r>
      <w:r w:rsidR="008A1EBE">
        <w:rPr>
          <w:rStyle w:val="FootnoteReference"/>
          <w:lang w:val="en-US"/>
        </w:rPr>
        <w:footnoteReference w:id="68"/>
      </w:r>
      <w:r w:rsidR="007B3EF1">
        <w:rPr>
          <w:lang w:val="en-US"/>
        </w:rPr>
        <w:t xml:space="preserve">. </w:t>
      </w:r>
    </w:p>
    <w:p w14:paraId="6066C075" w14:textId="47589333" w:rsidR="00960182" w:rsidRDefault="00960182" w:rsidP="00707304">
      <w:pPr>
        <w:pStyle w:val="FigureandTableTitle"/>
      </w:pPr>
      <w:r>
        <w:lastRenderedPageBreak/>
        <w:t>Figure 2.</w:t>
      </w:r>
      <w:r w:rsidR="00707304">
        <w:t>1</w:t>
      </w:r>
      <w:r w:rsidR="005453EB">
        <w:t>4</w:t>
      </w:r>
      <w:r w:rsidR="00707304">
        <w:tab/>
      </w:r>
      <w:r>
        <w:t xml:space="preserve">Estimated CFC-11 in </w:t>
      </w:r>
      <w:r w:rsidR="00E32F9D">
        <w:t xml:space="preserve">active and inactive banks of </w:t>
      </w:r>
      <w:r w:rsidR="00710888">
        <w:t>refrigerating foams</w:t>
      </w:r>
      <w:r w:rsidR="00786F94">
        <w:t xml:space="preserve"> (</w:t>
      </w:r>
      <w:proofErr w:type="spellStart"/>
      <w:r w:rsidR="00786F94">
        <w:t>kilotonnes</w:t>
      </w:r>
      <w:proofErr w:type="spellEnd"/>
      <w:r w:rsidR="00786F94">
        <w:t>)</w:t>
      </w:r>
      <w:r w:rsidR="00E32F9D">
        <w:rPr>
          <w:rStyle w:val="FootnoteReference"/>
        </w:rPr>
        <w:footnoteReference w:id="69"/>
      </w:r>
    </w:p>
    <w:p w14:paraId="5EE130F7" w14:textId="58B734B7" w:rsidR="00005CED" w:rsidRDefault="000D4E61" w:rsidP="48F36419">
      <w:pPr>
        <w:spacing w:line="259" w:lineRule="auto"/>
        <w:rPr>
          <w:color w:val="000000" w:themeColor="text1"/>
          <w:lang w:val="en-US"/>
        </w:rPr>
      </w:pPr>
      <w:r>
        <w:rPr>
          <w:noProof/>
        </w:rPr>
        <w:drawing>
          <wp:inline distT="0" distB="0" distL="0" distR="0" wp14:anchorId="6BD2058C" wp14:editId="662B1D3E">
            <wp:extent cx="5278754" cy="28270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45">
                      <a:extLst>
                        <a:ext uri="{28A0092B-C50C-407E-A947-70E740481C1C}">
                          <a14:useLocalDpi xmlns:a14="http://schemas.microsoft.com/office/drawing/2010/main" val="0"/>
                        </a:ext>
                      </a:extLst>
                    </a:blip>
                    <a:stretch>
                      <a:fillRect/>
                    </a:stretch>
                  </pic:blipFill>
                  <pic:spPr>
                    <a:xfrm>
                      <a:off x="0" y="0"/>
                      <a:ext cx="5278754" cy="2827020"/>
                    </a:xfrm>
                    <a:prstGeom prst="rect">
                      <a:avLst/>
                    </a:prstGeom>
                  </pic:spPr>
                </pic:pic>
              </a:graphicData>
            </a:graphic>
          </wp:inline>
        </w:drawing>
      </w:r>
    </w:p>
    <w:p w14:paraId="076E37BC" w14:textId="77777777" w:rsidR="00E32F9D" w:rsidRDefault="00E32F9D" w:rsidP="48F36419">
      <w:pPr>
        <w:spacing w:line="259" w:lineRule="auto"/>
        <w:rPr>
          <w:color w:val="000000" w:themeColor="text1"/>
          <w:lang w:val="en-US"/>
        </w:rPr>
      </w:pPr>
    </w:p>
    <w:p w14:paraId="368B2753" w14:textId="1FA68121" w:rsidR="00E84EF7" w:rsidRDefault="00146BC8" w:rsidP="005C7C16">
      <w:pPr>
        <w:pStyle w:val="FigureandTableTitle"/>
      </w:pPr>
      <w:r>
        <w:t>Figure 2</w:t>
      </w:r>
      <w:r w:rsidR="005C7C16">
        <w:t>.1</w:t>
      </w:r>
      <w:r w:rsidR="005453EB">
        <w:t>5</w:t>
      </w:r>
      <w:r w:rsidR="005C7C16">
        <w:tab/>
      </w:r>
      <w:r>
        <w:t xml:space="preserve">Estimated CFC-11 </w:t>
      </w:r>
      <w:r w:rsidR="005C7C16">
        <w:t xml:space="preserve">in </w:t>
      </w:r>
      <w:r w:rsidR="00E32F9D">
        <w:t xml:space="preserve">active and inactive banks of </w:t>
      </w:r>
      <w:r w:rsidR="009E4EF5">
        <w:t xml:space="preserve">foams other than </w:t>
      </w:r>
      <w:r w:rsidR="0094601A">
        <w:t xml:space="preserve">in </w:t>
      </w:r>
      <w:r w:rsidR="00FC2942">
        <w:t>construction and refrigeration</w:t>
      </w:r>
      <w:r w:rsidR="00786F94">
        <w:t xml:space="preserve"> (</w:t>
      </w:r>
      <w:proofErr w:type="spellStart"/>
      <w:r w:rsidR="00786F94">
        <w:t>kilotonnes</w:t>
      </w:r>
      <w:proofErr w:type="spellEnd"/>
      <w:r w:rsidR="00786F94">
        <w:t>)</w:t>
      </w:r>
      <w:r w:rsidR="00E32F9D">
        <w:rPr>
          <w:rStyle w:val="FootnoteReference"/>
        </w:rPr>
        <w:footnoteReference w:id="70"/>
      </w:r>
    </w:p>
    <w:p w14:paraId="42C72EA6" w14:textId="7D83A7B4" w:rsidR="005C7C16" w:rsidRDefault="00035C55" w:rsidP="005C7C16">
      <w:pPr>
        <w:rPr>
          <w:lang w:val="en-US"/>
        </w:rPr>
      </w:pPr>
      <w:r>
        <w:rPr>
          <w:noProof/>
        </w:rPr>
        <w:drawing>
          <wp:inline distT="0" distB="0" distL="0" distR="0" wp14:anchorId="3EC5A21F" wp14:editId="41BC0D95">
            <wp:extent cx="5278754" cy="2914015"/>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46">
                      <a:extLst>
                        <a:ext uri="{28A0092B-C50C-407E-A947-70E740481C1C}">
                          <a14:useLocalDpi xmlns:a14="http://schemas.microsoft.com/office/drawing/2010/main" val="0"/>
                        </a:ext>
                      </a:extLst>
                    </a:blip>
                    <a:stretch>
                      <a:fillRect/>
                    </a:stretch>
                  </pic:blipFill>
                  <pic:spPr>
                    <a:xfrm>
                      <a:off x="0" y="0"/>
                      <a:ext cx="5278754" cy="2914015"/>
                    </a:xfrm>
                    <a:prstGeom prst="rect">
                      <a:avLst/>
                    </a:prstGeom>
                  </pic:spPr>
                </pic:pic>
              </a:graphicData>
            </a:graphic>
          </wp:inline>
        </w:drawing>
      </w:r>
    </w:p>
    <w:p w14:paraId="3B3BFF43" w14:textId="77777777" w:rsidR="009D23AC" w:rsidRDefault="009D23AC" w:rsidP="005C7C16">
      <w:pPr>
        <w:rPr>
          <w:lang w:val="en-US"/>
        </w:rPr>
      </w:pPr>
    </w:p>
    <w:p w14:paraId="0420CA45" w14:textId="2FD937BC" w:rsidR="001E1251" w:rsidRDefault="00760A38" w:rsidP="005C7C16">
      <w:pPr>
        <w:rPr>
          <w:lang w:val="en-US"/>
        </w:rPr>
      </w:pPr>
      <w:r>
        <w:rPr>
          <w:lang w:val="en-US"/>
        </w:rPr>
        <w:lastRenderedPageBreak/>
        <w:t xml:space="preserve">As noted above, </w:t>
      </w:r>
      <w:r w:rsidR="00780D55">
        <w:rPr>
          <w:lang w:val="en-US"/>
        </w:rPr>
        <w:t>most</w:t>
      </w:r>
      <w:r>
        <w:rPr>
          <w:lang w:val="en-US"/>
        </w:rPr>
        <w:t xml:space="preserve"> of the remaining </w:t>
      </w:r>
      <w:r w:rsidR="00E05427">
        <w:rPr>
          <w:lang w:val="en-US"/>
        </w:rPr>
        <w:t>active</w:t>
      </w:r>
      <w:r>
        <w:rPr>
          <w:lang w:val="en-US"/>
        </w:rPr>
        <w:t xml:space="preserve"> CFC-11 </w:t>
      </w:r>
      <w:r w:rsidR="00E05427">
        <w:rPr>
          <w:lang w:val="en-US"/>
        </w:rPr>
        <w:t>bank</w:t>
      </w:r>
      <w:r w:rsidR="005F123F">
        <w:rPr>
          <w:lang w:val="en-US"/>
        </w:rPr>
        <w:t xml:space="preserve"> is </w:t>
      </w:r>
      <w:r w:rsidR="00780D55">
        <w:rPr>
          <w:lang w:val="en-US"/>
        </w:rPr>
        <w:t>contained</w:t>
      </w:r>
      <w:r w:rsidR="005F123F">
        <w:rPr>
          <w:lang w:val="en-US"/>
        </w:rPr>
        <w:t xml:space="preserve"> in </w:t>
      </w:r>
      <w:r w:rsidR="00736BC5">
        <w:rPr>
          <w:lang w:val="en-US"/>
        </w:rPr>
        <w:t xml:space="preserve">panels and </w:t>
      </w:r>
      <w:proofErr w:type="spellStart"/>
      <w:r w:rsidR="00736BC5">
        <w:rPr>
          <w:lang w:val="en-US"/>
        </w:rPr>
        <w:t>boardstock</w:t>
      </w:r>
      <w:proofErr w:type="spellEnd"/>
      <w:r w:rsidR="00EA0F2D">
        <w:rPr>
          <w:lang w:val="en-US"/>
        </w:rPr>
        <w:t xml:space="preserve"> </w:t>
      </w:r>
      <w:r w:rsidR="000D56CB">
        <w:rPr>
          <w:lang w:val="en-US"/>
        </w:rPr>
        <w:t>i</w:t>
      </w:r>
      <w:r w:rsidR="005F123F">
        <w:rPr>
          <w:lang w:val="en-US"/>
        </w:rPr>
        <w:t xml:space="preserve">nstalled </w:t>
      </w:r>
      <w:r w:rsidR="00F6403E">
        <w:rPr>
          <w:lang w:val="en-US"/>
        </w:rPr>
        <w:t xml:space="preserve">in buildings. The </w:t>
      </w:r>
      <w:r w:rsidR="000D56CB">
        <w:rPr>
          <w:lang w:val="en-US"/>
        </w:rPr>
        <w:t xml:space="preserve">majority of </w:t>
      </w:r>
      <w:r w:rsidR="00C41BC1">
        <w:rPr>
          <w:lang w:val="en-US"/>
        </w:rPr>
        <w:t>re</w:t>
      </w:r>
      <w:r w:rsidR="00FA172D">
        <w:rPr>
          <w:lang w:val="en-US"/>
        </w:rPr>
        <w:t>ma</w:t>
      </w:r>
      <w:r w:rsidR="00C41BC1">
        <w:rPr>
          <w:lang w:val="en-US"/>
        </w:rPr>
        <w:t>ining</w:t>
      </w:r>
      <w:r w:rsidR="000D56CB">
        <w:rPr>
          <w:lang w:val="en-US"/>
        </w:rPr>
        <w:t xml:space="preserve"> foams from refrigerating appliances </w:t>
      </w:r>
      <w:r w:rsidR="008D6937">
        <w:rPr>
          <w:lang w:val="en-US"/>
        </w:rPr>
        <w:t>along with a significant volume of decommissioned foams from building</w:t>
      </w:r>
      <w:r w:rsidR="00686928">
        <w:rPr>
          <w:lang w:val="en-US"/>
        </w:rPr>
        <w:t xml:space="preserve"> </w:t>
      </w:r>
      <w:r w:rsidR="00F973EB">
        <w:rPr>
          <w:lang w:val="en-US"/>
        </w:rPr>
        <w:t>has been landfilled (</w:t>
      </w:r>
      <w:r w:rsidR="00A1267E">
        <w:rPr>
          <w:lang w:val="en-US"/>
        </w:rPr>
        <w:t>inactive bank</w:t>
      </w:r>
      <w:r w:rsidR="00F973EB">
        <w:rPr>
          <w:lang w:val="en-US"/>
        </w:rPr>
        <w:t>)</w:t>
      </w:r>
      <w:r w:rsidR="008D6937">
        <w:rPr>
          <w:lang w:val="en-US"/>
        </w:rPr>
        <w:t>,</w:t>
      </w:r>
      <w:r w:rsidR="00F973EB">
        <w:rPr>
          <w:lang w:val="en-US"/>
        </w:rPr>
        <w:t xml:space="preserve"> </w:t>
      </w:r>
      <w:r w:rsidR="00C41BC1">
        <w:rPr>
          <w:lang w:val="en-US"/>
        </w:rPr>
        <w:t xml:space="preserve">or </w:t>
      </w:r>
      <w:r w:rsidR="00D405EF">
        <w:rPr>
          <w:lang w:val="en-US"/>
        </w:rPr>
        <w:t xml:space="preserve">in Europe, </w:t>
      </w:r>
      <w:r w:rsidR="00686928">
        <w:rPr>
          <w:lang w:val="en-US"/>
        </w:rPr>
        <w:t xml:space="preserve">appliance foams were </w:t>
      </w:r>
      <w:r w:rsidR="00595459">
        <w:rPr>
          <w:lang w:val="en-US"/>
        </w:rPr>
        <w:t>destroyed</w:t>
      </w:r>
      <w:r w:rsidR="00E70098">
        <w:rPr>
          <w:lang w:val="en-US"/>
        </w:rPr>
        <w:t>.</w:t>
      </w:r>
      <w:r w:rsidR="00682C12">
        <w:rPr>
          <w:lang w:val="en-US"/>
        </w:rPr>
        <w:t xml:space="preserve"> </w:t>
      </w:r>
    </w:p>
    <w:p w14:paraId="2B037E7D" w14:textId="42C68AED" w:rsidR="00682C12" w:rsidRDefault="001E1251" w:rsidP="005C7C16">
      <w:pPr>
        <w:rPr>
          <w:lang w:val="en-US"/>
        </w:rPr>
      </w:pPr>
      <w:r>
        <w:rPr>
          <w:lang w:val="en-US"/>
        </w:rPr>
        <w:t xml:space="preserve">The largest quantities of </w:t>
      </w:r>
      <w:r w:rsidR="00F14483">
        <w:rPr>
          <w:lang w:val="en-US"/>
        </w:rPr>
        <w:t xml:space="preserve">panels and </w:t>
      </w:r>
      <w:proofErr w:type="spellStart"/>
      <w:r w:rsidR="00F14483">
        <w:rPr>
          <w:lang w:val="en-US"/>
        </w:rPr>
        <w:t>boardstock</w:t>
      </w:r>
      <w:proofErr w:type="spellEnd"/>
      <w:r w:rsidR="00F14483">
        <w:rPr>
          <w:lang w:val="en-US"/>
        </w:rPr>
        <w:t xml:space="preserve"> containing CFC-11 were manufactured in </w:t>
      </w:r>
      <w:r w:rsidR="0066083B">
        <w:rPr>
          <w:lang w:val="en-US"/>
        </w:rPr>
        <w:t>North America</w:t>
      </w:r>
      <w:r w:rsidR="00F14483">
        <w:rPr>
          <w:lang w:val="en-US"/>
        </w:rPr>
        <w:t xml:space="preserve"> and </w:t>
      </w:r>
      <w:r w:rsidR="00710E02">
        <w:rPr>
          <w:lang w:val="en-US"/>
        </w:rPr>
        <w:t>Europe</w:t>
      </w:r>
      <w:r w:rsidR="00F14483">
        <w:rPr>
          <w:lang w:val="en-US"/>
        </w:rPr>
        <w:t xml:space="preserve"> as noted below. </w:t>
      </w:r>
      <w:r w:rsidR="006B6852">
        <w:rPr>
          <w:lang w:val="en-US"/>
        </w:rPr>
        <w:t>Also of note, significant</w:t>
      </w:r>
      <w:r w:rsidR="00E41C7E">
        <w:rPr>
          <w:lang w:val="en-US"/>
        </w:rPr>
        <w:t xml:space="preserve"> numbers of appliances </w:t>
      </w:r>
      <w:r w:rsidR="00454C0A">
        <w:rPr>
          <w:lang w:val="en-US"/>
        </w:rPr>
        <w:t>containing CFC-11</w:t>
      </w:r>
      <w:r w:rsidR="006B6852">
        <w:rPr>
          <w:lang w:val="en-US"/>
        </w:rPr>
        <w:t xml:space="preserve"> </w:t>
      </w:r>
      <w:r w:rsidR="00E41C7E">
        <w:rPr>
          <w:lang w:val="en-US"/>
        </w:rPr>
        <w:t xml:space="preserve">were </w:t>
      </w:r>
      <w:r w:rsidR="006B6852">
        <w:rPr>
          <w:lang w:val="en-US"/>
        </w:rPr>
        <w:t>sold</w:t>
      </w:r>
      <w:r w:rsidR="005D122C">
        <w:rPr>
          <w:lang w:val="en-US"/>
        </w:rPr>
        <w:t xml:space="preserve">, used and ultimately decommissioned </w:t>
      </w:r>
      <w:r w:rsidR="00454C0A">
        <w:rPr>
          <w:lang w:val="en-US"/>
        </w:rPr>
        <w:t xml:space="preserve">and landfilled </w:t>
      </w:r>
      <w:r w:rsidR="005D122C">
        <w:rPr>
          <w:lang w:val="en-US"/>
        </w:rPr>
        <w:t xml:space="preserve">in </w:t>
      </w:r>
      <w:r w:rsidR="0066083B">
        <w:rPr>
          <w:lang w:val="en-US"/>
        </w:rPr>
        <w:t>North America</w:t>
      </w:r>
      <w:r w:rsidR="005D122C">
        <w:rPr>
          <w:lang w:val="en-US"/>
        </w:rPr>
        <w:t xml:space="preserve"> and </w:t>
      </w:r>
      <w:r w:rsidR="00710E02">
        <w:rPr>
          <w:lang w:val="en-US"/>
        </w:rPr>
        <w:t>Europe</w:t>
      </w:r>
      <w:r w:rsidR="005D122C">
        <w:rPr>
          <w:lang w:val="en-US"/>
        </w:rPr>
        <w:t xml:space="preserve">. </w:t>
      </w:r>
    </w:p>
    <w:p w14:paraId="3F975085" w14:textId="02C5C49A" w:rsidR="00C74408" w:rsidRPr="008542F5" w:rsidRDefault="00452DAE" w:rsidP="005C7C16">
      <w:r>
        <w:rPr>
          <w:lang w:val="en-US"/>
        </w:rPr>
        <w:t xml:space="preserve">The majority of the remaining </w:t>
      </w:r>
      <w:r w:rsidR="002A7697">
        <w:rPr>
          <w:lang w:val="en-US"/>
        </w:rPr>
        <w:t xml:space="preserve">global </w:t>
      </w:r>
      <w:r w:rsidR="00C74408">
        <w:rPr>
          <w:lang w:val="en-US"/>
        </w:rPr>
        <w:t xml:space="preserve">CFC-11 </w:t>
      </w:r>
      <w:r>
        <w:rPr>
          <w:lang w:val="en-US"/>
        </w:rPr>
        <w:t xml:space="preserve">bank </w:t>
      </w:r>
      <w:r w:rsidR="00D02C78">
        <w:rPr>
          <w:lang w:val="en-US"/>
        </w:rPr>
        <w:t xml:space="preserve">is </w:t>
      </w:r>
      <w:r>
        <w:rPr>
          <w:lang w:val="en-US"/>
        </w:rPr>
        <w:t xml:space="preserve">in </w:t>
      </w:r>
      <w:r w:rsidR="0066083B">
        <w:rPr>
          <w:lang w:val="en-US"/>
        </w:rPr>
        <w:t>North America</w:t>
      </w:r>
      <w:r w:rsidR="00C74408">
        <w:rPr>
          <w:lang w:val="en-US"/>
        </w:rPr>
        <w:t xml:space="preserve"> and </w:t>
      </w:r>
      <w:r w:rsidR="00710E02">
        <w:rPr>
          <w:lang w:val="en-US"/>
        </w:rPr>
        <w:t>Europe</w:t>
      </w:r>
      <w:r w:rsidR="00C74408">
        <w:rPr>
          <w:lang w:val="en-US"/>
        </w:rPr>
        <w:t xml:space="preserve"> in construction foams in buildings or in landfills. </w:t>
      </w:r>
      <w:r w:rsidR="00C74408">
        <w:t>More d</w:t>
      </w:r>
      <w:r w:rsidR="00C74408" w:rsidRPr="0F454BE6">
        <w:t xml:space="preserve">etails can be found in the </w:t>
      </w:r>
      <w:r w:rsidR="00DF4A88" w:rsidRPr="00431D46">
        <w:t>A</w:t>
      </w:r>
      <w:r w:rsidR="00C74408" w:rsidRPr="00431D46">
        <w:t>ppendix</w:t>
      </w:r>
      <w:r w:rsidR="000F17C6" w:rsidRPr="00431D46">
        <w:t>7</w:t>
      </w:r>
      <w:r w:rsidR="00C74408" w:rsidRPr="0F454BE6">
        <w:t>.</w:t>
      </w:r>
    </w:p>
    <w:p w14:paraId="644FAED9" w14:textId="154B8BED" w:rsidR="007F7B85" w:rsidRDefault="00B52E49" w:rsidP="006918B8">
      <w:pPr>
        <w:pStyle w:val="FigureandTableTitle"/>
      </w:pPr>
      <w:r>
        <w:t>Figure 2.</w:t>
      </w:r>
      <w:r w:rsidR="006918B8">
        <w:t>1</w:t>
      </w:r>
      <w:r w:rsidR="005453EB">
        <w:t>6</w:t>
      </w:r>
      <w:r w:rsidR="006D7396">
        <w:tab/>
      </w:r>
      <w:r>
        <w:t xml:space="preserve">Estimated </w:t>
      </w:r>
      <w:r w:rsidR="006D7396">
        <w:t xml:space="preserve">regional </w:t>
      </w:r>
      <w:r>
        <w:t xml:space="preserve">CFC-11 </w:t>
      </w:r>
      <w:r w:rsidR="006D7396">
        <w:t xml:space="preserve">use in various foam sub-sectors </w:t>
      </w:r>
      <w:r w:rsidR="00786F94">
        <w:t>(</w:t>
      </w:r>
      <w:proofErr w:type="spellStart"/>
      <w:r w:rsidR="00786F94">
        <w:t>kilotonnes</w:t>
      </w:r>
      <w:proofErr w:type="spellEnd"/>
      <w:r w:rsidR="00786F94">
        <w:t>)</w:t>
      </w:r>
      <w:r w:rsidR="00F325D3">
        <w:t xml:space="preserve"> using 2006 FTOC Assessment Report as a proxy</w:t>
      </w:r>
    </w:p>
    <w:p w14:paraId="090855C8" w14:textId="58ED9DFC" w:rsidR="008542F5" w:rsidRPr="008542F5" w:rsidRDefault="00302CCF" w:rsidP="00043208">
      <w:pPr>
        <w:spacing w:line="259" w:lineRule="auto"/>
      </w:pPr>
      <w:r>
        <w:rPr>
          <w:noProof/>
        </w:rPr>
        <w:drawing>
          <wp:inline distT="0" distB="0" distL="0" distR="0" wp14:anchorId="2BDFB954" wp14:editId="708ED23B">
            <wp:extent cx="4845081" cy="3572759"/>
            <wp:effectExtent l="0" t="0" r="0" b="0"/>
            <wp:docPr id="644245444" name="Picture 64424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245444"/>
                    <pic:cNvPicPr/>
                  </pic:nvPicPr>
                  <pic:blipFill>
                    <a:blip r:embed="rId47">
                      <a:extLst>
                        <a:ext uri="{28A0092B-C50C-407E-A947-70E740481C1C}">
                          <a14:useLocalDpi xmlns:a14="http://schemas.microsoft.com/office/drawing/2010/main" val="0"/>
                        </a:ext>
                      </a:extLst>
                    </a:blip>
                    <a:stretch>
                      <a:fillRect/>
                    </a:stretch>
                  </pic:blipFill>
                  <pic:spPr>
                    <a:xfrm>
                      <a:off x="0" y="0"/>
                      <a:ext cx="4845081" cy="3572759"/>
                    </a:xfrm>
                    <a:prstGeom prst="rect">
                      <a:avLst/>
                    </a:prstGeom>
                  </pic:spPr>
                </pic:pic>
              </a:graphicData>
            </a:graphic>
          </wp:inline>
        </w:drawing>
      </w:r>
    </w:p>
    <w:p w14:paraId="55101FC2" w14:textId="77777777" w:rsidR="008542F5" w:rsidRPr="008542F5" w:rsidRDefault="008542F5" w:rsidP="008542F5">
      <w:pPr>
        <w:rPr>
          <w:lang w:val="en-US"/>
        </w:rPr>
      </w:pPr>
    </w:p>
    <w:p w14:paraId="08F4559D" w14:textId="77777777" w:rsidR="008542F5" w:rsidRDefault="008542F5" w:rsidP="008542F5">
      <w:pPr>
        <w:rPr>
          <w:lang w:val="en-US"/>
        </w:rPr>
        <w:sectPr w:rsidR="008542F5" w:rsidSect="009345EE">
          <w:type w:val="oddPage"/>
          <w:pgSz w:w="11907" w:h="16839" w:code="9"/>
          <w:pgMar w:top="1701" w:right="1797" w:bottom="1871" w:left="1797" w:header="720" w:footer="794" w:gutter="0"/>
          <w:cols w:space="720"/>
          <w:docGrid w:linePitch="299"/>
        </w:sectPr>
      </w:pPr>
    </w:p>
    <w:p w14:paraId="7A832A68" w14:textId="2ED2AC15" w:rsidR="008542F5" w:rsidRDefault="008542F5" w:rsidP="00CF3955">
      <w:pPr>
        <w:pStyle w:val="Heading1"/>
      </w:pPr>
      <w:bookmarkStart w:id="152" w:name="_Toc73045609"/>
      <w:r>
        <w:lastRenderedPageBreak/>
        <w:t>3</w:t>
      </w:r>
      <w:r>
        <w:tab/>
        <w:t>CFC-11 production</w:t>
      </w:r>
      <w:bookmarkEnd w:id="152"/>
    </w:p>
    <w:p w14:paraId="761764F9" w14:textId="0AD74F4C" w:rsidR="00134190" w:rsidRPr="00790E9C" w:rsidRDefault="00134190" w:rsidP="00043208">
      <w:r>
        <w:rPr>
          <w:lang w:val="en-US" w:eastAsia="en-US"/>
        </w:rPr>
        <w:t xml:space="preserve">This Chapter includes updates to estimated </w:t>
      </w:r>
      <w:r w:rsidR="00DB628F">
        <w:rPr>
          <w:lang w:val="en-US" w:eastAsia="en-US"/>
        </w:rPr>
        <w:t xml:space="preserve">unreported </w:t>
      </w:r>
      <w:r>
        <w:rPr>
          <w:lang w:val="en-US" w:eastAsia="en-US"/>
        </w:rPr>
        <w:t xml:space="preserve">CFC-11 production </w:t>
      </w:r>
      <w:r w:rsidR="00DB628F">
        <w:rPr>
          <w:lang w:val="en-US" w:eastAsia="en-US"/>
        </w:rPr>
        <w:t xml:space="preserve">to account for emissions based on banks and emissions modelling, comments on </w:t>
      </w:r>
      <w:r w:rsidR="008F65FA">
        <w:rPr>
          <w:lang w:val="en-US" w:eastAsia="en-US"/>
        </w:rPr>
        <w:t xml:space="preserve">the fate of co-produced CFC-12, </w:t>
      </w:r>
      <w:r w:rsidR="008A4D6C">
        <w:rPr>
          <w:lang w:val="en-US" w:eastAsia="en-US"/>
        </w:rPr>
        <w:t xml:space="preserve">updates to </w:t>
      </w:r>
      <w:r w:rsidR="0016527C">
        <w:rPr>
          <w:lang w:val="en-US" w:eastAsia="en-US"/>
        </w:rPr>
        <w:t xml:space="preserve">the CTC required to supply the </w:t>
      </w:r>
      <w:r w:rsidR="00A86349">
        <w:rPr>
          <w:lang w:val="en-US" w:eastAsia="en-US"/>
        </w:rPr>
        <w:t xml:space="preserve">estimated </w:t>
      </w:r>
      <w:r w:rsidR="0016527C">
        <w:rPr>
          <w:lang w:val="en-US" w:eastAsia="en-US"/>
        </w:rPr>
        <w:t xml:space="preserve">unreported CFC-11 </w:t>
      </w:r>
      <w:r w:rsidR="00A86349">
        <w:rPr>
          <w:lang w:val="en-US" w:eastAsia="en-US"/>
        </w:rPr>
        <w:t>production</w:t>
      </w:r>
      <w:r w:rsidR="0016527C">
        <w:rPr>
          <w:lang w:val="en-US" w:eastAsia="en-US"/>
        </w:rPr>
        <w:t xml:space="preserve">, </w:t>
      </w:r>
      <w:r w:rsidR="00DB628F">
        <w:rPr>
          <w:lang w:val="en-US" w:eastAsia="en-US"/>
        </w:rPr>
        <w:t xml:space="preserve">and responds to </w:t>
      </w:r>
      <w:r w:rsidR="008F65FA">
        <w:rPr>
          <w:lang w:val="en-US" w:eastAsia="en-US"/>
        </w:rPr>
        <w:t>decision XXXI/3, paragraph 7(</w:t>
      </w:r>
      <w:r w:rsidR="00B25C65">
        <w:rPr>
          <w:lang w:val="en-US" w:eastAsia="en-US"/>
        </w:rPr>
        <w:t>b)</w:t>
      </w:r>
      <w:r w:rsidR="00040A98">
        <w:rPr>
          <w:lang w:val="en-US" w:eastAsia="en-US"/>
        </w:rPr>
        <w:t>, relating to production issues</w:t>
      </w:r>
      <w:r w:rsidR="00B25C65">
        <w:rPr>
          <w:lang w:val="en-US" w:eastAsia="en-US"/>
        </w:rPr>
        <w:t>.</w:t>
      </w:r>
    </w:p>
    <w:p w14:paraId="6C9A56C1" w14:textId="7813FC78" w:rsidR="002313D4" w:rsidRPr="00A22B01" w:rsidRDefault="008542F5" w:rsidP="00751ECE">
      <w:pPr>
        <w:pStyle w:val="Heading2"/>
      </w:pPr>
      <w:bookmarkStart w:id="153" w:name="_Toc73045610"/>
      <w:r w:rsidRPr="00A22B01">
        <w:t>3.1</w:t>
      </w:r>
      <w:r w:rsidRPr="00A22B01">
        <w:tab/>
      </w:r>
      <w:r w:rsidR="00EC02B8">
        <w:t>E</w:t>
      </w:r>
      <w:r w:rsidR="004D7BCB" w:rsidRPr="00A22B01">
        <w:t xml:space="preserve">stimated </w:t>
      </w:r>
      <w:r w:rsidR="00134190">
        <w:t xml:space="preserve">unreported </w:t>
      </w:r>
      <w:r w:rsidR="00521D97" w:rsidRPr="00A22B01">
        <w:t xml:space="preserve">CFC-11 </w:t>
      </w:r>
      <w:r w:rsidR="004D7BCB" w:rsidRPr="00A22B01">
        <w:t>production</w:t>
      </w:r>
      <w:r w:rsidR="00BF01F8">
        <w:t xml:space="preserve"> </w:t>
      </w:r>
      <w:r w:rsidR="00DB628F">
        <w:t xml:space="preserve">to </w:t>
      </w:r>
      <w:r w:rsidR="00B55A05">
        <w:t>account for</w:t>
      </w:r>
      <w:r w:rsidR="00BF01F8">
        <w:t xml:space="preserve"> </w:t>
      </w:r>
      <w:r w:rsidR="00CD27DE">
        <w:t xml:space="preserve">unexpected </w:t>
      </w:r>
      <w:r w:rsidR="00BF01F8">
        <w:t>emissions</w:t>
      </w:r>
      <w:bookmarkEnd w:id="153"/>
    </w:p>
    <w:p w14:paraId="3DC85824" w14:textId="77DDF89E" w:rsidR="00134190" w:rsidRDefault="00040A98" w:rsidP="00134190">
      <w:pPr>
        <w:rPr>
          <w:lang w:val="en-US" w:eastAsia="fr-FR"/>
        </w:rPr>
      </w:pPr>
      <w:r>
        <w:rPr>
          <w:lang w:val="en-US" w:eastAsia="fr-FR"/>
        </w:rPr>
        <w:t>Based on</w:t>
      </w:r>
      <w:r w:rsidR="00134190">
        <w:rPr>
          <w:lang w:val="en-US" w:eastAsia="fr-FR"/>
        </w:rPr>
        <w:t xml:space="preserve"> the modelling </w:t>
      </w:r>
      <w:r w:rsidR="00B95867">
        <w:rPr>
          <w:lang w:val="en-US" w:eastAsia="fr-FR"/>
        </w:rPr>
        <w:t xml:space="preserve">described </w:t>
      </w:r>
      <w:r w:rsidR="00134190">
        <w:rPr>
          <w:lang w:val="en-US" w:eastAsia="fr-FR"/>
        </w:rPr>
        <w:t xml:space="preserve">in Chapter 2, </w:t>
      </w:r>
      <w:r>
        <w:rPr>
          <w:lang w:val="en-US" w:eastAsia="fr-FR"/>
        </w:rPr>
        <w:t xml:space="preserve">this section </w:t>
      </w:r>
      <w:r w:rsidR="00573B1C">
        <w:rPr>
          <w:lang w:val="en-US" w:eastAsia="fr-FR"/>
        </w:rPr>
        <w:t xml:space="preserve">provides </w:t>
      </w:r>
      <w:r w:rsidR="00E105FB">
        <w:rPr>
          <w:lang w:val="en-US" w:eastAsia="fr-FR"/>
        </w:rPr>
        <w:t xml:space="preserve">the </w:t>
      </w:r>
      <w:r w:rsidR="00573B1C">
        <w:rPr>
          <w:lang w:val="en-US" w:eastAsia="fr-FR"/>
        </w:rPr>
        <w:t xml:space="preserve">conclusions </w:t>
      </w:r>
      <w:r w:rsidR="00E105FB">
        <w:rPr>
          <w:lang w:val="en-US" w:eastAsia="fr-FR"/>
        </w:rPr>
        <w:t>for</w:t>
      </w:r>
      <w:r w:rsidR="00573B1C">
        <w:rPr>
          <w:lang w:val="en-US" w:eastAsia="fr-FR"/>
        </w:rPr>
        <w:t xml:space="preserve"> </w:t>
      </w:r>
      <w:r w:rsidR="00E105FB">
        <w:rPr>
          <w:lang w:val="en-US" w:eastAsia="fr-FR"/>
        </w:rPr>
        <w:t xml:space="preserve">estimated </w:t>
      </w:r>
      <w:r w:rsidR="001676A5">
        <w:rPr>
          <w:lang w:val="en-US" w:eastAsia="fr-FR"/>
        </w:rPr>
        <w:t xml:space="preserve">unreported </w:t>
      </w:r>
      <w:r w:rsidR="00573B1C">
        <w:rPr>
          <w:lang w:val="en-US" w:eastAsia="fr-FR"/>
        </w:rPr>
        <w:t>CFC-11 production that can be deduced from th</w:t>
      </w:r>
      <w:r w:rsidR="00EC02B8">
        <w:rPr>
          <w:lang w:val="en-US" w:eastAsia="fr-FR"/>
        </w:rPr>
        <w:t>is</w:t>
      </w:r>
      <w:r w:rsidR="00573B1C">
        <w:rPr>
          <w:lang w:val="en-US" w:eastAsia="fr-FR"/>
        </w:rPr>
        <w:t xml:space="preserve"> analysis</w:t>
      </w:r>
      <w:r w:rsidR="00E105FB">
        <w:rPr>
          <w:lang w:val="en-US" w:eastAsia="fr-FR"/>
        </w:rPr>
        <w:t xml:space="preserve"> to account for the unexpected CFC-11 emissions</w:t>
      </w:r>
      <w:r w:rsidR="00573B1C">
        <w:rPr>
          <w:lang w:val="en-US" w:eastAsia="fr-FR"/>
        </w:rPr>
        <w:t>.</w:t>
      </w:r>
      <w:r w:rsidR="00174EB1">
        <w:rPr>
          <w:lang w:val="en-US" w:eastAsia="fr-FR"/>
        </w:rPr>
        <w:t xml:space="preserve"> This </w:t>
      </w:r>
      <w:r w:rsidR="00E105FB">
        <w:rPr>
          <w:lang w:val="en-US" w:eastAsia="fr-FR"/>
        </w:rPr>
        <w:t xml:space="preserve">section </w:t>
      </w:r>
      <w:r w:rsidR="00174EB1">
        <w:rPr>
          <w:lang w:val="en-US" w:eastAsia="fr-FR"/>
        </w:rPr>
        <w:t>updates the information provided in the 2019 Task Force Report.</w:t>
      </w:r>
    </w:p>
    <w:p w14:paraId="638E9857" w14:textId="5C53FF81" w:rsidR="00B52EBE" w:rsidRDefault="00B52EBE" w:rsidP="00B52EBE">
      <w:pPr>
        <w:rPr>
          <w:lang w:val="en-US" w:eastAsia="fr-FR"/>
        </w:rPr>
      </w:pPr>
      <w:r>
        <w:rPr>
          <w:lang w:val="en-US" w:eastAsia="fr-FR"/>
        </w:rPr>
        <w:t>Even with the minor refinements to the banks modelling using the Weibull distribution of CFC-11 product lifetimes, t</w:t>
      </w:r>
      <w:r w:rsidRPr="655B3037">
        <w:rPr>
          <w:lang w:val="en-US" w:eastAsia="fr-FR"/>
        </w:rPr>
        <w:t>h</w:t>
      </w:r>
      <w:r>
        <w:rPr>
          <w:lang w:val="en-US" w:eastAsia="fr-FR"/>
        </w:rPr>
        <w:t>is</w:t>
      </w:r>
      <w:r w:rsidRPr="655B3037">
        <w:rPr>
          <w:lang w:val="en-US" w:eastAsia="fr-FR"/>
        </w:rPr>
        <w:t xml:space="preserve"> </w:t>
      </w:r>
      <w:r>
        <w:rPr>
          <w:lang w:val="en-US" w:eastAsia="fr-FR"/>
        </w:rPr>
        <w:t>2021 Task Force Report</w:t>
      </w:r>
      <w:r w:rsidRPr="655B3037">
        <w:rPr>
          <w:lang w:val="en-US" w:eastAsia="fr-FR"/>
        </w:rPr>
        <w:t xml:space="preserve"> concurs with the </w:t>
      </w:r>
      <w:r>
        <w:rPr>
          <w:lang w:val="en-US" w:eastAsia="fr-FR"/>
        </w:rPr>
        <w:t>2019</w:t>
      </w:r>
      <w:r w:rsidRPr="655B3037">
        <w:rPr>
          <w:lang w:val="en-US" w:eastAsia="fr-FR"/>
        </w:rPr>
        <w:t xml:space="preserve"> </w:t>
      </w:r>
      <w:r>
        <w:rPr>
          <w:lang w:val="en-US" w:eastAsia="fr-FR"/>
        </w:rPr>
        <w:t>CFC-11 Task Force R</w:t>
      </w:r>
      <w:r w:rsidRPr="655B3037">
        <w:rPr>
          <w:lang w:val="en-US" w:eastAsia="fr-FR"/>
        </w:rPr>
        <w:t>eport</w:t>
      </w:r>
      <w:r w:rsidR="00AA4CFB">
        <w:rPr>
          <w:lang w:val="en-US" w:eastAsia="fr-FR"/>
        </w:rPr>
        <w:t>;</w:t>
      </w:r>
      <w:r w:rsidRPr="655B3037">
        <w:rPr>
          <w:lang w:val="en-US" w:eastAsia="fr-FR"/>
        </w:rPr>
        <w:t xml:space="preserve"> emissions from </w:t>
      </w:r>
      <w:r>
        <w:rPr>
          <w:lang w:val="en-US" w:eastAsia="fr-FR"/>
        </w:rPr>
        <w:t xml:space="preserve">CFC-11 </w:t>
      </w:r>
      <w:r w:rsidRPr="655B3037">
        <w:rPr>
          <w:lang w:val="en-US" w:eastAsia="fr-FR"/>
        </w:rPr>
        <w:t xml:space="preserve">banks alone cannot explain the unexpected </w:t>
      </w:r>
      <w:r>
        <w:rPr>
          <w:lang w:val="en-US" w:eastAsia="fr-FR"/>
        </w:rPr>
        <w:t>increase</w:t>
      </w:r>
      <w:r w:rsidRPr="655B3037">
        <w:rPr>
          <w:lang w:val="en-US" w:eastAsia="fr-FR"/>
        </w:rPr>
        <w:t xml:space="preserve"> in CFC-11 emissions between 201</w:t>
      </w:r>
      <w:r>
        <w:rPr>
          <w:lang w:val="en-US" w:eastAsia="fr-FR"/>
        </w:rPr>
        <w:t>3</w:t>
      </w:r>
      <w:r w:rsidRPr="655B3037">
        <w:rPr>
          <w:lang w:val="en-US" w:eastAsia="fr-FR"/>
        </w:rPr>
        <w:t xml:space="preserve"> and 2018. </w:t>
      </w:r>
    </w:p>
    <w:p w14:paraId="2ECF8A09" w14:textId="643DBE59" w:rsidR="00374A73" w:rsidRDefault="00882B5E" w:rsidP="006D7396">
      <w:pPr>
        <w:rPr>
          <w:lang w:val="en-US" w:eastAsia="fr-FR"/>
        </w:rPr>
      </w:pPr>
      <w:r w:rsidRPr="1061C58E">
        <w:rPr>
          <w:lang w:val="en-US" w:eastAsia="fr-FR"/>
        </w:rPr>
        <w:t xml:space="preserve">The relationship between </w:t>
      </w:r>
      <w:r>
        <w:rPr>
          <w:lang w:val="en-US" w:eastAsia="fr-FR"/>
        </w:rPr>
        <w:t xml:space="preserve">CFC-11 </w:t>
      </w:r>
      <w:r w:rsidRPr="1061C58E">
        <w:rPr>
          <w:lang w:val="en-US" w:eastAsia="fr-FR"/>
        </w:rPr>
        <w:t xml:space="preserve">emissions and production was based on the historical estimates </w:t>
      </w:r>
      <w:r>
        <w:rPr>
          <w:lang w:val="en-US" w:eastAsia="fr-FR"/>
        </w:rPr>
        <w:t xml:space="preserve">and assumptions </w:t>
      </w:r>
      <w:r w:rsidRPr="1061C58E">
        <w:rPr>
          <w:lang w:val="en-US" w:eastAsia="fr-FR"/>
        </w:rPr>
        <w:t xml:space="preserve">included in the model. </w:t>
      </w:r>
      <w:r w:rsidR="00E32240">
        <w:rPr>
          <w:lang w:val="en-US" w:eastAsia="fr-FR"/>
        </w:rPr>
        <w:t>T</w:t>
      </w:r>
      <w:r w:rsidR="00E32240" w:rsidRPr="1061C58E">
        <w:rPr>
          <w:lang w:val="en-US" w:eastAsia="fr-FR"/>
        </w:rPr>
        <w:t>he model</w:t>
      </w:r>
      <w:r w:rsidR="00E32240" w:rsidDel="0052261C">
        <w:rPr>
          <w:lang w:val="en-US" w:eastAsia="fr-FR"/>
        </w:rPr>
        <w:t xml:space="preserve"> </w:t>
      </w:r>
      <w:r w:rsidR="00E32240" w:rsidRPr="1061C58E">
        <w:rPr>
          <w:lang w:val="en-US" w:eastAsia="fr-FR"/>
        </w:rPr>
        <w:t xml:space="preserve">was </w:t>
      </w:r>
      <w:r w:rsidR="004571E8">
        <w:rPr>
          <w:lang w:val="en-US" w:eastAsia="fr-FR"/>
        </w:rPr>
        <w:t xml:space="preserve">used to </w:t>
      </w:r>
      <w:r w:rsidR="00E32240" w:rsidRPr="1061C58E">
        <w:rPr>
          <w:lang w:val="en-US" w:eastAsia="fr-FR"/>
        </w:rPr>
        <w:t xml:space="preserve">reconcile </w:t>
      </w:r>
      <w:r w:rsidR="00E32240">
        <w:rPr>
          <w:lang w:val="en-US" w:eastAsia="fr-FR"/>
        </w:rPr>
        <w:t>t</w:t>
      </w:r>
      <w:r w:rsidR="48FFB62C" w:rsidRPr="48FFB62C">
        <w:rPr>
          <w:lang w:val="en-US" w:eastAsia="fr-FR"/>
        </w:rPr>
        <w:t>he</w:t>
      </w:r>
      <w:r w:rsidR="399A8975" w:rsidRPr="399A8975">
        <w:rPr>
          <w:lang w:val="en-US" w:eastAsia="fr-FR"/>
        </w:rPr>
        <w:t xml:space="preserve"> </w:t>
      </w:r>
      <w:r w:rsidR="00B732AC">
        <w:rPr>
          <w:lang w:val="en-US" w:eastAsia="fr-FR"/>
        </w:rPr>
        <w:t>difference</w:t>
      </w:r>
      <w:r w:rsidR="00B97969">
        <w:rPr>
          <w:lang w:val="en-US" w:eastAsia="fr-FR"/>
        </w:rPr>
        <w:t>s</w:t>
      </w:r>
      <w:r w:rsidR="399A8975" w:rsidRPr="399A8975">
        <w:rPr>
          <w:lang w:val="en-US" w:eastAsia="fr-FR"/>
        </w:rPr>
        <w:t xml:space="preserve"> between the </w:t>
      </w:r>
      <w:r w:rsidR="00A94D46" w:rsidRPr="003B1840">
        <w:rPr>
          <w:lang w:val="en-US" w:eastAsia="fr-FR"/>
        </w:rPr>
        <w:t xml:space="preserve">estimated </w:t>
      </w:r>
      <w:r w:rsidR="0097547F" w:rsidRPr="00431D46">
        <w:rPr>
          <w:lang w:val="en-US" w:eastAsia="fr-FR"/>
        </w:rPr>
        <w:t>inventory-based</w:t>
      </w:r>
      <w:r w:rsidR="48FFB62C" w:rsidRPr="003B1840">
        <w:rPr>
          <w:szCs w:val="22"/>
          <w:lang w:val="en-US" w:eastAsia="fr-FR"/>
        </w:rPr>
        <w:t xml:space="preserve"> </w:t>
      </w:r>
      <w:r w:rsidR="399A8975" w:rsidRPr="003B1840">
        <w:rPr>
          <w:szCs w:val="22"/>
          <w:lang w:val="en-US" w:eastAsia="fr-FR"/>
        </w:rPr>
        <w:t xml:space="preserve">emissions and those </w:t>
      </w:r>
      <w:r w:rsidR="004A6D0C" w:rsidRPr="00431D46">
        <w:rPr>
          <w:szCs w:val="22"/>
          <w:lang w:val="en-US" w:eastAsia="fr-FR"/>
        </w:rPr>
        <w:t>derived from atmospheric concentrations</w:t>
      </w:r>
      <w:r w:rsidR="00EC5ABA" w:rsidRPr="00431D46">
        <w:rPr>
          <w:szCs w:val="22"/>
          <w:lang w:val="en-US" w:eastAsia="fr-FR"/>
        </w:rPr>
        <w:t>,</w:t>
      </w:r>
      <w:r w:rsidR="004A6D0C" w:rsidRPr="00431D46">
        <w:rPr>
          <w:szCs w:val="22"/>
          <w:lang w:val="en-US" w:eastAsia="fr-FR"/>
        </w:rPr>
        <w:t xml:space="preserve"> </w:t>
      </w:r>
      <w:r w:rsidR="1061C58E" w:rsidRPr="003B1840">
        <w:rPr>
          <w:szCs w:val="22"/>
          <w:lang w:val="en-US" w:eastAsia="fr-FR"/>
        </w:rPr>
        <w:t xml:space="preserve">assuming that those emissions </w:t>
      </w:r>
      <w:r w:rsidR="00CF6EC6" w:rsidRPr="003B1840">
        <w:rPr>
          <w:szCs w:val="22"/>
          <w:lang w:val="en-US" w:eastAsia="fr-FR"/>
        </w:rPr>
        <w:t>were</w:t>
      </w:r>
      <w:r w:rsidR="1061C58E" w:rsidRPr="003B1840">
        <w:rPr>
          <w:szCs w:val="22"/>
          <w:lang w:val="en-US" w:eastAsia="fr-FR"/>
        </w:rPr>
        <w:t xml:space="preserve"> associated with closed</w:t>
      </w:r>
      <w:r w:rsidR="1061C58E" w:rsidRPr="003B1840">
        <w:rPr>
          <w:lang w:val="en-US" w:eastAsia="fr-FR"/>
        </w:rPr>
        <w:t>-cell foam production and use</w:t>
      </w:r>
      <w:r w:rsidR="00704AFA">
        <w:rPr>
          <w:rStyle w:val="FootnoteReference"/>
          <w:lang w:val="en-US" w:eastAsia="fr-FR"/>
        </w:rPr>
        <w:footnoteReference w:id="71"/>
      </w:r>
      <w:r w:rsidR="007D7349" w:rsidRPr="003B1840">
        <w:rPr>
          <w:lang w:val="en-US" w:eastAsia="fr-FR"/>
        </w:rPr>
        <w:t>.</w:t>
      </w:r>
      <w:r w:rsidR="007D7349">
        <w:rPr>
          <w:lang w:val="en-US" w:eastAsia="fr-FR"/>
        </w:rPr>
        <w:t xml:space="preserve"> </w:t>
      </w:r>
      <w:r w:rsidR="00FF0E6B">
        <w:rPr>
          <w:lang w:val="en-US" w:eastAsia="fr-FR"/>
        </w:rPr>
        <w:t>Based on estimations of the</w:t>
      </w:r>
      <w:r w:rsidR="003D60AC">
        <w:rPr>
          <w:lang w:val="en-US" w:eastAsia="fr-FR"/>
        </w:rPr>
        <w:t xml:space="preserve"> additional CFC-11 production necessary for the </w:t>
      </w:r>
      <w:r w:rsidR="0097547F">
        <w:rPr>
          <w:lang w:val="en-US" w:eastAsia="fr-FR"/>
        </w:rPr>
        <w:t>inventory-based</w:t>
      </w:r>
      <w:r w:rsidR="000A5CA7">
        <w:rPr>
          <w:lang w:val="en-US" w:eastAsia="fr-FR"/>
        </w:rPr>
        <w:t xml:space="preserve"> </w:t>
      </w:r>
      <w:r w:rsidR="00FF0E6B">
        <w:rPr>
          <w:lang w:val="en-US" w:eastAsia="fr-FR"/>
        </w:rPr>
        <w:t>expected</w:t>
      </w:r>
      <w:r w:rsidR="003D60AC">
        <w:rPr>
          <w:lang w:val="en-US" w:eastAsia="fr-FR"/>
        </w:rPr>
        <w:t xml:space="preserve"> emissions to align </w:t>
      </w:r>
      <w:r w:rsidR="0095732E">
        <w:rPr>
          <w:lang w:val="en-US" w:eastAsia="fr-FR"/>
        </w:rPr>
        <w:t>with</w:t>
      </w:r>
      <w:r w:rsidR="003D60AC">
        <w:rPr>
          <w:lang w:val="en-US" w:eastAsia="fr-FR"/>
        </w:rPr>
        <w:t xml:space="preserve"> the derived emissions</w:t>
      </w:r>
      <w:r w:rsidR="008237AA">
        <w:rPr>
          <w:rStyle w:val="FootnoteReference"/>
          <w:lang w:val="en-US" w:eastAsia="fr-FR"/>
        </w:rPr>
        <w:footnoteReference w:id="72"/>
      </w:r>
      <w:r w:rsidR="00FF0E6B">
        <w:rPr>
          <w:lang w:val="en-US" w:eastAsia="fr-FR"/>
        </w:rPr>
        <w:t>, u</w:t>
      </w:r>
      <w:r w:rsidR="00323B51">
        <w:rPr>
          <w:lang w:val="en-US" w:eastAsia="fr-FR"/>
        </w:rPr>
        <w:t xml:space="preserve">nreported CFC-11 production </w:t>
      </w:r>
      <w:r w:rsidR="00FF0E6B">
        <w:rPr>
          <w:lang w:val="en-US" w:eastAsia="fr-FR"/>
        </w:rPr>
        <w:t>can be</w:t>
      </w:r>
      <w:r w:rsidR="00323B51">
        <w:rPr>
          <w:lang w:val="en-US" w:eastAsia="fr-FR"/>
        </w:rPr>
        <w:t xml:space="preserve"> estimated to be</w:t>
      </w:r>
      <w:r w:rsidR="00323B51" w:rsidRPr="00431D46">
        <w:rPr>
          <w:lang w:val="en-US" w:eastAsia="fr-FR"/>
        </w:rPr>
        <w:t>:</w:t>
      </w:r>
    </w:p>
    <w:p w14:paraId="6701B16E" w14:textId="74A8C3E2" w:rsidR="00DF18A3" w:rsidRPr="00043208" w:rsidRDefault="009770CF" w:rsidP="00043208">
      <w:pPr>
        <w:pStyle w:val="ListParagraph"/>
        <w:numPr>
          <w:ilvl w:val="0"/>
          <w:numId w:val="72"/>
        </w:numPr>
        <w:rPr>
          <w:lang w:val="en-US" w:eastAsia="fr-FR"/>
        </w:rPr>
      </w:pPr>
      <w:r>
        <w:rPr>
          <w:lang w:val="en-US" w:eastAsia="fr-FR"/>
        </w:rPr>
        <w:t>10</w:t>
      </w:r>
      <w:r w:rsidR="000B67B0">
        <w:rPr>
          <w:lang w:eastAsia="fr-FR"/>
        </w:rPr>
        <w:t xml:space="preserve"> to </w:t>
      </w:r>
      <w:r>
        <w:rPr>
          <w:lang w:eastAsia="fr-FR"/>
        </w:rPr>
        <w:t>40</w:t>
      </w:r>
      <w:r w:rsidR="655B3037" w:rsidRPr="00043208">
        <w:rPr>
          <w:lang w:val="en-US" w:eastAsia="fr-FR"/>
        </w:rPr>
        <w:t xml:space="preserve"> </w:t>
      </w:r>
      <w:proofErr w:type="spellStart"/>
      <w:r w:rsidR="655B3037" w:rsidRPr="00043208">
        <w:rPr>
          <w:lang w:val="en-US" w:eastAsia="fr-FR"/>
        </w:rPr>
        <w:t>kilotonnes</w:t>
      </w:r>
      <w:proofErr w:type="spellEnd"/>
      <w:r w:rsidR="655B3037" w:rsidRPr="00043208">
        <w:rPr>
          <w:lang w:val="en-US" w:eastAsia="fr-FR"/>
        </w:rPr>
        <w:t xml:space="preserve"> </w:t>
      </w:r>
      <w:r w:rsidR="231E1F25" w:rsidRPr="00043208">
        <w:rPr>
          <w:lang w:val="en-US" w:eastAsia="fr-FR"/>
        </w:rPr>
        <w:t>per year</w:t>
      </w:r>
      <w:r w:rsidR="00292955" w:rsidRPr="00043208">
        <w:rPr>
          <w:lang w:val="en-US" w:eastAsia="fr-FR"/>
        </w:rPr>
        <w:t xml:space="preserve"> </w:t>
      </w:r>
      <w:r w:rsidR="00A110F8" w:rsidRPr="00043208">
        <w:rPr>
          <w:lang w:val="en-US" w:eastAsia="fr-FR"/>
        </w:rPr>
        <w:t>between 200</w:t>
      </w:r>
      <w:r w:rsidR="16474680" w:rsidRPr="16474680">
        <w:rPr>
          <w:lang w:eastAsia="fr-FR"/>
        </w:rPr>
        <w:t>7</w:t>
      </w:r>
      <w:r w:rsidR="00A110F8" w:rsidRPr="00043208">
        <w:rPr>
          <w:lang w:val="en-US" w:eastAsia="fr-FR"/>
        </w:rPr>
        <w:t>-2012</w:t>
      </w:r>
      <w:r w:rsidR="0006068D">
        <w:rPr>
          <w:rStyle w:val="FootnoteReference"/>
          <w:lang w:val="en-US" w:eastAsia="fr-FR"/>
        </w:rPr>
        <w:footnoteReference w:id="73"/>
      </w:r>
      <w:r w:rsidR="00292955" w:rsidRPr="00043208">
        <w:rPr>
          <w:lang w:val="en-US" w:eastAsia="fr-FR"/>
        </w:rPr>
        <w:t xml:space="preserve"> </w:t>
      </w:r>
    </w:p>
    <w:p w14:paraId="09ACDD94" w14:textId="4D5BBA9F" w:rsidR="00BA3EEC" w:rsidRPr="00043208" w:rsidRDefault="009770CF" w:rsidP="00E1425E">
      <w:pPr>
        <w:pStyle w:val="ListParagraph"/>
        <w:numPr>
          <w:ilvl w:val="0"/>
          <w:numId w:val="72"/>
        </w:numPr>
        <w:rPr>
          <w:lang w:val="en-US" w:eastAsia="fr-FR"/>
        </w:rPr>
      </w:pPr>
      <w:r>
        <w:rPr>
          <w:lang w:val="en-US" w:eastAsia="fr-FR"/>
        </w:rPr>
        <w:t>40</w:t>
      </w:r>
      <w:r w:rsidR="000B67B0">
        <w:rPr>
          <w:lang w:eastAsia="fr-FR"/>
        </w:rPr>
        <w:t xml:space="preserve"> to </w:t>
      </w:r>
      <w:r>
        <w:rPr>
          <w:lang w:eastAsia="fr-FR"/>
        </w:rPr>
        <w:t>70</w:t>
      </w:r>
      <w:r w:rsidR="42F23BBA" w:rsidRPr="00043208">
        <w:rPr>
          <w:lang w:val="en-US" w:eastAsia="fr-FR"/>
        </w:rPr>
        <w:t xml:space="preserve"> </w:t>
      </w:r>
      <w:proofErr w:type="spellStart"/>
      <w:r w:rsidR="655B3037" w:rsidRPr="00043208">
        <w:rPr>
          <w:lang w:val="en-US" w:eastAsia="fr-FR"/>
        </w:rPr>
        <w:t>kilotonnes</w:t>
      </w:r>
      <w:proofErr w:type="spellEnd"/>
      <w:r w:rsidR="42F23BBA" w:rsidRPr="00043208">
        <w:rPr>
          <w:lang w:val="en-US" w:eastAsia="fr-FR"/>
        </w:rPr>
        <w:t xml:space="preserve"> per year</w:t>
      </w:r>
      <w:r w:rsidR="36B4D5B4" w:rsidRPr="00043208">
        <w:rPr>
          <w:lang w:val="en-US" w:eastAsia="fr-FR"/>
        </w:rPr>
        <w:t xml:space="preserve"> </w:t>
      </w:r>
      <w:r w:rsidR="00A110F8" w:rsidRPr="00043208">
        <w:rPr>
          <w:lang w:val="en-US" w:eastAsia="fr-FR"/>
        </w:rPr>
        <w:t>between 2013-2018</w:t>
      </w:r>
      <w:r w:rsidR="00D41A4E" w:rsidRPr="00043208">
        <w:rPr>
          <w:lang w:val="en-US" w:eastAsia="fr-FR"/>
        </w:rPr>
        <w:t>,</w:t>
      </w:r>
      <w:r w:rsidR="00A110F8" w:rsidRPr="00043208">
        <w:rPr>
          <w:lang w:val="en-US" w:eastAsia="fr-FR"/>
        </w:rPr>
        <w:t xml:space="preserve"> </w:t>
      </w:r>
      <w:r w:rsidR="16474680" w:rsidRPr="16474680">
        <w:rPr>
          <w:lang w:eastAsia="fr-FR"/>
        </w:rPr>
        <w:t xml:space="preserve">the same as estimated </w:t>
      </w:r>
      <w:r w:rsidR="000F2901" w:rsidRPr="00043208">
        <w:rPr>
          <w:lang w:val="en-US" w:eastAsia="fr-FR"/>
        </w:rPr>
        <w:t xml:space="preserve">in </w:t>
      </w:r>
      <w:r w:rsidR="54EFB299" w:rsidRPr="00043208">
        <w:rPr>
          <w:lang w:val="en-US" w:eastAsia="fr-FR"/>
        </w:rPr>
        <w:t xml:space="preserve">the </w:t>
      </w:r>
      <w:r w:rsidR="000F2901" w:rsidRPr="00043208">
        <w:rPr>
          <w:lang w:val="en-US" w:eastAsia="fr-FR"/>
        </w:rPr>
        <w:t xml:space="preserve">2019 </w:t>
      </w:r>
      <w:r w:rsidR="00DF72D7">
        <w:rPr>
          <w:lang w:val="en-US" w:eastAsia="fr-FR"/>
        </w:rPr>
        <w:t>Task Force R</w:t>
      </w:r>
      <w:r w:rsidR="54EFB299" w:rsidRPr="00043208">
        <w:rPr>
          <w:lang w:val="en-US" w:eastAsia="fr-FR"/>
        </w:rPr>
        <w:t>eport</w:t>
      </w:r>
      <w:r w:rsidR="009E09D1">
        <w:rPr>
          <w:lang w:val="en-US" w:eastAsia="fr-FR"/>
        </w:rPr>
        <w:t xml:space="preserve"> for this period</w:t>
      </w:r>
      <w:r w:rsidR="00A816EB">
        <w:rPr>
          <w:rStyle w:val="FootnoteReference"/>
          <w:lang w:val="en-US" w:eastAsia="fr-FR"/>
        </w:rPr>
        <w:footnoteReference w:id="74"/>
      </w:r>
    </w:p>
    <w:p w14:paraId="501A9826" w14:textId="4BDD1B0C" w:rsidR="16474680" w:rsidRPr="002E1ACA" w:rsidRDefault="009A24A0" w:rsidP="002E1ACA">
      <w:pPr>
        <w:pStyle w:val="ListParagraph"/>
        <w:numPr>
          <w:ilvl w:val="0"/>
          <w:numId w:val="72"/>
        </w:numPr>
        <w:rPr>
          <w:lang w:val="en-US" w:eastAsia="fr-FR"/>
        </w:rPr>
      </w:pPr>
      <w:r>
        <w:t>1</w:t>
      </w:r>
      <w:r w:rsidR="00276B0F">
        <w:t>5</w:t>
      </w:r>
      <w:r w:rsidR="000B67B0" w:rsidRPr="00043208">
        <w:t xml:space="preserve"> to 40 </w:t>
      </w:r>
      <w:proofErr w:type="spellStart"/>
      <w:r w:rsidR="000B67B0" w:rsidRPr="00043208">
        <w:t>kilotonnes</w:t>
      </w:r>
      <w:proofErr w:type="spellEnd"/>
      <w:r w:rsidR="00402926" w:rsidRPr="00043208">
        <w:t xml:space="preserve"> </w:t>
      </w:r>
      <w:r w:rsidR="00414B9B" w:rsidRPr="00431D46">
        <w:rPr>
          <w:lang w:eastAsia="fr-FR"/>
        </w:rPr>
        <w:t xml:space="preserve">of </w:t>
      </w:r>
      <w:r w:rsidR="00FE6C1C" w:rsidRPr="00431D46">
        <w:t>new production</w:t>
      </w:r>
      <w:r w:rsidR="00EC5ABA">
        <w:t>,</w:t>
      </w:r>
      <w:r w:rsidR="00FE6C1C" w:rsidRPr="00601839">
        <w:t xml:space="preserve"> </w:t>
      </w:r>
      <w:r w:rsidR="00FE6C1C" w:rsidRPr="00431D46">
        <w:t>or</w:t>
      </w:r>
      <w:r w:rsidR="00C44BAC" w:rsidRPr="00431D46">
        <w:t xml:space="preserve"> from recent</w:t>
      </w:r>
      <w:r w:rsidR="00FE6C1C" w:rsidRPr="00431D46">
        <w:t xml:space="preserve"> </w:t>
      </w:r>
      <w:r w:rsidR="003E474F" w:rsidRPr="00431D46">
        <w:rPr>
          <w:lang w:eastAsia="fr-FR"/>
        </w:rPr>
        <w:t>inventory</w:t>
      </w:r>
      <w:r w:rsidR="00EC5ABA">
        <w:rPr>
          <w:lang w:eastAsia="fr-FR"/>
        </w:rPr>
        <w:t>,</w:t>
      </w:r>
      <w:r w:rsidR="003E474F" w:rsidRPr="00431D46">
        <w:rPr>
          <w:lang w:eastAsia="fr-FR"/>
        </w:rPr>
        <w:t xml:space="preserve"> </w:t>
      </w:r>
      <w:r w:rsidR="00402926" w:rsidRPr="00043208">
        <w:t>for 2019</w:t>
      </w:r>
      <w:r w:rsidR="00F5781A" w:rsidRPr="00043208">
        <w:rPr>
          <w:rStyle w:val="FootnoteReference"/>
        </w:rPr>
        <w:footnoteReference w:id="75"/>
      </w:r>
      <w:r w:rsidR="00597486" w:rsidRPr="00043208">
        <w:t>.</w:t>
      </w:r>
    </w:p>
    <w:p w14:paraId="6900FF5E" w14:textId="346A9B2F" w:rsidR="00597486" w:rsidRDefault="009A2FF9" w:rsidP="00597486">
      <w:r>
        <w:rPr>
          <w:lang w:val="en-US" w:eastAsia="fr-FR"/>
        </w:rPr>
        <w:t>Based on</w:t>
      </w:r>
      <w:r w:rsidR="00463D73">
        <w:rPr>
          <w:lang w:eastAsia="fr-FR"/>
        </w:rPr>
        <w:t xml:space="preserve"> t</w:t>
      </w:r>
      <w:r w:rsidR="1061C58E" w:rsidRPr="1061C58E">
        <w:rPr>
          <w:lang w:eastAsia="fr-FR"/>
        </w:rPr>
        <w:t>his analysis</w:t>
      </w:r>
      <w:r w:rsidR="00463D73">
        <w:rPr>
          <w:lang w:eastAsia="fr-FR"/>
        </w:rPr>
        <w:t>,</w:t>
      </w:r>
      <w:r w:rsidR="1061C58E" w:rsidRPr="1061C58E">
        <w:rPr>
          <w:lang w:eastAsia="fr-FR"/>
        </w:rPr>
        <w:t xml:space="preserve"> and </w:t>
      </w:r>
      <w:r w:rsidR="001957F1">
        <w:rPr>
          <w:lang w:eastAsia="fr-FR"/>
        </w:rPr>
        <w:t>with the</w:t>
      </w:r>
      <w:r w:rsidR="1061C58E" w:rsidRPr="1061C58E">
        <w:rPr>
          <w:lang w:eastAsia="fr-FR"/>
        </w:rPr>
        <w:t xml:space="preserve"> assumptions </w:t>
      </w:r>
      <w:r w:rsidR="00410BB3">
        <w:rPr>
          <w:lang w:eastAsia="fr-FR"/>
        </w:rPr>
        <w:t>described</w:t>
      </w:r>
      <w:r w:rsidR="0085182F">
        <w:rPr>
          <w:lang w:eastAsia="fr-FR"/>
        </w:rPr>
        <w:t>,</w:t>
      </w:r>
      <w:r w:rsidR="00B20603">
        <w:rPr>
          <w:lang w:eastAsia="fr-FR"/>
        </w:rPr>
        <w:t xml:space="preserve"> </w:t>
      </w:r>
      <w:r w:rsidR="00BC4BF1">
        <w:rPr>
          <w:lang w:val="en-US" w:eastAsia="fr-FR"/>
        </w:rPr>
        <w:t xml:space="preserve">the </w:t>
      </w:r>
      <w:r w:rsidR="000953A2">
        <w:rPr>
          <w:lang w:eastAsia="fr-FR"/>
        </w:rPr>
        <w:t xml:space="preserve">estimated </w:t>
      </w:r>
      <w:r w:rsidR="00B20603">
        <w:rPr>
          <w:lang w:eastAsia="fr-FR"/>
        </w:rPr>
        <w:t>c</w:t>
      </w:r>
      <w:r w:rsidR="00EA7FD6" w:rsidRPr="5694BFED">
        <w:rPr>
          <w:lang w:eastAsia="fr-FR"/>
        </w:rPr>
        <w:t>umulative</w:t>
      </w:r>
      <w:r w:rsidR="00EA7FD6" w:rsidRPr="5694BFED">
        <w:rPr>
          <w:lang w:val="en-US" w:eastAsia="fr-FR"/>
        </w:rPr>
        <w:t xml:space="preserve"> </w:t>
      </w:r>
      <w:r w:rsidR="00255766">
        <w:rPr>
          <w:lang w:val="en-US" w:eastAsia="fr-FR"/>
        </w:rPr>
        <w:t>total</w:t>
      </w:r>
      <w:r w:rsidR="00255766">
        <w:rPr>
          <w:lang w:eastAsia="fr-FR"/>
        </w:rPr>
        <w:t xml:space="preserve"> </w:t>
      </w:r>
      <w:r w:rsidR="008B7408">
        <w:rPr>
          <w:lang w:eastAsia="fr-FR"/>
        </w:rPr>
        <w:t>of</w:t>
      </w:r>
      <w:r w:rsidR="00EA7FD6" w:rsidRPr="5694BFED">
        <w:rPr>
          <w:lang w:eastAsia="fr-FR"/>
        </w:rPr>
        <w:t xml:space="preserve"> unreported CFC-11 </w:t>
      </w:r>
      <w:r w:rsidR="00EA7FD6" w:rsidRPr="1B76770D">
        <w:rPr>
          <w:lang w:eastAsia="fr-FR"/>
        </w:rPr>
        <w:t xml:space="preserve">production </w:t>
      </w:r>
      <w:r w:rsidR="000953A2">
        <w:rPr>
          <w:lang w:eastAsia="fr-FR"/>
        </w:rPr>
        <w:t>is</w:t>
      </w:r>
      <w:r w:rsidR="00EA7FD6" w:rsidRPr="1B76770D">
        <w:rPr>
          <w:lang w:eastAsia="fr-FR"/>
        </w:rPr>
        <w:t xml:space="preserve"> </w:t>
      </w:r>
      <w:r w:rsidR="00290A0E" w:rsidRPr="00FF0E6B">
        <w:rPr>
          <w:lang w:eastAsia="fr-FR"/>
        </w:rPr>
        <w:t>320</w:t>
      </w:r>
      <w:r w:rsidR="4B7B26E6" w:rsidRPr="00FF0E6B">
        <w:rPr>
          <w:lang w:eastAsia="fr-FR"/>
        </w:rPr>
        <w:t>-</w:t>
      </w:r>
      <w:r w:rsidR="00290A0E" w:rsidRPr="00FF0E6B">
        <w:rPr>
          <w:lang w:eastAsia="fr-FR"/>
        </w:rPr>
        <w:t>700</w:t>
      </w:r>
      <w:r w:rsidR="00EA7FD6" w:rsidRPr="00FF0E6B">
        <w:rPr>
          <w:lang w:eastAsia="fr-FR"/>
        </w:rPr>
        <w:t xml:space="preserve"> </w:t>
      </w:r>
      <w:proofErr w:type="spellStart"/>
      <w:r w:rsidR="00EA7FD6" w:rsidRPr="00FF0E6B">
        <w:rPr>
          <w:lang w:eastAsia="fr-FR"/>
        </w:rPr>
        <w:t>kilotonnes</w:t>
      </w:r>
      <w:proofErr w:type="spellEnd"/>
      <w:r w:rsidR="00953A24" w:rsidRPr="00953A24">
        <w:rPr>
          <w:lang w:eastAsia="fr-FR"/>
        </w:rPr>
        <w:t xml:space="preserve"> </w:t>
      </w:r>
      <w:r w:rsidR="00953A24">
        <w:rPr>
          <w:lang w:eastAsia="fr-FR"/>
        </w:rPr>
        <w:t>i</w:t>
      </w:r>
      <w:r w:rsidR="00953A24" w:rsidRPr="5694BFED">
        <w:rPr>
          <w:lang w:eastAsia="fr-FR"/>
        </w:rPr>
        <w:t>n the period 200</w:t>
      </w:r>
      <w:r w:rsidR="4B7B26E6" w:rsidRPr="4B7B26E6">
        <w:rPr>
          <w:lang w:eastAsia="fr-FR"/>
        </w:rPr>
        <w:t>7</w:t>
      </w:r>
      <w:r w:rsidR="00953A24" w:rsidRPr="5694BFED">
        <w:rPr>
          <w:lang w:eastAsia="fr-FR"/>
        </w:rPr>
        <w:t>-20</w:t>
      </w:r>
      <w:r w:rsidR="00924846">
        <w:rPr>
          <w:lang w:eastAsia="fr-FR"/>
        </w:rPr>
        <w:t>19</w:t>
      </w:r>
      <w:r w:rsidR="00EA7FD6" w:rsidRPr="64A31332">
        <w:rPr>
          <w:lang w:eastAsia="fr-FR"/>
        </w:rPr>
        <w:t>.</w:t>
      </w:r>
      <w:r w:rsidR="00597486">
        <w:rPr>
          <w:lang w:eastAsia="fr-FR"/>
        </w:rPr>
        <w:t xml:space="preserve"> </w:t>
      </w:r>
      <w:r w:rsidR="00FF0E6B">
        <w:rPr>
          <w:lang w:eastAsia="fr-FR"/>
        </w:rPr>
        <w:t xml:space="preserve">Assuming </w:t>
      </w:r>
      <w:r w:rsidR="00EC5ABA">
        <w:rPr>
          <w:lang w:eastAsia="fr-FR"/>
        </w:rPr>
        <w:lastRenderedPageBreak/>
        <w:t xml:space="preserve">usage in closed-cell foam production, </w:t>
      </w:r>
      <w:r w:rsidR="00EC5ABA">
        <w:t>this</w:t>
      </w:r>
      <w:r w:rsidR="00597486">
        <w:t xml:space="preserve"> cumulative unreported </w:t>
      </w:r>
      <w:r w:rsidR="00EC5ABA">
        <w:t xml:space="preserve">CFC-11 </w:t>
      </w:r>
      <w:r w:rsidR="00597486">
        <w:t xml:space="preserve">production </w:t>
      </w:r>
      <w:r w:rsidR="00EC5ABA">
        <w:t xml:space="preserve">would </w:t>
      </w:r>
      <w:r w:rsidR="00597486">
        <w:t xml:space="preserve">lead to an </w:t>
      </w:r>
      <w:r w:rsidR="00EC5ABA">
        <w:t xml:space="preserve">estimated </w:t>
      </w:r>
      <w:r w:rsidR="00597486">
        <w:t xml:space="preserve">increase in the magnitude of the CFC-11 bank of 300 (266-333) </w:t>
      </w:r>
      <w:proofErr w:type="spellStart"/>
      <w:r w:rsidR="00EC5ABA">
        <w:t>kilotonnes</w:t>
      </w:r>
      <w:proofErr w:type="spellEnd"/>
      <w:r w:rsidR="00EC5ABA">
        <w:t xml:space="preserve"> </w:t>
      </w:r>
      <w:r w:rsidR="00597486">
        <w:t xml:space="preserve">by the end of 2019. </w:t>
      </w:r>
    </w:p>
    <w:p w14:paraId="1FCF6EF6" w14:textId="6281D66D" w:rsidR="006D7396" w:rsidRPr="006D7396" w:rsidRDefault="006D7396" w:rsidP="006D7396">
      <w:pPr>
        <w:pStyle w:val="FigureandTableTitle"/>
      </w:pPr>
      <w:r w:rsidRPr="006D7396">
        <w:t>Figure 3.1</w:t>
      </w:r>
      <w:r w:rsidR="00FC2942">
        <w:tab/>
      </w:r>
      <w:r w:rsidR="003E62B1">
        <w:t>Atmospheric derived and e</w:t>
      </w:r>
      <w:r w:rsidR="000D4F9A">
        <w:t xml:space="preserve">stimated </w:t>
      </w:r>
      <w:r w:rsidR="0097547F">
        <w:t>inventory-based</w:t>
      </w:r>
      <w:r w:rsidR="000D4F9A">
        <w:t xml:space="preserve"> </w:t>
      </w:r>
      <w:r w:rsidR="00B25547">
        <w:t xml:space="preserve">CFC-11 </w:t>
      </w:r>
      <w:r w:rsidR="000D4F9A">
        <w:t>emissions</w:t>
      </w:r>
      <w:r w:rsidR="00981954">
        <w:t>,</w:t>
      </w:r>
      <w:r w:rsidR="000D4F9A">
        <w:t xml:space="preserve"> </w:t>
      </w:r>
      <w:r w:rsidR="00FB6E48">
        <w:t xml:space="preserve">including those from estimated unreported </w:t>
      </w:r>
      <w:r w:rsidR="00B25547">
        <w:t xml:space="preserve">CFC-11 </w:t>
      </w:r>
      <w:r w:rsidR="00FB6E48">
        <w:t>production</w:t>
      </w:r>
      <w:r w:rsidR="00786F94">
        <w:t xml:space="preserve"> </w:t>
      </w:r>
      <w:r w:rsidR="4B7B26E6">
        <w:t xml:space="preserve">between 2007-2019 </w:t>
      </w:r>
      <w:r w:rsidR="00786F94">
        <w:t>(</w:t>
      </w:r>
      <w:proofErr w:type="spellStart"/>
      <w:r w:rsidR="00786F94">
        <w:t>kilotonnes</w:t>
      </w:r>
      <w:proofErr w:type="spellEnd"/>
      <w:r w:rsidR="00786F94">
        <w:t>)</w:t>
      </w:r>
    </w:p>
    <w:p w14:paraId="1FA7E451" w14:textId="6D59DDC2" w:rsidR="1BDA59D7" w:rsidRDefault="1BDA59D7" w:rsidP="1BDA59D7">
      <w:pPr>
        <w:rPr>
          <w:color w:val="000000" w:themeColor="text1"/>
          <w:szCs w:val="22"/>
        </w:rPr>
      </w:pPr>
      <w:r>
        <w:rPr>
          <w:noProof/>
        </w:rPr>
        <w:drawing>
          <wp:inline distT="0" distB="0" distL="0" distR="0" wp14:anchorId="59FA1113" wp14:editId="2AA4B29D">
            <wp:extent cx="5132176" cy="3399832"/>
            <wp:effectExtent l="0" t="0" r="0" b="3810"/>
            <wp:docPr id="1551520404" name="Picture 155152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520404"/>
                    <pic:cNvPicPr/>
                  </pic:nvPicPr>
                  <pic:blipFill>
                    <a:blip r:embed="rId48">
                      <a:extLst>
                        <a:ext uri="{28A0092B-C50C-407E-A947-70E740481C1C}">
                          <a14:useLocalDpi xmlns:a14="http://schemas.microsoft.com/office/drawing/2010/main" val="0"/>
                        </a:ext>
                      </a:extLst>
                    </a:blip>
                    <a:stretch>
                      <a:fillRect/>
                    </a:stretch>
                  </pic:blipFill>
                  <pic:spPr>
                    <a:xfrm>
                      <a:off x="0" y="0"/>
                      <a:ext cx="5132176" cy="3399832"/>
                    </a:xfrm>
                    <a:prstGeom prst="rect">
                      <a:avLst/>
                    </a:prstGeom>
                  </pic:spPr>
                </pic:pic>
              </a:graphicData>
            </a:graphic>
          </wp:inline>
        </w:drawing>
      </w:r>
    </w:p>
    <w:p w14:paraId="2B30F55F" w14:textId="77777777" w:rsidR="00762799" w:rsidRDefault="00762799" w:rsidP="1BDA59D7">
      <w:pPr>
        <w:rPr>
          <w:color w:val="000000" w:themeColor="text1"/>
          <w:szCs w:val="22"/>
        </w:rPr>
      </w:pPr>
    </w:p>
    <w:p w14:paraId="039435F0" w14:textId="08D132B2" w:rsidR="00B46667" w:rsidRDefault="00B46667" w:rsidP="001E5A13">
      <w:pPr>
        <w:pStyle w:val="FigureandTableTitle"/>
      </w:pPr>
      <w:r>
        <w:lastRenderedPageBreak/>
        <w:t>Figure 3.2</w:t>
      </w:r>
      <w:r>
        <w:tab/>
      </w:r>
      <w:r w:rsidR="00B25547">
        <w:t xml:space="preserve">Estimated </w:t>
      </w:r>
      <w:r w:rsidR="00392CFA">
        <w:t>CFC-11 bank</w:t>
      </w:r>
      <w:r w:rsidR="00313385">
        <w:t>,</w:t>
      </w:r>
      <w:r w:rsidR="00331CD9">
        <w:t xml:space="preserve"> including</w:t>
      </w:r>
      <w:r w:rsidR="00616A2A">
        <w:t xml:space="preserve"> </w:t>
      </w:r>
      <w:r w:rsidR="00B27DBF">
        <w:t xml:space="preserve">contribution from estimated unreported </w:t>
      </w:r>
      <w:r w:rsidR="00B25547">
        <w:t xml:space="preserve">CFC-11 </w:t>
      </w:r>
      <w:r w:rsidR="00B27DBF">
        <w:t>production</w:t>
      </w:r>
      <w:r w:rsidR="00786F94">
        <w:t xml:space="preserve"> (</w:t>
      </w:r>
      <w:proofErr w:type="spellStart"/>
      <w:r w:rsidR="00786F94">
        <w:t>kilotonnes</w:t>
      </w:r>
      <w:proofErr w:type="spellEnd"/>
      <w:r w:rsidR="00786F94">
        <w:t>)</w:t>
      </w:r>
    </w:p>
    <w:p w14:paraId="111D01F7" w14:textId="177E5341" w:rsidR="7509A64B" w:rsidRDefault="7509A64B" w:rsidP="7509A64B">
      <w:pPr>
        <w:spacing w:line="259" w:lineRule="auto"/>
        <w:rPr>
          <w:color w:val="000000" w:themeColor="text1"/>
          <w:szCs w:val="22"/>
        </w:rPr>
      </w:pPr>
      <w:r>
        <w:rPr>
          <w:noProof/>
        </w:rPr>
        <w:drawing>
          <wp:inline distT="0" distB="0" distL="0" distR="0" wp14:anchorId="050CBD4C" wp14:editId="2957F4F1">
            <wp:extent cx="5083218" cy="3385752"/>
            <wp:effectExtent l="0" t="0" r="0" b="5715"/>
            <wp:docPr id="1637325993" name="Picture 1637325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325993"/>
                    <pic:cNvPicPr/>
                  </pic:nvPicPr>
                  <pic:blipFill>
                    <a:blip r:embed="rId49">
                      <a:extLst>
                        <a:ext uri="{28A0092B-C50C-407E-A947-70E740481C1C}">
                          <a14:useLocalDpi xmlns:a14="http://schemas.microsoft.com/office/drawing/2010/main" val="0"/>
                        </a:ext>
                      </a:extLst>
                    </a:blip>
                    <a:stretch>
                      <a:fillRect/>
                    </a:stretch>
                  </pic:blipFill>
                  <pic:spPr>
                    <a:xfrm>
                      <a:off x="0" y="0"/>
                      <a:ext cx="5083218" cy="3385752"/>
                    </a:xfrm>
                    <a:prstGeom prst="rect">
                      <a:avLst/>
                    </a:prstGeom>
                  </pic:spPr>
                </pic:pic>
              </a:graphicData>
            </a:graphic>
          </wp:inline>
        </w:drawing>
      </w:r>
    </w:p>
    <w:p w14:paraId="644CAEB7" w14:textId="77777777" w:rsidR="00964307" w:rsidRDefault="00964307" w:rsidP="7509A64B">
      <w:pPr>
        <w:spacing w:line="259" w:lineRule="auto"/>
        <w:rPr>
          <w:color w:val="000000" w:themeColor="text1"/>
          <w:szCs w:val="22"/>
        </w:rPr>
      </w:pPr>
    </w:p>
    <w:p w14:paraId="3FC89724" w14:textId="07409A1E" w:rsidR="00686ED3" w:rsidRDefault="00186FDC" w:rsidP="00751ECE">
      <w:pPr>
        <w:pStyle w:val="Heading2"/>
      </w:pPr>
      <w:bookmarkStart w:id="154" w:name="_Toc73045611"/>
      <w:r>
        <w:t>3.2</w:t>
      </w:r>
      <w:r>
        <w:tab/>
      </w:r>
      <w:r w:rsidR="00511E6D">
        <w:t xml:space="preserve">Updates to </w:t>
      </w:r>
      <w:r w:rsidR="00716BF4">
        <w:t>the possible fate of any co-produced CFC-12</w:t>
      </w:r>
      <w:bookmarkEnd w:id="154"/>
    </w:p>
    <w:p w14:paraId="6A38ECE5" w14:textId="1B69EBA4" w:rsidR="007D48A8" w:rsidRDefault="007D48A8" w:rsidP="007D48A8">
      <w:r w:rsidRPr="007D48A8">
        <w:t>The quantity of CFC-12 co-produced with CFC-11 is dependent on the production route chosen, and how the plant is set up and operated. With CFC-11 as the target chemical, the range of CFC-12 co-production is up to 30% of total CFC-11/12 production for the most likely production routes.</w:t>
      </w:r>
      <w:r w:rsidR="005E317F">
        <w:t xml:space="preserve"> </w:t>
      </w:r>
    </w:p>
    <w:p w14:paraId="6461192E" w14:textId="7482EA70" w:rsidR="006A2201" w:rsidRDefault="006A2201" w:rsidP="007D48A8">
      <w:r>
        <w:t>According to the SAP Report</w:t>
      </w:r>
      <w:r w:rsidR="00586959">
        <w:rPr>
          <w:rStyle w:val="FootnoteReference"/>
        </w:rPr>
        <w:footnoteReference w:id="76"/>
      </w:r>
      <w:r w:rsidR="00586959">
        <w:t>,</w:t>
      </w:r>
      <w:r>
        <w:t xml:space="preserve"> understanding of the expected decline in global CFC-12 emission in recent years has substantial uncertainties, making </w:t>
      </w:r>
      <w:r w:rsidR="00B9591D">
        <w:t xml:space="preserve">an </w:t>
      </w:r>
      <w:r>
        <w:t xml:space="preserve">assessment of observationally derived emission changes relative to expectations difficult. However, the </w:t>
      </w:r>
      <w:r w:rsidR="00E95459">
        <w:t>rate of decline</w:t>
      </w:r>
      <w:r w:rsidR="00B66A43">
        <w:t xml:space="preserve"> of global derived atmospheric emissions of CFC-12</w:t>
      </w:r>
      <w:r w:rsidR="006A64FE">
        <w:t xml:space="preserve"> in the 2010 to 2017 period</w:t>
      </w:r>
      <w:r w:rsidR="00F06F99">
        <w:t xml:space="preserve"> (indicative of increased CFC-12 emissions)</w:t>
      </w:r>
      <w:r w:rsidR="00B6109B">
        <w:t>,</w:t>
      </w:r>
      <w:r w:rsidR="006A64FE">
        <w:t xml:space="preserve"> the subsequent ind</w:t>
      </w:r>
      <w:r w:rsidR="00B6109B">
        <w:t>ic</w:t>
      </w:r>
      <w:r w:rsidR="006A64FE">
        <w:t>ated</w:t>
      </w:r>
      <w:r>
        <w:t xml:space="preserve"> significant reduction in </w:t>
      </w:r>
      <w:r w:rsidR="004823B7">
        <w:t xml:space="preserve">global </w:t>
      </w:r>
      <w:r>
        <w:t xml:space="preserve">CFC-12 emissions </w:t>
      </w:r>
      <w:r w:rsidR="00425B61">
        <w:t>in 2019</w:t>
      </w:r>
      <w:r w:rsidR="00B6109B">
        <w:t>,</w:t>
      </w:r>
      <w:r w:rsidR="00425B61">
        <w:t xml:space="preserve"> </w:t>
      </w:r>
      <w:r>
        <w:t xml:space="preserve">and the geographic </w:t>
      </w:r>
      <w:r w:rsidR="004823B7">
        <w:t xml:space="preserve">origin </w:t>
      </w:r>
      <w:r>
        <w:t>of the changes</w:t>
      </w:r>
      <w:r w:rsidR="00B6109B">
        <w:t>,</w:t>
      </w:r>
      <w:r>
        <w:t xml:space="preserve"> </w:t>
      </w:r>
      <w:r w:rsidR="00232DDF">
        <w:t xml:space="preserve">together </w:t>
      </w:r>
      <w:r>
        <w:t xml:space="preserve">suggest that the </w:t>
      </w:r>
      <w:r w:rsidR="00F06F99">
        <w:t xml:space="preserve">CFC-12 </w:t>
      </w:r>
      <w:r>
        <w:t>emission</w:t>
      </w:r>
      <w:r w:rsidR="002C2D90">
        <w:t xml:space="preserve"> change</w:t>
      </w:r>
      <w:r>
        <w:t xml:space="preserve">s may be associated with </w:t>
      </w:r>
      <w:r w:rsidR="00F851BC">
        <w:t>unrep</w:t>
      </w:r>
      <w:r w:rsidR="00714D97">
        <w:t>orted</w:t>
      </w:r>
      <w:r w:rsidR="009250CC">
        <w:t xml:space="preserve"> </w:t>
      </w:r>
      <w:r>
        <w:t>production of CFC-11.</w:t>
      </w:r>
    </w:p>
    <w:p w14:paraId="575B35E8" w14:textId="41A27DF0" w:rsidR="006A2201" w:rsidRDefault="006A2201" w:rsidP="006A2201">
      <w:r>
        <w:t xml:space="preserve">The </w:t>
      </w:r>
      <w:r w:rsidR="000859C7">
        <w:t xml:space="preserve">2019 </w:t>
      </w:r>
      <w:r>
        <w:t>Task Force Report (September 2019, page 95) concluded that</w:t>
      </w:r>
      <w:r w:rsidR="002A761C">
        <w:t>,</w:t>
      </w:r>
      <w:r>
        <w:t xml:space="preserve"> </w:t>
      </w:r>
      <w:r w:rsidR="002A761C">
        <w:t>“</w:t>
      </w:r>
      <w:r w:rsidR="002A761C" w:rsidRPr="00103940">
        <w:rPr>
          <w:i/>
          <w:iCs/>
        </w:rPr>
        <w:t>I</w:t>
      </w:r>
      <w:r w:rsidRPr="00103940">
        <w:rPr>
          <w:i/>
          <w:iCs/>
        </w:rPr>
        <w:t>t is unlikely that there is a significant resumption of CFC-12 usage in any R/AC sub-sector in both non-Article 5 and Article 5 parties. This implies that no significant new CFC-12 production would be needed for all R/AC sub-sector uses, and that this would not be the reason for possible CFC-</w:t>
      </w:r>
      <w:r w:rsidRPr="00103940">
        <w:rPr>
          <w:i/>
          <w:iCs/>
        </w:rPr>
        <w:lastRenderedPageBreak/>
        <w:t>11 co-production.</w:t>
      </w:r>
      <w:r w:rsidR="00103940">
        <w:t>”</w:t>
      </w:r>
      <w:r>
        <w:t xml:space="preserve"> </w:t>
      </w:r>
      <w:r w:rsidR="006A519E">
        <w:t>T</w:t>
      </w:r>
      <w:r w:rsidR="008B6920">
        <w:t xml:space="preserve">here are no </w:t>
      </w:r>
      <w:r w:rsidR="006A519E">
        <w:t xml:space="preserve">technical </w:t>
      </w:r>
      <w:r w:rsidR="009D2952">
        <w:t xml:space="preserve">reasons to believe that this conclusion </w:t>
      </w:r>
      <w:r w:rsidR="006A519E">
        <w:t>has</w:t>
      </w:r>
      <w:r w:rsidR="009D2952">
        <w:t xml:space="preserve"> changed</w:t>
      </w:r>
      <w:r w:rsidR="006A519E">
        <w:t>;</w:t>
      </w:r>
      <w:r w:rsidR="009D2952">
        <w:t xml:space="preserve"> </w:t>
      </w:r>
      <w:r>
        <w:t>any additional unexpected emissions of CFC-12</w:t>
      </w:r>
      <w:r w:rsidR="0044741C">
        <w:rPr>
          <w:rStyle w:val="FootnoteReference"/>
        </w:rPr>
        <w:footnoteReference w:id="77"/>
      </w:r>
      <w:r>
        <w:t xml:space="preserve"> </w:t>
      </w:r>
      <w:r w:rsidR="001102E4">
        <w:t>are</w:t>
      </w:r>
      <w:r>
        <w:t xml:space="preserve"> likely to be </w:t>
      </w:r>
      <w:r w:rsidR="005E6B25">
        <w:t xml:space="preserve">as </w:t>
      </w:r>
      <w:r w:rsidR="00572C4E">
        <w:t xml:space="preserve">a co-product </w:t>
      </w:r>
      <w:r>
        <w:t xml:space="preserve">associated with the production of CFC-11, rather than from </w:t>
      </w:r>
      <w:r w:rsidR="005E6B25">
        <w:t>any</w:t>
      </w:r>
      <w:r>
        <w:t xml:space="preserve"> </w:t>
      </w:r>
      <w:r w:rsidR="001B0513">
        <w:t xml:space="preserve">specific production initiated to supply </w:t>
      </w:r>
      <w:r>
        <w:t xml:space="preserve">CFC-12 in </w:t>
      </w:r>
      <w:r w:rsidR="00A934C5">
        <w:t xml:space="preserve">its own </w:t>
      </w:r>
      <w:r>
        <w:t>applications.</w:t>
      </w:r>
    </w:p>
    <w:p w14:paraId="69BFAB08" w14:textId="456C9C65" w:rsidR="00186FDC" w:rsidRDefault="00716BF4" w:rsidP="00751ECE">
      <w:pPr>
        <w:pStyle w:val="Heading2"/>
      </w:pPr>
      <w:bookmarkStart w:id="155" w:name="_Toc73045612"/>
      <w:r>
        <w:t>3.3</w:t>
      </w:r>
      <w:r>
        <w:tab/>
      </w:r>
      <w:r w:rsidR="00186FDC">
        <w:t>Linkages between</w:t>
      </w:r>
      <w:r w:rsidR="001C76F9">
        <w:t xml:space="preserve"> production of anhydrous hydrogen fluoride</w:t>
      </w:r>
      <w:r w:rsidR="00731DA4">
        <w:t xml:space="preserve"> and carbon tetrachloride and unexpected emissions of CFC-11</w:t>
      </w:r>
      <w:bookmarkEnd w:id="155"/>
    </w:p>
    <w:p w14:paraId="54BBC0BC" w14:textId="2786A904" w:rsidR="00B25CFF" w:rsidRPr="00B25CFF" w:rsidRDefault="00B25CFF" w:rsidP="00B25CFF">
      <w:pPr>
        <w:rPr>
          <w:lang w:val="en-US" w:eastAsia="fr-FR"/>
        </w:rPr>
      </w:pPr>
      <w:r w:rsidRPr="00B25CFF">
        <w:rPr>
          <w:lang w:val="en-US" w:eastAsia="fr-FR"/>
        </w:rPr>
        <w:t xml:space="preserve">There are direct linkages between </w:t>
      </w:r>
      <w:r w:rsidR="00772E1D">
        <w:rPr>
          <w:lang w:val="en-US" w:eastAsia="fr-FR"/>
        </w:rPr>
        <w:t>unreported</w:t>
      </w:r>
      <w:r w:rsidRPr="00B25CFF">
        <w:rPr>
          <w:lang w:val="en-US" w:eastAsia="fr-FR"/>
        </w:rPr>
        <w:t xml:space="preserve"> CFC-11 (CCl</w:t>
      </w:r>
      <w:r w:rsidRPr="00E33C9D">
        <w:rPr>
          <w:vertAlign w:val="subscript"/>
          <w:lang w:val="en-US" w:eastAsia="fr-FR"/>
        </w:rPr>
        <w:t>3</w:t>
      </w:r>
      <w:r w:rsidRPr="00B25CFF">
        <w:rPr>
          <w:lang w:val="en-US" w:eastAsia="fr-FR"/>
        </w:rPr>
        <w:t xml:space="preserve">F) production, </w:t>
      </w:r>
      <w:r w:rsidR="00DB0D4E">
        <w:rPr>
          <w:lang w:val="en-US" w:eastAsia="fr-FR"/>
        </w:rPr>
        <w:t xml:space="preserve">associated </w:t>
      </w:r>
      <w:r w:rsidRPr="00B25CFF">
        <w:rPr>
          <w:lang w:val="en-US" w:eastAsia="fr-FR"/>
        </w:rPr>
        <w:t xml:space="preserve">unexpected </w:t>
      </w:r>
      <w:r w:rsidR="00DB0D4E">
        <w:rPr>
          <w:lang w:val="en-US" w:eastAsia="fr-FR"/>
        </w:rPr>
        <w:t xml:space="preserve">CFC-11 </w:t>
      </w:r>
      <w:r w:rsidRPr="00B25CFF">
        <w:rPr>
          <w:lang w:val="en-US" w:eastAsia="fr-FR"/>
        </w:rPr>
        <w:t xml:space="preserve">emissions, </w:t>
      </w:r>
      <w:r w:rsidR="00055C7F">
        <w:rPr>
          <w:lang w:val="en-US" w:eastAsia="fr-FR"/>
        </w:rPr>
        <w:t xml:space="preserve">and the production of </w:t>
      </w:r>
      <w:r w:rsidRPr="00B25CFF">
        <w:rPr>
          <w:lang w:val="en-US" w:eastAsia="fr-FR"/>
        </w:rPr>
        <w:t>anhydrous hydrogen fluoride (HF) and carbon tetrachloride (CTC</w:t>
      </w:r>
      <w:r w:rsidR="000E3AB9">
        <w:rPr>
          <w:lang w:val="en-US" w:eastAsia="fr-FR"/>
        </w:rPr>
        <w:t xml:space="preserve"> or CCl</w:t>
      </w:r>
      <w:r w:rsidR="000E3AB9" w:rsidRPr="000E3AB9">
        <w:rPr>
          <w:vertAlign w:val="subscript"/>
          <w:lang w:val="en-US" w:eastAsia="fr-FR"/>
        </w:rPr>
        <w:t>4</w:t>
      </w:r>
      <w:r w:rsidRPr="00B25CFF">
        <w:rPr>
          <w:lang w:val="en-US" w:eastAsia="fr-FR"/>
        </w:rPr>
        <w:t>)</w:t>
      </w:r>
      <w:r w:rsidR="00055C7F">
        <w:rPr>
          <w:lang w:val="en-US" w:eastAsia="fr-FR"/>
        </w:rPr>
        <w:t>,</w:t>
      </w:r>
      <w:r w:rsidRPr="00B25CFF">
        <w:rPr>
          <w:lang w:val="en-US" w:eastAsia="fr-FR"/>
        </w:rPr>
        <w:t xml:space="preserve"> based on the normal and most likely </w:t>
      </w:r>
      <w:r w:rsidR="00AB2D7B">
        <w:rPr>
          <w:lang w:val="en-US" w:eastAsia="fr-FR"/>
        </w:rPr>
        <w:t xml:space="preserve">chemical </w:t>
      </w:r>
      <w:r w:rsidRPr="00B25CFF">
        <w:rPr>
          <w:lang w:val="en-US" w:eastAsia="fr-FR"/>
        </w:rPr>
        <w:t>production route</w:t>
      </w:r>
      <w:r w:rsidR="00054F32">
        <w:rPr>
          <w:lang w:val="en-US" w:eastAsia="fr-FR"/>
        </w:rPr>
        <w:t xml:space="preserve"> and its associated chemistry</w:t>
      </w:r>
      <w:r w:rsidRPr="00B25CFF">
        <w:rPr>
          <w:lang w:val="en-US" w:eastAsia="fr-FR"/>
        </w:rPr>
        <w:t>. The</w:t>
      </w:r>
      <w:r w:rsidR="00AB2D7B">
        <w:rPr>
          <w:lang w:val="en-US" w:eastAsia="fr-FR"/>
        </w:rPr>
        <w:t>se</w:t>
      </w:r>
      <w:r w:rsidRPr="00B25CFF">
        <w:rPr>
          <w:lang w:val="en-US" w:eastAsia="fr-FR"/>
        </w:rPr>
        <w:t xml:space="preserve"> linkages can be </w:t>
      </w:r>
      <w:proofErr w:type="spellStart"/>
      <w:r w:rsidRPr="00B25CFF">
        <w:rPr>
          <w:lang w:val="en-US" w:eastAsia="fr-FR"/>
        </w:rPr>
        <w:t>summarised</w:t>
      </w:r>
      <w:proofErr w:type="spellEnd"/>
      <w:r w:rsidRPr="00B25CFF">
        <w:rPr>
          <w:lang w:val="en-US" w:eastAsia="fr-FR"/>
        </w:rPr>
        <w:t xml:space="preserve"> in the following chemical equation</w:t>
      </w:r>
      <w:r w:rsidR="00552756">
        <w:rPr>
          <w:lang w:val="en-US" w:eastAsia="fr-FR"/>
        </w:rPr>
        <w:t xml:space="preserve"> (</w:t>
      </w:r>
      <w:r w:rsidR="00A62889">
        <w:rPr>
          <w:lang w:val="en-US" w:eastAsia="fr-FR"/>
        </w:rPr>
        <w:t xml:space="preserve">where HCl is </w:t>
      </w:r>
      <w:r w:rsidR="00552756">
        <w:rPr>
          <w:lang w:val="en-US" w:eastAsia="fr-FR"/>
        </w:rPr>
        <w:t>hydrogen chloride</w:t>
      </w:r>
      <w:r w:rsidR="00A62889">
        <w:rPr>
          <w:lang w:val="en-US" w:eastAsia="fr-FR"/>
        </w:rPr>
        <w:t>):</w:t>
      </w:r>
    </w:p>
    <w:p w14:paraId="41DDD01A" w14:textId="77777777" w:rsidR="00B25CFF" w:rsidRPr="00B25CFF" w:rsidRDefault="00B25CFF" w:rsidP="00E33C9D">
      <w:pPr>
        <w:jc w:val="center"/>
        <w:rPr>
          <w:lang w:val="en-US" w:eastAsia="fr-FR"/>
        </w:rPr>
      </w:pPr>
      <w:r w:rsidRPr="00B25CFF">
        <w:rPr>
          <w:lang w:val="en-US" w:eastAsia="fr-FR"/>
        </w:rPr>
        <w:t>CCl</w:t>
      </w:r>
      <w:r w:rsidRPr="00E33C9D">
        <w:rPr>
          <w:vertAlign w:val="subscript"/>
          <w:lang w:val="en-US" w:eastAsia="fr-FR"/>
        </w:rPr>
        <w:t>4</w:t>
      </w:r>
      <w:r w:rsidRPr="00B25CFF">
        <w:rPr>
          <w:lang w:val="en-US" w:eastAsia="fr-FR"/>
        </w:rPr>
        <w:t xml:space="preserve"> + HF    -&gt;    CCl</w:t>
      </w:r>
      <w:r w:rsidRPr="00E33C9D">
        <w:rPr>
          <w:vertAlign w:val="subscript"/>
          <w:lang w:val="en-US" w:eastAsia="fr-FR"/>
        </w:rPr>
        <w:t>3</w:t>
      </w:r>
      <w:r w:rsidRPr="00B25CFF">
        <w:rPr>
          <w:lang w:val="en-US" w:eastAsia="fr-FR"/>
        </w:rPr>
        <w:t>F + HCl</w:t>
      </w:r>
    </w:p>
    <w:p w14:paraId="75854D2F" w14:textId="17D99915" w:rsidR="00B25CFF" w:rsidRPr="00B25CFF" w:rsidRDefault="00B25CFF" w:rsidP="00B25CFF">
      <w:pPr>
        <w:rPr>
          <w:lang w:val="en-US" w:eastAsia="fr-FR"/>
        </w:rPr>
      </w:pPr>
      <w:r w:rsidRPr="00B25CFF">
        <w:rPr>
          <w:lang w:val="en-US" w:eastAsia="fr-FR"/>
        </w:rPr>
        <w:t xml:space="preserve">However, there are important differences between </w:t>
      </w:r>
      <w:r w:rsidR="00276CF9">
        <w:rPr>
          <w:lang w:val="en-US" w:eastAsia="fr-FR"/>
        </w:rPr>
        <w:t xml:space="preserve">the </w:t>
      </w:r>
      <w:r w:rsidRPr="00B25CFF">
        <w:rPr>
          <w:lang w:val="en-US" w:eastAsia="fr-FR"/>
        </w:rPr>
        <w:t>HF and CTC</w:t>
      </w:r>
      <w:r w:rsidR="00276CF9">
        <w:rPr>
          <w:lang w:val="en-US" w:eastAsia="fr-FR"/>
        </w:rPr>
        <w:t xml:space="preserve"> production</w:t>
      </w:r>
      <w:r w:rsidRPr="00B25CFF">
        <w:rPr>
          <w:lang w:val="en-US" w:eastAsia="fr-FR"/>
        </w:rPr>
        <w:t xml:space="preserve"> </w:t>
      </w:r>
      <w:r w:rsidR="00560F8A">
        <w:rPr>
          <w:lang w:val="en-US" w:eastAsia="fr-FR"/>
        </w:rPr>
        <w:t xml:space="preserve">linkages </w:t>
      </w:r>
      <w:r w:rsidR="0054645C">
        <w:rPr>
          <w:lang w:val="en-US" w:eastAsia="fr-FR"/>
        </w:rPr>
        <w:t>with</w:t>
      </w:r>
      <w:r w:rsidR="0054645C" w:rsidRPr="00B25CFF">
        <w:rPr>
          <w:lang w:val="en-US" w:eastAsia="fr-FR"/>
        </w:rPr>
        <w:t xml:space="preserve"> </w:t>
      </w:r>
      <w:r w:rsidRPr="00B25CFF">
        <w:rPr>
          <w:lang w:val="en-US" w:eastAsia="fr-FR"/>
        </w:rPr>
        <w:t xml:space="preserve">CFC-11 production. </w:t>
      </w:r>
    </w:p>
    <w:p w14:paraId="15EEF8D1" w14:textId="38DC84A8" w:rsidR="00B25CFF" w:rsidRPr="00591E7A" w:rsidRDefault="00B25CFF" w:rsidP="00B25CFF">
      <w:pPr>
        <w:rPr>
          <w:lang w:eastAsia="fr-FR"/>
        </w:rPr>
      </w:pPr>
      <w:r w:rsidRPr="000E3AB9">
        <w:rPr>
          <w:b/>
          <w:bCs/>
          <w:i/>
          <w:iCs/>
          <w:lang w:val="en-US" w:eastAsia="fr-FR"/>
        </w:rPr>
        <w:t>Regulation</w:t>
      </w:r>
      <w:r w:rsidRPr="00B25CFF">
        <w:rPr>
          <w:lang w:val="en-US" w:eastAsia="fr-FR"/>
        </w:rPr>
        <w:t>: Anhydrous hydrogen fluoride is not a heavily regulated substance</w:t>
      </w:r>
      <w:r w:rsidR="000F10E4">
        <w:rPr>
          <w:lang w:val="en-US" w:eastAsia="fr-FR"/>
        </w:rPr>
        <w:t>;</w:t>
      </w:r>
      <w:r w:rsidR="00D0291B">
        <w:rPr>
          <w:lang w:val="en-US" w:eastAsia="fr-FR"/>
        </w:rPr>
        <w:t xml:space="preserve"> </w:t>
      </w:r>
      <w:r w:rsidR="000F10E4">
        <w:rPr>
          <w:lang w:val="en-US" w:eastAsia="fr-FR"/>
        </w:rPr>
        <w:t>it</w:t>
      </w:r>
      <w:r w:rsidRPr="00B25CFF">
        <w:rPr>
          <w:lang w:val="en-US" w:eastAsia="fr-FR"/>
        </w:rPr>
        <w:t xml:space="preserve"> </w:t>
      </w:r>
      <w:r w:rsidR="00EA3382">
        <w:rPr>
          <w:lang w:val="en-US" w:eastAsia="fr-FR"/>
        </w:rPr>
        <w:t>lack</w:t>
      </w:r>
      <w:r w:rsidR="00D0291B">
        <w:rPr>
          <w:lang w:val="en-US" w:eastAsia="fr-FR"/>
        </w:rPr>
        <w:t>s</w:t>
      </w:r>
      <w:r w:rsidR="00EA3382">
        <w:rPr>
          <w:lang w:val="en-US" w:eastAsia="fr-FR"/>
        </w:rPr>
        <w:t xml:space="preserve"> </w:t>
      </w:r>
      <w:r w:rsidRPr="00B25CFF">
        <w:rPr>
          <w:lang w:val="en-US" w:eastAsia="fr-FR"/>
        </w:rPr>
        <w:t>formal international reporting requirements for production or consumption. CTC is an ODS</w:t>
      </w:r>
      <w:r w:rsidR="00796A28">
        <w:rPr>
          <w:lang w:val="en-US" w:eastAsia="fr-FR"/>
        </w:rPr>
        <w:t>, with</w:t>
      </w:r>
      <w:r w:rsidRPr="00B25CFF">
        <w:rPr>
          <w:lang w:val="en-US" w:eastAsia="fr-FR"/>
        </w:rPr>
        <w:t xml:space="preserve"> its production strictly controlled globally </w:t>
      </w:r>
      <w:r w:rsidR="00796A28">
        <w:rPr>
          <w:lang w:val="en-US" w:eastAsia="fr-FR"/>
        </w:rPr>
        <w:t>and</w:t>
      </w:r>
      <w:r w:rsidRPr="00B25CFF">
        <w:rPr>
          <w:lang w:val="en-US" w:eastAsia="fr-FR"/>
        </w:rPr>
        <w:t xml:space="preserve"> virtually all </w:t>
      </w:r>
      <w:r w:rsidR="00796A28">
        <w:rPr>
          <w:lang w:val="en-US" w:eastAsia="fr-FR"/>
        </w:rPr>
        <w:t xml:space="preserve">CTC </w:t>
      </w:r>
      <w:r w:rsidR="00AB56DF">
        <w:rPr>
          <w:lang w:val="en-US" w:eastAsia="fr-FR"/>
        </w:rPr>
        <w:t xml:space="preserve">is </w:t>
      </w:r>
      <w:r w:rsidRPr="00B25CFF">
        <w:rPr>
          <w:lang w:val="en-US" w:eastAsia="fr-FR"/>
        </w:rPr>
        <w:t>used as feedstock.</w:t>
      </w:r>
    </w:p>
    <w:p w14:paraId="0BCC1D68" w14:textId="0997246A" w:rsidR="00B25CFF" w:rsidRPr="00B25CFF" w:rsidRDefault="00B25CFF" w:rsidP="00B25CFF">
      <w:pPr>
        <w:rPr>
          <w:lang w:val="en-US" w:eastAsia="fr-FR"/>
        </w:rPr>
      </w:pPr>
      <w:r w:rsidRPr="000E3AB9">
        <w:rPr>
          <w:b/>
          <w:bCs/>
          <w:i/>
          <w:iCs/>
          <w:lang w:val="en-US" w:eastAsia="fr-FR"/>
        </w:rPr>
        <w:t>Production volume</w:t>
      </w:r>
      <w:r w:rsidRPr="00B25CFF">
        <w:rPr>
          <w:lang w:val="en-US" w:eastAsia="fr-FR"/>
        </w:rPr>
        <w:t xml:space="preserve">: The estimated HF demand for </w:t>
      </w:r>
      <w:r w:rsidR="00C30B2D">
        <w:rPr>
          <w:lang w:val="en-US" w:eastAsia="fr-FR"/>
        </w:rPr>
        <w:t>unreported</w:t>
      </w:r>
      <w:r w:rsidRPr="00B25CFF">
        <w:rPr>
          <w:lang w:val="en-US" w:eastAsia="fr-FR"/>
        </w:rPr>
        <w:t xml:space="preserve"> </w:t>
      </w:r>
      <w:r w:rsidR="00E210A7">
        <w:rPr>
          <w:lang w:val="en-US" w:eastAsia="fr-FR"/>
        </w:rPr>
        <w:t>CFC-11</w:t>
      </w:r>
      <w:r w:rsidRPr="00B25CFF">
        <w:rPr>
          <w:lang w:val="en-US" w:eastAsia="fr-FR"/>
        </w:rPr>
        <w:t xml:space="preserve"> production </w:t>
      </w:r>
      <w:r w:rsidR="00876898">
        <w:rPr>
          <w:lang w:val="en-US" w:eastAsia="fr-FR"/>
        </w:rPr>
        <w:t>would be</w:t>
      </w:r>
      <w:r w:rsidRPr="00B25CFF">
        <w:rPr>
          <w:lang w:val="en-US" w:eastAsia="fr-FR"/>
        </w:rPr>
        <w:t xml:space="preserve"> only a small fraction (less than 1 %) of the global HF production. In contrast, </w:t>
      </w:r>
      <w:r w:rsidR="00B15A65" w:rsidRPr="00B15A65">
        <w:rPr>
          <w:lang w:val="en-US" w:eastAsia="fr-FR"/>
        </w:rPr>
        <w:t>a large fraction of CTC production would be needed to supply the unreported CFC-11 production</w:t>
      </w:r>
      <w:r w:rsidR="00B15A65">
        <w:rPr>
          <w:lang w:val="en-US" w:eastAsia="fr-FR"/>
        </w:rPr>
        <w:t xml:space="preserve">, e.g., </w:t>
      </w:r>
      <w:r w:rsidRPr="00B25CFF">
        <w:rPr>
          <w:lang w:val="en-US" w:eastAsia="fr-FR"/>
        </w:rPr>
        <w:t xml:space="preserve">for CTC a quantity equivalent to about 20% to 50% of the 2016 reported CTC production for feedstock use is estimated to be required for </w:t>
      </w:r>
      <w:r w:rsidR="0031202C">
        <w:rPr>
          <w:lang w:val="en-US" w:eastAsia="fr-FR"/>
        </w:rPr>
        <w:t>unreported</w:t>
      </w:r>
      <w:r w:rsidRPr="00B25CFF">
        <w:rPr>
          <w:lang w:val="en-US" w:eastAsia="fr-FR"/>
        </w:rPr>
        <w:t xml:space="preserve"> CFC-11 production. </w:t>
      </w:r>
    </w:p>
    <w:p w14:paraId="3090CA17" w14:textId="5509E31D" w:rsidR="00B25CFF" w:rsidRPr="00B25CFF" w:rsidRDefault="00B25CFF" w:rsidP="00B25CFF">
      <w:pPr>
        <w:rPr>
          <w:lang w:val="en-US" w:eastAsia="fr-FR"/>
        </w:rPr>
      </w:pPr>
      <w:r w:rsidRPr="000E3AB9">
        <w:rPr>
          <w:b/>
          <w:bCs/>
          <w:i/>
          <w:iCs/>
          <w:lang w:val="en-US" w:eastAsia="fr-FR"/>
        </w:rPr>
        <w:t>Use patterns</w:t>
      </w:r>
      <w:r w:rsidRPr="00B25CFF">
        <w:rPr>
          <w:lang w:val="en-US" w:eastAsia="fr-FR"/>
        </w:rPr>
        <w:t xml:space="preserve">: Anhydrous HF is an essential raw material for all fluorocarbons, fluoropolymers, </w:t>
      </w:r>
      <w:r w:rsidRPr="003C5B37">
        <w:rPr>
          <w:lang w:eastAsia="fr-FR"/>
        </w:rPr>
        <w:t>aluminium</w:t>
      </w:r>
      <w:r w:rsidRPr="00B25CFF">
        <w:rPr>
          <w:lang w:val="en-US" w:eastAsia="fr-FR"/>
        </w:rPr>
        <w:t xml:space="preserve"> trifluoride</w:t>
      </w:r>
      <w:r w:rsidR="00C83901">
        <w:rPr>
          <w:lang w:val="en-US" w:eastAsia="fr-FR"/>
        </w:rPr>
        <w:t>,</w:t>
      </w:r>
      <w:r w:rsidRPr="00B25CFF">
        <w:rPr>
          <w:lang w:val="en-US" w:eastAsia="fr-FR"/>
        </w:rPr>
        <w:t xml:space="preserve"> and virtually all synthetic substances containing fluorine. Carbon tetrachloride has </w:t>
      </w:r>
      <w:r w:rsidR="00B8738D">
        <w:rPr>
          <w:lang w:val="en-US" w:eastAsia="fr-FR"/>
        </w:rPr>
        <w:t>more limited</w:t>
      </w:r>
      <w:r w:rsidRPr="00B25CFF">
        <w:rPr>
          <w:lang w:val="en-US" w:eastAsia="fr-FR"/>
        </w:rPr>
        <w:t xml:space="preserve"> pattern</w:t>
      </w:r>
      <w:r w:rsidR="00B8738D">
        <w:rPr>
          <w:lang w:val="en-US" w:eastAsia="fr-FR"/>
        </w:rPr>
        <w:t>s of use</w:t>
      </w:r>
      <w:r w:rsidRPr="00B25CFF">
        <w:rPr>
          <w:lang w:val="en-US" w:eastAsia="fr-FR"/>
        </w:rPr>
        <w:t xml:space="preserve"> as a feedstock for HFC and HFO production and a range of other substances</w:t>
      </w:r>
      <w:r w:rsidR="00C92E4D">
        <w:rPr>
          <w:rStyle w:val="FootnoteReference"/>
        </w:rPr>
        <w:footnoteReference w:id="78"/>
      </w:r>
      <w:r w:rsidRPr="00B25CFF">
        <w:rPr>
          <w:lang w:val="en-US" w:eastAsia="fr-FR"/>
        </w:rPr>
        <w:t xml:space="preserve">. </w:t>
      </w:r>
    </w:p>
    <w:p w14:paraId="26F83FD2" w14:textId="065CAB7C" w:rsidR="00186FDC" w:rsidRDefault="00B25CFF" w:rsidP="00B25CFF">
      <w:pPr>
        <w:rPr>
          <w:lang w:val="en-US" w:eastAsia="fr-FR"/>
        </w:rPr>
      </w:pPr>
      <w:r w:rsidRPr="00B25CFF">
        <w:rPr>
          <w:lang w:val="en-US" w:eastAsia="fr-FR"/>
        </w:rPr>
        <w:t xml:space="preserve">In conclusion, the linkage between CTC production and </w:t>
      </w:r>
      <w:r w:rsidR="00DF46D1">
        <w:rPr>
          <w:lang w:val="en-US" w:eastAsia="fr-FR"/>
        </w:rPr>
        <w:t>unreported</w:t>
      </w:r>
      <w:r w:rsidR="00DF46D1" w:rsidRPr="00B25CFF">
        <w:rPr>
          <w:lang w:val="en-US" w:eastAsia="fr-FR"/>
        </w:rPr>
        <w:t xml:space="preserve"> </w:t>
      </w:r>
      <w:r w:rsidRPr="00B25CFF">
        <w:rPr>
          <w:lang w:val="en-US" w:eastAsia="fr-FR"/>
        </w:rPr>
        <w:t xml:space="preserve">CFC-11 production and </w:t>
      </w:r>
      <w:r w:rsidR="007B1517">
        <w:rPr>
          <w:lang w:val="en-US" w:eastAsia="fr-FR"/>
        </w:rPr>
        <w:t xml:space="preserve">CFC-11 </w:t>
      </w:r>
      <w:r w:rsidRPr="00B25CFF">
        <w:rPr>
          <w:lang w:val="en-US" w:eastAsia="fr-FR"/>
        </w:rPr>
        <w:t xml:space="preserve">emissions is the most </w:t>
      </w:r>
      <w:r w:rsidR="00EE44F4">
        <w:rPr>
          <w:lang w:val="en-US" w:eastAsia="fr-FR"/>
        </w:rPr>
        <w:t>evident</w:t>
      </w:r>
      <w:r w:rsidR="00EE44F4" w:rsidRPr="00B25CFF">
        <w:rPr>
          <w:lang w:val="en-US" w:eastAsia="fr-FR"/>
        </w:rPr>
        <w:t xml:space="preserve"> </w:t>
      </w:r>
      <w:r w:rsidRPr="00B25CFF">
        <w:rPr>
          <w:lang w:val="en-US" w:eastAsia="fr-FR"/>
        </w:rPr>
        <w:t>linkage.</w:t>
      </w:r>
      <w:r w:rsidR="000B7470">
        <w:rPr>
          <w:lang w:val="en-US" w:eastAsia="fr-FR"/>
        </w:rPr>
        <w:t xml:space="preserve"> </w:t>
      </w:r>
    </w:p>
    <w:p w14:paraId="65537B6A" w14:textId="0D74EEBD" w:rsidR="00CA0CD1" w:rsidRPr="00852491" w:rsidRDefault="00852491" w:rsidP="00751ECE">
      <w:pPr>
        <w:pStyle w:val="Heading3"/>
      </w:pPr>
      <w:bookmarkStart w:id="156" w:name="_Toc73045613"/>
      <w:r>
        <w:t>3.</w:t>
      </w:r>
      <w:r w:rsidR="000C6F78">
        <w:t>3</w:t>
      </w:r>
      <w:r w:rsidR="00C30903">
        <w:t>.1</w:t>
      </w:r>
      <w:r>
        <w:tab/>
      </w:r>
      <w:r w:rsidR="00CA0CD1" w:rsidRPr="00852491">
        <w:t>Linkages between the level of production of carbon tetrachloride and unexpected emissions of CFC</w:t>
      </w:r>
      <w:r w:rsidR="00CA0CD1" w:rsidRPr="00852491">
        <w:noBreakHyphen/>
        <w:t>11</w:t>
      </w:r>
      <w:bookmarkEnd w:id="156"/>
    </w:p>
    <w:p w14:paraId="5805B5B1" w14:textId="7C704CCF" w:rsidR="00CA0CD1" w:rsidRDefault="00993E44" w:rsidP="00CA0CD1">
      <w:pPr>
        <w:rPr>
          <w:lang w:eastAsia="fr-FR"/>
        </w:rPr>
      </w:pPr>
      <w:r>
        <w:rPr>
          <w:lang w:eastAsia="fr-FR"/>
        </w:rPr>
        <w:t>Being</w:t>
      </w:r>
      <w:r w:rsidR="007543FF">
        <w:rPr>
          <w:lang w:eastAsia="fr-FR"/>
        </w:rPr>
        <w:t xml:space="preserve"> an ODS, t</w:t>
      </w:r>
      <w:r w:rsidR="009C034C">
        <w:rPr>
          <w:lang w:eastAsia="fr-FR"/>
        </w:rPr>
        <w:t xml:space="preserve">he production of </w:t>
      </w:r>
      <w:r w:rsidR="00CA0CD1" w:rsidRPr="00CA0CD1">
        <w:rPr>
          <w:lang w:eastAsia="fr-FR"/>
        </w:rPr>
        <w:t xml:space="preserve">CTC is strictly controlled globally with virtually all used as feedstock. </w:t>
      </w:r>
      <w:r w:rsidR="00CA0CD1" w:rsidRPr="00043208">
        <w:rPr>
          <w:lang w:eastAsia="fr-FR"/>
        </w:rPr>
        <w:t xml:space="preserve">Between 45 to 120 </w:t>
      </w:r>
      <w:proofErr w:type="spellStart"/>
      <w:r w:rsidR="00930AC6" w:rsidRPr="00043208">
        <w:rPr>
          <w:lang w:eastAsia="fr-FR"/>
        </w:rPr>
        <w:t>kilo</w:t>
      </w:r>
      <w:r w:rsidR="00CA0CD1" w:rsidRPr="00043208">
        <w:rPr>
          <w:lang w:eastAsia="fr-FR"/>
        </w:rPr>
        <w:t>tonnes</w:t>
      </w:r>
      <w:proofErr w:type="spellEnd"/>
      <w:r w:rsidR="00CA0CD1" w:rsidRPr="00043208">
        <w:rPr>
          <w:lang w:eastAsia="fr-FR"/>
        </w:rPr>
        <w:t xml:space="preserve"> of CTC </w:t>
      </w:r>
      <w:r w:rsidR="009410C4">
        <w:rPr>
          <w:lang w:eastAsia="fr-FR"/>
        </w:rPr>
        <w:t xml:space="preserve">annually </w:t>
      </w:r>
      <w:r w:rsidR="00CA0CD1" w:rsidRPr="00043208">
        <w:rPr>
          <w:lang w:eastAsia="fr-FR"/>
        </w:rPr>
        <w:t xml:space="preserve">would be required to supply between 40 to 70 </w:t>
      </w:r>
      <w:proofErr w:type="spellStart"/>
      <w:r w:rsidR="00930AC6" w:rsidRPr="00043208">
        <w:rPr>
          <w:lang w:eastAsia="fr-FR"/>
        </w:rPr>
        <w:t>kilo</w:t>
      </w:r>
      <w:r w:rsidR="00CA0CD1" w:rsidRPr="00043208">
        <w:rPr>
          <w:lang w:eastAsia="fr-FR"/>
        </w:rPr>
        <w:t>tonnes</w:t>
      </w:r>
      <w:proofErr w:type="spellEnd"/>
      <w:r w:rsidR="00CA0CD1" w:rsidRPr="00ED7889">
        <w:rPr>
          <w:lang w:eastAsia="fr-FR"/>
        </w:rPr>
        <w:t xml:space="preserve"> </w:t>
      </w:r>
      <w:r w:rsidR="00CA0CD1" w:rsidRPr="00CA0CD1">
        <w:rPr>
          <w:lang w:eastAsia="fr-FR"/>
        </w:rPr>
        <w:t xml:space="preserve">of CFC-11 production </w:t>
      </w:r>
      <w:r w:rsidR="00CF6191">
        <w:rPr>
          <w:lang w:eastAsia="fr-FR"/>
        </w:rPr>
        <w:t>annually</w:t>
      </w:r>
      <w:r w:rsidR="00EC2559">
        <w:rPr>
          <w:lang w:eastAsia="fr-FR"/>
        </w:rPr>
        <w:t>,</w:t>
      </w:r>
      <w:r w:rsidR="00CF6191">
        <w:rPr>
          <w:lang w:eastAsia="fr-FR"/>
        </w:rPr>
        <w:t xml:space="preserve"> </w:t>
      </w:r>
      <w:r w:rsidR="00CA0CD1" w:rsidRPr="00CA0CD1">
        <w:rPr>
          <w:lang w:eastAsia="fr-FR"/>
        </w:rPr>
        <w:t>to account for the increased CFC-11 emissions</w:t>
      </w:r>
      <w:r w:rsidR="00F87CC3">
        <w:rPr>
          <w:lang w:eastAsia="fr-FR"/>
        </w:rPr>
        <w:t xml:space="preserve"> in the period 2013 to 2018</w:t>
      </w:r>
      <w:r w:rsidR="00CA0CD1" w:rsidRPr="00CA0CD1">
        <w:rPr>
          <w:lang w:eastAsia="fr-FR"/>
        </w:rPr>
        <w:t xml:space="preserve">, depending on the proportion of co-produced CFC-12. This is equivalent to about 20% to 50% of the 2016 reported </w:t>
      </w:r>
      <w:r w:rsidR="003A25D7">
        <w:rPr>
          <w:lang w:eastAsia="fr-FR"/>
        </w:rPr>
        <w:t xml:space="preserve">global </w:t>
      </w:r>
      <w:r w:rsidR="00CA0CD1" w:rsidRPr="00CA0CD1">
        <w:rPr>
          <w:lang w:eastAsia="fr-FR"/>
        </w:rPr>
        <w:t>CTC production for feedstock use (221</w:t>
      </w:r>
      <w:r w:rsidR="009A5806">
        <w:rPr>
          <w:lang w:eastAsia="fr-FR"/>
        </w:rPr>
        <w:t xml:space="preserve">.6 </w:t>
      </w:r>
      <w:proofErr w:type="spellStart"/>
      <w:r w:rsidR="009A5806">
        <w:rPr>
          <w:lang w:eastAsia="fr-FR"/>
        </w:rPr>
        <w:t>kilo</w:t>
      </w:r>
      <w:r w:rsidR="00CA0CD1" w:rsidRPr="00CA0CD1">
        <w:rPr>
          <w:lang w:eastAsia="fr-FR"/>
        </w:rPr>
        <w:t>tonnes</w:t>
      </w:r>
      <w:proofErr w:type="spellEnd"/>
      <w:r w:rsidR="00CA0CD1" w:rsidRPr="00CA0CD1">
        <w:rPr>
          <w:lang w:eastAsia="fr-FR"/>
        </w:rPr>
        <w:t>).</w:t>
      </w:r>
      <w:r w:rsidR="000B7470">
        <w:rPr>
          <w:lang w:eastAsia="fr-FR"/>
        </w:rPr>
        <w:t xml:space="preserve"> </w:t>
      </w:r>
      <w:r w:rsidR="00CA0CD1" w:rsidRPr="00CA0CD1">
        <w:rPr>
          <w:lang w:eastAsia="fr-FR"/>
        </w:rPr>
        <w:t>In 2019</w:t>
      </w:r>
      <w:r w:rsidR="00BD3E69">
        <w:rPr>
          <w:lang w:eastAsia="fr-FR"/>
        </w:rPr>
        <w:t>,</w:t>
      </w:r>
      <w:r w:rsidR="00CA0CD1" w:rsidRPr="00CA0CD1">
        <w:rPr>
          <w:lang w:eastAsia="fr-FR"/>
        </w:rPr>
        <w:t xml:space="preserve"> the reported </w:t>
      </w:r>
      <w:r w:rsidR="003A25D7">
        <w:rPr>
          <w:lang w:eastAsia="fr-FR"/>
        </w:rPr>
        <w:t xml:space="preserve">global </w:t>
      </w:r>
      <w:r w:rsidR="00C104A4">
        <w:rPr>
          <w:lang w:eastAsia="fr-FR"/>
        </w:rPr>
        <w:t xml:space="preserve">CTC </w:t>
      </w:r>
      <w:r w:rsidR="00CA0CD1" w:rsidRPr="00CA0CD1">
        <w:rPr>
          <w:lang w:eastAsia="fr-FR"/>
        </w:rPr>
        <w:t xml:space="preserve">feedstock quantity </w:t>
      </w:r>
      <w:r w:rsidR="00365AA0">
        <w:rPr>
          <w:lang w:eastAsia="fr-FR"/>
        </w:rPr>
        <w:lastRenderedPageBreak/>
        <w:t>increased to</w:t>
      </w:r>
      <w:r w:rsidR="002C4836">
        <w:rPr>
          <w:lang w:eastAsia="fr-FR"/>
        </w:rPr>
        <w:t xml:space="preserve"> </w:t>
      </w:r>
      <w:r w:rsidR="00BD3E69">
        <w:rPr>
          <w:lang w:eastAsia="fr-FR"/>
        </w:rPr>
        <w:t>316</w:t>
      </w:r>
      <w:r w:rsidR="003A4597">
        <w:rPr>
          <w:lang w:eastAsia="fr-FR"/>
        </w:rPr>
        <w:t>.</w:t>
      </w:r>
      <w:r w:rsidR="00BD3E69">
        <w:rPr>
          <w:lang w:eastAsia="fr-FR"/>
        </w:rPr>
        <w:t>4</w:t>
      </w:r>
      <w:r w:rsidR="00CA0CD1" w:rsidRPr="00CA0CD1">
        <w:rPr>
          <w:lang w:eastAsia="fr-FR"/>
        </w:rPr>
        <w:t xml:space="preserve"> </w:t>
      </w:r>
      <w:proofErr w:type="spellStart"/>
      <w:r w:rsidR="003A4597">
        <w:rPr>
          <w:lang w:eastAsia="fr-FR"/>
        </w:rPr>
        <w:t>kilo</w:t>
      </w:r>
      <w:r w:rsidR="00CA0CD1" w:rsidRPr="00CA0CD1">
        <w:rPr>
          <w:lang w:eastAsia="fr-FR"/>
        </w:rPr>
        <w:t>tonnes</w:t>
      </w:r>
      <w:proofErr w:type="spellEnd"/>
      <w:r w:rsidR="00CA0CD1" w:rsidRPr="00CA0CD1">
        <w:rPr>
          <w:lang w:eastAsia="fr-FR"/>
        </w:rPr>
        <w:t>. The CTC quantity required for CFC-11 production is expected to be at the lower end of the range if, as predicted, the objective is higher CFC-11 selectivity.</w:t>
      </w:r>
    </w:p>
    <w:p w14:paraId="7B57CC75" w14:textId="01AD7AD1" w:rsidR="00F11237" w:rsidRDefault="00F11237" w:rsidP="00CA0CD1">
      <w:pPr>
        <w:rPr>
          <w:lang w:eastAsia="fr-FR"/>
        </w:rPr>
      </w:pPr>
      <w:r w:rsidRPr="00043208">
        <w:rPr>
          <w:lang w:eastAsia="fr-FR"/>
        </w:rPr>
        <w:t>In the period 200</w:t>
      </w:r>
      <w:r w:rsidR="00D30EA0" w:rsidRPr="00043208">
        <w:rPr>
          <w:lang w:eastAsia="fr-FR"/>
        </w:rPr>
        <w:t>7</w:t>
      </w:r>
      <w:r w:rsidRPr="00043208">
        <w:rPr>
          <w:lang w:eastAsia="fr-FR"/>
        </w:rPr>
        <w:t>-201</w:t>
      </w:r>
      <w:r w:rsidR="00D30EA0" w:rsidRPr="00043208">
        <w:rPr>
          <w:lang w:eastAsia="fr-FR"/>
        </w:rPr>
        <w:t>9</w:t>
      </w:r>
      <w:r w:rsidRPr="00043208">
        <w:rPr>
          <w:lang w:eastAsia="fr-FR"/>
        </w:rPr>
        <w:t xml:space="preserve">, the cumulative CTC quantity required to produce </w:t>
      </w:r>
      <w:r w:rsidR="00D30EA0" w:rsidRPr="00043208">
        <w:rPr>
          <w:lang w:eastAsia="fr-FR"/>
        </w:rPr>
        <w:t>320</w:t>
      </w:r>
      <w:r w:rsidRPr="00043208">
        <w:rPr>
          <w:lang w:eastAsia="fr-FR"/>
        </w:rPr>
        <w:t>-</w:t>
      </w:r>
      <w:r w:rsidR="00D30EA0" w:rsidRPr="00043208">
        <w:rPr>
          <w:lang w:eastAsia="fr-FR"/>
        </w:rPr>
        <w:t>700</w:t>
      </w:r>
      <w:r w:rsidR="0062652A" w:rsidRPr="00043208">
        <w:rPr>
          <w:lang w:eastAsia="fr-FR"/>
        </w:rPr>
        <w:t xml:space="preserve"> </w:t>
      </w:r>
      <w:proofErr w:type="spellStart"/>
      <w:r w:rsidRPr="00043208">
        <w:rPr>
          <w:lang w:eastAsia="fr-FR"/>
        </w:rPr>
        <w:t>kilotonnes</w:t>
      </w:r>
      <w:proofErr w:type="spellEnd"/>
      <w:r w:rsidRPr="00043208">
        <w:rPr>
          <w:lang w:eastAsia="fr-FR"/>
        </w:rPr>
        <w:t xml:space="preserve"> of CFC-11 is at least</w:t>
      </w:r>
      <w:r w:rsidR="002D7C8A">
        <w:rPr>
          <w:lang w:eastAsia="fr-FR"/>
        </w:rPr>
        <w:t xml:space="preserve"> </w:t>
      </w:r>
      <w:r w:rsidR="00A4567F">
        <w:rPr>
          <w:lang w:eastAsia="fr-FR"/>
        </w:rPr>
        <w:t>360</w:t>
      </w:r>
      <w:r w:rsidRPr="00043208">
        <w:rPr>
          <w:lang w:eastAsia="fr-FR"/>
        </w:rPr>
        <w:t xml:space="preserve"> </w:t>
      </w:r>
      <w:proofErr w:type="spellStart"/>
      <w:r w:rsidR="0092057D" w:rsidRPr="00043208">
        <w:rPr>
          <w:lang w:eastAsia="fr-FR"/>
        </w:rPr>
        <w:t>kilo</w:t>
      </w:r>
      <w:r w:rsidRPr="00043208">
        <w:rPr>
          <w:lang w:eastAsia="fr-FR"/>
        </w:rPr>
        <w:t>tonnes</w:t>
      </w:r>
      <w:proofErr w:type="spellEnd"/>
      <w:r w:rsidRPr="00043208">
        <w:rPr>
          <w:lang w:eastAsia="fr-FR"/>
        </w:rPr>
        <w:t xml:space="preserve"> and could be considerably higher depending on the CFC-11 selectivity.</w:t>
      </w:r>
    </w:p>
    <w:p w14:paraId="2228DE88" w14:textId="2E986F03" w:rsidR="003F7523" w:rsidRPr="00CA0CD1" w:rsidRDefault="00CA0CD1" w:rsidP="00CA0CD1">
      <w:pPr>
        <w:rPr>
          <w:lang w:eastAsia="fr-FR"/>
        </w:rPr>
      </w:pPr>
      <w:r w:rsidRPr="00CA0CD1">
        <w:rPr>
          <w:lang w:eastAsia="fr-FR"/>
        </w:rPr>
        <w:t>CTC is produced in chloromethanes plants as an unavoidable part of the production of dichloromethane and chloroform. China (&lt;3</w:t>
      </w:r>
      <w:r w:rsidR="00BD7CC7">
        <w:rPr>
          <w:lang w:eastAsia="fr-FR"/>
        </w:rPr>
        <w:t>,000</w:t>
      </w:r>
      <w:r w:rsidRPr="00CA0CD1">
        <w:rPr>
          <w:lang w:eastAsia="fr-FR"/>
        </w:rPr>
        <w:t xml:space="preserve"> </w:t>
      </w:r>
      <w:proofErr w:type="spellStart"/>
      <w:r w:rsidR="00BD7CC7">
        <w:rPr>
          <w:lang w:eastAsia="fr-FR"/>
        </w:rPr>
        <w:t>kilo</w:t>
      </w:r>
      <w:r w:rsidRPr="00CA0CD1">
        <w:rPr>
          <w:lang w:eastAsia="fr-FR"/>
        </w:rPr>
        <w:t>ton</w:t>
      </w:r>
      <w:r w:rsidR="00986A1C">
        <w:rPr>
          <w:lang w:eastAsia="fr-FR"/>
        </w:rPr>
        <w:t>ne</w:t>
      </w:r>
      <w:r w:rsidRPr="00CA0CD1">
        <w:rPr>
          <w:lang w:eastAsia="fr-FR"/>
        </w:rPr>
        <w:t>s</w:t>
      </w:r>
      <w:proofErr w:type="spellEnd"/>
      <w:r w:rsidR="006C0DC0">
        <w:rPr>
          <w:lang w:eastAsia="fr-FR"/>
        </w:rPr>
        <w:t>/year</w:t>
      </w:r>
      <w:r w:rsidRPr="00CA0CD1">
        <w:rPr>
          <w:lang w:eastAsia="fr-FR"/>
        </w:rPr>
        <w:t>), the European Union (&lt;500</w:t>
      </w:r>
      <w:r w:rsidR="00510815">
        <w:rPr>
          <w:lang w:eastAsia="fr-FR"/>
        </w:rPr>
        <w:t xml:space="preserve"> </w:t>
      </w:r>
      <w:proofErr w:type="spellStart"/>
      <w:r w:rsidR="00510815">
        <w:rPr>
          <w:lang w:eastAsia="fr-FR"/>
        </w:rPr>
        <w:t>kilotonnes</w:t>
      </w:r>
      <w:proofErr w:type="spellEnd"/>
      <w:r w:rsidR="006C0DC0">
        <w:rPr>
          <w:lang w:eastAsia="fr-FR"/>
        </w:rPr>
        <w:t>/year</w:t>
      </w:r>
      <w:r w:rsidRPr="00CA0CD1">
        <w:rPr>
          <w:lang w:eastAsia="fr-FR"/>
        </w:rPr>
        <w:t>), and the United States (&lt;400</w:t>
      </w:r>
      <w:r w:rsidR="00510815">
        <w:rPr>
          <w:lang w:eastAsia="fr-FR"/>
        </w:rPr>
        <w:t xml:space="preserve"> </w:t>
      </w:r>
      <w:proofErr w:type="spellStart"/>
      <w:r w:rsidR="00510815">
        <w:rPr>
          <w:lang w:eastAsia="fr-FR"/>
        </w:rPr>
        <w:t>kilotonnes</w:t>
      </w:r>
      <w:proofErr w:type="spellEnd"/>
      <w:r w:rsidR="006C0DC0">
        <w:rPr>
          <w:lang w:eastAsia="fr-FR"/>
        </w:rPr>
        <w:t>/year</w:t>
      </w:r>
      <w:r w:rsidRPr="00CA0CD1">
        <w:rPr>
          <w:lang w:eastAsia="fr-FR"/>
        </w:rPr>
        <w:t xml:space="preserve">) have the largest chloromethanes </w:t>
      </w:r>
      <w:r w:rsidR="00F058B3">
        <w:rPr>
          <w:lang w:eastAsia="fr-FR"/>
        </w:rPr>
        <w:t xml:space="preserve">production </w:t>
      </w:r>
      <w:r w:rsidRPr="00CA0CD1">
        <w:rPr>
          <w:lang w:eastAsia="fr-FR"/>
        </w:rPr>
        <w:t xml:space="preserve">capacities, and therefore also the largest potential availability of CTC. </w:t>
      </w:r>
      <w:r w:rsidR="00E02B85" w:rsidRPr="00F67056">
        <w:rPr>
          <w:lang w:eastAsia="fr-FR"/>
        </w:rPr>
        <w:t xml:space="preserve">When there is limited demand for CTC, chloromethanes plants can reduce the amount of CTC produced to </w:t>
      </w:r>
      <w:r w:rsidR="00E02B85">
        <w:rPr>
          <w:lang w:eastAsia="fr-FR"/>
        </w:rPr>
        <w:t xml:space="preserve">approximately </w:t>
      </w:r>
      <w:r w:rsidR="00E02B85" w:rsidRPr="00F67056">
        <w:rPr>
          <w:lang w:eastAsia="fr-FR"/>
        </w:rPr>
        <w:t xml:space="preserve">5% of total output: however, </w:t>
      </w:r>
      <w:r w:rsidR="00E02B85">
        <w:rPr>
          <w:lang w:eastAsia="fr-FR"/>
        </w:rPr>
        <w:t>there is the versatility to</w:t>
      </w:r>
      <w:r w:rsidR="00E02B85" w:rsidRPr="00F67056">
        <w:rPr>
          <w:lang w:eastAsia="fr-FR"/>
        </w:rPr>
        <w:t xml:space="preserve"> increase</w:t>
      </w:r>
      <w:r w:rsidR="00E02B85">
        <w:rPr>
          <w:lang w:eastAsia="fr-FR"/>
        </w:rPr>
        <w:t xml:space="preserve"> the amount of CTC produced</w:t>
      </w:r>
      <w:r w:rsidR="00E02B85" w:rsidRPr="00F67056">
        <w:rPr>
          <w:lang w:eastAsia="fr-FR"/>
        </w:rPr>
        <w:t xml:space="preserve"> to up to 15% of the total chloromethane output without significant plant modifications</w:t>
      </w:r>
      <w:r w:rsidR="00E02B85">
        <w:rPr>
          <w:rStyle w:val="FootnoteReference"/>
          <w:lang w:eastAsia="fr-FR"/>
        </w:rPr>
        <w:footnoteReference w:id="79"/>
      </w:r>
      <w:r w:rsidR="00E02B85" w:rsidRPr="00F67056">
        <w:rPr>
          <w:lang w:eastAsia="fr-FR"/>
        </w:rPr>
        <w:t xml:space="preserve">. </w:t>
      </w:r>
      <w:r w:rsidRPr="00CA0CD1">
        <w:rPr>
          <w:lang w:eastAsia="fr-FR"/>
        </w:rPr>
        <w:t xml:space="preserve">In 2016, the global maximum amount of potential CTC available from chloromethanes production, after existing local supply commitments had been met, was </w:t>
      </w:r>
      <w:r w:rsidR="00F058B3">
        <w:rPr>
          <w:lang w:eastAsia="fr-FR"/>
        </w:rPr>
        <w:t xml:space="preserve">estimated at </w:t>
      </w:r>
      <w:r w:rsidRPr="00CA0CD1">
        <w:rPr>
          <w:lang w:eastAsia="fr-FR"/>
        </w:rPr>
        <w:t xml:space="preserve">305 </w:t>
      </w:r>
      <w:proofErr w:type="spellStart"/>
      <w:r w:rsidR="00BD7CC7">
        <w:rPr>
          <w:lang w:eastAsia="fr-FR"/>
        </w:rPr>
        <w:t>kilo</w:t>
      </w:r>
      <w:r w:rsidRPr="00CA0CD1">
        <w:rPr>
          <w:lang w:eastAsia="fr-FR"/>
        </w:rPr>
        <w:t>tonnes</w:t>
      </w:r>
      <w:proofErr w:type="spellEnd"/>
      <w:r w:rsidR="00E02B85">
        <w:rPr>
          <w:lang w:eastAsia="fr-FR"/>
        </w:rPr>
        <w:t>,</w:t>
      </w:r>
      <w:r w:rsidR="007C1A4C">
        <w:rPr>
          <w:lang w:eastAsia="fr-FR"/>
        </w:rPr>
        <w:t xml:space="preserve"> and by 2018 had increased to </w:t>
      </w:r>
      <w:r w:rsidR="00E1775A">
        <w:rPr>
          <w:lang w:eastAsia="fr-FR"/>
        </w:rPr>
        <w:t xml:space="preserve">350 </w:t>
      </w:r>
      <w:proofErr w:type="spellStart"/>
      <w:r w:rsidR="00BD7CC7">
        <w:rPr>
          <w:lang w:eastAsia="fr-FR"/>
        </w:rPr>
        <w:t>kilo</w:t>
      </w:r>
      <w:r w:rsidR="00E1775A">
        <w:rPr>
          <w:lang w:eastAsia="fr-FR"/>
        </w:rPr>
        <w:t>tonnes</w:t>
      </w:r>
      <w:proofErr w:type="spellEnd"/>
      <w:r w:rsidRPr="00CA0CD1">
        <w:rPr>
          <w:lang w:eastAsia="fr-FR"/>
        </w:rPr>
        <w:t xml:space="preserve">. Some regions have the spare annual capacity that might allow CTC production in the amounts required for small-scale CFC-11 production. Only China has the spare annual capacity </w:t>
      </w:r>
      <w:r w:rsidR="00AF63F7">
        <w:rPr>
          <w:lang w:eastAsia="fr-FR"/>
        </w:rPr>
        <w:t xml:space="preserve">on chloromethanes plants </w:t>
      </w:r>
      <w:r w:rsidRPr="00CA0CD1">
        <w:rPr>
          <w:lang w:eastAsia="fr-FR"/>
        </w:rPr>
        <w:t xml:space="preserve">that might allow CTC production to supply the amounts of CTC required for large-scale CFC-11 production. In China, there are seven </w:t>
      </w:r>
      <w:r w:rsidR="0010236E">
        <w:rPr>
          <w:lang w:eastAsia="fr-FR"/>
        </w:rPr>
        <w:t xml:space="preserve">chloromethanes </w:t>
      </w:r>
      <w:r w:rsidRPr="00CA0CD1">
        <w:rPr>
          <w:lang w:eastAsia="fr-FR"/>
        </w:rPr>
        <w:t>production plants, held by 5 companies, each with 300</w:t>
      </w:r>
      <w:r w:rsidR="00510815">
        <w:rPr>
          <w:lang w:eastAsia="fr-FR"/>
        </w:rPr>
        <w:t xml:space="preserve"> </w:t>
      </w:r>
      <w:proofErr w:type="spellStart"/>
      <w:r w:rsidR="00510815">
        <w:rPr>
          <w:lang w:eastAsia="fr-FR"/>
        </w:rPr>
        <w:t>kilotonnes</w:t>
      </w:r>
      <w:proofErr w:type="spellEnd"/>
      <w:r w:rsidR="00D2283E">
        <w:rPr>
          <w:lang w:eastAsia="fr-FR"/>
        </w:rPr>
        <w:t>/year</w:t>
      </w:r>
      <w:r w:rsidRPr="00CA0CD1">
        <w:rPr>
          <w:lang w:eastAsia="fr-FR"/>
        </w:rPr>
        <w:t xml:space="preserve"> capacity.</w:t>
      </w:r>
      <w:r w:rsidR="000B7470">
        <w:rPr>
          <w:lang w:eastAsia="fr-FR"/>
        </w:rPr>
        <w:t xml:space="preserve"> </w:t>
      </w:r>
      <w:r w:rsidRPr="00CA0CD1">
        <w:rPr>
          <w:lang w:eastAsia="fr-FR"/>
        </w:rPr>
        <w:t xml:space="preserve">At least three of these companies </w:t>
      </w:r>
      <w:r w:rsidR="001E0106">
        <w:rPr>
          <w:lang w:eastAsia="fr-FR"/>
        </w:rPr>
        <w:t xml:space="preserve">also </w:t>
      </w:r>
      <w:r w:rsidRPr="00CA0CD1">
        <w:rPr>
          <w:lang w:eastAsia="fr-FR"/>
        </w:rPr>
        <w:t>produce fluorocarbons</w:t>
      </w:r>
      <w:r w:rsidR="00C512C0">
        <w:rPr>
          <w:lang w:eastAsia="fr-FR"/>
        </w:rPr>
        <w:t>.</w:t>
      </w:r>
      <w:r w:rsidRPr="00CA0CD1">
        <w:rPr>
          <w:lang w:eastAsia="fr-FR"/>
        </w:rPr>
        <w:t xml:space="preserve"> </w:t>
      </w:r>
    </w:p>
    <w:p w14:paraId="5E7DA904" w14:textId="3C5431DD" w:rsidR="00A11AA2" w:rsidRDefault="00627A4A" w:rsidP="00186FDC">
      <w:pPr>
        <w:rPr>
          <w:lang w:eastAsia="fr-FR"/>
        </w:rPr>
      </w:pPr>
      <w:r w:rsidRPr="00CA0CD1">
        <w:rPr>
          <w:lang w:eastAsia="fr-FR"/>
        </w:rPr>
        <w:t>Assuming, the CTC quantity is at the lower end of the range</w:t>
      </w:r>
      <w:r w:rsidR="005A2281">
        <w:rPr>
          <w:lang w:eastAsia="fr-FR"/>
        </w:rPr>
        <w:t xml:space="preserve"> </w:t>
      </w:r>
      <w:r w:rsidR="00320853">
        <w:rPr>
          <w:lang w:eastAsia="fr-FR"/>
        </w:rPr>
        <w:t>for</w:t>
      </w:r>
      <w:r w:rsidR="005A2281">
        <w:rPr>
          <w:lang w:eastAsia="fr-FR"/>
        </w:rPr>
        <w:t xml:space="preserve"> the </w:t>
      </w:r>
      <w:r w:rsidR="00320853">
        <w:rPr>
          <w:lang w:eastAsia="fr-FR"/>
        </w:rPr>
        <w:t>2013-2018 period</w:t>
      </w:r>
      <w:r w:rsidRPr="00CA0CD1">
        <w:rPr>
          <w:lang w:eastAsia="fr-FR"/>
        </w:rPr>
        <w:t xml:space="preserve">, if </w:t>
      </w:r>
      <w:r w:rsidRPr="00D6382B">
        <w:rPr>
          <w:lang w:eastAsia="fr-FR"/>
        </w:rPr>
        <w:t xml:space="preserve">45 </w:t>
      </w:r>
      <w:proofErr w:type="spellStart"/>
      <w:r w:rsidRPr="00D6382B">
        <w:rPr>
          <w:lang w:eastAsia="fr-FR"/>
        </w:rPr>
        <w:t>kilotonnes</w:t>
      </w:r>
      <w:proofErr w:type="spellEnd"/>
      <w:r w:rsidR="00D2283E">
        <w:rPr>
          <w:lang w:eastAsia="fr-FR"/>
        </w:rPr>
        <w:t>/year</w:t>
      </w:r>
      <w:r w:rsidRPr="00CA0CD1">
        <w:rPr>
          <w:lang w:eastAsia="fr-FR"/>
        </w:rPr>
        <w:t xml:space="preserve"> were to be shipped from a stand-alone chloromethanes plant to an off-site fluorocarbon producer, this would mean over </w:t>
      </w:r>
      <w:r w:rsidRPr="00D6382B">
        <w:rPr>
          <w:lang w:eastAsia="fr-FR"/>
        </w:rPr>
        <w:t xml:space="preserve">2250 road tankers per year or </w:t>
      </w:r>
      <w:r w:rsidR="009B3966">
        <w:rPr>
          <w:lang w:eastAsia="fr-FR"/>
        </w:rPr>
        <w:t>6</w:t>
      </w:r>
      <w:r w:rsidRPr="00D6382B">
        <w:rPr>
          <w:lang w:eastAsia="fr-FR"/>
        </w:rPr>
        <w:t xml:space="preserve"> road tankers</w:t>
      </w:r>
      <w:r w:rsidRPr="00CA0CD1">
        <w:rPr>
          <w:lang w:eastAsia="fr-FR"/>
        </w:rPr>
        <w:t xml:space="preserve"> every day. CTC imports and exports are reported to the Ozone Secretariat under Article 7 data reporting requirements. Any imported CTC requires an import licence</w:t>
      </w:r>
      <w:r>
        <w:rPr>
          <w:lang w:eastAsia="fr-FR"/>
        </w:rPr>
        <w:t>,</w:t>
      </w:r>
      <w:r w:rsidRPr="00CA0CD1">
        <w:rPr>
          <w:lang w:eastAsia="fr-FR"/>
        </w:rPr>
        <w:t xml:space="preserve"> and the export is subject to export controls through licensing</w:t>
      </w:r>
      <w:r>
        <w:rPr>
          <w:lang w:eastAsia="fr-FR"/>
        </w:rPr>
        <w:t>, meaning that enforcement detection of imports or exports would be likely</w:t>
      </w:r>
      <w:r w:rsidRPr="00CA0CD1">
        <w:rPr>
          <w:lang w:eastAsia="fr-FR"/>
        </w:rPr>
        <w:t xml:space="preserve">. Within a country, there is </w:t>
      </w:r>
      <w:r>
        <w:rPr>
          <w:lang w:eastAsia="fr-FR"/>
        </w:rPr>
        <w:t xml:space="preserve">also </w:t>
      </w:r>
      <w:r w:rsidRPr="00CA0CD1">
        <w:rPr>
          <w:lang w:eastAsia="fr-FR"/>
        </w:rPr>
        <w:t xml:space="preserve">a potential risk </w:t>
      </w:r>
      <w:r>
        <w:rPr>
          <w:lang w:eastAsia="fr-FR"/>
        </w:rPr>
        <w:t>of enforcement detection when</w:t>
      </w:r>
      <w:r w:rsidRPr="00CA0CD1">
        <w:rPr>
          <w:lang w:eastAsia="fr-FR"/>
        </w:rPr>
        <w:t xml:space="preserve"> shipping controlled substances in these large quantities. </w:t>
      </w:r>
      <w:r>
        <w:rPr>
          <w:lang w:eastAsia="fr-FR"/>
        </w:rPr>
        <w:t>T</w:t>
      </w:r>
      <w:r w:rsidRPr="00CA0CD1">
        <w:rPr>
          <w:lang w:eastAsia="fr-FR"/>
        </w:rPr>
        <w:t xml:space="preserve">ransfers </w:t>
      </w:r>
      <w:r>
        <w:rPr>
          <w:lang w:eastAsia="fr-FR"/>
        </w:rPr>
        <w:t xml:space="preserve">of CTC off-site </w:t>
      </w:r>
      <w:r w:rsidRPr="00CA0CD1">
        <w:rPr>
          <w:lang w:eastAsia="fr-FR"/>
        </w:rPr>
        <w:t xml:space="preserve">would </w:t>
      </w:r>
      <w:r>
        <w:rPr>
          <w:lang w:eastAsia="fr-FR"/>
        </w:rPr>
        <w:t xml:space="preserve">not </w:t>
      </w:r>
      <w:r w:rsidRPr="00CA0CD1">
        <w:rPr>
          <w:lang w:eastAsia="fr-FR"/>
        </w:rPr>
        <w:t xml:space="preserve">be </w:t>
      </w:r>
      <w:r>
        <w:rPr>
          <w:lang w:eastAsia="fr-FR"/>
        </w:rPr>
        <w:t>needed</w:t>
      </w:r>
      <w:r w:rsidRPr="00CA0CD1">
        <w:rPr>
          <w:lang w:eastAsia="fr-FR"/>
        </w:rPr>
        <w:t xml:space="preserve"> if fluorochemical</w:t>
      </w:r>
      <w:r>
        <w:rPr>
          <w:lang w:eastAsia="fr-FR"/>
        </w:rPr>
        <w:t>/CFC-11</w:t>
      </w:r>
      <w:r w:rsidRPr="00CA0CD1">
        <w:rPr>
          <w:lang w:eastAsia="fr-FR"/>
        </w:rPr>
        <w:t xml:space="preserve"> production was on the same site as </w:t>
      </w:r>
      <w:r w:rsidR="0042521D">
        <w:rPr>
          <w:lang w:eastAsia="fr-FR"/>
        </w:rPr>
        <w:t>chloromethanes</w:t>
      </w:r>
      <w:r w:rsidR="00C06B55">
        <w:rPr>
          <w:lang w:eastAsia="fr-FR"/>
        </w:rPr>
        <w:t xml:space="preserve">/CTC </w:t>
      </w:r>
      <w:r w:rsidRPr="00CA0CD1">
        <w:rPr>
          <w:lang w:eastAsia="fr-FR"/>
        </w:rPr>
        <w:t xml:space="preserve">production. </w:t>
      </w:r>
      <w:r>
        <w:rPr>
          <w:lang w:eastAsia="fr-FR"/>
        </w:rPr>
        <w:t>Furthermore, a</w:t>
      </w:r>
      <w:r w:rsidRPr="00CA0CD1">
        <w:rPr>
          <w:lang w:eastAsia="fr-FR"/>
        </w:rPr>
        <w:t xml:space="preserve"> 300</w:t>
      </w:r>
      <w:r>
        <w:rPr>
          <w:lang w:eastAsia="fr-FR"/>
        </w:rPr>
        <w:t xml:space="preserve"> </w:t>
      </w:r>
      <w:proofErr w:type="spellStart"/>
      <w:r>
        <w:rPr>
          <w:lang w:eastAsia="fr-FR"/>
        </w:rPr>
        <w:t>kilotonnes</w:t>
      </w:r>
      <w:proofErr w:type="spellEnd"/>
      <w:r w:rsidR="00C26CB3">
        <w:rPr>
          <w:lang w:eastAsia="fr-FR"/>
        </w:rPr>
        <w:t>/year</w:t>
      </w:r>
      <w:r w:rsidRPr="00CA0CD1">
        <w:rPr>
          <w:lang w:eastAsia="fr-FR"/>
        </w:rPr>
        <w:t xml:space="preserve"> chloromethanes plant (collection of units) could produce </w:t>
      </w:r>
      <w:r w:rsidR="00B53BA4">
        <w:rPr>
          <w:lang w:eastAsia="fr-FR"/>
        </w:rPr>
        <w:t xml:space="preserve">an </w:t>
      </w:r>
      <w:r>
        <w:rPr>
          <w:lang w:eastAsia="fr-FR"/>
        </w:rPr>
        <w:t xml:space="preserve">additional </w:t>
      </w:r>
      <w:r w:rsidRPr="00CA0CD1">
        <w:rPr>
          <w:lang w:eastAsia="fr-FR"/>
        </w:rPr>
        <w:t>45</w:t>
      </w:r>
      <w:r>
        <w:rPr>
          <w:lang w:eastAsia="fr-FR"/>
        </w:rPr>
        <w:t xml:space="preserve"> </w:t>
      </w:r>
      <w:proofErr w:type="spellStart"/>
      <w:r>
        <w:rPr>
          <w:lang w:eastAsia="fr-FR"/>
        </w:rPr>
        <w:t>kilotonnes</w:t>
      </w:r>
      <w:proofErr w:type="spellEnd"/>
      <w:r w:rsidR="00C26CB3">
        <w:rPr>
          <w:lang w:eastAsia="fr-FR"/>
        </w:rPr>
        <w:t>/year</w:t>
      </w:r>
      <w:r w:rsidRPr="00CA0CD1">
        <w:rPr>
          <w:lang w:eastAsia="fr-FR"/>
        </w:rPr>
        <w:t xml:space="preserve"> CTC without significant technical modifications. </w:t>
      </w:r>
      <w:r>
        <w:rPr>
          <w:lang w:eastAsia="fr-FR"/>
        </w:rPr>
        <w:t xml:space="preserve">It appears that CTC supply to unreported CFC-11 production has avoided detection over a number of years. </w:t>
      </w:r>
      <w:r w:rsidRPr="00597517">
        <w:rPr>
          <w:lang w:eastAsia="fr-FR"/>
        </w:rPr>
        <w:t>Therefore, it seems more likely that both the CTC and CFC-11 production</w:t>
      </w:r>
      <w:r>
        <w:rPr>
          <w:lang w:eastAsia="fr-FR"/>
        </w:rPr>
        <w:t xml:space="preserve"> </w:t>
      </w:r>
      <w:r w:rsidRPr="00597517">
        <w:rPr>
          <w:lang w:eastAsia="fr-FR"/>
        </w:rPr>
        <w:t>occurred within the same</w:t>
      </w:r>
      <w:r>
        <w:rPr>
          <w:lang w:eastAsia="fr-FR"/>
        </w:rPr>
        <w:t xml:space="preserve"> </w:t>
      </w:r>
      <w:r w:rsidRPr="00597517">
        <w:rPr>
          <w:lang w:eastAsia="fr-FR"/>
        </w:rPr>
        <w:t xml:space="preserve">country. Depending on the scale of CFC-11 production for individual plants, </w:t>
      </w:r>
      <w:r>
        <w:rPr>
          <w:lang w:eastAsia="fr-FR"/>
        </w:rPr>
        <w:t xml:space="preserve">the </w:t>
      </w:r>
      <w:r w:rsidRPr="00597517">
        <w:rPr>
          <w:lang w:eastAsia="fr-FR"/>
        </w:rPr>
        <w:t xml:space="preserve">location of CFC-11 and CTC production </w:t>
      </w:r>
      <w:r>
        <w:rPr>
          <w:lang w:eastAsia="fr-FR"/>
        </w:rPr>
        <w:t xml:space="preserve">on the same site </w:t>
      </w:r>
      <w:r w:rsidRPr="00597517">
        <w:rPr>
          <w:lang w:eastAsia="fr-FR"/>
        </w:rPr>
        <w:t xml:space="preserve">could </w:t>
      </w:r>
      <w:r>
        <w:rPr>
          <w:lang w:eastAsia="fr-FR"/>
        </w:rPr>
        <w:t xml:space="preserve">also </w:t>
      </w:r>
      <w:r w:rsidRPr="00597517">
        <w:rPr>
          <w:lang w:eastAsia="fr-FR"/>
        </w:rPr>
        <w:t>be advantageous in avoiding detection</w:t>
      </w:r>
      <w:r>
        <w:rPr>
          <w:lang w:eastAsia="fr-FR"/>
        </w:rPr>
        <w:t>.</w:t>
      </w:r>
    </w:p>
    <w:p w14:paraId="1FE2B5F5" w14:textId="07126F92" w:rsidR="007D3008" w:rsidRDefault="00CA0CD1" w:rsidP="00186FDC">
      <w:pPr>
        <w:rPr>
          <w:lang w:eastAsia="fr-FR"/>
        </w:rPr>
      </w:pPr>
      <w:r w:rsidRPr="00CA0CD1">
        <w:rPr>
          <w:lang w:eastAsia="fr-FR"/>
        </w:rPr>
        <w:t xml:space="preserve">CTC is also produced </w:t>
      </w:r>
      <w:r w:rsidR="008F7EBB">
        <w:rPr>
          <w:lang w:eastAsia="fr-FR"/>
        </w:rPr>
        <w:t xml:space="preserve">(or processed) </w:t>
      </w:r>
      <w:r w:rsidRPr="00CA0CD1">
        <w:rPr>
          <w:lang w:eastAsia="fr-FR"/>
        </w:rPr>
        <w:t xml:space="preserve">in perchloroethylene/CTC (PCE/CTC) plants, which have the flexibility to produce </w:t>
      </w:r>
      <w:r w:rsidR="0090667A">
        <w:rPr>
          <w:lang w:eastAsia="fr-FR"/>
        </w:rPr>
        <w:t xml:space="preserve">up to 100% of </w:t>
      </w:r>
      <w:r w:rsidRPr="00CA0CD1">
        <w:rPr>
          <w:lang w:eastAsia="fr-FR"/>
        </w:rPr>
        <w:t>either substance according to demand. Five PCE/CTC plants are operative in Europe and the United States, and at least nine</w:t>
      </w:r>
      <w:r w:rsidRPr="00CA0CD1">
        <w:rPr>
          <w:vertAlign w:val="superscript"/>
          <w:lang w:eastAsia="fr-FR"/>
        </w:rPr>
        <w:footnoteReference w:id="80"/>
      </w:r>
      <w:r w:rsidRPr="00CA0CD1">
        <w:rPr>
          <w:lang w:eastAsia="fr-FR"/>
        </w:rPr>
        <w:t xml:space="preserve"> are </w:t>
      </w:r>
      <w:r w:rsidRPr="00CA0CD1">
        <w:rPr>
          <w:lang w:eastAsia="fr-FR"/>
        </w:rPr>
        <w:lastRenderedPageBreak/>
        <w:t xml:space="preserve">operating in China. Spare global capacity to produce CTC by this process is estimated to be between 50-100 </w:t>
      </w:r>
      <w:proofErr w:type="spellStart"/>
      <w:r w:rsidR="000734F9">
        <w:rPr>
          <w:lang w:eastAsia="fr-FR"/>
        </w:rPr>
        <w:t>kilo</w:t>
      </w:r>
      <w:r w:rsidRPr="00CA0CD1">
        <w:rPr>
          <w:lang w:eastAsia="fr-FR"/>
        </w:rPr>
        <w:t>tonnes</w:t>
      </w:r>
      <w:proofErr w:type="spellEnd"/>
      <w:r w:rsidR="004D4B71">
        <w:rPr>
          <w:lang w:eastAsia="fr-FR"/>
        </w:rPr>
        <w:t>/year</w:t>
      </w:r>
      <w:r w:rsidRPr="00CA0CD1">
        <w:rPr>
          <w:lang w:eastAsia="fr-FR"/>
        </w:rPr>
        <w:t xml:space="preserve">, existing mainly in the European Union. </w:t>
      </w:r>
    </w:p>
    <w:p w14:paraId="4BA57AF4" w14:textId="14F1AF29" w:rsidR="007657A4" w:rsidRDefault="00A02915" w:rsidP="00186FDC">
      <w:pPr>
        <w:rPr>
          <w:lang w:eastAsia="fr-FR"/>
        </w:rPr>
      </w:pPr>
      <w:r w:rsidRPr="00A02915">
        <w:rPr>
          <w:lang w:eastAsia="fr-FR"/>
        </w:rPr>
        <w:t xml:space="preserve">Many of the 15 </w:t>
      </w:r>
      <w:r>
        <w:rPr>
          <w:lang w:eastAsia="fr-FR"/>
        </w:rPr>
        <w:t>chloromethanes</w:t>
      </w:r>
      <w:r w:rsidRPr="00A02915">
        <w:rPr>
          <w:lang w:eastAsia="fr-FR"/>
        </w:rPr>
        <w:t xml:space="preserve"> producers in China elected to build </w:t>
      </w:r>
      <w:r w:rsidR="002F78D8">
        <w:rPr>
          <w:lang w:eastAsia="fr-FR"/>
        </w:rPr>
        <w:t>CTC</w:t>
      </w:r>
      <w:r w:rsidR="00310D9C">
        <w:rPr>
          <w:lang w:eastAsia="fr-FR"/>
        </w:rPr>
        <w:t xml:space="preserve"> to PCE</w:t>
      </w:r>
      <w:r w:rsidR="002F78D8">
        <w:rPr>
          <w:lang w:eastAsia="fr-FR"/>
        </w:rPr>
        <w:t xml:space="preserve"> </w:t>
      </w:r>
      <w:r w:rsidRPr="00A02915">
        <w:rPr>
          <w:lang w:eastAsia="fr-FR"/>
        </w:rPr>
        <w:t xml:space="preserve">plants, which transform </w:t>
      </w:r>
      <w:r w:rsidR="00CC0D2F">
        <w:rPr>
          <w:lang w:eastAsia="fr-FR"/>
        </w:rPr>
        <w:t xml:space="preserve">otherwise surplus </w:t>
      </w:r>
      <w:r w:rsidRPr="00A02915">
        <w:rPr>
          <w:lang w:eastAsia="fr-FR"/>
        </w:rPr>
        <w:t xml:space="preserve">CTC into PCE. </w:t>
      </w:r>
      <w:r w:rsidR="00CA0CD1" w:rsidRPr="00CA0CD1">
        <w:rPr>
          <w:lang w:eastAsia="fr-FR"/>
        </w:rPr>
        <w:t>The</w:t>
      </w:r>
      <w:r w:rsidR="006B3C70">
        <w:rPr>
          <w:lang w:eastAsia="fr-FR"/>
        </w:rPr>
        <w:t>se</w:t>
      </w:r>
      <w:r w:rsidR="00CA0CD1" w:rsidRPr="00CA0CD1">
        <w:rPr>
          <w:lang w:eastAsia="fr-FR"/>
        </w:rPr>
        <w:t xml:space="preserve"> </w:t>
      </w:r>
      <w:r w:rsidR="000D03B5">
        <w:rPr>
          <w:lang w:eastAsia="fr-FR"/>
        </w:rPr>
        <w:t xml:space="preserve">PCE/CTC </w:t>
      </w:r>
      <w:r w:rsidR="00CA0CD1" w:rsidRPr="00CA0CD1">
        <w:rPr>
          <w:lang w:eastAsia="fr-FR"/>
        </w:rPr>
        <w:t>plants appear to have been repurposed to consume feedstocks other than</w:t>
      </w:r>
      <w:r w:rsidR="00736BC0">
        <w:rPr>
          <w:lang w:eastAsia="fr-FR"/>
        </w:rPr>
        <w:t>, and in addition to,</w:t>
      </w:r>
      <w:r w:rsidR="00CA0CD1" w:rsidRPr="00CA0CD1">
        <w:rPr>
          <w:lang w:eastAsia="fr-FR"/>
        </w:rPr>
        <w:t xml:space="preserve"> CTC, with the primary objective to </w:t>
      </w:r>
      <w:r w:rsidR="00441ED8">
        <w:rPr>
          <w:lang w:eastAsia="fr-FR"/>
        </w:rPr>
        <w:t>meet demand for</w:t>
      </w:r>
      <w:r w:rsidR="00CA0CD1" w:rsidRPr="00CA0CD1">
        <w:rPr>
          <w:lang w:eastAsia="fr-FR"/>
        </w:rPr>
        <w:t xml:space="preserve"> </w:t>
      </w:r>
      <w:r w:rsidR="00F23435">
        <w:rPr>
          <w:lang w:eastAsia="fr-FR"/>
        </w:rPr>
        <w:t xml:space="preserve">increased </w:t>
      </w:r>
      <w:r w:rsidR="00CA0CD1" w:rsidRPr="00CA0CD1">
        <w:rPr>
          <w:lang w:eastAsia="fr-FR"/>
        </w:rPr>
        <w:t xml:space="preserve">fluorocarbon-grade PCE </w:t>
      </w:r>
      <w:r w:rsidR="00F038ED">
        <w:rPr>
          <w:lang w:eastAsia="fr-FR"/>
        </w:rPr>
        <w:t xml:space="preserve">production </w:t>
      </w:r>
      <w:r w:rsidR="00CA0CD1" w:rsidRPr="00CA0CD1">
        <w:rPr>
          <w:lang w:eastAsia="fr-FR"/>
        </w:rPr>
        <w:t xml:space="preserve">for </w:t>
      </w:r>
      <w:r w:rsidR="0014771B">
        <w:rPr>
          <w:lang w:eastAsia="fr-FR"/>
        </w:rPr>
        <w:t xml:space="preserve">the manufacture of </w:t>
      </w:r>
      <w:r w:rsidR="00CA0CD1" w:rsidRPr="00CA0CD1">
        <w:rPr>
          <w:lang w:eastAsia="fr-FR"/>
        </w:rPr>
        <w:t>HFC-125 and CFC-113</w:t>
      </w:r>
      <w:r w:rsidR="00CA0CD1" w:rsidRPr="00CA0CD1">
        <w:rPr>
          <w:vertAlign w:val="superscript"/>
          <w:lang w:eastAsia="fr-FR"/>
        </w:rPr>
        <w:footnoteReference w:id="81"/>
      </w:r>
      <w:r w:rsidR="00CA0CD1" w:rsidRPr="00CA0CD1">
        <w:rPr>
          <w:lang w:eastAsia="fr-FR"/>
        </w:rPr>
        <w:t xml:space="preserve">. </w:t>
      </w:r>
      <w:r w:rsidR="00456C13">
        <w:rPr>
          <w:lang w:eastAsia="fr-FR"/>
        </w:rPr>
        <w:t>Th</w:t>
      </w:r>
      <w:r w:rsidR="00613440">
        <w:rPr>
          <w:lang w:eastAsia="fr-FR"/>
        </w:rPr>
        <w:t xml:space="preserve">e </w:t>
      </w:r>
      <w:r w:rsidR="00CA0CD1" w:rsidRPr="00CA0CD1">
        <w:rPr>
          <w:lang w:eastAsia="fr-FR"/>
        </w:rPr>
        <w:t xml:space="preserve">capacity </w:t>
      </w:r>
      <w:r w:rsidR="00017FB0">
        <w:rPr>
          <w:lang w:eastAsia="fr-FR"/>
        </w:rPr>
        <w:t>of</w:t>
      </w:r>
      <w:r w:rsidR="00E006EE">
        <w:rPr>
          <w:lang w:eastAsia="fr-FR"/>
        </w:rPr>
        <w:t xml:space="preserve"> </w:t>
      </w:r>
      <w:r w:rsidR="00192C2F">
        <w:rPr>
          <w:lang w:eastAsia="fr-FR"/>
        </w:rPr>
        <w:t xml:space="preserve">chloromethanes </w:t>
      </w:r>
      <w:r w:rsidR="00762D27">
        <w:rPr>
          <w:lang w:eastAsia="fr-FR"/>
        </w:rPr>
        <w:t>comp</w:t>
      </w:r>
      <w:r w:rsidR="009500A5">
        <w:rPr>
          <w:lang w:eastAsia="fr-FR"/>
        </w:rPr>
        <w:t>l</w:t>
      </w:r>
      <w:r w:rsidR="00762D27">
        <w:rPr>
          <w:lang w:eastAsia="fr-FR"/>
        </w:rPr>
        <w:t>exes</w:t>
      </w:r>
      <w:r w:rsidR="005C1632">
        <w:rPr>
          <w:lang w:eastAsia="fr-FR"/>
        </w:rPr>
        <w:t xml:space="preserve"> in China to produce </w:t>
      </w:r>
      <w:r w:rsidR="00E006EE">
        <w:rPr>
          <w:lang w:eastAsia="fr-FR"/>
        </w:rPr>
        <w:t>PCE</w:t>
      </w:r>
      <w:r w:rsidR="005C1632">
        <w:rPr>
          <w:lang w:eastAsia="fr-FR"/>
        </w:rPr>
        <w:t xml:space="preserve"> from </w:t>
      </w:r>
      <w:r w:rsidR="00017FB0">
        <w:rPr>
          <w:lang w:eastAsia="fr-FR"/>
        </w:rPr>
        <w:t xml:space="preserve">CTC </w:t>
      </w:r>
      <w:r w:rsidR="005C1632">
        <w:rPr>
          <w:lang w:eastAsia="fr-FR"/>
        </w:rPr>
        <w:t>and other feedstocks</w:t>
      </w:r>
      <w:r w:rsidR="00E006EE">
        <w:rPr>
          <w:lang w:eastAsia="fr-FR"/>
        </w:rPr>
        <w:t xml:space="preserve"> </w:t>
      </w:r>
      <w:r w:rsidR="00CA0CD1" w:rsidRPr="00CA0CD1">
        <w:rPr>
          <w:lang w:eastAsia="fr-FR"/>
        </w:rPr>
        <w:t xml:space="preserve">is estimated at over </w:t>
      </w:r>
      <w:r w:rsidR="00E006EE">
        <w:rPr>
          <w:lang w:eastAsia="fr-FR"/>
        </w:rPr>
        <w:t xml:space="preserve">250 </w:t>
      </w:r>
      <w:proofErr w:type="spellStart"/>
      <w:r w:rsidR="00510815">
        <w:rPr>
          <w:lang w:eastAsia="fr-FR"/>
        </w:rPr>
        <w:t>kilotonnes</w:t>
      </w:r>
      <w:proofErr w:type="spellEnd"/>
      <w:r w:rsidR="004D4B71">
        <w:rPr>
          <w:lang w:eastAsia="fr-FR"/>
        </w:rPr>
        <w:t>/year</w:t>
      </w:r>
      <w:r w:rsidR="00CA0CD1" w:rsidRPr="00CA0CD1">
        <w:rPr>
          <w:lang w:eastAsia="fr-FR"/>
        </w:rPr>
        <w:t xml:space="preserve">. </w:t>
      </w:r>
      <w:r w:rsidR="00CD1CE8">
        <w:rPr>
          <w:lang w:eastAsia="fr-FR"/>
        </w:rPr>
        <w:t>T</w:t>
      </w:r>
      <w:r w:rsidR="00CA0CD1" w:rsidRPr="00CA0CD1">
        <w:rPr>
          <w:lang w:eastAsia="fr-FR"/>
        </w:rPr>
        <w:t>hese plants could readily be used to produce CTC</w:t>
      </w:r>
      <w:r w:rsidR="00C22A17">
        <w:rPr>
          <w:lang w:eastAsia="fr-FR"/>
        </w:rPr>
        <w:t xml:space="preserve"> at the purity required for fluorocarbon manufacture</w:t>
      </w:r>
      <w:r w:rsidR="003B6F8F">
        <w:rPr>
          <w:lang w:eastAsia="fr-FR"/>
        </w:rPr>
        <w:t>,</w:t>
      </w:r>
      <w:r w:rsidR="00C22A17">
        <w:rPr>
          <w:lang w:eastAsia="fr-FR"/>
        </w:rPr>
        <w:t xml:space="preserve"> </w:t>
      </w:r>
      <w:r w:rsidR="003B6F8F">
        <w:rPr>
          <w:lang w:eastAsia="fr-FR"/>
        </w:rPr>
        <w:t>although</w:t>
      </w:r>
      <w:r w:rsidR="00CA0CD1" w:rsidRPr="00CA0CD1">
        <w:rPr>
          <w:lang w:eastAsia="fr-FR"/>
        </w:rPr>
        <w:t xml:space="preserve"> this would be contrary to the original intent of transforming </w:t>
      </w:r>
      <w:r w:rsidR="00806FD0">
        <w:rPr>
          <w:lang w:eastAsia="fr-FR"/>
        </w:rPr>
        <w:t xml:space="preserve">surplus </w:t>
      </w:r>
      <w:r w:rsidR="00CA0CD1" w:rsidRPr="00CA0CD1">
        <w:rPr>
          <w:lang w:eastAsia="fr-FR"/>
        </w:rPr>
        <w:t xml:space="preserve">CTC to PCE. </w:t>
      </w:r>
      <w:r w:rsidR="00355970">
        <w:rPr>
          <w:lang w:eastAsia="fr-FR"/>
        </w:rPr>
        <w:t>In recent years</w:t>
      </w:r>
      <w:r w:rsidR="00C26F26">
        <w:rPr>
          <w:lang w:eastAsia="fr-FR"/>
        </w:rPr>
        <w:t xml:space="preserve">, </w:t>
      </w:r>
      <w:r w:rsidR="00CA0CD1" w:rsidRPr="00CA0CD1">
        <w:rPr>
          <w:lang w:eastAsia="fr-FR"/>
        </w:rPr>
        <w:t xml:space="preserve">China </w:t>
      </w:r>
      <w:r w:rsidR="00355970">
        <w:rPr>
          <w:lang w:eastAsia="fr-FR"/>
        </w:rPr>
        <w:t xml:space="preserve">has been </w:t>
      </w:r>
      <w:r w:rsidR="00CA0CD1" w:rsidRPr="00CA0CD1">
        <w:rPr>
          <w:lang w:eastAsia="fr-FR"/>
        </w:rPr>
        <w:t>import</w:t>
      </w:r>
      <w:r w:rsidR="00355970">
        <w:rPr>
          <w:lang w:eastAsia="fr-FR"/>
        </w:rPr>
        <w:t>ing</w:t>
      </w:r>
      <w:r w:rsidR="00CA0CD1" w:rsidRPr="00CA0CD1">
        <w:rPr>
          <w:lang w:eastAsia="fr-FR"/>
        </w:rPr>
        <w:t xml:space="preserve"> large quantities of PCE, </w:t>
      </w:r>
      <w:r w:rsidR="00935232">
        <w:rPr>
          <w:lang w:eastAsia="fr-FR"/>
        </w:rPr>
        <w:t>which might imply</w:t>
      </w:r>
      <w:r w:rsidR="00CA0CD1" w:rsidRPr="00CA0CD1">
        <w:rPr>
          <w:lang w:eastAsia="fr-FR"/>
        </w:rPr>
        <w:t xml:space="preserve"> that there is </w:t>
      </w:r>
      <w:r w:rsidR="009835F7" w:rsidRPr="00CA0CD1">
        <w:rPr>
          <w:lang w:eastAsia="fr-FR"/>
        </w:rPr>
        <w:t xml:space="preserve">either </w:t>
      </w:r>
      <w:r w:rsidR="00CA0CD1" w:rsidRPr="00CA0CD1">
        <w:rPr>
          <w:lang w:eastAsia="fr-FR"/>
        </w:rPr>
        <w:t xml:space="preserve">no spare capacity on the </w:t>
      </w:r>
      <w:r w:rsidR="000D54A8">
        <w:rPr>
          <w:lang w:eastAsia="fr-FR"/>
        </w:rPr>
        <w:t xml:space="preserve">PCE/CTC </w:t>
      </w:r>
      <w:r w:rsidR="00CA0CD1" w:rsidRPr="00CA0CD1">
        <w:rPr>
          <w:lang w:eastAsia="fr-FR"/>
        </w:rPr>
        <w:t>plants</w:t>
      </w:r>
      <w:r w:rsidR="000D54A8">
        <w:rPr>
          <w:lang w:eastAsia="fr-FR"/>
        </w:rPr>
        <w:t xml:space="preserve"> in China</w:t>
      </w:r>
      <w:r w:rsidR="00CA0CD1" w:rsidRPr="00CA0CD1">
        <w:rPr>
          <w:lang w:eastAsia="fr-FR"/>
        </w:rPr>
        <w:t xml:space="preserve">, or that they are not </w:t>
      </w:r>
      <w:r w:rsidR="00D63754">
        <w:rPr>
          <w:lang w:eastAsia="fr-FR"/>
        </w:rPr>
        <w:t>supplying</w:t>
      </w:r>
      <w:r w:rsidR="00E77F3B">
        <w:rPr>
          <w:lang w:eastAsia="fr-FR"/>
        </w:rPr>
        <w:t xml:space="preserve"> PCE</w:t>
      </w:r>
      <w:r w:rsidR="00E77F3B" w:rsidRPr="00CA0CD1">
        <w:rPr>
          <w:lang w:eastAsia="fr-FR"/>
        </w:rPr>
        <w:t xml:space="preserve"> </w:t>
      </w:r>
      <w:r w:rsidR="00CA0CD1" w:rsidRPr="00CA0CD1">
        <w:rPr>
          <w:lang w:eastAsia="fr-FR"/>
        </w:rPr>
        <w:t>at high capacity.</w:t>
      </w:r>
      <w:r w:rsidR="00F04A87">
        <w:rPr>
          <w:lang w:eastAsia="fr-FR"/>
        </w:rPr>
        <w:t xml:space="preserve"> </w:t>
      </w:r>
    </w:p>
    <w:p w14:paraId="4F408459" w14:textId="6B4B404F" w:rsidR="00731DA4" w:rsidRDefault="00D83588" w:rsidP="00186FDC">
      <w:pPr>
        <w:rPr>
          <w:lang w:eastAsia="fr-FR"/>
        </w:rPr>
      </w:pPr>
      <w:r w:rsidRPr="00D83588">
        <w:rPr>
          <w:lang w:eastAsia="fr-FR"/>
        </w:rPr>
        <w:t>In conclusion, for China</w:t>
      </w:r>
      <w:r w:rsidR="007657A4">
        <w:rPr>
          <w:lang w:eastAsia="fr-FR"/>
        </w:rPr>
        <w:t>,</w:t>
      </w:r>
      <w:r w:rsidRPr="00D83588">
        <w:rPr>
          <w:lang w:eastAsia="fr-FR"/>
        </w:rPr>
        <w:t xml:space="preserve"> additional CTC could have been </w:t>
      </w:r>
      <w:r w:rsidR="00803990">
        <w:rPr>
          <w:lang w:eastAsia="fr-FR"/>
        </w:rPr>
        <w:t>made</w:t>
      </w:r>
      <w:r w:rsidRPr="00D83588">
        <w:rPr>
          <w:lang w:eastAsia="fr-FR"/>
        </w:rPr>
        <w:t xml:space="preserve"> available either by increasing the amount of CTC produced on chloromethane plants or by diverting CTC from PCE production or a combination of both.</w:t>
      </w:r>
    </w:p>
    <w:p w14:paraId="52E159D1" w14:textId="1F749CAE" w:rsidR="008030CC" w:rsidRDefault="004F434F" w:rsidP="003742AF">
      <w:pPr>
        <w:rPr>
          <w:lang w:eastAsia="fr-FR"/>
        </w:rPr>
      </w:pPr>
      <w:r>
        <w:t xml:space="preserve">Park </w:t>
      </w:r>
      <w:r w:rsidRPr="00C3353F">
        <w:rPr>
          <w:i/>
          <w:iCs/>
        </w:rPr>
        <w:t>et al.</w:t>
      </w:r>
      <w:r>
        <w:t xml:space="preserve"> </w:t>
      </w:r>
      <w:r w:rsidR="00E710E1">
        <w:t>report</w:t>
      </w:r>
      <w:r w:rsidR="0040589C">
        <w:t>ed</w:t>
      </w:r>
      <w:r w:rsidR="00E710E1">
        <w:t xml:space="preserve"> that r</w:t>
      </w:r>
      <w:r w:rsidR="00FE12CA">
        <w:t xml:space="preserve">egional </w:t>
      </w:r>
      <w:r w:rsidR="00FA4DAA">
        <w:t xml:space="preserve">inferred </w:t>
      </w:r>
      <w:r w:rsidR="00FE12CA">
        <w:t>emissions of CCl</w:t>
      </w:r>
      <w:r w:rsidR="00FE12CA">
        <w:rPr>
          <w:vertAlign w:val="subscript"/>
        </w:rPr>
        <w:t>4</w:t>
      </w:r>
      <w:r w:rsidR="00FE12CA">
        <w:t xml:space="preserve"> from Eastern China</w:t>
      </w:r>
      <w:r w:rsidR="00FA4DAA">
        <w:rPr>
          <w:rStyle w:val="FootnoteReference"/>
        </w:rPr>
        <w:footnoteReference w:id="82"/>
      </w:r>
      <w:r w:rsidR="00FE12CA">
        <w:t xml:space="preserve"> increased from 6.0 ± 1.4 </w:t>
      </w:r>
      <w:proofErr w:type="spellStart"/>
      <w:r w:rsidR="0025312C">
        <w:t>kilotonnes</w:t>
      </w:r>
      <w:proofErr w:type="spellEnd"/>
      <w:r w:rsidR="00FE12CA">
        <w:t xml:space="preserve"> yr</w:t>
      </w:r>
      <w:r w:rsidR="00FE12CA">
        <w:rPr>
          <w:vertAlign w:val="superscript"/>
        </w:rPr>
        <w:t>-1</w:t>
      </w:r>
      <w:r w:rsidR="00FE12CA">
        <w:t xml:space="preserve"> during 2011–2012 to 10 ± 2 </w:t>
      </w:r>
      <w:proofErr w:type="spellStart"/>
      <w:r w:rsidR="0025312C">
        <w:t>kilotonnes</w:t>
      </w:r>
      <w:proofErr w:type="spellEnd"/>
      <w:r w:rsidR="00FE12CA">
        <w:t xml:space="preserve"> yr</w:t>
      </w:r>
      <w:r w:rsidR="00FE12CA">
        <w:rPr>
          <w:vertAlign w:val="superscript"/>
        </w:rPr>
        <w:t>-1</w:t>
      </w:r>
      <w:r w:rsidR="00FE12CA">
        <w:t xml:space="preserve"> for 2014–2017, a mean increase of 4 </w:t>
      </w:r>
      <w:proofErr w:type="spellStart"/>
      <w:r w:rsidR="0025312C">
        <w:t>kilotonnes</w:t>
      </w:r>
      <w:proofErr w:type="spellEnd"/>
      <w:r w:rsidR="00FE12CA">
        <w:t xml:space="preserve"> yr</w:t>
      </w:r>
      <w:r w:rsidR="00FE12CA">
        <w:rPr>
          <w:vertAlign w:val="superscript"/>
        </w:rPr>
        <w:t xml:space="preserve">-1 </w:t>
      </w:r>
      <w:r w:rsidR="00FE12CA" w:rsidRPr="009020B8">
        <w:t>during this period</w:t>
      </w:r>
      <w:r w:rsidR="00FE12CA">
        <w:t xml:space="preserve">. </w:t>
      </w:r>
      <w:r>
        <w:t xml:space="preserve">They </w:t>
      </w:r>
      <w:r w:rsidR="00B11728" w:rsidRPr="00B11728">
        <w:t xml:space="preserve">caution that </w:t>
      </w:r>
      <w:r w:rsidR="00A55B14">
        <w:t xml:space="preserve">while </w:t>
      </w:r>
      <w:r w:rsidR="00B11728" w:rsidRPr="00B11728">
        <w:t>CCl</w:t>
      </w:r>
      <w:r w:rsidR="00B11728" w:rsidRPr="00C3353F">
        <w:rPr>
          <w:vertAlign w:val="subscript"/>
        </w:rPr>
        <w:t>4</w:t>
      </w:r>
      <w:r w:rsidR="00B11728" w:rsidRPr="00B11728">
        <w:t xml:space="preserve"> emissions are known to originate from a wide range of industrial sources, making attribution to one process </w:t>
      </w:r>
      <w:r w:rsidR="00336147">
        <w:t>highly uncertain</w:t>
      </w:r>
      <w:r w:rsidR="00332579">
        <w:t>,</w:t>
      </w:r>
      <w:r w:rsidR="00B11728" w:rsidRPr="00B11728">
        <w:t xml:space="preserve"> such an increase could be </w:t>
      </w:r>
      <w:r w:rsidR="00A55B14">
        <w:t>suggestive</w:t>
      </w:r>
      <w:r w:rsidR="00B11728" w:rsidRPr="00B11728">
        <w:t xml:space="preserve"> of increased </w:t>
      </w:r>
      <w:r w:rsidR="00A55B14" w:rsidRPr="00B11728">
        <w:t>CCl</w:t>
      </w:r>
      <w:r w:rsidR="00A55B14" w:rsidRPr="00C3353F">
        <w:rPr>
          <w:vertAlign w:val="subscript"/>
        </w:rPr>
        <w:t>4</w:t>
      </w:r>
      <w:r w:rsidR="00A55B14">
        <w:rPr>
          <w:vertAlign w:val="subscript"/>
        </w:rPr>
        <w:t xml:space="preserve"> </w:t>
      </w:r>
      <w:r w:rsidR="00B11728" w:rsidRPr="00B11728">
        <w:t xml:space="preserve">feedstock </w:t>
      </w:r>
      <w:r w:rsidR="00A55B14" w:rsidRPr="00B11728">
        <w:t xml:space="preserve">use </w:t>
      </w:r>
      <w:r w:rsidR="00B11728" w:rsidRPr="00B11728">
        <w:t>in CFC-11 production.</w:t>
      </w:r>
      <w:r w:rsidR="00B11728">
        <w:t xml:space="preserve"> </w:t>
      </w:r>
      <w:r w:rsidR="00B0083B">
        <w:t>A</w:t>
      </w:r>
      <w:r w:rsidR="00FE12CA">
        <w:rPr>
          <w:szCs w:val="22"/>
        </w:rPr>
        <w:t>pplying the TEAP 2020 Progress Report</w:t>
      </w:r>
      <w:r w:rsidR="00FE12CA">
        <w:rPr>
          <w:rStyle w:val="FootnoteReference"/>
        </w:rPr>
        <w:footnoteReference w:id="83"/>
      </w:r>
      <w:r w:rsidR="00FE12CA">
        <w:rPr>
          <w:szCs w:val="22"/>
        </w:rPr>
        <w:t xml:space="preserve"> emissions factor range of between 0.5% to 4% by weight of the quantity of CTC produced for feedstock use</w:t>
      </w:r>
      <w:r w:rsidR="001A5645">
        <w:rPr>
          <w:szCs w:val="22"/>
        </w:rPr>
        <w:t>s</w:t>
      </w:r>
      <w:r w:rsidR="000F0287">
        <w:rPr>
          <w:szCs w:val="22"/>
        </w:rPr>
        <w:t xml:space="preserve"> to the mean increase of 4 </w:t>
      </w:r>
      <w:proofErr w:type="spellStart"/>
      <w:r w:rsidR="0025312C">
        <w:rPr>
          <w:szCs w:val="22"/>
        </w:rPr>
        <w:t>kilotonnes</w:t>
      </w:r>
      <w:proofErr w:type="spellEnd"/>
      <w:r w:rsidR="000F0287">
        <w:rPr>
          <w:szCs w:val="22"/>
        </w:rPr>
        <w:t xml:space="preserve"> </w:t>
      </w:r>
      <w:r w:rsidR="000F0287">
        <w:t>yr</w:t>
      </w:r>
      <w:r w:rsidR="000F0287">
        <w:rPr>
          <w:vertAlign w:val="superscript"/>
        </w:rPr>
        <w:t>-1</w:t>
      </w:r>
      <w:r w:rsidR="000F0287">
        <w:rPr>
          <w:szCs w:val="22"/>
        </w:rPr>
        <w:t xml:space="preserve"> infers</w:t>
      </w:r>
      <w:r w:rsidR="002560EC">
        <w:rPr>
          <w:szCs w:val="22"/>
        </w:rPr>
        <w:t xml:space="preserve"> </w:t>
      </w:r>
      <w:r w:rsidR="00FE12CA">
        <w:rPr>
          <w:szCs w:val="22"/>
        </w:rPr>
        <w:t xml:space="preserve">an indicative estimate of </w:t>
      </w:r>
      <w:r w:rsidR="00B0083B">
        <w:rPr>
          <w:szCs w:val="22"/>
        </w:rPr>
        <w:t>potential</w:t>
      </w:r>
      <w:r w:rsidR="0019327C">
        <w:rPr>
          <w:szCs w:val="22"/>
        </w:rPr>
        <w:t xml:space="preserve"> </w:t>
      </w:r>
      <w:r w:rsidR="00D11151">
        <w:rPr>
          <w:szCs w:val="22"/>
        </w:rPr>
        <w:t xml:space="preserve">additional </w:t>
      </w:r>
      <w:r w:rsidR="00FE12CA">
        <w:rPr>
          <w:szCs w:val="22"/>
        </w:rPr>
        <w:t xml:space="preserve">CTC production between 100 </w:t>
      </w:r>
      <w:proofErr w:type="spellStart"/>
      <w:r w:rsidR="00FE12CA">
        <w:rPr>
          <w:szCs w:val="22"/>
        </w:rPr>
        <w:t>kilotonnes</w:t>
      </w:r>
      <w:proofErr w:type="spellEnd"/>
      <w:r w:rsidR="00FE12CA">
        <w:rPr>
          <w:szCs w:val="22"/>
        </w:rPr>
        <w:t xml:space="preserve"> (4% emission factor) and 800 </w:t>
      </w:r>
      <w:proofErr w:type="spellStart"/>
      <w:r w:rsidR="00FE12CA">
        <w:rPr>
          <w:szCs w:val="22"/>
        </w:rPr>
        <w:t>kilotonnes</w:t>
      </w:r>
      <w:proofErr w:type="spellEnd"/>
      <w:r w:rsidR="00FE12CA">
        <w:rPr>
          <w:szCs w:val="22"/>
        </w:rPr>
        <w:t xml:space="preserve"> (0.5% emission factor). Th</w:t>
      </w:r>
      <w:r w:rsidR="000F0287">
        <w:rPr>
          <w:szCs w:val="22"/>
        </w:rPr>
        <w:t xml:space="preserve">is </w:t>
      </w:r>
      <w:r w:rsidR="00FE12CA">
        <w:rPr>
          <w:szCs w:val="22"/>
        </w:rPr>
        <w:t>i</w:t>
      </w:r>
      <w:r w:rsidR="00902FB7">
        <w:rPr>
          <w:szCs w:val="22"/>
        </w:rPr>
        <w:t>s</w:t>
      </w:r>
      <w:r w:rsidR="00FE12CA">
        <w:rPr>
          <w:szCs w:val="22"/>
        </w:rPr>
        <w:t xml:space="preserve"> consistent with the estimated additional annual CTC production of </w:t>
      </w:r>
      <w:r w:rsidR="00FE12CA" w:rsidRPr="009C6B2F">
        <w:rPr>
          <w:lang w:eastAsia="fr-FR"/>
        </w:rPr>
        <w:t>45 to 1</w:t>
      </w:r>
      <w:r w:rsidR="005608A1">
        <w:rPr>
          <w:lang w:eastAsia="fr-FR"/>
        </w:rPr>
        <w:t>20</w:t>
      </w:r>
      <w:r w:rsidR="00FE12CA" w:rsidRPr="009C6B2F">
        <w:rPr>
          <w:lang w:eastAsia="fr-FR"/>
        </w:rPr>
        <w:t xml:space="preserve"> </w:t>
      </w:r>
      <w:proofErr w:type="spellStart"/>
      <w:r w:rsidR="00FE12CA" w:rsidRPr="009C6B2F">
        <w:rPr>
          <w:lang w:eastAsia="fr-FR"/>
        </w:rPr>
        <w:t>kilotonnes</w:t>
      </w:r>
      <w:proofErr w:type="spellEnd"/>
      <w:r w:rsidR="00FE12CA">
        <w:rPr>
          <w:szCs w:val="22"/>
        </w:rPr>
        <w:t xml:space="preserve"> </w:t>
      </w:r>
      <w:r w:rsidR="008744DF">
        <w:rPr>
          <w:szCs w:val="22"/>
        </w:rPr>
        <w:t xml:space="preserve">required for CFC-11 production </w:t>
      </w:r>
      <w:r w:rsidR="00FE12CA">
        <w:rPr>
          <w:szCs w:val="22"/>
        </w:rPr>
        <w:t xml:space="preserve">in the period </w:t>
      </w:r>
      <w:r w:rsidR="00F20212">
        <w:rPr>
          <w:szCs w:val="22"/>
        </w:rPr>
        <w:t>2013-2018</w:t>
      </w:r>
      <w:r w:rsidR="00FE12CA" w:rsidRPr="00C3353F">
        <w:rPr>
          <w:szCs w:val="22"/>
        </w:rPr>
        <w:t>.</w:t>
      </w:r>
      <w:r w:rsidR="00C3353F" w:rsidRPr="00C3353F">
        <w:rPr>
          <w:lang w:eastAsia="fr-FR"/>
        </w:rPr>
        <w:t xml:space="preserve"> </w:t>
      </w:r>
      <w:r w:rsidR="003742AF" w:rsidRPr="00C3353F">
        <w:rPr>
          <w:lang w:eastAsia="fr-FR"/>
        </w:rPr>
        <w:t>This would be additional to the known CTC production in China, as reported at ExCom 84</w:t>
      </w:r>
      <w:r w:rsidR="003742AF" w:rsidRPr="00C3353F">
        <w:rPr>
          <w:rStyle w:val="FootnoteReference"/>
          <w:color w:val="1F3864" w:themeColor="accent5" w:themeShade="80"/>
        </w:rPr>
        <w:footnoteReference w:id="84"/>
      </w:r>
      <w:r w:rsidR="008030CC">
        <w:rPr>
          <w:lang w:eastAsia="fr-FR"/>
        </w:rPr>
        <w:t xml:space="preserve"> (reproduced in Table 3.1)</w:t>
      </w:r>
      <w:r w:rsidR="003742AF" w:rsidRPr="00C3353F">
        <w:rPr>
          <w:lang w:eastAsia="fr-FR"/>
        </w:rPr>
        <w:t>.</w:t>
      </w:r>
      <w:r w:rsidR="003742AF">
        <w:rPr>
          <w:lang w:eastAsia="fr-FR"/>
        </w:rPr>
        <w:t xml:space="preserve"> </w:t>
      </w:r>
    </w:p>
    <w:p w14:paraId="257ADCEA" w14:textId="77777777" w:rsidR="00964307" w:rsidRDefault="00964307">
      <w:pPr>
        <w:spacing w:after="0"/>
        <w:rPr>
          <w:b/>
          <w:bCs/>
          <w:lang w:val="en-AU" w:eastAsia="fr-FR"/>
        </w:rPr>
      </w:pPr>
      <w:r>
        <w:rPr>
          <w:lang w:eastAsia="fr-FR"/>
        </w:rPr>
        <w:br w:type="page"/>
      </w:r>
    </w:p>
    <w:p w14:paraId="1EE76F9D" w14:textId="6CD794F8" w:rsidR="003742AF" w:rsidRDefault="003742AF" w:rsidP="003742AF">
      <w:pPr>
        <w:pStyle w:val="FigureandTableTitle"/>
        <w:rPr>
          <w:lang w:eastAsia="fr-FR"/>
        </w:rPr>
      </w:pPr>
      <w:r>
        <w:rPr>
          <w:lang w:eastAsia="fr-FR"/>
        </w:rPr>
        <w:lastRenderedPageBreak/>
        <w:t>Table 3.1</w:t>
      </w:r>
      <w:r>
        <w:rPr>
          <w:lang w:eastAsia="fr-FR"/>
        </w:rPr>
        <w:tab/>
        <w:t>Production of chloromethanes and CTC in China (tonnes) (</w:t>
      </w:r>
      <w:r w:rsidRPr="00DD48A5">
        <w:rPr>
          <w:i/>
          <w:iCs/>
          <w:lang w:eastAsia="fr-FR"/>
        </w:rPr>
        <w:t xml:space="preserve">taken from </w:t>
      </w:r>
      <w:r w:rsidRPr="00DD48A5">
        <w:rPr>
          <w:i/>
          <w:iCs/>
        </w:rPr>
        <w:t>UNEP/</w:t>
      </w:r>
      <w:proofErr w:type="spellStart"/>
      <w:r w:rsidRPr="00DD48A5">
        <w:rPr>
          <w:i/>
          <w:iCs/>
        </w:rPr>
        <w:t>OzL.Pro</w:t>
      </w:r>
      <w:proofErr w:type="spellEnd"/>
      <w:r w:rsidRPr="00DD48A5">
        <w:rPr>
          <w:i/>
          <w:iCs/>
        </w:rPr>
        <w:t>/ExCom/84/22/Add.2</w:t>
      </w:r>
      <w:r>
        <w:t>)</w:t>
      </w:r>
    </w:p>
    <w:tbl>
      <w:tblPr>
        <w:tblW w:w="7366" w:type="dxa"/>
        <w:tblLayout w:type="fixed"/>
        <w:tblLook w:val="04A0" w:firstRow="1" w:lastRow="0" w:firstColumn="1" w:lastColumn="0" w:noHBand="0" w:noVBand="1"/>
      </w:tblPr>
      <w:tblGrid>
        <w:gridCol w:w="2830"/>
        <w:gridCol w:w="1701"/>
        <w:gridCol w:w="1418"/>
        <w:gridCol w:w="1417"/>
      </w:tblGrid>
      <w:tr w:rsidR="007964BC" w:rsidRPr="00C05D40" w14:paraId="42ED5C06" w14:textId="77777777" w:rsidTr="00C3353F">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B1A351" w14:textId="77777777" w:rsidR="003742AF" w:rsidRPr="00043208" w:rsidRDefault="003742AF" w:rsidP="00043208">
            <w:pPr>
              <w:spacing w:before="60" w:after="60"/>
              <w:rPr>
                <w:b/>
                <w:bCs/>
                <w:sz w:val="21"/>
                <w:szCs w:val="21"/>
                <w:lang w:val="en-CA"/>
              </w:rPr>
            </w:pPr>
            <w:r w:rsidRPr="00043208">
              <w:rPr>
                <w:b/>
                <w:bCs/>
                <w:sz w:val="21"/>
                <w:szCs w:val="21"/>
                <w:lang w:val="en-CA"/>
              </w:rPr>
              <w:t xml:space="preserve">Particulars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4CD326A1" w14:textId="77777777" w:rsidR="003742AF" w:rsidRPr="00043208" w:rsidRDefault="003742AF" w:rsidP="00043208">
            <w:pPr>
              <w:spacing w:before="60" w:after="60"/>
              <w:jc w:val="center"/>
              <w:rPr>
                <w:b/>
                <w:bCs/>
                <w:sz w:val="21"/>
                <w:szCs w:val="21"/>
                <w:lang w:val="en-CA"/>
              </w:rPr>
            </w:pPr>
            <w:r w:rsidRPr="00043208">
              <w:rPr>
                <w:b/>
                <w:bCs/>
                <w:sz w:val="21"/>
                <w:szCs w:val="21"/>
                <w:lang w:val="en-CA"/>
              </w:rPr>
              <w:t>2015</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5B7DBDE9" w14:textId="77777777" w:rsidR="003742AF" w:rsidRPr="00043208" w:rsidRDefault="003742AF" w:rsidP="00043208">
            <w:pPr>
              <w:spacing w:before="60" w:after="60"/>
              <w:jc w:val="center"/>
              <w:rPr>
                <w:b/>
                <w:bCs/>
                <w:sz w:val="21"/>
                <w:szCs w:val="21"/>
                <w:lang w:val="en-CA"/>
              </w:rPr>
            </w:pPr>
            <w:r w:rsidRPr="00043208">
              <w:rPr>
                <w:b/>
                <w:bCs/>
                <w:sz w:val="21"/>
                <w:szCs w:val="21"/>
                <w:lang w:val="en-CA"/>
              </w:rPr>
              <w:t>2016</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1EB822B" w14:textId="77777777" w:rsidR="003742AF" w:rsidRPr="00043208" w:rsidRDefault="003742AF" w:rsidP="00043208">
            <w:pPr>
              <w:spacing w:before="60" w:after="60"/>
              <w:jc w:val="center"/>
              <w:rPr>
                <w:b/>
                <w:bCs/>
                <w:sz w:val="21"/>
                <w:szCs w:val="21"/>
                <w:lang w:val="en-CA"/>
              </w:rPr>
            </w:pPr>
            <w:r w:rsidRPr="00043208">
              <w:rPr>
                <w:b/>
                <w:bCs/>
                <w:sz w:val="21"/>
                <w:szCs w:val="21"/>
                <w:lang w:val="en-CA"/>
              </w:rPr>
              <w:t>2017</w:t>
            </w:r>
          </w:p>
        </w:tc>
      </w:tr>
      <w:tr w:rsidR="007964BC" w:rsidRPr="007964BC" w14:paraId="7D14D23B" w14:textId="77777777" w:rsidTr="00C3353F">
        <w:tc>
          <w:tcPr>
            <w:tcW w:w="2830" w:type="dxa"/>
            <w:tcBorders>
              <w:top w:val="nil"/>
              <w:left w:val="single" w:sz="4" w:space="0" w:color="auto"/>
              <w:bottom w:val="single" w:sz="4" w:space="0" w:color="auto"/>
              <w:right w:val="single" w:sz="4" w:space="0" w:color="auto"/>
            </w:tcBorders>
            <w:shd w:val="clear" w:color="auto" w:fill="auto"/>
            <w:noWrap/>
            <w:hideMark/>
          </w:tcPr>
          <w:p w14:paraId="26F0390F" w14:textId="77777777" w:rsidR="003742AF" w:rsidRPr="00043208" w:rsidRDefault="003742AF" w:rsidP="00043208">
            <w:pPr>
              <w:spacing w:before="60" w:after="60"/>
              <w:rPr>
                <w:sz w:val="21"/>
                <w:szCs w:val="21"/>
                <w:lang w:val="en-CA"/>
              </w:rPr>
            </w:pPr>
            <w:r w:rsidRPr="00043208">
              <w:rPr>
                <w:sz w:val="21"/>
                <w:szCs w:val="21"/>
                <w:lang w:val="en-CA"/>
              </w:rPr>
              <w:t>Chloromethane production</w:t>
            </w:r>
          </w:p>
        </w:tc>
        <w:tc>
          <w:tcPr>
            <w:tcW w:w="1701" w:type="dxa"/>
            <w:tcBorders>
              <w:top w:val="nil"/>
              <w:left w:val="nil"/>
              <w:bottom w:val="single" w:sz="4" w:space="0" w:color="auto"/>
              <w:right w:val="single" w:sz="4" w:space="0" w:color="auto"/>
            </w:tcBorders>
            <w:shd w:val="clear" w:color="auto" w:fill="auto"/>
            <w:noWrap/>
            <w:tcMar>
              <w:left w:w="115" w:type="dxa"/>
              <w:right w:w="202" w:type="dxa"/>
            </w:tcMar>
            <w:hideMark/>
          </w:tcPr>
          <w:p w14:paraId="68C9CDFD" w14:textId="77777777" w:rsidR="003742AF" w:rsidRPr="00043208" w:rsidRDefault="003742AF" w:rsidP="00043208">
            <w:pPr>
              <w:spacing w:before="60" w:after="60"/>
              <w:jc w:val="right"/>
              <w:rPr>
                <w:sz w:val="21"/>
                <w:szCs w:val="21"/>
                <w:lang w:val="en-CA"/>
              </w:rPr>
            </w:pPr>
            <w:r w:rsidRPr="00043208">
              <w:rPr>
                <w:sz w:val="21"/>
                <w:szCs w:val="21"/>
                <w:lang w:val="en-CA"/>
              </w:rPr>
              <w:t>2,055,221</w:t>
            </w:r>
          </w:p>
        </w:tc>
        <w:tc>
          <w:tcPr>
            <w:tcW w:w="1418" w:type="dxa"/>
            <w:tcBorders>
              <w:top w:val="nil"/>
              <w:left w:val="nil"/>
              <w:bottom w:val="single" w:sz="4" w:space="0" w:color="auto"/>
              <w:right w:val="single" w:sz="4" w:space="0" w:color="auto"/>
            </w:tcBorders>
            <w:shd w:val="clear" w:color="auto" w:fill="auto"/>
            <w:noWrap/>
            <w:tcMar>
              <w:left w:w="115" w:type="dxa"/>
              <w:right w:w="202" w:type="dxa"/>
            </w:tcMar>
            <w:hideMark/>
          </w:tcPr>
          <w:p w14:paraId="20F03F13" w14:textId="77777777" w:rsidR="003742AF" w:rsidRPr="00043208" w:rsidRDefault="003742AF" w:rsidP="00043208">
            <w:pPr>
              <w:spacing w:before="60" w:after="60"/>
              <w:jc w:val="right"/>
              <w:rPr>
                <w:sz w:val="21"/>
                <w:szCs w:val="21"/>
                <w:lang w:val="en-CA"/>
              </w:rPr>
            </w:pPr>
            <w:r w:rsidRPr="00043208">
              <w:rPr>
                <w:sz w:val="21"/>
                <w:szCs w:val="21"/>
                <w:lang w:val="en-CA"/>
              </w:rPr>
              <w:t>2,264,813</w:t>
            </w:r>
          </w:p>
        </w:tc>
        <w:tc>
          <w:tcPr>
            <w:tcW w:w="1417" w:type="dxa"/>
            <w:tcBorders>
              <w:top w:val="nil"/>
              <w:left w:val="nil"/>
              <w:bottom w:val="single" w:sz="4" w:space="0" w:color="auto"/>
              <w:right w:val="single" w:sz="4" w:space="0" w:color="auto"/>
            </w:tcBorders>
            <w:shd w:val="clear" w:color="auto" w:fill="auto"/>
            <w:noWrap/>
            <w:tcMar>
              <w:left w:w="115" w:type="dxa"/>
              <w:right w:w="202" w:type="dxa"/>
            </w:tcMar>
            <w:hideMark/>
          </w:tcPr>
          <w:p w14:paraId="3BB07F6A" w14:textId="77777777" w:rsidR="003742AF" w:rsidRPr="00043208" w:rsidRDefault="003742AF" w:rsidP="00043208">
            <w:pPr>
              <w:spacing w:before="60" w:after="60"/>
              <w:jc w:val="right"/>
              <w:rPr>
                <w:sz w:val="21"/>
                <w:szCs w:val="21"/>
                <w:lang w:val="en-CA"/>
              </w:rPr>
            </w:pPr>
            <w:r w:rsidRPr="00043208">
              <w:rPr>
                <w:sz w:val="21"/>
                <w:szCs w:val="21"/>
                <w:lang w:val="en-CA"/>
              </w:rPr>
              <w:t>2,586,052</w:t>
            </w:r>
          </w:p>
        </w:tc>
      </w:tr>
      <w:tr w:rsidR="007964BC" w:rsidRPr="007964BC" w14:paraId="6A9C69B7" w14:textId="77777777" w:rsidTr="00C3353F">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22D221A3" w14:textId="77777777" w:rsidR="003742AF" w:rsidRPr="00043208" w:rsidRDefault="003742AF" w:rsidP="00043208">
            <w:pPr>
              <w:spacing w:before="60" w:after="60"/>
              <w:rPr>
                <w:sz w:val="21"/>
                <w:szCs w:val="21"/>
                <w:lang w:val="en-CA"/>
              </w:rPr>
            </w:pPr>
            <w:r w:rsidRPr="00043208">
              <w:rPr>
                <w:sz w:val="21"/>
                <w:szCs w:val="21"/>
                <w:lang w:val="en-CA"/>
              </w:rPr>
              <w:t>CTC production</w:t>
            </w:r>
          </w:p>
        </w:tc>
        <w:tc>
          <w:tcPr>
            <w:tcW w:w="1701" w:type="dxa"/>
            <w:tcBorders>
              <w:top w:val="nil"/>
              <w:left w:val="nil"/>
              <w:bottom w:val="single" w:sz="4" w:space="0" w:color="auto"/>
              <w:right w:val="single" w:sz="4" w:space="0" w:color="auto"/>
            </w:tcBorders>
            <w:shd w:val="clear" w:color="auto" w:fill="auto"/>
            <w:noWrap/>
            <w:tcMar>
              <w:left w:w="115" w:type="dxa"/>
              <w:right w:w="202" w:type="dxa"/>
            </w:tcMar>
            <w:vAlign w:val="bottom"/>
            <w:hideMark/>
          </w:tcPr>
          <w:p w14:paraId="72613BF5" w14:textId="77777777" w:rsidR="003742AF" w:rsidRPr="00043208" w:rsidRDefault="003742AF" w:rsidP="00043208">
            <w:pPr>
              <w:spacing w:before="60" w:after="60"/>
              <w:jc w:val="right"/>
              <w:rPr>
                <w:sz w:val="21"/>
                <w:szCs w:val="21"/>
                <w:lang w:val="en-CA"/>
              </w:rPr>
            </w:pPr>
            <w:r w:rsidRPr="00043208">
              <w:rPr>
                <w:sz w:val="21"/>
                <w:szCs w:val="21"/>
                <w:lang w:val="en-CA"/>
              </w:rPr>
              <w:t>97,161</w:t>
            </w:r>
          </w:p>
        </w:tc>
        <w:tc>
          <w:tcPr>
            <w:tcW w:w="1418" w:type="dxa"/>
            <w:tcBorders>
              <w:top w:val="nil"/>
              <w:left w:val="nil"/>
              <w:bottom w:val="single" w:sz="4" w:space="0" w:color="auto"/>
              <w:right w:val="single" w:sz="4" w:space="0" w:color="auto"/>
            </w:tcBorders>
            <w:shd w:val="clear" w:color="auto" w:fill="auto"/>
            <w:noWrap/>
            <w:tcMar>
              <w:left w:w="115" w:type="dxa"/>
              <w:right w:w="202" w:type="dxa"/>
            </w:tcMar>
            <w:vAlign w:val="bottom"/>
            <w:hideMark/>
          </w:tcPr>
          <w:p w14:paraId="17462CBA" w14:textId="77777777" w:rsidR="003742AF" w:rsidRPr="00043208" w:rsidRDefault="003742AF" w:rsidP="00043208">
            <w:pPr>
              <w:spacing w:before="60" w:after="60"/>
              <w:jc w:val="right"/>
              <w:rPr>
                <w:sz w:val="21"/>
                <w:szCs w:val="21"/>
                <w:lang w:val="en-CA"/>
              </w:rPr>
            </w:pPr>
            <w:r w:rsidRPr="00043208">
              <w:rPr>
                <w:sz w:val="21"/>
                <w:szCs w:val="21"/>
                <w:lang w:val="en-CA"/>
              </w:rPr>
              <w:t>105,675</w:t>
            </w:r>
          </w:p>
        </w:tc>
        <w:tc>
          <w:tcPr>
            <w:tcW w:w="1417" w:type="dxa"/>
            <w:tcBorders>
              <w:top w:val="nil"/>
              <w:left w:val="nil"/>
              <w:bottom w:val="single" w:sz="4" w:space="0" w:color="auto"/>
              <w:right w:val="single" w:sz="4" w:space="0" w:color="auto"/>
            </w:tcBorders>
            <w:shd w:val="clear" w:color="auto" w:fill="auto"/>
            <w:noWrap/>
            <w:tcMar>
              <w:left w:w="115" w:type="dxa"/>
              <w:right w:w="202" w:type="dxa"/>
            </w:tcMar>
            <w:vAlign w:val="bottom"/>
            <w:hideMark/>
          </w:tcPr>
          <w:p w14:paraId="7A2EA5D2" w14:textId="77777777" w:rsidR="003742AF" w:rsidRPr="00043208" w:rsidRDefault="003742AF" w:rsidP="00043208">
            <w:pPr>
              <w:spacing w:before="60" w:after="60"/>
              <w:jc w:val="right"/>
              <w:rPr>
                <w:sz w:val="21"/>
                <w:szCs w:val="21"/>
                <w:lang w:val="en-CA"/>
              </w:rPr>
            </w:pPr>
            <w:r w:rsidRPr="00043208">
              <w:rPr>
                <w:sz w:val="21"/>
                <w:szCs w:val="21"/>
                <w:lang w:val="en-CA"/>
              </w:rPr>
              <w:t>122,759</w:t>
            </w:r>
          </w:p>
        </w:tc>
      </w:tr>
      <w:tr w:rsidR="007964BC" w:rsidRPr="007964BC" w14:paraId="05BD7DFC" w14:textId="77777777" w:rsidTr="00C3353F">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0D907836" w14:textId="77777777" w:rsidR="003742AF" w:rsidRPr="00043208" w:rsidRDefault="003742AF" w:rsidP="00043208">
            <w:pPr>
              <w:spacing w:before="60" w:after="60"/>
              <w:rPr>
                <w:sz w:val="21"/>
                <w:szCs w:val="21"/>
                <w:lang w:val="en-CA"/>
              </w:rPr>
            </w:pPr>
            <w:r w:rsidRPr="00043208">
              <w:rPr>
                <w:sz w:val="21"/>
                <w:szCs w:val="21"/>
                <w:lang w:val="en-CA"/>
              </w:rPr>
              <w:t>Percentage of CTC production</w:t>
            </w:r>
          </w:p>
        </w:tc>
        <w:tc>
          <w:tcPr>
            <w:tcW w:w="1701" w:type="dxa"/>
            <w:tcBorders>
              <w:top w:val="nil"/>
              <w:left w:val="nil"/>
              <w:bottom w:val="single" w:sz="4" w:space="0" w:color="auto"/>
              <w:right w:val="single" w:sz="4" w:space="0" w:color="auto"/>
            </w:tcBorders>
            <w:shd w:val="clear" w:color="auto" w:fill="auto"/>
            <w:noWrap/>
            <w:tcMar>
              <w:right w:w="202" w:type="dxa"/>
            </w:tcMar>
            <w:vAlign w:val="bottom"/>
            <w:hideMark/>
          </w:tcPr>
          <w:p w14:paraId="7A606437" w14:textId="77777777" w:rsidR="003742AF" w:rsidRPr="00043208" w:rsidRDefault="003742AF" w:rsidP="00043208">
            <w:pPr>
              <w:spacing w:before="60" w:after="60"/>
              <w:jc w:val="right"/>
              <w:rPr>
                <w:sz w:val="21"/>
                <w:szCs w:val="21"/>
                <w:lang w:val="en-CA"/>
              </w:rPr>
            </w:pPr>
            <w:r w:rsidRPr="00043208">
              <w:rPr>
                <w:sz w:val="21"/>
                <w:szCs w:val="21"/>
                <w:lang w:val="en-CA"/>
              </w:rPr>
              <w:t>4.73%</w:t>
            </w:r>
          </w:p>
        </w:tc>
        <w:tc>
          <w:tcPr>
            <w:tcW w:w="1418" w:type="dxa"/>
            <w:tcBorders>
              <w:top w:val="nil"/>
              <w:left w:val="nil"/>
              <w:bottom w:val="single" w:sz="4" w:space="0" w:color="auto"/>
              <w:right w:val="single" w:sz="4" w:space="0" w:color="auto"/>
            </w:tcBorders>
            <w:shd w:val="clear" w:color="auto" w:fill="auto"/>
            <w:noWrap/>
            <w:tcMar>
              <w:right w:w="202" w:type="dxa"/>
            </w:tcMar>
            <w:vAlign w:val="bottom"/>
            <w:hideMark/>
          </w:tcPr>
          <w:p w14:paraId="5EF17F73" w14:textId="77777777" w:rsidR="003742AF" w:rsidRPr="00043208" w:rsidRDefault="003742AF" w:rsidP="00043208">
            <w:pPr>
              <w:spacing w:before="60" w:after="60"/>
              <w:jc w:val="right"/>
              <w:rPr>
                <w:sz w:val="21"/>
                <w:szCs w:val="21"/>
                <w:lang w:val="en-CA"/>
              </w:rPr>
            </w:pPr>
            <w:r w:rsidRPr="00043208">
              <w:rPr>
                <w:sz w:val="21"/>
                <w:szCs w:val="21"/>
                <w:lang w:val="en-CA"/>
              </w:rPr>
              <w:t>4.67%</w:t>
            </w:r>
          </w:p>
        </w:tc>
        <w:tc>
          <w:tcPr>
            <w:tcW w:w="1417" w:type="dxa"/>
            <w:tcBorders>
              <w:top w:val="nil"/>
              <w:left w:val="nil"/>
              <w:bottom w:val="single" w:sz="4" w:space="0" w:color="auto"/>
              <w:right w:val="single" w:sz="4" w:space="0" w:color="auto"/>
            </w:tcBorders>
            <w:shd w:val="clear" w:color="auto" w:fill="auto"/>
            <w:noWrap/>
            <w:tcMar>
              <w:right w:w="202" w:type="dxa"/>
            </w:tcMar>
            <w:vAlign w:val="bottom"/>
            <w:hideMark/>
          </w:tcPr>
          <w:p w14:paraId="71B34726" w14:textId="77777777" w:rsidR="003742AF" w:rsidRPr="00043208" w:rsidRDefault="003742AF" w:rsidP="00043208">
            <w:pPr>
              <w:spacing w:before="60" w:after="60"/>
              <w:jc w:val="right"/>
              <w:rPr>
                <w:sz w:val="21"/>
                <w:szCs w:val="21"/>
                <w:lang w:val="en-CA"/>
              </w:rPr>
            </w:pPr>
            <w:r w:rsidRPr="00043208">
              <w:rPr>
                <w:sz w:val="21"/>
                <w:szCs w:val="21"/>
                <w:lang w:val="en-CA"/>
              </w:rPr>
              <w:t>4.75%</w:t>
            </w:r>
          </w:p>
        </w:tc>
      </w:tr>
    </w:tbl>
    <w:p w14:paraId="7BEB281C" w14:textId="77777777" w:rsidR="003D5040" w:rsidRDefault="003D5040" w:rsidP="00186FDC">
      <w:pPr>
        <w:rPr>
          <w:lang w:eastAsia="fr-FR"/>
        </w:rPr>
      </w:pPr>
    </w:p>
    <w:p w14:paraId="7850FDE9" w14:textId="69050878" w:rsidR="003742AF" w:rsidRPr="00043208" w:rsidRDefault="008030CC" w:rsidP="00186FDC">
      <w:pPr>
        <w:rPr>
          <w:highlight w:val="yellow"/>
          <w:lang w:eastAsia="fr-FR"/>
        </w:rPr>
      </w:pPr>
      <w:r>
        <w:rPr>
          <w:lang w:eastAsia="fr-FR"/>
        </w:rPr>
        <w:t xml:space="preserve">The CTC production in China, </w:t>
      </w:r>
      <w:r w:rsidR="004200B5">
        <w:rPr>
          <w:lang w:eastAsia="fr-FR"/>
        </w:rPr>
        <w:t xml:space="preserve">about </w:t>
      </w:r>
      <w:r>
        <w:rPr>
          <w:lang w:eastAsia="fr-FR"/>
        </w:rPr>
        <w:t>12</w:t>
      </w:r>
      <w:r w:rsidR="004200B5">
        <w:rPr>
          <w:lang w:eastAsia="fr-FR"/>
        </w:rPr>
        <w:t>3</w:t>
      </w:r>
      <w:r>
        <w:rPr>
          <w:lang w:eastAsia="fr-FR"/>
        </w:rPr>
        <w:t xml:space="preserve"> </w:t>
      </w:r>
      <w:proofErr w:type="spellStart"/>
      <w:r>
        <w:rPr>
          <w:lang w:eastAsia="fr-FR"/>
        </w:rPr>
        <w:t>kilotonnes</w:t>
      </w:r>
      <w:proofErr w:type="spellEnd"/>
      <w:r>
        <w:rPr>
          <w:lang w:eastAsia="fr-FR"/>
        </w:rPr>
        <w:t xml:space="preserve"> in 2017, were accounted as 32% (39 </w:t>
      </w:r>
      <w:proofErr w:type="spellStart"/>
      <w:r>
        <w:rPr>
          <w:lang w:eastAsia="fr-FR"/>
        </w:rPr>
        <w:t>kilotonnes</w:t>
      </w:r>
      <w:proofErr w:type="spellEnd"/>
      <w:r>
        <w:rPr>
          <w:lang w:eastAsia="fr-FR"/>
        </w:rPr>
        <w:t xml:space="preserve">) used as feedstock for external plants for non-ODS production (including HFC-245fa), and 68% (84 </w:t>
      </w:r>
      <w:proofErr w:type="spellStart"/>
      <w:r>
        <w:rPr>
          <w:lang w:eastAsia="fr-FR"/>
        </w:rPr>
        <w:t>kilotonnes</w:t>
      </w:r>
      <w:proofErr w:type="spellEnd"/>
      <w:r>
        <w:rPr>
          <w:lang w:eastAsia="fr-FR"/>
        </w:rPr>
        <w:t>) converted to methyl chloride, chloroform or PCE within the chloromethanes plants</w:t>
      </w:r>
      <w:r w:rsidRPr="00422C99">
        <w:rPr>
          <w:rStyle w:val="FootnoteReference"/>
          <w:color w:val="1F3864" w:themeColor="accent5" w:themeShade="80"/>
        </w:rPr>
        <w:footnoteReference w:id="85"/>
      </w:r>
      <w:r>
        <w:rPr>
          <w:lang w:eastAsia="fr-FR"/>
        </w:rPr>
        <w:t>.</w:t>
      </w:r>
    </w:p>
    <w:p w14:paraId="3653D023" w14:textId="05BE43C3" w:rsidR="00BB35E7" w:rsidRPr="00CD47E6" w:rsidRDefault="008E15BE" w:rsidP="00751ECE">
      <w:pPr>
        <w:pStyle w:val="Heading3"/>
      </w:pPr>
      <w:bookmarkStart w:id="157" w:name="_Toc73045614"/>
      <w:r>
        <w:t>3.</w:t>
      </w:r>
      <w:r w:rsidR="000C6F78">
        <w:t>3</w:t>
      </w:r>
      <w:r>
        <w:t>.</w:t>
      </w:r>
      <w:r w:rsidR="00C30903">
        <w:t>2</w:t>
      </w:r>
      <w:r w:rsidR="00BB35E7">
        <w:tab/>
      </w:r>
      <w:r w:rsidR="00BB35E7" w:rsidRPr="00CD47E6">
        <w:t xml:space="preserve">Monitoring and </w:t>
      </w:r>
      <w:r w:rsidR="00BB35E7">
        <w:t>c</w:t>
      </w:r>
      <w:r w:rsidR="00BB35E7" w:rsidRPr="00CD47E6">
        <w:t>ontrol of CTC feedstock use</w:t>
      </w:r>
      <w:bookmarkEnd w:id="157"/>
    </w:p>
    <w:p w14:paraId="56CE9656" w14:textId="6EF14F88" w:rsidR="00BB35E7" w:rsidRPr="00CD47E6" w:rsidRDefault="00BB35E7" w:rsidP="00BB35E7">
      <w:r w:rsidRPr="00CD47E6">
        <w:t xml:space="preserve">The linkage between CTC production and </w:t>
      </w:r>
      <w:r w:rsidR="0007193C">
        <w:t xml:space="preserve">potential </w:t>
      </w:r>
      <w:r w:rsidRPr="00CD47E6">
        <w:t xml:space="preserve">CFC-11 production is disrupted by a range of measures implemented by parties that produce or import CTC. There are </w:t>
      </w:r>
      <w:r>
        <w:t>a range of measures</w:t>
      </w:r>
      <w:r w:rsidRPr="00CD47E6">
        <w:t xml:space="preserve"> that can contribute to the prevention of </w:t>
      </w:r>
      <w:r>
        <w:t>prohibited</w:t>
      </w:r>
      <w:r w:rsidRPr="00CD47E6">
        <w:t xml:space="preserve"> use</w:t>
      </w:r>
      <w:r>
        <w:t>s</w:t>
      </w:r>
      <w:r w:rsidRPr="00CD47E6">
        <w:t xml:space="preserve"> </w:t>
      </w:r>
      <w:r>
        <w:t>arising from</w:t>
      </w:r>
      <w:r w:rsidRPr="00CD47E6">
        <w:t xml:space="preserve"> CTC</w:t>
      </w:r>
      <w:r>
        <w:t xml:space="preserve"> production</w:t>
      </w:r>
      <w:r w:rsidR="00F7453D">
        <w:t xml:space="preserve"> for </w:t>
      </w:r>
      <w:r w:rsidR="00172BE8">
        <w:t xml:space="preserve">legitimate </w:t>
      </w:r>
      <w:r w:rsidR="00F7453D">
        <w:t>feedstock uses</w:t>
      </w:r>
      <w:r w:rsidRPr="00CD47E6">
        <w:t xml:space="preserve">. </w:t>
      </w:r>
      <w:r>
        <w:t>Three are outlined below.</w:t>
      </w:r>
    </w:p>
    <w:p w14:paraId="4E6A4E30" w14:textId="1A61054B" w:rsidR="00BB35E7" w:rsidRPr="00CD47E6" w:rsidRDefault="00BB35E7" w:rsidP="00BB35E7">
      <w:r w:rsidRPr="00CD47E6">
        <w:rPr>
          <w:b/>
          <w:bCs/>
        </w:rPr>
        <w:t>International Trade Controls</w:t>
      </w:r>
      <w:r w:rsidRPr="00CD47E6">
        <w:t>: CTC imports and exports are reported to the Ozone Secretariat under Article 7 data reporting requirements. Any imported CTC requires an import licence</w:t>
      </w:r>
      <w:r w:rsidR="00835092">
        <w:t>,</w:t>
      </w:r>
      <w:r w:rsidRPr="00CD47E6">
        <w:t xml:space="preserve"> and export</w:t>
      </w:r>
      <w:r w:rsidR="00225B2A">
        <w:t>ed CTC</w:t>
      </w:r>
      <w:r w:rsidRPr="00CD47E6">
        <w:t xml:space="preserve"> is </w:t>
      </w:r>
      <w:r w:rsidR="00225B2A">
        <w:t xml:space="preserve">also </w:t>
      </w:r>
      <w:r w:rsidRPr="00CD47E6">
        <w:t>subject to controls through licensing.</w:t>
      </w:r>
    </w:p>
    <w:p w14:paraId="4D5CC6EF" w14:textId="1714C10D" w:rsidR="003014C3" w:rsidRDefault="00BB35E7" w:rsidP="00BB35E7">
      <w:r w:rsidRPr="00CD47E6">
        <w:rPr>
          <w:b/>
          <w:bCs/>
        </w:rPr>
        <w:t>Reporting of CTC production and use as feedstock</w:t>
      </w:r>
      <w:r w:rsidRPr="00CD47E6">
        <w:t xml:space="preserve">: Production within a party must be reported to the Ozone Secretariat under Article 7 data reporting requirements. Some parties ensure that the quantities of CTC produced or imported </w:t>
      </w:r>
      <w:r w:rsidR="00124AED">
        <w:t>are</w:t>
      </w:r>
      <w:r w:rsidRPr="00CD47E6">
        <w:t xml:space="preserve"> matched to the quantities used as feedstock through </w:t>
      </w:r>
      <w:r w:rsidR="00D2016C">
        <w:t xml:space="preserve">statutory </w:t>
      </w:r>
      <w:r w:rsidRPr="00CD47E6">
        <w:t xml:space="preserve">reporting requirements. </w:t>
      </w:r>
    </w:p>
    <w:p w14:paraId="5F466552" w14:textId="427E1FC0" w:rsidR="00BB35E7" w:rsidRPr="00CD47E6" w:rsidRDefault="00E63ECA" w:rsidP="00BB35E7">
      <w:r w:rsidRPr="00E63ECA">
        <w:t xml:space="preserve">In the </w:t>
      </w:r>
      <w:r w:rsidR="00710E02">
        <w:t>European Union</w:t>
      </w:r>
      <w:r w:rsidRPr="00E63ECA">
        <w:t xml:space="preserve">, regulation 1005/2009 requires undertakings </w:t>
      </w:r>
      <w:r w:rsidR="00135610" w:rsidRPr="00135610">
        <w:t>that use feedstock to report the quantities used, specify the chemical process and indicate the final chemical produced</w:t>
      </w:r>
      <w:r w:rsidR="00BB35E7" w:rsidRPr="00135610">
        <w:t>.</w:t>
      </w:r>
      <w:r w:rsidR="00BB35E7" w:rsidRPr="00CD47E6">
        <w:t xml:space="preserve"> </w:t>
      </w:r>
      <w:r w:rsidR="00E76A11">
        <w:t>Japan</w:t>
      </w:r>
      <w:r w:rsidR="0060238F">
        <w:t>, Russia and the United States also produce CTC for their own use as feedstock</w:t>
      </w:r>
      <w:r w:rsidR="000A1147">
        <w:t xml:space="preserve">, with </w:t>
      </w:r>
      <w:r w:rsidR="001C6F27">
        <w:t xml:space="preserve">associated </w:t>
      </w:r>
      <w:r w:rsidR="000A1147">
        <w:t>regulatory reporting requirements.</w:t>
      </w:r>
    </w:p>
    <w:p w14:paraId="2AA9EB7C" w14:textId="316E4300" w:rsidR="00BB35E7" w:rsidRPr="00CD47E6" w:rsidRDefault="00BB35E7" w:rsidP="00BB35E7">
      <w:r w:rsidRPr="00CD47E6">
        <w:t xml:space="preserve">In China, feedstock use is subject to an annual </w:t>
      </w:r>
      <w:r w:rsidR="00B70716">
        <w:t xml:space="preserve">statutory </w:t>
      </w:r>
      <w:r w:rsidRPr="00CD47E6">
        <w:t>registration management system. Enterprises that supply CTC are subject to annual sales registration management. They are only allowed to sell CTC to enterprises holding CTC consumption quotas or with registration qualification from the Ministry of Ecology and Environment (MEE) for feedstock use. All CTC enterprises must report relevant CTC production, sales and consumption data to the MEE. Only three CMs producers are allowed to sell CTC for feedstock uses. Feedstock users are not allowed to sell CTC and can only use it for the use for which they were registered</w:t>
      </w:r>
      <w:r w:rsidR="004F083C">
        <w:t xml:space="preserve">, which </w:t>
      </w:r>
      <w:r w:rsidRPr="00CD47E6">
        <w:t xml:space="preserve">is specified in their </w:t>
      </w:r>
      <w:r w:rsidR="000B1E61">
        <w:t>E</w:t>
      </w:r>
      <w:r w:rsidRPr="00CD47E6">
        <w:t xml:space="preserve">nvironmental </w:t>
      </w:r>
      <w:r w:rsidR="000B1E61">
        <w:t>I</w:t>
      </w:r>
      <w:r w:rsidRPr="00CD47E6">
        <w:t xml:space="preserve">mpact </w:t>
      </w:r>
      <w:r w:rsidR="000B1E61">
        <w:t>A</w:t>
      </w:r>
      <w:r w:rsidRPr="00CD47E6">
        <w:t>ssessment (EIA)</w:t>
      </w:r>
      <w:r w:rsidRPr="00997266">
        <w:rPr>
          <w:rStyle w:val="FootnoteReference"/>
        </w:rPr>
        <w:footnoteReference w:id="86"/>
      </w:r>
      <w:r w:rsidR="00D86037">
        <w:t>.</w:t>
      </w:r>
    </w:p>
    <w:p w14:paraId="53BBAEB7" w14:textId="2571271A" w:rsidR="00BB35E7" w:rsidRDefault="00BB35E7" w:rsidP="00BB35E7">
      <w:pPr>
        <w:rPr>
          <w:highlight w:val="yellow"/>
        </w:rPr>
      </w:pPr>
      <w:r w:rsidRPr="0023430D">
        <w:lastRenderedPageBreak/>
        <w:t>In India, all production of CTC is during the production of chloromethane</w:t>
      </w:r>
      <w:r w:rsidR="00CC2BFD">
        <w:t>s</w:t>
      </w:r>
      <w:r w:rsidRPr="0023430D">
        <w:t>, where CTC gets co-produced. CTC is allowed to be used exclusively as a feedstock. The monitoring of CTC production for feedstock uses is integrated in</w:t>
      </w:r>
      <w:r w:rsidR="00003C8E">
        <w:t>to</w:t>
      </w:r>
      <w:r w:rsidRPr="0023430D">
        <w:t xml:space="preserve"> the country’s statutory framework to make it enforceable under the prevailing reporting system. All the </w:t>
      </w:r>
      <w:r w:rsidR="00097BBC">
        <w:t xml:space="preserve">CTC </w:t>
      </w:r>
      <w:r w:rsidRPr="0023430D">
        <w:t xml:space="preserve">producers and consumers are registered under the ODS (Regulation and Control) Rules, there is an annual statutory reporting requirement for monitoring CTC </w:t>
      </w:r>
      <w:r w:rsidR="008D55A0">
        <w:t>p</w:t>
      </w:r>
      <w:r w:rsidRPr="0023430D">
        <w:t>roduction and feedstock use that is applicable to all enterprises and use of CTC is prohibited for non-feedstock applications. The monitoring system, requires all enterprises manufacturing CTC for feedstock use to annually report to the regulatory authorities their CTC production, opening and closing stocks. CTC feedstock users are also subjected to statutory reporting requirements on an annual basis. The import of CTC for feedstock is under a licen</w:t>
      </w:r>
      <w:r w:rsidR="00DB0A6D">
        <w:t>c</w:t>
      </w:r>
      <w:r w:rsidRPr="0023430D">
        <w:t>e issued by the Directorate General of Foreign Trade, Ministry of Commerce and Industry, based on the recommendations of the Ozone unit. The application for import details the nature of use and the process to be followed, which is certified independently, if required, for conformity with the feedstock processes.</w:t>
      </w:r>
    </w:p>
    <w:p w14:paraId="143AB897" w14:textId="38FD92A3" w:rsidR="00BB35E7" w:rsidRPr="00F479EA" w:rsidRDefault="00BB35E7" w:rsidP="00BB35E7">
      <w:r w:rsidRPr="00CD47E6">
        <w:rPr>
          <w:b/>
          <w:bCs/>
        </w:rPr>
        <w:t xml:space="preserve">Enhanced monitoring: </w:t>
      </w:r>
      <w:r w:rsidRPr="00CD47E6">
        <w:t xml:space="preserve">In China, </w:t>
      </w:r>
      <w:r w:rsidR="00C423EE" w:rsidRPr="00CD47E6">
        <w:t>since 2019</w:t>
      </w:r>
      <w:r w:rsidR="00C423EE">
        <w:t>,</w:t>
      </w:r>
      <w:r w:rsidR="00C423EE" w:rsidRPr="00CD47E6">
        <w:t xml:space="preserve"> </w:t>
      </w:r>
      <w:r w:rsidRPr="00CD47E6">
        <w:t xml:space="preserve">the MEE has imposed additional control measures on enterprises generating CTC as by-product to prevent </w:t>
      </w:r>
      <w:r w:rsidR="00C423EE" w:rsidRPr="00CD47E6">
        <w:t xml:space="preserve">illegal </w:t>
      </w:r>
      <w:r w:rsidRPr="00CD47E6">
        <w:t xml:space="preserve">CFC-11 production. The measures require all </w:t>
      </w:r>
      <w:r w:rsidR="00355D48">
        <w:t>chloromethanes</w:t>
      </w:r>
      <w:r w:rsidRPr="00CD47E6">
        <w:t xml:space="preserve"> production enterprises to install a whole-process, real-time monitoring system. Mass flow meters for CTC by-product have been installed, covering CTC measurement in</w:t>
      </w:r>
      <w:r w:rsidR="004457D0">
        <w:t>,</w:t>
      </w:r>
      <w:r w:rsidRPr="00CD47E6">
        <w:t xml:space="preserve"> </w:t>
      </w:r>
      <w:r w:rsidRPr="00CD47E6">
        <w:rPr>
          <w:i/>
          <w:iCs/>
        </w:rPr>
        <w:t>inter alia</w:t>
      </w:r>
      <w:r w:rsidR="004457D0" w:rsidRPr="00CD0A17">
        <w:t>,</w:t>
      </w:r>
      <w:r w:rsidRPr="00CD47E6">
        <w:rPr>
          <w:i/>
          <w:iCs/>
        </w:rPr>
        <w:t xml:space="preserve"> </w:t>
      </w:r>
      <w:r w:rsidRPr="00CD47E6">
        <w:t xml:space="preserve">production, storage, conversion, sales, and residual liquid. The system aims to enable online monitoring of </w:t>
      </w:r>
      <w:r w:rsidR="00FE2E39">
        <w:t>chloromethanes</w:t>
      </w:r>
      <w:r w:rsidRPr="00CD47E6">
        <w:t xml:space="preserve"> </w:t>
      </w:r>
      <w:r w:rsidR="00A575CA">
        <w:t xml:space="preserve">production </w:t>
      </w:r>
      <w:r w:rsidRPr="00CD47E6">
        <w:t xml:space="preserve">enterprises. Starting from June 2019, the MEE has dispatched supervisory working groups to all 16 </w:t>
      </w:r>
      <w:r w:rsidR="00FE2E39">
        <w:t>chloromethanes</w:t>
      </w:r>
      <w:r w:rsidRPr="00CD47E6">
        <w:t xml:space="preserve"> production enterprises nationwide to carry out on-site inspections of CTC crude output, purification, residue, storage, conversion and sales and other key processes to ensure </w:t>
      </w:r>
      <w:r w:rsidR="00EC1B12">
        <w:t>complian</w:t>
      </w:r>
      <w:r w:rsidR="009A4AF5">
        <w:t>ce</w:t>
      </w:r>
      <w:r w:rsidRPr="00CD47E6">
        <w:t xml:space="preserve">. The MEE </w:t>
      </w:r>
      <w:r w:rsidR="00B92376">
        <w:t>has committed to</w:t>
      </w:r>
      <w:r w:rsidR="00B92376" w:rsidRPr="00CD47E6">
        <w:t xml:space="preserve"> </w:t>
      </w:r>
      <w:r w:rsidRPr="00CD47E6">
        <w:t>continue to improve the system of laws and regulations and intensive supervision and law enforcement</w:t>
      </w:r>
      <w:r w:rsidRPr="00997266">
        <w:rPr>
          <w:rStyle w:val="FootnoteReference"/>
        </w:rPr>
        <w:footnoteReference w:id="87"/>
      </w:r>
      <w:r w:rsidR="00D86037">
        <w:t>.</w:t>
      </w:r>
    </w:p>
    <w:p w14:paraId="22267EC7" w14:textId="77FF1243" w:rsidR="008542F5" w:rsidRDefault="008542F5" w:rsidP="008542F5">
      <w:pPr>
        <w:rPr>
          <w:lang w:val="en-US"/>
        </w:rPr>
      </w:pPr>
    </w:p>
    <w:p w14:paraId="70CEB2E3" w14:textId="77777777" w:rsidR="00AA5923" w:rsidRDefault="00AA5923">
      <w:pPr>
        <w:pStyle w:val="Heading1"/>
        <w:sectPr w:rsidR="00AA5923" w:rsidSect="00D276FA">
          <w:type w:val="oddPage"/>
          <w:pgSz w:w="11907" w:h="16839" w:code="9"/>
          <w:pgMar w:top="1701" w:right="1797" w:bottom="1871" w:left="1797" w:header="720" w:footer="794" w:gutter="0"/>
          <w:cols w:space="720"/>
          <w:docGrid w:linePitch="299"/>
        </w:sectPr>
      </w:pPr>
    </w:p>
    <w:p w14:paraId="0BE37954" w14:textId="17DC12EC" w:rsidR="008542F5" w:rsidRPr="00751ECE" w:rsidRDefault="008542F5">
      <w:pPr>
        <w:pStyle w:val="Heading1"/>
      </w:pPr>
      <w:bookmarkStart w:id="158" w:name="_Toc73045615"/>
      <w:r w:rsidRPr="00751ECE">
        <w:lastRenderedPageBreak/>
        <w:t>4</w:t>
      </w:r>
      <w:r w:rsidRPr="00751ECE">
        <w:tab/>
        <w:t>Possible drivers of illegal production of and trade in CFC-11</w:t>
      </w:r>
      <w:bookmarkEnd w:id="158"/>
    </w:p>
    <w:p w14:paraId="50948C62" w14:textId="77777777" w:rsidR="002313D4" w:rsidRPr="00E63512" w:rsidRDefault="6EBD5738">
      <w:pPr>
        <w:pStyle w:val="Heading2"/>
      </w:pPr>
      <w:bookmarkStart w:id="159" w:name="_Toc73045616"/>
      <w:r>
        <w:t>4.1</w:t>
      </w:r>
      <w:r w:rsidR="008542F5">
        <w:tab/>
      </w:r>
      <w:r>
        <w:t>Demand for CFC-11 in foams</w:t>
      </w:r>
      <w:bookmarkEnd w:id="159"/>
    </w:p>
    <w:p w14:paraId="1668EBD9" w14:textId="677ACACA" w:rsidR="008542F5" w:rsidRDefault="0075386C">
      <w:pPr>
        <w:pStyle w:val="Heading3"/>
      </w:pPr>
      <w:bookmarkStart w:id="160" w:name="_Toc73045617"/>
      <w:r>
        <w:t>4.1.1</w:t>
      </w:r>
      <w:r>
        <w:tab/>
      </w:r>
      <w:r w:rsidR="6EBD5738" w:rsidRPr="6EBD5738">
        <w:t>Drivers and feasibility of converting to CFC-11</w:t>
      </w:r>
      <w:bookmarkEnd w:id="160"/>
    </w:p>
    <w:p w14:paraId="6C87464A" w14:textId="608B2557" w:rsidR="1CAEEFD9" w:rsidRDefault="00330BA1" w:rsidP="00D86037">
      <w:pPr>
        <w:rPr>
          <w:color w:val="000000" w:themeColor="text1"/>
          <w:lang w:val="en-AU"/>
        </w:rPr>
      </w:pPr>
      <w:r>
        <w:t>T</w:t>
      </w:r>
      <w:r w:rsidR="1CAEEFD9">
        <w:t xml:space="preserve">he </w:t>
      </w:r>
      <w:r>
        <w:t>2019</w:t>
      </w:r>
      <w:r w:rsidR="0012296D">
        <w:t xml:space="preserve"> </w:t>
      </w:r>
      <w:r w:rsidR="1CAEEFD9">
        <w:t>Task Force</w:t>
      </w:r>
      <w:r w:rsidR="1CAEEFD9" w:rsidDel="0012296D">
        <w:t xml:space="preserve"> </w:t>
      </w:r>
      <w:r w:rsidR="1CAEEFD9">
        <w:t xml:space="preserve">concluded it likely that there has been a resumption of newly produced CFC-11 usage in closed-cell foams. The </w:t>
      </w:r>
      <w:r>
        <w:t xml:space="preserve">2019 </w:t>
      </w:r>
      <w:r w:rsidR="1CAEEFD9">
        <w:t>Task Force</w:t>
      </w:r>
      <w:r w:rsidR="1CAEEFD9" w:rsidRPr="1CAEEFD9">
        <w:rPr>
          <w:lang w:val="en-AU"/>
        </w:rPr>
        <w:t xml:space="preserve"> considered it economically feasible and technically straight-forward to revert to using CFC-11 from HCFC-141b, or another fluorocarbon, for </w:t>
      </w:r>
      <w:r w:rsidR="1061C58E" w:rsidRPr="1061C58E">
        <w:rPr>
          <w:lang w:val="en-AU"/>
        </w:rPr>
        <w:t xml:space="preserve">manufacturing </w:t>
      </w:r>
      <w:r w:rsidR="1CAEEFD9" w:rsidRPr="1CAEEFD9">
        <w:rPr>
          <w:lang w:val="en-AU"/>
        </w:rPr>
        <w:t xml:space="preserve">closed-cell foams as the associated raw materials and equipment used to produce these foams are compatible, with only slight modifications to ingredient ratios needed. In addition, there are a number of regulatory, cost and technical drivers that might further encourage the reversion to CFC-11, including a shortage of HCFC-141b resulting from its phase-out. </w:t>
      </w:r>
    </w:p>
    <w:p w14:paraId="05E936E2" w14:textId="28B98443" w:rsidR="1CAEEFD9" w:rsidRDefault="1CAEEFD9" w:rsidP="00D86037">
      <w:r>
        <w:t xml:space="preserve">The </w:t>
      </w:r>
      <w:r w:rsidR="00330BA1">
        <w:t xml:space="preserve">2019 </w:t>
      </w:r>
      <w:r>
        <w:t xml:space="preserve">Task Force also concluded that it was economically unlikely that CFC-11 would replace the very low-cost dichloromethane in open-cell foams, or that emissions could be explained by traditional end-of-life handling of foams manufactured with CFC-11 and produced before 2010. </w:t>
      </w:r>
    </w:p>
    <w:p w14:paraId="1E8F2FAC" w14:textId="605ECAC4" w:rsidR="1CAEEFD9" w:rsidRDefault="1CAEEFD9" w:rsidP="00D86037">
      <w:r w:rsidRPr="1CAEEFD9">
        <w:rPr>
          <w:lang w:val="en-AU"/>
        </w:rPr>
        <w:t xml:space="preserve">There are concerns related to conversion of enterprises in the spray foam sector, with </w:t>
      </w:r>
      <w:r w:rsidR="002004CD" w:rsidRPr="6EBD5738">
        <w:rPr>
          <w:szCs w:val="22"/>
          <w:lang w:val="en-US"/>
        </w:rPr>
        <w:t xml:space="preserve">small and medium enterprises </w:t>
      </w:r>
      <w:r w:rsidR="002004CD">
        <w:rPr>
          <w:szCs w:val="22"/>
          <w:lang w:val="en-US"/>
        </w:rPr>
        <w:t>(</w:t>
      </w:r>
      <w:r w:rsidRPr="1CAEEFD9">
        <w:rPr>
          <w:lang w:val="en-AU"/>
        </w:rPr>
        <w:t>SMEs</w:t>
      </w:r>
      <w:r w:rsidR="002004CD">
        <w:rPr>
          <w:lang w:val="en-AU"/>
        </w:rPr>
        <w:t>)</w:t>
      </w:r>
      <w:r w:rsidRPr="1CAEEFD9">
        <w:rPr>
          <w:lang w:val="en-AU"/>
        </w:rPr>
        <w:t xml:space="preserve"> experiencing the most challenging issues, that </w:t>
      </w:r>
      <w:r w:rsidR="00AF6472">
        <w:rPr>
          <w:lang w:val="en-AU"/>
        </w:rPr>
        <w:t>could</w:t>
      </w:r>
      <w:r w:rsidR="00AF6472" w:rsidRPr="1CAEEFD9">
        <w:rPr>
          <w:lang w:val="en-AU"/>
        </w:rPr>
        <w:t xml:space="preserve"> </w:t>
      </w:r>
      <w:r w:rsidRPr="1CAEEFD9">
        <w:rPr>
          <w:lang w:val="en-AU"/>
        </w:rPr>
        <w:t xml:space="preserve">have driven </w:t>
      </w:r>
      <w:r w:rsidR="00AF6472">
        <w:rPr>
          <w:lang w:val="en-AU"/>
        </w:rPr>
        <w:t>some</w:t>
      </w:r>
      <w:r w:rsidRPr="1CAEEFD9">
        <w:rPr>
          <w:lang w:val="en-AU"/>
        </w:rPr>
        <w:t xml:space="preserve"> further use and release of CFC-11. However, the </w:t>
      </w:r>
      <w:r w:rsidR="00330BA1">
        <w:rPr>
          <w:lang w:val="en-AU"/>
        </w:rPr>
        <w:t xml:space="preserve">2019 </w:t>
      </w:r>
      <w:r w:rsidRPr="1CAEEFD9">
        <w:rPr>
          <w:lang w:val="en-AU"/>
        </w:rPr>
        <w:t>Task Force concluded that it was unlikely that the emissions could be explained solely by CFC-11 use by SMEs or in the spray foam sector.</w:t>
      </w:r>
    </w:p>
    <w:p w14:paraId="37A151F1" w14:textId="07A61E53" w:rsidR="1CAEEFD9" w:rsidRDefault="1CAEEFD9" w:rsidP="00D86037">
      <w:pPr>
        <w:rPr>
          <w:lang w:val="en-AU"/>
        </w:rPr>
      </w:pPr>
      <w:r w:rsidRPr="1CAEEFD9">
        <w:rPr>
          <w:lang w:val="en-AU"/>
        </w:rPr>
        <w:t>The higher pricing and lack of availability of HCFC-141b related to the ozone-depleting substances (ODS) phase-out combined with the technical ease of conversion to CFC-11 could be a driver for reverting to use of CFC-11 as a blowing agent. CFC-11 as a blowing agent could also be of interest to companies who erroneously believe that it may reduce foam flammability without using expensive fire retardants.</w:t>
      </w:r>
    </w:p>
    <w:p w14:paraId="35581AAE" w14:textId="6E0D1B98" w:rsidR="00187834" w:rsidDel="00C6633D" w:rsidRDefault="00187834" w:rsidP="00751ECE">
      <w:pPr>
        <w:pStyle w:val="Heading3"/>
      </w:pPr>
      <w:bookmarkStart w:id="161" w:name="_Toc73045618"/>
      <w:r w:rsidDel="00C6633D">
        <w:t>4.1.</w:t>
      </w:r>
      <w:r>
        <w:t>2</w:t>
      </w:r>
      <w:r w:rsidDel="00C6633D">
        <w:tab/>
      </w:r>
      <w:r w:rsidRPr="6EBD5738" w:rsidDel="00C6633D">
        <w:t>Technical feasibility and implications of reverting to CFC-11 use in foams</w:t>
      </w:r>
      <w:bookmarkEnd w:id="161"/>
    </w:p>
    <w:p w14:paraId="10045BE8" w14:textId="77777777" w:rsidR="00187834" w:rsidDel="00C6633D" w:rsidRDefault="00187834" w:rsidP="00187834">
      <w:r w:rsidRPr="6EBD5738" w:rsidDel="00C6633D">
        <w:rPr>
          <w:szCs w:val="22"/>
        </w:rPr>
        <w:t xml:space="preserve">A brief summary of the technical feasibility and implications of reverting to CFC-11 in foam use is provided below. </w:t>
      </w:r>
    </w:p>
    <w:p w14:paraId="12468CD4" w14:textId="77777777" w:rsidR="00187834" w:rsidDel="00C6633D" w:rsidRDefault="00187834" w:rsidP="00187834">
      <w:r w:rsidRPr="6EBD5738" w:rsidDel="00C6633D">
        <w:rPr>
          <w:szCs w:val="22"/>
        </w:rPr>
        <w:t>CFC-11 conversion to HCFC-141b required significant adjustments to the formulation because of HCFC-141b solvent properties. However, replacing HCFC-141b by CFC-11 in an HCFC-141b formulation would require minimal adjustment. More adjustments would be required for use of CFC-11 in hydrocarbon or HFC formulations.</w:t>
      </w:r>
      <w:r w:rsidDel="00C6633D">
        <w:rPr>
          <w:szCs w:val="22"/>
        </w:rPr>
        <w:t xml:space="preserve"> </w:t>
      </w:r>
    </w:p>
    <w:p w14:paraId="379567AD" w14:textId="77777777" w:rsidR="00187834" w:rsidDel="00C6633D" w:rsidRDefault="00187834" w:rsidP="00187834">
      <w:r w:rsidRPr="6EBD5738" w:rsidDel="00C6633D">
        <w:rPr>
          <w:szCs w:val="22"/>
        </w:rPr>
        <w:t xml:space="preserve">Many of the additives used for foams produced with CFC-11 are also used for foams produced with other foam blowing agents. (e.g., surfactants and catalysts). For example, gelling/blowing catalysts and surfactants that were used for CFC-11 foams and are still used today. </w:t>
      </w:r>
    </w:p>
    <w:p w14:paraId="79B71656" w14:textId="77777777" w:rsidR="00187834" w:rsidDel="00C6633D" w:rsidRDefault="00187834" w:rsidP="00187834">
      <w:r w:rsidRPr="6EBD5738" w:rsidDel="00C6633D">
        <w:rPr>
          <w:szCs w:val="22"/>
        </w:rPr>
        <w:t xml:space="preserve">Under certain circumstances, CFC-11 can decompose to form chloride and fluoride ions creating hydrochloric and hydrofluoric acid, which reacts with amine catalysts reducing their activity in the foam. Amine catalysts are commonly used in polyol blends and facilitate the reaction of the polyol with diisocyanate to form the urethane polymer foam matrix. Therefore, CFC-11 was supplied with a stabilizer (e.g., </w:t>
      </w:r>
      <w:proofErr w:type="spellStart"/>
      <w:r w:rsidRPr="6EBD5738" w:rsidDel="00C6633D">
        <w:rPr>
          <w:szCs w:val="22"/>
        </w:rPr>
        <w:t>alloocemine</w:t>
      </w:r>
      <w:proofErr w:type="spellEnd"/>
      <w:r w:rsidRPr="6EBD5738" w:rsidDel="00C6633D">
        <w:rPr>
          <w:szCs w:val="22"/>
        </w:rPr>
        <w:t xml:space="preserve">, </w:t>
      </w:r>
      <w:proofErr w:type="spellStart"/>
      <w:r w:rsidRPr="6EBD5738" w:rsidDel="00C6633D">
        <w:rPr>
          <w:szCs w:val="22"/>
        </w:rPr>
        <w:t>alphamethylstyrene</w:t>
      </w:r>
      <w:proofErr w:type="spellEnd"/>
      <w:r w:rsidRPr="6EBD5738" w:rsidDel="00C6633D">
        <w:rPr>
          <w:szCs w:val="22"/>
        </w:rPr>
        <w:t xml:space="preserve">). </w:t>
      </w:r>
      <w:proofErr w:type="spellStart"/>
      <w:r w:rsidRPr="6EBD5738" w:rsidDel="00C6633D">
        <w:rPr>
          <w:szCs w:val="22"/>
        </w:rPr>
        <w:t>Alloocemine</w:t>
      </w:r>
      <w:proofErr w:type="spellEnd"/>
      <w:r w:rsidRPr="6EBD5738" w:rsidDel="00C6633D">
        <w:rPr>
          <w:szCs w:val="22"/>
        </w:rPr>
        <w:t xml:space="preserve"> </w:t>
      </w:r>
      <w:r w:rsidRPr="6EBD5738" w:rsidDel="00C6633D">
        <w:rPr>
          <w:szCs w:val="22"/>
        </w:rPr>
        <w:lastRenderedPageBreak/>
        <w:t xml:space="preserve">stabilizer was not used for HCFC-141b, HFCs or hydrocarbons. However, at least one company added </w:t>
      </w:r>
      <w:proofErr w:type="spellStart"/>
      <w:r w:rsidRPr="6EBD5738" w:rsidDel="00C6633D">
        <w:rPr>
          <w:szCs w:val="22"/>
        </w:rPr>
        <w:t>alphamethylstyrene</w:t>
      </w:r>
      <w:proofErr w:type="spellEnd"/>
      <w:r w:rsidRPr="6EBD5738" w:rsidDel="00C6633D">
        <w:rPr>
          <w:szCs w:val="22"/>
        </w:rPr>
        <w:t xml:space="preserve"> to HCFC-141b.</w:t>
      </w:r>
    </w:p>
    <w:p w14:paraId="08F2746D" w14:textId="1B65C630" w:rsidR="1CAEEFD9" w:rsidRDefault="008D2611" w:rsidP="00751ECE">
      <w:pPr>
        <w:pStyle w:val="Heading3"/>
      </w:pPr>
      <w:bookmarkStart w:id="162" w:name="_Toc73045619"/>
      <w:r>
        <w:t>4.1.</w:t>
      </w:r>
      <w:r w:rsidR="00C6633D">
        <w:t>3</w:t>
      </w:r>
      <w:r>
        <w:tab/>
      </w:r>
      <w:r w:rsidR="6F3C6FA3" w:rsidRPr="6F3C6FA3">
        <w:t xml:space="preserve">Economic and </w:t>
      </w:r>
      <w:r w:rsidR="0085185E" w:rsidRPr="6F3C6FA3">
        <w:t xml:space="preserve">technical viability of transition </w:t>
      </w:r>
      <w:r w:rsidR="6F3C6FA3" w:rsidRPr="6F3C6FA3">
        <w:t>from HCFC-141b to CFC-11</w:t>
      </w:r>
      <w:bookmarkEnd w:id="162"/>
    </w:p>
    <w:p w14:paraId="5EA84DB0" w14:textId="41C91A3D" w:rsidR="008542F5" w:rsidRDefault="6EBD5738" w:rsidP="008542F5">
      <w:r w:rsidRPr="1CAEEFD9">
        <w:rPr>
          <w:lang w:val="en-AU"/>
        </w:rPr>
        <w:t xml:space="preserve">It would be economically attractive and technically straight-forward to revert to using CFC-11 from HCFC-141b, or another fluorocarbon, as the other raw materials and equipment used to produce </w:t>
      </w:r>
      <w:r w:rsidR="1CAEEFD9" w:rsidRPr="1CAEEFD9">
        <w:rPr>
          <w:lang w:val="en-AU"/>
        </w:rPr>
        <w:t xml:space="preserve">polyurethane closed-cell </w:t>
      </w:r>
      <w:r w:rsidRPr="1CAEEFD9">
        <w:rPr>
          <w:lang w:val="en-AU"/>
        </w:rPr>
        <w:t>foams are compatible</w:t>
      </w:r>
      <w:r w:rsidR="004B7C6D">
        <w:rPr>
          <w:lang w:val="en-AU"/>
        </w:rPr>
        <w:t>,</w:t>
      </w:r>
      <w:r w:rsidRPr="1CAEEFD9">
        <w:rPr>
          <w:lang w:val="en-AU"/>
        </w:rPr>
        <w:t xml:space="preserve"> with only slight modifications to ingredient ratios. In addition, there are a number of drivers that might further encourage the transition back to CFC-11. </w:t>
      </w:r>
    </w:p>
    <w:p w14:paraId="05DD06B7" w14:textId="69C9DCC0" w:rsidR="008542F5" w:rsidRDefault="6EBD5738" w:rsidP="6EBD5738">
      <w:r w:rsidRPr="20821D15">
        <w:t xml:space="preserve">Conversion from HCFC-141b back to CFC-11 in </w:t>
      </w:r>
      <w:r w:rsidR="00292262">
        <w:t>polyurethane</w:t>
      </w:r>
      <w:r w:rsidRPr="20821D15">
        <w:t xml:space="preserve"> foams and pre-blended systems would be low-cost with almost no technical changes needed. A single instance of a recently quoted CFC-11 price is lower than market price of HCFC-141b</w:t>
      </w:r>
      <w:r w:rsidR="0063029F" w:rsidRPr="20821D15">
        <w:rPr>
          <w:rStyle w:val="FootnoteReference"/>
        </w:rPr>
        <w:footnoteReference w:id="88"/>
      </w:r>
      <w:r w:rsidR="00D86037">
        <w:t>.</w:t>
      </w:r>
      <w:r w:rsidR="0063029F">
        <w:t xml:space="preserve"> </w:t>
      </w:r>
    </w:p>
    <w:p w14:paraId="73B31743" w14:textId="6EA970B3" w:rsidR="008542F5" w:rsidRDefault="6EBD5738" w:rsidP="6EBD5738">
      <w:pPr>
        <w:rPr>
          <w:szCs w:val="22"/>
        </w:rPr>
      </w:pPr>
      <w:r w:rsidRPr="6EBD5738">
        <w:rPr>
          <w:szCs w:val="22"/>
        </w:rPr>
        <w:t>The phase-out of HCFC-141b in the spray foam sector and in SMEs has created technical and economic challenges that might promote the use of CFC-11</w:t>
      </w:r>
      <w:r w:rsidR="00935BFF">
        <w:rPr>
          <w:szCs w:val="22"/>
        </w:rPr>
        <w:t xml:space="preserve"> for article 5 parties</w:t>
      </w:r>
      <w:r w:rsidRPr="6EBD5738">
        <w:rPr>
          <w:szCs w:val="22"/>
        </w:rPr>
        <w:t>, although actual usage has not been confirmed.</w:t>
      </w:r>
      <w:r w:rsidR="000B7470">
        <w:rPr>
          <w:szCs w:val="22"/>
        </w:rPr>
        <w:t xml:space="preserve"> </w:t>
      </w:r>
      <w:r w:rsidRPr="6EBD5738">
        <w:rPr>
          <w:szCs w:val="22"/>
        </w:rPr>
        <w:t>There is a lack of available HCFC-141b supply due to production phase-out which by design would result in increasing price of HCFC-141b due to the allocation-based supply and demand imbalance.</w:t>
      </w:r>
      <w:r w:rsidR="000D338E">
        <w:rPr>
          <w:szCs w:val="22"/>
        </w:rPr>
        <w:t xml:space="preserve"> This </w:t>
      </w:r>
      <w:r w:rsidR="00083763">
        <w:rPr>
          <w:szCs w:val="22"/>
        </w:rPr>
        <w:t xml:space="preserve">imbalance would likely be further exacerbated by continued market growth and demand for blowing agents. </w:t>
      </w:r>
      <w:r w:rsidRPr="6EBD5738">
        <w:rPr>
          <w:szCs w:val="22"/>
        </w:rPr>
        <w:t xml:space="preserve">The phase-out of HCFC-141b in the spray foam sector and in SMEs </w:t>
      </w:r>
      <w:r w:rsidR="00F555FE">
        <w:rPr>
          <w:szCs w:val="22"/>
        </w:rPr>
        <w:t xml:space="preserve">in Article 5 parties </w:t>
      </w:r>
      <w:r w:rsidRPr="6EBD5738">
        <w:rPr>
          <w:szCs w:val="22"/>
        </w:rPr>
        <w:t xml:space="preserve">has created technical and economic challenges that might promote the use of CFC-11, although actual usage has not been </w:t>
      </w:r>
      <w:r w:rsidR="00B66FD9" w:rsidRPr="6EBD5738">
        <w:rPr>
          <w:szCs w:val="22"/>
        </w:rPr>
        <w:t>confirmed.</w:t>
      </w:r>
      <w:r w:rsidR="00083763">
        <w:rPr>
          <w:szCs w:val="22"/>
        </w:rPr>
        <w:t xml:space="preserve"> </w:t>
      </w:r>
    </w:p>
    <w:p w14:paraId="392EB4FA" w14:textId="4A1DABCC" w:rsidR="008542F5" w:rsidRDefault="6EBD5738" w:rsidP="6EBD5738">
      <w:pPr>
        <w:rPr>
          <w:szCs w:val="22"/>
          <w:lang w:val="en-AU"/>
        </w:rPr>
      </w:pPr>
      <w:r w:rsidRPr="6EBD5738">
        <w:rPr>
          <w:szCs w:val="22"/>
        </w:rPr>
        <w:t>There are some challenges with alternatives. For example, the flammability of hydrocarbons and associated capital investment</w:t>
      </w:r>
      <w:r w:rsidR="002E41BA" w:rsidRPr="002E41BA">
        <w:rPr>
          <w:szCs w:val="22"/>
        </w:rPr>
        <w:t xml:space="preserve"> </w:t>
      </w:r>
      <w:r w:rsidR="002E41BA">
        <w:rPr>
          <w:szCs w:val="22"/>
        </w:rPr>
        <w:t xml:space="preserve">for </w:t>
      </w:r>
      <w:r w:rsidR="002E41BA" w:rsidRPr="6EBD5738">
        <w:rPr>
          <w:szCs w:val="22"/>
        </w:rPr>
        <w:t>conversion</w:t>
      </w:r>
      <w:r w:rsidR="003E468F">
        <w:rPr>
          <w:szCs w:val="22"/>
        </w:rPr>
        <w:t>, and for</w:t>
      </w:r>
      <w:r w:rsidRPr="6EBD5738">
        <w:rPr>
          <w:szCs w:val="22"/>
        </w:rPr>
        <w:t xml:space="preserve"> HFCs and HFOs</w:t>
      </w:r>
      <w:r w:rsidR="00B40FC0">
        <w:rPr>
          <w:szCs w:val="22"/>
        </w:rPr>
        <w:t>, their higher cost</w:t>
      </w:r>
      <w:r w:rsidRPr="6EBD5738">
        <w:rPr>
          <w:szCs w:val="22"/>
        </w:rPr>
        <w:t xml:space="preserve">. In addition, </w:t>
      </w:r>
      <w:r w:rsidR="00E607D8">
        <w:rPr>
          <w:szCs w:val="22"/>
        </w:rPr>
        <w:t>not</w:t>
      </w:r>
      <w:r w:rsidRPr="6EBD5738">
        <w:rPr>
          <w:szCs w:val="22"/>
          <w:lang w:val="en-AU"/>
        </w:rPr>
        <w:t xml:space="preserve"> all companies in Article 5 parties are funded by </w:t>
      </w:r>
      <w:r w:rsidR="00643A1C">
        <w:rPr>
          <w:szCs w:val="22"/>
          <w:lang w:val="en-AU"/>
        </w:rPr>
        <w:t xml:space="preserve">the </w:t>
      </w:r>
      <w:r w:rsidRPr="6EBD5738">
        <w:rPr>
          <w:szCs w:val="22"/>
          <w:lang w:val="en-AU"/>
        </w:rPr>
        <w:t xml:space="preserve">MLF. MLF funding for HCFC-141b conversions for funded companies is limited to a single year. </w:t>
      </w:r>
    </w:p>
    <w:p w14:paraId="1BF86C87" w14:textId="30498508" w:rsidR="009F386B" w:rsidRDefault="009F386B" w:rsidP="6EBD5738">
      <w:pPr>
        <w:rPr>
          <w:szCs w:val="22"/>
        </w:rPr>
      </w:pPr>
      <w:r>
        <w:rPr>
          <w:szCs w:val="22"/>
        </w:rPr>
        <w:t xml:space="preserve">In addition, there may have been issues with access to HFCs as a replacement for HCFC-141b in article 5 parties due to patent and capacity issues which was not the case for non-article 5 parties. </w:t>
      </w:r>
    </w:p>
    <w:p w14:paraId="36CAD9BD" w14:textId="7509D346" w:rsidR="008542F5" w:rsidRDefault="6EBD5738" w:rsidP="008542F5">
      <w:r w:rsidRPr="6EBD5738">
        <w:rPr>
          <w:szCs w:val="22"/>
          <w:lang w:val="en-AU"/>
        </w:rPr>
        <w:t>In summary, the higher pricing and lack of availability of HCFC-141b related to the ODS phase-out</w:t>
      </w:r>
      <w:r w:rsidR="00C30954">
        <w:rPr>
          <w:szCs w:val="22"/>
          <w:lang w:val="en-AU"/>
        </w:rPr>
        <w:t>,</w:t>
      </w:r>
      <w:r w:rsidRPr="6EBD5738">
        <w:rPr>
          <w:szCs w:val="22"/>
          <w:lang w:val="en-AU"/>
        </w:rPr>
        <w:t xml:space="preserve"> combined with the technical ease of conversion to CFC-11</w:t>
      </w:r>
      <w:r w:rsidR="00C30954">
        <w:rPr>
          <w:szCs w:val="22"/>
          <w:lang w:val="en-AU"/>
        </w:rPr>
        <w:t>,</w:t>
      </w:r>
      <w:r w:rsidRPr="6EBD5738">
        <w:rPr>
          <w:szCs w:val="22"/>
          <w:lang w:val="en-AU"/>
        </w:rPr>
        <w:t xml:space="preserve"> could </w:t>
      </w:r>
      <w:r w:rsidR="00951559">
        <w:rPr>
          <w:szCs w:val="22"/>
          <w:lang w:val="en-AU"/>
        </w:rPr>
        <w:t>have been</w:t>
      </w:r>
      <w:r w:rsidRPr="6EBD5738">
        <w:rPr>
          <w:szCs w:val="22"/>
          <w:lang w:val="en-AU"/>
        </w:rPr>
        <w:t xml:space="preserve"> a driver for reverting </w:t>
      </w:r>
      <w:r w:rsidR="00414BFF">
        <w:rPr>
          <w:szCs w:val="22"/>
          <w:lang w:val="en-AU"/>
        </w:rPr>
        <w:t>to</w:t>
      </w:r>
      <w:r w:rsidR="008C0871">
        <w:rPr>
          <w:szCs w:val="22"/>
          <w:lang w:val="en-AU"/>
        </w:rPr>
        <w:t xml:space="preserve"> </w:t>
      </w:r>
      <w:r w:rsidR="00414BFF">
        <w:rPr>
          <w:szCs w:val="22"/>
          <w:lang w:val="en-AU"/>
        </w:rPr>
        <w:t>the</w:t>
      </w:r>
      <w:r w:rsidRPr="6EBD5738">
        <w:rPr>
          <w:szCs w:val="22"/>
          <w:lang w:val="en-AU"/>
        </w:rPr>
        <w:t xml:space="preserve"> use of CFC-11 as a blowing agent. CFC-11 as a blowing </w:t>
      </w:r>
      <w:r w:rsidR="00EB56A7">
        <w:rPr>
          <w:szCs w:val="22"/>
          <w:lang w:val="en-AU"/>
        </w:rPr>
        <w:t xml:space="preserve">agent </w:t>
      </w:r>
      <w:r w:rsidRPr="6EBD5738">
        <w:rPr>
          <w:szCs w:val="22"/>
          <w:lang w:val="en-AU"/>
        </w:rPr>
        <w:t>could also be of interest to companies who believe that it may reduce foam flammability without using expensive fire retardants</w:t>
      </w:r>
      <w:r w:rsidR="00213E96">
        <w:rPr>
          <w:rStyle w:val="FootnoteReference"/>
          <w:lang w:val="en-AU"/>
        </w:rPr>
        <w:footnoteReference w:id="89"/>
      </w:r>
      <w:r w:rsidRPr="6EBD5738">
        <w:rPr>
          <w:szCs w:val="22"/>
          <w:lang w:val="en-AU"/>
        </w:rPr>
        <w:t xml:space="preserve">. </w:t>
      </w:r>
    </w:p>
    <w:p w14:paraId="5EDF43A4" w14:textId="6F548B65" w:rsidR="008542F5" w:rsidRDefault="0049739D" w:rsidP="00751ECE">
      <w:pPr>
        <w:pStyle w:val="Heading3"/>
      </w:pPr>
      <w:bookmarkStart w:id="163" w:name="_Toc73045620"/>
      <w:r>
        <w:t>4.1.</w:t>
      </w:r>
      <w:r w:rsidR="00C6633D">
        <w:t>4</w:t>
      </w:r>
      <w:r>
        <w:tab/>
      </w:r>
      <w:r w:rsidR="6EBD5738" w:rsidRPr="6EBD5738">
        <w:t>Regulations and costs impacting blowing agent selection</w:t>
      </w:r>
      <w:bookmarkEnd w:id="163"/>
    </w:p>
    <w:p w14:paraId="6F681C7B" w14:textId="0A591BD1" w:rsidR="008542F5" w:rsidRDefault="6EBD5738" w:rsidP="008542F5">
      <w:r w:rsidRPr="20821D15">
        <w:rPr>
          <w:lang w:val="en-US"/>
        </w:rPr>
        <w:t xml:space="preserve">The major blowing agent transitions being driven by regulation at present are those in Article 5 parties resulting from the enactment of Decision XIX/6 </w:t>
      </w:r>
      <w:r w:rsidR="00C11CC6">
        <w:rPr>
          <w:lang w:val="en-US"/>
        </w:rPr>
        <w:t xml:space="preserve">(accelerated phase-out of HCFCs) </w:t>
      </w:r>
      <w:r w:rsidRPr="20821D15">
        <w:rPr>
          <w:lang w:val="en-US"/>
        </w:rPr>
        <w:lastRenderedPageBreak/>
        <w:t>and being funded under a series of national HCFC Phase-out Management Plans (HPMPs). Since Decision XIX/6 required a “worst first” approach, the phase-out of HCFC-141b was targeted first. CFC-11 had largely converted to HCFC-141b for rigid insulating polyurethane foams and to dichloromethane (DCM)</w:t>
      </w:r>
      <w:r w:rsidR="008B121E" w:rsidRPr="20821D15">
        <w:rPr>
          <w:rStyle w:val="FootnoteReference"/>
          <w:lang w:val="en-US"/>
        </w:rPr>
        <w:footnoteReference w:id="90"/>
      </w:r>
      <w:r w:rsidRPr="20821D15">
        <w:rPr>
          <w:lang w:val="en-US"/>
        </w:rPr>
        <w:t xml:space="preserve"> or water in flexible foams in both Article 5 and non-Article 5 parties. The conversion from HCFC-141b has been largely successful within larger and some medium enterprises where the critical mass of the operation is sufficient to justify investment in hydrocarbon technologies. Indeed, in several instances, individual enterprises have been willing to co-fund the investment where the funding thresholds available under the Multilateral Fund have been insufficient, despite the economies of scale. </w:t>
      </w:r>
    </w:p>
    <w:p w14:paraId="359C4EF2" w14:textId="008B5A42" w:rsidR="008542F5" w:rsidRDefault="6EBD5738" w:rsidP="008542F5">
      <w:r w:rsidRPr="6EBD5738">
        <w:rPr>
          <w:szCs w:val="22"/>
          <w:lang w:val="en-US"/>
        </w:rPr>
        <w:t xml:space="preserve">The multitude of SMEs </w:t>
      </w:r>
      <w:r w:rsidR="00C97799">
        <w:rPr>
          <w:szCs w:val="22"/>
          <w:lang w:val="en-US"/>
        </w:rPr>
        <w:t xml:space="preserve">manufacturing foams </w:t>
      </w:r>
      <w:r w:rsidRPr="6EBD5738">
        <w:rPr>
          <w:szCs w:val="22"/>
          <w:lang w:val="en-US"/>
        </w:rPr>
        <w:t xml:space="preserve">posed a challenge for non-Article 5 parties and continues to pose a challenge for Article 5 parties. The lack of economies of scale does not allow for the adoption of hydrocarbons, while the adoption of high GWP alternatives such as HFCs will result in high levels of emission within processes which are either less well engineered or are unavoidably emissive because they are used in-situ (e.g., </w:t>
      </w:r>
      <w:r w:rsidR="00272BE3">
        <w:rPr>
          <w:szCs w:val="22"/>
          <w:lang w:val="en-US"/>
        </w:rPr>
        <w:t>polyurethane</w:t>
      </w:r>
      <w:r w:rsidRPr="6EBD5738">
        <w:rPr>
          <w:szCs w:val="22"/>
          <w:lang w:val="en-US"/>
        </w:rPr>
        <w:t xml:space="preserve"> </w:t>
      </w:r>
      <w:r w:rsidR="00272BE3">
        <w:rPr>
          <w:szCs w:val="22"/>
          <w:lang w:val="en-US"/>
        </w:rPr>
        <w:t>s</w:t>
      </w:r>
      <w:r w:rsidRPr="6EBD5738">
        <w:rPr>
          <w:szCs w:val="22"/>
          <w:lang w:val="en-US"/>
        </w:rPr>
        <w:t xml:space="preserve">pray </w:t>
      </w:r>
      <w:r w:rsidR="00272BE3">
        <w:rPr>
          <w:szCs w:val="22"/>
          <w:lang w:val="en-US"/>
        </w:rPr>
        <w:t>f</w:t>
      </w:r>
      <w:r w:rsidRPr="6EBD5738">
        <w:rPr>
          <w:szCs w:val="22"/>
          <w:lang w:val="en-US"/>
        </w:rPr>
        <w:t xml:space="preserve">oams). Although there is increasing pressure now to switch to low-GWP technologies, approximately one third of HCFC consumption was converted to HFCs in many non-Article 5 jurisdictions. </w:t>
      </w:r>
    </w:p>
    <w:p w14:paraId="384C166C" w14:textId="0D74AB91" w:rsidR="008542F5" w:rsidRDefault="6EBD5738" w:rsidP="008542F5">
      <w:r w:rsidRPr="6EBD5738">
        <w:rPr>
          <w:szCs w:val="22"/>
          <w:lang w:val="en-US"/>
        </w:rPr>
        <w:t xml:space="preserve">As a result of the trade-offs in properties and costs of various alternatives, the HCFC-141b conversion has resulted in more diverse transitions than the CFC-11 conversion with an estimated 2/3 of rigid </w:t>
      </w:r>
      <w:r w:rsidR="00272BE3">
        <w:rPr>
          <w:szCs w:val="22"/>
          <w:lang w:val="en-US"/>
        </w:rPr>
        <w:t>polyurethane</w:t>
      </w:r>
      <w:r w:rsidRPr="6EBD5738">
        <w:rPr>
          <w:szCs w:val="22"/>
          <w:lang w:val="en-US"/>
        </w:rPr>
        <w:t xml:space="preserve"> foams converting to hydrocarbons, water (carbon dioxide), </w:t>
      </w:r>
      <w:r w:rsidR="00984758" w:rsidRPr="6EBD5738">
        <w:rPr>
          <w:szCs w:val="22"/>
          <w:lang w:val="en-US"/>
        </w:rPr>
        <w:t xml:space="preserve">HFCs (e.g., HFC-245fa and HFC-365mfc blended with HFC-227ea) </w:t>
      </w:r>
      <w:r w:rsidRPr="6EBD5738">
        <w:rPr>
          <w:szCs w:val="22"/>
          <w:lang w:val="en-US"/>
        </w:rPr>
        <w:t xml:space="preserve">and a small portion of the market converting to </w:t>
      </w:r>
      <w:r w:rsidR="00AA3FEA" w:rsidRPr="6EBD5738">
        <w:rPr>
          <w:szCs w:val="22"/>
          <w:lang w:val="en-US"/>
        </w:rPr>
        <w:t xml:space="preserve">methyl </w:t>
      </w:r>
      <w:proofErr w:type="spellStart"/>
      <w:r w:rsidR="00AA3FEA" w:rsidRPr="6EBD5738">
        <w:rPr>
          <w:szCs w:val="22"/>
          <w:lang w:val="en-US"/>
        </w:rPr>
        <w:t>formate</w:t>
      </w:r>
      <w:proofErr w:type="spellEnd"/>
      <w:r w:rsidR="00487E57">
        <w:rPr>
          <w:szCs w:val="22"/>
          <w:lang w:val="en-US"/>
        </w:rPr>
        <w:t>. HFCs were used</w:t>
      </w:r>
      <w:r w:rsidR="001A7475">
        <w:rPr>
          <w:szCs w:val="22"/>
          <w:lang w:val="en-US"/>
        </w:rPr>
        <w:t xml:space="preserve"> </w:t>
      </w:r>
      <w:r w:rsidRPr="6EBD5738">
        <w:rPr>
          <w:szCs w:val="22"/>
          <w:lang w:val="en-US"/>
        </w:rPr>
        <w:t xml:space="preserve">largely in products or facilities where it would be very costly to convert to flammable fluids such as SMEs and in spray foam and other uses that are applied </w:t>
      </w:r>
      <w:r w:rsidRPr="00C6633D">
        <w:rPr>
          <w:i/>
          <w:iCs/>
          <w:szCs w:val="22"/>
          <w:lang w:val="en-US"/>
        </w:rPr>
        <w:t>in situ</w:t>
      </w:r>
      <w:r w:rsidRPr="6EBD5738">
        <w:rPr>
          <w:szCs w:val="22"/>
          <w:lang w:val="en-US"/>
        </w:rPr>
        <w:t xml:space="preserve">. In general, HCFCs are less than half of the cost of high GWP HFCs and </w:t>
      </w:r>
      <w:proofErr w:type="spellStart"/>
      <w:r w:rsidRPr="6EBD5738">
        <w:rPr>
          <w:szCs w:val="22"/>
          <w:lang w:val="en-US"/>
        </w:rPr>
        <w:t>hydrofluoroolefin</w:t>
      </w:r>
      <w:proofErr w:type="spellEnd"/>
      <w:r w:rsidRPr="6EBD5738">
        <w:rPr>
          <w:szCs w:val="22"/>
          <w:lang w:val="en-US"/>
        </w:rPr>
        <w:t>/</w:t>
      </w:r>
      <w:proofErr w:type="spellStart"/>
      <w:r w:rsidRPr="6EBD5738">
        <w:rPr>
          <w:szCs w:val="22"/>
          <w:lang w:val="en-US"/>
        </w:rPr>
        <w:t>hydrochlorofluoroolefin</w:t>
      </w:r>
      <w:proofErr w:type="spellEnd"/>
      <w:r w:rsidRPr="6EBD5738">
        <w:rPr>
          <w:szCs w:val="22"/>
          <w:lang w:val="en-US"/>
        </w:rPr>
        <w:t xml:space="preserve"> (HFO/HCFO or unsaturated HCFCs and HFCs) blown foams remain more expensive than HFC foams due to the total cost of blowing agent and required additives.</w:t>
      </w:r>
    </w:p>
    <w:p w14:paraId="6378C2C5" w14:textId="6F978D58" w:rsidR="008542F5" w:rsidRDefault="6EBD5738" w:rsidP="008542F5">
      <w:r w:rsidRPr="6EBD5738">
        <w:rPr>
          <w:szCs w:val="22"/>
          <w:lang w:val="en-US"/>
        </w:rPr>
        <w:t>More specifically, pricing of HCFC-141b based on historical feedback within the FTOC has been within the range of $1.5 to $3/kg before duties. The CFC-11 price quote that the FTOC received was $2.2/kg and previous FTOC progress reports have cited pricing of $11-$17/kg for HFOs and $8-11/kg for HFCs. Prices can vary greatly by country</w:t>
      </w:r>
      <w:r w:rsidR="002B5E6E">
        <w:rPr>
          <w:szCs w:val="22"/>
          <w:lang w:val="en-US"/>
        </w:rPr>
        <w:t>,</w:t>
      </w:r>
      <w:r w:rsidRPr="6EBD5738">
        <w:rPr>
          <w:szCs w:val="22"/>
          <w:lang w:val="en-US"/>
        </w:rPr>
        <w:t xml:space="preserve"> and these are only a snapshot. However, they do show the relative prices of various foam blowing agent products.</w:t>
      </w:r>
    </w:p>
    <w:p w14:paraId="2695FF66" w14:textId="0EEBD987" w:rsidR="008542F5" w:rsidRDefault="6EBD5738" w:rsidP="008542F5">
      <w:r w:rsidRPr="6EBD5738">
        <w:rPr>
          <w:szCs w:val="22"/>
          <w:lang w:val="en-US"/>
        </w:rPr>
        <w:t>Under HCFC Phase-out Management Plans (HPMPs), projects that transition from HCFC-141b used in polyurethane foam to low GWP alternatives have been funded and many have been completed or are in progress. However, unfunded companies (e.g., companies that were established after September 2007, multi-national companies and companies in unfunded parties) operating in Article 5 parties may convert from HCFCs to high GWP HFCs to meet HCFC phase-out deadlines rather than converting directly to low GWP alternatives.</w:t>
      </w:r>
    </w:p>
    <w:p w14:paraId="32FC05BD" w14:textId="604C2EF3" w:rsidR="008542F5" w:rsidRDefault="6EBD5738" w:rsidP="008542F5">
      <w:r w:rsidRPr="6EBD5738">
        <w:rPr>
          <w:szCs w:val="22"/>
          <w:lang w:val="en-US"/>
        </w:rPr>
        <w:t xml:space="preserve">Most parties used a </w:t>
      </w:r>
      <w:r w:rsidR="00CA2078" w:rsidRPr="6EBD5738">
        <w:rPr>
          <w:szCs w:val="22"/>
          <w:lang w:val="en-US"/>
        </w:rPr>
        <w:t>command-and-control</w:t>
      </w:r>
      <w:r w:rsidRPr="6EBD5738">
        <w:rPr>
          <w:szCs w:val="22"/>
          <w:lang w:val="en-US"/>
        </w:rPr>
        <w:t xml:space="preserve"> regulatory structure banning the consumption HCFC-141b altogether in specific uses. This has been coupled with the requirement to reduce production by steps. As designed, the production phase-out creates a mismatch between supply and demand in the market which increases the price of HCFC-141b. This is meant to </w:t>
      </w:r>
      <w:r w:rsidRPr="6EBD5738">
        <w:rPr>
          <w:szCs w:val="22"/>
          <w:lang w:val="en-US"/>
        </w:rPr>
        <w:lastRenderedPageBreak/>
        <w:t xml:space="preserve">create an impetus for industry to self-select a lower cost alternative that has a smaller environmental footprint. </w:t>
      </w:r>
    </w:p>
    <w:p w14:paraId="22EE5EF9" w14:textId="67BEE43F" w:rsidR="008542F5" w:rsidRDefault="6EBD5738" w:rsidP="6EBD5738">
      <w:r w:rsidRPr="6EBD5738">
        <w:rPr>
          <w:szCs w:val="22"/>
          <w:lang w:val="en-US"/>
        </w:rPr>
        <w:t xml:space="preserve">At times, rising prices have also created a “black” market for illegal trade. There have been imports of illegal substances labeled as other products; while in other cases, no effort has been made to mask the sale of the banned chemical. When discovered, these cases have largely been addressed within the party where the illegal trade has taken place or in customs at borders. However, foams add another level of complexity in detecting illegal trade as pre-blended polyol systems containing the foam blowing agent are shipped from parties that produce polyols to parties that do not produce them. If the blowing agent is not documented, collecting and </w:t>
      </w:r>
      <w:proofErr w:type="spellStart"/>
      <w:r w:rsidRPr="6EBD5738">
        <w:rPr>
          <w:szCs w:val="22"/>
          <w:lang w:val="en-US"/>
        </w:rPr>
        <w:t>analysing</w:t>
      </w:r>
      <w:proofErr w:type="spellEnd"/>
      <w:r w:rsidRPr="6EBD5738">
        <w:rPr>
          <w:szCs w:val="22"/>
          <w:lang w:val="en-US"/>
        </w:rPr>
        <w:t xml:space="preserve"> a sample requires more steps than collecting a refrigerant sample. </w:t>
      </w:r>
    </w:p>
    <w:p w14:paraId="454C12E3" w14:textId="28356195" w:rsidR="008542F5" w:rsidRDefault="6EBD5738" w:rsidP="008542F5">
      <w:r w:rsidRPr="6EBD5738">
        <w:rPr>
          <w:szCs w:val="22"/>
          <w:lang w:val="en-US"/>
        </w:rPr>
        <w:t>Some parties have taken measures to reduce import of ODS-containing polyol blends establishing regulations to phase out HCFC-141b in polyurethane foam through a quota system, with a permit for the import of bulk HCFC-141b. Additional regulations in development in these parties include a restriction on the import of HCFCs and polyols containing HCFC-141b after conversion projects are completed and a prohibition of the expansion of existing HCFC-based manufacturing capacities or building new facilities. In Article 5 parties, HCFC-141b in spray foam is still allowed in many Article 5 parties because of technical, safety and cost concerns about replacement products. This mismatch of supply and demand may be influencing blowing agent selection.</w:t>
      </w:r>
    </w:p>
    <w:p w14:paraId="56F99095" w14:textId="75557657" w:rsidR="008542F5" w:rsidRDefault="6EBD5738" w:rsidP="008542F5">
      <w:r w:rsidRPr="6EBD5738">
        <w:rPr>
          <w:szCs w:val="22"/>
          <w:lang w:val="en-US"/>
        </w:rPr>
        <w:t xml:space="preserve">Some parties require labelling of pre-blended polyols and insulation </w:t>
      </w:r>
      <w:proofErr w:type="spellStart"/>
      <w:r w:rsidRPr="6EBD5738">
        <w:rPr>
          <w:szCs w:val="22"/>
          <w:lang w:val="en-US"/>
        </w:rPr>
        <w:t>boards</w:t>
      </w:r>
      <w:r w:rsidR="00C81F90">
        <w:rPr>
          <w:szCs w:val="22"/>
          <w:lang w:val="en-US"/>
        </w:rPr>
        <w:t>tock</w:t>
      </w:r>
      <w:proofErr w:type="spellEnd"/>
      <w:r w:rsidRPr="6EBD5738">
        <w:rPr>
          <w:szCs w:val="22"/>
          <w:lang w:val="en-US"/>
        </w:rPr>
        <w:t xml:space="preserve"> containing HFCs as of 1 </w:t>
      </w:r>
      <w:r w:rsidR="00D91E1F" w:rsidRPr="6EBD5738">
        <w:rPr>
          <w:szCs w:val="22"/>
          <w:lang w:val="en-US"/>
        </w:rPr>
        <w:t xml:space="preserve">January </w:t>
      </w:r>
      <w:r w:rsidRPr="6EBD5738">
        <w:rPr>
          <w:szCs w:val="22"/>
          <w:lang w:val="en-US"/>
        </w:rPr>
        <w:t>2015</w:t>
      </w:r>
      <w:r w:rsidR="00D91E1F">
        <w:rPr>
          <w:szCs w:val="22"/>
          <w:lang w:val="en-US"/>
        </w:rPr>
        <w:t>,</w:t>
      </w:r>
      <w:r w:rsidRPr="6EBD5738">
        <w:rPr>
          <w:szCs w:val="22"/>
          <w:lang w:val="en-US"/>
        </w:rPr>
        <w:t xml:space="preserve"> and “included in descriptions used for advertising” of finished goods. In addition, there is an annual reporting obligation on manufacturers of pre-blended polyol containing HFCs (covering imports and exports).</w:t>
      </w:r>
    </w:p>
    <w:p w14:paraId="2922A7B8" w14:textId="172E4B98" w:rsidR="008542F5" w:rsidRDefault="6EBD5738" w:rsidP="008542F5">
      <w:pPr>
        <w:rPr>
          <w:lang w:val="en-US"/>
        </w:rPr>
      </w:pPr>
      <w:r w:rsidRPr="1CAEEFD9">
        <w:rPr>
          <w:lang w:val="en-US"/>
        </w:rPr>
        <w:t xml:space="preserve">While HCFC phase-out and HFC avoidance are being pursued in tandem, the more challenging areas such as spray foam safety, blend requirements and SMEs are yet to be fully </w:t>
      </w:r>
      <w:r w:rsidR="1CAEEFD9" w:rsidRPr="1CAEEFD9">
        <w:rPr>
          <w:lang w:val="en-US"/>
        </w:rPr>
        <w:t>addressed</w:t>
      </w:r>
      <w:r w:rsidRPr="1CAEEFD9">
        <w:rPr>
          <w:lang w:val="en-US"/>
        </w:rPr>
        <w:t>. Much still depends on the future availability and cost of low-GWP blowing agents. Whether or not this has resulted in usage of previously banned blowing agents on a large-scale basis has not been confirmed.</w:t>
      </w:r>
      <w:r w:rsidR="000B7470">
        <w:rPr>
          <w:lang w:val="en-US"/>
        </w:rPr>
        <w:t xml:space="preserve"> </w:t>
      </w:r>
    </w:p>
    <w:p w14:paraId="14F24A6A" w14:textId="5B3A9D68" w:rsidR="00633A38" w:rsidRPr="006B724C" w:rsidRDefault="00633A38" w:rsidP="00751ECE">
      <w:pPr>
        <w:pStyle w:val="Heading3"/>
      </w:pPr>
      <w:bookmarkStart w:id="164" w:name="_Toc73045621"/>
      <w:r>
        <w:t>4.</w:t>
      </w:r>
      <w:r w:rsidR="00CE624D">
        <w:t>1</w:t>
      </w:r>
      <w:r>
        <w:t>.</w:t>
      </w:r>
      <w:r w:rsidR="00C6633D">
        <w:t>5</w:t>
      </w:r>
      <w:r>
        <w:tab/>
      </w:r>
      <w:r w:rsidR="00CE624D">
        <w:t xml:space="preserve">Impact of </w:t>
      </w:r>
      <w:r w:rsidRPr="006B724C">
        <w:t>HCFC-141b production control measures</w:t>
      </w:r>
      <w:bookmarkEnd w:id="164"/>
    </w:p>
    <w:p w14:paraId="2E1D785C" w14:textId="2AEDC975" w:rsidR="00633A38" w:rsidRPr="006B724C" w:rsidRDefault="00633A38" w:rsidP="00633A38">
      <w:r w:rsidRPr="006B724C">
        <w:t xml:space="preserve">Although there would have been spare capacity to produce HCFC-141b above the limits established in China, as part of the HPMP, China has implemented monitoring and control measures to prevent excess production for use in foam. </w:t>
      </w:r>
    </w:p>
    <w:p w14:paraId="3B9F2F93" w14:textId="77777777" w:rsidR="00633A38" w:rsidRPr="006B724C" w:rsidRDefault="00633A38" w:rsidP="00633A38">
      <w:r w:rsidRPr="006B724C">
        <w:t xml:space="preserve">The sector plan to phase-out HCFC-141b in the foam sector (Foam Sector Plan), sets out that </w:t>
      </w:r>
      <w:r w:rsidRPr="006B724C">
        <w:rPr>
          <w:i/>
          <w:iCs/>
        </w:rPr>
        <w:t>“</w:t>
      </w:r>
      <w:r w:rsidRPr="006B724C">
        <w:t xml:space="preserve">The Government of China will issue policies and regulations supporting the activities proposed in the Foam Sector Plan, such as controls for production, import/export, consumption, safety management, environmental labelling, and technical standards. It proposes to establish a production quota system to curb the supply of HCFCs by early 2013, which is critical for ensuring sustainable phase-out of HCFCs particularly in the foam sector. In addition, a ban on the use of HCFC-141b used for the production of insulation foam for refrigerators, freezers, refrigerated trucks, reefers, and small household appliances will be put in place by 1 January 2015. The Government is also considering submitting the HCFC production phase-out sector plan, including HCFC-141b, to the Executive Committee in 2011. The production phase-out schedule will take into account the effort being made to control the </w:t>
      </w:r>
      <w:r w:rsidRPr="006B724C">
        <w:lastRenderedPageBreak/>
        <w:t>consumption sector. The import and export of HCFC-141b will also be strictly controlled and monitored.”</w:t>
      </w:r>
      <w:r w:rsidRPr="006B724C">
        <w:rPr>
          <w:vertAlign w:val="superscript"/>
        </w:rPr>
        <w:footnoteReference w:id="91"/>
      </w:r>
    </w:p>
    <w:p w14:paraId="64F0DF2F" w14:textId="0E2248C0" w:rsidR="00633A38" w:rsidRDefault="00633A38" w:rsidP="00633A38">
      <w:r w:rsidRPr="006B724C">
        <w:t>The 2017 annual progress report</w:t>
      </w:r>
      <w:r w:rsidRPr="006B724C">
        <w:rPr>
          <w:vertAlign w:val="superscript"/>
        </w:rPr>
        <w:footnoteReference w:id="92"/>
      </w:r>
      <w:r w:rsidRPr="006B724C">
        <w:t xml:space="preserve"> noted that for sectors with large number of small and medium-sized enterprises (SMEs) (i.e., XPS foam, </w:t>
      </w:r>
      <w:r w:rsidR="00272BE3">
        <w:t>polyurethane</w:t>
      </w:r>
      <w:r w:rsidRPr="006B724C">
        <w:t xml:space="preserve"> foam, ICR, and servicing sector) consumption is monitored through the national system of licensing and quotas for HCFC imports, exports, production and consumption. The domestic production quotas control HCFC sold in the local market and subsequent consumption in SMEs. Quotas are also issued to enterprises with an annual consumption of HCFCs over 100 tonnes, for each of the different sectors. The World Bank commissioned an independent verification of 2016 HCFC production and consumption in China. The verification confirmed that the consumption of HCFCs in 2016 was within the limits established by the Agreement for the consumption sector. Consumption of HCFC-141b in the </w:t>
      </w:r>
      <w:r w:rsidR="00272BE3">
        <w:t>polyurethane</w:t>
      </w:r>
      <w:r w:rsidRPr="006B724C">
        <w:t xml:space="preserve"> foam manufacturing sector in 2016 was 34,821.19 </w:t>
      </w:r>
      <w:r w:rsidR="00B6447B">
        <w:t>tonnes</w:t>
      </w:r>
      <w:r w:rsidRPr="006B724C">
        <w:t xml:space="preserve"> (3,830.34 ODP tonnes), which is lower than the maximum allowable consumption established for the same year in the Agreement between the Government of China and the Executive Committee. The reduction in consumption has been achieved through the application of the HCFC production quota and domestic sale quota issued for each producer; the HCFC consumption quotas issued to manufacturing enterprises using more than 100 </w:t>
      </w:r>
      <w:r w:rsidR="00B6447B">
        <w:t>tonnes</w:t>
      </w:r>
      <w:r w:rsidRPr="006B724C">
        <w:t xml:space="preserve"> per year; and the conversion of foam enterprises to HC and water-blown technologies.</w:t>
      </w:r>
    </w:p>
    <w:p w14:paraId="07AF048A" w14:textId="1B198F96" w:rsidR="00633A38" w:rsidRPr="006B724C" w:rsidRDefault="00633A38" w:rsidP="00633A38">
      <w:r>
        <w:t xml:space="preserve">In summary, </w:t>
      </w:r>
      <w:r w:rsidRPr="00D0066C">
        <w:t xml:space="preserve">existing </w:t>
      </w:r>
      <w:r>
        <w:t>HCFC-</w:t>
      </w:r>
      <w:r w:rsidRPr="00D0066C">
        <w:t xml:space="preserve">141b plants </w:t>
      </w:r>
      <w:r>
        <w:t xml:space="preserve">are </w:t>
      </w:r>
      <w:r w:rsidRPr="00D0066C">
        <w:t>tightly scrutinised</w:t>
      </w:r>
      <w:r>
        <w:t>,</w:t>
      </w:r>
      <w:r w:rsidRPr="00D0066C">
        <w:t xml:space="preserve"> </w:t>
      </w:r>
      <w:r>
        <w:t xml:space="preserve">ensuring that it would be extremely difficult, if not impossible, to produce </w:t>
      </w:r>
      <w:r w:rsidRPr="00D0066C">
        <w:t>any extra ton</w:t>
      </w:r>
      <w:r>
        <w:t>ne</w:t>
      </w:r>
      <w:r w:rsidRPr="00D0066C">
        <w:t xml:space="preserve">s (not least because </w:t>
      </w:r>
      <w:r>
        <w:t xml:space="preserve">the accounting issues associated with </w:t>
      </w:r>
      <w:r w:rsidRPr="00D0066C">
        <w:t>raw materials would be so complex).</w:t>
      </w:r>
      <w:r>
        <w:t xml:space="preserve"> </w:t>
      </w:r>
      <w:r w:rsidR="000E3D2A" w:rsidRPr="000E3D2A">
        <w:t xml:space="preserve">In contrast, without enhanced monitoring </w:t>
      </w:r>
      <w:r w:rsidR="000E3D2A">
        <w:t>of</w:t>
      </w:r>
      <w:r w:rsidR="000E3D2A" w:rsidRPr="000E3D2A">
        <w:t xml:space="preserve"> CTC</w:t>
      </w:r>
      <w:r w:rsidR="000E3D2A">
        <w:t>,</w:t>
      </w:r>
      <w:r w:rsidR="000E3D2A" w:rsidRPr="000E3D2A">
        <w:t xml:space="preserve"> such as that introduced in 2019 (section 3.2.2), production of CFC-11 on HCFC-22 plants cannot be ruled out.</w:t>
      </w:r>
    </w:p>
    <w:p w14:paraId="604DDC47" w14:textId="72B58AE6" w:rsidR="00633A38" w:rsidRPr="001E4C7F" w:rsidRDefault="00633A38" w:rsidP="00751ECE">
      <w:pPr>
        <w:pStyle w:val="Heading3"/>
      </w:pPr>
      <w:bookmarkStart w:id="165" w:name="_Toc73045622"/>
      <w:r>
        <w:t>4.</w:t>
      </w:r>
      <w:r w:rsidR="009D1CEC">
        <w:t>1</w:t>
      </w:r>
      <w:r>
        <w:t>.</w:t>
      </w:r>
      <w:r w:rsidR="00C6633D">
        <w:t>6</w:t>
      </w:r>
      <w:r>
        <w:tab/>
      </w:r>
      <w:r w:rsidR="009D1CEC">
        <w:t xml:space="preserve">Impact of the </w:t>
      </w:r>
      <w:r w:rsidR="00DA64D4">
        <w:t>a</w:t>
      </w:r>
      <w:r w:rsidRPr="001E4C7F">
        <w:t xml:space="preserve">vailability of </w:t>
      </w:r>
      <w:r w:rsidR="00DA64D4">
        <w:t>f</w:t>
      </w:r>
      <w:r w:rsidRPr="001E4C7F">
        <w:t>luorocarbon alternatives to HCFC-141b in 2012 to 2018 period</w:t>
      </w:r>
      <w:bookmarkEnd w:id="165"/>
    </w:p>
    <w:p w14:paraId="260867D6" w14:textId="314612F3" w:rsidR="00633A38" w:rsidRPr="001E4C7F" w:rsidRDefault="00633A38" w:rsidP="00633A38">
      <w:r w:rsidRPr="001E4C7F">
        <w:t>In non-A</w:t>
      </w:r>
      <w:r>
        <w:t xml:space="preserve">rticle </w:t>
      </w:r>
      <w:r w:rsidRPr="001E4C7F">
        <w:t xml:space="preserve">5 </w:t>
      </w:r>
      <w:r>
        <w:t>parties</w:t>
      </w:r>
      <w:r w:rsidRPr="001E4C7F">
        <w:t>, HCFC-141b had been phased out completely by end 2003. In A</w:t>
      </w:r>
      <w:r>
        <w:t xml:space="preserve">rticle </w:t>
      </w:r>
      <w:r w:rsidRPr="001E4C7F">
        <w:t xml:space="preserve">5 </w:t>
      </w:r>
      <w:r>
        <w:t>parties</w:t>
      </w:r>
      <w:r w:rsidRPr="001E4C7F">
        <w:t>, the HCFC-141b phase-down would not begin until the freeze in 2013. Capacity had grown rapidly to over 160</w:t>
      </w:r>
      <w:r>
        <w:t xml:space="preserve"> </w:t>
      </w:r>
      <w:proofErr w:type="spellStart"/>
      <w:r w:rsidRPr="001E4C7F">
        <w:t>k</w:t>
      </w:r>
      <w:r>
        <w:t>ilo</w:t>
      </w:r>
      <w:r w:rsidRPr="001E4C7F">
        <w:t>t</w:t>
      </w:r>
      <w:r>
        <w:t>onnes</w:t>
      </w:r>
      <w:proofErr w:type="spellEnd"/>
      <w:r w:rsidR="0002395C">
        <w:t>/year</w:t>
      </w:r>
      <w:r w:rsidRPr="001E4C7F">
        <w:t xml:space="preserve"> in China. A 4-5</w:t>
      </w:r>
      <w:r>
        <w:t xml:space="preserve"> </w:t>
      </w:r>
      <w:proofErr w:type="spellStart"/>
      <w:r w:rsidR="007A0DD6">
        <w:t>kilotonnes</w:t>
      </w:r>
      <w:proofErr w:type="spellEnd"/>
      <w:r w:rsidR="00014F9E">
        <w:t>/</w:t>
      </w:r>
      <w:r w:rsidR="00AD55C1">
        <w:t>year</w:t>
      </w:r>
      <w:r w:rsidRPr="001E4C7F">
        <w:t xml:space="preserve"> plant in the Republic of Korea ran sporadically and had closed in about 2008. India did not produce HCFC-141b and demand was met by imports. Consumption for non-feedstock use (mainly foams) peaked at over 110</w:t>
      </w:r>
      <w:r w:rsidR="00510815">
        <w:t xml:space="preserve"> </w:t>
      </w:r>
      <w:proofErr w:type="spellStart"/>
      <w:r w:rsidR="00510815">
        <w:t>kilotonnes</w:t>
      </w:r>
      <w:proofErr w:type="spellEnd"/>
      <w:r w:rsidR="00014F9E">
        <w:t>/</w:t>
      </w:r>
      <w:r w:rsidR="00A52BC3">
        <w:t>year, including exports,</w:t>
      </w:r>
      <w:r w:rsidRPr="001E4C7F">
        <w:t xml:space="preserve"> in the period 2010-2012. </w:t>
      </w:r>
      <w:r w:rsidR="00203F6A">
        <w:t xml:space="preserve">Part of the production was </w:t>
      </w:r>
      <w:r w:rsidR="00C87CCF">
        <w:t>for the</w:t>
      </w:r>
      <w:r w:rsidR="00203F6A">
        <w:t xml:space="preserve"> solvent market</w:t>
      </w:r>
      <w:r w:rsidR="00C87CCF">
        <w:t xml:space="preserve"> (4 </w:t>
      </w:r>
      <w:proofErr w:type="spellStart"/>
      <w:r w:rsidR="00BC4495">
        <w:t>kilo</w:t>
      </w:r>
      <w:r w:rsidR="00C87CCF">
        <w:t>tonnes</w:t>
      </w:r>
      <w:proofErr w:type="spellEnd"/>
      <w:r w:rsidR="00C87CCF">
        <w:t>)</w:t>
      </w:r>
      <w:r w:rsidR="00203F6A">
        <w:t>, which was expected to see 10% growth in some sectors</w:t>
      </w:r>
      <w:r w:rsidR="00203F6A" w:rsidRPr="00724226">
        <w:rPr>
          <w:rStyle w:val="FootnoteReference"/>
        </w:rPr>
        <w:t xml:space="preserve"> </w:t>
      </w:r>
      <w:r w:rsidR="00203F6A" w:rsidRPr="00C87CCF">
        <w:rPr>
          <w:rStyle w:val="FootnoteReference"/>
        </w:rPr>
        <w:footnoteReference w:id="93"/>
      </w:r>
      <w:r w:rsidR="00203F6A" w:rsidRPr="00043208">
        <w:rPr>
          <w:rStyle w:val="FootnoteReference"/>
        </w:rPr>
        <w:t xml:space="preserve"> </w:t>
      </w:r>
      <w:r w:rsidR="00A93FAB">
        <w:t xml:space="preserve">, </w:t>
      </w:r>
      <w:r w:rsidR="00203F6A">
        <w:t xml:space="preserve">and peaked </w:t>
      </w:r>
      <w:r w:rsidR="00A93FAB">
        <w:t>in 2012</w:t>
      </w:r>
      <w:r w:rsidR="00A93FAB" w:rsidRPr="00A93FAB">
        <w:t xml:space="preserve"> </w:t>
      </w:r>
      <w:r w:rsidR="00C32728">
        <w:t>(</w:t>
      </w:r>
      <w:r w:rsidR="00BC4495">
        <w:t>5</w:t>
      </w:r>
      <w:r w:rsidR="00A93FAB">
        <w:t xml:space="preserve"> </w:t>
      </w:r>
      <w:proofErr w:type="spellStart"/>
      <w:r w:rsidR="00BC4495">
        <w:t>kilo</w:t>
      </w:r>
      <w:r w:rsidR="00A93FAB">
        <w:t>tonnes</w:t>
      </w:r>
      <w:proofErr w:type="spellEnd"/>
      <w:r w:rsidR="00C32728">
        <w:t>)</w:t>
      </w:r>
      <w:r w:rsidR="00A93FAB">
        <w:rPr>
          <w:rStyle w:val="FootnoteReference"/>
        </w:rPr>
        <w:footnoteReference w:id="94"/>
      </w:r>
      <w:r w:rsidR="00A93FAB">
        <w:t xml:space="preserve">. </w:t>
      </w:r>
      <w:r w:rsidRPr="001E4C7F">
        <w:t xml:space="preserve">At that time in </w:t>
      </w:r>
      <w:r w:rsidR="00150648">
        <w:t>Article 5</w:t>
      </w:r>
      <w:r w:rsidRPr="001E4C7F">
        <w:t xml:space="preserve"> </w:t>
      </w:r>
      <w:r>
        <w:t>p</w:t>
      </w:r>
      <w:r w:rsidRPr="001E4C7F">
        <w:t xml:space="preserve">arties there was no regulatory requirement to replace HCFC-141b, and the market HFC replacements (HFC-245fa and HFC-365mfc) was small due to their much higher cost (estimated at about 5 times more expensive) and limited availability. </w:t>
      </w:r>
    </w:p>
    <w:p w14:paraId="2B8440A1" w14:textId="2757B66D" w:rsidR="00633A38" w:rsidRPr="001E4C7F" w:rsidRDefault="00633A38" w:rsidP="00633A38">
      <w:r w:rsidRPr="001E4C7F">
        <w:lastRenderedPageBreak/>
        <w:t xml:space="preserve">The capacity for HFC-245fa in </w:t>
      </w:r>
      <w:r w:rsidR="00E638B6">
        <w:t>the United States</w:t>
      </w:r>
      <w:r w:rsidRPr="001E4C7F">
        <w:t xml:space="preserve"> in 2010 was </w:t>
      </w:r>
      <w:r>
        <w:t>permitted at</w:t>
      </w:r>
      <w:r w:rsidRPr="001E4C7F">
        <w:t xml:space="preserve"> 25</w:t>
      </w:r>
      <w:r>
        <w:t xml:space="preserve"> </w:t>
      </w:r>
      <w:proofErr w:type="spellStart"/>
      <w:r w:rsidRPr="001E4C7F">
        <w:t>k</w:t>
      </w:r>
      <w:r>
        <w:t>ilo</w:t>
      </w:r>
      <w:r w:rsidRPr="001E4C7F">
        <w:t>t</w:t>
      </w:r>
      <w:r>
        <w:t>onnes</w:t>
      </w:r>
      <w:proofErr w:type="spellEnd"/>
      <w:r w:rsidR="00C02CDA">
        <w:t>/</w:t>
      </w:r>
      <w:r w:rsidR="00B22E82">
        <w:t>year</w:t>
      </w:r>
      <w:r w:rsidRPr="001E4C7F">
        <w:t>, and in Europe the HFC-365mfc capacity was about 1</w:t>
      </w:r>
      <w:r w:rsidR="005E0175">
        <w:t>0</w:t>
      </w:r>
      <w:r w:rsidR="00AD55C1">
        <w:t>-15</w:t>
      </w:r>
      <w:r>
        <w:t xml:space="preserve"> </w:t>
      </w:r>
      <w:proofErr w:type="spellStart"/>
      <w:r w:rsidRPr="001E4C7F">
        <w:t>k</w:t>
      </w:r>
      <w:r>
        <w:t>ilo</w:t>
      </w:r>
      <w:r w:rsidRPr="001E4C7F">
        <w:t>t</w:t>
      </w:r>
      <w:r>
        <w:t>onnes</w:t>
      </w:r>
      <w:proofErr w:type="spellEnd"/>
      <w:r w:rsidR="00546610">
        <w:t>/</w:t>
      </w:r>
      <w:r w:rsidR="00AD55C1">
        <w:t>year</w:t>
      </w:r>
      <w:r w:rsidR="00333AA7">
        <w:t>.</w:t>
      </w:r>
      <w:r w:rsidRPr="001E4C7F">
        <w:t xml:space="preserve"> For patent reasons, the European plant did not sell in </w:t>
      </w:r>
      <w:r w:rsidR="004F03D7">
        <w:t>the United States</w:t>
      </w:r>
      <w:r w:rsidRPr="001E4C7F">
        <w:t xml:space="preserve"> or Asia until the early 2010s. In the early 2000s</w:t>
      </w:r>
      <w:r>
        <w:t>,</w:t>
      </w:r>
      <w:r w:rsidRPr="001E4C7F">
        <w:t xml:space="preserve"> a 5</w:t>
      </w:r>
      <w:r>
        <w:t xml:space="preserve"> </w:t>
      </w:r>
      <w:proofErr w:type="spellStart"/>
      <w:r w:rsidRPr="001E4C7F">
        <w:t>k</w:t>
      </w:r>
      <w:r>
        <w:t>ilo</w:t>
      </w:r>
      <w:r w:rsidRPr="001E4C7F">
        <w:t>t</w:t>
      </w:r>
      <w:r>
        <w:t>onnes</w:t>
      </w:r>
      <w:proofErr w:type="spellEnd"/>
      <w:r w:rsidR="00546610">
        <w:t>/year</w:t>
      </w:r>
      <w:r w:rsidRPr="001E4C7F">
        <w:t xml:space="preserve"> HFC-245fa plant started in Japan and it is thought this plant brought on a second 5 </w:t>
      </w:r>
      <w:proofErr w:type="spellStart"/>
      <w:r w:rsidRPr="001E4C7F">
        <w:t>k</w:t>
      </w:r>
      <w:r>
        <w:t>ilo</w:t>
      </w:r>
      <w:r w:rsidRPr="001E4C7F">
        <w:t>t</w:t>
      </w:r>
      <w:r>
        <w:t>onnes</w:t>
      </w:r>
      <w:proofErr w:type="spellEnd"/>
      <w:r w:rsidR="00546610">
        <w:t>/year</w:t>
      </w:r>
      <w:r w:rsidRPr="001E4C7F">
        <w:t xml:space="preserve"> train in the 2010s. In the period 2012 to 2018</w:t>
      </w:r>
      <w:r>
        <w:t>,</w:t>
      </w:r>
      <w:r w:rsidRPr="001E4C7F">
        <w:t xml:space="preserve"> there were no apparent exports to A</w:t>
      </w:r>
      <w:r>
        <w:t xml:space="preserve">rticle </w:t>
      </w:r>
      <w:r w:rsidRPr="001E4C7F">
        <w:t xml:space="preserve">5 </w:t>
      </w:r>
      <w:r>
        <w:t>p</w:t>
      </w:r>
      <w:r w:rsidRPr="001E4C7F">
        <w:t>arties.</w:t>
      </w:r>
    </w:p>
    <w:p w14:paraId="0BB029B2" w14:textId="46B9685F" w:rsidR="00633A38" w:rsidRPr="001E4C7F" w:rsidRDefault="00633A38" w:rsidP="00633A38">
      <w:r w:rsidRPr="001E4C7F">
        <w:t xml:space="preserve">At this time, in </w:t>
      </w:r>
      <w:r w:rsidR="00150648">
        <w:t>Article 5</w:t>
      </w:r>
      <w:r w:rsidRPr="001E4C7F">
        <w:t xml:space="preserve"> parties, there was a small 3-4</w:t>
      </w:r>
      <w:r w:rsidR="00510815">
        <w:t xml:space="preserve"> </w:t>
      </w:r>
      <w:proofErr w:type="spellStart"/>
      <w:r w:rsidR="00510815">
        <w:t>kilotonnes</w:t>
      </w:r>
      <w:proofErr w:type="spellEnd"/>
      <w:r w:rsidR="00BF4D8A">
        <w:t>/year</w:t>
      </w:r>
      <w:r w:rsidRPr="001E4C7F">
        <w:t xml:space="preserve"> capacity HFC-245fa plant in China, which is believed to be based on licenced technology, but it is thought that this may have stopped production in 2018 as the company stopped requesting a CTC quota for this plant; CTC is used as a feedstock to this process.</w:t>
      </w:r>
      <w:r w:rsidR="006D1C79">
        <w:t xml:space="preserve"> </w:t>
      </w:r>
      <w:r w:rsidRPr="001E4C7F">
        <w:t>There was also a small HFC-365mfc pilot plant in China, which may have been developed locally. In mid-2014 a 20</w:t>
      </w:r>
      <w:r w:rsidR="00510815">
        <w:t xml:space="preserve"> </w:t>
      </w:r>
      <w:proofErr w:type="spellStart"/>
      <w:r w:rsidR="00510815">
        <w:t>kilotonnes</w:t>
      </w:r>
      <w:proofErr w:type="spellEnd"/>
      <w:r w:rsidR="00BF4D8A">
        <w:t>/year</w:t>
      </w:r>
      <w:r w:rsidR="00510815">
        <w:t>.</w:t>
      </w:r>
      <w:r w:rsidRPr="001E4C7F">
        <w:t xml:space="preserve"> HFC-245fa plant opened in China based on licenced technology. However</w:t>
      </w:r>
      <w:r>
        <w:t>,</w:t>
      </w:r>
      <w:r w:rsidRPr="001E4C7F">
        <w:t xml:space="preserve"> the HFC-245fa capacity is now stated to be 12</w:t>
      </w:r>
      <w:r w:rsidR="00510815">
        <w:t xml:space="preserve"> </w:t>
      </w:r>
      <w:proofErr w:type="spellStart"/>
      <w:r w:rsidR="00510815">
        <w:t>kilotonnes</w:t>
      </w:r>
      <w:proofErr w:type="spellEnd"/>
      <w:r w:rsidR="004708BE">
        <w:t>/year</w:t>
      </w:r>
      <w:r w:rsidRPr="001E4C7F">
        <w:t>, and it is possible that the plant is also used to produce HFO-1233zd, which can be isolated as it is an intermediate in the process to produce HFC-245fa. Another plant in China produces a maximum 6-7</w:t>
      </w:r>
      <w:r w:rsidR="00510815">
        <w:t xml:space="preserve"> </w:t>
      </w:r>
      <w:proofErr w:type="spellStart"/>
      <w:r w:rsidR="00510815">
        <w:t>kilotonnes</w:t>
      </w:r>
      <w:proofErr w:type="spellEnd"/>
      <w:r w:rsidR="004708BE">
        <w:t>/year</w:t>
      </w:r>
      <w:r w:rsidRPr="001E4C7F">
        <w:t xml:space="preserve"> HFC-245fa since 2011. Some HFC-245fa was exported to the </w:t>
      </w:r>
      <w:r w:rsidR="004F03D7">
        <w:t>United States</w:t>
      </w:r>
      <w:r w:rsidRPr="001E4C7F">
        <w:t xml:space="preserve">, but the sales in </w:t>
      </w:r>
      <w:r w:rsidR="004F03D7">
        <w:t>the United States</w:t>
      </w:r>
      <w:r w:rsidRPr="001E4C7F">
        <w:t xml:space="preserve"> </w:t>
      </w:r>
      <w:r w:rsidRPr="00124A29">
        <w:t>and production in China</w:t>
      </w:r>
      <w:r w:rsidRPr="001E4C7F">
        <w:t xml:space="preserve"> were made subject to patent infringement proceedings</w:t>
      </w:r>
      <w:r w:rsidRPr="000A0F49">
        <w:rPr>
          <w:rStyle w:val="FootnoteReference"/>
        </w:rPr>
        <w:footnoteReference w:id="95"/>
      </w:r>
      <w:r w:rsidR="000B751E" w:rsidRPr="000A0F49">
        <w:rPr>
          <w:vertAlign w:val="superscript"/>
        </w:rPr>
        <w:t>,</w:t>
      </w:r>
      <w:r w:rsidR="00F75472" w:rsidRPr="00F75472">
        <w:rPr>
          <w:rStyle w:val="FootnoteReference"/>
        </w:rPr>
        <w:footnoteReference w:id="96"/>
      </w:r>
      <w:r w:rsidRPr="001E4C7F">
        <w:t>. This process had not been licenced and was subject to a preliminary patent injunction in 2015</w:t>
      </w:r>
      <w:r w:rsidRPr="000A0F49">
        <w:rPr>
          <w:rStyle w:val="FootnoteReference"/>
        </w:rPr>
        <w:footnoteReference w:id="97"/>
      </w:r>
      <w:r w:rsidR="00F75472">
        <w:t>.</w:t>
      </w:r>
      <w:r w:rsidRPr="000A0F49">
        <w:rPr>
          <w:rStyle w:val="FootnoteReference"/>
        </w:rPr>
        <w:t>.</w:t>
      </w:r>
      <w:r w:rsidRPr="001E4C7F">
        <w:t xml:space="preserve"> However, the plant continued to operate and after a successful appeal, on the grounds that there was no compelling novelty in the process, the matter was dropped in January 2018</w:t>
      </w:r>
      <w:r w:rsidRPr="000A0F49">
        <w:rPr>
          <w:rStyle w:val="FootnoteReference"/>
        </w:rPr>
        <w:footnoteReference w:id="98"/>
      </w:r>
      <w:r w:rsidRPr="001E4C7F">
        <w:t xml:space="preserve">. </w:t>
      </w:r>
    </w:p>
    <w:p w14:paraId="003C56E7" w14:textId="1B274694" w:rsidR="00633A38" w:rsidRPr="001E4C7F" w:rsidRDefault="00633A38" w:rsidP="00633A38">
      <w:r w:rsidRPr="001E4C7F">
        <w:t>There are now four HFC-245fa producers in China, with nominal 32</w:t>
      </w:r>
      <w:r w:rsidR="00510815">
        <w:t xml:space="preserve"> </w:t>
      </w:r>
      <w:proofErr w:type="spellStart"/>
      <w:r w:rsidR="00510815">
        <w:t>kilotonnes</w:t>
      </w:r>
      <w:proofErr w:type="spellEnd"/>
      <w:r w:rsidR="004708BE">
        <w:t>/year</w:t>
      </w:r>
      <w:r w:rsidRPr="001E4C7F">
        <w:t xml:space="preserve"> capacity. In 2017 they consumed collectively 16.5</w:t>
      </w:r>
      <w:r w:rsidR="00132BBC">
        <w:t xml:space="preserve"> </w:t>
      </w:r>
      <w:proofErr w:type="spellStart"/>
      <w:r w:rsidR="00132BBC">
        <w:t>kilotonnes</w:t>
      </w:r>
      <w:proofErr w:type="spellEnd"/>
      <w:r w:rsidRPr="001E4C7F">
        <w:t xml:space="preserve"> of CTC</w:t>
      </w:r>
      <w:r w:rsidRPr="001E4C7F">
        <w:rPr>
          <w:vertAlign w:val="superscript"/>
        </w:rPr>
        <w:footnoteReference w:id="99"/>
      </w:r>
      <w:r w:rsidRPr="001E4C7F">
        <w:t>, used for both HFC-245fa and HFO-1233zd production</w:t>
      </w:r>
      <w:r>
        <w:t>.</w:t>
      </w:r>
      <w:r w:rsidRPr="001E4C7F">
        <w:t xml:space="preserve"> Production of HFC-245fa in China is shown in Table </w:t>
      </w:r>
      <w:r>
        <w:t>4.</w:t>
      </w:r>
      <w:r w:rsidR="00E325B0">
        <w:t>1</w:t>
      </w:r>
      <w:r>
        <w:t>.</w:t>
      </w:r>
    </w:p>
    <w:p w14:paraId="25DE891A" w14:textId="2265113C" w:rsidR="00633A38" w:rsidRPr="001E4C7F" w:rsidRDefault="00633A38" w:rsidP="008D19D5">
      <w:pPr>
        <w:pStyle w:val="FigureandTableTitle"/>
      </w:pPr>
      <w:r w:rsidRPr="001E4C7F">
        <w:t xml:space="preserve">Table </w:t>
      </w:r>
      <w:r>
        <w:t>4.</w:t>
      </w:r>
      <w:r w:rsidR="00E325B0">
        <w:t>1</w:t>
      </w:r>
      <w:r>
        <w:tab/>
      </w:r>
      <w:r w:rsidRPr="001E4C7F">
        <w:t xml:space="preserve">Production of HFC-245fa in China </w:t>
      </w:r>
      <w:r w:rsidR="00BC52FA">
        <w:t>(tonnes)</w:t>
      </w:r>
    </w:p>
    <w:tbl>
      <w:tblPr>
        <w:tblStyle w:val="TableGrid"/>
        <w:tblW w:w="0" w:type="auto"/>
        <w:tblLook w:val="04A0" w:firstRow="1" w:lastRow="0" w:firstColumn="1" w:lastColumn="0" w:noHBand="0" w:noVBand="1"/>
      </w:tblPr>
      <w:tblGrid>
        <w:gridCol w:w="1204"/>
        <w:gridCol w:w="1116"/>
        <w:gridCol w:w="1115"/>
        <w:gridCol w:w="1115"/>
        <w:gridCol w:w="1115"/>
        <w:gridCol w:w="1118"/>
        <w:gridCol w:w="1118"/>
      </w:tblGrid>
      <w:tr w:rsidR="00633A38" w:rsidRPr="00BC52FA" w14:paraId="6E31E194" w14:textId="77777777" w:rsidTr="009D115A">
        <w:tc>
          <w:tcPr>
            <w:tcW w:w="1204" w:type="dxa"/>
          </w:tcPr>
          <w:p w14:paraId="653E723A" w14:textId="09583034" w:rsidR="00633A38" w:rsidRPr="00BC52FA" w:rsidRDefault="00633A38" w:rsidP="00BC52FA">
            <w:pPr>
              <w:spacing w:after="0"/>
              <w:rPr>
                <w:b/>
                <w:bCs/>
                <w:sz w:val="20"/>
                <w:szCs w:val="20"/>
              </w:rPr>
            </w:pPr>
            <w:r w:rsidRPr="00BC52FA">
              <w:rPr>
                <w:b/>
                <w:bCs/>
                <w:sz w:val="20"/>
                <w:szCs w:val="20"/>
              </w:rPr>
              <w:t>Year</w:t>
            </w:r>
          </w:p>
        </w:tc>
        <w:tc>
          <w:tcPr>
            <w:tcW w:w="1116" w:type="dxa"/>
          </w:tcPr>
          <w:p w14:paraId="27B103BF" w14:textId="77777777" w:rsidR="00633A38" w:rsidRPr="00BC52FA" w:rsidRDefault="00633A38" w:rsidP="00C07934">
            <w:pPr>
              <w:spacing w:after="0"/>
              <w:jc w:val="center"/>
              <w:rPr>
                <w:b/>
                <w:bCs/>
                <w:sz w:val="20"/>
                <w:szCs w:val="20"/>
              </w:rPr>
            </w:pPr>
            <w:r w:rsidRPr="00BC52FA">
              <w:rPr>
                <w:b/>
                <w:bCs/>
                <w:sz w:val="20"/>
                <w:szCs w:val="20"/>
              </w:rPr>
              <w:t>2014</w:t>
            </w:r>
          </w:p>
        </w:tc>
        <w:tc>
          <w:tcPr>
            <w:tcW w:w="1115" w:type="dxa"/>
          </w:tcPr>
          <w:p w14:paraId="4CE986B6" w14:textId="77777777" w:rsidR="00633A38" w:rsidRPr="00BC52FA" w:rsidRDefault="00633A38" w:rsidP="00C07934">
            <w:pPr>
              <w:spacing w:after="0"/>
              <w:jc w:val="center"/>
              <w:rPr>
                <w:b/>
                <w:bCs/>
                <w:sz w:val="20"/>
                <w:szCs w:val="20"/>
              </w:rPr>
            </w:pPr>
            <w:r w:rsidRPr="00BC52FA">
              <w:rPr>
                <w:b/>
                <w:bCs/>
                <w:sz w:val="20"/>
                <w:szCs w:val="20"/>
              </w:rPr>
              <w:t>2015</w:t>
            </w:r>
          </w:p>
        </w:tc>
        <w:tc>
          <w:tcPr>
            <w:tcW w:w="1115" w:type="dxa"/>
          </w:tcPr>
          <w:p w14:paraId="35E1C32B" w14:textId="77777777" w:rsidR="00633A38" w:rsidRPr="00BC52FA" w:rsidRDefault="00633A38" w:rsidP="00C07934">
            <w:pPr>
              <w:spacing w:after="0"/>
              <w:jc w:val="center"/>
              <w:rPr>
                <w:b/>
                <w:bCs/>
                <w:sz w:val="20"/>
                <w:szCs w:val="20"/>
              </w:rPr>
            </w:pPr>
            <w:r w:rsidRPr="00BC52FA">
              <w:rPr>
                <w:b/>
                <w:bCs/>
                <w:sz w:val="20"/>
                <w:szCs w:val="20"/>
              </w:rPr>
              <w:t>2016</w:t>
            </w:r>
          </w:p>
        </w:tc>
        <w:tc>
          <w:tcPr>
            <w:tcW w:w="1115" w:type="dxa"/>
          </w:tcPr>
          <w:p w14:paraId="3109144D" w14:textId="77777777" w:rsidR="00633A38" w:rsidRPr="00BC52FA" w:rsidRDefault="00633A38" w:rsidP="00C07934">
            <w:pPr>
              <w:spacing w:after="0"/>
              <w:jc w:val="center"/>
              <w:rPr>
                <w:b/>
                <w:bCs/>
                <w:sz w:val="20"/>
                <w:szCs w:val="20"/>
              </w:rPr>
            </w:pPr>
            <w:r w:rsidRPr="00BC52FA">
              <w:rPr>
                <w:b/>
                <w:bCs/>
                <w:sz w:val="20"/>
                <w:szCs w:val="20"/>
              </w:rPr>
              <w:t>2017</w:t>
            </w:r>
          </w:p>
        </w:tc>
        <w:tc>
          <w:tcPr>
            <w:tcW w:w="1118" w:type="dxa"/>
          </w:tcPr>
          <w:p w14:paraId="445C92FB" w14:textId="77777777" w:rsidR="00633A38" w:rsidRPr="00BC52FA" w:rsidRDefault="00633A38" w:rsidP="00C07934">
            <w:pPr>
              <w:spacing w:after="0"/>
              <w:jc w:val="center"/>
              <w:rPr>
                <w:b/>
                <w:bCs/>
                <w:sz w:val="20"/>
                <w:szCs w:val="20"/>
              </w:rPr>
            </w:pPr>
            <w:r w:rsidRPr="00BC52FA">
              <w:rPr>
                <w:b/>
                <w:bCs/>
                <w:sz w:val="20"/>
                <w:szCs w:val="20"/>
              </w:rPr>
              <w:t>2018</w:t>
            </w:r>
          </w:p>
        </w:tc>
        <w:tc>
          <w:tcPr>
            <w:tcW w:w="1118" w:type="dxa"/>
          </w:tcPr>
          <w:p w14:paraId="2E7F8C30" w14:textId="77777777" w:rsidR="00633A38" w:rsidRPr="00BC52FA" w:rsidRDefault="00633A38" w:rsidP="00C07934">
            <w:pPr>
              <w:spacing w:after="0"/>
              <w:jc w:val="center"/>
              <w:rPr>
                <w:b/>
                <w:bCs/>
                <w:sz w:val="20"/>
                <w:szCs w:val="20"/>
              </w:rPr>
            </w:pPr>
            <w:r w:rsidRPr="00BC52FA">
              <w:rPr>
                <w:b/>
                <w:bCs/>
                <w:sz w:val="20"/>
                <w:szCs w:val="20"/>
              </w:rPr>
              <w:t>2019</w:t>
            </w:r>
          </w:p>
        </w:tc>
      </w:tr>
      <w:tr w:rsidR="00633A38" w:rsidRPr="008D19D5" w14:paraId="1521B7F5" w14:textId="77777777" w:rsidTr="009D115A">
        <w:tc>
          <w:tcPr>
            <w:tcW w:w="1204" w:type="dxa"/>
          </w:tcPr>
          <w:p w14:paraId="0AA7EA4C" w14:textId="1A71865C" w:rsidR="00633A38" w:rsidRPr="008D19D5" w:rsidRDefault="00633A38" w:rsidP="00BC52FA">
            <w:pPr>
              <w:spacing w:after="0"/>
              <w:rPr>
                <w:sz w:val="20"/>
                <w:szCs w:val="20"/>
              </w:rPr>
            </w:pPr>
            <w:r w:rsidRPr="008D19D5">
              <w:rPr>
                <w:sz w:val="20"/>
                <w:szCs w:val="20"/>
              </w:rPr>
              <w:t>Production</w:t>
            </w:r>
          </w:p>
        </w:tc>
        <w:tc>
          <w:tcPr>
            <w:tcW w:w="1116" w:type="dxa"/>
          </w:tcPr>
          <w:p w14:paraId="66D41F14" w14:textId="77777777" w:rsidR="00633A38" w:rsidRPr="008D19D5" w:rsidRDefault="00633A38" w:rsidP="00C07934">
            <w:pPr>
              <w:spacing w:after="0"/>
              <w:jc w:val="center"/>
              <w:rPr>
                <w:sz w:val="20"/>
                <w:szCs w:val="20"/>
              </w:rPr>
            </w:pPr>
            <w:r w:rsidRPr="008D19D5">
              <w:rPr>
                <w:sz w:val="20"/>
                <w:szCs w:val="20"/>
              </w:rPr>
              <w:t>2200</w:t>
            </w:r>
          </w:p>
        </w:tc>
        <w:tc>
          <w:tcPr>
            <w:tcW w:w="1115" w:type="dxa"/>
          </w:tcPr>
          <w:p w14:paraId="72B92851" w14:textId="77777777" w:rsidR="00633A38" w:rsidRPr="008D19D5" w:rsidRDefault="00633A38" w:rsidP="00C07934">
            <w:pPr>
              <w:spacing w:after="0"/>
              <w:jc w:val="center"/>
              <w:rPr>
                <w:sz w:val="20"/>
                <w:szCs w:val="20"/>
              </w:rPr>
            </w:pPr>
            <w:r w:rsidRPr="008D19D5">
              <w:rPr>
                <w:sz w:val="20"/>
                <w:szCs w:val="20"/>
              </w:rPr>
              <w:t>5800</w:t>
            </w:r>
          </w:p>
        </w:tc>
        <w:tc>
          <w:tcPr>
            <w:tcW w:w="1115" w:type="dxa"/>
          </w:tcPr>
          <w:p w14:paraId="444C9466" w14:textId="77777777" w:rsidR="00633A38" w:rsidRPr="008D19D5" w:rsidRDefault="00633A38" w:rsidP="00C07934">
            <w:pPr>
              <w:spacing w:after="0"/>
              <w:jc w:val="center"/>
              <w:rPr>
                <w:sz w:val="20"/>
                <w:szCs w:val="20"/>
              </w:rPr>
            </w:pPr>
            <w:r w:rsidRPr="008D19D5">
              <w:rPr>
                <w:sz w:val="20"/>
                <w:szCs w:val="20"/>
              </w:rPr>
              <w:t>6600</w:t>
            </w:r>
          </w:p>
        </w:tc>
        <w:tc>
          <w:tcPr>
            <w:tcW w:w="1115" w:type="dxa"/>
          </w:tcPr>
          <w:p w14:paraId="48E5F953" w14:textId="77777777" w:rsidR="00633A38" w:rsidRPr="008D19D5" w:rsidRDefault="00633A38" w:rsidP="00C07934">
            <w:pPr>
              <w:spacing w:after="0"/>
              <w:jc w:val="center"/>
              <w:rPr>
                <w:sz w:val="20"/>
                <w:szCs w:val="20"/>
              </w:rPr>
            </w:pPr>
            <w:r w:rsidRPr="008D19D5">
              <w:rPr>
                <w:sz w:val="20"/>
                <w:szCs w:val="20"/>
              </w:rPr>
              <w:t>9935</w:t>
            </w:r>
          </w:p>
        </w:tc>
        <w:tc>
          <w:tcPr>
            <w:tcW w:w="1118" w:type="dxa"/>
          </w:tcPr>
          <w:p w14:paraId="399AD10D" w14:textId="77777777" w:rsidR="00633A38" w:rsidRPr="008D19D5" w:rsidRDefault="00633A38" w:rsidP="00C07934">
            <w:pPr>
              <w:spacing w:after="0"/>
              <w:jc w:val="center"/>
              <w:rPr>
                <w:sz w:val="20"/>
                <w:szCs w:val="20"/>
              </w:rPr>
            </w:pPr>
            <w:r w:rsidRPr="008D19D5">
              <w:rPr>
                <w:sz w:val="20"/>
                <w:szCs w:val="20"/>
              </w:rPr>
              <w:t>14000</w:t>
            </w:r>
          </w:p>
        </w:tc>
        <w:tc>
          <w:tcPr>
            <w:tcW w:w="1118" w:type="dxa"/>
          </w:tcPr>
          <w:p w14:paraId="0352A8C8" w14:textId="77777777" w:rsidR="00633A38" w:rsidRPr="008D19D5" w:rsidRDefault="00633A38" w:rsidP="00C07934">
            <w:pPr>
              <w:spacing w:after="0"/>
              <w:jc w:val="center"/>
              <w:rPr>
                <w:sz w:val="20"/>
                <w:szCs w:val="20"/>
              </w:rPr>
            </w:pPr>
            <w:r w:rsidRPr="008D19D5">
              <w:rPr>
                <w:sz w:val="20"/>
                <w:szCs w:val="20"/>
              </w:rPr>
              <w:t>12300</w:t>
            </w:r>
          </w:p>
        </w:tc>
      </w:tr>
    </w:tbl>
    <w:p w14:paraId="1667D85A" w14:textId="77777777" w:rsidR="00A676B8" w:rsidRDefault="00A676B8" w:rsidP="00633A38"/>
    <w:p w14:paraId="56AD44FF" w14:textId="7D0FDB1E" w:rsidR="00633A38" w:rsidRPr="002327D6" w:rsidRDefault="00633A38" w:rsidP="00633A38">
      <w:r w:rsidRPr="001E4C7F">
        <w:t>In summary, it seems that at no stage of the phase-down of HCFC-141b, during the 2012-2018 period</w:t>
      </w:r>
      <w:r>
        <w:t>,</w:t>
      </w:r>
      <w:r w:rsidRPr="001E4C7F">
        <w:t xml:space="preserve"> has there been a viable </w:t>
      </w:r>
      <w:r>
        <w:t>opportunity</w:t>
      </w:r>
      <w:r w:rsidRPr="001E4C7F">
        <w:t xml:space="preserve"> for the HFCs </w:t>
      </w:r>
      <w:r w:rsidRPr="001E4C7F">
        <w:rPr>
          <w:iCs/>
        </w:rPr>
        <w:t>(-245fa and -365mfc)</w:t>
      </w:r>
      <w:r w:rsidRPr="001E4C7F">
        <w:t xml:space="preserve"> to substitute more than a very small fraction of the foaming agent required by the insulation industry</w:t>
      </w:r>
      <w:r w:rsidR="00D43B19">
        <w:t xml:space="preserve"> in China</w:t>
      </w:r>
      <w:r w:rsidRPr="001E4C7F">
        <w:t>.</w:t>
      </w:r>
      <w:r w:rsidR="006D1C79">
        <w:t xml:space="preserve"> </w:t>
      </w:r>
      <w:r w:rsidRPr="001E4C7F">
        <w:t>In the future</w:t>
      </w:r>
      <w:r w:rsidR="00DB7B7E">
        <w:t>,</w:t>
      </w:r>
      <w:r w:rsidRPr="001E4C7F">
        <w:t xml:space="preserve"> there is more likely to be a focus on the use of HFO-1233zd as a foam blowing agent, but this was also not available during this period.</w:t>
      </w:r>
      <w:r w:rsidR="006D1C79">
        <w:t xml:space="preserve"> </w:t>
      </w:r>
    </w:p>
    <w:p w14:paraId="740BB80A" w14:textId="26B96455" w:rsidR="002313D4" w:rsidRDefault="31DDEE1E" w:rsidP="00751ECE">
      <w:pPr>
        <w:pStyle w:val="Heading2"/>
      </w:pPr>
      <w:bookmarkStart w:id="166" w:name="_Toc73045623"/>
      <w:r>
        <w:lastRenderedPageBreak/>
        <w:t>4.2</w:t>
      </w:r>
      <w:r w:rsidR="008542F5">
        <w:tab/>
      </w:r>
      <w:r w:rsidR="00A70581">
        <w:t>P</w:t>
      </w:r>
      <w:r w:rsidR="000F0C49">
        <w:t xml:space="preserve">roduction and </w:t>
      </w:r>
      <w:r w:rsidR="00C60B31">
        <w:t>s</w:t>
      </w:r>
      <w:r>
        <w:t>upply</w:t>
      </w:r>
      <w:r w:rsidR="000F0C49">
        <w:t xml:space="preserve"> of</w:t>
      </w:r>
      <w:r>
        <w:t xml:space="preserve"> CFC-11</w:t>
      </w:r>
      <w:bookmarkEnd w:id="166"/>
    </w:p>
    <w:p w14:paraId="43CF2F28" w14:textId="1883D3DA" w:rsidR="00D70C01" w:rsidRPr="00D70C01" w:rsidRDefault="0049739D" w:rsidP="00E112A7">
      <w:pPr>
        <w:pStyle w:val="Heading3"/>
      </w:pPr>
      <w:bookmarkStart w:id="167" w:name="_Toc73045624"/>
      <w:r>
        <w:t>4.2.1</w:t>
      </w:r>
      <w:r>
        <w:tab/>
      </w:r>
      <w:r w:rsidR="00D70C01" w:rsidRPr="00D70C01">
        <w:t>Economic factors and technical requirements for swinging HCFC</w:t>
      </w:r>
      <w:r>
        <w:t>-</w:t>
      </w:r>
      <w:r w:rsidR="00D70C01" w:rsidRPr="00D70C01">
        <w:t>22 and HFC</w:t>
      </w:r>
      <w:r>
        <w:t>-</w:t>
      </w:r>
      <w:r w:rsidR="00D70C01" w:rsidRPr="00D70C01">
        <w:t xml:space="preserve">32 plants to </w:t>
      </w:r>
      <w:r w:rsidR="00E210A7">
        <w:t>CFC-11</w:t>
      </w:r>
      <w:r w:rsidR="00D70C01" w:rsidRPr="00D70C01">
        <w:t xml:space="preserve"> and for use of small-scale production plants</w:t>
      </w:r>
      <w:bookmarkEnd w:id="167"/>
    </w:p>
    <w:p w14:paraId="7E50EBAB" w14:textId="78A6805D" w:rsidR="00D70C01" w:rsidRPr="00D70C01" w:rsidRDefault="00D70C01" w:rsidP="00D70C01">
      <w:pPr>
        <w:rPr>
          <w:lang w:eastAsia="fr-FR"/>
        </w:rPr>
      </w:pPr>
      <w:r w:rsidRPr="00D70C01">
        <w:rPr>
          <w:lang w:eastAsia="fr-FR"/>
        </w:rPr>
        <w:t>Based on the high degree of similarity between the liquid phase production routes for CFC-11 (</w:t>
      </w:r>
      <w:r w:rsidR="00190874">
        <w:rPr>
          <w:lang w:eastAsia="fr-FR"/>
        </w:rPr>
        <w:t>and</w:t>
      </w:r>
      <w:r w:rsidRPr="00D70C01">
        <w:rPr>
          <w:lang w:eastAsia="fr-FR"/>
        </w:rPr>
        <w:t xml:space="preserve"> CFC-12), HCFC-22 and HFC-32 (e.g.</w:t>
      </w:r>
      <w:r w:rsidR="00D1096E">
        <w:rPr>
          <w:lang w:eastAsia="fr-FR"/>
        </w:rPr>
        <w:t>,</w:t>
      </w:r>
      <w:r w:rsidRPr="00D70C01">
        <w:rPr>
          <w:lang w:eastAsia="fr-FR"/>
        </w:rPr>
        <w:t xml:space="preserve"> similar raw materials and co-products, catalyst and process steps</w:t>
      </w:r>
      <w:r w:rsidR="00F92B76">
        <w:rPr>
          <w:lang w:eastAsia="fr-FR"/>
        </w:rPr>
        <w:t>, that is</w:t>
      </w:r>
      <w:r w:rsidR="00C37564">
        <w:rPr>
          <w:lang w:eastAsia="fr-FR"/>
        </w:rPr>
        <w:t>,</w:t>
      </w:r>
      <w:r w:rsidR="00F92B76" w:rsidRPr="00D70C01">
        <w:rPr>
          <w:lang w:eastAsia="fr-FR"/>
        </w:rPr>
        <w:t xml:space="preserve"> </w:t>
      </w:r>
      <w:r w:rsidR="00F92B76">
        <w:rPr>
          <w:lang w:eastAsia="fr-FR"/>
        </w:rPr>
        <w:t>r</w:t>
      </w:r>
      <w:r w:rsidRPr="00D70C01">
        <w:rPr>
          <w:lang w:eastAsia="fr-FR"/>
        </w:rPr>
        <w:t>eaction, HCl removal, product cleaning and product purification) it might be expected that a liquid phase production plant making one of the products (CFC</w:t>
      </w:r>
      <w:r w:rsidR="00A25BFC">
        <w:rPr>
          <w:lang w:eastAsia="fr-FR"/>
        </w:rPr>
        <w:t>-</w:t>
      </w:r>
      <w:r w:rsidRPr="00D70C01">
        <w:rPr>
          <w:lang w:eastAsia="fr-FR"/>
        </w:rPr>
        <w:t>11/12, HCFC</w:t>
      </w:r>
      <w:r w:rsidR="00A25BFC">
        <w:rPr>
          <w:lang w:eastAsia="fr-FR"/>
        </w:rPr>
        <w:t>-</w:t>
      </w:r>
      <w:r w:rsidRPr="00D70C01">
        <w:rPr>
          <w:lang w:eastAsia="fr-FR"/>
        </w:rPr>
        <w:t>22 and HFC</w:t>
      </w:r>
      <w:r w:rsidR="00A25BFC">
        <w:rPr>
          <w:lang w:eastAsia="fr-FR"/>
        </w:rPr>
        <w:t>-</w:t>
      </w:r>
      <w:r w:rsidRPr="00D70C01">
        <w:rPr>
          <w:lang w:eastAsia="fr-FR"/>
        </w:rPr>
        <w:t>32) can successfully be swung to make one or the others. However, the production route is not the only factor, the differences in the physical properties of the product are also a major technical consideration. For instance, the production plants will need to operate at different temperatures and pressure</w:t>
      </w:r>
      <w:r w:rsidR="0089360D">
        <w:rPr>
          <w:lang w:eastAsia="fr-FR"/>
        </w:rPr>
        <w:t>s</w:t>
      </w:r>
      <w:r w:rsidRPr="00D70C01">
        <w:rPr>
          <w:lang w:eastAsia="fr-FR"/>
        </w:rPr>
        <w:t xml:space="preserve"> depending on the product being made. Production plants with a larger range of allowable operating pressures, and a larger range of achievable cooling and heating media temperatures, such as purpose designed swing plants, should be able to make a larger range of end products. In addition, there are several other technical requirements that need to be addressed, for example</w:t>
      </w:r>
    </w:p>
    <w:p w14:paraId="016DECAC" w14:textId="59CAC488" w:rsidR="00D70C01" w:rsidRPr="00D70C01" w:rsidRDefault="00C8683E" w:rsidP="008D587F">
      <w:pPr>
        <w:numPr>
          <w:ilvl w:val="0"/>
          <w:numId w:val="54"/>
        </w:numPr>
        <w:rPr>
          <w:lang w:eastAsia="fr-FR"/>
        </w:rPr>
      </w:pPr>
      <w:r>
        <w:rPr>
          <w:lang w:eastAsia="fr-FR"/>
        </w:rPr>
        <w:t>S</w:t>
      </w:r>
      <w:r w:rsidR="00D70C01" w:rsidRPr="00D70C01">
        <w:rPr>
          <w:lang w:eastAsia="fr-FR"/>
        </w:rPr>
        <w:t>winging from one product to another will vary the production capacity for the different products, due to bottlenecks inherent in the plant design e.g.</w:t>
      </w:r>
      <w:r w:rsidR="00E225A7">
        <w:rPr>
          <w:lang w:eastAsia="fr-FR"/>
        </w:rPr>
        <w:t>,</w:t>
      </w:r>
      <w:r w:rsidR="00D70C01" w:rsidRPr="00D70C01">
        <w:rPr>
          <w:lang w:eastAsia="fr-FR"/>
        </w:rPr>
        <w:t xml:space="preserve"> heat exchange capability, pumping rates and availability of heating and cooling media. In general production capacity would be expected to be highest for CFC</w:t>
      </w:r>
      <w:r w:rsidR="00A25BFC">
        <w:rPr>
          <w:lang w:eastAsia="fr-FR"/>
        </w:rPr>
        <w:t>-</w:t>
      </w:r>
      <w:r w:rsidR="00D70C01" w:rsidRPr="00D70C01">
        <w:rPr>
          <w:lang w:eastAsia="fr-FR"/>
        </w:rPr>
        <w:t>11 and lowest for HFC</w:t>
      </w:r>
      <w:r w:rsidR="00A25BFC">
        <w:rPr>
          <w:lang w:eastAsia="fr-FR"/>
        </w:rPr>
        <w:t>-</w:t>
      </w:r>
      <w:r w:rsidR="00D70C01" w:rsidRPr="00D70C01">
        <w:rPr>
          <w:lang w:eastAsia="fr-FR"/>
        </w:rPr>
        <w:t>32.</w:t>
      </w:r>
    </w:p>
    <w:p w14:paraId="711D252C" w14:textId="1874798A" w:rsidR="00D70C01" w:rsidRPr="00D70C01" w:rsidRDefault="00C8683E" w:rsidP="008D587F">
      <w:pPr>
        <w:numPr>
          <w:ilvl w:val="0"/>
          <w:numId w:val="54"/>
        </w:numPr>
        <w:rPr>
          <w:lang w:eastAsia="fr-FR"/>
        </w:rPr>
      </w:pPr>
      <w:r>
        <w:rPr>
          <w:lang w:eastAsia="fr-FR"/>
        </w:rPr>
        <w:t>D</w:t>
      </w:r>
      <w:r w:rsidR="00D70C01" w:rsidRPr="00D70C01">
        <w:rPr>
          <w:lang w:eastAsia="fr-FR"/>
        </w:rPr>
        <w:t>ifferent operating conditions usually mean significant changes to process control parameters and could possibly require instrument re-ranging</w:t>
      </w:r>
      <w:r w:rsidR="002F0685">
        <w:rPr>
          <w:lang w:eastAsia="fr-FR"/>
        </w:rPr>
        <w:t>.</w:t>
      </w:r>
    </w:p>
    <w:p w14:paraId="06280D03" w14:textId="6EE7EA80" w:rsidR="00D70C01" w:rsidRPr="00D70C01" w:rsidRDefault="00D70C01" w:rsidP="008D587F">
      <w:pPr>
        <w:numPr>
          <w:ilvl w:val="0"/>
          <w:numId w:val="54"/>
        </w:numPr>
        <w:rPr>
          <w:lang w:eastAsia="fr-FR"/>
        </w:rPr>
      </w:pPr>
      <w:r w:rsidRPr="00D70C01">
        <w:rPr>
          <w:lang w:eastAsia="fr-FR"/>
        </w:rPr>
        <w:t xml:space="preserve">Liquid phase reactors hold a significant inventory of the organic raw material (CTC, </w:t>
      </w:r>
      <w:r w:rsidR="00966FF2">
        <w:rPr>
          <w:lang w:eastAsia="fr-FR"/>
        </w:rPr>
        <w:t>chloroform,</w:t>
      </w:r>
      <w:r w:rsidRPr="00D70C01">
        <w:rPr>
          <w:lang w:eastAsia="fr-FR"/>
        </w:rPr>
        <w:t xml:space="preserve"> or methylene chloride) meaning that the reactor catalyst charge may need to be changed when swinging from one organic raw material to another to avoid cross contamination.</w:t>
      </w:r>
    </w:p>
    <w:p w14:paraId="4987ED0D" w14:textId="1BA83C0B" w:rsidR="00D70C01" w:rsidRPr="00D70C01" w:rsidRDefault="00D70C01" w:rsidP="008D587F">
      <w:pPr>
        <w:numPr>
          <w:ilvl w:val="0"/>
          <w:numId w:val="54"/>
        </w:numPr>
        <w:rPr>
          <w:lang w:eastAsia="fr-FR"/>
        </w:rPr>
      </w:pPr>
      <w:r w:rsidRPr="00D70C01">
        <w:rPr>
          <w:lang w:eastAsia="fr-FR"/>
        </w:rPr>
        <w:t>Other chemical properties such as the fact that HFC</w:t>
      </w:r>
      <w:r w:rsidR="00966FF2">
        <w:rPr>
          <w:lang w:eastAsia="fr-FR"/>
        </w:rPr>
        <w:t>-</w:t>
      </w:r>
      <w:r w:rsidRPr="00D70C01">
        <w:rPr>
          <w:lang w:eastAsia="fr-FR"/>
        </w:rPr>
        <w:t>32 is mildly flammable will have a bearing on process safety considerations when changing product.</w:t>
      </w:r>
    </w:p>
    <w:p w14:paraId="7E9DF811" w14:textId="00715FCA" w:rsidR="00D70C01" w:rsidRPr="00D70C01" w:rsidRDefault="002F0685" w:rsidP="008D587F">
      <w:pPr>
        <w:numPr>
          <w:ilvl w:val="0"/>
          <w:numId w:val="54"/>
        </w:numPr>
        <w:rPr>
          <w:lang w:eastAsia="fr-FR"/>
        </w:rPr>
      </w:pPr>
      <w:r w:rsidRPr="002F0685">
        <w:rPr>
          <w:lang w:eastAsia="fr-FR"/>
        </w:rPr>
        <w:t>Constraints on unit processes that could also affect the ability of the plant to make the product to the required specification</w:t>
      </w:r>
      <w:r>
        <w:rPr>
          <w:lang w:eastAsia="fr-FR"/>
        </w:rPr>
        <w:t>.</w:t>
      </w:r>
    </w:p>
    <w:p w14:paraId="0D42970B" w14:textId="26975AB6" w:rsidR="00D70C01" w:rsidRPr="00D70C01" w:rsidRDefault="00D70C01" w:rsidP="00D70C01">
      <w:pPr>
        <w:rPr>
          <w:lang w:eastAsia="fr-FR"/>
        </w:rPr>
      </w:pPr>
      <w:r w:rsidRPr="00D70C01">
        <w:rPr>
          <w:lang w:eastAsia="fr-FR"/>
        </w:rPr>
        <w:t>In summary</w:t>
      </w:r>
      <w:r w:rsidR="00663EF8">
        <w:rPr>
          <w:lang w:eastAsia="fr-FR"/>
        </w:rPr>
        <w:t>,</w:t>
      </w:r>
      <w:r w:rsidRPr="00D70C01">
        <w:rPr>
          <w:lang w:eastAsia="fr-FR"/>
        </w:rPr>
        <w:t xml:space="preserve"> purpose-built swing plants </w:t>
      </w:r>
      <w:r w:rsidR="00163019">
        <w:rPr>
          <w:lang w:eastAsia="fr-FR"/>
        </w:rPr>
        <w:t>are</w:t>
      </w:r>
      <w:r w:rsidRPr="00D70C01">
        <w:rPr>
          <w:lang w:eastAsia="fr-FR"/>
        </w:rPr>
        <w:t xml:space="preserve"> designed to have the required technical requirements to change products. Large plants built for the production </w:t>
      </w:r>
      <w:r w:rsidR="003B1C09">
        <w:rPr>
          <w:lang w:eastAsia="fr-FR"/>
        </w:rPr>
        <w:t xml:space="preserve">of </w:t>
      </w:r>
      <w:r w:rsidRPr="00D70C01">
        <w:rPr>
          <w:lang w:eastAsia="fr-FR"/>
        </w:rPr>
        <w:t>a single product may be able to be swung to another product, but this may well come at a cost of reduced plant capacity and possibly product quality.</w:t>
      </w:r>
    </w:p>
    <w:p w14:paraId="4EA94601" w14:textId="216219AA" w:rsidR="00D70C01" w:rsidRPr="00D70C01" w:rsidRDefault="00D70C01" w:rsidP="00D70C01">
      <w:pPr>
        <w:rPr>
          <w:lang w:eastAsia="fr-FR"/>
        </w:rPr>
      </w:pPr>
      <w:r w:rsidRPr="00D70C01">
        <w:rPr>
          <w:lang w:eastAsia="fr-FR"/>
        </w:rPr>
        <w:t>There are a range of economic factors that need to be considered when deciding to swing from one product to another, including</w:t>
      </w:r>
      <w:r w:rsidR="00517F01">
        <w:rPr>
          <w:lang w:eastAsia="fr-FR"/>
        </w:rPr>
        <w:t>:</w:t>
      </w:r>
    </w:p>
    <w:p w14:paraId="4EEF795E" w14:textId="77777777" w:rsidR="00D70C01" w:rsidRPr="00D70C01" w:rsidRDefault="00D70C01" w:rsidP="008D587F">
      <w:pPr>
        <w:numPr>
          <w:ilvl w:val="0"/>
          <w:numId w:val="55"/>
        </w:numPr>
        <w:rPr>
          <w:lang w:eastAsia="fr-FR"/>
        </w:rPr>
      </w:pPr>
      <w:r w:rsidRPr="00D70C01">
        <w:rPr>
          <w:lang w:eastAsia="fr-FR"/>
        </w:rPr>
        <w:t>Raw material prices and availability</w:t>
      </w:r>
    </w:p>
    <w:p w14:paraId="540FDF4B" w14:textId="77777777" w:rsidR="00D70C01" w:rsidRPr="00D70C01" w:rsidRDefault="00D70C01" w:rsidP="008D587F">
      <w:pPr>
        <w:numPr>
          <w:ilvl w:val="0"/>
          <w:numId w:val="55"/>
        </w:numPr>
        <w:rPr>
          <w:lang w:eastAsia="fr-FR"/>
        </w:rPr>
      </w:pPr>
      <w:r w:rsidRPr="00D70C01">
        <w:rPr>
          <w:lang w:eastAsia="fr-FR"/>
        </w:rPr>
        <w:t>Product value</w:t>
      </w:r>
    </w:p>
    <w:p w14:paraId="7FF61968" w14:textId="77777777" w:rsidR="00D70C01" w:rsidRPr="00D70C01" w:rsidRDefault="00D70C01" w:rsidP="008D587F">
      <w:pPr>
        <w:numPr>
          <w:ilvl w:val="0"/>
          <w:numId w:val="55"/>
        </w:numPr>
        <w:rPr>
          <w:lang w:eastAsia="fr-FR"/>
        </w:rPr>
      </w:pPr>
      <w:r w:rsidRPr="00D70C01">
        <w:rPr>
          <w:lang w:eastAsia="fr-FR"/>
        </w:rPr>
        <w:t>Relative plant throughputs</w:t>
      </w:r>
    </w:p>
    <w:p w14:paraId="1F39B0D5" w14:textId="77777777" w:rsidR="00D70C01" w:rsidRPr="00D70C01" w:rsidRDefault="00D70C01" w:rsidP="008D587F">
      <w:pPr>
        <w:numPr>
          <w:ilvl w:val="0"/>
          <w:numId w:val="55"/>
        </w:numPr>
        <w:rPr>
          <w:lang w:eastAsia="fr-FR"/>
        </w:rPr>
      </w:pPr>
      <w:r w:rsidRPr="00D70C01">
        <w:rPr>
          <w:lang w:eastAsia="fr-FR"/>
        </w:rPr>
        <w:lastRenderedPageBreak/>
        <w:t xml:space="preserve">Additional equipment requirements </w:t>
      </w:r>
    </w:p>
    <w:p w14:paraId="03418D36" w14:textId="77777777" w:rsidR="00D70C01" w:rsidRPr="00D70C01" w:rsidRDefault="00D70C01" w:rsidP="008D587F">
      <w:pPr>
        <w:numPr>
          <w:ilvl w:val="0"/>
          <w:numId w:val="55"/>
        </w:numPr>
        <w:rPr>
          <w:lang w:eastAsia="fr-FR"/>
        </w:rPr>
      </w:pPr>
      <w:r w:rsidRPr="00D70C01">
        <w:rPr>
          <w:lang w:eastAsia="fr-FR"/>
        </w:rPr>
        <w:t>Operator training</w:t>
      </w:r>
    </w:p>
    <w:p w14:paraId="04D2FC14" w14:textId="75A4264D" w:rsidR="00D70C01" w:rsidRPr="00D70C01" w:rsidRDefault="00D70C01" w:rsidP="008D587F">
      <w:pPr>
        <w:numPr>
          <w:ilvl w:val="0"/>
          <w:numId w:val="55"/>
        </w:numPr>
        <w:rPr>
          <w:lang w:eastAsia="fr-FR"/>
        </w:rPr>
      </w:pPr>
      <w:r w:rsidRPr="00D70C01">
        <w:rPr>
          <w:lang w:eastAsia="fr-FR"/>
        </w:rPr>
        <w:t>Duration of product changeover outages, typically several days, even weeks, are required to de-inventory then restart the plant.</w:t>
      </w:r>
      <w:r w:rsidR="006D1C79">
        <w:rPr>
          <w:lang w:eastAsia="fr-FR"/>
        </w:rPr>
        <w:t xml:space="preserve"> </w:t>
      </w:r>
    </w:p>
    <w:p w14:paraId="0A56ED02" w14:textId="1911AA72" w:rsidR="00D70C01" w:rsidRDefault="00D70C01" w:rsidP="00D70C01">
      <w:pPr>
        <w:rPr>
          <w:lang w:eastAsia="fr-FR"/>
        </w:rPr>
      </w:pPr>
      <w:r w:rsidRPr="00D70C01">
        <w:rPr>
          <w:lang w:eastAsia="fr-FR"/>
        </w:rPr>
        <w:t>Many of these economic factors are influenced by the technical requirements and hence similar conclusions can be drawn. Purpose</w:t>
      </w:r>
      <w:r w:rsidR="00D22B12">
        <w:rPr>
          <w:lang w:eastAsia="fr-FR"/>
        </w:rPr>
        <w:t>-</w:t>
      </w:r>
      <w:r w:rsidRPr="00D70C01">
        <w:rPr>
          <w:lang w:eastAsia="fr-FR"/>
        </w:rPr>
        <w:t xml:space="preserve">built </w:t>
      </w:r>
      <w:r w:rsidR="00765241">
        <w:rPr>
          <w:lang w:eastAsia="fr-FR"/>
        </w:rPr>
        <w:t xml:space="preserve">swing </w:t>
      </w:r>
      <w:r w:rsidRPr="00D70C01">
        <w:rPr>
          <w:lang w:eastAsia="fr-FR"/>
        </w:rPr>
        <w:t>plants should have been designed to minimise on-going economic factors to an acceptable level when swing</w:t>
      </w:r>
      <w:r w:rsidR="00656829">
        <w:rPr>
          <w:lang w:eastAsia="fr-FR"/>
        </w:rPr>
        <w:t>ing</w:t>
      </w:r>
      <w:r w:rsidRPr="00D70C01">
        <w:rPr>
          <w:lang w:eastAsia="fr-FR"/>
        </w:rPr>
        <w:t xml:space="preserve"> from one product to another, whereas swinging to a different product on single product plants would be less economically attractive.</w:t>
      </w:r>
      <w:r w:rsidR="002F7651">
        <w:rPr>
          <w:lang w:eastAsia="fr-FR"/>
        </w:rPr>
        <w:t xml:space="preserve"> </w:t>
      </w:r>
    </w:p>
    <w:p w14:paraId="2A5B3338" w14:textId="36142350" w:rsidR="008D587F" w:rsidRPr="008D587F" w:rsidRDefault="00CE0472" w:rsidP="00751ECE">
      <w:pPr>
        <w:pStyle w:val="Heading3"/>
      </w:pPr>
      <w:bookmarkStart w:id="168" w:name="_Toc73045625"/>
      <w:r>
        <w:t>4.2.</w:t>
      </w:r>
      <w:r w:rsidR="00E4654F">
        <w:t>2</w:t>
      </w:r>
      <w:r>
        <w:tab/>
      </w:r>
      <w:r w:rsidR="008D587F" w:rsidRPr="008D587F">
        <w:t>Technical requirements and economic factors for small-scale production plants</w:t>
      </w:r>
      <w:bookmarkEnd w:id="168"/>
    </w:p>
    <w:p w14:paraId="3A6A02F5" w14:textId="4037EE41" w:rsidR="008D587F" w:rsidRPr="008D587F" w:rsidRDefault="008D587F" w:rsidP="008D587F">
      <w:pPr>
        <w:rPr>
          <w:lang w:eastAsia="fr-FR"/>
        </w:rPr>
      </w:pPr>
      <w:r w:rsidRPr="008D587F">
        <w:rPr>
          <w:lang w:eastAsia="fr-FR"/>
        </w:rPr>
        <w:t xml:space="preserve">The technical requirements for the micro scale CFC-11 plant envisioned in the 2019 </w:t>
      </w:r>
      <w:r w:rsidR="00A50106">
        <w:rPr>
          <w:lang w:eastAsia="fr-FR"/>
        </w:rPr>
        <w:t>Task Force Report</w:t>
      </w:r>
      <w:r w:rsidRPr="008D587F">
        <w:rPr>
          <w:lang w:eastAsia="fr-FR"/>
        </w:rPr>
        <w:t xml:space="preserve"> would centre around a design that utilised a minimum number of low tech and readily available items of process equipment.</w:t>
      </w:r>
      <w:r w:rsidR="006D1C79">
        <w:rPr>
          <w:lang w:eastAsia="fr-FR"/>
        </w:rPr>
        <w:t xml:space="preserve"> </w:t>
      </w:r>
      <w:r w:rsidRPr="008D587F">
        <w:rPr>
          <w:lang w:eastAsia="fr-FR"/>
        </w:rPr>
        <w:t>The materials of construction, construction techniques and equipment such as pumps, vessels and instruments, would, most likely, be specified such that they would all be readily accessible locally.</w:t>
      </w:r>
      <w:r w:rsidR="006D1C79">
        <w:rPr>
          <w:lang w:eastAsia="fr-FR"/>
        </w:rPr>
        <w:t xml:space="preserve"> </w:t>
      </w:r>
      <w:r w:rsidRPr="008D587F">
        <w:rPr>
          <w:lang w:eastAsia="fr-FR"/>
        </w:rPr>
        <w:t xml:space="preserve">The equipment requirements could be further minimised by </w:t>
      </w:r>
    </w:p>
    <w:p w14:paraId="10003BB6" w14:textId="20143416" w:rsidR="008D587F" w:rsidRPr="008D587F" w:rsidRDefault="008D587F" w:rsidP="008D587F">
      <w:pPr>
        <w:numPr>
          <w:ilvl w:val="0"/>
          <w:numId w:val="58"/>
        </w:numPr>
        <w:rPr>
          <w:lang w:eastAsia="fr-FR"/>
        </w:rPr>
      </w:pPr>
      <w:r w:rsidRPr="008D587F">
        <w:rPr>
          <w:lang w:eastAsia="fr-FR"/>
        </w:rPr>
        <w:t>Producing a low grade (</w:t>
      </w:r>
      <w:r w:rsidR="00663EF8">
        <w:rPr>
          <w:lang w:eastAsia="fr-FR"/>
        </w:rPr>
        <w:t>h</w:t>
      </w:r>
      <w:r w:rsidRPr="008D587F">
        <w:rPr>
          <w:lang w:eastAsia="fr-FR"/>
        </w:rPr>
        <w:t xml:space="preserve">igh impurity) CFC-11 hence reducing and simplifying the process steps necessary, </w:t>
      </w:r>
    </w:p>
    <w:p w14:paraId="73FF6C43" w14:textId="637B5805" w:rsidR="008D587F" w:rsidRPr="008D587F" w:rsidRDefault="008D587F" w:rsidP="008D587F">
      <w:pPr>
        <w:numPr>
          <w:ilvl w:val="0"/>
          <w:numId w:val="58"/>
        </w:numPr>
        <w:rPr>
          <w:lang w:eastAsia="fr-FR"/>
        </w:rPr>
      </w:pPr>
      <w:r w:rsidRPr="008D587F">
        <w:rPr>
          <w:lang w:eastAsia="fr-FR"/>
        </w:rPr>
        <w:t>Using the containers (e.g.</w:t>
      </w:r>
      <w:r w:rsidR="00663EF8">
        <w:rPr>
          <w:lang w:eastAsia="fr-FR"/>
        </w:rPr>
        <w:t>,</w:t>
      </w:r>
      <w:r w:rsidRPr="008D587F">
        <w:rPr>
          <w:lang w:eastAsia="fr-FR"/>
        </w:rPr>
        <w:t xml:space="preserve"> drums) that the raw materials were purchased in as the feed vessels,</w:t>
      </w:r>
    </w:p>
    <w:p w14:paraId="28E93A8E" w14:textId="77777777" w:rsidR="008D587F" w:rsidRPr="008D587F" w:rsidRDefault="008D587F" w:rsidP="008D587F">
      <w:pPr>
        <w:numPr>
          <w:ilvl w:val="0"/>
          <w:numId w:val="58"/>
        </w:numPr>
        <w:rPr>
          <w:lang w:eastAsia="fr-FR"/>
        </w:rPr>
      </w:pPr>
      <w:r w:rsidRPr="008D587F">
        <w:rPr>
          <w:lang w:eastAsia="fr-FR"/>
        </w:rPr>
        <w:t xml:space="preserve">Local dumping of any waste materials produced, including catalyst, washings and waste gases. </w:t>
      </w:r>
    </w:p>
    <w:p w14:paraId="167828F0" w14:textId="0FC80E89" w:rsidR="008D587F" w:rsidRPr="008D587F" w:rsidRDefault="008D587F" w:rsidP="008D587F">
      <w:pPr>
        <w:rPr>
          <w:lang w:eastAsia="fr-FR"/>
        </w:rPr>
      </w:pPr>
      <w:r w:rsidRPr="008D587F">
        <w:rPr>
          <w:lang w:eastAsia="fr-FR"/>
        </w:rPr>
        <w:t>Any design would also seek to employ readily available ancillary services such as electrical power, low pressure steam or electrical elements for heating and ambient temperature water for cooling.</w:t>
      </w:r>
      <w:r w:rsidR="006D1C79">
        <w:rPr>
          <w:lang w:eastAsia="fr-FR"/>
        </w:rPr>
        <w:t xml:space="preserve"> </w:t>
      </w:r>
    </w:p>
    <w:p w14:paraId="1AC74061" w14:textId="77777777" w:rsidR="008D587F" w:rsidRPr="008D587F" w:rsidRDefault="008D587F" w:rsidP="008D587F">
      <w:pPr>
        <w:rPr>
          <w:lang w:eastAsia="fr-FR"/>
        </w:rPr>
      </w:pPr>
      <w:r w:rsidRPr="008D587F">
        <w:rPr>
          <w:lang w:eastAsia="fr-FR"/>
        </w:rPr>
        <w:t>Further small batch sizes would limit the size of the items of equipment, allowing the plant to take up a relatively small space (a few 10s m</w:t>
      </w:r>
      <w:r w:rsidRPr="008D587F">
        <w:rPr>
          <w:vertAlign w:val="superscript"/>
          <w:lang w:eastAsia="fr-FR"/>
        </w:rPr>
        <w:t>2</w:t>
      </w:r>
      <w:r w:rsidRPr="008D587F">
        <w:rPr>
          <w:lang w:eastAsia="fr-FR"/>
        </w:rPr>
        <w:t xml:space="preserve">), and be both comparatively easy to relocate and comparatively hard to detect. </w:t>
      </w:r>
    </w:p>
    <w:p w14:paraId="68FD7DC3" w14:textId="2D8BA339" w:rsidR="008D587F" w:rsidRPr="008D587F" w:rsidRDefault="008D587F" w:rsidP="008D587F">
      <w:pPr>
        <w:rPr>
          <w:lang w:eastAsia="fr-FR"/>
        </w:rPr>
      </w:pPr>
      <w:r w:rsidRPr="008D587F">
        <w:rPr>
          <w:lang w:eastAsia="fr-FR"/>
        </w:rPr>
        <w:t>Favourable economic factors for these micro plants could include</w:t>
      </w:r>
      <w:r>
        <w:rPr>
          <w:lang w:eastAsia="fr-FR"/>
        </w:rPr>
        <w:t>:</w:t>
      </w:r>
    </w:p>
    <w:p w14:paraId="5FCE8857" w14:textId="77777777" w:rsidR="008D587F" w:rsidRPr="008D587F" w:rsidRDefault="008D587F" w:rsidP="008D587F">
      <w:pPr>
        <w:numPr>
          <w:ilvl w:val="0"/>
          <w:numId w:val="59"/>
        </w:numPr>
        <w:rPr>
          <w:lang w:eastAsia="fr-FR"/>
        </w:rPr>
      </w:pPr>
      <w:r w:rsidRPr="008D587F">
        <w:rPr>
          <w:lang w:eastAsia="fr-FR"/>
        </w:rPr>
        <w:t>Relative low capital outlay due to the simplicity, availability and size of equipment</w:t>
      </w:r>
    </w:p>
    <w:p w14:paraId="11515E08" w14:textId="77777777" w:rsidR="008D587F" w:rsidRPr="008D587F" w:rsidRDefault="008D587F" w:rsidP="008D587F">
      <w:pPr>
        <w:numPr>
          <w:ilvl w:val="0"/>
          <w:numId w:val="59"/>
        </w:numPr>
        <w:rPr>
          <w:lang w:eastAsia="fr-FR"/>
        </w:rPr>
      </w:pPr>
      <w:r w:rsidRPr="008D587F">
        <w:rPr>
          <w:lang w:eastAsia="fr-FR"/>
        </w:rPr>
        <w:t>Use of potentially low quality and low-cost raw materials</w:t>
      </w:r>
    </w:p>
    <w:p w14:paraId="79910603" w14:textId="77777777" w:rsidR="008D587F" w:rsidRPr="008D587F" w:rsidRDefault="008D587F" w:rsidP="008D587F">
      <w:pPr>
        <w:numPr>
          <w:ilvl w:val="0"/>
          <w:numId w:val="59"/>
        </w:numPr>
        <w:rPr>
          <w:lang w:eastAsia="fr-FR"/>
        </w:rPr>
      </w:pPr>
      <w:r w:rsidRPr="008D587F">
        <w:rPr>
          <w:lang w:eastAsia="fr-FR"/>
        </w:rPr>
        <w:t>Little or no disposal costs</w:t>
      </w:r>
    </w:p>
    <w:p w14:paraId="4BA08844" w14:textId="77777777" w:rsidR="008D587F" w:rsidRPr="008D587F" w:rsidRDefault="008D587F" w:rsidP="008D587F">
      <w:pPr>
        <w:numPr>
          <w:ilvl w:val="0"/>
          <w:numId w:val="59"/>
        </w:numPr>
        <w:rPr>
          <w:lang w:eastAsia="fr-FR"/>
        </w:rPr>
      </w:pPr>
      <w:r w:rsidRPr="008D587F">
        <w:rPr>
          <w:lang w:eastAsia="fr-FR"/>
        </w:rPr>
        <w:t>Use of readily available and inexpensive ancillaries such as electricity and water</w:t>
      </w:r>
    </w:p>
    <w:p w14:paraId="68987730" w14:textId="77777777" w:rsidR="008D587F" w:rsidRPr="008D587F" w:rsidRDefault="008D587F" w:rsidP="008D587F">
      <w:pPr>
        <w:numPr>
          <w:ilvl w:val="0"/>
          <w:numId w:val="59"/>
        </w:numPr>
        <w:rPr>
          <w:lang w:eastAsia="fr-FR"/>
        </w:rPr>
      </w:pPr>
      <w:r w:rsidRPr="008D587F">
        <w:rPr>
          <w:lang w:eastAsia="fr-FR"/>
        </w:rPr>
        <w:t>Low manpower requirements</w:t>
      </w:r>
    </w:p>
    <w:p w14:paraId="3C214826" w14:textId="77777777" w:rsidR="008D587F" w:rsidRPr="008D587F" w:rsidRDefault="008D587F" w:rsidP="008D587F">
      <w:pPr>
        <w:numPr>
          <w:ilvl w:val="0"/>
          <w:numId w:val="59"/>
        </w:numPr>
        <w:rPr>
          <w:lang w:eastAsia="fr-FR"/>
        </w:rPr>
      </w:pPr>
      <w:r w:rsidRPr="008D587F">
        <w:rPr>
          <w:lang w:eastAsia="fr-FR"/>
        </w:rPr>
        <w:t>Proximity to customers minimising transport costs</w:t>
      </w:r>
    </w:p>
    <w:p w14:paraId="63D9C03B" w14:textId="3739F68F" w:rsidR="008D587F" w:rsidRPr="008D587F" w:rsidRDefault="008D587F" w:rsidP="008D587F">
      <w:pPr>
        <w:numPr>
          <w:ilvl w:val="0"/>
          <w:numId w:val="59"/>
        </w:numPr>
        <w:rPr>
          <w:lang w:eastAsia="fr-FR"/>
        </w:rPr>
      </w:pPr>
      <w:r w:rsidRPr="008D587F">
        <w:rPr>
          <w:lang w:eastAsia="fr-FR"/>
        </w:rPr>
        <w:lastRenderedPageBreak/>
        <w:t>Avoiding official scrutiny and hence avoiding payment of taxes, etc.</w:t>
      </w:r>
    </w:p>
    <w:p w14:paraId="33B07CE3" w14:textId="4FB050F8" w:rsidR="008D587F" w:rsidRDefault="008D587F" w:rsidP="008D587F">
      <w:pPr>
        <w:rPr>
          <w:lang w:eastAsia="fr-FR"/>
        </w:rPr>
      </w:pPr>
      <w:r w:rsidRPr="008D587F">
        <w:rPr>
          <w:lang w:eastAsia="fr-FR"/>
        </w:rPr>
        <w:t>The economic downside of these plants includes only producing small batches limiting the annual production.</w:t>
      </w:r>
    </w:p>
    <w:p w14:paraId="3A1F107D" w14:textId="33786CDC" w:rsidR="00780C9B" w:rsidRPr="008D587F" w:rsidRDefault="00780C9B" w:rsidP="008D587F">
      <w:pPr>
        <w:rPr>
          <w:lang w:eastAsia="fr-FR"/>
        </w:rPr>
      </w:pPr>
      <w:r w:rsidRPr="00780C9B">
        <w:rPr>
          <w:lang w:eastAsia="fr-FR"/>
        </w:rPr>
        <w:t xml:space="preserve">It is considered extremely unlikely that purpose-built CFC-11 micro plants could be swung to produce another product such as HCFC-22 or HFC-32 due to the specificity and inflexibility of its </w:t>
      </w:r>
      <w:r w:rsidR="000F171B" w:rsidRPr="00780C9B">
        <w:rPr>
          <w:lang w:eastAsia="fr-FR"/>
        </w:rPr>
        <w:t xml:space="preserve">inherent </w:t>
      </w:r>
      <w:r w:rsidRPr="00780C9B">
        <w:rPr>
          <w:lang w:eastAsia="fr-FR"/>
        </w:rPr>
        <w:t>design</w:t>
      </w:r>
      <w:r>
        <w:rPr>
          <w:lang w:eastAsia="fr-FR"/>
        </w:rPr>
        <w:t>.</w:t>
      </w:r>
    </w:p>
    <w:p w14:paraId="3F82AE79" w14:textId="77777777" w:rsidR="008542F5" w:rsidRPr="008542F5" w:rsidRDefault="008542F5" w:rsidP="008542F5">
      <w:pPr>
        <w:rPr>
          <w:lang w:val="en-US"/>
        </w:rPr>
      </w:pPr>
    </w:p>
    <w:p w14:paraId="394C0A72" w14:textId="77777777" w:rsidR="008542F5" w:rsidRDefault="008542F5" w:rsidP="008542F5">
      <w:pPr>
        <w:rPr>
          <w:lang w:val="en-US"/>
        </w:rPr>
        <w:sectPr w:rsidR="008542F5" w:rsidSect="00D276FA">
          <w:type w:val="oddPage"/>
          <w:pgSz w:w="11907" w:h="16839" w:code="9"/>
          <w:pgMar w:top="1701" w:right="1797" w:bottom="1871" w:left="1797" w:header="720" w:footer="794" w:gutter="0"/>
          <w:cols w:space="720"/>
          <w:docGrid w:linePitch="299"/>
        </w:sectPr>
      </w:pPr>
    </w:p>
    <w:p w14:paraId="395A5626" w14:textId="20D0D68E" w:rsidR="008542F5" w:rsidRDefault="008542F5" w:rsidP="00E112A7">
      <w:pPr>
        <w:pStyle w:val="Heading1"/>
      </w:pPr>
      <w:bookmarkStart w:id="169" w:name="_Toc73045626"/>
      <w:r>
        <w:lastRenderedPageBreak/>
        <w:t>5</w:t>
      </w:r>
      <w:r>
        <w:tab/>
      </w:r>
      <w:r w:rsidRPr="008542F5">
        <w:t>Types of CFC-11 products</w:t>
      </w:r>
      <w:r w:rsidR="00844F16">
        <w:t xml:space="preserve"> and</w:t>
      </w:r>
      <w:r w:rsidR="00844F16" w:rsidRPr="008542F5">
        <w:t xml:space="preserve"> </w:t>
      </w:r>
      <w:r w:rsidRPr="008542F5">
        <w:t xml:space="preserve">their disposition, </w:t>
      </w:r>
      <w:r w:rsidR="00B14B77">
        <w:t xml:space="preserve">and opportunities </w:t>
      </w:r>
      <w:r w:rsidR="00E437E4">
        <w:t xml:space="preserve">for </w:t>
      </w:r>
      <w:r w:rsidRPr="008542F5">
        <w:t>detection and potential recovery of CFC-11</w:t>
      </w:r>
      <w:bookmarkEnd w:id="169"/>
    </w:p>
    <w:p w14:paraId="6AB07BAB" w14:textId="55C483D8" w:rsidR="00C109ED" w:rsidRDefault="00FC4D07" w:rsidP="00C109ED">
      <w:pPr>
        <w:rPr>
          <w:lang w:val="en-US"/>
        </w:rPr>
      </w:pPr>
      <w:r>
        <w:rPr>
          <w:lang w:val="en-US"/>
        </w:rPr>
        <w:t>The following section</w:t>
      </w:r>
      <w:r w:rsidR="0001127C">
        <w:rPr>
          <w:lang w:val="en-US"/>
        </w:rPr>
        <w:t>s</w:t>
      </w:r>
      <w:r>
        <w:rPr>
          <w:lang w:val="en-US"/>
        </w:rPr>
        <w:t xml:space="preserve"> respond to paragraph 7</w:t>
      </w:r>
      <w:r w:rsidR="0001127C">
        <w:rPr>
          <w:lang w:val="en-US"/>
        </w:rPr>
        <w:t>(</w:t>
      </w:r>
      <w:r>
        <w:rPr>
          <w:lang w:val="en-US"/>
        </w:rPr>
        <w:t>c</w:t>
      </w:r>
      <w:r w:rsidR="0001127C">
        <w:rPr>
          <w:lang w:val="en-US"/>
        </w:rPr>
        <w:t>)</w:t>
      </w:r>
      <w:r>
        <w:rPr>
          <w:lang w:val="en-US"/>
        </w:rPr>
        <w:t xml:space="preserve"> of decision XXXI/3</w:t>
      </w:r>
      <w:r w:rsidR="0001127C">
        <w:rPr>
          <w:lang w:val="en-US"/>
        </w:rPr>
        <w:t>,</w:t>
      </w:r>
      <w:r w:rsidR="00AC6825">
        <w:rPr>
          <w:lang w:val="en-US"/>
        </w:rPr>
        <w:t xml:space="preserve"> to provide information on “</w:t>
      </w:r>
      <w:r w:rsidRPr="007718CC">
        <w:rPr>
          <w:i/>
          <w:iCs/>
          <w:lang w:val="en-US"/>
        </w:rPr>
        <w:t>The types of CFC-11 products, the disposition of any such products, and opportunities and methods to detect such products and potentially recover the associated CFC-11</w:t>
      </w:r>
      <w:r w:rsidR="00AC6825">
        <w:rPr>
          <w:lang w:val="en-US"/>
        </w:rPr>
        <w:t>”</w:t>
      </w:r>
      <w:r w:rsidRPr="00FC4D07">
        <w:rPr>
          <w:lang w:val="en-US"/>
        </w:rPr>
        <w:t>.</w:t>
      </w:r>
      <w:r w:rsidR="006A3211">
        <w:rPr>
          <w:lang w:val="en-US"/>
        </w:rPr>
        <w:t xml:space="preserve"> </w:t>
      </w:r>
      <w:r w:rsidR="00D07A58">
        <w:rPr>
          <w:lang w:val="en-US"/>
        </w:rPr>
        <w:t xml:space="preserve">The </w:t>
      </w:r>
      <w:r w:rsidR="004E05C8">
        <w:rPr>
          <w:lang w:val="en-US"/>
        </w:rPr>
        <w:t xml:space="preserve">earlier sections address </w:t>
      </w:r>
      <w:r w:rsidR="005B5566">
        <w:rPr>
          <w:lang w:val="en-US"/>
        </w:rPr>
        <w:t xml:space="preserve">different </w:t>
      </w:r>
      <w:r w:rsidR="004E05C8">
        <w:rPr>
          <w:lang w:val="en-US"/>
        </w:rPr>
        <w:t xml:space="preserve">product types containing CFC-11 and </w:t>
      </w:r>
      <w:r w:rsidR="00430FC3">
        <w:rPr>
          <w:lang w:val="en-US"/>
        </w:rPr>
        <w:t>applicable</w:t>
      </w:r>
      <w:r w:rsidR="004E05C8">
        <w:rPr>
          <w:lang w:val="en-US"/>
        </w:rPr>
        <w:t xml:space="preserve"> methods of recovery, disposition</w:t>
      </w:r>
      <w:r w:rsidR="00430FC3">
        <w:rPr>
          <w:lang w:val="en-US"/>
        </w:rPr>
        <w:t>, and detection of CFC-11 in the product. The later section</w:t>
      </w:r>
      <w:r w:rsidR="00292CC5">
        <w:rPr>
          <w:lang w:val="en-US"/>
        </w:rPr>
        <w:t>s</w:t>
      </w:r>
      <w:r w:rsidR="00430FC3">
        <w:rPr>
          <w:lang w:val="en-US"/>
        </w:rPr>
        <w:t xml:space="preserve"> address</w:t>
      </w:r>
      <w:r w:rsidR="00292CC5">
        <w:rPr>
          <w:lang w:val="en-US"/>
        </w:rPr>
        <w:t xml:space="preserve"> the</w:t>
      </w:r>
      <w:r w:rsidR="00C51819">
        <w:rPr>
          <w:lang w:val="en-US"/>
        </w:rPr>
        <w:t xml:space="preserve"> </w:t>
      </w:r>
      <w:r w:rsidR="009C1248">
        <w:rPr>
          <w:lang w:val="en-US"/>
        </w:rPr>
        <w:t xml:space="preserve">opportunities for detection and </w:t>
      </w:r>
      <w:r w:rsidR="00804091">
        <w:rPr>
          <w:lang w:val="en-US"/>
        </w:rPr>
        <w:t>for potential recovery and/or disposition</w:t>
      </w:r>
      <w:r w:rsidR="004726B7">
        <w:rPr>
          <w:lang w:val="en-US"/>
        </w:rPr>
        <w:t xml:space="preserve"> of CFC-11</w:t>
      </w:r>
      <w:r w:rsidR="003249F4">
        <w:rPr>
          <w:lang w:val="en-US"/>
        </w:rPr>
        <w:t>.</w:t>
      </w:r>
    </w:p>
    <w:p w14:paraId="63FEACEC" w14:textId="036C9F12" w:rsidR="00C22663" w:rsidRPr="005C6D13" w:rsidRDefault="00F94E88" w:rsidP="007718CC">
      <w:r>
        <w:rPr>
          <w:lang w:val="en-US"/>
        </w:rPr>
        <w:t>O</w:t>
      </w:r>
      <w:r w:rsidR="00C22663">
        <w:rPr>
          <w:lang w:val="en-US"/>
        </w:rPr>
        <w:t xml:space="preserve">pportunities to </w:t>
      </w:r>
      <w:r w:rsidR="00295361">
        <w:rPr>
          <w:lang w:val="en-US"/>
        </w:rPr>
        <w:t xml:space="preserve">recover CFC-11 </w:t>
      </w:r>
      <w:r w:rsidR="00AC52A7">
        <w:rPr>
          <w:lang w:val="en-US"/>
        </w:rPr>
        <w:t xml:space="preserve">from products </w:t>
      </w:r>
      <w:r w:rsidR="00B007C1">
        <w:rPr>
          <w:lang w:val="en-US"/>
        </w:rPr>
        <w:t>containing</w:t>
      </w:r>
      <w:r w:rsidR="00AC52A7">
        <w:rPr>
          <w:lang w:val="en-US"/>
        </w:rPr>
        <w:t xml:space="preserve"> CFC-11</w:t>
      </w:r>
      <w:r w:rsidR="0026040B">
        <w:rPr>
          <w:lang w:val="en-US"/>
        </w:rPr>
        <w:t xml:space="preserve"> </w:t>
      </w:r>
      <w:r w:rsidR="00295361">
        <w:rPr>
          <w:lang w:val="en-US"/>
        </w:rPr>
        <w:t xml:space="preserve">are </w:t>
      </w:r>
      <w:r w:rsidR="0019322A">
        <w:rPr>
          <w:lang w:val="en-US"/>
        </w:rPr>
        <w:t xml:space="preserve">limited to </w:t>
      </w:r>
      <w:r w:rsidR="009D23E6">
        <w:rPr>
          <w:lang w:val="en-US"/>
        </w:rPr>
        <w:t>a few</w:t>
      </w:r>
      <w:r w:rsidR="00AD2BD3">
        <w:rPr>
          <w:lang w:val="en-US"/>
        </w:rPr>
        <w:t>:</w:t>
      </w:r>
      <w:r w:rsidR="0082716B">
        <w:rPr>
          <w:lang w:val="en-US"/>
        </w:rPr>
        <w:t xml:space="preserve"> </w:t>
      </w:r>
      <w:r w:rsidR="0011595F">
        <w:rPr>
          <w:lang w:val="en-US"/>
        </w:rPr>
        <w:t>active</w:t>
      </w:r>
      <w:r w:rsidR="0019322A">
        <w:rPr>
          <w:lang w:val="en-US"/>
        </w:rPr>
        <w:t xml:space="preserve"> banks</w:t>
      </w:r>
      <w:r w:rsidR="007A2231">
        <w:rPr>
          <w:lang w:val="en-US"/>
        </w:rPr>
        <w:t>, mainly</w:t>
      </w:r>
      <w:r w:rsidR="0019322A">
        <w:rPr>
          <w:lang w:val="en-US"/>
        </w:rPr>
        <w:t xml:space="preserve"> </w:t>
      </w:r>
      <w:r w:rsidR="008A544B">
        <w:rPr>
          <w:lang w:val="en-US"/>
        </w:rPr>
        <w:t xml:space="preserve">of </w:t>
      </w:r>
      <w:r w:rsidR="00E96E43">
        <w:rPr>
          <w:lang w:val="en-US"/>
        </w:rPr>
        <w:t xml:space="preserve">insulation </w:t>
      </w:r>
      <w:r w:rsidR="0019322A">
        <w:rPr>
          <w:lang w:val="en-US"/>
        </w:rPr>
        <w:t>foams</w:t>
      </w:r>
      <w:r w:rsidR="007A2231">
        <w:rPr>
          <w:lang w:val="en-US"/>
        </w:rPr>
        <w:t>,</w:t>
      </w:r>
      <w:r w:rsidR="0019322A">
        <w:rPr>
          <w:lang w:val="en-US"/>
        </w:rPr>
        <w:t xml:space="preserve"> and </w:t>
      </w:r>
      <w:r w:rsidR="007A2231">
        <w:rPr>
          <w:lang w:val="en-US"/>
        </w:rPr>
        <w:t>to a lesser extent</w:t>
      </w:r>
      <w:r w:rsidR="008A544B">
        <w:rPr>
          <w:lang w:val="en-US"/>
        </w:rPr>
        <w:t>,</w:t>
      </w:r>
      <w:r w:rsidR="007A2231">
        <w:rPr>
          <w:lang w:val="en-US"/>
        </w:rPr>
        <w:t xml:space="preserve"> </w:t>
      </w:r>
      <w:r w:rsidR="00A27877">
        <w:rPr>
          <w:lang w:val="en-US"/>
        </w:rPr>
        <w:t xml:space="preserve">centrifugal </w:t>
      </w:r>
      <w:r w:rsidR="0019322A">
        <w:rPr>
          <w:lang w:val="en-US"/>
        </w:rPr>
        <w:t>chillers.</w:t>
      </w:r>
      <w:r w:rsidR="00E96E43">
        <w:rPr>
          <w:lang w:val="en-US"/>
        </w:rPr>
        <w:t xml:space="preserve"> </w:t>
      </w:r>
      <w:r w:rsidR="00D17870">
        <w:rPr>
          <w:lang w:val="en-US"/>
        </w:rPr>
        <w:t xml:space="preserve">Other </w:t>
      </w:r>
      <w:r w:rsidR="009330AF">
        <w:rPr>
          <w:lang w:val="en-US"/>
        </w:rPr>
        <w:t>technologies that used CFC-11</w:t>
      </w:r>
      <w:r w:rsidR="00E0299E">
        <w:rPr>
          <w:lang w:val="en-US"/>
        </w:rPr>
        <w:t xml:space="preserve">, </w:t>
      </w:r>
      <w:r w:rsidR="00BA3287">
        <w:rPr>
          <w:lang w:val="en-US"/>
        </w:rPr>
        <w:t xml:space="preserve">i.e., </w:t>
      </w:r>
      <w:r w:rsidR="00E0299E">
        <w:rPr>
          <w:lang w:val="en-US"/>
        </w:rPr>
        <w:t>aerosols, solvents and other uses,</w:t>
      </w:r>
      <w:r w:rsidR="00D17870">
        <w:rPr>
          <w:lang w:val="en-US"/>
        </w:rPr>
        <w:t xml:space="preserve"> are </w:t>
      </w:r>
      <w:r w:rsidR="00E21E18">
        <w:rPr>
          <w:lang w:val="en-US"/>
        </w:rPr>
        <w:t>mentioned</w:t>
      </w:r>
      <w:r w:rsidR="00D17870">
        <w:rPr>
          <w:lang w:val="en-US"/>
        </w:rPr>
        <w:t xml:space="preserve"> </w:t>
      </w:r>
      <w:r w:rsidR="00BB7F81">
        <w:rPr>
          <w:lang w:val="en-US"/>
        </w:rPr>
        <w:t xml:space="preserve">briefly </w:t>
      </w:r>
      <w:r w:rsidR="00D17870">
        <w:rPr>
          <w:lang w:val="en-US"/>
        </w:rPr>
        <w:t>for completeness</w:t>
      </w:r>
      <w:r w:rsidR="00BB7F81">
        <w:rPr>
          <w:lang w:val="en-US"/>
        </w:rPr>
        <w:t xml:space="preserve">; </w:t>
      </w:r>
      <w:r w:rsidR="00E0299E">
        <w:rPr>
          <w:lang w:val="en-US"/>
        </w:rPr>
        <w:t xml:space="preserve">these </w:t>
      </w:r>
      <w:r w:rsidR="003E0AF0">
        <w:rPr>
          <w:lang w:val="en-US"/>
        </w:rPr>
        <w:t>historic uses</w:t>
      </w:r>
      <w:r w:rsidR="00E21E18">
        <w:rPr>
          <w:lang w:val="en-US"/>
        </w:rPr>
        <w:t xml:space="preserve"> </w:t>
      </w:r>
      <w:r w:rsidR="00E0299E">
        <w:rPr>
          <w:lang w:val="en-US"/>
        </w:rPr>
        <w:t xml:space="preserve">are </w:t>
      </w:r>
      <w:r w:rsidR="0043013F">
        <w:rPr>
          <w:lang w:val="en-US"/>
        </w:rPr>
        <w:t>no longer</w:t>
      </w:r>
      <w:r w:rsidR="00FB11EB">
        <w:rPr>
          <w:lang w:val="en-US"/>
        </w:rPr>
        <w:t xml:space="preserve"> </w:t>
      </w:r>
      <w:r w:rsidR="00B23993">
        <w:rPr>
          <w:lang w:val="en-US"/>
        </w:rPr>
        <w:t>available</w:t>
      </w:r>
      <w:r w:rsidR="00D07A58">
        <w:rPr>
          <w:lang w:val="en-US"/>
        </w:rPr>
        <w:t xml:space="preserve"> </w:t>
      </w:r>
      <w:r w:rsidR="00E0299E">
        <w:rPr>
          <w:lang w:val="en-US"/>
        </w:rPr>
        <w:t xml:space="preserve">for </w:t>
      </w:r>
      <w:r w:rsidR="008B4019">
        <w:rPr>
          <w:lang w:val="en-US"/>
        </w:rPr>
        <w:t>disposal</w:t>
      </w:r>
      <w:r w:rsidR="00887558">
        <w:rPr>
          <w:lang w:val="en-US"/>
        </w:rPr>
        <w:t xml:space="preserve">, detection </w:t>
      </w:r>
      <w:r w:rsidR="0043013F">
        <w:rPr>
          <w:lang w:val="en-US"/>
        </w:rPr>
        <w:t xml:space="preserve">or potential </w:t>
      </w:r>
      <w:r w:rsidR="00E0299E">
        <w:rPr>
          <w:lang w:val="en-US"/>
        </w:rPr>
        <w:t>recovery of CFC-11</w:t>
      </w:r>
      <w:r w:rsidR="00D17870">
        <w:rPr>
          <w:lang w:val="en-US"/>
        </w:rPr>
        <w:t xml:space="preserve">. </w:t>
      </w:r>
      <w:r w:rsidR="006B0D44">
        <w:rPr>
          <w:lang w:val="en-US"/>
        </w:rPr>
        <w:t>As the definition suggests, in</w:t>
      </w:r>
      <w:r w:rsidR="00447CFD">
        <w:rPr>
          <w:lang w:val="en-US"/>
        </w:rPr>
        <w:t>active</w:t>
      </w:r>
      <w:r w:rsidR="006B0D44">
        <w:rPr>
          <w:lang w:val="en-US"/>
        </w:rPr>
        <w:t xml:space="preserve"> banks</w:t>
      </w:r>
      <w:r w:rsidR="00D1777C">
        <w:rPr>
          <w:lang w:val="en-US"/>
        </w:rPr>
        <w:t xml:space="preserve">, primarily </w:t>
      </w:r>
      <w:r w:rsidR="001B4EC1">
        <w:rPr>
          <w:lang w:val="en-US"/>
        </w:rPr>
        <w:t xml:space="preserve">as </w:t>
      </w:r>
      <w:r w:rsidR="00D1777C">
        <w:rPr>
          <w:lang w:val="en-US"/>
        </w:rPr>
        <w:t xml:space="preserve">waste </w:t>
      </w:r>
      <w:r w:rsidR="008A1C24">
        <w:rPr>
          <w:lang w:val="en-US"/>
        </w:rPr>
        <w:t xml:space="preserve">foam </w:t>
      </w:r>
      <w:r w:rsidR="00ED5127">
        <w:rPr>
          <w:lang w:val="en-US"/>
        </w:rPr>
        <w:t xml:space="preserve">products </w:t>
      </w:r>
      <w:r w:rsidR="00D1777C">
        <w:rPr>
          <w:lang w:val="en-US"/>
        </w:rPr>
        <w:t>in landfill</w:t>
      </w:r>
      <w:r w:rsidR="00BF1A77">
        <w:rPr>
          <w:lang w:val="en-US"/>
        </w:rPr>
        <w:t>s</w:t>
      </w:r>
      <w:r w:rsidR="00D1777C">
        <w:rPr>
          <w:lang w:val="en-US"/>
        </w:rPr>
        <w:t>,</w:t>
      </w:r>
      <w:r w:rsidR="006B0D44">
        <w:rPr>
          <w:lang w:val="en-US"/>
        </w:rPr>
        <w:t xml:space="preserve"> </w:t>
      </w:r>
      <w:r w:rsidR="00D1777C">
        <w:rPr>
          <w:lang w:val="en-US"/>
        </w:rPr>
        <w:t>do not present a</w:t>
      </w:r>
      <w:r w:rsidR="006B0D44">
        <w:rPr>
          <w:lang w:val="en-US"/>
        </w:rPr>
        <w:t xml:space="preserve"> readily </w:t>
      </w:r>
      <w:r w:rsidR="00D1777C">
        <w:rPr>
          <w:lang w:val="en-US"/>
        </w:rPr>
        <w:t xml:space="preserve">available </w:t>
      </w:r>
      <w:r w:rsidR="001B4EC1">
        <w:rPr>
          <w:lang w:val="en-US"/>
        </w:rPr>
        <w:t xml:space="preserve">or economically feasible </w:t>
      </w:r>
      <w:r w:rsidR="00D1777C">
        <w:rPr>
          <w:lang w:val="en-US"/>
        </w:rPr>
        <w:t xml:space="preserve">opportunity to recover </w:t>
      </w:r>
      <w:r w:rsidR="00D337FE">
        <w:rPr>
          <w:lang w:val="en-US"/>
        </w:rPr>
        <w:t xml:space="preserve">the associated </w:t>
      </w:r>
      <w:r w:rsidR="00D1777C">
        <w:rPr>
          <w:lang w:val="en-US"/>
        </w:rPr>
        <w:t>CFC-11</w:t>
      </w:r>
      <w:r w:rsidR="003B04F7">
        <w:rPr>
          <w:lang w:val="en-US"/>
        </w:rPr>
        <w:t>, although some anaerobic degradation may take place</w:t>
      </w:r>
      <w:r w:rsidR="00D1777C">
        <w:rPr>
          <w:lang w:val="en-US"/>
        </w:rPr>
        <w:t>.</w:t>
      </w:r>
    </w:p>
    <w:p w14:paraId="2CAF483B" w14:textId="587454D7" w:rsidR="002313D4" w:rsidRPr="00E63512" w:rsidRDefault="53E091E7" w:rsidP="00751ECE">
      <w:pPr>
        <w:pStyle w:val="Heading2"/>
      </w:pPr>
      <w:bookmarkStart w:id="170" w:name="_Toc73045627"/>
      <w:r w:rsidRPr="00B91738">
        <w:t>5.1</w:t>
      </w:r>
      <w:r w:rsidR="008542F5" w:rsidRPr="00B91738">
        <w:tab/>
      </w:r>
      <w:r w:rsidRPr="00B91738">
        <w:t>Foam</w:t>
      </w:r>
      <w:r w:rsidR="002B2E97" w:rsidRPr="00B91738">
        <w:t xml:space="preserve"> product</w:t>
      </w:r>
      <w:r w:rsidRPr="00B91738">
        <w:t>s</w:t>
      </w:r>
      <w:bookmarkEnd w:id="170"/>
    </w:p>
    <w:p w14:paraId="2A27F760" w14:textId="2538D2B5" w:rsidR="00CC47C6" w:rsidRDefault="00CC47C6" w:rsidP="53E091E7">
      <w:pPr>
        <w:rPr>
          <w:szCs w:val="22"/>
        </w:rPr>
      </w:pPr>
      <w:r>
        <w:rPr>
          <w:szCs w:val="22"/>
        </w:rPr>
        <w:t>Table 5</w:t>
      </w:r>
      <w:r w:rsidR="002B13FD">
        <w:rPr>
          <w:szCs w:val="22"/>
        </w:rPr>
        <w:t>.</w:t>
      </w:r>
      <w:r w:rsidR="00F538FB">
        <w:rPr>
          <w:szCs w:val="22"/>
        </w:rPr>
        <w:t xml:space="preserve">1 </w:t>
      </w:r>
      <w:r w:rsidR="007124DE">
        <w:rPr>
          <w:szCs w:val="22"/>
        </w:rPr>
        <w:t>outlines</w:t>
      </w:r>
      <w:r w:rsidR="00F538FB">
        <w:rPr>
          <w:szCs w:val="22"/>
        </w:rPr>
        <w:t xml:space="preserve"> </w:t>
      </w:r>
      <w:r w:rsidR="008C01A9">
        <w:rPr>
          <w:szCs w:val="22"/>
        </w:rPr>
        <w:t>each type of foam product historically manufactured using CFC-11</w:t>
      </w:r>
      <w:r w:rsidR="006F01DB">
        <w:rPr>
          <w:szCs w:val="22"/>
        </w:rPr>
        <w:t xml:space="preserve">, </w:t>
      </w:r>
      <w:r w:rsidR="008C01A9">
        <w:rPr>
          <w:szCs w:val="22"/>
        </w:rPr>
        <w:t xml:space="preserve">associated </w:t>
      </w:r>
      <w:r w:rsidR="00A3331D">
        <w:rPr>
          <w:szCs w:val="22"/>
        </w:rPr>
        <w:t xml:space="preserve">methods </w:t>
      </w:r>
      <w:r w:rsidR="006E3398">
        <w:rPr>
          <w:szCs w:val="22"/>
        </w:rPr>
        <w:t>to detect</w:t>
      </w:r>
      <w:r w:rsidR="00A3331D">
        <w:rPr>
          <w:szCs w:val="22"/>
        </w:rPr>
        <w:t xml:space="preserve"> </w:t>
      </w:r>
      <w:r w:rsidR="00F84A17">
        <w:rPr>
          <w:szCs w:val="22"/>
        </w:rPr>
        <w:t>CFC-11,</w:t>
      </w:r>
      <w:r w:rsidR="00A3331D">
        <w:rPr>
          <w:szCs w:val="22"/>
        </w:rPr>
        <w:t xml:space="preserve"> </w:t>
      </w:r>
      <w:r w:rsidR="00490886">
        <w:rPr>
          <w:szCs w:val="22"/>
        </w:rPr>
        <w:t xml:space="preserve">options for </w:t>
      </w:r>
      <w:r w:rsidR="00816CA6">
        <w:rPr>
          <w:szCs w:val="22"/>
        </w:rPr>
        <w:t xml:space="preserve">potential </w:t>
      </w:r>
      <w:r w:rsidR="00490886">
        <w:rPr>
          <w:szCs w:val="22"/>
        </w:rPr>
        <w:t>recovery of associated CFC-11</w:t>
      </w:r>
      <w:r w:rsidR="000028E0">
        <w:rPr>
          <w:szCs w:val="22"/>
        </w:rPr>
        <w:t>,</w:t>
      </w:r>
      <w:r w:rsidR="00A3331D">
        <w:rPr>
          <w:szCs w:val="22"/>
        </w:rPr>
        <w:t xml:space="preserve"> and</w:t>
      </w:r>
      <w:r w:rsidR="00490886" w:rsidRPr="00490886">
        <w:rPr>
          <w:szCs w:val="22"/>
        </w:rPr>
        <w:t xml:space="preserve"> </w:t>
      </w:r>
      <w:r w:rsidR="00490886">
        <w:rPr>
          <w:szCs w:val="22"/>
        </w:rPr>
        <w:t>disposition of the product</w:t>
      </w:r>
      <w:r w:rsidR="008812A8">
        <w:rPr>
          <w:szCs w:val="22"/>
        </w:rPr>
        <w:t>.</w:t>
      </w:r>
    </w:p>
    <w:p w14:paraId="5534ADEA" w14:textId="6AA9D66C" w:rsidR="00DD1C11" w:rsidRDefault="00EB7881" w:rsidP="00175504">
      <w:pPr>
        <w:rPr>
          <w:szCs w:val="22"/>
        </w:rPr>
      </w:pPr>
      <w:r>
        <w:rPr>
          <w:szCs w:val="22"/>
        </w:rPr>
        <w:t>T</w:t>
      </w:r>
      <w:r w:rsidR="003705C2">
        <w:rPr>
          <w:szCs w:val="22"/>
        </w:rPr>
        <w:t xml:space="preserve">he uses </w:t>
      </w:r>
      <w:r w:rsidR="00644E64">
        <w:rPr>
          <w:szCs w:val="22"/>
        </w:rPr>
        <w:t xml:space="preserve">of CFC-11 </w:t>
      </w:r>
      <w:r w:rsidR="003705C2">
        <w:rPr>
          <w:szCs w:val="22"/>
        </w:rPr>
        <w:t xml:space="preserve">outlined in the </w:t>
      </w:r>
      <w:r w:rsidR="008738CF">
        <w:rPr>
          <w:szCs w:val="22"/>
        </w:rPr>
        <w:t>Table</w:t>
      </w:r>
      <w:r w:rsidR="003705C2">
        <w:rPr>
          <w:szCs w:val="22"/>
        </w:rPr>
        <w:t xml:space="preserve"> are include</w:t>
      </w:r>
      <w:r w:rsidR="006F04F5">
        <w:rPr>
          <w:szCs w:val="22"/>
        </w:rPr>
        <w:t>d</w:t>
      </w:r>
      <w:r w:rsidR="003705C2">
        <w:rPr>
          <w:szCs w:val="22"/>
        </w:rPr>
        <w:t xml:space="preserve"> for the purpose of addressing decision XXXI/3</w:t>
      </w:r>
      <w:r w:rsidR="006F04F5">
        <w:rPr>
          <w:szCs w:val="22"/>
        </w:rPr>
        <w:t>, paragraph 7</w:t>
      </w:r>
      <w:r w:rsidR="001A364B">
        <w:rPr>
          <w:szCs w:val="22"/>
        </w:rPr>
        <w:t>(</w:t>
      </w:r>
      <w:r w:rsidR="006F04F5">
        <w:rPr>
          <w:szCs w:val="22"/>
        </w:rPr>
        <w:t>c</w:t>
      </w:r>
      <w:r w:rsidR="001A364B">
        <w:rPr>
          <w:szCs w:val="22"/>
        </w:rPr>
        <w:t>)</w:t>
      </w:r>
      <w:r w:rsidR="00204871">
        <w:rPr>
          <w:szCs w:val="22"/>
        </w:rPr>
        <w:t>, and includes historic CFC-11 use in foam products</w:t>
      </w:r>
      <w:r w:rsidR="006F04F5">
        <w:rPr>
          <w:szCs w:val="22"/>
        </w:rPr>
        <w:t xml:space="preserve">. </w:t>
      </w:r>
      <w:r w:rsidR="009F39F4">
        <w:rPr>
          <w:szCs w:val="22"/>
        </w:rPr>
        <w:t>T</w:t>
      </w:r>
      <w:r w:rsidR="000C3156">
        <w:rPr>
          <w:szCs w:val="22"/>
        </w:rPr>
        <w:t xml:space="preserve">he </w:t>
      </w:r>
      <w:r w:rsidR="00E5572F">
        <w:rPr>
          <w:szCs w:val="22"/>
        </w:rPr>
        <w:t>2019</w:t>
      </w:r>
      <w:r w:rsidR="000C3156">
        <w:rPr>
          <w:szCs w:val="22"/>
        </w:rPr>
        <w:t xml:space="preserve"> Task Force concluded that</w:t>
      </w:r>
      <w:r w:rsidR="00D27098" w:rsidRPr="00D27098">
        <w:rPr>
          <w:szCs w:val="22"/>
        </w:rPr>
        <w:t xml:space="preserve"> </w:t>
      </w:r>
      <w:r w:rsidR="00D27098">
        <w:rPr>
          <w:szCs w:val="22"/>
        </w:rPr>
        <w:t xml:space="preserve">it </w:t>
      </w:r>
      <w:r w:rsidR="0094414F">
        <w:rPr>
          <w:szCs w:val="22"/>
        </w:rPr>
        <w:t>was</w:t>
      </w:r>
      <w:r w:rsidR="00D27098">
        <w:rPr>
          <w:szCs w:val="22"/>
        </w:rPr>
        <w:t xml:space="preserve"> likely there was </w:t>
      </w:r>
      <w:r w:rsidR="00D27098" w:rsidRPr="000C3156">
        <w:rPr>
          <w:szCs w:val="22"/>
        </w:rPr>
        <w:t>a resumption of newly produced CFC-11 usage in closed</w:t>
      </w:r>
      <w:r w:rsidR="00D27098">
        <w:rPr>
          <w:szCs w:val="22"/>
        </w:rPr>
        <w:t>-</w:t>
      </w:r>
      <w:r w:rsidR="00D27098" w:rsidRPr="000C3156">
        <w:rPr>
          <w:szCs w:val="22"/>
        </w:rPr>
        <w:t>cell foams</w:t>
      </w:r>
      <w:r w:rsidR="009F39F4">
        <w:rPr>
          <w:szCs w:val="22"/>
        </w:rPr>
        <w:t xml:space="preserve"> only</w:t>
      </w:r>
      <w:r w:rsidR="00D27098" w:rsidRPr="000C3156">
        <w:rPr>
          <w:szCs w:val="22"/>
        </w:rPr>
        <w:t>.</w:t>
      </w:r>
      <w:r w:rsidR="00B115B4">
        <w:rPr>
          <w:szCs w:val="22"/>
        </w:rPr>
        <w:t xml:space="preserve"> </w:t>
      </w:r>
      <w:r w:rsidR="00D27098">
        <w:rPr>
          <w:szCs w:val="22"/>
        </w:rPr>
        <w:t xml:space="preserve">It also concluded that </w:t>
      </w:r>
      <w:r w:rsidR="00F16187">
        <w:rPr>
          <w:szCs w:val="22"/>
        </w:rPr>
        <w:t xml:space="preserve">after </w:t>
      </w:r>
      <w:r w:rsidR="00B115B4">
        <w:rPr>
          <w:szCs w:val="22"/>
        </w:rPr>
        <w:t>2010</w:t>
      </w:r>
      <w:r w:rsidR="00F31DD1">
        <w:rPr>
          <w:szCs w:val="22"/>
        </w:rPr>
        <w:t xml:space="preserve"> </w:t>
      </w:r>
      <w:r w:rsidR="00175504" w:rsidRPr="00175504">
        <w:rPr>
          <w:szCs w:val="22"/>
        </w:rPr>
        <w:t xml:space="preserve">it </w:t>
      </w:r>
      <w:r w:rsidR="0094414F">
        <w:rPr>
          <w:szCs w:val="22"/>
        </w:rPr>
        <w:t>was</w:t>
      </w:r>
      <w:r w:rsidR="00175504" w:rsidRPr="00175504">
        <w:rPr>
          <w:szCs w:val="22"/>
        </w:rPr>
        <w:t xml:space="preserve"> unlikely that past production and historic usage account</w:t>
      </w:r>
      <w:r w:rsidR="00025982">
        <w:rPr>
          <w:szCs w:val="22"/>
        </w:rPr>
        <w:t>ed</w:t>
      </w:r>
      <w:r w:rsidR="00175504" w:rsidRPr="00175504">
        <w:rPr>
          <w:szCs w:val="22"/>
        </w:rPr>
        <w:t xml:space="preserve"> for the unexpected CFC-11 emissions, including from existing foam banks.</w:t>
      </w:r>
      <w:r w:rsidR="00175504">
        <w:rPr>
          <w:szCs w:val="22"/>
        </w:rPr>
        <w:t xml:space="preserve"> </w:t>
      </w:r>
      <w:r w:rsidR="00A677C6" w:rsidRPr="008628DD">
        <w:rPr>
          <w:szCs w:val="22"/>
        </w:rPr>
        <w:t xml:space="preserve">It </w:t>
      </w:r>
      <w:r w:rsidR="0094414F">
        <w:rPr>
          <w:szCs w:val="22"/>
        </w:rPr>
        <w:t>was</w:t>
      </w:r>
      <w:r w:rsidR="00A677C6" w:rsidRPr="008628DD">
        <w:rPr>
          <w:szCs w:val="22"/>
        </w:rPr>
        <w:t xml:space="preserve"> </w:t>
      </w:r>
      <w:r w:rsidR="00D27098">
        <w:rPr>
          <w:szCs w:val="22"/>
        </w:rPr>
        <w:t xml:space="preserve">also </w:t>
      </w:r>
      <w:r w:rsidR="0094414F">
        <w:rPr>
          <w:szCs w:val="22"/>
        </w:rPr>
        <w:t xml:space="preserve">considered </w:t>
      </w:r>
      <w:r w:rsidR="00A677C6" w:rsidRPr="008628DD">
        <w:rPr>
          <w:szCs w:val="22"/>
        </w:rPr>
        <w:t xml:space="preserve">unlikely that there </w:t>
      </w:r>
      <w:r w:rsidR="00A677C6">
        <w:rPr>
          <w:szCs w:val="22"/>
        </w:rPr>
        <w:t>was</w:t>
      </w:r>
      <w:r w:rsidR="00A677C6" w:rsidRPr="008628DD">
        <w:rPr>
          <w:szCs w:val="22"/>
        </w:rPr>
        <w:t xml:space="preserve"> a resumption of newly produced CFC-11 usage in refrigeration and air-conditioning uses, flexible foams, aerosols, solvents, feedstock uses, tobacco expansion and other miscellaneous applications. </w:t>
      </w:r>
    </w:p>
    <w:p w14:paraId="504B4C0A" w14:textId="5C153731" w:rsidR="00CF1FD0" w:rsidRDefault="00CF1FD0" w:rsidP="53E091E7">
      <w:pPr>
        <w:rPr>
          <w:szCs w:val="22"/>
        </w:rPr>
      </w:pPr>
    </w:p>
    <w:p w14:paraId="5F59D5FD" w14:textId="77777777" w:rsidR="00C56703" w:rsidRDefault="00C56703">
      <w:pPr>
        <w:spacing w:after="0"/>
        <w:rPr>
          <w:szCs w:val="22"/>
        </w:rPr>
        <w:sectPr w:rsidR="00C56703" w:rsidSect="009345EE">
          <w:type w:val="oddPage"/>
          <w:pgSz w:w="11907" w:h="16839" w:code="9"/>
          <w:pgMar w:top="1701" w:right="1797" w:bottom="1871" w:left="1797" w:header="720" w:footer="794" w:gutter="0"/>
          <w:cols w:space="720"/>
          <w:docGrid w:linePitch="299"/>
        </w:sectPr>
      </w:pPr>
    </w:p>
    <w:p w14:paraId="3EF6686D" w14:textId="79DE01DF" w:rsidR="00CF1FD0" w:rsidRPr="002D37F9" w:rsidRDefault="00344F5A" w:rsidP="002D37F9">
      <w:pPr>
        <w:tabs>
          <w:tab w:val="left" w:pos="1276"/>
        </w:tabs>
        <w:spacing w:after="120"/>
        <w:rPr>
          <w:b/>
          <w:bCs/>
          <w:szCs w:val="22"/>
        </w:rPr>
      </w:pPr>
      <w:r w:rsidRPr="002D37F9">
        <w:rPr>
          <w:b/>
          <w:bCs/>
          <w:szCs w:val="22"/>
        </w:rPr>
        <w:lastRenderedPageBreak/>
        <w:t>Table 5</w:t>
      </w:r>
      <w:r w:rsidR="002B13FD">
        <w:rPr>
          <w:b/>
          <w:bCs/>
          <w:szCs w:val="22"/>
        </w:rPr>
        <w:t>.</w:t>
      </w:r>
      <w:r w:rsidRPr="002D37F9">
        <w:rPr>
          <w:b/>
          <w:bCs/>
          <w:szCs w:val="22"/>
        </w:rPr>
        <w:t>1</w:t>
      </w:r>
      <w:r w:rsidR="002D37F9">
        <w:rPr>
          <w:b/>
          <w:bCs/>
          <w:szCs w:val="22"/>
        </w:rPr>
        <w:tab/>
      </w:r>
      <w:r w:rsidR="00B42604" w:rsidRPr="002D37F9">
        <w:rPr>
          <w:b/>
          <w:bCs/>
          <w:szCs w:val="22"/>
        </w:rPr>
        <w:t xml:space="preserve">Types of </w:t>
      </w:r>
      <w:r w:rsidR="00867E28" w:rsidRPr="002D37F9">
        <w:rPr>
          <w:b/>
          <w:bCs/>
          <w:szCs w:val="22"/>
        </w:rPr>
        <w:t xml:space="preserve">CFC-11 </w:t>
      </w:r>
      <w:r w:rsidR="00B42604" w:rsidRPr="002D37F9">
        <w:rPr>
          <w:b/>
          <w:bCs/>
          <w:szCs w:val="22"/>
        </w:rPr>
        <w:t>foam products</w:t>
      </w:r>
      <w:r w:rsidR="00867E28" w:rsidRPr="002D37F9">
        <w:rPr>
          <w:b/>
          <w:bCs/>
          <w:szCs w:val="22"/>
        </w:rPr>
        <w:t xml:space="preserve">, their emissions profile, </w:t>
      </w:r>
      <w:r w:rsidR="00785C60" w:rsidRPr="002D37F9">
        <w:rPr>
          <w:b/>
          <w:bCs/>
          <w:szCs w:val="22"/>
        </w:rPr>
        <w:t>detection</w:t>
      </w:r>
      <w:r w:rsidR="00715683">
        <w:rPr>
          <w:b/>
          <w:bCs/>
          <w:szCs w:val="22"/>
        </w:rPr>
        <w:t>,</w:t>
      </w:r>
      <w:r w:rsidR="00AA3A0D" w:rsidRPr="002D37F9">
        <w:rPr>
          <w:b/>
          <w:bCs/>
          <w:szCs w:val="22"/>
        </w:rPr>
        <w:t xml:space="preserve"> </w:t>
      </w:r>
      <w:r w:rsidR="00DB3EBF" w:rsidRPr="002D37F9">
        <w:rPr>
          <w:b/>
          <w:bCs/>
          <w:szCs w:val="22"/>
        </w:rPr>
        <w:t>recovery of associated CFC-11</w:t>
      </w:r>
      <w:r w:rsidR="00AF7492">
        <w:rPr>
          <w:b/>
          <w:bCs/>
          <w:szCs w:val="22"/>
        </w:rPr>
        <w:t>,</w:t>
      </w:r>
      <w:r w:rsidR="00DB3EBF">
        <w:rPr>
          <w:b/>
          <w:bCs/>
          <w:szCs w:val="22"/>
        </w:rPr>
        <w:t xml:space="preserve"> and </w:t>
      </w:r>
      <w:r w:rsidR="000477CE" w:rsidRPr="002D37F9">
        <w:rPr>
          <w:b/>
          <w:bCs/>
          <w:szCs w:val="22"/>
        </w:rPr>
        <w:t xml:space="preserve">disposition </w:t>
      </w:r>
    </w:p>
    <w:tbl>
      <w:tblPr>
        <w:tblStyle w:val="TableGrid"/>
        <w:tblW w:w="14293" w:type="dxa"/>
        <w:tblInd w:w="54" w:type="dxa"/>
        <w:tblLook w:val="04A0" w:firstRow="1" w:lastRow="0" w:firstColumn="1" w:lastColumn="0" w:noHBand="0" w:noVBand="1"/>
      </w:tblPr>
      <w:tblGrid>
        <w:gridCol w:w="1531"/>
        <w:gridCol w:w="2127"/>
        <w:gridCol w:w="2127"/>
        <w:gridCol w:w="2127"/>
        <w:gridCol w:w="2127"/>
        <w:gridCol w:w="2127"/>
        <w:gridCol w:w="2127"/>
      </w:tblGrid>
      <w:tr w:rsidR="00DB3EBF" w:rsidRPr="003A2CCF" w14:paraId="12664021" w14:textId="63E90060" w:rsidTr="00E6256E">
        <w:trPr>
          <w:tblHeader/>
        </w:trPr>
        <w:tc>
          <w:tcPr>
            <w:tcW w:w="1531" w:type="dxa"/>
          </w:tcPr>
          <w:p w14:paraId="345EB925" w14:textId="1FE1E42C" w:rsidR="00DB3EBF" w:rsidRPr="003A2CCF" w:rsidRDefault="00DB3EBF" w:rsidP="00DB3EBF">
            <w:pPr>
              <w:spacing w:after="0"/>
              <w:rPr>
                <w:b/>
                <w:bCs/>
                <w:sz w:val="18"/>
                <w:szCs w:val="18"/>
              </w:rPr>
            </w:pPr>
            <w:r w:rsidRPr="003A2CCF">
              <w:rPr>
                <w:b/>
                <w:bCs/>
                <w:sz w:val="18"/>
                <w:szCs w:val="18"/>
              </w:rPr>
              <w:t>Generic Foam</w:t>
            </w:r>
          </w:p>
        </w:tc>
        <w:tc>
          <w:tcPr>
            <w:tcW w:w="2127" w:type="dxa"/>
          </w:tcPr>
          <w:p w14:paraId="30F19C88" w14:textId="71AFF3ED" w:rsidR="00DB3EBF" w:rsidRPr="003A2CCF" w:rsidRDefault="00DB3EBF" w:rsidP="00DB3EBF">
            <w:pPr>
              <w:spacing w:after="0"/>
              <w:rPr>
                <w:b/>
                <w:bCs/>
                <w:sz w:val="18"/>
                <w:szCs w:val="18"/>
              </w:rPr>
            </w:pPr>
            <w:r w:rsidRPr="003A2CCF">
              <w:rPr>
                <w:b/>
                <w:bCs/>
                <w:sz w:val="18"/>
                <w:szCs w:val="18"/>
              </w:rPr>
              <w:t>Type of product</w:t>
            </w:r>
          </w:p>
        </w:tc>
        <w:tc>
          <w:tcPr>
            <w:tcW w:w="2127" w:type="dxa"/>
          </w:tcPr>
          <w:p w14:paraId="400EC9F3" w14:textId="61A9E29A" w:rsidR="00DB3EBF" w:rsidRPr="003A2CCF" w:rsidRDefault="00DB3EBF" w:rsidP="00DB3EBF">
            <w:pPr>
              <w:spacing w:after="0"/>
              <w:rPr>
                <w:b/>
                <w:bCs/>
                <w:sz w:val="18"/>
                <w:szCs w:val="18"/>
              </w:rPr>
            </w:pPr>
            <w:r w:rsidRPr="003A2CCF">
              <w:rPr>
                <w:b/>
                <w:bCs/>
                <w:sz w:val="18"/>
                <w:szCs w:val="18"/>
              </w:rPr>
              <w:t>Purpose of CFC-11</w:t>
            </w:r>
          </w:p>
        </w:tc>
        <w:tc>
          <w:tcPr>
            <w:tcW w:w="2127" w:type="dxa"/>
          </w:tcPr>
          <w:p w14:paraId="40469AAA" w14:textId="736B631F" w:rsidR="00DB3EBF" w:rsidRPr="003A2CCF" w:rsidRDefault="00DB3EBF" w:rsidP="00DB3EBF">
            <w:pPr>
              <w:spacing w:after="0"/>
              <w:rPr>
                <w:b/>
                <w:bCs/>
                <w:sz w:val="18"/>
                <w:szCs w:val="18"/>
              </w:rPr>
            </w:pPr>
            <w:r w:rsidRPr="003A2CCF">
              <w:rPr>
                <w:b/>
                <w:bCs/>
                <w:sz w:val="18"/>
                <w:szCs w:val="18"/>
              </w:rPr>
              <w:t>CFC-11 emissions profile</w:t>
            </w:r>
          </w:p>
        </w:tc>
        <w:tc>
          <w:tcPr>
            <w:tcW w:w="2127" w:type="dxa"/>
          </w:tcPr>
          <w:p w14:paraId="5FD4C9FE" w14:textId="2DDF515C" w:rsidR="00DB3EBF" w:rsidRDefault="00DB3EBF" w:rsidP="00DB3EBF">
            <w:pPr>
              <w:spacing w:after="0"/>
              <w:rPr>
                <w:b/>
                <w:bCs/>
                <w:sz w:val="18"/>
                <w:szCs w:val="18"/>
              </w:rPr>
            </w:pPr>
            <w:r>
              <w:rPr>
                <w:b/>
                <w:bCs/>
                <w:sz w:val="18"/>
                <w:szCs w:val="18"/>
              </w:rPr>
              <w:t>Methods to detect CFC-11 in the product</w:t>
            </w:r>
          </w:p>
        </w:tc>
        <w:tc>
          <w:tcPr>
            <w:tcW w:w="2127" w:type="dxa"/>
          </w:tcPr>
          <w:p w14:paraId="3D787754" w14:textId="3112C0E7" w:rsidR="00DB3EBF" w:rsidRDefault="00DB3EBF" w:rsidP="00DB3EBF">
            <w:pPr>
              <w:spacing w:after="0"/>
              <w:rPr>
                <w:b/>
                <w:bCs/>
                <w:sz w:val="18"/>
                <w:szCs w:val="18"/>
              </w:rPr>
            </w:pPr>
            <w:r>
              <w:rPr>
                <w:b/>
                <w:bCs/>
                <w:sz w:val="18"/>
                <w:szCs w:val="18"/>
              </w:rPr>
              <w:t>Recovery of associated CFC-11 in the product</w:t>
            </w:r>
          </w:p>
        </w:tc>
        <w:tc>
          <w:tcPr>
            <w:tcW w:w="2127" w:type="dxa"/>
          </w:tcPr>
          <w:p w14:paraId="70819402" w14:textId="69FD8231" w:rsidR="00DB3EBF" w:rsidRPr="003A2CCF" w:rsidRDefault="00DB3EBF" w:rsidP="00DB3EBF">
            <w:pPr>
              <w:spacing w:after="0"/>
              <w:rPr>
                <w:b/>
                <w:bCs/>
                <w:sz w:val="18"/>
                <w:szCs w:val="18"/>
              </w:rPr>
            </w:pPr>
            <w:r>
              <w:rPr>
                <w:b/>
                <w:bCs/>
                <w:sz w:val="18"/>
                <w:szCs w:val="18"/>
              </w:rPr>
              <w:t>Disposition of the product</w:t>
            </w:r>
          </w:p>
        </w:tc>
      </w:tr>
      <w:tr w:rsidR="00DB3EBF" w:rsidRPr="003A2CCF" w14:paraId="108A6D21" w14:textId="3E85ED03" w:rsidTr="00DB3EBF">
        <w:trPr>
          <w:trHeight w:val="1408"/>
        </w:trPr>
        <w:tc>
          <w:tcPr>
            <w:tcW w:w="1531" w:type="dxa"/>
          </w:tcPr>
          <w:p w14:paraId="1E4027B0" w14:textId="0FAECE7A" w:rsidR="00DB3EBF" w:rsidRPr="003A2CCF" w:rsidRDefault="00DB3EBF" w:rsidP="00A17663">
            <w:pPr>
              <w:spacing w:before="120" w:after="120"/>
              <w:rPr>
                <w:sz w:val="18"/>
                <w:szCs w:val="18"/>
              </w:rPr>
            </w:pPr>
            <w:r w:rsidRPr="003A2CCF">
              <w:rPr>
                <w:sz w:val="18"/>
                <w:szCs w:val="18"/>
              </w:rPr>
              <w:t>Rigid Polyurethane</w:t>
            </w:r>
            <w:r w:rsidRPr="003A2CCF">
              <w:rPr>
                <w:sz w:val="18"/>
                <w:szCs w:val="18"/>
              </w:rPr>
              <w:br/>
              <w:t>(Closed-Cell)</w:t>
            </w:r>
          </w:p>
        </w:tc>
        <w:tc>
          <w:tcPr>
            <w:tcW w:w="2127" w:type="dxa"/>
          </w:tcPr>
          <w:p w14:paraId="1E3F5246" w14:textId="6FFB6316" w:rsidR="00DB3EBF" w:rsidRPr="003A2CCF" w:rsidRDefault="00DB3EBF" w:rsidP="00A17663">
            <w:pPr>
              <w:spacing w:before="120" w:after="120"/>
              <w:rPr>
                <w:sz w:val="18"/>
                <w:szCs w:val="18"/>
              </w:rPr>
            </w:pPr>
            <w:r w:rsidRPr="003A2CCF">
              <w:rPr>
                <w:sz w:val="18"/>
                <w:szCs w:val="18"/>
              </w:rPr>
              <w:t>Insulation foam in building construction and refrigeration</w:t>
            </w:r>
            <w:r>
              <w:rPr>
                <w:sz w:val="18"/>
                <w:szCs w:val="18"/>
              </w:rPr>
              <w:t>. Polyol/blowing agent mixtures, that are the raw materials for foam production, also contain CFC-11.</w:t>
            </w:r>
          </w:p>
        </w:tc>
        <w:tc>
          <w:tcPr>
            <w:tcW w:w="2127" w:type="dxa"/>
          </w:tcPr>
          <w:p w14:paraId="7E43F7E8" w14:textId="66FF9A45" w:rsidR="00DB3EBF" w:rsidRPr="003A2CCF" w:rsidRDefault="00DB3EBF" w:rsidP="00A17663">
            <w:pPr>
              <w:spacing w:before="120" w:after="120"/>
              <w:rPr>
                <w:sz w:val="18"/>
                <w:szCs w:val="18"/>
              </w:rPr>
            </w:pPr>
            <w:r w:rsidRPr="003A2CCF">
              <w:rPr>
                <w:sz w:val="18"/>
                <w:szCs w:val="18"/>
              </w:rPr>
              <w:t xml:space="preserve">Blowing agent </w:t>
            </w:r>
            <w:r w:rsidR="00E6702C">
              <w:rPr>
                <w:sz w:val="18"/>
                <w:szCs w:val="18"/>
              </w:rPr>
              <w:t>with</w:t>
            </w:r>
            <w:r w:rsidR="00E6702C" w:rsidRPr="003A2CCF">
              <w:rPr>
                <w:sz w:val="18"/>
                <w:szCs w:val="18"/>
              </w:rPr>
              <w:t xml:space="preserve"> </w:t>
            </w:r>
            <w:r w:rsidRPr="003A2CCF">
              <w:rPr>
                <w:sz w:val="18"/>
                <w:szCs w:val="18"/>
              </w:rPr>
              <w:t>beneficial product properties</w:t>
            </w:r>
          </w:p>
        </w:tc>
        <w:tc>
          <w:tcPr>
            <w:tcW w:w="2127" w:type="dxa"/>
          </w:tcPr>
          <w:p w14:paraId="38BBE293" w14:textId="0EB85D2B" w:rsidR="00DB3EBF" w:rsidRPr="003A2CCF" w:rsidRDefault="00DB3EBF" w:rsidP="00A17663">
            <w:pPr>
              <w:spacing w:before="120" w:after="120"/>
              <w:rPr>
                <w:sz w:val="18"/>
                <w:szCs w:val="18"/>
              </w:rPr>
            </w:pPr>
            <w:r w:rsidRPr="003A2CCF">
              <w:rPr>
                <w:sz w:val="18"/>
                <w:szCs w:val="18"/>
              </w:rPr>
              <w:t>Spray foam has relatively higher emissions during installation</w:t>
            </w:r>
            <w:r>
              <w:rPr>
                <w:sz w:val="18"/>
                <w:szCs w:val="18"/>
              </w:rPr>
              <w:t>. I</w:t>
            </w:r>
            <w:r w:rsidRPr="003A2CCF">
              <w:rPr>
                <w:sz w:val="18"/>
                <w:szCs w:val="18"/>
              </w:rPr>
              <w:t xml:space="preserve">nsulation </w:t>
            </w:r>
            <w:proofErr w:type="spellStart"/>
            <w:r w:rsidRPr="003A2CCF">
              <w:rPr>
                <w:sz w:val="18"/>
                <w:szCs w:val="18"/>
              </w:rPr>
              <w:t>board</w:t>
            </w:r>
            <w:r w:rsidR="007B5D20">
              <w:rPr>
                <w:sz w:val="18"/>
                <w:szCs w:val="18"/>
              </w:rPr>
              <w:t>stock</w:t>
            </w:r>
            <w:proofErr w:type="spellEnd"/>
            <w:r w:rsidRPr="003A2CCF">
              <w:rPr>
                <w:sz w:val="18"/>
                <w:szCs w:val="18"/>
              </w:rPr>
              <w:t xml:space="preserve"> </w:t>
            </w:r>
            <w:r>
              <w:rPr>
                <w:sz w:val="18"/>
                <w:szCs w:val="18"/>
              </w:rPr>
              <w:t xml:space="preserve">foam </w:t>
            </w:r>
            <w:r w:rsidRPr="003A2CCF">
              <w:rPr>
                <w:sz w:val="18"/>
                <w:szCs w:val="18"/>
              </w:rPr>
              <w:t>has relatively low</w:t>
            </w:r>
            <w:r>
              <w:rPr>
                <w:sz w:val="18"/>
                <w:szCs w:val="18"/>
              </w:rPr>
              <w:t>er</w:t>
            </w:r>
            <w:r w:rsidRPr="003A2CCF">
              <w:rPr>
                <w:sz w:val="18"/>
                <w:szCs w:val="18"/>
              </w:rPr>
              <w:t xml:space="preserve"> emissions. CFC-11 remains </w:t>
            </w:r>
            <w:r>
              <w:rPr>
                <w:sz w:val="18"/>
                <w:szCs w:val="18"/>
              </w:rPr>
              <w:t>with</w:t>
            </w:r>
            <w:r w:rsidRPr="003A2CCF">
              <w:rPr>
                <w:sz w:val="18"/>
                <w:szCs w:val="18"/>
              </w:rPr>
              <w:t xml:space="preserve">in </w:t>
            </w:r>
            <w:r>
              <w:rPr>
                <w:sz w:val="18"/>
                <w:szCs w:val="18"/>
              </w:rPr>
              <w:t xml:space="preserve">the </w:t>
            </w:r>
            <w:r w:rsidRPr="003A2CCF">
              <w:rPr>
                <w:sz w:val="18"/>
                <w:szCs w:val="18"/>
              </w:rPr>
              <w:t>foam</w:t>
            </w:r>
            <w:r>
              <w:rPr>
                <w:sz w:val="18"/>
                <w:szCs w:val="18"/>
              </w:rPr>
              <w:t xml:space="preserve"> structure and is</w:t>
            </w:r>
            <w:r w:rsidRPr="003A2CCF">
              <w:rPr>
                <w:sz w:val="18"/>
                <w:szCs w:val="18"/>
              </w:rPr>
              <w:t xml:space="preserve"> </w:t>
            </w:r>
            <w:r w:rsidR="00054971">
              <w:rPr>
                <w:sz w:val="18"/>
                <w:szCs w:val="18"/>
              </w:rPr>
              <w:t xml:space="preserve">only </w:t>
            </w:r>
            <w:r w:rsidRPr="003A2CCF">
              <w:rPr>
                <w:sz w:val="18"/>
                <w:szCs w:val="18"/>
              </w:rPr>
              <w:t xml:space="preserve">slowly </w:t>
            </w:r>
            <w:r>
              <w:rPr>
                <w:sz w:val="18"/>
                <w:szCs w:val="18"/>
              </w:rPr>
              <w:t>emitted</w:t>
            </w:r>
            <w:r w:rsidRPr="003A2CCF">
              <w:rPr>
                <w:sz w:val="18"/>
                <w:szCs w:val="18"/>
              </w:rPr>
              <w:t xml:space="preserve"> over </w:t>
            </w:r>
            <w:r>
              <w:rPr>
                <w:sz w:val="18"/>
                <w:szCs w:val="18"/>
              </w:rPr>
              <w:t xml:space="preserve">an </w:t>
            </w:r>
            <w:r w:rsidRPr="003A2CCF">
              <w:rPr>
                <w:sz w:val="18"/>
                <w:szCs w:val="18"/>
              </w:rPr>
              <w:t>extended period.</w:t>
            </w:r>
            <w:r>
              <w:rPr>
                <w:sz w:val="18"/>
                <w:szCs w:val="18"/>
              </w:rPr>
              <w:t xml:space="preserve"> CFC-11 emissions occur during equipment dismantling, building demolition, foam collection, shredding, transportation and </w:t>
            </w:r>
            <w:r w:rsidR="008A6653">
              <w:rPr>
                <w:sz w:val="18"/>
                <w:szCs w:val="18"/>
              </w:rPr>
              <w:t>disposal</w:t>
            </w:r>
            <w:r>
              <w:rPr>
                <w:sz w:val="18"/>
                <w:szCs w:val="18"/>
              </w:rPr>
              <w:t>. Landfill</w:t>
            </w:r>
            <w:r w:rsidR="009C3E50">
              <w:rPr>
                <w:sz w:val="18"/>
                <w:szCs w:val="18"/>
              </w:rPr>
              <w:t xml:space="preserve"> waste</w:t>
            </w:r>
            <w:r w:rsidR="009B689C">
              <w:rPr>
                <w:sz w:val="18"/>
                <w:szCs w:val="18"/>
              </w:rPr>
              <w:t xml:space="preserve"> material</w:t>
            </w:r>
            <w:r>
              <w:rPr>
                <w:sz w:val="18"/>
                <w:szCs w:val="18"/>
              </w:rPr>
              <w:t xml:space="preserve"> emits CFC-11 over an extended period.</w:t>
            </w:r>
          </w:p>
        </w:tc>
        <w:tc>
          <w:tcPr>
            <w:tcW w:w="2127" w:type="dxa"/>
          </w:tcPr>
          <w:p w14:paraId="1A1E5D9E" w14:textId="7C4AB175" w:rsidR="00DB3EBF" w:rsidRDefault="00DB3EBF" w:rsidP="00A17663">
            <w:pPr>
              <w:spacing w:before="120" w:after="120"/>
              <w:rPr>
                <w:sz w:val="18"/>
                <w:szCs w:val="18"/>
              </w:rPr>
            </w:pPr>
            <w:r>
              <w:rPr>
                <w:sz w:val="18"/>
                <w:szCs w:val="18"/>
              </w:rPr>
              <w:t>Field detection of CFC-11 in foam products, e.g., in the drum headspace of polyol/blowing agent mixture, can occur by</w:t>
            </w:r>
            <w:r w:rsidR="00D042C5">
              <w:rPr>
                <w:sz w:val="18"/>
                <w:szCs w:val="18"/>
              </w:rPr>
              <w:t xml:space="preserve"> using a portable </w:t>
            </w:r>
            <w:r w:rsidR="00F12963">
              <w:rPr>
                <w:sz w:val="18"/>
                <w:szCs w:val="18"/>
              </w:rPr>
              <w:t>analyser</w:t>
            </w:r>
            <w:r w:rsidR="00D042C5">
              <w:rPr>
                <w:sz w:val="18"/>
                <w:szCs w:val="18"/>
              </w:rPr>
              <w:t xml:space="preserve"> set up to identify CFC-11.</w:t>
            </w:r>
          </w:p>
          <w:p w14:paraId="71A5D1C8" w14:textId="47E49F6D" w:rsidR="00DB3EBF" w:rsidRDefault="00DB3EBF" w:rsidP="00A17663">
            <w:pPr>
              <w:spacing w:before="120" w:after="120"/>
              <w:rPr>
                <w:sz w:val="18"/>
                <w:szCs w:val="18"/>
              </w:rPr>
            </w:pPr>
            <w:r>
              <w:rPr>
                <w:sz w:val="18"/>
                <w:szCs w:val="18"/>
              </w:rPr>
              <w:t xml:space="preserve">Laboratory detection of CFC-11 in foam products occurs by sampling the product and conducting a chemical analysis using Gas Chromatography or Gas Chromatography/ Mass Spectrometry </w:t>
            </w:r>
          </w:p>
        </w:tc>
        <w:tc>
          <w:tcPr>
            <w:tcW w:w="2127" w:type="dxa"/>
          </w:tcPr>
          <w:p w14:paraId="73766926" w14:textId="7C0581BF" w:rsidR="00DB3EBF" w:rsidRDefault="00DB3EBF" w:rsidP="00A17663">
            <w:pPr>
              <w:spacing w:before="120" w:after="120"/>
              <w:rPr>
                <w:sz w:val="18"/>
                <w:szCs w:val="18"/>
              </w:rPr>
            </w:pPr>
            <w:r>
              <w:rPr>
                <w:sz w:val="18"/>
                <w:szCs w:val="18"/>
              </w:rPr>
              <w:t xml:space="preserve">Recovery of CFC-11 is only applicable when insulation foam products are collected, and the CFC-11 is reclaimed. </w:t>
            </w:r>
            <w:r w:rsidR="00060395">
              <w:rPr>
                <w:sz w:val="18"/>
                <w:szCs w:val="18"/>
              </w:rPr>
              <w:t>Recovery is not applicable to polyol/blowing agent mixtures</w:t>
            </w:r>
            <w:r w:rsidR="00AF11E1">
              <w:rPr>
                <w:sz w:val="18"/>
                <w:szCs w:val="18"/>
              </w:rPr>
              <w:t xml:space="preserve">, </w:t>
            </w:r>
            <w:r w:rsidR="00147F56">
              <w:rPr>
                <w:sz w:val="18"/>
                <w:szCs w:val="18"/>
              </w:rPr>
              <w:t>which are ingredients</w:t>
            </w:r>
            <w:r w:rsidR="00AF11E1">
              <w:rPr>
                <w:sz w:val="18"/>
                <w:szCs w:val="18"/>
              </w:rPr>
              <w:t xml:space="preserve"> </w:t>
            </w:r>
            <w:r w:rsidR="00147F56">
              <w:rPr>
                <w:sz w:val="18"/>
                <w:szCs w:val="18"/>
              </w:rPr>
              <w:t>for</w:t>
            </w:r>
            <w:r w:rsidR="00AF11E1">
              <w:rPr>
                <w:sz w:val="18"/>
                <w:szCs w:val="18"/>
              </w:rPr>
              <w:t xml:space="preserve"> foam</w:t>
            </w:r>
            <w:r w:rsidR="00147F56">
              <w:rPr>
                <w:sz w:val="18"/>
                <w:szCs w:val="18"/>
              </w:rPr>
              <w:t xml:space="preserve"> products. </w:t>
            </w:r>
            <w:r w:rsidR="004E1FE6">
              <w:rPr>
                <w:sz w:val="18"/>
                <w:szCs w:val="18"/>
              </w:rPr>
              <w:t xml:space="preserve">Disposal </w:t>
            </w:r>
            <w:r>
              <w:rPr>
                <w:sz w:val="18"/>
                <w:szCs w:val="18"/>
              </w:rPr>
              <w:t>by destruction or disposal to landfill necessitates that CFC-11 is either destroyed or becomes inaccessible through landfill disposal of the product.</w:t>
            </w:r>
          </w:p>
        </w:tc>
        <w:tc>
          <w:tcPr>
            <w:tcW w:w="2127" w:type="dxa"/>
          </w:tcPr>
          <w:p w14:paraId="5EE1ED4F" w14:textId="6CFF10BE" w:rsidR="00DB3EBF" w:rsidRPr="003A2CCF" w:rsidRDefault="00DB3EBF" w:rsidP="00A17663">
            <w:pPr>
              <w:spacing w:before="120" w:after="120"/>
              <w:rPr>
                <w:sz w:val="18"/>
                <w:szCs w:val="18"/>
              </w:rPr>
            </w:pPr>
            <w:r>
              <w:rPr>
                <w:sz w:val="18"/>
                <w:szCs w:val="18"/>
              </w:rPr>
              <w:t xml:space="preserve">Insulation foams remain installed for an extended period of time. During building demolition or at refrigeration equipment </w:t>
            </w:r>
            <w:r w:rsidR="00D10041">
              <w:rPr>
                <w:sz w:val="18"/>
                <w:szCs w:val="18"/>
              </w:rPr>
              <w:t>end-of-life</w:t>
            </w:r>
            <w:r>
              <w:rPr>
                <w:sz w:val="18"/>
                <w:szCs w:val="18"/>
              </w:rPr>
              <w:t xml:space="preserve">, CFC-11 foam products are either: segregated, collected and reclaimed or destroyed; or disposed to landfill where the foam becomes inaccessible. </w:t>
            </w:r>
          </w:p>
        </w:tc>
      </w:tr>
      <w:tr w:rsidR="00DB3EBF" w:rsidRPr="003A2CCF" w14:paraId="0EEDA68A" w14:textId="7D3F33BC" w:rsidTr="00DB3EBF">
        <w:trPr>
          <w:trHeight w:val="2768"/>
        </w:trPr>
        <w:tc>
          <w:tcPr>
            <w:tcW w:w="1531" w:type="dxa"/>
          </w:tcPr>
          <w:p w14:paraId="05F7BB47" w14:textId="6F086975" w:rsidR="00DB3EBF" w:rsidRPr="003A2CCF" w:rsidRDefault="00DB3EBF" w:rsidP="00A17663">
            <w:pPr>
              <w:spacing w:before="120" w:after="120"/>
              <w:rPr>
                <w:sz w:val="18"/>
                <w:szCs w:val="18"/>
              </w:rPr>
            </w:pPr>
            <w:r w:rsidRPr="003A2CCF">
              <w:rPr>
                <w:sz w:val="18"/>
                <w:szCs w:val="18"/>
              </w:rPr>
              <w:t>Phenolic</w:t>
            </w:r>
          </w:p>
        </w:tc>
        <w:tc>
          <w:tcPr>
            <w:tcW w:w="2127" w:type="dxa"/>
          </w:tcPr>
          <w:p w14:paraId="0BD84CCA" w14:textId="27D991FC" w:rsidR="00DB3EBF" w:rsidRPr="003A2CCF" w:rsidRDefault="00DB3EBF" w:rsidP="00A17663">
            <w:pPr>
              <w:spacing w:before="120" w:after="120"/>
              <w:rPr>
                <w:sz w:val="18"/>
                <w:szCs w:val="18"/>
              </w:rPr>
            </w:pPr>
            <w:r w:rsidRPr="003A2CCF">
              <w:rPr>
                <w:sz w:val="18"/>
                <w:szCs w:val="18"/>
              </w:rPr>
              <w:t>Insulation foam in buildings (with fire retardant properties)</w:t>
            </w:r>
            <w:r>
              <w:rPr>
                <w:sz w:val="18"/>
                <w:szCs w:val="18"/>
              </w:rPr>
              <w:t xml:space="preserve">. </w:t>
            </w:r>
          </w:p>
        </w:tc>
        <w:tc>
          <w:tcPr>
            <w:tcW w:w="2127" w:type="dxa"/>
          </w:tcPr>
          <w:p w14:paraId="0406AB7E" w14:textId="7A4F63EF" w:rsidR="00DB3EBF" w:rsidRPr="003A2CCF" w:rsidRDefault="00DB3EBF" w:rsidP="00A17663">
            <w:pPr>
              <w:spacing w:before="120" w:after="120"/>
              <w:rPr>
                <w:sz w:val="18"/>
                <w:szCs w:val="18"/>
              </w:rPr>
            </w:pPr>
            <w:r w:rsidRPr="003A2CCF">
              <w:rPr>
                <w:sz w:val="18"/>
                <w:szCs w:val="18"/>
              </w:rPr>
              <w:t xml:space="preserve">Blowing agent </w:t>
            </w:r>
            <w:r w:rsidR="00E6702C">
              <w:rPr>
                <w:sz w:val="18"/>
                <w:szCs w:val="18"/>
              </w:rPr>
              <w:t>with</w:t>
            </w:r>
            <w:r w:rsidR="00E6702C" w:rsidRPr="003A2CCF">
              <w:rPr>
                <w:sz w:val="18"/>
                <w:szCs w:val="18"/>
              </w:rPr>
              <w:t xml:space="preserve"> </w:t>
            </w:r>
            <w:r w:rsidRPr="003A2CCF">
              <w:rPr>
                <w:sz w:val="18"/>
                <w:szCs w:val="18"/>
              </w:rPr>
              <w:t>beneficial product properties</w:t>
            </w:r>
          </w:p>
        </w:tc>
        <w:tc>
          <w:tcPr>
            <w:tcW w:w="2127" w:type="dxa"/>
          </w:tcPr>
          <w:p w14:paraId="33DAF31F" w14:textId="3C698439" w:rsidR="00DB3EBF" w:rsidRPr="003A2CCF" w:rsidRDefault="00DB3EBF" w:rsidP="00A17663">
            <w:pPr>
              <w:spacing w:before="120" w:after="120"/>
              <w:rPr>
                <w:sz w:val="18"/>
                <w:szCs w:val="18"/>
              </w:rPr>
            </w:pPr>
            <w:r w:rsidRPr="003A2CCF">
              <w:rPr>
                <w:sz w:val="18"/>
                <w:szCs w:val="18"/>
              </w:rPr>
              <w:t xml:space="preserve">CFC-11 remains </w:t>
            </w:r>
            <w:r>
              <w:rPr>
                <w:sz w:val="18"/>
                <w:szCs w:val="18"/>
              </w:rPr>
              <w:t>with</w:t>
            </w:r>
            <w:r w:rsidRPr="003A2CCF">
              <w:rPr>
                <w:sz w:val="18"/>
                <w:szCs w:val="18"/>
              </w:rPr>
              <w:t xml:space="preserve">in </w:t>
            </w:r>
            <w:r>
              <w:rPr>
                <w:sz w:val="18"/>
                <w:szCs w:val="18"/>
              </w:rPr>
              <w:t xml:space="preserve">the </w:t>
            </w:r>
            <w:r w:rsidRPr="003A2CCF">
              <w:rPr>
                <w:sz w:val="18"/>
                <w:szCs w:val="18"/>
              </w:rPr>
              <w:t>foam</w:t>
            </w:r>
            <w:r>
              <w:rPr>
                <w:sz w:val="18"/>
                <w:szCs w:val="18"/>
              </w:rPr>
              <w:t xml:space="preserve"> structure and is</w:t>
            </w:r>
            <w:r w:rsidRPr="003A2CCF">
              <w:rPr>
                <w:sz w:val="18"/>
                <w:szCs w:val="18"/>
              </w:rPr>
              <w:t xml:space="preserve"> </w:t>
            </w:r>
            <w:r w:rsidR="00054971">
              <w:rPr>
                <w:sz w:val="18"/>
                <w:szCs w:val="18"/>
              </w:rPr>
              <w:t xml:space="preserve">only </w:t>
            </w:r>
            <w:r w:rsidRPr="003A2CCF">
              <w:rPr>
                <w:sz w:val="18"/>
                <w:szCs w:val="18"/>
              </w:rPr>
              <w:t>slowly emi</w:t>
            </w:r>
            <w:r>
              <w:rPr>
                <w:sz w:val="18"/>
                <w:szCs w:val="18"/>
              </w:rPr>
              <w:t>tted</w:t>
            </w:r>
            <w:r w:rsidRPr="003A2CCF">
              <w:rPr>
                <w:sz w:val="18"/>
                <w:szCs w:val="18"/>
              </w:rPr>
              <w:t xml:space="preserve"> over </w:t>
            </w:r>
            <w:r>
              <w:rPr>
                <w:sz w:val="18"/>
                <w:szCs w:val="18"/>
              </w:rPr>
              <w:t xml:space="preserve">an </w:t>
            </w:r>
            <w:r w:rsidRPr="003A2CCF">
              <w:rPr>
                <w:sz w:val="18"/>
                <w:szCs w:val="18"/>
              </w:rPr>
              <w:t>extended period.</w:t>
            </w:r>
            <w:r>
              <w:rPr>
                <w:sz w:val="18"/>
                <w:szCs w:val="18"/>
              </w:rPr>
              <w:t xml:space="preserve"> CFC-11 emissions occur during building demolition, foam collection, shredding, transportation and </w:t>
            </w:r>
            <w:r w:rsidR="008A6653">
              <w:rPr>
                <w:sz w:val="18"/>
                <w:szCs w:val="18"/>
              </w:rPr>
              <w:t>disposal</w:t>
            </w:r>
            <w:r>
              <w:rPr>
                <w:sz w:val="18"/>
                <w:szCs w:val="18"/>
              </w:rPr>
              <w:t>. Landfill</w:t>
            </w:r>
            <w:r w:rsidR="009C3E50">
              <w:rPr>
                <w:sz w:val="18"/>
                <w:szCs w:val="18"/>
              </w:rPr>
              <w:t xml:space="preserve"> waste material</w:t>
            </w:r>
            <w:r>
              <w:rPr>
                <w:sz w:val="18"/>
                <w:szCs w:val="18"/>
              </w:rPr>
              <w:t xml:space="preserve"> emits CFC-11 over an extended period.</w:t>
            </w:r>
          </w:p>
        </w:tc>
        <w:tc>
          <w:tcPr>
            <w:tcW w:w="2127" w:type="dxa"/>
          </w:tcPr>
          <w:p w14:paraId="7C62EF04" w14:textId="7306E0DE" w:rsidR="00DB3EBF" w:rsidRDefault="00DB3EBF" w:rsidP="00A17663">
            <w:pPr>
              <w:spacing w:before="120" w:after="120"/>
              <w:rPr>
                <w:sz w:val="18"/>
                <w:szCs w:val="18"/>
              </w:rPr>
            </w:pPr>
            <w:r>
              <w:rPr>
                <w:sz w:val="18"/>
                <w:szCs w:val="18"/>
              </w:rPr>
              <w:t>Field detection of CFC-11 in foam products, e.g., in the drum headspace of polyol/blowing agent mixture, can occur by</w:t>
            </w:r>
            <w:r w:rsidR="00D042C5">
              <w:rPr>
                <w:sz w:val="18"/>
                <w:szCs w:val="18"/>
              </w:rPr>
              <w:t xml:space="preserve"> using a portable </w:t>
            </w:r>
            <w:r w:rsidR="00F12963">
              <w:rPr>
                <w:sz w:val="18"/>
                <w:szCs w:val="18"/>
              </w:rPr>
              <w:t>analyser</w:t>
            </w:r>
            <w:r w:rsidR="00D042C5">
              <w:rPr>
                <w:sz w:val="18"/>
                <w:szCs w:val="18"/>
              </w:rPr>
              <w:t xml:space="preserve"> set up to identify CFC-11.</w:t>
            </w:r>
          </w:p>
          <w:p w14:paraId="56A1F5F5" w14:textId="2605CAD4" w:rsidR="00DB3EBF" w:rsidRPr="003A2CCF" w:rsidRDefault="00DB3EBF" w:rsidP="00A17663">
            <w:pPr>
              <w:spacing w:before="120" w:after="120"/>
              <w:rPr>
                <w:sz w:val="18"/>
                <w:szCs w:val="18"/>
              </w:rPr>
            </w:pPr>
            <w:r>
              <w:rPr>
                <w:sz w:val="18"/>
                <w:szCs w:val="18"/>
              </w:rPr>
              <w:t>Laboratory detection of CFC-11 in foam products occurs by sampling the product and conducting a chemical analysis using Gas Chromatography or Gas Chromatography/ Mass Spectrometry</w:t>
            </w:r>
          </w:p>
        </w:tc>
        <w:tc>
          <w:tcPr>
            <w:tcW w:w="2127" w:type="dxa"/>
          </w:tcPr>
          <w:p w14:paraId="2EC5B2CF" w14:textId="3702437E" w:rsidR="00DB3EBF" w:rsidRDefault="00DB3EBF" w:rsidP="00A17663">
            <w:pPr>
              <w:spacing w:before="120" w:after="120"/>
              <w:rPr>
                <w:sz w:val="18"/>
                <w:szCs w:val="18"/>
              </w:rPr>
            </w:pPr>
            <w:r>
              <w:rPr>
                <w:sz w:val="18"/>
                <w:szCs w:val="18"/>
              </w:rPr>
              <w:t xml:space="preserve">Recovery of CFC-11 is only applicable when insulation foam products are collected, and the CFC-11 is reclaimed. </w:t>
            </w:r>
            <w:r w:rsidR="008A6653">
              <w:rPr>
                <w:sz w:val="18"/>
                <w:szCs w:val="18"/>
              </w:rPr>
              <w:t xml:space="preserve">Disposal </w:t>
            </w:r>
            <w:r>
              <w:rPr>
                <w:sz w:val="18"/>
                <w:szCs w:val="18"/>
              </w:rPr>
              <w:t>by destruction or disposal to landfill necessitates that CFC-11 is either destroyed or becomes inaccessible through landfill disposal of the product.</w:t>
            </w:r>
          </w:p>
        </w:tc>
        <w:tc>
          <w:tcPr>
            <w:tcW w:w="2127" w:type="dxa"/>
          </w:tcPr>
          <w:p w14:paraId="6E4666D8" w14:textId="2A712005" w:rsidR="00DB3EBF" w:rsidRPr="003A2CCF" w:rsidRDefault="00DB3EBF" w:rsidP="00A17663">
            <w:pPr>
              <w:spacing w:before="120" w:after="120"/>
              <w:rPr>
                <w:sz w:val="18"/>
                <w:szCs w:val="18"/>
              </w:rPr>
            </w:pPr>
            <w:r>
              <w:rPr>
                <w:sz w:val="18"/>
                <w:szCs w:val="18"/>
              </w:rPr>
              <w:t xml:space="preserve">Insulation foams remain installed for an extended period of time. During building demolition, foam products are either: segregated, collected and reclaimed or destroyed; or disposed to landfill where the foam becomes inaccessible. </w:t>
            </w:r>
          </w:p>
        </w:tc>
      </w:tr>
      <w:tr w:rsidR="00DB3EBF" w:rsidRPr="003A2CCF" w14:paraId="2D7AEE5A" w14:textId="2C389F1F" w:rsidTr="00D74BA5">
        <w:trPr>
          <w:cantSplit/>
          <w:trHeight w:val="831"/>
        </w:trPr>
        <w:tc>
          <w:tcPr>
            <w:tcW w:w="1531" w:type="dxa"/>
          </w:tcPr>
          <w:p w14:paraId="4D175AB7" w14:textId="77777777" w:rsidR="00DB3EBF" w:rsidRPr="003A2CCF" w:rsidRDefault="00DB3EBF" w:rsidP="00A17663">
            <w:pPr>
              <w:spacing w:before="120" w:after="120"/>
              <w:rPr>
                <w:sz w:val="18"/>
                <w:szCs w:val="18"/>
              </w:rPr>
            </w:pPr>
            <w:r w:rsidRPr="003A2CCF">
              <w:rPr>
                <w:sz w:val="18"/>
                <w:szCs w:val="18"/>
              </w:rPr>
              <w:lastRenderedPageBreak/>
              <w:t>Flexible Polyurethane</w:t>
            </w:r>
            <w:r w:rsidRPr="003A2CCF">
              <w:rPr>
                <w:sz w:val="18"/>
                <w:szCs w:val="18"/>
              </w:rPr>
              <w:br/>
              <w:t xml:space="preserve">(Open Cell) </w:t>
            </w:r>
          </w:p>
        </w:tc>
        <w:tc>
          <w:tcPr>
            <w:tcW w:w="2127" w:type="dxa"/>
          </w:tcPr>
          <w:p w14:paraId="2B0CE26F" w14:textId="77777777" w:rsidR="00DB3EBF" w:rsidRDefault="00DB3EBF" w:rsidP="00A17663">
            <w:pPr>
              <w:spacing w:before="120" w:after="120"/>
              <w:rPr>
                <w:sz w:val="18"/>
                <w:szCs w:val="18"/>
              </w:rPr>
            </w:pPr>
            <w:r w:rsidRPr="003A2CCF">
              <w:rPr>
                <w:sz w:val="18"/>
                <w:szCs w:val="18"/>
              </w:rPr>
              <w:t>Furniture and bedding foam</w:t>
            </w:r>
            <w:r>
              <w:rPr>
                <w:sz w:val="18"/>
                <w:szCs w:val="18"/>
              </w:rPr>
              <w:t>.</w:t>
            </w:r>
          </w:p>
          <w:p w14:paraId="13FFF0D4" w14:textId="28578B86" w:rsidR="00DB3EBF" w:rsidRPr="003A2CCF" w:rsidRDefault="00DB3EBF" w:rsidP="00A17663">
            <w:pPr>
              <w:spacing w:before="120" w:after="120"/>
              <w:rPr>
                <w:sz w:val="18"/>
                <w:szCs w:val="18"/>
              </w:rPr>
            </w:pPr>
            <w:r>
              <w:rPr>
                <w:sz w:val="18"/>
                <w:szCs w:val="18"/>
              </w:rPr>
              <w:t>Polyol/blowing agent mixtures, that are the raw materials for foam production, also contain CFC-11.</w:t>
            </w:r>
          </w:p>
        </w:tc>
        <w:tc>
          <w:tcPr>
            <w:tcW w:w="2127" w:type="dxa"/>
          </w:tcPr>
          <w:p w14:paraId="5CC6C064" w14:textId="7D780D06" w:rsidR="00DB3EBF" w:rsidRPr="003A2CCF" w:rsidRDefault="00DB3EBF" w:rsidP="00A17663">
            <w:pPr>
              <w:spacing w:before="120" w:after="120"/>
              <w:rPr>
                <w:sz w:val="18"/>
                <w:szCs w:val="18"/>
              </w:rPr>
            </w:pPr>
            <w:r w:rsidRPr="003A2CCF">
              <w:rPr>
                <w:sz w:val="18"/>
                <w:szCs w:val="18"/>
              </w:rPr>
              <w:t>Auxiliary blowing agent</w:t>
            </w:r>
          </w:p>
        </w:tc>
        <w:tc>
          <w:tcPr>
            <w:tcW w:w="2127" w:type="dxa"/>
          </w:tcPr>
          <w:p w14:paraId="4FCFB231" w14:textId="603ED511" w:rsidR="00DB3EBF" w:rsidRPr="003A2CCF" w:rsidRDefault="00DB3EBF" w:rsidP="00A17663">
            <w:pPr>
              <w:spacing w:before="120" w:after="120"/>
              <w:rPr>
                <w:sz w:val="18"/>
                <w:szCs w:val="18"/>
              </w:rPr>
            </w:pPr>
            <w:r w:rsidRPr="003A2CCF">
              <w:rPr>
                <w:sz w:val="18"/>
                <w:szCs w:val="18"/>
              </w:rPr>
              <w:t>CFC-11 emissions occur at time of production.</w:t>
            </w:r>
            <w:r>
              <w:rPr>
                <w:sz w:val="18"/>
                <w:szCs w:val="18"/>
              </w:rPr>
              <w:t xml:space="preserve"> </w:t>
            </w:r>
          </w:p>
        </w:tc>
        <w:tc>
          <w:tcPr>
            <w:tcW w:w="2127" w:type="dxa"/>
          </w:tcPr>
          <w:p w14:paraId="00B372D0" w14:textId="642B65BE" w:rsidR="00DB3EBF" w:rsidRPr="003A2CCF" w:rsidRDefault="00DB3EBF" w:rsidP="00A17663">
            <w:pPr>
              <w:spacing w:before="120" w:after="120"/>
              <w:rPr>
                <w:sz w:val="18"/>
                <w:szCs w:val="18"/>
              </w:rPr>
            </w:pPr>
            <w:r>
              <w:rPr>
                <w:sz w:val="18"/>
                <w:szCs w:val="18"/>
              </w:rPr>
              <w:t>Field detection of CFC-11 in the drum headspace of polyol/blowing agent mixture, can occur by</w:t>
            </w:r>
            <w:r w:rsidR="00D042C5">
              <w:rPr>
                <w:sz w:val="18"/>
                <w:szCs w:val="18"/>
              </w:rPr>
              <w:t xml:space="preserve"> using a portable detector set up to identify CFC-11.</w:t>
            </w:r>
          </w:p>
        </w:tc>
        <w:tc>
          <w:tcPr>
            <w:tcW w:w="2127" w:type="dxa"/>
          </w:tcPr>
          <w:p w14:paraId="13ECCBC0" w14:textId="71F76FF8" w:rsidR="00DB3EBF" w:rsidRDefault="00DB3EBF" w:rsidP="00A17663">
            <w:pPr>
              <w:spacing w:before="120" w:after="120"/>
              <w:rPr>
                <w:sz w:val="18"/>
                <w:szCs w:val="18"/>
              </w:rPr>
            </w:pPr>
            <w:r>
              <w:rPr>
                <w:sz w:val="18"/>
                <w:szCs w:val="18"/>
              </w:rPr>
              <w:t xml:space="preserve">Recovery of CFC-11 is not applicable because CFC-11 does not remain in the product. </w:t>
            </w:r>
          </w:p>
        </w:tc>
        <w:tc>
          <w:tcPr>
            <w:tcW w:w="2127" w:type="dxa"/>
          </w:tcPr>
          <w:p w14:paraId="6DF3D0EC" w14:textId="22FE6170" w:rsidR="00DB3EBF" w:rsidRPr="003A2CCF" w:rsidRDefault="00DB3EBF" w:rsidP="00A17663">
            <w:pPr>
              <w:spacing w:before="120" w:after="120"/>
              <w:rPr>
                <w:sz w:val="18"/>
                <w:szCs w:val="18"/>
              </w:rPr>
            </w:pPr>
            <w:r>
              <w:rPr>
                <w:sz w:val="18"/>
                <w:szCs w:val="18"/>
              </w:rPr>
              <w:t>CFC-11 does not remain in the product.</w:t>
            </w:r>
          </w:p>
        </w:tc>
      </w:tr>
      <w:tr w:rsidR="00DB3EBF" w:rsidRPr="003A2CCF" w14:paraId="7EEA7A5F" w14:textId="77777777" w:rsidTr="00DB3EBF">
        <w:trPr>
          <w:trHeight w:val="953"/>
        </w:trPr>
        <w:tc>
          <w:tcPr>
            <w:tcW w:w="1531" w:type="dxa"/>
          </w:tcPr>
          <w:p w14:paraId="734D9533" w14:textId="2AE89D99" w:rsidR="00DB3EBF" w:rsidRPr="003A2CCF" w:rsidRDefault="00DB3EBF" w:rsidP="00A17663">
            <w:pPr>
              <w:spacing w:before="120" w:after="120"/>
              <w:rPr>
                <w:sz w:val="18"/>
                <w:szCs w:val="18"/>
              </w:rPr>
            </w:pPr>
            <w:r>
              <w:rPr>
                <w:sz w:val="18"/>
                <w:szCs w:val="18"/>
              </w:rPr>
              <w:t>Polyurethane Elastomers</w:t>
            </w:r>
            <w:r>
              <w:rPr>
                <w:sz w:val="18"/>
                <w:szCs w:val="18"/>
              </w:rPr>
              <w:br/>
              <w:t>(Flexible Integral Skin)</w:t>
            </w:r>
          </w:p>
        </w:tc>
        <w:tc>
          <w:tcPr>
            <w:tcW w:w="2127" w:type="dxa"/>
          </w:tcPr>
          <w:p w14:paraId="0261C01D" w14:textId="0917A706" w:rsidR="00DB3EBF" w:rsidRPr="003A2CCF" w:rsidRDefault="00DB3EBF" w:rsidP="00A17663">
            <w:pPr>
              <w:spacing w:before="120" w:after="120"/>
              <w:rPr>
                <w:sz w:val="18"/>
                <w:szCs w:val="18"/>
              </w:rPr>
            </w:pPr>
            <w:r>
              <w:rPr>
                <w:sz w:val="18"/>
                <w:szCs w:val="18"/>
              </w:rPr>
              <w:t>S</w:t>
            </w:r>
            <w:r w:rsidRPr="00D47894">
              <w:rPr>
                <w:sz w:val="18"/>
                <w:szCs w:val="18"/>
              </w:rPr>
              <w:t>hoe soles, furniture mouldings</w:t>
            </w:r>
            <w:r>
              <w:rPr>
                <w:sz w:val="18"/>
                <w:szCs w:val="18"/>
              </w:rPr>
              <w:t xml:space="preserve">, </w:t>
            </w:r>
            <w:r w:rsidRPr="00D47894">
              <w:rPr>
                <w:sz w:val="18"/>
                <w:szCs w:val="18"/>
              </w:rPr>
              <w:t>automotive fascia and steering wheels</w:t>
            </w:r>
          </w:p>
        </w:tc>
        <w:tc>
          <w:tcPr>
            <w:tcW w:w="2127" w:type="dxa"/>
          </w:tcPr>
          <w:p w14:paraId="7B13D24D" w14:textId="209E450B" w:rsidR="00DB3EBF" w:rsidRPr="003A2CCF" w:rsidRDefault="00DB3EBF" w:rsidP="00A17663">
            <w:pPr>
              <w:spacing w:before="120" w:after="120"/>
              <w:rPr>
                <w:sz w:val="18"/>
                <w:szCs w:val="18"/>
              </w:rPr>
            </w:pPr>
            <w:r>
              <w:rPr>
                <w:sz w:val="18"/>
                <w:szCs w:val="18"/>
              </w:rPr>
              <w:t>Blowing agent</w:t>
            </w:r>
          </w:p>
        </w:tc>
        <w:tc>
          <w:tcPr>
            <w:tcW w:w="2127" w:type="dxa"/>
          </w:tcPr>
          <w:p w14:paraId="4277D5E7" w14:textId="37486EF1" w:rsidR="00DB3EBF" w:rsidRPr="003A2CCF" w:rsidRDefault="00DB3EBF" w:rsidP="00A17663">
            <w:pPr>
              <w:spacing w:before="120" w:after="120"/>
              <w:rPr>
                <w:sz w:val="18"/>
                <w:szCs w:val="18"/>
              </w:rPr>
            </w:pPr>
            <w:r w:rsidRPr="003A2CCF">
              <w:rPr>
                <w:sz w:val="18"/>
                <w:szCs w:val="18"/>
              </w:rPr>
              <w:t xml:space="preserve">CFC-11 emissions </w:t>
            </w:r>
            <w:r>
              <w:rPr>
                <w:sz w:val="18"/>
                <w:szCs w:val="18"/>
              </w:rPr>
              <w:t xml:space="preserve">mostly </w:t>
            </w:r>
            <w:r w:rsidRPr="003A2CCF">
              <w:rPr>
                <w:sz w:val="18"/>
                <w:szCs w:val="18"/>
              </w:rPr>
              <w:t>occur at time of production.</w:t>
            </w:r>
          </w:p>
        </w:tc>
        <w:tc>
          <w:tcPr>
            <w:tcW w:w="2127" w:type="dxa"/>
          </w:tcPr>
          <w:p w14:paraId="0A55C820" w14:textId="351F7DB6" w:rsidR="00DB3EBF" w:rsidRDefault="00DB3EBF" w:rsidP="00A17663">
            <w:pPr>
              <w:spacing w:before="120" w:after="120"/>
              <w:rPr>
                <w:sz w:val="18"/>
                <w:szCs w:val="18"/>
              </w:rPr>
            </w:pPr>
            <w:r>
              <w:rPr>
                <w:sz w:val="18"/>
                <w:szCs w:val="18"/>
              </w:rPr>
              <w:t>Field detection of CFC-11 in the drum headspace of polyol/blowing agent mixture, can occur by</w:t>
            </w:r>
            <w:r w:rsidR="00D042C5">
              <w:rPr>
                <w:sz w:val="18"/>
                <w:szCs w:val="18"/>
              </w:rPr>
              <w:t xml:space="preserve"> using a portable </w:t>
            </w:r>
            <w:r w:rsidR="00F12963">
              <w:rPr>
                <w:sz w:val="18"/>
                <w:szCs w:val="18"/>
              </w:rPr>
              <w:t>analyser</w:t>
            </w:r>
            <w:r w:rsidR="00D042C5">
              <w:rPr>
                <w:sz w:val="18"/>
                <w:szCs w:val="18"/>
              </w:rPr>
              <w:t xml:space="preserve"> set up to identify CFC-11.</w:t>
            </w:r>
          </w:p>
        </w:tc>
        <w:tc>
          <w:tcPr>
            <w:tcW w:w="2127" w:type="dxa"/>
          </w:tcPr>
          <w:p w14:paraId="392AE35F" w14:textId="73D9CBB2" w:rsidR="00DB3EBF" w:rsidRDefault="00DB3EBF" w:rsidP="00A17663">
            <w:pPr>
              <w:spacing w:before="120" w:after="120"/>
              <w:rPr>
                <w:sz w:val="18"/>
                <w:szCs w:val="18"/>
              </w:rPr>
            </w:pPr>
            <w:r>
              <w:rPr>
                <w:sz w:val="18"/>
                <w:szCs w:val="18"/>
              </w:rPr>
              <w:t xml:space="preserve">Recovery of CFC-11 is not applicable because CFC-11 does not remain in the product at </w:t>
            </w:r>
            <w:r w:rsidR="00D10041">
              <w:rPr>
                <w:sz w:val="18"/>
                <w:szCs w:val="18"/>
              </w:rPr>
              <w:t>end-of-life</w:t>
            </w:r>
            <w:r>
              <w:rPr>
                <w:sz w:val="18"/>
                <w:szCs w:val="18"/>
              </w:rPr>
              <w:t>.</w:t>
            </w:r>
          </w:p>
        </w:tc>
        <w:tc>
          <w:tcPr>
            <w:tcW w:w="2127" w:type="dxa"/>
          </w:tcPr>
          <w:p w14:paraId="17EB38DD" w14:textId="72015BC7" w:rsidR="00DB3EBF" w:rsidRDefault="00DB3EBF" w:rsidP="00A17663">
            <w:pPr>
              <w:spacing w:before="120" w:after="120"/>
              <w:rPr>
                <w:sz w:val="18"/>
                <w:szCs w:val="18"/>
              </w:rPr>
            </w:pPr>
            <w:r>
              <w:rPr>
                <w:sz w:val="18"/>
                <w:szCs w:val="18"/>
              </w:rPr>
              <w:t>CFC-11 does not remain in the product after 1 or 2 years.</w:t>
            </w:r>
          </w:p>
        </w:tc>
      </w:tr>
    </w:tbl>
    <w:p w14:paraId="28452460" w14:textId="77777777" w:rsidR="00EE6E61" w:rsidRDefault="00EE6E61" w:rsidP="53E091E7">
      <w:pPr>
        <w:rPr>
          <w:szCs w:val="22"/>
        </w:rPr>
      </w:pPr>
    </w:p>
    <w:p w14:paraId="41B04DFB" w14:textId="77777777" w:rsidR="00C56703" w:rsidRDefault="00C56703" w:rsidP="53E091E7">
      <w:pPr>
        <w:rPr>
          <w:szCs w:val="22"/>
        </w:rPr>
        <w:sectPr w:rsidR="00C56703" w:rsidSect="00AB1F94">
          <w:pgSz w:w="16839" w:h="11907" w:orient="landscape" w:code="9"/>
          <w:pgMar w:top="1260" w:right="1872" w:bottom="1800" w:left="1699" w:header="720" w:footer="792" w:gutter="0"/>
          <w:cols w:space="720"/>
          <w:docGrid w:linePitch="299"/>
        </w:sectPr>
      </w:pPr>
    </w:p>
    <w:p w14:paraId="412DBBDE" w14:textId="6055988C" w:rsidR="00B41624" w:rsidRDefault="00640D93" w:rsidP="00751ECE">
      <w:pPr>
        <w:pStyle w:val="Heading3"/>
      </w:pPr>
      <w:bookmarkStart w:id="171" w:name="_Toc73045628"/>
      <w:r>
        <w:lastRenderedPageBreak/>
        <w:t>5.1.</w:t>
      </w:r>
      <w:r w:rsidR="009D29EC">
        <w:t>1</w:t>
      </w:r>
      <w:r>
        <w:tab/>
      </w:r>
      <w:r w:rsidR="00910829">
        <w:t>Methods to d</w:t>
      </w:r>
      <w:r w:rsidR="00B41624">
        <w:t xml:space="preserve">etect CFC-11 </w:t>
      </w:r>
      <w:r w:rsidR="00673C8A">
        <w:t xml:space="preserve">in </w:t>
      </w:r>
      <w:r w:rsidR="00B41624">
        <w:t>foam products</w:t>
      </w:r>
      <w:bookmarkEnd w:id="171"/>
    </w:p>
    <w:p w14:paraId="06D0DDEA" w14:textId="4A14BCBE" w:rsidR="009B087C" w:rsidRDefault="009B087C" w:rsidP="00B41624">
      <w:pPr>
        <w:rPr>
          <w:szCs w:val="22"/>
        </w:rPr>
      </w:pPr>
      <w:r>
        <w:rPr>
          <w:szCs w:val="22"/>
        </w:rPr>
        <w:t xml:space="preserve">Field detection of CFC-11 in foam products, </w:t>
      </w:r>
      <w:r w:rsidR="0029409D">
        <w:rPr>
          <w:szCs w:val="22"/>
        </w:rPr>
        <w:t>i.e.</w:t>
      </w:r>
      <w:r>
        <w:rPr>
          <w:szCs w:val="22"/>
        </w:rPr>
        <w:t xml:space="preserve">, </w:t>
      </w:r>
      <w:r w:rsidR="005E321B" w:rsidRPr="005E321B">
        <w:rPr>
          <w:szCs w:val="22"/>
        </w:rPr>
        <w:t xml:space="preserve">in the drum headspace of </w:t>
      </w:r>
      <w:r w:rsidR="00B14808">
        <w:rPr>
          <w:szCs w:val="22"/>
        </w:rPr>
        <w:t xml:space="preserve">a </w:t>
      </w:r>
      <w:r w:rsidR="005E321B" w:rsidRPr="005E321B">
        <w:rPr>
          <w:szCs w:val="22"/>
        </w:rPr>
        <w:t xml:space="preserve">polyol/blowing agent mixture, </w:t>
      </w:r>
      <w:r w:rsidR="00252E2B" w:rsidRPr="005E321B">
        <w:rPr>
          <w:szCs w:val="22"/>
        </w:rPr>
        <w:t>can occur by</w:t>
      </w:r>
      <w:r w:rsidR="00252E2B" w:rsidRPr="00D042C5">
        <w:t xml:space="preserve"> </w:t>
      </w:r>
      <w:r w:rsidR="00252E2B" w:rsidRPr="00D042C5">
        <w:rPr>
          <w:szCs w:val="22"/>
        </w:rPr>
        <w:t xml:space="preserve">using a portable </w:t>
      </w:r>
      <w:r w:rsidR="00252E2B">
        <w:rPr>
          <w:szCs w:val="22"/>
        </w:rPr>
        <w:t xml:space="preserve">analyser </w:t>
      </w:r>
      <w:r w:rsidR="00252E2B" w:rsidRPr="00964029">
        <w:rPr>
          <w:szCs w:val="22"/>
        </w:rPr>
        <w:t xml:space="preserve">configured </w:t>
      </w:r>
      <w:r w:rsidR="00252E2B">
        <w:rPr>
          <w:szCs w:val="22"/>
        </w:rPr>
        <w:t>to identify</w:t>
      </w:r>
      <w:r w:rsidR="00252E2B" w:rsidRPr="00964029">
        <w:rPr>
          <w:szCs w:val="22"/>
        </w:rPr>
        <w:t xml:space="preserve"> CFC-11</w:t>
      </w:r>
      <w:r w:rsidR="00D042C5" w:rsidRPr="00D042C5">
        <w:rPr>
          <w:szCs w:val="22"/>
        </w:rPr>
        <w:t>.</w:t>
      </w:r>
      <w:r w:rsidR="00316757">
        <w:rPr>
          <w:szCs w:val="22"/>
        </w:rPr>
        <w:t xml:space="preserve"> </w:t>
      </w:r>
      <w:r w:rsidR="00EB1415">
        <w:rPr>
          <w:szCs w:val="22"/>
        </w:rPr>
        <w:t xml:space="preserve">A simple halogen detector can also determine the presence of </w:t>
      </w:r>
      <w:r w:rsidR="00D40FBA">
        <w:rPr>
          <w:szCs w:val="22"/>
        </w:rPr>
        <w:t xml:space="preserve">halogen present in CFCs, HCFCs, </w:t>
      </w:r>
      <w:r w:rsidR="005E3E96">
        <w:rPr>
          <w:szCs w:val="22"/>
        </w:rPr>
        <w:t xml:space="preserve">or HFCs, however further analysis would be needed </w:t>
      </w:r>
      <w:r w:rsidR="00D95C08">
        <w:rPr>
          <w:szCs w:val="22"/>
        </w:rPr>
        <w:t>for specific identification of CFC-11.</w:t>
      </w:r>
    </w:p>
    <w:p w14:paraId="7E225C68" w14:textId="7698D97F" w:rsidR="002C7666" w:rsidRDefault="00354799" w:rsidP="00B41624">
      <w:pPr>
        <w:rPr>
          <w:szCs w:val="22"/>
        </w:rPr>
      </w:pPr>
      <w:r>
        <w:rPr>
          <w:szCs w:val="22"/>
        </w:rPr>
        <w:t xml:space="preserve">Laboratory methods are well suited to the qualitative identification of CFC-11 in samples of foam products. </w:t>
      </w:r>
      <w:r w:rsidR="00A030EB" w:rsidRPr="00A030EB">
        <w:rPr>
          <w:szCs w:val="22"/>
        </w:rPr>
        <w:t>Laboratory detection of CFC-11 in foam products occurs by sampling the product and conducting a</w:t>
      </w:r>
      <w:r w:rsidR="00A030EB">
        <w:rPr>
          <w:szCs w:val="22"/>
        </w:rPr>
        <w:t xml:space="preserve"> qualitative </w:t>
      </w:r>
      <w:r w:rsidR="00E53C6A">
        <w:rPr>
          <w:szCs w:val="22"/>
        </w:rPr>
        <w:t xml:space="preserve">or quantitative </w:t>
      </w:r>
      <w:r w:rsidR="00A030EB">
        <w:rPr>
          <w:szCs w:val="22"/>
        </w:rPr>
        <w:t>chemical</w:t>
      </w:r>
      <w:r w:rsidR="00A030EB" w:rsidRPr="00A030EB">
        <w:rPr>
          <w:szCs w:val="22"/>
        </w:rPr>
        <w:t xml:space="preserve"> analysis using </w:t>
      </w:r>
      <w:r w:rsidR="00E53C6A">
        <w:rPr>
          <w:szCs w:val="22"/>
        </w:rPr>
        <w:t xml:space="preserve">Gas Chromatography </w:t>
      </w:r>
      <w:r w:rsidR="001B113D">
        <w:rPr>
          <w:szCs w:val="22"/>
        </w:rPr>
        <w:t xml:space="preserve">(GC) </w:t>
      </w:r>
      <w:r w:rsidR="001460C0">
        <w:rPr>
          <w:szCs w:val="22"/>
        </w:rPr>
        <w:t xml:space="preserve">or </w:t>
      </w:r>
      <w:r w:rsidR="00A030EB" w:rsidRPr="00A030EB">
        <w:rPr>
          <w:szCs w:val="22"/>
        </w:rPr>
        <w:t>Gas Chromatography/Mass Spectrometry</w:t>
      </w:r>
      <w:r w:rsidR="008C169F">
        <w:rPr>
          <w:szCs w:val="22"/>
        </w:rPr>
        <w:t xml:space="preserve"> </w:t>
      </w:r>
      <w:r w:rsidR="008D6CAD" w:rsidRPr="00A030EB">
        <w:rPr>
          <w:szCs w:val="22"/>
        </w:rPr>
        <w:t>(GC/MS)</w:t>
      </w:r>
      <w:r w:rsidR="00A030EB">
        <w:rPr>
          <w:szCs w:val="22"/>
        </w:rPr>
        <w:t>.</w:t>
      </w:r>
      <w:r w:rsidR="00746F20">
        <w:rPr>
          <w:szCs w:val="22"/>
        </w:rPr>
        <w:t xml:space="preserve"> </w:t>
      </w:r>
      <w:r w:rsidR="00BF060B">
        <w:rPr>
          <w:szCs w:val="22"/>
        </w:rPr>
        <w:t>For</w:t>
      </w:r>
      <w:r w:rsidR="00911B32">
        <w:rPr>
          <w:szCs w:val="22"/>
        </w:rPr>
        <w:t xml:space="preserve"> qualitative analysis, a</w:t>
      </w:r>
      <w:r w:rsidR="002C7666">
        <w:rPr>
          <w:szCs w:val="22"/>
        </w:rPr>
        <w:t xml:space="preserve"> foam sample is crushed in a gas-tight syringe </w:t>
      </w:r>
      <w:r w:rsidR="00911B32">
        <w:rPr>
          <w:szCs w:val="22"/>
        </w:rPr>
        <w:t xml:space="preserve">and the cell gas is </w:t>
      </w:r>
      <w:r w:rsidR="002C7666">
        <w:rPr>
          <w:szCs w:val="22"/>
        </w:rPr>
        <w:t>inject</w:t>
      </w:r>
      <w:r w:rsidR="00911B32">
        <w:rPr>
          <w:szCs w:val="22"/>
        </w:rPr>
        <w:t>ed</w:t>
      </w:r>
      <w:r w:rsidR="002C7666">
        <w:rPr>
          <w:szCs w:val="22"/>
        </w:rPr>
        <w:t xml:space="preserve"> into the GC.</w:t>
      </w:r>
      <w:r w:rsidR="00914B7F">
        <w:rPr>
          <w:szCs w:val="22"/>
        </w:rPr>
        <w:t xml:space="preserve"> This </w:t>
      </w:r>
      <w:r w:rsidR="00AA2E21">
        <w:rPr>
          <w:szCs w:val="22"/>
        </w:rPr>
        <w:t xml:space="preserve">qualitative </w:t>
      </w:r>
      <w:r w:rsidR="00E05408">
        <w:rPr>
          <w:szCs w:val="22"/>
        </w:rPr>
        <w:t>method will</w:t>
      </w:r>
      <w:r w:rsidR="00004A23">
        <w:rPr>
          <w:szCs w:val="22"/>
        </w:rPr>
        <w:t xml:space="preserve"> measure </w:t>
      </w:r>
      <w:r w:rsidR="00C07622">
        <w:rPr>
          <w:szCs w:val="22"/>
        </w:rPr>
        <w:t>blowing agent in the foam cells but</w:t>
      </w:r>
      <w:r w:rsidR="00914B7F">
        <w:rPr>
          <w:szCs w:val="22"/>
        </w:rPr>
        <w:t xml:space="preserve"> not</w:t>
      </w:r>
      <w:r w:rsidR="00181410">
        <w:rPr>
          <w:szCs w:val="22"/>
        </w:rPr>
        <w:t xml:space="preserve"> </w:t>
      </w:r>
      <w:r w:rsidR="00C36062">
        <w:rPr>
          <w:szCs w:val="22"/>
        </w:rPr>
        <w:t xml:space="preserve">the </w:t>
      </w:r>
      <w:r w:rsidR="00F81D74">
        <w:rPr>
          <w:szCs w:val="22"/>
        </w:rPr>
        <w:t>blowing agent dissolved in the foam polymer.</w:t>
      </w:r>
    </w:p>
    <w:p w14:paraId="128D0759" w14:textId="6B2ED15A" w:rsidR="00B41624" w:rsidRDefault="008C169F" w:rsidP="00B41624">
      <w:pPr>
        <w:rPr>
          <w:szCs w:val="22"/>
        </w:rPr>
      </w:pPr>
      <w:r>
        <w:rPr>
          <w:szCs w:val="22"/>
        </w:rPr>
        <w:t>G</w:t>
      </w:r>
      <w:r w:rsidR="00B0139C">
        <w:rPr>
          <w:szCs w:val="22"/>
        </w:rPr>
        <w:t>C</w:t>
      </w:r>
      <w:r w:rsidR="00A030EB" w:rsidRPr="00A030EB">
        <w:rPr>
          <w:szCs w:val="22"/>
        </w:rPr>
        <w:t xml:space="preserve"> separates </w:t>
      </w:r>
      <w:r w:rsidR="00666D1E">
        <w:rPr>
          <w:szCs w:val="22"/>
        </w:rPr>
        <w:t>a</w:t>
      </w:r>
      <w:r w:rsidR="00746F20">
        <w:rPr>
          <w:szCs w:val="22"/>
        </w:rPr>
        <w:t xml:space="preserve"> </w:t>
      </w:r>
      <w:r w:rsidR="00A030EB" w:rsidRPr="00A030EB">
        <w:rPr>
          <w:szCs w:val="22"/>
        </w:rPr>
        <w:t>chemical mixture</w:t>
      </w:r>
      <w:r>
        <w:rPr>
          <w:szCs w:val="22"/>
        </w:rPr>
        <w:t xml:space="preserve"> into its com</w:t>
      </w:r>
      <w:r w:rsidR="00666D1E">
        <w:rPr>
          <w:szCs w:val="22"/>
        </w:rPr>
        <w:t>ponent chemicals</w:t>
      </w:r>
      <w:r w:rsidR="00A030EB" w:rsidRPr="00A030EB">
        <w:rPr>
          <w:szCs w:val="22"/>
        </w:rPr>
        <w:t xml:space="preserve"> (the GC component)</w:t>
      </w:r>
      <w:r w:rsidR="00833387">
        <w:rPr>
          <w:szCs w:val="22"/>
        </w:rPr>
        <w:t xml:space="preserve">. </w:t>
      </w:r>
      <w:r w:rsidR="00474D84">
        <w:rPr>
          <w:szCs w:val="22"/>
        </w:rPr>
        <w:t xml:space="preserve">Calibration </w:t>
      </w:r>
      <w:r w:rsidR="000B2ACE">
        <w:rPr>
          <w:szCs w:val="22"/>
        </w:rPr>
        <w:t>with</w:t>
      </w:r>
      <w:r w:rsidR="00474D84">
        <w:rPr>
          <w:szCs w:val="22"/>
        </w:rPr>
        <w:t xml:space="preserve"> </w:t>
      </w:r>
      <w:r w:rsidR="00AC5318">
        <w:rPr>
          <w:szCs w:val="22"/>
        </w:rPr>
        <w:t xml:space="preserve">internal </w:t>
      </w:r>
      <w:r w:rsidR="00474D84">
        <w:rPr>
          <w:szCs w:val="22"/>
        </w:rPr>
        <w:t xml:space="preserve">standards allows </w:t>
      </w:r>
      <w:r w:rsidR="000B2ACE">
        <w:rPr>
          <w:szCs w:val="22"/>
        </w:rPr>
        <w:t xml:space="preserve">chemical </w:t>
      </w:r>
      <w:r w:rsidR="00AC5318">
        <w:rPr>
          <w:szCs w:val="22"/>
        </w:rPr>
        <w:t>components</w:t>
      </w:r>
      <w:r w:rsidR="000B2ACE">
        <w:rPr>
          <w:szCs w:val="22"/>
        </w:rPr>
        <w:t xml:space="preserve"> to be identified </w:t>
      </w:r>
      <w:r w:rsidR="00E930D7">
        <w:rPr>
          <w:szCs w:val="22"/>
        </w:rPr>
        <w:t xml:space="preserve">qualitatively </w:t>
      </w:r>
      <w:r w:rsidR="000B2ACE">
        <w:rPr>
          <w:szCs w:val="22"/>
        </w:rPr>
        <w:t>and</w:t>
      </w:r>
      <w:r w:rsidR="00E930D7">
        <w:rPr>
          <w:szCs w:val="22"/>
        </w:rPr>
        <w:t>/or</w:t>
      </w:r>
      <w:r w:rsidR="000B2ACE">
        <w:rPr>
          <w:szCs w:val="22"/>
        </w:rPr>
        <w:t xml:space="preserve"> quanti</w:t>
      </w:r>
      <w:r w:rsidR="00E930D7">
        <w:rPr>
          <w:szCs w:val="22"/>
        </w:rPr>
        <w:t>tatively</w:t>
      </w:r>
      <w:r w:rsidR="000B2ACE">
        <w:rPr>
          <w:szCs w:val="22"/>
        </w:rPr>
        <w:t xml:space="preserve">. </w:t>
      </w:r>
      <w:r w:rsidR="00833387">
        <w:rPr>
          <w:szCs w:val="22"/>
        </w:rPr>
        <w:t>The MS component</w:t>
      </w:r>
      <w:r w:rsidR="00A030EB" w:rsidRPr="00A030EB">
        <w:rPr>
          <w:szCs w:val="22"/>
        </w:rPr>
        <w:t xml:space="preserve"> </w:t>
      </w:r>
      <w:r w:rsidR="00AC5318">
        <w:rPr>
          <w:szCs w:val="22"/>
        </w:rPr>
        <w:t xml:space="preserve">further </w:t>
      </w:r>
      <w:r w:rsidR="00A030EB" w:rsidRPr="00A030EB">
        <w:rPr>
          <w:szCs w:val="22"/>
        </w:rPr>
        <w:t xml:space="preserve">identifies the </w:t>
      </w:r>
      <w:r w:rsidR="00666D1E">
        <w:rPr>
          <w:szCs w:val="22"/>
        </w:rPr>
        <w:t xml:space="preserve">chemical </w:t>
      </w:r>
      <w:r w:rsidR="00A030EB" w:rsidRPr="00A030EB">
        <w:rPr>
          <w:szCs w:val="22"/>
        </w:rPr>
        <w:t xml:space="preserve">components at a molecular level (the MS component). </w:t>
      </w:r>
      <w:r w:rsidR="00C85C55">
        <w:rPr>
          <w:szCs w:val="22"/>
        </w:rPr>
        <w:t>GC and GC/MS are</w:t>
      </w:r>
      <w:r w:rsidR="00A030EB" w:rsidRPr="00A030EB">
        <w:rPr>
          <w:szCs w:val="22"/>
        </w:rPr>
        <w:t xml:space="preserve"> </w:t>
      </w:r>
      <w:r w:rsidR="00C85C55">
        <w:rPr>
          <w:szCs w:val="22"/>
        </w:rPr>
        <w:t>accurate and reliable</w:t>
      </w:r>
      <w:r w:rsidR="00A030EB" w:rsidRPr="00A030EB">
        <w:rPr>
          <w:szCs w:val="22"/>
        </w:rPr>
        <w:t xml:space="preserve"> </w:t>
      </w:r>
      <w:r w:rsidR="00EF47B2">
        <w:rPr>
          <w:szCs w:val="22"/>
        </w:rPr>
        <w:t>method</w:t>
      </w:r>
      <w:r w:rsidR="00C85C55">
        <w:rPr>
          <w:szCs w:val="22"/>
        </w:rPr>
        <w:t>s</w:t>
      </w:r>
      <w:r w:rsidR="00A030EB" w:rsidRPr="00A030EB">
        <w:rPr>
          <w:szCs w:val="22"/>
        </w:rPr>
        <w:t xml:space="preserve"> for analy</w:t>
      </w:r>
      <w:r w:rsidR="00B11EB2">
        <w:rPr>
          <w:szCs w:val="22"/>
        </w:rPr>
        <w:t>s</w:t>
      </w:r>
      <w:r w:rsidR="00A030EB" w:rsidRPr="00A030EB">
        <w:rPr>
          <w:szCs w:val="22"/>
        </w:rPr>
        <w:t>ing environmental samples.</w:t>
      </w:r>
    </w:p>
    <w:p w14:paraId="7C7BC83B" w14:textId="7678D902" w:rsidR="00B11EB2" w:rsidRDefault="00D95C08" w:rsidP="00B41624">
      <w:pPr>
        <w:rPr>
          <w:szCs w:val="22"/>
        </w:rPr>
      </w:pPr>
      <w:r>
        <w:rPr>
          <w:szCs w:val="22"/>
        </w:rPr>
        <w:t>More information about methods used to detect CFC-11, and o</w:t>
      </w:r>
      <w:r w:rsidR="00645393">
        <w:rPr>
          <w:szCs w:val="22"/>
        </w:rPr>
        <w:t xml:space="preserve">pportunities </w:t>
      </w:r>
      <w:r w:rsidR="000D4E0F">
        <w:rPr>
          <w:szCs w:val="22"/>
        </w:rPr>
        <w:t xml:space="preserve">and </w:t>
      </w:r>
      <w:r w:rsidR="00317548">
        <w:rPr>
          <w:szCs w:val="22"/>
        </w:rPr>
        <w:t>challenges</w:t>
      </w:r>
      <w:r w:rsidR="000D4E0F">
        <w:rPr>
          <w:szCs w:val="22"/>
        </w:rPr>
        <w:t xml:space="preserve"> </w:t>
      </w:r>
      <w:r w:rsidR="00645393">
        <w:rPr>
          <w:szCs w:val="22"/>
        </w:rPr>
        <w:t xml:space="preserve">for </w:t>
      </w:r>
      <w:r w:rsidR="008F406F">
        <w:rPr>
          <w:szCs w:val="22"/>
        </w:rPr>
        <w:t xml:space="preserve">the </w:t>
      </w:r>
      <w:r w:rsidR="00645393">
        <w:rPr>
          <w:szCs w:val="22"/>
        </w:rPr>
        <w:t xml:space="preserve">detection of </w:t>
      </w:r>
      <w:r w:rsidR="000D4E0F">
        <w:rPr>
          <w:szCs w:val="22"/>
        </w:rPr>
        <w:t xml:space="preserve">CFC-11 in foam and </w:t>
      </w:r>
      <w:r w:rsidR="005819E3">
        <w:rPr>
          <w:szCs w:val="22"/>
        </w:rPr>
        <w:t xml:space="preserve">in </w:t>
      </w:r>
      <w:r w:rsidR="000D4E0F">
        <w:rPr>
          <w:szCs w:val="22"/>
        </w:rPr>
        <w:t>other CFC-11 products</w:t>
      </w:r>
      <w:r>
        <w:rPr>
          <w:szCs w:val="22"/>
        </w:rPr>
        <w:t>,</w:t>
      </w:r>
      <w:r w:rsidR="000D4E0F">
        <w:rPr>
          <w:szCs w:val="22"/>
        </w:rPr>
        <w:t xml:space="preserve"> are outlined in section 5.4.</w:t>
      </w:r>
    </w:p>
    <w:p w14:paraId="475FA7B1" w14:textId="0B8E46A4" w:rsidR="00B41624" w:rsidRPr="009D29EC" w:rsidRDefault="004E4B48" w:rsidP="00751ECE">
      <w:pPr>
        <w:pStyle w:val="Heading3"/>
      </w:pPr>
      <w:bookmarkStart w:id="172" w:name="_Toc73045629"/>
      <w:r>
        <w:t>5.1.2</w:t>
      </w:r>
      <w:r>
        <w:tab/>
      </w:r>
      <w:r w:rsidR="00B41624" w:rsidRPr="009D29EC">
        <w:t>Recovery of CFC-11 from foam products</w:t>
      </w:r>
      <w:bookmarkEnd w:id="172"/>
    </w:p>
    <w:p w14:paraId="2DE4E36D" w14:textId="2B064D5C" w:rsidR="00693A95" w:rsidRDefault="00693A95" w:rsidP="00693A95">
      <w:pPr>
        <w:rPr>
          <w:szCs w:val="22"/>
        </w:rPr>
      </w:pPr>
      <w:r>
        <w:rPr>
          <w:szCs w:val="22"/>
        </w:rPr>
        <w:t>T</w:t>
      </w:r>
      <w:r w:rsidRPr="000219A6">
        <w:rPr>
          <w:szCs w:val="22"/>
        </w:rPr>
        <w:t xml:space="preserve">he recovery of foam products during the dismantling of equipment is </w:t>
      </w:r>
      <w:r w:rsidR="00106C1D">
        <w:rPr>
          <w:szCs w:val="22"/>
        </w:rPr>
        <w:t>technically and economically feasible</w:t>
      </w:r>
      <w:r w:rsidRPr="000219A6">
        <w:rPr>
          <w:szCs w:val="22"/>
        </w:rPr>
        <w:t xml:space="preserve"> and, in some countries, mandatory. </w:t>
      </w:r>
      <w:r w:rsidR="00837A97">
        <w:rPr>
          <w:szCs w:val="22"/>
        </w:rPr>
        <w:t xml:space="preserve">When </w:t>
      </w:r>
      <w:r>
        <w:rPr>
          <w:szCs w:val="22"/>
        </w:rPr>
        <w:t>CFC-11</w:t>
      </w:r>
      <w:r w:rsidRPr="000219A6">
        <w:rPr>
          <w:szCs w:val="22"/>
        </w:rPr>
        <w:t xml:space="preserve"> </w:t>
      </w:r>
      <w:r>
        <w:rPr>
          <w:szCs w:val="22"/>
        </w:rPr>
        <w:t>is</w:t>
      </w:r>
      <w:r w:rsidRPr="000219A6">
        <w:rPr>
          <w:szCs w:val="22"/>
        </w:rPr>
        <w:t xml:space="preserve"> recovered </w:t>
      </w:r>
      <w:r w:rsidR="00DA4336">
        <w:rPr>
          <w:szCs w:val="22"/>
        </w:rPr>
        <w:t>from foam product</w:t>
      </w:r>
      <w:r w:rsidR="00837A97">
        <w:rPr>
          <w:szCs w:val="22"/>
        </w:rPr>
        <w:t>s, it</w:t>
      </w:r>
      <w:r w:rsidR="00DA4336">
        <w:rPr>
          <w:szCs w:val="22"/>
        </w:rPr>
        <w:t xml:space="preserve"> </w:t>
      </w:r>
      <w:r w:rsidR="00AA0FFA">
        <w:rPr>
          <w:szCs w:val="22"/>
        </w:rPr>
        <w:t>is</w:t>
      </w:r>
      <w:r w:rsidR="00AA0FFA" w:rsidRPr="000219A6">
        <w:rPr>
          <w:szCs w:val="22"/>
        </w:rPr>
        <w:t xml:space="preserve"> </w:t>
      </w:r>
      <w:r w:rsidRPr="000219A6">
        <w:rPr>
          <w:szCs w:val="22"/>
        </w:rPr>
        <w:t>primarily sent for destruction</w:t>
      </w:r>
      <w:r w:rsidR="003450DE">
        <w:rPr>
          <w:szCs w:val="22"/>
        </w:rPr>
        <w:t xml:space="preserve"> </w:t>
      </w:r>
      <w:r w:rsidR="00882073">
        <w:rPr>
          <w:szCs w:val="22"/>
        </w:rPr>
        <w:t xml:space="preserve">rather than for reclamation </w:t>
      </w:r>
      <w:r w:rsidR="00792AC8">
        <w:rPr>
          <w:szCs w:val="22"/>
        </w:rPr>
        <w:t xml:space="preserve">and </w:t>
      </w:r>
      <w:r w:rsidR="00BA12AA">
        <w:rPr>
          <w:szCs w:val="22"/>
        </w:rPr>
        <w:t>reuse because</w:t>
      </w:r>
      <w:r w:rsidRPr="000219A6">
        <w:rPr>
          <w:szCs w:val="22"/>
        </w:rPr>
        <w:t xml:space="preserve"> </w:t>
      </w:r>
      <w:r w:rsidR="00AD7788">
        <w:rPr>
          <w:szCs w:val="22"/>
        </w:rPr>
        <w:t>low demand</w:t>
      </w:r>
      <w:r w:rsidR="00684836">
        <w:rPr>
          <w:szCs w:val="22"/>
        </w:rPr>
        <w:t xml:space="preserve"> for </w:t>
      </w:r>
      <w:r w:rsidR="00EC4ACC">
        <w:rPr>
          <w:szCs w:val="22"/>
        </w:rPr>
        <w:t>CFC-11</w:t>
      </w:r>
      <w:r w:rsidR="00684836">
        <w:rPr>
          <w:szCs w:val="22"/>
        </w:rPr>
        <w:t>,</w:t>
      </w:r>
      <w:r w:rsidR="00AD7788">
        <w:rPr>
          <w:szCs w:val="22"/>
        </w:rPr>
        <w:t xml:space="preserve"> </w:t>
      </w:r>
      <w:r w:rsidRPr="000219A6">
        <w:rPr>
          <w:szCs w:val="22"/>
        </w:rPr>
        <w:t>the presence of contaminants</w:t>
      </w:r>
      <w:r w:rsidR="00AD7788">
        <w:rPr>
          <w:szCs w:val="22"/>
        </w:rPr>
        <w:t>,</w:t>
      </w:r>
      <w:r w:rsidRPr="000219A6">
        <w:rPr>
          <w:szCs w:val="22"/>
        </w:rPr>
        <w:t xml:space="preserve"> </w:t>
      </w:r>
      <w:r w:rsidR="00F20719">
        <w:rPr>
          <w:szCs w:val="22"/>
        </w:rPr>
        <w:t>and other factors</w:t>
      </w:r>
      <w:r w:rsidR="00AD7788">
        <w:rPr>
          <w:szCs w:val="22"/>
        </w:rPr>
        <w:t>,</w:t>
      </w:r>
      <w:r w:rsidR="00F20719">
        <w:rPr>
          <w:szCs w:val="22"/>
        </w:rPr>
        <w:t xml:space="preserve"> </w:t>
      </w:r>
      <w:r w:rsidR="00EC3064">
        <w:rPr>
          <w:szCs w:val="22"/>
        </w:rPr>
        <w:t>make</w:t>
      </w:r>
      <w:r w:rsidRPr="000219A6">
        <w:rPr>
          <w:szCs w:val="22"/>
        </w:rPr>
        <w:t xml:space="preserve"> </w:t>
      </w:r>
      <w:r w:rsidR="006D6437">
        <w:rPr>
          <w:szCs w:val="22"/>
        </w:rPr>
        <w:t xml:space="preserve">reclamation </w:t>
      </w:r>
      <w:r w:rsidRPr="000219A6">
        <w:rPr>
          <w:szCs w:val="22"/>
        </w:rPr>
        <w:t xml:space="preserve">and reuse </w:t>
      </w:r>
      <w:r w:rsidR="00CD27EE">
        <w:rPr>
          <w:szCs w:val="22"/>
        </w:rPr>
        <w:t xml:space="preserve">of CFC-11 from foam products </w:t>
      </w:r>
      <w:r w:rsidR="003450DE">
        <w:rPr>
          <w:szCs w:val="22"/>
        </w:rPr>
        <w:t>un</w:t>
      </w:r>
      <w:r w:rsidRPr="000219A6">
        <w:rPr>
          <w:szCs w:val="22"/>
        </w:rPr>
        <w:t>economic.</w:t>
      </w:r>
    </w:p>
    <w:p w14:paraId="5D9B4E22" w14:textId="77777777" w:rsidR="004D16CD" w:rsidRDefault="002F0AC3" w:rsidP="00B41624">
      <w:pPr>
        <w:rPr>
          <w:szCs w:val="22"/>
        </w:rPr>
      </w:pPr>
      <w:r w:rsidRPr="20821D15">
        <w:t xml:space="preserve">Despite </w:t>
      </w:r>
      <w:r w:rsidR="00E2375F" w:rsidRPr="20821D15">
        <w:t>early</w:t>
      </w:r>
      <w:r w:rsidR="007471B9">
        <w:rPr>
          <w:szCs w:val="22"/>
        </w:rPr>
        <w:t xml:space="preserve"> </w:t>
      </w:r>
      <w:r w:rsidR="007B0F61" w:rsidRPr="20821D15">
        <w:t xml:space="preserve">positive </w:t>
      </w:r>
      <w:r w:rsidR="00DD076F" w:rsidRPr="20821D15">
        <w:t>indications</w:t>
      </w:r>
      <w:r w:rsidR="00444D80">
        <w:rPr>
          <w:szCs w:val="22"/>
        </w:rPr>
        <w:t xml:space="preserve"> </w:t>
      </w:r>
      <w:r w:rsidR="00792ACA" w:rsidRPr="20821D15">
        <w:t>of</w:t>
      </w:r>
      <w:r w:rsidR="00444D80">
        <w:rPr>
          <w:szCs w:val="22"/>
        </w:rPr>
        <w:t xml:space="preserve"> </w:t>
      </w:r>
      <w:r w:rsidR="0099612D" w:rsidRPr="20821D15">
        <w:t>feasibility</w:t>
      </w:r>
      <w:r w:rsidR="00246CD3" w:rsidRPr="20821D15">
        <w:rPr>
          <w:rStyle w:val="FootnoteReference"/>
        </w:rPr>
        <w:footnoteReference w:id="100"/>
      </w:r>
      <w:r w:rsidRPr="20821D15">
        <w:t>, t</w:t>
      </w:r>
      <w:r w:rsidR="00FA01FD" w:rsidRPr="20821D15">
        <w:t xml:space="preserve">he cost of recovery </w:t>
      </w:r>
      <w:r w:rsidR="00CB31E9" w:rsidRPr="20821D15">
        <w:rPr>
          <w:i/>
        </w:rPr>
        <w:t>and reclamation</w:t>
      </w:r>
      <w:r w:rsidR="00CB31E9" w:rsidRPr="20821D15">
        <w:t xml:space="preserve"> of </w:t>
      </w:r>
      <w:r w:rsidR="00FA01FD" w:rsidRPr="20821D15">
        <w:t>CFC-11 from insulating foams</w:t>
      </w:r>
      <w:r w:rsidR="00CB31E9">
        <w:rPr>
          <w:szCs w:val="22"/>
        </w:rPr>
        <w:t>,</w:t>
      </w:r>
      <w:r w:rsidR="00FA01FD">
        <w:rPr>
          <w:szCs w:val="22"/>
        </w:rPr>
        <w:t xml:space="preserve"> </w:t>
      </w:r>
      <w:r w:rsidR="00847749" w:rsidRPr="20821D15">
        <w:t>for subsequent</w:t>
      </w:r>
      <w:r w:rsidR="00CB31E9">
        <w:rPr>
          <w:szCs w:val="22"/>
        </w:rPr>
        <w:t xml:space="preserve"> </w:t>
      </w:r>
      <w:r w:rsidR="00AC2A06" w:rsidRPr="20821D15">
        <w:t xml:space="preserve">CFC-11 </w:t>
      </w:r>
      <w:r w:rsidR="00CB31E9" w:rsidRPr="20821D15">
        <w:t xml:space="preserve">reuse, </w:t>
      </w:r>
      <w:r w:rsidR="00FA01FD" w:rsidRPr="20821D15">
        <w:t xml:space="preserve">has </w:t>
      </w:r>
      <w:r w:rsidR="006B150A" w:rsidRPr="20821D15">
        <w:t xml:space="preserve">generally </w:t>
      </w:r>
      <w:r w:rsidR="00CB31E9" w:rsidRPr="20821D15">
        <w:t xml:space="preserve">been considered too high to </w:t>
      </w:r>
      <w:r w:rsidR="00141A51" w:rsidRPr="20821D15">
        <w:t>sustain</w:t>
      </w:r>
      <w:r w:rsidR="008A2459">
        <w:rPr>
          <w:szCs w:val="22"/>
        </w:rPr>
        <w:t xml:space="preserve"> </w:t>
      </w:r>
      <w:r w:rsidR="007A0777" w:rsidRPr="20821D15">
        <w:t xml:space="preserve">its </w:t>
      </w:r>
      <w:r w:rsidR="00A65F38" w:rsidRPr="20821D15">
        <w:t xml:space="preserve">broad </w:t>
      </w:r>
      <w:r w:rsidR="00F53F0A" w:rsidRPr="20821D15">
        <w:t>implementation</w:t>
      </w:r>
      <w:r w:rsidR="00847749">
        <w:rPr>
          <w:szCs w:val="22"/>
        </w:rPr>
        <w:t>,</w:t>
      </w:r>
      <w:r w:rsidR="00F53F0A">
        <w:rPr>
          <w:szCs w:val="22"/>
        </w:rPr>
        <w:t xml:space="preserve"> </w:t>
      </w:r>
      <w:r w:rsidR="00BB4F70" w:rsidRPr="20821D15">
        <w:t xml:space="preserve">e.g., </w:t>
      </w:r>
      <w:r w:rsidR="00F53F0A" w:rsidRPr="20821D15">
        <w:t xml:space="preserve">as part of </w:t>
      </w:r>
      <w:r w:rsidR="00400E7D" w:rsidRPr="20821D15">
        <w:t xml:space="preserve">government or industry </w:t>
      </w:r>
      <w:r w:rsidR="004F34D1" w:rsidRPr="20821D15">
        <w:t>policies</w:t>
      </w:r>
      <w:r w:rsidR="00400E7D" w:rsidRPr="20821D15">
        <w:t xml:space="preserve"> and </w:t>
      </w:r>
      <w:r w:rsidR="00956CD9" w:rsidRPr="20821D15">
        <w:t>programs</w:t>
      </w:r>
      <w:r w:rsidR="00847749">
        <w:rPr>
          <w:szCs w:val="22"/>
        </w:rPr>
        <w:t xml:space="preserve"> </w:t>
      </w:r>
      <w:r w:rsidR="00BB4F70" w:rsidRPr="20821D15">
        <w:t>t</w:t>
      </w:r>
      <w:r w:rsidR="006E4A3B" w:rsidRPr="20821D15">
        <w:t>hat</w:t>
      </w:r>
      <w:r w:rsidR="00BB4F70">
        <w:rPr>
          <w:szCs w:val="22"/>
        </w:rPr>
        <w:t xml:space="preserve"> </w:t>
      </w:r>
      <w:r w:rsidR="00D51DFC" w:rsidRPr="20821D15">
        <w:t>support</w:t>
      </w:r>
      <w:r w:rsidR="00847749" w:rsidRPr="20821D15">
        <w:t xml:space="preserve"> recycling and reuse or </w:t>
      </w:r>
      <w:r w:rsidR="00F53F0A" w:rsidRPr="20821D15">
        <w:t xml:space="preserve">extended </w:t>
      </w:r>
      <w:r w:rsidR="00847749" w:rsidRPr="20821D15">
        <w:t>producer responsibility.</w:t>
      </w:r>
      <w:r w:rsidR="00281C69">
        <w:rPr>
          <w:szCs w:val="22"/>
        </w:rPr>
        <w:t xml:space="preserve"> </w:t>
      </w:r>
    </w:p>
    <w:p w14:paraId="07E78B57" w14:textId="7598DDBD" w:rsidR="00FA01FD" w:rsidRDefault="0072651A" w:rsidP="00B41624">
      <w:pPr>
        <w:rPr>
          <w:szCs w:val="22"/>
        </w:rPr>
      </w:pPr>
      <w:r w:rsidRPr="0072651A">
        <w:rPr>
          <w:szCs w:val="22"/>
        </w:rPr>
        <w:t>Some countries encouraged or mandated recovery</w:t>
      </w:r>
      <w:r>
        <w:rPr>
          <w:szCs w:val="22"/>
        </w:rPr>
        <w:t xml:space="preserve"> </w:t>
      </w:r>
      <w:r w:rsidRPr="0072651A">
        <w:rPr>
          <w:szCs w:val="22"/>
        </w:rPr>
        <w:t>and/or destruction</w:t>
      </w:r>
      <w:r>
        <w:rPr>
          <w:szCs w:val="22"/>
        </w:rPr>
        <w:t xml:space="preserve"> </w:t>
      </w:r>
      <w:r w:rsidRPr="0072651A">
        <w:rPr>
          <w:szCs w:val="22"/>
        </w:rPr>
        <w:t>of CFC-11 from insulation foams</w:t>
      </w:r>
      <w:r w:rsidR="003A4760">
        <w:rPr>
          <w:szCs w:val="22"/>
        </w:rPr>
        <w:t xml:space="preserve"> in appliances</w:t>
      </w:r>
      <w:r w:rsidRPr="0072651A">
        <w:rPr>
          <w:szCs w:val="22"/>
        </w:rPr>
        <w:t xml:space="preserve">. </w:t>
      </w:r>
      <w:r w:rsidR="006F55C6">
        <w:rPr>
          <w:szCs w:val="22"/>
        </w:rPr>
        <w:t>From the</w:t>
      </w:r>
      <w:r w:rsidR="00DB0131">
        <w:rPr>
          <w:szCs w:val="22"/>
        </w:rPr>
        <w:t xml:space="preserve"> </w:t>
      </w:r>
      <w:r w:rsidR="00AD2EC9">
        <w:rPr>
          <w:szCs w:val="22"/>
        </w:rPr>
        <w:t>1990s</w:t>
      </w:r>
      <w:r w:rsidR="006F55C6">
        <w:rPr>
          <w:szCs w:val="22"/>
        </w:rPr>
        <w:t xml:space="preserve"> onwards</w:t>
      </w:r>
      <w:r w:rsidR="00AD2EC9">
        <w:rPr>
          <w:szCs w:val="22"/>
        </w:rPr>
        <w:t xml:space="preserve">, commercial scale foam shredding and blowing agent recovery </w:t>
      </w:r>
      <w:r w:rsidR="006F55C6">
        <w:rPr>
          <w:szCs w:val="22"/>
        </w:rPr>
        <w:t xml:space="preserve">has been </w:t>
      </w:r>
      <w:r w:rsidR="003A4760">
        <w:rPr>
          <w:szCs w:val="22"/>
        </w:rPr>
        <w:t>used successfully for appliance foams</w:t>
      </w:r>
      <w:r w:rsidR="00605877">
        <w:rPr>
          <w:szCs w:val="22"/>
        </w:rPr>
        <w:t xml:space="preserve"> in some </w:t>
      </w:r>
      <w:r w:rsidR="00974DFD">
        <w:rPr>
          <w:szCs w:val="22"/>
        </w:rPr>
        <w:t>regions</w:t>
      </w:r>
      <w:r w:rsidR="003A4760">
        <w:rPr>
          <w:szCs w:val="22"/>
        </w:rPr>
        <w:t>.</w:t>
      </w:r>
      <w:r w:rsidR="006F32D6">
        <w:rPr>
          <w:szCs w:val="22"/>
        </w:rPr>
        <w:t xml:space="preserve"> The </w:t>
      </w:r>
      <w:r w:rsidR="00F442EB">
        <w:rPr>
          <w:szCs w:val="22"/>
        </w:rPr>
        <w:t xml:space="preserve">resulting </w:t>
      </w:r>
      <w:r w:rsidR="006F32D6">
        <w:rPr>
          <w:szCs w:val="22"/>
        </w:rPr>
        <w:t xml:space="preserve">waste streams </w:t>
      </w:r>
      <w:r w:rsidR="006F55C6">
        <w:rPr>
          <w:szCs w:val="22"/>
        </w:rPr>
        <w:t xml:space="preserve">have been </w:t>
      </w:r>
      <w:r w:rsidR="006F32D6">
        <w:rPr>
          <w:szCs w:val="22"/>
        </w:rPr>
        <w:t>typically mixed ODS, HFCs and</w:t>
      </w:r>
      <w:r w:rsidR="0078396C">
        <w:rPr>
          <w:szCs w:val="22"/>
        </w:rPr>
        <w:t>, more re</w:t>
      </w:r>
      <w:r w:rsidR="008A71E9">
        <w:rPr>
          <w:szCs w:val="22"/>
        </w:rPr>
        <w:t>cently,</w:t>
      </w:r>
      <w:r w:rsidR="006F32D6">
        <w:rPr>
          <w:szCs w:val="22"/>
        </w:rPr>
        <w:t xml:space="preserve"> hydrocarbons</w:t>
      </w:r>
      <w:r w:rsidR="00212309">
        <w:rPr>
          <w:szCs w:val="22"/>
        </w:rPr>
        <w:t xml:space="preserve">. </w:t>
      </w:r>
      <w:r w:rsidR="00320727">
        <w:rPr>
          <w:szCs w:val="22"/>
        </w:rPr>
        <w:t xml:space="preserve">The additional steps required for reclamation have made reclamation uneconomic compared with </w:t>
      </w:r>
      <w:r w:rsidR="009B689C">
        <w:rPr>
          <w:szCs w:val="22"/>
        </w:rPr>
        <w:t>disposal</w:t>
      </w:r>
      <w:r w:rsidR="00320727">
        <w:rPr>
          <w:szCs w:val="22"/>
        </w:rPr>
        <w:t xml:space="preserve">. </w:t>
      </w:r>
    </w:p>
    <w:p w14:paraId="750F1290" w14:textId="0D71FBF6" w:rsidR="001D497D" w:rsidRDefault="00D65E6A" w:rsidP="00B41624">
      <w:pPr>
        <w:rPr>
          <w:szCs w:val="22"/>
        </w:rPr>
      </w:pPr>
      <w:r w:rsidRPr="20821D15">
        <w:t>In</w:t>
      </w:r>
      <w:r w:rsidR="004204EB" w:rsidRPr="20821D15">
        <w:t xml:space="preserve"> 200</w:t>
      </w:r>
      <w:r w:rsidR="00421F0E" w:rsidRPr="20821D15">
        <w:t>5</w:t>
      </w:r>
      <w:r w:rsidRPr="20821D15">
        <w:t>, the</w:t>
      </w:r>
      <w:r w:rsidR="00421F0E">
        <w:rPr>
          <w:szCs w:val="22"/>
        </w:rPr>
        <w:t xml:space="preserve"> </w:t>
      </w:r>
      <w:r w:rsidR="004204EB" w:rsidRPr="20821D15">
        <w:t>IPCC and TEAP Special Report</w:t>
      </w:r>
      <w:r w:rsidR="00E20C9F" w:rsidRPr="20821D15">
        <w:rPr>
          <w:rStyle w:val="FootnoteReference"/>
        </w:rPr>
        <w:footnoteReference w:id="101"/>
      </w:r>
      <w:r w:rsidRPr="20821D15">
        <w:t xml:space="preserve"> concluded, </w:t>
      </w:r>
      <w:r w:rsidR="00F97A73">
        <w:rPr>
          <w:szCs w:val="22"/>
        </w:rPr>
        <w:t>“</w:t>
      </w:r>
      <w:r w:rsidR="001D497D" w:rsidRPr="20821D15">
        <w:rPr>
          <w:i/>
        </w:rPr>
        <w:t xml:space="preserve">For CFC-11, recovery from foams is discouraged by the chemical’s low market value and by laws requiring the </w:t>
      </w:r>
      <w:r w:rsidR="001D497D" w:rsidRPr="20821D15">
        <w:rPr>
          <w:i/>
        </w:rPr>
        <w:lastRenderedPageBreak/>
        <w:t>destruction of CFCs. For HFCs, recovery may be more attractive due to the higher market values of the chemicals. Even if the chemicals are not recovered, however, a major abatement option will be the recovery of used foam products and their subsequent destruction</w:t>
      </w:r>
      <w:r w:rsidR="001C3BE5">
        <w:rPr>
          <w:rStyle w:val="FootnoteReference"/>
          <w:i/>
        </w:rPr>
        <w:footnoteReference w:id="102"/>
      </w:r>
      <w:r w:rsidR="001D497D" w:rsidRPr="20821D15">
        <w:rPr>
          <w:i/>
        </w:rPr>
        <w:t>. Either destruction or chemical recovery could substantially reduce emissions of CFCs, HCFCs and HFCs from the banks in foams</w:t>
      </w:r>
      <w:r w:rsidR="007C7B4C" w:rsidRPr="20821D15">
        <w:rPr>
          <w:i/>
        </w:rPr>
        <w:t>.</w:t>
      </w:r>
      <w:r w:rsidR="00F97A73">
        <w:rPr>
          <w:szCs w:val="22"/>
        </w:rPr>
        <w:t>”</w:t>
      </w:r>
    </w:p>
    <w:p w14:paraId="7C85EC50" w14:textId="3B94CF6B" w:rsidR="002C5E99" w:rsidRDefault="002C5E99" w:rsidP="00B41624">
      <w:pPr>
        <w:rPr>
          <w:szCs w:val="22"/>
        </w:rPr>
      </w:pPr>
      <w:r w:rsidRPr="00275100">
        <w:rPr>
          <w:szCs w:val="22"/>
        </w:rPr>
        <w:t xml:space="preserve">It is technically and economically feasible for steel faced insulation foam panels and refrigeration appliance foams to be segregated and collected </w:t>
      </w:r>
      <w:r w:rsidR="00FF4209" w:rsidRPr="00275100">
        <w:rPr>
          <w:szCs w:val="22"/>
        </w:rPr>
        <w:t xml:space="preserve">with varying degrees of effort </w:t>
      </w:r>
      <w:r w:rsidRPr="00275100">
        <w:rPr>
          <w:szCs w:val="22"/>
        </w:rPr>
        <w:t>for CFC-11 recovery and</w:t>
      </w:r>
      <w:r w:rsidR="00564C1B">
        <w:rPr>
          <w:szCs w:val="22"/>
        </w:rPr>
        <w:t>/or</w:t>
      </w:r>
      <w:r w:rsidRPr="00275100">
        <w:rPr>
          <w:szCs w:val="22"/>
        </w:rPr>
        <w:t xml:space="preserve"> destruction. </w:t>
      </w:r>
      <w:r w:rsidR="00A211DA" w:rsidRPr="00275100">
        <w:rPr>
          <w:szCs w:val="22"/>
        </w:rPr>
        <w:t>Refrigeration appliance foams are often mandated for recovery</w:t>
      </w:r>
      <w:r w:rsidR="00981D96" w:rsidRPr="00275100">
        <w:rPr>
          <w:szCs w:val="22"/>
        </w:rPr>
        <w:t xml:space="preserve">, while steel-faced panels generally are not. </w:t>
      </w:r>
      <w:r w:rsidRPr="00275100">
        <w:rPr>
          <w:szCs w:val="22"/>
        </w:rPr>
        <w:t>Spray insulation foam, which is adhered onto building surfaces, however, cannot be segregated with</w:t>
      </w:r>
      <w:r w:rsidR="00564C1B">
        <w:rPr>
          <w:szCs w:val="22"/>
        </w:rPr>
        <w:t>out</w:t>
      </w:r>
      <w:r w:rsidRPr="00275100">
        <w:rPr>
          <w:szCs w:val="22"/>
        </w:rPr>
        <w:t xml:space="preserve"> </w:t>
      </w:r>
      <w:r w:rsidR="00564C1B">
        <w:rPr>
          <w:szCs w:val="22"/>
        </w:rPr>
        <w:t>un</w:t>
      </w:r>
      <w:r w:rsidRPr="00275100">
        <w:rPr>
          <w:szCs w:val="22"/>
        </w:rPr>
        <w:t>reasonable effort or without causing the CFC-11 to be emitted</w:t>
      </w:r>
      <w:r w:rsidR="00564C1B">
        <w:rPr>
          <w:szCs w:val="22"/>
        </w:rPr>
        <w:t xml:space="preserve"> in the process</w:t>
      </w:r>
      <w:r w:rsidRPr="00275100">
        <w:rPr>
          <w:szCs w:val="22"/>
        </w:rPr>
        <w:t>.</w:t>
      </w:r>
      <w:r>
        <w:rPr>
          <w:szCs w:val="22"/>
        </w:rPr>
        <w:t xml:space="preserve"> </w:t>
      </w:r>
    </w:p>
    <w:p w14:paraId="50596E72" w14:textId="7A068A80" w:rsidR="00EF41C3" w:rsidRDefault="00EF41C3" w:rsidP="00EF41C3">
      <w:pPr>
        <w:rPr>
          <w:szCs w:val="22"/>
        </w:rPr>
      </w:pPr>
      <w:r w:rsidRPr="00685543">
        <w:rPr>
          <w:szCs w:val="22"/>
        </w:rPr>
        <w:t>For insulation foams in buildings, some countries</w:t>
      </w:r>
      <w:r w:rsidR="00E35C08">
        <w:rPr>
          <w:rStyle w:val="FootnoteReference"/>
        </w:rPr>
        <w:footnoteReference w:id="103"/>
      </w:r>
      <w:r>
        <w:rPr>
          <w:szCs w:val="22"/>
        </w:rPr>
        <w:t>,</w:t>
      </w:r>
      <w:r w:rsidRPr="00685543">
        <w:rPr>
          <w:szCs w:val="22"/>
        </w:rPr>
        <w:t xml:space="preserve"> e.g.</w:t>
      </w:r>
      <w:r>
        <w:rPr>
          <w:szCs w:val="22"/>
        </w:rPr>
        <w:t>,</w:t>
      </w:r>
      <w:r w:rsidRPr="00685543">
        <w:rPr>
          <w:szCs w:val="22"/>
        </w:rPr>
        <w:t xml:space="preserve"> Germany and Austria</w:t>
      </w:r>
      <w:r>
        <w:rPr>
          <w:szCs w:val="22"/>
        </w:rPr>
        <w:t>, have</w:t>
      </w:r>
      <w:r w:rsidRPr="00685543">
        <w:rPr>
          <w:szCs w:val="22"/>
        </w:rPr>
        <w:t xml:space="preserve"> made it </w:t>
      </w:r>
      <w:r>
        <w:rPr>
          <w:szCs w:val="22"/>
        </w:rPr>
        <w:t>mandatory</w:t>
      </w:r>
      <w:r w:rsidRPr="00685543">
        <w:rPr>
          <w:szCs w:val="22"/>
        </w:rPr>
        <w:t xml:space="preserve"> to remove and treat insulation foam</w:t>
      </w:r>
      <w:r w:rsidR="0081579D">
        <w:rPr>
          <w:szCs w:val="22"/>
        </w:rPr>
        <w:t>, including those</w:t>
      </w:r>
      <w:r w:rsidRPr="00685543">
        <w:rPr>
          <w:szCs w:val="22"/>
        </w:rPr>
        <w:t xml:space="preserve"> containing CFC</w:t>
      </w:r>
      <w:r>
        <w:rPr>
          <w:szCs w:val="22"/>
        </w:rPr>
        <w:t xml:space="preserve">s (and </w:t>
      </w:r>
      <w:r w:rsidRPr="00685543">
        <w:rPr>
          <w:szCs w:val="22"/>
        </w:rPr>
        <w:t>HCFC</w:t>
      </w:r>
      <w:r>
        <w:rPr>
          <w:szCs w:val="22"/>
        </w:rPr>
        <w:t xml:space="preserve">s, </w:t>
      </w:r>
      <w:r w:rsidRPr="00685543">
        <w:rPr>
          <w:szCs w:val="22"/>
        </w:rPr>
        <w:t>HFC</w:t>
      </w:r>
      <w:r>
        <w:rPr>
          <w:szCs w:val="22"/>
        </w:rPr>
        <w:t>s)</w:t>
      </w:r>
      <w:r w:rsidR="0081579D">
        <w:rPr>
          <w:szCs w:val="22"/>
        </w:rPr>
        <w:t>,</w:t>
      </w:r>
      <w:r w:rsidRPr="00685543">
        <w:rPr>
          <w:szCs w:val="22"/>
        </w:rPr>
        <w:t xml:space="preserve"> prior to the demolition of a building.</w:t>
      </w:r>
      <w:r>
        <w:rPr>
          <w:szCs w:val="22"/>
        </w:rPr>
        <w:t xml:space="preserve"> </w:t>
      </w:r>
    </w:p>
    <w:p w14:paraId="45705306" w14:textId="4F4BCA33" w:rsidR="00317A10" w:rsidRDefault="00317A10" w:rsidP="00317A10">
      <w:pPr>
        <w:rPr>
          <w:szCs w:val="22"/>
        </w:rPr>
      </w:pPr>
      <w:r w:rsidRPr="00162A4B">
        <w:rPr>
          <w:szCs w:val="22"/>
        </w:rPr>
        <w:t>A German standard is available for the de</w:t>
      </w:r>
      <w:r>
        <w:rPr>
          <w:szCs w:val="22"/>
        </w:rPr>
        <w:t>-</w:t>
      </w:r>
      <w:r w:rsidRPr="00162A4B">
        <w:rPr>
          <w:szCs w:val="22"/>
        </w:rPr>
        <w:t xml:space="preserve">manufacturing </w:t>
      </w:r>
      <w:r>
        <w:rPr>
          <w:szCs w:val="22"/>
        </w:rPr>
        <w:t xml:space="preserve">of </w:t>
      </w:r>
      <w:r w:rsidRPr="00162A4B">
        <w:rPr>
          <w:szCs w:val="22"/>
        </w:rPr>
        <w:t>CFC foam products</w:t>
      </w:r>
      <w:r w:rsidR="00DB3CFE">
        <w:rPr>
          <w:szCs w:val="22"/>
        </w:rPr>
        <w:t xml:space="preserve"> (appliance and building foams)</w:t>
      </w:r>
      <w:r w:rsidRPr="00162A4B">
        <w:rPr>
          <w:szCs w:val="22"/>
        </w:rPr>
        <w:t>. The RAL Institute for Quality Assurance and Certification [</w:t>
      </w:r>
      <w:proofErr w:type="spellStart"/>
      <w:r w:rsidRPr="00162A4B">
        <w:rPr>
          <w:szCs w:val="22"/>
        </w:rPr>
        <w:t>Deutsches</w:t>
      </w:r>
      <w:proofErr w:type="spellEnd"/>
      <w:r w:rsidRPr="00162A4B">
        <w:rPr>
          <w:szCs w:val="22"/>
        </w:rPr>
        <w:t xml:space="preserve"> </w:t>
      </w:r>
      <w:proofErr w:type="spellStart"/>
      <w:r w:rsidRPr="00162A4B">
        <w:rPr>
          <w:szCs w:val="22"/>
        </w:rPr>
        <w:t>Institut</w:t>
      </w:r>
      <w:proofErr w:type="spellEnd"/>
      <w:r w:rsidRPr="00162A4B">
        <w:rPr>
          <w:szCs w:val="22"/>
        </w:rPr>
        <w:t xml:space="preserve"> </w:t>
      </w:r>
      <w:proofErr w:type="spellStart"/>
      <w:r w:rsidRPr="00162A4B">
        <w:rPr>
          <w:szCs w:val="22"/>
        </w:rPr>
        <w:t>für</w:t>
      </w:r>
      <w:proofErr w:type="spellEnd"/>
      <w:r w:rsidRPr="00162A4B">
        <w:rPr>
          <w:szCs w:val="22"/>
        </w:rPr>
        <w:t xml:space="preserve"> </w:t>
      </w:r>
      <w:proofErr w:type="spellStart"/>
      <w:r w:rsidRPr="00162A4B">
        <w:rPr>
          <w:szCs w:val="22"/>
        </w:rPr>
        <w:t>Gütesicherung</w:t>
      </w:r>
      <w:proofErr w:type="spellEnd"/>
      <w:r w:rsidRPr="00162A4B">
        <w:rPr>
          <w:szCs w:val="22"/>
        </w:rPr>
        <w:t xml:space="preserve"> und </w:t>
      </w:r>
      <w:proofErr w:type="spellStart"/>
      <w:r w:rsidRPr="00162A4B">
        <w:rPr>
          <w:szCs w:val="22"/>
        </w:rPr>
        <w:t>Kennzeichnung</w:t>
      </w:r>
      <w:proofErr w:type="spellEnd"/>
      <w:r w:rsidRPr="00162A4B">
        <w:rPr>
          <w:szCs w:val="22"/>
        </w:rPr>
        <w:t xml:space="preserve"> </w:t>
      </w:r>
      <w:proofErr w:type="spellStart"/>
      <w:r w:rsidRPr="00162A4B">
        <w:rPr>
          <w:szCs w:val="22"/>
        </w:rPr>
        <w:t>e.V</w:t>
      </w:r>
      <w:proofErr w:type="spellEnd"/>
      <w:r w:rsidRPr="00162A4B">
        <w:rPr>
          <w:szCs w:val="22"/>
        </w:rPr>
        <w:t xml:space="preserve">.] in Germany </w:t>
      </w:r>
      <w:r>
        <w:rPr>
          <w:szCs w:val="22"/>
        </w:rPr>
        <w:t xml:space="preserve">has </w:t>
      </w:r>
      <w:r w:rsidRPr="00162A4B">
        <w:rPr>
          <w:szCs w:val="22"/>
        </w:rPr>
        <w:t>published a set of quality assurance and test specifications (RAL GZ 729)</w:t>
      </w:r>
      <w:r w:rsidR="006F7004">
        <w:rPr>
          <w:szCs w:val="22"/>
        </w:rPr>
        <w:t>. These</w:t>
      </w:r>
      <w:r>
        <w:rPr>
          <w:szCs w:val="22"/>
        </w:rPr>
        <w:t xml:space="preserve"> </w:t>
      </w:r>
      <w:r w:rsidRPr="00162A4B">
        <w:rPr>
          <w:szCs w:val="22"/>
        </w:rPr>
        <w:t xml:space="preserve">provide qualitative guidance on how </w:t>
      </w:r>
      <w:r w:rsidR="006F7004">
        <w:rPr>
          <w:szCs w:val="22"/>
        </w:rPr>
        <w:t>to treat</w:t>
      </w:r>
      <w:r w:rsidRPr="00162A4B">
        <w:rPr>
          <w:szCs w:val="22"/>
        </w:rPr>
        <w:t xml:space="preserve"> end-of-life </w:t>
      </w:r>
      <w:r w:rsidR="006F7004">
        <w:rPr>
          <w:szCs w:val="22"/>
        </w:rPr>
        <w:t xml:space="preserve">foam </w:t>
      </w:r>
      <w:r w:rsidRPr="00162A4B">
        <w:rPr>
          <w:szCs w:val="22"/>
        </w:rPr>
        <w:t xml:space="preserve">products. </w:t>
      </w:r>
      <w:r>
        <w:rPr>
          <w:szCs w:val="22"/>
        </w:rPr>
        <w:t>This</w:t>
      </w:r>
      <w:r w:rsidRPr="00162A4B">
        <w:rPr>
          <w:szCs w:val="22"/>
        </w:rPr>
        <w:t xml:space="preserve"> quality assurance scheme requires treatment companies to demonstrate that they can carry out the environmentally compatible and resource-friendly treatment of CFC-containing foams and that their treatment technology meets a set of quantitative test specifications. Treatment plants that meet </w:t>
      </w:r>
      <w:r>
        <w:rPr>
          <w:szCs w:val="22"/>
        </w:rPr>
        <w:t>the</w:t>
      </w:r>
      <w:r w:rsidRPr="00162A4B">
        <w:rPr>
          <w:szCs w:val="22"/>
        </w:rPr>
        <w:t xml:space="preserve"> quality criteria are awarded the RAL GZ 729 quality mark (RAL </w:t>
      </w:r>
      <w:proofErr w:type="spellStart"/>
      <w:r w:rsidRPr="00162A4B">
        <w:rPr>
          <w:szCs w:val="22"/>
        </w:rPr>
        <w:t>Gütezeichen</w:t>
      </w:r>
      <w:proofErr w:type="spellEnd"/>
      <w:r w:rsidRPr="00162A4B">
        <w:rPr>
          <w:szCs w:val="22"/>
        </w:rPr>
        <w:t>) for the de</w:t>
      </w:r>
      <w:r>
        <w:rPr>
          <w:szCs w:val="22"/>
        </w:rPr>
        <w:t>-</w:t>
      </w:r>
      <w:r w:rsidRPr="00162A4B">
        <w:rPr>
          <w:szCs w:val="22"/>
        </w:rPr>
        <w:t>manufacture of foam products containing</w:t>
      </w:r>
      <w:r>
        <w:rPr>
          <w:szCs w:val="22"/>
        </w:rPr>
        <w:t xml:space="preserve"> ODS</w:t>
      </w:r>
      <w:r w:rsidR="00067CE9">
        <w:rPr>
          <w:rStyle w:val="FootnoteReference"/>
        </w:rPr>
        <w:footnoteReference w:id="104"/>
      </w:r>
      <w:r w:rsidRPr="00162A4B">
        <w:rPr>
          <w:szCs w:val="22"/>
        </w:rPr>
        <w:t>.</w:t>
      </w:r>
    </w:p>
    <w:p w14:paraId="72C5857A" w14:textId="4FAFFC9F" w:rsidR="00EF41C3" w:rsidRDefault="00A93331" w:rsidP="00B41624">
      <w:pPr>
        <w:rPr>
          <w:szCs w:val="22"/>
        </w:rPr>
      </w:pPr>
      <w:r>
        <w:rPr>
          <w:szCs w:val="22"/>
        </w:rPr>
        <w:t>R</w:t>
      </w:r>
      <w:r w:rsidR="00232589">
        <w:rPr>
          <w:szCs w:val="22"/>
        </w:rPr>
        <w:t xml:space="preserve">ecovery of </w:t>
      </w:r>
      <w:r w:rsidR="00910661">
        <w:rPr>
          <w:szCs w:val="22"/>
        </w:rPr>
        <w:t xml:space="preserve">insulating </w:t>
      </w:r>
      <w:r w:rsidR="00232589">
        <w:rPr>
          <w:szCs w:val="22"/>
        </w:rPr>
        <w:t>foams containing CFC-11</w:t>
      </w:r>
      <w:r w:rsidR="00FE7E8A">
        <w:rPr>
          <w:szCs w:val="22"/>
        </w:rPr>
        <w:t xml:space="preserve"> in appliances</w:t>
      </w:r>
      <w:r w:rsidR="006149FF">
        <w:rPr>
          <w:szCs w:val="22"/>
        </w:rPr>
        <w:t>,</w:t>
      </w:r>
      <w:r w:rsidR="00232589">
        <w:rPr>
          <w:szCs w:val="22"/>
        </w:rPr>
        <w:t xml:space="preserve"> for </w:t>
      </w:r>
      <w:r w:rsidR="00B74907">
        <w:rPr>
          <w:szCs w:val="22"/>
        </w:rPr>
        <w:t xml:space="preserve">subsequent </w:t>
      </w:r>
      <w:r w:rsidR="00232589">
        <w:rPr>
          <w:szCs w:val="22"/>
        </w:rPr>
        <w:t>destruction</w:t>
      </w:r>
      <w:r w:rsidR="006149FF">
        <w:rPr>
          <w:szCs w:val="22"/>
        </w:rPr>
        <w:t xml:space="preserve">, </w:t>
      </w:r>
      <w:r w:rsidR="00232589">
        <w:rPr>
          <w:szCs w:val="22"/>
        </w:rPr>
        <w:t xml:space="preserve">is practiced in a number of </w:t>
      </w:r>
      <w:r w:rsidR="004327CE">
        <w:rPr>
          <w:szCs w:val="22"/>
        </w:rPr>
        <w:t>countries</w:t>
      </w:r>
      <w:r w:rsidR="00680778">
        <w:rPr>
          <w:szCs w:val="22"/>
        </w:rPr>
        <w:t>,</w:t>
      </w:r>
      <w:r w:rsidR="00232589">
        <w:rPr>
          <w:szCs w:val="22"/>
        </w:rPr>
        <w:t xml:space="preserve"> including </w:t>
      </w:r>
      <w:r w:rsidR="00680778">
        <w:rPr>
          <w:szCs w:val="22"/>
        </w:rPr>
        <w:t xml:space="preserve">in </w:t>
      </w:r>
      <w:r w:rsidR="00922E77">
        <w:rPr>
          <w:szCs w:val="22"/>
        </w:rPr>
        <w:t>Eu</w:t>
      </w:r>
      <w:r w:rsidR="008B2F1C">
        <w:rPr>
          <w:szCs w:val="22"/>
        </w:rPr>
        <w:t>r</w:t>
      </w:r>
      <w:r w:rsidR="00922E77">
        <w:rPr>
          <w:szCs w:val="22"/>
        </w:rPr>
        <w:t>ope</w:t>
      </w:r>
      <w:r w:rsidR="008B2F1C">
        <w:rPr>
          <w:szCs w:val="22"/>
        </w:rPr>
        <w:t xml:space="preserve"> and </w:t>
      </w:r>
      <w:r w:rsidR="00922E77">
        <w:rPr>
          <w:szCs w:val="22"/>
        </w:rPr>
        <w:t>Japan</w:t>
      </w:r>
      <w:r w:rsidR="00232589">
        <w:rPr>
          <w:szCs w:val="22"/>
        </w:rPr>
        <w:t xml:space="preserve">. </w:t>
      </w:r>
      <w:r w:rsidR="00012476">
        <w:rPr>
          <w:szCs w:val="22"/>
        </w:rPr>
        <w:t>European Union</w:t>
      </w:r>
      <w:r w:rsidR="00320727" w:rsidRPr="0072651A">
        <w:rPr>
          <w:szCs w:val="22"/>
        </w:rPr>
        <w:t xml:space="preserve"> Regulation 1005/2009 on substances that deplete the ozone layer sets out measures that CFCs in insulation foams shall be recovered for destruction, recycling or reclamation if technically and economically feasible, or shall be destroyed without prior recovery using approved destruction technologies. For domestic fridges, these must be disposed of at a licenced fridge treatment facility using contained processes that ensure that the CFCs or HCFCs are not emitted to atmosphere, by recovery followed by destruction.</w:t>
      </w:r>
      <w:r w:rsidR="00320727" w:rsidRPr="002E6CC5">
        <w:rPr>
          <w:szCs w:val="22"/>
        </w:rPr>
        <w:t xml:space="preserve"> </w:t>
      </w:r>
    </w:p>
    <w:p w14:paraId="2EE2DA40" w14:textId="391EDBFD" w:rsidR="000A6872" w:rsidRDefault="009E23B0" w:rsidP="00B41624">
      <w:pPr>
        <w:rPr>
          <w:szCs w:val="22"/>
        </w:rPr>
      </w:pPr>
      <w:r>
        <w:rPr>
          <w:szCs w:val="22"/>
        </w:rPr>
        <w:t>P</w:t>
      </w:r>
      <w:r w:rsidRPr="009E23B0">
        <w:rPr>
          <w:szCs w:val="22"/>
        </w:rPr>
        <w:t xml:space="preserve">romotion </w:t>
      </w:r>
      <w:r>
        <w:rPr>
          <w:szCs w:val="22"/>
        </w:rPr>
        <w:t>of v</w:t>
      </w:r>
      <w:r w:rsidRPr="009E23B0">
        <w:rPr>
          <w:szCs w:val="22"/>
        </w:rPr>
        <w:t xml:space="preserve">oluntary practice </w:t>
      </w:r>
      <w:r>
        <w:rPr>
          <w:szCs w:val="22"/>
        </w:rPr>
        <w:t xml:space="preserve">occurs </w:t>
      </w:r>
      <w:r w:rsidRPr="009E23B0">
        <w:rPr>
          <w:szCs w:val="22"/>
        </w:rPr>
        <w:t xml:space="preserve">mainly for </w:t>
      </w:r>
      <w:r w:rsidR="00CE44EF">
        <w:rPr>
          <w:szCs w:val="22"/>
        </w:rPr>
        <w:t>appliances, e.g.,</w:t>
      </w:r>
      <w:r w:rsidRPr="009E23B0">
        <w:rPr>
          <w:szCs w:val="22"/>
        </w:rPr>
        <w:t xml:space="preserve"> in Canada and the U</w:t>
      </w:r>
      <w:r>
        <w:rPr>
          <w:szCs w:val="22"/>
        </w:rPr>
        <w:t xml:space="preserve">nited </w:t>
      </w:r>
      <w:r w:rsidRPr="009E23B0">
        <w:rPr>
          <w:szCs w:val="22"/>
        </w:rPr>
        <w:t>S</w:t>
      </w:r>
      <w:r>
        <w:rPr>
          <w:szCs w:val="22"/>
        </w:rPr>
        <w:t>tates</w:t>
      </w:r>
      <w:r w:rsidRPr="009E23B0">
        <w:rPr>
          <w:szCs w:val="22"/>
        </w:rPr>
        <w:t>. In develop</w:t>
      </w:r>
      <w:r w:rsidR="009D1FE9">
        <w:rPr>
          <w:szCs w:val="22"/>
        </w:rPr>
        <w:t>ing</w:t>
      </w:r>
      <w:r w:rsidRPr="009E23B0">
        <w:rPr>
          <w:szCs w:val="22"/>
        </w:rPr>
        <w:t xml:space="preserve"> countries, </w:t>
      </w:r>
      <w:r w:rsidR="005A4284">
        <w:rPr>
          <w:szCs w:val="22"/>
        </w:rPr>
        <w:t xml:space="preserve">e.g., </w:t>
      </w:r>
      <w:r w:rsidRPr="009E23B0">
        <w:rPr>
          <w:szCs w:val="22"/>
        </w:rPr>
        <w:t xml:space="preserve">Colombia </w:t>
      </w:r>
      <w:r w:rsidR="00653B42">
        <w:rPr>
          <w:szCs w:val="22"/>
        </w:rPr>
        <w:t>practices recovery of waste foams from</w:t>
      </w:r>
      <w:r w:rsidRPr="009E23B0">
        <w:rPr>
          <w:szCs w:val="22"/>
        </w:rPr>
        <w:t xml:space="preserve"> refrigeration equipment </w:t>
      </w:r>
      <w:r w:rsidR="00653B42">
        <w:rPr>
          <w:szCs w:val="22"/>
        </w:rPr>
        <w:t xml:space="preserve">with </w:t>
      </w:r>
      <w:r w:rsidR="0089258E">
        <w:rPr>
          <w:szCs w:val="22"/>
        </w:rPr>
        <w:t xml:space="preserve">an extended producer responsibility system. </w:t>
      </w:r>
      <w:r w:rsidR="00232589">
        <w:rPr>
          <w:szCs w:val="22"/>
        </w:rPr>
        <w:t xml:space="preserve">The recovery </w:t>
      </w:r>
      <w:r w:rsidR="00232589">
        <w:rPr>
          <w:szCs w:val="22"/>
        </w:rPr>
        <w:lastRenderedPageBreak/>
        <w:t>process requires segregation of waste</w:t>
      </w:r>
      <w:r w:rsidR="00165EE1">
        <w:rPr>
          <w:szCs w:val="22"/>
        </w:rPr>
        <w:t xml:space="preserve"> and materials for </w:t>
      </w:r>
      <w:r w:rsidR="00B74907">
        <w:rPr>
          <w:szCs w:val="22"/>
        </w:rPr>
        <w:t xml:space="preserve">separate </w:t>
      </w:r>
      <w:r w:rsidR="00165EE1">
        <w:rPr>
          <w:szCs w:val="22"/>
        </w:rPr>
        <w:t>processing. In the case of refrigerat</w:t>
      </w:r>
      <w:r w:rsidR="00894D03">
        <w:rPr>
          <w:szCs w:val="22"/>
        </w:rPr>
        <w:t>ion appliances</w:t>
      </w:r>
      <w:r w:rsidR="00165EE1">
        <w:rPr>
          <w:szCs w:val="22"/>
        </w:rPr>
        <w:t xml:space="preserve">, refrigerant, metals and plastics are separated from other components, often </w:t>
      </w:r>
      <w:r w:rsidR="004B2F48">
        <w:rPr>
          <w:szCs w:val="22"/>
        </w:rPr>
        <w:t xml:space="preserve">undertaken </w:t>
      </w:r>
      <w:r w:rsidR="00165EE1">
        <w:rPr>
          <w:szCs w:val="22"/>
        </w:rPr>
        <w:t xml:space="preserve">as part of </w:t>
      </w:r>
      <w:r w:rsidR="00720F64">
        <w:rPr>
          <w:szCs w:val="22"/>
        </w:rPr>
        <w:t xml:space="preserve">a </w:t>
      </w:r>
      <w:r w:rsidR="006C79E4">
        <w:rPr>
          <w:szCs w:val="22"/>
        </w:rPr>
        <w:t xml:space="preserve">broader </w:t>
      </w:r>
      <w:r w:rsidR="00720F64">
        <w:rPr>
          <w:szCs w:val="22"/>
        </w:rPr>
        <w:t xml:space="preserve">waste management program. </w:t>
      </w:r>
    </w:p>
    <w:p w14:paraId="4ABDA985" w14:textId="087B1DD0" w:rsidR="00FC2466" w:rsidRDefault="004B1DF1" w:rsidP="00B41624">
      <w:pPr>
        <w:rPr>
          <w:szCs w:val="22"/>
        </w:rPr>
      </w:pPr>
      <w:r>
        <w:rPr>
          <w:szCs w:val="22"/>
        </w:rPr>
        <w:t xml:space="preserve">To recover CFC-11 from appliance foams, </w:t>
      </w:r>
      <w:r w:rsidR="00FC2466" w:rsidRPr="00FC2466">
        <w:rPr>
          <w:szCs w:val="22"/>
        </w:rPr>
        <w:t xml:space="preserve">the appliance </w:t>
      </w:r>
      <w:r w:rsidR="00392DAC">
        <w:rPr>
          <w:szCs w:val="22"/>
        </w:rPr>
        <w:t xml:space="preserve">is shredded </w:t>
      </w:r>
      <w:r w:rsidR="00FC2466" w:rsidRPr="00FC2466">
        <w:rPr>
          <w:szCs w:val="22"/>
        </w:rPr>
        <w:t xml:space="preserve">within an airtight system </w:t>
      </w:r>
      <w:r w:rsidR="00392DAC">
        <w:rPr>
          <w:szCs w:val="22"/>
        </w:rPr>
        <w:t>to</w:t>
      </w:r>
      <w:r w:rsidR="00FC2466" w:rsidRPr="00FC2466">
        <w:rPr>
          <w:szCs w:val="22"/>
        </w:rPr>
        <w:t xml:space="preserve"> capture the foam blowing agent</w:t>
      </w:r>
      <w:r w:rsidR="002E12D4">
        <w:rPr>
          <w:szCs w:val="22"/>
        </w:rPr>
        <w:t>, which</w:t>
      </w:r>
      <w:r w:rsidR="00FC2466" w:rsidRPr="00FC2466">
        <w:rPr>
          <w:szCs w:val="22"/>
        </w:rPr>
        <w:t xml:space="preserve"> is </w:t>
      </w:r>
      <w:r>
        <w:rPr>
          <w:szCs w:val="22"/>
        </w:rPr>
        <w:t>partially</w:t>
      </w:r>
      <w:r w:rsidR="00FC2466" w:rsidRPr="00FC2466">
        <w:rPr>
          <w:szCs w:val="22"/>
        </w:rPr>
        <w:t xml:space="preserve"> released during the process. The shredded foam</w:t>
      </w:r>
      <w:r w:rsidR="00392DAC">
        <w:rPr>
          <w:szCs w:val="22"/>
        </w:rPr>
        <w:t>,</w:t>
      </w:r>
      <w:r w:rsidR="00FC2466" w:rsidRPr="00FC2466">
        <w:rPr>
          <w:szCs w:val="22"/>
        </w:rPr>
        <w:t xml:space="preserve"> still contain</w:t>
      </w:r>
      <w:r w:rsidR="00392DAC">
        <w:rPr>
          <w:szCs w:val="22"/>
        </w:rPr>
        <w:t>ing</w:t>
      </w:r>
      <w:r w:rsidR="00FC2466" w:rsidRPr="00FC2466">
        <w:rPr>
          <w:szCs w:val="22"/>
        </w:rPr>
        <w:t xml:space="preserve"> </w:t>
      </w:r>
      <w:r w:rsidR="00392DAC">
        <w:rPr>
          <w:szCs w:val="22"/>
        </w:rPr>
        <w:t>CFC-11</w:t>
      </w:r>
      <w:r w:rsidR="00C201AD">
        <w:rPr>
          <w:szCs w:val="22"/>
        </w:rPr>
        <w:t xml:space="preserve"> foam blowing agent</w:t>
      </w:r>
      <w:r w:rsidR="00FC2466" w:rsidRPr="00FC2466">
        <w:rPr>
          <w:szCs w:val="22"/>
        </w:rPr>
        <w:t>, is separated from the metal</w:t>
      </w:r>
      <w:r w:rsidR="00691AF6">
        <w:rPr>
          <w:szCs w:val="22"/>
        </w:rPr>
        <w:t>s</w:t>
      </w:r>
      <w:r w:rsidR="00FC2466" w:rsidRPr="00FC2466">
        <w:rPr>
          <w:szCs w:val="22"/>
        </w:rPr>
        <w:t xml:space="preserve"> and then </w:t>
      </w:r>
      <w:r w:rsidR="009F694A">
        <w:rPr>
          <w:szCs w:val="22"/>
        </w:rPr>
        <w:t xml:space="preserve">is </w:t>
      </w:r>
      <w:r w:rsidR="00FC2466" w:rsidRPr="00FC2466">
        <w:rPr>
          <w:szCs w:val="22"/>
        </w:rPr>
        <w:t xml:space="preserve">incinerated to destroy </w:t>
      </w:r>
      <w:r w:rsidR="00C81A27">
        <w:rPr>
          <w:szCs w:val="22"/>
        </w:rPr>
        <w:t xml:space="preserve">the </w:t>
      </w:r>
      <w:r w:rsidR="00FC2466" w:rsidRPr="00FC2466">
        <w:rPr>
          <w:szCs w:val="22"/>
        </w:rPr>
        <w:t xml:space="preserve">foam and </w:t>
      </w:r>
      <w:r w:rsidR="009F694A">
        <w:rPr>
          <w:szCs w:val="22"/>
        </w:rPr>
        <w:t xml:space="preserve">CFC-11 </w:t>
      </w:r>
      <w:r w:rsidR="00FC2466" w:rsidRPr="00FC2466">
        <w:rPr>
          <w:szCs w:val="22"/>
        </w:rPr>
        <w:t>together</w:t>
      </w:r>
      <w:r w:rsidR="009F694A">
        <w:rPr>
          <w:szCs w:val="22"/>
        </w:rPr>
        <w:t>,</w:t>
      </w:r>
      <w:r w:rsidR="00FC2466" w:rsidRPr="00FC2466">
        <w:rPr>
          <w:szCs w:val="22"/>
        </w:rPr>
        <w:t xml:space="preserve"> or the </w:t>
      </w:r>
      <w:r w:rsidR="009F694A">
        <w:rPr>
          <w:szCs w:val="22"/>
        </w:rPr>
        <w:t>CFC-11</w:t>
      </w:r>
      <w:r w:rsidR="00FC2466" w:rsidRPr="00FC2466">
        <w:rPr>
          <w:szCs w:val="22"/>
        </w:rPr>
        <w:t xml:space="preserve"> can be separated from the foam for reclamation or destruction. This</w:t>
      </w:r>
      <w:r w:rsidR="00380B2E">
        <w:rPr>
          <w:szCs w:val="22"/>
        </w:rPr>
        <w:t xml:space="preserve"> </w:t>
      </w:r>
      <w:r w:rsidR="00FC2466" w:rsidRPr="00FC2466">
        <w:rPr>
          <w:szCs w:val="22"/>
        </w:rPr>
        <w:t xml:space="preserve">process is </w:t>
      </w:r>
      <w:r w:rsidR="00380B2E">
        <w:rPr>
          <w:szCs w:val="22"/>
        </w:rPr>
        <w:t>relatively</w:t>
      </w:r>
      <w:r w:rsidR="002C38AF">
        <w:rPr>
          <w:szCs w:val="22"/>
        </w:rPr>
        <w:t xml:space="preserve"> </w:t>
      </w:r>
      <w:r w:rsidR="002C38AF" w:rsidRPr="002C38AF">
        <w:rPr>
          <w:szCs w:val="22"/>
        </w:rPr>
        <w:t xml:space="preserve">energy </w:t>
      </w:r>
      <w:r w:rsidR="00351039">
        <w:rPr>
          <w:szCs w:val="22"/>
        </w:rPr>
        <w:t xml:space="preserve">and cost </w:t>
      </w:r>
      <w:r w:rsidR="002C38AF" w:rsidRPr="002C38AF">
        <w:rPr>
          <w:szCs w:val="22"/>
        </w:rPr>
        <w:t>intensive</w:t>
      </w:r>
      <w:r w:rsidR="00380B2E">
        <w:rPr>
          <w:szCs w:val="22"/>
        </w:rPr>
        <w:t>.</w:t>
      </w:r>
      <w:r w:rsidR="002C38AF" w:rsidRPr="002C38AF">
        <w:rPr>
          <w:szCs w:val="22"/>
        </w:rPr>
        <w:t xml:space="preserve"> However, </w:t>
      </w:r>
      <w:r w:rsidR="00551D6A">
        <w:rPr>
          <w:szCs w:val="22"/>
        </w:rPr>
        <w:t xml:space="preserve">an analysis of </w:t>
      </w:r>
      <w:r w:rsidR="002C38AF" w:rsidRPr="002C38AF">
        <w:rPr>
          <w:szCs w:val="22"/>
        </w:rPr>
        <w:t xml:space="preserve">the </w:t>
      </w:r>
      <w:r w:rsidR="00F20120">
        <w:rPr>
          <w:szCs w:val="22"/>
        </w:rPr>
        <w:t xml:space="preserve">relative </w:t>
      </w:r>
      <w:r w:rsidR="002C38AF" w:rsidRPr="002C38AF">
        <w:rPr>
          <w:szCs w:val="22"/>
        </w:rPr>
        <w:t>environmental impact</w:t>
      </w:r>
      <w:r w:rsidR="00F20120">
        <w:rPr>
          <w:szCs w:val="22"/>
        </w:rPr>
        <w:t>s concludes that</w:t>
      </w:r>
      <w:r w:rsidR="002C38AF" w:rsidRPr="002C38AF">
        <w:rPr>
          <w:szCs w:val="22"/>
        </w:rPr>
        <w:t xml:space="preserve"> energy consumption for </w:t>
      </w:r>
      <w:r w:rsidR="005460C8">
        <w:rPr>
          <w:szCs w:val="22"/>
        </w:rPr>
        <w:t>disposal processes</w:t>
      </w:r>
      <w:r w:rsidR="002C38AF" w:rsidRPr="002C38AF">
        <w:rPr>
          <w:szCs w:val="22"/>
        </w:rPr>
        <w:t>, measured in CO</w:t>
      </w:r>
      <w:r w:rsidR="002C38AF" w:rsidRPr="001B0452">
        <w:rPr>
          <w:szCs w:val="22"/>
          <w:vertAlign w:val="subscript"/>
        </w:rPr>
        <w:t>2</w:t>
      </w:r>
      <w:r w:rsidR="001B0452">
        <w:rPr>
          <w:szCs w:val="22"/>
        </w:rPr>
        <w:t xml:space="preserve"> </w:t>
      </w:r>
      <w:r w:rsidR="002C38AF" w:rsidRPr="002C38AF">
        <w:rPr>
          <w:szCs w:val="22"/>
        </w:rPr>
        <w:t>eq</w:t>
      </w:r>
      <w:r w:rsidR="001B0452">
        <w:rPr>
          <w:szCs w:val="22"/>
        </w:rPr>
        <w:t>uivalents</w:t>
      </w:r>
      <w:r w:rsidR="002C38AF" w:rsidRPr="002C38AF">
        <w:rPr>
          <w:szCs w:val="22"/>
        </w:rPr>
        <w:t xml:space="preserve">, </w:t>
      </w:r>
      <w:r w:rsidR="00C93484">
        <w:rPr>
          <w:szCs w:val="22"/>
        </w:rPr>
        <w:t>has a</w:t>
      </w:r>
      <w:r w:rsidR="002C38AF" w:rsidRPr="002C38AF">
        <w:rPr>
          <w:szCs w:val="22"/>
        </w:rPr>
        <w:t xml:space="preserve"> negligible </w:t>
      </w:r>
      <w:r w:rsidR="00C93484">
        <w:rPr>
          <w:szCs w:val="22"/>
        </w:rPr>
        <w:t xml:space="preserve">impact </w:t>
      </w:r>
      <w:r w:rsidR="002C38AF" w:rsidRPr="002C38AF">
        <w:rPr>
          <w:szCs w:val="22"/>
        </w:rPr>
        <w:t xml:space="preserve">compared to the </w:t>
      </w:r>
      <w:r w:rsidR="00C93484">
        <w:rPr>
          <w:szCs w:val="22"/>
        </w:rPr>
        <w:t xml:space="preserve">impact of </w:t>
      </w:r>
      <w:r w:rsidR="002C38AF" w:rsidRPr="002C38AF">
        <w:rPr>
          <w:szCs w:val="22"/>
        </w:rPr>
        <w:t>emission</w:t>
      </w:r>
      <w:r w:rsidR="00F20120">
        <w:rPr>
          <w:szCs w:val="22"/>
        </w:rPr>
        <w:t>s</w:t>
      </w:r>
      <w:r w:rsidR="002C38AF" w:rsidRPr="002C38AF">
        <w:rPr>
          <w:szCs w:val="22"/>
        </w:rPr>
        <w:t xml:space="preserve"> </w:t>
      </w:r>
      <w:r w:rsidR="00F20120" w:rsidRPr="002C38AF">
        <w:rPr>
          <w:szCs w:val="22"/>
        </w:rPr>
        <w:t xml:space="preserve">avoided </w:t>
      </w:r>
      <w:r w:rsidR="002C38AF" w:rsidRPr="002C38AF">
        <w:rPr>
          <w:szCs w:val="22"/>
        </w:rPr>
        <w:t xml:space="preserve">from </w:t>
      </w:r>
      <w:r w:rsidR="00EE0223">
        <w:rPr>
          <w:szCs w:val="22"/>
        </w:rPr>
        <w:t>the</w:t>
      </w:r>
      <w:r w:rsidR="002C38AF" w:rsidRPr="002C38AF">
        <w:rPr>
          <w:szCs w:val="22"/>
        </w:rPr>
        <w:t xml:space="preserve"> destruction</w:t>
      </w:r>
      <w:r w:rsidR="00EE0223">
        <w:rPr>
          <w:szCs w:val="22"/>
        </w:rPr>
        <w:t xml:space="preserve"> of ODS blowing agent</w:t>
      </w:r>
      <w:r w:rsidR="00557F11">
        <w:rPr>
          <w:rStyle w:val="FootnoteReference"/>
        </w:rPr>
        <w:footnoteReference w:id="105"/>
      </w:r>
      <w:r w:rsidR="002C38AF" w:rsidRPr="002C38AF">
        <w:rPr>
          <w:szCs w:val="22"/>
        </w:rPr>
        <w:t>.</w:t>
      </w:r>
      <w:r w:rsidR="003A5FFF">
        <w:rPr>
          <w:szCs w:val="22"/>
        </w:rPr>
        <w:t xml:space="preserve"> </w:t>
      </w:r>
      <w:r w:rsidR="00F1015B">
        <w:rPr>
          <w:szCs w:val="22"/>
        </w:rPr>
        <w:t xml:space="preserve">Most appliance foams </w:t>
      </w:r>
      <w:r w:rsidR="006D7B7D">
        <w:rPr>
          <w:szCs w:val="22"/>
        </w:rPr>
        <w:t xml:space="preserve">containing </w:t>
      </w:r>
      <w:r w:rsidR="00B46143">
        <w:rPr>
          <w:szCs w:val="22"/>
        </w:rPr>
        <w:t xml:space="preserve">CFC-11 </w:t>
      </w:r>
      <w:r w:rsidR="00F1015B">
        <w:rPr>
          <w:szCs w:val="22"/>
        </w:rPr>
        <w:t>have already reached their end-of-life</w:t>
      </w:r>
      <w:r w:rsidR="00D815F5">
        <w:rPr>
          <w:szCs w:val="22"/>
        </w:rPr>
        <w:t xml:space="preserve"> leaving an estimated 100 </w:t>
      </w:r>
      <w:proofErr w:type="spellStart"/>
      <w:r w:rsidR="00D815F5">
        <w:rPr>
          <w:szCs w:val="22"/>
        </w:rPr>
        <w:t>kilotonnes</w:t>
      </w:r>
      <w:proofErr w:type="spellEnd"/>
      <w:r w:rsidR="00D815F5">
        <w:rPr>
          <w:szCs w:val="22"/>
        </w:rPr>
        <w:t xml:space="preserve"> in the</w:t>
      </w:r>
      <w:r w:rsidR="00803B32">
        <w:rPr>
          <w:szCs w:val="22"/>
        </w:rPr>
        <w:t xml:space="preserve"> active bank</w:t>
      </w:r>
      <w:r w:rsidR="00735447">
        <w:rPr>
          <w:rStyle w:val="FootnoteReference"/>
        </w:rPr>
        <w:footnoteReference w:id="106"/>
      </w:r>
      <w:r w:rsidR="00803B32">
        <w:rPr>
          <w:szCs w:val="22"/>
        </w:rPr>
        <w:t>. Note that</w:t>
      </w:r>
      <w:r w:rsidR="00C469A2">
        <w:rPr>
          <w:szCs w:val="22"/>
        </w:rPr>
        <w:t xml:space="preserve"> </w:t>
      </w:r>
      <w:r w:rsidR="009078E8">
        <w:rPr>
          <w:szCs w:val="22"/>
        </w:rPr>
        <w:t xml:space="preserve">the majority of appliances containing CFC-11 foams were likely manufactured after 1995 in </w:t>
      </w:r>
      <w:r w:rsidR="00150648">
        <w:rPr>
          <w:szCs w:val="22"/>
        </w:rPr>
        <w:t>Article 5</w:t>
      </w:r>
      <w:r w:rsidR="00225B3C">
        <w:rPr>
          <w:szCs w:val="22"/>
        </w:rPr>
        <w:t xml:space="preserve"> parties</w:t>
      </w:r>
      <w:r w:rsidR="00982A61">
        <w:rPr>
          <w:szCs w:val="22"/>
        </w:rPr>
        <w:t xml:space="preserve">, many of which may have been </w:t>
      </w:r>
      <w:r w:rsidR="00E930CE">
        <w:rPr>
          <w:szCs w:val="22"/>
        </w:rPr>
        <w:t>exported</w:t>
      </w:r>
      <w:r w:rsidR="00EB5FB6">
        <w:rPr>
          <w:szCs w:val="22"/>
        </w:rPr>
        <w:t>.</w:t>
      </w:r>
    </w:p>
    <w:p w14:paraId="7F88EA08" w14:textId="71AAB9F7" w:rsidR="002C38AF" w:rsidRPr="00F6084A" w:rsidRDefault="0083251F" w:rsidP="0083251F">
      <w:pPr>
        <w:rPr>
          <w:szCs w:val="22"/>
          <w:highlight w:val="cyan"/>
        </w:rPr>
      </w:pPr>
      <w:r w:rsidRPr="006F5AE7">
        <w:rPr>
          <w:szCs w:val="22"/>
        </w:rPr>
        <w:t xml:space="preserve">The challenge with </w:t>
      </w:r>
      <w:r w:rsidR="00E70944" w:rsidRPr="006F5AE7">
        <w:rPr>
          <w:szCs w:val="22"/>
        </w:rPr>
        <w:t>building insulat</w:t>
      </w:r>
      <w:r w:rsidR="008169AB" w:rsidRPr="006F5AE7">
        <w:rPr>
          <w:szCs w:val="22"/>
        </w:rPr>
        <w:t xml:space="preserve">ion </w:t>
      </w:r>
      <w:r w:rsidRPr="006F5AE7">
        <w:rPr>
          <w:szCs w:val="22"/>
        </w:rPr>
        <w:t xml:space="preserve">foam is </w:t>
      </w:r>
      <w:r w:rsidR="008169AB" w:rsidRPr="006F5AE7">
        <w:rPr>
          <w:szCs w:val="22"/>
        </w:rPr>
        <w:t>its</w:t>
      </w:r>
      <w:r w:rsidRPr="006F5AE7">
        <w:rPr>
          <w:szCs w:val="22"/>
        </w:rPr>
        <w:t xml:space="preserve"> separation and collection during building demolition. Depending on the foam type and application method, this </w:t>
      </w:r>
      <w:r w:rsidR="00AA566C">
        <w:rPr>
          <w:szCs w:val="22"/>
        </w:rPr>
        <w:t>might be</w:t>
      </w:r>
      <w:r w:rsidR="00431CB9">
        <w:rPr>
          <w:szCs w:val="22"/>
        </w:rPr>
        <w:t xml:space="preserve"> feasible</w:t>
      </w:r>
      <w:r w:rsidRPr="006F5AE7">
        <w:rPr>
          <w:szCs w:val="22"/>
        </w:rPr>
        <w:t xml:space="preserve"> with medium effort, </w:t>
      </w:r>
      <w:r w:rsidR="00E70944" w:rsidRPr="006F5AE7">
        <w:rPr>
          <w:szCs w:val="22"/>
        </w:rPr>
        <w:t xml:space="preserve">e.g., </w:t>
      </w:r>
      <w:r w:rsidRPr="006F5AE7">
        <w:rPr>
          <w:szCs w:val="22"/>
        </w:rPr>
        <w:t>steel-faced panels</w:t>
      </w:r>
      <w:r w:rsidR="00855B17" w:rsidRPr="006F5AE7">
        <w:rPr>
          <w:szCs w:val="22"/>
        </w:rPr>
        <w:t xml:space="preserve"> or is not </w:t>
      </w:r>
      <w:r w:rsidR="00AA566C">
        <w:rPr>
          <w:szCs w:val="22"/>
        </w:rPr>
        <w:t>feasible</w:t>
      </w:r>
      <w:r w:rsidR="00855B17" w:rsidRPr="006F5AE7">
        <w:rPr>
          <w:szCs w:val="22"/>
        </w:rPr>
        <w:t xml:space="preserve"> without emitting the CFC-11, e.g., </w:t>
      </w:r>
      <w:r w:rsidR="00E70944" w:rsidRPr="006F5AE7">
        <w:rPr>
          <w:szCs w:val="22"/>
        </w:rPr>
        <w:t>spray foams</w:t>
      </w:r>
      <w:r w:rsidRPr="006F5AE7">
        <w:rPr>
          <w:szCs w:val="22"/>
        </w:rPr>
        <w:t xml:space="preserve">. The </w:t>
      </w:r>
      <w:r w:rsidR="00E930CE">
        <w:rPr>
          <w:szCs w:val="22"/>
        </w:rPr>
        <w:t xml:space="preserve">level of </w:t>
      </w:r>
      <w:r w:rsidRPr="006F5AE7">
        <w:rPr>
          <w:szCs w:val="22"/>
        </w:rPr>
        <w:t xml:space="preserve">effort also </w:t>
      </w:r>
      <w:r w:rsidR="00F54A24" w:rsidRPr="006F5AE7">
        <w:rPr>
          <w:szCs w:val="22"/>
        </w:rPr>
        <w:t>relies</w:t>
      </w:r>
      <w:r w:rsidRPr="006F5AE7">
        <w:rPr>
          <w:szCs w:val="22"/>
        </w:rPr>
        <w:t xml:space="preserve"> on existing practices of segregating material</w:t>
      </w:r>
      <w:r w:rsidR="00C01C43" w:rsidRPr="006F5AE7">
        <w:rPr>
          <w:szCs w:val="22"/>
        </w:rPr>
        <w:t xml:space="preserve"> during demolition</w:t>
      </w:r>
      <w:r w:rsidRPr="006F5AE7">
        <w:rPr>
          <w:szCs w:val="22"/>
        </w:rPr>
        <w:t xml:space="preserve">. </w:t>
      </w:r>
      <w:r w:rsidR="00600137" w:rsidRPr="006F5AE7">
        <w:rPr>
          <w:szCs w:val="22"/>
        </w:rPr>
        <w:t>Building insulating foams can be collected with lower effort w</w:t>
      </w:r>
      <w:r w:rsidRPr="006F5AE7">
        <w:rPr>
          <w:szCs w:val="22"/>
        </w:rPr>
        <w:t>here the segregation of demolition material is common practi</w:t>
      </w:r>
      <w:r w:rsidR="00600137" w:rsidRPr="006F5AE7">
        <w:rPr>
          <w:szCs w:val="22"/>
        </w:rPr>
        <w:t>c</w:t>
      </w:r>
      <w:r w:rsidRPr="006F5AE7">
        <w:rPr>
          <w:szCs w:val="22"/>
        </w:rPr>
        <w:t>e</w:t>
      </w:r>
      <w:r w:rsidR="00761518">
        <w:rPr>
          <w:rStyle w:val="FootnoteReference"/>
        </w:rPr>
        <w:footnoteReference w:id="107"/>
      </w:r>
      <w:r w:rsidRPr="006F5AE7">
        <w:rPr>
          <w:szCs w:val="22"/>
        </w:rPr>
        <w:t>.</w:t>
      </w:r>
      <w:r w:rsidR="00EC215B">
        <w:rPr>
          <w:szCs w:val="22"/>
        </w:rPr>
        <w:t xml:space="preserve"> Based on </w:t>
      </w:r>
      <w:r w:rsidR="003831BC">
        <w:rPr>
          <w:szCs w:val="22"/>
        </w:rPr>
        <w:t xml:space="preserve">these </w:t>
      </w:r>
      <w:r w:rsidR="00EC215B">
        <w:rPr>
          <w:szCs w:val="22"/>
        </w:rPr>
        <w:t>previous analyse</w:t>
      </w:r>
      <w:r w:rsidR="003831BC">
        <w:rPr>
          <w:szCs w:val="22"/>
        </w:rPr>
        <w:t>s</w:t>
      </w:r>
      <w:r w:rsidR="00EC215B">
        <w:rPr>
          <w:szCs w:val="22"/>
        </w:rPr>
        <w:t xml:space="preserve">, the </w:t>
      </w:r>
      <w:r w:rsidR="0043202B">
        <w:rPr>
          <w:szCs w:val="22"/>
        </w:rPr>
        <w:t xml:space="preserve">cost of </w:t>
      </w:r>
      <w:r w:rsidR="000542EA">
        <w:rPr>
          <w:szCs w:val="22"/>
        </w:rPr>
        <w:t>collection</w:t>
      </w:r>
      <w:r w:rsidR="0043202B">
        <w:rPr>
          <w:szCs w:val="22"/>
        </w:rPr>
        <w:t xml:space="preserve"> and destruction of steel-faced foam panels is between </w:t>
      </w:r>
      <w:r w:rsidR="00251156">
        <w:rPr>
          <w:szCs w:val="22"/>
        </w:rPr>
        <w:t>3</w:t>
      </w:r>
      <w:r w:rsidR="0043202B">
        <w:rPr>
          <w:szCs w:val="22"/>
        </w:rPr>
        <w:t xml:space="preserve">-15 times </w:t>
      </w:r>
      <w:r w:rsidR="002274AF">
        <w:rPr>
          <w:szCs w:val="22"/>
        </w:rPr>
        <w:t>higher</w:t>
      </w:r>
      <w:r w:rsidR="0043202B">
        <w:rPr>
          <w:szCs w:val="22"/>
        </w:rPr>
        <w:t xml:space="preserve"> than </w:t>
      </w:r>
      <w:r w:rsidR="000542EA">
        <w:rPr>
          <w:szCs w:val="22"/>
        </w:rPr>
        <w:t>the recovery</w:t>
      </w:r>
      <w:r w:rsidR="00EC215B">
        <w:rPr>
          <w:szCs w:val="22"/>
        </w:rPr>
        <w:t xml:space="preserve"> </w:t>
      </w:r>
      <w:r w:rsidR="002274AF">
        <w:rPr>
          <w:szCs w:val="22"/>
        </w:rPr>
        <w:t>and destruction of refrigerant</w:t>
      </w:r>
      <w:r w:rsidR="004238C8">
        <w:rPr>
          <w:szCs w:val="22"/>
        </w:rPr>
        <w:t>s from stationary AC (</w:t>
      </w:r>
      <w:r w:rsidR="00A25D65">
        <w:rPr>
          <w:szCs w:val="22"/>
        </w:rPr>
        <w:t xml:space="preserve">including </w:t>
      </w:r>
      <w:r w:rsidR="004238C8">
        <w:rPr>
          <w:szCs w:val="22"/>
        </w:rPr>
        <w:t>chillers)</w:t>
      </w:r>
      <w:r w:rsidR="00B8778F">
        <w:rPr>
          <w:szCs w:val="22"/>
        </w:rPr>
        <w:t>.</w:t>
      </w:r>
      <w:r w:rsidR="0099577C">
        <w:rPr>
          <w:szCs w:val="22"/>
        </w:rPr>
        <w:t xml:space="preserve"> </w:t>
      </w:r>
      <w:r w:rsidR="004E47A1">
        <w:rPr>
          <w:szCs w:val="22"/>
        </w:rPr>
        <w:t>By comparison, the cost of recovery and destruction of a</w:t>
      </w:r>
      <w:r w:rsidR="004F300F">
        <w:rPr>
          <w:szCs w:val="22"/>
        </w:rPr>
        <w:t xml:space="preserve">ppliance foams </w:t>
      </w:r>
      <w:r w:rsidR="004E47A1">
        <w:rPr>
          <w:szCs w:val="22"/>
        </w:rPr>
        <w:t>is estimated to be</w:t>
      </w:r>
      <w:r w:rsidR="004F300F">
        <w:rPr>
          <w:szCs w:val="22"/>
        </w:rPr>
        <w:t xml:space="preserve"> as little as a quarter</w:t>
      </w:r>
      <w:r w:rsidR="004E47A1">
        <w:rPr>
          <w:szCs w:val="22"/>
        </w:rPr>
        <w:t xml:space="preserve"> </w:t>
      </w:r>
      <w:r w:rsidR="00376C28">
        <w:rPr>
          <w:szCs w:val="22"/>
        </w:rPr>
        <w:t xml:space="preserve">the cost, </w:t>
      </w:r>
      <w:r w:rsidR="005B4A3D">
        <w:rPr>
          <w:szCs w:val="22"/>
        </w:rPr>
        <w:t xml:space="preserve">and up </w:t>
      </w:r>
      <w:r w:rsidR="00C231F7">
        <w:rPr>
          <w:szCs w:val="22"/>
        </w:rPr>
        <w:t xml:space="preserve">to </w:t>
      </w:r>
      <w:r w:rsidR="00FA53C5">
        <w:rPr>
          <w:szCs w:val="22"/>
        </w:rPr>
        <w:t>a similar</w:t>
      </w:r>
      <w:r w:rsidR="004266F2">
        <w:rPr>
          <w:szCs w:val="22"/>
        </w:rPr>
        <w:t xml:space="preserve"> </w:t>
      </w:r>
      <w:r w:rsidR="00EC55F2">
        <w:rPr>
          <w:szCs w:val="22"/>
        </w:rPr>
        <w:t xml:space="preserve">equivalent </w:t>
      </w:r>
      <w:r w:rsidR="004E47A1">
        <w:rPr>
          <w:szCs w:val="22"/>
        </w:rPr>
        <w:t>cost</w:t>
      </w:r>
      <w:r w:rsidR="00376C28">
        <w:rPr>
          <w:szCs w:val="22"/>
        </w:rPr>
        <w:t>,</w:t>
      </w:r>
      <w:r w:rsidR="004E47A1">
        <w:rPr>
          <w:szCs w:val="22"/>
        </w:rPr>
        <w:t xml:space="preserve"> </w:t>
      </w:r>
      <w:r w:rsidR="00D65748">
        <w:rPr>
          <w:szCs w:val="22"/>
        </w:rPr>
        <w:t>as</w:t>
      </w:r>
      <w:r w:rsidR="004E47A1">
        <w:rPr>
          <w:szCs w:val="22"/>
        </w:rPr>
        <w:t xml:space="preserve"> </w:t>
      </w:r>
      <w:r w:rsidR="005B4A3D">
        <w:rPr>
          <w:szCs w:val="22"/>
        </w:rPr>
        <w:t xml:space="preserve">the recovery and destruction of </w:t>
      </w:r>
      <w:r w:rsidR="00225355">
        <w:rPr>
          <w:szCs w:val="22"/>
        </w:rPr>
        <w:t>steel-faced foam panels.</w:t>
      </w:r>
    </w:p>
    <w:p w14:paraId="68B3FFE6" w14:textId="3CBC074F" w:rsidR="00C72385" w:rsidRDefault="00E903BF" w:rsidP="00B41624">
      <w:r>
        <w:t xml:space="preserve">Up to 10-20% of </w:t>
      </w:r>
      <w:r w:rsidR="002D6454">
        <w:t>closed-cell</w:t>
      </w:r>
      <w:r w:rsidR="00445B43">
        <w:t xml:space="preserve"> </w:t>
      </w:r>
      <w:r w:rsidR="00B3154F">
        <w:t xml:space="preserve">CFC-11 </w:t>
      </w:r>
      <w:r w:rsidR="00445B43">
        <w:t xml:space="preserve">foam lifecycle emissions </w:t>
      </w:r>
      <w:r w:rsidR="00AE0A8C">
        <w:t>occur during dismantling and/or segregation processes</w:t>
      </w:r>
      <w:r w:rsidR="00CB7E86">
        <w:t xml:space="preserve">, e.g., </w:t>
      </w:r>
      <w:r w:rsidR="00111E86">
        <w:t>during</w:t>
      </w:r>
      <w:r w:rsidR="00CB7E86">
        <w:t xml:space="preserve"> the rec</w:t>
      </w:r>
      <w:r w:rsidR="00EB6192">
        <w:t xml:space="preserve">overy and recycling </w:t>
      </w:r>
      <w:r w:rsidR="005A5683">
        <w:t>of metals and plastics</w:t>
      </w:r>
      <w:r w:rsidR="00125FD7">
        <w:t xml:space="preserve"> from</w:t>
      </w:r>
      <w:r w:rsidR="00B330E6">
        <w:t xml:space="preserve"> </w:t>
      </w:r>
      <w:r w:rsidR="001553BA">
        <w:t xml:space="preserve">insulating foam </w:t>
      </w:r>
      <w:r w:rsidR="00B330E6">
        <w:t>panels</w:t>
      </w:r>
      <w:r w:rsidR="00DF5C0A">
        <w:t xml:space="preserve"> </w:t>
      </w:r>
      <w:r w:rsidR="001553BA">
        <w:t xml:space="preserve">in buildings </w:t>
      </w:r>
      <w:r w:rsidR="00DF5C0A">
        <w:t xml:space="preserve">or </w:t>
      </w:r>
      <w:r w:rsidR="001553BA">
        <w:t xml:space="preserve">from </w:t>
      </w:r>
      <w:r w:rsidR="00DF5C0A">
        <w:t>refrigerators</w:t>
      </w:r>
      <w:r w:rsidR="003A47BF">
        <w:t xml:space="preserve"> in the instances</w:t>
      </w:r>
      <w:r w:rsidR="00690165">
        <w:t xml:space="preserve"> </w:t>
      </w:r>
      <w:r w:rsidR="008550B0">
        <w:t>where the process is not enclosed</w:t>
      </w:r>
      <w:r>
        <w:t>.</w:t>
      </w:r>
      <w:r w:rsidR="00516573">
        <w:t xml:space="preserve"> </w:t>
      </w:r>
      <w:r w:rsidR="00720F64">
        <w:t xml:space="preserve">The separated foam is </w:t>
      </w:r>
      <w:r w:rsidR="00F35AB6">
        <w:t xml:space="preserve">rarely shredded before </w:t>
      </w:r>
      <w:r w:rsidR="00690165">
        <w:t xml:space="preserve">disposal </w:t>
      </w:r>
      <w:r w:rsidR="00811F36">
        <w:t>by</w:t>
      </w:r>
      <w:r w:rsidR="004349D0">
        <w:t xml:space="preserve"> destruction or </w:t>
      </w:r>
      <w:r w:rsidR="005B5560">
        <w:t xml:space="preserve">to </w:t>
      </w:r>
      <w:r w:rsidR="00720F64">
        <w:t>landfill</w:t>
      </w:r>
      <w:r w:rsidR="005B58DD">
        <w:t>; instead</w:t>
      </w:r>
      <w:r w:rsidR="00A03296">
        <w:t>,</w:t>
      </w:r>
      <w:r w:rsidR="005B58DD">
        <w:t xml:space="preserve"> </w:t>
      </w:r>
      <w:r w:rsidR="00CA41FF">
        <w:t xml:space="preserve">undivided portions </w:t>
      </w:r>
      <w:r w:rsidR="00952D37">
        <w:t xml:space="preserve">of foam </w:t>
      </w:r>
      <w:r w:rsidR="00763376">
        <w:t xml:space="preserve">waste </w:t>
      </w:r>
      <w:r w:rsidR="00CA41FF">
        <w:t xml:space="preserve">are </w:t>
      </w:r>
      <w:r w:rsidR="006A6C33">
        <w:t>supplied</w:t>
      </w:r>
      <w:r w:rsidR="00CA41FF">
        <w:t xml:space="preserve"> for disposal</w:t>
      </w:r>
      <w:r w:rsidR="00720F64">
        <w:t xml:space="preserve">. </w:t>
      </w:r>
    </w:p>
    <w:p w14:paraId="1106F030" w14:textId="1471376C" w:rsidR="000678F1" w:rsidRDefault="00D737C0" w:rsidP="00B41624">
      <w:r>
        <w:t xml:space="preserve">Foam waste </w:t>
      </w:r>
      <w:r w:rsidR="1CAEEFD9">
        <w:t>is occasionally recycled for</w:t>
      </w:r>
      <w:r>
        <w:t xml:space="preserve"> secondary uses, such as in road base, e.g., in China, where it is </w:t>
      </w:r>
      <w:r w:rsidR="00F9553E">
        <w:t>sometimes</w:t>
      </w:r>
      <w:r>
        <w:t xml:space="preserve"> ground up and incorporated as road aggregate. </w:t>
      </w:r>
      <w:r w:rsidR="00226E53">
        <w:t xml:space="preserve">If foam is shredded </w:t>
      </w:r>
      <w:r>
        <w:t xml:space="preserve">or ground </w:t>
      </w:r>
      <w:r w:rsidR="00226E53">
        <w:t xml:space="preserve">as part of waste handling, up to about half of the CFC-11 </w:t>
      </w:r>
      <w:r w:rsidR="001958EC">
        <w:t xml:space="preserve">can </w:t>
      </w:r>
      <w:r w:rsidR="00226E53">
        <w:t xml:space="preserve">be emitted. </w:t>
      </w:r>
    </w:p>
    <w:p w14:paraId="7529DC55" w14:textId="626E365B" w:rsidR="00291C0F" w:rsidRDefault="00B54725" w:rsidP="00B41624">
      <w:pPr>
        <w:rPr>
          <w:szCs w:val="22"/>
        </w:rPr>
      </w:pPr>
      <w:r>
        <w:rPr>
          <w:szCs w:val="22"/>
        </w:rPr>
        <w:t>Whe</w:t>
      </w:r>
      <w:r w:rsidR="003E7A63">
        <w:rPr>
          <w:szCs w:val="22"/>
        </w:rPr>
        <w:t>n</w:t>
      </w:r>
      <w:r w:rsidR="00A667DC">
        <w:rPr>
          <w:szCs w:val="22"/>
        </w:rPr>
        <w:t xml:space="preserve"> destr</w:t>
      </w:r>
      <w:r>
        <w:rPr>
          <w:szCs w:val="22"/>
        </w:rPr>
        <w:t>oyed</w:t>
      </w:r>
      <w:r w:rsidR="00720F64">
        <w:rPr>
          <w:szCs w:val="22"/>
        </w:rPr>
        <w:t xml:space="preserve">, the </w:t>
      </w:r>
      <w:r w:rsidR="00D07A32">
        <w:rPr>
          <w:szCs w:val="22"/>
        </w:rPr>
        <w:t xml:space="preserve">foam </w:t>
      </w:r>
      <w:r w:rsidR="005F1822">
        <w:rPr>
          <w:szCs w:val="22"/>
        </w:rPr>
        <w:t>is</w:t>
      </w:r>
      <w:r w:rsidR="00D07A32">
        <w:rPr>
          <w:szCs w:val="22"/>
        </w:rPr>
        <w:t xml:space="preserve"> </w:t>
      </w:r>
      <w:r w:rsidR="002B05DA">
        <w:rPr>
          <w:szCs w:val="22"/>
        </w:rPr>
        <w:t>incinerated</w:t>
      </w:r>
      <w:r w:rsidR="00C92B1A">
        <w:rPr>
          <w:szCs w:val="22"/>
        </w:rPr>
        <w:t>, e.g.,</w:t>
      </w:r>
      <w:r w:rsidR="00165EE1">
        <w:rPr>
          <w:szCs w:val="22"/>
        </w:rPr>
        <w:t xml:space="preserve"> </w:t>
      </w:r>
      <w:r w:rsidR="00D07A32">
        <w:rPr>
          <w:szCs w:val="22"/>
        </w:rPr>
        <w:t xml:space="preserve">in a </w:t>
      </w:r>
      <w:r w:rsidR="009331A6">
        <w:rPr>
          <w:szCs w:val="22"/>
        </w:rPr>
        <w:t>rotary kiln incinerator</w:t>
      </w:r>
      <w:r w:rsidR="00757089">
        <w:rPr>
          <w:szCs w:val="22"/>
        </w:rPr>
        <w:t xml:space="preserve">, </w:t>
      </w:r>
      <w:r w:rsidR="009331A6">
        <w:rPr>
          <w:szCs w:val="22"/>
        </w:rPr>
        <w:t xml:space="preserve">a </w:t>
      </w:r>
      <w:r w:rsidR="00D07A32">
        <w:rPr>
          <w:szCs w:val="22"/>
        </w:rPr>
        <w:t>cement kiln</w:t>
      </w:r>
      <w:r w:rsidR="00C249B3">
        <w:rPr>
          <w:szCs w:val="22"/>
        </w:rPr>
        <w:t>,</w:t>
      </w:r>
      <w:r w:rsidR="00066DA3">
        <w:rPr>
          <w:szCs w:val="22"/>
        </w:rPr>
        <w:t xml:space="preserve"> </w:t>
      </w:r>
      <w:r w:rsidR="00757089">
        <w:rPr>
          <w:szCs w:val="22"/>
        </w:rPr>
        <w:t>or municipal solid waste incinerator</w:t>
      </w:r>
      <w:r w:rsidR="00066DA3">
        <w:rPr>
          <w:szCs w:val="22"/>
        </w:rPr>
        <w:t>.</w:t>
      </w:r>
      <w:r w:rsidR="006A5F47">
        <w:rPr>
          <w:szCs w:val="22"/>
        </w:rPr>
        <w:t xml:space="preserve"> </w:t>
      </w:r>
      <w:r w:rsidR="007C5E6F">
        <w:rPr>
          <w:szCs w:val="22"/>
        </w:rPr>
        <w:t xml:space="preserve">While </w:t>
      </w:r>
      <w:r w:rsidR="00A75C87">
        <w:rPr>
          <w:szCs w:val="22"/>
        </w:rPr>
        <w:t xml:space="preserve">some </w:t>
      </w:r>
      <w:r w:rsidR="007C5E6F">
        <w:rPr>
          <w:szCs w:val="22"/>
        </w:rPr>
        <w:t xml:space="preserve">emissions </w:t>
      </w:r>
      <w:r w:rsidR="00A75C87">
        <w:rPr>
          <w:szCs w:val="22"/>
        </w:rPr>
        <w:t xml:space="preserve">will </w:t>
      </w:r>
      <w:r w:rsidR="007C5E6F">
        <w:rPr>
          <w:szCs w:val="22"/>
        </w:rPr>
        <w:t xml:space="preserve">occur during </w:t>
      </w:r>
      <w:r w:rsidR="00EB4504">
        <w:rPr>
          <w:szCs w:val="22"/>
        </w:rPr>
        <w:t xml:space="preserve">associated </w:t>
      </w:r>
      <w:r w:rsidR="004939EA">
        <w:rPr>
          <w:szCs w:val="22"/>
        </w:rPr>
        <w:t xml:space="preserve">waste transportation and handling, </w:t>
      </w:r>
      <w:r w:rsidR="00005662">
        <w:rPr>
          <w:szCs w:val="22"/>
        </w:rPr>
        <w:t xml:space="preserve">the CFC-11 </w:t>
      </w:r>
      <w:r w:rsidR="0050236C">
        <w:rPr>
          <w:szCs w:val="22"/>
        </w:rPr>
        <w:t xml:space="preserve">remaining within the </w:t>
      </w:r>
      <w:r w:rsidR="00EB4504">
        <w:rPr>
          <w:szCs w:val="22"/>
        </w:rPr>
        <w:t xml:space="preserve">foam </w:t>
      </w:r>
      <w:r w:rsidR="0050236C">
        <w:rPr>
          <w:szCs w:val="22"/>
        </w:rPr>
        <w:t xml:space="preserve">product </w:t>
      </w:r>
      <w:r w:rsidR="00005662">
        <w:rPr>
          <w:szCs w:val="22"/>
        </w:rPr>
        <w:t xml:space="preserve">will be </w:t>
      </w:r>
      <w:r w:rsidR="00E16875">
        <w:rPr>
          <w:szCs w:val="22"/>
        </w:rPr>
        <w:t>largely</w:t>
      </w:r>
      <w:r w:rsidR="00AA42B9">
        <w:rPr>
          <w:szCs w:val="22"/>
        </w:rPr>
        <w:t xml:space="preserve"> </w:t>
      </w:r>
      <w:r w:rsidR="00005662">
        <w:rPr>
          <w:szCs w:val="22"/>
        </w:rPr>
        <w:t>destroyed</w:t>
      </w:r>
      <w:r w:rsidR="00716BE9">
        <w:rPr>
          <w:szCs w:val="22"/>
        </w:rPr>
        <w:t xml:space="preserve"> </w:t>
      </w:r>
      <w:r w:rsidR="00B15C00">
        <w:rPr>
          <w:szCs w:val="22"/>
        </w:rPr>
        <w:t>during</w:t>
      </w:r>
      <w:r w:rsidR="00716BE9">
        <w:rPr>
          <w:szCs w:val="22"/>
        </w:rPr>
        <w:t xml:space="preserve"> the process</w:t>
      </w:r>
      <w:r w:rsidR="00FD696A">
        <w:rPr>
          <w:szCs w:val="22"/>
        </w:rPr>
        <w:t>,</w:t>
      </w:r>
      <w:r w:rsidR="004939EA" w:rsidRPr="004939EA">
        <w:rPr>
          <w:szCs w:val="22"/>
        </w:rPr>
        <w:t xml:space="preserve"> </w:t>
      </w:r>
      <w:r w:rsidR="004339BE">
        <w:rPr>
          <w:szCs w:val="22"/>
        </w:rPr>
        <w:t>assuming</w:t>
      </w:r>
      <w:r w:rsidR="00EB4504">
        <w:rPr>
          <w:szCs w:val="22"/>
        </w:rPr>
        <w:t xml:space="preserve"> optimal</w:t>
      </w:r>
      <w:r w:rsidR="004939EA">
        <w:rPr>
          <w:szCs w:val="22"/>
        </w:rPr>
        <w:t xml:space="preserve"> </w:t>
      </w:r>
      <w:r w:rsidR="00161A51">
        <w:rPr>
          <w:szCs w:val="22"/>
        </w:rPr>
        <w:t xml:space="preserve">thermal </w:t>
      </w:r>
      <w:r w:rsidR="002766E3">
        <w:rPr>
          <w:szCs w:val="22"/>
        </w:rPr>
        <w:t xml:space="preserve">destruction </w:t>
      </w:r>
      <w:r w:rsidR="00B641D4">
        <w:rPr>
          <w:szCs w:val="22"/>
        </w:rPr>
        <w:t>conditions</w:t>
      </w:r>
      <w:r w:rsidR="00FD696A">
        <w:rPr>
          <w:szCs w:val="22"/>
        </w:rPr>
        <w:t xml:space="preserve"> apply</w:t>
      </w:r>
      <w:r w:rsidR="00291C0F">
        <w:rPr>
          <w:szCs w:val="22"/>
        </w:rPr>
        <w:t xml:space="preserve">. </w:t>
      </w:r>
      <w:r w:rsidR="007D7C90">
        <w:rPr>
          <w:szCs w:val="22"/>
        </w:rPr>
        <w:t xml:space="preserve">It should be noted that while cement kilns are not an approved destruction technology </w:t>
      </w:r>
      <w:r w:rsidR="0087428A">
        <w:rPr>
          <w:szCs w:val="22"/>
        </w:rPr>
        <w:t xml:space="preserve">for ODS foams </w:t>
      </w:r>
      <w:r w:rsidR="007D7C90">
        <w:rPr>
          <w:szCs w:val="22"/>
        </w:rPr>
        <w:t>under the Montreal Protocol</w:t>
      </w:r>
      <w:r w:rsidR="0087428A">
        <w:rPr>
          <w:szCs w:val="22"/>
        </w:rPr>
        <w:t xml:space="preserve">, there </w:t>
      </w:r>
      <w:r w:rsidR="00A52B9C">
        <w:rPr>
          <w:szCs w:val="22"/>
        </w:rPr>
        <w:t>is</w:t>
      </w:r>
      <w:r w:rsidR="0087428A">
        <w:rPr>
          <w:szCs w:val="22"/>
        </w:rPr>
        <w:t xml:space="preserve"> no technical reason </w:t>
      </w:r>
      <w:r w:rsidR="0033634E">
        <w:rPr>
          <w:szCs w:val="22"/>
        </w:rPr>
        <w:t xml:space="preserve">why </w:t>
      </w:r>
      <w:r w:rsidR="0087428A">
        <w:rPr>
          <w:szCs w:val="22"/>
        </w:rPr>
        <w:t xml:space="preserve">they </w:t>
      </w:r>
      <w:r w:rsidR="0033634E">
        <w:rPr>
          <w:szCs w:val="22"/>
        </w:rPr>
        <w:t>c</w:t>
      </w:r>
      <w:r w:rsidR="0087428A">
        <w:rPr>
          <w:szCs w:val="22"/>
        </w:rPr>
        <w:t xml:space="preserve">ould not be </w:t>
      </w:r>
      <w:r w:rsidR="00AE5EE3">
        <w:rPr>
          <w:szCs w:val="22"/>
        </w:rPr>
        <w:t xml:space="preserve">utilised </w:t>
      </w:r>
      <w:r w:rsidR="00AE5EE3">
        <w:rPr>
          <w:szCs w:val="22"/>
        </w:rPr>
        <w:lastRenderedPageBreak/>
        <w:t xml:space="preserve">as </w:t>
      </w:r>
      <w:r w:rsidR="0087428A">
        <w:rPr>
          <w:szCs w:val="22"/>
        </w:rPr>
        <w:t>an efficient and effective method of destruction</w:t>
      </w:r>
      <w:r w:rsidR="002C1A9A">
        <w:rPr>
          <w:szCs w:val="22"/>
        </w:rPr>
        <w:t xml:space="preserve"> for foams</w:t>
      </w:r>
      <w:r w:rsidR="00AE5EE3">
        <w:rPr>
          <w:szCs w:val="22"/>
        </w:rPr>
        <w:t xml:space="preserve">, assuming </w:t>
      </w:r>
      <w:r w:rsidR="00853EA0">
        <w:rPr>
          <w:szCs w:val="22"/>
        </w:rPr>
        <w:t xml:space="preserve">local </w:t>
      </w:r>
      <w:r w:rsidR="00A52B9C">
        <w:rPr>
          <w:szCs w:val="22"/>
        </w:rPr>
        <w:t>requirements</w:t>
      </w:r>
      <w:r w:rsidR="00853EA0">
        <w:rPr>
          <w:szCs w:val="22"/>
        </w:rPr>
        <w:t xml:space="preserve"> </w:t>
      </w:r>
      <w:r w:rsidR="00A52B9C">
        <w:rPr>
          <w:szCs w:val="22"/>
        </w:rPr>
        <w:t xml:space="preserve">for air pollutants </w:t>
      </w:r>
      <w:r w:rsidR="00853EA0">
        <w:rPr>
          <w:szCs w:val="22"/>
        </w:rPr>
        <w:t xml:space="preserve">can be </w:t>
      </w:r>
      <w:r w:rsidR="00A52B9C">
        <w:rPr>
          <w:szCs w:val="22"/>
        </w:rPr>
        <w:t>maintained</w:t>
      </w:r>
      <w:r w:rsidR="0087428A">
        <w:rPr>
          <w:szCs w:val="22"/>
        </w:rPr>
        <w:t xml:space="preserve">. </w:t>
      </w:r>
      <w:r w:rsidR="008F634F">
        <w:rPr>
          <w:szCs w:val="22"/>
        </w:rPr>
        <w:t>Developing c</w:t>
      </w:r>
      <w:r w:rsidR="00F80678">
        <w:rPr>
          <w:szCs w:val="22"/>
        </w:rPr>
        <w:t>ountries that do not have incinerators might instead have cement kiln</w:t>
      </w:r>
      <w:r w:rsidR="008F634F">
        <w:rPr>
          <w:szCs w:val="22"/>
        </w:rPr>
        <w:t>s</w:t>
      </w:r>
      <w:r w:rsidR="00F80678">
        <w:rPr>
          <w:szCs w:val="22"/>
        </w:rPr>
        <w:t xml:space="preserve"> suitable for this purpose.</w:t>
      </w:r>
    </w:p>
    <w:p w14:paraId="0779ED3C" w14:textId="1093DFF4" w:rsidR="00D131C7" w:rsidRDefault="00557A58" w:rsidP="00B41624">
      <w:r>
        <w:t>T</w:t>
      </w:r>
      <w:r w:rsidR="00E648FE">
        <w:t xml:space="preserve">he </w:t>
      </w:r>
      <w:r w:rsidR="00E04DC9" w:rsidRPr="37C414CD">
        <w:rPr>
          <w:i/>
        </w:rPr>
        <w:t>most common</w:t>
      </w:r>
      <w:r w:rsidR="00D22FC7" w:rsidRPr="37C414CD">
        <w:rPr>
          <w:i/>
        </w:rPr>
        <w:t>ly</w:t>
      </w:r>
      <w:r w:rsidR="00E04DC9">
        <w:t xml:space="preserve"> </w:t>
      </w:r>
      <w:r w:rsidR="00A466C4">
        <w:t>adopted</w:t>
      </w:r>
      <w:r w:rsidR="00D22FC7">
        <w:t xml:space="preserve"> </w:t>
      </w:r>
      <w:r w:rsidR="008550B0">
        <w:t xml:space="preserve">disposal </w:t>
      </w:r>
      <w:r w:rsidR="000B5A77">
        <w:t>practice</w:t>
      </w:r>
      <w:r w:rsidR="00E648FE">
        <w:t xml:space="preserve"> </w:t>
      </w:r>
      <w:r w:rsidR="00936C21">
        <w:t xml:space="preserve">globally </w:t>
      </w:r>
      <w:r w:rsidR="00E648FE">
        <w:t xml:space="preserve">is to </w:t>
      </w:r>
      <w:r w:rsidR="00B87FEB">
        <w:t>landfill foam</w:t>
      </w:r>
      <w:r w:rsidR="00234E64">
        <w:t xml:space="preserve"> waste</w:t>
      </w:r>
      <w:r w:rsidR="00B87FEB">
        <w:t xml:space="preserve">. </w:t>
      </w:r>
      <w:r w:rsidR="00CE64AB">
        <w:t xml:space="preserve">The foam is buried </w:t>
      </w:r>
      <w:r w:rsidR="00FD696A">
        <w:t xml:space="preserve">and </w:t>
      </w:r>
      <w:r w:rsidR="00A6000A">
        <w:t>often partially</w:t>
      </w:r>
      <w:r w:rsidR="007924CD">
        <w:t xml:space="preserve"> </w:t>
      </w:r>
      <w:r w:rsidR="00FD696A">
        <w:t xml:space="preserve">crushed </w:t>
      </w:r>
      <w:r w:rsidR="00CE64AB">
        <w:t xml:space="preserve">in the </w:t>
      </w:r>
      <w:r w:rsidR="00BB0C8E">
        <w:t>process</w:t>
      </w:r>
      <w:r w:rsidR="00CF3CA7">
        <w:t xml:space="preserve">, </w:t>
      </w:r>
      <w:r w:rsidR="00071E8B">
        <w:t>leading</w:t>
      </w:r>
      <w:r w:rsidR="00DB7084">
        <w:t xml:space="preserve"> to emissions of a portion</w:t>
      </w:r>
      <w:r w:rsidR="00483EE3">
        <w:t xml:space="preserve"> </w:t>
      </w:r>
      <w:r w:rsidR="004D5CE6">
        <w:t>of the</w:t>
      </w:r>
      <w:r w:rsidR="00483EE3">
        <w:t xml:space="preserve"> CFC-11 </w:t>
      </w:r>
      <w:r w:rsidR="00632DC5">
        <w:t>contained in</w:t>
      </w:r>
      <w:r w:rsidR="005474CA">
        <w:t xml:space="preserve"> </w:t>
      </w:r>
      <w:r w:rsidR="009968F8">
        <w:t xml:space="preserve">the </w:t>
      </w:r>
      <w:r w:rsidR="005474CA">
        <w:t>foam cells</w:t>
      </w:r>
      <w:r w:rsidR="00483EE3">
        <w:t xml:space="preserve">. </w:t>
      </w:r>
      <w:r w:rsidR="00C66D4D">
        <w:t xml:space="preserve">Crushing the foam within the landfill </w:t>
      </w:r>
      <w:r w:rsidR="00B87FEB">
        <w:t>reduce</w:t>
      </w:r>
      <w:r w:rsidR="00986473">
        <w:t>s</w:t>
      </w:r>
      <w:r w:rsidR="00B87FEB">
        <w:t xml:space="preserve"> </w:t>
      </w:r>
      <w:r w:rsidR="00C66D4D">
        <w:t>its</w:t>
      </w:r>
      <w:r w:rsidR="00B87FEB">
        <w:t xml:space="preserve"> displacement volume </w:t>
      </w:r>
      <w:r w:rsidR="00C66D4D">
        <w:t>in the landfill</w:t>
      </w:r>
      <w:r w:rsidR="00FA44EE">
        <w:t>, where space has a value</w:t>
      </w:r>
      <w:r w:rsidR="00E04DC9">
        <w:t xml:space="preserve">. </w:t>
      </w:r>
      <w:r w:rsidR="00921E32">
        <w:t>Remaining CFC-11</w:t>
      </w:r>
      <w:r w:rsidR="00BF1071">
        <w:t xml:space="preserve"> in the foam </w:t>
      </w:r>
      <w:r w:rsidR="00297A4B">
        <w:t>is</w:t>
      </w:r>
      <w:r w:rsidR="00BF1071">
        <w:t xml:space="preserve"> emitted over time</w:t>
      </w:r>
      <w:r w:rsidR="00D403A7">
        <w:t xml:space="preserve"> (estimated at 0.5% per year)</w:t>
      </w:r>
      <w:r w:rsidR="00C66D4D">
        <w:t>,</w:t>
      </w:r>
      <w:r w:rsidR="00D403A7">
        <w:t xml:space="preserve"> </w:t>
      </w:r>
      <w:r w:rsidR="00B87D26">
        <w:t>except for</w:t>
      </w:r>
      <w:r w:rsidR="00D403A7">
        <w:t xml:space="preserve"> </w:t>
      </w:r>
      <w:r w:rsidR="00324427">
        <w:t xml:space="preserve">possibly some </w:t>
      </w:r>
      <w:r w:rsidR="00B87D26">
        <w:t>relatively small</w:t>
      </w:r>
      <w:r w:rsidR="00D403A7">
        <w:t xml:space="preserve"> amount</w:t>
      </w:r>
      <w:r w:rsidR="00B87D26">
        <w:t>s</w:t>
      </w:r>
      <w:r w:rsidR="00D403A7">
        <w:t xml:space="preserve"> that </w:t>
      </w:r>
      <w:r w:rsidR="003F0EA3">
        <w:t>may</w:t>
      </w:r>
      <w:r w:rsidR="00D403A7">
        <w:t xml:space="preserve"> </w:t>
      </w:r>
      <w:r w:rsidR="00C910BC">
        <w:t xml:space="preserve">undergo </w:t>
      </w:r>
      <w:r w:rsidR="00EB6A51">
        <w:t>anaerobic degr</w:t>
      </w:r>
      <w:r w:rsidR="00C910BC">
        <w:t xml:space="preserve">adation </w:t>
      </w:r>
      <w:r w:rsidR="00D403A7">
        <w:t>(</w:t>
      </w:r>
      <w:r w:rsidR="00A16559">
        <w:t xml:space="preserve">bacterial </w:t>
      </w:r>
      <w:r w:rsidR="009408E4">
        <w:t>digest</w:t>
      </w:r>
      <w:r w:rsidR="00D131C7">
        <w:t>ion,</w:t>
      </w:r>
      <w:r w:rsidR="009408E4">
        <w:t xml:space="preserve"> whereby CFC-11 is </w:t>
      </w:r>
      <w:r w:rsidR="00D403A7">
        <w:t>chemical</w:t>
      </w:r>
      <w:r w:rsidR="009408E4">
        <w:t>ly broken</w:t>
      </w:r>
      <w:r w:rsidR="00D403A7">
        <w:t xml:space="preserve"> </w:t>
      </w:r>
      <w:r w:rsidR="009408E4">
        <w:t>down</w:t>
      </w:r>
      <w:r w:rsidR="00D403A7">
        <w:t>) in the landfill</w:t>
      </w:r>
      <w:r w:rsidR="00CD6F3D">
        <w:t>.</w:t>
      </w:r>
      <w:r w:rsidR="00A203FA">
        <w:t xml:space="preserve"> </w:t>
      </w:r>
    </w:p>
    <w:p w14:paraId="616135E2" w14:textId="770D6127" w:rsidR="00D5778D" w:rsidRDefault="000037D3" w:rsidP="00B41624">
      <w:pPr>
        <w:rPr>
          <w:szCs w:val="22"/>
        </w:rPr>
      </w:pPr>
      <w:r>
        <w:rPr>
          <w:szCs w:val="22"/>
        </w:rPr>
        <w:t>The internalised costs of landfill disposal are relatively low</w:t>
      </w:r>
      <w:r w:rsidR="00B05643">
        <w:rPr>
          <w:szCs w:val="22"/>
        </w:rPr>
        <w:t>,</w:t>
      </w:r>
      <w:r w:rsidR="006D3E0F">
        <w:rPr>
          <w:szCs w:val="22"/>
        </w:rPr>
        <w:t xml:space="preserve"> compared with the </w:t>
      </w:r>
      <w:r w:rsidR="00C854A4">
        <w:rPr>
          <w:szCs w:val="22"/>
        </w:rPr>
        <w:t>costs</w:t>
      </w:r>
      <w:r w:rsidR="006D3E0F">
        <w:rPr>
          <w:szCs w:val="22"/>
        </w:rPr>
        <w:t xml:space="preserve"> </w:t>
      </w:r>
      <w:r w:rsidR="00300E52">
        <w:rPr>
          <w:szCs w:val="22"/>
        </w:rPr>
        <w:t>of</w:t>
      </w:r>
      <w:r w:rsidR="00C066F8">
        <w:rPr>
          <w:szCs w:val="22"/>
        </w:rPr>
        <w:t xml:space="preserve"> recovery</w:t>
      </w:r>
      <w:r w:rsidR="004A7D6F">
        <w:rPr>
          <w:szCs w:val="22"/>
        </w:rPr>
        <w:t xml:space="preserve"> and</w:t>
      </w:r>
      <w:r w:rsidR="00C066F8">
        <w:rPr>
          <w:szCs w:val="22"/>
        </w:rPr>
        <w:t xml:space="preserve"> destruction</w:t>
      </w:r>
      <w:r>
        <w:rPr>
          <w:szCs w:val="22"/>
        </w:rPr>
        <w:t xml:space="preserve">, making </w:t>
      </w:r>
      <w:r w:rsidR="00C066F8">
        <w:rPr>
          <w:szCs w:val="22"/>
        </w:rPr>
        <w:t>landfill</w:t>
      </w:r>
      <w:r>
        <w:rPr>
          <w:szCs w:val="22"/>
        </w:rPr>
        <w:t xml:space="preserve"> disposal</w:t>
      </w:r>
      <w:r w:rsidR="00AD08EF">
        <w:rPr>
          <w:szCs w:val="22"/>
        </w:rPr>
        <w:t xml:space="preserve"> </w:t>
      </w:r>
      <w:r w:rsidR="00EC48B0">
        <w:rPr>
          <w:szCs w:val="22"/>
        </w:rPr>
        <w:t xml:space="preserve">ostensibly </w:t>
      </w:r>
      <w:r w:rsidR="00AD08EF">
        <w:rPr>
          <w:szCs w:val="22"/>
        </w:rPr>
        <w:t xml:space="preserve">attractive in </w:t>
      </w:r>
      <w:r w:rsidR="008C01EB">
        <w:rPr>
          <w:szCs w:val="22"/>
        </w:rPr>
        <w:t>market-based econom</w:t>
      </w:r>
      <w:r w:rsidR="00DD057F">
        <w:rPr>
          <w:szCs w:val="22"/>
        </w:rPr>
        <w:t>ies</w:t>
      </w:r>
      <w:r>
        <w:rPr>
          <w:szCs w:val="22"/>
        </w:rPr>
        <w:t xml:space="preserve">. </w:t>
      </w:r>
      <w:r w:rsidR="00DA6DA4">
        <w:rPr>
          <w:szCs w:val="22"/>
        </w:rPr>
        <w:t>T</w:t>
      </w:r>
      <w:r w:rsidR="00001A87">
        <w:rPr>
          <w:szCs w:val="22"/>
        </w:rPr>
        <w:t xml:space="preserve">he </w:t>
      </w:r>
      <w:r w:rsidR="00054050">
        <w:rPr>
          <w:szCs w:val="22"/>
        </w:rPr>
        <w:t>externalised</w:t>
      </w:r>
      <w:r w:rsidR="00001A87">
        <w:rPr>
          <w:szCs w:val="22"/>
        </w:rPr>
        <w:t xml:space="preserve"> costs </w:t>
      </w:r>
      <w:r w:rsidR="00474E5C">
        <w:rPr>
          <w:szCs w:val="22"/>
        </w:rPr>
        <w:t>associated with</w:t>
      </w:r>
      <w:r w:rsidR="00001A87">
        <w:rPr>
          <w:szCs w:val="22"/>
        </w:rPr>
        <w:t xml:space="preserve"> landfill</w:t>
      </w:r>
      <w:r w:rsidR="00054050">
        <w:rPr>
          <w:szCs w:val="22"/>
        </w:rPr>
        <w:t xml:space="preserve"> disposal of foam products</w:t>
      </w:r>
      <w:r w:rsidR="00136137">
        <w:rPr>
          <w:szCs w:val="22"/>
        </w:rPr>
        <w:t xml:space="preserve">, passed on to governments and society in </w:t>
      </w:r>
      <w:r w:rsidR="00347050">
        <w:rPr>
          <w:szCs w:val="22"/>
        </w:rPr>
        <w:t>other</w:t>
      </w:r>
      <w:r w:rsidR="00136137">
        <w:rPr>
          <w:szCs w:val="22"/>
        </w:rPr>
        <w:t xml:space="preserve"> ways,</w:t>
      </w:r>
      <w:r w:rsidR="00001A87">
        <w:rPr>
          <w:szCs w:val="22"/>
        </w:rPr>
        <w:t xml:space="preserve"> </w:t>
      </w:r>
      <w:r w:rsidR="00474E5C">
        <w:rPr>
          <w:szCs w:val="22"/>
        </w:rPr>
        <w:t xml:space="preserve">include </w:t>
      </w:r>
      <w:r w:rsidR="00470643">
        <w:rPr>
          <w:szCs w:val="22"/>
        </w:rPr>
        <w:t xml:space="preserve">the value of </w:t>
      </w:r>
      <w:r w:rsidR="00114773">
        <w:rPr>
          <w:szCs w:val="22"/>
        </w:rPr>
        <w:t xml:space="preserve">landfill </w:t>
      </w:r>
      <w:r w:rsidR="00136137">
        <w:rPr>
          <w:szCs w:val="22"/>
        </w:rPr>
        <w:t xml:space="preserve">space </w:t>
      </w:r>
      <w:r w:rsidR="00114773">
        <w:rPr>
          <w:szCs w:val="22"/>
        </w:rPr>
        <w:t xml:space="preserve">occupied </w:t>
      </w:r>
      <w:r w:rsidR="004D340A">
        <w:rPr>
          <w:szCs w:val="22"/>
        </w:rPr>
        <w:t>by</w:t>
      </w:r>
      <w:r w:rsidR="00722605">
        <w:rPr>
          <w:szCs w:val="22"/>
        </w:rPr>
        <w:t xml:space="preserve"> </w:t>
      </w:r>
      <w:r w:rsidR="001179BA">
        <w:rPr>
          <w:szCs w:val="22"/>
        </w:rPr>
        <w:t>foam</w:t>
      </w:r>
      <w:r w:rsidR="007E1354">
        <w:rPr>
          <w:szCs w:val="22"/>
        </w:rPr>
        <w:t xml:space="preserve"> wastes</w:t>
      </w:r>
      <w:r w:rsidR="00AA2E06">
        <w:rPr>
          <w:szCs w:val="22"/>
        </w:rPr>
        <w:t xml:space="preserve"> (and associated need to build future landfills)</w:t>
      </w:r>
      <w:r w:rsidR="001179BA">
        <w:rPr>
          <w:szCs w:val="22"/>
        </w:rPr>
        <w:t xml:space="preserve"> </w:t>
      </w:r>
      <w:r w:rsidR="00BD4E3B">
        <w:rPr>
          <w:szCs w:val="22"/>
        </w:rPr>
        <w:t xml:space="preserve">and </w:t>
      </w:r>
      <w:r w:rsidR="00A16559">
        <w:rPr>
          <w:szCs w:val="22"/>
        </w:rPr>
        <w:t xml:space="preserve">the costs </w:t>
      </w:r>
      <w:r w:rsidR="009514B5">
        <w:rPr>
          <w:szCs w:val="22"/>
        </w:rPr>
        <w:t>associated with</w:t>
      </w:r>
      <w:r w:rsidR="00A16559">
        <w:rPr>
          <w:szCs w:val="22"/>
        </w:rPr>
        <w:t xml:space="preserve"> </w:t>
      </w:r>
      <w:r w:rsidR="00BD4E3B">
        <w:rPr>
          <w:szCs w:val="22"/>
        </w:rPr>
        <w:t>health</w:t>
      </w:r>
      <w:r w:rsidR="0014143D">
        <w:rPr>
          <w:szCs w:val="22"/>
        </w:rPr>
        <w:t xml:space="preserve">, </w:t>
      </w:r>
      <w:r w:rsidR="00F00FDF">
        <w:rPr>
          <w:szCs w:val="22"/>
        </w:rPr>
        <w:t xml:space="preserve">climate </w:t>
      </w:r>
      <w:r w:rsidR="0014143D">
        <w:rPr>
          <w:szCs w:val="22"/>
        </w:rPr>
        <w:t xml:space="preserve">and other </w:t>
      </w:r>
      <w:r w:rsidR="00BD4E3B">
        <w:rPr>
          <w:szCs w:val="22"/>
        </w:rPr>
        <w:t xml:space="preserve">impacts </w:t>
      </w:r>
      <w:r w:rsidR="001179BA">
        <w:rPr>
          <w:szCs w:val="22"/>
        </w:rPr>
        <w:t>arising</w:t>
      </w:r>
      <w:r w:rsidR="00BD4E3B">
        <w:rPr>
          <w:szCs w:val="22"/>
        </w:rPr>
        <w:t xml:space="preserve"> from </w:t>
      </w:r>
      <w:r w:rsidR="00671A4C">
        <w:rPr>
          <w:szCs w:val="22"/>
        </w:rPr>
        <w:t xml:space="preserve">long-lived </w:t>
      </w:r>
      <w:r w:rsidR="00BD4E3B">
        <w:rPr>
          <w:szCs w:val="22"/>
        </w:rPr>
        <w:t xml:space="preserve">ODS emissions. </w:t>
      </w:r>
      <w:r w:rsidR="00702AEF">
        <w:rPr>
          <w:szCs w:val="22"/>
        </w:rPr>
        <w:t xml:space="preserve">This is why some countries </w:t>
      </w:r>
      <w:r w:rsidR="00850C68">
        <w:rPr>
          <w:szCs w:val="22"/>
        </w:rPr>
        <w:t>regulate</w:t>
      </w:r>
      <w:r w:rsidR="00C1051A">
        <w:rPr>
          <w:szCs w:val="22"/>
        </w:rPr>
        <w:t xml:space="preserve"> </w:t>
      </w:r>
      <w:r w:rsidR="0056147F">
        <w:rPr>
          <w:szCs w:val="22"/>
        </w:rPr>
        <w:t xml:space="preserve">and incentivise </w:t>
      </w:r>
      <w:r w:rsidR="009D067B">
        <w:rPr>
          <w:szCs w:val="22"/>
        </w:rPr>
        <w:t xml:space="preserve">the </w:t>
      </w:r>
      <w:r w:rsidR="00C1051A">
        <w:rPr>
          <w:szCs w:val="22"/>
        </w:rPr>
        <w:t xml:space="preserve">management </w:t>
      </w:r>
      <w:r w:rsidR="00850C68">
        <w:rPr>
          <w:szCs w:val="22"/>
        </w:rPr>
        <w:t>of</w:t>
      </w:r>
      <w:r w:rsidR="00C1051A">
        <w:rPr>
          <w:szCs w:val="22"/>
        </w:rPr>
        <w:t xml:space="preserve"> </w:t>
      </w:r>
      <w:r w:rsidR="00680B78">
        <w:rPr>
          <w:szCs w:val="22"/>
        </w:rPr>
        <w:t xml:space="preserve">waste </w:t>
      </w:r>
      <w:r w:rsidR="00C1051A">
        <w:rPr>
          <w:szCs w:val="22"/>
        </w:rPr>
        <w:t xml:space="preserve">foam products </w:t>
      </w:r>
      <w:r w:rsidR="00625A05">
        <w:rPr>
          <w:szCs w:val="22"/>
        </w:rPr>
        <w:t xml:space="preserve">(and other demolition and equipment wastes) </w:t>
      </w:r>
      <w:r w:rsidR="00C0568C">
        <w:rPr>
          <w:szCs w:val="22"/>
        </w:rPr>
        <w:t>to</w:t>
      </w:r>
      <w:r w:rsidR="00BF6CAC">
        <w:rPr>
          <w:szCs w:val="22"/>
        </w:rPr>
        <w:t xml:space="preserve"> drive market decisions </w:t>
      </w:r>
      <w:r w:rsidR="00B55186">
        <w:rPr>
          <w:szCs w:val="22"/>
        </w:rPr>
        <w:t>t</w:t>
      </w:r>
      <w:r w:rsidR="00C0568C">
        <w:rPr>
          <w:szCs w:val="22"/>
        </w:rPr>
        <w:t>hat</w:t>
      </w:r>
      <w:r w:rsidR="00BF6CAC">
        <w:rPr>
          <w:szCs w:val="22"/>
        </w:rPr>
        <w:t xml:space="preserve"> </w:t>
      </w:r>
      <w:r w:rsidR="00C1051A">
        <w:rPr>
          <w:szCs w:val="22"/>
        </w:rPr>
        <w:t xml:space="preserve">prioritise </w:t>
      </w:r>
      <w:r w:rsidR="0077137A">
        <w:rPr>
          <w:szCs w:val="22"/>
        </w:rPr>
        <w:t xml:space="preserve">resource recovery </w:t>
      </w:r>
      <w:r w:rsidR="0014143D">
        <w:rPr>
          <w:szCs w:val="22"/>
        </w:rPr>
        <w:t>or</w:t>
      </w:r>
      <w:r w:rsidR="0077137A">
        <w:rPr>
          <w:szCs w:val="22"/>
        </w:rPr>
        <w:t xml:space="preserve"> destruction</w:t>
      </w:r>
      <w:r w:rsidR="008F2DCB">
        <w:rPr>
          <w:szCs w:val="22"/>
        </w:rPr>
        <w:t xml:space="preserve"> and </w:t>
      </w:r>
      <w:r w:rsidR="00C80081">
        <w:rPr>
          <w:szCs w:val="22"/>
        </w:rPr>
        <w:t xml:space="preserve">to </w:t>
      </w:r>
      <w:r w:rsidR="0037278B">
        <w:rPr>
          <w:szCs w:val="22"/>
        </w:rPr>
        <w:t>mitigate</w:t>
      </w:r>
      <w:r w:rsidR="008F2DCB">
        <w:rPr>
          <w:szCs w:val="22"/>
        </w:rPr>
        <w:t xml:space="preserve"> the externalised </w:t>
      </w:r>
      <w:r w:rsidR="0006214F">
        <w:rPr>
          <w:szCs w:val="22"/>
        </w:rPr>
        <w:t>long</w:t>
      </w:r>
      <w:r w:rsidR="00D131C7">
        <w:rPr>
          <w:szCs w:val="22"/>
        </w:rPr>
        <w:t>-</w:t>
      </w:r>
      <w:r w:rsidR="0006214F">
        <w:rPr>
          <w:szCs w:val="22"/>
        </w:rPr>
        <w:t xml:space="preserve">term </w:t>
      </w:r>
      <w:r w:rsidR="008F2DCB">
        <w:rPr>
          <w:szCs w:val="22"/>
        </w:rPr>
        <w:t>costs</w:t>
      </w:r>
      <w:r w:rsidR="00C72435">
        <w:rPr>
          <w:szCs w:val="22"/>
        </w:rPr>
        <w:t xml:space="preserve"> </w:t>
      </w:r>
      <w:r w:rsidR="0006214F">
        <w:rPr>
          <w:szCs w:val="22"/>
        </w:rPr>
        <w:t xml:space="preserve">to society </w:t>
      </w:r>
      <w:r w:rsidR="00C72435">
        <w:rPr>
          <w:szCs w:val="22"/>
        </w:rPr>
        <w:t>of landfill disposal</w:t>
      </w:r>
      <w:r w:rsidR="008D1A43">
        <w:rPr>
          <w:szCs w:val="22"/>
        </w:rPr>
        <w:t xml:space="preserve"> of ODS wastes</w:t>
      </w:r>
      <w:r w:rsidR="0077137A">
        <w:rPr>
          <w:szCs w:val="22"/>
        </w:rPr>
        <w:t>.</w:t>
      </w:r>
    </w:p>
    <w:p w14:paraId="7D12127B" w14:textId="14034AA4" w:rsidR="00A80DFB" w:rsidRDefault="00A80DFB" w:rsidP="00A80DFB">
      <w:pPr>
        <w:rPr>
          <w:szCs w:val="22"/>
        </w:rPr>
      </w:pPr>
      <w:r w:rsidRPr="20821D15">
        <w:t>Identifying and capitalising on economies of scale are important in maximising the benefits and minimising the costs of any program for the recovery and destruction of CFC-11 containing foams</w:t>
      </w:r>
      <w:r>
        <w:rPr>
          <w:szCs w:val="22"/>
        </w:rPr>
        <w:t xml:space="preserve">. </w:t>
      </w:r>
      <w:r w:rsidRPr="20821D15">
        <w:t>This means that a program to recover insulation foams containing CFC-11 only, and</w:t>
      </w:r>
      <w:r>
        <w:rPr>
          <w:szCs w:val="22"/>
        </w:rPr>
        <w:t xml:space="preserve"> </w:t>
      </w:r>
      <w:r w:rsidRPr="20821D15">
        <w:t>in isolation of foams containing other ODS or HFCs</w:t>
      </w:r>
      <w:r>
        <w:rPr>
          <w:szCs w:val="22"/>
        </w:rPr>
        <w:t xml:space="preserve">, </w:t>
      </w:r>
      <w:r w:rsidRPr="20821D15">
        <w:t>is less</w:t>
      </w:r>
      <w:r>
        <w:rPr>
          <w:szCs w:val="22"/>
        </w:rPr>
        <w:t xml:space="preserve"> </w:t>
      </w:r>
      <w:r w:rsidRPr="20821D15">
        <w:t>practical</w:t>
      </w:r>
      <w:r>
        <w:t xml:space="preserve"> </w:t>
      </w:r>
      <w:r w:rsidRPr="20821D15">
        <w:t>and less likely to succeed</w:t>
      </w:r>
      <w:r>
        <w:rPr>
          <w:szCs w:val="22"/>
        </w:rPr>
        <w:t xml:space="preserve">. </w:t>
      </w:r>
      <w:r w:rsidRPr="20821D15">
        <w:t>The October 2009 Decision XX/7 TEAP Task Force Report</w:t>
      </w:r>
      <w:r w:rsidRPr="20821D15">
        <w:rPr>
          <w:rStyle w:val="FootnoteReference"/>
        </w:rPr>
        <w:footnoteReference w:id="108"/>
      </w:r>
      <w:r>
        <w:rPr>
          <w:szCs w:val="22"/>
        </w:rPr>
        <w:t xml:space="preserve"> </w:t>
      </w:r>
      <w:r w:rsidRPr="20821D15">
        <w:t>concluded that</w:t>
      </w:r>
      <w:r>
        <w:rPr>
          <w:szCs w:val="22"/>
        </w:rPr>
        <w:t xml:space="preserve"> </w:t>
      </w:r>
      <w:r w:rsidRPr="20821D15">
        <w:t>a waste stream combining ODS and HFCs would</w:t>
      </w:r>
      <w:r>
        <w:rPr>
          <w:szCs w:val="22"/>
        </w:rPr>
        <w:t xml:space="preserve"> </w:t>
      </w:r>
      <w:r w:rsidRPr="20821D15">
        <w:t xml:space="preserve">realise the </w:t>
      </w:r>
      <w:r>
        <w:t>largest</w:t>
      </w:r>
      <w:r w:rsidRPr="20821D15">
        <w:t xml:space="preserve"> economies of scale and accrue the greatest</w:t>
      </w:r>
      <w:r>
        <w:rPr>
          <w:szCs w:val="22"/>
        </w:rPr>
        <w:t xml:space="preserve"> </w:t>
      </w:r>
      <w:r w:rsidRPr="20821D15">
        <w:t>benefits</w:t>
      </w:r>
      <w:r>
        <w:rPr>
          <w:szCs w:val="22"/>
        </w:rPr>
        <w:t xml:space="preserve">. </w:t>
      </w:r>
      <w:r w:rsidRPr="20821D15">
        <w:t xml:space="preserve">The opportunities (and challenges) are described further in </w:t>
      </w:r>
      <w:r w:rsidR="00DE606D">
        <w:t>s</w:t>
      </w:r>
      <w:r w:rsidRPr="20821D15">
        <w:t>ection 5.5.</w:t>
      </w:r>
    </w:p>
    <w:p w14:paraId="70F0844F" w14:textId="7207FC8E" w:rsidR="002313D4" w:rsidRDefault="008542F5" w:rsidP="00751ECE">
      <w:pPr>
        <w:pStyle w:val="Heading2"/>
      </w:pPr>
      <w:bookmarkStart w:id="173" w:name="_Toc73045630"/>
      <w:r w:rsidRPr="009C454A">
        <w:t>5.2</w:t>
      </w:r>
      <w:r w:rsidRPr="009C454A">
        <w:tab/>
      </w:r>
      <w:r w:rsidR="00C86E56" w:rsidRPr="009C454A">
        <w:t>C</w:t>
      </w:r>
      <w:r w:rsidR="00691E5A">
        <w:t>entrifugal c</w:t>
      </w:r>
      <w:r w:rsidR="00DF0548" w:rsidRPr="009C454A">
        <w:t>hillers</w:t>
      </w:r>
      <w:bookmarkEnd w:id="173"/>
    </w:p>
    <w:p w14:paraId="4F1BFE0A" w14:textId="5D53357E" w:rsidR="00F7489A" w:rsidRDefault="00001DB8" w:rsidP="00F7489A">
      <w:pPr>
        <w:rPr>
          <w:szCs w:val="22"/>
        </w:rPr>
      </w:pPr>
      <w:r>
        <w:rPr>
          <w:szCs w:val="22"/>
        </w:rPr>
        <w:t xml:space="preserve">For </w:t>
      </w:r>
      <w:r w:rsidR="00691E5A">
        <w:rPr>
          <w:szCs w:val="22"/>
        </w:rPr>
        <w:t xml:space="preserve">centrifugal </w:t>
      </w:r>
      <w:r>
        <w:rPr>
          <w:szCs w:val="22"/>
        </w:rPr>
        <w:t xml:space="preserve">chillers, </w:t>
      </w:r>
      <w:r w:rsidR="00626F78">
        <w:rPr>
          <w:szCs w:val="22"/>
        </w:rPr>
        <w:t>T</w:t>
      </w:r>
      <w:r w:rsidR="00F7489A">
        <w:rPr>
          <w:szCs w:val="22"/>
        </w:rPr>
        <w:t>able 5</w:t>
      </w:r>
      <w:r w:rsidR="002B13FD">
        <w:rPr>
          <w:szCs w:val="22"/>
        </w:rPr>
        <w:t>.2</w:t>
      </w:r>
      <w:r w:rsidR="00F7489A">
        <w:rPr>
          <w:szCs w:val="22"/>
        </w:rPr>
        <w:t xml:space="preserve"> outlines </w:t>
      </w:r>
      <w:r w:rsidR="00490886">
        <w:rPr>
          <w:szCs w:val="22"/>
        </w:rPr>
        <w:t>the</w:t>
      </w:r>
      <w:r w:rsidR="00F7489A">
        <w:rPr>
          <w:szCs w:val="22"/>
        </w:rPr>
        <w:t xml:space="preserve"> type of product, associated methods to detect CFC-11, </w:t>
      </w:r>
      <w:r w:rsidR="00490886">
        <w:rPr>
          <w:szCs w:val="22"/>
        </w:rPr>
        <w:t xml:space="preserve">options for recovery of associated CFC-11, and </w:t>
      </w:r>
      <w:r w:rsidR="00F7489A">
        <w:rPr>
          <w:szCs w:val="22"/>
        </w:rPr>
        <w:t>disposition of the product.</w:t>
      </w:r>
    </w:p>
    <w:p w14:paraId="044F3DA4" w14:textId="5C37FA4A" w:rsidR="00542FD2" w:rsidRDefault="00025982" w:rsidP="008628DD">
      <w:pPr>
        <w:rPr>
          <w:lang w:val="en-US" w:eastAsia="fr-FR"/>
        </w:rPr>
      </w:pPr>
      <w:r>
        <w:rPr>
          <w:szCs w:val="22"/>
        </w:rPr>
        <w:t xml:space="preserve">The use </w:t>
      </w:r>
      <w:r w:rsidR="00001DB8">
        <w:rPr>
          <w:szCs w:val="22"/>
        </w:rPr>
        <w:t xml:space="preserve">of </w:t>
      </w:r>
      <w:r w:rsidR="00133D51">
        <w:rPr>
          <w:szCs w:val="22"/>
        </w:rPr>
        <w:t xml:space="preserve">CFC-11 in </w:t>
      </w:r>
      <w:r w:rsidR="00001DB8">
        <w:rPr>
          <w:szCs w:val="22"/>
        </w:rPr>
        <w:t xml:space="preserve">chillers </w:t>
      </w:r>
      <w:r>
        <w:rPr>
          <w:szCs w:val="22"/>
        </w:rPr>
        <w:t xml:space="preserve">outlined in the </w:t>
      </w:r>
      <w:r w:rsidR="00384963">
        <w:rPr>
          <w:szCs w:val="22"/>
        </w:rPr>
        <w:t>Table</w:t>
      </w:r>
      <w:r>
        <w:rPr>
          <w:szCs w:val="22"/>
        </w:rPr>
        <w:t xml:space="preserve"> </w:t>
      </w:r>
      <w:r w:rsidR="00001DB8">
        <w:rPr>
          <w:szCs w:val="22"/>
        </w:rPr>
        <w:t>is</w:t>
      </w:r>
      <w:r>
        <w:rPr>
          <w:szCs w:val="22"/>
        </w:rPr>
        <w:t xml:space="preserve"> included for the purpose of addressing decision XXXI/3, paragraph 7</w:t>
      </w:r>
      <w:r w:rsidR="00626F78">
        <w:rPr>
          <w:szCs w:val="22"/>
        </w:rPr>
        <w:t>(</w:t>
      </w:r>
      <w:r>
        <w:rPr>
          <w:szCs w:val="22"/>
        </w:rPr>
        <w:t>c</w:t>
      </w:r>
      <w:r w:rsidR="00626F78">
        <w:rPr>
          <w:szCs w:val="22"/>
        </w:rPr>
        <w:t>)</w:t>
      </w:r>
      <w:r>
        <w:rPr>
          <w:szCs w:val="22"/>
        </w:rPr>
        <w:t xml:space="preserve">. </w:t>
      </w:r>
      <w:r w:rsidR="008647D1">
        <w:rPr>
          <w:szCs w:val="22"/>
        </w:rPr>
        <w:t>T</w:t>
      </w:r>
      <w:r>
        <w:rPr>
          <w:szCs w:val="22"/>
        </w:rPr>
        <w:t xml:space="preserve">he </w:t>
      </w:r>
      <w:r w:rsidR="00DC6DCF">
        <w:rPr>
          <w:szCs w:val="22"/>
        </w:rPr>
        <w:t xml:space="preserve">2019 </w:t>
      </w:r>
      <w:r>
        <w:rPr>
          <w:szCs w:val="22"/>
        </w:rPr>
        <w:t>Task Force concluded that</w:t>
      </w:r>
      <w:r w:rsidR="00DC6DCF" w:rsidRPr="00DC6DCF">
        <w:rPr>
          <w:szCs w:val="22"/>
        </w:rPr>
        <w:t xml:space="preserve"> </w:t>
      </w:r>
      <w:r w:rsidR="00F531CA">
        <w:rPr>
          <w:szCs w:val="22"/>
        </w:rPr>
        <w:t>i</w:t>
      </w:r>
      <w:r w:rsidR="00DC6DCF">
        <w:rPr>
          <w:szCs w:val="22"/>
        </w:rPr>
        <w:t xml:space="preserve">t </w:t>
      </w:r>
      <w:r w:rsidR="00F058AD">
        <w:rPr>
          <w:szCs w:val="22"/>
        </w:rPr>
        <w:t>was</w:t>
      </w:r>
      <w:r w:rsidR="00DC6DCF">
        <w:rPr>
          <w:szCs w:val="22"/>
        </w:rPr>
        <w:t xml:space="preserve"> likely there was </w:t>
      </w:r>
      <w:r w:rsidR="00DC6DCF" w:rsidRPr="000C3156">
        <w:rPr>
          <w:szCs w:val="22"/>
        </w:rPr>
        <w:t>a resumption of newly produced CFC-11 usage in closed</w:t>
      </w:r>
      <w:r w:rsidR="00DC6DCF">
        <w:rPr>
          <w:szCs w:val="22"/>
        </w:rPr>
        <w:t>-</w:t>
      </w:r>
      <w:r w:rsidR="00DC6DCF" w:rsidRPr="000C3156">
        <w:rPr>
          <w:szCs w:val="22"/>
        </w:rPr>
        <w:t>cell foams</w:t>
      </w:r>
      <w:r w:rsidR="008647D1">
        <w:rPr>
          <w:szCs w:val="22"/>
        </w:rPr>
        <w:t xml:space="preserve"> only</w:t>
      </w:r>
      <w:r w:rsidR="00F531CA">
        <w:rPr>
          <w:szCs w:val="22"/>
        </w:rPr>
        <w:t xml:space="preserve">. </w:t>
      </w:r>
      <w:r w:rsidR="00F058AD">
        <w:rPr>
          <w:szCs w:val="22"/>
        </w:rPr>
        <w:t>It also concluded that a</w:t>
      </w:r>
      <w:r>
        <w:rPr>
          <w:szCs w:val="22"/>
        </w:rPr>
        <w:t xml:space="preserve">fter 2010 </w:t>
      </w:r>
      <w:r w:rsidRPr="00175504">
        <w:rPr>
          <w:szCs w:val="22"/>
        </w:rPr>
        <w:t xml:space="preserve">it </w:t>
      </w:r>
      <w:r w:rsidR="00F058AD">
        <w:rPr>
          <w:szCs w:val="22"/>
        </w:rPr>
        <w:t>was</w:t>
      </w:r>
      <w:r w:rsidRPr="00175504">
        <w:rPr>
          <w:szCs w:val="22"/>
        </w:rPr>
        <w:t xml:space="preserve"> unlikely that past production and historic usage account</w:t>
      </w:r>
      <w:r>
        <w:rPr>
          <w:szCs w:val="22"/>
        </w:rPr>
        <w:t>ed</w:t>
      </w:r>
      <w:r w:rsidRPr="00175504">
        <w:rPr>
          <w:szCs w:val="22"/>
        </w:rPr>
        <w:t xml:space="preserve"> for the unexpected CFC-11 emissions, including from existing </w:t>
      </w:r>
      <w:r w:rsidR="006C0211">
        <w:rPr>
          <w:szCs w:val="22"/>
        </w:rPr>
        <w:t xml:space="preserve">foam or chiller </w:t>
      </w:r>
      <w:r w:rsidRPr="00175504">
        <w:rPr>
          <w:szCs w:val="22"/>
        </w:rPr>
        <w:t>banks.</w:t>
      </w:r>
      <w:r>
        <w:rPr>
          <w:szCs w:val="22"/>
        </w:rPr>
        <w:t xml:space="preserve"> </w:t>
      </w:r>
      <w:r w:rsidR="008628DD" w:rsidRPr="008628DD">
        <w:rPr>
          <w:szCs w:val="22"/>
        </w:rPr>
        <w:t xml:space="preserve">It </w:t>
      </w:r>
      <w:r w:rsidR="00F058AD">
        <w:rPr>
          <w:szCs w:val="22"/>
        </w:rPr>
        <w:t>was also considered</w:t>
      </w:r>
      <w:r w:rsidR="008628DD" w:rsidRPr="008628DD">
        <w:rPr>
          <w:szCs w:val="22"/>
        </w:rPr>
        <w:t xml:space="preserve"> unlikely that there </w:t>
      </w:r>
      <w:r w:rsidR="008628DD">
        <w:rPr>
          <w:szCs w:val="22"/>
        </w:rPr>
        <w:t>was</w:t>
      </w:r>
      <w:r w:rsidR="008628DD" w:rsidRPr="008628DD">
        <w:rPr>
          <w:szCs w:val="22"/>
        </w:rPr>
        <w:t xml:space="preserve"> a resumption of newly produced CFC-11 usage in refrigeration and air-conditioning uses, flexible foams, aerosols, solvents, feedstock uses, tobacco expansion and other miscellaneous applications</w:t>
      </w:r>
      <w:r w:rsidRPr="000C3156">
        <w:rPr>
          <w:szCs w:val="22"/>
        </w:rPr>
        <w:t>.</w:t>
      </w:r>
    </w:p>
    <w:p w14:paraId="0DE124EA" w14:textId="77777777" w:rsidR="00542FD2" w:rsidRPr="00542FD2" w:rsidRDefault="00542FD2" w:rsidP="00542FD2">
      <w:pPr>
        <w:rPr>
          <w:lang w:val="en-US" w:eastAsia="fr-FR"/>
        </w:rPr>
      </w:pPr>
    </w:p>
    <w:p w14:paraId="0AB46CB1" w14:textId="77777777" w:rsidR="00542FD2" w:rsidRDefault="00542FD2" w:rsidP="00542FD2">
      <w:pPr>
        <w:tabs>
          <w:tab w:val="left" w:pos="1276"/>
        </w:tabs>
        <w:spacing w:after="120"/>
        <w:rPr>
          <w:b/>
          <w:bCs/>
          <w:szCs w:val="22"/>
        </w:rPr>
        <w:sectPr w:rsidR="00542FD2" w:rsidSect="008420B5">
          <w:pgSz w:w="11907" w:h="16839" w:code="9"/>
          <w:pgMar w:top="1699" w:right="1800" w:bottom="1872" w:left="1800" w:header="720" w:footer="792" w:gutter="0"/>
          <w:cols w:space="720"/>
          <w:docGrid w:linePitch="299"/>
        </w:sectPr>
      </w:pPr>
    </w:p>
    <w:p w14:paraId="72C25F62" w14:textId="493F787A" w:rsidR="00542FD2" w:rsidRPr="002D37F9" w:rsidRDefault="00542FD2" w:rsidP="00542FD2">
      <w:pPr>
        <w:tabs>
          <w:tab w:val="left" w:pos="1276"/>
        </w:tabs>
        <w:spacing w:after="120"/>
        <w:rPr>
          <w:b/>
          <w:bCs/>
          <w:szCs w:val="22"/>
        </w:rPr>
      </w:pPr>
      <w:r w:rsidRPr="002D37F9">
        <w:rPr>
          <w:b/>
          <w:bCs/>
          <w:szCs w:val="22"/>
        </w:rPr>
        <w:lastRenderedPageBreak/>
        <w:t>Table 5</w:t>
      </w:r>
      <w:r w:rsidR="00490886">
        <w:rPr>
          <w:b/>
          <w:bCs/>
          <w:szCs w:val="22"/>
        </w:rPr>
        <w:t>.</w:t>
      </w:r>
      <w:r w:rsidR="00A13A28">
        <w:rPr>
          <w:b/>
          <w:bCs/>
          <w:szCs w:val="22"/>
        </w:rPr>
        <w:t>2</w:t>
      </w:r>
      <w:r w:rsidRPr="002D37F9">
        <w:rPr>
          <w:b/>
          <w:bCs/>
          <w:szCs w:val="22"/>
        </w:rPr>
        <w:t>:</w:t>
      </w:r>
      <w:r>
        <w:rPr>
          <w:b/>
          <w:bCs/>
          <w:szCs w:val="22"/>
        </w:rPr>
        <w:tab/>
      </w:r>
      <w:r w:rsidRPr="002D37F9">
        <w:rPr>
          <w:b/>
          <w:bCs/>
          <w:szCs w:val="22"/>
        </w:rPr>
        <w:t xml:space="preserve">CFC-11 </w:t>
      </w:r>
      <w:r w:rsidR="00691E5A">
        <w:rPr>
          <w:b/>
          <w:bCs/>
          <w:szCs w:val="22"/>
        </w:rPr>
        <w:t>centrifugal c</w:t>
      </w:r>
      <w:r w:rsidR="00490886">
        <w:rPr>
          <w:b/>
          <w:bCs/>
          <w:szCs w:val="22"/>
        </w:rPr>
        <w:t>hillers</w:t>
      </w:r>
      <w:r w:rsidRPr="002D37F9">
        <w:rPr>
          <w:b/>
          <w:bCs/>
          <w:szCs w:val="22"/>
        </w:rPr>
        <w:t>, emissions profile, detection</w:t>
      </w:r>
      <w:r>
        <w:rPr>
          <w:b/>
          <w:bCs/>
          <w:szCs w:val="22"/>
        </w:rPr>
        <w:t>,</w:t>
      </w:r>
      <w:r w:rsidRPr="002D37F9">
        <w:rPr>
          <w:b/>
          <w:bCs/>
          <w:szCs w:val="22"/>
        </w:rPr>
        <w:t xml:space="preserve"> </w:t>
      </w:r>
      <w:r w:rsidR="00AF7492" w:rsidRPr="002D37F9">
        <w:rPr>
          <w:b/>
          <w:bCs/>
          <w:szCs w:val="22"/>
        </w:rPr>
        <w:t>recovery of associated CFC-11</w:t>
      </w:r>
      <w:r w:rsidRPr="002D37F9">
        <w:rPr>
          <w:b/>
          <w:bCs/>
          <w:szCs w:val="22"/>
        </w:rPr>
        <w:t xml:space="preserve">, and </w:t>
      </w:r>
      <w:r w:rsidR="00AF7492" w:rsidRPr="002D37F9">
        <w:rPr>
          <w:b/>
          <w:bCs/>
          <w:szCs w:val="22"/>
        </w:rPr>
        <w:t>disposition</w:t>
      </w:r>
    </w:p>
    <w:tbl>
      <w:tblPr>
        <w:tblStyle w:val="TableGrid"/>
        <w:tblW w:w="12762" w:type="dxa"/>
        <w:tblInd w:w="54" w:type="dxa"/>
        <w:tblLook w:val="04A0" w:firstRow="1" w:lastRow="0" w:firstColumn="1" w:lastColumn="0" w:noHBand="0" w:noVBand="1"/>
      </w:tblPr>
      <w:tblGrid>
        <w:gridCol w:w="2127"/>
        <w:gridCol w:w="2127"/>
        <w:gridCol w:w="2127"/>
        <w:gridCol w:w="2127"/>
        <w:gridCol w:w="2127"/>
        <w:gridCol w:w="2127"/>
      </w:tblGrid>
      <w:tr w:rsidR="00FD27D5" w:rsidRPr="003A2CCF" w14:paraId="0F5351D7" w14:textId="77777777" w:rsidTr="00FD27D5">
        <w:tc>
          <w:tcPr>
            <w:tcW w:w="2127" w:type="dxa"/>
          </w:tcPr>
          <w:p w14:paraId="088A01E7" w14:textId="77777777" w:rsidR="00FD27D5" w:rsidRPr="003A2CCF" w:rsidRDefault="00FD27D5" w:rsidP="00FD27D5">
            <w:pPr>
              <w:spacing w:after="0"/>
              <w:rPr>
                <w:b/>
                <w:bCs/>
                <w:sz w:val="18"/>
                <w:szCs w:val="18"/>
              </w:rPr>
            </w:pPr>
            <w:r w:rsidRPr="003A2CCF">
              <w:rPr>
                <w:b/>
                <w:bCs/>
                <w:sz w:val="18"/>
                <w:szCs w:val="18"/>
              </w:rPr>
              <w:t>Type of product</w:t>
            </w:r>
          </w:p>
        </w:tc>
        <w:tc>
          <w:tcPr>
            <w:tcW w:w="2127" w:type="dxa"/>
          </w:tcPr>
          <w:p w14:paraId="3177A7BA" w14:textId="77777777" w:rsidR="00FD27D5" w:rsidRPr="003A2CCF" w:rsidRDefault="00FD27D5" w:rsidP="00FD27D5">
            <w:pPr>
              <w:spacing w:after="0"/>
              <w:rPr>
                <w:b/>
                <w:bCs/>
                <w:sz w:val="18"/>
                <w:szCs w:val="18"/>
              </w:rPr>
            </w:pPr>
            <w:r w:rsidRPr="003A2CCF">
              <w:rPr>
                <w:b/>
                <w:bCs/>
                <w:sz w:val="18"/>
                <w:szCs w:val="18"/>
              </w:rPr>
              <w:t>Purpose of CFC-11</w:t>
            </w:r>
          </w:p>
        </w:tc>
        <w:tc>
          <w:tcPr>
            <w:tcW w:w="2127" w:type="dxa"/>
          </w:tcPr>
          <w:p w14:paraId="566A55DF" w14:textId="5A90787E" w:rsidR="00FD27D5" w:rsidRPr="003A2CCF" w:rsidRDefault="00FD27D5" w:rsidP="00FD27D5">
            <w:pPr>
              <w:spacing w:after="0"/>
              <w:rPr>
                <w:b/>
                <w:bCs/>
                <w:sz w:val="18"/>
                <w:szCs w:val="18"/>
              </w:rPr>
            </w:pPr>
            <w:r w:rsidRPr="003A2CCF">
              <w:rPr>
                <w:b/>
                <w:bCs/>
                <w:sz w:val="18"/>
                <w:szCs w:val="18"/>
              </w:rPr>
              <w:t>CFC-11 emissions profile</w:t>
            </w:r>
          </w:p>
        </w:tc>
        <w:tc>
          <w:tcPr>
            <w:tcW w:w="2127" w:type="dxa"/>
          </w:tcPr>
          <w:p w14:paraId="486D3AE8" w14:textId="0C046EC0" w:rsidR="00FD27D5" w:rsidRDefault="00FD27D5" w:rsidP="00FD27D5">
            <w:pPr>
              <w:spacing w:after="0"/>
              <w:rPr>
                <w:b/>
                <w:bCs/>
                <w:sz w:val="18"/>
                <w:szCs w:val="18"/>
              </w:rPr>
            </w:pPr>
            <w:r>
              <w:rPr>
                <w:b/>
                <w:bCs/>
                <w:sz w:val="18"/>
                <w:szCs w:val="18"/>
              </w:rPr>
              <w:t>Methods to detect CFC-11 in the product</w:t>
            </w:r>
          </w:p>
        </w:tc>
        <w:tc>
          <w:tcPr>
            <w:tcW w:w="2127" w:type="dxa"/>
          </w:tcPr>
          <w:p w14:paraId="54201DC0" w14:textId="28503288" w:rsidR="00FD27D5" w:rsidRDefault="00FD27D5" w:rsidP="00FD27D5">
            <w:pPr>
              <w:spacing w:after="0"/>
              <w:rPr>
                <w:b/>
                <w:bCs/>
                <w:sz w:val="18"/>
                <w:szCs w:val="18"/>
              </w:rPr>
            </w:pPr>
            <w:r>
              <w:rPr>
                <w:b/>
                <w:bCs/>
                <w:sz w:val="18"/>
                <w:szCs w:val="18"/>
              </w:rPr>
              <w:t>Recovery of associated CFC-11 in the product</w:t>
            </w:r>
          </w:p>
        </w:tc>
        <w:tc>
          <w:tcPr>
            <w:tcW w:w="2127" w:type="dxa"/>
          </w:tcPr>
          <w:p w14:paraId="2179A987" w14:textId="67C6E3DA" w:rsidR="00FD27D5" w:rsidRPr="003A2CCF" w:rsidRDefault="00FD27D5" w:rsidP="00FD27D5">
            <w:pPr>
              <w:spacing w:after="0"/>
              <w:rPr>
                <w:b/>
                <w:bCs/>
                <w:sz w:val="18"/>
                <w:szCs w:val="18"/>
              </w:rPr>
            </w:pPr>
            <w:r>
              <w:rPr>
                <w:b/>
                <w:bCs/>
                <w:sz w:val="18"/>
                <w:szCs w:val="18"/>
              </w:rPr>
              <w:t>Disposition of the product</w:t>
            </w:r>
          </w:p>
        </w:tc>
      </w:tr>
      <w:tr w:rsidR="00FD27D5" w:rsidRPr="003A2CCF" w14:paraId="2685B0EA" w14:textId="77777777" w:rsidTr="00FD27D5">
        <w:trPr>
          <w:trHeight w:val="1408"/>
        </w:trPr>
        <w:tc>
          <w:tcPr>
            <w:tcW w:w="2127" w:type="dxa"/>
          </w:tcPr>
          <w:p w14:paraId="1E9F888A" w14:textId="2CE657E1" w:rsidR="00FD27D5" w:rsidRPr="003A2CCF" w:rsidRDefault="00FD27D5" w:rsidP="00FD27D5">
            <w:pPr>
              <w:spacing w:after="0"/>
              <w:rPr>
                <w:sz w:val="18"/>
                <w:szCs w:val="18"/>
              </w:rPr>
            </w:pPr>
            <w:r>
              <w:rPr>
                <w:sz w:val="18"/>
                <w:szCs w:val="18"/>
              </w:rPr>
              <w:t xml:space="preserve">Centrifugal </w:t>
            </w:r>
            <w:r w:rsidR="00691E5A">
              <w:rPr>
                <w:sz w:val="18"/>
                <w:szCs w:val="18"/>
              </w:rPr>
              <w:t>c</w:t>
            </w:r>
            <w:r>
              <w:rPr>
                <w:sz w:val="18"/>
                <w:szCs w:val="18"/>
              </w:rPr>
              <w:t>hillers</w:t>
            </w:r>
            <w:r w:rsidR="00AF7492">
              <w:rPr>
                <w:sz w:val="18"/>
                <w:szCs w:val="18"/>
              </w:rPr>
              <w:t xml:space="preserve"> used</w:t>
            </w:r>
            <w:r>
              <w:rPr>
                <w:sz w:val="18"/>
                <w:szCs w:val="18"/>
              </w:rPr>
              <w:t xml:space="preserve"> for building air conditioning.</w:t>
            </w:r>
          </w:p>
        </w:tc>
        <w:tc>
          <w:tcPr>
            <w:tcW w:w="2127" w:type="dxa"/>
          </w:tcPr>
          <w:p w14:paraId="6945C5EF" w14:textId="611F4759" w:rsidR="00FD27D5" w:rsidRPr="003A2CCF" w:rsidRDefault="00FD27D5" w:rsidP="00FD27D5">
            <w:pPr>
              <w:spacing w:after="0"/>
              <w:rPr>
                <w:sz w:val="18"/>
                <w:szCs w:val="18"/>
              </w:rPr>
            </w:pPr>
            <w:r>
              <w:rPr>
                <w:sz w:val="18"/>
                <w:szCs w:val="18"/>
              </w:rPr>
              <w:t>Refrigerant</w:t>
            </w:r>
            <w:r w:rsidR="00075530">
              <w:rPr>
                <w:sz w:val="18"/>
                <w:szCs w:val="18"/>
              </w:rPr>
              <w:t xml:space="preserve"> </w:t>
            </w:r>
            <w:r w:rsidR="00075530" w:rsidRPr="00075530">
              <w:rPr>
                <w:sz w:val="18"/>
                <w:szCs w:val="18"/>
              </w:rPr>
              <w:t>in large, water-cooled centrifugal chillers</w:t>
            </w:r>
          </w:p>
        </w:tc>
        <w:tc>
          <w:tcPr>
            <w:tcW w:w="2127" w:type="dxa"/>
          </w:tcPr>
          <w:p w14:paraId="34C75DAF" w14:textId="0E80FD8B" w:rsidR="00FD27D5" w:rsidRPr="00445A6F" w:rsidRDefault="0079510A" w:rsidP="00FD27D5">
            <w:pPr>
              <w:spacing w:after="0"/>
              <w:rPr>
                <w:sz w:val="18"/>
                <w:szCs w:val="18"/>
                <w:lang w:val="en-AU"/>
              </w:rPr>
            </w:pPr>
            <w:r>
              <w:rPr>
                <w:sz w:val="18"/>
                <w:szCs w:val="18"/>
              </w:rPr>
              <w:t>CFC-11 c</w:t>
            </w:r>
            <w:r w:rsidR="00C52264">
              <w:rPr>
                <w:sz w:val="18"/>
                <w:szCs w:val="18"/>
              </w:rPr>
              <w:t xml:space="preserve">hillers are </w:t>
            </w:r>
            <w:r w:rsidR="00445A6F">
              <w:rPr>
                <w:sz w:val="18"/>
                <w:szCs w:val="18"/>
              </w:rPr>
              <w:t xml:space="preserve">low or </w:t>
            </w:r>
            <w:r w:rsidR="00A406F1">
              <w:rPr>
                <w:sz w:val="18"/>
                <w:szCs w:val="18"/>
              </w:rPr>
              <w:t xml:space="preserve">negative pressure systems </w:t>
            </w:r>
            <w:r w:rsidR="00445A6F" w:rsidRPr="00445A6F">
              <w:rPr>
                <w:sz w:val="18"/>
                <w:szCs w:val="18"/>
                <w:lang w:val="en-AU"/>
              </w:rPr>
              <w:t xml:space="preserve">where </w:t>
            </w:r>
            <w:r w:rsidR="00D06934">
              <w:rPr>
                <w:sz w:val="18"/>
                <w:szCs w:val="18"/>
                <w:lang w:val="en-AU"/>
              </w:rPr>
              <w:t>operating emissions</w:t>
            </w:r>
            <w:r w:rsidR="00445A6F" w:rsidRPr="00445A6F">
              <w:rPr>
                <w:sz w:val="18"/>
                <w:szCs w:val="18"/>
                <w:lang w:val="en-AU"/>
              </w:rPr>
              <w:t xml:space="preserve"> are mainly related to the air-purge system</w:t>
            </w:r>
            <w:r w:rsidR="00A406F1">
              <w:rPr>
                <w:sz w:val="18"/>
                <w:szCs w:val="18"/>
              </w:rPr>
              <w:t>.</w:t>
            </w:r>
            <w:r w:rsidR="00445A6F">
              <w:rPr>
                <w:sz w:val="18"/>
                <w:szCs w:val="18"/>
              </w:rPr>
              <w:t xml:space="preserve"> </w:t>
            </w:r>
            <w:r w:rsidR="00ED60E9">
              <w:rPr>
                <w:sz w:val="18"/>
                <w:szCs w:val="18"/>
              </w:rPr>
              <w:t xml:space="preserve">When properly maintained, emissions are </w:t>
            </w:r>
            <w:r w:rsidR="007F5A18">
              <w:rPr>
                <w:sz w:val="18"/>
                <w:szCs w:val="18"/>
              </w:rPr>
              <w:t xml:space="preserve">relatively </w:t>
            </w:r>
            <w:r w:rsidR="008B4B4F">
              <w:rPr>
                <w:sz w:val="18"/>
                <w:szCs w:val="18"/>
              </w:rPr>
              <w:t>low</w:t>
            </w:r>
            <w:r w:rsidR="00ED60E9">
              <w:rPr>
                <w:sz w:val="18"/>
                <w:szCs w:val="18"/>
              </w:rPr>
              <w:t xml:space="preserve"> during product lifetime. </w:t>
            </w:r>
            <w:r w:rsidR="007F5A18">
              <w:rPr>
                <w:sz w:val="18"/>
                <w:szCs w:val="18"/>
              </w:rPr>
              <w:t>In some regions</w:t>
            </w:r>
            <w:r w:rsidR="00AC1EE0">
              <w:rPr>
                <w:sz w:val="18"/>
                <w:szCs w:val="18"/>
              </w:rPr>
              <w:t>, without incentive to do otherwise</w:t>
            </w:r>
            <w:r w:rsidR="007F5A18">
              <w:rPr>
                <w:sz w:val="18"/>
                <w:szCs w:val="18"/>
              </w:rPr>
              <w:t xml:space="preserve">, CFC-11 is released to the atmosphere at </w:t>
            </w:r>
            <w:r w:rsidR="002B5DD2">
              <w:rPr>
                <w:sz w:val="18"/>
                <w:szCs w:val="18"/>
              </w:rPr>
              <w:t xml:space="preserve">a chiller’s </w:t>
            </w:r>
            <w:r w:rsidR="00D10041">
              <w:rPr>
                <w:sz w:val="18"/>
                <w:szCs w:val="18"/>
              </w:rPr>
              <w:t>end-of-life</w:t>
            </w:r>
            <w:r w:rsidR="007F5A18">
              <w:rPr>
                <w:sz w:val="18"/>
                <w:szCs w:val="18"/>
              </w:rPr>
              <w:t>.</w:t>
            </w:r>
          </w:p>
        </w:tc>
        <w:tc>
          <w:tcPr>
            <w:tcW w:w="2127" w:type="dxa"/>
          </w:tcPr>
          <w:p w14:paraId="27D34861" w14:textId="6BD8FD99" w:rsidR="00ED60E9" w:rsidRDefault="00FD27D5" w:rsidP="00FD27D5">
            <w:pPr>
              <w:spacing w:after="0"/>
              <w:rPr>
                <w:sz w:val="18"/>
                <w:szCs w:val="18"/>
              </w:rPr>
            </w:pPr>
            <w:r>
              <w:rPr>
                <w:sz w:val="18"/>
                <w:szCs w:val="18"/>
              </w:rPr>
              <w:t>Field detection of CFC-11 contained in chillers, or supplied for the servicing sector</w:t>
            </w:r>
            <w:r w:rsidR="00D042C5">
              <w:rPr>
                <w:sz w:val="18"/>
                <w:szCs w:val="18"/>
              </w:rPr>
              <w:t>,</w:t>
            </w:r>
            <w:r>
              <w:rPr>
                <w:sz w:val="18"/>
                <w:szCs w:val="18"/>
              </w:rPr>
              <w:t xml:space="preserve"> can occur </w:t>
            </w:r>
            <w:r w:rsidR="007A51EA">
              <w:rPr>
                <w:sz w:val="18"/>
                <w:szCs w:val="18"/>
              </w:rPr>
              <w:t xml:space="preserve">using a portable </w:t>
            </w:r>
            <w:r w:rsidR="002A5B94">
              <w:rPr>
                <w:sz w:val="18"/>
                <w:szCs w:val="18"/>
              </w:rPr>
              <w:t>analyser</w:t>
            </w:r>
            <w:r w:rsidR="00D042C5">
              <w:rPr>
                <w:sz w:val="18"/>
                <w:szCs w:val="18"/>
              </w:rPr>
              <w:t xml:space="preserve"> set up to identify CFC-11</w:t>
            </w:r>
            <w:r w:rsidR="007A51EA">
              <w:rPr>
                <w:sz w:val="18"/>
                <w:szCs w:val="18"/>
              </w:rPr>
              <w:t>.</w:t>
            </w:r>
          </w:p>
          <w:p w14:paraId="4404B1B6" w14:textId="6025DE70" w:rsidR="00FD27D5" w:rsidRDefault="00FD27D5" w:rsidP="00FD27D5">
            <w:pPr>
              <w:spacing w:after="0"/>
              <w:rPr>
                <w:sz w:val="18"/>
                <w:szCs w:val="18"/>
              </w:rPr>
            </w:pPr>
            <w:r>
              <w:rPr>
                <w:sz w:val="18"/>
                <w:szCs w:val="18"/>
              </w:rPr>
              <w:t xml:space="preserve">Laboratory detection of CFC-11 occurs by sampling the product and conducting a chemical analysis using Gas Chromatography or Gas Chromatography/ Mass Spectrometry </w:t>
            </w:r>
          </w:p>
        </w:tc>
        <w:tc>
          <w:tcPr>
            <w:tcW w:w="2127" w:type="dxa"/>
          </w:tcPr>
          <w:p w14:paraId="313624F7" w14:textId="48E791A0" w:rsidR="00FD27D5" w:rsidRDefault="00AF40DD" w:rsidP="00FD27D5">
            <w:pPr>
              <w:spacing w:after="0"/>
              <w:rPr>
                <w:sz w:val="18"/>
                <w:szCs w:val="18"/>
              </w:rPr>
            </w:pPr>
            <w:r>
              <w:rPr>
                <w:sz w:val="18"/>
                <w:szCs w:val="18"/>
              </w:rPr>
              <w:t xml:space="preserve">Centrifugal chillers are decommissioned and dismantled at their </w:t>
            </w:r>
            <w:r w:rsidR="00D10041">
              <w:rPr>
                <w:sz w:val="18"/>
                <w:szCs w:val="18"/>
              </w:rPr>
              <w:t>end-of-life</w:t>
            </w:r>
            <w:r>
              <w:rPr>
                <w:sz w:val="18"/>
                <w:szCs w:val="18"/>
              </w:rPr>
              <w:t xml:space="preserve">. </w:t>
            </w:r>
            <w:r w:rsidR="00536009">
              <w:rPr>
                <w:sz w:val="18"/>
                <w:szCs w:val="18"/>
              </w:rPr>
              <w:t>R</w:t>
            </w:r>
            <w:r w:rsidR="001A5F25">
              <w:rPr>
                <w:sz w:val="18"/>
                <w:szCs w:val="18"/>
              </w:rPr>
              <w:t>ecovery, reclamation</w:t>
            </w:r>
            <w:r w:rsidR="00CB7CD2">
              <w:rPr>
                <w:sz w:val="18"/>
                <w:szCs w:val="18"/>
              </w:rPr>
              <w:t>/</w:t>
            </w:r>
            <w:r w:rsidR="0028240E">
              <w:rPr>
                <w:sz w:val="18"/>
                <w:szCs w:val="18"/>
              </w:rPr>
              <w:t xml:space="preserve"> </w:t>
            </w:r>
            <w:r w:rsidR="00CB7CD2">
              <w:rPr>
                <w:sz w:val="18"/>
                <w:szCs w:val="18"/>
              </w:rPr>
              <w:t>recycling</w:t>
            </w:r>
            <w:r w:rsidR="001A5F25">
              <w:rPr>
                <w:sz w:val="18"/>
                <w:szCs w:val="18"/>
              </w:rPr>
              <w:t xml:space="preserve"> </w:t>
            </w:r>
            <w:r w:rsidR="00CB7CD2">
              <w:rPr>
                <w:sz w:val="18"/>
                <w:szCs w:val="18"/>
              </w:rPr>
              <w:t>or</w:t>
            </w:r>
            <w:r w:rsidR="001A5F25">
              <w:rPr>
                <w:sz w:val="18"/>
                <w:szCs w:val="18"/>
              </w:rPr>
              <w:t xml:space="preserve"> reuse of CFC-11 </w:t>
            </w:r>
            <w:r w:rsidR="003529C2">
              <w:rPr>
                <w:sz w:val="18"/>
                <w:szCs w:val="18"/>
              </w:rPr>
              <w:t>has been</w:t>
            </w:r>
            <w:r w:rsidR="00254CE4">
              <w:rPr>
                <w:sz w:val="18"/>
                <w:szCs w:val="18"/>
              </w:rPr>
              <w:t xml:space="preserve"> </w:t>
            </w:r>
            <w:r>
              <w:rPr>
                <w:sz w:val="18"/>
                <w:szCs w:val="18"/>
              </w:rPr>
              <w:t xml:space="preserve">successfully </w:t>
            </w:r>
            <w:r w:rsidR="00242756">
              <w:rPr>
                <w:sz w:val="18"/>
                <w:szCs w:val="18"/>
              </w:rPr>
              <w:t xml:space="preserve">practised </w:t>
            </w:r>
            <w:r w:rsidR="00981BC9">
              <w:rPr>
                <w:sz w:val="18"/>
                <w:szCs w:val="18"/>
              </w:rPr>
              <w:t xml:space="preserve">to </w:t>
            </w:r>
            <w:r w:rsidR="006B62A7">
              <w:rPr>
                <w:sz w:val="18"/>
                <w:szCs w:val="18"/>
              </w:rPr>
              <w:t>supply</w:t>
            </w:r>
            <w:r w:rsidR="00981BC9">
              <w:rPr>
                <w:sz w:val="18"/>
                <w:szCs w:val="18"/>
              </w:rPr>
              <w:t xml:space="preserve"> CFC-11</w:t>
            </w:r>
            <w:r w:rsidR="009819EC">
              <w:rPr>
                <w:sz w:val="18"/>
                <w:szCs w:val="18"/>
              </w:rPr>
              <w:t xml:space="preserve"> for the</w:t>
            </w:r>
            <w:r w:rsidR="00981BC9">
              <w:rPr>
                <w:sz w:val="18"/>
                <w:szCs w:val="18"/>
              </w:rPr>
              <w:t xml:space="preserve"> maint</w:t>
            </w:r>
            <w:r w:rsidR="009819EC">
              <w:rPr>
                <w:sz w:val="18"/>
                <w:szCs w:val="18"/>
              </w:rPr>
              <w:t>enance of</w:t>
            </w:r>
            <w:r w:rsidR="00981BC9">
              <w:rPr>
                <w:sz w:val="18"/>
                <w:szCs w:val="18"/>
              </w:rPr>
              <w:t xml:space="preserve"> remaining equipment</w:t>
            </w:r>
            <w:r w:rsidR="0028240E">
              <w:rPr>
                <w:sz w:val="18"/>
                <w:szCs w:val="18"/>
              </w:rPr>
              <w:t>. Otherwise</w:t>
            </w:r>
            <w:r w:rsidR="00536009">
              <w:rPr>
                <w:sz w:val="18"/>
                <w:szCs w:val="18"/>
              </w:rPr>
              <w:t>,</w:t>
            </w:r>
            <w:r w:rsidR="0028240E">
              <w:rPr>
                <w:sz w:val="18"/>
                <w:szCs w:val="18"/>
              </w:rPr>
              <w:t xml:space="preserve"> it </w:t>
            </w:r>
            <w:r w:rsidR="009819EC">
              <w:rPr>
                <w:sz w:val="18"/>
                <w:szCs w:val="18"/>
              </w:rPr>
              <w:t xml:space="preserve">is </w:t>
            </w:r>
            <w:r w:rsidR="003529C2">
              <w:rPr>
                <w:sz w:val="18"/>
                <w:szCs w:val="18"/>
              </w:rPr>
              <w:t>destroyed</w:t>
            </w:r>
            <w:r w:rsidR="00254CE4">
              <w:rPr>
                <w:sz w:val="18"/>
                <w:szCs w:val="18"/>
              </w:rPr>
              <w:t xml:space="preserve">. </w:t>
            </w:r>
            <w:r w:rsidR="00262F0D">
              <w:rPr>
                <w:sz w:val="18"/>
                <w:szCs w:val="18"/>
              </w:rPr>
              <w:t>I</w:t>
            </w:r>
            <w:r w:rsidR="00D15134">
              <w:rPr>
                <w:sz w:val="18"/>
                <w:szCs w:val="18"/>
              </w:rPr>
              <w:t xml:space="preserve">n some regions, without incentive to do otherwise, CFC-11 is released to the atmosphere at a chiller’s </w:t>
            </w:r>
            <w:r w:rsidR="00D10041">
              <w:rPr>
                <w:sz w:val="18"/>
                <w:szCs w:val="18"/>
              </w:rPr>
              <w:t>end-of-life</w:t>
            </w:r>
            <w:r w:rsidR="00D15134">
              <w:rPr>
                <w:sz w:val="18"/>
                <w:szCs w:val="18"/>
              </w:rPr>
              <w:t xml:space="preserve">. </w:t>
            </w:r>
          </w:p>
        </w:tc>
        <w:tc>
          <w:tcPr>
            <w:tcW w:w="2127" w:type="dxa"/>
          </w:tcPr>
          <w:p w14:paraId="032271FB" w14:textId="392E4818" w:rsidR="00FD27D5" w:rsidRPr="003A2CCF" w:rsidRDefault="00640BEB" w:rsidP="00FD27D5">
            <w:pPr>
              <w:spacing w:after="0"/>
              <w:rPr>
                <w:sz w:val="18"/>
                <w:szCs w:val="18"/>
              </w:rPr>
            </w:pPr>
            <w:r>
              <w:rPr>
                <w:sz w:val="18"/>
                <w:szCs w:val="18"/>
              </w:rPr>
              <w:t xml:space="preserve">Centrifugal chillers are decommissioned and dismantled at their </w:t>
            </w:r>
            <w:r w:rsidR="00D10041">
              <w:rPr>
                <w:sz w:val="18"/>
                <w:szCs w:val="18"/>
              </w:rPr>
              <w:t>end-of-life</w:t>
            </w:r>
            <w:r>
              <w:rPr>
                <w:sz w:val="18"/>
                <w:szCs w:val="18"/>
              </w:rPr>
              <w:t>. In some regions, without incentive to do otherwise, CFC-11 is released</w:t>
            </w:r>
            <w:r w:rsidR="002874AE">
              <w:rPr>
                <w:sz w:val="18"/>
                <w:szCs w:val="18"/>
              </w:rPr>
              <w:t xml:space="preserve"> (disposed)</w:t>
            </w:r>
            <w:r>
              <w:rPr>
                <w:sz w:val="18"/>
                <w:szCs w:val="18"/>
              </w:rPr>
              <w:t xml:space="preserve"> to the atmosphere at a chiller’s </w:t>
            </w:r>
            <w:r w:rsidR="00D10041">
              <w:rPr>
                <w:sz w:val="18"/>
                <w:szCs w:val="18"/>
              </w:rPr>
              <w:t>end-of-life</w:t>
            </w:r>
            <w:r>
              <w:rPr>
                <w:sz w:val="18"/>
                <w:szCs w:val="18"/>
              </w:rPr>
              <w:t xml:space="preserve">. Where incentives exist, </w:t>
            </w:r>
            <w:r w:rsidR="00E2460E">
              <w:rPr>
                <w:sz w:val="18"/>
                <w:szCs w:val="18"/>
              </w:rPr>
              <w:t xml:space="preserve">recovered </w:t>
            </w:r>
            <w:r w:rsidR="005438CA">
              <w:rPr>
                <w:sz w:val="18"/>
                <w:szCs w:val="18"/>
              </w:rPr>
              <w:t>CFC-11</w:t>
            </w:r>
            <w:r w:rsidR="00F7489A">
              <w:rPr>
                <w:sz w:val="18"/>
                <w:szCs w:val="18"/>
              </w:rPr>
              <w:t xml:space="preserve">, which is </w:t>
            </w:r>
            <w:r w:rsidR="00E2460E">
              <w:rPr>
                <w:sz w:val="18"/>
                <w:szCs w:val="18"/>
              </w:rPr>
              <w:t>not suitable for reclamation</w:t>
            </w:r>
            <w:r w:rsidR="00CB7CD2">
              <w:rPr>
                <w:sz w:val="18"/>
                <w:szCs w:val="18"/>
              </w:rPr>
              <w:t>/recycling</w:t>
            </w:r>
            <w:r w:rsidR="00E2460E">
              <w:rPr>
                <w:sz w:val="18"/>
                <w:szCs w:val="18"/>
              </w:rPr>
              <w:t xml:space="preserve"> </w:t>
            </w:r>
            <w:r w:rsidR="00CB7CD2">
              <w:rPr>
                <w:sz w:val="18"/>
                <w:szCs w:val="18"/>
              </w:rPr>
              <w:t>or</w:t>
            </w:r>
            <w:r w:rsidR="00E2460E">
              <w:rPr>
                <w:sz w:val="18"/>
                <w:szCs w:val="18"/>
              </w:rPr>
              <w:t xml:space="preserve"> reuse</w:t>
            </w:r>
            <w:r w:rsidR="00F7489A">
              <w:rPr>
                <w:sz w:val="18"/>
                <w:szCs w:val="18"/>
              </w:rPr>
              <w:t>,</w:t>
            </w:r>
            <w:r w:rsidR="00B503AD">
              <w:rPr>
                <w:sz w:val="18"/>
                <w:szCs w:val="18"/>
              </w:rPr>
              <w:t xml:space="preserve"> is </w:t>
            </w:r>
            <w:r w:rsidR="005438CA">
              <w:rPr>
                <w:sz w:val="18"/>
                <w:szCs w:val="18"/>
              </w:rPr>
              <w:t>destroyed.</w:t>
            </w:r>
          </w:p>
        </w:tc>
      </w:tr>
    </w:tbl>
    <w:p w14:paraId="5FC2A48B" w14:textId="77777777" w:rsidR="00A13A28" w:rsidRDefault="00A13A28" w:rsidP="00F119DF">
      <w:pPr>
        <w:rPr>
          <w:szCs w:val="22"/>
        </w:rPr>
        <w:sectPr w:rsidR="00A13A28" w:rsidSect="00A13A28">
          <w:pgSz w:w="16839" w:h="11907" w:orient="landscape" w:code="9"/>
          <w:pgMar w:top="1797" w:right="1871" w:bottom="1797" w:left="1701" w:header="720" w:footer="794" w:gutter="0"/>
          <w:cols w:space="720"/>
          <w:docGrid w:linePitch="299"/>
        </w:sectPr>
      </w:pPr>
    </w:p>
    <w:p w14:paraId="050E947E" w14:textId="0ABFCA11" w:rsidR="00705FE6" w:rsidRDefault="00705FE6" w:rsidP="00751ECE">
      <w:pPr>
        <w:pStyle w:val="Heading3"/>
      </w:pPr>
      <w:bookmarkStart w:id="174" w:name="_Toc73045631"/>
      <w:r>
        <w:lastRenderedPageBreak/>
        <w:t>5.2.1</w:t>
      </w:r>
      <w:r>
        <w:tab/>
        <w:t xml:space="preserve">Methods to detect CFC-11 in </w:t>
      </w:r>
      <w:r w:rsidR="00691E5A">
        <w:t>refrigerants</w:t>
      </w:r>
      <w:bookmarkEnd w:id="174"/>
    </w:p>
    <w:p w14:paraId="79127190" w14:textId="612C9D97" w:rsidR="00FA3389" w:rsidRDefault="00FA3389" w:rsidP="00FA3389">
      <w:pPr>
        <w:rPr>
          <w:szCs w:val="22"/>
        </w:rPr>
      </w:pPr>
      <w:r>
        <w:rPr>
          <w:szCs w:val="22"/>
        </w:rPr>
        <w:t>Field detection of CFC-11</w:t>
      </w:r>
      <w:r w:rsidR="00090365">
        <w:rPr>
          <w:szCs w:val="22"/>
        </w:rPr>
        <w:t>,</w:t>
      </w:r>
      <w:r>
        <w:rPr>
          <w:szCs w:val="22"/>
        </w:rPr>
        <w:t xml:space="preserve"> </w:t>
      </w:r>
      <w:r w:rsidR="00EE39FB">
        <w:rPr>
          <w:szCs w:val="22"/>
        </w:rPr>
        <w:t xml:space="preserve">as a refrigerant </w:t>
      </w:r>
      <w:r>
        <w:rPr>
          <w:szCs w:val="22"/>
        </w:rPr>
        <w:t>in equipment</w:t>
      </w:r>
      <w:r w:rsidR="00A8312B">
        <w:rPr>
          <w:szCs w:val="22"/>
        </w:rPr>
        <w:t>, in recovered refrigerant,</w:t>
      </w:r>
      <w:r>
        <w:rPr>
          <w:szCs w:val="22"/>
        </w:rPr>
        <w:t xml:space="preserve"> or </w:t>
      </w:r>
      <w:r w:rsidR="00EE39FB">
        <w:rPr>
          <w:szCs w:val="22"/>
        </w:rPr>
        <w:t xml:space="preserve">in </w:t>
      </w:r>
      <w:r>
        <w:rPr>
          <w:szCs w:val="22"/>
        </w:rPr>
        <w:t>storage vessels</w:t>
      </w:r>
      <w:r w:rsidR="00090365">
        <w:rPr>
          <w:szCs w:val="22"/>
        </w:rPr>
        <w:t>,</w:t>
      </w:r>
      <w:r w:rsidRPr="005E321B">
        <w:rPr>
          <w:szCs w:val="22"/>
        </w:rPr>
        <w:t xml:space="preserve"> can occur by</w:t>
      </w:r>
      <w:r w:rsidRPr="00D042C5">
        <w:t xml:space="preserve"> </w:t>
      </w:r>
      <w:r w:rsidRPr="00D042C5">
        <w:rPr>
          <w:szCs w:val="22"/>
        </w:rPr>
        <w:t xml:space="preserve">using a portable </w:t>
      </w:r>
      <w:r w:rsidR="004B0800">
        <w:rPr>
          <w:szCs w:val="22"/>
        </w:rPr>
        <w:t xml:space="preserve">analyser </w:t>
      </w:r>
      <w:r w:rsidR="00964029" w:rsidRPr="00964029">
        <w:rPr>
          <w:szCs w:val="22"/>
        </w:rPr>
        <w:t xml:space="preserve">configured </w:t>
      </w:r>
      <w:r w:rsidR="00964029">
        <w:rPr>
          <w:szCs w:val="22"/>
        </w:rPr>
        <w:t>to identify</w:t>
      </w:r>
      <w:r w:rsidR="00964029" w:rsidRPr="00964029">
        <w:rPr>
          <w:szCs w:val="22"/>
        </w:rPr>
        <w:t xml:space="preserve"> CFC-11</w:t>
      </w:r>
      <w:r w:rsidRPr="00D042C5">
        <w:rPr>
          <w:szCs w:val="22"/>
        </w:rPr>
        <w:t>.</w:t>
      </w:r>
      <w:r w:rsidR="00C500F0">
        <w:rPr>
          <w:szCs w:val="22"/>
        </w:rPr>
        <w:t xml:space="preserve"> A simple halogen detector can also determine the presence of halogen present in CFCs, HCFCs, or HFCs, however further analysis would be needed for specific identification of CFC-11.</w:t>
      </w:r>
    </w:p>
    <w:p w14:paraId="10CA4228" w14:textId="38E2FC4E" w:rsidR="00FA3389" w:rsidRDefault="00FA3389" w:rsidP="00FA3389">
      <w:pPr>
        <w:rPr>
          <w:szCs w:val="22"/>
        </w:rPr>
      </w:pPr>
      <w:r w:rsidRPr="00A030EB">
        <w:rPr>
          <w:szCs w:val="22"/>
        </w:rPr>
        <w:t>Laboratory detection of CFC-11 occurs by sampling the product and conducting a</w:t>
      </w:r>
      <w:r>
        <w:rPr>
          <w:szCs w:val="22"/>
        </w:rPr>
        <w:t xml:space="preserve"> qualitative or quantitative chemical</w:t>
      </w:r>
      <w:r w:rsidRPr="00A030EB">
        <w:rPr>
          <w:szCs w:val="22"/>
        </w:rPr>
        <w:t xml:space="preserve"> analysis using </w:t>
      </w:r>
      <w:r>
        <w:rPr>
          <w:szCs w:val="22"/>
        </w:rPr>
        <w:t xml:space="preserve">Gas Chromatography (GC) or </w:t>
      </w:r>
      <w:r w:rsidRPr="00A030EB">
        <w:rPr>
          <w:szCs w:val="22"/>
        </w:rPr>
        <w:t>Gas Chromatography/Mass Spectrometry</w:t>
      </w:r>
      <w:r>
        <w:rPr>
          <w:szCs w:val="22"/>
        </w:rPr>
        <w:t xml:space="preserve"> </w:t>
      </w:r>
      <w:r w:rsidRPr="00A030EB">
        <w:rPr>
          <w:szCs w:val="22"/>
        </w:rPr>
        <w:t>(GC/MS)</w:t>
      </w:r>
      <w:r>
        <w:rPr>
          <w:szCs w:val="22"/>
        </w:rPr>
        <w:t>.</w:t>
      </w:r>
      <w:r w:rsidR="00090365">
        <w:rPr>
          <w:szCs w:val="22"/>
        </w:rPr>
        <w:t xml:space="preserve"> </w:t>
      </w:r>
      <w:r>
        <w:rPr>
          <w:szCs w:val="22"/>
        </w:rPr>
        <w:t>GC</w:t>
      </w:r>
      <w:r w:rsidRPr="00A030EB">
        <w:rPr>
          <w:szCs w:val="22"/>
        </w:rPr>
        <w:t xml:space="preserve"> separates </w:t>
      </w:r>
      <w:r>
        <w:rPr>
          <w:szCs w:val="22"/>
        </w:rPr>
        <w:t xml:space="preserve">a </w:t>
      </w:r>
      <w:r w:rsidRPr="00A030EB">
        <w:rPr>
          <w:szCs w:val="22"/>
        </w:rPr>
        <w:t>chemical mixture</w:t>
      </w:r>
      <w:r>
        <w:rPr>
          <w:szCs w:val="22"/>
        </w:rPr>
        <w:t xml:space="preserve"> into its component chemicals</w:t>
      </w:r>
      <w:r w:rsidRPr="00A030EB">
        <w:rPr>
          <w:szCs w:val="22"/>
        </w:rPr>
        <w:t xml:space="preserve"> (the GC component)</w:t>
      </w:r>
      <w:r>
        <w:rPr>
          <w:szCs w:val="22"/>
        </w:rPr>
        <w:t>. Calibration with internal standards allows chemical components to be identified qualitatively and/or quantitatively. The MS component</w:t>
      </w:r>
      <w:r w:rsidRPr="00A030EB">
        <w:rPr>
          <w:szCs w:val="22"/>
        </w:rPr>
        <w:t xml:space="preserve"> </w:t>
      </w:r>
      <w:r>
        <w:rPr>
          <w:szCs w:val="22"/>
        </w:rPr>
        <w:t xml:space="preserve">further </w:t>
      </w:r>
      <w:r w:rsidRPr="00A030EB">
        <w:rPr>
          <w:szCs w:val="22"/>
        </w:rPr>
        <w:t xml:space="preserve">identifies the </w:t>
      </w:r>
      <w:r>
        <w:rPr>
          <w:szCs w:val="22"/>
        </w:rPr>
        <w:t xml:space="preserve">chemical </w:t>
      </w:r>
      <w:r w:rsidRPr="00A030EB">
        <w:rPr>
          <w:szCs w:val="22"/>
        </w:rPr>
        <w:t xml:space="preserve">components at a molecular level (the MS component). </w:t>
      </w:r>
      <w:r>
        <w:rPr>
          <w:szCs w:val="22"/>
        </w:rPr>
        <w:t>GC and GC/MS are</w:t>
      </w:r>
      <w:r w:rsidRPr="00A030EB">
        <w:rPr>
          <w:szCs w:val="22"/>
        </w:rPr>
        <w:t xml:space="preserve"> </w:t>
      </w:r>
      <w:r>
        <w:rPr>
          <w:szCs w:val="22"/>
        </w:rPr>
        <w:t>accurate and reliable</w:t>
      </w:r>
      <w:r w:rsidRPr="00A030EB">
        <w:rPr>
          <w:szCs w:val="22"/>
        </w:rPr>
        <w:t xml:space="preserve"> </w:t>
      </w:r>
      <w:r>
        <w:rPr>
          <w:szCs w:val="22"/>
        </w:rPr>
        <w:t>methods</w:t>
      </w:r>
      <w:r w:rsidRPr="00A030EB">
        <w:rPr>
          <w:szCs w:val="22"/>
        </w:rPr>
        <w:t xml:space="preserve"> for analy</w:t>
      </w:r>
      <w:r>
        <w:rPr>
          <w:szCs w:val="22"/>
        </w:rPr>
        <w:t>s</w:t>
      </w:r>
      <w:r w:rsidRPr="00A030EB">
        <w:rPr>
          <w:szCs w:val="22"/>
        </w:rPr>
        <w:t>ing environmental samples.</w:t>
      </w:r>
    </w:p>
    <w:p w14:paraId="3A58B61F" w14:textId="646400FD" w:rsidR="00FA3389" w:rsidRDefault="00CF63BA" w:rsidP="00FA3389">
      <w:pPr>
        <w:rPr>
          <w:szCs w:val="22"/>
        </w:rPr>
      </w:pPr>
      <w:r>
        <w:rPr>
          <w:szCs w:val="22"/>
        </w:rPr>
        <w:t>More information about methods used to detect CFC-11, and opportunities and challenges for the detection of CFC-11 in foam and in other CFC-11 products, are outlined in section 5.4.</w:t>
      </w:r>
    </w:p>
    <w:p w14:paraId="71D29490" w14:textId="573759F5" w:rsidR="00691E5A" w:rsidRDefault="00691E5A" w:rsidP="00751ECE">
      <w:pPr>
        <w:pStyle w:val="Heading3"/>
      </w:pPr>
      <w:bookmarkStart w:id="175" w:name="_Toc73045632"/>
      <w:r w:rsidRPr="00691E5A">
        <w:t>5.</w:t>
      </w:r>
      <w:r>
        <w:t>2</w:t>
      </w:r>
      <w:r w:rsidRPr="00691E5A">
        <w:t>.2</w:t>
      </w:r>
      <w:r w:rsidRPr="00691E5A">
        <w:tab/>
      </w:r>
      <w:r w:rsidR="0089649A">
        <w:t xml:space="preserve">Availability of </w:t>
      </w:r>
      <w:r w:rsidRPr="00691E5A">
        <w:t xml:space="preserve">CFC-11 </w:t>
      </w:r>
      <w:r w:rsidR="0089649A">
        <w:t xml:space="preserve">for recovery from </w:t>
      </w:r>
      <w:r>
        <w:t>centrifugal chillers</w:t>
      </w:r>
      <w:bookmarkEnd w:id="175"/>
    </w:p>
    <w:p w14:paraId="1D7C19D4" w14:textId="4E80951A" w:rsidR="00C46314" w:rsidRDefault="0037262E" w:rsidP="00EC63A6">
      <w:pPr>
        <w:rPr>
          <w:szCs w:val="22"/>
        </w:rPr>
      </w:pPr>
      <w:r w:rsidRPr="003144F4">
        <w:rPr>
          <w:szCs w:val="22"/>
        </w:rPr>
        <w:t>CFC-11 was used as a refrigerant in large, water-cooled centrifugal chillers (referred to as R/AC in previous reports)</w:t>
      </w:r>
      <w:r w:rsidR="008C252E" w:rsidRPr="003144F4">
        <w:rPr>
          <w:szCs w:val="22"/>
        </w:rPr>
        <w:t>.</w:t>
      </w:r>
      <w:r w:rsidRPr="003144F4">
        <w:rPr>
          <w:szCs w:val="22"/>
        </w:rPr>
        <w:t xml:space="preserve"> Approximately 80-90% of centrifugal chillers in the 1970s and 1980s used CFC-11. These large capacity chillers, with </w:t>
      </w:r>
      <w:r w:rsidR="00382694">
        <w:rPr>
          <w:szCs w:val="22"/>
        </w:rPr>
        <w:t>1500</w:t>
      </w:r>
      <w:r w:rsidR="00D25A50">
        <w:rPr>
          <w:szCs w:val="22"/>
        </w:rPr>
        <w:t xml:space="preserve"> to </w:t>
      </w:r>
      <w:r w:rsidR="00382694">
        <w:rPr>
          <w:szCs w:val="22"/>
        </w:rPr>
        <w:t>-3500 kW</w:t>
      </w:r>
      <w:r w:rsidRPr="003144F4">
        <w:rPr>
          <w:szCs w:val="22"/>
        </w:rPr>
        <w:t xml:space="preserve"> of cooling capacity, are used to cool large buildings such as offices, commercial spaces and multi-family residences. </w:t>
      </w:r>
    </w:p>
    <w:p w14:paraId="71F40392" w14:textId="285933D9" w:rsidR="009C114E" w:rsidRDefault="00186E4C" w:rsidP="00EC63A6">
      <w:pPr>
        <w:rPr>
          <w:lang w:val="en-AU"/>
        </w:rPr>
      </w:pPr>
      <w:r w:rsidRPr="474DAC91">
        <w:rPr>
          <w:lang w:val="en-AU"/>
        </w:rPr>
        <w:t xml:space="preserve">The use of CFC-11 in </w:t>
      </w:r>
      <w:r>
        <w:rPr>
          <w:lang w:val="en-AU"/>
        </w:rPr>
        <w:t>centrifugal</w:t>
      </w:r>
      <w:r w:rsidRPr="474DAC91">
        <w:rPr>
          <w:lang w:val="en-AU"/>
        </w:rPr>
        <w:t xml:space="preserve"> chillers commenced in the mid-1930s and peaked in the late 1980s</w:t>
      </w:r>
      <w:r w:rsidR="001254DC">
        <w:rPr>
          <w:lang w:val="en-AU"/>
        </w:rPr>
        <w:t xml:space="preserve">. Adoption of the technology </w:t>
      </w:r>
      <w:r w:rsidR="00793DED">
        <w:rPr>
          <w:lang w:val="en-AU"/>
        </w:rPr>
        <w:t>var</w:t>
      </w:r>
      <w:r w:rsidR="001254DC">
        <w:rPr>
          <w:lang w:val="en-AU"/>
        </w:rPr>
        <w:t>ied</w:t>
      </w:r>
      <w:r w:rsidR="00EB2294">
        <w:rPr>
          <w:lang w:val="en-AU"/>
        </w:rPr>
        <w:t xml:space="preserve"> globally</w:t>
      </w:r>
      <w:r w:rsidR="001254DC">
        <w:rPr>
          <w:lang w:val="en-AU"/>
        </w:rPr>
        <w:t xml:space="preserve"> with</w:t>
      </w:r>
      <w:r w:rsidR="005A6352">
        <w:rPr>
          <w:lang w:val="en-AU"/>
        </w:rPr>
        <w:t xml:space="preserve"> </w:t>
      </w:r>
      <w:r w:rsidR="001254DC">
        <w:rPr>
          <w:lang w:val="en-AU"/>
        </w:rPr>
        <w:t>m</w:t>
      </w:r>
      <w:r w:rsidR="00C43708" w:rsidRPr="474DAC91">
        <w:rPr>
          <w:lang w:val="en-AU"/>
        </w:rPr>
        <w:t xml:space="preserve">ost CFC-11 </w:t>
      </w:r>
      <w:r w:rsidR="001254DC">
        <w:rPr>
          <w:lang w:val="en-AU"/>
        </w:rPr>
        <w:t xml:space="preserve">centrifugal </w:t>
      </w:r>
      <w:r w:rsidR="00C43708" w:rsidRPr="474DAC91">
        <w:rPr>
          <w:lang w:val="en-AU"/>
        </w:rPr>
        <w:t xml:space="preserve">chillers manufactured and installed in </w:t>
      </w:r>
      <w:r w:rsidR="005E0B27">
        <w:rPr>
          <w:lang w:val="en-AU"/>
        </w:rPr>
        <w:t>the United States</w:t>
      </w:r>
      <w:r w:rsidR="00C43708" w:rsidRPr="474DAC91">
        <w:rPr>
          <w:lang w:val="en-AU"/>
        </w:rPr>
        <w:t xml:space="preserve"> and Japan, with </w:t>
      </w:r>
      <w:r w:rsidR="005B3F78">
        <w:rPr>
          <w:lang w:val="en-AU"/>
        </w:rPr>
        <w:t xml:space="preserve">some </w:t>
      </w:r>
      <w:r w:rsidR="00C43708" w:rsidRPr="474DAC91">
        <w:rPr>
          <w:lang w:val="en-AU"/>
        </w:rPr>
        <w:t>products also shipped globally.</w:t>
      </w:r>
      <w:r w:rsidR="00855D89">
        <w:rPr>
          <w:lang w:val="en-AU"/>
        </w:rPr>
        <w:t xml:space="preserve"> However, </w:t>
      </w:r>
      <w:r w:rsidR="00855D89" w:rsidRPr="474DAC91">
        <w:rPr>
          <w:lang w:val="en-AU"/>
        </w:rPr>
        <w:t xml:space="preserve">the vast majority (85%) of CFC-11 chillers were manufactured and installed in </w:t>
      </w:r>
      <w:r w:rsidR="001D0862">
        <w:rPr>
          <w:lang w:val="en-AU"/>
        </w:rPr>
        <w:t>the United States</w:t>
      </w:r>
      <w:r w:rsidR="00855D89" w:rsidRPr="474DAC91">
        <w:rPr>
          <w:lang w:val="en-AU"/>
        </w:rPr>
        <w:t>.</w:t>
      </w:r>
      <w:r w:rsidR="00103909">
        <w:rPr>
          <w:lang w:val="en-AU"/>
        </w:rPr>
        <w:t xml:space="preserve"> </w:t>
      </w:r>
    </w:p>
    <w:p w14:paraId="040D2928" w14:textId="4A55B2A7" w:rsidR="00330AD4" w:rsidRDefault="00330AD4" w:rsidP="00330AD4">
      <w:r>
        <w:rPr>
          <w:szCs w:val="22"/>
        </w:rPr>
        <w:t>Centrifugal chillers</w:t>
      </w:r>
      <w:r w:rsidRPr="003144F4">
        <w:rPr>
          <w:szCs w:val="22"/>
        </w:rPr>
        <w:t xml:space="preserve"> have historically been over-designed, well-engineered equipment</w:t>
      </w:r>
      <w:r>
        <w:rPr>
          <w:szCs w:val="22"/>
        </w:rPr>
        <w:t xml:space="preserve">, </w:t>
      </w:r>
      <w:r w:rsidRPr="474DAC91">
        <w:rPr>
          <w:lang w:val="en-AU"/>
        </w:rPr>
        <w:t>leak</w:t>
      </w:r>
      <w:r>
        <w:rPr>
          <w:lang w:val="en-AU"/>
        </w:rPr>
        <w:t>ing</w:t>
      </w:r>
      <w:r w:rsidRPr="2270424A">
        <w:rPr>
          <w:lang w:val="en-AU"/>
        </w:rPr>
        <w:t xml:space="preserve"> very little during operation (0.5%-2% of their refrigerant charge</w:t>
      </w:r>
      <w:r w:rsidR="007E41F9">
        <w:rPr>
          <w:lang w:val="en-AU"/>
        </w:rPr>
        <w:t xml:space="preserve"> per year</w:t>
      </w:r>
      <w:r w:rsidRPr="2270424A">
        <w:rPr>
          <w:lang w:val="en-AU"/>
        </w:rPr>
        <w:t>)</w:t>
      </w:r>
      <w:r w:rsidRPr="003144F4">
        <w:rPr>
          <w:szCs w:val="22"/>
        </w:rPr>
        <w:t xml:space="preserve">. Chillers have </w:t>
      </w:r>
      <w:r>
        <w:rPr>
          <w:szCs w:val="22"/>
        </w:rPr>
        <w:t xml:space="preserve">also </w:t>
      </w:r>
      <w:r w:rsidRPr="003144F4">
        <w:rPr>
          <w:szCs w:val="22"/>
        </w:rPr>
        <w:t>been largely well-maintained, and there are still chillers in service using CFC-11 today.</w:t>
      </w:r>
      <w:r w:rsidR="00626442" w:rsidRPr="00626442">
        <w:rPr>
          <w:lang w:val="en-AU"/>
        </w:rPr>
        <w:t xml:space="preserve"> </w:t>
      </w:r>
      <w:r w:rsidR="00B82C47">
        <w:rPr>
          <w:lang w:val="en-AU"/>
        </w:rPr>
        <w:t>Many</w:t>
      </w:r>
      <w:r w:rsidR="00626442">
        <w:rPr>
          <w:lang w:val="en-AU"/>
        </w:rPr>
        <w:t xml:space="preserve"> CFC-11 centrifugal chillers were </w:t>
      </w:r>
      <w:r w:rsidR="00D660A6">
        <w:rPr>
          <w:lang w:val="en-AU"/>
        </w:rPr>
        <w:t xml:space="preserve">also </w:t>
      </w:r>
      <w:r w:rsidR="00626442">
        <w:rPr>
          <w:lang w:val="en-AU"/>
        </w:rPr>
        <w:t>converted to HCFC-123</w:t>
      </w:r>
      <w:r w:rsidR="003B0F0A">
        <w:rPr>
          <w:lang w:val="en-AU"/>
        </w:rPr>
        <w:t>; almost half of those in the United States</w:t>
      </w:r>
      <w:r w:rsidR="00140C8F">
        <w:rPr>
          <w:lang w:val="en-AU"/>
        </w:rPr>
        <w:t>. T</w:t>
      </w:r>
      <w:r w:rsidR="00626442">
        <w:rPr>
          <w:lang w:val="en-AU"/>
        </w:rPr>
        <w:t xml:space="preserve">he </w:t>
      </w:r>
      <w:r w:rsidR="00140C8F">
        <w:rPr>
          <w:lang w:val="en-AU"/>
        </w:rPr>
        <w:t xml:space="preserve">global </w:t>
      </w:r>
      <w:r w:rsidR="00626442">
        <w:rPr>
          <w:lang w:val="en-AU"/>
        </w:rPr>
        <w:t>rate of conversion has likely been low during the past decade.</w:t>
      </w:r>
    </w:p>
    <w:p w14:paraId="602890A3" w14:textId="0126CF7F" w:rsidR="008D2596" w:rsidRDefault="00F52215" w:rsidP="00EC63A6">
      <w:r>
        <w:rPr>
          <w:lang w:val="en-AU"/>
        </w:rPr>
        <w:t xml:space="preserve">The lifetime of </w:t>
      </w:r>
      <w:r w:rsidR="00D660A6">
        <w:rPr>
          <w:lang w:val="en-AU"/>
        </w:rPr>
        <w:t xml:space="preserve">the </w:t>
      </w:r>
      <w:r>
        <w:rPr>
          <w:lang w:val="en-AU"/>
        </w:rPr>
        <w:t>equipment determines the rate of decommissioning</w:t>
      </w:r>
      <w:r w:rsidR="00C2694F">
        <w:rPr>
          <w:lang w:val="en-AU"/>
        </w:rPr>
        <w:t xml:space="preserve"> and recovery of CFC-11</w:t>
      </w:r>
      <w:r>
        <w:rPr>
          <w:lang w:val="en-AU"/>
        </w:rPr>
        <w:t xml:space="preserve">. For this report, </w:t>
      </w:r>
      <w:r w:rsidR="003E3D8C">
        <w:rPr>
          <w:lang w:val="en-AU"/>
        </w:rPr>
        <w:t xml:space="preserve">an average lifetime of CFC-11 centrifugal chillers of 29 years has been assumed. </w:t>
      </w:r>
      <w:r w:rsidR="00CD6F8C">
        <w:rPr>
          <w:lang w:val="en-AU"/>
        </w:rPr>
        <w:t>I</w:t>
      </w:r>
      <w:r w:rsidR="00A422BD">
        <w:rPr>
          <w:lang w:val="en-AU"/>
        </w:rPr>
        <w:t xml:space="preserve">n </w:t>
      </w:r>
      <w:r w:rsidR="002772BA">
        <w:rPr>
          <w:lang w:val="en-AU"/>
        </w:rPr>
        <w:t>operation</w:t>
      </w:r>
      <w:r w:rsidR="007F6314">
        <w:rPr>
          <w:lang w:val="en-AU"/>
        </w:rPr>
        <w:t xml:space="preserve">, </w:t>
      </w:r>
      <w:r w:rsidR="008F768C">
        <w:rPr>
          <w:lang w:val="en-AU"/>
        </w:rPr>
        <w:t xml:space="preserve">equipment </w:t>
      </w:r>
      <w:r w:rsidR="00841115">
        <w:rPr>
          <w:lang w:val="en-AU"/>
        </w:rPr>
        <w:t xml:space="preserve">lifetimes </w:t>
      </w:r>
      <w:r w:rsidR="002772BA">
        <w:rPr>
          <w:lang w:val="en-AU"/>
        </w:rPr>
        <w:t xml:space="preserve">vary and </w:t>
      </w:r>
      <w:r w:rsidR="00EB5A92">
        <w:rPr>
          <w:lang w:val="en-AU"/>
        </w:rPr>
        <w:t xml:space="preserve">can </w:t>
      </w:r>
      <w:r w:rsidR="008F768C">
        <w:rPr>
          <w:lang w:val="en-AU"/>
        </w:rPr>
        <w:t>reach up to 50 years.</w:t>
      </w:r>
      <w:r w:rsidR="001947EE">
        <w:rPr>
          <w:lang w:val="en-AU"/>
        </w:rPr>
        <w:t xml:space="preserve"> </w:t>
      </w:r>
      <w:r w:rsidR="001947EE" w:rsidRPr="001947EE">
        <w:rPr>
          <w:lang w:val="en-AU"/>
        </w:rPr>
        <w:t xml:space="preserve">It is likely that </w:t>
      </w:r>
      <w:r w:rsidR="005D099E">
        <w:rPr>
          <w:lang w:val="en-AU"/>
        </w:rPr>
        <w:t>the</w:t>
      </w:r>
      <w:r w:rsidR="001947EE" w:rsidRPr="001947EE">
        <w:rPr>
          <w:lang w:val="en-AU"/>
        </w:rPr>
        <w:t xml:space="preserve"> few remaining CFC-11 </w:t>
      </w:r>
      <w:r w:rsidR="00520C4A">
        <w:rPr>
          <w:lang w:val="en-AU"/>
        </w:rPr>
        <w:t xml:space="preserve">centrifugal </w:t>
      </w:r>
      <w:r w:rsidR="001947EE" w:rsidRPr="001947EE">
        <w:rPr>
          <w:lang w:val="en-AU"/>
        </w:rPr>
        <w:t>chillers</w:t>
      </w:r>
      <w:r w:rsidR="00C9749B">
        <w:rPr>
          <w:lang w:val="en-AU"/>
        </w:rPr>
        <w:t>,</w:t>
      </w:r>
      <w:r w:rsidR="001947EE" w:rsidRPr="001947EE">
        <w:rPr>
          <w:lang w:val="en-AU"/>
        </w:rPr>
        <w:t xml:space="preserve"> </w:t>
      </w:r>
      <w:r w:rsidR="00C9749B" w:rsidRPr="001947EE">
        <w:rPr>
          <w:lang w:val="en-AU"/>
        </w:rPr>
        <w:t>largely in the United States</w:t>
      </w:r>
      <w:r w:rsidR="00C9749B">
        <w:rPr>
          <w:lang w:val="en-AU"/>
        </w:rPr>
        <w:t>,</w:t>
      </w:r>
      <w:r w:rsidR="00C9749B" w:rsidRPr="001947EE">
        <w:rPr>
          <w:lang w:val="en-AU"/>
        </w:rPr>
        <w:t xml:space="preserve"> </w:t>
      </w:r>
      <w:r w:rsidR="001947EE" w:rsidRPr="001947EE">
        <w:rPr>
          <w:lang w:val="en-AU"/>
        </w:rPr>
        <w:t>will continue to be in operation for the next 10-20 years.</w:t>
      </w:r>
      <w:r w:rsidR="00520C4A">
        <w:rPr>
          <w:lang w:val="en-AU"/>
        </w:rPr>
        <w:t xml:space="preserve"> </w:t>
      </w:r>
      <w:r w:rsidR="000B4F9E" w:rsidRPr="29C0F80B">
        <w:t>Very few chillers remain in operation outside of the United States.</w:t>
      </w:r>
    </w:p>
    <w:p w14:paraId="1C9C97F3" w14:textId="6C13230C" w:rsidR="00C06496" w:rsidRDefault="00C06496" w:rsidP="00C06496">
      <w:r w:rsidRPr="29C0F80B">
        <w:t xml:space="preserve">CFC-11 is generally carefully recovered for </w:t>
      </w:r>
      <w:r w:rsidR="00344889">
        <w:t>reuse</w:t>
      </w:r>
      <w:r w:rsidRPr="29C0F80B">
        <w:t xml:space="preserve"> or destruction in North America</w:t>
      </w:r>
      <w:r w:rsidR="009C35AE">
        <w:t>, where most CFC-11 centrifugal chillers remain</w:t>
      </w:r>
      <w:r w:rsidRPr="29C0F80B">
        <w:t xml:space="preserve">. </w:t>
      </w:r>
      <w:r w:rsidR="009C35AE">
        <w:t>CFC-11 r</w:t>
      </w:r>
      <w:r w:rsidRPr="006C268D">
        <w:t xml:space="preserve">ecovery rates are </w:t>
      </w:r>
      <w:r>
        <w:t xml:space="preserve">thought to be </w:t>
      </w:r>
      <w:r w:rsidRPr="006C268D">
        <w:t>mostly below 10% in developing countries</w:t>
      </w:r>
      <w:r>
        <w:rPr>
          <w:rStyle w:val="FootnoteReference"/>
          <w:color w:val="000000" w:themeColor="text1"/>
        </w:rPr>
        <w:footnoteReference w:id="109"/>
      </w:r>
      <w:r>
        <w:t xml:space="preserve">. </w:t>
      </w:r>
      <w:r w:rsidRPr="29C0F80B">
        <w:t xml:space="preserve">Supply chain representatives have reported </w:t>
      </w:r>
      <w:r>
        <w:t xml:space="preserve">anecdotally </w:t>
      </w:r>
      <w:r w:rsidRPr="29C0F80B">
        <w:lastRenderedPageBreak/>
        <w:t xml:space="preserve">that in </w:t>
      </w:r>
      <w:r>
        <w:t>developing countries</w:t>
      </w:r>
      <w:r w:rsidRPr="29C0F80B">
        <w:t xml:space="preserve"> refrigerant management practices to recover </w:t>
      </w:r>
      <w:r>
        <w:t xml:space="preserve">CFC-11 from chillers </w:t>
      </w:r>
      <w:r w:rsidRPr="29C0F80B">
        <w:t xml:space="preserve">for </w:t>
      </w:r>
      <w:r w:rsidR="00344889">
        <w:t>reuse</w:t>
      </w:r>
      <w:r w:rsidRPr="29C0F80B">
        <w:t xml:space="preserve"> or destruction are not regularly performed, resulting in venting during operation and </w:t>
      </w:r>
      <w:r w:rsidR="00E11F87">
        <w:t xml:space="preserve">often </w:t>
      </w:r>
      <w:r w:rsidRPr="29C0F80B">
        <w:t xml:space="preserve">at end-of-life. </w:t>
      </w:r>
    </w:p>
    <w:p w14:paraId="14A6BF5D" w14:textId="67DA65DA" w:rsidR="00B35AD8" w:rsidRDefault="00ED6A75" w:rsidP="00E112A7">
      <w:pPr>
        <w:pStyle w:val="Heading3"/>
      </w:pPr>
      <w:bookmarkStart w:id="176" w:name="_Toc73045633"/>
      <w:r>
        <w:t>5.2.3</w:t>
      </w:r>
      <w:r>
        <w:tab/>
      </w:r>
      <w:r w:rsidR="00B35AD8">
        <w:t>Recovery and disposition</w:t>
      </w:r>
      <w:r w:rsidR="00172DD0">
        <w:t xml:space="preserve"> of CFC-11 from centrifugal chillers</w:t>
      </w:r>
      <w:bookmarkEnd w:id="176"/>
    </w:p>
    <w:p w14:paraId="06C45ACB" w14:textId="3A1E0345" w:rsidR="00F415C5" w:rsidRDefault="00AC3281" w:rsidP="00F119DF">
      <w:r>
        <w:t xml:space="preserve">Once recovered, CFC-11 is either </w:t>
      </w:r>
      <w:r w:rsidRPr="00CC68A0">
        <w:t>destroyed or</w:t>
      </w:r>
      <w:r>
        <w:t>,</w:t>
      </w:r>
      <w:r w:rsidRPr="00CC68A0">
        <w:t xml:space="preserve"> if </w:t>
      </w:r>
      <w:r>
        <w:t>recovered</w:t>
      </w:r>
      <w:r w:rsidRPr="00CC68A0">
        <w:t xml:space="preserve"> </w:t>
      </w:r>
      <w:r>
        <w:t xml:space="preserve">for </w:t>
      </w:r>
      <w:r w:rsidR="00344889">
        <w:t>reuse</w:t>
      </w:r>
      <w:r>
        <w:t xml:space="preserve">, is </w:t>
      </w:r>
      <w:r w:rsidRPr="00CC68A0">
        <w:t>recla</w:t>
      </w:r>
      <w:r>
        <w:t>imed</w:t>
      </w:r>
      <w:r w:rsidRPr="00CC68A0">
        <w:t xml:space="preserve"> to AHRI 700 specifications for re-sale</w:t>
      </w:r>
      <w:r>
        <w:t>.</w:t>
      </w:r>
      <w:r w:rsidR="00D71E5A">
        <w:t xml:space="preserve"> </w:t>
      </w:r>
    </w:p>
    <w:p w14:paraId="459495FA" w14:textId="66A3AD92" w:rsidR="001272DA" w:rsidRDefault="001272DA" w:rsidP="00F119DF">
      <w:r w:rsidRPr="001272DA">
        <w:t>The recovery of CFC-11 from equipment such as chillers should occur using trained technicians, fit for purpose recovery units, hoses, pressure gauges, filter driers, scales, empty under vacuum recovery tanks, leak monitoring detectors, recovery operations (direct or push pull liquid &amp; vapour recovery methods)</w:t>
      </w:r>
      <w:r w:rsidR="00D82AFD">
        <w:t>,</w:t>
      </w:r>
      <w:r w:rsidRPr="001272DA">
        <w:t xml:space="preserve"> etc. Recovery operations need to occur safely and in accordance with the relevant regulatory standards in the respective </w:t>
      </w:r>
      <w:r w:rsidR="00D82AFD">
        <w:t>location</w:t>
      </w:r>
      <w:r w:rsidRPr="001272DA">
        <w:t xml:space="preserve"> as these can vary from country to country. Technicians need to ensure that recovery operations are performed </w:t>
      </w:r>
      <w:r w:rsidR="00B17CB8">
        <w:t>and</w:t>
      </w:r>
      <w:r w:rsidRPr="001272DA">
        <w:t xml:space="preserve"> monitored so recovery tanks are not being over</w:t>
      </w:r>
      <w:r w:rsidR="00B17CB8">
        <w:t>-</w:t>
      </w:r>
      <w:r w:rsidRPr="001272DA">
        <w:t>filled thereby potentially causing the relief valves on the recovery tanks to discharge and vent; furthermore</w:t>
      </w:r>
      <w:r w:rsidR="00B17CB8">
        <w:t>,</w:t>
      </w:r>
      <w:r w:rsidRPr="001272DA">
        <w:t xml:space="preserve"> recovery operations need to ensure that contaminants are not being inadvertently introduced</w:t>
      </w:r>
      <w:r w:rsidR="00B17CB8">
        <w:t>,</w:t>
      </w:r>
      <w:r w:rsidRPr="001272DA">
        <w:t xml:space="preserve"> potentially impacting CFC</w:t>
      </w:r>
      <w:r w:rsidR="00B17CB8">
        <w:t>-</w:t>
      </w:r>
      <w:r w:rsidRPr="001272DA">
        <w:t xml:space="preserve">11 purities that could affect the refrigerants ability to be adequately reclaimed after recovery and returned to the necessary to specifications for </w:t>
      </w:r>
      <w:r w:rsidR="00344889">
        <w:t>reuse</w:t>
      </w:r>
      <w:r w:rsidRPr="001272DA">
        <w:t>.</w:t>
      </w:r>
    </w:p>
    <w:p w14:paraId="08A5DF88" w14:textId="1F6D6780" w:rsidR="00DE0838" w:rsidRDefault="000D6116" w:rsidP="000D6116">
      <w:r w:rsidRPr="00AD5970">
        <w:t xml:space="preserve">Previous </w:t>
      </w:r>
      <w:r>
        <w:t>studies</w:t>
      </w:r>
      <w:r w:rsidRPr="00AD5970">
        <w:t xml:space="preserve"> have</w:t>
      </w:r>
      <w:r>
        <w:t xml:space="preserve"> concluded that stationary air conditioning, including centrifugal chillers, is one of the sub-sectors of ODS and HFC waste streams that is the most cost effective for recovery and destruction (once recycling and reclamation/reuse opportunities are exhausted)</w:t>
      </w:r>
      <w:r>
        <w:rPr>
          <w:rStyle w:val="FootnoteReference"/>
        </w:rPr>
        <w:footnoteReference w:id="110"/>
      </w:r>
      <w:r w:rsidR="007B56EC" w:rsidRPr="00043208">
        <w:rPr>
          <w:vertAlign w:val="superscript"/>
        </w:rPr>
        <w:t>,</w:t>
      </w:r>
      <w:r w:rsidR="00D36F13">
        <w:rPr>
          <w:rStyle w:val="FootnoteReference"/>
        </w:rPr>
        <w:footnoteReference w:id="111"/>
      </w:r>
      <w:r w:rsidR="007B56EC">
        <w:t>.</w:t>
      </w:r>
      <w:r>
        <w:t xml:space="preserve"> </w:t>
      </w:r>
      <w:r w:rsidR="00430A81">
        <w:t xml:space="preserve">There are successful </w:t>
      </w:r>
      <w:r w:rsidR="006E76B9">
        <w:t xml:space="preserve">large </w:t>
      </w:r>
      <w:r w:rsidR="00430A81">
        <w:t>commercial operations in countries and regions that specialise in systems and infrastructure for recovery, reclamation, sale for reuse, and destruction of ODS and other refrigerants.</w:t>
      </w:r>
      <w:r w:rsidR="006E76B9">
        <w:t xml:space="preserve"> There are also many smaller operations</w:t>
      </w:r>
      <w:r w:rsidR="009E1EA6">
        <w:t xml:space="preserve"> throughout the chain</w:t>
      </w:r>
      <w:r w:rsidR="006E76B9">
        <w:t>.</w:t>
      </w:r>
      <w:r w:rsidR="007823AB">
        <w:t xml:space="preserve"> </w:t>
      </w:r>
    </w:p>
    <w:p w14:paraId="2562F41B" w14:textId="1EEBCD2E" w:rsidR="000D6116" w:rsidRDefault="00DE0838" w:rsidP="000D6116">
      <w:r>
        <w:t>Countries have implemented a range of market-based and</w:t>
      </w:r>
      <w:r w:rsidR="00F41DE6">
        <w:t>/or</w:t>
      </w:r>
      <w:r>
        <w:t xml:space="preserve"> regulatory incentives to encourage </w:t>
      </w:r>
      <w:r w:rsidR="00D20A28">
        <w:t xml:space="preserve">refrigerant </w:t>
      </w:r>
      <w:r>
        <w:t xml:space="preserve">recovery programs; </w:t>
      </w:r>
      <w:r w:rsidR="00F41DE6">
        <w:t>these include</w:t>
      </w:r>
      <w:r w:rsidR="007823AB">
        <w:t xml:space="preserve"> </w:t>
      </w:r>
      <w:r w:rsidR="00B3184F">
        <w:t>industry</w:t>
      </w:r>
      <w:r w:rsidR="00F41DE6">
        <w:t>-</w:t>
      </w:r>
      <w:r w:rsidR="00B3184F">
        <w:t xml:space="preserve">run extended producer responsibility programs and </w:t>
      </w:r>
      <w:r w:rsidR="00CD69B6">
        <w:t>regulatory</w:t>
      </w:r>
      <w:r w:rsidR="00B3184F">
        <w:t xml:space="preserve"> requirements</w:t>
      </w:r>
      <w:r w:rsidR="00CD69B6">
        <w:t xml:space="preserve"> </w:t>
      </w:r>
      <w:r>
        <w:t>to</w:t>
      </w:r>
      <w:r w:rsidR="00CD69B6">
        <w:t xml:space="preserve"> </w:t>
      </w:r>
      <w:r>
        <w:t>support</w:t>
      </w:r>
      <w:r w:rsidR="00CD69B6">
        <w:t xml:space="preserve"> recovery, recycling, re</w:t>
      </w:r>
      <w:r>
        <w:t xml:space="preserve">clamation, </w:t>
      </w:r>
      <w:r w:rsidR="00344889">
        <w:t>reuse</w:t>
      </w:r>
      <w:r>
        <w:t xml:space="preserve"> or destruction.</w:t>
      </w:r>
    </w:p>
    <w:p w14:paraId="532DBA63" w14:textId="2F7B2622" w:rsidR="00E12292" w:rsidRDefault="000E604B" w:rsidP="00F119DF">
      <w:r>
        <w:t>The</w:t>
      </w:r>
      <w:r w:rsidR="00BB3C8B">
        <w:t xml:space="preserve"> challenges</w:t>
      </w:r>
      <w:r>
        <w:t xml:space="preserve"> </w:t>
      </w:r>
      <w:r w:rsidR="0059296D">
        <w:t xml:space="preserve">in recovery and disposition </w:t>
      </w:r>
      <w:r w:rsidR="00386490">
        <w:t>include</w:t>
      </w:r>
      <w:r w:rsidR="0082174D">
        <w:t xml:space="preserve"> </w:t>
      </w:r>
      <w:r w:rsidR="00DC1F7F">
        <w:t>having</w:t>
      </w:r>
      <w:r w:rsidR="003A6C89">
        <w:t xml:space="preserve"> </w:t>
      </w:r>
      <w:r w:rsidR="0034082C">
        <w:t xml:space="preserve">adequate </w:t>
      </w:r>
      <w:r w:rsidR="003A6C89">
        <w:t xml:space="preserve">training </w:t>
      </w:r>
      <w:r w:rsidR="005D7BC0">
        <w:t>of technicians</w:t>
      </w:r>
      <w:r w:rsidR="0034082C">
        <w:t xml:space="preserve"> </w:t>
      </w:r>
      <w:r w:rsidR="00DC1F7F">
        <w:t>or</w:t>
      </w:r>
      <w:r w:rsidR="0034082C">
        <w:t xml:space="preserve"> having </w:t>
      </w:r>
      <w:r w:rsidR="009C4C9B">
        <w:t xml:space="preserve">adequate capacity </w:t>
      </w:r>
      <w:r w:rsidR="00DA6F31">
        <w:t xml:space="preserve">and infrastructure </w:t>
      </w:r>
      <w:r w:rsidR="005D7BC0">
        <w:t>at the time</w:t>
      </w:r>
      <w:r w:rsidR="00373D5B">
        <w:t>s</w:t>
      </w:r>
      <w:r w:rsidR="005D7BC0">
        <w:t xml:space="preserve"> </w:t>
      </w:r>
      <w:r w:rsidR="00327466">
        <w:t>they are</w:t>
      </w:r>
      <w:r w:rsidR="005D7BC0">
        <w:t xml:space="preserve"> needed</w:t>
      </w:r>
      <w:r w:rsidR="000E51A7" w:rsidRPr="000E51A7">
        <w:t xml:space="preserve"> </w:t>
      </w:r>
      <w:r w:rsidR="000E51A7">
        <w:t>to recover CFCs</w:t>
      </w:r>
      <w:r w:rsidR="00DA6F31">
        <w:t xml:space="preserve">, </w:t>
      </w:r>
      <w:r w:rsidR="00386490">
        <w:t>e.g.,</w:t>
      </w:r>
      <w:r w:rsidR="005D7BC0">
        <w:t xml:space="preserve"> </w:t>
      </w:r>
      <w:r w:rsidR="003442C2">
        <w:t>cylinder capacity.</w:t>
      </w:r>
      <w:r w:rsidR="00CE7375">
        <w:t xml:space="preserve"> </w:t>
      </w:r>
      <w:r w:rsidR="003F5AF5">
        <w:t xml:space="preserve">Access to technology can be a barrier </w:t>
      </w:r>
      <w:r w:rsidR="005433C9">
        <w:t xml:space="preserve">for destruction </w:t>
      </w:r>
      <w:r w:rsidR="003F5AF5">
        <w:t xml:space="preserve">in many countries. </w:t>
      </w:r>
      <w:r w:rsidR="00CD63D9">
        <w:t>The barriers</w:t>
      </w:r>
      <w:r w:rsidR="00C345AA">
        <w:t xml:space="preserve"> can be enough to </w:t>
      </w:r>
      <w:r w:rsidR="00F173B9">
        <w:t xml:space="preserve">erode </w:t>
      </w:r>
      <w:r w:rsidR="009462EF">
        <w:t xml:space="preserve">commitment to </w:t>
      </w:r>
      <w:r w:rsidR="005F03A9">
        <w:t>best practice and encourage venting.</w:t>
      </w:r>
      <w:r w:rsidR="00F04BC3">
        <w:t xml:space="preserve"> I</w:t>
      </w:r>
      <w:r w:rsidR="00F04BC3" w:rsidRPr="00F04BC3">
        <w:t xml:space="preserve">f a country </w:t>
      </w:r>
      <w:r w:rsidR="000E421E">
        <w:t>lacks</w:t>
      </w:r>
      <w:r w:rsidR="0082174D">
        <w:t xml:space="preserve"> </w:t>
      </w:r>
      <w:r w:rsidR="00A17C63">
        <w:t xml:space="preserve">either </w:t>
      </w:r>
      <w:r w:rsidR="00980533">
        <w:t xml:space="preserve">mandatory </w:t>
      </w:r>
      <w:r w:rsidR="00F04BC3">
        <w:t>requirement</w:t>
      </w:r>
      <w:r w:rsidR="000E421E">
        <w:t>s</w:t>
      </w:r>
      <w:r w:rsidR="00F04BC3">
        <w:t xml:space="preserve"> </w:t>
      </w:r>
      <w:r w:rsidR="0015501D">
        <w:t xml:space="preserve">or </w:t>
      </w:r>
      <w:r w:rsidR="00535D67">
        <w:t xml:space="preserve">industry </w:t>
      </w:r>
      <w:r w:rsidR="0015501D">
        <w:t>ince</w:t>
      </w:r>
      <w:r w:rsidR="001B126B">
        <w:t>ntives (e.g., product stewardship</w:t>
      </w:r>
      <w:r w:rsidR="00F1008C">
        <w:t xml:space="preserve"> </w:t>
      </w:r>
      <w:r w:rsidR="00B347DB">
        <w:t>and</w:t>
      </w:r>
      <w:r w:rsidR="00243A19">
        <w:t xml:space="preserve"> economic </w:t>
      </w:r>
      <w:r w:rsidR="00B347DB">
        <w:t>incentives)</w:t>
      </w:r>
      <w:r w:rsidR="001B126B">
        <w:t xml:space="preserve"> </w:t>
      </w:r>
      <w:r w:rsidR="0021388A">
        <w:t>f</w:t>
      </w:r>
      <w:r w:rsidR="00F04BC3">
        <w:t xml:space="preserve">or the recovery and destruction </w:t>
      </w:r>
      <w:r w:rsidR="00F04BC3" w:rsidRPr="00F04BC3">
        <w:t xml:space="preserve">of ODS, </w:t>
      </w:r>
      <w:r w:rsidR="000E421E">
        <w:t>or</w:t>
      </w:r>
      <w:r w:rsidR="00F04BC3" w:rsidRPr="00F04BC3">
        <w:t xml:space="preserve"> the infrastructure </w:t>
      </w:r>
      <w:r w:rsidR="00F04BC3">
        <w:t>and</w:t>
      </w:r>
      <w:r w:rsidR="00F04BC3" w:rsidRPr="00F04BC3">
        <w:t xml:space="preserve"> systems (including suitably trained </w:t>
      </w:r>
      <w:r w:rsidR="00F04BC3">
        <w:t>and</w:t>
      </w:r>
      <w:r w:rsidR="00F04BC3" w:rsidRPr="00F04BC3">
        <w:t xml:space="preserve"> qualified people) for the safe recovery of the ODS, </w:t>
      </w:r>
      <w:r w:rsidR="000E421E">
        <w:t>or</w:t>
      </w:r>
      <w:r w:rsidR="00F04BC3" w:rsidRPr="00F04BC3">
        <w:t xml:space="preserve"> </w:t>
      </w:r>
      <w:r w:rsidR="00A17C63">
        <w:t>technology</w:t>
      </w:r>
      <w:r w:rsidR="00F04BC3" w:rsidRPr="00F04BC3">
        <w:t xml:space="preserve"> capable of destroying ODS, these countries </w:t>
      </w:r>
      <w:r w:rsidR="009A0B67">
        <w:t>will</w:t>
      </w:r>
      <w:r w:rsidR="00840A8C">
        <w:t xml:space="preserve"> lack</w:t>
      </w:r>
      <w:r w:rsidR="000E421E">
        <w:t xml:space="preserve"> adequate</w:t>
      </w:r>
      <w:r w:rsidR="00F04BC3" w:rsidRPr="00F04BC3">
        <w:t xml:space="preserve"> end-of-life solution</w:t>
      </w:r>
      <w:r w:rsidR="00840A8C">
        <w:t>s</w:t>
      </w:r>
      <w:r w:rsidR="00453ED9">
        <w:t>. The</w:t>
      </w:r>
      <w:r w:rsidR="00F04BC3" w:rsidRPr="00F04BC3">
        <w:t xml:space="preserve"> outcome </w:t>
      </w:r>
      <w:r w:rsidR="00453ED9">
        <w:t>is</w:t>
      </w:r>
      <w:r w:rsidR="00F04BC3" w:rsidRPr="00F04BC3">
        <w:t xml:space="preserve"> potential</w:t>
      </w:r>
      <w:r w:rsidR="006B70D7">
        <w:t xml:space="preserve"> </w:t>
      </w:r>
      <w:r w:rsidR="00F04BC3" w:rsidRPr="00F04BC3">
        <w:t xml:space="preserve">release </w:t>
      </w:r>
      <w:r w:rsidR="0025056E">
        <w:t xml:space="preserve">of refrigerant </w:t>
      </w:r>
      <w:r w:rsidR="00453ED9">
        <w:t>to</w:t>
      </w:r>
      <w:r w:rsidR="00F04BC3" w:rsidRPr="00F04BC3">
        <w:t xml:space="preserve"> the atmosphere.</w:t>
      </w:r>
      <w:r w:rsidR="000E421E">
        <w:t xml:space="preserve"> </w:t>
      </w:r>
    </w:p>
    <w:p w14:paraId="642E5C6A" w14:textId="2DFC8841" w:rsidR="00A61653" w:rsidRDefault="00A61653" w:rsidP="00751ECE">
      <w:pPr>
        <w:pStyle w:val="Heading2"/>
      </w:pPr>
      <w:bookmarkStart w:id="177" w:name="_Toc73045634"/>
      <w:r>
        <w:lastRenderedPageBreak/>
        <w:t>5.</w:t>
      </w:r>
      <w:r w:rsidR="00832308">
        <w:t>3</w:t>
      </w:r>
      <w:r>
        <w:tab/>
      </w:r>
      <w:r w:rsidR="00C86E56">
        <w:t>A</w:t>
      </w:r>
      <w:r>
        <w:t>erosols, solvents and other uses</w:t>
      </w:r>
      <w:bookmarkEnd w:id="177"/>
    </w:p>
    <w:p w14:paraId="2EF4352F" w14:textId="387246DD" w:rsidR="00907B88" w:rsidRDefault="00907B88" w:rsidP="00A61653">
      <w:pPr>
        <w:rPr>
          <w:szCs w:val="22"/>
        </w:rPr>
      </w:pPr>
      <w:r>
        <w:rPr>
          <w:szCs w:val="22"/>
        </w:rPr>
        <w:t xml:space="preserve">Due to its unique properties, </w:t>
      </w:r>
      <w:r w:rsidRPr="00907B88">
        <w:rPr>
          <w:szCs w:val="22"/>
        </w:rPr>
        <w:t xml:space="preserve">CFC-11 </w:t>
      </w:r>
      <w:r>
        <w:rPr>
          <w:szCs w:val="22"/>
        </w:rPr>
        <w:t xml:space="preserve">found widespread use </w:t>
      </w:r>
      <w:r w:rsidRPr="00907B88">
        <w:rPr>
          <w:szCs w:val="22"/>
        </w:rPr>
        <w:t>as an aerosol propellant/solvent, limited use as a solvent</w:t>
      </w:r>
      <w:r w:rsidR="00280A99">
        <w:rPr>
          <w:szCs w:val="22"/>
        </w:rPr>
        <w:t>,</w:t>
      </w:r>
      <w:r w:rsidRPr="00907B88">
        <w:rPr>
          <w:szCs w:val="22"/>
        </w:rPr>
        <w:t xml:space="preserve"> </w:t>
      </w:r>
      <w:r w:rsidR="00280A99">
        <w:rPr>
          <w:szCs w:val="22"/>
        </w:rPr>
        <w:t>as a process agent</w:t>
      </w:r>
      <w:r w:rsidR="00280A99" w:rsidRPr="00907B88">
        <w:rPr>
          <w:szCs w:val="22"/>
        </w:rPr>
        <w:t xml:space="preserve"> </w:t>
      </w:r>
      <w:r w:rsidR="00280A99">
        <w:rPr>
          <w:szCs w:val="22"/>
        </w:rPr>
        <w:t xml:space="preserve">in </w:t>
      </w:r>
      <w:r w:rsidR="00210429">
        <w:rPr>
          <w:szCs w:val="22"/>
        </w:rPr>
        <w:t xml:space="preserve">synthetic </w:t>
      </w:r>
      <w:r w:rsidR="004C72CD">
        <w:rPr>
          <w:szCs w:val="22"/>
        </w:rPr>
        <w:t xml:space="preserve">polyolefin </w:t>
      </w:r>
      <w:r w:rsidR="00210429">
        <w:rPr>
          <w:szCs w:val="22"/>
        </w:rPr>
        <w:t>fibre</w:t>
      </w:r>
      <w:r w:rsidR="004C72CD">
        <w:rPr>
          <w:szCs w:val="22"/>
        </w:rPr>
        <w:t xml:space="preserve"> sheet manufacture</w:t>
      </w:r>
      <w:r w:rsidR="002E0643">
        <w:rPr>
          <w:szCs w:val="22"/>
        </w:rPr>
        <w:t xml:space="preserve"> </w:t>
      </w:r>
      <w:r w:rsidR="00280A99">
        <w:rPr>
          <w:szCs w:val="22"/>
        </w:rPr>
        <w:t>(</w:t>
      </w:r>
      <w:r w:rsidR="002E0643">
        <w:rPr>
          <w:szCs w:val="22"/>
        </w:rPr>
        <w:t xml:space="preserve">which </w:t>
      </w:r>
      <w:r w:rsidR="00280A99">
        <w:rPr>
          <w:szCs w:val="22"/>
        </w:rPr>
        <w:t>is on-going in the United States</w:t>
      </w:r>
      <w:r w:rsidR="004C72CD">
        <w:rPr>
          <w:szCs w:val="22"/>
        </w:rPr>
        <w:t>)</w:t>
      </w:r>
      <w:r w:rsidRPr="00907B88">
        <w:rPr>
          <w:szCs w:val="22"/>
        </w:rPr>
        <w:t xml:space="preserve">, and </w:t>
      </w:r>
      <w:r w:rsidR="00050FA3">
        <w:rPr>
          <w:szCs w:val="22"/>
        </w:rPr>
        <w:t xml:space="preserve">specialised use </w:t>
      </w:r>
      <w:r w:rsidRPr="00907B88">
        <w:rPr>
          <w:szCs w:val="22"/>
        </w:rPr>
        <w:t xml:space="preserve">in some niche </w:t>
      </w:r>
      <w:r w:rsidR="0071602D">
        <w:rPr>
          <w:szCs w:val="22"/>
        </w:rPr>
        <w:t>applications</w:t>
      </w:r>
      <w:r w:rsidR="004C72CD">
        <w:rPr>
          <w:szCs w:val="22"/>
        </w:rPr>
        <w:t>,</w:t>
      </w:r>
      <w:r w:rsidR="0071602D">
        <w:rPr>
          <w:szCs w:val="22"/>
        </w:rPr>
        <w:t xml:space="preserve"> such</w:t>
      </w:r>
      <w:r w:rsidRPr="00907B88">
        <w:rPr>
          <w:szCs w:val="22"/>
        </w:rPr>
        <w:t xml:space="preserve"> as tobacco expansion and uranium enrichment</w:t>
      </w:r>
      <w:r w:rsidR="0071602D">
        <w:rPr>
          <w:szCs w:val="22"/>
        </w:rPr>
        <w:t>.</w:t>
      </w:r>
      <w:r w:rsidR="00AC212A">
        <w:rPr>
          <w:szCs w:val="22"/>
        </w:rPr>
        <w:t xml:space="preserve"> </w:t>
      </w:r>
    </w:p>
    <w:p w14:paraId="35130149" w14:textId="6BE444F7" w:rsidR="00324D2C" w:rsidRDefault="00324D2C" w:rsidP="00A61653">
      <w:pPr>
        <w:rPr>
          <w:szCs w:val="22"/>
        </w:rPr>
      </w:pPr>
      <w:r>
        <w:rPr>
          <w:szCs w:val="22"/>
        </w:rPr>
        <w:t xml:space="preserve">Aerosols, tobacco expansion and uranium enrichment are historic </w:t>
      </w:r>
      <w:r w:rsidR="00A65CE5">
        <w:rPr>
          <w:szCs w:val="22"/>
        </w:rPr>
        <w:t xml:space="preserve">emissive CFC-11 </w:t>
      </w:r>
      <w:r>
        <w:rPr>
          <w:szCs w:val="22"/>
        </w:rPr>
        <w:t xml:space="preserve">uses which </w:t>
      </w:r>
      <w:r w:rsidR="00A65CE5">
        <w:rPr>
          <w:szCs w:val="22"/>
        </w:rPr>
        <w:t xml:space="preserve">were replaced by </w:t>
      </w:r>
      <w:r>
        <w:rPr>
          <w:szCs w:val="22"/>
        </w:rPr>
        <w:t xml:space="preserve">alternatives </w:t>
      </w:r>
      <w:r w:rsidR="00967D95">
        <w:rPr>
          <w:szCs w:val="22"/>
        </w:rPr>
        <w:t>more than 15 years</w:t>
      </w:r>
      <w:r w:rsidR="00A65CE5">
        <w:rPr>
          <w:szCs w:val="22"/>
        </w:rPr>
        <w:t xml:space="preserve"> ago</w:t>
      </w:r>
      <w:r w:rsidR="00967D95">
        <w:rPr>
          <w:szCs w:val="22"/>
        </w:rPr>
        <w:t>.</w:t>
      </w:r>
      <w:r w:rsidR="0015186E">
        <w:rPr>
          <w:szCs w:val="22"/>
        </w:rPr>
        <w:t xml:space="preserve"> </w:t>
      </w:r>
      <w:r w:rsidR="007F0466">
        <w:rPr>
          <w:szCs w:val="22"/>
        </w:rPr>
        <w:t>No CFC-11 remains in any product associated with these uses, and as such is not considered further i</w:t>
      </w:r>
      <w:r w:rsidR="00A65CE5">
        <w:rPr>
          <w:szCs w:val="22"/>
        </w:rPr>
        <w:t xml:space="preserve">n the context of </w:t>
      </w:r>
      <w:r w:rsidR="007F0466">
        <w:rPr>
          <w:szCs w:val="22"/>
        </w:rPr>
        <w:t xml:space="preserve">current </w:t>
      </w:r>
      <w:r w:rsidR="00A65CE5">
        <w:rPr>
          <w:szCs w:val="22"/>
        </w:rPr>
        <w:t>detection</w:t>
      </w:r>
      <w:r w:rsidR="007F0466">
        <w:rPr>
          <w:szCs w:val="22"/>
        </w:rPr>
        <w:t xml:space="preserve">, </w:t>
      </w:r>
      <w:r w:rsidR="00A65CE5">
        <w:rPr>
          <w:szCs w:val="22"/>
        </w:rPr>
        <w:t>potential recovery and disposition of CFC-11.</w:t>
      </w:r>
    </w:p>
    <w:p w14:paraId="5D8C47FD" w14:textId="24EC74D4" w:rsidR="007F0466" w:rsidRDefault="007F0466" w:rsidP="00A61653">
      <w:pPr>
        <w:rPr>
          <w:szCs w:val="22"/>
        </w:rPr>
      </w:pPr>
      <w:r>
        <w:rPr>
          <w:szCs w:val="22"/>
        </w:rPr>
        <w:t xml:space="preserve">CFC-11 </w:t>
      </w:r>
      <w:r w:rsidR="003879A2">
        <w:rPr>
          <w:szCs w:val="22"/>
        </w:rPr>
        <w:t xml:space="preserve">used as a process agent in the manufacture of synthetic polyolefin fibre sheet </w:t>
      </w:r>
      <w:r>
        <w:rPr>
          <w:szCs w:val="22"/>
        </w:rPr>
        <w:t xml:space="preserve">is </w:t>
      </w:r>
      <w:r w:rsidR="00B50705">
        <w:rPr>
          <w:szCs w:val="22"/>
        </w:rPr>
        <w:t xml:space="preserve">considered </w:t>
      </w:r>
      <w:r w:rsidR="005F3F52">
        <w:rPr>
          <w:szCs w:val="22"/>
        </w:rPr>
        <w:t>as a very low emission</w:t>
      </w:r>
      <w:r w:rsidR="003879A2">
        <w:rPr>
          <w:szCs w:val="22"/>
        </w:rPr>
        <w:t xml:space="preserve"> </w:t>
      </w:r>
      <w:r w:rsidR="005F3F52">
        <w:rPr>
          <w:szCs w:val="22"/>
        </w:rPr>
        <w:t xml:space="preserve">application and treated </w:t>
      </w:r>
      <w:r w:rsidR="003879A2">
        <w:rPr>
          <w:szCs w:val="22"/>
        </w:rPr>
        <w:t xml:space="preserve">like </w:t>
      </w:r>
      <w:r w:rsidR="005F3F52">
        <w:rPr>
          <w:szCs w:val="22"/>
        </w:rPr>
        <w:t xml:space="preserve">a </w:t>
      </w:r>
      <w:r w:rsidR="003879A2">
        <w:rPr>
          <w:szCs w:val="22"/>
        </w:rPr>
        <w:t xml:space="preserve">feedstock </w:t>
      </w:r>
      <w:r w:rsidR="005F3F52">
        <w:rPr>
          <w:szCs w:val="22"/>
        </w:rPr>
        <w:t xml:space="preserve">use </w:t>
      </w:r>
      <w:r w:rsidR="003879A2">
        <w:rPr>
          <w:szCs w:val="22"/>
        </w:rPr>
        <w:t>for the purposes of the Montreal Protocol</w:t>
      </w:r>
      <w:r w:rsidR="00B50705">
        <w:rPr>
          <w:szCs w:val="22"/>
        </w:rPr>
        <w:t>.</w:t>
      </w:r>
      <w:r>
        <w:rPr>
          <w:szCs w:val="22"/>
        </w:rPr>
        <w:t xml:space="preserve"> </w:t>
      </w:r>
      <w:r w:rsidR="004E0086" w:rsidRPr="004E0086">
        <w:rPr>
          <w:szCs w:val="22"/>
        </w:rPr>
        <w:t xml:space="preserve">This </w:t>
      </w:r>
      <w:r w:rsidR="004E0086">
        <w:rPr>
          <w:szCs w:val="22"/>
        </w:rPr>
        <w:t xml:space="preserve">process agent </w:t>
      </w:r>
      <w:r w:rsidR="004E0086" w:rsidRPr="004E0086">
        <w:rPr>
          <w:szCs w:val="22"/>
        </w:rPr>
        <w:t xml:space="preserve">use was described in detail by the Process Agents Task Force in May 2001 in Case Study #10 and takes advantage of the physical properties of CFC-11 to vaporize and recover it for reuse. </w:t>
      </w:r>
      <w:r w:rsidR="003879A2" w:rsidRPr="003879A2">
        <w:rPr>
          <w:szCs w:val="22"/>
        </w:rPr>
        <w:t>The current Decision XXIX/7 Table A list</w:t>
      </w:r>
      <w:r w:rsidR="00014048">
        <w:rPr>
          <w:szCs w:val="22"/>
        </w:rPr>
        <w:t>s</w:t>
      </w:r>
      <w:r w:rsidR="003879A2" w:rsidRPr="003879A2">
        <w:rPr>
          <w:szCs w:val="22"/>
        </w:rPr>
        <w:t xml:space="preserve"> the production of synthetic fibre sheet with CFC-11 as a process agent, which is permitted for use only in the U</w:t>
      </w:r>
      <w:r w:rsidR="00014048">
        <w:rPr>
          <w:szCs w:val="22"/>
        </w:rPr>
        <w:t xml:space="preserve">nited </w:t>
      </w:r>
      <w:r w:rsidR="003879A2" w:rsidRPr="003879A2">
        <w:rPr>
          <w:szCs w:val="22"/>
        </w:rPr>
        <w:t>S</w:t>
      </w:r>
      <w:r w:rsidR="00014048">
        <w:rPr>
          <w:szCs w:val="22"/>
        </w:rPr>
        <w:t>tates</w:t>
      </w:r>
      <w:r w:rsidR="003879A2" w:rsidRPr="003879A2">
        <w:rPr>
          <w:szCs w:val="22"/>
        </w:rPr>
        <w:t>. Total emissions for all process agent applications in the U</w:t>
      </w:r>
      <w:r w:rsidR="00014048">
        <w:rPr>
          <w:szCs w:val="22"/>
        </w:rPr>
        <w:t xml:space="preserve">nited </w:t>
      </w:r>
      <w:r w:rsidR="003879A2" w:rsidRPr="003879A2">
        <w:rPr>
          <w:szCs w:val="22"/>
        </w:rPr>
        <w:t>S</w:t>
      </w:r>
      <w:r w:rsidR="00014048">
        <w:rPr>
          <w:szCs w:val="22"/>
        </w:rPr>
        <w:t>tates</w:t>
      </w:r>
      <w:r w:rsidR="003879A2" w:rsidRPr="003879A2">
        <w:rPr>
          <w:szCs w:val="22"/>
        </w:rPr>
        <w:t xml:space="preserve"> were 24.65 ODP tonnes in 2017; production of synthetic fibre sheet is one of five process agent applications that constitute those emissions.</w:t>
      </w:r>
      <w:r w:rsidR="00243FF6">
        <w:rPr>
          <w:szCs w:val="22"/>
        </w:rPr>
        <w:t xml:space="preserve"> </w:t>
      </w:r>
      <w:r w:rsidR="003B3792">
        <w:rPr>
          <w:szCs w:val="22"/>
        </w:rPr>
        <w:t>Since the process reuses CFC-11</w:t>
      </w:r>
      <w:r w:rsidR="00864560">
        <w:rPr>
          <w:szCs w:val="22"/>
        </w:rPr>
        <w:t>,</w:t>
      </w:r>
      <w:r w:rsidR="003B3792">
        <w:rPr>
          <w:szCs w:val="22"/>
        </w:rPr>
        <w:t xml:space="preserve"> and </w:t>
      </w:r>
      <w:r w:rsidR="00134D97" w:rsidRPr="00134D97">
        <w:rPr>
          <w:szCs w:val="22"/>
        </w:rPr>
        <w:t xml:space="preserve">CFC-11 </w:t>
      </w:r>
      <w:r w:rsidR="00134D97">
        <w:rPr>
          <w:szCs w:val="22"/>
        </w:rPr>
        <w:t xml:space="preserve">does not </w:t>
      </w:r>
      <w:r w:rsidR="00134D97" w:rsidRPr="00134D97">
        <w:rPr>
          <w:szCs w:val="22"/>
        </w:rPr>
        <w:t xml:space="preserve">remain in </w:t>
      </w:r>
      <w:r w:rsidR="00134D97">
        <w:rPr>
          <w:szCs w:val="22"/>
        </w:rPr>
        <w:t>the</w:t>
      </w:r>
      <w:r w:rsidR="00134D97" w:rsidRPr="00134D97">
        <w:rPr>
          <w:szCs w:val="22"/>
        </w:rPr>
        <w:t xml:space="preserve"> product associated with </w:t>
      </w:r>
      <w:r w:rsidR="00134D97">
        <w:rPr>
          <w:szCs w:val="22"/>
        </w:rPr>
        <w:t>this</w:t>
      </w:r>
      <w:r w:rsidR="00134D97" w:rsidRPr="00134D97">
        <w:rPr>
          <w:szCs w:val="22"/>
        </w:rPr>
        <w:t xml:space="preserve"> use, </w:t>
      </w:r>
      <w:r w:rsidR="003B3792">
        <w:rPr>
          <w:szCs w:val="22"/>
        </w:rPr>
        <w:t>this use</w:t>
      </w:r>
      <w:r w:rsidR="00134D97" w:rsidRPr="00134D97">
        <w:rPr>
          <w:szCs w:val="22"/>
        </w:rPr>
        <w:t xml:space="preserve"> is not considered further in the context of current detection, potential recovery and disposition of CFC-11.</w:t>
      </w:r>
    </w:p>
    <w:p w14:paraId="219C3854" w14:textId="43285B36" w:rsidR="00483DC2" w:rsidRPr="00F119DF" w:rsidRDefault="00F14016" w:rsidP="00A61653">
      <w:pPr>
        <w:rPr>
          <w:lang w:val="en-US" w:eastAsia="fr-FR"/>
        </w:rPr>
      </w:pPr>
      <w:r>
        <w:rPr>
          <w:szCs w:val="22"/>
        </w:rPr>
        <w:t>T</w:t>
      </w:r>
      <w:r w:rsidR="000D2F2D">
        <w:rPr>
          <w:szCs w:val="22"/>
        </w:rPr>
        <w:t>he 2019 Task Force concluded that</w:t>
      </w:r>
      <w:r w:rsidR="000D2F2D" w:rsidRPr="00D27098">
        <w:rPr>
          <w:szCs w:val="22"/>
        </w:rPr>
        <w:t xml:space="preserve"> </w:t>
      </w:r>
      <w:r w:rsidR="000D2F2D">
        <w:rPr>
          <w:szCs w:val="22"/>
        </w:rPr>
        <w:t xml:space="preserve">it was likely there was </w:t>
      </w:r>
      <w:r w:rsidR="000D2F2D" w:rsidRPr="000C3156">
        <w:rPr>
          <w:szCs w:val="22"/>
        </w:rPr>
        <w:t>a resumption of newly produced CFC-11 usage in closed</w:t>
      </w:r>
      <w:r w:rsidR="000D2F2D">
        <w:rPr>
          <w:szCs w:val="22"/>
        </w:rPr>
        <w:t>-</w:t>
      </w:r>
      <w:r w:rsidR="000D2F2D" w:rsidRPr="000C3156">
        <w:rPr>
          <w:szCs w:val="22"/>
        </w:rPr>
        <w:t>cell foams</w:t>
      </w:r>
      <w:r>
        <w:rPr>
          <w:szCs w:val="22"/>
        </w:rPr>
        <w:t xml:space="preserve"> only</w:t>
      </w:r>
      <w:r w:rsidR="000D2F2D" w:rsidRPr="000C3156">
        <w:rPr>
          <w:szCs w:val="22"/>
        </w:rPr>
        <w:t>.</w:t>
      </w:r>
      <w:r w:rsidR="000D2F2D">
        <w:rPr>
          <w:szCs w:val="22"/>
        </w:rPr>
        <w:t xml:space="preserve"> It also concluded that after 2010 </w:t>
      </w:r>
      <w:r w:rsidR="000D2F2D" w:rsidRPr="00175504">
        <w:rPr>
          <w:szCs w:val="22"/>
        </w:rPr>
        <w:t xml:space="preserve">it </w:t>
      </w:r>
      <w:r w:rsidR="000D2F2D">
        <w:rPr>
          <w:szCs w:val="22"/>
        </w:rPr>
        <w:t>was</w:t>
      </w:r>
      <w:r w:rsidR="000D2F2D" w:rsidRPr="00175504">
        <w:rPr>
          <w:szCs w:val="22"/>
        </w:rPr>
        <w:t xml:space="preserve"> unlikely that past production and historic usage account</w:t>
      </w:r>
      <w:r w:rsidR="000D2F2D">
        <w:rPr>
          <w:szCs w:val="22"/>
        </w:rPr>
        <w:t>ed</w:t>
      </w:r>
      <w:r w:rsidR="000D2F2D" w:rsidRPr="00175504">
        <w:rPr>
          <w:szCs w:val="22"/>
        </w:rPr>
        <w:t xml:space="preserve"> for the unexpected CFC-11 emissions, including from existing foam banks.</w:t>
      </w:r>
      <w:r w:rsidR="000D2F2D">
        <w:rPr>
          <w:szCs w:val="22"/>
        </w:rPr>
        <w:t xml:space="preserve"> </w:t>
      </w:r>
      <w:r w:rsidR="000D2F2D" w:rsidRPr="008628DD">
        <w:rPr>
          <w:szCs w:val="22"/>
        </w:rPr>
        <w:t xml:space="preserve">It </w:t>
      </w:r>
      <w:r w:rsidR="000D2F2D">
        <w:rPr>
          <w:szCs w:val="22"/>
        </w:rPr>
        <w:t>was</w:t>
      </w:r>
      <w:r w:rsidR="000D2F2D" w:rsidRPr="008628DD">
        <w:rPr>
          <w:szCs w:val="22"/>
        </w:rPr>
        <w:t xml:space="preserve"> </w:t>
      </w:r>
      <w:r w:rsidR="000D2F2D">
        <w:rPr>
          <w:szCs w:val="22"/>
        </w:rPr>
        <w:t xml:space="preserve">also considered </w:t>
      </w:r>
      <w:r w:rsidR="000D2F2D" w:rsidRPr="008628DD">
        <w:rPr>
          <w:szCs w:val="22"/>
        </w:rPr>
        <w:t xml:space="preserve">unlikely that there </w:t>
      </w:r>
      <w:r w:rsidR="000D2F2D">
        <w:rPr>
          <w:szCs w:val="22"/>
        </w:rPr>
        <w:t>was</w:t>
      </w:r>
      <w:r w:rsidR="000D2F2D" w:rsidRPr="008628DD">
        <w:rPr>
          <w:szCs w:val="22"/>
        </w:rPr>
        <w:t xml:space="preserve"> a resumption of newly produced CFC-11 usage in refrigeration and air-conditioning uses, flexible foams, aerosols, solvents, feedstock uses, tobacco expansion and other miscellaneous applications.</w:t>
      </w:r>
    </w:p>
    <w:p w14:paraId="7B50D9C3" w14:textId="2C4B8BD8" w:rsidR="002313D4" w:rsidRDefault="008542F5" w:rsidP="00751ECE">
      <w:pPr>
        <w:pStyle w:val="Heading2"/>
      </w:pPr>
      <w:bookmarkStart w:id="178" w:name="_Toc73045635"/>
      <w:r w:rsidRPr="009C454A">
        <w:t>5.</w:t>
      </w:r>
      <w:r w:rsidR="00832308" w:rsidRPr="009C454A">
        <w:t>4</w:t>
      </w:r>
      <w:r w:rsidRPr="009C454A">
        <w:tab/>
        <w:t xml:space="preserve">Opportunities </w:t>
      </w:r>
      <w:r w:rsidR="00AA6313" w:rsidRPr="009C454A">
        <w:t>to</w:t>
      </w:r>
      <w:r w:rsidR="00535FEF" w:rsidRPr="009C454A">
        <w:t xml:space="preserve"> </w:t>
      </w:r>
      <w:r w:rsidRPr="009C454A">
        <w:t>detect</w:t>
      </w:r>
      <w:r w:rsidR="005B0CFC" w:rsidRPr="009C454A">
        <w:t xml:space="preserve"> </w:t>
      </w:r>
      <w:r w:rsidRPr="009C454A">
        <w:t>CFC-11</w:t>
      </w:r>
      <w:bookmarkEnd w:id="178"/>
      <w:r w:rsidRPr="009C454A">
        <w:t xml:space="preserve"> </w:t>
      </w:r>
    </w:p>
    <w:p w14:paraId="00590575" w14:textId="4E5CD3CB" w:rsidR="00C66BAD" w:rsidRDefault="00DE7BF6" w:rsidP="00C66BAD">
      <w:pPr>
        <w:rPr>
          <w:szCs w:val="22"/>
        </w:rPr>
      </w:pPr>
      <w:r>
        <w:rPr>
          <w:szCs w:val="22"/>
        </w:rPr>
        <w:t xml:space="preserve">Previous sections </w:t>
      </w:r>
      <w:r w:rsidR="00983070">
        <w:rPr>
          <w:szCs w:val="22"/>
        </w:rPr>
        <w:t>outlined</w:t>
      </w:r>
      <w:r>
        <w:rPr>
          <w:szCs w:val="22"/>
        </w:rPr>
        <w:t xml:space="preserve"> detection methods</w:t>
      </w:r>
      <w:r w:rsidR="005959BD">
        <w:rPr>
          <w:szCs w:val="22"/>
        </w:rPr>
        <w:t xml:space="preserve"> for </w:t>
      </w:r>
      <w:r w:rsidR="00301C62">
        <w:rPr>
          <w:szCs w:val="22"/>
        </w:rPr>
        <w:t xml:space="preserve">relevant </w:t>
      </w:r>
      <w:r w:rsidR="005959BD">
        <w:rPr>
          <w:szCs w:val="22"/>
        </w:rPr>
        <w:t>product type</w:t>
      </w:r>
      <w:r w:rsidR="00A93DF9">
        <w:rPr>
          <w:szCs w:val="22"/>
        </w:rPr>
        <w:t>s</w:t>
      </w:r>
      <w:r w:rsidR="009235D4">
        <w:rPr>
          <w:szCs w:val="22"/>
        </w:rPr>
        <w:t xml:space="preserve">. This section </w:t>
      </w:r>
      <w:r w:rsidR="00A93DF9">
        <w:rPr>
          <w:szCs w:val="22"/>
        </w:rPr>
        <w:t xml:space="preserve">provides additional information, including </w:t>
      </w:r>
      <w:r w:rsidR="00983070">
        <w:rPr>
          <w:szCs w:val="22"/>
        </w:rPr>
        <w:t>the</w:t>
      </w:r>
      <w:r w:rsidR="009235D4">
        <w:rPr>
          <w:szCs w:val="22"/>
        </w:rPr>
        <w:t xml:space="preserve"> opportunities </w:t>
      </w:r>
      <w:r w:rsidR="00535FEF">
        <w:rPr>
          <w:szCs w:val="22"/>
        </w:rPr>
        <w:t xml:space="preserve">and challenges </w:t>
      </w:r>
      <w:r w:rsidR="00AA6313">
        <w:rPr>
          <w:szCs w:val="22"/>
        </w:rPr>
        <w:t>for</w:t>
      </w:r>
      <w:r w:rsidR="009235D4">
        <w:rPr>
          <w:szCs w:val="22"/>
        </w:rPr>
        <w:t xml:space="preserve"> </w:t>
      </w:r>
      <w:r w:rsidR="00535FEF">
        <w:rPr>
          <w:szCs w:val="22"/>
        </w:rPr>
        <w:t xml:space="preserve">the discovery and </w:t>
      </w:r>
      <w:r w:rsidR="009235D4">
        <w:rPr>
          <w:szCs w:val="22"/>
        </w:rPr>
        <w:t>detect</w:t>
      </w:r>
      <w:r w:rsidR="00335AE4">
        <w:rPr>
          <w:szCs w:val="22"/>
        </w:rPr>
        <w:t>ion of CFC-11</w:t>
      </w:r>
      <w:r w:rsidR="00535FEF">
        <w:rPr>
          <w:szCs w:val="22"/>
        </w:rPr>
        <w:t xml:space="preserve"> in products</w:t>
      </w:r>
      <w:r w:rsidR="0008082B">
        <w:rPr>
          <w:szCs w:val="22"/>
        </w:rPr>
        <w:t>.</w:t>
      </w:r>
      <w:r w:rsidR="00432CDA">
        <w:rPr>
          <w:szCs w:val="22"/>
        </w:rPr>
        <w:t xml:space="preserve"> </w:t>
      </w:r>
    </w:p>
    <w:p w14:paraId="2ADCE624" w14:textId="279E0FCD" w:rsidR="00626446" w:rsidRDefault="000C60D6" w:rsidP="00751ECE">
      <w:pPr>
        <w:pStyle w:val="Heading3"/>
      </w:pPr>
      <w:bookmarkStart w:id="179" w:name="_Toc73045636"/>
      <w:r>
        <w:t>5.4.1</w:t>
      </w:r>
      <w:r>
        <w:tab/>
      </w:r>
      <w:r w:rsidR="00A93DF9">
        <w:t>M</w:t>
      </w:r>
      <w:r w:rsidR="00626446">
        <w:t xml:space="preserve">ethods </w:t>
      </w:r>
      <w:r w:rsidR="00A93DF9">
        <w:t>to detect</w:t>
      </w:r>
      <w:r w:rsidR="00626446">
        <w:t xml:space="preserve"> CFC-11</w:t>
      </w:r>
      <w:bookmarkEnd w:id="179"/>
    </w:p>
    <w:p w14:paraId="4FE982D9" w14:textId="627CF1F7" w:rsidR="002373CD" w:rsidRPr="00C97A79" w:rsidRDefault="00C97A79" w:rsidP="002373CD">
      <w:pPr>
        <w:rPr>
          <w:szCs w:val="22"/>
        </w:rPr>
      </w:pPr>
      <w:r w:rsidRPr="00C97A79">
        <w:rPr>
          <w:szCs w:val="22"/>
        </w:rPr>
        <w:t xml:space="preserve">At the </w:t>
      </w:r>
      <w:r>
        <w:rPr>
          <w:szCs w:val="22"/>
        </w:rPr>
        <w:t>global</w:t>
      </w:r>
      <w:r w:rsidR="00704D88">
        <w:rPr>
          <w:szCs w:val="22"/>
        </w:rPr>
        <w:t xml:space="preserve">, regional and national </w:t>
      </w:r>
      <w:r>
        <w:rPr>
          <w:szCs w:val="22"/>
        </w:rPr>
        <w:t xml:space="preserve">level, </w:t>
      </w:r>
      <w:r w:rsidR="0095245A" w:rsidRPr="00856956">
        <w:rPr>
          <w:i/>
          <w:iCs/>
          <w:szCs w:val="22"/>
        </w:rPr>
        <w:t>detection</w:t>
      </w:r>
      <w:r w:rsidR="0095245A">
        <w:rPr>
          <w:szCs w:val="22"/>
        </w:rPr>
        <w:t xml:space="preserve"> of CFC-11</w:t>
      </w:r>
      <w:r w:rsidR="007A6DB2">
        <w:rPr>
          <w:szCs w:val="22"/>
        </w:rPr>
        <w:t xml:space="preserve"> </w:t>
      </w:r>
      <w:r w:rsidR="002373CD">
        <w:rPr>
          <w:szCs w:val="22"/>
        </w:rPr>
        <w:t xml:space="preserve">occurs through </w:t>
      </w:r>
      <w:r w:rsidR="00736B6E">
        <w:rPr>
          <w:szCs w:val="22"/>
        </w:rPr>
        <w:t>the system</w:t>
      </w:r>
      <w:r w:rsidR="00E8436D">
        <w:rPr>
          <w:szCs w:val="22"/>
        </w:rPr>
        <w:t>s</w:t>
      </w:r>
      <w:r w:rsidR="00736B6E">
        <w:rPr>
          <w:szCs w:val="22"/>
        </w:rPr>
        <w:t xml:space="preserve"> of </w:t>
      </w:r>
      <w:r w:rsidR="002373CD" w:rsidRPr="002373CD">
        <w:rPr>
          <w:szCs w:val="22"/>
        </w:rPr>
        <w:t xml:space="preserve">globally representative continuous measurement networks established by NOAA and AGAGE </w:t>
      </w:r>
      <w:r w:rsidR="005012B4">
        <w:rPr>
          <w:szCs w:val="22"/>
        </w:rPr>
        <w:t xml:space="preserve">and </w:t>
      </w:r>
      <w:r w:rsidR="00BB7480">
        <w:rPr>
          <w:szCs w:val="22"/>
        </w:rPr>
        <w:t xml:space="preserve">other </w:t>
      </w:r>
      <w:r w:rsidR="00E8436D">
        <w:rPr>
          <w:szCs w:val="22"/>
        </w:rPr>
        <w:t xml:space="preserve">atmospheric </w:t>
      </w:r>
      <w:r w:rsidR="00856956">
        <w:rPr>
          <w:szCs w:val="22"/>
        </w:rPr>
        <w:t xml:space="preserve">measurements, e.g., from </w:t>
      </w:r>
      <w:r w:rsidR="002373CD" w:rsidRPr="002373CD">
        <w:rPr>
          <w:szCs w:val="22"/>
        </w:rPr>
        <w:t>airplane and balloon campaigns</w:t>
      </w:r>
      <w:r w:rsidR="00856956">
        <w:rPr>
          <w:szCs w:val="22"/>
        </w:rPr>
        <w:t xml:space="preserve">. A description of these networks </w:t>
      </w:r>
      <w:r w:rsidR="000E1D24">
        <w:rPr>
          <w:szCs w:val="22"/>
        </w:rPr>
        <w:t>and monitoring systems</w:t>
      </w:r>
      <w:r w:rsidR="00E8436D">
        <w:rPr>
          <w:szCs w:val="22"/>
        </w:rPr>
        <w:t>,</w:t>
      </w:r>
      <w:r w:rsidR="000E1D24">
        <w:rPr>
          <w:szCs w:val="22"/>
        </w:rPr>
        <w:t xml:space="preserve"> </w:t>
      </w:r>
      <w:r w:rsidR="00856956">
        <w:rPr>
          <w:szCs w:val="22"/>
        </w:rPr>
        <w:t xml:space="preserve">and their </w:t>
      </w:r>
      <w:r w:rsidR="00B82E24">
        <w:rPr>
          <w:szCs w:val="22"/>
        </w:rPr>
        <w:t>capabilities</w:t>
      </w:r>
      <w:r w:rsidR="00856956">
        <w:rPr>
          <w:szCs w:val="22"/>
        </w:rPr>
        <w:t xml:space="preserve"> in </w:t>
      </w:r>
      <w:r w:rsidR="00284807">
        <w:rPr>
          <w:szCs w:val="22"/>
        </w:rPr>
        <w:t>measuring levels</w:t>
      </w:r>
      <w:r w:rsidR="00FF787F">
        <w:rPr>
          <w:szCs w:val="22"/>
        </w:rPr>
        <w:t>, and changes in levels,</w:t>
      </w:r>
      <w:r w:rsidR="00284807">
        <w:rPr>
          <w:szCs w:val="22"/>
        </w:rPr>
        <w:t xml:space="preserve"> of</w:t>
      </w:r>
      <w:r w:rsidR="00FF787F">
        <w:rPr>
          <w:szCs w:val="22"/>
        </w:rPr>
        <w:t xml:space="preserve"> </w:t>
      </w:r>
      <w:r w:rsidR="003D5A59">
        <w:rPr>
          <w:szCs w:val="22"/>
        </w:rPr>
        <w:t xml:space="preserve">CFC-11 and other controlled substances is included in the </w:t>
      </w:r>
      <w:r w:rsidR="004A1A96">
        <w:rPr>
          <w:szCs w:val="22"/>
        </w:rPr>
        <w:t>2021 SAP Report on Unexpected Emissions of CFC-11</w:t>
      </w:r>
      <w:r w:rsidR="00067CE9">
        <w:rPr>
          <w:rStyle w:val="FootnoteReference"/>
        </w:rPr>
        <w:footnoteReference w:id="112"/>
      </w:r>
      <w:r w:rsidR="004A1A96">
        <w:rPr>
          <w:szCs w:val="22"/>
        </w:rPr>
        <w:t>.</w:t>
      </w:r>
      <w:r w:rsidR="005D6D4D" w:rsidRPr="005D6D4D">
        <w:rPr>
          <w:rStyle w:val="FootnoteReference"/>
        </w:rPr>
        <w:t xml:space="preserve"> </w:t>
      </w:r>
      <w:r w:rsidR="00A21CF0">
        <w:rPr>
          <w:szCs w:val="22"/>
        </w:rPr>
        <w:t>Within the</w:t>
      </w:r>
      <w:r w:rsidR="00697DDE">
        <w:rPr>
          <w:szCs w:val="22"/>
        </w:rPr>
        <w:t xml:space="preserve"> monitoring </w:t>
      </w:r>
      <w:r w:rsidR="00A21CF0">
        <w:rPr>
          <w:szCs w:val="22"/>
        </w:rPr>
        <w:t xml:space="preserve">and enforcement </w:t>
      </w:r>
      <w:r w:rsidR="00697DDE">
        <w:rPr>
          <w:szCs w:val="22"/>
        </w:rPr>
        <w:t>tool</w:t>
      </w:r>
      <w:r w:rsidR="00A21CF0">
        <w:rPr>
          <w:szCs w:val="22"/>
        </w:rPr>
        <w:t>kit</w:t>
      </w:r>
      <w:r w:rsidR="00697DDE">
        <w:rPr>
          <w:szCs w:val="22"/>
        </w:rPr>
        <w:t>, these are technically and economically feasible</w:t>
      </w:r>
      <w:r w:rsidR="00417C0C">
        <w:rPr>
          <w:szCs w:val="22"/>
        </w:rPr>
        <w:t>, scientifically objective,</w:t>
      </w:r>
      <w:r w:rsidR="00697DDE">
        <w:rPr>
          <w:szCs w:val="22"/>
        </w:rPr>
        <w:t xml:space="preserve"> </w:t>
      </w:r>
      <w:r w:rsidR="00697DDE">
        <w:rPr>
          <w:szCs w:val="22"/>
        </w:rPr>
        <w:lastRenderedPageBreak/>
        <w:t xml:space="preserve">and </w:t>
      </w:r>
      <w:r w:rsidR="00D05FBE">
        <w:rPr>
          <w:szCs w:val="22"/>
        </w:rPr>
        <w:t xml:space="preserve">highly </w:t>
      </w:r>
      <w:r w:rsidR="00606700">
        <w:rPr>
          <w:szCs w:val="22"/>
        </w:rPr>
        <w:t>effective</w:t>
      </w:r>
      <w:r w:rsidR="00B0107E">
        <w:rPr>
          <w:szCs w:val="22"/>
        </w:rPr>
        <w:t xml:space="preserve"> methods </w:t>
      </w:r>
      <w:r w:rsidR="00EA356C">
        <w:rPr>
          <w:szCs w:val="22"/>
        </w:rPr>
        <w:t>to detect</w:t>
      </w:r>
      <w:r w:rsidR="00FE1CE7">
        <w:rPr>
          <w:szCs w:val="22"/>
        </w:rPr>
        <w:t xml:space="preserve"> </w:t>
      </w:r>
      <w:r w:rsidR="00EA356C">
        <w:rPr>
          <w:szCs w:val="22"/>
        </w:rPr>
        <w:t xml:space="preserve">illegal </w:t>
      </w:r>
      <w:r w:rsidR="006316E2">
        <w:rPr>
          <w:szCs w:val="22"/>
        </w:rPr>
        <w:t xml:space="preserve">and unexpected </w:t>
      </w:r>
      <w:r w:rsidR="00EA356C">
        <w:rPr>
          <w:szCs w:val="22"/>
        </w:rPr>
        <w:t>activit</w:t>
      </w:r>
      <w:r w:rsidR="006316E2">
        <w:rPr>
          <w:szCs w:val="22"/>
        </w:rPr>
        <w:t>ies</w:t>
      </w:r>
      <w:r w:rsidR="001F5220">
        <w:rPr>
          <w:szCs w:val="22"/>
        </w:rPr>
        <w:t xml:space="preserve">, as evidenced by </w:t>
      </w:r>
      <w:r w:rsidR="00F1265B">
        <w:rPr>
          <w:szCs w:val="22"/>
        </w:rPr>
        <w:t xml:space="preserve">the </w:t>
      </w:r>
      <w:r w:rsidR="00DD55E4">
        <w:rPr>
          <w:szCs w:val="22"/>
        </w:rPr>
        <w:t>discoveries</w:t>
      </w:r>
      <w:r w:rsidR="00BD588A">
        <w:rPr>
          <w:szCs w:val="22"/>
        </w:rPr>
        <w:t xml:space="preserve"> that led to </w:t>
      </w:r>
      <w:r w:rsidR="00952F34">
        <w:rPr>
          <w:szCs w:val="22"/>
        </w:rPr>
        <w:t>increased awareness</w:t>
      </w:r>
      <w:r w:rsidR="006106B1">
        <w:rPr>
          <w:szCs w:val="22"/>
        </w:rPr>
        <w:t xml:space="preserve"> </w:t>
      </w:r>
      <w:r w:rsidR="00952F34">
        <w:rPr>
          <w:szCs w:val="22"/>
        </w:rPr>
        <w:t xml:space="preserve">and </w:t>
      </w:r>
      <w:r w:rsidR="00AE10B3">
        <w:rPr>
          <w:szCs w:val="22"/>
        </w:rPr>
        <w:t xml:space="preserve">mitigating </w:t>
      </w:r>
      <w:r w:rsidR="00084850">
        <w:rPr>
          <w:szCs w:val="22"/>
        </w:rPr>
        <w:t xml:space="preserve">actions </w:t>
      </w:r>
      <w:r w:rsidR="00C80322">
        <w:rPr>
          <w:szCs w:val="22"/>
        </w:rPr>
        <w:t xml:space="preserve">being </w:t>
      </w:r>
      <w:r w:rsidR="00084850">
        <w:rPr>
          <w:szCs w:val="22"/>
        </w:rPr>
        <w:t>taken by partie</w:t>
      </w:r>
      <w:r w:rsidR="00952F34">
        <w:rPr>
          <w:szCs w:val="22"/>
        </w:rPr>
        <w:t>s</w:t>
      </w:r>
      <w:r w:rsidR="00A21CF0">
        <w:rPr>
          <w:szCs w:val="22"/>
        </w:rPr>
        <w:t>.</w:t>
      </w:r>
      <w:r w:rsidR="00EA356C">
        <w:rPr>
          <w:szCs w:val="22"/>
        </w:rPr>
        <w:t xml:space="preserve"> </w:t>
      </w:r>
    </w:p>
    <w:p w14:paraId="4A470734" w14:textId="38DF99AE" w:rsidR="00A93DF9" w:rsidRDefault="00AB76C6" w:rsidP="00A93DF9">
      <w:pPr>
        <w:rPr>
          <w:szCs w:val="22"/>
        </w:rPr>
      </w:pPr>
      <w:r>
        <w:rPr>
          <w:szCs w:val="22"/>
        </w:rPr>
        <w:t xml:space="preserve">As </w:t>
      </w:r>
      <w:r w:rsidR="00075479">
        <w:rPr>
          <w:szCs w:val="22"/>
        </w:rPr>
        <w:t>stated</w:t>
      </w:r>
      <w:r>
        <w:rPr>
          <w:szCs w:val="22"/>
        </w:rPr>
        <w:t xml:space="preserve"> earlier,</w:t>
      </w:r>
      <w:r w:rsidR="00A93DF9">
        <w:rPr>
          <w:szCs w:val="22"/>
        </w:rPr>
        <w:t xml:space="preserve"> </w:t>
      </w:r>
      <w:r>
        <w:rPr>
          <w:szCs w:val="22"/>
        </w:rPr>
        <w:t>f</w:t>
      </w:r>
      <w:r w:rsidR="00A93DF9">
        <w:rPr>
          <w:szCs w:val="22"/>
        </w:rPr>
        <w:t>ield detection of CFC-11</w:t>
      </w:r>
      <w:r w:rsidR="000A3557">
        <w:rPr>
          <w:szCs w:val="22"/>
        </w:rPr>
        <w:t>,</w:t>
      </w:r>
      <w:r w:rsidR="00A93DF9">
        <w:rPr>
          <w:szCs w:val="22"/>
        </w:rPr>
        <w:t xml:space="preserve"> as a refrigerant in equipment</w:t>
      </w:r>
      <w:r w:rsidR="0019605F">
        <w:rPr>
          <w:szCs w:val="22"/>
        </w:rPr>
        <w:t>, in recovered refrigerant</w:t>
      </w:r>
      <w:r w:rsidR="00485AE0">
        <w:rPr>
          <w:szCs w:val="22"/>
        </w:rPr>
        <w:t>,</w:t>
      </w:r>
      <w:r w:rsidR="00A93DF9">
        <w:rPr>
          <w:szCs w:val="22"/>
        </w:rPr>
        <w:t xml:space="preserve"> in storage vessels</w:t>
      </w:r>
      <w:r w:rsidR="000A3557">
        <w:rPr>
          <w:szCs w:val="22"/>
        </w:rPr>
        <w:t>,</w:t>
      </w:r>
      <w:r w:rsidR="00A93DF9" w:rsidRPr="005E321B">
        <w:rPr>
          <w:szCs w:val="22"/>
        </w:rPr>
        <w:t xml:space="preserve"> </w:t>
      </w:r>
      <w:r>
        <w:rPr>
          <w:szCs w:val="22"/>
        </w:rPr>
        <w:t xml:space="preserve">or in </w:t>
      </w:r>
      <w:r w:rsidR="00F32D72">
        <w:rPr>
          <w:szCs w:val="22"/>
        </w:rPr>
        <w:t xml:space="preserve">pre-blended </w:t>
      </w:r>
      <w:r>
        <w:rPr>
          <w:szCs w:val="22"/>
        </w:rPr>
        <w:t xml:space="preserve">foam </w:t>
      </w:r>
      <w:r w:rsidR="00F32D72">
        <w:rPr>
          <w:szCs w:val="22"/>
        </w:rPr>
        <w:t xml:space="preserve">polyol </w:t>
      </w:r>
      <w:r w:rsidR="00695449">
        <w:rPr>
          <w:szCs w:val="22"/>
        </w:rPr>
        <w:t>systems</w:t>
      </w:r>
      <w:r w:rsidR="000A3557">
        <w:rPr>
          <w:szCs w:val="22"/>
        </w:rPr>
        <w:t>,</w:t>
      </w:r>
      <w:r w:rsidR="00695449">
        <w:rPr>
          <w:szCs w:val="22"/>
        </w:rPr>
        <w:t xml:space="preserve"> </w:t>
      </w:r>
      <w:r w:rsidR="000570B6">
        <w:rPr>
          <w:szCs w:val="22"/>
        </w:rPr>
        <w:t>is feasible</w:t>
      </w:r>
      <w:r w:rsidR="00A93DF9" w:rsidRPr="00D042C5">
        <w:t xml:space="preserve"> </w:t>
      </w:r>
      <w:r w:rsidR="00A93DF9" w:rsidRPr="00D042C5">
        <w:rPr>
          <w:szCs w:val="22"/>
        </w:rPr>
        <w:t xml:space="preserve">using </w:t>
      </w:r>
      <w:r w:rsidR="001E2C72" w:rsidRPr="00D042C5">
        <w:rPr>
          <w:szCs w:val="22"/>
        </w:rPr>
        <w:t xml:space="preserve">a portable </w:t>
      </w:r>
      <w:r w:rsidR="001E2C72">
        <w:rPr>
          <w:szCs w:val="22"/>
        </w:rPr>
        <w:t xml:space="preserve">analyser </w:t>
      </w:r>
      <w:r w:rsidR="001E2C72" w:rsidRPr="00964029">
        <w:rPr>
          <w:szCs w:val="22"/>
        </w:rPr>
        <w:t xml:space="preserve">configured </w:t>
      </w:r>
      <w:r w:rsidR="001E2C72">
        <w:rPr>
          <w:szCs w:val="22"/>
        </w:rPr>
        <w:t>to identify</w:t>
      </w:r>
      <w:r w:rsidR="001E2C72" w:rsidRPr="00964029">
        <w:rPr>
          <w:szCs w:val="22"/>
        </w:rPr>
        <w:t xml:space="preserve"> CFC-11</w:t>
      </w:r>
      <w:r w:rsidR="00A93DF9" w:rsidRPr="00D042C5">
        <w:rPr>
          <w:szCs w:val="22"/>
        </w:rPr>
        <w:t>.</w:t>
      </w:r>
      <w:r w:rsidR="00BE1C59">
        <w:rPr>
          <w:szCs w:val="22"/>
        </w:rPr>
        <w:t xml:space="preserve"> There are many </w:t>
      </w:r>
      <w:r w:rsidR="00962CAA">
        <w:rPr>
          <w:szCs w:val="22"/>
        </w:rPr>
        <w:t xml:space="preserve">analyser </w:t>
      </w:r>
      <w:r w:rsidR="00BE1C59">
        <w:rPr>
          <w:szCs w:val="22"/>
        </w:rPr>
        <w:t>options available</w:t>
      </w:r>
      <w:r w:rsidR="00E5558A">
        <w:rPr>
          <w:szCs w:val="22"/>
        </w:rPr>
        <w:t>.</w:t>
      </w:r>
    </w:p>
    <w:p w14:paraId="776BA00B" w14:textId="7A290419" w:rsidR="00626446" w:rsidRDefault="00BE1C59" w:rsidP="00626446">
      <w:pPr>
        <w:rPr>
          <w:color w:val="auto"/>
          <w:lang w:val="en-AU" w:eastAsia="en-GB"/>
        </w:rPr>
      </w:pPr>
      <w:r>
        <w:rPr>
          <w:color w:val="auto"/>
          <w:lang w:val="en-AU" w:eastAsia="en-GB"/>
        </w:rPr>
        <w:t xml:space="preserve">One </w:t>
      </w:r>
      <w:r w:rsidR="00447375">
        <w:rPr>
          <w:color w:val="auto"/>
          <w:lang w:val="en-AU" w:eastAsia="en-GB"/>
        </w:rPr>
        <w:t>of the most commonly used analysers</w:t>
      </w:r>
      <w:r w:rsidR="00626446" w:rsidRPr="00A96C8A">
        <w:rPr>
          <w:color w:val="auto"/>
          <w:lang w:val="en-AU" w:eastAsia="en-GB"/>
        </w:rPr>
        <w:t xml:space="preserve"> </w:t>
      </w:r>
      <w:r w:rsidR="00626446">
        <w:rPr>
          <w:color w:val="auto"/>
          <w:lang w:val="en-AU" w:eastAsia="en-GB"/>
        </w:rPr>
        <w:t>is a portable a</w:t>
      </w:r>
      <w:r w:rsidR="00626446" w:rsidRPr="00A96C8A">
        <w:rPr>
          <w:color w:val="auto"/>
          <w:lang w:val="en-AU" w:eastAsia="en-GB"/>
        </w:rPr>
        <w:t>naly</w:t>
      </w:r>
      <w:r w:rsidR="00626446">
        <w:rPr>
          <w:color w:val="auto"/>
          <w:lang w:val="en-AU" w:eastAsia="en-GB"/>
        </w:rPr>
        <w:t>s</w:t>
      </w:r>
      <w:r w:rsidR="00626446" w:rsidRPr="00A96C8A">
        <w:rPr>
          <w:color w:val="auto"/>
          <w:lang w:val="en-AU" w:eastAsia="en-GB"/>
        </w:rPr>
        <w:t xml:space="preserve">er </w:t>
      </w:r>
      <w:r w:rsidR="00626446">
        <w:rPr>
          <w:color w:val="auto"/>
          <w:lang w:val="en-AU" w:eastAsia="en-GB"/>
        </w:rPr>
        <w:t xml:space="preserve">that </w:t>
      </w:r>
      <w:r w:rsidR="00626446" w:rsidRPr="00A96C8A">
        <w:rPr>
          <w:color w:val="auto"/>
          <w:lang w:val="en-AU" w:eastAsia="en-GB"/>
        </w:rPr>
        <w:t>determine</w:t>
      </w:r>
      <w:r w:rsidR="00626446">
        <w:rPr>
          <w:color w:val="auto"/>
          <w:lang w:val="en-AU" w:eastAsia="en-GB"/>
        </w:rPr>
        <w:t>s</w:t>
      </w:r>
      <w:r w:rsidR="00626446" w:rsidRPr="00A96C8A">
        <w:rPr>
          <w:color w:val="auto"/>
          <w:lang w:val="en-AU" w:eastAsia="en-GB"/>
        </w:rPr>
        <w:t xml:space="preserve"> refrigerant composition and purity in storage cylinders or directly in refrigerant systems</w:t>
      </w:r>
      <w:r w:rsidR="00626446">
        <w:rPr>
          <w:color w:val="auto"/>
          <w:lang w:val="en-AU" w:eastAsia="en-GB"/>
        </w:rPr>
        <w:t xml:space="preserve"> using</w:t>
      </w:r>
      <w:r w:rsidR="00626446" w:rsidRPr="00A96C8A">
        <w:rPr>
          <w:color w:val="auto"/>
          <w:lang w:val="en-AU" w:eastAsia="en-GB"/>
        </w:rPr>
        <w:t xml:space="preserve"> non-dispersive infrared (NDIR) technology </w:t>
      </w:r>
      <w:r w:rsidR="00626446">
        <w:rPr>
          <w:color w:val="auto"/>
          <w:lang w:val="en-AU" w:eastAsia="en-GB"/>
        </w:rPr>
        <w:t>for</w:t>
      </w:r>
      <w:r w:rsidR="00626446" w:rsidRPr="00A96C8A">
        <w:rPr>
          <w:color w:val="auto"/>
          <w:lang w:val="en-AU" w:eastAsia="en-GB"/>
        </w:rPr>
        <w:t xml:space="preserve"> multiple refrigerant types</w:t>
      </w:r>
      <w:r w:rsidR="00626446">
        <w:rPr>
          <w:color w:val="auto"/>
          <w:lang w:val="en-AU" w:eastAsia="en-GB"/>
        </w:rPr>
        <w:t>, including</w:t>
      </w:r>
      <w:r w:rsidR="00626446" w:rsidRPr="00A96C8A">
        <w:rPr>
          <w:color w:val="auto"/>
          <w:lang w:val="en-AU" w:eastAsia="en-GB"/>
        </w:rPr>
        <w:t xml:space="preserve"> </w:t>
      </w:r>
      <w:r w:rsidR="00626446">
        <w:rPr>
          <w:color w:val="auto"/>
          <w:lang w:val="en-AU" w:eastAsia="en-GB"/>
        </w:rPr>
        <w:t>CFC-12, HCFC-</w:t>
      </w:r>
      <w:r w:rsidR="00626446" w:rsidRPr="00A96C8A">
        <w:rPr>
          <w:color w:val="auto"/>
          <w:lang w:val="en-AU" w:eastAsia="en-GB"/>
        </w:rPr>
        <w:t xml:space="preserve">22, </w:t>
      </w:r>
      <w:r w:rsidR="00626446">
        <w:rPr>
          <w:color w:val="auto"/>
          <w:lang w:val="en-AU" w:eastAsia="en-GB"/>
        </w:rPr>
        <w:t>HFC-</w:t>
      </w:r>
      <w:r w:rsidR="00626446" w:rsidRPr="00A96C8A">
        <w:rPr>
          <w:color w:val="auto"/>
          <w:lang w:val="en-AU" w:eastAsia="en-GB"/>
        </w:rPr>
        <w:t>134</w:t>
      </w:r>
      <w:r w:rsidR="005E7289">
        <w:rPr>
          <w:color w:val="auto"/>
          <w:lang w:val="en-AU" w:eastAsia="en-GB"/>
        </w:rPr>
        <w:t>a</w:t>
      </w:r>
      <w:r w:rsidR="00626446" w:rsidRPr="00A96C8A">
        <w:rPr>
          <w:color w:val="auto"/>
          <w:lang w:val="en-AU" w:eastAsia="en-GB"/>
        </w:rPr>
        <w:t>, R</w:t>
      </w:r>
      <w:r w:rsidR="002B77F4">
        <w:rPr>
          <w:color w:val="auto"/>
          <w:lang w:val="en-AU" w:eastAsia="en-GB"/>
        </w:rPr>
        <w:t>-</w:t>
      </w:r>
      <w:r w:rsidR="00626446" w:rsidRPr="00A96C8A">
        <w:rPr>
          <w:color w:val="auto"/>
          <w:lang w:val="en-AU" w:eastAsia="en-GB"/>
        </w:rPr>
        <w:t>404A, R</w:t>
      </w:r>
      <w:r w:rsidR="002B77F4">
        <w:rPr>
          <w:color w:val="auto"/>
          <w:lang w:val="en-AU" w:eastAsia="en-GB"/>
        </w:rPr>
        <w:t>-</w:t>
      </w:r>
      <w:r w:rsidR="00626446" w:rsidRPr="00A96C8A">
        <w:rPr>
          <w:color w:val="auto"/>
          <w:lang w:val="en-AU" w:eastAsia="en-GB"/>
        </w:rPr>
        <w:t xml:space="preserve">407C, </w:t>
      </w:r>
      <w:r w:rsidR="00626446">
        <w:rPr>
          <w:color w:val="auto"/>
          <w:lang w:val="en-AU" w:eastAsia="en-GB"/>
        </w:rPr>
        <w:t>HFC-</w:t>
      </w:r>
      <w:r w:rsidR="00626446" w:rsidRPr="00A96C8A">
        <w:rPr>
          <w:color w:val="auto"/>
          <w:lang w:val="en-AU" w:eastAsia="en-GB"/>
        </w:rPr>
        <w:t>32, R</w:t>
      </w:r>
      <w:r w:rsidR="002B77F4">
        <w:rPr>
          <w:color w:val="auto"/>
          <w:lang w:val="en-AU" w:eastAsia="en-GB"/>
        </w:rPr>
        <w:t>-</w:t>
      </w:r>
      <w:r w:rsidR="00626446" w:rsidRPr="00A96C8A">
        <w:rPr>
          <w:color w:val="auto"/>
          <w:lang w:val="en-AU" w:eastAsia="en-GB"/>
        </w:rPr>
        <w:t xml:space="preserve">410A, </w:t>
      </w:r>
      <w:r w:rsidR="00626446">
        <w:rPr>
          <w:color w:val="auto"/>
          <w:lang w:val="en-AU" w:eastAsia="en-GB"/>
        </w:rPr>
        <w:t xml:space="preserve">and </w:t>
      </w:r>
      <w:r w:rsidR="00626446" w:rsidRPr="00A96C8A">
        <w:rPr>
          <w:color w:val="auto"/>
          <w:lang w:val="en-AU" w:eastAsia="en-GB"/>
        </w:rPr>
        <w:t>hydrocarbons.</w:t>
      </w:r>
      <w:r w:rsidR="00626446">
        <w:rPr>
          <w:color w:val="auto"/>
          <w:lang w:val="en-AU" w:eastAsia="en-GB"/>
        </w:rPr>
        <w:t xml:space="preserve"> Results </w:t>
      </w:r>
      <w:r w:rsidR="002C6750">
        <w:rPr>
          <w:color w:val="auto"/>
          <w:lang w:val="en-AU" w:eastAsia="en-GB"/>
        </w:rPr>
        <w:t>can be</w:t>
      </w:r>
      <w:r w:rsidR="00626446">
        <w:rPr>
          <w:color w:val="auto"/>
          <w:lang w:val="en-AU" w:eastAsia="en-GB"/>
        </w:rPr>
        <w:t xml:space="preserve"> given in </w:t>
      </w:r>
      <w:r w:rsidR="00626446" w:rsidRPr="008F6B3C">
        <w:rPr>
          <w:color w:val="auto"/>
          <w:lang w:val="en-AU" w:eastAsia="en-GB"/>
        </w:rPr>
        <w:t>percent by weight concentrations</w:t>
      </w:r>
      <w:r w:rsidR="00626446">
        <w:rPr>
          <w:color w:val="auto"/>
          <w:lang w:val="en-AU" w:eastAsia="en-GB"/>
        </w:rPr>
        <w:t xml:space="preserve"> for identified refrigerants. While the analyser is not set up specifically</w:t>
      </w:r>
      <w:r w:rsidR="00626446" w:rsidRPr="00D601E3">
        <w:rPr>
          <w:color w:val="auto"/>
          <w:lang w:val="en-AU" w:eastAsia="en-GB"/>
        </w:rPr>
        <w:t xml:space="preserve"> </w:t>
      </w:r>
      <w:r w:rsidR="00626446">
        <w:rPr>
          <w:color w:val="auto"/>
          <w:lang w:val="en-AU" w:eastAsia="en-GB"/>
        </w:rPr>
        <w:t xml:space="preserve">to </w:t>
      </w:r>
      <w:r w:rsidR="00626446" w:rsidRPr="00D601E3">
        <w:rPr>
          <w:color w:val="auto"/>
          <w:lang w:val="en-AU" w:eastAsia="en-GB"/>
        </w:rPr>
        <w:t>identify CFC-11</w:t>
      </w:r>
      <w:r w:rsidR="00626446">
        <w:rPr>
          <w:color w:val="auto"/>
          <w:lang w:val="en-AU" w:eastAsia="en-GB"/>
        </w:rPr>
        <w:t xml:space="preserve">, a feature allows the user to develop a fingerprint </w:t>
      </w:r>
      <w:r w:rsidR="00645DBB">
        <w:rPr>
          <w:color w:val="auto"/>
          <w:lang w:val="en-AU" w:eastAsia="en-GB"/>
        </w:rPr>
        <w:t>for</w:t>
      </w:r>
      <w:r w:rsidR="00626446">
        <w:rPr>
          <w:color w:val="auto"/>
          <w:lang w:val="en-AU" w:eastAsia="en-GB"/>
        </w:rPr>
        <w:t xml:space="preserve"> refrigerants that the analyser does not already analyse through a </w:t>
      </w:r>
      <w:r w:rsidR="00645DBB">
        <w:rPr>
          <w:color w:val="auto"/>
          <w:lang w:val="en-AU" w:eastAsia="en-GB"/>
        </w:rPr>
        <w:t xml:space="preserve">simple </w:t>
      </w:r>
      <w:r w:rsidR="00626446">
        <w:rPr>
          <w:color w:val="auto"/>
          <w:lang w:val="en-AU" w:eastAsia="en-GB"/>
        </w:rPr>
        <w:t>procedure using a known sample of th</w:t>
      </w:r>
      <w:r w:rsidR="00645DBB">
        <w:rPr>
          <w:color w:val="auto"/>
          <w:lang w:val="en-AU" w:eastAsia="en-GB"/>
        </w:rPr>
        <w:t>at</w:t>
      </w:r>
      <w:r w:rsidR="00626446">
        <w:rPr>
          <w:color w:val="auto"/>
          <w:lang w:val="en-AU" w:eastAsia="en-GB"/>
        </w:rPr>
        <w:t xml:space="preserve"> refrigerant.</w:t>
      </w:r>
      <w:r w:rsidR="00626446" w:rsidRPr="00CC1FCC">
        <w:rPr>
          <w:color w:val="auto"/>
          <w:lang w:val="en-AU" w:eastAsia="en-GB"/>
        </w:rPr>
        <w:t xml:space="preserve"> </w:t>
      </w:r>
      <w:r w:rsidR="00F9418F">
        <w:rPr>
          <w:color w:val="auto"/>
          <w:lang w:val="en-AU" w:eastAsia="en-GB"/>
        </w:rPr>
        <w:t xml:space="preserve">Other analysers </w:t>
      </w:r>
      <w:r w:rsidR="00A5610F">
        <w:rPr>
          <w:color w:val="auto"/>
          <w:lang w:val="en-AU" w:eastAsia="en-GB"/>
        </w:rPr>
        <w:t xml:space="preserve">would </w:t>
      </w:r>
      <w:r w:rsidR="00BC56F7">
        <w:rPr>
          <w:color w:val="auto"/>
          <w:lang w:val="en-AU" w:eastAsia="en-GB"/>
        </w:rPr>
        <w:t>function similarly.</w:t>
      </w:r>
    </w:p>
    <w:p w14:paraId="76E7BC88" w14:textId="1839C584" w:rsidR="00626446" w:rsidRPr="00A96C8A" w:rsidRDefault="00626446" w:rsidP="00626446">
      <w:pPr>
        <w:rPr>
          <w:color w:val="auto"/>
          <w:lang w:val="en-AU" w:eastAsia="en-GB"/>
        </w:rPr>
      </w:pPr>
      <w:r>
        <w:rPr>
          <w:color w:val="auto"/>
          <w:lang w:val="en-AU" w:eastAsia="en-GB"/>
        </w:rPr>
        <w:t xml:space="preserve">According to UNEP </w:t>
      </w:r>
      <w:proofErr w:type="spellStart"/>
      <w:r>
        <w:rPr>
          <w:color w:val="auto"/>
          <w:lang w:val="en-AU" w:eastAsia="en-GB"/>
        </w:rPr>
        <w:t>OzonAction</w:t>
      </w:r>
      <w:proofErr w:type="spellEnd"/>
      <w:r>
        <w:rPr>
          <w:color w:val="auto"/>
          <w:lang w:val="en-AU" w:eastAsia="en-GB"/>
        </w:rPr>
        <w:t>, t</w:t>
      </w:r>
      <w:r w:rsidRPr="00D601E3">
        <w:rPr>
          <w:color w:val="auto"/>
          <w:lang w:val="en-AU" w:eastAsia="en-GB"/>
        </w:rPr>
        <w:t xml:space="preserve">he most common refrigerant </w:t>
      </w:r>
      <w:r>
        <w:rPr>
          <w:color w:val="auto"/>
          <w:lang w:val="en-AU" w:eastAsia="en-GB"/>
        </w:rPr>
        <w:t>detector that is</w:t>
      </w:r>
      <w:r w:rsidRPr="00D601E3">
        <w:rPr>
          <w:color w:val="auto"/>
          <w:lang w:val="en-AU" w:eastAsia="en-GB"/>
        </w:rPr>
        <w:t xml:space="preserve"> provided to many customs authorities as part of UNEP HPMP projects</w:t>
      </w:r>
      <w:r>
        <w:rPr>
          <w:color w:val="auto"/>
          <w:lang w:val="en-AU" w:eastAsia="en-GB"/>
        </w:rPr>
        <w:t xml:space="preserve"> is</w:t>
      </w:r>
      <w:r w:rsidRPr="00D601E3">
        <w:rPr>
          <w:color w:val="auto"/>
          <w:lang w:val="en-AU" w:eastAsia="en-GB"/>
        </w:rPr>
        <w:t xml:space="preserve"> </w:t>
      </w:r>
      <w:r w:rsidR="00453BDD">
        <w:rPr>
          <w:color w:val="auto"/>
          <w:lang w:val="en-AU" w:eastAsia="en-GB"/>
        </w:rPr>
        <w:t>this same analyser</w:t>
      </w:r>
      <w:r>
        <w:rPr>
          <w:color w:val="auto"/>
          <w:lang w:val="en-AU" w:eastAsia="en-GB"/>
        </w:rPr>
        <w:t xml:space="preserve">. It is not known whether </w:t>
      </w:r>
      <w:r w:rsidR="00882BEB">
        <w:rPr>
          <w:color w:val="auto"/>
          <w:lang w:val="en-AU" w:eastAsia="en-GB"/>
        </w:rPr>
        <w:t>these</w:t>
      </w:r>
      <w:r>
        <w:rPr>
          <w:color w:val="auto"/>
          <w:lang w:val="en-AU" w:eastAsia="en-GB"/>
        </w:rPr>
        <w:t xml:space="preserve"> are the </w:t>
      </w:r>
      <w:r w:rsidR="00882BEB">
        <w:rPr>
          <w:color w:val="auto"/>
          <w:lang w:val="en-AU" w:eastAsia="en-GB"/>
        </w:rPr>
        <w:t xml:space="preserve">current </w:t>
      </w:r>
      <w:r>
        <w:rPr>
          <w:color w:val="auto"/>
          <w:lang w:val="en-AU" w:eastAsia="en-GB"/>
        </w:rPr>
        <w:t xml:space="preserve">model of the analyser </w:t>
      </w:r>
      <w:r w:rsidR="00337DF0">
        <w:rPr>
          <w:color w:val="auto"/>
          <w:lang w:val="en-AU" w:eastAsia="en-GB"/>
        </w:rPr>
        <w:t>of</w:t>
      </w:r>
      <w:r>
        <w:rPr>
          <w:color w:val="auto"/>
          <w:lang w:val="en-AU" w:eastAsia="en-GB"/>
        </w:rPr>
        <w:t xml:space="preserve"> the same name that allows CFC-11 identification following </w:t>
      </w:r>
      <w:r w:rsidR="008B2703">
        <w:rPr>
          <w:color w:val="auto"/>
          <w:lang w:val="en-AU" w:eastAsia="en-GB"/>
        </w:rPr>
        <w:t>procedures</w:t>
      </w:r>
      <w:r w:rsidR="00836AA7">
        <w:rPr>
          <w:color w:val="auto"/>
          <w:lang w:val="en-AU" w:eastAsia="en-GB"/>
        </w:rPr>
        <w:t xml:space="preserve"> provided</w:t>
      </w:r>
      <w:r w:rsidR="008B2703">
        <w:rPr>
          <w:color w:val="auto"/>
          <w:lang w:val="en-AU" w:eastAsia="en-GB"/>
        </w:rPr>
        <w:t xml:space="preserve"> in the instruction </w:t>
      </w:r>
      <w:r>
        <w:rPr>
          <w:color w:val="auto"/>
          <w:lang w:val="en-AU" w:eastAsia="en-GB"/>
        </w:rPr>
        <w:t xml:space="preserve">manual. However, based on information provided by UNEP </w:t>
      </w:r>
      <w:proofErr w:type="spellStart"/>
      <w:r>
        <w:rPr>
          <w:color w:val="auto"/>
          <w:lang w:val="en-AU" w:eastAsia="en-GB"/>
        </w:rPr>
        <w:t>OzonAction</w:t>
      </w:r>
      <w:proofErr w:type="spellEnd"/>
      <w:r>
        <w:rPr>
          <w:color w:val="auto"/>
          <w:lang w:val="en-AU" w:eastAsia="en-GB"/>
        </w:rPr>
        <w:t xml:space="preserve">, </w:t>
      </w:r>
      <w:r w:rsidR="00882BEB">
        <w:rPr>
          <w:color w:val="auto"/>
          <w:lang w:val="en-AU" w:eastAsia="en-GB"/>
        </w:rPr>
        <w:t xml:space="preserve">it appears that </w:t>
      </w:r>
      <w:r>
        <w:rPr>
          <w:color w:val="auto"/>
          <w:lang w:val="en-AU" w:eastAsia="en-GB"/>
        </w:rPr>
        <w:t xml:space="preserve">awareness of this </w:t>
      </w:r>
      <w:r w:rsidR="002F6F9F">
        <w:rPr>
          <w:color w:val="auto"/>
          <w:lang w:val="en-AU" w:eastAsia="en-GB"/>
        </w:rPr>
        <w:t xml:space="preserve">available </w:t>
      </w:r>
      <w:r>
        <w:rPr>
          <w:color w:val="auto"/>
          <w:lang w:val="en-AU" w:eastAsia="en-GB"/>
        </w:rPr>
        <w:t>feature may not be well known</w:t>
      </w:r>
      <w:r w:rsidR="004633E8">
        <w:rPr>
          <w:color w:val="auto"/>
          <w:lang w:val="en-AU" w:eastAsia="en-GB"/>
        </w:rPr>
        <w:t xml:space="preserve"> </w:t>
      </w:r>
      <w:r w:rsidR="004340D2">
        <w:rPr>
          <w:color w:val="auto"/>
          <w:lang w:val="en-AU" w:eastAsia="en-GB"/>
        </w:rPr>
        <w:t>because these analysers are</w:t>
      </w:r>
      <w:r w:rsidR="004633E8">
        <w:rPr>
          <w:color w:val="auto"/>
          <w:lang w:val="en-AU" w:eastAsia="en-GB"/>
        </w:rPr>
        <w:t xml:space="preserve"> </w:t>
      </w:r>
      <w:r w:rsidR="000C0F90">
        <w:rPr>
          <w:color w:val="auto"/>
          <w:lang w:val="en-AU" w:eastAsia="en-GB"/>
        </w:rPr>
        <w:t xml:space="preserve">reportedly </w:t>
      </w:r>
      <w:r w:rsidR="004633E8">
        <w:rPr>
          <w:color w:val="auto"/>
          <w:lang w:val="en-AU" w:eastAsia="en-GB"/>
        </w:rPr>
        <w:t>not</w:t>
      </w:r>
      <w:r w:rsidR="00A432EA">
        <w:rPr>
          <w:color w:val="auto"/>
          <w:lang w:val="en-AU" w:eastAsia="en-GB"/>
        </w:rPr>
        <w:t xml:space="preserve"> </w:t>
      </w:r>
      <w:r w:rsidR="004448A4">
        <w:rPr>
          <w:color w:val="auto"/>
          <w:lang w:val="en-AU" w:eastAsia="en-GB"/>
        </w:rPr>
        <w:t xml:space="preserve">being </w:t>
      </w:r>
      <w:r w:rsidR="00A432EA">
        <w:rPr>
          <w:color w:val="auto"/>
          <w:lang w:val="en-AU" w:eastAsia="en-GB"/>
        </w:rPr>
        <w:t xml:space="preserve">used </w:t>
      </w:r>
      <w:r w:rsidR="00680851">
        <w:rPr>
          <w:color w:val="auto"/>
          <w:lang w:val="en-AU" w:eastAsia="en-GB"/>
        </w:rPr>
        <w:t xml:space="preserve">by </w:t>
      </w:r>
      <w:r w:rsidR="003F3D2B">
        <w:rPr>
          <w:color w:val="auto"/>
          <w:lang w:val="en-AU" w:eastAsia="en-GB"/>
        </w:rPr>
        <w:t xml:space="preserve">customs and </w:t>
      </w:r>
      <w:r w:rsidR="00680851">
        <w:rPr>
          <w:color w:val="auto"/>
          <w:lang w:val="en-AU" w:eastAsia="en-GB"/>
        </w:rPr>
        <w:t xml:space="preserve">enforcement officers </w:t>
      </w:r>
      <w:r w:rsidR="00A432EA">
        <w:rPr>
          <w:color w:val="auto"/>
          <w:lang w:val="en-AU" w:eastAsia="en-GB"/>
        </w:rPr>
        <w:t>to detect CFC-11</w:t>
      </w:r>
      <w:r w:rsidR="003F3D2B">
        <w:rPr>
          <w:color w:val="auto"/>
          <w:lang w:val="en-AU" w:eastAsia="en-GB"/>
        </w:rPr>
        <w:t xml:space="preserve"> in the field</w:t>
      </w:r>
      <w:r>
        <w:rPr>
          <w:color w:val="auto"/>
          <w:lang w:val="en-AU" w:eastAsia="en-GB"/>
        </w:rPr>
        <w:t>.</w:t>
      </w:r>
    </w:p>
    <w:p w14:paraId="08AA7855" w14:textId="4CD60B95" w:rsidR="00CE44FD" w:rsidRDefault="00CE44FD" w:rsidP="00CE44FD">
      <w:pPr>
        <w:rPr>
          <w:szCs w:val="22"/>
        </w:rPr>
      </w:pPr>
      <w:r w:rsidRPr="00A030EB">
        <w:rPr>
          <w:szCs w:val="22"/>
        </w:rPr>
        <w:t>Laboratory detection of CFC-11 occurs by sampling the product and conducting a</w:t>
      </w:r>
      <w:r>
        <w:rPr>
          <w:szCs w:val="22"/>
        </w:rPr>
        <w:t xml:space="preserve"> qualitative or quantitative chemical</w:t>
      </w:r>
      <w:r w:rsidRPr="00A030EB">
        <w:rPr>
          <w:szCs w:val="22"/>
        </w:rPr>
        <w:t xml:space="preserve"> analysis using </w:t>
      </w:r>
      <w:r>
        <w:rPr>
          <w:szCs w:val="22"/>
        </w:rPr>
        <w:t xml:space="preserve">Gas Chromatography (GC) or </w:t>
      </w:r>
      <w:r w:rsidRPr="00A030EB">
        <w:rPr>
          <w:szCs w:val="22"/>
        </w:rPr>
        <w:t>Gas Chromatography/Mass Spectrometry</w:t>
      </w:r>
      <w:r>
        <w:rPr>
          <w:szCs w:val="22"/>
        </w:rPr>
        <w:t xml:space="preserve"> </w:t>
      </w:r>
      <w:r w:rsidRPr="00A030EB">
        <w:rPr>
          <w:szCs w:val="22"/>
        </w:rPr>
        <w:t>(GC/MS)</w:t>
      </w:r>
      <w:r>
        <w:rPr>
          <w:szCs w:val="22"/>
        </w:rPr>
        <w:t>. GC</w:t>
      </w:r>
      <w:r w:rsidRPr="00A030EB">
        <w:rPr>
          <w:szCs w:val="22"/>
        </w:rPr>
        <w:t xml:space="preserve"> separates </w:t>
      </w:r>
      <w:r>
        <w:rPr>
          <w:szCs w:val="22"/>
        </w:rPr>
        <w:t xml:space="preserve">a </w:t>
      </w:r>
      <w:r w:rsidRPr="00A030EB">
        <w:rPr>
          <w:szCs w:val="22"/>
        </w:rPr>
        <w:t>chemical mixture</w:t>
      </w:r>
      <w:r>
        <w:rPr>
          <w:szCs w:val="22"/>
        </w:rPr>
        <w:t xml:space="preserve"> into its component chemicals</w:t>
      </w:r>
      <w:r w:rsidRPr="00A030EB">
        <w:rPr>
          <w:szCs w:val="22"/>
        </w:rPr>
        <w:t xml:space="preserve"> (the GC component)</w:t>
      </w:r>
      <w:r>
        <w:rPr>
          <w:szCs w:val="22"/>
        </w:rPr>
        <w:t xml:space="preserve">. Calibration with internal standards allows chemical components to be identified qualitatively or quantitatively. MS further </w:t>
      </w:r>
      <w:r w:rsidRPr="00A030EB">
        <w:rPr>
          <w:szCs w:val="22"/>
        </w:rPr>
        <w:t xml:space="preserve">identifies the </w:t>
      </w:r>
      <w:r>
        <w:rPr>
          <w:szCs w:val="22"/>
        </w:rPr>
        <w:t xml:space="preserve">chemical </w:t>
      </w:r>
      <w:r w:rsidRPr="00A030EB">
        <w:rPr>
          <w:szCs w:val="22"/>
        </w:rPr>
        <w:t xml:space="preserve">components at a molecular level (the MS component). </w:t>
      </w:r>
      <w:r>
        <w:rPr>
          <w:szCs w:val="22"/>
        </w:rPr>
        <w:t>GC and GC/MS are</w:t>
      </w:r>
      <w:r w:rsidRPr="00A030EB">
        <w:rPr>
          <w:szCs w:val="22"/>
        </w:rPr>
        <w:t xml:space="preserve"> </w:t>
      </w:r>
      <w:r>
        <w:rPr>
          <w:szCs w:val="22"/>
        </w:rPr>
        <w:t>accurate and reliable</w:t>
      </w:r>
      <w:r w:rsidRPr="00A030EB">
        <w:rPr>
          <w:szCs w:val="22"/>
        </w:rPr>
        <w:t xml:space="preserve"> </w:t>
      </w:r>
      <w:r>
        <w:rPr>
          <w:szCs w:val="22"/>
        </w:rPr>
        <w:t>methods</w:t>
      </w:r>
      <w:r w:rsidRPr="00A030EB">
        <w:rPr>
          <w:szCs w:val="22"/>
        </w:rPr>
        <w:t xml:space="preserve"> for analy</w:t>
      </w:r>
      <w:r>
        <w:rPr>
          <w:szCs w:val="22"/>
        </w:rPr>
        <w:t>s</w:t>
      </w:r>
      <w:r w:rsidRPr="00A030EB">
        <w:rPr>
          <w:szCs w:val="22"/>
        </w:rPr>
        <w:t>ing environmental samples.</w:t>
      </w:r>
    </w:p>
    <w:p w14:paraId="60403B97" w14:textId="0B7EC13A" w:rsidR="002A46D5" w:rsidRDefault="0069788E" w:rsidP="00626446">
      <w:pPr>
        <w:rPr>
          <w:color w:val="auto"/>
          <w:lang w:val="en-AU" w:eastAsia="en-GB"/>
        </w:rPr>
      </w:pPr>
      <w:r>
        <w:t>Laboratory</w:t>
      </w:r>
      <w:r w:rsidR="002A46D5">
        <w:t xml:space="preserve"> method</w:t>
      </w:r>
      <w:r>
        <w:t>s are</w:t>
      </w:r>
      <w:r w:rsidR="002A46D5">
        <w:t xml:space="preserve"> </w:t>
      </w:r>
      <w:r w:rsidR="00A07FC8">
        <w:t>the most ideal</w:t>
      </w:r>
      <w:r w:rsidR="001A0ADE">
        <w:t xml:space="preserve"> to identify CFC-11 in products. Laboratory methods are well </w:t>
      </w:r>
      <w:r w:rsidR="002A46D5">
        <w:t xml:space="preserve">suited to the </w:t>
      </w:r>
      <w:r w:rsidR="002A1C25">
        <w:t xml:space="preserve">qualitative </w:t>
      </w:r>
      <w:r w:rsidR="002A46D5">
        <w:t>identification of CFC-11 in samples of foam products and</w:t>
      </w:r>
      <w:r w:rsidR="00B00278">
        <w:t xml:space="preserve"> are commonly used </w:t>
      </w:r>
      <w:r w:rsidR="002A46D5">
        <w:t>to identify CFC-11 in refrigerant samples</w:t>
      </w:r>
      <w:r w:rsidR="00B00278">
        <w:t xml:space="preserve"> (</w:t>
      </w:r>
      <w:r w:rsidR="1061C58E">
        <w:t>quantitative</w:t>
      </w:r>
      <w:r w:rsidR="00B00278">
        <w:t xml:space="preserve"> or qualitative analysis)</w:t>
      </w:r>
      <w:r w:rsidR="002A46D5">
        <w:t xml:space="preserve">. </w:t>
      </w:r>
      <w:r w:rsidR="00B8649B">
        <w:t xml:space="preserve">While </w:t>
      </w:r>
      <w:r w:rsidR="00FF39C7">
        <w:t xml:space="preserve">methods </w:t>
      </w:r>
      <w:r w:rsidR="00DD31D1">
        <w:t>are available, m</w:t>
      </w:r>
      <w:r w:rsidR="00313976">
        <w:t xml:space="preserve">any countries would not routinely test </w:t>
      </w:r>
      <w:r w:rsidR="00384041">
        <w:t>foam products</w:t>
      </w:r>
      <w:r w:rsidR="002411CF">
        <w:t xml:space="preserve"> </w:t>
      </w:r>
      <w:r w:rsidR="0049428D">
        <w:t>as part of</w:t>
      </w:r>
      <w:r w:rsidR="002411CF">
        <w:t xml:space="preserve"> </w:t>
      </w:r>
      <w:r w:rsidR="00931970">
        <w:t xml:space="preserve">their </w:t>
      </w:r>
      <w:r w:rsidR="002411CF">
        <w:t xml:space="preserve">customs and enforcement programs. </w:t>
      </w:r>
      <w:r w:rsidR="002A46D5">
        <w:rPr>
          <w:color w:val="auto"/>
          <w:lang w:val="en-AU" w:eastAsia="en-GB"/>
        </w:rPr>
        <w:t xml:space="preserve">It is understood by UNEP </w:t>
      </w:r>
      <w:proofErr w:type="spellStart"/>
      <w:r w:rsidR="002A46D5">
        <w:rPr>
          <w:color w:val="auto"/>
          <w:lang w:val="en-AU" w:eastAsia="en-GB"/>
        </w:rPr>
        <w:t>OzonAction</w:t>
      </w:r>
      <w:proofErr w:type="spellEnd"/>
      <w:r w:rsidR="002A46D5">
        <w:rPr>
          <w:color w:val="auto"/>
          <w:lang w:val="en-AU" w:eastAsia="en-GB"/>
        </w:rPr>
        <w:t xml:space="preserve"> that the t</w:t>
      </w:r>
      <w:r w:rsidR="002A46D5" w:rsidRPr="00D601E3">
        <w:rPr>
          <w:color w:val="auto"/>
          <w:lang w:val="en-AU" w:eastAsia="en-GB"/>
        </w:rPr>
        <w:t xml:space="preserve">esting of substances contained in foam products is not </w:t>
      </w:r>
      <w:r w:rsidR="002A46D5">
        <w:rPr>
          <w:color w:val="auto"/>
          <w:lang w:val="en-AU" w:eastAsia="en-GB"/>
        </w:rPr>
        <w:t>performed</w:t>
      </w:r>
      <w:r w:rsidR="002A46D5" w:rsidRPr="00D601E3">
        <w:rPr>
          <w:color w:val="auto"/>
          <w:lang w:val="en-AU" w:eastAsia="en-GB"/>
        </w:rPr>
        <w:t xml:space="preserve"> by customs authorities in Article 5 </w:t>
      </w:r>
      <w:r w:rsidR="002A46D5">
        <w:rPr>
          <w:color w:val="auto"/>
          <w:lang w:val="en-AU" w:eastAsia="en-GB"/>
        </w:rPr>
        <w:t>parties</w:t>
      </w:r>
      <w:r w:rsidR="002A46D5" w:rsidRPr="00D601E3">
        <w:rPr>
          <w:color w:val="auto"/>
          <w:lang w:val="en-AU" w:eastAsia="en-GB"/>
        </w:rPr>
        <w:t>.</w:t>
      </w:r>
    </w:p>
    <w:p w14:paraId="7F5F4FEE" w14:textId="1E82135F" w:rsidR="00204B34" w:rsidRDefault="004C1BA8" w:rsidP="00660146">
      <w:pPr>
        <w:rPr>
          <w:color w:val="auto"/>
          <w:lang w:val="en-AU" w:eastAsia="en-GB"/>
        </w:rPr>
      </w:pPr>
      <w:r>
        <w:rPr>
          <w:color w:val="auto"/>
          <w:lang w:val="en-AU" w:eastAsia="en-GB"/>
        </w:rPr>
        <w:t xml:space="preserve">Laboratory </w:t>
      </w:r>
      <w:r w:rsidR="00D542BC">
        <w:rPr>
          <w:color w:val="auto"/>
          <w:lang w:val="en-AU" w:eastAsia="en-GB"/>
        </w:rPr>
        <w:t>detection methods</w:t>
      </w:r>
      <w:r w:rsidR="00A02B2E">
        <w:rPr>
          <w:color w:val="auto"/>
          <w:lang w:val="en-AU" w:eastAsia="en-GB"/>
        </w:rPr>
        <w:t xml:space="preserve"> </w:t>
      </w:r>
      <w:r w:rsidR="003C65AB">
        <w:rPr>
          <w:color w:val="auto"/>
          <w:lang w:val="en-AU" w:eastAsia="en-GB"/>
        </w:rPr>
        <w:t xml:space="preserve">for enforcement purposes are </w:t>
      </w:r>
      <w:r w:rsidR="003973F1">
        <w:rPr>
          <w:color w:val="auto"/>
          <w:lang w:val="en-AU" w:eastAsia="en-GB"/>
        </w:rPr>
        <w:t>developed</w:t>
      </w:r>
      <w:r w:rsidR="007B555A">
        <w:rPr>
          <w:color w:val="auto"/>
          <w:lang w:val="en-AU" w:eastAsia="en-GB"/>
        </w:rPr>
        <w:t xml:space="preserve"> </w:t>
      </w:r>
      <w:r w:rsidR="00AA38A6">
        <w:rPr>
          <w:color w:val="auto"/>
          <w:lang w:val="en-AU" w:eastAsia="en-GB"/>
        </w:rPr>
        <w:t xml:space="preserve">and installed </w:t>
      </w:r>
      <w:r w:rsidR="007B555A">
        <w:rPr>
          <w:color w:val="auto"/>
          <w:lang w:val="en-AU" w:eastAsia="en-GB"/>
        </w:rPr>
        <w:t xml:space="preserve">into </w:t>
      </w:r>
      <w:r w:rsidR="00B927A0">
        <w:rPr>
          <w:color w:val="auto"/>
          <w:lang w:val="en-AU" w:eastAsia="en-GB"/>
        </w:rPr>
        <w:t xml:space="preserve">analytical </w:t>
      </w:r>
      <w:r w:rsidR="004D1B0F">
        <w:rPr>
          <w:color w:val="auto"/>
          <w:lang w:val="en-AU" w:eastAsia="en-GB"/>
        </w:rPr>
        <w:t>standards</w:t>
      </w:r>
      <w:r w:rsidR="00DD39D0">
        <w:rPr>
          <w:color w:val="auto"/>
          <w:lang w:val="en-AU" w:eastAsia="en-GB"/>
        </w:rPr>
        <w:t xml:space="preserve"> and guidelines</w:t>
      </w:r>
      <w:r w:rsidR="00CF5F49">
        <w:rPr>
          <w:color w:val="auto"/>
          <w:lang w:val="en-AU" w:eastAsia="en-GB"/>
        </w:rPr>
        <w:t xml:space="preserve">. For example, in China, two new standards </w:t>
      </w:r>
      <w:r w:rsidR="002C488D">
        <w:rPr>
          <w:color w:val="auto"/>
          <w:lang w:val="en-AU" w:eastAsia="en-GB"/>
        </w:rPr>
        <w:t xml:space="preserve">for detection of CFC-11 in polyurethane </w:t>
      </w:r>
      <w:r w:rsidR="007D7730">
        <w:rPr>
          <w:color w:val="auto"/>
          <w:lang w:val="en-AU" w:eastAsia="en-GB"/>
        </w:rPr>
        <w:t xml:space="preserve">foam </w:t>
      </w:r>
      <w:r w:rsidR="002C488D">
        <w:rPr>
          <w:color w:val="auto"/>
          <w:lang w:val="en-AU" w:eastAsia="en-GB"/>
        </w:rPr>
        <w:t xml:space="preserve">and </w:t>
      </w:r>
      <w:r w:rsidR="009902F0">
        <w:rPr>
          <w:color w:val="auto"/>
          <w:lang w:val="en-AU" w:eastAsia="en-GB"/>
        </w:rPr>
        <w:t xml:space="preserve">in </w:t>
      </w:r>
      <w:r w:rsidR="007D7730">
        <w:rPr>
          <w:color w:val="auto"/>
          <w:lang w:val="en-AU" w:eastAsia="en-GB"/>
        </w:rPr>
        <w:t xml:space="preserve">pre-blended </w:t>
      </w:r>
      <w:r w:rsidR="009902F0">
        <w:rPr>
          <w:color w:val="auto"/>
          <w:lang w:val="en-AU" w:eastAsia="en-GB"/>
        </w:rPr>
        <w:t xml:space="preserve">polyols </w:t>
      </w:r>
      <w:r w:rsidR="00CF5F49">
        <w:rPr>
          <w:color w:val="auto"/>
          <w:lang w:val="en-AU" w:eastAsia="en-GB"/>
        </w:rPr>
        <w:t xml:space="preserve">were issued </w:t>
      </w:r>
      <w:r w:rsidR="002C4358">
        <w:rPr>
          <w:color w:val="auto"/>
          <w:lang w:val="en-AU" w:eastAsia="en-GB"/>
        </w:rPr>
        <w:t xml:space="preserve">by the Ministry </w:t>
      </w:r>
      <w:r w:rsidR="001A5363">
        <w:rPr>
          <w:color w:val="auto"/>
          <w:lang w:val="en-AU" w:eastAsia="en-GB"/>
        </w:rPr>
        <w:t>of Ecology and Environment Protection</w:t>
      </w:r>
      <w:r w:rsidR="00D21B4A">
        <w:rPr>
          <w:color w:val="auto"/>
          <w:lang w:val="en-AU" w:eastAsia="en-GB"/>
        </w:rPr>
        <w:t xml:space="preserve"> </w:t>
      </w:r>
      <w:r w:rsidR="00CF5F49">
        <w:rPr>
          <w:color w:val="auto"/>
          <w:lang w:val="en-AU" w:eastAsia="en-GB"/>
        </w:rPr>
        <w:t xml:space="preserve">in 2019, with </w:t>
      </w:r>
      <w:r w:rsidR="006B4022">
        <w:rPr>
          <w:color w:val="auto"/>
          <w:lang w:val="en-AU" w:eastAsia="en-GB"/>
        </w:rPr>
        <w:t>accompanying</w:t>
      </w:r>
      <w:r w:rsidR="00CF5F49">
        <w:rPr>
          <w:color w:val="auto"/>
          <w:lang w:val="en-AU" w:eastAsia="en-GB"/>
        </w:rPr>
        <w:t xml:space="preserve"> </w:t>
      </w:r>
      <w:r w:rsidR="00BE09E8">
        <w:rPr>
          <w:color w:val="auto"/>
          <w:lang w:val="en-AU" w:eastAsia="en-GB"/>
        </w:rPr>
        <w:t xml:space="preserve">training </w:t>
      </w:r>
      <w:r w:rsidR="006A1841">
        <w:rPr>
          <w:color w:val="auto"/>
          <w:lang w:val="en-AU" w:eastAsia="en-GB"/>
        </w:rPr>
        <w:t xml:space="preserve">in their use </w:t>
      </w:r>
      <w:r w:rsidR="006B4022">
        <w:rPr>
          <w:color w:val="auto"/>
          <w:lang w:val="en-AU" w:eastAsia="en-GB"/>
        </w:rPr>
        <w:t>for</w:t>
      </w:r>
      <w:r w:rsidR="00BE09E8">
        <w:rPr>
          <w:color w:val="auto"/>
          <w:lang w:val="en-AU" w:eastAsia="en-GB"/>
        </w:rPr>
        <w:t xml:space="preserve"> local </w:t>
      </w:r>
      <w:r w:rsidR="006B4022">
        <w:rPr>
          <w:color w:val="auto"/>
          <w:lang w:val="en-AU" w:eastAsia="en-GB"/>
        </w:rPr>
        <w:t>governments</w:t>
      </w:r>
      <w:r w:rsidR="00084EBB">
        <w:rPr>
          <w:color w:val="auto"/>
          <w:lang w:val="en-AU" w:eastAsia="en-GB"/>
        </w:rPr>
        <w:t xml:space="preserve"> </w:t>
      </w:r>
      <w:r w:rsidR="006B4022">
        <w:rPr>
          <w:color w:val="auto"/>
          <w:lang w:val="en-AU" w:eastAsia="en-GB"/>
        </w:rPr>
        <w:t>and law enforcemen</w:t>
      </w:r>
      <w:r w:rsidR="00067CE9">
        <w:rPr>
          <w:color w:val="auto"/>
          <w:lang w:val="en-AU" w:eastAsia="en-GB"/>
        </w:rPr>
        <w:t>t</w:t>
      </w:r>
      <w:r w:rsidR="00067CE9">
        <w:rPr>
          <w:rStyle w:val="FootnoteReference"/>
          <w:color w:val="auto"/>
          <w:lang w:val="en-AU" w:eastAsia="en-GB"/>
        </w:rPr>
        <w:footnoteReference w:id="113"/>
      </w:r>
      <w:r w:rsidR="006B4022">
        <w:rPr>
          <w:color w:val="auto"/>
          <w:lang w:val="en-AU" w:eastAsia="en-GB"/>
        </w:rPr>
        <w:t>.</w:t>
      </w:r>
      <w:r w:rsidR="00660146">
        <w:rPr>
          <w:color w:val="auto"/>
          <w:lang w:val="en-AU" w:eastAsia="en-GB"/>
        </w:rPr>
        <w:t xml:space="preserve"> </w:t>
      </w:r>
      <w:r w:rsidR="00660146" w:rsidRPr="00660146">
        <w:rPr>
          <w:color w:val="auto"/>
          <w:lang w:val="en-AU" w:eastAsia="en-GB"/>
        </w:rPr>
        <w:t>Several detection methods on ODS, including CFC-11 in gaseous</w:t>
      </w:r>
      <w:r w:rsidR="0050164E">
        <w:rPr>
          <w:color w:val="auto"/>
          <w:lang w:val="en-AU" w:eastAsia="en-GB"/>
        </w:rPr>
        <w:t xml:space="preserve"> and</w:t>
      </w:r>
      <w:r w:rsidR="00660146" w:rsidRPr="00660146">
        <w:rPr>
          <w:color w:val="auto"/>
          <w:lang w:val="en-AU" w:eastAsia="en-GB"/>
        </w:rPr>
        <w:t xml:space="preserve"> liquid refrigerants</w:t>
      </w:r>
      <w:r w:rsidR="0050164E">
        <w:rPr>
          <w:color w:val="auto"/>
          <w:lang w:val="en-AU" w:eastAsia="en-GB"/>
        </w:rPr>
        <w:t>,</w:t>
      </w:r>
      <w:r w:rsidR="00660146" w:rsidRPr="00660146">
        <w:rPr>
          <w:color w:val="auto"/>
          <w:lang w:val="en-AU" w:eastAsia="en-GB"/>
        </w:rPr>
        <w:t xml:space="preserve"> and </w:t>
      </w:r>
      <w:r w:rsidR="0050164E">
        <w:rPr>
          <w:color w:val="auto"/>
          <w:lang w:val="en-AU" w:eastAsia="en-GB"/>
        </w:rPr>
        <w:t xml:space="preserve">in </w:t>
      </w:r>
      <w:r w:rsidR="00660146" w:rsidRPr="00660146">
        <w:rPr>
          <w:color w:val="auto"/>
          <w:lang w:val="en-AU" w:eastAsia="en-GB"/>
        </w:rPr>
        <w:t>industrial cleaning agents</w:t>
      </w:r>
      <w:r w:rsidR="0050164E">
        <w:rPr>
          <w:color w:val="auto"/>
          <w:lang w:val="en-AU" w:eastAsia="en-GB"/>
        </w:rPr>
        <w:t>,</w:t>
      </w:r>
      <w:r w:rsidR="00660146" w:rsidRPr="00660146">
        <w:rPr>
          <w:color w:val="auto"/>
          <w:lang w:val="en-AU" w:eastAsia="en-GB"/>
        </w:rPr>
        <w:t xml:space="preserve"> will be issued in </w:t>
      </w:r>
      <w:r w:rsidR="00660146" w:rsidRPr="00660146">
        <w:rPr>
          <w:color w:val="auto"/>
          <w:lang w:val="en-AU" w:eastAsia="en-GB"/>
        </w:rPr>
        <w:lastRenderedPageBreak/>
        <w:t>2021 or 2022</w:t>
      </w:r>
      <w:r w:rsidR="00660146">
        <w:rPr>
          <w:color w:val="auto"/>
          <w:lang w:val="en-AU" w:eastAsia="en-GB"/>
        </w:rPr>
        <w:t xml:space="preserve"> in China</w:t>
      </w:r>
      <w:r w:rsidR="00660146" w:rsidRPr="00660146">
        <w:rPr>
          <w:color w:val="auto"/>
          <w:lang w:val="en-AU" w:eastAsia="en-GB"/>
        </w:rPr>
        <w:t>.</w:t>
      </w:r>
      <w:r w:rsidR="00270C29">
        <w:rPr>
          <w:color w:val="auto"/>
          <w:lang w:val="en-AU" w:eastAsia="en-GB"/>
        </w:rPr>
        <w:t xml:space="preserve"> </w:t>
      </w:r>
      <w:r w:rsidR="00660146" w:rsidRPr="00660146">
        <w:rPr>
          <w:color w:val="auto"/>
          <w:lang w:val="en-AU" w:eastAsia="en-GB"/>
        </w:rPr>
        <w:t xml:space="preserve">A technical guideline for monitoring ODS in chemical products for industrial use </w:t>
      </w:r>
      <w:r w:rsidR="00E7151A">
        <w:rPr>
          <w:color w:val="auto"/>
          <w:lang w:val="en-AU" w:eastAsia="en-GB"/>
        </w:rPr>
        <w:t>is</w:t>
      </w:r>
      <w:r w:rsidR="00660146" w:rsidRPr="00660146">
        <w:rPr>
          <w:color w:val="auto"/>
          <w:lang w:val="en-AU" w:eastAsia="en-GB"/>
        </w:rPr>
        <w:t xml:space="preserve"> also under development.</w:t>
      </w:r>
      <w:r w:rsidR="00084EBB">
        <w:rPr>
          <w:color w:val="auto"/>
          <w:lang w:val="en-AU" w:eastAsia="en-GB"/>
        </w:rPr>
        <w:t xml:space="preserve"> </w:t>
      </w:r>
    </w:p>
    <w:p w14:paraId="5C1D9F0D" w14:textId="7B5B2022" w:rsidR="00626446" w:rsidRDefault="004223F5" w:rsidP="00A01E99">
      <w:pPr>
        <w:rPr>
          <w:color w:val="auto"/>
          <w:lang w:val="en-AU" w:eastAsia="en-GB"/>
        </w:rPr>
      </w:pPr>
      <w:r>
        <w:rPr>
          <w:color w:val="auto"/>
          <w:lang w:val="en-AU" w:eastAsia="en-GB"/>
        </w:rPr>
        <w:t>I</w:t>
      </w:r>
      <w:r w:rsidRPr="00D601E3">
        <w:rPr>
          <w:color w:val="auto"/>
          <w:lang w:val="en-AU" w:eastAsia="en-GB"/>
        </w:rPr>
        <w:t xml:space="preserve">n </w:t>
      </w:r>
      <w:r>
        <w:rPr>
          <w:color w:val="auto"/>
          <w:lang w:val="en-AU" w:eastAsia="en-GB"/>
        </w:rPr>
        <w:t xml:space="preserve">early </w:t>
      </w:r>
      <w:r w:rsidRPr="00D601E3">
        <w:rPr>
          <w:color w:val="auto"/>
          <w:lang w:val="en-AU" w:eastAsia="en-GB"/>
        </w:rPr>
        <w:t xml:space="preserve">UNEP </w:t>
      </w:r>
      <w:proofErr w:type="spellStart"/>
      <w:r w:rsidRPr="00D601E3">
        <w:rPr>
          <w:color w:val="auto"/>
          <w:lang w:val="en-AU" w:eastAsia="en-GB"/>
        </w:rPr>
        <w:t>OzonAction’s</w:t>
      </w:r>
      <w:proofErr w:type="spellEnd"/>
      <w:r w:rsidRPr="00D601E3">
        <w:rPr>
          <w:color w:val="auto"/>
          <w:lang w:val="en-AU" w:eastAsia="en-GB"/>
        </w:rPr>
        <w:t xml:space="preserve"> customs training materials</w:t>
      </w:r>
      <w:r>
        <w:rPr>
          <w:color w:val="auto"/>
          <w:lang w:val="en-AU" w:eastAsia="en-GB"/>
        </w:rPr>
        <w:t>,</w:t>
      </w:r>
      <w:r w:rsidRPr="00D601E3">
        <w:rPr>
          <w:color w:val="auto"/>
          <w:lang w:val="en-AU" w:eastAsia="en-GB"/>
        </w:rPr>
        <w:t xml:space="preserve"> </w:t>
      </w:r>
      <w:r>
        <w:rPr>
          <w:color w:val="auto"/>
          <w:lang w:val="en-AU" w:eastAsia="en-GB"/>
        </w:rPr>
        <w:t>a</w:t>
      </w:r>
      <w:r w:rsidR="00626446" w:rsidRPr="00D601E3">
        <w:rPr>
          <w:color w:val="auto"/>
          <w:lang w:val="en-AU" w:eastAsia="en-GB"/>
        </w:rPr>
        <w:t xml:space="preserve"> </w:t>
      </w:r>
      <w:r w:rsidR="00626446">
        <w:rPr>
          <w:color w:val="auto"/>
          <w:lang w:val="en-AU" w:eastAsia="en-GB"/>
        </w:rPr>
        <w:t xml:space="preserve">detection </w:t>
      </w:r>
      <w:r w:rsidR="00626446" w:rsidRPr="00D601E3">
        <w:rPr>
          <w:color w:val="auto"/>
          <w:lang w:val="en-AU" w:eastAsia="en-GB"/>
        </w:rPr>
        <w:t xml:space="preserve">method </w:t>
      </w:r>
      <w:r w:rsidR="00206D3C">
        <w:rPr>
          <w:color w:val="auto"/>
          <w:lang w:val="en-AU" w:eastAsia="en-GB"/>
        </w:rPr>
        <w:t>was included</w:t>
      </w:r>
      <w:r w:rsidR="003D5F1B" w:rsidRPr="00D601E3">
        <w:rPr>
          <w:color w:val="auto"/>
          <w:lang w:val="en-AU" w:eastAsia="en-GB"/>
        </w:rPr>
        <w:t xml:space="preserve"> </w:t>
      </w:r>
      <w:r w:rsidR="003D5F1B">
        <w:rPr>
          <w:color w:val="auto"/>
          <w:lang w:val="en-AU" w:eastAsia="en-GB"/>
        </w:rPr>
        <w:t xml:space="preserve">previously </w:t>
      </w:r>
      <w:r w:rsidR="00626446" w:rsidRPr="00D601E3">
        <w:rPr>
          <w:color w:val="auto"/>
          <w:lang w:val="en-AU" w:eastAsia="en-GB"/>
        </w:rPr>
        <w:t xml:space="preserve">to </w:t>
      </w:r>
      <w:r w:rsidR="00626446">
        <w:rPr>
          <w:color w:val="auto"/>
          <w:lang w:val="en-AU" w:eastAsia="en-GB"/>
        </w:rPr>
        <w:t>identify</w:t>
      </w:r>
      <w:r w:rsidR="00626446" w:rsidRPr="00D601E3">
        <w:rPr>
          <w:color w:val="auto"/>
          <w:lang w:val="en-AU" w:eastAsia="en-GB"/>
        </w:rPr>
        <w:t xml:space="preserve"> ODS using temperature and pressure. </w:t>
      </w:r>
      <w:r w:rsidR="00626446">
        <w:rPr>
          <w:color w:val="auto"/>
          <w:lang w:val="en-AU" w:eastAsia="en-GB"/>
        </w:rPr>
        <w:t>D</w:t>
      </w:r>
      <w:r w:rsidR="00626446" w:rsidRPr="00D601E3">
        <w:rPr>
          <w:color w:val="auto"/>
          <w:lang w:val="en-AU" w:eastAsia="en-GB"/>
        </w:rPr>
        <w:t>ue to the multitude of mixtures available</w:t>
      </w:r>
      <w:r w:rsidR="00626446">
        <w:rPr>
          <w:color w:val="auto"/>
          <w:lang w:val="en-AU" w:eastAsia="en-GB"/>
        </w:rPr>
        <w:t>, t</w:t>
      </w:r>
      <w:r w:rsidR="00626446" w:rsidRPr="00D601E3">
        <w:rPr>
          <w:color w:val="auto"/>
          <w:lang w:val="en-AU" w:eastAsia="en-GB"/>
        </w:rPr>
        <w:t xml:space="preserve">his method is now rarely used. </w:t>
      </w:r>
      <w:r w:rsidR="00626446">
        <w:rPr>
          <w:color w:val="auto"/>
          <w:lang w:val="en-AU" w:eastAsia="en-GB"/>
        </w:rPr>
        <w:t xml:space="preserve">However, this </w:t>
      </w:r>
      <w:r w:rsidR="00626446" w:rsidRPr="00D601E3">
        <w:rPr>
          <w:color w:val="auto"/>
          <w:lang w:val="en-AU" w:eastAsia="en-GB"/>
        </w:rPr>
        <w:t xml:space="preserve">test is </w:t>
      </w:r>
      <w:r w:rsidR="00FD0EEB">
        <w:rPr>
          <w:color w:val="auto"/>
          <w:lang w:val="en-AU" w:eastAsia="en-GB"/>
        </w:rPr>
        <w:t xml:space="preserve">also </w:t>
      </w:r>
      <w:r w:rsidR="00626446" w:rsidRPr="00D601E3">
        <w:rPr>
          <w:color w:val="auto"/>
          <w:lang w:val="en-AU" w:eastAsia="en-GB"/>
        </w:rPr>
        <w:t xml:space="preserve">not </w:t>
      </w:r>
      <w:r w:rsidR="00965068">
        <w:rPr>
          <w:color w:val="auto"/>
          <w:lang w:val="en-AU" w:eastAsia="en-GB"/>
        </w:rPr>
        <w:t>feasible</w:t>
      </w:r>
      <w:r w:rsidR="00626446" w:rsidRPr="00D601E3">
        <w:rPr>
          <w:color w:val="auto"/>
          <w:lang w:val="en-AU" w:eastAsia="en-GB"/>
        </w:rPr>
        <w:t xml:space="preserve"> </w:t>
      </w:r>
      <w:r w:rsidR="00626446">
        <w:rPr>
          <w:color w:val="auto"/>
          <w:lang w:val="en-AU" w:eastAsia="en-GB"/>
        </w:rPr>
        <w:t>for</w:t>
      </w:r>
      <w:r w:rsidR="00626446" w:rsidRPr="00D601E3">
        <w:rPr>
          <w:color w:val="auto"/>
          <w:lang w:val="en-AU" w:eastAsia="en-GB"/>
        </w:rPr>
        <w:t xml:space="preserve"> CFC-11 </w:t>
      </w:r>
      <w:r w:rsidR="00626446">
        <w:rPr>
          <w:color w:val="auto"/>
          <w:lang w:val="en-AU" w:eastAsia="en-GB"/>
        </w:rPr>
        <w:t xml:space="preserve">because it </w:t>
      </w:r>
      <w:r w:rsidR="00626446" w:rsidRPr="00D601E3">
        <w:rPr>
          <w:color w:val="auto"/>
          <w:lang w:val="en-AU" w:eastAsia="en-GB"/>
        </w:rPr>
        <w:t>is a liquid at room temperature.</w:t>
      </w:r>
    </w:p>
    <w:p w14:paraId="02259BC8" w14:textId="334A7A7C" w:rsidR="00DA1C02" w:rsidRDefault="00DA1C02" w:rsidP="00A01E99">
      <w:pPr>
        <w:rPr>
          <w:color w:val="auto"/>
          <w:lang w:val="en-AU" w:eastAsia="en-GB"/>
        </w:rPr>
      </w:pPr>
      <w:r>
        <w:rPr>
          <w:color w:val="auto"/>
          <w:lang w:val="en-AU" w:eastAsia="en-GB"/>
        </w:rPr>
        <w:t>Parties may wish to consider</w:t>
      </w:r>
      <w:r w:rsidR="00EA70D6">
        <w:rPr>
          <w:color w:val="auto"/>
          <w:lang w:val="en-AU" w:eastAsia="en-GB"/>
        </w:rPr>
        <w:t xml:space="preserve"> reviewing their </w:t>
      </w:r>
      <w:r w:rsidR="00CD0801">
        <w:rPr>
          <w:color w:val="auto"/>
          <w:lang w:val="en-AU" w:eastAsia="en-GB"/>
        </w:rPr>
        <w:t>enforcement programs</w:t>
      </w:r>
      <w:r w:rsidR="00565353">
        <w:rPr>
          <w:color w:val="auto"/>
          <w:lang w:val="en-AU" w:eastAsia="en-GB"/>
        </w:rPr>
        <w:t xml:space="preserve"> and associated training to ensure that </w:t>
      </w:r>
      <w:r w:rsidR="00CC46B8">
        <w:rPr>
          <w:color w:val="auto"/>
          <w:lang w:val="en-AU" w:eastAsia="en-GB"/>
        </w:rPr>
        <w:t xml:space="preserve">opportunities to detect CFC-11 (or any controlled substance) are not </w:t>
      </w:r>
      <w:r w:rsidR="00590289">
        <w:rPr>
          <w:color w:val="auto"/>
          <w:lang w:val="en-AU" w:eastAsia="en-GB"/>
        </w:rPr>
        <w:t xml:space="preserve">being </w:t>
      </w:r>
      <w:r w:rsidR="00E23044">
        <w:rPr>
          <w:color w:val="auto"/>
          <w:lang w:val="en-AU" w:eastAsia="en-GB"/>
        </w:rPr>
        <w:t>overlooked</w:t>
      </w:r>
      <w:r w:rsidR="00590289">
        <w:rPr>
          <w:color w:val="auto"/>
          <w:lang w:val="en-AU" w:eastAsia="en-GB"/>
        </w:rPr>
        <w:t xml:space="preserve"> </w:t>
      </w:r>
      <w:r w:rsidR="000726F8">
        <w:rPr>
          <w:color w:val="auto"/>
          <w:lang w:val="en-AU" w:eastAsia="en-GB"/>
        </w:rPr>
        <w:t xml:space="preserve">through a lack of </w:t>
      </w:r>
      <w:r w:rsidR="00766928">
        <w:rPr>
          <w:color w:val="auto"/>
          <w:lang w:val="en-AU" w:eastAsia="en-GB"/>
        </w:rPr>
        <w:t xml:space="preserve">technical </w:t>
      </w:r>
      <w:r w:rsidR="000726F8">
        <w:rPr>
          <w:color w:val="auto"/>
          <w:lang w:val="en-AU" w:eastAsia="en-GB"/>
        </w:rPr>
        <w:t xml:space="preserve">awareness about </w:t>
      </w:r>
      <w:r w:rsidR="00726E93">
        <w:rPr>
          <w:color w:val="auto"/>
          <w:lang w:val="en-AU" w:eastAsia="en-GB"/>
        </w:rPr>
        <w:t xml:space="preserve">sampling and </w:t>
      </w:r>
      <w:r w:rsidR="00CE2A65">
        <w:rPr>
          <w:color w:val="auto"/>
          <w:lang w:val="en-AU" w:eastAsia="en-GB"/>
        </w:rPr>
        <w:t>detection</w:t>
      </w:r>
      <w:r w:rsidR="000726F8">
        <w:rPr>
          <w:color w:val="auto"/>
          <w:lang w:val="en-AU" w:eastAsia="en-GB"/>
        </w:rPr>
        <w:t xml:space="preserve"> methods.</w:t>
      </w:r>
    </w:p>
    <w:p w14:paraId="4E29FE78" w14:textId="48F2EF70" w:rsidR="00C26041" w:rsidRPr="00C26041" w:rsidRDefault="000C60D6" w:rsidP="00751ECE">
      <w:pPr>
        <w:pStyle w:val="Heading3"/>
      </w:pPr>
      <w:bookmarkStart w:id="180" w:name="_Toc73045637"/>
      <w:r>
        <w:t>5.4.2</w:t>
      </w:r>
      <w:r>
        <w:tab/>
      </w:r>
      <w:r w:rsidR="00C26041" w:rsidRPr="00C26041">
        <w:t xml:space="preserve">Detection of </w:t>
      </w:r>
      <w:r w:rsidR="00F77D4B">
        <w:t xml:space="preserve">illicit </w:t>
      </w:r>
      <w:r w:rsidR="00C26041" w:rsidRPr="00C26041">
        <w:t>international trade in CFC-11</w:t>
      </w:r>
      <w:r w:rsidR="003400A8">
        <w:t xml:space="preserve"> </w:t>
      </w:r>
      <w:r w:rsidR="005E71F9">
        <w:t xml:space="preserve">and CFC-11 </w:t>
      </w:r>
      <w:r w:rsidR="00B15EF9">
        <w:t xml:space="preserve">containing </w:t>
      </w:r>
      <w:r w:rsidR="003400A8">
        <w:t>products</w:t>
      </w:r>
      <w:bookmarkEnd w:id="180"/>
    </w:p>
    <w:p w14:paraId="0DED8086" w14:textId="2AD86D4A" w:rsidR="007823D6" w:rsidRPr="007B50FC" w:rsidRDefault="00234259" w:rsidP="00CD4E59">
      <w:pPr>
        <w:rPr>
          <w:color w:val="auto"/>
          <w:lang w:val="en-AU" w:eastAsia="en-GB"/>
        </w:rPr>
      </w:pPr>
      <w:r>
        <w:rPr>
          <w:color w:val="auto"/>
          <w:lang w:val="en-AU" w:eastAsia="en-GB"/>
        </w:rPr>
        <w:t xml:space="preserve">The 2019 Task Force </w:t>
      </w:r>
      <w:r w:rsidR="00A50106">
        <w:rPr>
          <w:color w:val="auto"/>
          <w:lang w:val="en-AU" w:eastAsia="en-GB"/>
        </w:rPr>
        <w:t>Report</w:t>
      </w:r>
      <w:r w:rsidR="00820EF9">
        <w:rPr>
          <w:color w:val="auto"/>
          <w:lang w:val="en-AU" w:eastAsia="en-GB"/>
        </w:rPr>
        <w:t xml:space="preserve"> summarised </w:t>
      </w:r>
      <w:r w:rsidR="00DD2C71">
        <w:rPr>
          <w:color w:val="auto"/>
          <w:lang w:val="en-AU" w:eastAsia="en-GB"/>
        </w:rPr>
        <w:t xml:space="preserve">the methods that </w:t>
      </w:r>
      <w:r w:rsidR="004D6CF8">
        <w:rPr>
          <w:color w:val="auto"/>
          <w:lang w:val="en-AU" w:eastAsia="en-GB"/>
        </w:rPr>
        <w:t>could</w:t>
      </w:r>
      <w:r w:rsidR="003B5CAB">
        <w:rPr>
          <w:color w:val="auto"/>
          <w:lang w:val="en-AU" w:eastAsia="en-GB"/>
        </w:rPr>
        <w:t xml:space="preserve"> be used</w:t>
      </w:r>
      <w:r w:rsidR="00DD2C71">
        <w:rPr>
          <w:color w:val="auto"/>
          <w:lang w:val="en-AU" w:eastAsia="en-GB"/>
        </w:rPr>
        <w:t xml:space="preserve"> for </w:t>
      </w:r>
      <w:r w:rsidR="00DB176D">
        <w:rPr>
          <w:color w:val="auto"/>
          <w:lang w:val="en-AU" w:eastAsia="en-GB"/>
        </w:rPr>
        <w:t xml:space="preserve">potential </w:t>
      </w:r>
      <w:r w:rsidR="003B5CAB">
        <w:rPr>
          <w:color w:val="auto"/>
          <w:lang w:val="en-AU" w:eastAsia="en-GB"/>
        </w:rPr>
        <w:t>illicit international trade in CFC-11</w:t>
      </w:r>
      <w:r w:rsidR="0042261C">
        <w:rPr>
          <w:color w:val="auto"/>
          <w:lang w:val="en-AU" w:eastAsia="en-GB"/>
        </w:rPr>
        <w:t>.</w:t>
      </w:r>
      <w:r w:rsidR="00A566DB">
        <w:rPr>
          <w:color w:val="auto"/>
          <w:lang w:val="en-AU" w:eastAsia="en-GB"/>
        </w:rPr>
        <w:t xml:space="preserve"> I</w:t>
      </w:r>
      <w:r w:rsidR="00DF3228" w:rsidRPr="00DF3228">
        <w:rPr>
          <w:color w:val="auto"/>
          <w:lang w:val="en-AU" w:eastAsia="en-GB"/>
        </w:rPr>
        <w:t xml:space="preserve">llegal shipments would </w:t>
      </w:r>
      <w:r w:rsidR="009C22CB">
        <w:rPr>
          <w:color w:val="auto"/>
          <w:lang w:val="en-AU" w:eastAsia="en-GB"/>
        </w:rPr>
        <w:t>most</w:t>
      </w:r>
      <w:r w:rsidR="00DF3228" w:rsidRPr="00DF3228">
        <w:rPr>
          <w:color w:val="auto"/>
          <w:lang w:val="en-AU" w:eastAsia="en-GB"/>
        </w:rPr>
        <w:t xml:space="preserve"> likely use smuggling method</w:t>
      </w:r>
      <w:r w:rsidR="000C60D6">
        <w:rPr>
          <w:color w:val="auto"/>
          <w:lang w:val="en-AU" w:eastAsia="en-GB"/>
        </w:rPr>
        <w:t>s</w:t>
      </w:r>
      <w:r w:rsidR="00DF3228" w:rsidRPr="00DF3228">
        <w:rPr>
          <w:color w:val="auto"/>
          <w:lang w:val="en-AU" w:eastAsia="en-GB"/>
        </w:rPr>
        <w:t xml:space="preserve"> such as concealment, mis-declaration, or false labelling. </w:t>
      </w:r>
      <w:r w:rsidR="00ED3754">
        <w:rPr>
          <w:color w:val="auto"/>
          <w:lang w:val="en-AU" w:eastAsia="en-GB"/>
        </w:rPr>
        <w:t>F</w:t>
      </w:r>
      <w:r w:rsidR="00DF3228" w:rsidRPr="00DF3228">
        <w:rPr>
          <w:color w:val="auto"/>
          <w:lang w:val="en-AU" w:eastAsia="en-GB"/>
        </w:rPr>
        <w:t xml:space="preserve">alse labelling could potentially be a plausible smuggling method, but would require illicit export and import, and absence of detection to maintain significant flows. </w:t>
      </w:r>
      <w:r w:rsidR="00D0441C">
        <w:rPr>
          <w:color w:val="auto"/>
          <w:lang w:val="en-AU" w:eastAsia="en-GB"/>
        </w:rPr>
        <w:t>E</w:t>
      </w:r>
      <w:r w:rsidR="00B06EFA">
        <w:rPr>
          <w:color w:val="auto"/>
          <w:lang w:val="en-AU" w:eastAsia="en-GB"/>
        </w:rPr>
        <w:t xml:space="preserve">nforcement programs and training </w:t>
      </w:r>
      <w:r w:rsidR="008E3FE7">
        <w:rPr>
          <w:color w:val="auto"/>
          <w:lang w:val="en-AU" w:eastAsia="en-GB"/>
        </w:rPr>
        <w:t>are designed</w:t>
      </w:r>
      <w:r w:rsidR="00B06EFA">
        <w:rPr>
          <w:color w:val="auto"/>
          <w:lang w:val="en-AU" w:eastAsia="en-GB"/>
        </w:rPr>
        <w:t xml:space="preserve"> </w:t>
      </w:r>
      <w:r w:rsidR="008E3FE7">
        <w:rPr>
          <w:color w:val="auto"/>
          <w:lang w:val="en-AU" w:eastAsia="en-GB"/>
        </w:rPr>
        <w:t>to detect</w:t>
      </w:r>
      <w:r w:rsidR="00D0441C">
        <w:rPr>
          <w:color w:val="auto"/>
          <w:lang w:val="en-AU" w:eastAsia="en-GB"/>
        </w:rPr>
        <w:t xml:space="preserve"> illicit trade in ODS and HF</w:t>
      </w:r>
      <w:r w:rsidR="00164C03">
        <w:rPr>
          <w:color w:val="auto"/>
          <w:lang w:val="en-AU" w:eastAsia="en-GB"/>
        </w:rPr>
        <w:t>C, including false labelling</w:t>
      </w:r>
      <w:r w:rsidR="00A36038">
        <w:rPr>
          <w:color w:val="auto"/>
          <w:lang w:val="en-AU" w:eastAsia="en-GB"/>
        </w:rPr>
        <w:t>.</w:t>
      </w:r>
      <w:r w:rsidR="007B50FC">
        <w:rPr>
          <w:color w:val="auto"/>
          <w:lang w:val="en-AU" w:eastAsia="en-GB"/>
        </w:rPr>
        <w:t xml:space="preserve"> </w:t>
      </w:r>
      <w:r w:rsidR="00E268C5">
        <w:rPr>
          <w:lang w:val="en-AU" w:eastAsia="en-GB"/>
        </w:rPr>
        <w:t>Pre-blended</w:t>
      </w:r>
      <w:r w:rsidR="00E6674F" w:rsidRPr="002064BC">
        <w:rPr>
          <w:lang w:val="en-AU" w:eastAsia="en-GB"/>
        </w:rPr>
        <w:t xml:space="preserve"> </w:t>
      </w:r>
      <w:r w:rsidR="00E6674F">
        <w:rPr>
          <w:lang w:val="en-AU" w:eastAsia="en-GB"/>
        </w:rPr>
        <w:t>polyol</w:t>
      </w:r>
      <w:r w:rsidR="00E268C5">
        <w:rPr>
          <w:lang w:val="en-AU" w:eastAsia="en-GB"/>
        </w:rPr>
        <w:t>s</w:t>
      </w:r>
      <w:r w:rsidR="00E6674F">
        <w:rPr>
          <w:lang w:val="en-AU" w:eastAsia="en-GB"/>
        </w:rPr>
        <w:t xml:space="preserve"> </w:t>
      </w:r>
      <w:r w:rsidR="00E6674F" w:rsidRPr="002064BC">
        <w:rPr>
          <w:lang w:val="en-AU" w:eastAsia="en-GB"/>
        </w:rPr>
        <w:t>could be mislabelled and used by a recipient without</w:t>
      </w:r>
      <w:r w:rsidR="00E6674F">
        <w:rPr>
          <w:lang w:val="en-AU" w:eastAsia="en-GB"/>
        </w:rPr>
        <w:t xml:space="preserve"> </w:t>
      </w:r>
      <w:r w:rsidR="00E6674F" w:rsidRPr="002064BC">
        <w:rPr>
          <w:lang w:val="en-AU" w:eastAsia="en-GB"/>
        </w:rPr>
        <w:t>knowledge of the</w:t>
      </w:r>
      <w:r w:rsidR="00E6674F">
        <w:rPr>
          <w:lang w:val="en-AU" w:eastAsia="en-GB"/>
        </w:rPr>
        <w:t xml:space="preserve"> </w:t>
      </w:r>
      <w:r w:rsidR="00E6674F" w:rsidRPr="002064BC">
        <w:rPr>
          <w:lang w:val="en-AU" w:eastAsia="en-GB"/>
        </w:rPr>
        <w:t>actual</w:t>
      </w:r>
      <w:r w:rsidR="00E6674F">
        <w:rPr>
          <w:lang w:val="en-AU" w:eastAsia="en-GB"/>
        </w:rPr>
        <w:t xml:space="preserve"> </w:t>
      </w:r>
      <w:r w:rsidR="00E6674F" w:rsidRPr="002064BC">
        <w:rPr>
          <w:lang w:val="en-AU" w:eastAsia="en-GB"/>
        </w:rPr>
        <w:t>blowing agent</w:t>
      </w:r>
      <w:r w:rsidR="00E6674F">
        <w:rPr>
          <w:lang w:val="en-AU" w:eastAsia="en-GB"/>
        </w:rPr>
        <w:t xml:space="preserve"> </w:t>
      </w:r>
      <w:r w:rsidR="00E6674F" w:rsidRPr="002064BC">
        <w:rPr>
          <w:lang w:val="en-AU" w:eastAsia="en-GB"/>
        </w:rPr>
        <w:t xml:space="preserve">in the </w:t>
      </w:r>
      <w:r w:rsidR="00771477">
        <w:rPr>
          <w:lang w:val="en-AU" w:eastAsia="en-GB"/>
        </w:rPr>
        <w:t xml:space="preserve">foam </w:t>
      </w:r>
      <w:r w:rsidR="00E6674F" w:rsidRPr="002064BC">
        <w:rPr>
          <w:lang w:val="en-AU" w:eastAsia="en-GB"/>
        </w:rPr>
        <w:t>system.</w:t>
      </w:r>
      <w:r w:rsidR="00E6674F">
        <w:rPr>
          <w:lang w:val="en-AU" w:eastAsia="en-GB"/>
        </w:rPr>
        <w:t xml:space="preserve"> </w:t>
      </w:r>
      <w:r w:rsidR="00E6674F" w:rsidRPr="002064BC">
        <w:rPr>
          <w:lang w:val="en-AU" w:eastAsia="en-GB"/>
        </w:rPr>
        <w:t>As an indicator</w:t>
      </w:r>
      <w:r w:rsidR="00E6674F">
        <w:rPr>
          <w:lang w:val="en-AU" w:eastAsia="en-GB"/>
        </w:rPr>
        <w:t xml:space="preserve"> </w:t>
      </w:r>
      <w:r w:rsidR="00E6674F" w:rsidRPr="002064BC">
        <w:rPr>
          <w:lang w:val="en-AU" w:eastAsia="en-GB"/>
        </w:rPr>
        <w:t>of</w:t>
      </w:r>
      <w:r w:rsidR="00E6674F">
        <w:rPr>
          <w:lang w:val="en-AU" w:eastAsia="en-GB"/>
        </w:rPr>
        <w:t xml:space="preserve"> </w:t>
      </w:r>
      <w:r w:rsidR="00E6674F" w:rsidRPr="002064BC">
        <w:rPr>
          <w:lang w:val="en-AU" w:eastAsia="en-GB"/>
        </w:rPr>
        <w:t>market</w:t>
      </w:r>
      <w:r w:rsidR="00E6674F">
        <w:rPr>
          <w:lang w:val="en-AU" w:eastAsia="en-GB"/>
        </w:rPr>
        <w:t xml:space="preserve"> </w:t>
      </w:r>
      <w:r w:rsidR="00E6674F" w:rsidRPr="002064BC">
        <w:rPr>
          <w:lang w:val="en-AU" w:eastAsia="en-GB"/>
        </w:rPr>
        <w:t>scale,</w:t>
      </w:r>
      <w:r w:rsidR="00E6674F">
        <w:rPr>
          <w:lang w:val="en-AU" w:eastAsia="en-GB"/>
        </w:rPr>
        <w:t xml:space="preserve"> </w:t>
      </w:r>
      <w:r w:rsidR="00E6674F" w:rsidRPr="002064BC">
        <w:rPr>
          <w:lang w:val="en-AU" w:eastAsia="en-GB"/>
        </w:rPr>
        <w:t>Multilateral Fund Secretariat (MLFS)</w:t>
      </w:r>
      <w:r w:rsidR="00E6674F">
        <w:rPr>
          <w:lang w:val="en-AU" w:eastAsia="en-GB"/>
        </w:rPr>
        <w:t xml:space="preserve"> </w:t>
      </w:r>
      <w:r w:rsidR="00E6674F" w:rsidRPr="002064BC">
        <w:rPr>
          <w:lang w:val="en-AU" w:eastAsia="en-GB"/>
        </w:rPr>
        <w:t>data from both Article 5 and</w:t>
      </w:r>
      <w:r w:rsidR="00E6674F">
        <w:rPr>
          <w:lang w:val="en-AU" w:eastAsia="en-GB"/>
        </w:rPr>
        <w:t xml:space="preserve"> </w:t>
      </w:r>
      <w:r w:rsidR="00E6674F" w:rsidRPr="002064BC">
        <w:rPr>
          <w:lang w:val="en-AU" w:eastAsia="en-GB"/>
        </w:rPr>
        <w:t>non-Article 5 parties</w:t>
      </w:r>
      <w:r w:rsidR="00E6674F">
        <w:rPr>
          <w:lang w:val="en-AU" w:eastAsia="en-GB"/>
        </w:rPr>
        <w:t xml:space="preserve"> </w:t>
      </w:r>
      <w:r w:rsidR="00E6674F" w:rsidRPr="002064BC">
        <w:rPr>
          <w:lang w:val="en-AU" w:eastAsia="en-GB"/>
        </w:rPr>
        <w:t>indicate</w:t>
      </w:r>
      <w:r w:rsidR="00E6674F">
        <w:rPr>
          <w:lang w:val="en-AU" w:eastAsia="en-GB"/>
        </w:rPr>
        <w:t xml:space="preserve"> t</w:t>
      </w:r>
      <w:r w:rsidR="00E6674F" w:rsidRPr="002064BC">
        <w:rPr>
          <w:lang w:val="en-AU" w:eastAsia="en-GB"/>
        </w:rPr>
        <w:t>hat up to 7,500 tonnes</w:t>
      </w:r>
      <w:r w:rsidR="00E6674F">
        <w:rPr>
          <w:lang w:val="en-AU" w:eastAsia="en-GB"/>
        </w:rPr>
        <w:t xml:space="preserve"> </w:t>
      </w:r>
      <w:r w:rsidR="00E6674F" w:rsidRPr="002064BC">
        <w:rPr>
          <w:lang w:val="en-AU" w:eastAsia="en-GB"/>
        </w:rPr>
        <w:t>per year</w:t>
      </w:r>
      <w:r w:rsidR="00E6674F">
        <w:rPr>
          <w:lang w:val="en-AU" w:eastAsia="en-GB"/>
        </w:rPr>
        <w:t xml:space="preserve"> </w:t>
      </w:r>
      <w:r w:rsidR="00E6674F" w:rsidRPr="002064BC">
        <w:rPr>
          <w:lang w:val="en-AU" w:eastAsia="en-GB"/>
        </w:rPr>
        <w:t>fluorocarbon</w:t>
      </w:r>
      <w:r w:rsidR="00E6674F">
        <w:rPr>
          <w:lang w:val="en-AU" w:eastAsia="en-GB"/>
        </w:rPr>
        <w:t xml:space="preserve"> </w:t>
      </w:r>
      <w:r w:rsidR="00E6674F" w:rsidRPr="002064BC">
        <w:rPr>
          <w:lang w:val="en-AU" w:eastAsia="en-GB"/>
        </w:rPr>
        <w:t xml:space="preserve">blowing agent </w:t>
      </w:r>
      <w:r w:rsidR="00771477">
        <w:rPr>
          <w:lang w:val="en-AU" w:eastAsia="en-GB"/>
        </w:rPr>
        <w:t>was</w:t>
      </w:r>
      <w:r w:rsidR="00E6674F" w:rsidRPr="002064BC">
        <w:rPr>
          <w:lang w:val="en-AU" w:eastAsia="en-GB"/>
        </w:rPr>
        <w:t xml:space="preserve"> reported as </w:t>
      </w:r>
      <w:r w:rsidR="00771477">
        <w:rPr>
          <w:lang w:val="en-AU" w:eastAsia="en-GB"/>
        </w:rPr>
        <w:t xml:space="preserve">being </w:t>
      </w:r>
      <w:r w:rsidR="00E6674F" w:rsidRPr="002064BC">
        <w:rPr>
          <w:lang w:val="en-AU" w:eastAsia="en-GB"/>
        </w:rPr>
        <w:t>incorporated into foam systems and/or</w:t>
      </w:r>
      <w:r w:rsidR="00E6674F">
        <w:rPr>
          <w:lang w:val="en-AU" w:eastAsia="en-GB"/>
        </w:rPr>
        <w:t xml:space="preserve"> </w:t>
      </w:r>
      <w:r w:rsidR="00E6674F" w:rsidRPr="002064BC">
        <w:rPr>
          <w:lang w:val="en-AU" w:eastAsia="en-GB"/>
        </w:rPr>
        <w:t>imported by various parties.</w:t>
      </w:r>
      <w:r w:rsidR="00B337A8">
        <w:rPr>
          <w:lang w:val="en-AU" w:eastAsia="en-GB"/>
        </w:rPr>
        <w:t xml:space="preserve"> </w:t>
      </w:r>
    </w:p>
    <w:p w14:paraId="7B7AADC9" w14:textId="6913D5B0" w:rsidR="00207B4A" w:rsidRDefault="00144902" w:rsidP="00E268C5">
      <w:pPr>
        <w:rPr>
          <w:lang w:val="en-AU" w:eastAsia="en-GB"/>
        </w:rPr>
      </w:pPr>
      <w:r>
        <w:rPr>
          <w:lang w:val="en-AU" w:eastAsia="en-GB"/>
        </w:rPr>
        <w:t xml:space="preserve">The Task Force consulted with the Secretariat </w:t>
      </w:r>
      <w:r w:rsidR="00B92E1B">
        <w:rPr>
          <w:lang w:val="en-AU" w:eastAsia="en-GB"/>
        </w:rPr>
        <w:t xml:space="preserve">of the Multilateral Fund </w:t>
      </w:r>
      <w:r w:rsidR="00184972">
        <w:rPr>
          <w:lang w:val="en-AU" w:eastAsia="en-GB"/>
        </w:rPr>
        <w:t xml:space="preserve">regarding programs </w:t>
      </w:r>
      <w:r w:rsidR="00251706">
        <w:rPr>
          <w:lang w:val="en-AU" w:eastAsia="en-GB"/>
        </w:rPr>
        <w:t xml:space="preserve">supported by the Fund </w:t>
      </w:r>
      <w:r w:rsidR="009F306C">
        <w:rPr>
          <w:lang w:val="en-AU" w:eastAsia="en-GB"/>
        </w:rPr>
        <w:t xml:space="preserve">in </w:t>
      </w:r>
      <w:r w:rsidR="008F1526">
        <w:rPr>
          <w:lang w:val="en-AU" w:eastAsia="en-GB"/>
        </w:rPr>
        <w:t>Article 5 parties</w:t>
      </w:r>
      <w:r w:rsidR="009F306C">
        <w:rPr>
          <w:lang w:val="en-AU" w:eastAsia="en-GB"/>
        </w:rPr>
        <w:t xml:space="preserve"> </w:t>
      </w:r>
      <w:r w:rsidR="007B0E53">
        <w:rPr>
          <w:lang w:val="en-AU" w:eastAsia="en-GB"/>
        </w:rPr>
        <w:t>t</w:t>
      </w:r>
      <w:r w:rsidR="00017D4D">
        <w:rPr>
          <w:lang w:val="en-AU" w:eastAsia="en-GB"/>
        </w:rPr>
        <w:t>hat</w:t>
      </w:r>
      <w:r w:rsidR="007B0E53">
        <w:rPr>
          <w:lang w:val="en-AU" w:eastAsia="en-GB"/>
        </w:rPr>
        <w:t xml:space="preserve"> </w:t>
      </w:r>
      <w:r w:rsidR="003779DF">
        <w:rPr>
          <w:lang w:val="en-AU" w:eastAsia="en-GB"/>
        </w:rPr>
        <w:t xml:space="preserve">assist in the </w:t>
      </w:r>
      <w:r w:rsidR="007B0E53">
        <w:rPr>
          <w:lang w:val="en-AU" w:eastAsia="en-GB"/>
        </w:rPr>
        <w:t>detect</w:t>
      </w:r>
      <w:r w:rsidR="003779DF">
        <w:rPr>
          <w:lang w:val="en-AU" w:eastAsia="en-GB"/>
        </w:rPr>
        <w:t>ion of</w:t>
      </w:r>
      <w:r w:rsidR="007B0E53">
        <w:rPr>
          <w:lang w:val="en-AU" w:eastAsia="en-GB"/>
        </w:rPr>
        <w:t xml:space="preserve"> </w:t>
      </w:r>
      <w:r w:rsidR="0072494E">
        <w:rPr>
          <w:lang w:val="en-AU" w:eastAsia="en-GB"/>
        </w:rPr>
        <w:t xml:space="preserve">illegal </w:t>
      </w:r>
      <w:r w:rsidR="00251706">
        <w:rPr>
          <w:lang w:val="en-AU" w:eastAsia="en-GB"/>
        </w:rPr>
        <w:t xml:space="preserve">trade in </w:t>
      </w:r>
      <w:r w:rsidR="007B0E53">
        <w:rPr>
          <w:lang w:val="en-AU" w:eastAsia="en-GB"/>
        </w:rPr>
        <w:t>CFC-11.</w:t>
      </w:r>
      <w:r w:rsidR="003D6E84">
        <w:rPr>
          <w:lang w:val="en-AU" w:eastAsia="en-GB"/>
        </w:rPr>
        <w:t xml:space="preserve"> </w:t>
      </w:r>
      <w:r w:rsidR="00207B4A" w:rsidRPr="00371CFD">
        <w:rPr>
          <w:lang w:val="en-AU" w:eastAsia="en-GB"/>
        </w:rPr>
        <w:t xml:space="preserve">Following the phase-out of CFCs, the Multilateral Fund has supported activities to strengthen Article 5 </w:t>
      </w:r>
      <w:r w:rsidR="00C7346D" w:rsidRPr="00371CFD">
        <w:rPr>
          <w:lang w:val="en-AU" w:eastAsia="en-GB"/>
        </w:rPr>
        <w:t>parties’</w:t>
      </w:r>
      <w:r w:rsidR="00207B4A" w:rsidRPr="00371CFD">
        <w:rPr>
          <w:lang w:val="en-AU" w:eastAsia="en-GB"/>
        </w:rPr>
        <w:t xml:space="preserve"> import</w:t>
      </w:r>
      <w:r w:rsidR="00C7346D" w:rsidRPr="00371CFD">
        <w:rPr>
          <w:lang w:val="en-AU" w:eastAsia="en-GB"/>
        </w:rPr>
        <w:t xml:space="preserve"> and </w:t>
      </w:r>
      <w:r w:rsidR="00207B4A" w:rsidRPr="00371CFD">
        <w:rPr>
          <w:lang w:val="en-AU" w:eastAsia="en-GB"/>
        </w:rPr>
        <w:t>export licensing and quota systems for controlled substances</w:t>
      </w:r>
      <w:r w:rsidR="00C7346D" w:rsidRPr="00371CFD">
        <w:rPr>
          <w:lang w:val="en-AU" w:eastAsia="en-GB"/>
        </w:rPr>
        <w:t>,</w:t>
      </w:r>
      <w:r w:rsidR="00207B4A" w:rsidRPr="00371CFD">
        <w:rPr>
          <w:lang w:val="en-AU" w:eastAsia="en-GB"/>
        </w:rPr>
        <w:t xml:space="preserve"> including those contained in pre-blended polyols</w:t>
      </w:r>
      <w:r w:rsidR="005A1F04" w:rsidRPr="00371CFD">
        <w:rPr>
          <w:lang w:val="en-AU" w:eastAsia="en-GB"/>
        </w:rPr>
        <w:t>. T</w:t>
      </w:r>
      <w:r w:rsidR="00207B4A" w:rsidRPr="00371CFD">
        <w:rPr>
          <w:lang w:val="en-AU" w:eastAsia="en-GB"/>
        </w:rPr>
        <w:t>his support has been provided through</w:t>
      </w:r>
      <w:r w:rsidR="006C6AD4" w:rsidRPr="00371CFD">
        <w:rPr>
          <w:lang w:val="en-AU" w:eastAsia="en-GB"/>
        </w:rPr>
        <w:t>,</w:t>
      </w:r>
      <w:r w:rsidR="00207B4A" w:rsidRPr="00371CFD">
        <w:rPr>
          <w:lang w:val="en-AU" w:eastAsia="en-GB"/>
        </w:rPr>
        <w:t xml:space="preserve"> </w:t>
      </w:r>
      <w:r w:rsidR="00207B4A" w:rsidRPr="00371CFD">
        <w:rPr>
          <w:i/>
          <w:iCs/>
          <w:lang w:val="en-AU" w:eastAsia="en-GB"/>
        </w:rPr>
        <w:t>inter alia</w:t>
      </w:r>
      <w:r w:rsidR="006C6AD4" w:rsidRPr="00371CFD">
        <w:rPr>
          <w:lang w:val="en-AU" w:eastAsia="en-GB"/>
        </w:rPr>
        <w:t>,</w:t>
      </w:r>
      <w:r w:rsidR="00207B4A" w:rsidRPr="00371CFD">
        <w:rPr>
          <w:lang w:val="en-AU" w:eastAsia="en-GB"/>
        </w:rPr>
        <w:t xml:space="preserve"> institutional strengthening, UNEP Compliance Assistance Programme, and specific activities included in HCFC phase-out management plans. The Multilateral Fund has not supported activities to detect CFC-11 contained in insulation foam in appliances (e.g., domestic and commercial refrigerators)</w:t>
      </w:r>
      <w:r w:rsidR="00B10E7D" w:rsidRPr="00371CFD">
        <w:rPr>
          <w:lang w:val="en-AU" w:eastAsia="en-GB"/>
        </w:rPr>
        <w:t>.</w:t>
      </w:r>
      <w:r w:rsidR="00207B4A" w:rsidRPr="00371CFD">
        <w:rPr>
          <w:lang w:val="en-AU" w:eastAsia="en-GB"/>
        </w:rPr>
        <w:t xml:space="preserve"> </w:t>
      </w:r>
      <w:r w:rsidR="0088740E" w:rsidRPr="00FD14C7">
        <w:rPr>
          <w:lang w:val="en-AU" w:eastAsia="en-GB"/>
        </w:rPr>
        <w:t xml:space="preserve">The Secretariat </w:t>
      </w:r>
      <w:r w:rsidR="00371CFD" w:rsidRPr="00FD14C7">
        <w:rPr>
          <w:lang w:val="en-AU" w:eastAsia="en-GB"/>
        </w:rPr>
        <w:t>reports that it is</w:t>
      </w:r>
      <w:r w:rsidR="0088740E" w:rsidRPr="00FD14C7">
        <w:rPr>
          <w:lang w:val="en-AU" w:eastAsia="en-GB"/>
        </w:rPr>
        <w:t xml:space="preserve"> unaware of Article 5 parties detecting CFC-11 contained in imported pre-blended polyols, w</w:t>
      </w:r>
      <w:r w:rsidR="00207B4A" w:rsidRPr="00FD14C7">
        <w:rPr>
          <w:lang w:val="en-AU" w:eastAsia="en-GB"/>
        </w:rPr>
        <w:t>ith the exception of a limited number of cases recently reported by China</w:t>
      </w:r>
      <w:r w:rsidR="00067CE9">
        <w:rPr>
          <w:rStyle w:val="FootnoteReference"/>
          <w:lang w:val="en-AU" w:eastAsia="en-GB"/>
        </w:rPr>
        <w:footnoteReference w:id="114"/>
      </w:r>
      <w:r w:rsidR="00207B4A" w:rsidRPr="00371CFD">
        <w:rPr>
          <w:lang w:val="en-AU" w:eastAsia="en-GB"/>
        </w:rPr>
        <w:t>.</w:t>
      </w:r>
    </w:p>
    <w:p w14:paraId="538E1EBB" w14:textId="0B7DBF91" w:rsidR="00502621" w:rsidRDefault="00C9207D" w:rsidP="00E268C5">
      <w:pPr>
        <w:rPr>
          <w:lang w:val="en-AU" w:eastAsia="en-GB"/>
        </w:rPr>
      </w:pPr>
      <w:r>
        <w:rPr>
          <w:lang w:val="en-AU" w:eastAsia="en-GB"/>
        </w:rPr>
        <w:t>A</w:t>
      </w:r>
      <w:r w:rsidR="00502621">
        <w:rPr>
          <w:lang w:val="en-AU" w:eastAsia="en-GB"/>
        </w:rPr>
        <w:t>n overview of current monitoring, reporting, verification and enforceable</w:t>
      </w:r>
      <w:r w:rsidR="006C3E5B">
        <w:rPr>
          <w:lang w:val="en-AU" w:eastAsia="en-GB"/>
        </w:rPr>
        <w:t xml:space="preserve"> licensing and quota systems developed with support </w:t>
      </w:r>
      <w:r w:rsidR="00F67671">
        <w:rPr>
          <w:lang w:val="en-AU" w:eastAsia="en-GB"/>
        </w:rPr>
        <w:t>from</w:t>
      </w:r>
      <w:r w:rsidR="006C3E5B">
        <w:rPr>
          <w:lang w:val="en-AU" w:eastAsia="en-GB"/>
        </w:rPr>
        <w:t xml:space="preserve"> the MLF is provided in</w:t>
      </w:r>
      <w:r w:rsidR="00936C2F">
        <w:rPr>
          <w:lang w:val="en-AU" w:eastAsia="en-GB"/>
        </w:rPr>
        <w:t xml:space="preserve"> </w:t>
      </w:r>
      <w:r w:rsidR="00650F96">
        <w:rPr>
          <w:lang w:val="en-AU" w:eastAsia="en-GB"/>
        </w:rPr>
        <w:t xml:space="preserve">a recent </w:t>
      </w:r>
      <w:r w:rsidR="00F67671">
        <w:rPr>
          <w:lang w:val="en-AU" w:eastAsia="en-GB"/>
        </w:rPr>
        <w:t>ExCom document</w:t>
      </w:r>
      <w:r w:rsidR="00067CE9">
        <w:rPr>
          <w:rStyle w:val="FootnoteReference"/>
          <w:lang w:val="en-AU" w:eastAsia="en-GB"/>
        </w:rPr>
        <w:footnoteReference w:id="115"/>
      </w:r>
      <w:r w:rsidR="00F67671">
        <w:rPr>
          <w:lang w:val="en-AU" w:eastAsia="en-GB"/>
        </w:rPr>
        <w:t>.</w:t>
      </w:r>
      <w:r w:rsidR="00431481">
        <w:rPr>
          <w:lang w:val="en-AU" w:eastAsia="en-GB"/>
        </w:rPr>
        <w:t xml:space="preserve"> </w:t>
      </w:r>
      <w:r w:rsidR="003F3E09">
        <w:rPr>
          <w:lang w:val="en-AU" w:eastAsia="en-GB"/>
        </w:rPr>
        <w:t xml:space="preserve">This document outlines </w:t>
      </w:r>
      <w:r w:rsidR="00E42B50">
        <w:rPr>
          <w:lang w:val="en-AU" w:eastAsia="en-GB"/>
        </w:rPr>
        <w:t>opportunities for improvement and also vulnerabilities that might exist within the policies and procedures of the MLF</w:t>
      </w:r>
      <w:r w:rsidR="0076611A">
        <w:rPr>
          <w:lang w:val="en-AU" w:eastAsia="en-GB"/>
        </w:rPr>
        <w:t xml:space="preserve"> in relation to the unexpected emissions of CFC-11</w:t>
      </w:r>
      <w:r w:rsidR="00FD6B62">
        <w:rPr>
          <w:lang w:val="en-AU" w:eastAsia="en-GB"/>
        </w:rPr>
        <w:t xml:space="preserve">. </w:t>
      </w:r>
      <w:r w:rsidR="000C4EAA">
        <w:rPr>
          <w:lang w:val="en-AU" w:eastAsia="en-GB"/>
        </w:rPr>
        <w:t>While t</w:t>
      </w:r>
      <w:r w:rsidR="00246B02">
        <w:rPr>
          <w:lang w:val="en-AU" w:eastAsia="en-GB"/>
        </w:rPr>
        <w:t>his document focuss</w:t>
      </w:r>
      <w:r w:rsidR="00FD6B62">
        <w:rPr>
          <w:lang w:val="en-AU" w:eastAsia="en-GB"/>
        </w:rPr>
        <w:t>es</w:t>
      </w:r>
      <w:r w:rsidR="00246B02">
        <w:rPr>
          <w:lang w:val="en-AU" w:eastAsia="en-GB"/>
        </w:rPr>
        <w:t xml:space="preserve"> mostly on neat CFC-11, </w:t>
      </w:r>
      <w:r w:rsidR="000C4EAA">
        <w:rPr>
          <w:lang w:val="en-AU" w:eastAsia="en-GB"/>
        </w:rPr>
        <w:t>it</w:t>
      </w:r>
      <w:r w:rsidR="00246B02">
        <w:rPr>
          <w:lang w:val="en-AU" w:eastAsia="en-GB"/>
        </w:rPr>
        <w:t xml:space="preserve"> </w:t>
      </w:r>
      <w:r w:rsidR="00FD6B62">
        <w:rPr>
          <w:lang w:val="en-AU" w:eastAsia="en-GB"/>
        </w:rPr>
        <w:t xml:space="preserve">also </w:t>
      </w:r>
      <w:r w:rsidR="00246B02">
        <w:rPr>
          <w:lang w:val="en-AU" w:eastAsia="en-GB"/>
        </w:rPr>
        <w:t>include</w:t>
      </w:r>
      <w:r w:rsidR="000C4EAA">
        <w:rPr>
          <w:lang w:val="en-AU" w:eastAsia="en-GB"/>
        </w:rPr>
        <w:t>s</w:t>
      </w:r>
      <w:r w:rsidR="00246B02">
        <w:rPr>
          <w:lang w:val="en-AU" w:eastAsia="en-GB"/>
        </w:rPr>
        <w:t xml:space="preserve"> </w:t>
      </w:r>
      <w:r w:rsidR="00246B02">
        <w:rPr>
          <w:lang w:val="en-AU" w:eastAsia="en-GB"/>
        </w:rPr>
        <w:lastRenderedPageBreak/>
        <w:t xml:space="preserve">recommendations for </w:t>
      </w:r>
      <w:r w:rsidR="00565CCB">
        <w:rPr>
          <w:lang w:val="en-AU" w:eastAsia="en-GB"/>
        </w:rPr>
        <w:t xml:space="preserve">the </w:t>
      </w:r>
      <w:r w:rsidR="00246B02">
        <w:rPr>
          <w:lang w:val="en-AU" w:eastAsia="en-GB"/>
        </w:rPr>
        <w:t>monitoring and reporting o</w:t>
      </w:r>
      <w:r w:rsidR="00565CCB">
        <w:rPr>
          <w:lang w:val="en-AU" w:eastAsia="en-GB"/>
        </w:rPr>
        <w:t>f</w:t>
      </w:r>
      <w:r w:rsidR="00246B02">
        <w:rPr>
          <w:lang w:val="en-AU" w:eastAsia="en-GB"/>
        </w:rPr>
        <w:t xml:space="preserve"> </w:t>
      </w:r>
      <w:r w:rsidR="00F2731E">
        <w:rPr>
          <w:lang w:val="en-AU" w:eastAsia="en-GB"/>
        </w:rPr>
        <w:t xml:space="preserve">the </w:t>
      </w:r>
      <w:r w:rsidR="00246B02">
        <w:rPr>
          <w:lang w:val="en-AU" w:eastAsia="en-GB"/>
        </w:rPr>
        <w:t>export of ODS contained in pre-blended polyols.</w:t>
      </w:r>
    </w:p>
    <w:p w14:paraId="03B90123" w14:textId="77777777" w:rsidR="00BD5685" w:rsidRDefault="00D601E3" w:rsidP="00E268C5">
      <w:pPr>
        <w:rPr>
          <w:lang w:val="en-AU" w:eastAsia="en-GB"/>
        </w:rPr>
      </w:pPr>
      <w:r>
        <w:rPr>
          <w:lang w:val="en-AU" w:eastAsia="en-GB"/>
        </w:rPr>
        <w:t xml:space="preserve">UNEP </w:t>
      </w:r>
      <w:proofErr w:type="spellStart"/>
      <w:r w:rsidR="00916942">
        <w:rPr>
          <w:lang w:val="en-AU" w:eastAsia="en-GB"/>
        </w:rPr>
        <w:t>OzonAction</w:t>
      </w:r>
      <w:proofErr w:type="spellEnd"/>
      <w:r w:rsidR="00916942">
        <w:rPr>
          <w:lang w:val="en-AU" w:eastAsia="en-GB"/>
        </w:rPr>
        <w:t xml:space="preserve"> </w:t>
      </w:r>
      <w:r w:rsidR="00C80EF1">
        <w:rPr>
          <w:lang w:val="en-AU" w:eastAsia="en-GB"/>
        </w:rPr>
        <w:t xml:space="preserve">is the implementing agency that </w:t>
      </w:r>
      <w:r w:rsidR="003733D8" w:rsidRPr="003733D8">
        <w:rPr>
          <w:lang w:val="en-AU" w:eastAsia="en-GB"/>
        </w:rPr>
        <w:t xml:space="preserve">assists Article 5 </w:t>
      </w:r>
      <w:r w:rsidR="003733D8">
        <w:rPr>
          <w:lang w:val="en-AU" w:eastAsia="en-GB"/>
        </w:rPr>
        <w:t>parties</w:t>
      </w:r>
      <w:r w:rsidR="003733D8" w:rsidRPr="003733D8">
        <w:rPr>
          <w:lang w:val="en-AU" w:eastAsia="en-GB"/>
        </w:rPr>
        <w:t xml:space="preserve"> to meet and sustain compliance with the Montreal Protocol and its Amendments</w:t>
      </w:r>
      <w:r w:rsidR="00AD2C95">
        <w:rPr>
          <w:lang w:val="en-AU" w:eastAsia="en-GB"/>
        </w:rPr>
        <w:t xml:space="preserve">, with </w:t>
      </w:r>
      <w:r w:rsidR="00AD2C95" w:rsidRPr="00AD2C95">
        <w:rPr>
          <w:lang w:val="en-AU" w:eastAsia="en-GB"/>
        </w:rPr>
        <w:t xml:space="preserve">priority areas of work </w:t>
      </w:r>
      <w:r w:rsidR="00AD2C95">
        <w:rPr>
          <w:lang w:val="en-AU" w:eastAsia="en-GB"/>
        </w:rPr>
        <w:t>in</w:t>
      </w:r>
      <w:r w:rsidR="00AD2C95" w:rsidRPr="00AD2C95">
        <w:rPr>
          <w:lang w:val="en-AU" w:eastAsia="en-GB"/>
        </w:rPr>
        <w:t xml:space="preserve"> strengthen</w:t>
      </w:r>
      <w:r w:rsidR="00AD2C95">
        <w:rPr>
          <w:lang w:val="en-AU" w:eastAsia="en-GB"/>
        </w:rPr>
        <w:t>ing</w:t>
      </w:r>
      <w:r w:rsidR="00AD2C95" w:rsidRPr="00AD2C95">
        <w:rPr>
          <w:lang w:val="en-AU" w:eastAsia="en-GB"/>
        </w:rPr>
        <w:t xml:space="preserve"> the capacity of </w:t>
      </w:r>
      <w:r w:rsidR="00AD2C95">
        <w:rPr>
          <w:lang w:val="en-AU" w:eastAsia="en-GB"/>
        </w:rPr>
        <w:t>c</w:t>
      </w:r>
      <w:r w:rsidR="00AD2C95" w:rsidRPr="00AD2C95">
        <w:rPr>
          <w:lang w:val="en-AU" w:eastAsia="en-GB"/>
        </w:rPr>
        <w:t>ustoms and other enforcement officers in their compliance-related work.</w:t>
      </w:r>
      <w:r w:rsidR="009771F7">
        <w:rPr>
          <w:lang w:val="en-AU" w:eastAsia="en-GB"/>
        </w:rPr>
        <w:t xml:space="preserve"> </w:t>
      </w:r>
      <w:r w:rsidR="00017D4D">
        <w:rPr>
          <w:lang w:val="en-AU" w:eastAsia="en-GB"/>
        </w:rPr>
        <w:t xml:space="preserve">UNEP </w:t>
      </w:r>
      <w:proofErr w:type="spellStart"/>
      <w:r w:rsidR="009771F7">
        <w:rPr>
          <w:lang w:val="en-AU" w:eastAsia="en-GB"/>
        </w:rPr>
        <w:t>OzonAction</w:t>
      </w:r>
      <w:proofErr w:type="spellEnd"/>
      <w:r w:rsidR="009771F7">
        <w:rPr>
          <w:lang w:val="en-AU" w:eastAsia="en-GB"/>
        </w:rPr>
        <w:t xml:space="preserve"> collaborate</w:t>
      </w:r>
      <w:r w:rsidR="00C80EF1">
        <w:rPr>
          <w:lang w:val="en-AU" w:eastAsia="en-GB"/>
        </w:rPr>
        <w:t>s</w:t>
      </w:r>
      <w:r w:rsidR="009771F7">
        <w:rPr>
          <w:lang w:val="en-AU" w:eastAsia="en-GB"/>
        </w:rPr>
        <w:t xml:space="preserve"> to develop and deploy information materials and training tools </w:t>
      </w:r>
      <w:r w:rsidR="0024039A">
        <w:rPr>
          <w:lang w:val="en-AU" w:eastAsia="en-GB"/>
        </w:rPr>
        <w:t xml:space="preserve">for customs and enforcement officers and supports national capacity building </w:t>
      </w:r>
      <w:r w:rsidR="00442993">
        <w:rPr>
          <w:lang w:val="en-AU" w:eastAsia="en-GB"/>
        </w:rPr>
        <w:t xml:space="preserve">and </w:t>
      </w:r>
      <w:r w:rsidR="000C6DEC">
        <w:rPr>
          <w:lang w:val="en-AU" w:eastAsia="en-GB"/>
        </w:rPr>
        <w:t xml:space="preserve">regional and national </w:t>
      </w:r>
      <w:r w:rsidR="00442993">
        <w:rPr>
          <w:lang w:val="en-AU" w:eastAsia="en-GB"/>
        </w:rPr>
        <w:t>training workshops</w:t>
      </w:r>
      <w:r w:rsidR="000C6DEC">
        <w:rPr>
          <w:lang w:val="en-AU" w:eastAsia="en-GB"/>
        </w:rPr>
        <w:t>.</w:t>
      </w:r>
      <w:r w:rsidR="00FE791A">
        <w:rPr>
          <w:lang w:val="en-AU" w:eastAsia="en-GB"/>
        </w:rPr>
        <w:t xml:space="preserve"> These enforcement and training activities </w:t>
      </w:r>
      <w:r w:rsidR="00CE3252">
        <w:rPr>
          <w:lang w:val="en-AU" w:eastAsia="en-GB"/>
        </w:rPr>
        <w:t>involve</w:t>
      </w:r>
      <w:r w:rsidR="005A5560">
        <w:rPr>
          <w:lang w:val="en-AU" w:eastAsia="en-GB"/>
        </w:rPr>
        <w:t xml:space="preserve"> all </w:t>
      </w:r>
      <w:r w:rsidR="00C80EF1">
        <w:rPr>
          <w:lang w:val="en-AU" w:eastAsia="en-GB"/>
        </w:rPr>
        <w:t xml:space="preserve">of the </w:t>
      </w:r>
      <w:r w:rsidR="008F407E">
        <w:rPr>
          <w:lang w:val="en-AU" w:eastAsia="en-GB"/>
        </w:rPr>
        <w:t xml:space="preserve">controlled substances under the Montreal Protocol. </w:t>
      </w:r>
    </w:p>
    <w:p w14:paraId="2D29BF30" w14:textId="2ABDAF06" w:rsidR="001F18E2" w:rsidRDefault="008F407E" w:rsidP="00E268C5">
      <w:pPr>
        <w:rPr>
          <w:lang w:val="en-AU" w:eastAsia="en-GB"/>
        </w:rPr>
      </w:pPr>
      <w:r>
        <w:rPr>
          <w:lang w:val="en-AU" w:eastAsia="en-GB"/>
        </w:rPr>
        <w:t xml:space="preserve">However, at any given time the focus is on </w:t>
      </w:r>
      <w:r w:rsidR="00A13976">
        <w:rPr>
          <w:lang w:val="en-AU" w:eastAsia="en-GB"/>
        </w:rPr>
        <w:t>commonly traded substances and those most frequently associated with illegal trade.</w:t>
      </w:r>
      <w:r w:rsidR="00AA5987">
        <w:rPr>
          <w:lang w:val="en-AU" w:eastAsia="en-GB"/>
        </w:rPr>
        <w:t xml:space="preserve"> </w:t>
      </w:r>
      <w:r w:rsidR="00AA5987" w:rsidRPr="00AA5987">
        <w:rPr>
          <w:lang w:val="en-AU" w:eastAsia="en-GB"/>
        </w:rPr>
        <w:t>Over the past few decades, attention has been mainly directed towards CFCs (principally CFC-12), HCFCs (principally HCFC-22 and some common mixtures), and more recently HFCs.</w:t>
      </w:r>
      <w:r w:rsidR="00E10833" w:rsidRPr="00E10833">
        <w:rPr>
          <w:lang w:val="en-AU" w:eastAsia="en-GB"/>
        </w:rPr>
        <w:t xml:space="preserve"> </w:t>
      </w:r>
      <w:r w:rsidR="00E10833">
        <w:rPr>
          <w:lang w:val="en-AU" w:eastAsia="en-GB"/>
        </w:rPr>
        <w:t>The</w:t>
      </w:r>
      <w:r w:rsidR="00E10833" w:rsidRPr="00634F13">
        <w:rPr>
          <w:lang w:val="en-AU" w:eastAsia="en-GB"/>
        </w:rPr>
        <w:t xml:space="preserve"> focus is on bulk substance </w:t>
      </w:r>
      <w:r w:rsidR="00E10833">
        <w:rPr>
          <w:lang w:val="en-AU" w:eastAsia="en-GB"/>
        </w:rPr>
        <w:t>because t</w:t>
      </w:r>
      <w:r w:rsidR="00E10833" w:rsidRPr="00634F13">
        <w:rPr>
          <w:lang w:val="en-AU" w:eastAsia="en-GB"/>
        </w:rPr>
        <w:t>rade in products containing ODS</w:t>
      </w:r>
      <w:r w:rsidR="002872F3">
        <w:rPr>
          <w:lang w:val="en-AU" w:eastAsia="en-GB"/>
        </w:rPr>
        <w:t xml:space="preserve"> (</w:t>
      </w:r>
      <w:r w:rsidR="00D8178E">
        <w:rPr>
          <w:lang w:val="en-AU" w:eastAsia="en-GB"/>
        </w:rPr>
        <w:t>such as insulating foam contained in appliances</w:t>
      </w:r>
      <w:r w:rsidR="002872F3">
        <w:rPr>
          <w:lang w:val="en-AU" w:eastAsia="en-GB"/>
        </w:rPr>
        <w:t>)</w:t>
      </w:r>
      <w:r w:rsidR="00E10833" w:rsidRPr="00634F13">
        <w:rPr>
          <w:lang w:val="en-AU" w:eastAsia="en-GB"/>
        </w:rPr>
        <w:t xml:space="preserve"> is not controlled under the Montreal Protocol.</w:t>
      </w:r>
    </w:p>
    <w:p w14:paraId="3BA0EF88" w14:textId="77096027" w:rsidR="00A650D5" w:rsidRDefault="00A650D5" w:rsidP="00E268C5">
      <w:pPr>
        <w:rPr>
          <w:lang w:val="en-AU" w:eastAsia="en-GB"/>
        </w:rPr>
      </w:pPr>
      <w:r>
        <w:rPr>
          <w:lang w:val="en-AU" w:eastAsia="en-GB"/>
        </w:rPr>
        <w:t xml:space="preserve">Key </w:t>
      </w:r>
      <w:r w:rsidR="00826DAB">
        <w:rPr>
          <w:lang w:val="en-AU" w:eastAsia="en-GB"/>
        </w:rPr>
        <w:t xml:space="preserve">CFC-11 </w:t>
      </w:r>
      <w:r>
        <w:rPr>
          <w:lang w:val="en-AU" w:eastAsia="en-GB"/>
        </w:rPr>
        <w:t xml:space="preserve">information </w:t>
      </w:r>
      <w:r w:rsidR="00826DAB">
        <w:rPr>
          <w:lang w:val="en-AU" w:eastAsia="en-GB"/>
        </w:rPr>
        <w:t xml:space="preserve">provided for customs officers </w:t>
      </w:r>
      <w:r w:rsidR="002F0A44">
        <w:rPr>
          <w:lang w:val="en-AU" w:eastAsia="en-GB"/>
        </w:rPr>
        <w:t>includes</w:t>
      </w:r>
      <w:r w:rsidR="00DD64EF">
        <w:rPr>
          <w:lang w:val="en-AU" w:eastAsia="en-GB"/>
        </w:rPr>
        <w:t>:</w:t>
      </w:r>
      <w:r w:rsidR="00DB39C1">
        <w:rPr>
          <w:lang w:val="en-AU" w:eastAsia="en-GB"/>
        </w:rPr>
        <w:t xml:space="preserve"> main uses</w:t>
      </w:r>
      <w:r w:rsidR="005E25DF">
        <w:rPr>
          <w:lang w:val="en-AU" w:eastAsia="en-GB"/>
        </w:rPr>
        <w:t>;</w:t>
      </w:r>
      <w:r w:rsidR="00DB39C1">
        <w:rPr>
          <w:lang w:val="en-AU" w:eastAsia="en-GB"/>
        </w:rPr>
        <w:t xml:space="preserve"> physical properties</w:t>
      </w:r>
      <w:r w:rsidR="005E25DF">
        <w:rPr>
          <w:lang w:val="en-AU" w:eastAsia="en-GB"/>
        </w:rPr>
        <w:t>;</w:t>
      </w:r>
      <w:r w:rsidR="00DB39C1">
        <w:rPr>
          <w:lang w:val="en-AU" w:eastAsia="en-GB"/>
        </w:rPr>
        <w:t xml:space="preserve"> modes of storage and transport</w:t>
      </w:r>
      <w:r w:rsidR="005E25DF">
        <w:rPr>
          <w:lang w:val="en-AU" w:eastAsia="en-GB"/>
        </w:rPr>
        <w:t>;</w:t>
      </w:r>
      <w:r w:rsidR="00DB39C1">
        <w:rPr>
          <w:lang w:val="en-AU" w:eastAsia="en-GB"/>
        </w:rPr>
        <w:t xml:space="preserve"> chemical nomenclature and categorisation</w:t>
      </w:r>
      <w:r w:rsidR="005E25DF">
        <w:rPr>
          <w:lang w:val="en-AU" w:eastAsia="en-GB"/>
        </w:rPr>
        <w:t xml:space="preserve">, </w:t>
      </w:r>
      <w:r w:rsidR="003164BC">
        <w:rPr>
          <w:lang w:val="en-AU" w:eastAsia="en-GB"/>
        </w:rPr>
        <w:t xml:space="preserve">such as </w:t>
      </w:r>
      <w:r w:rsidR="00D158A2" w:rsidRPr="00D158A2">
        <w:rPr>
          <w:lang w:val="en-AU" w:eastAsia="en-GB"/>
        </w:rPr>
        <w:t>HS code</w:t>
      </w:r>
      <w:r w:rsidR="00DB262E">
        <w:rPr>
          <w:rStyle w:val="FootnoteReference"/>
          <w:lang w:val="en-AU" w:eastAsia="en-GB"/>
        </w:rPr>
        <w:footnoteReference w:id="116"/>
      </w:r>
      <w:r w:rsidR="00D158A2" w:rsidRPr="00D158A2">
        <w:rPr>
          <w:lang w:val="en-AU" w:eastAsia="en-GB"/>
        </w:rPr>
        <w:t>, ASHRAE designation, UN number</w:t>
      </w:r>
      <w:r w:rsidR="00987F8E">
        <w:rPr>
          <w:rStyle w:val="FootnoteReference"/>
          <w:lang w:val="en-AU" w:eastAsia="en-GB"/>
        </w:rPr>
        <w:footnoteReference w:id="117"/>
      </w:r>
      <w:r w:rsidR="00D158A2" w:rsidRPr="00D158A2">
        <w:rPr>
          <w:lang w:val="en-AU" w:eastAsia="en-GB"/>
        </w:rPr>
        <w:t>, chemical name and formula, CAS number</w:t>
      </w:r>
      <w:r w:rsidR="0073323E">
        <w:rPr>
          <w:rStyle w:val="FootnoteReference"/>
          <w:lang w:val="en-AU" w:eastAsia="en-GB"/>
        </w:rPr>
        <w:footnoteReference w:id="118"/>
      </w:r>
      <w:r w:rsidR="00D158A2" w:rsidRPr="00D158A2">
        <w:rPr>
          <w:lang w:val="en-AU" w:eastAsia="en-GB"/>
        </w:rPr>
        <w:t>, trade names</w:t>
      </w:r>
      <w:r w:rsidR="005E25DF">
        <w:rPr>
          <w:lang w:val="en-AU" w:eastAsia="en-GB"/>
        </w:rPr>
        <w:t>; and</w:t>
      </w:r>
      <w:r w:rsidR="003164BC">
        <w:rPr>
          <w:lang w:val="en-AU" w:eastAsia="en-GB"/>
        </w:rPr>
        <w:t xml:space="preserve"> identification and packaging.</w:t>
      </w:r>
      <w:r w:rsidR="004A2BE2">
        <w:rPr>
          <w:lang w:val="en-AU" w:eastAsia="en-GB"/>
        </w:rPr>
        <w:t xml:space="preserve"> However</w:t>
      </w:r>
      <w:r w:rsidR="004A2BE2" w:rsidRPr="004A2BE2">
        <w:rPr>
          <w:lang w:val="en-AU" w:eastAsia="en-GB"/>
        </w:rPr>
        <w:t xml:space="preserve">, </w:t>
      </w:r>
      <w:r w:rsidR="004A2BE2">
        <w:rPr>
          <w:lang w:val="en-AU" w:eastAsia="en-GB"/>
        </w:rPr>
        <w:t>CFC-11</w:t>
      </w:r>
      <w:r w:rsidR="004A2BE2" w:rsidRPr="004A2BE2">
        <w:rPr>
          <w:lang w:val="en-AU" w:eastAsia="en-GB"/>
        </w:rPr>
        <w:t xml:space="preserve"> has </w:t>
      </w:r>
      <w:r w:rsidR="004A2BE2">
        <w:rPr>
          <w:lang w:val="en-AU" w:eastAsia="en-GB"/>
        </w:rPr>
        <w:t>not</w:t>
      </w:r>
      <w:r w:rsidR="004A2BE2" w:rsidRPr="004A2BE2">
        <w:rPr>
          <w:lang w:val="en-AU" w:eastAsia="en-GB"/>
        </w:rPr>
        <w:t xml:space="preserve"> been a major focus </w:t>
      </w:r>
      <w:r w:rsidR="000A7DBA">
        <w:rPr>
          <w:lang w:val="en-AU" w:eastAsia="en-GB"/>
        </w:rPr>
        <w:t>because</w:t>
      </w:r>
      <w:r w:rsidR="004A2BE2" w:rsidRPr="004A2BE2">
        <w:rPr>
          <w:lang w:val="en-AU" w:eastAsia="en-GB"/>
        </w:rPr>
        <w:t xml:space="preserve"> illegal trade </w:t>
      </w:r>
      <w:r w:rsidR="000A7DBA">
        <w:rPr>
          <w:lang w:val="en-AU" w:eastAsia="en-GB"/>
        </w:rPr>
        <w:t xml:space="preserve">in </w:t>
      </w:r>
      <w:r w:rsidR="004A2BE2" w:rsidRPr="004A2BE2">
        <w:rPr>
          <w:lang w:val="en-AU" w:eastAsia="en-GB"/>
        </w:rPr>
        <w:t>CFC-11 is rarely detected or identified</w:t>
      </w:r>
      <w:r w:rsidR="00E843AC">
        <w:rPr>
          <w:lang w:val="en-AU" w:eastAsia="en-GB"/>
        </w:rPr>
        <w:t>;</w:t>
      </w:r>
      <w:r w:rsidR="004A2BE2">
        <w:rPr>
          <w:lang w:val="en-AU" w:eastAsia="en-GB"/>
        </w:rPr>
        <w:t xml:space="preserve"> nor</w:t>
      </w:r>
      <w:r w:rsidR="004A2BE2" w:rsidRPr="004A2BE2">
        <w:rPr>
          <w:lang w:val="en-AU" w:eastAsia="en-GB"/>
        </w:rPr>
        <w:t xml:space="preserve"> </w:t>
      </w:r>
      <w:r w:rsidR="004A2BE2">
        <w:rPr>
          <w:lang w:val="en-AU" w:eastAsia="en-GB"/>
        </w:rPr>
        <w:t xml:space="preserve">since </w:t>
      </w:r>
      <w:r w:rsidR="004A2BE2" w:rsidRPr="004A2BE2">
        <w:rPr>
          <w:lang w:val="en-AU" w:eastAsia="en-GB"/>
        </w:rPr>
        <w:t xml:space="preserve">the phase out has </w:t>
      </w:r>
      <w:r w:rsidR="00E843AC">
        <w:rPr>
          <w:lang w:val="en-AU" w:eastAsia="en-GB"/>
        </w:rPr>
        <w:t>CFC-11</w:t>
      </w:r>
      <w:r w:rsidR="004A2BE2" w:rsidRPr="004A2BE2">
        <w:rPr>
          <w:lang w:val="en-AU" w:eastAsia="en-GB"/>
        </w:rPr>
        <w:t xml:space="preserve"> been a major topic of interest during training and capacity building </w:t>
      </w:r>
      <w:r w:rsidR="00C317A4">
        <w:rPr>
          <w:lang w:val="en-AU" w:eastAsia="en-GB"/>
        </w:rPr>
        <w:t xml:space="preserve">and other </w:t>
      </w:r>
      <w:r w:rsidR="004A2BE2" w:rsidRPr="004A2BE2">
        <w:rPr>
          <w:lang w:val="en-AU" w:eastAsia="en-GB"/>
        </w:rPr>
        <w:t xml:space="preserve">interactions with National Ozone Units or customs and enforcement </w:t>
      </w:r>
      <w:r w:rsidR="00C317A4">
        <w:rPr>
          <w:lang w:val="en-AU" w:eastAsia="en-GB"/>
        </w:rPr>
        <w:t>officers</w:t>
      </w:r>
      <w:r w:rsidR="004A2BE2" w:rsidRPr="004A2BE2">
        <w:rPr>
          <w:lang w:val="en-AU" w:eastAsia="en-GB"/>
        </w:rPr>
        <w:t>.</w:t>
      </w:r>
    </w:p>
    <w:p w14:paraId="4C8E4885" w14:textId="4BE56767" w:rsidR="00D7568E" w:rsidRDefault="00D7568E" w:rsidP="00D7568E">
      <w:pPr>
        <w:rPr>
          <w:lang w:val="en-AU" w:eastAsia="en-GB"/>
        </w:rPr>
      </w:pPr>
      <w:r>
        <w:rPr>
          <w:lang w:val="en-AU" w:eastAsia="en-GB"/>
        </w:rPr>
        <w:t xml:space="preserve">The 2019 Task Force </w:t>
      </w:r>
      <w:r w:rsidR="00A50106">
        <w:rPr>
          <w:lang w:val="en-AU" w:eastAsia="en-GB"/>
        </w:rPr>
        <w:t>Report</w:t>
      </w:r>
      <w:r>
        <w:rPr>
          <w:lang w:val="en-AU" w:eastAsia="en-GB"/>
        </w:rPr>
        <w:t xml:space="preserve"> outlined some of the challenges associated with enforcement. For example, r</w:t>
      </w:r>
      <w:r w:rsidRPr="00E268C5">
        <w:rPr>
          <w:lang w:val="en-AU" w:eastAsia="en-GB"/>
        </w:rPr>
        <w:t>egulations</w:t>
      </w:r>
      <w:r>
        <w:rPr>
          <w:lang w:val="en-AU" w:eastAsia="en-GB"/>
        </w:rPr>
        <w:t xml:space="preserve"> </w:t>
      </w:r>
      <w:r w:rsidRPr="00E268C5">
        <w:rPr>
          <w:lang w:val="en-AU" w:eastAsia="en-GB"/>
        </w:rPr>
        <w:t>associated with the movement of controlled substances contained in pre-blended polyols vary</w:t>
      </w:r>
      <w:r>
        <w:rPr>
          <w:lang w:val="en-AU" w:eastAsia="en-GB"/>
        </w:rPr>
        <w:t xml:space="preserve"> </w:t>
      </w:r>
      <w:r w:rsidRPr="00E268C5">
        <w:rPr>
          <w:lang w:val="en-AU" w:eastAsia="en-GB"/>
        </w:rPr>
        <w:t>by country and can raise challenges when those regulations and reporting mechanisms differ.</w:t>
      </w:r>
    </w:p>
    <w:p w14:paraId="4FD35B03" w14:textId="3ABCCB1C" w:rsidR="007261CC" w:rsidRDefault="00A019E4" w:rsidP="00D601E3">
      <w:pPr>
        <w:rPr>
          <w:color w:val="auto"/>
          <w:lang w:val="en-AU" w:eastAsia="en-GB"/>
        </w:rPr>
      </w:pPr>
      <w:r>
        <w:rPr>
          <w:color w:val="auto"/>
          <w:lang w:val="en-AU" w:eastAsia="en-GB"/>
        </w:rPr>
        <w:t>I</w:t>
      </w:r>
      <w:r w:rsidR="00E76B06">
        <w:rPr>
          <w:color w:val="auto"/>
          <w:lang w:val="en-AU" w:eastAsia="en-GB"/>
        </w:rPr>
        <w:t xml:space="preserve">nformation provided by UNEP </w:t>
      </w:r>
      <w:proofErr w:type="spellStart"/>
      <w:r w:rsidR="00E76B06">
        <w:rPr>
          <w:color w:val="auto"/>
          <w:lang w:val="en-AU" w:eastAsia="en-GB"/>
        </w:rPr>
        <w:t>OzonAction</w:t>
      </w:r>
      <w:proofErr w:type="spellEnd"/>
      <w:r w:rsidR="007F1053">
        <w:rPr>
          <w:color w:val="auto"/>
          <w:lang w:val="en-AU" w:eastAsia="en-GB"/>
        </w:rPr>
        <w:t xml:space="preserve"> indicates</w:t>
      </w:r>
      <w:r w:rsidR="00E76B06">
        <w:rPr>
          <w:color w:val="auto"/>
          <w:lang w:val="en-AU" w:eastAsia="en-GB"/>
        </w:rPr>
        <w:t xml:space="preserve"> only </w:t>
      </w:r>
      <w:r w:rsidR="007F1053">
        <w:rPr>
          <w:color w:val="auto"/>
          <w:lang w:val="en-AU" w:eastAsia="en-GB"/>
        </w:rPr>
        <w:t>limited</w:t>
      </w:r>
      <w:r w:rsidR="00E76B06">
        <w:rPr>
          <w:color w:val="auto"/>
          <w:lang w:val="en-AU" w:eastAsia="en-GB"/>
        </w:rPr>
        <w:t xml:space="preserve"> illegal trade in CFC-11</w:t>
      </w:r>
      <w:r w:rsidR="00C87FF9">
        <w:rPr>
          <w:color w:val="auto"/>
          <w:lang w:val="en-AU" w:eastAsia="en-GB"/>
        </w:rPr>
        <w:t>,</w:t>
      </w:r>
      <w:r w:rsidR="00C87FF9" w:rsidRPr="00C87FF9">
        <w:rPr>
          <w:color w:val="auto"/>
          <w:lang w:val="en-AU" w:eastAsia="en-GB"/>
        </w:rPr>
        <w:t xml:space="preserve"> </w:t>
      </w:r>
      <w:r w:rsidR="00C87FF9">
        <w:rPr>
          <w:color w:val="auto"/>
          <w:lang w:val="en-AU" w:eastAsia="en-GB"/>
        </w:rPr>
        <w:t>or detection of it</w:t>
      </w:r>
      <w:r w:rsidR="00E76B06">
        <w:rPr>
          <w:color w:val="auto"/>
          <w:lang w:val="en-AU" w:eastAsia="en-GB"/>
        </w:rPr>
        <w:t>,</w:t>
      </w:r>
      <w:r w:rsidR="00E76B06" w:rsidRPr="00EB7027">
        <w:rPr>
          <w:i/>
          <w:iCs/>
          <w:color w:val="auto"/>
          <w:lang w:val="en-AU" w:eastAsia="en-GB"/>
        </w:rPr>
        <w:t xml:space="preserve"> </w:t>
      </w:r>
      <w:r w:rsidR="00E76B06" w:rsidRPr="00515516">
        <w:rPr>
          <w:i/>
          <w:iCs/>
          <w:color w:val="auto"/>
          <w:lang w:val="en-AU" w:eastAsia="en-GB"/>
        </w:rPr>
        <w:t>inter alia</w:t>
      </w:r>
      <w:r w:rsidR="00E76B06">
        <w:rPr>
          <w:color w:val="auto"/>
          <w:lang w:val="en-AU" w:eastAsia="en-GB"/>
        </w:rPr>
        <w:t>: one example related to trade of CFC-11 for MDI use</w:t>
      </w:r>
      <w:r w:rsidR="00E76B06" w:rsidRPr="006E2A72">
        <w:rPr>
          <w:color w:val="auto"/>
          <w:lang w:val="en-AU" w:eastAsia="en-GB"/>
        </w:rPr>
        <w:t xml:space="preserve"> </w:t>
      </w:r>
      <w:r w:rsidR="00E76B06">
        <w:rPr>
          <w:color w:val="auto"/>
          <w:lang w:val="en-AU" w:eastAsia="en-GB"/>
        </w:rPr>
        <w:t xml:space="preserve">in 2014 where informal prior informed consent approved the trade; two examples related to smuggling using false identification as recycled CFC-11. There are other </w:t>
      </w:r>
      <w:r w:rsidR="00C92536">
        <w:rPr>
          <w:color w:val="auto"/>
          <w:lang w:val="en-AU" w:eastAsia="en-GB"/>
        </w:rPr>
        <w:t>limited</w:t>
      </w:r>
      <w:r w:rsidR="00E76B06">
        <w:rPr>
          <w:color w:val="auto"/>
          <w:lang w:val="en-AU" w:eastAsia="en-GB"/>
        </w:rPr>
        <w:t xml:space="preserve"> examples reported, including those in the 2019 Task Force </w:t>
      </w:r>
      <w:r w:rsidR="00A50106">
        <w:rPr>
          <w:color w:val="auto"/>
          <w:lang w:val="en-AU" w:eastAsia="en-GB"/>
        </w:rPr>
        <w:t>Report</w:t>
      </w:r>
      <w:r w:rsidR="00E76B06">
        <w:rPr>
          <w:color w:val="auto"/>
          <w:lang w:val="en-AU" w:eastAsia="en-GB"/>
        </w:rPr>
        <w:t>.</w:t>
      </w:r>
    </w:p>
    <w:p w14:paraId="4A5DC3CB" w14:textId="693D478A" w:rsidR="00F54F4A" w:rsidRDefault="0027135E" w:rsidP="00D601E3">
      <w:pPr>
        <w:rPr>
          <w:color w:val="auto"/>
          <w:lang w:val="en-AU" w:eastAsia="en-GB"/>
        </w:rPr>
      </w:pPr>
      <w:r>
        <w:rPr>
          <w:color w:val="auto"/>
          <w:lang w:val="en-AU" w:eastAsia="en-GB"/>
        </w:rPr>
        <w:t>Despite these measures</w:t>
      </w:r>
      <w:r w:rsidR="00EA101E">
        <w:rPr>
          <w:color w:val="auto"/>
          <w:lang w:val="en-AU" w:eastAsia="en-GB"/>
        </w:rPr>
        <w:t xml:space="preserve">, </w:t>
      </w:r>
      <w:r w:rsidR="00C25FEC">
        <w:rPr>
          <w:color w:val="auto"/>
          <w:lang w:val="en-AU" w:eastAsia="en-GB"/>
        </w:rPr>
        <w:t>there has been</w:t>
      </w:r>
      <w:r w:rsidR="008A4A11">
        <w:rPr>
          <w:color w:val="auto"/>
          <w:lang w:val="en-AU" w:eastAsia="en-GB"/>
        </w:rPr>
        <w:t xml:space="preserve"> only limited </w:t>
      </w:r>
      <w:r w:rsidR="00693E76">
        <w:rPr>
          <w:color w:val="auto"/>
          <w:lang w:val="en-AU" w:eastAsia="en-GB"/>
        </w:rPr>
        <w:t xml:space="preserve">enforcement </w:t>
      </w:r>
      <w:r w:rsidR="00204D1C">
        <w:rPr>
          <w:color w:val="auto"/>
          <w:lang w:val="en-AU" w:eastAsia="en-GB"/>
        </w:rPr>
        <w:t xml:space="preserve">detection of </w:t>
      </w:r>
      <w:r w:rsidR="008A4A11">
        <w:rPr>
          <w:color w:val="auto"/>
          <w:lang w:val="en-AU" w:eastAsia="en-GB"/>
        </w:rPr>
        <w:t>illegal trade</w:t>
      </w:r>
      <w:r w:rsidR="00392976">
        <w:rPr>
          <w:color w:val="auto"/>
          <w:lang w:val="en-AU" w:eastAsia="en-GB"/>
        </w:rPr>
        <w:t xml:space="preserve"> in CFC-11</w:t>
      </w:r>
      <w:r w:rsidR="00C25FEC">
        <w:rPr>
          <w:color w:val="auto"/>
          <w:lang w:val="en-AU" w:eastAsia="en-GB"/>
        </w:rPr>
        <w:t>.</w:t>
      </w:r>
      <w:r w:rsidR="00392976">
        <w:rPr>
          <w:color w:val="auto"/>
          <w:lang w:val="en-AU" w:eastAsia="en-GB"/>
        </w:rPr>
        <w:t xml:space="preserve"> </w:t>
      </w:r>
      <w:r w:rsidR="003A2B37">
        <w:rPr>
          <w:color w:val="auto"/>
          <w:lang w:val="en-AU" w:eastAsia="en-GB"/>
        </w:rPr>
        <w:t>Nevertheless, t</w:t>
      </w:r>
      <w:r w:rsidR="00B21B2D">
        <w:rPr>
          <w:color w:val="auto"/>
          <w:lang w:val="en-AU" w:eastAsia="en-GB"/>
        </w:rPr>
        <w:t xml:space="preserve">here </w:t>
      </w:r>
      <w:r w:rsidR="008D40D5">
        <w:rPr>
          <w:color w:val="auto"/>
          <w:lang w:val="en-AU" w:eastAsia="en-GB"/>
        </w:rPr>
        <w:t>were</w:t>
      </w:r>
      <w:r w:rsidR="00731C1A">
        <w:rPr>
          <w:color w:val="auto"/>
          <w:lang w:val="en-AU" w:eastAsia="en-GB"/>
        </w:rPr>
        <w:t xml:space="preserve"> </w:t>
      </w:r>
      <w:r w:rsidR="00763C1D">
        <w:rPr>
          <w:color w:val="auto"/>
          <w:lang w:val="en-AU" w:eastAsia="en-GB"/>
        </w:rPr>
        <w:t xml:space="preserve">repeated </w:t>
      </w:r>
      <w:r w:rsidR="0037693F">
        <w:rPr>
          <w:color w:val="auto"/>
          <w:lang w:val="en-AU" w:eastAsia="en-GB"/>
        </w:rPr>
        <w:t xml:space="preserve">plausible </w:t>
      </w:r>
      <w:r w:rsidR="004E1EE8">
        <w:rPr>
          <w:color w:val="auto"/>
          <w:lang w:val="en-AU" w:eastAsia="en-GB"/>
        </w:rPr>
        <w:t xml:space="preserve">and authoritative </w:t>
      </w:r>
      <w:r w:rsidR="008D40D5">
        <w:rPr>
          <w:color w:val="auto"/>
          <w:lang w:val="en-AU" w:eastAsia="en-GB"/>
        </w:rPr>
        <w:t>indications of marketing of CFC-11 for use in foams</w:t>
      </w:r>
      <w:r w:rsidR="006D3704">
        <w:rPr>
          <w:color w:val="auto"/>
          <w:lang w:val="en-AU" w:eastAsia="en-GB"/>
        </w:rPr>
        <w:t xml:space="preserve"> </w:t>
      </w:r>
      <w:r w:rsidR="003D4691">
        <w:rPr>
          <w:color w:val="auto"/>
          <w:lang w:val="en-AU" w:eastAsia="en-GB"/>
        </w:rPr>
        <w:t xml:space="preserve">circulating </w:t>
      </w:r>
      <w:r w:rsidR="006D3704">
        <w:rPr>
          <w:color w:val="auto"/>
          <w:lang w:val="en-AU" w:eastAsia="en-GB"/>
        </w:rPr>
        <w:t>within the industry</w:t>
      </w:r>
      <w:r w:rsidR="003D4691">
        <w:rPr>
          <w:color w:val="auto"/>
          <w:lang w:val="en-AU" w:eastAsia="en-GB"/>
        </w:rPr>
        <w:t xml:space="preserve"> itself</w:t>
      </w:r>
      <w:r w:rsidR="00731C1A">
        <w:rPr>
          <w:color w:val="auto"/>
          <w:lang w:val="en-AU" w:eastAsia="en-GB"/>
        </w:rPr>
        <w:t xml:space="preserve">, as </w:t>
      </w:r>
      <w:r w:rsidR="00BF78D3">
        <w:rPr>
          <w:color w:val="auto"/>
          <w:lang w:val="en-AU" w:eastAsia="en-GB"/>
        </w:rPr>
        <w:t xml:space="preserve">reported </w:t>
      </w:r>
      <w:r w:rsidR="002418BC">
        <w:rPr>
          <w:color w:val="auto"/>
          <w:lang w:val="en-AU" w:eastAsia="en-GB"/>
        </w:rPr>
        <w:t>by the</w:t>
      </w:r>
      <w:r w:rsidR="00BF78D3">
        <w:rPr>
          <w:color w:val="auto"/>
          <w:lang w:val="en-AU" w:eastAsia="en-GB"/>
        </w:rPr>
        <w:t xml:space="preserve"> 2019</w:t>
      </w:r>
      <w:r w:rsidR="002418BC">
        <w:rPr>
          <w:color w:val="auto"/>
          <w:lang w:val="en-AU" w:eastAsia="en-GB"/>
        </w:rPr>
        <w:t xml:space="preserve"> Task Force</w:t>
      </w:r>
      <w:r w:rsidR="00BF78D3">
        <w:rPr>
          <w:color w:val="auto"/>
          <w:lang w:val="en-AU" w:eastAsia="en-GB"/>
        </w:rPr>
        <w:t>.</w:t>
      </w:r>
      <w:r w:rsidR="00476628">
        <w:rPr>
          <w:color w:val="auto"/>
          <w:lang w:val="en-AU" w:eastAsia="en-GB"/>
        </w:rPr>
        <w:t xml:space="preserve"> </w:t>
      </w:r>
      <w:r w:rsidR="00EA53E2">
        <w:rPr>
          <w:color w:val="auto"/>
          <w:lang w:val="en-AU" w:eastAsia="en-GB"/>
        </w:rPr>
        <w:t xml:space="preserve">Parties may wish to investigate </w:t>
      </w:r>
      <w:r w:rsidR="00773209">
        <w:rPr>
          <w:color w:val="auto"/>
          <w:lang w:val="en-AU" w:eastAsia="en-GB"/>
        </w:rPr>
        <w:t>incentives</w:t>
      </w:r>
      <w:r w:rsidR="00F175A6">
        <w:rPr>
          <w:color w:val="auto"/>
          <w:lang w:val="en-AU" w:eastAsia="en-GB"/>
        </w:rPr>
        <w:t xml:space="preserve"> </w:t>
      </w:r>
      <w:r w:rsidR="00E31A7C">
        <w:rPr>
          <w:color w:val="auto"/>
          <w:lang w:val="en-AU" w:eastAsia="en-GB"/>
        </w:rPr>
        <w:t xml:space="preserve">and </w:t>
      </w:r>
      <w:r w:rsidR="006972B5">
        <w:rPr>
          <w:color w:val="auto"/>
          <w:lang w:val="en-AU" w:eastAsia="en-GB"/>
        </w:rPr>
        <w:t xml:space="preserve">tools </w:t>
      </w:r>
      <w:r w:rsidR="00D37B22">
        <w:rPr>
          <w:color w:val="auto"/>
          <w:lang w:val="en-AU" w:eastAsia="en-GB"/>
        </w:rPr>
        <w:t>to</w:t>
      </w:r>
      <w:r w:rsidR="006972B5">
        <w:rPr>
          <w:color w:val="auto"/>
          <w:lang w:val="en-AU" w:eastAsia="en-GB"/>
        </w:rPr>
        <w:t xml:space="preserve"> </w:t>
      </w:r>
      <w:r w:rsidR="00B56746">
        <w:rPr>
          <w:color w:val="auto"/>
          <w:lang w:val="en-AU" w:eastAsia="en-GB"/>
        </w:rPr>
        <w:t>encourage</w:t>
      </w:r>
      <w:r w:rsidR="003D4691">
        <w:rPr>
          <w:color w:val="auto"/>
          <w:lang w:val="en-AU" w:eastAsia="en-GB"/>
        </w:rPr>
        <w:t xml:space="preserve"> increased</w:t>
      </w:r>
      <w:r w:rsidR="00B56746">
        <w:rPr>
          <w:color w:val="auto"/>
          <w:lang w:val="en-AU" w:eastAsia="en-GB"/>
        </w:rPr>
        <w:t xml:space="preserve"> </w:t>
      </w:r>
      <w:r w:rsidR="00B56746">
        <w:rPr>
          <w:color w:val="auto"/>
          <w:lang w:val="en-AU" w:eastAsia="en-GB"/>
        </w:rPr>
        <w:lastRenderedPageBreak/>
        <w:t>industry</w:t>
      </w:r>
      <w:r w:rsidR="000410D9">
        <w:rPr>
          <w:color w:val="auto"/>
          <w:lang w:val="en-AU" w:eastAsia="en-GB"/>
        </w:rPr>
        <w:t xml:space="preserve"> reporting of potential</w:t>
      </w:r>
      <w:r w:rsidR="00104221">
        <w:rPr>
          <w:color w:val="auto"/>
          <w:lang w:val="en-AU" w:eastAsia="en-GB"/>
        </w:rPr>
        <w:t>ly</w:t>
      </w:r>
      <w:r w:rsidR="000410D9">
        <w:rPr>
          <w:color w:val="auto"/>
          <w:lang w:val="en-AU" w:eastAsia="en-GB"/>
        </w:rPr>
        <w:t xml:space="preserve"> </w:t>
      </w:r>
      <w:r w:rsidR="000B5C96">
        <w:rPr>
          <w:color w:val="auto"/>
          <w:lang w:val="en-AU" w:eastAsia="en-GB"/>
        </w:rPr>
        <w:t xml:space="preserve">illegal </w:t>
      </w:r>
      <w:r w:rsidR="000C2F84">
        <w:rPr>
          <w:color w:val="auto"/>
          <w:lang w:val="en-AU" w:eastAsia="en-GB"/>
        </w:rPr>
        <w:t xml:space="preserve">or suspicious </w:t>
      </w:r>
      <w:r w:rsidR="000410D9">
        <w:rPr>
          <w:color w:val="auto"/>
          <w:lang w:val="en-AU" w:eastAsia="en-GB"/>
        </w:rPr>
        <w:t>activities</w:t>
      </w:r>
      <w:r w:rsidR="00A43CD0">
        <w:rPr>
          <w:color w:val="auto"/>
          <w:lang w:val="en-AU" w:eastAsia="en-GB"/>
        </w:rPr>
        <w:t xml:space="preserve"> </w:t>
      </w:r>
      <w:r w:rsidR="00C115FE">
        <w:rPr>
          <w:color w:val="auto"/>
          <w:lang w:val="en-AU" w:eastAsia="en-GB"/>
        </w:rPr>
        <w:t xml:space="preserve">in relation to controlled substances </w:t>
      </w:r>
      <w:r w:rsidR="00A43CD0">
        <w:rPr>
          <w:color w:val="auto"/>
          <w:lang w:val="en-AU" w:eastAsia="en-GB"/>
        </w:rPr>
        <w:t>to authorities</w:t>
      </w:r>
      <w:r w:rsidR="00D37B22">
        <w:rPr>
          <w:color w:val="auto"/>
          <w:lang w:val="en-AU" w:eastAsia="en-GB"/>
        </w:rPr>
        <w:t>.</w:t>
      </w:r>
    </w:p>
    <w:p w14:paraId="3064CC24" w14:textId="52635A0A" w:rsidR="00A01E99" w:rsidRPr="00A01E99" w:rsidRDefault="00ED5C22" w:rsidP="00751ECE">
      <w:pPr>
        <w:pStyle w:val="Heading3"/>
      </w:pPr>
      <w:bookmarkStart w:id="181" w:name="_Toc73045638"/>
      <w:r>
        <w:t>5.4.</w:t>
      </w:r>
      <w:r w:rsidR="007261CC">
        <w:t>3</w:t>
      </w:r>
      <w:r w:rsidR="002828D5">
        <w:tab/>
      </w:r>
      <w:r w:rsidR="00A01E99" w:rsidRPr="00A01E99">
        <w:t>CFC</w:t>
      </w:r>
      <w:r w:rsidR="00DA6581">
        <w:t>-</w:t>
      </w:r>
      <w:r w:rsidR="00A01E99" w:rsidRPr="00A01E99">
        <w:t>11 fingerprinting</w:t>
      </w:r>
      <w:r w:rsidR="000B0ECD">
        <w:t xml:space="preserve"> </w:t>
      </w:r>
      <w:r w:rsidR="00C668C9">
        <w:t xml:space="preserve">as a </w:t>
      </w:r>
      <w:r w:rsidR="00B62399">
        <w:t xml:space="preserve">detection </w:t>
      </w:r>
      <w:r w:rsidR="00C668C9">
        <w:t xml:space="preserve">method </w:t>
      </w:r>
      <w:r w:rsidR="00FB0E84">
        <w:t>to</w:t>
      </w:r>
      <w:r w:rsidR="00C668C9">
        <w:t xml:space="preserve"> identify production sources</w:t>
      </w:r>
      <w:bookmarkEnd w:id="181"/>
      <w:r w:rsidR="00A908DC">
        <w:t xml:space="preserve"> </w:t>
      </w:r>
    </w:p>
    <w:p w14:paraId="25F84FAE" w14:textId="77BAC1D3" w:rsidR="00A01E99" w:rsidRPr="00A01E99" w:rsidRDefault="00A01E99" w:rsidP="00A01E99">
      <w:pPr>
        <w:rPr>
          <w:lang w:eastAsia="fr-FR"/>
        </w:rPr>
      </w:pPr>
      <w:r w:rsidRPr="00A01E99">
        <w:rPr>
          <w:lang w:eastAsia="fr-FR"/>
        </w:rPr>
        <w:t xml:space="preserve">The relative levels of impurities in a substance (its impurity profile) can, in theory, be used to inform on the production route </w:t>
      </w:r>
      <w:r w:rsidR="001F019C">
        <w:rPr>
          <w:lang w:eastAsia="fr-FR"/>
        </w:rPr>
        <w:t xml:space="preserve">used </w:t>
      </w:r>
      <w:r w:rsidRPr="00A01E99">
        <w:rPr>
          <w:lang w:eastAsia="fr-FR"/>
        </w:rPr>
        <w:t xml:space="preserve">for the substance and even potentially the exact production facility </w:t>
      </w:r>
      <w:r w:rsidR="0064073B">
        <w:rPr>
          <w:lang w:eastAsia="fr-FR"/>
        </w:rPr>
        <w:t>utilised</w:t>
      </w:r>
      <w:r w:rsidRPr="00A01E99">
        <w:rPr>
          <w:lang w:eastAsia="fr-FR"/>
        </w:rPr>
        <w:t>. However, in most cases the numerous factors that impact on a substance’s impurity profile vary to such a degree that only a weak correlation exists between a substance impurity profile and its precise origin.</w:t>
      </w:r>
    </w:p>
    <w:p w14:paraId="42158E71" w14:textId="4B352F2E" w:rsidR="00A01E99" w:rsidRPr="00A01E99" w:rsidRDefault="0070015D" w:rsidP="00A01E99">
      <w:pPr>
        <w:rPr>
          <w:lang w:eastAsia="fr-FR"/>
        </w:rPr>
      </w:pPr>
      <w:r>
        <w:rPr>
          <w:lang w:eastAsia="fr-FR"/>
        </w:rPr>
        <w:t>The factors that determine the i</w:t>
      </w:r>
      <w:r w:rsidR="00A01E99" w:rsidRPr="00A01E99">
        <w:rPr>
          <w:lang w:eastAsia="fr-FR"/>
        </w:rPr>
        <w:t xml:space="preserve">mpurities present in ODS </w:t>
      </w:r>
      <w:r w:rsidRPr="00A01E99">
        <w:rPr>
          <w:lang w:eastAsia="fr-FR"/>
        </w:rPr>
        <w:t>includ</w:t>
      </w:r>
      <w:r>
        <w:rPr>
          <w:lang w:eastAsia="fr-FR"/>
        </w:rPr>
        <w:t>e</w:t>
      </w:r>
      <w:r w:rsidRPr="00A01E99">
        <w:rPr>
          <w:lang w:eastAsia="fr-FR"/>
        </w:rPr>
        <w:t xml:space="preserve"> </w:t>
      </w:r>
      <w:r w:rsidR="00A01E99" w:rsidRPr="00A01E99">
        <w:rPr>
          <w:lang w:eastAsia="fr-FR"/>
        </w:rPr>
        <w:t>production route, impurities in the feedstock, reactor operation, catalyst condition, post</w:t>
      </w:r>
      <w:r w:rsidR="002C4A04">
        <w:rPr>
          <w:lang w:eastAsia="fr-FR"/>
        </w:rPr>
        <w:t>-</w:t>
      </w:r>
      <w:r w:rsidR="00A01E99" w:rsidRPr="00A01E99">
        <w:rPr>
          <w:lang w:eastAsia="fr-FR"/>
        </w:rPr>
        <w:t>reaction processing, post</w:t>
      </w:r>
      <w:r w:rsidR="002C4A04">
        <w:rPr>
          <w:lang w:eastAsia="fr-FR"/>
        </w:rPr>
        <w:t>-</w:t>
      </w:r>
      <w:r w:rsidR="00A01E99" w:rsidRPr="00A01E99">
        <w:rPr>
          <w:lang w:eastAsia="fr-FR"/>
        </w:rPr>
        <w:t>production handling and storage.</w:t>
      </w:r>
      <w:r w:rsidR="006D1C79">
        <w:rPr>
          <w:lang w:eastAsia="fr-FR"/>
        </w:rPr>
        <w:t xml:space="preserve"> </w:t>
      </w:r>
      <w:r w:rsidR="00A01E99" w:rsidRPr="00A01E99">
        <w:rPr>
          <w:lang w:eastAsia="fr-FR"/>
        </w:rPr>
        <w:t xml:space="preserve">Changes to any of these factors will have an impact on the impurity profile of the product. Additional variations in the measured impurity profile can also arise from differences in sampling and analysis techniques. </w:t>
      </w:r>
    </w:p>
    <w:p w14:paraId="500662C9" w14:textId="024EF8EB" w:rsidR="00A01E99" w:rsidRPr="00A01E99" w:rsidRDefault="00A01E99" w:rsidP="00A01E99">
      <w:pPr>
        <w:rPr>
          <w:lang w:eastAsia="fr-FR"/>
        </w:rPr>
      </w:pPr>
      <w:r w:rsidRPr="00A01E99">
        <w:rPr>
          <w:lang w:eastAsia="fr-FR"/>
        </w:rPr>
        <w:t>Substances that are produced on an integrated site</w:t>
      </w:r>
      <w:r w:rsidR="00411C7B">
        <w:rPr>
          <w:lang w:eastAsia="fr-FR"/>
        </w:rPr>
        <w:t>,</w:t>
      </w:r>
      <w:r w:rsidRPr="00A01E99">
        <w:rPr>
          <w:lang w:eastAsia="fr-FR"/>
        </w:rPr>
        <w:t xml:space="preserve"> with tight specification</w:t>
      </w:r>
      <w:r w:rsidR="00411C7B">
        <w:rPr>
          <w:lang w:eastAsia="fr-FR"/>
        </w:rPr>
        <w:t>s</w:t>
      </w:r>
      <w:r w:rsidRPr="00A01E99">
        <w:rPr>
          <w:lang w:eastAsia="fr-FR"/>
        </w:rPr>
        <w:t xml:space="preserve"> for the feedstocks used and a stable</w:t>
      </w:r>
      <w:r w:rsidR="002C4A04">
        <w:rPr>
          <w:lang w:eastAsia="fr-FR"/>
        </w:rPr>
        <w:t>,</w:t>
      </w:r>
      <w:r w:rsidRPr="00A01E99">
        <w:rPr>
          <w:lang w:eastAsia="fr-FR"/>
        </w:rPr>
        <w:t xml:space="preserve"> well</w:t>
      </w:r>
      <w:r w:rsidR="002C4A04">
        <w:rPr>
          <w:lang w:eastAsia="fr-FR"/>
        </w:rPr>
        <w:t>-</w:t>
      </w:r>
      <w:r w:rsidRPr="00A01E99">
        <w:rPr>
          <w:lang w:eastAsia="fr-FR"/>
        </w:rPr>
        <w:t>controlled operation</w:t>
      </w:r>
      <w:r w:rsidR="00411C7B">
        <w:rPr>
          <w:lang w:eastAsia="fr-FR"/>
        </w:rPr>
        <w:t>,</w:t>
      </w:r>
      <w:r w:rsidRPr="00A01E99">
        <w:rPr>
          <w:lang w:eastAsia="fr-FR"/>
        </w:rPr>
        <w:t xml:space="preserve"> are likely to have the most consistent impurity profiles</w:t>
      </w:r>
      <w:r w:rsidR="00411C7B">
        <w:rPr>
          <w:lang w:eastAsia="fr-FR"/>
        </w:rPr>
        <w:t>.</w:t>
      </w:r>
      <w:r w:rsidR="00411C7B" w:rsidRPr="00A01E99">
        <w:rPr>
          <w:lang w:eastAsia="fr-FR"/>
        </w:rPr>
        <w:t xml:space="preserve"> </w:t>
      </w:r>
      <w:r w:rsidR="00411C7B">
        <w:rPr>
          <w:lang w:eastAsia="fr-FR"/>
        </w:rPr>
        <w:t>S</w:t>
      </w:r>
      <w:r w:rsidRPr="00A01E99">
        <w:rPr>
          <w:lang w:eastAsia="fr-FR"/>
        </w:rPr>
        <w:t xml:space="preserve">ubstances that are produced from spot feedstock purchases </w:t>
      </w:r>
      <w:r w:rsidR="00802388">
        <w:rPr>
          <w:lang w:eastAsia="fr-FR"/>
        </w:rPr>
        <w:t>via</w:t>
      </w:r>
      <w:r w:rsidR="00802388" w:rsidRPr="00A01E99">
        <w:rPr>
          <w:lang w:eastAsia="fr-FR"/>
        </w:rPr>
        <w:t xml:space="preserve"> </w:t>
      </w:r>
      <w:r w:rsidRPr="00A01E99">
        <w:rPr>
          <w:lang w:eastAsia="fr-FR"/>
        </w:rPr>
        <w:t>a number of different suppliers</w:t>
      </w:r>
      <w:r w:rsidR="00BB2885">
        <w:rPr>
          <w:lang w:eastAsia="fr-FR"/>
        </w:rPr>
        <w:t>,</w:t>
      </w:r>
      <w:r w:rsidRPr="00A01E99">
        <w:rPr>
          <w:lang w:eastAsia="fr-FR"/>
        </w:rPr>
        <w:t xml:space="preserve"> with manual or less tightly controlled process operations using a batch process where reactor conditions constantly change</w:t>
      </w:r>
      <w:r w:rsidR="00411C7B">
        <w:rPr>
          <w:lang w:eastAsia="fr-FR"/>
        </w:rPr>
        <w:t>,</w:t>
      </w:r>
      <w:r w:rsidRPr="00A01E99">
        <w:rPr>
          <w:lang w:eastAsia="fr-FR"/>
        </w:rPr>
        <w:t xml:space="preserve"> are likely to have far greater variability in their impurity profiles. </w:t>
      </w:r>
    </w:p>
    <w:p w14:paraId="20089BC7" w14:textId="06A32586" w:rsidR="00A01E99" w:rsidRPr="00A01E99" w:rsidRDefault="00A01E99" w:rsidP="00A01E99">
      <w:pPr>
        <w:rPr>
          <w:lang w:eastAsia="fr-FR"/>
        </w:rPr>
      </w:pPr>
      <w:r w:rsidRPr="00A01E99">
        <w:rPr>
          <w:lang w:eastAsia="fr-FR"/>
        </w:rPr>
        <w:t>For example, a micro</w:t>
      </w:r>
      <w:r w:rsidR="005D4C84">
        <w:rPr>
          <w:lang w:eastAsia="fr-FR"/>
        </w:rPr>
        <w:t>-</w:t>
      </w:r>
      <w:r w:rsidRPr="00A01E99">
        <w:rPr>
          <w:lang w:eastAsia="fr-FR"/>
        </w:rPr>
        <w:t xml:space="preserve"> CFC-11 production described in </w:t>
      </w:r>
      <w:r w:rsidR="005D4C84">
        <w:rPr>
          <w:lang w:eastAsia="fr-FR"/>
        </w:rPr>
        <w:t>C</w:t>
      </w:r>
      <w:r w:rsidRPr="005D4C84">
        <w:rPr>
          <w:lang w:eastAsia="fr-FR"/>
        </w:rPr>
        <w:t xml:space="preserve">hapter </w:t>
      </w:r>
      <w:r w:rsidR="005D4C84">
        <w:rPr>
          <w:lang w:eastAsia="fr-FR"/>
        </w:rPr>
        <w:t>3</w:t>
      </w:r>
      <w:r w:rsidRPr="00A01E99">
        <w:rPr>
          <w:lang w:eastAsia="fr-FR"/>
        </w:rPr>
        <w:t xml:space="preserve"> that uses poor quality CTC</w:t>
      </w:r>
      <w:r w:rsidR="00802388">
        <w:rPr>
          <w:lang w:eastAsia="fr-FR"/>
        </w:rPr>
        <w:t>,</w:t>
      </w:r>
      <w:r w:rsidRPr="00A01E99">
        <w:rPr>
          <w:lang w:eastAsia="fr-FR"/>
        </w:rPr>
        <w:t xml:space="preserve"> containing significant levels of </w:t>
      </w:r>
      <w:r w:rsidR="00802388">
        <w:rPr>
          <w:lang w:eastAsia="fr-FR"/>
        </w:rPr>
        <w:t>c</w:t>
      </w:r>
      <w:r w:rsidRPr="00A01E99">
        <w:rPr>
          <w:lang w:eastAsia="fr-FR"/>
        </w:rPr>
        <w:t>hloroform and manual operational controls</w:t>
      </w:r>
      <w:r w:rsidR="00802388">
        <w:rPr>
          <w:lang w:eastAsia="fr-FR"/>
        </w:rPr>
        <w:t>,</w:t>
      </w:r>
      <w:r w:rsidRPr="00A01E99">
        <w:rPr>
          <w:lang w:eastAsia="fr-FR"/>
        </w:rPr>
        <w:t xml:space="preserve"> may be expected to produce CFC-11 with elevated level of impurities</w:t>
      </w:r>
      <w:r w:rsidR="00802388">
        <w:rPr>
          <w:lang w:eastAsia="fr-FR"/>
        </w:rPr>
        <w:t>,</w:t>
      </w:r>
      <w:r w:rsidRPr="00A01E99">
        <w:rPr>
          <w:lang w:eastAsia="fr-FR"/>
        </w:rPr>
        <w:t xml:space="preserve"> such as HCFC-21 (originating from the chloroform in the CTC feedstock), CTC and CFC-12 (originating from the batch style process and manual process controls). Large</w:t>
      </w:r>
      <w:r w:rsidR="0087249A">
        <w:rPr>
          <w:lang w:eastAsia="fr-FR"/>
        </w:rPr>
        <w:t>-</w:t>
      </w:r>
      <w:r w:rsidRPr="00A01E99">
        <w:rPr>
          <w:lang w:eastAsia="fr-FR"/>
        </w:rPr>
        <w:t>scale</w:t>
      </w:r>
      <w:r w:rsidR="0087249A">
        <w:rPr>
          <w:lang w:eastAsia="fr-FR"/>
        </w:rPr>
        <w:t>,</w:t>
      </w:r>
      <w:r w:rsidRPr="00A01E99">
        <w:rPr>
          <w:lang w:eastAsia="fr-FR"/>
        </w:rPr>
        <w:t xml:space="preserve"> re-purposed</w:t>
      </w:r>
      <w:r w:rsidR="0087249A">
        <w:rPr>
          <w:lang w:eastAsia="fr-FR"/>
        </w:rPr>
        <w:t>,</w:t>
      </w:r>
      <w:r w:rsidRPr="00A01E99">
        <w:rPr>
          <w:lang w:eastAsia="fr-FR"/>
        </w:rPr>
        <w:t xml:space="preserve"> modern</w:t>
      </w:r>
      <w:r w:rsidR="0087249A">
        <w:rPr>
          <w:lang w:eastAsia="fr-FR"/>
        </w:rPr>
        <w:t>,</w:t>
      </w:r>
      <w:r w:rsidRPr="00A01E99">
        <w:rPr>
          <w:lang w:eastAsia="fr-FR"/>
        </w:rPr>
        <w:t xml:space="preserve"> well</w:t>
      </w:r>
      <w:r w:rsidR="0087249A">
        <w:rPr>
          <w:lang w:eastAsia="fr-FR"/>
        </w:rPr>
        <w:t>-</w:t>
      </w:r>
      <w:r w:rsidRPr="00A01E99">
        <w:rPr>
          <w:lang w:eastAsia="fr-FR"/>
        </w:rPr>
        <w:t>controlled HCFC plant that uses high quality CTC may be expected to produce CFC-11 with low levels of all impurities.</w:t>
      </w:r>
      <w:r w:rsidR="006D1C79">
        <w:rPr>
          <w:lang w:eastAsia="fr-FR"/>
        </w:rPr>
        <w:t xml:space="preserve"> </w:t>
      </w:r>
    </w:p>
    <w:p w14:paraId="458B481D" w14:textId="7FC9D7AB" w:rsidR="00A01E99" w:rsidRDefault="00A01E99" w:rsidP="00A01E99">
      <w:pPr>
        <w:rPr>
          <w:lang w:eastAsia="fr-FR"/>
        </w:rPr>
      </w:pPr>
      <w:r w:rsidRPr="00A01E99">
        <w:rPr>
          <w:lang w:eastAsia="fr-FR"/>
        </w:rPr>
        <w:t xml:space="preserve">Similarly, the further down the supply chain the ODS sample originates from other factors, such as contamination in storage or repackaging, blending and use, </w:t>
      </w:r>
      <w:r w:rsidR="00C87A28" w:rsidRPr="00C87A28">
        <w:rPr>
          <w:lang w:eastAsia="fr-FR"/>
        </w:rPr>
        <w:t>and decomposition of CFC-11 due to poor storage or absence of stab</w:t>
      </w:r>
      <w:r w:rsidR="00557F11">
        <w:rPr>
          <w:lang w:eastAsia="fr-FR"/>
        </w:rPr>
        <w:t>i</w:t>
      </w:r>
      <w:r w:rsidR="00C87A28" w:rsidRPr="00C87A28">
        <w:rPr>
          <w:lang w:eastAsia="fr-FR"/>
        </w:rPr>
        <w:t>liser</w:t>
      </w:r>
      <w:r w:rsidR="00DE6728">
        <w:rPr>
          <w:lang w:eastAsia="fr-FR"/>
        </w:rPr>
        <w:t>,</w:t>
      </w:r>
      <w:r w:rsidR="00C87A28" w:rsidRPr="00C87A28">
        <w:rPr>
          <w:lang w:eastAsia="fr-FR"/>
        </w:rPr>
        <w:t xml:space="preserve"> </w:t>
      </w:r>
      <w:r w:rsidRPr="00A01E99">
        <w:rPr>
          <w:lang w:eastAsia="fr-FR"/>
        </w:rPr>
        <w:t>can have an impact on the measured impurity profile.</w:t>
      </w:r>
    </w:p>
    <w:p w14:paraId="1B1E1945" w14:textId="477E7001" w:rsidR="002C6A2A" w:rsidRDefault="002C6A2A" w:rsidP="00A01E99">
      <w:pPr>
        <w:rPr>
          <w:lang w:eastAsia="fr-FR"/>
        </w:rPr>
      </w:pPr>
      <w:r>
        <w:rPr>
          <w:lang w:eastAsia="fr-FR"/>
        </w:rPr>
        <w:t xml:space="preserve">In general, CFC-11 fingerprinting </w:t>
      </w:r>
      <w:r w:rsidR="00CD0119">
        <w:rPr>
          <w:lang w:eastAsia="fr-FR"/>
        </w:rPr>
        <w:t>would</w:t>
      </w:r>
      <w:r w:rsidR="00614BAC">
        <w:rPr>
          <w:lang w:eastAsia="fr-FR"/>
        </w:rPr>
        <w:t xml:space="preserve"> not </w:t>
      </w:r>
      <w:r w:rsidR="00CD0119">
        <w:rPr>
          <w:lang w:eastAsia="fr-FR"/>
        </w:rPr>
        <w:t xml:space="preserve">be </w:t>
      </w:r>
      <w:r w:rsidR="0006427E">
        <w:rPr>
          <w:lang w:eastAsia="fr-FR"/>
        </w:rPr>
        <w:t xml:space="preserve">considered </w:t>
      </w:r>
      <w:r w:rsidR="00614BAC">
        <w:rPr>
          <w:lang w:eastAsia="fr-FR"/>
        </w:rPr>
        <w:t xml:space="preserve">a </w:t>
      </w:r>
      <w:r w:rsidR="00AA428F">
        <w:rPr>
          <w:lang w:eastAsia="fr-FR"/>
        </w:rPr>
        <w:t xml:space="preserve">reliable </w:t>
      </w:r>
      <w:r w:rsidR="00A908DC">
        <w:rPr>
          <w:lang w:eastAsia="fr-FR"/>
        </w:rPr>
        <w:t xml:space="preserve">enforcement </w:t>
      </w:r>
      <w:r w:rsidR="00225DA7">
        <w:rPr>
          <w:lang w:eastAsia="fr-FR"/>
        </w:rPr>
        <w:t xml:space="preserve">method </w:t>
      </w:r>
      <w:r w:rsidR="00A908DC">
        <w:rPr>
          <w:lang w:eastAsia="fr-FR"/>
        </w:rPr>
        <w:t xml:space="preserve">to </w:t>
      </w:r>
      <w:r w:rsidR="00C86DC8">
        <w:rPr>
          <w:lang w:eastAsia="fr-FR"/>
        </w:rPr>
        <w:t>identify</w:t>
      </w:r>
      <w:r w:rsidR="00AD457C">
        <w:rPr>
          <w:lang w:eastAsia="fr-FR"/>
        </w:rPr>
        <w:t xml:space="preserve"> the </w:t>
      </w:r>
      <w:r w:rsidR="00F32D4D">
        <w:rPr>
          <w:lang w:eastAsia="fr-FR"/>
        </w:rPr>
        <w:t xml:space="preserve">potential </w:t>
      </w:r>
      <w:r w:rsidR="00AD457C">
        <w:rPr>
          <w:lang w:eastAsia="fr-FR"/>
        </w:rPr>
        <w:t>source of production of CFC-11</w:t>
      </w:r>
      <w:r w:rsidR="00F32D4D">
        <w:rPr>
          <w:lang w:eastAsia="fr-FR"/>
        </w:rPr>
        <w:t xml:space="preserve"> </w:t>
      </w:r>
      <w:r w:rsidR="00C86DC8">
        <w:rPr>
          <w:lang w:eastAsia="fr-FR"/>
        </w:rPr>
        <w:t xml:space="preserve">that might be </w:t>
      </w:r>
      <w:r w:rsidR="000F5DA6">
        <w:rPr>
          <w:lang w:eastAsia="fr-FR"/>
        </w:rPr>
        <w:t>discover</w:t>
      </w:r>
      <w:r w:rsidR="00F131CA">
        <w:rPr>
          <w:lang w:eastAsia="fr-FR"/>
        </w:rPr>
        <w:t>able</w:t>
      </w:r>
      <w:r w:rsidR="00F32D4D">
        <w:rPr>
          <w:lang w:eastAsia="fr-FR"/>
        </w:rPr>
        <w:t xml:space="preserve"> </w:t>
      </w:r>
      <w:r w:rsidR="000F5DA6">
        <w:rPr>
          <w:lang w:eastAsia="fr-FR"/>
        </w:rPr>
        <w:t>as</w:t>
      </w:r>
      <w:r w:rsidR="00F32D4D">
        <w:rPr>
          <w:lang w:eastAsia="fr-FR"/>
        </w:rPr>
        <w:t xml:space="preserve"> </w:t>
      </w:r>
      <w:r w:rsidR="00763A81">
        <w:rPr>
          <w:lang w:eastAsia="fr-FR"/>
        </w:rPr>
        <w:t xml:space="preserve">bulk raw material or </w:t>
      </w:r>
      <w:r w:rsidR="000F5DA6">
        <w:rPr>
          <w:lang w:eastAsia="fr-FR"/>
        </w:rPr>
        <w:t xml:space="preserve">in </w:t>
      </w:r>
      <w:r w:rsidR="00F32D4D">
        <w:rPr>
          <w:lang w:eastAsia="fr-FR"/>
        </w:rPr>
        <w:t xml:space="preserve">downstream </w:t>
      </w:r>
      <w:r w:rsidR="00763A81">
        <w:rPr>
          <w:lang w:eastAsia="fr-FR"/>
        </w:rPr>
        <w:t>applications</w:t>
      </w:r>
      <w:r w:rsidR="00AD457C">
        <w:rPr>
          <w:lang w:eastAsia="fr-FR"/>
        </w:rPr>
        <w:t>.</w:t>
      </w:r>
      <w:r w:rsidR="00614BAC">
        <w:rPr>
          <w:lang w:eastAsia="fr-FR"/>
        </w:rPr>
        <w:t xml:space="preserve"> </w:t>
      </w:r>
    </w:p>
    <w:p w14:paraId="110822A4" w14:textId="15C96005" w:rsidR="002313D4" w:rsidRPr="00E63512" w:rsidRDefault="008542F5" w:rsidP="00751ECE">
      <w:pPr>
        <w:pStyle w:val="Heading2"/>
      </w:pPr>
      <w:bookmarkStart w:id="182" w:name="_Toc73045639"/>
      <w:r w:rsidRPr="00450F64">
        <w:t>5.</w:t>
      </w:r>
      <w:r w:rsidR="00832308" w:rsidRPr="00450F64">
        <w:t>5</w:t>
      </w:r>
      <w:r w:rsidRPr="00450F64">
        <w:tab/>
        <w:t xml:space="preserve">Opportunities </w:t>
      </w:r>
      <w:r w:rsidR="006422C8" w:rsidRPr="00450F64">
        <w:t xml:space="preserve">for </w:t>
      </w:r>
      <w:r w:rsidRPr="00450F64">
        <w:t>potential recover</w:t>
      </w:r>
      <w:r w:rsidR="006422C8" w:rsidRPr="00450F64">
        <w:t>y</w:t>
      </w:r>
      <w:r w:rsidRPr="00450F64">
        <w:t xml:space="preserve"> </w:t>
      </w:r>
      <w:r w:rsidR="00815AB4">
        <w:t>and</w:t>
      </w:r>
      <w:r w:rsidR="00AA7972" w:rsidRPr="00450F64">
        <w:t xml:space="preserve"> </w:t>
      </w:r>
      <w:r w:rsidR="006422C8" w:rsidRPr="00450F64">
        <w:t xml:space="preserve">disposition of </w:t>
      </w:r>
      <w:r w:rsidRPr="00450F64">
        <w:t>CFC-11</w:t>
      </w:r>
      <w:r w:rsidR="00022B27" w:rsidRPr="008D08BF">
        <w:t xml:space="preserve"> in products</w:t>
      </w:r>
      <w:bookmarkEnd w:id="182"/>
    </w:p>
    <w:p w14:paraId="628FD02A" w14:textId="2752CAF9" w:rsidR="004A78CB" w:rsidRDefault="004A78CB" w:rsidP="004A78CB">
      <w:pPr>
        <w:rPr>
          <w:szCs w:val="22"/>
        </w:rPr>
      </w:pPr>
      <w:r>
        <w:rPr>
          <w:szCs w:val="22"/>
        </w:rPr>
        <w:t xml:space="preserve">CFC-11 </w:t>
      </w:r>
      <w:r w:rsidR="00240401">
        <w:rPr>
          <w:szCs w:val="22"/>
        </w:rPr>
        <w:t xml:space="preserve">product </w:t>
      </w:r>
      <w:r>
        <w:rPr>
          <w:szCs w:val="22"/>
        </w:rPr>
        <w:t xml:space="preserve">emissions from </w:t>
      </w:r>
      <w:r w:rsidR="00240401">
        <w:rPr>
          <w:szCs w:val="22"/>
        </w:rPr>
        <w:t>banks,</w:t>
      </w:r>
      <w:r>
        <w:rPr>
          <w:szCs w:val="22"/>
        </w:rPr>
        <w:t xml:space="preserve"> at </w:t>
      </w:r>
      <w:r w:rsidR="00D10041">
        <w:rPr>
          <w:szCs w:val="22"/>
        </w:rPr>
        <w:t>end-of-life</w:t>
      </w:r>
      <w:r>
        <w:rPr>
          <w:szCs w:val="22"/>
        </w:rPr>
        <w:t>, during waste processing, and from in</w:t>
      </w:r>
      <w:r w:rsidR="004D7C26">
        <w:rPr>
          <w:szCs w:val="22"/>
        </w:rPr>
        <w:t>active</w:t>
      </w:r>
      <w:r>
        <w:rPr>
          <w:szCs w:val="22"/>
        </w:rPr>
        <w:t xml:space="preserve"> banks of waste </w:t>
      </w:r>
      <w:r w:rsidR="00E042DC">
        <w:rPr>
          <w:szCs w:val="22"/>
        </w:rPr>
        <w:t xml:space="preserve">disposed </w:t>
      </w:r>
      <w:r>
        <w:rPr>
          <w:szCs w:val="22"/>
        </w:rPr>
        <w:t xml:space="preserve">in landfill, cause ozone layer depletion and delay recovery of the ozone layer. They also swell global atmospheric greenhouse gases that cause climate change. </w:t>
      </w:r>
    </w:p>
    <w:p w14:paraId="27763D45" w14:textId="77777777" w:rsidR="006805C3" w:rsidRDefault="006805C3" w:rsidP="006805C3">
      <w:pPr>
        <w:rPr>
          <w:szCs w:val="22"/>
        </w:rPr>
      </w:pPr>
      <w:r>
        <w:rPr>
          <w:szCs w:val="22"/>
        </w:rPr>
        <w:t xml:space="preserve">The SAP concluded in its 2018 Assessment Report that, </w:t>
      </w:r>
    </w:p>
    <w:p w14:paraId="7E193EB4" w14:textId="77777777" w:rsidR="006805C3" w:rsidRDefault="006805C3" w:rsidP="006805C3">
      <w:pPr>
        <w:rPr>
          <w:szCs w:val="22"/>
        </w:rPr>
      </w:pPr>
      <w:r>
        <w:rPr>
          <w:szCs w:val="22"/>
        </w:rPr>
        <w:t>“</w:t>
      </w:r>
      <w:r w:rsidRPr="00C00889">
        <w:rPr>
          <w:i/>
          <w:iCs/>
          <w:szCs w:val="22"/>
        </w:rPr>
        <w:t xml:space="preserve">Emissions from current ODS banks continue to be a slightly larger future contribution than ODS production to ozone layer depletion over the next four decades, assuming maximum production levels allowed by the Montreal Protocol. Future business-as-usual emissions from </w:t>
      </w:r>
      <w:r w:rsidRPr="00C00889">
        <w:rPr>
          <w:i/>
          <w:iCs/>
          <w:szCs w:val="22"/>
        </w:rPr>
        <w:lastRenderedPageBreak/>
        <w:t>HCFCs and from banks of CFCs and banks of halons are each projected to contribute roughly comparable amounts to EESC in the next few decades.</w:t>
      </w:r>
      <w:r>
        <w:rPr>
          <w:szCs w:val="22"/>
        </w:rPr>
        <w:t>”</w:t>
      </w:r>
    </w:p>
    <w:p w14:paraId="298779E6" w14:textId="01312211" w:rsidR="006805C3" w:rsidRDefault="006805C3" w:rsidP="006805C3">
      <w:pPr>
        <w:rPr>
          <w:szCs w:val="22"/>
        </w:rPr>
      </w:pPr>
      <w:r>
        <w:rPr>
          <w:szCs w:val="22"/>
        </w:rPr>
        <w:t xml:space="preserve">While the phase-out of production of ozone-depleting substances under the Montreal Protocol </w:t>
      </w:r>
      <w:r w:rsidR="007B61D2">
        <w:rPr>
          <w:szCs w:val="22"/>
        </w:rPr>
        <w:t>has mitig</w:t>
      </w:r>
      <w:r w:rsidR="006C1BB3">
        <w:rPr>
          <w:szCs w:val="22"/>
        </w:rPr>
        <w:t>ated,</w:t>
      </w:r>
      <w:r w:rsidR="007B61D2">
        <w:rPr>
          <w:szCs w:val="22"/>
        </w:rPr>
        <w:t xml:space="preserve"> and </w:t>
      </w:r>
      <w:r>
        <w:rPr>
          <w:szCs w:val="22"/>
        </w:rPr>
        <w:t xml:space="preserve">will </w:t>
      </w:r>
      <w:r w:rsidR="007B61D2">
        <w:rPr>
          <w:szCs w:val="22"/>
        </w:rPr>
        <w:t xml:space="preserve">continue to </w:t>
      </w:r>
      <w:r>
        <w:rPr>
          <w:szCs w:val="22"/>
        </w:rPr>
        <w:t>mitigate</w:t>
      </w:r>
      <w:r w:rsidR="006C1BB3">
        <w:rPr>
          <w:szCs w:val="22"/>
        </w:rPr>
        <w:t>,</w:t>
      </w:r>
      <w:r>
        <w:rPr>
          <w:szCs w:val="22"/>
        </w:rPr>
        <w:t xml:space="preserve"> ozone layer depletion, what are the </w:t>
      </w:r>
      <w:r w:rsidR="00581827">
        <w:rPr>
          <w:szCs w:val="22"/>
        </w:rPr>
        <w:t xml:space="preserve">current </w:t>
      </w:r>
      <w:r>
        <w:rPr>
          <w:szCs w:val="22"/>
        </w:rPr>
        <w:t xml:space="preserve">opportunities (and </w:t>
      </w:r>
      <w:r w:rsidR="005335AE">
        <w:rPr>
          <w:szCs w:val="22"/>
        </w:rPr>
        <w:t>challenges</w:t>
      </w:r>
      <w:r>
        <w:rPr>
          <w:szCs w:val="22"/>
        </w:rPr>
        <w:t xml:space="preserve">) for recovery of </w:t>
      </w:r>
      <w:r w:rsidR="000B5DBE">
        <w:rPr>
          <w:szCs w:val="22"/>
        </w:rPr>
        <w:t xml:space="preserve">CFC-11 </w:t>
      </w:r>
      <w:r w:rsidR="002F2113">
        <w:rPr>
          <w:szCs w:val="22"/>
        </w:rPr>
        <w:t xml:space="preserve">in </w:t>
      </w:r>
      <w:r w:rsidR="000B5DBE">
        <w:rPr>
          <w:szCs w:val="22"/>
        </w:rPr>
        <w:t>products</w:t>
      </w:r>
      <w:r>
        <w:rPr>
          <w:szCs w:val="22"/>
        </w:rPr>
        <w:t xml:space="preserve"> </w:t>
      </w:r>
      <w:r w:rsidR="00581827">
        <w:rPr>
          <w:szCs w:val="22"/>
        </w:rPr>
        <w:t>t</w:t>
      </w:r>
      <w:r w:rsidR="003F3BE8">
        <w:rPr>
          <w:szCs w:val="22"/>
        </w:rPr>
        <w:t>hat would</w:t>
      </w:r>
      <w:r>
        <w:rPr>
          <w:szCs w:val="22"/>
        </w:rPr>
        <w:t xml:space="preserve"> prevent emissions and damage to the ozone layer?</w:t>
      </w:r>
    </w:p>
    <w:p w14:paraId="647C7977" w14:textId="77C8D233" w:rsidR="00590379" w:rsidRDefault="00F27777" w:rsidP="007A05E6">
      <w:pPr>
        <w:rPr>
          <w:szCs w:val="22"/>
        </w:rPr>
      </w:pPr>
      <w:r>
        <w:t xml:space="preserve">This report, and its companion 2019 </w:t>
      </w:r>
      <w:r w:rsidR="00A50106">
        <w:t>Task Force Report</w:t>
      </w:r>
      <w:r>
        <w:t xml:space="preserve">, provide new TEAP estimates of the quantity of CFC-11 that will be emitted over time from </w:t>
      </w:r>
      <w:r w:rsidR="00D636A1">
        <w:t>active</w:t>
      </w:r>
      <w:r>
        <w:t xml:space="preserve"> and </w:t>
      </w:r>
      <w:r w:rsidR="00D636A1">
        <w:t>inactive</w:t>
      </w:r>
      <w:r>
        <w:t xml:space="preserve"> banks</w:t>
      </w:r>
      <w:r w:rsidR="00233770">
        <w:t xml:space="preserve">, and an estimate of additional </w:t>
      </w:r>
      <w:r w:rsidR="00233770">
        <w:rPr>
          <w:lang w:val="en-AU"/>
        </w:rPr>
        <w:t>bank resulting from unreported CFC-11 production and use</w:t>
      </w:r>
      <w:r>
        <w:t xml:space="preserve">. </w:t>
      </w:r>
      <w:r w:rsidR="007D7515">
        <w:t xml:space="preserve">Recent </w:t>
      </w:r>
      <w:r w:rsidR="0049623B">
        <w:t>studies</w:t>
      </w:r>
      <w:r w:rsidR="00187DC2">
        <w:t xml:space="preserve"> by </w:t>
      </w:r>
      <w:proofErr w:type="spellStart"/>
      <w:r w:rsidR="00187DC2">
        <w:t>L</w:t>
      </w:r>
      <w:r w:rsidR="003B0418">
        <w:t>i</w:t>
      </w:r>
      <w:r w:rsidR="00187DC2">
        <w:t>ckey</w:t>
      </w:r>
      <w:proofErr w:type="spellEnd"/>
      <w:r w:rsidR="00187DC2">
        <w:t xml:space="preserve"> </w:t>
      </w:r>
      <w:r w:rsidR="00187DC2" w:rsidRPr="00043208">
        <w:rPr>
          <w:i/>
          <w:iCs/>
        </w:rPr>
        <w:t>et</w:t>
      </w:r>
      <w:r w:rsidR="003B0418" w:rsidRPr="00043208">
        <w:rPr>
          <w:i/>
          <w:iCs/>
        </w:rPr>
        <w:t xml:space="preserve"> al</w:t>
      </w:r>
      <w:r w:rsidR="003B0418">
        <w:t>.</w:t>
      </w:r>
      <w:r w:rsidR="00384954">
        <w:rPr>
          <w:rStyle w:val="FootnoteReference"/>
          <w:szCs w:val="22"/>
        </w:rPr>
        <w:footnoteReference w:id="119"/>
      </w:r>
      <w:r w:rsidR="00BC1EAA">
        <w:t>,</w:t>
      </w:r>
      <w:r w:rsidR="0049623B">
        <w:t xml:space="preserve"> and </w:t>
      </w:r>
      <w:r w:rsidR="00FA21FB">
        <w:t>related commentaries</w:t>
      </w:r>
      <w:r w:rsidR="00C40F93">
        <w:rPr>
          <w:rStyle w:val="FootnoteReference"/>
          <w:szCs w:val="22"/>
        </w:rPr>
        <w:footnoteReference w:id="120"/>
      </w:r>
      <w:r w:rsidR="00BC1EAA">
        <w:t>,</w:t>
      </w:r>
      <w:r w:rsidR="0049623B">
        <w:t xml:space="preserve"> point to the </w:t>
      </w:r>
      <w:r w:rsidR="00F570DE">
        <w:t xml:space="preserve">environmental </w:t>
      </w:r>
      <w:r w:rsidR="00102CBA">
        <w:t xml:space="preserve">legacy </w:t>
      </w:r>
      <w:r w:rsidR="00840DF6">
        <w:t>of</w:t>
      </w:r>
      <w:r w:rsidR="00F570DE">
        <w:t>,</w:t>
      </w:r>
      <w:r w:rsidR="00840DF6">
        <w:t xml:space="preserve"> </w:t>
      </w:r>
      <w:r w:rsidR="00102CBA">
        <w:t xml:space="preserve">and </w:t>
      </w:r>
      <w:r w:rsidR="0049623B">
        <w:t>opportunit</w:t>
      </w:r>
      <w:r w:rsidR="00F570DE">
        <w:t>y</w:t>
      </w:r>
      <w:r w:rsidR="0049623B">
        <w:t xml:space="preserve"> </w:t>
      </w:r>
      <w:r w:rsidR="00752AA1">
        <w:t xml:space="preserve">and imperative </w:t>
      </w:r>
      <w:r w:rsidR="0049623B">
        <w:t>to address</w:t>
      </w:r>
      <w:r w:rsidR="00B33D22">
        <w:t>,</w:t>
      </w:r>
      <w:r w:rsidR="0049623B">
        <w:t xml:space="preserve"> emissions from </w:t>
      </w:r>
      <w:r w:rsidR="00FA21FB">
        <w:t xml:space="preserve">ODS </w:t>
      </w:r>
      <w:r w:rsidR="0049623B">
        <w:t>banks.</w:t>
      </w:r>
      <w:r w:rsidR="00102CBA">
        <w:t xml:space="preserve"> </w:t>
      </w:r>
      <w:proofErr w:type="spellStart"/>
      <w:r w:rsidR="00222D3A">
        <w:t>Lickley</w:t>
      </w:r>
      <w:proofErr w:type="spellEnd"/>
      <w:r w:rsidR="007A05E6">
        <w:t xml:space="preserve"> </w:t>
      </w:r>
      <w:r w:rsidR="00222D3A" w:rsidRPr="00450F64">
        <w:rPr>
          <w:i/>
        </w:rPr>
        <w:t>et al.</w:t>
      </w:r>
      <w:r w:rsidR="00222D3A">
        <w:t xml:space="preserve"> </w:t>
      </w:r>
      <w:r w:rsidR="00021E97">
        <w:t xml:space="preserve">also </w:t>
      </w:r>
      <w:r w:rsidR="00222D3A">
        <w:t>report</w:t>
      </w:r>
      <w:r w:rsidR="007A05E6">
        <w:t xml:space="preserve"> that </w:t>
      </w:r>
      <w:r w:rsidR="00222D3A">
        <w:t>CFCs, including CFC-11,</w:t>
      </w:r>
      <w:r w:rsidR="007A05E6">
        <w:t xml:space="preserve"> </w:t>
      </w:r>
      <w:r w:rsidR="00DE6E8E">
        <w:t xml:space="preserve">were </w:t>
      </w:r>
      <w:r w:rsidR="00222D3A">
        <w:t>being emitted from banks</w:t>
      </w:r>
      <w:r w:rsidR="007A05E6">
        <w:t xml:space="preserve"> in greater quantities than had </w:t>
      </w:r>
      <w:r w:rsidR="00222D3A">
        <w:t xml:space="preserve">previously </w:t>
      </w:r>
      <w:r w:rsidR="00BC1EAA">
        <w:t xml:space="preserve">been </w:t>
      </w:r>
      <w:r w:rsidR="007A05E6">
        <w:t>estimated</w:t>
      </w:r>
      <w:r w:rsidR="006945DF">
        <w:t xml:space="preserve"> and b</w:t>
      </w:r>
      <w:r w:rsidR="00761C06">
        <w:t xml:space="preserve">ank emissions </w:t>
      </w:r>
      <w:r w:rsidR="00E5739C">
        <w:t>were</w:t>
      </w:r>
      <w:r w:rsidR="00761C06">
        <w:t xml:space="preserve"> estimated to </w:t>
      </w:r>
      <w:r w:rsidR="007A05E6">
        <w:t xml:space="preserve">delay ozone </w:t>
      </w:r>
      <w:r w:rsidR="00794C61">
        <w:t xml:space="preserve">layer </w:t>
      </w:r>
      <w:r w:rsidR="007A05E6">
        <w:t>recovery by six years</w:t>
      </w:r>
      <w:r w:rsidR="00761C06">
        <w:t xml:space="preserve"> </w:t>
      </w:r>
      <w:r w:rsidR="00B45A06">
        <w:t>and contribute</w:t>
      </w:r>
      <w:r w:rsidR="007A05E6">
        <w:t xml:space="preserve"> </w:t>
      </w:r>
      <w:r w:rsidR="00761C06">
        <w:t>9</w:t>
      </w:r>
      <w:r w:rsidR="007A05E6">
        <w:t xml:space="preserve"> billion tonnes of carbon dioxide </w:t>
      </w:r>
      <w:r w:rsidR="0008799B">
        <w:t xml:space="preserve">equivalent </w:t>
      </w:r>
      <w:r w:rsidR="007A05E6">
        <w:t>to the atmosphere</w:t>
      </w:r>
      <w:r w:rsidR="00761C06">
        <w:t>.</w:t>
      </w:r>
      <w:r w:rsidR="00956984">
        <w:t xml:space="preserve"> </w:t>
      </w:r>
    </w:p>
    <w:p w14:paraId="6E292C12" w14:textId="1E2F90A7" w:rsidR="00895272" w:rsidRDefault="00D636A1" w:rsidP="007A05E6">
      <w:pPr>
        <w:rPr>
          <w:szCs w:val="22"/>
        </w:rPr>
      </w:pPr>
      <w:r>
        <w:rPr>
          <w:szCs w:val="22"/>
        </w:rPr>
        <w:t>Active</w:t>
      </w:r>
      <w:r w:rsidR="006A1524">
        <w:rPr>
          <w:szCs w:val="22"/>
        </w:rPr>
        <w:t xml:space="preserve"> </w:t>
      </w:r>
      <w:r w:rsidR="000635D0">
        <w:rPr>
          <w:szCs w:val="22"/>
        </w:rPr>
        <w:t xml:space="preserve">CFC-11 </w:t>
      </w:r>
      <w:r w:rsidR="00956984">
        <w:rPr>
          <w:szCs w:val="22"/>
        </w:rPr>
        <w:t xml:space="preserve">banks are </w:t>
      </w:r>
      <w:r w:rsidR="006A1524">
        <w:rPr>
          <w:szCs w:val="22"/>
        </w:rPr>
        <w:t>fulfilling</w:t>
      </w:r>
      <w:r w:rsidR="00956984">
        <w:rPr>
          <w:szCs w:val="22"/>
        </w:rPr>
        <w:t xml:space="preserve"> their intended </w:t>
      </w:r>
      <w:r w:rsidR="00B509FD">
        <w:rPr>
          <w:szCs w:val="22"/>
        </w:rPr>
        <w:t xml:space="preserve">technical and economic </w:t>
      </w:r>
      <w:r w:rsidR="00956984">
        <w:rPr>
          <w:szCs w:val="22"/>
        </w:rPr>
        <w:t xml:space="preserve">purpose, </w:t>
      </w:r>
      <w:r w:rsidR="006847C0">
        <w:rPr>
          <w:szCs w:val="22"/>
        </w:rPr>
        <w:t>providing insulati</w:t>
      </w:r>
      <w:r w:rsidR="00957EF5">
        <w:rPr>
          <w:szCs w:val="22"/>
        </w:rPr>
        <w:t>on or air conditioning</w:t>
      </w:r>
      <w:r w:rsidR="006A1524">
        <w:rPr>
          <w:szCs w:val="22"/>
        </w:rPr>
        <w:t xml:space="preserve"> for the </w:t>
      </w:r>
      <w:r w:rsidR="00C976ED">
        <w:rPr>
          <w:szCs w:val="22"/>
        </w:rPr>
        <w:t xml:space="preserve">duration of </w:t>
      </w:r>
      <w:r w:rsidR="00A03FEC">
        <w:rPr>
          <w:szCs w:val="22"/>
        </w:rPr>
        <w:t>their</w:t>
      </w:r>
      <w:r w:rsidR="00C976ED">
        <w:rPr>
          <w:szCs w:val="22"/>
        </w:rPr>
        <w:t xml:space="preserve"> </w:t>
      </w:r>
      <w:r w:rsidR="0059366B">
        <w:rPr>
          <w:szCs w:val="22"/>
        </w:rPr>
        <w:t xml:space="preserve">useful </w:t>
      </w:r>
      <w:r w:rsidR="006A1524">
        <w:rPr>
          <w:szCs w:val="22"/>
        </w:rPr>
        <w:t>lifetime</w:t>
      </w:r>
      <w:r w:rsidR="0059366B">
        <w:rPr>
          <w:szCs w:val="22"/>
        </w:rPr>
        <w:t>;</w:t>
      </w:r>
      <w:r w:rsidR="00957EF5">
        <w:rPr>
          <w:szCs w:val="22"/>
        </w:rPr>
        <w:t xml:space="preserve"> </w:t>
      </w:r>
      <w:r w:rsidR="000A6A6E">
        <w:rPr>
          <w:szCs w:val="22"/>
        </w:rPr>
        <w:t xml:space="preserve">associated </w:t>
      </w:r>
      <w:r w:rsidR="00F75510">
        <w:rPr>
          <w:szCs w:val="22"/>
        </w:rPr>
        <w:t xml:space="preserve">lifetime </w:t>
      </w:r>
      <w:r w:rsidR="000A6A6E">
        <w:rPr>
          <w:szCs w:val="22"/>
        </w:rPr>
        <w:t xml:space="preserve">CFC-11 </w:t>
      </w:r>
      <w:r w:rsidR="00A62A31">
        <w:rPr>
          <w:szCs w:val="22"/>
        </w:rPr>
        <w:t xml:space="preserve">emissions </w:t>
      </w:r>
      <w:r w:rsidR="00E92CD4">
        <w:rPr>
          <w:szCs w:val="22"/>
        </w:rPr>
        <w:t xml:space="preserve">are </w:t>
      </w:r>
      <w:r w:rsidR="00A62A31">
        <w:rPr>
          <w:szCs w:val="22"/>
        </w:rPr>
        <w:t>a</w:t>
      </w:r>
      <w:r w:rsidR="00A33B92">
        <w:rPr>
          <w:szCs w:val="22"/>
        </w:rPr>
        <w:t xml:space="preserve"> </w:t>
      </w:r>
      <w:r w:rsidR="00792873">
        <w:rPr>
          <w:szCs w:val="22"/>
        </w:rPr>
        <w:t>repercussion</w:t>
      </w:r>
      <w:r w:rsidR="008D2DC0">
        <w:rPr>
          <w:szCs w:val="22"/>
        </w:rPr>
        <w:t xml:space="preserve"> of those beneficial </w:t>
      </w:r>
      <w:r w:rsidR="00827D17">
        <w:rPr>
          <w:szCs w:val="22"/>
        </w:rPr>
        <w:t>outcomes</w:t>
      </w:r>
      <w:r w:rsidR="008D2DC0">
        <w:rPr>
          <w:szCs w:val="22"/>
        </w:rPr>
        <w:t xml:space="preserve">. </w:t>
      </w:r>
      <w:r w:rsidR="005E5653">
        <w:rPr>
          <w:szCs w:val="22"/>
        </w:rPr>
        <w:t>W</w:t>
      </w:r>
      <w:r w:rsidR="002842EC">
        <w:rPr>
          <w:szCs w:val="22"/>
        </w:rPr>
        <w:t xml:space="preserve">aste management </w:t>
      </w:r>
      <w:r w:rsidR="00A86648">
        <w:rPr>
          <w:szCs w:val="22"/>
        </w:rPr>
        <w:t xml:space="preserve">choices </w:t>
      </w:r>
      <w:r w:rsidR="007149D8">
        <w:rPr>
          <w:szCs w:val="22"/>
        </w:rPr>
        <w:t>determine</w:t>
      </w:r>
      <w:r w:rsidR="002842EC">
        <w:rPr>
          <w:szCs w:val="22"/>
        </w:rPr>
        <w:t xml:space="preserve"> </w:t>
      </w:r>
      <w:r w:rsidR="003569A7">
        <w:rPr>
          <w:szCs w:val="22"/>
        </w:rPr>
        <w:t xml:space="preserve">the </w:t>
      </w:r>
      <w:r w:rsidR="00966D39">
        <w:rPr>
          <w:szCs w:val="22"/>
        </w:rPr>
        <w:t>extent</w:t>
      </w:r>
      <w:r w:rsidR="00A24095">
        <w:rPr>
          <w:szCs w:val="22"/>
        </w:rPr>
        <w:t xml:space="preserve"> of</w:t>
      </w:r>
      <w:r w:rsidR="001B2172">
        <w:rPr>
          <w:szCs w:val="22"/>
        </w:rPr>
        <w:t xml:space="preserve"> </w:t>
      </w:r>
      <w:r w:rsidR="00A24095">
        <w:rPr>
          <w:szCs w:val="22"/>
        </w:rPr>
        <w:t xml:space="preserve">CFC-11 </w:t>
      </w:r>
      <w:r w:rsidR="005F70C0">
        <w:rPr>
          <w:szCs w:val="22"/>
        </w:rPr>
        <w:t>emissions</w:t>
      </w:r>
      <w:r w:rsidR="002842EC">
        <w:rPr>
          <w:szCs w:val="22"/>
        </w:rPr>
        <w:t xml:space="preserve"> </w:t>
      </w:r>
      <w:r w:rsidR="00094F04">
        <w:rPr>
          <w:szCs w:val="22"/>
        </w:rPr>
        <w:t xml:space="preserve">at </w:t>
      </w:r>
      <w:r w:rsidR="00F75510">
        <w:rPr>
          <w:szCs w:val="22"/>
        </w:rPr>
        <w:t xml:space="preserve">a product’s </w:t>
      </w:r>
      <w:r w:rsidR="00D10041">
        <w:rPr>
          <w:szCs w:val="22"/>
        </w:rPr>
        <w:t>end-of-life</w:t>
      </w:r>
      <w:r w:rsidR="002842EC">
        <w:rPr>
          <w:szCs w:val="22"/>
        </w:rPr>
        <w:t>.</w:t>
      </w:r>
      <w:r w:rsidR="00072655">
        <w:rPr>
          <w:szCs w:val="22"/>
        </w:rPr>
        <w:t xml:space="preserve"> </w:t>
      </w:r>
    </w:p>
    <w:p w14:paraId="222206FB" w14:textId="0BCE8BE3" w:rsidR="006C1BB3" w:rsidRDefault="00072655" w:rsidP="007A05E6">
      <w:pPr>
        <w:rPr>
          <w:szCs w:val="22"/>
        </w:rPr>
      </w:pPr>
      <w:r>
        <w:rPr>
          <w:szCs w:val="22"/>
        </w:rPr>
        <w:t xml:space="preserve">CFC-11 foam products </w:t>
      </w:r>
      <w:r w:rsidR="00A1529D">
        <w:rPr>
          <w:szCs w:val="22"/>
        </w:rPr>
        <w:t>produced prior to 2010</w:t>
      </w:r>
      <w:r w:rsidR="008A48E2">
        <w:rPr>
          <w:szCs w:val="22"/>
        </w:rPr>
        <w:t>,</w:t>
      </w:r>
      <w:r w:rsidR="00A1529D">
        <w:rPr>
          <w:szCs w:val="22"/>
        </w:rPr>
        <w:t xml:space="preserve"> </w:t>
      </w:r>
      <w:r w:rsidR="00010EDD">
        <w:rPr>
          <w:szCs w:val="22"/>
        </w:rPr>
        <w:t>with a lifetime of between 2</w:t>
      </w:r>
      <w:r w:rsidR="00C7197B">
        <w:rPr>
          <w:szCs w:val="22"/>
        </w:rPr>
        <w:t>0</w:t>
      </w:r>
      <w:r w:rsidR="00010EDD">
        <w:rPr>
          <w:szCs w:val="22"/>
        </w:rPr>
        <w:t xml:space="preserve"> to 50 years</w:t>
      </w:r>
      <w:r w:rsidR="008A48E2">
        <w:rPr>
          <w:szCs w:val="22"/>
        </w:rPr>
        <w:t>,</w:t>
      </w:r>
      <w:r w:rsidR="00010EDD">
        <w:rPr>
          <w:szCs w:val="22"/>
        </w:rPr>
        <w:t xml:space="preserve"> </w:t>
      </w:r>
      <w:r w:rsidR="003155A9">
        <w:rPr>
          <w:szCs w:val="22"/>
        </w:rPr>
        <w:t>have been, and will continue to,</w:t>
      </w:r>
      <w:r w:rsidR="00A1529D">
        <w:rPr>
          <w:szCs w:val="22"/>
        </w:rPr>
        <w:t xml:space="preserve"> reach their </w:t>
      </w:r>
      <w:r w:rsidR="00D10041">
        <w:rPr>
          <w:szCs w:val="22"/>
        </w:rPr>
        <w:t>end-of-life</w:t>
      </w:r>
      <w:r w:rsidR="00010EDD">
        <w:rPr>
          <w:szCs w:val="22"/>
        </w:rPr>
        <w:t xml:space="preserve">, providing opportunities for recovery and </w:t>
      </w:r>
      <w:r w:rsidR="00895272">
        <w:rPr>
          <w:szCs w:val="22"/>
        </w:rPr>
        <w:t>destruction</w:t>
      </w:r>
      <w:r w:rsidR="00A1529D">
        <w:rPr>
          <w:szCs w:val="22"/>
        </w:rPr>
        <w:t>.</w:t>
      </w:r>
      <w:r w:rsidR="007A3F2A">
        <w:rPr>
          <w:szCs w:val="22"/>
        </w:rPr>
        <w:t xml:space="preserve"> </w:t>
      </w:r>
      <w:r w:rsidR="006C1BB3">
        <w:rPr>
          <w:szCs w:val="22"/>
        </w:rPr>
        <w:t>I</w:t>
      </w:r>
      <w:r w:rsidR="006C1BB3" w:rsidRPr="006C1BB3">
        <w:rPr>
          <w:szCs w:val="22"/>
        </w:rPr>
        <w:t xml:space="preserve">llegally produced CFC-11 </w:t>
      </w:r>
      <w:r w:rsidR="00345CA7">
        <w:rPr>
          <w:szCs w:val="22"/>
        </w:rPr>
        <w:t>was</w:t>
      </w:r>
      <w:r w:rsidR="006C1BB3">
        <w:rPr>
          <w:szCs w:val="22"/>
        </w:rPr>
        <w:t xml:space="preserve"> </w:t>
      </w:r>
      <w:r w:rsidR="006C1BB3" w:rsidRPr="006C1BB3">
        <w:rPr>
          <w:szCs w:val="22"/>
        </w:rPr>
        <w:t xml:space="preserve">most likely </w:t>
      </w:r>
      <w:r w:rsidR="00D91732">
        <w:rPr>
          <w:szCs w:val="22"/>
        </w:rPr>
        <w:t xml:space="preserve">recently </w:t>
      </w:r>
      <w:r w:rsidR="006C1BB3" w:rsidRPr="006C1BB3">
        <w:rPr>
          <w:szCs w:val="22"/>
        </w:rPr>
        <w:t xml:space="preserve">used </w:t>
      </w:r>
      <w:r w:rsidR="00373E9C">
        <w:rPr>
          <w:szCs w:val="22"/>
        </w:rPr>
        <w:t>in</w:t>
      </w:r>
      <w:r w:rsidR="006C1BB3" w:rsidRPr="006C1BB3">
        <w:rPr>
          <w:szCs w:val="22"/>
        </w:rPr>
        <w:t xml:space="preserve"> insulation foam, which means that the </w:t>
      </w:r>
      <w:r w:rsidR="006C1BB3">
        <w:rPr>
          <w:szCs w:val="22"/>
        </w:rPr>
        <w:t xml:space="preserve">resulting foam </w:t>
      </w:r>
      <w:r w:rsidR="006C1BB3" w:rsidRPr="006C1BB3">
        <w:rPr>
          <w:szCs w:val="22"/>
        </w:rPr>
        <w:t>products</w:t>
      </w:r>
      <w:r w:rsidR="006C1BB3">
        <w:rPr>
          <w:szCs w:val="22"/>
        </w:rPr>
        <w:t>’</w:t>
      </w:r>
      <w:r w:rsidR="006C1BB3" w:rsidRPr="006C1BB3">
        <w:rPr>
          <w:szCs w:val="22"/>
        </w:rPr>
        <w:t xml:space="preserve"> </w:t>
      </w:r>
      <w:r w:rsidR="00D10041">
        <w:rPr>
          <w:szCs w:val="22"/>
        </w:rPr>
        <w:t>end-of-life</w:t>
      </w:r>
      <w:r w:rsidR="006C1BB3" w:rsidRPr="006C1BB3">
        <w:rPr>
          <w:szCs w:val="22"/>
        </w:rPr>
        <w:t xml:space="preserve"> could be in </w:t>
      </w:r>
      <w:r w:rsidR="006C1BB3">
        <w:rPr>
          <w:szCs w:val="22"/>
        </w:rPr>
        <w:t xml:space="preserve">another </w:t>
      </w:r>
      <w:r w:rsidR="006C1BB3" w:rsidRPr="006C1BB3">
        <w:rPr>
          <w:szCs w:val="22"/>
        </w:rPr>
        <w:t>20 to 50 years.</w:t>
      </w:r>
      <w:r w:rsidR="00A64639">
        <w:rPr>
          <w:szCs w:val="22"/>
        </w:rPr>
        <w:t xml:space="preserve"> </w:t>
      </w:r>
      <w:r w:rsidR="00273038">
        <w:rPr>
          <w:szCs w:val="22"/>
        </w:rPr>
        <w:t>R</w:t>
      </w:r>
      <w:r w:rsidR="006C1BB3" w:rsidRPr="006C1BB3">
        <w:rPr>
          <w:szCs w:val="22"/>
        </w:rPr>
        <w:t>ecycl</w:t>
      </w:r>
      <w:r w:rsidR="00E72932">
        <w:rPr>
          <w:szCs w:val="22"/>
        </w:rPr>
        <w:t>ing</w:t>
      </w:r>
      <w:r w:rsidR="005D2F99">
        <w:rPr>
          <w:szCs w:val="22"/>
        </w:rPr>
        <w:t xml:space="preserve"> or reclamation and reuse </w:t>
      </w:r>
      <w:r w:rsidR="00F411C1">
        <w:rPr>
          <w:szCs w:val="22"/>
        </w:rPr>
        <w:t>provide opportunities</w:t>
      </w:r>
      <w:r w:rsidR="006C1BB3" w:rsidRPr="006C1BB3">
        <w:rPr>
          <w:szCs w:val="22"/>
        </w:rPr>
        <w:t xml:space="preserve"> for CFC-11 used in </w:t>
      </w:r>
      <w:r w:rsidR="00013C3C">
        <w:rPr>
          <w:szCs w:val="22"/>
        </w:rPr>
        <w:t>centrifugal</w:t>
      </w:r>
      <w:r w:rsidR="006C1BB3" w:rsidRPr="006C1BB3">
        <w:rPr>
          <w:szCs w:val="22"/>
        </w:rPr>
        <w:t xml:space="preserve"> chillers, with </w:t>
      </w:r>
      <w:r w:rsidR="004A6779">
        <w:rPr>
          <w:szCs w:val="22"/>
        </w:rPr>
        <w:t>servic</w:t>
      </w:r>
      <w:r w:rsidR="008061F1">
        <w:rPr>
          <w:szCs w:val="22"/>
        </w:rPr>
        <w:t>ing</w:t>
      </w:r>
      <w:r w:rsidR="004A6779">
        <w:rPr>
          <w:szCs w:val="22"/>
        </w:rPr>
        <w:t xml:space="preserve"> </w:t>
      </w:r>
      <w:r w:rsidR="006C1BB3" w:rsidRPr="006C1BB3">
        <w:rPr>
          <w:szCs w:val="22"/>
        </w:rPr>
        <w:t>requirement</w:t>
      </w:r>
      <w:r w:rsidR="009D2331">
        <w:rPr>
          <w:szCs w:val="22"/>
        </w:rPr>
        <w:t>s</w:t>
      </w:r>
      <w:r w:rsidR="006C1BB3" w:rsidRPr="006C1BB3">
        <w:rPr>
          <w:szCs w:val="22"/>
        </w:rPr>
        <w:t xml:space="preserve"> </w:t>
      </w:r>
      <w:r w:rsidR="0011417B">
        <w:rPr>
          <w:szCs w:val="22"/>
        </w:rPr>
        <w:t>reducing as</w:t>
      </w:r>
      <w:r w:rsidR="006C1BB3" w:rsidRPr="006C1BB3">
        <w:rPr>
          <w:szCs w:val="22"/>
        </w:rPr>
        <w:t xml:space="preserve"> </w:t>
      </w:r>
      <w:r w:rsidR="009E7544">
        <w:rPr>
          <w:szCs w:val="22"/>
        </w:rPr>
        <w:t xml:space="preserve">an increasing number of </w:t>
      </w:r>
      <w:r w:rsidR="006C1BB3" w:rsidRPr="006C1BB3">
        <w:rPr>
          <w:szCs w:val="22"/>
        </w:rPr>
        <w:t xml:space="preserve">chillers reach </w:t>
      </w:r>
      <w:r w:rsidR="003155A9">
        <w:rPr>
          <w:szCs w:val="22"/>
        </w:rPr>
        <w:t xml:space="preserve">their </w:t>
      </w:r>
      <w:r w:rsidR="00D10041">
        <w:rPr>
          <w:szCs w:val="22"/>
        </w:rPr>
        <w:t>end-of-life</w:t>
      </w:r>
      <w:r w:rsidR="00EE7734">
        <w:rPr>
          <w:szCs w:val="22"/>
        </w:rPr>
        <w:t>,</w:t>
      </w:r>
      <w:r w:rsidR="008061F1">
        <w:rPr>
          <w:szCs w:val="22"/>
        </w:rPr>
        <w:t xml:space="preserve"> </w:t>
      </w:r>
      <w:r w:rsidR="00EE7734">
        <w:rPr>
          <w:szCs w:val="22"/>
        </w:rPr>
        <w:t xml:space="preserve">after which there are </w:t>
      </w:r>
      <w:r w:rsidR="00497BED">
        <w:rPr>
          <w:szCs w:val="22"/>
        </w:rPr>
        <w:t>opportunit</w:t>
      </w:r>
      <w:r w:rsidR="00F24700">
        <w:rPr>
          <w:szCs w:val="22"/>
        </w:rPr>
        <w:t>ies</w:t>
      </w:r>
      <w:r w:rsidR="006C1BB3" w:rsidRPr="006C1BB3">
        <w:rPr>
          <w:szCs w:val="22"/>
        </w:rPr>
        <w:t xml:space="preserve"> for recovery and </w:t>
      </w:r>
      <w:r w:rsidR="00094F45">
        <w:rPr>
          <w:szCs w:val="22"/>
        </w:rPr>
        <w:t xml:space="preserve">ultimate </w:t>
      </w:r>
      <w:r w:rsidR="006C1BB3" w:rsidRPr="006C1BB3">
        <w:rPr>
          <w:szCs w:val="22"/>
        </w:rPr>
        <w:t>destruction</w:t>
      </w:r>
      <w:r w:rsidR="003155A9">
        <w:rPr>
          <w:szCs w:val="22"/>
        </w:rPr>
        <w:t>.</w:t>
      </w:r>
    </w:p>
    <w:p w14:paraId="75E20351" w14:textId="0459FEF4" w:rsidR="003447A1" w:rsidRDefault="003447A1" w:rsidP="007A05E6">
      <w:pPr>
        <w:rPr>
          <w:szCs w:val="22"/>
        </w:rPr>
      </w:pPr>
      <w:r>
        <w:rPr>
          <w:szCs w:val="22"/>
        </w:rPr>
        <w:t xml:space="preserve">Earlier sections </w:t>
      </w:r>
      <w:r w:rsidR="008D08BF">
        <w:rPr>
          <w:szCs w:val="22"/>
        </w:rPr>
        <w:t xml:space="preserve">in Chapter 5 </w:t>
      </w:r>
      <w:r>
        <w:rPr>
          <w:szCs w:val="22"/>
        </w:rPr>
        <w:t xml:space="preserve">outline the technical options </w:t>
      </w:r>
      <w:r w:rsidR="00AA09BA">
        <w:rPr>
          <w:szCs w:val="22"/>
        </w:rPr>
        <w:t>available</w:t>
      </w:r>
      <w:r>
        <w:rPr>
          <w:szCs w:val="22"/>
        </w:rPr>
        <w:t xml:space="preserve"> </w:t>
      </w:r>
      <w:r w:rsidR="00361CBF">
        <w:rPr>
          <w:szCs w:val="22"/>
        </w:rPr>
        <w:t xml:space="preserve">and common practice </w:t>
      </w:r>
      <w:r w:rsidR="00BD40A0">
        <w:rPr>
          <w:szCs w:val="22"/>
        </w:rPr>
        <w:t xml:space="preserve">for recovery and disposition of </w:t>
      </w:r>
      <w:r w:rsidR="00AA09BA">
        <w:rPr>
          <w:szCs w:val="22"/>
        </w:rPr>
        <w:t>CFC-11 products. The following section</w:t>
      </w:r>
      <w:r w:rsidR="0094396D">
        <w:rPr>
          <w:szCs w:val="22"/>
        </w:rPr>
        <w:t>s</w:t>
      </w:r>
      <w:r w:rsidR="00AA09BA">
        <w:rPr>
          <w:szCs w:val="22"/>
        </w:rPr>
        <w:t xml:space="preserve"> outline</w:t>
      </w:r>
      <w:r w:rsidR="0094396D">
        <w:rPr>
          <w:szCs w:val="22"/>
        </w:rPr>
        <w:t xml:space="preserve"> </w:t>
      </w:r>
      <w:r w:rsidR="00D636A1">
        <w:rPr>
          <w:szCs w:val="22"/>
        </w:rPr>
        <w:t xml:space="preserve">estimated </w:t>
      </w:r>
      <w:r w:rsidR="0094396D">
        <w:rPr>
          <w:szCs w:val="22"/>
        </w:rPr>
        <w:t xml:space="preserve">quantities of CFC-11 entering the waste stream </w:t>
      </w:r>
      <w:r w:rsidR="00C42089">
        <w:rPr>
          <w:szCs w:val="22"/>
        </w:rPr>
        <w:t xml:space="preserve">available </w:t>
      </w:r>
      <w:r w:rsidR="0094396D">
        <w:rPr>
          <w:szCs w:val="22"/>
        </w:rPr>
        <w:t>f</w:t>
      </w:r>
      <w:r w:rsidR="00C42089">
        <w:rPr>
          <w:szCs w:val="22"/>
        </w:rPr>
        <w:t>o</w:t>
      </w:r>
      <w:r w:rsidR="0094396D">
        <w:rPr>
          <w:szCs w:val="22"/>
        </w:rPr>
        <w:t>r potential recovery</w:t>
      </w:r>
      <w:r w:rsidR="00C42089">
        <w:rPr>
          <w:szCs w:val="22"/>
        </w:rPr>
        <w:t>, and</w:t>
      </w:r>
      <w:r w:rsidR="00AA09BA">
        <w:rPr>
          <w:szCs w:val="22"/>
        </w:rPr>
        <w:t xml:space="preserve"> opportunities and </w:t>
      </w:r>
      <w:r w:rsidR="00E250E1">
        <w:rPr>
          <w:szCs w:val="22"/>
        </w:rPr>
        <w:t>challenges</w:t>
      </w:r>
      <w:r w:rsidR="00AA09BA">
        <w:rPr>
          <w:szCs w:val="22"/>
        </w:rPr>
        <w:t xml:space="preserve"> </w:t>
      </w:r>
      <w:r w:rsidR="00E250E1">
        <w:rPr>
          <w:szCs w:val="22"/>
        </w:rPr>
        <w:t>for</w:t>
      </w:r>
      <w:r w:rsidR="008D08BF">
        <w:rPr>
          <w:szCs w:val="22"/>
        </w:rPr>
        <w:t xml:space="preserve"> </w:t>
      </w:r>
      <w:r w:rsidR="00E250E1">
        <w:rPr>
          <w:szCs w:val="22"/>
        </w:rPr>
        <w:t xml:space="preserve">the </w:t>
      </w:r>
      <w:r w:rsidR="008D08BF">
        <w:rPr>
          <w:szCs w:val="22"/>
        </w:rPr>
        <w:t xml:space="preserve">recovery </w:t>
      </w:r>
      <w:r w:rsidR="00754FBE">
        <w:rPr>
          <w:szCs w:val="22"/>
        </w:rPr>
        <w:t xml:space="preserve">and disposition </w:t>
      </w:r>
      <w:r w:rsidR="008D08BF">
        <w:rPr>
          <w:szCs w:val="22"/>
        </w:rPr>
        <w:t>of CFC-11</w:t>
      </w:r>
      <w:r w:rsidR="002E6C54">
        <w:rPr>
          <w:szCs w:val="22"/>
        </w:rPr>
        <w:t xml:space="preserve"> products. </w:t>
      </w:r>
    </w:p>
    <w:p w14:paraId="654EBBF6" w14:textId="4066920A" w:rsidR="00D25D7A" w:rsidRPr="00D25D7A" w:rsidRDefault="00F42DF3" w:rsidP="00751ECE">
      <w:pPr>
        <w:pStyle w:val="Heading3"/>
      </w:pPr>
      <w:bookmarkStart w:id="183" w:name="_Toc73045640"/>
      <w:r>
        <w:t>5.5.1</w:t>
      </w:r>
      <w:r>
        <w:tab/>
      </w:r>
      <w:r w:rsidR="002D29F0">
        <w:t xml:space="preserve">Quantities of </w:t>
      </w:r>
      <w:r>
        <w:t>CFC-11</w:t>
      </w:r>
      <w:r w:rsidR="002D29F0">
        <w:t xml:space="preserve"> entering the waste stream</w:t>
      </w:r>
      <w:r w:rsidR="00C42089">
        <w:t xml:space="preserve"> available for potential recovery</w:t>
      </w:r>
      <w:bookmarkEnd w:id="183"/>
    </w:p>
    <w:p w14:paraId="3872AA4B" w14:textId="3FD05DF1" w:rsidR="00D434CB" w:rsidRDefault="003F5A00" w:rsidP="00F17655">
      <w:r w:rsidRPr="00EA3EFC">
        <w:t xml:space="preserve">Based on </w:t>
      </w:r>
      <w:r w:rsidR="007277A1" w:rsidRPr="00EA3EFC">
        <w:t xml:space="preserve">the Task </w:t>
      </w:r>
      <w:r w:rsidR="000E037B" w:rsidRPr="00EA3EFC">
        <w:t>Force’s</w:t>
      </w:r>
      <w:r w:rsidRPr="00EA3EFC">
        <w:t xml:space="preserve"> modelling analysis, developed and used for this report and the 2019 Task Force </w:t>
      </w:r>
      <w:r w:rsidR="00825C7C">
        <w:t>Report</w:t>
      </w:r>
      <w:r w:rsidRPr="00EA3EFC">
        <w:t xml:space="preserve"> and building on TEAP’s earlier body of work,</w:t>
      </w:r>
      <w:r w:rsidR="00033230" w:rsidRPr="00EA3EFC">
        <w:t xml:space="preserve"> </w:t>
      </w:r>
      <w:r w:rsidR="00233770">
        <w:t>t</w:t>
      </w:r>
      <w:r w:rsidR="00D434CB">
        <w:t xml:space="preserve">he total </w:t>
      </w:r>
      <w:r w:rsidR="00D434CB" w:rsidRPr="00EA3EFC">
        <w:t>active</w:t>
      </w:r>
      <w:r w:rsidR="00EE7734">
        <w:t xml:space="preserve"> and inactive</w:t>
      </w:r>
      <w:r w:rsidR="00D434CB">
        <w:t xml:space="preserve"> CFC-11 banks in 2021, including foams, refrigerants and storage, are estimated to be </w:t>
      </w:r>
      <w:r w:rsidR="00585CE4">
        <w:lastRenderedPageBreak/>
        <w:t>1500</w:t>
      </w:r>
      <w:r w:rsidR="009D759B">
        <w:t xml:space="preserve"> </w:t>
      </w:r>
      <w:r w:rsidR="00CC66CA">
        <w:rPr>
          <w:lang w:val="en-US" w:eastAsia="fr-FR"/>
        </w:rPr>
        <w:t>±</w:t>
      </w:r>
      <w:r w:rsidR="00CC66CA" w:rsidRPr="00CC66CA">
        <w:rPr>
          <w:lang w:val="en-US" w:eastAsia="fr-FR"/>
        </w:rPr>
        <w:t xml:space="preserve"> </w:t>
      </w:r>
      <w:r w:rsidR="009D759B">
        <w:t xml:space="preserve">100 </w:t>
      </w:r>
      <w:proofErr w:type="spellStart"/>
      <w:r w:rsidR="00D434CB">
        <w:t>kilotonnes</w:t>
      </w:r>
      <w:proofErr w:type="spellEnd"/>
      <w:r w:rsidR="00233770">
        <w:rPr>
          <w:rStyle w:val="FootnoteReference"/>
        </w:rPr>
        <w:footnoteReference w:id="121"/>
      </w:r>
      <w:r w:rsidR="00D434CB">
        <w:t>.</w:t>
      </w:r>
      <w:r w:rsidR="008021DA">
        <w:t xml:space="preserve"> </w:t>
      </w:r>
      <w:r w:rsidR="008021DA" w:rsidRPr="00EA3EFC">
        <w:t xml:space="preserve">The total active CFC-11 banks in 2021, including foams, refrigerants and storage, are estimated to be </w:t>
      </w:r>
      <w:r w:rsidR="003D5040">
        <w:t>800</w:t>
      </w:r>
      <w:r w:rsidR="003D5040" w:rsidRPr="00043208">
        <w:t xml:space="preserve"> </w:t>
      </w:r>
      <w:r w:rsidR="00CC66CA" w:rsidRPr="00EA3EFC">
        <w:rPr>
          <w:lang w:val="en-US" w:eastAsia="fr-FR"/>
        </w:rPr>
        <w:t>±</w:t>
      </w:r>
      <w:r w:rsidR="009B1A57" w:rsidRPr="00043208">
        <w:t xml:space="preserve"> 50 </w:t>
      </w:r>
      <w:proofErr w:type="spellStart"/>
      <w:r w:rsidR="008021DA" w:rsidRPr="00EA3EFC">
        <w:t>kilotonnes</w:t>
      </w:r>
      <w:proofErr w:type="spellEnd"/>
      <w:r w:rsidR="004C554D">
        <w:t xml:space="preserve">, </w:t>
      </w:r>
      <w:r w:rsidR="004C554D" w:rsidRPr="00BF4A1E">
        <w:rPr>
          <w:lang w:val="en-US" w:eastAsia="fr-FR"/>
        </w:rPr>
        <w:t>3.</w:t>
      </w:r>
      <w:r w:rsidR="004C554D">
        <w:rPr>
          <w:lang w:val="en-US" w:eastAsia="fr-FR"/>
        </w:rPr>
        <w:t>8</w:t>
      </w:r>
      <w:r w:rsidR="004C554D" w:rsidRPr="00BF4A1E">
        <w:rPr>
          <w:lang w:val="en-US" w:eastAsia="fr-FR"/>
        </w:rPr>
        <w:t xml:space="preserve"> Gt CO</w:t>
      </w:r>
      <w:r w:rsidR="004C554D" w:rsidRPr="00022619">
        <w:rPr>
          <w:vertAlign w:val="subscript"/>
          <w:lang w:val="en-US" w:eastAsia="fr-FR"/>
        </w:rPr>
        <w:t>2</w:t>
      </w:r>
      <w:r w:rsidR="004C554D" w:rsidRPr="00BF4A1E">
        <w:rPr>
          <w:lang w:val="en-US" w:eastAsia="fr-FR"/>
        </w:rPr>
        <w:t>eq</w:t>
      </w:r>
      <w:r w:rsidR="008021DA" w:rsidRPr="00EA3EFC">
        <w:t>.</w:t>
      </w:r>
    </w:p>
    <w:p w14:paraId="4867189F" w14:textId="4486AFEB" w:rsidR="00CA6E34" w:rsidRPr="00DA3BE8" w:rsidRDefault="00233770" w:rsidP="00CA6E34">
      <w:r w:rsidRPr="00DA3BE8">
        <w:t>F</w:t>
      </w:r>
      <w:r w:rsidR="00CA6E34" w:rsidRPr="00DA3BE8">
        <w:t>igure 5.</w:t>
      </w:r>
      <w:r w:rsidR="00467B67" w:rsidRPr="00DA3BE8">
        <w:t>1</w:t>
      </w:r>
      <w:r w:rsidR="00CA6E34" w:rsidRPr="00DA3BE8">
        <w:t xml:space="preserve"> below shows the </w:t>
      </w:r>
      <w:r w:rsidR="00467B67" w:rsidRPr="00DA3BE8">
        <w:t xml:space="preserve">estimated </w:t>
      </w:r>
      <w:r w:rsidR="00882DCF" w:rsidRPr="00DA3BE8">
        <w:t>timing of decommissioning of</w:t>
      </w:r>
      <w:r w:rsidR="00467B67" w:rsidRPr="00DA3BE8">
        <w:t xml:space="preserve"> </w:t>
      </w:r>
      <w:r w:rsidR="00C764D2">
        <w:t xml:space="preserve">products containing CFC-11 from </w:t>
      </w:r>
      <w:r w:rsidR="008D7023">
        <w:t>active CFC-11</w:t>
      </w:r>
      <w:r w:rsidR="009A2A60" w:rsidRPr="00DA3BE8">
        <w:t xml:space="preserve"> bank</w:t>
      </w:r>
      <w:r w:rsidR="00CA6E34" w:rsidRPr="00DA3BE8">
        <w:t>s</w:t>
      </w:r>
      <w:r w:rsidR="00801047" w:rsidRPr="00DA3BE8">
        <w:rPr>
          <w:rStyle w:val="FootnoteReference"/>
        </w:rPr>
        <w:footnoteReference w:id="122"/>
      </w:r>
      <w:r w:rsidRPr="00DA3BE8">
        <w:t>.</w:t>
      </w:r>
    </w:p>
    <w:p w14:paraId="68A9EA86" w14:textId="5B8C2DBF" w:rsidR="0060558A" w:rsidRDefault="0060558A" w:rsidP="0060558A">
      <w:pPr>
        <w:pStyle w:val="FigureandTableTitle"/>
        <w:rPr>
          <w:highlight w:val="yellow"/>
        </w:rPr>
      </w:pPr>
      <w:r>
        <w:t>Figure 5.1</w:t>
      </w:r>
      <w:r>
        <w:tab/>
      </w:r>
      <w:r w:rsidRPr="00037BBA">
        <w:t>Estimated</w:t>
      </w:r>
      <w:r w:rsidR="00192A9E">
        <w:t xml:space="preserve"> </w:t>
      </w:r>
      <w:r w:rsidR="00C207AD">
        <w:t xml:space="preserve">CFC-11 </w:t>
      </w:r>
      <w:r w:rsidR="006332B8">
        <w:t>decommissioned</w:t>
      </w:r>
      <w:r w:rsidR="00C207AD">
        <w:t xml:space="preserve"> </w:t>
      </w:r>
      <w:r w:rsidRPr="00037BBA">
        <w:t>from active banks, 1931-2050 (</w:t>
      </w:r>
      <w:proofErr w:type="spellStart"/>
      <w:r w:rsidRPr="00037BBA">
        <w:t>kilotonnes</w:t>
      </w:r>
      <w:proofErr w:type="spellEnd"/>
      <w:r w:rsidRPr="00037BBA">
        <w:t>)</w:t>
      </w:r>
    </w:p>
    <w:p w14:paraId="1671B1EC" w14:textId="45F240B9" w:rsidR="003F0F9D" w:rsidRDefault="4EE154A7" w:rsidP="00F64B02">
      <w:r w:rsidRPr="4EE154A7">
        <w:rPr>
          <w:noProof/>
        </w:rPr>
        <w:t xml:space="preserve"> </w:t>
      </w:r>
      <w:r w:rsidR="00D801F9">
        <w:rPr>
          <w:noProof/>
        </w:rPr>
        <w:drawing>
          <wp:inline distT="0" distB="0" distL="0" distR="0" wp14:anchorId="77339076" wp14:editId="321A3462">
            <wp:extent cx="5278754" cy="2647315"/>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50">
                      <a:extLst>
                        <a:ext uri="{28A0092B-C50C-407E-A947-70E740481C1C}">
                          <a14:useLocalDpi xmlns:a14="http://schemas.microsoft.com/office/drawing/2010/main" val="0"/>
                        </a:ext>
                      </a:extLst>
                    </a:blip>
                    <a:stretch>
                      <a:fillRect/>
                    </a:stretch>
                  </pic:blipFill>
                  <pic:spPr>
                    <a:xfrm>
                      <a:off x="0" y="0"/>
                      <a:ext cx="5278754" cy="2647315"/>
                    </a:xfrm>
                    <a:prstGeom prst="rect">
                      <a:avLst/>
                    </a:prstGeom>
                  </pic:spPr>
                </pic:pic>
              </a:graphicData>
            </a:graphic>
          </wp:inline>
        </w:drawing>
      </w:r>
    </w:p>
    <w:p w14:paraId="5352CCC4" w14:textId="77777777" w:rsidR="000C51F1" w:rsidRDefault="000C51F1" w:rsidP="005F746F">
      <w:pPr>
        <w:spacing w:after="0"/>
      </w:pPr>
    </w:p>
    <w:p w14:paraId="0E680677" w14:textId="6EA9785D" w:rsidR="00627185" w:rsidRDefault="00F64B02" w:rsidP="00005A9E">
      <w:r>
        <w:t xml:space="preserve">The Task Force </w:t>
      </w:r>
      <w:r w:rsidR="00B70AAD">
        <w:t>adopted</w:t>
      </w:r>
      <w:r>
        <w:t xml:space="preserve"> </w:t>
      </w:r>
      <w:r w:rsidR="00B70AAD">
        <w:t xml:space="preserve">assumptions for </w:t>
      </w:r>
      <w:r>
        <w:t>emissions and lifetime</w:t>
      </w:r>
      <w:r w:rsidR="00B70AAD">
        <w:t>s</w:t>
      </w:r>
      <w:r>
        <w:t xml:space="preserve"> </w:t>
      </w:r>
      <w:r w:rsidR="00B70AAD">
        <w:t>based on</w:t>
      </w:r>
      <w:r>
        <w:t xml:space="preserve"> the 2019 Report </w:t>
      </w:r>
      <w:r w:rsidR="00B70AAD">
        <w:t xml:space="preserve">and </w:t>
      </w:r>
      <w:r>
        <w:t>adjusted by the Weibull distribution</w:t>
      </w:r>
      <w:r w:rsidR="00B70AAD">
        <w:t>,</w:t>
      </w:r>
      <w:r>
        <w:t xml:space="preserve"> which result</w:t>
      </w:r>
      <w:r w:rsidR="00B70AAD">
        <w:t>s</w:t>
      </w:r>
      <w:r>
        <w:t xml:space="preserve"> in a prediction that the majority of </w:t>
      </w:r>
      <w:r w:rsidR="009B5E0F">
        <w:t xml:space="preserve">total </w:t>
      </w:r>
      <w:r w:rsidR="009D1C44">
        <w:t xml:space="preserve">global </w:t>
      </w:r>
      <w:r w:rsidR="00B70AAD">
        <w:t xml:space="preserve">CFC-11 </w:t>
      </w:r>
      <w:r>
        <w:t>foam</w:t>
      </w:r>
      <w:r w:rsidR="00B70AAD">
        <w:t>s</w:t>
      </w:r>
      <w:r>
        <w:t xml:space="preserve"> </w:t>
      </w:r>
      <w:r w:rsidR="00970E47">
        <w:t xml:space="preserve">from refrigerating foams </w:t>
      </w:r>
      <w:r w:rsidR="00172AC4">
        <w:t xml:space="preserve">would likely </w:t>
      </w:r>
      <w:r w:rsidR="00567F90">
        <w:t xml:space="preserve">have been decommissioned </w:t>
      </w:r>
      <w:r w:rsidR="001A2841">
        <w:t>prior to 2021</w:t>
      </w:r>
      <w:r>
        <w:t xml:space="preserve">. </w:t>
      </w:r>
      <w:r w:rsidR="00005A9E">
        <w:t>Th</w:t>
      </w:r>
      <w:r w:rsidR="000B3597">
        <w:t>e global</w:t>
      </w:r>
      <w:r>
        <w:t xml:space="preserve"> peak of the CFC-11 decommissioned from the largest portion of active banks, i.e., </w:t>
      </w:r>
      <w:r w:rsidR="00642A4E" w:rsidRPr="00437399">
        <w:t xml:space="preserve">all </w:t>
      </w:r>
      <w:r w:rsidRPr="002935B7">
        <w:t xml:space="preserve">foams, </w:t>
      </w:r>
      <w:r w:rsidRPr="00DA3BE8">
        <w:t>when dismantled at end-of-life, is estimated to have occurred around the year 2010, at about</w:t>
      </w:r>
      <w:r>
        <w:t xml:space="preserve"> </w:t>
      </w:r>
      <w:r w:rsidRPr="00DA3BE8">
        <w:t xml:space="preserve">45 </w:t>
      </w:r>
      <w:proofErr w:type="spellStart"/>
      <w:r w:rsidRPr="00DA3BE8">
        <w:t>kilotonnes</w:t>
      </w:r>
      <w:proofErr w:type="spellEnd"/>
      <w:r w:rsidR="009C58B0" w:rsidRPr="00DA3BE8">
        <w:t>/</w:t>
      </w:r>
      <w:r w:rsidRPr="00DA3BE8">
        <w:t>year, and then subsequently decrease</w:t>
      </w:r>
      <w:r w:rsidR="00AA7412" w:rsidRPr="00DA3BE8">
        <w:t>s</w:t>
      </w:r>
      <w:r w:rsidRPr="00DA3BE8">
        <w:t xml:space="preserve"> slowly over time</w:t>
      </w:r>
      <w:r w:rsidR="00F25E5D" w:rsidRPr="00DA3BE8">
        <w:t xml:space="preserve"> to</w:t>
      </w:r>
      <w:r w:rsidR="000733FB" w:rsidRPr="00DA3BE8">
        <w:t xml:space="preserve"> under 10 </w:t>
      </w:r>
      <w:proofErr w:type="spellStart"/>
      <w:r w:rsidR="000733FB" w:rsidRPr="00DA3BE8">
        <w:t>kilotonnes</w:t>
      </w:r>
      <w:proofErr w:type="spellEnd"/>
      <w:r w:rsidR="009C58B0" w:rsidRPr="00DA3BE8">
        <w:t>/year</w:t>
      </w:r>
      <w:r w:rsidR="005F66BD" w:rsidRPr="00DA3BE8">
        <w:t xml:space="preserve"> </w:t>
      </w:r>
      <w:r w:rsidR="000733FB" w:rsidRPr="00DA3BE8">
        <w:t>by</w:t>
      </w:r>
      <w:r w:rsidRPr="00DA3BE8">
        <w:t xml:space="preserve"> 2050</w:t>
      </w:r>
      <w:r>
        <w:t xml:space="preserve">. </w:t>
      </w:r>
      <w:r w:rsidR="008A7FD4">
        <w:t>These global peaks are dominated by the foam banks</w:t>
      </w:r>
      <w:r w:rsidR="007D65D9">
        <w:t>, foam products,</w:t>
      </w:r>
      <w:r w:rsidR="008A7FD4">
        <w:t xml:space="preserve"> and decommissioning </w:t>
      </w:r>
      <w:r w:rsidR="00663A53">
        <w:t xml:space="preserve">patterns </w:t>
      </w:r>
      <w:r w:rsidR="008A7FD4">
        <w:t>in the United States</w:t>
      </w:r>
      <w:r w:rsidR="007B6322">
        <w:t xml:space="preserve"> and Europe</w:t>
      </w:r>
      <w:r w:rsidR="002E464D">
        <w:t>,</w:t>
      </w:r>
      <w:r w:rsidR="00DF73E0">
        <w:t xml:space="preserve"> </w:t>
      </w:r>
      <w:r w:rsidR="002E464D">
        <w:t>owing</w:t>
      </w:r>
      <w:r w:rsidR="00DF73E0">
        <w:t xml:space="preserve"> to their </w:t>
      </w:r>
      <w:r w:rsidR="00097A17">
        <w:t xml:space="preserve">overwhelming </w:t>
      </w:r>
      <w:r w:rsidR="00DF73E0">
        <w:t>size</w:t>
      </w:r>
      <w:r w:rsidR="008A7FD4">
        <w:t xml:space="preserve">. </w:t>
      </w:r>
    </w:p>
    <w:p w14:paraId="2A78E8D3" w14:textId="5FD1BFF1" w:rsidR="001B544B" w:rsidRDefault="008A7FD4" w:rsidP="00005A9E">
      <w:pPr>
        <w:rPr>
          <w:highlight w:val="yellow"/>
        </w:rPr>
      </w:pPr>
      <w:r>
        <w:t xml:space="preserve">There are </w:t>
      </w:r>
      <w:r w:rsidR="00806356">
        <w:t xml:space="preserve">underlying </w:t>
      </w:r>
      <w:r>
        <w:t xml:space="preserve">variations to </w:t>
      </w:r>
      <w:r w:rsidR="001D26E0">
        <w:t xml:space="preserve">the </w:t>
      </w:r>
      <w:r w:rsidR="00663A53">
        <w:t xml:space="preserve">regional </w:t>
      </w:r>
      <w:r w:rsidR="009C6CBD">
        <w:t>timing of</w:t>
      </w:r>
      <w:r w:rsidR="00663A53">
        <w:t xml:space="preserve"> </w:t>
      </w:r>
      <w:r>
        <w:t>peak</w:t>
      </w:r>
      <w:r w:rsidR="00663A53">
        <w:t>s</w:t>
      </w:r>
      <w:r w:rsidR="00762201">
        <w:t xml:space="preserve"> </w:t>
      </w:r>
      <w:r w:rsidR="001D26E0">
        <w:t>in foam decommissioning</w:t>
      </w:r>
      <w:r w:rsidR="0010723B">
        <w:t xml:space="preserve"> </w:t>
      </w:r>
      <w:r w:rsidR="0039654F">
        <w:t>and/</w:t>
      </w:r>
      <w:r w:rsidR="0010723B">
        <w:t xml:space="preserve">or variations </w:t>
      </w:r>
      <w:r w:rsidR="0039654F">
        <w:t>for different foam product types,</w:t>
      </w:r>
      <w:r w:rsidR="001D26E0">
        <w:t xml:space="preserve"> </w:t>
      </w:r>
      <w:r w:rsidR="00762201">
        <w:t xml:space="preserve">that </w:t>
      </w:r>
      <w:r w:rsidR="00B21544">
        <w:t>are</w:t>
      </w:r>
      <w:r w:rsidR="00762201">
        <w:t xml:space="preserve"> </w:t>
      </w:r>
      <w:r w:rsidR="0075123D">
        <w:t>obscured</w:t>
      </w:r>
      <w:r w:rsidR="00983CAE">
        <w:t xml:space="preserve"> with</w:t>
      </w:r>
      <w:r w:rsidR="001D26E0">
        <w:t>in th</w:t>
      </w:r>
      <w:r w:rsidR="00427EAF">
        <w:t>is</w:t>
      </w:r>
      <w:r w:rsidR="001D26E0">
        <w:t xml:space="preserve"> global </w:t>
      </w:r>
      <w:r w:rsidR="00663A53">
        <w:t>analysis</w:t>
      </w:r>
      <w:r w:rsidR="00806356">
        <w:t>.</w:t>
      </w:r>
      <w:r w:rsidR="00806356" w:rsidDel="007B6322">
        <w:t xml:space="preserve"> </w:t>
      </w:r>
      <w:r w:rsidR="0007771D" w:rsidRPr="00DA3BE8">
        <w:t>For example,</w:t>
      </w:r>
      <w:r w:rsidR="00B456A6" w:rsidRPr="00DA3BE8">
        <w:t xml:space="preserve"> </w:t>
      </w:r>
      <w:r w:rsidR="007A2A88" w:rsidRPr="00DA3BE8">
        <w:t xml:space="preserve">studies and surveys estimate </w:t>
      </w:r>
      <w:r w:rsidR="00B456A6" w:rsidRPr="00DA3BE8">
        <w:t xml:space="preserve">a </w:t>
      </w:r>
      <w:r w:rsidR="00005A9E" w:rsidRPr="00DA3BE8">
        <w:t xml:space="preserve">30-year lifetime of </w:t>
      </w:r>
      <w:r w:rsidR="00667705" w:rsidRPr="00DA3BE8">
        <w:t>construction foams</w:t>
      </w:r>
      <w:r w:rsidR="0019499D" w:rsidRPr="00DA3BE8">
        <w:t xml:space="preserve"> in </w:t>
      </w:r>
      <w:r w:rsidR="00A95A2C">
        <w:t>N</w:t>
      </w:r>
      <w:r w:rsidR="001B544B" w:rsidRPr="00DA3BE8">
        <w:t>ortheast</w:t>
      </w:r>
      <w:r w:rsidR="00E46C7F" w:rsidRPr="00DA3BE8">
        <w:t xml:space="preserve"> Asia (NEA</w:t>
      </w:r>
      <w:r w:rsidR="001B544B" w:rsidRPr="00DA3BE8">
        <w:t>)</w:t>
      </w:r>
      <w:r w:rsidR="009E4290">
        <w:rPr>
          <w:rStyle w:val="FootnoteReference"/>
        </w:rPr>
        <w:footnoteReference w:id="123"/>
      </w:r>
      <w:r w:rsidR="001B544B" w:rsidRPr="00DA3BE8">
        <w:t xml:space="preserve"> </w:t>
      </w:r>
      <w:r w:rsidR="000D160A" w:rsidRPr="00DA3BE8">
        <w:t xml:space="preserve">and a portion of </w:t>
      </w:r>
      <w:r w:rsidR="00E9288D" w:rsidRPr="00DA3BE8">
        <w:t>foams used in commercial buildings in the</w:t>
      </w:r>
      <w:r w:rsidR="0076055D">
        <w:t xml:space="preserve"> </w:t>
      </w:r>
      <w:r w:rsidR="000D160A" w:rsidRPr="00DA3BE8">
        <w:t xml:space="preserve">United </w:t>
      </w:r>
      <w:r w:rsidR="000D160A" w:rsidRPr="00DA3BE8">
        <w:lastRenderedPageBreak/>
        <w:t>States</w:t>
      </w:r>
      <w:r w:rsidR="00542D89">
        <w:rPr>
          <w:rStyle w:val="FootnoteReference"/>
        </w:rPr>
        <w:footnoteReference w:id="124"/>
      </w:r>
      <w:r w:rsidR="00A95A2C">
        <w:t>,</w:t>
      </w:r>
      <w:r w:rsidR="001B544B" w:rsidRPr="00DA3BE8">
        <w:t>where</w:t>
      </w:r>
      <w:r w:rsidR="00E46C7F" w:rsidRPr="00DA3BE8">
        <w:t xml:space="preserve"> premature demolishing of buildings prior to the expected lifetime</w:t>
      </w:r>
      <w:r w:rsidR="000D160A" w:rsidRPr="00DA3BE8">
        <w:t xml:space="preserve"> has been recorded</w:t>
      </w:r>
      <w:r w:rsidR="005F1393" w:rsidRPr="00DA3BE8">
        <w:t>.</w:t>
      </w:r>
      <w:r w:rsidR="0076055D">
        <w:t xml:space="preserve"> </w:t>
      </w:r>
    </w:p>
    <w:p w14:paraId="71DDC420" w14:textId="78F1490B" w:rsidR="00037BBA" w:rsidRPr="00037BBA" w:rsidRDefault="00037BBA" w:rsidP="00037BBA">
      <w:pPr>
        <w:pStyle w:val="FigureandTableTitle"/>
      </w:pPr>
      <w:r w:rsidRPr="00DA3BE8">
        <w:t>Figure 5.</w:t>
      </w:r>
      <w:r w:rsidR="003D4EE5" w:rsidRPr="00DA3BE8">
        <w:t>2</w:t>
      </w:r>
      <w:r w:rsidRPr="00DA3BE8">
        <w:tab/>
        <w:t>Estimated CFC-11 decommissioned from active foam banks, 1931-2050 (</w:t>
      </w:r>
      <w:proofErr w:type="spellStart"/>
      <w:r w:rsidRPr="00DA3BE8">
        <w:t>kilotonnes</w:t>
      </w:r>
      <w:proofErr w:type="spellEnd"/>
      <w:r w:rsidRPr="00DA3BE8">
        <w:t>)</w:t>
      </w:r>
      <w:r w:rsidR="00716735">
        <w:rPr>
          <w:rStyle w:val="FootnoteReference"/>
        </w:rPr>
        <w:footnoteReference w:id="125"/>
      </w:r>
    </w:p>
    <w:p w14:paraId="493BA585" w14:textId="2048BC01" w:rsidR="00243D48" w:rsidRDefault="00243D48" w:rsidP="00037BBA">
      <w:pPr>
        <w:rPr>
          <w:color w:val="000000" w:themeColor="text1"/>
          <w:lang w:val="en-US"/>
        </w:rPr>
      </w:pPr>
      <w:r>
        <w:rPr>
          <w:noProof/>
        </w:rPr>
        <w:drawing>
          <wp:inline distT="0" distB="0" distL="0" distR="0" wp14:anchorId="684A2DB5" wp14:editId="3264201C">
            <wp:extent cx="5278754" cy="2587625"/>
            <wp:effectExtent l="0" t="0" r="0" b="3175"/>
            <wp:docPr id="298669064" name="Picture 298669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669064"/>
                    <pic:cNvPicPr/>
                  </pic:nvPicPr>
                  <pic:blipFill>
                    <a:blip r:embed="rId51">
                      <a:extLst>
                        <a:ext uri="{28A0092B-C50C-407E-A947-70E740481C1C}">
                          <a14:useLocalDpi xmlns:a14="http://schemas.microsoft.com/office/drawing/2010/main" val="0"/>
                        </a:ext>
                      </a:extLst>
                    </a:blip>
                    <a:stretch>
                      <a:fillRect/>
                    </a:stretch>
                  </pic:blipFill>
                  <pic:spPr>
                    <a:xfrm>
                      <a:off x="0" y="0"/>
                      <a:ext cx="5278754" cy="2587625"/>
                    </a:xfrm>
                    <a:prstGeom prst="rect">
                      <a:avLst/>
                    </a:prstGeom>
                  </pic:spPr>
                </pic:pic>
              </a:graphicData>
            </a:graphic>
          </wp:inline>
        </w:drawing>
      </w:r>
    </w:p>
    <w:p w14:paraId="3187FD8A" w14:textId="77777777" w:rsidR="000C51F1" w:rsidRDefault="000C51F1" w:rsidP="002F72A1">
      <w:pPr>
        <w:spacing w:after="0"/>
      </w:pPr>
    </w:p>
    <w:p w14:paraId="546A854B" w14:textId="26080441" w:rsidR="00D413EC" w:rsidRDefault="00D413EC" w:rsidP="003F0F9D">
      <w:pPr>
        <w:rPr>
          <w:color w:val="000000" w:themeColor="text1"/>
          <w:lang w:val="en-US"/>
        </w:rPr>
      </w:pPr>
      <w:r>
        <w:t xml:space="preserve">The </w:t>
      </w:r>
      <w:r w:rsidR="002E3F3A">
        <w:t>F</w:t>
      </w:r>
      <w:r>
        <w:t>i</w:t>
      </w:r>
      <w:r w:rsidR="00336C3E">
        <w:t>gure</w:t>
      </w:r>
      <w:r w:rsidR="004374D6">
        <w:t xml:space="preserve"> </w:t>
      </w:r>
      <w:r w:rsidR="004E3160">
        <w:t xml:space="preserve">below </w:t>
      </w:r>
      <w:r w:rsidR="0042127F">
        <w:t>represents</w:t>
      </w:r>
      <w:r w:rsidR="000668A8">
        <w:t xml:space="preserve"> the </w:t>
      </w:r>
      <w:r w:rsidR="00AF2E2B">
        <w:t>retirement of insulating foam used in building envelopes</w:t>
      </w:r>
      <w:r w:rsidR="00F85568">
        <w:t xml:space="preserve"> by foam type over time</w:t>
      </w:r>
      <w:r w:rsidR="00AF2E2B">
        <w:t>.</w:t>
      </w:r>
      <w:r w:rsidR="00F85568">
        <w:t xml:space="preserve"> </w:t>
      </w:r>
      <w:r w:rsidR="00D9546A">
        <w:t xml:space="preserve">Foam panels have been divided into two categories based on </w:t>
      </w:r>
      <w:r w:rsidR="00EF4181">
        <w:t>regional decommissioning practices</w:t>
      </w:r>
      <w:r w:rsidR="00F85568">
        <w:t xml:space="preserve"> </w:t>
      </w:r>
      <w:r w:rsidR="00F63F6D">
        <w:t xml:space="preserve">using </w:t>
      </w:r>
      <w:r w:rsidR="0073570C">
        <w:t xml:space="preserve">a 30-year lifetime for </w:t>
      </w:r>
      <w:r w:rsidR="00391184">
        <w:t>the United States and China and a 75-year lifetime for panels for all other regions of the world.</w:t>
      </w:r>
      <w:r w:rsidR="0076055D">
        <w:t xml:space="preserve"> </w:t>
      </w:r>
    </w:p>
    <w:p w14:paraId="5A3243DB" w14:textId="20A1C438" w:rsidR="005240B9" w:rsidRPr="00862772" w:rsidRDefault="005240B9" w:rsidP="00E24F8F">
      <w:pPr>
        <w:pStyle w:val="FigureandTableTitle"/>
      </w:pPr>
      <w:r w:rsidRPr="00753A12">
        <w:lastRenderedPageBreak/>
        <w:t>Figure 5.</w:t>
      </w:r>
      <w:r w:rsidR="00704455" w:rsidRPr="00753A12">
        <w:t>3</w:t>
      </w:r>
      <w:r w:rsidRPr="00753A12">
        <w:tab/>
        <w:t xml:space="preserve">Estimated CFC-11 decommissioned from active </w:t>
      </w:r>
      <w:r w:rsidR="00503250" w:rsidRPr="00753A12">
        <w:t xml:space="preserve">construction </w:t>
      </w:r>
      <w:r w:rsidRPr="00753A12">
        <w:t>foam banks, 1931-2050 (</w:t>
      </w:r>
      <w:proofErr w:type="spellStart"/>
      <w:r w:rsidRPr="00753A12">
        <w:t>kilotonnes</w:t>
      </w:r>
      <w:proofErr w:type="spellEnd"/>
      <w:r w:rsidRPr="00753A12">
        <w:t>)</w:t>
      </w:r>
      <w:r w:rsidR="00716735">
        <w:rPr>
          <w:rStyle w:val="FootnoteReference"/>
        </w:rPr>
        <w:footnoteReference w:id="126"/>
      </w:r>
      <w:r w:rsidRPr="00753A12">
        <w:t xml:space="preserve"> </w:t>
      </w:r>
    </w:p>
    <w:p w14:paraId="56448A73" w14:textId="58987004" w:rsidR="00AC6115" w:rsidRDefault="009335FD" w:rsidP="005240B9">
      <w:pPr>
        <w:rPr>
          <w:b/>
          <w:bCs/>
        </w:rPr>
      </w:pPr>
      <w:r w:rsidRPr="009335FD">
        <w:rPr>
          <w:b/>
          <w:bCs/>
          <w:noProof/>
        </w:rPr>
        <w:drawing>
          <wp:inline distT="0" distB="0" distL="0" distR="0" wp14:anchorId="6B0E1CB2" wp14:editId="082273E7">
            <wp:extent cx="5278755" cy="26282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8755" cy="2628265"/>
                    </a:xfrm>
                    <a:prstGeom prst="rect">
                      <a:avLst/>
                    </a:prstGeom>
                  </pic:spPr>
                </pic:pic>
              </a:graphicData>
            </a:graphic>
          </wp:inline>
        </w:drawing>
      </w:r>
    </w:p>
    <w:p w14:paraId="2B9A66CE" w14:textId="6179E1F2" w:rsidR="003D5E45" w:rsidRDefault="004165A1" w:rsidP="00F17655">
      <w:r>
        <w:t xml:space="preserve">Retirement of refrigerating equipment containing CFC-11 blown foams </w:t>
      </w:r>
      <w:r w:rsidR="00212365">
        <w:t xml:space="preserve">is largely complete even with an assumption of a 25-year lifetime for domestic appliances as shown in the </w:t>
      </w:r>
      <w:r w:rsidR="00487730">
        <w:t>Figure</w:t>
      </w:r>
      <w:r w:rsidR="00212365">
        <w:t xml:space="preserve"> below. </w:t>
      </w:r>
    </w:p>
    <w:p w14:paraId="488DA74A" w14:textId="6804F116" w:rsidR="003D5E45" w:rsidRDefault="003D5E45" w:rsidP="00043208">
      <w:pPr>
        <w:pStyle w:val="FigureandTableTitle"/>
      </w:pPr>
      <w:r w:rsidRPr="00862772">
        <w:t>Figure 5.</w:t>
      </w:r>
      <w:r w:rsidR="00C764D2">
        <w:t>4</w:t>
      </w:r>
      <w:r w:rsidRPr="00862772">
        <w:tab/>
      </w:r>
      <w:r w:rsidRPr="00574A5F">
        <w:t>Estimated CFC-11 decommissioned from active refri</w:t>
      </w:r>
      <w:r w:rsidR="00BE0D2E" w:rsidRPr="00574A5F">
        <w:t xml:space="preserve">gerating </w:t>
      </w:r>
      <w:r w:rsidRPr="00574A5F">
        <w:t>foam banks, 1931-2050 (</w:t>
      </w:r>
      <w:proofErr w:type="spellStart"/>
      <w:r w:rsidRPr="00574A5F">
        <w:t>kilotonnes</w:t>
      </w:r>
      <w:proofErr w:type="spellEnd"/>
      <w:r w:rsidRPr="00574A5F">
        <w:t>)</w:t>
      </w:r>
      <w:r w:rsidR="00716735">
        <w:rPr>
          <w:rStyle w:val="FootnoteReference"/>
        </w:rPr>
        <w:footnoteReference w:id="127"/>
      </w:r>
    </w:p>
    <w:p w14:paraId="2DB0B45A" w14:textId="349CC6E2" w:rsidR="000C51F1" w:rsidRDefault="00E574FB" w:rsidP="00F17655">
      <w:r w:rsidRPr="00E574FB">
        <w:rPr>
          <w:noProof/>
        </w:rPr>
        <w:drawing>
          <wp:inline distT="0" distB="0" distL="0" distR="0" wp14:anchorId="7D868E8F" wp14:editId="5F2C1841">
            <wp:extent cx="5278755" cy="20904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8755" cy="2090420"/>
                    </a:xfrm>
                    <a:prstGeom prst="rect">
                      <a:avLst/>
                    </a:prstGeom>
                  </pic:spPr>
                </pic:pic>
              </a:graphicData>
            </a:graphic>
          </wp:inline>
        </w:drawing>
      </w:r>
    </w:p>
    <w:p w14:paraId="73F9A83D" w14:textId="2C4B6B30" w:rsidR="00F17655" w:rsidRDefault="00F17655" w:rsidP="00F17655">
      <w:r>
        <w:t>The Figure below presents the estimated quantities of CFC-11 in active foam</w:t>
      </w:r>
      <w:r w:rsidR="00FC0985">
        <w:t xml:space="preserve"> and chiller</w:t>
      </w:r>
      <w:r>
        <w:t xml:space="preserve"> banks until 2050. Past and present </w:t>
      </w:r>
      <w:r w:rsidR="00E1672F">
        <w:t xml:space="preserve">end-of-life </w:t>
      </w:r>
      <w:r>
        <w:t>waste management practices</w:t>
      </w:r>
      <w:r w:rsidR="0074049D">
        <w:t xml:space="preserve"> of foams</w:t>
      </w:r>
      <w:r>
        <w:t xml:space="preserve"> result in the majority </w:t>
      </w:r>
      <w:r w:rsidR="00E1672F">
        <w:t xml:space="preserve">of CFC-11 </w:t>
      </w:r>
      <w:r>
        <w:t xml:space="preserve">being emitted from active and inactive foam banks, which </w:t>
      </w:r>
      <w:r w:rsidR="001D7FD8">
        <w:t>is the</w:t>
      </w:r>
      <w:r>
        <w:t xml:space="preserve"> </w:t>
      </w:r>
      <w:r w:rsidR="001D7FD8">
        <w:t>assumption made for future practices in this analysis</w:t>
      </w:r>
      <w:r w:rsidR="00DA25AA">
        <w:t xml:space="preserve"> excluding </w:t>
      </w:r>
      <w:r w:rsidR="00FC49DD">
        <w:t xml:space="preserve">destruction practices </w:t>
      </w:r>
      <w:r w:rsidR="00DA25AA">
        <w:t xml:space="preserve">as </w:t>
      </w:r>
      <w:r w:rsidR="00A06467">
        <w:t>required</w:t>
      </w:r>
      <w:r w:rsidR="00DA25AA">
        <w:t xml:space="preserve"> in Europe</w:t>
      </w:r>
      <w:r>
        <w:t xml:space="preserve">. The opportunity for recovery and destruction of CFC-11 lies in the higher </w:t>
      </w:r>
      <w:r>
        <w:lastRenderedPageBreak/>
        <w:t xml:space="preserve">management of active foam banks at end-of-life, with potential diversion of foam wastes before </w:t>
      </w:r>
      <w:r w:rsidR="005E444A">
        <w:t xml:space="preserve">disposal </w:t>
      </w:r>
      <w:r>
        <w:t>in landfill or other forms of disposition, such as emissive secondary usage</w:t>
      </w:r>
      <w:r w:rsidR="005E444A">
        <w:t>, e.g., in road aggregate</w:t>
      </w:r>
      <w:r>
        <w:t>, towards destruction that mitigates the majority of emissions.</w:t>
      </w:r>
      <w:r w:rsidR="00D55D76">
        <w:t xml:space="preserve"> The estimated total quantity of CFC-11 in the active CFC-11 foam banks in 2021</w:t>
      </w:r>
      <w:r w:rsidR="004B3BE3">
        <w:t xml:space="preserve"> is </w:t>
      </w:r>
      <w:r w:rsidR="007842AD" w:rsidRPr="00574A5F">
        <w:t xml:space="preserve">750 </w:t>
      </w:r>
      <w:proofErr w:type="spellStart"/>
      <w:r w:rsidR="004B3BE3" w:rsidRPr="00574A5F">
        <w:t>k</w:t>
      </w:r>
      <w:r w:rsidR="009F4E89" w:rsidRPr="00574A5F">
        <w:t>ilo</w:t>
      </w:r>
      <w:r w:rsidR="004B3BE3" w:rsidRPr="00574A5F">
        <w:t>tonnes</w:t>
      </w:r>
      <w:proofErr w:type="spellEnd"/>
      <w:r w:rsidR="007E43A8" w:rsidRPr="00574A5F">
        <w:t xml:space="preserve">, or </w:t>
      </w:r>
      <w:r w:rsidR="007842AD" w:rsidRPr="00574A5F">
        <w:t>3.6</w:t>
      </w:r>
      <w:r w:rsidR="00510AAF" w:rsidRPr="00574A5F">
        <w:t xml:space="preserve"> Gt CO</w:t>
      </w:r>
      <w:r w:rsidR="00510AAF" w:rsidRPr="00574A5F">
        <w:rPr>
          <w:vertAlign w:val="subscript"/>
        </w:rPr>
        <w:t>2</w:t>
      </w:r>
      <w:r w:rsidR="00510AAF" w:rsidRPr="00574A5F">
        <w:t>eq</w:t>
      </w:r>
      <w:r w:rsidR="00233770" w:rsidRPr="00574A5F">
        <w:rPr>
          <w:rStyle w:val="FootnoteReference"/>
        </w:rPr>
        <w:footnoteReference w:id="128"/>
      </w:r>
      <w:r w:rsidR="00510AAF">
        <w:t>.</w:t>
      </w:r>
      <w:r w:rsidR="00845538">
        <w:t xml:space="preserve"> </w:t>
      </w:r>
    </w:p>
    <w:p w14:paraId="70E0C1E3" w14:textId="7BD6C299" w:rsidR="006C546C" w:rsidRDefault="006C546C" w:rsidP="006C546C">
      <w:r w:rsidRPr="00AE3036">
        <w:t>There are now very small quantities of CFC-11 in chillers, with the majority of the remaining chillers in United States</w:t>
      </w:r>
      <w:r w:rsidR="0021567F">
        <w:rPr>
          <w:rStyle w:val="FootnoteReference"/>
        </w:rPr>
        <w:footnoteReference w:id="129"/>
      </w:r>
      <w:r w:rsidRPr="00AE3036">
        <w:t xml:space="preserve">. CFC-11 refrigerant management practices have </w:t>
      </w:r>
      <w:r>
        <w:t>resulted in high levels of</w:t>
      </w:r>
      <w:r w:rsidRPr="00AE3036">
        <w:t xml:space="preserve"> recovery, reclaim and destruction</w:t>
      </w:r>
      <w:r>
        <w:t xml:space="preserve">, </w:t>
      </w:r>
      <w:r w:rsidRPr="00AE3036">
        <w:t xml:space="preserve">consistent with </w:t>
      </w:r>
      <w:r>
        <w:t xml:space="preserve">the </w:t>
      </w:r>
      <w:r w:rsidRPr="00AE3036">
        <w:t>expected quantities reaching their end-of-life.</w:t>
      </w:r>
      <w:r>
        <w:t xml:space="preserve"> </w:t>
      </w:r>
    </w:p>
    <w:p w14:paraId="797B2470" w14:textId="07BC90A0" w:rsidR="006C546C" w:rsidRPr="00F37D7D" w:rsidRDefault="006C546C" w:rsidP="00F37D7D">
      <w:pPr>
        <w:pStyle w:val="FigureandTableTitle"/>
      </w:pPr>
      <w:r w:rsidRPr="00F37D7D">
        <w:t>Figure 5.</w:t>
      </w:r>
      <w:r w:rsidR="00C02060">
        <w:t>5</w:t>
      </w:r>
      <w:r w:rsidRPr="00F37D7D">
        <w:tab/>
        <w:t xml:space="preserve">Estimated </w:t>
      </w:r>
      <w:r w:rsidR="00E12A8D">
        <w:t xml:space="preserve">remaining </w:t>
      </w:r>
      <w:r w:rsidRPr="00F37D7D">
        <w:t>CFC-11 in active chiller</w:t>
      </w:r>
      <w:r w:rsidR="00FC0985">
        <w:t xml:space="preserve"> and foam</w:t>
      </w:r>
      <w:r w:rsidRPr="00F37D7D">
        <w:t xml:space="preserve"> banks, 1931-2050 (</w:t>
      </w:r>
      <w:proofErr w:type="spellStart"/>
      <w:r w:rsidR="00D15A8B" w:rsidRPr="00F37D7D">
        <w:t>kilo</w:t>
      </w:r>
      <w:r w:rsidRPr="00F37D7D">
        <w:t>tonnes</w:t>
      </w:r>
      <w:proofErr w:type="spellEnd"/>
      <w:r w:rsidRPr="00F37D7D">
        <w:t>)</w:t>
      </w:r>
      <w:r w:rsidR="00716735">
        <w:rPr>
          <w:rStyle w:val="FootnoteReference"/>
        </w:rPr>
        <w:footnoteReference w:id="130"/>
      </w:r>
    </w:p>
    <w:p w14:paraId="58DB2CC7" w14:textId="64481AF8" w:rsidR="00E12A8D" w:rsidRDefault="00E12A8D" w:rsidP="00581C56">
      <w:r>
        <w:rPr>
          <w:noProof/>
        </w:rPr>
        <w:drawing>
          <wp:inline distT="0" distB="0" distL="0" distR="0" wp14:anchorId="67532D65" wp14:editId="688811C0">
            <wp:extent cx="5000017" cy="3883175"/>
            <wp:effectExtent l="0" t="0" r="381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54">
                      <a:extLst>
                        <a:ext uri="{28A0092B-C50C-407E-A947-70E740481C1C}">
                          <a14:useLocalDpi xmlns:a14="http://schemas.microsoft.com/office/drawing/2010/main" val="0"/>
                        </a:ext>
                      </a:extLst>
                    </a:blip>
                    <a:stretch>
                      <a:fillRect/>
                    </a:stretch>
                  </pic:blipFill>
                  <pic:spPr>
                    <a:xfrm>
                      <a:off x="0" y="0"/>
                      <a:ext cx="5000017" cy="3883175"/>
                    </a:xfrm>
                    <a:prstGeom prst="rect">
                      <a:avLst/>
                    </a:prstGeom>
                  </pic:spPr>
                </pic:pic>
              </a:graphicData>
            </a:graphic>
          </wp:inline>
        </w:drawing>
      </w:r>
    </w:p>
    <w:p w14:paraId="356F8916" w14:textId="1D4A17C5" w:rsidR="00581C56" w:rsidRDefault="00581C56" w:rsidP="00581C56">
      <w:r>
        <w:t xml:space="preserve">Different </w:t>
      </w:r>
      <w:r w:rsidR="00901574">
        <w:t xml:space="preserve">published </w:t>
      </w:r>
      <w:r>
        <w:t xml:space="preserve">analyses vary in their global peaks, trends, and annual outputs </w:t>
      </w:r>
      <w:r w:rsidR="004568DB">
        <w:t xml:space="preserve">of CFC-11 waste streams </w:t>
      </w:r>
      <w:r w:rsidR="00F37D7D">
        <w:t>due</w:t>
      </w:r>
      <w:r>
        <w:t xml:space="preserve"> to differen</w:t>
      </w:r>
      <w:r w:rsidR="00901574">
        <w:t>ces in</w:t>
      </w:r>
      <w:r>
        <w:t xml:space="preserve"> modelling assumptions. </w:t>
      </w:r>
      <w:r w:rsidRPr="0072597B">
        <w:t xml:space="preserve">However, </w:t>
      </w:r>
      <w:r>
        <w:t>some noteworthy characteristics do not vary. T</w:t>
      </w:r>
      <w:r w:rsidRPr="0072597B">
        <w:t xml:space="preserve">he bulk of the remaining CFC-11 bank </w:t>
      </w:r>
      <w:r>
        <w:t>is</w:t>
      </w:r>
      <w:r w:rsidRPr="0072597B">
        <w:t xml:space="preserve"> in non-A</w:t>
      </w:r>
      <w:r w:rsidR="00DE712F">
        <w:t xml:space="preserve">rticle </w:t>
      </w:r>
      <w:r w:rsidRPr="0072597B">
        <w:t xml:space="preserve">5 </w:t>
      </w:r>
      <w:r>
        <w:t>parties</w:t>
      </w:r>
      <w:r w:rsidRPr="0072597B">
        <w:t xml:space="preserve"> and will typically be contained in thermal </w:t>
      </w:r>
      <w:r>
        <w:t xml:space="preserve">foam </w:t>
      </w:r>
      <w:r w:rsidRPr="0072597B">
        <w:t xml:space="preserve">insulation </w:t>
      </w:r>
      <w:r>
        <w:t>in</w:t>
      </w:r>
      <w:r w:rsidRPr="0072597B">
        <w:t xml:space="preserve"> the built environment. </w:t>
      </w:r>
      <w:r>
        <w:t xml:space="preserve">The </w:t>
      </w:r>
      <w:r w:rsidR="00E25C2C">
        <w:lastRenderedPageBreak/>
        <w:t xml:space="preserve">remainder of this section describes </w:t>
      </w:r>
      <w:r w:rsidR="00B3060B">
        <w:t>a selection of</w:t>
      </w:r>
      <w:r w:rsidR="00E25C2C">
        <w:t xml:space="preserve"> </w:t>
      </w:r>
      <w:r w:rsidR="00B3060B">
        <w:t xml:space="preserve">other </w:t>
      </w:r>
      <w:r w:rsidR="00E25C2C">
        <w:t>studies of CFC-11 banks and resulting waste streams.</w:t>
      </w:r>
      <w:r w:rsidR="000A44E1">
        <w:t xml:space="preserve"> Variations </w:t>
      </w:r>
      <w:r w:rsidR="00A56247">
        <w:t>are indicative of</w:t>
      </w:r>
      <w:r w:rsidR="000A44E1">
        <w:t xml:space="preserve"> the sensitivity </w:t>
      </w:r>
      <w:r w:rsidR="00A56247">
        <w:t>in</w:t>
      </w:r>
      <w:r w:rsidR="000A44E1">
        <w:t xml:space="preserve"> modelling to </w:t>
      </w:r>
      <w:r w:rsidR="00A56247">
        <w:t xml:space="preserve">the </w:t>
      </w:r>
      <w:r w:rsidR="000A44E1">
        <w:t>assumptions</w:t>
      </w:r>
      <w:r w:rsidR="00A16819" w:rsidRPr="00A16819">
        <w:t xml:space="preserve"> </w:t>
      </w:r>
      <w:r w:rsidR="00A16819">
        <w:t>adopted</w:t>
      </w:r>
      <w:r w:rsidR="000A44E1">
        <w:t>, including lifetimes of buildings and appliances.</w:t>
      </w:r>
      <w:r w:rsidR="00653197">
        <w:t xml:space="preserve"> </w:t>
      </w:r>
    </w:p>
    <w:p w14:paraId="198164E8" w14:textId="228B8C79" w:rsidR="0029426A" w:rsidRPr="0029426A" w:rsidRDefault="00CA71F0" w:rsidP="0029426A">
      <w:pPr>
        <w:rPr>
          <w:lang w:val="en-AU"/>
        </w:rPr>
      </w:pPr>
      <w:r>
        <w:t>R</w:t>
      </w:r>
      <w:r w:rsidR="00F17655">
        <w:t xml:space="preserve">ecent studies </w:t>
      </w:r>
      <w:r w:rsidR="001E76BB">
        <w:t xml:space="preserve">by GIZ </w:t>
      </w:r>
      <w:proofErr w:type="spellStart"/>
      <w:r w:rsidR="001E76BB">
        <w:t>Proklima</w:t>
      </w:r>
      <w:proofErr w:type="spellEnd"/>
      <w:r w:rsidR="001E76BB">
        <w:t xml:space="preserve"> </w:t>
      </w:r>
      <w:r w:rsidR="00F17655">
        <w:t>estimated global CFC foam banks (</w:t>
      </w:r>
      <w:r w:rsidR="009E46A8">
        <w:t xml:space="preserve">CFC-11 and </w:t>
      </w:r>
      <w:r w:rsidR="00F17655">
        <w:t xml:space="preserve">CFC-12) to </w:t>
      </w:r>
      <w:r w:rsidR="005B420A">
        <w:t xml:space="preserve">the year </w:t>
      </w:r>
      <w:r w:rsidR="00F17655">
        <w:t>2100 (see Figure below)</w:t>
      </w:r>
      <w:r w:rsidR="00E11F0F" w:rsidRPr="00E11F0F">
        <w:rPr>
          <w:rStyle w:val="FootnoteReference"/>
        </w:rPr>
        <w:t xml:space="preserve"> </w:t>
      </w:r>
      <w:r w:rsidR="00E11F0F">
        <w:rPr>
          <w:rStyle w:val="FootnoteReference"/>
        </w:rPr>
        <w:footnoteReference w:id="131"/>
      </w:r>
      <w:r w:rsidR="00F17655">
        <w:t xml:space="preserve">. </w:t>
      </w:r>
      <w:r w:rsidR="00F17655" w:rsidRPr="00C87CC6">
        <w:t xml:space="preserve">For the </w:t>
      </w:r>
      <w:r w:rsidR="009E46A8">
        <w:t xml:space="preserve">CFC </w:t>
      </w:r>
      <w:r w:rsidR="00F17655">
        <w:t xml:space="preserve">foam </w:t>
      </w:r>
      <w:r w:rsidR="00F17655" w:rsidRPr="00C87CC6">
        <w:t>bank</w:t>
      </w:r>
      <w:r w:rsidR="009E46A8">
        <w:t>s</w:t>
      </w:r>
      <w:r w:rsidR="00F17655" w:rsidRPr="00C87CC6">
        <w:t xml:space="preserve"> </w:t>
      </w:r>
      <w:r w:rsidR="00EB2A8D">
        <w:t>as</w:t>
      </w:r>
      <w:r w:rsidR="00F17655" w:rsidRPr="00C87CC6">
        <w:t xml:space="preserve"> waste, it was assumed that </w:t>
      </w:r>
      <w:r w:rsidR="00C01F0C">
        <w:t xml:space="preserve">waste </w:t>
      </w:r>
      <w:r w:rsidR="00F17655" w:rsidRPr="00C87CC6">
        <w:t>foam is untreated and continues to release the blowing agent at a constant rate</w:t>
      </w:r>
      <w:r w:rsidR="00E11F0F">
        <w:rPr>
          <w:rStyle w:val="FootnoteReference"/>
        </w:rPr>
        <w:footnoteReference w:id="132"/>
      </w:r>
      <w:r w:rsidR="00691484">
        <w:t xml:space="preserve">. </w:t>
      </w:r>
      <w:r w:rsidR="00F17655">
        <w:t xml:space="preserve">The </w:t>
      </w:r>
      <w:r w:rsidR="00552DF9">
        <w:t xml:space="preserve">active </w:t>
      </w:r>
      <w:r w:rsidR="00F17655">
        <w:t xml:space="preserve">foam bank was estimated to be 1500 </w:t>
      </w:r>
      <w:proofErr w:type="spellStart"/>
      <w:r w:rsidR="00F17655">
        <w:t>k</w:t>
      </w:r>
      <w:r w:rsidR="000A6D5E">
        <w:t>ilo</w:t>
      </w:r>
      <w:r w:rsidR="00F17655">
        <w:t>tonnes</w:t>
      </w:r>
      <w:proofErr w:type="spellEnd"/>
      <w:r w:rsidR="00F17655">
        <w:t xml:space="preserve"> CFC</w:t>
      </w:r>
      <w:r w:rsidR="00D350A9">
        <w:t>s</w:t>
      </w:r>
      <w:r w:rsidR="00F17655">
        <w:t xml:space="preserve"> in 2020, or </w:t>
      </w:r>
      <w:r w:rsidR="00F17655" w:rsidRPr="001C3377">
        <w:rPr>
          <w:lang w:val="en-AU"/>
        </w:rPr>
        <w:t>8.5 Gt of CO</w:t>
      </w:r>
      <w:r w:rsidR="00F17655" w:rsidRPr="001C3377">
        <w:rPr>
          <w:vertAlign w:val="subscript"/>
          <w:lang w:val="en-AU"/>
        </w:rPr>
        <w:t>2</w:t>
      </w:r>
      <w:r w:rsidR="00F17655" w:rsidRPr="001C3377">
        <w:rPr>
          <w:lang w:val="en-AU"/>
        </w:rPr>
        <w:t>eq</w:t>
      </w:r>
      <w:r w:rsidR="00F17655">
        <w:t>. While the foam bank</w:t>
      </w:r>
      <w:r w:rsidR="00B32A89">
        <w:t xml:space="preserve"> containing CFC-11</w:t>
      </w:r>
      <w:r w:rsidR="00F17655">
        <w:t xml:space="preserve"> is decreasing, GIZ </w:t>
      </w:r>
      <w:proofErr w:type="spellStart"/>
      <w:r w:rsidR="00F17655">
        <w:t>Proklima</w:t>
      </w:r>
      <w:proofErr w:type="spellEnd"/>
      <w:r w:rsidR="00F17655">
        <w:t xml:space="preserve"> estimated that </w:t>
      </w:r>
      <w:r w:rsidR="008A44E7">
        <w:t xml:space="preserve">available </w:t>
      </w:r>
      <w:r w:rsidR="00F17655">
        <w:t>CFCs equivalent to 6.</w:t>
      </w:r>
      <w:r w:rsidR="001F7D84">
        <w:t>1</w:t>
      </w:r>
      <w:r w:rsidR="00F17655">
        <w:t xml:space="preserve"> Gt CO</w:t>
      </w:r>
      <w:r w:rsidR="00F17655" w:rsidRPr="001C3377">
        <w:rPr>
          <w:vertAlign w:val="subscript"/>
        </w:rPr>
        <w:t>2</w:t>
      </w:r>
      <w:r w:rsidR="00F17655">
        <w:t>eq.</w:t>
      </w:r>
      <w:r w:rsidR="001F7D84">
        <w:rPr>
          <w:rStyle w:val="FootnoteReference"/>
        </w:rPr>
        <w:footnoteReference w:id="133"/>
      </w:r>
      <w:r w:rsidR="00F17655">
        <w:t xml:space="preserve"> </w:t>
      </w:r>
      <w:r w:rsidR="00FC56CB">
        <w:t>were</w:t>
      </w:r>
      <w:r w:rsidR="00F17655">
        <w:t xml:space="preserve"> yet </w:t>
      </w:r>
      <w:r w:rsidR="00FC56CB">
        <w:t xml:space="preserve">to </w:t>
      </w:r>
      <w:r w:rsidR="00F17655">
        <w:t>enter the waste stream</w:t>
      </w:r>
      <w:r w:rsidR="00594B2E">
        <w:t xml:space="preserve"> (in 2020)</w:t>
      </w:r>
      <w:r w:rsidR="00F17655">
        <w:t xml:space="preserve"> and </w:t>
      </w:r>
      <w:r w:rsidR="008357E8">
        <w:t xml:space="preserve">were </w:t>
      </w:r>
      <w:r w:rsidR="00F17655">
        <w:t xml:space="preserve">still reachable for treatment, which is </w:t>
      </w:r>
      <w:r w:rsidR="008357E8">
        <w:t>greater</w:t>
      </w:r>
      <w:r w:rsidR="00F17655">
        <w:t xml:space="preserve"> than the annual GHG emission of the European Union (4.3 Gt CO</w:t>
      </w:r>
      <w:r w:rsidR="00F17655" w:rsidRPr="00D369A7">
        <w:rPr>
          <w:vertAlign w:val="subscript"/>
        </w:rPr>
        <w:t>2</w:t>
      </w:r>
      <w:r w:rsidR="00F17655">
        <w:t>eq. in 2016).</w:t>
      </w:r>
      <w:r w:rsidR="00DA6330">
        <w:t xml:space="preserve"> </w:t>
      </w:r>
    </w:p>
    <w:p w14:paraId="5881F10F" w14:textId="5F04D187" w:rsidR="00F17655" w:rsidRPr="004D4E82" w:rsidRDefault="00F17655" w:rsidP="00F37D7D">
      <w:pPr>
        <w:pStyle w:val="FigureandTableTitle"/>
      </w:pPr>
      <w:r w:rsidRPr="004D4E82">
        <w:t>Figure 5.</w:t>
      </w:r>
      <w:r w:rsidR="00C02060">
        <w:t>6</w:t>
      </w:r>
      <w:r w:rsidRPr="004D4E82">
        <w:tab/>
      </w:r>
      <w:r>
        <w:t xml:space="preserve">Global CFC Foam Banks </w:t>
      </w:r>
      <w:r w:rsidR="00733DD7">
        <w:t xml:space="preserve">(active and inactive) </w:t>
      </w:r>
      <w:r>
        <w:t>until 2100 (</w:t>
      </w:r>
      <w:proofErr w:type="spellStart"/>
      <w:r>
        <w:t>kilotonnes</w:t>
      </w:r>
      <w:proofErr w:type="spellEnd"/>
      <w:r>
        <w:t>)</w:t>
      </w:r>
      <w:r>
        <w:rPr>
          <w:rStyle w:val="FootnoteReference"/>
          <w:b w:val="0"/>
          <w:bCs w:val="0"/>
        </w:rPr>
        <w:footnoteReference w:id="134"/>
      </w:r>
    </w:p>
    <w:p w14:paraId="60B9E8CE" w14:textId="2B8D9714" w:rsidR="00807859" w:rsidRDefault="00270FBD" w:rsidP="0072597B">
      <w:r>
        <w:rPr>
          <w:noProof/>
        </w:rPr>
        <w:drawing>
          <wp:inline distT="0" distB="0" distL="0" distR="0" wp14:anchorId="71E9B05B" wp14:editId="53B483CE">
            <wp:extent cx="5278754" cy="2228850"/>
            <wp:effectExtent l="0" t="0" r="4445" b="6350"/>
            <wp:docPr id="644245470" name="Picture 644245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245470"/>
                    <pic:cNvPicPr/>
                  </pic:nvPicPr>
                  <pic:blipFill>
                    <a:blip r:embed="rId55">
                      <a:extLst>
                        <a:ext uri="{28A0092B-C50C-407E-A947-70E740481C1C}">
                          <a14:useLocalDpi xmlns:a14="http://schemas.microsoft.com/office/drawing/2010/main" val="0"/>
                        </a:ext>
                      </a:extLst>
                    </a:blip>
                    <a:stretch>
                      <a:fillRect/>
                    </a:stretch>
                  </pic:blipFill>
                  <pic:spPr>
                    <a:xfrm>
                      <a:off x="0" y="0"/>
                      <a:ext cx="5278754" cy="2228850"/>
                    </a:xfrm>
                    <a:prstGeom prst="rect">
                      <a:avLst/>
                    </a:prstGeom>
                  </pic:spPr>
                </pic:pic>
              </a:graphicData>
            </a:graphic>
          </wp:inline>
        </w:drawing>
      </w:r>
    </w:p>
    <w:p w14:paraId="47E5A2B1" w14:textId="77777777" w:rsidR="00132BBC" w:rsidRDefault="00132BBC" w:rsidP="00F53588">
      <w:pPr>
        <w:spacing w:after="0"/>
      </w:pPr>
    </w:p>
    <w:p w14:paraId="6A670CAB" w14:textId="32D8F2C1" w:rsidR="00037A61" w:rsidRPr="008106C6" w:rsidRDefault="00F11143" w:rsidP="0072597B">
      <w:pPr>
        <w:rPr>
          <w:lang w:val="en-AU"/>
        </w:rPr>
      </w:pPr>
      <w:r>
        <w:t xml:space="preserve">With the majority of </w:t>
      </w:r>
      <w:r w:rsidR="00807859">
        <w:t xml:space="preserve">the foam banks </w:t>
      </w:r>
      <w:r>
        <w:t xml:space="preserve">located in developed countries, and </w:t>
      </w:r>
      <w:r w:rsidR="00F63ED0">
        <w:t>assuming</w:t>
      </w:r>
      <w:r w:rsidR="00F63ED0" w:rsidRPr="0029426A">
        <w:rPr>
          <w:lang w:val="en-AU"/>
        </w:rPr>
        <w:t xml:space="preserve"> </w:t>
      </w:r>
      <w:r>
        <w:rPr>
          <w:lang w:val="en-AU"/>
        </w:rPr>
        <w:t xml:space="preserve">an </w:t>
      </w:r>
      <w:r w:rsidRPr="0029426A">
        <w:rPr>
          <w:lang w:val="en-AU"/>
        </w:rPr>
        <w:t xml:space="preserve">average building lifetime of 50 years, </w:t>
      </w:r>
      <w:r>
        <w:rPr>
          <w:lang w:val="en-AU"/>
        </w:rPr>
        <w:t xml:space="preserve">GIZ </w:t>
      </w:r>
      <w:proofErr w:type="spellStart"/>
      <w:r>
        <w:rPr>
          <w:lang w:val="en-AU"/>
        </w:rPr>
        <w:t>Proklima</w:t>
      </w:r>
      <w:proofErr w:type="spellEnd"/>
      <w:r>
        <w:rPr>
          <w:lang w:val="en-AU"/>
        </w:rPr>
        <w:t xml:space="preserve"> concluded </w:t>
      </w:r>
      <w:r w:rsidR="00B339DE">
        <w:rPr>
          <w:lang w:val="en-AU"/>
        </w:rPr>
        <w:t xml:space="preserve">in 2020 </w:t>
      </w:r>
      <w:r>
        <w:rPr>
          <w:lang w:val="en-AU"/>
        </w:rPr>
        <w:t>that</w:t>
      </w:r>
      <w:r w:rsidR="00981FC3">
        <w:rPr>
          <w:lang w:val="en-AU"/>
        </w:rPr>
        <w:t xml:space="preserve">, for </w:t>
      </w:r>
      <w:r w:rsidR="00544FDC">
        <w:rPr>
          <w:lang w:val="en-AU"/>
        </w:rPr>
        <w:t xml:space="preserve">insulation foam </w:t>
      </w:r>
      <w:r w:rsidR="00981FC3">
        <w:rPr>
          <w:lang w:val="en-AU"/>
        </w:rPr>
        <w:t>waste from buildings</w:t>
      </w:r>
      <w:r w:rsidR="00544FDC">
        <w:rPr>
          <w:lang w:val="en-AU"/>
        </w:rPr>
        <w:t xml:space="preserve">, there was </w:t>
      </w:r>
      <w:r>
        <w:rPr>
          <w:lang w:val="en-AU"/>
        </w:rPr>
        <w:t>the</w:t>
      </w:r>
      <w:r w:rsidRPr="0029426A">
        <w:rPr>
          <w:lang w:val="en-AU"/>
        </w:rPr>
        <w:t xml:space="preserve"> opportunity to avoid </w:t>
      </w:r>
      <w:r>
        <w:rPr>
          <w:lang w:val="en-AU"/>
        </w:rPr>
        <w:t xml:space="preserve">an estimated </w:t>
      </w:r>
      <w:r w:rsidRPr="0029426A">
        <w:rPr>
          <w:lang w:val="en-AU"/>
        </w:rPr>
        <w:t xml:space="preserve">870 </w:t>
      </w:r>
      <w:proofErr w:type="spellStart"/>
      <w:r w:rsidRPr="0029426A">
        <w:rPr>
          <w:lang w:val="en-AU"/>
        </w:rPr>
        <w:t>k</w:t>
      </w:r>
      <w:r w:rsidR="0069091E">
        <w:rPr>
          <w:lang w:val="en-AU"/>
        </w:rPr>
        <w:t>ilo</w:t>
      </w:r>
      <w:r w:rsidRPr="0029426A">
        <w:rPr>
          <w:lang w:val="en-AU"/>
        </w:rPr>
        <w:t>tonnes</w:t>
      </w:r>
      <w:proofErr w:type="spellEnd"/>
      <w:r w:rsidRPr="0029426A">
        <w:rPr>
          <w:lang w:val="en-AU"/>
        </w:rPr>
        <w:t xml:space="preserve"> of CFC</w:t>
      </w:r>
      <w:r>
        <w:rPr>
          <w:lang w:val="en-AU"/>
        </w:rPr>
        <w:t>-11 and CFC-12</w:t>
      </w:r>
      <w:r w:rsidRPr="0029426A">
        <w:rPr>
          <w:lang w:val="en-AU"/>
        </w:rPr>
        <w:t xml:space="preserve"> emissions</w:t>
      </w:r>
      <w:r>
        <w:rPr>
          <w:lang w:val="en-AU"/>
        </w:rPr>
        <w:t>,</w:t>
      </w:r>
      <w:r w:rsidRPr="0029426A">
        <w:rPr>
          <w:lang w:val="en-AU"/>
        </w:rPr>
        <w:t xml:space="preserve"> equivalent to 4.5 Gt CO</w:t>
      </w:r>
      <w:r w:rsidRPr="00EB43E3">
        <w:rPr>
          <w:vertAlign w:val="subscript"/>
          <w:lang w:val="en-AU"/>
        </w:rPr>
        <w:t>2</w:t>
      </w:r>
      <w:r w:rsidRPr="0029426A">
        <w:rPr>
          <w:lang w:val="en-AU"/>
        </w:rPr>
        <w:t>eq.</w:t>
      </w:r>
    </w:p>
    <w:p w14:paraId="1B914346" w14:textId="634623EF" w:rsidR="00AD0CA5" w:rsidRPr="00F37D7D" w:rsidRDefault="00AD0CA5" w:rsidP="00F37D7D">
      <w:pPr>
        <w:pStyle w:val="FigureandTableTitle"/>
      </w:pPr>
      <w:r w:rsidRPr="00F37D7D">
        <w:lastRenderedPageBreak/>
        <w:t>Figure 5.</w:t>
      </w:r>
      <w:r w:rsidR="00C02060">
        <w:t>7</w:t>
      </w:r>
      <w:r w:rsidRPr="00F37D7D">
        <w:tab/>
        <w:t xml:space="preserve">CFC Foam Banks </w:t>
      </w:r>
      <w:r w:rsidR="00197E96">
        <w:t xml:space="preserve">(active and inactive) </w:t>
      </w:r>
      <w:r w:rsidRPr="00F37D7D">
        <w:t>in developed countries</w:t>
      </w:r>
      <w:r w:rsidR="00111F5B" w:rsidRPr="00F37D7D">
        <w:t xml:space="preserve"> (summed)</w:t>
      </w:r>
      <w:r w:rsidRPr="00F37D7D">
        <w:t xml:space="preserve"> until 2100 (</w:t>
      </w:r>
      <w:proofErr w:type="spellStart"/>
      <w:r w:rsidRPr="00F37D7D">
        <w:t>kilotonnes</w:t>
      </w:r>
      <w:proofErr w:type="spellEnd"/>
      <w:r w:rsidRPr="00F37D7D">
        <w:t>)</w:t>
      </w:r>
      <w:r w:rsidRPr="00F37D7D">
        <w:rPr>
          <w:rStyle w:val="FootnoteReference"/>
        </w:rPr>
        <w:footnoteReference w:id="135"/>
      </w:r>
    </w:p>
    <w:p w14:paraId="422F120D" w14:textId="2F01BE9A" w:rsidR="000D054F" w:rsidRDefault="000D054F" w:rsidP="0072597B">
      <w:r>
        <w:rPr>
          <w:noProof/>
        </w:rPr>
        <w:drawing>
          <wp:inline distT="0" distB="0" distL="0" distR="0" wp14:anchorId="70F9DAE8" wp14:editId="2200C4EA">
            <wp:extent cx="5232398" cy="2717800"/>
            <wp:effectExtent l="0" t="0" r="0" b="0"/>
            <wp:docPr id="644245469" name="Picture 644245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245469"/>
                    <pic:cNvPicPr/>
                  </pic:nvPicPr>
                  <pic:blipFill>
                    <a:blip r:embed="rId56">
                      <a:extLst>
                        <a:ext uri="{28A0092B-C50C-407E-A947-70E740481C1C}">
                          <a14:useLocalDpi xmlns:a14="http://schemas.microsoft.com/office/drawing/2010/main" val="0"/>
                        </a:ext>
                      </a:extLst>
                    </a:blip>
                    <a:stretch>
                      <a:fillRect/>
                    </a:stretch>
                  </pic:blipFill>
                  <pic:spPr>
                    <a:xfrm>
                      <a:off x="0" y="0"/>
                      <a:ext cx="5232398" cy="2717800"/>
                    </a:xfrm>
                    <a:prstGeom prst="rect">
                      <a:avLst/>
                    </a:prstGeom>
                  </pic:spPr>
                </pic:pic>
              </a:graphicData>
            </a:graphic>
          </wp:inline>
        </w:drawing>
      </w:r>
    </w:p>
    <w:p w14:paraId="1BE187B3" w14:textId="55081A78" w:rsidR="008858CB" w:rsidRDefault="00B631AA" w:rsidP="001F1334">
      <w:pPr>
        <w:spacing w:before="240"/>
      </w:pPr>
      <w:r>
        <w:t xml:space="preserve">In </w:t>
      </w:r>
      <w:r w:rsidR="006F2A33">
        <w:t>other</w:t>
      </w:r>
      <w:r>
        <w:t xml:space="preserve"> </w:t>
      </w:r>
      <w:r w:rsidR="008C7CB3">
        <w:t>studies</w:t>
      </w:r>
      <w:r w:rsidR="00627FBF">
        <w:t xml:space="preserve"> </w:t>
      </w:r>
      <w:r w:rsidR="00C644B2">
        <w:t xml:space="preserve">that </w:t>
      </w:r>
      <w:r w:rsidR="00B84594">
        <w:t>report</w:t>
      </w:r>
      <w:r w:rsidR="00C644B2">
        <w:t>ed</w:t>
      </w:r>
      <w:r w:rsidR="00627FBF">
        <w:t xml:space="preserve"> the </w:t>
      </w:r>
      <w:r w:rsidR="00B84594">
        <w:t xml:space="preserve">estimated </w:t>
      </w:r>
      <w:r w:rsidR="00627FBF">
        <w:t>flow of ODS reaching the waste stream</w:t>
      </w:r>
      <w:r w:rsidR="006E60CC">
        <w:t xml:space="preserve"> in any given year</w:t>
      </w:r>
      <w:r w:rsidR="00627FBF">
        <w:t>,</w:t>
      </w:r>
      <w:r>
        <w:t xml:space="preserve"> </w:t>
      </w:r>
      <w:r w:rsidR="00627FBF">
        <w:t>t</w:t>
      </w:r>
      <w:r w:rsidR="0072597B" w:rsidRPr="0072597B">
        <w:t>he 2018 MCTOC Assessment Report</w:t>
      </w:r>
      <w:r w:rsidR="0049624B">
        <w:rPr>
          <w:rStyle w:val="FootnoteReference"/>
        </w:rPr>
        <w:footnoteReference w:id="136"/>
      </w:r>
      <w:r w:rsidR="0072597B" w:rsidRPr="0072597B">
        <w:t xml:space="preserve"> highlighted that the annual amount of </w:t>
      </w:r>
      <w:r w:rsidR="00627BB0" w:rsidRPr="00043208">
        <w:rPr>
          <w:i/>
          <w:iCs/>
        </w:rPr>
        <w:t xml:space="preserve">all </w:t>
      </w:r>
      <w:r w:rsidR="0072597B" w:rsidRPr="00043208">
        <w:rPr>
          <w:i/>
          <w:iCs/>
        </w:rPr>
        <w:t>ODS</w:t>
      </w:r>
      <w:r w:rsidR="0072597B" w:rsidRPr="0072597B">
        <w:t xml:space="preserve"> reaching the waste stream</w:t>
      </w:r>
      <w:r w:rsidR="006424E0">
        <w:t xml:space="preserve">, </w:t>
      </w:r>
      <w:r w:rsidR="006424E0" w:rsidRPr="006424E0">
        <w:t>and potentially available for ODS management and destruction,</w:t>
      </w:r>
      <w:r w:rsidR="0072597B" w:rsidRPr="0072597B">
        <w:t xml:space="preserve"> </w:t>
      </w:r>
      <w:r w:rsidR="00D34556">
        <w:t>was estimated to have</w:t>
      </w:r>
      <w:r w:rsidR="0072597B" w:rsidRPr="0072597B">
        <w:t xml:space="preserve"> peak</w:t>
      </w:r>
      <w:r w:rsidR="00D34556">
        <w:t>ed</w:t>
      </w:r>
      <w:r w:rsidR="0072597B" w:rsidRPr="0072597B">
        <w:t xml:space="preserve"> in 2016 at ~200 </w:t>
      </w:r>
      <w:proofErr w:type="spellStart"/>
      <w:r w:rsidR="0069091E">
        <w:t>kilo</w:t>
      </w:r>
      <w:r w:rsidR="0072597B" w:rsidRPr="0072597B">
        <w:t>tonnes</w:t>
      </w:r>
      <w:proofErr w:type="spellEnd"/>
      <w:r w:rsidR="00D823F7">
        <w:t>,</w:t>
      </w:r>
      <w:r w:rsidR="0072597B" w:rsidRPr="0072597B">
        <w:t xml:space="preserve"> based on </w:t>
      </w:r>
      <w:r w:rsidR="00D34556">
        <w:t>an earlier</w:t>
      </w:r>
      <w:r w:rsidR="0072597B" w:rsidRPr="0072597B">
        <w:t xml:space="preserve"> 2015 report on ODS banks by GIZ </w:t>
      </w:r>
      <w:proofErr w:type="spellStart"/>
      <w:r w:rsidR="0072597B" w:rsidRPr="0072597B">
        <w:t>Proklima</w:t>
      </w:r>
      <w:proofErr w:type="spellEnd"/>
      <w:r w:rsidR="00764311">
        <w:rPr>
          <w:rStyle w:val="FootnoteReference"/>
        </w:rPr>
        <w:footnoteReference w:id="137"/>
      </w:r>
      <w:r w:rsidR="0072597B" w:rsidRPr="0072597B">
        <w:t>. Th</w:t>
      </w:r>
      <w:r w:rsidR="000A7B53">
        <w:t>ese</w:t>
      </w:r>
      <w:r w:rsidR="0072597B" w:rsidRPr="0072597B">
        <w:t xml:space="preserve"> </w:t>
      </w:r>
      <w:r w:rsidR="00F53865">
        <w:t>reports</w:t>
      </w:r>
      <w:r w:rsidR="000A7B53">
        <w:t>’</w:t>
      </w:r>
      <w:r w:rsidR="002F2EEF">
        <w:t xml:space="preserve"> </w:t>
      </w:r>
      <w:r w:rsidR="00E802CF">
        <w:t>estimation</w:t>
      </w:r>
      <w:r w:rsidR="000A7B53">
        <w:t>s</w:t>
      </w:r>
      <w:r w:rsidR="00E802CF" w:rsidRPr="0072597B">
        <w:t xml:space="preserve"> </w:t>
      </w:r>
      <w:r w:rsidR="00EF71B9">
        <w:t>were based on</w:t>
      </w:r>
      <w:r w:rsidR="0072597B" w:rsidRPr="0072597B">
        <w:t xml:space="preserve"> </w:t>
      </w:r>
      <w:r w:rsidR="00976DB3">
        <w:t xml:space="preserve">the same </w:t>
      </w:r>
      <w:r w:rsidR="0079693D">
        <w:t xml:space="preserve">earlier </w:t>
      </w:r>
      <w:r w:rsidR="0072597B" w:rsidRPr="0072597B">
        <w:t xml:space="preserve">data used to derive Figure 3-1 </w:t>
      </w:r>
      <w:r w:rsidR="00884463">
        <w:t>of</w:t>
      </w:r>
      <w:r w:rsidR="00884463" w:rsidRPr="0072597B">
        <w:t xml:space="preserve"> </w:t>
      </w:r>
      <w:r w:rsidR="0072597B" w:rsidRPr="0072597B">
        <w:t xml:space="preserve">the </w:t>
      </w:r>
      <w:r w:rsidR="00CD5830">
        <w:t xml:space="preserve">October </w:t>
      </w:r>
      <w:r w:rsidR="00822C26">
        <w:t xml:space="preserve">2009 </w:t>
      </w:r>
      <w:r w:rsidR="00CD5830">
        <w:t>R</w:t>
      </w:r>
      <w:r w:rsidR="00822C26">
        <w:t xml:space="preserve">eport of the Decision </w:t>
      </w:r>
      <w:r w:rsidR="0072597B" w:rsidRPr="0072597B">
        <w:t xml:space="preserve">XX/7 </w:t>
      </w:r>
      <w:r w:rsidR="00822C26" w:rsidRPr="0072597B">
        <w:t xml:space="preserve">TEAP </w:t>
      </w:r>
      <w:r w:rsidR="0072597B" w:rsidRPr="0072597B">
        <w:t>Task Force</w:t>
      </w:r>
      <w:r w:rsidR="0015161E">
        <w:rPr>
          <w:rStyle w:val="FootnoteReference"/>
        </w:rPr>
        <w:footnoteReference w:id="138"/>
      </w:r>
      <w:r w:rsidR="00D823F7">
        <w:t xml:space="preserve">, </w:t>
      </w:r>
      <w:r w:rsidR="0072597B" w:rsidRPr="0072597B">
        <w:t xml:space="preserve">which predicted </w:t>
      </w:r>
      <w:r w:rsidR="00494F6A">
        <w:t xml:space="preserve">ODS </w:t>
      </w:r>
      <w:r w:rsidR="0072597B" w:rsidRPr="0072597B">
        <w:t>waste arisings for 2010</w:t>
      </w:r>
      <w:r w:rsidR="0050172C">
        <w:t xml:space="preserve"> </w:t>
      </w:r>
      <w:r w:rsidR="00EE45A2">
        <w:t>to 2030</w:t>
      </w:r>
      <w:r w:rsidR="0072597B" w:rsidRPr="0072597B">
        <w:t xml:space="preserve">. </w:t>
      </w:r>
    </w:p>
    <w:p w14:paraId="50646A41" w14:textId="0D5EDF08" w:rsidR="00B6796B" w:rsidRPr="00B6796B" w:rsidRDefault="00E177AF" w:rsidP="00B6796B">
      <w:r w:rsidRPr="00E177AF">
        <w:t xml:space="preserve">Estimates of ODS and other refrigerants entering the waste stream </w:t>
      </w:r>
      <w:r>
        <w:t>were</w:t>
      </w:r>
      <w:r w:rsidRPr="00E177AF">
        <w:t xml:space="preserve"> presented in Figures 3-7 and 3-8 of th</w:t>
      </w:r>
      <w:r w:rsidR="00B83C2E">
        <w:t>at</w:t>
      </w:r>
      <w:r w:rsidRPr="00E177AF">
        <w:t xml:space="preserve"> </w:t>
      </w:r>
      <w:r w:rsidR="00E62EAE">
        <w:t xml:space="preserve">Decision XX/7 </w:t>
      </w:r>
      <w:r w:rsidRPr="00E177AF">
        <w:t>Task Force Report.</w:t>
      </w:r>
      <w:r>
        <w:t xml:space="preserve"> </w:t>
      </w:r>
      <w:r w:rsidR="00BE603F">
        <w:t>Based on</w:t>
      </w:r>
      <w:r w:rsidR="00C45E67" w:rsidRPr="0072597B">
        <w:t xml:space="preserve"> </w:t>
      </w:r>
      <w:r w:rsidR="00C849C6">
        <w:t>data</w:t>
      </w:r>
      <w:r w:rsidR="00C849C6" w:rsidRPr="0072597B">
        <w:t xml:space="preserve"> </w:t>
      </w:r>
      <w:r w:rsidR="002169C8">
        <w:t>used in</w:t>
      </w:r>
      <w:r w:rsidR="004E4F68">
        <w:t xml:space="preserve"> </w:t>
      </w:r>
      <w:r w:rsidR="00C0278B">
        <w:t>the 2009</w:t>
      </w:r>
      <w:r w:rsidR="00C53501">
        <w:t xml:space="preserve"> </w:t>
      </w:r>
      <w:r w:rsidR="008858CB">
        <w:t>report</w:t>
      </w:r>
      <w:r w:rsidR="00C45E67">
        <w:t>,</w:t>
      </w:r>
      <w:r w:rsidR="00C45E67" w:rsidRPr="0072597B">
        <w:t xml:space="preserve"> </w:t>
      </w:r>
      <w:r w:rsidR="00EE45A2">
        <w:t xml:space="preserve">estimated </w:t>
      </w:r>
      <w:r w:rsidR="00C863E1">
        <w:t xml:space="preserve">annual </w:t>
      </w:r>
      <w:r w:rsidR="00BE603F">
        <w:t xml:space="preserve">quantities of ODS decommissioned </w:t>
      </w:r>
      <w:r w:rsidR="00E42E80">
        <w:t>for 2010</w:t>
      </w:r>
      <w:r w:rsidR="00C45E67" w:rsidRPr="0072597B">
        <w:t xml:space="preserve"> </w:t>
      </w:r>
      <w:r w:rsidR="0072597B" w:rsidRPr="0072597B">
        <w:t>to 2030</w:t>
      </w:r>
      <w:r w:rsidR="008D7313" w:rsidRPr="008D7313">
        <w:t xml:space="preserve"> </w:t>
      </w:r>
      <w:r w:rsidR="008D7313">
        <w:t>are presented</w:t>
      </w:r>
      <w:r w:rsidR="008C7C73">
        <w:t xml:space="preserve"> below</w:t>
      </w:r>
      <w:r w:rsidR="00B94D94">
        <w:rPr>
          <w:rStyle w:val="FootnoteReference"/>
        </w:rPr>
        <w:footnoteReference w:id="139"/>
      </w:r>
      <w:r w:rsidR="006F2CE0">
        <w:t>.</w:t>
      </w:r>
      <w:r w:rsidR="00A64639">
        <w:t xml:space="preserve"> </w:t>
      </w:r>
    </w:p>
    <w:p w14:paraId="75E46958" w14:textId="004DCA04" w:rsidR="00C42089" w:rsidRPr="00862772" w:rsidRDefault="009A58B0" w:rsidP="00417E9A">
      <w:pPr>
        <w:keepNext/>
        <w:tabs>
          <w:tab w:val="left" w:pos="1134"/>
        </w:tabs>
        <w:spacing w:after="120"/>
        <w:ind w:left="1134" w:hanging="1134"/>
        <w:rPr>
          <w:b/>
          <w:bCs/>
        </w:rPr>
      </w:pPr>
      <w:r w:rsidRPr="00862772">
        <w:rPr>
          <w:b/>
          <w:bCs/>
        </w:rPr>
        <w:lastRenderedPageBreak/>
        <w:t>Figure 5.</w:t>
      </w:r>
      <w:r w:rsidR="00C02060">
        <w:rPr>
          <w:b/>
          <w:bCs/>
        </w:rPr>
        <w:t>8</w:t>
      </w:r>
      <w:r w:rsidRPr="00862772">
        <w:rPr>
          <w:b/>
          <w:bCs/>
        </w:rPr>
        <w:tab/>
      </w:r>
      <w:r w:rsidR="007A0192">
        <w:rPr>
          <w:b/>
          <w:bCs/>
        </w:rPr>
        <w:t>Estimated a</w:t>
      </w:r>
      <w:r w:rsidR="00D53F72" w:rsidRPr="00862772">
        <w:rPr>
          <w:b/>
          <w:bCs/>
        </w:rPr>
        <w:t>nnual q</w:t>
      </w:r>
      <w:r w:rsidRPr="00862772">
        <w:rPr>
          <w:b/>
          <w:bCs/>
        </w:rPr>
        <w:t>uantities of ODS entering the waste stream</w:t>
      </w:r>
      <w:r w:rsidR="007A0192">
        <w:rPr>
          <w:b/>
          <w:bCs/>
        </w:rPr>
        <w:t>,</w:t>
      </w:r>
      <w:r w:rsidR="00D53F72" w:rsidRPr="00862772">
        <w:rPr>
          <w:b/>
          <w:bCs/>
        </w:rPr>
        <w:t xml:space="preserve"> 2010 to 2030</w:t>
      </w:r>
      <w:r w:rsidRPr="00862772">
        <w:rPr>
          <w:b/>
          <w:bCs/>
        </w:rPr>
        <w:t xml:space="preserve"> </w:t>
      </w:r>
      <w:r w:rsidR="00417E9A">
        <w:rPr>
          <w:b/>
          <w:bCs/>
        </w:rPr>
        <w:t>(tonnes)</w:t>
      </w:r>
      <w:r w:rsidR="003B213F">
        <w:rPr>
          <w:b/>
          <w:bCs/>
        </w:rPr>
        <w:t xml:space="preserve"> (</w:t>
      </w:r>
      <w:r w:rsidR="003873F2">
        <w:rPr>
          <w:b/>
          <w:bCs/>
        </w:rPr>
        <w:t>based on</w:t>
      </w:r>
      <w:r w:rsidR="009C214D">
        <w:rPr>
          <w:b/>
          <w:bCs/>
        </w:rPr>
        <w:t xml:space="preserve"> </w:t>
      </w:r>
      <w:r w:rsidR="003B213F">
        <w:rPr>
          <w:b/>
          <w:bCs/>
        </w:rPr>
        <w:t xml:space="preserve">data </w:t>
      </w:r>
      <w:r w:rsidR="003873F2">
        <w:rPr>
          <w:b/>
          <w:bCs/>
        </w:rPr>
        <w:t xml:space="preserve">from the </w:t>
      </w:r>
      <w:r w:rsidR="003B213F">
        <w:rPr>
          <w:b/>
          <w:bCs/>
        </w:rPr>
        <w:t>Decision XX/7 TEAP Task Force)</w:t>
      </w:r>
      <w:r w:rsidR="00834C0C">
        <w:rPr>
          <w:rStyle w:val="FootnoteReference"/>
          <w:b/>
          <w:bCs/>
        </w:rPr>
        <w:footnoteReference w:id="140"/>
      </w:r>
      <w:r w:rsidR="00E4624F">
        <w:rPr>
          <w:b/>
          <w:bCs/>
        </w:rPr>
        <w:t xml:space="preserve"> </w:t>
      </w:r>
      <w:r w:rsidR="00265239">
        <w:rPr>
          <w:rStyle w:val="FootnoteReference"/>
          <w:b/>
          <w:bCs/>
        </w:rPr>
        <w:footnoteReference w:id="141"/>
      </w:r>
    </w:p>
    <w:p w14:paraId="25BC12F5" w14:textId="30FC5FF2" w:rsidR="0072597B" w:rsidRDefault="0072597B" w:rsidP="0072597B">
      <w:r>
        <w:rPr>
          <w:noProof/>
        </w:rPr>
        <w:drawing>
          <wp:inline distT="0" distB="0" distL="0" distR="0" wp14:anchorId="6FC28EA2" wp14:editId="419F37C6">
            <wp:extent cx="4980563" cy="3386397"/>
            <wp:effectExtent l="0" t="0" r="0" b="5080"/>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7">
                      <a:extLst>
                        <a:ext uri="{28A0092B-C50C-407E-A947-70E740481C1C}">
                          <a14:useLocalDpi xmlns:a14="http://schemas.microsoft.com/office/drawing/2010/main" val="0"/>
                        </a:ext>
                      </a:extLst>
                    </a:blip>
                    <a:stretch>
                      <a:fillRect/>
                    </a:stretch>
                  </pic:blipFill>
                  <pic:spPr>
                    <a:xfrm>
                      <a:off x="0" y="0"/>
                      <a:ext cx="4980563" cy="3386397"/>
                    </a:xfrm>
                    <a:prstGeom prst="rect">
                      <a:avLst/>
                    </a:prstGeom>
                  </pic:spPr>
                </pic:pic>
              </a:graphicData>
            </a:graphic>
          </wp:inline>
        </w:drawing>
      </w:r>
      <w:r w:rsidR="2FE2C3C9">
        <w:t xml:space="preserve"> </w:t>
      </w:r>
    </w:p>
    <w:p w14:paraId="3C61EBB7" w14:textId="1A112BB1" w:rsidR="00D96824" w:rsidRDefault="008C2D6A" w:rsidP="0072597B">
      <w:r>
        <w:rPr>
          <w:sz w:val="23"/>
          <w:szCs w:val="23"/>
        </w:rPr>
        <w:t>T</w:t>
      </w:r>
      <w:r w:rsidR="00D96824">
        <w:rPr>
          <w:sz w:val="23"/>
          <w:szCs w:val="23"/>
        </w:rPr>
        <w:t xml:space="preserve">he peak of </w:t>
      </w:r>
      <w:r w:rsidR="007F38F6">
        <w:rPr>
          <w:sz w:val="23"/>
          <w:szCs w:val="23"/>
        </w:rPr>
        <w:t xml:space="preserve">total </w:t>
      </w:r>
      <w:r w:rsidR="00D96824">
        <w:rPr>
          <w:sz w:val="23"/>
          <w:szCs w:val="23"/>
        </w:rPr>
        <w:t xml:space="preserve">ODS entering the waste stream (unless intercepted) </w:t>
      </w:r>
      <w:r w:rsidR="007F38F6">
        <w:rPr>
          <w:sz w:val="23"/>
          <w:szCs w:val="23"/>
        </w:rPr>
        <w:t xml:space="preserve">was estimated to </w:t>
      </w:r>
      <w:r w:rsidR="00C30EFB">
        <w:rPr>
          <w:sz w:val="23"/>
          <w:szCs w:val="23"/>
        </w:rPr>
        <w:t>occur</w:t>
      </w:r>
      <w:r w:rsidR="00AE5385">
        <w:rPr>
          <w:sz w:val="23"/>
          <w:szCs w:val="23"/>
        </w:rPr>
        <w:t xml:space="preserve"> </w:t>
      </w:r>
      <w:r w:rsidR="00D96824" w:rsidDel="00203610">
        <w:rPr>
          <w:sz w:val="23"/>
          <w:szCs w:val="23"/>
        </w:rPr>
        <w:t xml:space="preserve">at </w:t>
      </w:r>
      <w:r w:rsidR="00203610">
        <w:rPr>
          <w:sz w:val="23"/>
          <w:szCs w:val="23"/>
        </w:rPr>
        <w:t xml:space="preserve">in </w:t>
      </w:r>
      <w:r w:rsidR="00D96824">
        <w:rPr>
          <w:sz w:val="23"/>
          <w:szCs w:val="23"/>
        </w:rPr>
        <w:t xml:space="preserve">2016 </w:t>
      </w:r>
      <w:r w:rsidR="008754B8">
        <w:rPr>
          <w:sz w:val="23"/>
          <w:szCs w:val="23"/>
        </w:rPr>
        <w:t>by the Decision XX/7 Task Force</w:t>
      </w:r>
      <w:r w:rsidR="00053ED4">
        <w:rPr>
          <w:sz w:val="23"/>
          <w:szCs w:val="23"/>
        </w:rPr>
        <w:t xml:space="preserve">; </w:t>
      </w:r>
      <w:r w:rsidR="000A5137">
        <w:rPr>
          <w:sz w:val="23"/>
          <w:szCs w:val="23"/>
        </w:rPr>
        <w:t xml:space="preserve">2015 GIZ </w:t>
      </w:r>
      <w:proofErr w:type="spellStart"/>
      <w:r w:rsidR="000A5137">
        <w:rPr>
          <w:sz w:val="23"/>
          <w:szCs w:val="23"/>
        </w:rPr>
        <w:t>Proklima</w:t>
      </w:r>
      <w:proofErr w:type="spellEnd"/>
      <w:r w:rsidR="000A5137">
        <w:rPr>
          <w:sz w:val="23"/>
          <w:szCs w:val="23"/>
        </w:rPr>
        <w:t xml:space="preserve"> </w:t>
      </w:r>
      <w:r w:rsidR="00053ED4">
        <w:rPr>
          <w:sz w:val="23"/>
          <w:szCs w:val="23"/>
        </w:rPr>
        <w:t>concluded likewise</w:t>
      </w:r>
      <w:r w:rsidR="00256765">
        <w:rPr>
          <w:rStyle w:val="FootnoteReference"/>
        </w:rPr>
        <w:footnoteReference w:id="142"/>
      </w:r>
      <w:r w:rsidR="00D96824">
        <w:rPr>
          <w:sz w:val="23"/>
          <w:szCs w:val="23"/>
        </w:rPr>
        <w:t xml:space="preserve">. </w:t>
      </w:r>
      <w:r>
        <w:rPr>
          <w:sz w:val="23"/>
          <w:szCs w:val="23"/>
        </w:rPr>
        <w:t>A</w:t>
      </w:r>
      <w:r w:rsidR="00D96824">
        <w:rPr>
          <w:sz w:val="23"/>
          <w:szCs w:val="23"/>
        </w:rPr>
        <w:t xml:space="preserve"> closer look at the sources of ODS shown in the graph indicate</w:t>
      </w:r>
      <w:r w:rsidR="003E73E6">
        <w:rPr>
          <w:sz w:val="23"/>
          <w:szCs w:val="23"/>
        </w:rPr>
        <w:t>s</w:t>
      </w:r>
      <w:r w:rsidR="00D96824">
        <w:rPr>
          <w:sz w:val="23"/>
          <w:szCs w:val="23"/>
        </w:rPr>
        <w:t xml:space="preserve"> that very little</w:t>
      </w:r>
      <w:r w:rsidR="00503E56">
        <w:rPr>
          <w:sz w:val="23"/>
          <w:szCs w:val="23"/>
        </w:rPr>
        <w:t xml:space="preserve"> </w:t>
      </w:r>
      <w:r w:rsidR="00BF2541">
        <w:rPr>
          <w:sz w:val="23"/>
          <w:szCs w:val="23"/>
        </w:rPr>
        <w:t>ODS</w:t>
      </w:r>
      <w:r w:rsidR="00D96824">
        <w:rPr>
          <w:sz w:val="23"/>
          <w:szCs w:val="23"/>
        </w:rPr>
        <w:t xml:space="preserve"> </w:t>
      </w:r>
      <w:r w:rsidR="002D767C">
        <w:rPr>
          <w:sz w:val="23"/>
          <w:szCs w:val="23"/>
        </w:rPr>
        <w:t xml:space="preserve">was </w:t>
      </w:r>
      <w:r w:rsidR="00EC1097">
        <w:rPr>
          <w:sz w:val="23"/>
          <w:szCs w:val="23"/>
        </w:rPr>
        <w:t>expected</w:t>
      </w:r>
      <w:r w:rsidR="002D767C">
        <w:rPr>
          <w:sz w:val="23"/>
          <w:szCs w:val="23"/>
        </w:rPr>
        <w:t xml:space="preserve"> to </w:t>
      </w:r>
      <w:r w:rsidR="00EC1097">
        <w:rPr>
          <w:sz w:val="23"/>
          <w:szCs w:val="23"/>
        </w:rPr>
        <w:t xml:space="preserve">come </w:t>
      </w:r>
      <w:r w:rsidR="00D96824">
        <w:rPr>
          <w:sz w:val="23"/>
          <w:szCs w:val="23"/>
        </w:rPr>
        <w:t xml:space="preserve">from foam sources in that year. Indeed, </w:t>
      </w:r>
      <w:r w:rsidR="00447C18">
        <w:rPr>
          <w:sz w:val="23"/>
          <w:szCs w:val="23"/>
        </w:rPr>
        <w:t xml:space="preserve">all </w:t>
      </w:r>
      <w:r w:rsidR="00D96824">
        <w:rPr>
          <w:sz w:val="23"/>
          <w:szCs w:val="23"/>
        </w:rPr>
        <w:t>CFC-11 sources represent</w:t>
      </w:r>
      <w:r w:rsidR="002D767C">
        <w:rPr>
          <w:sz w:val="23"/>
          <w:szCs w:val="23"/>
        </w:rPr>
        <w:t>ed</w:t>
      </w:r>
      <w:r w:rsidR="00D96824">
        <w:rPr>
          <w:sz w:val="23"/>
          <w:szCs w:val="23"/>
        </w:rPr>
        <w:t xml:space="preserve"> only 4.2% (9,388 tonnes) of total</w:t>
      </w:r>
      <w:r w:rsidR="00901F72">
        <w:rPr>
          <w:sz w:val="23"/>
          <w:szCs w:val="23"/>
        </w:rPr>
        <w:t xml:space="preserve"> ODS</w:t>
      </w:r>
      <w:r w:rsidR="00D96824">
        <w:rPr>
          <w:sz w:val="23"/>
          <w:szCs w:val="23"/>
        </w:rPr>
        <w:t xml:space="preserve">, with the dominant contributor to the decommissioning levels </w:t>
      </w:r>
      <w:r w:rsidR="00407481">
        <w:rPr>
          <w:sz w:val="23"/>
          <w:szCs w:val="23"/>
        </w:rPr>
        <w:t xml:space="preserve">in 2016, and </w:t>
      </w:r>
      <w:r w:rsidR="00D96824">
        <w:rPr>
          <w:sz w:val="23"/>
          <w:szCs w:val="23"/>
        </w:rPr>
        <w:t>over the period</w:t>
      </w:r>
      <w:r w:rsidR="00407481">
        <w:rPr>
          <w:sz w:val="23"/>
          <w:szCs w:val="23"/>
        </w:rPr>
        <w:t>,</w:t>
      </w:r>
      <w:r w:rsidR="00D96824">
        <w:rPr>
          <w:sz w:val="23"/>
          <w:szCs w:val="23"/>
        </w:rPr>
        <w:t xml:space="preserve"> being HCFC-22 from refrigeration applications in </w:t>
      </w:r>
      <w:r w:rsidR="00150648">
        <w:rPr>
          <w:sz w:val="23"/>
          <w:szCs w:val="23"/>
        </w:rPr>
        <w:t>Article 5</w:t>
      </w:r>
      <w:r w:rsidR="00D96824">
        <w:rPr>
          <w:sz w:val="23"/>
          <w:szCs w:val="23"/>
        </w:rPr>
        <w:t xml:space="preserve"> </w:t>
      </w:r>
      <w:r w:rsidR="00FD46D6">
        <w:rPr>
          <w:sz w:val="23"/>
          <w:szCs w:val="23"/>
        </w:rPr>
        <w:t>parties</w:t>
      </w:r>
      <w:r w:rsidR="00D96824">
        <w:rPr>
          <w:sz w:val="23"/>
          <w:szCs w:val="23"/>
        </w:rPr>
        <w:t xml:space="preserve">. Of the projected 9,388 tonnes of CFC-11 reaching the waste stream in 2016, it </w:t>
      </w:r>
      <w:r w:rsidR="002D767C">
        <w:rPr>
          <w:sz w:val="23"/>
          <w:szCs w:val="23"/>
        </w:rPr>
        <w:t>was</w:t>
      </w:r>
      <w:r w:rsidR="00D96824">
        <w:rPr>
          <w:sz w:val="23"/>
          <w:szCs w:val="23"/>
        </w:rPr>
        <w:t xml:space="preserve"> estimated that 78% was from foams</w:t>
      </w:r>
      <w:r w:rsidR="006648AF">
        <w:rPr>
          <w:sz w:val="23"/>
          <w:szCs w:val="23"/>
        </w:rPr>
        <w:t>,</w:t>
      </w:r>
      <w:r w:rsidR="00D96824">
        <w:rPr>
          <w:sz w:val="23"/>
          <w:szCs w:val="23"/>
        </w:rPr>
        <w:t xml:space="preserve"> with the balance potentially </w:t>
      </w:r>
      <w:r w:rsidR="00BA1025">
        <w:rPr>
          <w:sz w:val="23"/>
          <w:szCs w:val="23"/>
        </w:rPr>
        <w:t xml:space="preserve">arising </w:t>
      </w:r>
      <w:r w:rsidR="00D96824">
        <w:rPr>
          <w:sz w:val="23"/>
          <w:szCs w:val="23"/>
        </w:rPr>
        <w:t xml:space="preserve">from chillers. The </w:t>
      </w:r>
      <w:r w:rsidR="002D767C">
        <w:rPr>
          <w:sz w:val="23"/>
          <w:szCs w:val="23"/>
        </w:rPr>
        <w:t xml:space="preserve">proportion </w:t>
      </w:r>
      <w:r w:rsidR="00D96824">
        <w:rPr>
          <w:sz w:val="23"/>
          <w:szCs w:val="23"/>
        </w:rPr>
        <w:t xml:space="preserve">of foam products containing CFC-11 was relatively </w:t>
      </w:r>
      <w:r w:rsidR="00140872">
        <w:rPr>
          <w:sz w:val="23"/>
          <w:szCs w:val="23"/>
        </w:rPr>
        <w:t xml:space="preserve">evenly </w:t>
      </w:r>
      <w:r w:rsidR="00FF194D">
        <w:rPr>
          <w:sz w:val="23"/>
          <w:szCs w:val="23"/>
        </w:rPr>
        <w:t xml:space="preserve">divided </w:t>
      </w:r>
      <w:r w:rsidR="00D96824">
        <w:rPr>
          <w:sz w:val="23"/>
          <w:szCs w:val="23"/>
        </w:rPr>
        <w:t xml:space="preserve">between </w:t>
      </w:r>
      <w:r w:rsidR="00626CD3">
        <w:rPr>
          <w:sz w:val="23"/>
          <w:szCs w:val="23"/>
        </w:rPr>
        <w:t>Article 5</w:t>
      </w:r>
      <w:r w:rsidR="00D96824">
        <w:rPr>
          <w:sz w:val="23"/>
          <w:szCs w:val="23"/>
        </w:rPr>
        <w:t xml:space="preserve"> and non-</w:t>
      </w:r>
      <w:r w:rsidR="00626CD3">
        <w:rPr>
          <w:sz w:val="23"/>
          <w:szCs w:val="23"/>
        </w:rPr>
        <w:t>Article 5</w:t>
      </w:r>
      <w:r w:rsidR="00D96824">
        <w:rPr>
          <w:sz w:val="23"/>
          <w:szCs w:val="23"/>
        </w:rPr>
        <w:t xml:space="preserve"> </w:t>
      </w:r>
      <w:r w:rsidR="00FD46D6">
        <w:rPr>
          <w:sz w:val="23"/>
          <w:szCs w:val="23"/>
        </w:rPr>
        <w:t>parties</w:t>
      </w:r>
      <w:r w:rsidR="00C1599C">
        <w:rPr>
          <w:sz w:val="23"/>
          <w:szCs w:val="23"/>
        </w:rPr>
        <w:t>,</w:t>
      </w:r>
      <w:r w:rsidR="00D96824">
        <w:rPr>
          <w:sz w:val="23"/>
          <w:szCs w:val="23"/>
        </w:rPr>
        <w:t xml:space="preserve"> as is shown in the following pie chart</w:t>
      </w:r>
      <w:r w:rsidR="00C1599C">
        <w:rPr>
          <w:sz w:val="23"/>
          <w:szCs w:val="23"/>
        </w:rPr>
        <w:t>.</w:t>
      </w:r>
    </w:p>
    <w:p w14:paraId="3E8E4D22" w14:textId="1A3A015E" w:rsidR="0072597B" w:rsidRPr="003F0693" w:rsidRDefault="00E64FD6" w:rsidP="00F37D7D">
      <w:pPr>
        <w:pStyle w:val="FigureandTableTitle"/>
      </w:pPr>
      <w:r w:rsidRPr="003F0693">
        <w:lastRenderedPageBreak/>
        <w:t>Figure 5.</w:t>
      </w:r>
      <w:r w:rsidR="009700F7">
        <w:t>9</w:t>
      </w:r>
      <w:r w:rsidRPr="003F0693">
        <w:tab/>
      </w:r>
      <w:r w:rsidR="00540ECE">
        <w:t>Estimated p</w:t>
      </w:r>
      <w:r w:rsidR="00C776FA" w:rsidRPr="003F0693">
        <w:t>roportion</w:t>
      </w:r>
      <w:r w:rsidR="00BD4860">
        <w:t>s</w:t>
      </w:r>
      <w:r w:rsidR="00C776FA" w:rsidRPr="003F0693">
        <w:t xml:space="preserve"> and type</w:t>
      </w:r>
      <w:r w:rsidR="00BD4860">
        <w:t>s</w:t>
      </w:r>
      <w:r w:rsidR="00C776FA" w:rsidRPr="003F0693">
        <w:t xml:space="preserve"> of </w:t>
      </w:r>
      <w:r w:rsidR="00BB659F">
        <w:t xml:space="preserve">CFC-11 </w:t>
      </w:r>
      <w:r w:rsidR="00C776FA" w:rsidRPr="003F0693">
        <w:t>foam</w:t>
      </w:r>
      <w:r w:rsidR="00BB659F">
        <w:t>s</w:t>
      </w:r>
      <w:r w:rsidR="00C776FA" w:rsidRPr="003F0693">
        <w:t xml:space="preserve"> </w:t>
      </w:r>
      <w:r w:rsidR="00BD4860" w:rsidRPr="003F0693">
        <w:t>entering the waste stream</w:t>
      </w:r>
      <w:r w:rsidR="00A86226">
        <w:t>,</w:t>
      </w:r>
      <w:r w:rsidR="00357FBF">
        <w:t xml:space="preserve"> </w:t>
      </w:r>
      <w:r w:rsidR="00BD4860" w:rsidRPr="003F0693">
        <w:t>2016</w:t>
      </w:r>
      <w:r w:rsidR="0072597B" w:rsidRPr="003F0693">
        <w:t xml:space="preserve"> </w:t>
      </w:r>
      <w:r w:rsidR="00DA5DF8">
        <w:t xml:space="preserve">(tonnes) </w:t>
      </w:r>
      <w:r w:rsidR="009500C8">
        <w:t>(</w:t>
      </w:r>
      <w:r w:rsidR="005A3850">
        <w:t xml:space="preserve">based on the Decision XX/7 </w:t>
      </w:r>
      <w:r w:rsidR="005A3850" w:rsidRPr="00E177AF">
        <w:t>Task Force Report</w:t>
      </w:r>
      <w:r w:rsidR="005A3850">
        <w:t>)</w:t>
      </w:r>
    </w:p>
    <w:p w14:paraId="3AC7E096" w14:textId="77777777" w:rsidR="0072597B" w:rsidRPr="0072597B" w:rsidRDefault="0072597B" w:rsidP="0072597B">
      <w:r>
        <w:rPr>
          <w:noProof/>
        </w:rPr>
        <w:drawing>
          <wp:inline distT="0" distB="0" distL="0" distR="0" wp14:anchorId="51121DFE" wp14:editId="04647040">
            <wp:extent cx="5165135" cy="3754877"/>
            <wp:effectExtent l="0" t="0" r="3810" b="4445"/>
            <wp:docPr id="5" name="Picture 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8">
                      <a:extLst>
                        <a:ext uri="{28A0092B-C50C-407E-A947-70E740481C1C}">
                          <a14:useLocalDpi xmlns:a14="http://schemas.microsoft.com/office/drawing/2010/main" val="0"/>
                        </a:ext>
                      </a:extLst>
                    </a:blip>
                    <a:stretch>
                      <a:fillRect/>
                    </a:stretch>
                  </pic:blipFill>
                  <pic:spPr>
                    <a:xfrm>
                      <a:off x="0" y="0"/>
                      <a:ext cx="5165135" cy="3754877"/>
                    </a:xfrm>
                    <a:prstGeom prst="rect">
                      <a:avLst/>
                    </a:prstGeom>
                  </pic:spPr>
                </pic:pic>
              </a:graphicData>
            </a:graphic>
          </wp:inline>
        </w:drawing>
      </w:r>
    </w:p>
    <w:p w14:paraId="749AF9E6" w14:textId="77777777" w:rsidR="000C51F1" w:rsidRDefault="000C51F1" w:rsidP="001F1334">
      <w:pPr>
        <w:spacing w:after="0"/>
      </w:pPr>
    </w:p>
    <w:p w14:paraId="6F97C56C" w14:textId="14E039FD" w:rsidR="00EC532B" w:rsidRDefault="0072597B" w:rsidP="0072597B">
      <w:r w:rsidRPr="0072597B">
        <w:t xml:space="preserve">These decommissioning forecasts </w:t>
      </w:r>
      <w:r w:rsidR="006C51E4">
        <w:t>were</w:t>
      </w:r>
      <w:r w:rsidRPr="0072597B">
        <w:t xml:space="preserve"> based on time series that </w:t>
      </w:r>
      <w:r w:rsidR="00607784">
        <w:t>assume</w:t>
      </w:r>
      <w:r w:rsidR="006C51E4">
        <w:t>d</w:t>
      </w:r>
      <w:r w:rsidR="0081490E">
        <w:t xml:space="preserve"> specific</w:t>
      </w:r>
      <w:r w:rsidRPr="0072597B">
        <w:t xml:space="preserve"> product lifetimes</w:t>
      </w:r>
      <w:r w:rsidR="00EA3C57">
        <w:t xml:space="preserve"> for each product type</w:t>
      </w:r>
      <w:r w:rsidRPr="0072597B">
        <w:t xml:space="preserve">. For example, the assumed lifetime for a domestic appliance </w:t>
      </w:r>
      <w:r w:rsidR="006C51E4">
        <w:t>was</w:t>
      </w:r>
      <w:r w:rsidRPr="0072597B">
        <w:t xml:space="preserve"> 15 years for the </w:t>
      </w:r>
      <w:r w:rsidR="007F7A1A">
        <w:t xml:space="preserve">Decision </w:t>
      </w:r>
      <w:r w:rsidR="007F7A1A" w:rsidRPr="0072597B">
        <w:t xml:space="preserve">XX/7 </w:t>
      </w:r>
      <w:r w:rsidRPr="0072597B">
        <w:t xml:space="preserve">TEAP Task Force </w:t>
      </w:r>
      <w:r w:rsidR="005F67B4">
        <w:t>analysis</w:t>
      </w:r>
      <w:r w:rsidRPr="0072597B">
        <w:t xml:space="preserve">. More recent investigations </w:t>
      </w:r>
      <w:r w:rsidR="00900E2D">
        <w:t>by</w:t>
      </w:r>
      <w:r w:rsidRPr="0072597B">
        <w:t xml:space="preserve"> GIZ </w:t>
      </w:r>
      <w:proofErr w:type="spellStart"/>
      <w:r w:rsidR="00EA42F4">
        <w:t>Proklima</w:t>
      </w:r>
      <w:proofErr w:type="spellEnd"/>
      <w:r w:rsidR="00EA42F4">
        <w:t xml:space="preserve"> </w:t>
      </w:r>
      <w:r w:rsidRPr="0072597B">
        <w:t>(2020)</w:t>
      </w:r>
      <w:r w:rsidR="00EB208C">
        <w:rPr>
          <w:rStyle w:val="FootnoteReference"/>
        </w:rPr>
        <w:footnoteReference w:id="143"/>
      </w:r>
      <w:r w:rsidRPr="0072597B">
        <w:t xml:space="preserve"> suggest</w:t>
      </w:r>
      <w:r w:rsidR="005A07F0">
        <w:t>ed</w:t>
      </w:r>
      <w:r w:rsidRPr="0072597B">
        <w:t xml:space="preserve"> that </w:t>
      </w:r>
      <w:r w:rsidR="004F0734">
        <w:t xml:space="preserve">these </w:t>
      </w:r>
      <w:r w:rsidR="00013787">
        <w:t>previously</w:t>
      </w:r>
      <w:r w:rsidR="00491BC5">
        <w:t xml:space="preserve"> estimated</w:t>
      </w:r>
      <w:r w:rsidR="00172784">
        <w:t xml:space="preserve"> </w:t>
      </w:r>
      <w:r w:rsidR="003731C1">
        <w:t>lifetimes</w:t>
      </w:r>
      <w:r w:rsidR="00172784" w:rsidRPr="0072597B">
        <w:t xml:space="preserve"> </w:t>
      </w:r>
      <w:r w:rsidRPr="0072597B">
        <w:t xml:space="preserve">may </w:t>
      </w:r>
      <w:r w:rsidR="00491BC5">
        <w:t xml:space="preserve">have </w:t>
      </w:r>
      <w:r w:rsidRPr="0072597B">
        <w:t>be</w:t>
      </w:r>
      <w:r w:rsidR="00491BC5">
        <w:t>en</w:t>
      </w:r>
      <w:r w:rsidRPr="0072597B">
        <w:t xml:space="preserve"> under-estimate</w:t>
      </w:r>
      <w:r w:rsidR="00EB208C">
        <w:t>d</w:t>
      </w:r>
      <w:r w:rsidRPr="0072597B">
        <w:t>, even in non-A</w:t>
      </w:r>
      <w:r w:rsidR="00852116">
        <w:t xml:space="preserve">rticle </w:t>
      </w:r>
      <w:r w:rsidRPr="0072597B">
        <w:t xml:space="preserve">5 </w:t>
      </w:r>
      <w:r w:rsidR="00491BC5">
        <w:t>parties</w:t>
      </w:r>
      <w:r w:rsidR="00491BC5" w:rsidRPr="0072597B">
        <w:t xml:space="preserve"> </w:t>
      </w:r>
      <w:r w:rsidRPr="0072597B">
        <w:t xml:space="preserve">where there </w:t>
      </w:r>
      <w:r w:rsidR="003731C1">
        <w:t>are</w:t>
      </w:r>
      <w:r w:rsidRPr="0072597B">
        <w:t xml:space="preserve"> </w:t>
      </w:r>
      <w:r w:rsidR="00932558">
        <w:t>indications</w:t>
      </w:r>
      <w:r w:rsidR="00932558" w:rsidRPr="0072597B">
        <w:t xml:space="preserve"> </w:t>
      </w:r>
      <w:r w:rsidRPr="0072597B">
        <w:t xml:space="preserve">that appliance lifetimes could be 25 years or longer in some countries. </w:t>
      </w:r>
      <w:r w:rsidR="00281DD2">
        <w:t xml:space="preserve">The 2019 and the 2021 Task Forces also used </w:t>
      </w:r>
      <w:r w:rsidR="008A6BB3" w:rsidRPr="008A6BB3">
        <w:t>25-year appliance lifetimes</w:t>
      </w:r>
      <w:r w:rsidR="004E174E" w:rsidRPr="00120375">
        <w:t>.</w:t>
      </w:r>
    </w:p>
    <w:p w14:paraId="097A17CD" w14:textId="74EB0E46" w:rsidR="0072597B" w:rsidRPr="0072597B" w:rsidRDefault="0072597B" w:rsidP="0072597B">
      <w:r w:rsidRPr="0072597B">
        <w:t xml:space="preserve">If </w:t>
      </w:r>
      <w:r w:rsidR="00E0785A">
        <w:t>longer</w:t>
      </w:r>
      <w:r w:rsidR="00FE2A4A" w:rsidRPr="0072597B">
        <w:t xml:space="preserve"> </w:t>
      </w:r>
      <w:r w:rsidR="00FE2A4A">
        <w:t xml:space="preserve">appliance lifetime </w:t>
      </w:r>
      <w:r w:rsidRPr="0072597B">
        <w:t>assumption</w:t>
      </w:r>
      <w:r w:rsidR="00FE2A4A">
        <w:t>s</w:t>
      </w:r>
      <w:r w:rsidRPr="0072597B">
        <w:t xml:space="preserve"> </w:t>
      </w:r>
      <w:r w:rsidR="00F05100">
        <w:t>were</w:t>
      </w:r>
      <w:r w:rsidRPr="0072597B">
        <w:t xml:space="preserve"> adopted</w:t>
      </w:r>
      <w:r w:rsidR="00852116">
        <w:t xml:space="preserve"> </w:t>
      </w:r>
      <w:r w:rsidR="00CD3920">
        <w:t>for</w:t>
      </w:r>
      <w:r w:rsidR="00852116">
        <w:t xml:space="preserve"> the </w:t>
      </w:r>
      <w:r w:rsidR="007B4B83">
        <w:t xml:space="preserve">analysis using the </w:t>
      </w:r>
      <w:r w:rsidR="00852116">
        <w:t>Decision XX/7 Task Force</w:t>
      </w:r>
      <w:r w:rsidR="007B4B83">
        <w:t xml:space="preserve"> model</w:t>
      </w:r>
      <w:r w:rsidRPr="0072597B">
        <w:t xml:space="preserve">, </w:t>
      </w:r>
      <w:r w:rsidR="00077C2F">
        <w:t>in</w:t>
      </w:r>
      <w:r w:rsidR="00895E72">
        <w:t xml:space="preserve"> 2016 </w:t>
      </w:r>
      <w:r w:rsidRPr="0072597B">
        <w:t xml:space="preserve">there would </w:t>
      </w:r>
      <w:r w:rsidR="000C5BB2">
        <w:t xml:space="preserve">still </w:t>
      </w:r>
      <w:r w:rsidR="00282652">
        <w:t xml:space="preserve">have </w:t>
      </w:r>
      <w:r w:rsidRPr="0072597B">
        <w:t>be</w:t>
      </w:r>
      <w:r w:rsidR="00282652">
        <w:t>en</w:t>
      </w:r>
      <w:r w:rsidRPr="0072597B">
        <w:t xml:space="preserve"> some CFC-11 in the appliance waste stream </w:t>
      </w:r>
      <w:r w:rsidR="009011B8">
        <w:t>in</w:t>
      </w:r>
      <w:r w:rsidR="009011B8" w:rsidRPr="0072597B">
        <w:t xml:space="preserve"> </w:t>
      </w:r>
      <w:r w:rsidRPr="0072597B">
        <w:t>non-A</w:t>
      </w:r>
      <w:r w:rsidR="0032730E">
        <w:t xml:space="preserve">rticle </w:t>
      </w:r>
      <w:r w:rsidRPr="0072597B">
        <w:t xml:space="preserve">5 </w:t>
      </w:r>
      <w:r w:rsidR="00670364">
        <w:t>parties</w:t>
      </w:r>
      <w:r w:rsidR="002B5BAD">
        <w:t>.</w:t>
      </w:r>
      <w:r w:rsidRPr="0072597B">
        <w:t xml:space="preserve"> </w:t>
      </w:r>
      <w:r w:rsidR="0075476A">
        <w:t>I</w:t>
      </w:r>
      <w:r w:rsidR="0075476A" w:rsidRPr="0072597B">
        <w:t>n A</w:t>
      </w:r>
      <w:r w:rsidR="0032730E">
        <w:t xml:space="preserve">rticle </w:t>
      </w:r>
      <w:r w:rsidR="0075476A" w:rsidRPr="0072597B">
        <w:t xml:space="preserve">5 </w:t>
      </w:r>
      <w:r w:rsidR="0075476A">
        <w:t>parties</w:t>
      </w:r>
      <w:r w:rsidR="00D22B90">
        <w:t xml:space="preserve">, </w:t>
      </w:r>
      <w:r w:rsidR="0075476A">
        <w:t>t</w:t>
      </w:r>
      <w:r w:rsidR="002B5BAD">
        <w:t xml:space="preserve">here would </w:t>
      </w:r>
      <w:r w:rsidR="005D186F">
        <w:t xml:space="preserve">also </w:t>
      </w:r>
      <w:r w:rsidR="00282652">
        <w:t xml:space="preserve">have </w:t>
      </w:r>
      <w:r w:rsidR="002B5BAD">
        <w:t>be</w:t>
      </w:r>
      <w:r w:rsidR="00282652">
        <w:t>en</w:t>
      </w:r>
      <w:r w:rsidR="002B5BAD">
        <w:t xml:space="preserve"> </w:t>
      </w:r>
      <w:r w:rsidRPr="0072597B">
        <w:t xml:space="preserve">less </w:t>
      </w:r>
      <w:r w:rsidR="002B5BAD">
        <w:t xml:space="preserve">CFC-11 </w:t>
      </w:r>
      <w:r w:rsidR="0075476A">
        <w:t xml:space="preserve">in the appliance waste stream </w:t>
      </w:r>
      <w:r w:rsidR="00D22B90">
        <w:t xml:space="preserve">in 2016 </w:t>
      </w:r>
      <w:r w:rsidR="002B5BAD">
        <w:t xml:space="preserve">than </w:t>
      </w:r>
      <w:r w:rsidR="00550FF7">
        <w:t>with</w:t>
      </w:r>
      <w:r w:rsidR="002B5BAD">
        <w:t xml:space="preserve"> shorter appliance lifetimes</w:t>
      </w:r>
      <w:r w:rsidR="00A2549E">
        <w:t>.</w:t>
      </w:r>
      <w:r w:rsidRPr="0072597B">
        <w:t xml:space="preserve"> Either way, the amounts </w:t>
      </w:r>
      <w:r w:rsidR="00EB6E6D">
        <w:t xml:space="preserve">of CFC-11 in </w:t>
      </w:r>
      <w:r w:rsidR="00585983">
        <w:t>the waste stream</w:t>
      </w:r>
      <w:r w:rsidR="00B40C7C">
        <w:t xml:space="preserve"> </w:t>
      </w:r>
      <w:r w:rsidRPr="0072597B">
        <w:t xml:space="preserve">are relatively small as a percentage of the overall ODS in the waste stream for 2016. </w:t>
      </w:r>
      <w:r w:rsidR="00931712">
        <w:t>T</w:t>
      </w:r>
      <w:r w:rsidR="00F5374A">
        <w:t xml:space="preserve">he </w:t>
      </w:r>
      <w:r w:rsidR="009659DF">
        <w:t xml:space="preserve">estimated total </w:t>
      </w:r>
      <w:r w:rsidRPr="0072597B">
        <w:t xml:space="preserve">CFC-11 in </w:t>
      </w:r>
      <w:r w:rsidR="00BC7644">
        <w:t xml:space="preserve">the </w:t>
      </w:r>
      <w:r w:rsidRPr="0072597B">
        <w:t xml:space="preserve">domestic appliances </w:t>
      </w:r>
      <w:r w:rsidR="00BC7644">
        <w:t xml:space="preserve">waste stream </w:t>
      </w:r>
      <w:r w:rsidRPr="0072597B">
        <w:t>in A</w:t>
      </w:r>
      <w:r w:rsidR="00336898">
        <w:t xml:space="preserve">rticle </w:t>
      </w:r>
      <w:r w:rsidRPr="0072597B">
        <w:t xml:space="preserve">5 </w:t>
      </w:r>
      <w:r w:rsidR="0044096F">
        <w:t>parties</w:t>
      </w:r>
      <w:r w:rsidR="0044096F" w:rsidRPr="0072597B">
        <w:t xml:space="preserve"> </w:t>
      </w:r>
      <w:r w:rsidR="009659DF">
        <w:t>(</w:t>
      </w:r>
      <w:r w:rsidR="009659DF" w:rsidRPr="0072597B">
        <w:t>2,750 tonnes</w:t>
      </w:r>
      <w:r w:rsidR="009659DF">
        <w:t>)</w:t>
      </w:r>
      <w:r w:rsidR="009659DF" w:rsidRPr="0072597B">
        <w:t xml:space="preserve"> </w:t>
      </w:r>
      <w:r w:rsidRPr="0072597B">
        <w:t>represent</w:t>
      </w:r>
      <w:r w:rsidR="00336898">
        <w:t>s</w:t>
      </w:r>
      <w:r w:rsidRPr="0072597B">
        <w:t xml:space="preserve"> </w:t>
      </w:r>
      <w:r w:rsidR="00A60050">
        <w:t xml:space="preserve">the disposal of </w:t>
      </w:r>
      <w:r w:rsidRPr="0072597B">
        <w:t>around 11 million appliances</w:t>
      </w:r>
      <w:r w:rsidR="00FE59F0">
        <w:t>.</w:t>
      </w:r>
      <w:r w:rsidRPr="0072597B">
        <w:t xml:space="preserve"> </w:t>
      </w:r>
      <w:r w:rsidR="00FE59F0">
        <w:t>T</w:t>
      </w:r>
      <w:r w:rsidRPr="0072597B">
        <w:t xml:space="preserve">hese </w:t>
      </w:r>
      <w:r w:rsidR="00EB682D">
        <w:t>appliances</w:t>
      </w:r>
      <w:r w:rsidR="00A72AEC">
        <w:t xml:space="preserve"> </w:t>
      </w:r>
      <w:r w:rsidRPr="0072597B">
        <w:t>are spread throughout A</w:t>
      </w:r>
      <w:r w:rsidR="006E2D4E">
        <w:t xml:space="preserve">rticle </w:t>
      </w:r>
      <w:r w:rsidRPr="0072597B">
        <w:t xml:space="preserve">5 </w:t>
      </w:r>
      <w:r w:rsidR="00A60050">
        <w:t>parties</w:t>
      </w:r>
      <w:r w:rsidR="00F766BD">
        <w:t xml:space="preserve">, </w:t>
      </w:r>
      <w:r w:rsidRPr="0072597B">
        <w:t xml:space="preserve">making it difficult to establish the critical mass </w:t>
      </w:r>
      <w:r w:rsidR="00475432">
        <w:t xml:space="preserve">of </w:t>
      </w:r>
      <w:r w:rsidR="00B51AF7">
        <w:t xml:space="preserve">collected </w:t>
      </w:r>
      <w:r w:rsidR="00477308">
        <w:t xml:space="preserve">waste </w:t>
      </w:r>
      <w:r w:rsidR="00F73625">
        <w:t>appliances</w:t>
      </w:r>
      <w:r w:rsidR="00475432">
        <w:t xml:space="preserve"> </w:t>
      </w:r>
      <w:r w:rsidR="00A72AEC">
        <w:t xml:space="preserve">needed </w:t>
      </w:r>
      <w:r w:rsidRPr="0072597B">
        <w:t xml:space="preserve">to support investment in the refrigerator de-manufacturing plants </w:t>
      </w:r>
      <w:r w:rsidR="00096C73">
        <w:t xml:space="preserve">needed </w:t>
      </w:r>
      <w:r w:rsidRPr="0072597B">
        <w:t xml:space="preserve">to </w:t>
      </w:r>
      <w:r w:rsidR="005D66D2">
        <w:t>process</w:t>
      </w:r>
      <w:r w:rsidR="005D66D2" w:rsidRPr="0072597B">
        <w:t xml:space="preserve"> </w:t>
      </w:r>
      <w:r w:rsidR="005821BC">
        <w:t>them</w:t>
      </w:r>
      <w:r w:rsidRPr="0072597B">
        <w:t xml:space="preserve">. </w:t>
      </w:r>
      <w:r w:rsidR="00B5283F">
        <w:t>This is why</w:t>
      </w:r>
      <w:r w:rsidR="00760971">
        <w:t xml:space="preserve"> </w:t>
      </w:r>
      <w:r w:rsidR="00760971">
        <w:lastRenderedPageBreak/>
        <w:t>combin</w:t>
      </w:r>
      <w:r w:rsidR="00E51219">
        <w:t>ing</w:t>
      </w:r>
      <w:r w:rsidR="00760971">
        <w:t xml:space="preserve"> </w:t>
      </w:r>
      <w:r w:rsidR="00E80F2B">
        <w:t>CFC/HCFC</w:t>
      </w:r>
      <w:r w:rsidR="00760971">
        <w:t>/HFC waste streams</w:t>
      </w:r>
      <w:r w:rsidRPr="0072597B">
        <w:t xml:space="preserve"> </w:t>
      </w:r>
      <w:r w:rsidR="00E771F1">
        <w:t xml:space="preserve">can </w:t>
      </w:r>
      <w:r w:rsidR="00760971">
        <w:t xml:space="preserve">provide the best opportunity for </w:t>
      </w:r>
      <w:r w:rsidR="009D29B0">
        <w:t xml:space="preserve">recovery and </w:t>
      </w:r>
      <w:r w:rsidR="00F073F8">
        <w:t>destruction of CFC-11</w:t>
      </w:r>
      <w:r w:rsidR="00FC52E6">
        <w:t>,</w:t>
      </w:r>
      <w:r w:rsidRPr="0072597B">
        <w:t xml:space="preserve"> </w:t>
      </w:r>
      <w:r w:rsidR="005C0A57">
        <w:t>as well as for</w:t>
      </w:r>
      <w:r w:rsidR="00580570">
        <w:t xml:space="preserve"> </w:t>
      </w:r>
      <w:r w:rsidR="00E771F1">
        <w:t>other</w:t>
      </w:r>
      <w:r w:rsidR="00580570">
        <w:t xml:space="preserve"> ODS and HFC</w:t>
      </w:r>
      <w:r w:rsidR="00E57312">
        <w:t xml:space="preserve"> wastes</w:t>
      </w:r>
      <w:r w:rsidR="00E51219" w:rsidRPr="00E51219">
        <w:t>.</w:t>
      </w:r>
    </w:p>
    <w:p w14:paraId="2AD270D3" w14:textId="2F396FF7" w:rsidR="0072597B" w:rsidRDefault="00F97923" w:rsidP="0072597B">
      <w:r>
        <w:t>An</w:t>
      </w:r>
      <w:r w:rsidRPr="0072597B">
        <w:t xml:space="preserve"> </w:t>
      </w:r>
      <w:r w:rsidR="0072597B" w:rsidRPr="0072597B">
        <w:t xml:space="preserve">analysis </w:t>
      </w:r>
      <w:r w:rsidR="00696443">
        <w:t>by SKM Enviros</w:t>
      </w:r>
      <w:r w:rsidR="00696443">
        <w:rPr>
          <w:rStyle w:val="FootnoteReference"/>
        </w:rPr>
        <w:footnoteReference w:id="144"/>
      </w:r>
      <w:r w:rsidR="007050A9">
        <w:t>,</w:t>
      </w:r>
      <w:r w:rsidR="00696443">
        <w:t xml:space="preserve"> </w:t>
      </w:r>
      <w:r w:rsidR="0072597B" w:rsidRPr="0072597B">
        <w:t>conducted for the European Commission in 2012</w:t>
      </w:r>
      <w:r w:rsidR="007050A9">
        <w:t>,</w:t>
      </w:r>
      <w:r w:rsidR="0072597B" w:rsidRPr="0072597B">
        <w:t xml:space="preserve"> suggest</w:t>
      </w:r>
      <w:r w:rsidR="00110EB4">
        <w:t>ed</w:t>
      </w:r>
      <w:r w:rsidR="0072597B" w:rsidRPr="0072597B">
        <w:t xml:space="preserve"> that the peak of decommissioned CFC-11 in Europe from </w:t>
      </w:r>
      <w:r w:rsidR="0034514C">
        <w:t>thermal insulating foam</w:t>
      </w:r>
      <w:r w:rsidR="0034514C" w:rsidRPr="0072597B">
        <w:t xml:space="preserve"> </w:t>
      </w:r>
      <w:r w:rsidR="0072597B" w:rsidRPr="0072597B">
        <w:t xml:space="preserve">sources </w:t>
      </w:r>
      <w:r w:rsidR="00110EB4">
        <w:t>would</w:t>
      </w:r>
      <w:r w:rsidR="0072597B" w:rsidRPr="0072597B">
        <w:t xml:space="preserve"> </w:t>
      </w:r>
      <w:r w:rsidR="005904B9">
        <w:t>occur</w:t>
      </w:r>
      <w:r w:rsidR="005904B9" w:rsidRPr="0072597B">
        <w:t xml:space="preserve"> </w:t>
      </w:r>
      <w:r w:rsidR="0072597B" w:rsidRPr="0072597B">
        <w:t>in the decade from 2030-2040 (see</w:t>
      </w:r>
      <w:r w:rsidR="00B130B0">
        <w:t xml:space="preserve"> Figure </w:t>
      </w:r>
      <w:r w:rsidR="00EB0B42">
        <w:t>below</w:t>
      </w:r>
      <w:r w:rsidR="00696443">
        <w:t>, which reproduces</w:t>
      </w:r>
      <w:r w:rsidR="0072597B" w:rsidRPr="0072597B">
        <w:t xml:space="preserve"> </w:t>
      </w:r>
      <w:r w:rsidR="0072597B" w:rsidRPr="00520754">
        <w:t xml:space="preserve">Figure B-10 </w:t>
      </w:r>
      <w:r w:rsidR="00696443">
        <w:t xml:space="preserve">from the </w:t>
      </w:r>
      <w:r w:rsidR="00F400B1">
        <w:t>foam</w:t>
      </w:r>
      <w:r w:rsidR="00696443">
        <w:t xml:space="preserve"> Enviros report</w:t>
      </w:r>
      <w:r w:rsidR="0072597B" w:rsidRPr="0072597B">
        <w:t>)</w:t>
      </w:r>
      <w:r w:rsidR="00717554">
        <w:t>.</w:t>
      </w:r>
    </w:p>
    <w:p w14:paraId="3CB5386D" w14:textId="78D51D04" w:rsidR="00173453" w:rsidRPr="00887D9F" w:rsidRDefault="00173453" w:rsidP="00887D9F">
      <w:pPr>
        <w:pStyle w:val="FigureandTableTitle"/>
      </w:pPr>
      <w:r w:rsidRPr="00887D9F">
        <w:t>Figure 5</w:t>
      </w:r>
      <w:r w:rsidR="00887D9F">
        <w:t>.1</w:t>
      </w:r>
      <w:r w:rsidR="009700F7">
        <w:t>0</w:t>
      </w:r>
      <w:r w:rsidRPr="00887D9F">
        <w:tab/>
      </w:r>
      <w:r w:rsidR="00C82306" w:rsidRPr="00887D9F">
        <w:t>T</w:t>
      </w:r>
      <w:r w:rsidR="00A410BF" w:rsidRPr="00887D9F">
        <w:t>rends in f</w:t>
      </w:r>
      <w:r w:rsidR="00AA5B95" w:rsidRPr="00887D9F">
        <w:t>oam blowing agent</w:t>
      </w:r>
      <w:r w:rsidR="00C82306" w:rsidRPr="00887D9F">
        <w:t xml:space="preserve"> wastes</w:t>
      </w:r>
      <w:r w:rsidR="00E1394C" w:rsidRPr="00887D9F">
        <w:t xml:space="preserve"> reaching </w:t>
      </w:r>
      <w:r w:rsidR="00700751">
        <w:t>end-of-life</w:t>
      </w:r>
      <w:r w:rsidR="00091135" w:rsidRPr="00887D9F">
        <w:t xml:space="preserve"> on a GWP</w:t>
      </w:r>
      <w:r w:rsidR="00F1378C" w:rsidRPr="00887D9F">
        <w:t>-</w:t>
      </w:r>
      <w:r w:rsidR="00091135" w:rsidRPr="00887D9F">
        <w:t>weighted basis</w:t>
      </w:r>
      <w:r w:rsidR="00D32297" w:rsidRPr="00887D9F">
        <w:t xml:space="preserve"> (</w:t>
      </w:r>
      <w:proofErr w:type="spellStart"/>
      <w:r w:rsidR="00D32297" w:rsidRPr="00887D9F">
        <w:t>k</w:t>
      </w:r>
      <w:r w:rsidR="00871330" w:rsidRPr="00887D9F">
        <w:t>ilo</w:t>
      </w:r>
      <w:r w:rsidR="00D32297" w:rsidRPr="00887D9F">
        <w:t>tonnes</w:t>
      </w:r>
      <w:proofErr w:type="spellEnd"/>
      <w:r w:rsidR="00D32297" w:rsidRPr="00887D9F">
        <w:t xml:space="preserve"> CO</w:t>
      </w:r>
      <w:r w:rsidR="00D32297" w:rsidRPr="00043208">
        <w:rPr>
          <w:vertAlign w:val="subscript"/>
        </w:rPr>
        <w:t>2</w:t>
      </w:r>
      <w:r w:rsidR="00453CBE" w:rsidRPr="00887D9F">
        <w:t>eq.)</w:t>
      </w:r>
    </w:p>
    <w:p w14:paraId="663F0EA4" w14:textId="77777777" w:rsidR="0072597B" w:rsidRPr="0072597B" w:rsidRDefault="0072597B" w:rsidP="0072597B">
      <w:r w:rsidRPr="0072597B">
        <w:rPr>
          <w:noProof/>
        </w:rPr>
        <w:drawing>
          <wp:inline distT="0" distB="0" distL="0" distR="0" wp14:anchorId="3604C4AA" wp14:editId="25597316">
            <wp:extent cx="4943230" cy="34985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53061" cy="3576307"/>
                    </a:xfrm>
                    <a:prstGeom prst="rect">
                      <a:avLst/>
                    </a:prstGeom>
                    <a:noFill/>
                    <a:ln>
                      <a:noFill/>
                    </a:ln>
                  </pic:spPr>
                </pic:pic>
              </a:graphicData>
            </a:graphic>
          </wp:inline>
        </w:drawing>
      </w:r>
    </w:p>
    <w:p w14:paraId="030D601C" w14:textId="76946DBD" w:rsidR="0072597B" w:rsidRDefault="001361AB" w:rsidP="0072597B">
      <w:r>
        <w:t>T</w:t>
      </w:r>
      <w:r w:rsidR="0072597B" w:rsidRPr="0072597B">
        <w:t xml:space="preserve">here needs to be some caution </w:t>
      </w:r>
      <w:r>
        <w:t>i</w:t>
      </w:r>
      <w:r w:rsidRPr="0072597B">
        <w:t xml:space="preserve">n </w:t>
      </w:r>
      <w:r>
        <w:t>interpreting</w:t>
      </w:r>
      <w:r w:rsidRPr="0072597B">
        <w:t xml:space="preserve"> </w:t>
      </w:r>
      <w:r w:rsidR="009E4F1E">
        <w:t xml:space="preserve">this </w:t>
      </w:r>
      <w:r w:rsidR="005904B9">
        <w:t xml:space="preserve">Figure </w:t>
      </w:r>
      <w:r w:rsidR="005D4955">
        <w:t xml:space="preserve">in the context of CFC-11 foam waste </w:t>
      </w:r>
      <w:r w:rsidR="00E80F2B">
        <w:t xml:space="preserve">only </w:t>
      </w:r>
      <w:r w:rsidR="0072597B" w:rsidRPr="0072597B">
        <w:t xml:space="preserve">because </w:t>
      </w:r>
      <w:r>
        <w:t>it</w:t>
      </w:r>
      <w:r w:rsidR="0072597B" w:rsidRPr="0072597B">
        <w:t xml:space="preserve"> covers all CFC blowing agents arising in the waste stream, including CFC-12 from </w:t>
      </w:r>
      <w:r w:rsidR="00BA6032">
        <w:t>extruded polystyrene</w:t>
      </w:r>
      <w:r w:rsidR="005431AA">
        <w:t xml:space="preserve"> (</w:t>
      </w:r>
      <w:r w:rsidR="0072597B" w:rsidRPr="0072597B">
        <w:t>XPS</w:t>
      </w:r>
      <w:r w:rsidR="005431AA">
        <w:t>)</w:t>
      </w:r>
      <w:r w:rsidR="0072597B" w:rsidRPr="0072597B">
        <w:t xml:space="preserve"> and polyethylene (PE) foams, as well as CFC-11 from </w:t>
      </w:r>
      <w:r w:rsidR="001F4076">
        <w:t>polyurethane (</w:t>
      </w:r>
      <w:r w:rsidR="0072597B" w:rsidRPr="0072597B">
        <w:t>PU</w:t>
      </w:r>
      <w:r w:rsidR="001F4076">
        <w:t>)</w:t>
      </w:r>
      <w:r w:rsidR="0072597B" w:rsidRPr="0072597B">
        <w:t xml:space="preserve"> and </w:t>
      </w:r>
      <w:r w:rsidR="001F4076">
        <w:t>phenolic foam (</w:t>
      </w:r>
      <w:r w:rsidR="0072597B" w:rsidRPr="0072597B">
        <w:t>PF</w:t>
      </w:r>
      <w:r w:rsidR="001F4076">
        <w:t>)</w:t>
      </w:r>
      <w:r w:rsidR="0072597B" w:rsidRPr="0072597B">
        <w:t xml:space="preserve"> </w:t>
      </w:r>
      <w:proofErr w:type="spellStart"/>
      <w:r w:rsidR="00424B99">
        <w:t>b</w:t>
      </w:r>
      <w:r w:rsidR="0072597B" w:rsidRPr="0072597B">
        <w:t>oardstock</w:t>
      </w:r>
      <w:proofErr w:type="spellEnd"/>
      <w:r w:rsidR="0072597B" w:rsidRPr="0072597B">
        <w:t xml:space="preserve"> products.</w:t>
      </w:r>
      <w:r w:rsidR="002F7651">
        <w:t xml:space="preserve"> </w:t>
      </w:r>
    </w:p>
    <w:p w14:paraId="6EB2213E" w14:textId="00E8FA6E" w:rsidR="00E250E1" w:rsidRDefault="00936042" w:rsidP="00751ECE">
      <w:pPr>
        <w:pStyle w:val="Heading3"/>
      </w:pPr>
      <w:bookmarkStart w:id="184" w:name="_Toc73045641"/>
      <w:bookmarkStart w:id="185" w:name="_Hlk44437672"/>
      <w:r>
        <w:t>5.5.2</w:t>
      </w:r>
      <w:r>
        <w:tab/>
      </w:r>
      <w:r w:rsidR="00E250E1">
        <w:t xml:space="preserve">Opportunities and challenges </w:t>
      </w:r>
      <w:r>
        <w:t xml:space="preserve">for </w:t>
      </w:r>
      <w:r w:rsidR="00E250E1">
        <w:t xml:space="preserve">recovery </w:t>
      </w:r>
      <w:r w:rsidR="00A56F3F">
        <w:t xml:space="preserve">and disposition </w:t>
      </w:r>
      <w:r w:rsidR="00E250E1">
        <w:t>of CFC-11</w:t>
      </w:r>
      <w:bookmarkEnd w:id="184"/>
    </w:p>
    <w:p w14:paraId="6B638ECE" w14:textId="75672C34" w:rsidR="00853F09" w:rsidRDefault="00D179E2" w:rsidP="0072597B">
      <w:r>
        <w:t>O</w:t>
      </w:r>
      <w:r w:rsidR="00680156">
        <w:t xml:space="preserve">pportunities </w:t>
      </w:r>
      <w:r w:rsidR="00E71D58">
        <w:t>for</w:t>
      </w:r>
      <w:r w:rsidR="00680156">
        <w:t xml:space="preserve"> the recovery and disposition of CFC-11 wastes </w:t>
      </w:r>
      <w:r w:rsidR="00BD112C">
        <w:t>can be found</w:t>
      </w:r>
      <w:r w:rsidR="005F5A74">
        <w:t xml:space="preserve"> in </w:t>
      </w:r>
      <w:r w:rsidR="00932AC2">
        <w:t xml:space="preserve">combining </w:t>
      </w:r>
      <w:r w:rsidR="002C5B66">
        <w:t>ODS</w:t>
      </w:r>
      <w:r w:rsidR="001E23F4">
        <w:t>,</w:t>
      </w:r>
      <w:r w:rsidR="002C5B66">
        <w:t xml:space="preserve"> HFC </w:t>
      </w:r>
      <w:r w:rsidR="001E23F4">
        <w:t xml:space="preserve">and other </w:t>
      </w:r>
      <w:r w:rsidR="002C5B66">
        <w:t xml:space="preserve">waste streams to </w:t>
      </w:r>
      <w:r w:rsidR="00C8782B">
        <w:t xml:space="preserve">maximise </w:t>
      </w:r>
      <w:r w:rsidR="008073E0">
        <w:t xml:space="preserve">returns </w:t>
      </w:r>
      <w:r w:rsidR="00FC3DD8">
        <w:t>in</w:t>
      </w:r>
      <w:r w:rsidR="00E716C7">
        <w:t xml:space="preserve"> </w:t>
      </w:r>
      <w:r w:rsidR="00C8782B">
        <w:t>economies of scale</w:t>
      </w:r>
      <w:r w:rsidR="00A871C1">
        <w:t xml:space="preserve"> and </w:t>
      </w:r>
      <w:r w:rsidR="00C8782B">
        <w:t>investment in infrastructure</w:t>
      </w:r>
      <w:r w:rsidR="00FC3DD8" w:rsidRPr="007B36D8">
        <w:t xml:space="preserve"> for recovery and destruction</w:t>
      </w:r>
      <w:r w:rsidR="00A871C1" w:rsidRPr="00CB1498">
        <w:t>.</w:t>
      </w:r>
      <w:r w:rsidR="00FC3DD8" w:rsidRPr="00CB1498">
        <w:t xml:space="preserve"> </w:t>
      </w:r>
      <w:r w:rsidR="005266E3" w:rsidRPr="00120375">
        <w:t xml:space="preserve">The </w:t>
      </w:r>
      <w:r w:rsidR="006253AA" w:rsidRPr="00120375">
        <w:t xml:space="preserve">global </w:t>
      </w:r>
      <w:r w:rsidR="005266E3" w:rsidRPr="00120375">
        <w:t xml:space="preserve">peak in </w:t>
      </w:r>
      <w:r w:rsidR="008A6C53" w:rsidRPr="00120375">
        <w:t xml:space="preserve">decommissioning of </w:t>
      </w:r>
      <w:r w:rsidR="00FE13D6" w:rsidRPr="00120375">
        <w:t xml:space="preserve">CFC-11 </w:t>
      </w:r>
      <w:r w:rsidR="00131A69" w:rsidRPr="00120375">
        <w:t xml:space="preserve">foam </w:t>
      </w:r>
      <w:r w:rsidR="00FE13D6" w:rsidRPr="00120375">
        <w:t>wastes</w:t>
      </w:r>
      <w:r w:rsidR="000E38C7" w:rsidRPr="00120375">
        <w:t xml:space="preserve"> </w:t>
      </w:r>
      <w:r w:rsidR="00093290" w:rsidRPr="00120375">
        <w:t xml:space="preserve">is estimated to have </w:t>
      </w:r>
      <w:r w:rsidR="000E38C7" w:rsidRPr="00120375">
        <w:t xml:space="preserve">occurred </w:t>
      </w:r>
      <w:r w:rsidR="00764641" w:rsidRPr="00120375">
        <w:t>around the year 2010</w:t>
      </w:r>
      <w:r w:rsidR="002C6FE5" w:rsidRPr="00120375">
        <w:t>,</w:t>
      </w:r>
      <w:r w:rsidR="00580F74" w:rsidRPr="00120375">
        <w:t xml:space="preserve"> when </w:t>
      </w:r>
      <w:r w:rsidR="008A6C53" w:rsidRPr="00120375">
        <w:t xml:space="preserve">global </w:t>
      </w:r>
      <w:r w:rsidR="00A2234B" w:rsidRPr="00120375">
        <w:t>CFC-11 recovery and destruction</w:t>
      </w:r>
      <w:r w:rsidR="00580F74" w:rsidRPr="00120375">
        <w:t xml:space="preserve"> opportunities </w:t>
      </w:r>
      <w:r w:rsidR="008A6C53" w:rsidRPr="00120375">
        <w:t>were</w:t>
      </w:r>
      <w:r w:rsidR="00580F74" w:rsidRPr="00120375">
        <w:t xml:space="preserve"> </w:t>
      </w:r>
      <w:r w:rsidR="007E368A" w:rsidRPr="00120375">
        <w:t xml:space="preserve">at </w:t>
      </w:r>
      <w:r w:rsidR="00580F74" w:rsidRPr="00120375">
        <w:t>their</w:t>
      </w:r>
      <w:r w:rsidR="00A2234B" w:rsidRPr="00120375">
        <w:t xml:space="preserve"> </w:t>
      </w:r>
      <w:r w:rsidR="00153C40" w:rsidRPr="00120375">
        <w:t>highest</w:t>
      </w:r>
      <w:r w:rsidR="00A2234B" w:rsidRPr="00120375">
        <w:t>.</w:t>
      </w:r>
      <w:r w:rsidR="008231BF">
        <w:t xml:space="preserve"> </w:t>
      </w:r>
      <w:r w:rsidR="00764641" w:rsidRPr="00120375">
        <w:t xml:space="preserve">Nevertheless, </w:t>
      </w:r>
      <w:r w:rsidR="00683AB0" w:rsidRPr="00120375">
        <w:t xml:space="preserve">there are underlying variations to the regional peaks in </w:t>
      </w:r>
      <w:r w:rsidR="008A6C53" w:rsidRPr="00120375">
        <w:t xml:space="preserve">CFC-11 </w:t>
      </w:r>
      <w:r w:rsidR="00683AB0" w:rsidRPr="00120375">
        <w:t xml:space="preserve">foam decommissioning that </w:t>
      </w:r>
      <w:r w:rsidR="000D6EB1">
        <w:t>are</w:t>
      </w:r>
      <w:r w:rsidR="00683AB0" w:rsidRPr="00120375">
        <w:t xml:space="preserve"> </w:t>
      </w:r>
      <w:r w:rsidR="00683AB0" w:rsidRPr="00120375">
        <w:lastRenderedPageBreak/>
        <w:t>obscured within the global analysis</w:t>
      </w:r>
      <w:r w:rsidR="00EA0EC4" w:rsidRPr="00120375">
        <w:t xml:space="preserve">, where </w:t>
      </w:r>
      <w:r w:rsidR="00DB2389" w:rsidRPr="00120375">
        <w:t>some regions and foam types</w:t>
      </w:r>
      <w:r w:rsidR="00683AB0" w:rsidRPr="00120375">
        <w:t>,</w:t>
      </w:r>
      <w:r w:rsidR="00DB2389" w:rsidRPr="00120375">
        <w:t xml:space="preserve"> </w:t>
      </w:r>
      <w:r w:rsidR="00BD5293">
        <w:t>are likely</w:t>
      </w:r>
      <w:r w:rsidR="00DB2389" w:rsidRPr="00120375">
        <w:t xml:space="preserve"> yet to reach their </w:t>
      </w:r>
      <w:r w:rsidR="00BD5293">
        <w:t xml:space="preserve">decommissioning </w:t>
      </w:r>
      <w:r w:rsidR="00DB2389" w:rsidRPr="00120375">
        <w:t>peak</w:t>
      </w:r>
      <w:r w:rsidR="00683AB0" w:rsidRPr="00120375">
        <w:t xml:space="preserve"> e.g., Europe</w:t>
      </w:r>
      <w:r w:rsidR="005C340E" w:rsidRPr="00120375">
        <w:t xml:space="preserve"> for foam panels in buildings</w:t>
      </w:r>
      <w:r w:rsidR="00683AB0" w:rsidRPr="00120375">
        <w:t>.</w:t>
      </w:r>
    </w:p>
    <w:p w14:paraId="61927688" w14:textId="280ACFF9" w:rsidR="00680156" w:rsidRDefault="00454C0C" w:rsidP="0072597B">
      <w:r>
        <w:t>Relative i</w:t>
      </w:r>
      <w:r w:rsidR="00CE63A8">
        <w:t>nvestment and operating c</w:t>
      </w:r>
      <w:r w:rsidR="00840B11">
        <w:t xml:space="preserve">osts </w:t>
      </w:r>
      <w:r w:rsidR="004E4DB8">
        <w:t xml:space="preserve">in </w:t>
      </w:r>
      <w:r w:rsidR="00F653B1">
        <w:t xml:space="preserve">ODS </w:t>
      </w:r>
      <w:r w:rsidR="006862BB">
        <w:t xml:space="preserve">waste </w:t>
      </w:r>
      <w:r w:rsidR="004E4DB8">
        <w:t xml:space="preserve">recovery and </w:t>
      </w:r>
      <w:r w:rsidR="00E74B27">
        <w:t xml:space="preserve">destruction </w:t>
      </w:r>
      <w:r w:rsidR="00244357">
        <w:t>present</w:t>
      </w:r>
      <w:r w:rsidR="00840B11">
        <w:t xml:space="preserve"> a challenge</w:t>
      </w:r>
      <w:r w:rsidR="004E4DB8">
        <w:t xml:space="preserve"> compared with cheaper forms of disposition</w:t>
      </w:r>
      <w:r w:rsidR="00A31E5D">
        <w:t xml:space="preserve"> (venting and landfill disposal). The </w:t>
      </w:r>
      <w:r w:rsidR="00CF4F09">
        <w:t>low internalised waste disposal costs</w:t>
      </w:r>
      <w:r w:rsidR="00CE63A8">
        <w:t xml:space="preserve"> </w:t>
      </w:r>
      <w:r w:rsidR="00610B1A">
        <w:t>for</w:t>
      </w:r>
      <w:r w:rsidR="00FB0E2D">
        <w:t xml:space="preserve"> cheaper forms of </w:t>
      </w:r>
      <w:r w:rsidR="00980771">
        <w:t xml:space="preserve">recovery and </w:t>
      </w:r>
      <w:r w:rsidR="00FB0E2D">
        <w:t xml:space="preserve">disposal </w:t>
      </w:r>
      <w:r w:rsidR="002002E6">
        <w:t>can</w:t>
      </w:r>
      <w:r w:rsidR="00CE63A8">
        <w:t xml:space="preserve"> be weighed against the externalised costs to society of future </w:t>
      </w:r>
      <w:r w:rsidR="00EF0EBB">
        <w:t xml:space="preserve">health and environmental impacts </w:t>
      </w:r>
      <w:r w:rsidR="00904469">
        <w:t>of</w:t>
      </w:r>
      <w:r w:rsidR="00EF0EBB">
        <w:t xml:space="preserve"> </w:t>
      </w:r>
      <w:r w:rsidR="007E4C73">
        <w:t xml:space="preserve">ODS emissions </w:t>
      </w:r>
      <w:r w:rsidR="00FB0E2D">
        <w:t xml:space="preserve">that </w:t>
      </w:r>
      <w:r w:rsidR="007E4C73">
        <w:t>result from venting of refrigerant wastes or landfill disposal of foam wastes.</w:t>
      </w:r>
      <w:r w:rsidR="001B4E36">
        <w:t xml:space="preserve"> </w:t>
      </w:r>
      <w:r w:rsidR="00F921F1" w:rsidRPr="00132BBC">
        <w:t>R</w:t>
      </w:r>
      <w:r w:rsidR="009A46E7" w:rsidRPr="00132BBC">
        <w:t>egulatory incentives</w:t>
      </w:r>
      <w:r w:rsidR="002B4F24" w:rsidRPr="00132BBC">
        <w:t xml:space="preserve"> </w:t>
      </w:r>
      <w:r w:rsidR="002A2EDE" w:rsidRPr="00132BBC">
        <w:t xml:space="preserve">can </w:t>
      </w:r>
      <w:r w:rsidR="00FF22F4" w:rsidRPr="00132BBC">
        <w:t xml:space="preserve">shift these </w:t>
      </w:r>
      <w:r w:rsidR="00DB799B" w:rsidRPr="00132BBC">
        <w:t xml:space="preserve">market </w:t>
      </w:r>
      <w:r w:rsidR="004B4AAF" w:rsidRPr="00132BBC">
        <w:t>forces</w:t>
      </w:r>
      <w:r w:rsidR="00DB799B" w:rsidRPr="00132BBC">
        <w:t xml:space="preserve"> in favour of </w:t>
      </w:r>
      <w:r w:rsidR="000B7051" w:rsidRPr="00132BBC">
        <w:t xml:space="preserve">recovery and </w:t>
      </w:r>
      <w:r w:rsidR="009521A5" w:rsidRPr="00132BBC">
        <w:t xml:space="preserve">destruction </w:t>
      </w:r>
      <w:r w:rsidR="00487AC9" w:rsidRPr="00132BBC">
        <w:t xml:space="preserve">in most sectors </w:t>
      </w:r>
      <w:r w:rsidR="009521A5" w:rsidRPr="00132BBC">
        <w:t>and</w:t>
      </w:r>
      <w:r w:rsidR="000B7051" w:rsidRPr="00132BBC">
        <w:t xml:space="preserve"> </w:t>
      </w:r>
      <w:r w:rsidR="00D61BE1" w:rsidRPr="00132BBC">
        <w:t xml:space="preserve">place a </w:t>
      </w:r>
      <w:r w:rsidR="00224D97" w:rsidRPr="00132BBC">
        <w:t>value</w:t>
      </w:r>
      <w:r w:rsidR="00D61BE1" w:rsidRPr="00132BBC">
        <w:t xml:space="preserve"> on</w:t>
      </w:r>
      <w:r w:rsidR="00224D97" w:rsidRPr="00132BBC">
        <w:t xml:space="preserve"> the benefits to society of </w:t>
      </w:r>
      <w:r w:rsidR="000B7051" w:rsidRPr="00132BBC">
        <w:t>protect</w:t>
      </w:r>
      <w:r w:rsidR="00224D97" w:rsidRPr="00132BBC">
        <w:t>ing</w:t>
      </w:r>
      <w:r w:rsidR="000B7051" w:rsidRPr="00132BBC">
        <w:t xml:space="preserve"> the environment</w:t>
      </w:r>
      <w:r w:rsidR="000723A2" w:rsidRPr="00132BBC">
        <w:t xml:space="preserve"> </w:t>
      </w:r>
      <w:r w:rsidR="00986B26" w:rsidRPr="00132BBC">
        <w:t>through</w:t>
      </w:r>
      <w:r w:rsidR="000723A2" w:rsidRPr="00132BBC">
        <w:t xml:space="preserve"> avoided </w:t>
      </w:r>
      <w:r w:rsidR="00BB2268" w:rsidRPr="00132BBC">
        <w:t xml:space="preserve">human </w:t>
      </w:r>
      <w:r w:rsidR="00BB2B8A" w:rsidRPr="00132BBC">
        <w:t>health costs</w:t>
      </w:r>
      <w:r w:rsidR="000B7051" w:rsidRPr="00132BBC">
        <w:t>.</w:t>
      </w:r>
      <w:r w:rsidR="000B7051" w:rsidRPr="00FE649C">
        <w:t xml:space="preserve"> </w:t>
      </w:r>
    </w:p>
    <w:p w14:paraId="0892DF97" w14:textId="41D95760" w:rsidR="00712E72" w:rsidRDefault="00712E72" w:rsidP="00712E72">
      <w:r w:rsidRPr="00AD5970">
        <w:t>Previous analyses have</w:t>
      </w:r>
      <w:r>
        <w:t xml:space="preserve"> concluded that stationary air conditioning, including centrifugal chillers, is one of the sub-sectors of ODS and HFC waste streams that is the most cost effective for recovery and destruction of refrigerants (once recycling and reclamation/reuse opportunities are exhausted)</w:t>
      </w:r>
      <w:r w:rsidR="00B94D94" w:rsidRPr="00B94D94">
        <w:rPr>
          <w:rStyle w:val="FootnoteReference"/>
        </w:rPr>
        <w:t xml:space="preserve"> </w:t>
      </w:r>
      <w:r w:rsidR="00B94D94">
        <w:rPr>
          <w:rStyle w:val="FootnoteReference"/>
        </w:rPr>
        <w:footnoteReference w:id="145"/>
      </w:r>
      <w:r>
        <w:t xml:space="preserve">. </w:t>
      </w:r>
      <w:r w:rsidR="00797443">
        <w:t>Centrifugal chillers</w:t>
      </w:r>
      <w:r w:rsidR="00E1009D">
        <w:t xml:space="preserve"> constitute a small proportion of the active CFC-11 bank. </w:t>
      </w:r>
      <w:r>
        <w:t>The cost of recovery and destruction of ODS insulating foams is relatively higher</w:t>
      </w:r>
      <w:r w:rsidR="00797443">
        <w:t xml:space="preserve">. </w:t>
      </w:r>
      <w:r w:rsidR="006434E2">
        <w:t xml:space="preserve">Insulating foams </w:t>
      </w:r>
      <w:r w:rsidR="00987D27">
        <w:t xml:space="preserve">now </w:t>
      </w:r>
      <w:r w:rsidR="00A26324">
        <w:t xml:space="preserve">constitute </w:t>
      </w:r>
      <w:r w:rsidR="006434E2">
        <w:t>the majority</w:t>
      </w:r>
      <w:r w:rsidR="00A26324">
        <w:t xml:space="preserve"> of the active CFC-11 bank</w:t>
      </w:r>
      <w:r w:rsidR="006434E2">
        <w:t xml:space="preserve"> (</w:t>
      </w:r>
      <w:r w:rsidR="00E86718">
        <w:t xml:space="preserve">of which, </w:t>
      </w:r>
      <w:r w:rsidR="007B5EB0">
        <w:t xml:space="preserve">one third </w:t>
      </w:r>
      <w:r w:rsidR="00E86718">
        <w:t xml:space="preserve">is </w:t>
      </w:r>
      <w:r w:rsidR="007B5EB0">
        <w:t xml:space="preserve">foam insulation in </w:t>
      </w:r>
      <w:r w:rsidR="00C07C87">
        <w:t>appliances</w:t>
      </w:r>
      <w:r w:rsidR="00E86718">
        <w:t>,</w:t>
      </w:r>
      <w:r w:rsidR="007B5EB0">
        <w:t xml:space="preserve"> two thirds </w:t>
      </w:r>
      <w:r w:rsidR="00E86718">
        <w:t xml:space="preserve">is </w:t>
      </w:r>
      <w:r w:rsidR="007B5EB0">
        <w:t>building foam insulation)</w:t>
      </w:r>
      <w:r w:rsidR="008D1CD6">
        <w:t>.</w:t>
      </w:r>
      <w:r>
        <w:t xml:space="preserve"> The costs for s</w:t>
      </w:r>
      <w:r w:rsidRPr="00EB01A1">
        <w:t xml:space="preserve">teel-faced foam </w:t>
      </w:r>
      <w:r w:rsidR="00C07C87">
        <w:t xml:space="preserve">building </w:t>
      </w:r>
      <w:r w:rsidRPr="00EB01A1">
        <w:t xml:space="preserve">panels </w:t>
      </w:r>
      <w:r>
        <w:t>are</w:t>
      </w:r>
      <w:r w:rsidRPr="00EB01A1">
        <w:t xml:space="preserve"> between 3-15 times higher than </w:t>
      </w:r>
      <w:r>
        <w:t>for</w:t>
      </w:r>
      <w:r w:rsidRPr="00EB01A1">
        <w:t xml:space="preserve"> refrigerants from stationary AC (including chillers). </w:t>
      </w:r>
      <w:r>
        <w:t>T</w:t>
      </w:r>
      <w:r w:rsidRPr="00EB01A1">
        <w:t xml:space="preserve">he cost of recovery and destruction of appliance foams is </w:t>
      </w:r>
      <w:r>
        <w:t>relatively lower</w:t>
      </w:r>
      <w:r w:rsidR="00E80420">
        <w:t>,</w:t>
      </w:r>
      <w:r>
        <w:t xml:space="preserve"> </w:t>
      </w:r>
      <w:r w:rsidRPr="00EB01A1">
        <w:t xml:space="preserve">estimated to be </w:t>
      </w:r>
      <w:r>
        <w:t>between about the same to 10 times higher than the cost for</w:t>
      </w:r>
      <w:r w:rsidRPr="00EB01A1">
        <w:t xml:space="preserve"> refrigerants from stationary AC (including chillers).</w:t>
      </w:r>
    </w:p>
    <w:p w14:paraId="5964CEEF" w14:textId="13593C30" w:rsidR="0072597B" w:rsidRDefault="00A540CF" w:rsidP="0072597B">
      <w:r>
        <w:t>C</w:t>
      </w:r>
      <w:r w:rsidR="007E00CC">
        <w:t>limate change benefits</w:t>
      </w:r>
      <w:r>
        <w:t xml:space="preserve"> </w:t>
      </w:r>
      <w:r w:rsidR="0060700B">
        <w:t xml:space="preserve">of recovery and destruction of thermal insulating foam wastes </w:t>
      </w:r>
      <w:r w:rsidR="000F6B00">
        <w:t>may</w:t>
      </w:r>
      <w:r>
        <w:t xml:space="preserve"> decrease </w:t>
      </w:r>
      <w:r w:rsidR="007E00CC">
        <w:t>relative to costs over time</w:t>
      </w:r>
      <w:r w:rsidR="00BD78A6">
        <w:t>.</w:t>
      </w:r>
      <w:r w:rsidR="007E00CC">
        <w:t xml:space="preserve"> </w:t>
      </w:r>
      <w:r w:rsidR="00BD78A6">
        <w:t>T</w:t>
      </w:r>
      <w:r w:rsidR="0072597B" w:rsidRPr="0072597B">
        <w:t xml:space="preserve">he </w:t>
      </w:r>
      <w:r w:rsidR="00E66B11">
        <w:t xml:space="preserve">European Commission </w:t>
      </w:r>
      <w:r w:rsidR="0072597B" w:rsidRPr="0072597B">
        <w:t>analysis</w:t>
      </w:r>
      <w:r w:rsidR="00E642F8">
        <w:rPr>
          <w:rStyle w:val="FootnoteReference"/>
        </w:rPr>
        <w:footnoteReference w:id="146"/>
      </w:r>
      <w:r w:rsidR="00E642F8">
        <w:t xml:space="preserve"> </w:t>
      </w:r>
      <w:r w:rsidR="0072597B" w:rsidRPr="0072597B">
        <w:t xml:space="preserve">of the </w:t>
      </w:r>
      <w:r w:rsidR="00855BFC" w:rsidRPr="0072597B">
        <w:t>recover</w:t>
      </w:r>
      <w:r w:rsidR="00855BFC">
        <w:t>y</w:t>
      </w:r>
      <w:r w:rsidR="00855BFC" w:rsidRPr="0072597B">
        <w:t xml:space="preserve"> </w:t>
      </w:r>
      <w:r w:rsidR="0072597B" w:rsidRPr="0072597B">
        <w:t xml:space="preserve">and </w:t>
      </w:r>
      <w:r w:rsidR="00855BFC">
        <w:t>destruction of</w:t>
      </w:r>
      <w:r w:rsidR="00855BFC" w:rsidRPr="0072597B">
        <w:t xml:space="preserve"> </w:t>
      </w:r>
      <w:r w:rsidR="0072597B" w:rsidRPr="0072597B">
        <w:t xml:space="preserve">CFCs emerging from </w:t>
      </w:r>
      <w:r w:rsidR="0048179C">
        <w:t>thermal insulating foam</w:t>
      </w:r>
      <w:r w:rsidR="0048179C" w:rsidRPr="0072597B">
        <w:t xml:space="preserve"> </w:t>
      </w:r>
      <w:r w:rsidR="0072597B" w:rsidRPr="0072597B">
        <w:t xml:space="preserve">sources suggests that </w:t>
      </w:r>
      <w:r w:rsidR="00095B26">
        <w:t xml:space="preserve">relative </w:t>
      </w:r>
      <w:r w:rsidR="00634FE2">
        <w:t xml:space="preserve">GWP-based </w:t>
      </w:r>
      <w:r w:rsidR="00BB0DA7" w:rsidRPr="0072597B">
        <w:t>cost-effectiveness</w:t>
      </w:r>
      <w:r w:rsidR="007E15E3">
        <w:t xml:space="preserve"> </w:t>
      </w:r>
      <w:r w:rsidR="0072597B" w:rsidRPr="0072597B">
        <w:t xml:space="preserve">will decrease substantially with time. </w:t>
      </w:r>
      <w:bookmarkEnd w:id="185"/>
      <w:r w:rsidR="0072597B" w:rsidRPr="0072597B">
        <w:t xml:space="preserve">To illustrate the point, selecting </w:t>
      </w:r>
      <w:r w:rsidR="0048179C">
        <w:t xml:space="preserve">foam </w:t>
      </w:r>
      <w:r w:rsidR="0072597B" w:rsidRPr="0072597B">
        <w:t xml:space="preserve">products in the built environment </w:t>
      </w:r>
      <w:r w:rsidR="00173F7C">
        <w:t xml:space="preserve">that are the </w:t>
      </w:r>
      <w:r w:rsidR="003A0FD2" w:rsidRPr="0072597B">
        <w:t xml:space="preserve">simplest </w:t>
      </w:r>
      <w:r w:rsidR="0072597B" w:rsidRPr="0072597B">
        <w:t>to recover (i.e.</w:t>
      </w:r>
      <w:r w:rsidR="00274869">
        <w:t>,</w:t>
      </w:r>
      <w:r w:rsidR="0072597B" w:rsidRPr="0072597B">
        <w:t xml:space="preserve"> continuous and discontinuous steel-faced panels), </w:t>
      </w:r>
      <w:bookmarkStart w:id="186" w:name="_Hlk44437911"/>
      <w:r w:rsidR="0072597B" w:rsidRPr="0072597B">
        <w:t xml:space="preserve">the cost of emissions abatement </w:t>
      </w:r>
      <w:r w:rsidR="009A101A">
        <w:t>per tonne of C</w:t>
      </w:r>
      <w:r w:rsidR="00387F9D">
        <w:t>O</w:t>
      </w:r>
      <w:r w:rsidR="00387F9D" w:rsidRPr="003F0693">
        <w:rPr>
          <w:vertAlign w:val="subscript"/>
        </w:rPr>
        <w:t>2</w:t>
      </w:r>
      <w:r w:rsidR="00387F9D">
        <w:t xml:space="preserve"> saved </w:t>
      </w:r>
      <w:r w:rsidR="00155DEF">
        <w:t xml:space="preserve">is predicted to </w:t>
      </w:r>
      <w:r w:rsidR="0072597B" w:rsidRPr="0072597B">
        <w:t xml:space="preserve">increase with time </w:t>
      </w:r>
      <w:bookmarkEnd w:id="186"/>
      <w:r w:rsidR="0072597B" w:rsidRPr="0072597B">
        <w:t>(see</w:t>
      </w:r>
      <w:r w:rsidR="00C57BAF">
        <w:t xml:space="preserve"> </w:t>
      </w:r>
      <w:r w:rsidR="009E4F1E">
        <w:t xml:space="preserve">the </w:t>
      </w:r>
      <w:r w:rsidR="00C57BAF">
        <w:t xml:space="preserve">Figure </w:t>
      </w:r>
      <w:r w:rsidR="0065194C">
        <w:t>below</w:t>
      </w:r>
      <w:r w:rsidR="009D5301">
        <w:t>, which reproduces</w:t>
      </w:r>
      <w:r w:rsidR="0072597B" w:rsidRPr="0072597B">
        <w:t xml:space="preserve"> </w:t>
      </w:r>
      <w:r w:rsidR="0072597B" w:rsidRPr="00E10B41">
        <w:t>Figure B-18</w:t>
      </w:r>
      <w:r w:rsidR="0072597B" w:rsidRPr="0072597B">
        <w:t xml:space="preserve"> </w:t>
      </w:r>
      <w:r w:rsidR="009D5301">
        <w:t>from the SKM Enviros report</w:t>
      </w:r>
      <w:r w:rsidR="0072597B" w:rsidRPr="0072597B">
        <w:t xml:space="preserve">). The reason for this is that </w:t>
      </w:r>
      <w:r w:rsidR="00D421F7">
        <w:t xml:space="preserve">insulating </w:t>
      </w:r>
      <w:r w:rsidR="0072597B" w:rsidRPr="0072597B">
        <w:t xml:space="preserve">panels </w:t>
      </w:r>
      <w:r w:rsidR="004A2019" w:rsidRPr="0072597B">
        <w:t xml:space="preserve">containing CFC-11 </w:t>
      </w:r>
      <w:r w:rsidR="0072597B" w:rsidRPr="0072597B">
        <w:t xml:space="preserve">cannot be targeted in isolation from other steel-faced </w:t>
      </w:r>
      <w:r w:rsidR="00D421F7">
        <w:t xml:space="preserve">insulating </w:t>
      </w:r>
      <w:r w:rsidR="0072597B" w:rsidRPr="0072597B">
        <w:t>panels containing other blowing agents</w:t>
      </w:r>
      <w:r w:rsidR="00CB283E">
        <w:t>;</w:t>
      </w:r>
      <w:r w:rsidR="0072597B" w:rsidRPr="0072597B">
        <w:t xml:space="preserve"> the average GWP of the waste stream decreases </w:t>
      </w:r>
      <w:r w:rsidR="00584F61">
        <w:t xml:space="preserve">as the use of </w:t>
      </w:r>
      <w:r w:rsidR="003F14AA">
        <w:t>lower GWP</w:t>
      </w:r>
      <w:r w:rsidR="00584F61">
        <w:t xml:space="preserve"> blowing agents increases</w:t>
      </w:r>
      <w:r w:rsidR="00584F61" w:rsidRPr="0072597B">
        <w:t xml:space="preserve"> </w:t>
      </w:r>
      <w:r w:rsidR="0065194C">
        <w:t>over</w:t>
      </w:r>
      <w:r w:rsidR="0072597B" w:rsidRPr="0072597B">
        <w:t xml:space="preserve"> time</w:t>
      </w:r>
      <w:r w:rsidR="0048307C">
        <w:t xml:space="preserve">, thereby </w:t>
      </w:r>
      <w:r w:rsidR="002B525A">
        <w:t xml:space="preserve">increasing the cost of emissions abatement </w:t>
      </w:r>
      <w:r w:rsidR="00B50447">
        <w:t>per tonne of CO</w:t>
      </w:r>
      <w:r w:rsidR="00B50447" w:rsidRPr="003F0693">
        <w:rPr>
          <w:vertAlign w:val="subscript"/>
        </w:rPr>
        <w:t>2</w:t>
      </w:r>
      <w:r w:rsidR="00B50447">
        <w:t xml:space="preserve"> saved </w:t>
      </w:r>
      <w:r w:rsidR="002B525A">
        <w:t xml:space="preserve">and </w:t>
      </w:r>
      <w:r w:rsidR="0048307C">
        <w:t xml:space="preserve">reducing </w:t>
      </w:r>
      <w:r w:rsidR="000110CF">
        <w:t xml:space="preserve">the </w:t>
      </w:r>
      <w:r w:rsidR="0048307C">
        <w:t>cost effectiveness</w:t>
      </w:r>
      <w:r w:rsidR="000110CF">
        <w:t xml:space="preserve"> of recovery and destruction</w:t>
      </w:r>
      <w:r w:rsidR="005847E7">
        <w:t xml:space="preserve"> </w:t>
      </w:r>
      <w:r w:rsidR="00C06ABF">
        <w:t xml:space="preserve">when considered </w:t>
      </w:r>
      <w:r w:rsidR="005847E7">
        <w:t>on a GWP basis</w:t>
      </w:r>
      <w:r w:rsidR="00717554">
        <w:t>.</w:t>
      </w:r>
      <w:r w:rsidR="0072597B" w:rsidRPr="0072597B">
        <w:t xml:space="preserve"> </w:t>
      </w:r>
    </w:p>
    <w:p w14:paraId="0F950974" w14:textId="4C619920" w:rsidR="00E94D05" w:rsidRDefault="00530E7B" w:rsidP="0072597B">
      <w:r>
        <w:t>The</w:t>
      </w:r>
      <w:r w:rsidR="00467729">
        <w:t>se</w:t>
      </w:r>
      <w:r>
        <w:t xml:space="preserve"> trends in cost effectiveness also show a window of opportunity before around 2045 </w:t>
      </w:r>
      <w:r w:rsidR="003B1901">
        <w:t>after which</w:t>
      </w:r>
      <w:r>
        <w:t xml:space="preserve"> </w:t>
      </w:r>
      <w:r w:rsidR="006D416F">
        <w:t xml:space="preserve">abatement </w:t>
      </w:r>
      <w:r w:rsidR="00467729">
        <w:t xml:space="preserve">costs </w:t>
      </w:r>
      <w:r w:rsidR="006D416F">
        <w:t xml:space="preserve">per tonne of </w:t>
      </w:r>
      <w:r w:rsidR="00467729">
        <w:t>CO</w:t>
      </w:r>
      <w:r w:rsidR="00467729" w:rsidRPr="003B1901">
        <w:rPr>
          <w:vertAlign w:val="subscript"/>
        </w:rPr>
        <w:t>2</w:t>
      </w:r>
      <w:r w:rsidR="00467729">
        <w:t xml:space="preserve"> saved</w:t>
      </w:r>
      <w:r w:rsidR="009A2E96">
        <w:t xml:space="preserve"> </w:t>
      </w:r>
      <w:r w:rsidR="005B4E6A">
        <w:t xml:space="preserve">for steel-faced panels </w:t>
      </w:r>
      <w:r w:rsidR="003520DF">
        <w:t xml:space="preserve">show an </w:t>
      </w:r>
      <w:r w:rsidR="009A2E96">
        <w:t>accelerate</w:t>
      </w:r>
      <w:r w:rsidR="003520DF">
        <w:t>d increase</w:t>
      </w:r>
      <w:r w:rsidR="00400359">
        <w:t>, presumably as the average GWP of the foam waste decreases</w:t>
      </w:r>
      <w:r w:rsidR="00F1480B">
        <w:t>.</w:t>
      </w:r>
    </w:p>
    <w:p w14:paraId="27C2E0FB" w14:textId="6F8BD717" w:rsidR="005C3D75" w:rsidRPr="00E10B41" w:rsidRDefault="005C3D75" w:rsidP="00887D9F">
      <w:pPr>
        <w:pStyle w:val="FigureandTableTitle"/>
      </w:pPr>
      <w:r w:rsidRPr="00E10B41">
        <w:lastRenderedPageBreak/>
        <w:t>Figure 5.</w:t>
      </w:r>
      <w:r w:rsidR="00887D9F">
        <w:t>1</w:t>
      </w:r>
      <w:r w:rsidR="009700F7">
        <w:t>1</w:t>
      </w:r>
      <w:r w:rsidRPr="00E10B41">
        <w:tab/>
      </w:r>
      <w:r w:rsidR="00364549">
        <w:t>Trends in</w:t>
      </w:r>
      <w:r w:rsidR="00A709D4">
        <w:t xml:space="preserve"> GWP-weighted </w:t>
      </w:r>
      <w:r w:rsidR="00E64D99">
        <w:t xml:space="preserve">abatement </w:t>
      </w:r>
      <w:r w:rsidR="00A709D4">
        <w:t>cost</w:t>
      </w:r>
      <w:r w:rsidR="00E64D99">
        <w:t>s for</w:t>
      </w:r>
      <w:r w:rsidR="00A709D4">
        <w:t xml:space="preserve"> steel-faced foam panels</w:t>
      </w:r>
      <w:r w:rsidR="00364549">
        <w:t xml:space="preserve"> reaching </w:t>
      </w:r>
      <w:r w:rsidR="00700751">
        <w:t>end-of-life</w:t>
      </w:r>
      <w:r w:rsidR="00364549">
        <w:t xml:space="preserve"> (</w:t>
      </w:r>
      <w:r w:rsidR="00CE4484">
        <w:t>Euro/</w:t>
      </w:r>
      <w:proofErr w:type="spellStart"/>
      <w:r w:rsidR="00364549">
        <w:t>k</w:t>
      </w:r>
      <w:r w:rsidR="003709B0">
        <w:t>ilo</w:t>
      </w:r>
      <w:r w:rsidR="00364549">
        <w:t>tonnes</w:t>
      </w:r>
      <w:proofErr w:type="spellEnd"/>
      <w:r w:rsidR="00364549">
        <w:t xml:space="preserve"> CO</w:t>
      </w:r>
      <w:r w:rsidR="00364549" w:rsidRPr="00453CBE">
        <w:rPr>
          <w:vertAlign w:val="subscript"/>
        </w:rPr>
        <w:t>2</w:t>
      </w:r>
      <w:r w:rsidR="00364549">
        <w:t xml:space="preserve"> </w:t>
      </w:r>
      <w:r w:rsidR="00CE4484">
        <w:t>saved</w:t>
      </w:r>
      <w:r w:rsidR="00364549">
        <w:t>)</w:t>
      </w:r>
    </w:p>
    <w:p w14:paraId="0B637E45" w14:textId="77777777" w:rsidR="0072597B" w:rsidRPr="0072597B" w:rsidRDefault="0072597B" w:rsidP="0072597B">
      <w:r w:rsidRPr="0072597B">
        <w:rPr>
          <w:noProof/>
        </w:rPr>
        <w:drawing>
          <wp:inline distT="0" distB="0" distL="0" distR="0" wp14:anchorId="505886D6" wp14:editId="6AFC0665">
            <wp:extent cx="4764546" cy="4140698"/>
            <wp:effectExtent l="12700" t="12700" r="10795"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44614" cy="4210282"/>
                    </a:xfrm>
                    <a:prstGeom prst="rect">
                      <a:avLst/>
                    </a:prstGeom>
                    <a:noFill/>
                    <a:ln>
                      <a:solidFill>
                        <a:schemeClr val="accent1"/>
                      </a:solidFill>
                    </a:ln>
                  </pic:spPr>
                </pic:pic>
              </a:graphicData>
            </a:graphic>
          </wp:inline>
        </w:drawing>
      </w:r>
    </w:p>
    <w:p w14:paraId="32D415FB" w14:textId="38C35A9B" w:rsidR="0072597B" w:rsidRPr="0072597B" w:rsidRDefault="005C1548" w:rsidP="0072597B">
      <w:r>
        <w:t>T</w:t>
      </w:r>
      <w:r w:rsidR="0072597B" w:rsidRPr="0072597B">
        <w:t xml:space="preserve">he European analysis of the </w:t>
      </w:r>
      <w:r w:rsidR="00A30C2C">
        <w:t xml:space="preserve">GWP-based </w:t>
      </w:r>
      <w:r w:rsidR="0072597B" w:rsidRPr="0072597B">
        <w:t>cost-effectiveness of recover</w:t>
      </w:r>
      <w:r w:rsidR="00A41DD7">
        <w:t>y</w:t>
      </w:r>
      <w:r w:rsidR="0072597B" w:rsidRPr="0072597B">
        <w:t xml:space="preserve"> and </w:t>
      </w:r>
      <w:r w:rsidR="00A41DD7" w:rsidRPr="0072597B">
        <w:t>destr</w:t>
      </w:r>
      <w:r w:rsidR="00A41DD7">
        <w:t>uction of</w:t>
      </w:r>
      <w:r w:rsidR="00A41DD7" w:rsidRPr="0072597B">
        <w:t xml:space="preserve"> </w:t>
      </w:r>
      <w:r w:rsidR="0072597B" w:rsidRPr="0072597B">
        <w:t xml:space="preserve">CFCs suggests that for any </w:t>
      </w:r>
      <w:r w:rsidR="00B67F56">
        <w:t xml:space="preserve">newly produced </w:t>
      </w:r>
      <w:r>
        <w:t>(</w:t>
      </w:r>
      <w:r w:rsidR="009D261B">
        <w:t>unreported</w:t>
      </w:r>
      <w:r>
        <w:t xml:space="preserve">) </w:t>
      </w:r>
      <w:r w:rsidR="0072597B" w:rsidRPr="0072597B">
        <w:t xml:space="preserve">CFCs </w:t>
      </w:r>
      <w:r w:rsidR="007A5D13">
        <w:t xml:space="preserve">recently </w:t>
      </w:r>
      <w:r w:rsidR="0072597B" w:rsidRPr="0072597B">
        <w:t xml:space="preserve">incorporated in the built environment, the cost of emissions abatement </w:t>
      </w:r>
      <w:r w:rsidR="0070560C">
        <w:t xml:space="preserve">through </w:t>
      </w:r>
      <w:r w:rsidR="003A4227">
        <w:t xml:space="preserve">its </w:t>
      </w:r>
      <w:r w:rsidR="0070560C">
        <w:t xml:space="preserve">recovery and destruction </w:t>
      </w:r>
      <w:r w:rsidR="0072597B" w:rsidRPr="0072597B">
        <w:t xml:space="preserve">will </w:t>
      </w:r>
      <w:r w:rsidR="00BD7337">
        <w:t>remain</w:t>
      </w:r>
      <w:r w:rsidR="00BD7337" w:rsidRPr="0072597B">
        <w:t xml:space="preserve"> </w:t>
      </w:r>
      <w:r w:rsidR="0072597B" w:rsidRPr="0072597B">
        <w:t>relatively high</w:t>
      </w:r>
      <w:r w:rsidR="00FB65F0">
        <w:t xml:space="preserve"> per tonne of CO</w:t>
      </w:r>
      <w:r w:rsidR="00FB65F0" w:rsidRPr="003F0693">
        <w:rPr>
          <w:vertAlign w:val="subscript"/>
        </w:rPr>
        <w:t>2</w:t>
      </w:r>
      <w:r w:rsidR="00FB65F0">
        <w:t xml:space="preserve"> saved</w:t>
      </w:r>
      <w:r>
        <w:t xml:space="preserve"> </w:t>
      </w:r>
      <w:r w:rsidRPr="005C1548">
        <w:t>when it enters the waste stream in the future</w:t>
      </w:r>
      <w:r w:rsidR="0064769C">
        <w:t xml:space="preserve">, </w:t>
      </w:r>
      <w:r w:rsidR="00777AE7">
        <w:t xml:space="preserve">especially if diluted by </w:t>
      </w:r>
      <w:r w:rsidR="00F973C7">
        <w:t>other</w:t>
      </w:r>
      <w:r w:rsidR="009C1C9F">
        <w:t xml:space="preserve"> </w:t>
      </w:r>
      <w:r w:rsidR="00777AE7">
        <w:t>lower GWP blowing agents</w:t>
      </w:r>
      <w:r w:rsidRPr="005C1548">
        <w:t xml:space="preserve">. </w:t>
      </w:r>
      <w:r w:rsidR="00BD6483">
        <w:t>Of course, the value placed on a tonne of CO</w:t>
      </w:r>
      <w:r w:rsidR="00BD6483" w:rsidRPr="003F0693">
        <w:rPr>
          <w:vertAlign w:val="subscript"/>
        </w:rPr>
        <w:t>2</w:t>
      </w:r>
      <w:r w:rsidR="00BD6483">
        <w:t xml:space="preserve"> saved may have already increased </w:t>
      </w:r>
      <w:r w:rsidR="00F973C7">
        <w:t xml:space="preserve">substantially </w:t>
      </w:r>
      <w:r w:rsidR="00BD6483">
        <w:t>over the same time period</w:t>
      </w:r>
      <w:r w:rsidR="007A0FE9">
        <w:t xml:space="preserve">, or may </w:t>
      </w:r>
      <w:r w:rsidR="000219AA">
        <w:t>increase</w:t>
      </w:r>
      <w:r w:rsidR="007A0FE9">
        <w:t xml:space="preserve"> in the future,</w:t>
      </w:r>
      <w:r w:rsidR="00BD6483">
        <w:t xml:space="preserve"> which </w:t>
      </w:r>
      <w:r w:rsidR="00D728C6">
        <w:t>may</w:t>
      </w:r>
      <w:r w:rsidR="00BD6483">
        <w:t xml:space="preserve"> act as an </w:t>
      </w:r>
      <w:r w:rsidR="00711307">
        <w:t>increased</w:t>
      </w:r>
      <w:r w:rsidR="00BD6483">
        <w:t xml:space="preserve"> incentive to recovery of</w:t>
      </w:r>
      <w:r w:rsidR="00B05295">
        <w:t xml:space="preserve"> CFC-11</w:t>
      </w:r>
      <w:r w:rsidR="00D7237D">
        <w:t>,</w:t>
      </w:r>
      <w:r w:rsidR="00BD6483">
        <w:t xml:space="preserve"> even dilute </w:t>
      </w:r>
      <w:r w:rsidR="00B05295">
        <w:t xml:space="preserve">waste </w:t>
      </w:r>
      <w:r w:rsidR="00BD6483">
        <w:t>streams of CFC-11.</w:t>
      </w:r>
      <w:r w:rsidR="00BD6483" w:rsidRPr="005C1548">
        <w:t xml:space="preserve"> </w:t>
      </w:r>
      <w:r w:rsidR="00892312">
        <w:t>T</w:t>
      </w:r>
      <w:r w:rsidRPr="005C1548">
        <w:t>h</w:t>
      </w:r>
      <w:r w:rsidR="00DA5631">
        <w:t>ese are</w:t>
      </w:r>
      <w:r w:rsidRPr="005C1548">
        <w:t xml:space="preserve"> </w:t>
      </w:r>
      <w:r w:rsidR="00B67F6D">
        <w:t xml:space="preserve">relative </w:t>
      </w:r>
      <w:r w:rsidR="00D14B0F">
        <w:t>comparison</w:t>
      </w:r>
      <w:r w:rsidR="00DE3710">
        <w:t>s</w:t>
      </w:r>
      <w:r w:rsidR="00943CFE">
        <w:t xml:space="preserve"> for the purpose of </w:t>
      </w:r>
      <w:r w:rsidR="00A4218C">
        <w:t>drawing</w:t>
      </w:r>
      <w:r w:rsidR="00943CFE">
        <w:t xml:space="preserve"> specific</w:t>
      </w:r>
      <w:r w:rsidR="00A80607">
        <w:t xml:space="preserve"> </w:t>
      </w:r>
      <w:r w:rsidR="00DE3710">
        <w:t>conclusions</w:t>
      </w:r>
      <w:r w:rsidR="00A4218C">
        <w:t xml:space="preserve"> in the context of decision XXXI/3.</w:t>
      </w:r>
      <w:r w:rsidR="002406A8">
        <w:t xml:space="preserve"> However, this</w:t>
      </w:r>
      <w:r w:rsidR="00A70D6A">
        <w:t xml:space="preserve"> </w:t>
      </w:r>
      <w:r w:rsidR="007C6440">
        <w:t xml:space="preserve">is </w:t>
      </w:r>
      <w:r w:rsidR="008E024B">
        <w:t xml:space="preserve">an economic argument </w:t>
      </w:r>
      <w:r w:rsidR="00D12990">
        <w:t>based on an analysis in 2012</w:t>
      </w:r>
      <w:r w:rsidR="000219AA">
        <w:t xml:space="preserve"> </w:t>
      </w:r>
      <w:r w:rsidR="000210AE">
        <w:t xml:space="preserve">and is not intended to make </w:t>
      </w:r>
      <w:r w:rsidR="000205B2">
        <w:t>the</w:t>
      </w:r>
      <w:r w:rsidR="000210AE">
        <w:t xml:space="preserve"> broader case</w:t>
      </w:r>
      <w:r w:rsidR="00973C5A">
        <w:t xml:space="preserve"> </w:t>
      </w:r>
      <w:r w:rsidR="007C6440">
        <w:t xml:space="preserve">that it would be </w:t>
      </w:r>
      <w:r w:rsidR="00164C38">
        <w:t>impractical</w:t>
      </w:r>
      <w:r w:rsidRPr="005C1548">
        <w:t xml:space="preserve"> </w:t>
      </w:r>
      <w:r w:rsidR="00973C5A">
        <w:t xml:space="preserve">or imprudent </w:t>
      </w:r>
      <w:r w:rsidRPr="005C1548">
        <w:t xml:space="preserve">to destroy </w:t>
      </w:r>
      <w:r w:rsidR="00B80AB1">
        <w:t xml:space="preserve">CFC-11 </w:t>
      </w:r>
      <w:r w:rsidRPr="005C1548">
        <w:t>foam</w:t>
      </w:r>
      <w:r w:rsidR="00C14A93">
        <w:t xml:space="preserve">s </w:t>
      </w:r>
      <w:r w:rsidR="00152896">
        <w:t>now or in the future</w:t>
      </w:r>
      <w:r w:rsidR="00102D28">
        <w:t xml:space="preserve">, </w:t>
      </w:r>
      <w:r w:rsidR="00356C30">
        <w:t>with</w:t>
      </w:r>
      <w:r w:rsidR="0005593E">
        <w:t xml:space="preserve"> </w:t>
      </w:r>
      <w:r w:rsidR="008100C1">
        <w:t xml:space="preserve">associated </w:t>
      </w:r>
      <w:r w:rsidR="00471B8A">
        <w:t>opportunities</w:t>
      </w:r>
      <w:r w:rsidR="00AE77B0">
        <w:t xml:space="preserve"> in </w:t>
      </w:r>
      <w:r w:rsidR="00F452A8">
        <w:t xml:space="preserve">reducing </w:t>
      </w:r>
      <w:r w:rsidR="00F11599">
        <w:t xml:space="preserve">ODS </w:t>
      </w:r>
      <w:r w:rsidR="00F452A8">
        <w:t>emissions</w:t>
      </w:r>
      <w:r w:rsidR="00866D71">
        <w:t xml:space="preserve"> and </w:t>
      </w:r>
      <w:r w:rsidR="00A66A93">
        <w:t xml:space="preserve">avoiding </w:t>
      </w:r>
      <w:r w:rsidR="00866D71">
        <w:t>health and environmental costs</w:t>
      </w:r>
      <w:r w:rsidRPr="005C1548">
        <w:t>.</w:t>
      </w:r>
      <w:r w:rsidR="00A64639">
        <w:t xml:space="preserve"> </w:t>
      </w:r>
    </w:p>
    <w:p w14:paraId="07E34F02" w14:textId="52347EC1" w:rsidR="00152415" w:rsidRDefault="00152415" w:rsidP="00152415">
      <w:r w:rsidRPr="00406D32">
        <w:t>With long building lifetimes, the drivers for rec</w:t>
      </w:r>
      <w:r w:rsidRPr="000441B0">
        <w:t xml:space="preserve">overy and destruction of building insulation foams may change over time. </w:t>
      </w:r>
      <w:r w:rsidRPr="00132BBC">
        <w:t>The evolution of net zero carbon requirements and the circular economy may improve cost effectiveness and end-of-life choices.</w:t>
      </w:r>
    </w:p>
    <w:p w14:paraId="365AB959" w14:textId="10A9DBC0" w:rsidR="00152415" w:rsidRDefault="00152415" w:rsidP="00152415">
      <w:r>
        <w:t xml:space="preserve">In voluntary carbon markets, there is an opportunity for ODS (and HFC) recovery and destruction in the offsetting of Scope 3 greenhouse gas emissions within construction product supply chains. The impacts of the total lifecycle emissions </w:t>
      </w:r>
      <w:r w:rsidR="00B0672B">
        <w:t xml:space="preserve">must </w:t>
      </w:r>
      <w:r>
        <w:t>be accounted for as Scope 3 emissions in the year of manufacture</w:t>
      </w:r>
      <w:r w:rsidR="001A5056">
        <w:t>, according to the current Greenhouse Gas Protocol</w:t>
      </w:r>
      <w:r>
        <w:t xml:space="preserve">. For </w:t>
      </w:r>
      <w:r>
        <w:lastRenderedPageBreak/>
        <w:t xml:space="preserve">decommissioned foams, these could be considered as an offset to stimulate extended producer responsibility and for those seeking to reduce their net carbon footprints. </w:t>
      </w:r>
    </w:p>
    <w:p w14:paraId="51654E0D" w14:textId="53306CC3" w:rsidR="0072597B" w:rsidRPr="0072597B" w:rsidRDefault="0072597B" w:rsidP="0072597B">
      <w:r w:rsidRPr="0072597B">
        <w:t xml:space="preserve">A comprehensive study </w:t>
      </w:r>
      <w:r w:rsidR="006B062B">
        <w:t>of</w:t>
      </w:r>
      <w:r w:rsidR="006B062B" w:rsidRPr="0072597B">
        <w:t xml:space="preserve"> </w:t>
      </w:r>
      <w:r w:rsidRPr="0072597B">
        <w:t>ODS disposal</w:t>
      </w:r>
      <w:r w:rsidR="007C55BD">
        <w:t xml:space="preserve"> by ICF</w:t>
      </w:r>
      <w:r w:rsidR="00936CF0">
        <w:rPr>
          <w:rStyle w:val="FootnoteReference"/>
        </w:rPr>
        <w:footnoteReference w:id="147"/>
      </w:r>
      <w:r w:rsidRPr="0072597B">
        <w:t xml:space="preserve"> has defined five categories of </w:t>
      </w:r>
      <w:r w:rsidR="00211530">
        <w:t xml:space="preserve">challenges </w:t>
      </w:r>
      <w:r w:rsidRPr="0072597B">
        <w:t>that hinder the effective collection and destruction of ODS in developing and developed countries</w:t>
      </w:r>
      <w:r w:rsidR="001A685A">
        <w:t xml:space="preserve"> </w:t>
      </w:r>
      <w:r w:rsidRPr="0072597B">
        <w:t xml:space="preserve">and gives recommendations on how to address them. These </w:t>
      </w:r>
      <w:r w:rsidR="00740D22">
        <w:t xml:space="preserve">challenges </w:t>
      </w:r>
      <w:r w:rsidRPr="0072597B">
        <w:t>are</w:t>
      </w:r>
      <w:r w:rsidR="001A685A">
        <w:t xml:space="preserve"> </w:t>
      </w:r>
      <w:r w:rsidRPr="0072597B">
        <w:t xml:space="preserve">informational, financial, technological, logistical and legal. </w:t>
      </w:r>
      <w:r w:rsidR="00282EDB">
        <w:t>S</w:t>
      </w:r>
      <w:r w:rsidR="00282EDB" w:rsidRPr="0072597B">
        <w:t xml:space="preserve">ome of the </w:t>
      </w:r>
      <w:r w:rsidR="00282EDB">
        <w:t>significant challenges for recovery and</w:t>
      </w:r>
      <w:r w:rsidR="00282EDB" w:rsidRPr="0072597B">
        <w:t xml:space="preserve"> destruction in </w:t>
      </w:r>
      <w:r w:rsidR="00BC7E1E">
        <w:t>developing countries</w:t>
      </w:r>
      <w:r w:rsidR="00282EDB" w:rsidRPr="0072597B">
        <w:t xml:space="preserve"> </w:t>
      </w:r>
      <w:r w:rsidR="00882E98">
        <w:t>include the</w:t>
      </w:r>
      <w:r w:rsidR="00282EDB">
        <w:t xml:space="preserve"> a</w:t>
      </w:r>
      <w:r w:rsidR="00282EDB" w:rsidRPr="0072597B">
        <w:t>vailability of, and access to, destruction facilities,</w:t>
      </w:r>
      <w:r w:rsidR="00282EDB">
        <w:t xml:space="preserve"> </w:t>
      </w:r>
      <w:r w:rsidR="00282EDB" w:rsidRPr="0072597B">
        <w:t>transboundary movement of waste, recovery equipment, transportation infrastructure, and cost.</w:t>
      </w:r>
      <w:r w:rsidR="00884F84">
        <w:t xml:space="preserve"> </w:t>
      </w:r>
      <w:r w:rsidRPr="0072597B">
        <w:t xml:space="preserve">According to the </w:t>
      </w:r>
      <w:r w:rsidR="001B4684">
        <w:t xml:space="preserve">2015 GIZ </w:t>
      </w:r>
      <w:proofErr w:type="spellStart"/>
      <w:r w:rsidR="001B4684">
        <w:t>Proklima</w:t>
      </w:r>
      <w:proofErr w:type="spellEnd"/>
      <w:r w:rsidR="001B4684">
        <w:t xml:space="preserve"> </w:t>
      </w:r>
      <w:r w:rsidR="007C55BD">
        <w:t>report</w:t>
      </w:r>
      <w:r w:rsidR="001A685A">
        <w:t xml:space="preserve"> </w:t>
      </w:r>
      <w:r w:rsidRPr="0072597B">
        <w:t>on ODS banks</w:t>
      </w:r>
      <w:r w:rsidR="001B4684">
        <w:rPr>
          <w:rStyle w:val="FootnoteReference"/>
        </w:rPr>
        <w:footnoteReference w:id="148"/>
      </w:r>
      <w:r w:rsidRPr="0072597B">
        <w:t>, the most important factors</w:t>
      </w:r>
      <w:r w:rsidR="00104A43">
        <w:t xml:space="preserve"> that</w:t>
      </w:r>
      <w:r w:rsidRPr="0072597B">
        <w:t xml:space="preserve"> decide the success of ODS lifecycle</w:t>
      </w:r>
      <w:r w:rsidR="001A685A">
        <w:t xml:space="preserve"> </w:t>
      </w:r>
      <w:r w:rsidRPr="0072597B">
        <w:t>management in developing countries are the creation of financial incentives for returning ODS or</w:t>
      </w:r>
      <w:r w:rsidR="001A685A">
        <w:t xml:space="preserve"> </w:t>
      </w:r>
      <w:r w:rsidRPr="0072597B">
        <w:t>ODS-containing equipment, and regulatory controls for the management of ODS waste, including</w:t>
      </w:r>
      <w:r w:rsidR="00A6155A">
        <w:t xml:space="preserve"> </w:t>
      </w:r>
      <w:r w:rsidRPr="0072597B">
        <w:t>destruction if substances cannot be reused.</w:t>
      </w:r>
    </w:p>
    <w:p w14:paraId="5ACF94E9" w14:textId="2F6901E0" w:rsidR="00D450CC" w:rsidRDefault="0072597B" w:rsidP="008542F5">
      <w:r w:rsidRPr="0072597B">
        <w:t xml:space="preserve">Even in a relatively large </w:t>
      </w:r>
      <w:r w:rsidR="00C12C4B">
        <w:t>refrigeration and air conditioning</w:t>
      </w:r>
      <w:r w:rsidR="00C12C4B" w:rsidRPr="0072597B">
        <w:t xml:space="preserve"> </w:t>
      </w:r>
      <w:r w:rsidRPr="0072597B">
        <w:t xml:space="preserve">market, a </w:t>
      </w:r>
      <w:r w:rsidR="00541842">
        <w:t xml:space="preserve">key </w:t>
      </w:r>
      <w:r w:rsidR="009A7334">
        <w:t>challenge in</w:t>
      </w:r>
      <w:r w:rsidRPr="0072597B">
        <w:t xml:space="preserve"> destroying end-of-life ODS/HFCs is</w:t>
      </w:r>
      <w:r w:rsidR="00A6155A">
        <w:t xml:space="preserve"> </w:t>
      </w:r>
      <w:r w:rsidR="00EA6DEF">
        <w:t xml:space="preserve">their </w:t>
      </w:r>
      <w:r w:rsidRPr="0072597B">
        <w:t>recovery</w:t>
      </w:r>
      <w:r w:rsidR="001B4684">
        <w:t xml:space="preserve"> and </w:t>
      </w:r>
      <w:r w:rsidRPr="0072597B">
        <w:t xml:space="preserve">collection and having the capability to </w:t>
      </w:r>
      <w:r w:rsidR="00373525">
        <w:t>collect</w:t>
      </w:r>
      <w:r w:rsidR="00373525" w:rsidRPr="0072597B">
        <w:t xml:space="preserve"> </w:t>
      </w:r>
      <w:r w:rsidRPr="0072597B">
        <w:t>minimum quantities at predictable rate</w:t>
      </w:r>
      <w:r w:rsidR="00C50426">
        <w:t>s</w:t>
      </w:r>
      <w:r w:rsidRPr="0072597B">
        <w:t xml:space="preserve"> for viable destruction. </w:t>
      </w:r>
      <w:r w:rsidR="00AD2B24">
        <w:t>For</w:t>
      </w:r>
      <w:r w:rsidR="00AD2B24" w:rsidRPr="0072597B">
        <w:t xml:space="preserve"> </w:t>
      </w:r>
      <w:r w:rsidRPr="0072597B">
        <w:t>destruction to be part of an overall end-of-life strategy,</w:t>
      </w:r>
      <w:r w:rsidR="00A6155A">
        <w:t xml:space="preserve"> </w:t>
      </w:r>
      <w:r w:rsidRPr="0072597B">
        <w:t>selecting suitable approved</w:t>
      </w:r>
      <w:r w:rsidR="005C497F">
        <w:t xml:space="preserve"> </w:t>
      </w:r>
      <w:r w:rsidR="00544C48">
        <w:t>and/or effective destruction</w:t>
      </w:r>
      <w:r w:rsidRPr="0072597B">
        <w:t xml:space="preserve"> technologies</w:t>
      </w:r>
      <w:r w:rsidR="00544C48">
        <w:t>,</w:t>
      </w:r>
      <w:r w:rsidRPr="0072597B">
        <w:t xml:space="preserve"> and achieving the required investments</w:t>
      </w:r>
      <w:r w:rsidR="00544C48">
        <w:t>,</w:t>
      </w:r>
      <w:r w:rsidRPr="0072597B">
        <w:t xml:space="preserve"> </w:t>
      </w:r>
      <w:r w:rsidR="00293C73">
        <w:t>is</w:t>
      </w:r>
      <w:r w:rsidRPr="0072597B">
        <w:t xml:space="preserve"> mainly</w:t>
      </w:r>
      <w:r w:rsidR="00A6155A">
        <w:t xml:space="preserve"> </w:t>
      </w:r>
      <w:r w:rsidRPr="0072597B">
        <w:t>dependent on this recovery and collection capability, and a reliable analysis of the material</w:t>
      </w:r>
      <w:r w:rsidR="00A6155A">
        <w:t xml:space="preserve"> </w:t>
      </w:r>
      <w:r w:rsidRPr="0072597B">
        <w:t xml:space="preserve">available for destruction. A major determinant of viable destruction infrastructure is </w:t>
      </w:r>
      <w:r w:rsidR="004842BC">
        <w:t xml:space="preserve">having </w:t>
      </w:r>
      <w:r w:rsidRPr="0072597B">
        <w:t>achievable</w:t>
      </w:r>
      <w:r w:rsidR="00A6155A">
        <w:t xml:space="preserve"> </w:t>
      </w:r>
      <w:r w:rsidRPr="0072597B">
        <w:t>economies of scale that might then also utilise already available destruction capacity</w:t>
      </w:r>
      <w:r w:rsidRPr="00043208">
        <w:rPr>
          <w:rStyle w:val="FootnoteReference"/>
        </w:rPr>
        <w:footnoteReference w:id="149"/>
      </w:r>
      <w:r w:rsidR="00195CB4" w:rsidRPr="00043208">
        <w:rPr>
          <w:vertAlign w:val="superscript"/>
        </w:rPr>
        <w:t>,</w:t>
      </w:r>
      <w:r w:rsidR="00195CB4" w:rsidRPr="00195CB4">
        <w:rPr>
          <w:rStyle w:val="FootnoteReference"/>
        </w:rPr>
        <w:footnoteReference w:id="150"/>
      </w:r>
      <w:r w:rsidR="006A648F">
        <w:t>.</w:t>
      </w:r>
    </w:p>
    <w:p w14:paraId="31DF93DD" w14:textId="43C686AD" w:rsidR="002313D4" w:rsidRDefault="00EE1ABC" w:rsidP="008542F5">
      <w:r w:rsidRPr="20821D15">
        <w:t>The October 2009 Decision XX/7 TEAP Task Force Report</w:t>
      </w:r>
      <w:r w:rsidRPr="20821D15">
        <w:rPr>
          <w:rStyle w:val="FootnoteReference"/>
        </w:rPr>
        <w:footnoteReference w:id="151"/>
      </w:r>
      <w:r>
        <w:rPr>
          <w:szCs w:val="22"/>
        </w:rPr>
        <w:t xml:space="preserve"> </w:t>
      </w:r>
      <w:r w:rsidRPr="20821D15">
        <w:t>concluded that</w:t>
      </w:r>
      <w:r>
        <w:rPr>
          <w:szCs w:val="22"/>
        </w:rPr>
        <w:t xml:space="preserve"> </w:t>
      </w:r>
      <w:r w:rsidR="00681544">
        <w:rPr>
          <w:szCs w:val="22"/>
        </w:rPr>
        <w:t xml:space="preserve">recovery and destruction of </w:t>
      </w:r>
      <w:r w:rsidRPr="20821D15">
        <w:t xml:space="preserve">a waste stream combining </w:t>
      </w:r>
      <w:r w:rsidR="00454E0B">
        <w:t xml:space="preserve">all </w:t>
      </w:r>
      <w:r w:rsidRPr="20821D15">
        <w:t>ODS and HFCs would</w:t>
      </w:r>
      <w:r>
        <w:rPr>
          <w:szCs w:val="22"/>
        </w:rPr>
        <w:t xml:space="preserve"> </w:t>
      </w:r>
      <w:r w:rsidRPr="20821D15">
        <w:t xml:space="preserve">realise the </w:t>
      </w:r>
      <w:r>
        <w:t>largest</w:t>
      </w:r>
      <w:r w:rsidRPr="20821D15">
        <w:t xml:space="preserve"> economies of scale and accrue the greatest</w:t>
      </w:r>
      <w:r>
        <w:rPr>
          <w:szCs w:val="22"/>
        </w:rPr>
        <w:t xml:space="preserve"> </w:t>
      </w:r>
      <w:r w:rsidRPr="20821D15">
        <w:t>benefits</w:t>
      </w:r>
      <w:r w:rsidR="001E267B">
        <w:t xml:space="preserve">. </w:t>
      </w:r>
      <w:r w:rsidR="00D3675F">
        <w:t>T</w:t>
      </w:r>
      <w:r w:rsidR="00FD55C8">
        <w:t xml:space="preserve">his </w:t>
      </w:r>
      <w:r w:rsidR="00B22360">
        <w:t xml:space="preserve">approach </w:t>
      </w:r>
      <w:r w:rsidR="004C3D7A">
        <w:t xml:space="preserve">also </w:t>
      </w:r>
      <w:r w:rsidR="00B71629">
        <w:t>presents the best opportunity for recovery and destruction of CFC-11 waste</w:t>
      </w:r>
      <w:r w:rsidR="00E95986">
        <w:t xml:space="preserve"> streams</w:t>
      </w:r>
      <w:r>
        <w:rPr>
          <w:szCs w:val="22"/>
        </w:rPr>
        <w:t>.</w:t>
      </w:r>
      <w:r w:rsidR="00EF758D">
        <w:rPr>
          <w:szCs w:val="22"/>
        </w:rPr>
        <w:t xml:space="preserve"> </w:t>
      </w:r>
    </w:p>
    <w:p w14:paraId="5150822A" w14:textId="402D427E" w:rsidR="005230D6" w:rsidRDefault="00A22617" w:rsidP="00751ECE">
      <w:pPr>
        <w:pStyle w:val="Heading3"/>
      </w:pPr>
      <w:bookmarkStart w:id="187" w:name="_Toc73045642"/>
      <w:r>
        <w:t>5.5.3</w:t>
      </w:r>
      <w:r>
        <w:tab/>
        <w:t>Opportunities and challenges for d</w:t>
      </w:r>
      <w:r w:rsidR="005230D6">
        <w:t>estruction</w:t>
      </w:r>
      <w:bookmarkEnd w:id="187"/>
      <w:r w:rsidR="005230D6">
        <w:t xml:space="preserve"> </w:t>
      </w:r>
    </w:p>
    <w:p w14:paraId="32842E77" w14:textId="0B9EFDD7" w:rsidR="007D2D88" w:rsidRDefault="004A404B" w:rsidP="007D387C">
      <w:r w:rsidRPr="004A404B">
        <w:t xml:space="preserve">Numerous studies </w:t>
      </w:r>
      <w:r>
        <w:t xml:space="preserve">have described </w:t>
      </w:r>
      <w:r w:rsidR="00A95456">
        <w:t xml:space="preserve">the technical and economic </w:t>
      </w:r>
      <w:r w:rsidR="008C1BEB">
        <w:t>feasibility of the range of technologies available to destroy ODS</w:t>
      </w:r>
      <w:r w:rsidR="004E7449">
        <w:t>,</w:t>
      </w:r>
      <w:r w:rsidR="008C1BEB">
        <w:t xml:space="preserve"> including CFC-11</w:t>
      </w:r>
      <w:r w:rsidR="00D82D75">
        <w:t xml:space="preserve">, and </w:t>
      </w:r>
      <w:r w:rsidR="006F6E1F">
        <w:t>suppo</w:t>
      </w:r>
      <w:r w:rsidR="00DC6A79">
        <w:t xml:space="preserve">rting </w:t>
      </w:r>
      <w:r w:rsidR="00D82D75">
        <w:t>programs</w:t>
      </w:r>
      <w:r w:rsidR="006451FC">
        <w:rPr>
          <w:rStyle w:val="FootnoteReference"/>
        </w:rPr>
        <w:footnoteReference w:id="152"/>
      </w:r>
      <w:r w:rsidR="008C1BEB">
        <w:t>.</w:t>
      </w:r>
      <w:r w:rsidR="00A64639">
        <w:t xml:space="preserve"> </w:t>
      </w:r>
    </w:p>
    <w:p w14:paraId="0B7804BC" w14:textId="5F56F1FC" w:rsidR="00F43911" w:rsidRDefault="00F43911" w:rsidP="005A34B5">
      <w:r>
        <w:lastRenderedPageBreak/>
        <w:t>While encouraging parties to undertake environmentally sound destruction of surplus or contaminated end-of-life ODS/HFCs, the Montreal Protocol does not mandate the destruction of ODS or Annex F Group I HFCs. The exception is HFC-23 (Annex F, Group II) generated in manufacturing facilities, from which emissions must be destroyed to the extent practicable using technologies approved by parties.</w:t>
      </w:r>
      <w:r w:rsidR="00793531">
        <w:t xml:space="preserve"> </w:t>
      </w:r>
      <w:r>
        <w:t xml:space="preserve">The Protocol’s definition of ‘production’ of controlled substances subtracts the amounts destroyed from the amounts produced. The use of destruction technologies approved by parties applies to </w:t>
      </w:r>
      <w:r w:rsidR="00584AF0">
        <w:t xml:space="preserve">the </w:t>
      </w:r>
      <w:r>
        <w:t xml:space="preserve">amounts of controlled substances </w:t>
      </w:r>
      <w:r w:rsidR="00584AF0">
        <w:t xml:space="preserve">destroyed and </w:t>
      </w:r>
      <w:r>
        <w:t xml:space="preserve">accounted for within the Protocol’s definition of ‘production’. The Protocol also allows </w:t>
      </w:r>
      <w:r w:rsidR="0049290E">
        <w:t>parties</w:t>
      </w:r>
      <w:r>
        <w:t xml:space="preserve"> to manufacture an amount of controlled substance almost equivalent to the quantity destroyed with technology listed as approved, within the same year as destruction, and within the same group of substances.</w:t>
      </w:r>
    </w:p>
    <w:p w14:paraId="54DE830D" w14:textId="77777777" w:rsidR="00C36595" w:rsidRDefault="00F43911" w:rsidP="00F43911">
      <w:r>
        <w:t>Parties have taken a number of decisions to approve destruction technologies for the purposes of Montreal Protocol production data reporting requirements. Over time, the list of destruction technologies approved by parties has been updated, with the most recent list of approved destruction processes contained in Annex II to the 30th Meeting of the Parties under decision XXX/6.</w:t>
      </w:r>
      <w:r w:rsidR="00793531">
        <w:t xml:space="preserve"> </w:t>
      </w:r>
    </w:p>
    <w:p w14:paraId="4FA61A40" w14:textId="3C51B358" w:rsidR="00F43911" w:rsidRDefault="00F43911" w:rsidP="00F43911">
      <w:r>
        <w:t xml:space="preserve">Adoption of destruction technologies varies by </w:t>
      </w:r>
      <w:r w:rsidR="00F9027C">
        <w:t>country</w:t>
      </w:r>
      <w:r>
        <w:t xml:space="preserve">, depending on the </w:t>
      </w:r>
      <w:r w:rsidR="00F9027C">
        <w:t>demand</w:t>
      </w:r>
      <w:r>
        <w:t xml:space="preserve"> for destruction, the requirements of national regulations and related standards, national and local air quality guidelines, availability of </w:t>
      </w:r>
      <w:r w:rsidR="00F03552">
        <w:t>appropriate</w:t>
      </w:r>
      <w:r>
        <w:t xml:space="preserve"> technology, and viability of the market for destruction.</w:t>
      </w:r>
      <w:r w:rsidR="00275C89">
        <w:t xml:space="preserve"> </w:t>
      </w:r>
    </w:p>
    <w:p w14:paraId="37E82531" w14:textId="35CB2F2B" w:rsidR="003E063D" w:rsidRDefault="00C36595" w:rsidP="00C36595">
      <w:r>
        <w:t xml:space="preserve">Other than for HFC-23, if a destruction technology is approved or not approved for each group of controlled substance by the Montreal Protocol </w:t>
      </w:r>
      <w:r w:rsidR="00EF4822">
        <w:t>does not</w:t>
      </w:r>
      <w:r w:rsidR="00BD0A8D">
        <w:t xml:space="preserve"> determine </w:t>
      </w:r>
      <w:r w:rsidR="008D3050">
        <w:t>whether</w:t>
      </w:r>
      <w:r>
        <w:t xml:space="preserve"> </w:t>
      </w:r>
      <w:r w:rsidR="008D3050">
        <w:t>the technology</w:t>
      </w:r>
      <w:r>
        <w:t xml:space="preserve"> is </w:t>
      </w:r>
      <w:r w:rsidR="00684355">
        <w:t>suitable</w:t>
      </w:r>
      <w:r>
        <w:t xml:space="preserve"> </w:t>
      </w:r>
      <w:r w:rsidR="00F77C24">
        <w:t>to destroy</w:t>
      </w:r>
      <w:r>
        <w:t xml:space="preserve"> ODS or HFC</w:t>
      </w:r>
      <w:r w:rsidR="00F77C24">
        <w:t xml:space="preserve"> </w:t>
      </w:r>
      <w:r w:rsidR="00D76124">
        <w:t>wastes</w:t>
      </w:r>
      <w:r w:rsidR="00F77F42">
        <w:t xml:space="preserve"> and should not </w:t>
      </w:r>
      <w:r w:rsidR="006072F9">
        <w:t xml:space="preserve">necessarily </w:t>
      </w:r>
      <w:r w:rsidR="00F77F42">
        <w:t xml:space="preserve">be </w:t>
      </w:r>
      <w:r w:rsidR="002C368B">
        <w:t xml:space="preserve">considered </w:t>
      </w:r>
      <w:r w:rsidR="00F77F42">
        <w:t xml:space="preserve">a barrier to </w:t>
      </w:r>
      <w:r w:rsidR="002C368B">
        <w:t xml:space="preserve">the </w:t>
      </w:r>
      <w:r w:rsidR="00F77F42">
        <w:t>destruction of ODS</w:t>
      </w:r>
      <w:r w:rsidR="002C368B">
        <w:t xml:space="preserve"> wastes</w:t>
      </w:r>
      <w:r w:rsidR="00D76124">
        <w:t>.</w:t>
      </w:r>
      <w:r w:rsidR="00153566">
        <w:t xml:space="preserve"> For example, </w:t>
      </w:r>
      <w:r w:rsidR="00E7257E">
        <w:t>landfill disposal of waste foam</w:t>
      </w:r>
      <w:r w:rsidR="00A93A57">
        <w:t xml:space="preserve"> </w:t>
      </w:r>
      <w:r w:rsidR="00CE4CFA">
        <w:t xml:space="preserve">will emit the majority of ODS over time, whereas </w:t>
      </w:r>
      <w:r w:rsidR="00091BEA">
        <w:t xml:space="preserve">ODS </w:t>
      </w:r>
      <w:r w:rsidR="006D74B1">
        <w:t xml:space="preserve">foam </w:t>
      </w:r>
      <w:r w:rsidR="00091BEA">
        <w:t xml:space="preserve">waste </w:t>
      </w:r>
      <w:r w:rsidR="00EF636B">
        <w:t xml:space="preserve">recovery and </w:t>
      </w:r>
      <w:r w:rsidR="00752667">
        <w:t xml:space="preserve">destruction </w:t>
      </w:r>
      <w:r w:rsidR="00091BEA">
        <w:t xml:space="preserve">using a </w:t>
      </w:r>
      <w:r w:rsidR="00CE4CFA">
        <w:t>technology with</w:t>
      </w:r>
      <w:r w:rsidR="00533E05">
        <w:t xml:space="preserve"> </w:t>
      </w:r>
      <w:r w:rsidR="00146C3B">
        <w:t>reasona</w:t>
      </w:r>
      <w:r w:rsidR="00F478C7">
        <w:t>ble</w:t>
      </w:r>
      <w:r w:rsidR="008E45DC">
        <w:t xml:space="preserve"> </w:t>
      </w:r>
      <w:r w:rsidR="00AE3A8C">
        <w:t xml:space="preserve">ODS </w:t>
      </w:r>
      <w:r w:rsidR="00743BA0">
        <w:t>destruction efficiency</w:t>
      </w:r>
      <w:r w:rsidR="00743BA0">
        <w:rPr>
          <w:rStyle w:val="FootnoteReference"/>
        </w:rPr>
        <w:footnoteReference w:id="153"/>
      </w:r>
      <w:r w:rsidR="00CE4CFA">
        <w:t xml:space="preserve"> </w:t>
      </w:r>
      <w:r w:rsidR="0022071B">
        <w:t xml:space="preserve">e.g., </w:t>
      </w:r>
      <w:r w:rsidR="00752667">
        <w:t>more than</w:t>
      </w:r>
      <w:r w:rsidR="001A43AB">
        <w:t xml:space="preserve"> 8</w:t>
      </w:r>
      <w:r w:rsidR="00752667">
        <w:t xml:space="preserve">0% and </w:t>
      </w:r>
      <w:r w:rsidR="00CE4CFA">
        <w:t>less than 95%</w:t>
      </w:r>
      <w:r w:rsidR="00350931">
        <w:t>,</w:t>
      </w:r>
      <w:r w:rsidR="00CE4CFA">
        <w:t xml:space="preserve"> </w:t>
      </w:r>
      <w:r w:rsidR="00EF636B">
        <w:t xml:space="preserve">will </w:t>
      </w:r>
      <w:r w:rsidR="000D68E0">
        <w:t xml:space="preserve">still </w:t>
      </w:r>
      <w:r w:rsidR="00743BA0">
        <w:t>result in</w:t>
      </w:r>
      <w:r w:rsidR="00EF636B">
        <w:t xml:space="preserve"> significantly less ODS</w:t>
      </w:r>
      <w:r w:rsidR="006D74B1">
        <w:t xml:space="preserve"> </w:t>
      </w:r>
      <w:r w:rsidR="00743BA0">
        <w:t xml:space="preserve">emissions </w:t>
      </w:r>
      <w:r w:rsidR="006D74B1">
        <w:t>than landfill disposal</w:t>
      </w:r>
      <w:r w:rsidR="00EF636B">
        <w:t>.</w:t>
      </w:r>
      <w:r w:rsidR="006072F9">
        <w:t xml:space="preserve"> </w:t>
      </w:r>
    </w:p>
    <w:p w14:paraId="6A20CCCC" w14:textId="48E590C6" w:rsidR="001D3398" w:rsidRDefault="006072F9" w:rsidP="00C36595">
      <w:r>
        <w:t>Using a</w:t>
      </w:r>
      <w:r w:rsidR="007A3B93">
        <w:t xml:space="preserve"> </w:t>
      </w:r>
      <w:r>
        <w:t xml:space="preserve">destruction technology </w:t>
      </w:r>
      <w:r w:rsidR="007A3B93">
        <w:t xml:space="preserve">approved by the Montreal Protocol </w:t>
      </w:r>
      <w:r>
        <w:t xml:space="preserve">is pertinent if a party is interested in </w:t>
      </w:r>
      <w:r w:rsidR="007A3B93">
        <w:t xml:space="preserve">accounting for destroyed </w:t>
      </w:r>
      <w:r w:rsidR="003B3711">
        <w:t>amounts</w:t>
      </w:r>
      <w:r w:rsidR="007A3B93">
        <w:t xml:space="preserve"> </w:t>
      </w:r>
      <w:r w:rsidR="003E063D">
        <w:t xml:space="preserve">of controlled substances </w:t>
      </w:r>
      <w:r w:rsidR="007A3B93">
        <w:t>for the purposes of reporting production</w:t>
      </w:r>
      <w:r w:rsidR="005021EB">
        <w:t xml:space="preserve"> or </w:t>
      </w:r>
      <w:r w:rsidR="005D65B5">
        <w:t xml:space="preserve">for </w:t>
      </w:r>
      <w:r w:rsidR="005021EB">
        <w:t>destroying HFC-23</w:t>
      </w:r>
      <w:r w:rsidR="007A3B93">
        <w:t>.</w:t>
      </w:r>
      <w:r w:rsidR="00EE062C">
        <w:t xml:space="preserve"> </w:t>
      </w:r>
      <w:r w:rsidR="009A350B">
        <w:t xml:space="preserve">For a party </w:t>
      </w:r>
      <w:r w:rsidR="003E063D">
        <w:t xml:space="preserve">that is </w:t>
      </w:r>
      <w:r w:rsidR="009A350B">
        <w:t xml:space="preserve">not interested in </w:t>
      </w:r>
      <w:r w:rsidR="005C7377">
        <w:t xml:space="preserve">accounting </w:t>
      </w:r>
      <w:r w:rsidR="003E063D">
        <w:t xml:space="preserve">for </w:t>
      </w:r>
      <w:r w:rsidR="005C7377">
        <w:t>destroyed amounts</w:t>
      </w:r>
      <w:r w:rsidR="003E063D">
        <w:t xml:space="preserve"> of controlled substances</w:t>
      </w:r>
      <w:r w:rsidR="00A95D8A">
        <w:t xml:space="preserve"> for the Montreal Protocol</w:t>
      </w:r>
      <w:r w:rsidR="005D65B5">
        <w:t>, or not destroying HFC-23</w:t>
      </w:r>
      <w:r w:rsidR="005C7377">
        <w:t>, a</w:t>
      </w:r>
      <w:r w:rsidR="00EE062C">
        <w:t xml:space="preserve"> destruction technology that meets the minimum </w:t>
      </w:r>
      <w:r w:rsidR="005021EB">
        <w:t xml:space="preserve">local regulatory </w:t>
      </w:r>
      <w:r w:rsidR="00542479">
        <w:t xml:space="preserve">environmental </w:t>
      </w:r>
      <w:r w:rsidR="00EE062C">
        <w:lastRenderedPageBreak/>
        <w:t xml:space="preserve">standards </w:t>
      </w:r>
      <w:r w:rsidR="005C7377">
        <w:t xml:space="preserve">and </w:t>
      </w:r>
      <w:r w:rsidR="006A23C9">
        <w:t xml:space="preserve">provides </w:t>
      </w:r>
      <w:r w:rsidR="005D65B5">
        <w:t xml:space="preserve">reasonably </w:t>
      </w:r>
      <w:r w:rsidR="003E063D">
        <w:t>acceptable</w:t>
      </w:r>
      <w:r w:rsidR="005C7377">
        <w:t xml:space="preserve"> </w:t>
      </w:r>
      <w:r w:rsidR="000C2455">
        <w:t xml:space="preserve">ODS </w:t>
      </w:r>
      <w:r w:rsidR="005C7377">
        <w:t>destruction efficienc</w:t>
      </w:r>
      <w:r w:rsidR="003E063D">
        <w:t>ies</w:t>
      </w:r>
      <w:r w:rsidR="005C7377">
        <w:t xml:space="preserve"> </w:t>
      </w:r>
      <w:r w:rsidR="00C06E0B">
        <w:t xml:space="preserve">is likely to be </w:t>
      </w:r>
      <w:r w:rsidR="00D6218E">
        <w:t>a</w:t>
      </w:r>
      <w:r w:rsidR="00C06E0B">
        <w:t xml:space="preserve"> better option </w:t>
      </w:r>
      <w:r w:rsidR="00D6218E">
        <w:t xml:space="preserve">for emissions </w:t>
      </w:r>
      <w:r w:rsidR="00EA25EB">
        <w:t xml:space="preserve">abatement </w:t>
      </w:r>
      <w:r w:rsidR="00C06E0B">
        <w:t xml:space="preserve">than venting or </w:t>
      </w:r>
      <w:r w:rsidR="00D6218E">
        <w:t>landfill disposal</w:t>
      </w:r>
      <w:r w:rsidR="00EA25EB">
        <w:t xml:space="preserve"> of ODS wastes</w:t>
      </w:r>
      <w:r w:rsidR="00CB10A0">
        <w:t>.</w:t>
      </w:r>
      <w:r w:rsidR="006A23C9">
        <w:t xml:space="preserve"> </w:t>
      </w:r>
    </w:p>
    <w:p w14:paraId="68387F18" w14:textId="6639CD06" w:rsidR="00C36595" w:rsidRDefault="00A95D8A" w:rsidP="00C36595">
      <w:r>
        <w:t xml:space="preserve">There </w:t>
      </w:r>
      <w:r w:rsidR="00C4512F">
        <w:t>might</w:t>
      </w:r>
      <w:r>
        <w:t xml:space="preserve"> be circumstances where</w:t>
      </w:r>
      <w:r w:rsidR="00F64652">
        <w:t xml:space="preserve"> </w:t>
      </w:r>
      <w:r w:rsidR="005575F4">
        <w:t xml:space="preserve">the </w:t>
      </w:r>
      <w:r w:rsidR="00C4512F">
        <w:t xml:space="preserve">choice of technology </w:t>
      </w:r>
      <w:r w:rsidR="005575F4">
        <w:t>to</w:t>
      </w:r>
      <w:r w:rsidR="00C4512F">
        <w:t xml:space="preserve"> </w:t>
      </w:r>
      <w:r w:rsidR="00C51B1B">
        <w:t>maximis</w:t>
      </w:r>
      <w:r w:rsidR="00C4512F">
        <w:t>e</w:t>
      </w:r>
      <w:r w:rsidR="00C51B1B">
        <w:t xml:space="preserve"> destruction efficiencies and </w:t>
      </w:r>
      <w:r w:rsidR="005575F4">
        <w:t xml:space="preserve">the </w:t>
      </w:r>
      <w:r w:rsidR="00F64652">
        <w:t xml:space="preserve">accounting </w:t>
      </w:r>
      <w:r w:rsidR="00402D86">
        <w:t xml:space="preserve">of destroyed </w:t>
      </w:r>
      <w:r w:rsidR="005575F4">
        <w:t>ODS wastes</w:t>
      </w:r>
      <w:r w:rsidR="008D6660">
        <w:t xml:space="preserve"> </w:t>
      </w:r>
      <w:r w:rsidR="00D567D0">
        <w:t>are</w:t>
      </w:r>
      <w:r w:rsidR="008D6660">
        <w:t xml:space="preserve"> important, e.g., for voluntary carbon markets</w:t>
      </w:r>
      <w:r w:rsidR="00C4512F">
        <w:t>.</w:t>
      </w:r>
      <w:r w:rsidR="00FB3689">
        <w:t xml:space="preserve"> </w:t>
      </w:r>
      <w:r w:rsidR="00EE3072">
        <w:t>T</w:t>
      </w:r>
      <w:r w:rsidR="00FB3689">
        <w:t xml:space="preserve">his need not </w:t>
      </w:r>
      <w:r w:rsidR="006D4F7B">
        <w:t xml:space="preserve">necessarily </w:t>
      </w:r>
      <w:r w:rsidR="00FB3689">
        <w:t xml:space="preserve">preclude the use of </w:t>
      </w:r>
      <w:r w:rsidR="005E475D">
        <w:t xml:space="preserve">destruction technologies that </w:t>
      </w:r>
      <w:r w:rsidR="004D7F6B">
        <w:t>are</w:t>
      </w:r>
      <w:r w:rsidR="005E475D">
        <w:t xml:space="preserve"> not approved </w:t>
      </w:r>
      <w:r w:rsidR="00646E1E">
        <w:t>by the Montreal Protocol to destroy controlled substances</w:t>
      </w:r>
      <w:r w:rsidR="00EE3072">
        <w:t>, w</w:t>
      </w:r>
      <w:r w:rsidR="0099315F">
        <w:t>ith the exception of HFC-23</w:t>
      </w:r>
      <w:r w:rsidR="00EE3072">
        <w:t xml:space="preserve"> and</w:t>
      </w:r>
      <w:r w:rsidR="004D7F6B">
        <w:t xml:space="preserve"> countries </w:t>
      </w:r>
      <w:r w:rsidR="00EE3072">
        <w:t xml:space="preserve">that have introduced </w:t>
      </w:r>
      <w:r w:rsidR="00CA176D">
        <w:t xml:space="preserve">laws </w:t>
      </w:r>
      <w:r w:rsidR="00EE3072">
        <w:t>mandating</w:t>
      </w:r>
      <w:r w:rsidR="00CA176D">
        <w:t xml:space="preserve"> </w:t>
      </w:r>
      <w:r w:rsidR="00767342">
        <w:t xml:space="preserve">ODS </w:t>
      </w:r>
      <w:r w:rsidR="00CA176D">
        <w:t xml:space="preserve">destruction </w:t>
      </w:r>
      <w:r w:rsidR="00767342">
        <w:t xml:space="preserve">using </w:t>
      </w:r>
      <w:r w:rsidR="00CA176D">
        <w:t>technologies approved by the Montreal Protocol</w:t>
      </w:r>
      <w:r w:rsidR="004273AF">
        <w:t>.</w:t>
      </w:r>
      <w:r w:rsidR="00DE6764">
        <w:t xml:space="preserve"> </w:t>
      </w:r>
    </w:p>
    <w:p w14:paraId="4323689A" w14:textId="6DEEADCF" w:rsidR="00777E86" w:rsidRDefault="007128E0" w:rsidP="00C36595">
      <w:r>
        <w:t>Destruction</w:t>
      </w:r>
      <w:r w:rsidR="00DB03E3">
        <w:t xml:space="preserve"> technologies can be grouped into three categories: thermal oxidation, plasma</w:t>
      </w:r>
      <w:r w:rsidR="0031411B">
        <w:t xml:space="preserve"> technologies, and conversion </w:t>
      </w:r>
      <w:r>
        <w:t xml:space="preserve">(non-incineration) </w:t>
      </w:r>
      <w:r w:rsidR="0031411B">
        <w:t>technologies.</w:t>
      </w:r>
      <w:r>
        <w:t xml:space="preserve"> </w:t>
      </w:r>
    </w:p>
    <w:p w14:paraId="0E1C8813" w14:textId="7E73E235" w:rsidR="00DB03E3" w:rsidRDefault="0025539F" w:rsidP="00C36595">
      <w:r>
        <w:t xml:space="preserve">Thermal oxidation technologies involve large plants </w:t>
      </w:r>
      <w:r w:rsidR="00901112">
        <w:t xml:space="preserve">that require </w:t>
      </w:r>
      <w:r w:rsidR="00277389">
        <w:t>large</w:t>
      </w:r>
      <w:r w:rsidR="00901112">
        <w:t xml:space="preserve"> volume waste streams to sustain economic viability</w:t>
      </w:r>
      <w:r w:rsidR="00EB3F4C">
        <w:t xml:space="preserve">, </w:t>
      </w:r>
      <w:r w:rsidR="00097D5F">
        <w:t xml:space="preserve">and </w:t>
      </w:r>
      <w:r w:rsidR="00EB3F4C">
        <w:t xml:space="preserve">where </w:t>
      </w:r>
      <w:r w:rsidR="00277389">
        <w:t>economic benefits</w:t>
      </w:r>
      <w:r w:rsidR="008B5194">
        <w:t xml:space="preserve"> </w:t>
      </w:r>
      <w:r w:rsidR="00386656">
        <w:t xml:space="preserve">can be </w:t>
      </w:r>
      <w:r w:rsidR="008B5194">
        <w:t>found</w:t>
      </w:r>
      <w:r w:rsidR="00EB3F4C">
        <w:t xml:space="preserve"> with the </w:t>
      </w:r>
      <w:r w:rsidR="00277389">
        <w:t>co-</w:t>
      </w:r>
      <w:r w:rsidR="00EB3F4C">
        <w:t xml:space="preserve">destruction of </w:t>
      </w:r>
      <w:r w:rsidR="009D3424">
        <w:t xml:space="preserve">a range of </w:t>
      </w:r>
      <w:r w:rsidR="00097D5F">
        <w:t xml:space="preserve">other wastes, such as </w:t>
      </w:r>
      <w:r w:rsidR="00777E86">
        <w:t>persistent organic pollutants (</w:t>
      </w:r>
      <w:r w:rsidR="00097D5F">
        <w:t>POPs</w:t>
      </w:r>
      <w:r w:rsidR="00777E86">
        <w:t>)</w:t>
      </w:r>
      <w:r w:rsidR="009D3424">
        <w:t>.</w:t>
      </w:r>
      <w:r w:rsidR="00901112">
        <w:t xml:space="preserve"> </w:t>
      </w:r>
    </w:p>
    <w:p w14:paraId="76618E57" w14:textId="6A804493" w:rsidR="00B90430" w:rsidRDefault="00B90430" w:rsidP="00C36595">
      <w:r>
        <w:t xml:space="preserve">Most destruction facilities are </w:t>
      </w:r>
      <w:r w:rsidR="00F4384C">
        <w:t>concentrated</w:t>
      </w:r>
      <w:r>
        <w:t xml:space="preserve"> in developed co</w:t>
      </w:r>
      <w:r w:rsidR="00F4384C">
        <w:t xml:space="preserve">untries, predominantly the </w:t>
      </w:r>
      <w:r w:rsidR="00012476">
        <w:t>European Union</w:t>
      </w:r>
      <w:r w:rsidR="00F4384C">
        <w:t xml:space="preserve">, Japan, and the United States. </w:t>
      </w:r>
      <w:r w:rsidR="006E2DA9">
        <w:t xml:space="preserve">Developing countries are </w:t>
      </w:r>
      <w:r w:rsidR="00944863">
        <w:t>establishing and expanding their destruction capacities, e.g., Brazil, Cuba, and Mexico.</w:t>
      </w:r>
      <w:r w:rsidR="002762DB">
        <w:t xml:space="preserve"> </w:t>
      </w:r>
    </w:p>
    <w:p w14:paraId="2060BF4B" w14:textId="2BC2B142" w:rsidR="00541A0E" w:rsidRDefault="00FE1D6B" w:rsidP="00C36595">
      <w:r>
        <w:t>D</w:t>
      </w:r>
      <w:r w:rsidRPr="00944863">
        <w:t xml:space="preserve">epending on the technology, </w:t>
      </w:r>
      <w:r>
        <w:t>d</w:t>
      </w:r>
      <w:r w:rsidR="00944863" w:rsidRPr="00944863">
        <w:t>estruction capacities per facility range between 40 to 600 tonnes/year</w:t>
      </w:r>
      <w:r>
        <w:t xml:space="preserve"> </w:t>
      </w:r>
      <w:r w:rsidR="00944863" w:rsidRPr="00944863">
        <w:t xml:space="preserve">with average </w:t>
      </w:r>
      <w:r w:rsidR="002035F6">
        <w:t xml:space="preserve">destruction </w:t>
      </w:r>
      <w:r w:rsidR="00944863" w:rsidRPr="00944863">
        <w:t xml:space="preserve">costs of about </w:t>
      </w:r>
      <w:r w:rsidR="005915C7" w:rsidRPr="00944863">
        <w:t>US$</w:t>
      </w:r>
      <w:r w:rsidR="00944863" w:rsidRPr="00944863">
        <w:t>7/kg</w:t>
      </w:r>
      <w:r w:rsidR="002035F6">
        <w:rPr>
          <w:rStyle w:val="FootnoteReference"/>
        </w:rPr>
        <w:footnoteReference w:id="154"/>
      </w:r>
      <w:r w:rsidR="00067CE9">
        <w:t>.</w:t>
      </w:r>
      <w:r w:rsidRPr="00FE1D6B">
        <w:t xml:space="preserve"> </w:t>
      </w:r>
      <w:r w:rsidR="00F956F5">
        <w:t xml:space="preserve">An evaluation of pilot demonstration projects </w:t>
      </w:r>
      <w:r w:rsidR="009871EC">
        <w:t>in Article 5 parties for</w:t>
      </w:r>
      <w:r w:rsidR="00F956F5">
        <w:t xml:space="preserve"> ODS disposal and destruction indicated </w:t>
      </w:r>
      <w:r w:rsidR="00FD6F0A">
        <w:t xml:space="preserve">average </w:t>
      </w:r>
      <w:r w:rsidR="00F956F5">
        <w:t>cost-effectiveness</w:t>
      </w:r>
      <w:r w:rsidR="00F956F5" w:rsidRPr="00F956F5">
        <w:t xml:space="preserve"> </w:t>
      </w:r>
      <w:r w:rsidR="00F956F5">
        <w:t>of a similar magnitude</w:t>
      </w:r>
      <w:r w:rsidR="00F956F5">
        <w:rPr>
          <w:rStyle w:val="FootnoteReference"/>
        </w:rPr>
        <w:footnoteReference w:id="155"/>
      </w:r>
      <w:r w:rsidR="00067CE9">
        <w:t>.</w:t>
      </w:r>
      <w:r w:rsidR="00F956F5">
        <w:t xml:space="preserve"> </w:t>
      </w:r>
    </w:p>
    <w:p w14:paraId="70990060" w14:textId="4ACC72E6" w:rsidR="00F73E0B" w:rsidRDefault="006850D4" w:rsidP="00C36595">
      <w:r>
        <w:t xml:space="preserve">Destruction costs represent </w:t>
      </w:r>
      <w:r w:rsidR="00512F1C">
        <w:t xml:space="preserve">a minor proportion of total costs of recovery and destruction, with </w:t>
      </w:r>
      <w:r w:rsidR="00C23414">
        <w:t xml:space="preserve">recovery costs </w:t>
      </w:r>
      <w:r w:rsidR="00A87B09">
        <w:t xml:space="preserve">being </w:t>
      </w:r>
      <w:r w:rsidR="00C23414">
        <w:t>the major portion and dependent on</w:t>
      </w:r>
      <w:r w:rsidR="009B0E0F">
        <w:t xml:space="preserve"> factors such as the sector waste type</w:t>
      </w:r>
      <w:r w:rsidR="00C15BD2">
        <w:t>, infrastructure,</w:t>
      </w:r>
      <w:r w:rsidR="0043205E">
        <w:t xml:space="preserve"> logistics,</w:t>
      </w:r>
      <w:r w:rsidR="00FB31AC">
        <w:t xml:space="preserve"> and transport distances.</w:t>
      </w:r>
      <w:r w:rsidR="007933BC">
        <w:t xml:space="preserve"> </w:t>
      </w:r>
    </w:p>
    <w:p w14:paraId="0EC028B4" w14:textId="52A13B86" w:rsidR="00D7203B" w:rsidRDefault="00E0217D" w:rsidP="00D7203B">
      <w:r>
        <w:t xml:space="preserve">It is also important to </w:t>
      </w:r>
      <w:r w:rsidR="001337C0">
        <w:t>appreciate</w:t>
      </w:r>
      <w:r>
        <w:t xml:space="preserve"> that </w:t>
      </w:r>
      <w:r w:rsidR="00DE4712">
        <w:t>the recovery and destruction of waste foam is essentially considered to be a broader waste management issue</w:t>
      </w:r>
      <w:r w:rsidR="00D80A51">
        <w:t xml:space="preserve">, with ODS emissions needing to be managed within </w:t>
      </w:r>
      <w:r w:rsidR="001337C0">
        <w:t xml:space="preserve">a range of </w:t>
      </w:r>
      <w:r w:rsidR="00D80A51">
        <w:t>other waste management considerations.</w:t>
      </w:r>
      <w:r w:rsidR="00A64639">
        <w:t xml:space="preserve"> </w:t>
      </w:r>
      <w:r w:rsidR="00914055">
        <w:t xml:space="preserve">Foams </w:t>
      </w:r>
      <w:r w:rsidR="001337C0">
        <w:t>might</w:t>
      </w:r>
      <w:r w:rsidR="00914055">
        <w:t xml:space="preserve"> have some </w:t>
      </w:r>
      <w:r w:rsidR="00B81876">
        <w:t xml:space="preserve">small </w:t>
      </w:r>
      <w:r w:rsidR="00914055">
        <w:t>value as waste derived fuel</w:t>
      </w:r>
      <w:r w:rsidR="00CE14D1">
        <w:t>; however, the foam waste mass will be a low proport</w:t>
      </w:r>
      <w:r w:rsidR="0057752A">
        <w:t xml:space="preserve">ion of the waste feed, e.g., to a cement kiln, </w:t>
      </w:r>
      <w:r w:rsidR="008047A2">
        <w:t xml:space="preserve">and </w:t>
      </w:r>
      <w:r w:rsidR="0057752A">
        <w:t xml:space="preserve">therefore its relative contribution </w:t>
      </w:r>
      <w:r w:rsidR="00AA7899">
        <w:t>will</w:t>
      </w:r>
      <w:r w:rsidR="0057752A">
        <w:t xml:space="preserve"> be small </w:t>
      </w:r>
      <w:r w:rsidR="008047A2">
        <w:t xml:space="preserve">or </w:t>
      </w:r>
      <w:r w:rsidR="00AA7899">
        <w:t xml:space="preserve">not </w:t>
      </w:r>
      <w:r w:rsidR="008047A2">
        <w:t xml:space="preserve">significant as a qualified contribution for fossil fuel replacement. </w:t>
      </w:r>
      <w:r w:rsidR="00D7203B" w:rsidRPr="00406D32">
        <w:t>With long building lifetimes, the drivers for recovery and destruction of building insulation foams may change over time.</w:t>
      </w:r>
      <w:r w:rsidR="00D7203B" w:rsidRPr="00161F72">
        <w:t xml:space="preserve"> </w:t>
      </w:r>
      <w:r w:rsidR="00D7203B" w:rsidRPr="00132BBC">
        <w:t>The evolution of net zero carbon requirements and the circular economy may improve cost effectiveness and end-of-life choices.</w:t>
      </w:r>
    </w:p>
    <w:p w14:paraId="63F68FD2" w14:textId="5EA55E1D" w:rsidR="0032525C" w:rsidRDefault="006D0E5B" w:rsidP="00C36595">
      <w:r>
        <w:t>In voluntary carbon markets, t</w:t>
      </w:r>
      <w:r w:rsidR="004103A3">
        <w:t xml:space="preserve">here is </w:t>
      </w:r>
      <w:r w:rsidR="00D233AE">
        <w:t>an</w:t>
      </w:r>
      <w:r w:rsidR="004103A3">
        <w:t xml:space="preserve"> opportunity for ODS (and HFC) recovery and destruction in the offsetting of Scope 3 </w:t>
      </w:r>
      <w:r w:rsidR="004432F6">
        <w:t xml:space="preserve">greenhouse gas </w:t>
      </w:r>
      <w:r w:rsidR="004103A3">
        <w:t xml:space="preserve">emissions within construction product supply chains. </w:t>
      </w:r>
      <w:r w:rsidR="00F205FD">
        <w:t>Th</w:t>
      </w:r>
      <w:r w:rsidR="00FA6080">
        <w:t xml:space="preserve">e impacts of the total lifecycle emissions </w:t>
      </w:r>
      <w:r w:rsidR="00C20527">
        <w:t xml:space="preserve">must </w:t>
      </w:r>
      <w:r w:rsidR="006B2079">
        <w:t>be accounted for</w:t>
      </w:r>
      <w:r w:rsidR="00282956">
        <w:t xml:space="preserve"> as Scope 3 emissions</w:t>
      </w:r>
      <w:r w:rsidR="006B2079">
        <w:t xml:space="preserve"> </w:t>
      </w:r>
      <w:r w:rsidR="004432F6">
        <w:t>in the year of manufacture</w:t>
      </w:r>
      <w:r w:rsidR="009C54C8">
        <w:t>, according to the current Greenhouse Gas Protocol</w:t>
      </w:r>
      <w:r w:rsidR="00282956">
        <w:t>.</w:t>
      </w:r>
      <w:r w:rsidR="004432F6">
        <w:t xml:space="preserve"> </w:t>
      </w:r>
      <w:r w:rsidR="00D84C22">
        <w:t xml:space="preserve">For decommissioned foams, these </w:t>
      </w:r>
      <w:r w:rsidR="00F04977">
        <w:t>could</w:t>
      </w:r>
      <w:r w:rsidR="00D84C22">
        <w:t xml:space="preserve"> be considered as an offset to stimulate </w:t>
      </w:r>
      <w:r w:rsidR="00F04977">
        <w:t>extended producer responsibility</w:t>
      </w:r>
      <w:r w:rsidR="00530258">
        <w:t xml:space="preserve"> and for those seeking to reduce their net carbon footprints</w:t>
      </w:r>
      <w:r w:rsidR="00F04977">
        <w:t xml:space="preserve">. </w:t>
      </w:r>
    </w:p>
    <w:p w14:paraId="6B5ACB5E" w14:textId="6A1D844B" w:rsidR="00B67483" w:rsidRPr="00683340" w:rsidRDefault="00BB7186" w:rsidP="008542F5">
      <w:r>
        <w:lastRenderedPageBreak/>
        <w:t xml:space="preserve">The </w:t>
      </w:r>
      <w:r w:rsidR="00B67483">
        <w:t>M</w:t>
      </w:r>
      <w:r>
        <w:t xml:space="preserve">edical and </w:t>
      </w:r>
      <w:r w:rsidR="00B67483">
        <w:t>C</w:t>
      </w:r>
      <w:r>
        <w:t xml:space="preserve">hemicals </w:t>
      </w:r>
      <w:r w:rsidR="00B67483">
        <w:t>TOC will report further in its 2022 Assessment Report about</w:t>
      </w:r>
      <w:r w:rsidR="00F4780A">
        <w:t xml:space="preserve"> opportunities for ODS</w:t>
      </w:r>
      <w:r w:rsidR="00A02576">
        <w:t xml:space="preserve"> and </w:t>
      </w:r>
      <w:r w:rsidR="00F4780A">
        <w:t>HFC</w:t>
      </w:r>
      <w:r w:rsidR="00B67483">
        <w:t xml:space="preserve"> </w:t>
      </w:r>
      <w:r w:rsidR="00154932">
        <w:t xml:space="preserve">collection and </w:t>
      </w:r>
      <w:r w:rsidR="00B67483">
        <w:t>destruction.</w:t>
      </w:r>
    </w:p>
    <w:p w14:paraId="1EA6940B" w14:textId="77777777" w:rsidR="00F7494C" w:rsidRPr="008542F5" w:rsidRDefault="00F7494C" w:rsidP="008542F5">
      <w:pPr>
        <w:rPr>
          <w:lang w:val="en-US"/>
        </w:rPr>
      </w:pPr>
    </w:p>
    <w:p w14:paraId="795D57E6" w14:textId="77777777" w:rsidR="008542F5" w:rsidRDefault="008542F5" w:rsidP="008542F5">
      <w:pPr>
        <w:rPr>
          <w:lang w:val="en-US"/>
        </w:rPr>
        <w:sectPr w:rsidR="008542F5" w:rsidSect="00542FD2">
          <w:pgSz w:w="11907" w:h="16839" w:code="9"/>
          <w:pgMar w:top="1701" w:right="1797" w:bottom="1871" w:left="1797" w:header="720" w:footer="794" w:gutter="0"/>
          <w:cols w:space="720"/>
          <w:docGrid w:linePitch="299"/>
        </w:sectPr>
      </w:pPr>
    </w:p>
    <w:p w14:paraId="09A2A517" w14:textId="0E755B46" w:rsidR="00D94B22" w:rsidRPr="003D0D2E" w:rsidRDefault="008542F5" w:rsidP="00E112A7">
      <w:pPr>
        <w:pStyle w:val="AppendixHeading"/>
      </w:pPr>
      <w:bookmarkStart w:id="188" w:name="_Toc73045643"/>
      <w:r w:rsidRPr="003D0D2E">
        <w:lastRenderedPageBreak/>
        <w:t>Appendix</w:t>
      </w:r>
      <w:r w:rsidR="00725450" w:rsidRPr="003D0D2E">
        <w:t xml:space="preserve"> </w:t>
      </w:r>
      <w:r w:rsidR="00651E26" w:rsidRPr="003D0D2E">
        <w:t>1</w:t>
      </w:r>
      <w:r w:rsidR="00AA1A8F" w:rsidRPr="003D0D2E">
        <w:t>:</w:t>
      </w:r>
      <w:r w:rsidR="00225058">
        <w:tab/>
      </w:r>
      <w:bookmarkEnd w:id="136"/>
      <w:bookmarkEnd w:id="137"/>
      <w:bookmarkEnd w:id="138"/>
      <w:bookmarkEnd w:id="139"/>
      <w:bookmarkEnd w:id="140"/>
      <w:bookmarkEnd w:id="141"/>
      <w:r w:rsidR="001D7C4C" w:rsidRPr="003D0D2E">
        <w:t xml:space="preserve">Summary of 2019 Task Force </w:t>
      </w:r>
      <w:r w:rsidR="00150401" w:rsidRPr="003D0D2E">
        <w:t>R</w:t>
      </w:r>
      <w:r w:rsidR="001D7C4C" w:rsidRPr="003D0D2E">
        <w:t>eport findings</w:t>
      </w:r>
      <w:bookmarkEnd w:id="188"/>
    </w:p>
    <w:p w14:paraId="6817F03A" w14:textId="4D620B63" w:rsidR="00957A13" w:rsidRPr="00155378" w:rsidRDefault="00BA6800" w:rsidP="00155378">
      <w:pPr>
        <w:rPr>
          <w:b/>
          <w:bCs/>
        </w:rPr>
      </w:pPr>
      <w:r w:rsidRPr="00155378">
        <w:rPr>
          <w:b/>
          <w:bCs/>
        </w:rPr>
        <w:t xml:space="preserve">2019 Task Force </w:t>
      </w:r>
      <w:r w:rsidR="00150401" w:rsidRPr="00155378">
        <w:rPr>
          <w:b/>
          <w:bCs/>
        </w:rPr>
        <w:t>R</w:t>
      </w:r>
      <w:r w:rsidRPr="00155378">
        <w:rPr>
          <w:b/>
          <w:bCs/>
        </w:rPr>
        <w:t xml:space="preserve">eport: </w:t>
      </w:r>
      <w:r w:rsidR="00957A13" w:rsidRPr="00155378">
        <w:rPr>
          <w:b/>
          <w:bCs/>
        </w:rPr>
        <w:t>Key Messages</w:t>
      </w:r>
    </w:p>
    <w:p w14:paraId="7967D488" w14:textId="160637B8" w:rsidR="00957A13" w:rsidRDefault="00957A13" w:rsidP="005A44F1">
      <w:r>
        <w:t>In response to scientific findings of an unexpected increase in global emissions of CFC-11 after 2012, parties requested the Technology and Economic Assessment Panel (TEAP) to provide them with relevant information on potential sources of emissions of CFC-11 and related controlled substances.</w:t>
      </w:r>
    </w:p>
    <w:p w14:paraId="1F516217" w14:textId="5F190742" w:rsidR="00957A13" w:rsidRDefault="00957A13" w:rsidP="005A44F1">
      <w:r>
        <w:t>Based on modelling of CFC-11 production, usage, emissions and comparison against atmospheric-derived emissions, it is unlikely that past production and historic usage can account for the unexpected CFC-11 emissions, including from existing foam banks.</w:t>
      </w:r>
    </w:p>
    <w:p w14:paraId="102CC96D" w14:textId="46504C6E" w:rsidR="00957A13" w:rsidRDefault="00957A13" w:rsidP="005A44F1">
      <w:r>
        <w:t>It is unlikely that there has been a resumption of newly produced CFC-11 usage in refrigeration and air-conditioning uses, flexible foams, aerosols, solvents, feedstock uses, tobacco expansion and other miscellaneous applications.</w:t>
      </w:r>
      <w:r w:rsidR="00A64639">
        <w:t xml:space="preserve"> </w:t>
      </w:r>
    </w:p>
    <w:p w14:paraId="21380F80" w14:textId="1671687A" w:rsidR="00957A13" w:rsidRDefault="00957A13" w:rsidP="005A44F1">
      <w:r>
        <w:t>It is likely that there has been a resumption of newly produced CFC-11 usage in closed-cell foams.</w:t>
      </w:r>
    </w:p>
    <w:p w14:paraId="7EB75E1D" w14:textId="03698DC8" w:rsidR="00957A13" w:rsidRDefault="00957A13" w:rsidP="005A44F1">
      <w:r>
        <w:t xml:space="preserve">There are a number of economic drivers that might have encouraged the reversion to CFC-11 in closed-cell or rigid foam, including price increases and reduced availability of HCFC-141b due to the global phase-out. Reversion from HCFC-141b to CFC-11 can be made with technical ease. </w:t>
      </w:r>
    </w:p>
    <w:p w14:paraId="5BA27CB7" w14:textId="1ACE7526" w:rsidR="00957A13" w:rsidRDefault="00957A13" w:rsidP="005A44F1">
      <w:r>
        <w:t xml:space="preserve">Based on modelling using reported CFC-11 production data, it seems that the expected emissions from the CFC-11 foam banks in Northeast Asia are insufficient to account for the atmospheric-derived emissions from eastern mainland China in Rigby </w:t>
      </w:r>
      <w:r w:rsidRPr="002D3784">
        <w:rPr>
          <w:i/>
          <w:iCs/>
        </w:rPr>
        <w:t>et al.</w:t>
      </w:r>
    </w:p>
    <w:p w14:paraId="03974DD4" w14:textId="19AC13D6" w:rsidR="00957A13" w:rsidRDefault="00957A13" w:rsidP="005A44F1">
      <w:r>
        <w:t xml:space="preserve">Various parties imported up to 7,500 tonnes per year HCFC-141b in foam systems. Foam systems could be mislabelled and used by a recipient without knowing what blowing agent is in the system. </w:t>
      </w:r>
    </w:p>
    <w:p w14:paraId="5E916D38" w14:textId="33960233" w:rsidR="00957A13" w:rsidRDefault="00957A13" w:rsidP="005A44F1">
      <w:r>
        <w:t>The “most likely” modelling scenario predicts 40,000 to 70,000 tonnes per year CFC-11 production would have been required from 2012 onwards to account for the increased CFC-11 emissions.</w:t>
      </w:r>
    </w:p>
    <w:p w14:paraId="0C17E7D2" w14:textId="36690F06" w:rsidR="00957A13" w:rsidRDefault="00957A13" w:rsidP="005A44F1">
      <w:r>
        <w:t>The most likely production routes are CTC to CFC-11 on micro-scale plants using minimal equipment (to make low grade CFC-11 for foam blowing use); and CTC to CFC-11/12 on a large-scale in an existing liquid phase plant (HCFC-22 and/or HFC-32 plant).</w:t>
      </w:r>
    </w:p>
    <w:p w14:paraId="0C251B0A" w14:textId="7DF53ACE" w:rsidR="00957A13" w:rsidRDefault="00957A13" w:rsidP="005A44F1">
      <w:r>
        <w:t>Between 45,000 to 120,000 tonnes of CTC would be required to supply between 40,000 to 70,000 tonnes of CFC-11 production, depending on the proportion of co-produced CFC-12. The CTC quantity required for CFC-11 production is expected to be at the lower end of the range if, as predicted, the objective is higher CFC-11 selectivity.</w:t>
      </w:r>
    </w:p>
    <w:p w14:paraId="24ABB6C1" w14:textId="3629CAB9" w:rsidR="6C7EC4CF" w:rsidRDefault="00957A13" w:rsidP="005A44F1">
      <w:r>
        <w:t>The quantity of CFC-12 co-produced as a result of any CFC-11 production is dependent on the exact production option chosen, and how the plant is set up and operated. With CFC-11 as the target chemical, for the most likely production routes, the range of CFC-12 co-production is between 0-30% of total CFC-11/12 production.</w:t>
      </w:r>
    </w:p>
    <w:p w14:paraId="6205241C" w14:textId="77777777" w:rsidR="00FA6FC7" w:rsidRPr="00BA6800" w:rsidRDefault="00FA6FC7" w:rsidP="00BA6800">
      <w:pPr>
        <w:rPr>
          <w:color w:val="201F1E"/>
          <w:szCs w:val="22"/>
          <w:shd w:val="clear" w:color="auto" w:fill="FFFFFF"/>
          <w:lang w:val="en-AU" w:eastAsia="en-US"/>
        </w:rPr>
      </w:pPr>
    </w:p>
    <w:p w14:paraId="75EA1CBD" w14:textId="77777777" w:rsidR="00150401" w:rsidRDefault="00150401">
      <w:pPr>
        <w:pStyle w:val="Heading1"/>
        <w:sectPr w:rsidR="00150401" w:rsidSect="009345EE">
          <w:type w:val="oddPage"/>
          <w:pgSz w:w="11907" w:h="16839" w:code="9"/>
          <w:pgMar w:top="1701" w:right="1797" w:bottom="1871" w:left="1797" w:header="720" w:footer="794" w:gutter="0"/>
          <w:cols w:space="720"/>
          <w:docGrid w:linePitch="299"/>
        </w:sectPr>
      </w:pPr>
    </w:p>
    <w:p w14:paraId="79DA1849" w14:textId="63B5F92F" w:rsidR="00AD4B2A" w:rsidRPr="00360ED9" w:rsidRDefault="00CD0A17">
      <w:pPr>
        <w:pStyle w:val="AppendixHeading"/>
      </w:pPr>
      <w:bookmarkStart w:id="189" w:name="_Toc73045644"/>
      <w:r w:rsidRPr="00360ED9">
        <w:lastRenderedPageBreak/>
        <w:t>Appendix 2:</w:t>
      </w:r>
      <w:r w:rsidR="00225058">
        <w:tab/>
      </w:r>
      <w:r w:rsidR="00074E64" w:rsidRPr="006C6CC5">
        <w:t>Model description</w:t>
      </w:r>
      <w:bookmarkEnd w:id="189"/>
    </w:p>
    <w:p w14:paraId="57A9F682" w14:textId="34513FF8" w:rsidR="7C3A8241" w:rsidRPr="00360ED9" w:rsidRDefault="7C3A8241" w:rsidP="003D0D2E">
      <w:pPr>
        <w:rPr>
          <w:lang w:val="en-US"/>
        </w:rPr>
      </w:pPr>
      <w:r w:rsidRPr="00360ED9">
        <w:rPr>
          <w:lang w:val="en-US"/>
        </w:rPr>
        <w:t xml:space="preserve">To produce an estimate of emissions, the model uses a number of assumptions regarding emissions losses during the charging, operation and decommissioning of chillers, releases during the foam blowing process and during the life of the foam </w:t>
      </w:r>
      <w:r w:rsidRPr="00360ED9">
        <w:rPr>
          <w:i/>
          <w:lang w:val="en-US"/>
        </w:rPr>
        <w:t xml:space="preserve">in situ </w:t>
      </w:r>
      <w:r w:rsidRPr="00360ED9">
        <w:rPr>
          <w:lang w:val="en-US"/>
        </w:rPr>
        <w:t>as well as the use of aerosols, and solvents. CFC-11 is emitted very quickly when used as in aerosols, as a cleaning agent, or in tobacco expansion (emissive uses). For closed-cell foams and chillers, only a fraction of CFC-11 is emitted upon installation. The remaining chemical remains in the CFC-11 bank and is gradually emitted in subsequent years. This time-series approach is the typical model for all foam types and allows differing assumptions to be applied depending on the foam type, thickness and cell properties.</w:t>
      </w:r>
    </w:p>
    <w:p w14:paraId="049C3118" w14:textId="12EABFA7" w:rsidR="7C3A8241" w:rsidRPr="00360ED9" w:rsidRDefault="7C3A8241" w:rsidP="003D0D2E">
      <w:pPr>
        <w:rPr>
          <w:lang w:val="en-US"/>
        </w:rPr>
      </w:pPr>
      <w:r w:rsidRPr="00360ED9">
        <w:rPr>
          <w:lang w:val="en-US"/>
        </w:rPr>
        <w:t>CFC-11 banks are calculated using this “</w:t>
      </w:r>
      <w:r w:rsidR="0097547F">
        <w:rPr>
          <w:lang w:val="en-US"/>
        </w:rPr>
        <w:t>inventory-based</w:t>
      </w:r>
      <w:r w:rsidRPr="00360ED9">
        <w:rPr>
          <w:lang w:val="en-US"/>
        </w:rPr>
        <w:t>” approach as an important part of CFC-11 emissions in future years. The banks can be described as “active” banks where CFC-11 is still in use in foam insulation, chillers or other uses. Meanwhile, banks are described as “inactive” at the end-of-life of the product when they enter the waste stream (i.e., foams in landfills or remaining CFC-11 in an aerosol can). Other terms that are used to describe banks are “accessible” meaning that the CFC-11 could be relatively easily collected and destroyed or recovered at a cost. Inaccessible banks describe CFC-11 that would be difficult to recover (i.e., from a landfill). Not all inactive banks are inaccessible.</w:t>
      </w:r>
    </w:p>
    <w:p w14:paraId="11926F8E" w14:textId="3C2EA0AF" w:rsidR="7C3A8241" w:rsidRPr="00360ED9" w:rsidRDefault="7C3A8241" w:rsidP="006C6CC5">
      <w:pPr>
        <w:rPr>
          <w:lang w:val="en-US"/>
        </w:rPr>
      </w:pPr>
      <w:r w:rsidRPr="00360ED9">
        <w:rPr>
          <w:lang w:val="en-US"/>
        </w:rPr>
        <w:t>The Task Force uses a “</w:t>
      </w:r>
      <w:r w:rsidR="0097547F">
        <w:rPr>
          <w:lang w:val="en-US"/>
        </w:rPr>
        <w:t>inventory-based</w:t>
      </w:r>
      <w:r w:rsidRPr="00360ED9">
        <w:rPr>
          <w:lang w:val="en-US"/>
        </w:rPr>
        <w:t>” emissions model to estimate the magnitude of CFC-11 emissions and banks. The model relies on the reported production of CFC-11 and then applies a range of educated assumptions that were developed based on the existing literature and refined following extensive discussions with industry experts. The “</w:t>
      </w:r>
      <w:r w:rsidR="0097547F">
        <w:rPr>
          <w:lang w:val="en-US"/>
        </w:rPr>
        <w:t>inventory-based</w:t>
      </w:r>
      <w:r w:rsidRPr="00360ED9">
        <w:rPr>
          <w:lang w:val="en-US"/>
        </w:rPr>
        <w:t xml:space="preserve">” emissions that are produced by the model are then compared to the derived global atmospheric emissions to check the model’s ability to describe the atmospheric observations. </w:t>
      </w:r>
    </w:p>
    <w:p w14:paraId="2239FE43" w14:textId="1F0D4C78" w:rsidR="7C3A8241" w:rsidRPr="00360ED9" w:rsidRDefault="7C3A8241" w:rsidP="003D0D2E">
      <w:r w:rsidRPr="00360ED9">
        <w:rPr>
          <w:color w:val="000000" w:themeColor="text1"/>
          <w:lang w:val="en-US"/>
        </w:rPr>
        <w:t>Emissions model parameters relate to CFC-11 production, installation (e.g., into foams or chillers) and disposal at end-of-life.</w:t>
      </w:r>
    </w:p>
    <w:p w14:paraId="2D5BB421" w14:textId="7D90D9D2" w:rsidR="7C3A8241" w:rsidRPr="00360ED9" w:rsidRDefault="7C3A8241" w:rsidP="00EC50A8">
      <w:pPr>
        <w:pStyle w:val="ListParagraph"/>
        <w:numPr>
          <w:ilvl w:val="0"/>
          <w:numId w:val="65"/>
        </w:numPr>
      </w:pPr>
      <w:r w:rsidRPr="00360ED9">
        <w:t>Production: emissions from chemical plants during production, maintenance, drum heel and packaging</w:t>
      </w:r>
      <w:r w:rsidR="000161F3">
        <w:t>,</w:t>
      </w:r>
      <w:r w:rsidRPr="00360ED9">
        <w:t xml:space="preserve"> </w:t>
      </w:r>
    </w:p>
    <w:p w14:paraId="6A3A8DFC" w14:textId="317F14CE" w:rsidR="7C3A8241" w:rsidRPr="00360ED9" w:rsidRDefault="7C3A8241" w:rsidP="005B0C17">
      <w:pPr>
        <w:pStyle w:val="ListParagraph"/>
        <w:numPr>
          <w:ilvl w:val="0"/>
          <w:numId w:val="65"/>
        </w:numPr>
      </w:pPr>
      <w:r w:rsidRPr="00360ED9">
        <w:t xml:space="preserve">Installation: de minimis emissions when charging chillers, emissions from the foaming process, and discharge of a propellant in aerosol products or as a solvent; and, </w:t>
      </w:r>
    </w:p>
    <w:p w14:paraId="5B5FD2FA" w14:textId="3A0AC515" w:rsidR="7C3A8241" w:rsidRPr="00360ED9" w:rsidRDefault="7C3A8241" w:rsidP="008A7FD4">
      <w:pPr>
        <w:pStyle w:val="ListParagraph"/>
        <w:numPr>
          <w:ilvl w:val="0"/>
          <w:numId w:val="65"/>
        </w:numPr>
      </w:pPr>
      <w:r w:rsidRPr="00360ED9">
        <w:t>Banks: emissions during a product’s lifetime (active banks) as well as at the end-of-life when the foam product or the chillers are landfilled, recycled or destroyed (inactive banks). CFC-11 from banks leak gradually to the atmosphere or leak abruptly when refrigerant is vented or partially released when foam is shredded or crushed.</w:t>
      </w:r>
    </w:p>
    <w:p w14:paraId="55F57EE4" w14:textId="63D71F55" w:rsidR="7C3A8241" w:rsidRPr="00360ED9" w:rsidRDefault="7C3A8241" w:rsidP="00074E64">
      <w:r w:rsidRPr="00360ED9">
        <w:rPr>
          <w:lang w:val="en-US"/>
        </w:rPr>
        <w:t>In the “</w:t>
      </w:r>
      <w:r w:rsidR="0097547F">
        <w:rPr>
          <w:lang w:val="en-US"/>
        </w:rPr>
        <w:t>inventory-based</w:t>
      </w:r>
      <w:r w:rsidRPr="00360ED9">
        <w:rPr>
          <w:lang w:val="en-US"/>
        </w:rPr>
        <w:t xml:space="preserve">” calculation of the bank size, the bank is divided into three sectors: chillers, closed-cell (rigid) foams and emissive uses (open-cell foams, aerosols and solvents). </w:t>
      </w:r>
    </w:p>
    <w:p w14:paraId="443F116C" w14:textId="0BC0B9AD" w:rsidR="7C3A8241" w:rsidRPr="00360ED9" w:rsidRDefault="7C3A8241" w:rsidP="00074E64">
      <w:pPr>
        <w:rPr>
          <w:lang w:val="en-US"/>
        </w:rPr>
      </w:pPr>
      <w:r w:rsidRPr="00360ED9">
        <w:rPr>
          <w:lang w:val="en-US"/>
        </w:rPr>
        <w:t xml:space="preserve">Emissions during production vary significantly from plant to plant and are dependent on operating conditions, system setup and handling. An outline assessment of the likely CFC-11 emission points and rates from a large-scale CFC-11 production facility suggests that a 4-6% CFC-11 emission would be a reasonable base case for production emission assumptions, and account for variations in production emission rates over the time period for which data is </w:t>
      </w:r>
      <w:r w:rsidRPr="00360ED9">
        <w:rPr>
          <w:lang w:val="en-US"/>
        </w:rPr>
        <w:lastRenderedPageBreak/>
        <w:t xml:space="preserve">available, from 1930 onwards. This assumption is also consistent with the current draft refinements to the IPCC estimate of the default emission rate for fluorocarbon production. For smaller scale, less sophisticated production plants (micro plants), where there are likely to be fewer process steps and recovery systems, and more manual operations, an overall CFC-11 emission rate of 10-15% is considered a reasonable assumption. </w:t>
      </w:r>
    </w:p>
    <w:p w14:paraId="76E2599C" w14:textId="390139B6" w:rsidR="7C3A8241" w:rsidRDefault="7C3A8241" w:rsidP="00074E64">
      <w:pPr>
        <w:rPr>
          <w:lang w:val="en-US"/>
        </w:rPr>
      </w:pPr>
      <w:r w:rsidRPr="00360ED9">
        <w:rPr>
          <w:lang w:val="en-US"/>
        </w:rPr>
        <w:t xml:space="preserve">The Task Force investigated a range of scenarios the assumptions for which are shown in the </w:t>
      </w:r>
      <w:r w:rsidR="00384963">
        <w:rPr>
          <w:lang w:val="en-US"/>
        </w:rPr>
        <w:t>Table</w:t>
      </w:r>
      <w:r w:rsidRPr="00360ED9">
        <w:rPr>
          <w:lang w:val="en-US"/>
        </w:rPr>
        <w:t xml:space="preserve"> below. These parameters produce the graphs shown in section 2.4.</w:t>
      </w:r>
    </w:p>
    <w:p w14:paraId="70DF0415" w14:textId="4ED9DDD7" w:rsidR="00603854" w:rsidRPr="00F07529" w:rsidRDefault="00603854" w:rsidP="00CA7412">
      <w:pPr>
        <w:pStyle w:val="FigureandTableTitle"/>
      </w:pPr>
      <w:r w:rsidRPr="00F07529">
        <w:t>Table A1</w:t>
      </w:r>
      <w:r w:rsidR="00BF0640" w:rsidRPr="00F07529">
        <w:t>.1</w:t>
      </w:r>
      <w:r w:rsidR="00F07529">
        <w:tab/>
      </w:r>
      <w:r w:rsidR="00E325B0">
        <w:t>Inventory-based</w:t>
      </w:r>
      <w:r w:rsidR="003547D1" w:rsidRPr="00F07529">
        <w:t xml:space="preserve"> model assumptions without regional and </w:t>
      </w:r>
      <w:r w:rsidR="009D2A67" w:rsidRPr="00F07529">
        <w:t>product assumptions.</w:t>
      </w:r>
    </w:p>
    <w:p w14:paraId="13C48DE4" w14:textId="7F956F58" w:rsidR="7C3A8241" w:rsidRPr="00360ED9" w:rsidRDefault="716AC02A" w:rsidP="7514ECD5">
      <w:pPr>
        <w:spacing w:line="257" w:lineRule="auto"/>
        <w:rPr>
          <w:szCs w:val="22"/>
        </w:rPr>
      </w:pPr>
      <w:r>
        <w:rPr>
          <w:noProof/>
        </w:rPr>
        <w:drawing>
          <wp:inline distT="0" distB="0" distL="0" distR="0" wp14:anchorId="0D9555F5" wp14:editId="0D35C138">
            <wp:extent cx="5133976" cy="3295650"/>
            <wp:effectExtent l="0" t="0" r="0" b="0"/>
            <wp:docPr id="1245437827" name="Picture 1245437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437827"/>
                    <pic:cNvPicPr/>
                  </pic:nvPicPr>
                  <pic:blipFill>
                    <a:blip r:embed="rId61">
                      <a:extLst>
                        <a:ext uri="{28A0092B-C50C-407E-A947-70E740481C1C}">
                          <a14:useLocalDpi xmlns:a14="http://schemas.microsoft.com/office/drawing/2010/main" val="0"/>
                        </a:ext>
                      </a:extLst>
                    </a:blip>
                    <a:stretch>
                      <a:fillRect/>
                    </a:stretch>
                  </pic:blipFill>
                  <pic:spPr>
                    <a:xfrm>
                      <a:off x="0" y="0"/>
                      <a:ext cx="5133976" cy="3295650"/>
                    </a:xfrm>
                    <a:prstGeom prst="rect">
                      <a:avLst/>
                    </a:prstGeom>
                  </pic:spPr>
                </pic:pic>
              </a:graphicData>
            </a:graphic>
          </wp:inline>
        </w:drawing>
      </w:r>
    </w:p>
    <w:p w14:paraId="40E1C911" w14:textId="17205268" w:rsidR="00074E64" w:rsidRDefault="6A4EABDB" w:rsidP="6A4EABDB">
      <w:pPr>
        <w:spacing w:line="257" w:lineRule="auto"/>
        <w:rPr>
          <w:rFonts w:eastAsia="Calibri"/>
          <w:b/>
          <w:szCs w:val="22"/>
          <w:lang w:val="en-US"/>
        </w:rPr>
      </w:pPr>
      <w:r w:rsidRPr="00360ED9">
        <w:rPr>
          <w:rFonts w:eastAsia="Calibri"/>
          <w:b/>
          <w:szCs w:val="22"/>
          <w:lang w:val="en-US"/>
        </w:rPr>
        <w:t>Sensitivity analysis of the CFC-11 emissions “</w:t>
      </w:r>
      <w:r w:rsidR="0097547F">
        <w:rPr>
          <w:rFonts w:eastAsia="Calibri"/>
          <w:b/>
          <w:szCs w:val="22"/>
          <w:lang w:val="en-US"/>
        </w:rPr>
        <w:t>inventory-based</w:t>
      </w:r>
      <w:r w:rsidRPr="00360ED9">
        <w:rPr>
          <w:rFonts w:eastAsia="Calibri"/>
          <w:b/>
          <w:szCs w:val="22"/>
          <w:lang w:val="en-US"/>
        </w:rPr>
        <w:t>” model</w:t>
      </w:r>
    </w:p>
    <w:p w14:paraId="20A561FF" w14:textId="4E061654" w:rsidR="6A4EABDB" w:rsidRPr="00360ED9" w:rsidRDefault="6A4EABDB" w:rsidP="00074E64">
      <w:pPr>
        <w:rPr>
          <w:lang w:val="en-US"/>
        </w:rPr>
      </w:pPr>
      <w:r w:rsidRPr="00360ED9">
        <w:rPr>
          <w:lang w:val="en-US"/>
        </w:rPr>
        <w:t>In the “</w:t>
      </w:r>
      <w:r w:rsidR="0097547F">
        <w:rPr>
          <w:lang w:val="en-US"/>
        </w:rPr>
        <w:t>inventory-based</w:t>
      </w:r>
      <w:r w:rsidRPr="00360ED9">
        <w:rPr>
          <w:lang w:val="en-US"/>
        </w:rPr>
        <w:t xml:space="preserve">” calculation of the bank size, the bank is divided into three sectors: chillers, closed-cell foams and emissive uses (open-cell foams, aerosols, etc.). Production and installation emission rates and bank emission rates were estimated based on industry knowledge and literature. </w:t>
      </w:r>
    </w:p>
    <w:p w14:paraId="0537C5F0" w14:textId="7F0FCEA9" w:rsidR="6A4EABDB" w:rsidRPr="00360ED9" w:rsidRDefault="6A4EABDB" w:rsidP="00074E64">
      <w:pPr>
        <w:rPr>
          <w:lang w:val="en-US"/>
        </w:rPr>
      </w:pPr>
      <w:r w:rsidRPr="00360ED9">
        <w:rPr>
          <w:lang w:val="en-US"/>
        </w:rPr>
        <w:t xml:space="preserve">To evaluate the importance of specific parameters in estimating atmospheric emissions through 2016. Each parameter was increased by 10%. The sensitivity of the model is shown in the </w:t>
      </w:r>
      <w:r w:rsidR="00384963">
        <w:rPr>
          <w:lang w:val="en-US"/>
        </w:rPr>
        <w:t>Table</w:t>
      </w:r>
      <w:r w:rsidRPr="00360ED9">
        <w:rPr>
          <w:lang w:val="en-US"/>
        </w:rPr>
        <w:t xml:space="preserve"> below. </w:t>
      </w:r>
    </w:p>
    <w:p w14:paraId="7FDC8770" w14:textId="5A937758" w:rsidR="009D2A67" w:rsidRPr="00360ED9" w:rsidRDefault="009D2A67" w:rsidP="00CA7412">
      <w:pPr>
        <w:pStyle w:val="FigureandTableTitle"/>
        <w:rPr>
          <w:lang w:val="en-US"/>
        </w:rPr>
      </w:pPr>
      <w:r>
        <w:rPr>
          <w:lang w:val="en-US"/>
        </w:rPr>
        <w:lastRenderedPageBreak/>
        <w:t>Table A1.2</w:t>
      </w:r>
      <w:r w:rsidR="00F07529">
        <w:rPr>
          <w:lang w:val="en-US"/>
        </w:rPr>
        <w:tab/>
      </w:r>
      <w:r>
        <w:rPr>
          <w:lang w:val="en-US"/>
        </w:rPr>
        <w:t xml:space="preserve">Sensitivity analysis parameter considered in the </w:t>
      </w:r>
      <w:r w:rsidR="00E325B0">
        <w:rPr>
          <w:lang w:val="en-US"/>
        </w:rPr>
        <w:t>inventory-based</w:t>
      </w:r>
      <w:r>
        <w:rPr>
          <w:lang w:val="en-US"/>
        </w:rPr>
        <w:t xml:space="preserve"> model without regional and product assumptions.</w:t>
      </w:r>
    </w:p>
    <w:p w14:paraId="6792BFE7" w14:textId="6B621DBE" w:rsidR="6A4EABDB" w:rsidRPr="00360ED9" w:rsidRDefault="6A4EABDB" w:rsidP="00074E64">
      <w:r>
        <w:rPr>
          <w:noProof/>
        </w:rPr>
        <w:drawing>
          <wp:inline distT="0" distB="0" distL="0" distR="0" wp14:anchorId="6F39206D" wp14:editId="1D3C5900">
            <wp:extent cx="5276852" cy="1952624"/>
            <wp:effectExtent l="0" t="0" r="0" b="0"/>
            <wp:docPr id="359265748" name="Picture 35926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265748"/>
                    <pic:cNvPicPr/>
                  </pic:nvPicPr>
                  <pic:blipFill>
                    <a:blip r:embed="rId62">
                      <a:extLst>
                        <a:ext uri="{28A0092B-C50C-407E-A947-70E740481C1C}">
                          <a14:useLocalDpi xmlns:a14="http://schemas.microsoft.com/office/drawing/2010/main" val="0"/>
                        </a:ext>
                      </a:extLst>
                    </a:blip>
                    <a:stretch>
                      <a:fillRect/>
                    </a:stretch>
                  </pic:blipFill>
                  <pic:spPr>
                    <a:xfrm>
                      <a:off x="0" y="0"/>
                      <a:ext cx="5276852" cy="1952624"/>
                    </a:xfrm>
                    <a:prstGeom prst="rect">
                      <a:avLst/>
                    </a:prstGeom>
                  </pic:spPr>
                </pic:pic>
              </a:graphicData>
            </a:graphic>
          </wp:inline>
        </w:drawing>
      </w:r>
    </w:p>
    <w:p w14:paraId="41D1BFC8" w14:textId="77777777" w:rsidR="00F07529" w:rsidRDefault="00F07529" w:rsidP="004D0638">
      <w:pPr>
        <w:rPr>
          <w:lang w:val="en-US"/>
        </w:rPr>
      </w:pPr>
    </w:p>
    <w:p w14:paraId="4A6D8B63" w14:textId="1888592D" w:rsidR="004D0638" w:rsidRPr="004D0638" w:rsidRDefault="6A4EABDB" w:rsidP="004D0638">
      <w:pPr>
        <w:rPr>
          <w:lang w:val="en-US"/>
        </w:rPr>
      </w:pPr>
      <w:r w:rsidRPr="00120375">
        <w:rPr>
          <w:lang w:val="en-US"/>
        </w:rPr>
        <w:t xml:space="preserve">The emissions predicted by the model are particularly sensitive to the assumptions made regarding the level of potential increased production over the years (i.e., where production was assumed to be higher than reported), the installation emissions rates, as well as the emissions rates from rigid foam banks. In the later years, the model is also sensitive to the lifetime of chillers and foams as well as the emissions rate from the inactive foam bank. The full range of uncertainty has not been probed here, but the calculations are illustrative of expected </w:t>
      </w:r>
      <w:proofErr w:type="spellStart"/>
      <w:r w:rsidRPr="00120375">
        <w:rPr>
          <w:lang w:val="en-US"/>
        </w:rPr>
        <w:t>behavio</w:t>
      </w:r>
      <w:r w:rsidR="00475781" w:rsidRPr="00120375">
        <w:rPr>
          <w:lang w:val="en-US"/>
        </w:rPr>
        <w:t>u</w:t>
      </w:r>
      <w:r w:rsidRPr="00120375">
        <w:rPr>
          <w:lang w:val="en-US"/>
        </w:rPr>
        <w:t>r</w:t>
      </w:r>
      <w:proofErr w:type="spellEnd"/>
      <w:r w:rsidRPr="00120375">
        <w:rPr>
          <w:lang w:val="en-US"/>
        </w:rPr>
        <w:t>.</w:t>
      </w:r>
      <w:r w:rsidRPr="00360ED9">
        <w:rPr>
          <w:lang w:val="en-US"/>
        </w:rPr>
        <w:t xml:space="preserve"> </w:t>
      </w:r>
      <w:r w:rsidRPr="00120375">
        <w:rPr>
          <w:lang w:val="en-US"/>
        </w:rPr>
        <w:t>Even with the limited uncertainty tests, the range in calculated recent emissions is large.</w:t>
      </w:r>
      <w:r w:rsidRPr="00360ED9">
        <w:rPr>
          <w:lang w:val="en-US"/>
        </w:rPr>
        <w:t xml:space="preserve"> However, none of the scenarios align with the recent emissions increase. Therefore, based on the broad range of scenarios examined, it seems unlikely that previous production and historic usage can account for the recent emissions rise unless there has been a significant change in the treatment of a large volume of banked CFC-11.</w:t>
      </w:r>
    </w:p>
    <w:p w14:paraId="233C9D70" w14:textId="1C78178B" w:rsidR="00F56605" w:rsidRPr="00043208" w:rsidRDefault="00F56605" w:rsidP="00074E64">
      <w:r w:rsidRPr="526AD263">
        <w:t>The rate of decline of both emissions and bank size is substantial post-2007. Looking at the source of emissions</w:t>
      </w:r>
      <w:r w:rsidR="00BD6E1C">
        <w:t>,</w:t>
      </w:r>
      <w:r w:rsidRPr="526AD263">
        <w:t xml:space="preserve"> </w:t>
      </w:r>
      <w:r w:rsidR="00BD6E1C">
        <w:t>the model indicates</w:t>
      </w:r>
      <w:r w:rsidRPr="526AD263">
        <w:t xml:space="preserve"> that the decline is largely driven by active bank emissions as well as emissions during the dismantling process of</w:t>
      </w:r>
      <w:r>
        <w:t xml:space="preserve"> chillers and foams</w:t>
      </w:r>
      <w:r w:rsidRPr="526AD263">
        <w:t xml:space="preserve">. The rate of decline in the active bank is dominate by the decline in the </w:t>
      </w:r>
      <w:r w:rsidR="002D6454">
        <w:t>closed-cell</w:t>
      </w:r>
      <w:r w:rsidRPr="526AD263">
        <w:t xml:space="preserve"> foam bank emissions and to a lesser degree the chiller bank emissions.</w:t>
      </w:r>
      <w:r>
        <w:t xml:space="preserve"> </w:t>
      </w:r>
    </w:p>
    <w:p w14:paraId="2A5D6768" w14:textId="1FA79C45" w:rsidR="004A3930" w:rsidRDefault="2FE2C3C9" w:rsidP="00120375">
      <w:pPr>
        <w:pStyle w:val="FigureandTableTitle"/>
      </w:pPr>
      <w:r>
        <w:lastRenderedPageBreak/>
        <w:t>Figure A.2.1</w:t>
      </w:r>
      <w:r w:rsidR="00DB09E3">
        <w:tab/>
      </w:r>
      <w:r>
        <w:t>CFC-11 emissions by source (</w:t>
      </w:r>
      <w:proofErr w:type="spellStart"/>
      <w:r>
        <w:t>kilotonnes</w:t>
      </w:r>
      <w:proofErr w:type="spellEnd"/>
      <w:r>
        <w:t>)</w:t>
      </w:r>
      <w:r w:rsidR="009D23AC">
        <w:rPr>
          <w:rStyle w:val="FootnoteReference"/>
        </w:rPr>
        <w:footnoteReference w:id="156"/>
      </w:r>
    </w:p>
    <w:p w14:paraId="19AC5BF6" w14:textId="46A10584" w:rsidR="00DB09E3" w:rsidRDefault="00DB09E3" w:rsidP="00DB09E3">
      <w:pPr>
        <w:rPr>
          <w:color w:val="000000" w:themeColor="text1"/>
          <w:szCs w:val="22"/>
        </w:rPr>
      </w:pPr>
      <w:r>
        <w:rPr>
          <w:noProof/>
        </w:rPr>
        <w:drawing>
          <wp:inline distT="0" distB="0" distL="0" distR="0" wp14:anchorId="607F6F89" wp14:editId="0E582022">
            <wp:extent cx="5276852" cy="4019550"/>
            <wp:effectExtent l="0" t="0" r="0" b="0"/>
            <wp:docPr id="298669056" name="Picture 29866905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669056"/>
                    <pic:cNvPicPr/>
                  </pic:nvPicPr>
                  <pic:blipFill>
                    <a:blip r:embed="rId63">
                      <a:extLst>
                        <a:ext uri="{28A0092B-C50C-407E-A947-70E740481C1C}">
                          <a14:useLocalDpi xmlns:a14="http://schemas.microsoft.com/office/drawing/2010/main" val="0"/>
                        </a:ext>
                      </a:extLst>
                    </a:blip>
                    <a:stretch>
                      <a:fillRect/>
                    </a:stretch>
                  </pic:blipFill>
                  <pic:spPr>
                    <a:xfrm>
                      <a:off x="0" y="0"/>
                      <a:ext cx="5276852" cy="4019550"/>
                    </a:xfrm>
                    <a:prstGeom prst="rect">
                      <a:avLst/>
                    </a:prstGeom>
                  </pic:spPr>
                </pic:pic>
              </a:graphicData>
            </a:graphic>
          </wp:inline>
        </w:drawing>
      </w:r>
    </w:p>
    <w:p w14:paraId="0450B940" w14:textId="77777777" w:rsidR="00DB09E3" w:rsidRDefault="00DB09E3" w:rsidP="00DB09E3"/>
    <w:p w14:paraId="27DF7E4E" w14:textId="005CF846" w:rsidR="00DB09E3" w:rsidRDefault="00DB09E3" w:rsidP="00DB09E3">
      <w:r w:rsidRPr="526AD263">
        <w:t>The decline in the total bank volume is dominated by the decline in the active foam bank</w:t>
      </w:r>
      <w:r w:rsidR="00120375">
        <w:t>, which is</w:t>
      </w:r>
      <w:r w:rsidRPr="526AD263">
        <w:t xml:space="preserve"> expected since large amount</w:t>
      </w:r>
      <w:r w:rsidR="00120375">
        <w:t>s</w:t>
      </w:r>
      <w:r w:rsidRPr="526AD263">
        <w:t xml:space="preserve"> of closed-cell foams reach their end of life and are dismantled during that period. The decline in the bank size is also a result of a declining active chiller bank.</w:t>
      </w:r>
    </w:p>
    <w:p w14:paraId="43FD36B3" w14:textId="587FFCA4" w:rsidR="00DB09E3" w:rsidRDefault="00DB09E3" w:rsidP="00DB09E3">
      <w:pPr>
        <w:pStyle w:val="FigureandTableTitle"/>
      </w:pPr>
      <w:r>
        <w:lastRenderedPageBreak/>
        <w:t xml:space="preserve">Figure </w:t>
      </w:r>
      <w:r w:rsidR="00C443F4">
        <w:t>A.2.2</w:t>
      </w:r>
      <w:r w:rsidR="005A78B3">
        <w:tab/>
      </w:r>
      <w:r>
        <w:t>CFC-11 banks by type (</w:t>
      </w:r>
      <w:proofErr w:type="spellStart"/>
      <w:r>
        <w:t>kilotonnes</w:t>
      </w:r>
      <w:proofErr w:type="spellEnd"/>
      <w:r>
        <w:t>)</w:t>
      </w:r>
      <w:r w:rsidR="009D23AC">
        <w:rPr>
          <w:rStyle w:val="FootnoteReference"/>
        </w:rPr>
        <w:footnoteReference w:id="157"/>
      </w:r>
    </w:p>
    <w:p w14:paraId="64284BFD" w14:textId="77777777" w:rsidR="00DB09E3" w:rsidRDefault="00DB09E3" w:rsidP="00DB09E3">
      <w:pPr>
        <w:rPr>
          <w:color w:val="000000" w:themeColor="text1"/>
          <w:szCs w:val="22"/>
        </w:rPr>
      </w:pPr>
      <w:r>
        <w:rPr>
          <w:noProof/>
        </w:rPr>
        <w:drawing>
          <wp:inline distT="0" distB="0" distL="0" distR="0" wp14:anchorId="19855E7A" wp14:editId="30898515">
            <wp:extent cx="5276852" cy="3714750"/>
            <wp:effectExtent l="0" t="0" r="0" b="0"/>
            <wp:docPr id="298669057" name="Picture 298669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669057"/>
                    <pic:cNvPicPr/>
                  </pic:nvPicPr>
                  <pic:blipFill>
                    <a:blip r:embed="rId64">
                      <a:extLst>
                        <a:ext uri="{28A0092B-C50C-407E-A947-70E740481C1C}">
                          <a14:useLocalDpi xmlns:a14="http://schemas.microsoft.com/office/drawing/2010/main" val="0"/>
                        </a:ext>
                      </a:extLst>
                    </a:blip>
                    <a:stretch>
                      <a:fillRect/>
                    </a:stretch>
                  </pic:blipFill>
                  <pic:spPr>
                    <a:xfrm>
                      <a:off x="0" y="0"/>
                      <a:ext cx="5276852" cy="3714750"/>
                    </a:xfrm>
                    <a:prstGeom prst="rect">
                      <a:avLst/>
                    </a:prstGeom>
                  </pic:spPr>
                </pic:pic>
              </a:graphicData>
            </a:graphic>
          </wp:inline>
        </w:drawing>
      </w:r>
    </w:p>
    <w:p w14:paraId="78F81661" w14:textId="77777777" w:rsidR="00DB09E3" w:rsidRDefault="00DB09E3" w:rsidP="009F7BDD">
      <w:pPr>
        <w:spacing w:after="0"/>
        <w:rPr>
          <w:color w:val="000000" w:themeColor="text1"/>
          <w:szCs w:val="22"/>
        </w:rPr>
      </w:pPr>
    </w:p>
    <w:p w14:paraId="06F8B47D" w14:textId="5FD97E1B" w:rsidR="0097547F" w:rsidRDefault="0097547F" w:rsidP="0097547F">
      <w:r>
        <w:rPr>
          <w:lang w:val="en-US" w:eastAsia="fr-FR"/>
        </w:rPr>
        <w:t xml:space="preserve">The Task Force also estimated emissions and banks based on individual regional and foam sector estimates of emissions rates and sales based on the 2006 Flexible and Rigid Foams Technical Options Committee (FTOC) Assessment Report and latest research of lifetime of equipment and buildings containing foams. These models were created to better respond to the requests by the parties for information regarding which products might still contain CFC-11 and where those products may be located. More detail is discussed in Chapter 5. The graphs below also include the output of those models. </w:t>
      </w:r>
      <w:r w:rsidR="0054763F">
        <w:t xml:space="preserve"> The blue line in the emissions graph shows the slightly lower peak in the </w:t>
      </w:r>
      <w:r w:rsidR="00E16B78">
        <w:t>1980s and slightly higher curve from 2006</w:t>
      </w:r>
      <w:r w:rsidR="0047640A">
        <w:t xml:space="preserve">. </w:t>
      </w:r>
      <w:r>
        <w:rPr>
          <w:lang w:val="en-US" w:eastAsia="fr-FR"/>
        </w:rPr>
        <w:t>The</w:t>
      </w:r>
      <w:r w:rsidR="00B578A9">
        <w:rPr>
          <w:lang w:val="en-US" w:eastAsia="fr-FR"/>
        </w:rPr>
        <w:t xml:space="preserve"> </w:t>
      </w:r>
      <w:r w:rsidR="00352671">
        <w:rPr>
          <w:lang w:val="en-US" w:eastAsia="fr-FR"/>
        </w:rPr>
        <w:t>emissions</w:t>
      </w:r>
      <w:r w:rsidR="00B578A9">
        <w:rPr>
          <w:lang w:val="en-US" w:eastAsia="fr-FR"/>
        </w:rPr>
        <w:t xml:space="preserve"> curves</w:t>
      </w:r>
      <w:r>
        <w:rPr>
          <w:lang w:val="en-US" w:eastAsia="fr-FR"/>
        </w:rPr>
        <w:t xml:space="preserve"> are very similar showing that the </w:t>
      </w:r>
      <w:r w:rsidR="00B578A9">
        <w:rPr>
          <w:lang w:val="en-US" w:eastAsia="fr-FR"/>
        </w:rPr>
        <w:t xml:space="preserve">model is most influenced by other parameters such as </w:t>
      </w:r>
      <w:r w:rsidR="00AB1833">
        <w:rPr>
          <w:lang w:val="en-US" w:eastAsia="fr-FR"/>
        </w:rPr>
        <w:t>use of CFC-11 in emissive products</w:t>
      </w:r>
      <w:r>
        <w:rPr>
          <w:lang w:val="en-US" w:eastAsia="fr-FR"/>
        </w:rPr>
        <w:t xml:space="preserve"> </w:t>
      </w:r>
      <w:r w:rsidR="00AB1833">
        <w:rPr>
          <w:lang w:val="en-US" w:eastAsia="fr-FR"/>
        </w:rPr>
        <w:t xml:space="preserve">prior to 2006 </w:t>
      </w:r>
      <w:r>
        <w:rPr>
          <w:lang w:val="en-US" w:eastAsia="fr-FR"/>
        </w:rPr>
        <w:t xml:space="preserve">and that the overall average </w:t>
      </w:r>
      <w:r w:rsidR="00AB1833">
        <w:rPr>
          <w:lang w:val="en-US" w:eastAsia="fr-FR"/>
        </w:rPr>
        <w:t>lifetime model</w:t>
      </w:r>
      <w:r>
        <w:rPr>
          <w:lang w:val="en-US" w:eastAsia="fr-FR"/>
        </w:rPr>
        <w:t xml:space="preserve"> is a reasonable proxy for the Task Force assumptions for emissions.</w:t>
      </w:r>
      <w:r w:rsidR="0076055D">
        <w:rPr>
          <w:lang w:val="en-US" w:eastAsia="fr-FR"/>
        </w:rPr>
        <w:t xml:space="preserve"> </w:t>
      </w:r>
    </w:p>
    <w:p w14:paraId="330F29ED" w14:textId="123A0478" w:rsidR="004F018A" w:rsidRPr="004F018A" w:rsidRDefault="0097547F" w:rsidP="004F018A">
      <w:r>
        <w:t>Although the overall banks from the various models are similar, the timing of retirement of products containing CFC-11 (chillers and foams) varies in the different models</w:t>
      </w:r>
      <w:r>
        <w:rPr>
          <w:rStyle w:val="FootnoteReference"/>
        </w:rPr>
        <w:footnoteReference w:id="158"/>
      </w:r>
      <w:r>
        <w:t>.</w:t>
      </w:r>
      <w:r w:rsidR="0076055D">
        <w:t xml:space="preserve"> </w:t>
      </w:r>
      <w:r w:rsidR="00550E11">
        <w:t>The sectoral, regional inventory model has a larger bank than the single lifetime bank until 2050, as shown below.</w:t>
      </w:r>
    </w:p>
    <w:p w14:paraId="07C4D00E" w14:textId="5EEB9727" w:rsidR="001C7C82" w:rsidRPr="00132BBC" w:rsidRDefault="002550D4" w:rsidP="006F2CE0">
      <w:pPr>
        <w:pStyle w:val="FigureandTableTitle"/>
      </w:pPr>
      <w:r w:rsidRPr="00132BBC">
        <w:lastRenderedPageBreak/>
        <w:t>Figure A.2.3</w:t>
      </w:r>
      <w:r w:rsidRPr="00132BBC">
        <w:tab/>
        <w:t>Banks incorporating regional and sectoral analysis (</w:t>
      </w:r>
      <w:proofErr w:type="spellStart"/>
      <w:r w:rsidRPr="00132BBC">
        <w:t>kilotonnes</w:t>
      </w:r>
      <w:proofErr w:type="spellEnd"/>
      <w:r w:rsidRPr="00132BBC">
        <w:t>)</w:t>
      </w:r>
      <w:r w:rsidR="009D23AC">
        <w:rPr>
          <w:rStyle w:val="FootnoteReference"/>
        </w:rPr>
        <w:footnoteReference w:id="159"/>
      </w:r>
    </w:p>
    <w:p w14:paraId="0BBE2ADB" w14:textId="35C7BA7C" w:rsidR="00860AAA" w:rsidRDefault="00860AAA" w:rsidP="0097547F">
      <w:r w:rsidRPr="00860AAA">
        <w:rPr>
          <w:noProof/>
        </w:rPr>
        <w:drawing>
          <wp:inline distT="0" distB="0" distL="0" distR="0" wp14:anchorId="4496B55A" wp14:editId="413B3E24">
            <wp:extent cx="5278755" cy="30988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78755" cy="3098800"/>
                    </a:xfrm>
                    <a:prstGeom prst="rect">
                      <a:avLst/>
                    </a:prstGeom>
                  </pic:spPr>
                </pic:pic>
              </a:graphicData>
            </a:graphic>
          </wp:inline>
        </w:drawing>
      </w:r>
    </w:p>
    <w:p w14:paraId="4A49F75F" w14:textId="77777777" w:rsidR="006F2CE0" w:rsidRDefault="006F2CE0" w:rsidP="0097547F"/>
    <w:p w14:paraId="403AE14A" w14:textId="69A89F40" w:rsidR="00642EC5" w:rsidRDefault="00642EC5" w:rsidP="00642EC5">
      <w:pPr>
        <w:pStyle w:val="FigureandTableTitle"/>
      </w:pPr>
      <w:r>
        <w:t>Figure A.2.</w:t>
      </w:r>
      <w:r w:rsidR="002550D4">
        <w:t>4</w:t>
      </w:r>
      <w:r w:rsidR="005A78B3">
        <w:tab/>
      </w:r>
      <w:r w:rsidR="008D46C7">
        <w:t>Emissions incorporating regional and sectoral analysis (</w:t>
      </w:r>
      <w:proofErr w:type="spellStart"/>
      <w:r w:rsidR="008D46C7">
        <w:t>kilotonnes</w:t>
      </w:r>
      <w:proofErr w:type="spellEnd"/>
      <w:r w:rsidR="008D46C7">
        <w:t>)</w:t>
      </w:r>
      <w:r w:rsidR="009D23AC">
        <w:rPr>
          <w:rStyle w:val="FootnoteReference"/>
        </w:rPr>
        <w:footnoteReference w:id="160"/>
      </w:r>
    </w:p>
    <w:p w14:paraId="67C833C3" w14:textId="0FFE0389" w:rsidR="0097547F" w:rsidRDefault="00D36F4D" w:rsidP="0097547F">
      <w:r w:rsidRPr="000A7046">
        <w:rPr>
          <w:noProof/>
          <w:lang w:val="en-US"/>
        </w:rPr>
        <w:drawing>
          <wp:inline distT="0" distB="0" distL="0" distR="0" wp14:anchorId="5B86348F" wp14:editId="1D334914">
            <wp:extent cx="5278755" cy="2680335"/>
            <wp:effectExtent l="0" t="0" r="4445" b="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pic:nvPicPr>
                  <pic:blipFill>
                    <a:blip r:embed="rId66"/>
                    <a:stretch>
                      <a:fillRect/>
                    </a:stretch>
                  </pic:blipFill>
                  <pic:spPr>
                    <a:xfrm>
                      <a:off x="0" y="0"/>
                      <a:ext cx="5278755" cy="2680335"/>
                    </a:xfrm>
                    <a:prstGeom prst="rect">
                      <a:avLst/>
                    </a:prstGeom>
                  </pic:spPr>
                </pic:pic>
              </a:graphicData>
            </a:graphic>
          </wp:inline>
        </w:drawing>
      </w:r>
    </w:p>
    <w:p w14:paraId="01BF0EED" w14:textId="77777777" w:rsidR="00DB09E3" w:rsidRPr="00360ED9" w:rsidRDefault="00DB09E3" w:rsidP="00074E64">
      <w:pPr>
        <w:rPr>
          <w:lang w:val="en-US"/>
        </w:rPr>
      </w:pPr>
    </w:p>
    <w:p w14:paraId="4609E095" w14:textId="38D5EE38" w:rsidR="009268EA" w:rsidRDefault="009268EA">
      <w:pPr>
        <w:spacing w:after="0"/>
        <w:rPr>
          <w:rFonts w:eastAsia="Calibri"/>
          <w:szCs w:val="22"/>
          <w:lang w:val="en-US"/>
        </w:rPr>
      </w:pPr>
    </w:p>
    <w:p w14:paraId="2F016078" w14:textId="4BB91AAA" w:rsidR="00074E64" w:rsidRDefault="00074E64">
      <w:pPr>
        <w:pStyle w:val="Heading1"/>
        <w:sectPr w:rsidR="00074E64" w:rsidSect="009345EE">
          <w:type w:val="oddPage"/>
          <w:pgSz w:w="11907" w:h="16839" w:code="9"/>
          <w:pgMar w:top="1701" w:right="1797" w:bottom="1871" w:left="1797" w:header="720" w:footer="794" w:gutter="0"/>
          <w:cols w:space="720"/>
          <w:docGrid w:linePitch="299"/>
        </w:sectPr>
      </w:pPr>
    </w:p>
    <w:p w14:paraId="4929F86E" w14:textId="1CDF19D6" w:rsidR="00ED291C" w:rsidRPr="00074E64" w:rsidRDefault="009268EA">
      <w:pPr>
        <w:pStyle w:val="AppendixHeading"/>
      </w:pPr>
      <w:bookmarkStart w:id="190" w:name="_Toc73045645"/>
      <w:r w:rsidRPr="00074E64">
        <w:lastRenderedPageBreak/>
        <w:t>Appendix 3:</w:t>
      </w:r>
      <w:r w:rsidR="00225058">
        <w:tab/>
      </w:r>
      <w:r w:rsidR="00EB12BB" w:rsidRPr="00074E64">
        <w:t xml:space="preserve">Product </w:t>
      </w:r>
      <w:r w:rsidR="00074E64" w:rsidRPr="00074E64">
        <w:t>lifetimes in the global and regional models</w:t>
      </w:r>
      <w:bookmarkEnd w:id="190"/>
    </w:p>
    <w:p w14:paraId="6A2C7AC3" w14:textId="00D699B6" w:rsidR="00ED291C" w:rsidRPr="00360ED9" w:rsidRDefault="00ED291C" w:rsidP="00074E64">
      <w:r w:rsidRPr="00360ED9">
        <w:t>Due to the very large body o</w:t>
      </w:r>
      <w:r w:rsidR="006C6680" w:rsidRPr="00360ED9">
        <w:t>f</w:t>
      </w:r>
      <w:r w:rsidRPr="00360ED9">
        <w:t xml:space="preserve"> modelling work in previous reports, a simplifying assumption was made for the lifetime of products containing CFC-11 using average lifetimes. An average lifetime was used in the global </w:t>
      </w:r>
      <w:r w:rsidR="002D55C4" w:rsidRPr="00360ED9">
        <w:t xml:space="preserve">model </w:t>
      </w:r>
      <w:r w:rsidRPr="00360ED9">
        <w:t xml:space="preserve">and </w:t>
      </w:r>
      <w:r w:rsidR="002D55C4" w:rsidRPr="00360ED9">
        <w:t xml:space="preserve">average lifetimes were also used by foam type in the </w:t>
      </w:r>
      <w:r w:rsidRPr="00360ED9">
        <w:t xml:space="preserve">regional models instead of </w:t>
      </w:r>
      <w:r w:rsidR="00AF48EC" w:rsidRPr="00360ED9">
        <w:t>incorporating the variability</w:t>
      </w:r>
      <w:r w:rsidRPr="00360ED9">
        <w:t xml:space="preserve"> of chiller and </w:t>
      </w:r>
      <w:r w:rsidR="002D6454">
        <w:t>closed-cell</w:t>
      </w:r>
      <w:r w:rsidRPr="00360ED9">
        <w:t xml:space="preserve"> foam lifetimes. </w:t>
      </w:r>
    </w:p>
    <w:p w14:paraId="476E6CC5" w14:textId="60BBDFCF" w:rsidR="00ED291C" w:rsidRPr="00360ED9" w:rsidRDefault="00ED291C" w:rsidP="00474791">
      <w:r w:rsidRPr="0044555C">
        <w:t>The global and regional models now include probabilistic product lifetimes. Chillers, foam end-uses, and other CFC-co</w:t>
      </w:r>
      <w:r w:rsidRPr="00704AFA">
        <w:t xml:space="preserve">ntaining product retire at the </w:t>
      </w:r>
      <w:r w:rsidR="00700751" w:rsidRPr="00171BD0">
        <w:t>end-of-life</w:t>
      </w:r>
      <w:r w:rsidRPr="00964F19">
        <w:t>, but calculating this lifetime is a probabilistic function. Weibull functions</w:t>
      </w:r>
      <w:r w:rsidR="008A7207">
        <w:rPr>
          <w:rStyle w:val="FootnoteReference"/>
        </w:rPr>
        <w:footnoteReference w:id="161"/>
      </w:r>
      <w:r w:rsidRPr="0044555C">
        <w:t xml:space="preserve"> are a type of survival function used by many industries and researchers, including the U.S. Department of Energy</w:t>
      </w:r>
      <w:r w:rsidR="008A7207">
        <w:rPr>
          <w:rStyle w:val="FootnoteReference"/>
        </w:rPr>
        <w:footnoteReference w:id="162"/>
      </w:r>
      <w:r w:rsidRPr="0044555C">
        <w:t xml:space="preserve"> and the California Air Resources Board</w:t>
      </w:r>
      <w:r w:rsidR="008A7207">
        <w:rPr>
          <w:rStyle w:val="FootnoteReference"/>
        </w:rPr>
        <w:footnoteReference w:id="163"/>
      </w:r>
      <w:r w:rsidRPr="0044555C">
        <w:t>, to estimate product failure rates over time. Weibull curves can be fit to individual types of</w:t>
      </w:r>
      <w:r w:rsidRPr="00704AFA">
        <w:t xml:space="preserve"> products by defining a scale and shape of the function based on the average product</w:t>
      </w:r>
      <w:r w:rsidR="00A404E0" w:rsidRPr="00171BD0">
        <w:t xml:space="preserve"> </w:t>
      </w:r>
      <w:r w:rsidRPr="00964F19">
        <w:t>lifetime and the rate of product failure. Previous research on product lifetimes can be used to estimate its scale. The shape parameter is deduced by the rate at which product failure occurs. Analysis from the U.S. Department of Energy</w:t>
      </w:r>
      <w:r w:rsidR="008A7207">
        <w:rPr>
          <w:rStyle w:val="FootnoteReference"/>
        </w:rPr>
        <w:footnoteReference w:id="164"/>
      </w:r>
      <w:r w:rsidRPr="00474791">
        <w:t xml:space="preserve"> </w:t>
      </w:r>
      <w:r w:rsidRPr="0044555C">
        <w:t>found that a shape of 2 was appropriate for other types of HVACR equipment that use refrigerant, so equipment like chillers likely has a similar shape. These parameters can be tuned to increase</w:t>
      </w:r>
      <w:r w:rsidRPr="00704AFA" w:rsidDel="00ED114F">
        <w:t xml:space="preserve"> </w:t>
      </w:r>
      <w:r w:rsidRPr="00171BD0">
        <w:t>product failure accuracy and creat</w:t>
      </w:r>
      <w:r w:rsidRPr="00964F19">
        <w:t>e a useful distribution of retirement curves.</w:t>
      </w:r>
      <w:r w:rsidRPr="00360ED9">
        <w:t xml:space="preserve"> </w:t>
      </w:r>
    </w:p>
    <w:p w14:paraId="724FAAEA" w14:textId="77777777" w:rsidR="00ED291C" w:rsidRPr="00360ED9" w:rsidRDefault="00ED291C" w:rsidP="00074E64">
      <w:r w:rsidRPr="00360ED9">
        <w:t xml:space="preserve">The California Air Resources Board also uses Weibull functions to better estimate emissions from products containing hydrofluorocarbons (HFCs) and has generously shared their modelling strategy with the Task Force. </w:t>
      </w:r>
    </w:p>
    <w:p w14:paraId="4E388FB3" w14:textId="2285E377" w:rsidR="00F07529" w:rsidRDefault="00ED291C" w:rsidP="00074E64">
      <w:r w:rsidRPr="00360ED9">
        <w:t>Because product lifetime varies with time,</w:t>
      </w:r>
      <w:r w:rsidR="6BCD0B2F">
        <w:t xml:space="preserve"> 2-parameter</w:t>
      </w:r>
      <w:r w:rsidRPr="00360ED9">
        <w:t xml:space="preserve"> Weibull survival functions were applied to each year of product shipments and used to estimate a probabilistic distribution of surviving products at each year after shipment. The scale and shape parameters can also vary in each year to capture changes in technology and resulting product lifetimes. Each shipment year’s surviving equipment volume were summed to estimate that year’s total volume of remaining products and its associated CFC-11 volume.</w:t>
      </w:r>
      <w:r w:rsidR="0076055D">
        <w:t xml:space="preserve"> </w:t>
      </w:r>
      <w:r w:rsidR="6BCD0B2F">
        <w:t xml:space="preserve">Modifying the shape parameter skews the failure rate and dissociates the statistical </w:t>
      </w:r>
      <w:r w:rsidR="464EDDF5">
        <w:t>mean, median, and mode.</w:t>
      </w:r>
      <w:r w:rsidR="6BCD0B2F">
        <w:t xml:space="preserve"> This model's application assumed that the average lifetime was equal to the scale parameter to represent the median failure point of equipment.</w:t>
      </w:r>
      <w:r w:rsidR="464EDDF5">
        <w:t xml:space="preserve"> This new approach is meant to better represent the decommissioning of equipment and improve the accuracy of the aggregate emissions models. </w:t>
      </w:r>
      <w:r w:rsidR="3AA9DE1D">
        <w:t xml:space="preserve">An example of the Weibull application can be found </w:t>
      </w:r>
      <w:r w:rsidR="00812EF9">
        <w:t xml:space="preserve">in the </w:t>
      </w:r>
      <w:r w:rsidR="00487730">
        <w:t>Figure</w:t>
      </w:r>
      <w:r w:rsidR="00812EF9">
        <w:t xml:space="preserve"> </w:t>
      </w:r>
      <w:r w:rsidR="05B717DE">
        <w:t xml:space="preserve">below. </w:t>
      </w:r>
    </w:p>
    <w:p w14:paraId="3713538F" w14:textId="23A26AF5" w:rsidR="00D75CD3" w:rsidRDefault="05B717DE" w:rsidP="00CA7412">
      <w:pPr>
        <w:pStyle w:val="FigureandTableTitle"/>
      </w:pPr>
      <w:r w:rsidRPr="05B717DE">
        <w:lastRenderedPageBreak/>
        <w:t>Figure</w:t>
      </w:r>
      <w:r w:rsidR="00D75CD3">
        <w:t xml:space="preserve"> A.3.1</w:t>
      </w:r>
      <w:r w:rsidR="00F07529">
        <w:tab/>
      </w:r>
      <w:r w:rsidR="00812EF9">
        <w:t xml:space="preserve">Weibull Distribution </w:t>
      </w:r>
      <w:r w:rsidR="00A615F0">
        <w:t xml:space="preserve">differentiated by shape parameters. </w:t>
      </w:r>
    </w:p>
    <w:p w14:paraId="3DE1DE0F" w14:textId="1D10BE51" w:rsidR="00A615F0" w:rsidRPr="00043208" w:rsidRDefault="00A615F0" w:rsidP="00074E64">
      <w:pPr>
        <w:rPr>
          <w:b/>
          <w:bCs/>
        </w:rPr>
      </w:pPr>
      <w:r>
        <w:rPr>
          <w:noProof/>
        </w:rPr>
        <w:drawing>
          <wp:inline distT="0" distB="0" distL="0" distR="0" wp14:anchorId="2661ED3D" wp14:editId="5A184767">
            <wp:extent cx="4990292" cy="3742718"/>
            <wp:effectExtent l="0" t="0" r="1270" b="3810"/>
            <wp:docPr id="672262670" name="Picture 67226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262670"/>
                    <pic:cNvPicPr/>
                  </pic:nvPicPr>
                  <pic:blipFill>
                    <a:blip r:embed="rId67">
                      <a:extLst>
                        <a:ext uri="{28A0092B-C50C-407E-A947-70E740481C1C}">
                          <a14:useLocalDpi xmlns:a14="http://schemas.microsoft.com/office/drawing/2010/main" val="0"/>
                        </a:ext>
                      </a:extLst>
                    </a:blip>
                    <a:stretch>
                      <a:fillRect/>
                    </a:stretch>
                  </pic:blipFill>
                  <pic:spPr>
                    <a:xfrm>
                      <a:off x="0" y="0"/>
                      <a:ext cx="4990292" cy="3742718"/>
                    </a:xfrm>
                    <a:prstGeom prst="rect">
                      <a:avLst/>
                    </a:prstGeom>
                  </pic:spPr>
                </pic:pic>
              </a:graphicData>
            </a:graphic>
          </wp:inline>
        </w:drawing>
      </w:r>
    </w:p>
    <w:p w14:paraId="0DB17E53" w14:textId="6AA6BAA4" w:rsidR="6C7EC4CF" w:rsidRPr="00360ED9" w:rsidRDefault="6C7EC4CF" w:rsidP="00074E64">
      <w:pPr>
        <w:rPr>
          <w:rFonts w:eastAsia="Calibri"/>
          <w:color w:val="000000" w:themeColor="text1"/>
          <w:szCs w:val="22"/>
        </w:rPr>
      </w:pPr>
    </w:p>
    <w:p w14:paraId="0278AF4E" w14:textId="77777777" w:rsidR="00074E64" w:rsidRDefault="00074E64">
      <w:pPr>
        <w:pStyle w:val="Heading1"/>
        <w:sectPr w:rsidR="00074E64" w:rsidSect="009345EE">
          <w:type w:val="oddPage"/>
          <w:pgSz w:w="11907" w:h="16839" w:code="9"/>
          <w:pgMar w:top="1701" w:right="1797" w:bottom="1871" w:left="1797" w:header="720" w:footer="794" w:gutter="0"/>
          <w:cols w:space="720"/>
          <w:docGrid w:linePitch="299"/>
        </w:sectPr>
      </w:pPr>
    </w:p>
    <w:p w14:paraId="423FDE03" w14:textId="5BAFB309" w:rsidR="002D460B" w:rsidRPr="002D460B" w:rsidRDefault="002A7A3F">
      <w:pPr>
        <w:pStyle w:val="AppendixHeading"/>
      </w:pPr>
      <w:bookmarkStart w:id="191" w:name="_Toc73045646"/>
      <w:r>
        <w:lastRenderedPageBreak/>
        <w:t>Appendix 4</w:t>
      </w:r>
      <w:r w:rsidR="00074E64">
        <w:t>:</w:t>
      </w:r>
      <w:r w:rsidR="00132BBC">
        <w:tab/>
      </w:r>
      <w:r w:rsidR="009F58A2">
        <w:t xml:space="preserve">Foam </w:t>
      </w:r>
      <w:r w:rsidR="00074E64">
        <w:t>model assumptions</w:t>
      </w:r>
      <w:bookmarkEnd w:id="191"/>
    </w:p>
    <w:p w14:paraId="0725CD56" w14:textId="460A0819" w:rsidR="00EB78F2" w:rsidRDefault="00EB78F2" w:rsidP="00EB78F2">
      <w:r>
        <w:t>A Weibull distribution with a shape parameter of 3 was used for foams based on the 2009 American Housing Survey</w:t>
      </w:r>
      <w:r>
        <w:rPr>
          <w:rStyle w:val="FootnoteReference"/>
        </w:rPr>
        <w:footnoteReference w:id="165"/>
      </w:r>
      <w:r>
        <w:t xml:space="preserve"> except for the small foam market for refrigerated transport which used a shape parameter of 2 due to the very short timeline of containers</w:t>
      </w:r>
      <w:r w:rsidR="00B25265">
        <w:t xml:space="preserve"> where the higher shape parameter skewed the </w:t>
      </w:r>
      <w:r w:rsidR="00666D6A">
        <w:t>timeframe of the distribution</w:t>
      </w:r>
      <w:r>
        <w:t>.</w:t>
      </w:r>
    </w:p>
    <w:p w14:paraId="552257DA" w14:textId="16343540" w:rsidR="00A12345" w:rsidRDefault="00427CFF" w:rsidP="006B6EDF">
      <w:r>
        <w:t>The same assumptions used in the 2021 Task Force report were used in the 2019 Task Force report for foam</w:t>
      </w:r>
      <w:r w:rsidR="001C71F3">
        <w:t xml:space="preserve"> lifetimes and emission rate</w:t>
      </w:r>
      <w:r>
        <w:t>s</w:t>
      </w:r>
      <w:r w:rsidR="001C71F3">
        <w:t xml:space="preserve"> except for the lifetime of </w:t>
      </w:r>
      <w:proofErr w:type="spellStart"/>
      <w:r w:rsidR="00BA47A5">
        <w:t>boardstock</w:t>
      </w:r>
      <w:proofErr w:type="spellEnd"/>
      <w:r w:rsidR="00BA47A5">
        <w:t xml:space="preserve"> which was increased from 25 years to </w:t>
      </w:r>
      <w:r w:rsidR="00406D32">
        <w:t>5</w:t>
      </w:r>
      <w:r w:rsidR="00BA47A5">
        <w:t>0 years</w:t>
      </w:r>
      <w:r w:rsidR="00CA0C4E">
        <w:t xml:space="preserve"> since the majority of </w:t>
      </w:r>
      <w:proofErr w:type="spellStart"/>
      <w:r w:rsidR="00CA0C4E">
        <w:t>boardstock</w:t>
      </w:r>
      <w:proofErr w:type="spellEnd"/>
      <w:r w:rsidR="00CA0C4E">
        <w:t xml:space="preserve"> was used in single-family homes in the United States which have a longer lifetime</w:t>
      </w:r>
      <w:r>
        <w:t xml:space="preserve">. </w:t>
      </w:r>
      <w:r w:rsidR="00B07216">
        <w:t xml:space="preserve">The lifetime of foamed panels in commercial building in </w:t>
      </w:r>
      <w:r w:rsidR="00535239">
        <w:t>North America</w:t>
      </w:r>
      <w:r w:rsidR="00D76D2F">
        <w:rPr>
          <w:rStyle w:val="FootnoteReference"/>
        </w:rPr>
        <w:footnoteReference w:id="166"/>
      </w:r>
      <w:r w:rsidR="00B07216">
        <w:t xml:space="preserve"> and China</w:t>
      </w:r>
      <w:r w:rsidR="000441B0">
        <w:rPr>
          <w:rStyle w:val="FootnoteReference"/>
        </w:rPr>
        <w:footnoteReference w:id="167"/>
      </w:r>
      <w:r w:rsidR="00B07216">
        <w:t xml:space="preserve"> was considered to be 30 years based on recent assessments of building stock</w:t>
      </w:r>
      <w:r w:rsidR="00C132BA">
        <w:t xml:space="preserve"> while continuing to use 75</w:t>
      </w:r>
      <w:r w:rsidR="00705BB1">
        <w:t>-</w:t>
      </w:r>
      <w:r w:rsidR="00C132BA">
        <w:t>year lifetime in Europe and the rest of the world for panels</w:t>
      </w:r>
      <w:r w:rsidR="00B07216">
        <w:t xml:space="preserve"> </w:t>
      </w:r>
    </w:p>
    <w:p w14:paraId="0D11E67F" w14:textId="14D52826" w:rsidR="003D3DFC" w:rsidRDefault="000745A0" w:rsidP="006B6EDF">
      <w:r>
        <w:t>Consideration of integral skin was included in the 2021 report</w:t>
      </w:r>
      <w:r w:rsidR="00A12345">
        <w:t xml:space="preserve">, and </w:t>
      </w:r>
      <w:r w:rsidR="00292817">
        <w:t>the lifetime of</w:t>
      </w:r>
      <w:r>
        <w:t xml:space="preserve"> </w:t>
      </w:r>
      <w:r w:rsidR="004874A2">
        <w:t>polyurethane</w:t>
      </w:r>
      <w:r w:rsidR="00B07216">
        <w:t xml:space="preserve"> pipe</w:t>
      </w:r>
      <w:r w:rsidR="004874A2">
        <w:t>-</w:t>
      </w:r>
      <w:r w:rsidR="00292817">
        <w:t>in</w:t>
      </w:r>
      <w:r w:rsidR="004874A2">
        <w:t>-</w:t>
      </w:r>
      <w:r w:rsidR="00292817">
        <w:t xml:space="preserve">pipe foams </w:t>
      </w:r>
      <w:r w:rsidR="00A70B19">
        <w:t xml:space="preserve">was increased for China </w:t>
      </w:r>
      <w:r w:rsidR="00F54665">
        <w:t>usage in district heating</w:t>
      </w:r>
      <w:r w:rsidR="001A1A65">
        <w:t xml:space="preserve"> to 30 years</w:t>
      </w:r>
      <w:r w:rsidR="00F54665">
        <w:t>.</w:t>
      </w:r>
    </w:p>
    <w:p w14:paraId="3DAF9DE9" w14:textId="624A8BF7" w:rsidR="00D44163" w:rsidRPr="00074E64" w:rsidRDefault="00D44163" w:rsidP="00074E64">
      <w:pPr>
        <w:pStyle w:val="FigureandTableTitle"/>
      </w:pPr>
      <w:r w:rsidRPr="00074E64">
        <w:t>Table</w:t>
      </w:r>
      <w:r w:rsidR="002702D1" w:rsidRPr="002702D1">
        <w:t xml:space="preserve"> </w:t>
      </w:r>
      <w:r w:rsidR="002702D1" w:rsidRPr="00074E64">
        <w:t>A</w:t>
      </w:r>
      <w:r w:rsidR="002702D1">
        <w:t>4</w:t>
      </w:r>
      <w:r w:rsidR="002702D1" w:rsidRPr="00074E64">
        <w:t>.</w:t>
      </w:r>
      <w:r w:rsidR="002702D1">
        <w:t>1</w:t>
      </w:r>
      <w:r w:rsidR="00074E64">
        <w:tab/>
      </w:r>
      <w:r w:rsidR="00261275" w:rsidRPr="00074E64">
        <w:t>Emission rat</w:t>
      </w:r>
      <w:r w:rsidR="00223446" w:rsidRPr="00074E64">
        <w:t>es, Weibull distribution</w:t>
      </w:r>
      <w:r w:rsidR="00261275" w:rsidRPr="00074E64">
        <w:t xml:space="preserve"> and lifetime ass</w:t>
      </w:r>
      <w:r w:rsidR="00223446" w:rsidRPr="00074E64">
        <w:t>umptions</w:t>
      </w:r>
    </w:p>
    <w:tbl>
      <w:tblPr>
        <w:tblW w:w="8637" w:type="dxa"/>
        <w:tblLayout w:type="fixed"/>
        <w:tblLook w:val="04A0" w:firstRow="1" w:lastRow="0" w:firstColumn="1" w:lastColumn="0" w:noHBand="0" w:noVBand="1"/>
      </w:tblPr>
      <w:tblGrid>
        <w:gridCol w:w="1556"/>
        <w:gridCol w:w="864"/>
        <w:gridCol w:w="1114"/>
        <w:gridCol w:w="1134"/>
        <w:gridCol w:w="1134"/>
        <w:gridCol w:w="1701"/>
        <w:gridCol w:w="1134"/>
      </w:tblGrid>
      <w:tr w:rsidR="00234883" w:rsidRPr="00074E64" w14:paraId="1D6F03E0" w14:textId="77777777" w:rsidTr="00132BBC">
        <w:trPr>
          <w:trHeight w:val="924"/>
        </w:trPr>
        <w:tc>
          <w:tcPr>
            <w:tcW w:w="1556" w:type="dxa"/>
            <w:tcBorders>
              <w:top w:val="single" w:sz="8" w:space="0" w:color="auto"/>
              <w:left w:val="single" w:sz="8" w:space="0" w:color="auto"/>
              <w:bottom w:val="single" w:sz="8" w:space="0" w:color="auto"/>
              <w:right w:val="single" w:sz="8" w:space="0" w:color="auto"/>
            </w:tcBorders>
            <w:shd w:val="clear" w:color="auto" w:fill="DDEBF7"/>
            <w:noWrap/>
            <w:hideMark/>
          </w:tcPr>
          <w:p w14:paraId="355E439A" w14:textId="2916E1E0" w:rsidR="00234883" w:rsidRPr="00074E64" w:rsidRDefault="00234883" w:rsidP="002702D1">
            <w:pPr>
              <w:spacing w:before="100" w:beforeAutospacing="1" w:after="100" w:afterAutospacing="1"/>
              <w:jc w:val="center"/>
              <w:rPr>
                <w:rFonts w:eastAsia="Times New Roman"/>
                <w:color w:val="auto"/>
                <w:sz w:val="20"/>
                <w:lang w:val="en-US" w:eastAsia="en-US"/>
              </w:rPr>
            </w:pPr>
          </w:p>
        </w:tc>
        <w:tc>
          <w:tcPr>
            <w:tcW w:w="864" w:type="dxa"/>
            <w:tcBorders>
              <w:top w:val="single" w:sz="8" w:space="0" w:color="auto"/>
              <w:left w:val="nil"/>
              <w:bottom w:val="nil"/>
              <w:right w:val="single" w:sz="4" w:space="0" w:color="auto"/>
            </w:tcBorders>
            <w:shd w:val="clear" w:color="auto" w:fill="DDEBF7"/>
            <w:hideMark/>
          </w:tcPr>
          <w:p w14:paraId="7C54339F" w14:textId="2062A58F" w:rsidR="00234883" w:rsidRPr="00074E64" w:rsidRDefault="00234883" w:rsidP="002702D1">
            <w:pPr>
              <w:spacing w:before="100" w:beforeAutospacing="1" w:after="100" w:afterAutospacing="1"/>
              <w:jc w:val="center"/>
              <w:rPr>
                <w:rFonts w:eastAsia="Times New Roman"/>
                <w:color w:val="auto"/>
                <w:sz w:val="20"/>
                <w:lang w:val="en-US" w:eastAsia="en-US"/>
              </w:rPr>
            </w:pPr>
            <w:r w:rsidRPr="00074E64">
              <w:rPr>
                <w:sz w:val="20"/>
              </w:rPr>
              <w:t xml:space="preserve">Weibull </w:t>
            </w:r>
            <w:r w:rsidR="6BCD0B2F" w:rsidRPr="6BCD0B2F">
              <w:rPr>
                <w:sz w:val="20"/>
              </w:rPr>
              <w:t>Shape</w:t>
            </w:r>
          </w:p>
        </w:tc>
        <w:tc>
          <w:tcPr>
            <w:tcW w:w="1114" w:type="dxa"/>
            <w:tcBorders>
              <w:top w:val="single" w:sz="8" w:space="0" w:color="auto"/>
              <w:left w:val="nil"/>
              <w:bottom w:val="nil"/>
              <w:right w:val="single" w:sz="4" w:space="0" w:color="auto"/>
            </w:tcBorders>
            <w:shd w:val="clear" w:color="auto" w:fill="DDEBF7"/>
            <w:hideMark/>
          </w:tcPr>
          <w:p w14:paraId="454D624F" w14:textId="33E6ED80" w:rsidR="00234883" w:rsidRPr="00074E64" w:rsidRDefault="00234883" w:rsidP="002702D1">
            <w:pPr>
              <w:spacing w:before="100" w:beforeAutospacing="1" w:after="100" w:afterAutospacing="1"/>
              <w:jc w:val="center"/>
              <w:rPr>
                <w:rFonts w:eastAsia="Times New Roman"/>
                <w:color w:val="auto"/>
                <w:sz w:val="20"/>
                <w:lang w:val="en-US" w:eastAsia="en-US"/>
              </w:rPr>
            </w:pPr>
            <w:r w:rsidRPr="00074E64">
              <w:rPr>
                <w:sz w:val="20"/>
              </w:rPr>
              <w:t>FTOC Foam Lifetime</w:t>
            </w:r>
            <w:r w:rsidR="00C45826">
              <w:rPr>
                <w:sz w:val="20"/>
              </w:rPr>
              <w:t>*</w:t>
            </w:r>
          </w:p>
        </w:tc>
        <w:tc>
          <w:tcPr>
            <w:tcW w:w="1134" w:type="dxa"/>
            <w:tcBorders>
              <w:top w:val="single" w:sz="8" w:space="0" w:color="auto"/>
              <w:left w:val="nil"/>
              <w:bottom w:val="nil"/>
              <w:right w:val="single" w:sz="4" w:space="0" w:color="auto"/>
            </w:tcBorders>
            <w:shd w:val="clear" w:color="auto" w:fill="DDEBF7"/>
            <w:hideMark/>
          </w:tcPr>
          <w:p w14:paraId="44C13ACE" w14:textId="5CDD71C8" w:rsidR="00234883" w:rsidRPr="00074E64" w:rsidRDefault="00234883" w:rsidP="002702D1">
            <w:pPr>
              <w:spacing w:before="100" w:beforeAutospacing="1" w:after="100" w:afterAutospacing="1"/>
              <w:jc w:val="center"/>
              <w:rPr>
                <w:rFonts w:eastAsia="Times New Roman"/>
                <w:color w:val="auto"/>
                <w:sz w:val="20"/>
                <w:lang w:val="en-US" w:eastAsia="en-US"/>
              </w:rPr>
            </w:pPr>
            <w:r w:rsidRPr="00074E64">
              <w:rPr>
                <w:sz w:val="20"/>
              </w:rPr>
              <w:t>FTOC: Installation Emissions Rates</w:t>
            </w:r>
            <w:r w:rsidR="00721542">
              <w:rPr>
                <w:sz w:val="20"/>
              </w:rPr>
              <w:t xml:space="preserve"> %</w:t>
            </w:r>
          </w:p>
        </w:tc>
        <w:tc>
          <w:tcPr>
            <w:tcW w:w="1134" w:type="dxa"/>
            <w:tcBorders>
              <w:top w:val="single" w:sz="8" w:space="0" w:color="auto"/>
              <w:left w:val="nil"/>
              <w:bottom w:val="nil"/>
              <w:right w:val="single" w:sz="4" w:space="0" w:color="auto"/>
            </w:tcBorders>
            <w:shd w:val="clear" w:color="auto" w:fill="DDEBF7"/>
            <w:hideMark/>
          </w:tcPr>
          <w:p w14:paraId="43F9BCF7" w14:textId="4975A8D7" w:rsidR="00234883" w:rsidRPr="00074E64" w:rsidRDefault="00234883" w:rsidP="002702D1">
            <w:pPr>
              <w:spacing w:before="100" w:beforeAutospacing="1" w:after="100" w:afterAutospacing="1"/>
              <w:jc w:val="center"/>
              <w:rPr>
                <w:rFonts w:eastAsia="Times New Roman"/>
                <w:color w:val="auto"/>
                <w:sz w:val="20"/>
                <w:lang w:val="en-US" w:eastAsia="en-US"/>
              </w:rPr>
            </w:pPr>
            <w:r w:rsidRPr="00074E64">
              <w:rPr>
                <w:sz w:val="20"/>
              </w:rPr>
              <w:t>Emissions from Finished Product</w:t>
            </w:r>
            <w:r w:rsidR="00721542">
              <w:rPr>
                <w:sz w:val="20"/>
              </w:rPr>
              <w:t xml:space="preserve"> %</w:t>
            </w:r>
          </w:p>
        </w:tc>
        <w:tc>
          <w:tcPr>
            <w:tcW w:w="1701" w:type="dxa"/>
            <w:tcBorders>
              <w:top w:val="single" w:sz="8" w:space="0" w:color="auto"/>
              <w:left w:val="nil"/>
              <w:bottom w:val="nil"/>
              <w:right w:val="single" w:sz="4" w:space="0" w:color="auto"/>
            </w:tcBorders>
            <w:shd w:val="clear" w:color="auto" w:fill="DDEBF7"/>
            <w:hideMark/>
          </w:tcPr>
          <w:p w14:paraId="5ED3182F" w14:textId="4F689FFA" w:rsidR="00234883" w:rsidRPr="00074E64" w:rsidRDefault="00234883" w:rsidP="002702D1">
            <w:pPr>
              <w:spacing w:before="100" w:beforeAutospacing="1" w:after="100" w:afterAutospacing="1"/>
              <w:jc w:val="center"/>
              <w:rPr>
                <w:rFonts w:eastAsia="Times New Roman"/>
                <w:color w:val="auto"/>
                <w:sz w:val="20"/>
                <w:lang w:val="en-US" w:eastAsia="en-US"/>
              </w:rPr>
            </w:pPr>
            <w:r w:rsidRPr="00074E64">
              <w:rPr>
                <w:sz w:val="20"/>
              </w:rPr>
              <w:t>Emissions during decommissioning</w:t>
            </w:r>
            <w:r w:rsidR="00721542">
              <w:rPr>
                <w:sz w:val="20"/>
              </w:rPr>
              <w:t xml:space="preserve"> %</w:t>
            </w:r>
          </w:p>
        </w:tc>
        <w:tc>
          <w:tcPr>
            <w:tcW w:w="1134" w:type="dxa"/>
            <w:tcBorders>
              <w:top w:val="single" w:sz="8" w:space="0" w:color="auto"/>
              <w:left w:val="nil"/>
              <w:bottom w:val="nil"/>
              <w:right w:val="single" w:sz="4" w:space="0" w:color="auto"/>
            </w:tcBorders>
            <w:shd w:val="clear" w:color="auto" w:fill="DDEBF7"/>
            <w:hideMark/>
          </w:tcPr>
          <w:p w14:paraId="6353B5B6" w14:textId="23CE434B" w:rsidR="00234883" w:rsidRPr="00074E64" w:rsidRDefault="00234883" w:rsidP="002702D1">
            <w:pPr>
              <w:spacing w:before="100" w:beforeAutospacing="1" w:after="100" w:afterAutospacing="1"/>
              <w:jc w:val="center"/>
              <w:rPr>
                <w:rFonts w:eastAsia="Times New Roman"/>
                <w:color w:val="auto"/>
                <w:sz w:val="20"/>
                <w:lang w:val="en-US" w:eastAsia="en-US"/>
              </w:rPr>
            </w:pPr>
            <w:r w:rsidRPr="00074E64">
              <w:rPr>
                <w:sz w:val="20"/>
              </w:rPr>
              <w:t>Emissions from Landfill</w:t>
            </w:r>
            <w:r w:rsidR="00721542">
              <w:rPr>
                <w:sz w:val="20"/>
              </w:rPr>
              <w:t xml:space="preserve"> %</w:t>
            </w:r>
          </w:p>
        </w:tc>
      </w:tr>
      <w:tr w:rsidR="00234883" w:rsidRPr="00074E64" w14:paraId="3B28947F" w14:textId="77777777" w:rsidTr="00132BBC">
        <w:trPr>
          <w:trHeight w:val="456"/>
        </w:trPr>
        <w:tc>
          <w:tcPr>
            <w:tcW w:w="1556" w:type="dxa"/>
            <w:tcBorders>
              <w:top w:val="nil"/>
              <w:left w:val="single" w:sz="8" w:space="0" w:color="auto"/>
              <w:bottom w:val="single" w:sz="4" w:space="0" w:color="auto"/>
              <w:right w:val="nil"/>
            </w:tcBorders>
            <w:shd w:val="clear" w:color="auto" w:fill="DDEBF7"/>
            <w:hideMark/>
          </w:tcPr>
          <w:p w14:paraId="46F46C69" w14:textId="2E428FBE" w:rsidR="00234883" w:rsidRPr="00074E64" w:rsidRDefault="00234883" w:rsidP="002702D1">
            <w:pPr>
              <w:spacing w:before="100" w:beforeAutospacing="1" w:after="100" w:afterAutospacing="1"/>
              <w:rPr>
                <w:rFonts w:eastAsia="Times New Roman"/>
                <w:color w:val="auto"/>
                <w:sz w:val="20"/>
                <w:lang w:val="en-US" w:eastAsia="en-US"/>
              </w:rPr>
            </w:pPr>
            <w:r w:rsidRPr="00074E64">
              <w:rPr>
                <w:sz w:val="20"/>
              </w:rPr>
              <w:t xml:space="preserve">Domestic Refrigeration </w:t>
            </w:r>
          </w:p>
        </w:tc>
        <w:tc>
          <w:tcPr>
            <w:tcW w:w="864" w:type="dxa"/>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14:paraId="29EFCF4A" w14:textId="3FD39340" w:rsidR="00234883" w:rsidRPr="00074E64" w:rsidRDefault="00234883" w:rsidP="002702D1">
            <w:pPr>
              <w:spacing w:before="100" w:beforeAutospacing="1" w:after="100" w:afterAutospacing="1"/>
              <w:jc w:val="center"/>
              <w:rPr>
                <w:rFonts w:eastAsia="Times New Roman"/>
                <w:color w:val="auto"/>
                <w:sz w:val="20"/>
                <w:lang w:val="en-US" w:eastAsia="en-US"/>
              </w:rPr>
            </w:pPr>
            <w:r w:rsidRPr="00074E64">
              <w:rPr>
                <w:sz w:val="20"/>
              </w:rPr>
              <w:t>3</w:t>
            </w:r>
          </w:p>
        </w:tc>
        <w:tc>
          <w:tcPr>
            <w:tcW w:w="1114" w:type="dxa"/>
            <w:tcBorders>
              <w:top w:val="single" w:sz="8" w:space="0" w:color="auto"/>
              <w:left w:val="nil"/>
              <w:bottom w:val="single" w:sz="4" w:space="0" w:color="auto"/>
              <w:right w:val="single" w:sz="4" w:space="0" w:color="auto"/>
            </w:tcBorders>
            <w:shd w:val="clear" w:color="auto" w:fill="FFFFFF" w:themeFill="background1"/>
            <w:vAlign w:val="center"/>
            <w:hideMark/>
          </w:tcPr>
          <w:p w14:paraId="6FF006DF" w14:textId="414A2291" w:rsidR="00234883" w:rsidRPr="00074E64" w:rsidRDefault="00234883" w:rsidP="002702D1">
            <w:pPr>
              <w:spacing w:before="100" w:beforeAutospacing="1" w:after="100" w:afterAutospacing="1"/>
              <w:jc w:val="center"/>
              <w:rPr>
                <w:rFonts w:eastAsia="Times New Roman"/>
                <w:color w:val="auto"/>
                <w:sz w:val="20"/>
                <w:lang w:val="en-US" w:eastAsia="en-US"/>
              </w:rPr>
            </w:pPr>
            <w:r w:rsidRPr="00074E64">
              <w:rPr>
                <w:sz w:val="20"/>
              </w:rPr>
              <w:t>25</w:t>
            </w:r>
          </w:p>
        </w:tc>
        <w:tc>
          <w:tcPr>
            <w:tcW w:w="1134" w:type="dxa"/>
            <w:tcBorders>
              <w:top w:val="single" w:sz="8" w:space="0" w:color="auto"/>
              <w:left w:val="nil"/>
              <w:bottom w:val="single" w:sz="4" w:space="0" w:color="auto"/>
              <w:right w:val="single" w:sz="4" w:space="0" w:color="auto"/>
            </w:tcBorders>
            <w:shd w:val="clear" w:color="auto" w:fill="FFFFFF" w:themeFill="background1"/>
            <w:vAlign w:val="center"/>
            <w:hideMark/>
          </w:tcPr>
          <w:p w14:paraId="664493AB" w14:textId="5071EB1B" w:rsidR="00234883" w:rsidRPr="00074E64" w:rsidRDefault="00234883" w:rsidP="002702D1">
            <w:pPr>
              <w:spacing w:before="100" w:beforeAutospacing="1" w:after="100" w:afterAutospacing="1"/>
              <w:jc w:val="center"/>
              <w:rPr>
                <w:rFonts w:eastAsia="Times New Roman"/>
                <w:color w:val="auto"/>
                <w:sz w:val="20"/>
                <w:lang w:val="en-US" w:eastAsia="en-US"/>
              </w:rPr>
            </w:pPr>
            <w:r w:rsidRPr="00074E64">
              <w:rPr>
                <w:sz w:val="20"/>
              </w:rPr>
              <w:t>10</w:t>
            </w:r>
          </w:p>
        </w:tc>
        <w:tc>
          <w:tcPr>
            <w:tcW w:w="1134" w:type="dxa"/>
            <w:tcBorders>
              <w:top w:val="single" w:sz="8" w:space="0" w:color="auto"/>
              <w:left w:val="nil"/>
              <w:bottom w:val="single" w:sz="4" w:space="0" w:color="auto"/>
              <w:right w:val="single" w:sz="4" w:space="0" w:color="auto"/>
            </w:tcBorders>
            <w:shd w:val="clear" w:color="auto" w:fill="FFFFFF" w:themeFill="background1"/>
            <w:vAlign w:val="center"/>
            <w:hideMark/>
          </w:tcPr>
          <w:p w14:paraId="6FE1EE4B" w14:textId="635D34E4" w:rsidR="00234883" w:rsidRPr="00074E64" w:rsidRDefault="00234883" w:rsidP="002702D1">
            <w:pPr>
              <w:spacing w:before="100" w:beforeAutospacing="1" w:after="100" w:afterAutospacing="1"/>
              <w:jc w:val="center"/>
              <w:rPr>
                <w:rFonts w:eastAsia="Times New Roman"/>
                <w:color w:val="auto"/>
                <w:sz w:val="20"/>
                <w:lang w:val="en-US" w:eastAsia="en-US"/>
              </w:rPr>
            </w:pPr>
            <w:r w:rsidRPr="00074E64">
              <w:rPr>
                <w:sz w:val="20"/>
              </w:rPr>
              <w:t>1</w:t>
            </w:r>
          </w:p>
        </w:tc>
        <w:tc>
          <w:tcPr>
            <w:tcW w:w="1701" w:type="dxa"/>
            <w:tcBorders>
              <w:top w:val="single" w:sz="8" w:space="0" w:color="auto"/>
              <w:left w:val="nil"/>
              <w:bottom w:val="single" w:sz="4" w:space="0" w:color="auto"/>
              <w:right w:val="single" w:sz="4" w:space="0" w:color="auto"/>
            </w:tcBorders>
            <w:shd w:val="clear" w:color="auto" w:fill="FFFFFF" w:themeFill="background1"/>
            <w:vAlign w:val="center"/>
            <w:hideMark/>
          </w:tcPr>
          <w:p w14:paraId="497FB805" w14:textId="09C2E885" w:rsidR="00234883" w:rsidRPr="00074E64" w:rsidRDefault="00234883" w:rsidP="002702D1">
            <w:pPr>
              <w:spacing w:before="100" w:beforeAutospacing="1" w:after="100" w:afterAutospacing="1"/>
              <w:jc w:val="center"/>
              <w:rPr>
                <w:rFonts w:eastAsia="Times New Roman"/>
                <w:color w:val="auto"/>
                <w:sz w:val="20"/>
                <w:lang w:val="en-US" w:eastAsia="en-US"/>
              </w:rPr>
            </w:pPr>
            <w:r w:rsidRPr="00074E64">
              <w:rPr>
                <w:sz w:val="20"/>
              </w:rPr>
              <w:t>20</w:t>
            </w:r>
          </w:p>
        </w:tc>
        <w:tc>
          <w:tcPr>
            <w:tcW w:w="1134" w:type="dxa"/>
            <w:tcBorders>
              <w:top w:val="single" w:sz="8" w:space="0" w:color="auto"/>
              <w:left w:val="nil"/>
              <w:bottom w:val="single" w:sz="4" w:space="0" w:color="auto"/>
              <w:right w:val="single" w:sz="4" w:space="0" w:color="auto"/>
            </w:tcBorders>
            <w:shd w:val="clear" w:color="auto" w:fill="FFFFFF" w:themeFill="background1"/>
            <w:vAlign w:val="center"/>
            <w:hideMark/>
          </w:tcPr>
          <w:p w14:paraId="43C36C8F" w14:textId="155EFA0E" w:rsidR="00234883" w:rsidRPr="00074E64" w:rsidRDefault="00234883" w:rsidP="002702D1">
            <w:pPr>
              <w:spacing w:before="100" w:beforeAutospacing="1" w:after="100" w:afterAutospacing="1"/>
              <w:jc w:val="center"/>
              <w:rPr>
                <w:rFonts w:eastAsia="Times New Roman"/>
                <w:color w:val="auto"/>
                <w:sz w:val="20"/>
                <w:lang w:val="en-US" w:eastAsia="en-US"/>
              </w:rPr>
            </w:pPr>
            <w:r w:rsidRPr="00074E64">
              <w:rPr>
                <w:sz w:val="20"/>
              </w:rPr>
              <w:t>1</w:t>
            </w:r>
          </w:p>
        </w:tc>
      </w:tr>
      <w:tr w:rsidR="00234883" w:rsidRPr="00074E64" w14:paraId="51DE4361" w14:textId="77777777" w:rsidTr="00132BBC">
        <w:trPr>
          <w:trHeight w:val="456"/>
        </w:trPr>
        <w:tc>
          <w:tcPr>
            <w:tcW w:w="1556" w:type="dxa"/>
            <w:tcBorders>
              <w:top w:val="nil"/>
              <w:left w:val="single" w:sz="8" w:space="0" w:color="auto"/>
              <w:bottom w:val="single" w:sz="4" w:space="0" w:color="auto"/>
              <w:right w:val="nil"/>
            </w:tcBorders>
            <w:shd w:val="clear" w:color="auto" w:fill="DDEBF7"/>
            <w:hideMark/>
          </w:tcPr>
          <w:p w14:paraId="1ED5B138" w14:textId="6F9E0249" w:rsidR="00234883" w:rsidRPr="00074E64" w:rsidRDefault="00234883" w:rsidP="002702D1">
            <w:pPr>
              <w:spacing w:before="100" w:beforeAutospacing="1" w:after="100" w:afterAutospacing="1"/>
              <w:rPr>
                <w:rFonts w:eastAsia="Times New Roman"/>
                <w:color w:val="auto"/>
                <w:sz w:val="20"/>
                <w:lang w:val="en-US" w:eastAsia="en-US"/>
              </w:rPr>
            </w:pPr>
            <w:r w:rsidRPr="00074E64">
              <w:rPr>
                <w:sz w:val="20"/>
              </w:rPr>
              <w:t xml:space="preserve">Commercial </w:t>
            </w:r>
            <w:proofErr w:type="spellStart"/>
            <w:r w:rsidRPr="00074E64">
              <w:rPr>
                <w:sz w:val="20"/>
              </w:rPr>
              <w:t>Refrig</w:t>
            </w:r>
            <w:proofErr w:type="spellEnd"/>
            <w:r w:rsidRPr="00074E64">
              <w:rPr>
                <w:sz w:val="20"/>
              </w:rPr>
              <w:t xml:space="preserve"> &amp; other Appliances </w:t>
            </w:r>
          </w:p>
        </w:tc>
        <w:tc>
          <w:tcPr>
            <w:tcW w:w="864" w:type="dxa"/>
            <w:tcBorders>
              <w:top w:val="nil"/>
              <w:left w:val="single" w:sz="8" w:space="0" w:color="auto"/>
              <w:bottom w:val="single" w:sz="4" w:space="0" w:color="auto"/>
              <w:right w:val="single" w:sz="4" w:space="0" w:color="auto"/>
            </w:tcBorders>
            <w:shd w:val="clear" w:color="auto" w:fill="FFFFFF" w:themeFill="background1"/>
            <w:vAlign w:val="center"/>
            <w:hideMark/>
          </w:tcPr>
          <w:p w14:paraId="06FC6619" w14:textId="45107A7A" w:rsidR="00234883" w:rsidRPr="00074E64" w:rsidRDefault="00234883" w:rsidP="002702D1">
            <w:pPr>
              <w:spacing w:before="100" w:beforeAutospacing="1" w:after="100" w:afterAutospacing="1"/>
              <w:jc w:val="center"/>
              <w:rPr>
                <w:rFonts w:eastAsia="Times New Roman"/>
                <w:color w:val="auto"/>
                <w:sz w:val="20"/>
                <w:lang w:val="en-US" w:eastAsia="en-US"/>
              </w:rPr>
            </w:pPr>
            <w:r w:rsidRPr="00074E64">
              <w:rPr>
                <w:sz w:val="20"/>
              </w:rPr>
              <w:t>3</w:t>
            </w:r>
          </w:p>
        </w:tc>
        <w:tc>
          <w:tcPr>
            <w:tcW w:w="1114" w:type="dxa"/>
            <w:tcBorders>
              <w:top w:val="nil"/>
              <w:left w:val="nil"/>
              <w:bottom w:val="single" w:sz="4" w:space="0" w:color="auto"/>
              <w:right w:val="single" w:sz="4" w:space="0" w:color="auto"/>
            </w:tcBorders>
            <w:shd w:val="clear" w:color="auto" w:fill="FFFFFF" w:themeFill="background1"/>
            <w:vAlign w:val="center"/>
            <w:hideMark/>
          </w:tcPr>
          <w:p w14:paraId="1BE57BC4" w14:textId="7E563BBA" w:rsidR="00234883" w:rsidRPr="00074E64" w:rsidRDefault="00234883" w:rsidP="002702D1">
            <w:pPr>
              <w:spacing w:before="100" w:beforeAutospacing="1" w:after="100" w:afterAutospacing="1"/>
              <w:jc w:val="center"/>
              <w:rPr>
                <w:rFonts w:eastAsia="Times New Roman"/>
                <w:color w:val="auto"/>
                <w:sz w:val="20"/>
                <w:lang w:val="en-US" w:eastAsia="en-US"/>
              </w:rPr>
            </w:pPr>
            <w:r w:rsidRPr="00074E64">
              <w:rPr>
                <w:sz w:val="20"/>
              </w:rPr>
              <w:t>15</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4DC9C7E6" w14:textId="77ABA65A" w:rsidR="00234883" w:rsidRPr="00074E64" w:rsidRDefault="00234883" w:rsidP="002702D1">
            <w:pPr>
              <w:spacing w:before="100" w:beforeAutospacing="1" w:after="100" w:afterAutospacing="1"/>
              <w:jc w:val="center"/>
              <w:rPr>
                <w:rFonts w:eastAsia="Times New Roman"/>
                <w:color w:val="auto"/>
                <w:sz w:val="20"/>
                <w:lang w:val="en-US" w:eastAsia="en-US"/>
              </w:rPr>
            </w:pPr>
            <w:r w:rsidRPr="00074E64">
              <w:rPr>
                <w:sz w:val="20"/>
              </w:rPr>
              <w:t>20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51069726" w14:textId="0F19BE8A" w:rsidR="00234883" w:rsidRPr="00074E64" w:rsidRDefault="00234883" w:rsidP="002702D1">
            <w:pPr>
              <w:spacing w:before="100" w:beforeAutospacing="1" w:after="100" w:afterAutospacing="1"/>
              <w:jc w:val="center"/>
              <w:rPr>
                <w:rFonts w:eastAsia="Times New Roman"/>
                <w:color w:val="auto"/>
                <w:sz w:val="20"/>
                <w:lang w:val="en-US" w:eastAsia="en-US"/>
              </w:rPr>
            </w:pPr>
            <w:r w:rsidRPr="00074E64">
              <w:rPr>
                <w:sz w:val="20"/>
              </w:rPr>
              <w:t>1</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04E1696C" w14:textId="69AF60B7" w:rsidR="00234883" w:rsidRPr="00074E64" w:rsidRDefault="00234883" w:rsidP="002702D1">
            <w:pPr>
              <w:spacing w:before="100" w:beforeAutospacing="1" w:after="100" w:afterAutospacing="1"/>
              <w:jc w:val="center"/>
              <w:rPr>
                <w:rFonts w:eastAsia="Times New Roman"/>
                <w:color w:val="auto"/>
                <w:sz w:val="20"/>
                <w:lang w:val="en-US" w:eastAsia="en-US"/>
              </w:rPr>
            </w:pPr>
            <w:r w:rsidRPr="00074E64">
              <w:rPr>
                <w:sz w:val="20"/>
              </w:rPr>
              <w:t>20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5695F4D4" w14:textId="081E293F" w:rsidR="00234883" w:rsidRPr="00074E64" w:rsidRDefault="00234883" w:rsidP="002702D1">
            <w:pPr>
              <w:spacing w:before="100" w:beforeAutospacing="1" w:after="100" w:afterAutospacing="1"/>
              <w:jc w:val="center"/>
              <w:rPr>
                <w:rFonts w:eastAsia="Times New Roman"/>
                <w:color w:val="auto"/>
                <w:sz w:val="20"/>
                <w:lang w:val="en-US" w:eastAsia="en-US"/>
              </w:rPr>
            </w:pPr>
            <w:r w:rsidRPr="00074E64">
              <w:rPr>
                <w:sz w:val="20"/>
              </w:rPr>
              <w:t>1.</w:t>
            </w:r>
          </w:p>
        </w:tc>
      </w:tr>
      <w:tr w:rsidR="00234883" w:rsidRPr="00074E64" w14:paraId="60E8E0BD" w14:textId="77777777" w:rsidTr="00132BBC">
        <w:trPr>
          <w:trHeight w:val="456"/>
        </w:trPr>
        <w:tc>
          <w:tcPr>
            <w:tcW w:w="1556" w:type="dxa"/>
            <w:tcBorders>
              <w:top w:val="nil"/>
              <w:left w:val="single" w:sz="8" w:space="0" w:color="auto"/>
              <w:bottom w:val="single" w:sz="4" w:space="0" w:color="auto"/>
              <w:right w:val="nil"/>
            </w:tcBorders>
            <w:shd w:val="clear" w:color="auto" w:fill="DDEBF7"/>
            <w:hideMark/>
          </w:tcPr>
          <w:p w14:paraId="56CBBC53" w14:textId="2A289663" w:rsidR="00234883" w:rsidRPr="00074E64" w:rsidRDefault="00234883" w:rsidP="002702D1">
            <w:pPr>
              <w:spacing w:before="100" w:beforeAutospacing="1" w:after="100" w:afterAutospacing="1"/>
              <w:rPr>
                <w:rFonts w:eastAsia="Times New Roman"/>
                <w:color w:val="auto"/>
                <w:sz w:val="20"/>
                <w:lang w:val="en-US" w:eastAsia="en-US"/>
              </w:rPr>
            </w:pPr>
            <w:r w:rsidRPr="00074E64">
              <w:rPr>
                <w:sz w:val="20"/>
              </w:rPr>
              <w:t>Refrigerated Containers</w:t>
            </w:r>
          </w:p>
        </w:tc>
        <w:tc>
          <w:tcPr>
            <w:tcW w:w="864" w:type="dxa"/>
            <w:tcBorders>
              <w:top w:val="nil"/>
              <w:left w:val="single" w:sz="8" w:space="0" w:color="auto"/>
              <w:bottom w:val="single" w:sz="4" w:space="0" w:color="auto"/>
              <w:right w:val="single" w:sz="4" w:space="0" w:color="auto"/>
            </w:tcBorders>
            <w:shd w:val="clear" w:color="auto" w:fill="FFFFFF" w:themeFill="background1"/>
            <w:vAlign w:val="center"/>
            <w:hideMark/>
          </w:tcPr>
          <w:p w14:paraId="61049F0E" w14:textId="087FE427" w:rsidR="00234883" w:rsidRPr="00074E64" w:rsidRDefault="00234883" w:rsidP="002702D1">
            <w:pPr>
              <w:spacing w:before="100" w:beforeAutospacing="1" w:after="100" w:afterAutospacing="1"/>
              <w:jc w:val="center"/>
              <w:rPr>
                <w:rFonts w:eastAsia="Times New Roman"/>
                <w:color w:val="auto"/>
                <w:sz w:val="20"/>
                <w:lang w:val="en-US" w:eastAsia="en-US"/>
              </w:rPr>
            </w:pPr>
            <w:r w:rsidRPr="00074E64">
              <w:rPr>
                <w:sz w:val="20"/>
              </w:rPr>
              <w:t>2</w:t>
            </w:r>
          </w:p>
        </w:tc>
        <w:tc>
          <w:tcPr>
            <w:tcW w:w="1114" w:type="dxa"/>
            <w:tcBorders>
              <w:top w:val="nil"/>
              <w:left w:val="nil"/>
              <w:bottom w:val="single" w:sz="4" w:space="0" w:color="auto"/>
              <w:right w:val="single" w:sz="4" w:space="0" w:color="auto"/>
            </w:tcBorders>
            <w:shd w:val="clear" w:color="auto" w:fill="FFFFFF" w:themeFill="background1"/>
            <w:vAlign w:val="center"/>
            <w:hideMark/>
          </w:tcPr>
          <w:p w14:paraId="0956D34D" w14:textId="65EE86DA" w:rsidR="00234883" w:rsidRPr="00074E64" w:rsidRDefault="00234883" w:rsidP="002702D1">
            <w:pPr>
              <w:spacing w:before="100" w:beforeAutospacing="1" w:after="100" w:afterAutospacing="1"/>
              <w:jc w:val="center"/>
              <w:rPr>
                <w:rFonts w:eastAsia="Times New Roman"/>
                <w:color w:val="auto"/>
                <w:sz w:val="20"/>
                <w:lang w:val="en-US" w:eastAsia="en-US"/>
              </w:rPr>
            </w:pPr>
            <w:r w:rsidRPr="00074E64">
              <w:rPr>
                <w:sz w:val="20"/>
              </w:rPr>
              <w:t>7</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62F4E412" w14:textId="0821046C" w:rsidR="00234883" w:rsidRPr="00074E64" w:rsidRDefault="00234883" w:rsidP="002702D1">
            <w:pPr>
              <w:spacing w:before="100" w:beforeAutospacing="1" w:after="100" w:afterAutospacing="1"/>
              <w:jc w:val="center"/>
              <w:rPr>
                <w:rFonts w:eastAsia="Times New Roman"/>
                <w:color w:val="auto"/>
                <w:sz w:val="20"/>
                <w:lang w:val="en-US" w:eastAsia="en-US"/>
              </w:rPr>
            </w:pPr>
            <w:r w:rsidRPr="00074E64">
              <w:rPr>
                <w:sz w:val="20"/>
              </w:rPr>
              <w:t>20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67DE8218" w14:textId="75B34EFD" w:rsidR="00234883" w:rsidRPr="00074E64" w:rsidRDefault="00234883" w:rsidP="002702D1">
            <w:pPr>
              <w:spacing w:before="100" w:beforeAutospacing="1" w:after="100" w:afterAutospacing="1"/>
              <w:jc w:val="center"/>
              <w:rPr>
                <w:rFonts w:eastAsia="Times New Roman"/>
                <w:color w:val="auto"/>
                <w:sz w:val="20"/>
                <w:lang w:val="en-US" w:eastAsia="en-US"/>
              </w:rPr>
            </w:pPr>
            <w:r w:rsidRPr="00074E64">
              <w:rPr>
                <w:sz w:val="20"/>
              </w:rPr>
              <w:t>1</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5E31C0B6" w14:textId="7AEA431B" w:rsidR="00234883" w:rsidRPr="00074E64" w:rsidRDefault="00234883" w:rsidP="002702D1">
            <w:pPr>
              <w:spacing w:before="100" w:beforeAutospacing="1" w:after="100" w:afterAutospacing="1"/>
              <w:jc w:val="center"/>
              <w:rPr>
                <w:rFonts w:eastAsia="Times New Roman"/>
                <w:color w:val="auto"/>
                <w:sz w:val="20"/>
                <w:lang w:val="en-US" w:eastAsia="en-US"/>
              </w:rPr>
            </w:pPr>
            <w:r w:rsidRPr="00074E64">
              <w:rPr>
                <w:sz w:val="20"/>
              </w:rPr>
              <w:t>20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35BAF8D5" w14:textId="081D651D" w:rsidR="00234883" w:rsidRPr="00074E64" w:rsidRDefault="00234883" w:rsidP="002702D1">
            <w:pPr>
              <w:spacing w:before="100" w:beforeAutospacing="1" w:after="100" w:afterAutospacing="1"/>
              <w:jc w:val="center"/>
              <w:rPr>
                <w:rFonts w:eastAsia="Times New Roman"/>
                <w:color w:val="auto"/>
                <w:sz w:val="20"/>
                <w:lang w:val="en-US" w:eastAsia="en-US"/>
              </w:rPr>
            </w:pPr>
            <w:r w:rsidRPr="00074E64">
              <w:rPr>
                <w:sz w:val="20"/>
              </w:rPr>
              <w:t>1</w:t>
            </w:r>
          </w:p>
        </w:tc>
      </w:tr>
      <w:tr w:rsidR="00234883" w:rsidRPr="00074E64" w14:paraId="04AB5538" w14:textId="77777777" w:rsidTr="00132BBC">
        <w:trPr>
          <w:trHeight w:val="264"/>
        </w:trPr>
        <w:tc>
          <w:tcPr>
            <w:tcW w:w="1556" w:type="dxa"/>
            <w:tcBorders>
              <w:top w:val="nil"/>
              <w:left w:val="single" w:sz="8" w:space="0" w:color="auto"/>
              <w:bottom w:val="single" w:sz="4" w:space="0" w:color="auto"/>
              <w:right w:val="nil"/>
            </w:tcBorders>
            <w:shd w:val="clear" w:color="auto" w:fill="DDEBF7"/>
            <w:hideMark/>
          </w:tcPr>
          <w:p w14:paraId="610298F0" w14:textId="322FA43C" w:rsidR="00234883" w:rsidRPr="00074E64" w:rsidRDefault="00234883" w:rsidP="002702D1">
            <w:pPr>
              <w:spacing w:before="100" w:beforeAutospacing="1" w:after="100" w:afterAutospacing="1"/>
              <w:rPr>
                <w:rFonts w:eastAsia="Times New Roman"/>
                <w:color w:val="auto"/>
                <w:sz w:val="20"/>
                <w:lang w:val="en-US" w:eastAsia="en-US"/>
              </w:rPr>
            </w:pPr>
            <w:r w:rsidRPr="00074E64">
              <w:rPr>
                <w:sz w:val="20"/>
              </w:rPr>
              <w:t xml:space="preserve">PU </w:t>
            </w:r>
            <w:proofErr w:type="spellStart"/>
            <w:r w:rsidRPr="00074E64">
              <w:rPr>
                <w:sz w:val="20"/>
              </w:rPr>
              <w:t>Boardstock</w:t>
            </w:r>
            <w:proofErr w:type="spellEnd"/>
          </w:p>
        </w:tc>
        <w:tc>
          <w:tcPr>
            <w:tcW w:w="864" w:type="dxa"/>
            <w:tcBorders>
              <w:top w:val="nil"/>
              <w:left w:val="single" w:sz="8" w:space="0" w:color="auto"/>
              <w:bottom w:val="single" w:sz="4" w:space="0" w:color="auto"/>
              <w:right w:val="single" w:sz="4" w:space="0" w:color="auto"/>
            </w:tcBorders>
            <w:shd w:val="clear" w:color="auto" w:fill="FFFFFF" w:themeFill="background1"/>
            <w:vAlign w:val="center"/>
            <w:hideMark/>
          </w:tcPr>
          <w:p w14:paraId="3BB206B4" w14:textId="1F911CDB" w:rsidR="00234883" w:rsidRPr="00074E64" w:rsidRDefault="00234883" w:rsidP="002702D1">
            <w:pPr>
              <w:spacing w:before="100" w:beforeAutospacing="1" w:after="100" w:afterAutospacing="1"/>
              <w:jc w:val="center"/>
              <w:rPr>
                <w:rFonts w:eastAsia="Times New Roman"/>
                <w:color w:val="auto"/>
                <w:sz w:val="20"/>
                <w:lang w:val="en-US" w:eastAsia="en-US"/>
              </w:rPr>
            </w:pPr>
            <w:r w:rsidRPr="00074E64">
              <w:rPr>
                <w:sz w:val="20"/>
              </w:rPr>
              <w:t>3</w:t>
            </w:r>
          </w:p>
        </w:tc>
        <w:tc>
          <w:tcPr>
            <w:tcW w:w="1114" w:type="dxa"/>
            <w:tcBorders>
              <w:top w:val="nil"/>
              <w:left w:val="nil"/>
              <w:bottom w:val="single" w:sz="4" w:space="0" w:color="auto"/>
              <w:right w:val="single" w:sz="4" w:space="0" w:color="auto"/>
            </w:tcBorders>
            <w:shd w:val="clear" w:color="auto" w:fill="FFFFFF" w:themeFill="background1"/>
            <w:vAlign w:val="center"/>
            <w:hideMark/>
          </w:tcPr>
          <w:p w14:paraId="37B8073A" w14:textId="6ABCB837" w:rsidR="00234883" w:rsidRPr="00074E64" w:rsidRDefault="00D31666" w:rsidP="002702D1">
            <w:pPr>
              <w:spacing w:before="100" w:beforeAutospacing="1" w:after="100" w:afterAutospacing="1"/>
              <w:jc w:val="center"/>
              <w:rPr>
                <w:sz w:val="20"/>
              </w:rPr>
            </w:pPr>
            <w:r>
              <w:rPr>
                <w:sz w:val="20"/>
              </w:rPr>
              <w:t>50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29F9FBC3" w14:textId="64F3F609" w:rsidR="00234883" w:rsidRPr="00074E64" w:rsidRDefault="00234883" w:rsidP="002702D1">
            <w:pPr>
              <w:spacing w:before="100" w:beforeAutospacing="1" w:after="100" w:afterAutospacing="1"/>
              <w:jc w:val="center"/>
              <w:rPr>
                <w:rFonts w:eastAsia="Times New Roman"/>
                <w:color w:val="auto"/>
                <w:sz w:val="20"/>
                <w:lang w:val="en-US" w:eastAsia="en-US"/>
              </w:rPr>
            </w:pPr>
            <w:r w:rsidRPr="00074E64">
              <w:rPr>
                <w:sz w:val="20"/>
              </w:rPr>
              <w:t>10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763C2A73" w14:textId="7E32B239" w:rsidR="00234883" w:rsidRPr="00074E64" w:rsidRDefault="00234883" w:rsidP="002702D1">
            <w:pPr>
              <w:spacing w:before="100" w:beforeAutospacing="1" w:after="100" w:afterAutospacing="1"/>
              <w:jc w:val="center"/>
              <w:rPr>
                <w:rFonts w:eastAsia="Times New Roman"/>
                <w:color w:val="auto"/>
                <w:sz w:val="20"/>
                <w:lang w:val="en-US" w:eastAsia="en-US"/>
              </w:rPr>
            </w:pPr>
            <w:r w:rsidRPr="00074E64">
              <w:rPr>
                <w:sz w:val="20"/>
              </w:rPr>
              <w:t>1</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7D3569F8" w14:textId="79EC37AE" w:rsidR="00234883" w:rsidRPr="00074E64" w:rsidRDefault="00234883" w:rsidP="002702D1">
            <w:pPr>
              <w:spacing w:before="100" w:beforeAutospacing="1" w:after="100" w:afterAutospacing="1"/>
              <w:jc w:val="center"/>
              <w:rPr>
                <w:rFonts w:eastAsia="Times New Roman"/>
                <w:color w:val="auto"/>
                <w:sz w:val="20"/>
                <w:lang w:val="en-US" w:eastAsia="en-US"/>
              </w:rPr>
            </w:pPr>
            <w:r w:rsidRPr="00074E64">
              <w:rPr>
                <w:sz w:val="20"/>
              </w:rPr>
              <w:t>20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052F5A64" w14:textId="7620FB87" w:rsidR="00234883" w:rsidRPr="00074E64" w:rsidRDefault="00234883" w:rsidP="002702D1">
            <w:pPr>
              <w:spacing w:before="100" w:beforeAutospacing="1" w:after="100" w:afterAutospacing="1"/>
              <w:jc w:val="center"/>
              <w:rPr>
                <w:rFonts w:eastAsia="Times New Roman"/>
                <w:color w:val="auto"/>
                <w:sz w:val="20"/>
                <w:lang w:val="en-US" w:eastAsia="en-US"/>
              </w:rPr>
            </w:pPr>
            <w:r w:rsidRPr="00074E64">
              <w:rPr>
                <w:sz w:val="20"/>
              </w:rPr>
              <w:t>1</w:t>
            </w:r>
          </w:p>
        </w:tc>
      </w:tr>
      <w:tr w:rsidR="00234883" w:rsidRPr="00074E64" w14:paraId="5F930309" w14:textId="77777777" w:rsidTr="00132BBC">
        <w:trPr>
          <w:trHeight w:val="456"/>
        </w:trPr>
        <w:tc>
          <w:tcPr>
            <w:tcW w:w="1556" w:type="dxa"/>
            <w:tcBorders>
              <w:top w:val="nil"/>
              <w:left w:val="single" w:sz="8" w:space="0" w:color="auto"/>
              <w:bottom w:val="single" w:sz="4" w:space="0" w:color="auto"/>
              <w:right w:val="nil"/>
            </w:tcBorders>
            <w:shd w:val="clear" w:color="auto" w:fill="DDEBF7"/>
            <w:hideMark/>
          </w:tcPr>
          <w:p w14:paraId="3BF1033C" w14:textId="4A673805" w:rsidR="00234883" w:rsidRPr="00074E64" w:rsidRDefault="00234883" w:rsidP="002702D1">
            <w:pPr>
              <w:spacing w:before="100" w:beforeAutospacing="1" w:after="100" w:afterAutospacing="1"/>
              <w:rPr>
                <w:rFonts w:eastAsia="Times New Roman"/>
                <w:color w:val="auto"/>
                <w:sz w:val="20"/>
                <w:lang w:val="en-US" w:eastAsia="en-US"/>
              </w:rPr>
            </w:pPr>
            <w:r w:rsidRPr="00074E64">
              <w:rPr>
                <w:sz w:val="20"/>
              </w:rPr>
              <w:t>PU Continuous Panels</w:t>
            </w:r>
          </w:p>
        </w:tc>
        <w:tc>
          <w:tcPr>
            <w:tcW w:w="864" w:type="dxa"/>
            <w:tcBorders>
              <w:top w:val="nil"/>
              <w:left w:val="single" w:sz="8" w:space="0" w:color="auto"/>
              <w:bottom w:val="single" w:sz="4" w:space="0" w:color="auto"/>
              <w:right w:val="single" w:sz="4" w:space="0" w:color="auto"/>
            </w:tcBorders>
            <w:shd w:val="clear" w:color="auto" w:fill="FFFFFF" w:themeFill="background1"/>
            <w:vAlign w:val="center"/>
            <w:hideMark/>
          </w:tcPr>
          <w:p w14:paraId="2815EFFD" w14:textId="596F1FE0" w:rsidR="00234883" w:rsidRPr="00074E64" w:rsidRDefault="00234883" w:rsidP="002702D1">
            <w:pPr>
              <w:spacing w:before="100" w:beforeAutospacing="1" w:after="100" w:afterAutospacing="1"/>
              <w:jc w:val="center"/>
              <w:rPr>
                <w:rFonts w:eastAsia="Times New Roman"/>
                <w:color w:val="auto"/>
                <w:sz w:val="20"/>
                <w:lang w:val="en-US" w:eastAsia="en-US"/>
              </w:rPr>
            </w:pPr>
            <w:r w:rsidRPr="00074E64">
              <w:rPr>
                <w:sz w:val="20"/>
              </w:rPr>
              <w:t>3</w:t>
            </w:r>
          </w:p>
        </w:tc>
        <w:tc>
          <w:tcPr>
            <w:tcW w:w="1114" w:type="dxa"/>
            <w:tcBorders>
              <w:top w:val="nil"/>
              <w:left w:val="nil"/>
              <w:bottom w:val="single" w:sz="4" w:space="0" w:color="auto"/>
              <w:right w:val="single" w:sz="4" w:space="0" w:color="auto"/>
            </w:tcBorders>
            <w:shd w:val="clear" w:color="auto" w:fill="FFFFFF" w:themeFill="background1"/>
            <w:vAlign w:val="center"/>
            <w:hideMark/>
          </w:tcPr>
          <w:p w14:paraId="6CA4728E" w14:textId="464613FE" w:rsidR="00234883" w:rsidRPr="00074E64" w:rsidRDefault="00234883" w:rsidP="002702D1">
            <w:pPr>
              <w:spacing w:before="100" w:beforeAutospacing="1" w:after="100" w:afterAutospacing="1"/>
              <w:jc w:val="center"/>
              <w:rPr>
                <w:rFonts w:eastAsia="Times New Roman"/>
                <w:color w:val="auto"/>
                <w:sz w:val="20"/>
                <w:lang w:val="en-US" w:eastAsia="en-US"/>
              </w:rPr>
            </w:pPr>
            <w:r w:rsidRPr="00074E64">
              <w:rPr>
                <w:sz w:val="20"/>
              </w:rPr>
              <w:t>75</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7BCBB3E2" w14:textId="6A5E6AD8" w:rsidR="00234883" w:rsidRPr="00BF2B75" w:rsidRDefault="00234883" w:rsidP="002702D1">
            <w:pPr>
              <w:spacing w:before="100" w:beforeAutospacing="1" w:after="100" w:afterAutospacing="1"/>
              <w:jc w:val="center"/>
              <w:rPr>
                <w:rFonts w:eastAsia="Times New Roman"/>
                <w:color w:val="auto"/>
                <w:sz w:val="20"/>
                <w:lang w:val="en-US" w:eastAsia="en-US"/>
              </w:rPr>
            </w:pPr>
            <w:r w:rsidRPr="00BF2B75">
              <w:rPr>
                <w:sz w:val="20"/>
              </w:rPr>
              <w:t>10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50C0E082" w14:textId="4335C399" w:rsidR="00234883" w:rsidRPr="00BF2B75" w:rsidRDefault="00234883" w:rsidP="002702D1">
            <w:pPr>
              <w:spacing w:before="100" w:beforeAutospacing="1" w:after="100" w:afterAutospacing="1"/>
              <w:jc w:val="center"/>
              <w:rPr>
                <w:rFonts w:eastAsia="Times New Roman"/>
                <w:color w:val="auto"/>
                <w:sz w:val="20"/>
                <w:lang w:val="en-US" w:eastAsia="en-US"/>
              </w:rPr>
            </w:pPr>
            <w:r w:rsidRPr="00BF2B75">
              <w:rPr>
                <w:sz w:val="20"/>
              </w:rPr>
              <w:t>1</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1271BB5D" w14:textId="009DAA57" w:rsidR="00234883" w:rsidRPr="00074E64" w:rsidRDefault="00234883" w:rsidP="002702D1">
            <w:pPr>
              <w:spacing w:before="100" w:beforeAutospacing="1" w:after="100" w:afterAutospacing="1"/>
              <w:jc w:val="center"/>
              <w:rPr>
                <w:rFonts w:eastAsia="Times New Roman"/>
                <w:color w:val="auto"/>
                <w:sz w:val="20"/>
                <w:lang w:val="en-US" w:eastAsia="en-US"/>
              </w:rPr>
            </w:pPr>
            <w:r w:rsidRPr="00074E64">
              <w:rPr>
                <w:sz w:val="20"/>
              </w:rPr>
              <w:t>20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302D93FC" w14:textId="7BDB7049" w:rsidR="00234883" w:rsidRPr="00074E64" w:rsidRDefault="00234883" w:rsidP="002702D1">
            <w:pPr>
              <w:spacing w:before="100" w:beforeAutospacing="1" w:after="100" w:afterAutospacing="1"/>
              <w:jc w:val="center"/>
              <w:rPr>
                <w:rFonts w:eastAsia="Times New Roman"/>
                <w:color w:val="auto"/>
                <w:sz w:val="20"/>
                <w:lang w:val="en-US" w:eastAsia="en-US"/>
              </w:rPr>
            </w:pPr>
            <w:r w:rsidRPr="00074E64">
              <w:rPr>
                <w:sz w:val="20"/>
              </w:rPr>
              <w:t>1</w:t>
            </w:r>
          </w:p>
        </w:tc>
      </w:tr>
      <w:tr w:rsidR="00234883" w:rsidRPr="00074E64" w14:paraId="6216E679" w14:textId="77777777" w:rsidTr="00132BBC">
        <w:trPr>
          <w:trHeight w:val="456"/>
        </w:trPr>
        <w:tc>
          <w:tcPr>
            <w:tcW w:w="1556" w:type="dxa"/>
            <w:tcBorders>
              <w:top w:val="nil"/>
              <w:left w:val="single" w:sz="8" w:space="0" w:color="auto"/>
              <w:bottom w:val="single" w:sz="4" w:space="0" w:color="auto"/>
              <w:right w:val="nil"/>
            </w:tcBorders>
            <w:shd w:val="clear" w:color="auto" w:fill="DDEBF7"/>
            <w:hideMark/>
          </w:tcPr>
          <w:p w14:paraId="25E85DF7" w14:textId="24B4A022" w:rsidR="00234883" w:rsidRPr="00074E64" w:rsidRDefault="00234883" w:rsidP="002702D1">
            <w:pPr>
              <w:spacing w:before="100" w:beforeAutospacing="1" w:after="100" w:afterAutospacing="1"/>
              <w:rPr>
                <w:rFonts w:eastAsia="Times New Roman"/>
                <w:color w:val="auto"/>
                <w:sz w:val="20"/>
                <w:lang w:val="en-US" w:eastAsia="en-US"/>
              </w:rPr>
            </w:pPr>
            <w:r w:rsidRPr="00074E64">
              <w:rPr>
                <w:sz w:val="20"/>
              </w:rPr>
              <w:t>Discontinuous Panels</w:t>
            </w:r>
          </w:p>
        </w:tc>
        <w:tc>
          <w:tcPr>
            <w:tcW w:w="864" w:type="dxa"/>
            <w:tcBorders>
              <w:top w:val="nil"/>
              <w:left w:val="single" w:sz="8" w:space="0" w:color="auto"/>
              <w:bottom w:val="single" w:sz="4" w:space="0" w:color="auto"/>
              <w:right w:val="single" w:sz="4" w:space="0" w:color="auto"/>
            </w:tcBorders>
            <w:shd w:val="clear" w:color="auto" w:fill="FFFFFF" w:themeFill="background1"/>
            <w:vAlign w:val="center"/>
            <w:hideMark/>
          </w:tcPr>
          <w:p w14:paraId="5E69A392" w14:textId="23B95308" w:rsidR="00234883" w:rsidRPr="00074E64" w:rsidRDefault="00234883" w:rsidP="002702D1">
            <w:pPr>
              <w:spacing w:before="100" w:beforeAutospacing="1" w:after="100" w:afterAutospacing="1"/>
              <w:jc w:val="center"/>
              <w:rPr>
                <w:rFonts w:eastAsia="Times New Roman"/>
                <w:color w:val="auto"/>
                <w:sz w:val="20"/>
                <w:lang w:val="en-US" w:eastAsia="en-US"/>
              </w:rPr>
            </w:pPr>
            <w:r w:rsidRPr="00074E64">
              <w:rPr>
                <w:sz w:val="20"/>
              </w:rPr>
              <w:t>3</w:t>
            </w:r>
          </w:p>
        </w:tc>
        <w:tc>
          <w:tcPr>
            <w:tcW w:w="1114" w:type="dxa"/>
            <w:tcBorders>
              <w:top w:val="nil"/>
              <w:left w:val="nil"/>
              <w:bottom w:val="single" w:sz="4" w:space="0" w:color="auto"/>
              <w:right w:val="single" w:sz="4" w:space="0" w:color="auto"/>
            </w:tcBorders>
            <w:shd w:val="clear" w:color="auto" w:fill="FFFFFF" w:themeFill="background1"/>
            <w:vAlign w:val="center"/>
            <w:hideMark/>
          </w:tcPr>
          <w:p w14:paraId="15B505E3" w14:textId="4C3A6D15" w:rsidR="00234883" w:rsidRPr="00074E64" w:rsidRDefault="00234883" w:rsidP="002702D1">
            <w:pPr>
              <w:spacing w:before="100" w:beforeAutospacing="1" w:after="100" w:afterAutospacing="1"/>
              <w:jc w:val="center"/>
              <w:rPr>
                <w:rFonts w:eastAsia="Times New Roman"/>
                <w:color w:val="auto"/>
                <w:sz w:val="20"/>
                <w:lang w:val="en-US" w:eastAsia="en-US"/>
              </w:rPr>
            </w:pPr>
            <w:r w:rsidRPr="00074E64">
              <w:rPr>
                <w:sz w:val="20"/>
              </w:rPr>
              <w:t>75</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5CAF93E1" w14:textId="2C6F8F6A" w:rsidR="00234883" w:rsidRPr="00BF2B75" w:rsidRDefault="00234883" w:rsidP="002702D1">
            <w:pPr>
              <w:spacing w:before="100" w:beforeAutospacing="1" w:after="100" w:afterAutospacing="1"/>
              <w:jc w:val="center"/>
              <w:rPr>
                <w:rFonts w:eastAsia="Times New Roman"/>
                <w:color w:val="auto"/>
                <w:sz w:val="20"/>
                <w:lang w:val="en-US" w:eastAsia="en-US"/>
              </w:rPr>
            </w:pPr>
            <w:r w:rsidRPr="00BF2B75">
              <w:rPr>
                <w:sz w:val="20"/>
              </w:rPr>
              <w:t>20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56C90457" w14:textId="4EDDA8C1" w:rsidR="00234883" w:rsidRPr="00BF2B75" w:rsidRDefault="00234883" w:rsidP="002702D1">
            <w:pPr>
              <w:spacing w:before="100" w:beforeAutospacing="1" w:after="100" w:afterAutospacing="1"/>
              <w:jc w:val="center"/>
              <w:rPr>
                <w:rFonts w:eastAsia="Times New Roman"/>
                <w:color w:val="auto"/>
                <w:sz w:val="20"/>
                <w:lang w:val="en-US" w:eastAsia="en-US"/>
              </w:rPr>
            </w:pPr>
            <w:r w:rsidRPr="00BF2B75">
              <w:rPr>
                <w:sz w:val="20"/>
              </w:rPr>
              <w:t>1</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78B86321" w14:textId="289FC663" w:rsidR="00234883" w:rsidRPr="00074E64" w:rsidRDefault="00234883" w:rsidP="002702D1">
            <w:pPr>
              <w:spacing w:before="100" w:beforeAutospacing="1" w:after="100" w:afterAutospacing="1"/>
              <w:jc w:val="center"/>
              <w:rPr>
                <w:rFonts w:eastAsia="Times New Roman"/>
                <w:color w:val="auto"/>
                <w:sz w:val="20"/>
                <w:lang w:val="en-US" w:eastAsia="en-US"/>
              </w:rPr>
            </w:pPr>
            <w:r w:rsidRPr="00074E64">
              <w:rPr>
                <w:sz w:val="20"/>
              </w:rPr>
              <w:t>20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54BFEDE9" w14:textId="148A8861" w:rsidR="00234883" w:rsidRPr="00074E64" w:rsidRDefault="00234883" w:rsidP="002702D1">
            <w:pPr>
              <w:spacing w:before="100" w:beforeAutospacing="1" w:after="100" w:afterAutospacing="1"/>
              <w:jc w:val="center"/>
              <w:rPr>
                <w:rFonts w:eastAsia="Times New Roman"/>
                <w:color w:val="auto"/>
                <w:sz w:val="20"/>
                <w:lang w:val="en-US" w:eastAsia="en-US"/>
              </w:rPr>
            </w:pPr>
            <w:r w:rsidRPr="00074E64">
              <w:rPr>
                <w:sz w:val="20"/>
              </w:rPr>
              <w:t>1</w:t>
            </w:r>
          </w:p>
        </w:tc>
      </w:tr>
      <w:tr w:rsidR="00234883" w:rsidRPr="00074E64" w14:paraId="58F74705" w14:textId="77777777" w:rsidTr="00132BBC">
        <w:trPr>
          <w:trHeight w:val="264"/>
        </w:trPr>
        <w:tc>
          <w:tcPr>
            <w:tcW w:w="1556" w:type="dxa"/>
            <w:tcBorders>
              <w:top w:val="nil"/>
              <w:left w:val="single" w:sz="8" w:space="0" w:color="auto"/>
              <w:bottom w:val="single" w:sz="4" w:space="0" w:color="auto"/>
              <w:right w:val="nil"/>
            </w:tcBorders>
            <w:shd w:val="clear" w:color="auto" w:fill="DDEBF7"/>
            <w:hideMark/>
          </w:tcPr>
          <w:p w14:paraId="2394A034" w14:textId="760F28B8" w:rsidR="00234883" w:rsidRPr="00074E64" w:rsidRDefault="00234883" w:rsidP="002702D1">
            <w:pPr>
              <w:spacing w:before="100" w:beforeAutospacing="1" w:after="100" w:afterAutospacing="1"/>
              <w:rPr>
                <w:rFonts w:eastAsia="Times New Roman"/>
                <w:color w:val="auto"/>
                <w:sz w:val="20"/>
                <w:lang w:val="en-US" w:eastAsia="en-US"/>
              </w:rPr>
            </w:pPr>
            <w:r w:rsidRPr="00074E64">
              <w:rPr>
                <w:sz w:val="20"/>
              </w:rPr>
              <w:t>PU Spray Foam</w:t>
            </w:r>
          </w:p>
        </w:tc>
        <w:tc>
          <w:tcPr>
            <w:tcW w:w="864" w:type="dxa"/>
            <w:tcBorders>
              <w:top w:val="nil"/>
              <w:left w:val="single" w:sz="8" w:space="0" w:color="auto"/>
              <w:bottom w:val="single" w:sz="4" w:space="0" w:color="auto"/>
              <w:right w:val="single" w:sz="4" w:space="0" w:color="auto"/>
            </w:tcBorders>
            <w:shd w:val="clear" w:color="auto" w:fill="FFFFFF" w:themeFill="background1"/>
            <w:vAlign w:val="center"/>
            <w:hideMark/>
          </w:tcPr>
          <w:p w14:paraId="17D2A21E" w14:textId="388DF2CC" w:rsidR="00234883" w:rsidRPr="00074E64" w:rsidRDefault="00234883" w:rsidP="002702D1">
            <w:pPr>
              <w:spacing w:before="100" w:beforeAutospacing="1" w:after="100" w:afterAutospacing="1"/>
              <w:jc w:val="center"/>
              <w:rPr>
                <w:rFonts w:eastAsia="Times New Roman"/>
                <w:color w:val="auto"/>
                <w:sz w:val="20"/>
                <w:lang w:val="en-US" w:eastAsia="en-US"/>
              </w:rPr>
            </w:pPr>
            <w:r w:rsidRPr="00074E64">
              <w:rPr>
                <w:sz w:val="20"/>
              </w:rPr>
              <w:t>3</w:t>
            </w:r>
          </w:p>
        </w:tc>
        <w:tc>
          <w:tcPr>
            <w:tcW w:w="1114" w:type="dxa"/>
            <w:tcBorders>
              <w:top w:val="nil"/>
              <w:left w:val="nil"/>
              <w:bottom w:val="single" w:sz="4" w:space="0" w:color="auto"/>
              <w:right w:val="single" w:sz="4" w:space="0" w:color="auto"/>
            </w:tcBorders>
            <w:shd w:val="clear" w:color="auto" w:fill="FFFFFF" w:themeFill="background1"/>
            <w:vAlign w:val="center"/>
            <w:hideMark/>
          </w:tcPr>
          <w:p w14:paraId="06A2075C" w14:textId="219E9E7F" w:rsidR="00234883" w:rsidRPr="00074E64" w:rsidRDefault="006F0219" w:rsidP="002702D1">
            <w:pPr>
              <w:spacing w:before="100" w:beforeAutospacing="1" w:after="100" w:afterAutospacing="1"/>
              <w:jc w:val="center"/>
              <w:rPr>
                <w:rFonts w:eastAsia="Times New Roman"/>
                <w:color w:val="auto"/>
                <w:sz w:val="20"/>
                <w:lang w:val="en-US" w:eastAsia="en-US"/>
              </w:rPr>
            </w:pPr>
            <w:r w:rsidRPr="005A78B3">
              <w:rPr>
                <w:sz w:val="20"/>
              </w:rPr>
              <w:t>50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1100F937" w14:textId="5D333CE3" w:rsidR="00234883" w:rsidRPr="00BF2B75" w:rsidRDefault="00234883" w:rsidP="002702D1">
            <w:pPr>
              <w:spacing w:before="100" w:beforeAutospacing="1" w:after="100" w:afterAutospacing="1"/>
              <w:jc w:val="center"/>
              <w:rPr>
                <w:rFonts w:eastAsia="Times New Roman"/>
                <w:color w:val="auto"/>
                <w:sz w:val="20"/>
                <w:lang w:val="en-US" w:eastAsia="en-US"/>
              </w:rPr>
            </w:pPr>
            <w:r w:rsidRPr="00BF2B75">
              <w:rPr>
                <w:sz w:val="20"/>
              </w:rPr>
              <w:t>25</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6D656D92" w14:textId="11B3A6A3" w:rsidR="00234883" w:rsidRPr="00BF2B75" w:rsidRDefault="00234883" w:rsidP="002702D1">
            <w:pPr>
              <w:spacing w:before="100" w:beforeAutospacing="1" w:after="100" w:afterAutospacing="1"/>
              <w:jc w:val="center"/>
              <w:rPr>
                <w:rFonts w:eastAsia="Times New Roman"/>
                <w:color w:val="auto"/>
                <w:sz w:val="20"/>
                <w:lang w:val="en-US" w:eastAsia="en-US"/>
              </w:rPr>
            </w:pPr>
            <w:r w:rsidRPr="00BF2B75">
              <w:rPr>
                <w:sz w:val="20"/>
              </w:rPr>
              <w:t>1.5</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67297BE3" w14:textId="340C6A59" w:rsidR="00234883" w:rsidRPr="00074E64" w:rsidRDefault="00234883" w:rsidP="002702D1">
            <w:pPr>
              <w:spacing w:before="100" w:beforeAutospacing="1" w:after="100" w:afterAutospacing="1"/>
              <w:jc w:val="center"/>
              <w:rPr>
                <w:rFonts w:eastAsia="Times New Roman"/>
                <w:color w:val="auto"/>
                <w:sz w:val="20"/>
                <w:lang w:val="en-US" w:eastAsia="en-US"/>
              </w:rPr>
            </w:pPr>
            <w:r w:rsidRPr="00074E64">
              <w:rPr>
                <w:sz w:val="20"/>
              </w:rPr>
              <w:t>20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3D82AB6D" w14:textId="5B589579" w:rsidR="00234883" w:rsidRPr="00074E64" w:rsidRDefault="00234883" w:rsidP="002702D1">
            <w:pPr>
              <w:spacing w:before="100" w:beforeAutospacing="1" w:after="100" w:afterAutospacing="1"/>
              <w:jc w:val="center"/>
              <w:rPr>
                <w:rFonts w:eastAsia="Times New Roman"/>
                <w:color w:val="auto"/>
                <w:sz w:val="20"/>
                <w:lang w:val="en-US" w:eastAsia="en-US"/>
              </w:rPr>
            </w:pPr>
            <w:r w:rsidRPr="00074E64">
              <w:rPr>
                <w:sz w:val="20"/>
              </w:rPr>
              <w:t>1</w:t>
            </w:r>
          </w:p>
        </w:tc>
      </w:tr>
      <w:tr w:rsidR="00234883" w:rsidRPr="00074E64" w14:paraId="74C4BAE0" w14:textId="77777777" w:rsidTr="00132BBC">
        <w:trPr>
          <w:trHeight w:val="264"/>
        </w:trPr>
        <w:tc>
          <w:tcPr>
            <w:tcW w:w="1556" w:type="dxa"/>
            <w:tcBorders>
              <w:top w:val="nil"/>
              <w:left w:val="single" w:sz="8" w:space="0" w:color="auto"/>
              <w:bottom w:val="single" w:sz="4" w:space="0" w:color="auto"/>
              <w:right w:val="nil"/>
            </w:tcBorders>
            <w:shd w:val="clear" w:color="auto" w:fill="DDEBF7"/>
            <w:hideMark/>
          </w:tcPr>
          <w:p w14:paraId="216C5D2A" w14:textId="4905FF57" w:rsidR="00234883" w:rsidRPr="00074E64" w:rsidRDefault="00234883" w:rsidP="002702D1">
            <w:pPr>
              <w:spacing w:before="100" w:beforeAutospacing="1" w:after="100" w:afterAutospacing="1"/>
              <w:rPr>
                <w:rFonts w:eastAsia="Times New Roman"/>
                <w:color w:val="auto"/>
                <w:sz w:val="20"/>
                <w:lang w:val="en-US" w:eastAsia="en-US"/>
              </w:rPr>
            </w:pPr>
            <w:r w:rsidRPr="00074E64">
              <w:rPr>
                <w:sz w:val="20"/>
              </w:rPr>
              <w:t>PU Pipe in Pipe</w:t>
            </w:r>
          </w:p>
        </w:tc>
        <w:tc>
          <w:tcPr>
            <w:tcW w:w="864" w:type="dxa"/>
            <w:tcBorders>
              <w:top w:val="nil"/>
              <w:left w:val="single" w:sz="8" w:space="0" w:color="auto"/>
              <w:bottom w:val="single" w:sz="4" w:space="0" w:color="auto"/>
              <w:right w:val="single" w:sz="4" w:space="0" w:color="auto"/>
            </w:tcBorders>
            <w:shd w:val="clear" w:color="auto" w:fill="FFFFFF" w:themeFill="background1"/>
            <w:vAlign w:val="center"/>
            <w:hideMark/>
          </w:tcPr>
          <w:p w14:paraId="553EDFA2" w14:textId="525470E0" w:rsidR="00234883" w:rsidRPr="00074E64" w:rsidRDefault="00234883" w:rsidP="002702D1">
            <w:pPr>
              <w:spacing w:before="100" w:beforeAutospacing="1" w:after="100" w:afterAutospacing="1"/>
              <w:jc w:val="center"/>
              <w:rPr>
                <w:rFonts w:eastAsia="Times New Roman"/>
                <w:color w:val="auto"/>
                <w:sz w:val="20"/>
                <w:lang w:val="en-US" w:eastAsia="en-US"/>
              </w:rPr>
            </w:pPr>
            <w:r w:rsidRPr="00074E64">
              <w:rPr>
                <w:sz w:val="20"/>
              </w:rPr>
              <w:t>3</w:t>
            </w:r>
          </w:p>
        </w:tc>
        <w:tc>
          <w:tcPr>
            <w:tcW w:w="1114" w:type="dxa"/>
            <w:tcBorders>
              <w:top w:val="nil"/>
              <w:left w:val="nil"/>
              <w:bottom w:val="single" w:sz="4" w:space="0" w:color="auto"/>
              <w:right w:val="single" w:sz="4" w:space="0" w:color="auto"/>
            </w:tcBorders>
            <w:shd w:val="clear" w:color="auto" w:fill="FFFFFF" w:themeFill="background1"/>
            <w:vAlign w:val="center"/>
            <w:hideMark/>
          </w:tcPr>
          <w:p w14:paraId="68163FB6" w14:textId="694BA499" w:rsidR="00234883" w:rsidRPr="00074E64" w:rsidRDefault="00234883" w:rsidP="002702D1">
            <w:pPr>
              <w:spacing w:before="100" w:beforeAutospacing="1" w:after="100" w:afterAutospacing="1"/>
              <w:jc w:val="center"/>
              <w:rPr>
                <w:rFonts w:eastAsia="Times New Roman"/>
                <w:color w:val="auto"/>
                <w:sz w:val="20"/>
                <w:lang w:val="en-US" w:eastAsia="en-US"/>
              </w:rPr>
            </w:pPr>
            <w:r w:rsidRPr="00074E64">
              <w:rPr>
                <w:sz w:val="20"/>
              </w:rPr>
              <w:t>15</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38971E9B" w14:textId="706B252F" w:rsidR="00234883" w:rsidRPr="00BF2B75" w:rsidRDefault="00234883" w:rsidP="002702D1">
            <w:pPr>
              <w:spacing w:before="100" w:beforeAutospacing="1" w:after="100" w:afterAutospacing="1"/>
              <w:jc w:val="center"/>
              <w:rPr>
                <w:rFonts w:eastAsia="Times New Roman"/>
                <w:color w:val="auto"/>
                <w:sz w:val="20"/>
                <w:lang w:val="en-US" w:eastAsia="en-US"/>
              </w:rPr>
            </w:pPr>
            <w:r w:rsidRPr="00BF2B75">
              <w:rPr>
                <w:sz w:val="20"/>
              </w:rPr>
              <w:t>10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187DF2F5" w14:textId="597E814C" w:rsidR="00234883" w:rsidRPr="00BF2B75" w:rsidRDefault="00234883" w:rsidP="002702D1">
            <w:pPr>
              <w:spacing w:before="100" w:beforeAutospacing="1" w:after="100" w:afterAutospacing="1"/>
              <w:jc w:val="center"/>
              <w:rPr>
                <w:rFonts w:eastAsia="Times New Roman"/>
                <w:color w:val="auto"/>
                <w:sz w:val="20"/>
                <w:lang w:val="en-US" w:eastAsia="en-US"/>
              </w:rPr>
            </w:pPr>
            <w:r w:rsidRPr="00BF2B75">
              <w:rPr>
                <w:sz w:val="20"/>
              </w:rPr>
              <w:t>25</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32DE61E5" w14:textId="653318F3" w:rsidR="00234883" w:rsidRPr="00074E64" w:rsidRDefault="00234883" w:rsidP="002702D1">
            <w:pPr>
              <w:spacing w:before="100" w:beforeAutospacing="1" w:after="100" w:afterAutospacing="1"/>
              <w:jc w:val="center"/>
              <w:rPr>
                <w:rFonts w:eastAsia="Times New Roman"/>
                <w:color w:val="auto"/>
                <w:sz w:val="20"/>
                <w:lang w:val="en-US" w:eastAsia="en-US"/>
              </w:rPr>
            </w:pPr>
            <w:r w:rsidRPr="00074E64">
              <w:rPr>
                <w:sz w:val="20"/>
              </w:rPr>
              <w:t>20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185E4D35" w14:textId="74510208" w:rsidR="00234883" w:rsidRPr="00074E64" w:rsidRDefault="00234883" w:rsidP="002702D1">
            <w:pPr>
              <w:spacing w:before="100" w:beforeAutospacing="1" w:after="100" w:afterAutospacing="1"/>
              <w:jc w:val="center"/>
              <w:rPr>
                <w:rFonts w:eastAsia="Times New Roman"/>
                <w:color w:val="auto"/>
                <w:sz w:val="20"/>
                <w:lang w:val="en-US" w:eastAsia="en-US"/>
              </w:rPr>
            </w:pPr>
            <w:r w:rsidRPr="00074E64">
              <w:rPr>
                <w:sz w:val="20"/>
              </w:rPr>
              <w:t>1</w:t>
            </w:r>
          </w:p>
        </w:tc>
      </w:tr>
      <w:tr w:rsidR="00234883" w:rsidRPr="00074E64" w14:paraId="5D412CB8" w14:textId="77777777" w:rsidTr="00132BBC">
        <w:trPr>
          <w:trHeight w:val="264"/>
        </w:trPr>
        <w:tc>
          <w:tcPr>
            <w:tcW w:w="1556" w:type="dxa"/>
            <w:tcBorders>
              <w:top w:val="nil"/>
              <w:left w:val="single" w:sz="8" w:space="0" w:color="auto"/>
              <w:bottom w:val="single" w:sz="4" w:space="0" w:color="auto"/>
              <w:right w:val="nil"/>
            </w:tcBorders>
            <w:shd w:val="clear" w:color="auto" w:fill="DDEBF7"/>
            <w:hideMark/>
          </w:tcPr>
          <w:p w14:paraId="3A420E4C" w14:textId="65054AB4" w:rsidR="00234883" w:rsidRPr="00074E64" w:rsidRDefault="00234883" w:rsidP="002702D1">
            <w:pPr>
              <w:spacing w:before="100" w:beforeAutospacing="1" w:after="100" w:afterAutospacing="1"/>
              <w:rPr>
                <w:rFonts w:eastAsia="Times New Roman"/>
                <w:color w:val="auto"/>
                <w:sz w:val="20"/>
                <w:lang w:val="en-US" w:eastAsia="en-US"/>
              </w:rPr>
            </w:pPr>
            <w:r w:rsidRPr="00074E64">
              <w:rPr>
                <w:sz w:val="20"/>
              </w:rPr>
              <w:t>PU Block &amp; Pipe</w:t>
            </w:r>
          </w:p>
        </w:tc>
        <w:tc>
          <w:tcPr>
            <w:tcW w:w="864" w:type="dxa"/>
            <w:tcBorders>
              <w:top w:val="nil"/>
              <w:left w:val="single" w:sz="8" w:space="0" w:color="auto"/>
              <w:bottom w:val="single" w:sz="4" w:space="0" w:color="auto"/>
              <w:right w:val="single" w:sz="4" w:space="0" w:color="auto"/>
            </w:tcBorders>
            <w:shd w:val="clear" w:color="auto" w:fill="FFFFFF" w:themeFill="background1"/>
            <w:vAlign w:val="center"/>
            <w:hideMark/>
          </w:tcPr>
          <w:p w14:paraId="132B5B3E" w14:textId="543A80FB" w:rsidR="00234883" w:rsidRPr="00074E64" w:rsidRDefault="00234883" w:rsidP="002702D1">
            <w:pPr>
              <w:spacing w:before="100" w:beforeAutospacing="1" w:after="100" w:afterAutospacing="1"/>
              <w:jc w:val="center"/>
              <w:rPr>
                <w:rFonts w:eastAsia="Times New Roman"/>
                <w:color w:val="auto"/>
                <w:sz w:val="20"/>
                <w:lang w:val="en-US" w:eastAsia="en-US"/>
              </w:rPr>
            </w:pPr>
            <w:r w:rsidRPr="00074E64">
              <w:rPr>
                <w:sz w:val="20"/>
              </w:rPr>
              <w:t>3</w:t>
            </w:r>
          </w:p>
        </w:tc>
        <w:tc>
          <w:tcPr>
            <w:tcW w:w="1114" w:type="dxa"/>
            <w:tcBorders>
              <w:top w:val="nil"/>
              <w:left w:val="nil"/>
              <w:bottom w:val="single" w:sz="4" w:space="0" w:color="auto"/>
              <w:right w:val="single" w:sz="4" w:space="0" w:color="auto"/>
            </w:tcBorders>
            <w:shd w:val="clear" w:color="auto" w:fill="FFFFFF" w:themeFill="background1"/>
            <w:vAlign w:val="center"/>
            <w:hideMark/>
          </w:tcPr>
          <w:p w14:paraId="01582701" w14:textId="4B7E7E3B" w:rsidR="00234883" w:rsidRPr="00074E64" w:rsidRDefault="00234883" w:rsidP="002702D1">
            <w:pPr>
              <w:spacing w:before="100" w:beforeAutospacing="1" w:after="100" w:afterAutospacing="1"/>
              <w:jc w:val="center"/>
              <w:rPr>
                <w:rFonts w:eastAsia="Times New Roman"/>
                <w:color w:val="auto"/>
                <w:sz w:val="20"/>
                <w:lang w:val="en-US" w:eastAsia="en-US"/>
              </w:rPr>
            </w:pPr>
            <w:r w:rsidRPr="00074E64">
              <w:rPr>
                <w:sz w:val="20"/>
              </w:rPr>
              <w:t>15</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2DDCFDCC" w14:textId="62C7F25A" w:rsidR="00234883" w:rsidRPr="00BF2B75" w:rsidRDefault="00234883" w:rsidP="002702D1">
            <w:pPr>
              <w:spacing w:before="100" w:beforeAutospacing="1" w:after="100" w:afterAutospacing="1"/>
              <w:jc w:val="center"/>
              <w:rPr>
                <w:rFonts w:eastAsia="Times New Roman"/>
                <w:color w:val="auto"/>
                <w:sz w:val="20"/>
                <w:lang w:val="en-US" w:eastAsia="en-US"/>
              </w:rPr>
            </w:pPr>
            <w:r w:rsidRPr="00BF2B75">
              <w:rPr>
                <w:sz w:val="20"/>
              </w:rPr>
              <w:t>45</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120149F0" w14:textId="2BA953DE" w:rsidR="00234883" w:rsidRPr="00BF2B75" w:rsidRDefault="00234883" w:rsidP="002702D1">
            <w:pPr>
              <w:spacing w:before="100" w:beforeAutospacing="1" w:after="100" w:afterAutospacing="1"/>
              <w:jc w:val="center"/>
              <w:rPr>
                <w:rFonts w:eastAsia="Times New Roman"/>
                <w:color w:val="auto"/>
                <w:sz w:val="20"/>
                <w:lang w:val="en-US" w:eastAsia="en-US"/>
              </w:rPr>
            </w:pPr>
            <w:r w:rsidRPr="00BF2B75">
              <w:rPr>
                <w:sz w:val="20"/>
              </w:rPr>
              <w:t>7.5</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567E3E76" w14:textId="1A033814" w:rsidR="00234883" w:rsidRPr="00074E64" w:rsidRDefault="00234883" w:rsidP="002702D1">
            <w:pPr>
              <w:spacing w:before="100" w:beforeAutospacing="1" w:after="100" w:afterAutospacing="1"/>
              <w:jc w:val="center"/>
              <w:rPr>
                <w:rFonts w:eastAsia="Times New Roman"/>
                <w:color w:val="auto"/>
                <w:sz w:val="20"/>
                <w:lang w:val="en-US" w:eastAsia="en-US"/>
              </w:rPr>
            </w:pPr>
            <w:r w:rsidRPr="00074E64">
              <w:rPr>
                <w:sz w:val="20"/>
              </w:rPr>
              <w:t>20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442F14E3" w14:textId="088B153C" w:rsidR="00234883" w:rsidRPr="00074E64" w:rsidRDefault="00234883" w:rsidP="002702D1">
            <w:pPr>
              <w:spacing w:before="100" w:beforeAutospacing="1" w:after="100" w:afterAutospacing="1"/>
              <w:jc w:val="center"/>
              <w:rPr>
                <w:rFonts w:eastAsia="Times New Roman"/>
                <w:color w:val="auto"/>
                <w:sz w:val="20"/>
                <w:lang w:val="en-US" w:eastAsia="en-US"/>
              </w:rPr>
            </w:pPr>
            <w:r w:rsidRPr="00074E64">
              <w:rPr>
                <w:sz w:val="20"/>
              </w:rPr>
              <w:t>1</w:t>
            </w:r>
          </w:p>
        </w:tc>
      </w:tr>
      <w:tr w:rsidR="00234883" w:rsidRPr="00074E64" w14:paraId="2281ED62" w14:textId="77777777" w:rsidTr="00132BBC">
        <w:trPr>
          <w:trHeight w:val="456"/>
        </w:trPr>
        <w:tc>
          <w:tcPr>
            <w:tcW w:w="1556" w:type="dxa"/>
            <w:tcBorders>
              <w:top w:val="nil"/>
              <w:left w:val="single" w:sz="8" w:space="0" w:color="auto"/>
              <w:bottom w:val="single" w:sz="4" w:space="0" w:color="auto"/>
              <w:right w:val="nil"/>
            </w:tcBorders>
            <w:shd w:val="clear" w:color="auto" w:fill="DDEBF7"/>
            <w:hideMark/>
          </w:tcPr>
          <w:p w14:paraId="285D6A09" w14:textId="71FFA54C" w:rsidR="00234883" w:rsidRPr="00074E64" w:rsidRDefault="00234883" w:rsidP="002702D1">
            <w:pPr>
              <w:spacing w:before="100" w:beforeAutospacing="1" w:after="100" w:afterAutospacing="1"/>
              <w:rPr>
                <w:rFonts w:eastAsia="Times New Roman"/>
                <w:color w:val="auto"/>
                <w:sz w:val="20"/>
                <w:lang w:val="en-US" w:eastAsia="en-US"/>
              </w:rPr>
            </w:pPr>
            <w:r w:rsidRPr="00074E64">
              <w:rPr>
                <w:sz w:val="20"/>
              </w:rPr>
              <w:t>PU Block Foam Slab</w:t>
            </w:r>
          </w:p>
        </w:tc>
        <w:tc>
          <w:tcPr>
            <w:tcW w:w="864" w:type="dxa"/>
            <w:tcBorders>
              <w:top w:val="nil"/>
              <w:left w:val="single" w:sz="8" w:space="0" w:color="auto"/>
              <w:bottom w:val="single" w:sz="4" w:space="0" w:color="auto"/>
              <w:right w:val="single" w:sz="4" w:space="0" w:color="auto"/>
            </w:tcBorders>
            <w:shd w:val="clear" w:color="auto" w:fill="FFFFFF" w:themeFill="background1"/>
            <w:vAlign w:val="center"/>
            <w:hideMark/>
          </w:tcPr>
          <w:p w14:paraId="22B990EC" w14:textId="67892C3E" w:rsidR="00234883" w:rsidRPr="00074E64" w:rsidRDefault="00234883" w:rsidP="002702D1">
            <w:pPr>
              <w:spacing w:before="100" w:beforeAutospacing="1" w:after="100" w:afterAutospacing="1"/>
              <w:jc w:val="center"/>
              <w:rPr>
                <w:rFonts w:eastAsia="Times New Roman"/>
                <w:color w:val="auto"/>
                <w:sz w:val="20"/>
                <w:lang w:val="en-US" w:eastAsia="en-US"/>
              </w:rPr>
            </w:pPr>
            <w:r w:rsidRPr="00074E64">
              <w:rPr>
                <w:sz w:val="20"/>
              </w:rPr>
              <w:t>3</w:t>
            </w:r>
          </w:p>
        </w:tc>
        <w:tc>
          <w:tcPr>
            <w:tcW w:w="1114" w:type="dxa"/>
            <w:tcBorders>
              <w:top w:val="nil"/>
              <w:left w:val="nil"/>
              <w:bottom w:val="single" w:sz="4" w:space="0" w:color="auto"/>
              <w:right w:val="single" w:sz="4" w:space="0" w:color="auto"/>
            </w:tcBorders>
            <w:shd w:val="clear" w:color="auto" w:fill="FFFFFF" w:themeFill="background1"/>
            <w:vAlign w:val="center"/>
            <w:hideMark/>
          </w:tcPr>
          <w:p w14:paraId="43F9634F" w14:textId="247BAA1C" w:rsidR="00234883" w:rsidRPr="00074E64" w:rsidRDefault="00234883" w:rsidP="002702D1">
            <w:pPr>
              <w:spacing w:before="100" w:beforeAutospacing="1" w:after="100" w:afterAutospacing="1"/>
              <w:jc w:val="center"/>
              <w:rPr>
                <w:rFonts w:eastAsia="Times New Roman"/>
                <w:color w:val="auto"/>
                <w:sz w:val="20"/>
                <w:lang w:val="en-US" w:eastAsia="en-US"/>
              </w:rPr>
            </w:pPr>
            <w:r w:rsidRPr="00074E64">
              <w:rPr>
                <w:sz w:val="20"/>
              </w:rPr>
              <w:t>15</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5163A2AB" w14:textId="3A322ABF" w:rsidR="00234883" w:rsidRPr="00074E64" w:rsidRDefault="00B11AF7" w:rsidP="002702D1">
            <w:pPr>
              <w:spacing w:before="100" w:beforeAutospacing="1" w:after="100" w:afterAutospacing="1"/>
              <w:jc w:val="center"/>
              <w:rPr>
                <w:rFonts w:eastAsia="Times New Roman"/>
                <w:color w:val="auto"/>
                <w:sz w:val="20"/>
                <w:lang w:val="en-US" w:eastAsia="en-US"/>
              </w:rPr>
            </w:pPr>
            <w:r w:rsidRPr="005A78B3">
              <w:rPr>
                <w:sz w:val="20"/>
              </w:rPr>
              <w:t>15</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76645335" w14:textId="319EBDB3" w:rsidR="00234883" w:rsidRPr="00BF2B75" w:rsidRDefault="00234883" w:rsidP="002702D1">
            <w:pPr>
              <w:spacing w:before="100" w:beforeAutospacing="1" w:after="100" w:afterAutospacing="1"/>
              <w:jc w:val="center"/>
              <w:rPr>
                <w:rFonts w:eastAsia="Times New Roman"/>
                <w:color w:val="auto"/>
                <w:sz w:val="20"/>
                <w:lang w:val="en-US" w:eastAsia="en-US"/>
              </w:rPr>
            </w:pPr>
            <w:r w:rsidRPr="00BF2B75">
              <w:rPr>
                <w:sz w:val="20"/>
              </w:rPr>
              <w:t>1</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01D91756" w14:textId="31E04D7A" w:rsidR="00234883" w:rsidRPr="00074E64" w:rsidRDefault="00234883" w:rsidP="002702D1">
            <w:pPr>
              <w:spacing w:before="100" w:beforeAutospacing="1" w:after="100" w:afterAutospacing="1"/>
              <w:jc w:val="center"/>
              <w:rPr>
                <w:rFonts w:eastAsia="Times New Roman"/>
                <w:color w:val="auto"/>
                <w:sz w:val="20"/>
                <w:lang w:val="en-US" w:eastAsia="en-US"/>
              </w:rPr>
            </w:pPr>
            <w:r w:rsidRPr="00074E64">
              <w:rPr>
                <w:sz w:val="20"/>
              </w:rPr>
              <w:t>20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0060F41F" w14:textId="050905CF" w:rsidR="00234883" w:rsidRPr="00074E64" w:rsidRDefault="00234883" w:rsidP="002702D1">
            <w:pPr>
              <w:spacing w:before="100" w:beforeAutospacing="1" w:after="100" w:afterAutospacing="1"/>
              <w:jc w:val="center"/>
              <w:rPr>
                <w:rFonts w:eastAsia="Times New Roman"/>
                <w:color w:val="auto"/>
                <w:sz w:val="20"/>
                <w:lang w:val="en-US" w:eastAsia="en-US"/>
              </w:rPr>
            </w:pPr>
            <w:r w:rsidRPr="00074E64">
              <w:rPr>
                <w:sz w:val="20"/>
              </w:rPr>
              <w:t>1</w:t>
            </w:r>
          </w:p>
        </w:tc>
      </w:tr>
      <w:tr w:rsidR="00234883" w:rsidRPr="00074E64" w14:paraId="23DCDF6B" w14:textId="77777777" w:rsidTr="00132BBC">
        <w:trPr>
          <w:trHeight w:val="276"/>
        </w:trPr>
        <w:tc>
          <w:tcPr>
            <w:tcW w:w="1556" w:type="dxa"/>
            <w:tcBorders>
              <w:top w:val="nil"/>
              <w:left w:val="single" w:sz="8" w:space="0" w:color="auto"/>
              <w:bottom w:val="single" w:sz="8" w:space="0" w:color="auto"/>
              <w:right w:val="nil"/>
            </w:tcBorders>
            <w:shd w:val="clear" w:color="auto" w:fill="DDEBF7"/>
            <w:hideMark/>
          </w:tcPr>
          <w:p w14:paraId="6D7C81D7" w14:textId="77777777" w:rsidR="00D44163" w:rsidRPr="00074E64" w:rsidRDefault="00D44163" w:rsidP="002702D1">
            <w:pPr>
              <w:spacing w:before="100" w:beforeAutospacing="1" w:after="100" w:afterAutospacing="1"/>
              <w:rPr>
                <w:rFonts w:eastAsia="Times New Roman"/>
                <w:color w:val="auto"/>
                <w:sz w:val="20"/>
                <w:lang w:val="en-US" w:eastAsia="en-US"/>
              </w:rPr>
            </w:pPr>
            <w:r w:rsidRPr="00074E64">
              <w:rPr>
                <w:rFonts w:eastAsia="Times New Roman"/>
                <w:color w:val="auto"/>
                <w:sz w:val="20"/>
                <w:lang w:val="en-US" w:eastAsia="en-US"/>
              </w:rPr>
              <w:t>Integral Skin</w:t>
            </w:r>
          </w:p>
        </w:tc>
        <w:tc>
          <w:tcPr>
            <w:tcW w:w="864" w:type="dxa"/>
            <w:tcBorders>
              <w:top w:val="nil"/>
              <w:left w:val="single" w:sz="8" w:space="0" w:color="auto"/>
              <w:bottom w:val="single" w:sz="8" w:space="0" w:color="auto"/>
              <w:right w:val="single" w:sz="4" w:space="0" w:color="auto"/>
            </w:tcBorders>
            <w:shd w:val="clear" w:color="auto" w:fill="FFFFFF" w:themeFill="background1"/>
            <w:vAlign w:val="center"/>
            <w:hideMark/>
          </w:tcPr>
          <w:p w14:paraId="5C8DFC5B" w14:textId="77777777" w:rsidR="00D44163" w:rsidRPr="00074E64" w:rsidRDefault="00D44163" w:rsidP="002702D1">
            <w:pPr>
              <w:spacing w:before="100" w:beforeAutospacing="1" w:after="100" w:afterAutospacing="1"/>
              <w:jc w:val="center"/>
              <w:rPr>
                <w:rFonts w:eastAsia="Times New Roman"/>
                <w:color w:val="auto"/>
                <w:sz w:val="20"/>
                <w:lang w:val="en-US" w:eastAsia="en-US"/>
              </w:rPr>
            </w:pPr>
            <w:r w:rsidRPr="00074E64">
              <w:rPr>
                <w:rFonts w:eastAsia="Times New Roman"/>
                <w:color w:val="auto"/>
                <w:sz w:val="20"/>
                <w:lang w:val="en-US" w:eastAsia="en-US"/>
              </w:rPr>
              <w:t>3</w:t>
            </w:r>
          </w:p>
        </w:tc>
        <w:tc>
          <w:tcPr>
            <w:tcW w:w="1114" w:type="dxa"/>
            <w:tcBorders>
              <w:top w:val="nil"/>
              <w:left w:val="nil"/>
              <w:bottom w:val="single" w:sz="8" w:space="0" w:color="auto"/>
              <w:right w:val="single" w:sz="4" w:space="0" w:color="auto"/>
            </w:tcBorders>
            <w:shd w:val="clear" w:color="auto" w:fill="FFFFFF" w:themeFill="background1"/>
            <w:vAlign w:val="center"/>
            <w:hideMark/>
          </w:tcPr>
          <w:p w14:paraId="4E171496" w14:textId="77777777" w:rsidR="00D44163" w:rsidRPr="00074E64" w:rsidRDefault="00D44163" w:rsidP="002702D1">
            <w:pPr>
              <w:spacing w:before="100" w:beforeAutospacing="1" w:after="100" w:afterAutospacing="1"/>
              <w:jc w:val="center"/>
              <w:rPr>
                <w:rFonts w:eastAsia="Times New Roman"/>
                <w:color w:val="auto"/>
                <w:sz w:val="20"/>
                <w:lang w:val="en-US" w:eastAsia="en-US"/>
              </w:rPr>
            </w:pPr>
            <w:r w:rsidRPr="00074E64">
              <w:rPr>
                <w:rFonts w:eastAsia="Times New Roman"/>
                <w:color w:val="auto"/>
                <w:sz w:val="20"/>
                <w:lang w:val="en-US" w:eastAsia="en-US"/>
              </w:rPr>
              <w:t>10</w:t>
            </w:r>
          </w:p>
        </w:tc>
        <w:tc>
          <w:tcPr>
            <w:tcW w:w="1134" w:type="dxa"/>
            <w:tcBorders>
              <w:top w:val="nil"/>
              <w:left w:val="nil"/>
              <w:bottom w:val="single" w:sz="8" w:space="0" w:color="auto"/>
              <w:right w:val="single" w:sz="4" w:space="0" w:color="auto"/>
            </w:tcBorders>
            <w:shd w:val="clear" w:color="auto" w:fill="FFFFFF" w:themeFill="background1"/>
            <w:vAlign w:val="center"/>
            <w:hideMark/>
          </w:tcPr>
          <w:p w14:paraId="667D9D0D" w14:textId="46308A6D" w:rsidR="00D44163" w:rsidRPr="00BF2B75" w:rsidRDefault="00D44163" w:rsidP="002702D1">
            <w:pPr>
              <w:spacing w:before="100" w:beforeAutospacing="1" w:after="100" w:afterAutospacing="1"/>
              <w:jc w:val="center"/>
              <w:rPr>
                <w:rFonts w:eastAsia="Times New Roman"/>
                <w:color w:val="auto"/>
                <w:sz w:val="20"/>
                <w:lang w:val="en-US" w:eastAsia="en-US"/>
              </w:rPr>
            </w:pPr>
            <w:r w:rsidRPr="00BF2B75">
              <w:rPr>
                <w:rFonts w:eastAsia="Times New Roman"/>
                <w:color w:val="auto"/>
                <w:sz w:val="20"/>
                <w:lang w:val="en-US" w:eastAsia="en-US"/>
              </w:rPr>
              <w:t>40</w:t>
            </w:r>
          </w:p>
        </w:tc>
        <w:tc>
          <w:tcPr>
            <w:tcW w:w="1134" w:type="dxa"/>
            <w:tcBorders>
              <w:top w:val="nil"/>
              <w:left w:val="nil"/>
              <w:bottom w:val="single" w:sz="8" w:space="0" w:color="auto"/>
              <w:right w:val="single" w:sz="4" w:space="0" w:color="auto"/>
            </w:tcBorders>
            <w:shd w:val="clear" w:color="auto" w:fill="FFFFFF" w:themeFill="background1"/>
            <w:vAlign w:val="center"/>
            <w:hideMark/>
          </w:tcPr>
          <w:p w14:paraId="7BFEDE66" w14:textId="4F3B423A" w:rsidR="00D44163" w:rsidRPr="00BF2B75" w:rsidRDefault="00D44163" w:rsidP="002702D1">
            <w:pPr>
              <w:spacing w:before="100" w:beforeAutospacing="1" w:after="100" w:afterAutospacing="1"/>
              <w:jc w:val="center"/>
              <w:rPr>
                <w:rFonts w:eastAsia="Times New Roman"/>
                <w:color w:val="auto"/>
                <w:sz w:val="20"/>
                <w:lang w:val="en-US" w:eastAsia="en-US"/>
              </w:rPr>
            </w:pPr>
            <w:r w:rsidRPr="00BF2B75">
              <w:rPr>
                <w:rFonts w:eastAsia="Times New Roman"/>
                <w:color w:val="auto"/>
                <w:sz w:val="20"/>
                <w:lang w:val="en-US" w:eastAsia="en-US"/>
              </w:rPr>
              <w:t>2</w:t>
            </w:r>
          </w:p>
        </w:tc>
        <w:tc>
          <w:tcPr>
            <w:tcW w:w="1701" w:type="dxa"/>
            <w:tcBorders>
              <w:top w:val="nil"/>
              <w:left w:val="nil"/>
              <w:bottom w:val="single" w:sz="8" w:space="0" w:color="auto"/>
              <w:right w:val="single" w:sz="4" w:space="0" w:color="auto"/>
            </w:tcBorders>
            <w:shd w:val="clear" w:color="auto" w:fill="FFFFFF" w:themeFill="background1"/>
            <w:vAlign w:val="center"/>
            <w:hideMark/>
          </w:tcPr>
          <w:p w14:paraId="7BA6F7B8" w14:textId="3D555894" w:rsidR="00D44163" w:rsidRPr="00074E64" w:rsidRDefault="00D44163" w:rsidP="002702D1">
            <w:pPr>
              <w:spacing w:before="100" w:beforeAutospacing="1" w:after="100" w:afterAutospacing="1"/>
              <w:jc w:val="center"/>
              <w:rPr>
                <w:rFonts w:eastAsia="Times New Roman"/>
                <w:color w:val="auto"/>
                <w:sz w:val="20"/>
                <w:lang w:val="en-US" w:eastAsia="en-US"/>
              </w:rPr>
            </w:pPr>
            <w:r w:rsidRPr="00074E64">
              <w:rPr>
                <w:rFonts w:eastAsia="Times New Roman"/>
                <w:color w:val="auto"/>
                <w:sz w:val="20"/>
                <w:lang w:val="en-US" w:eastAsia="en-US"/>
              </w:rPr>
              <w:t>20</w:t>
            </w:r>
          </w:p>
        </w:tc>
        <w:tc>
          <w:tcPr>
            <w:tcW w:w="1134" w:type="dxa"/>
            <w:tcBorders>
              <w:top w:val="nil"/>
              <w:left w:val="nil"/>
              <w:bottom w:val="single" w:sz="8" w:space="0" w:color="auto"/>
              <w:right w:val="single" w:sz="4" w:space="0" w:color="auto"/>
            </w:tcBorders>
            <w:shd w:val="clear" w:color="auto" w:fill="FFFFFF" w:themeFill="background1"/>
            <w:vAlign w:val="center"/>
            <w:hideMark/>
          </w:tcPr>
          <w:p w14:paraId="4F7A5A09" w14:textId="0E340394" w:rsidR="00D44163" w:rsidRPr="00074E64" w:rsidRDefault="00D44163" w:rsidP="002702D1">
            <w:pPr>
              <w:spacing w:before="100" w:beforeAutospacing="1" w:after="100" w:afterAutospacing="1"/>
              <w:jc w:val="center"/>
              <w:rPr>
                <w:rFonts w:eastAsia="Times New Roman"/>
                <w:color w:val="auto"/>
                <w:sz w:val="20"/>
                <w:lang w:val="en-US" w:eastAsia="en-US"/>
              </w:rPr>
            </w:pPr>
            <w:r w:rsidRPr="00074E64">
              <w:rPr>
                <w:rFonts w:eastAsia="Times New Roman"/>
                <w:color w:val="auto"/>
                <w:sz w:val="20"/>
                <w:lang w:val="en-US" w:eastAsia="en-US"/>
              </w:rPr>
              <w:t>1.0</w:t>
            </w:r>
          </w:p>
        </w:tc>
      </w:tr>
    </w:tbl>
    <w:p w14:paraId="103BDC96" w14:textId="77777777" w:rsidR="006911DB" w:rsidRDefault="006911DB">
      <w:pPr>
        <w:pStyle w:val="AppendixHeading"/>
        <w:sectPr w:rsidR="006911DB" w:rsidSect="009345EE">
          <w:type w:val="oddPage"/>
          <w:pgSz w:w="11907" w:h="16839" w:code="9"/>
          <w:pgMar w:top="1701" w:right="1797" w:bottom="1871" w:left="1797" w:header="720" w:footer="794" w:gutter="0"/>
          <w:cols w:space="720"/>
          <w:docGrid w:linePitch="299"/>
        </w:sectPr>
      </w:pPr>
    </w:p>
    <w:p w14:paraId="3B6374C3" w14:textId="234FCE5F" w:rsidR="00901C33" w:rsidRPr="00074E64" w:rsidRDefault="00412110">
      <w:pPr>
        <w:pStyle w:val="AppendixHeading"/>
      </w:pPr>
      <w:bookmarkStart w:id="192" w:name="_Toc73045647"/>
      <w:r w:rsidRPr="00074E64">
        <w:lastRenderedPageBreak/>
        <w:t>Appendix 5:</w:t>
      </w:r>
      <w:r w:rsidR="00225058">
        <w:tab/>
      </w:r>
      <w:r w:rsidR="00901C33" w:rsidRPr="00074E64">
        <w:t xml:space="preserve">2006 FTOC Assessment </w:t>
      </w:r>
      <w:r w:rsidR="00155378" w:rsidRPr="00074E64">
        <w:t>report regional summaries</w:t>
      </w:r>
      <w:bookmarkEnd w:id="192"/>
    </w:p>
    <w:p w14:paraId="0E5A77FD" w14:textId="7301C7E4" w:rsidR="00B13499" w:rsidRPr="002702D1" w:rsidRDefault="00B13499" w:rsidP="002702D1">
      <w:pPr>
        <w:pStyle w:val="FigureandTableTitle"/>
      </w:pPr>
      <w:r w:rsidRPr="002702D1">
        <w:t>Table A</w:t>
      </w:r>
      <w:r w:rsidR="002702D1" w:rsidRPr="002702D1">
        <w:t>5</w:t>
      </w:r>
      <w:r w:rsidRPr="002702D1">
        <w:t>.</w:t>
      </w:r>
      <w:r w:rsidR="002702D1" w:rsidRPr="002702D1">
        <w:t>1</w:t>
      </w:r>
      <w:r w:rsidR="002702D1" w:rsidRPr="002702D1">
        <w:tab/>
      </w:r>
      <w:r w:rsidRPr="002702D1">
        <w:t>Regions in 2006 FTOC Assessment Report</w:t>
      </w:r>
    </w:p>
    <w:tbl>
      <w:tblPr>
        <w:tblStyle w:val="TableGrid"/>
        <w:tblW w:w="0" w:type="auto"/>
        <w:tblLook w:val="04A0" w:firstRow="1" w:lastRow="0" w:firstColumn="1" w:lastColumn="0" w:noHBand="0" w:noVBand="1"/>
      </w:tblPr>
      <w:tblGrid>
        <w:gridCol w:w="8303"/>
      </w:tblGrid>
      <w:tr w:rsidR="00B663E2" w14:paraId="7A65A34F" w14:textId="77777777" w:rsidTr="00B663E2">
        <w:tc>
          <w:tcPr>
            <w:tcW w:w="8303" w:type="dxa"/>
          </w:tcPr>
          <w:p w14:paraId="3C8FF98E" w14:textId="57BB14BC" w:rsidR="00B663E2" w:rsidRPr="00B663E2" w:rsidRDefault="00B663E2" w:rsidP="002702D1">
            <w:pPr>
              <w:spacing w:before="120" w:after="120"/>
              <w:rPr>
                <w:rFonts w:eastAsia="Times New Roman"/>
                <w:color w:val="auto"/>
                <w:lang w:eastAsia="en-US"/>
              </w:rPr>
            </w:pPr>
            <w:r w:rsidRPr="007212E4">
              <w:rPr>
                <w:rFonts w:eastAsia="Times New Roman"/>
                <w:color w:val="auto"/>
                <w:lang w:eastAsia="en-US"/>
              </w:rPr>
              <w:t xml:space="preserve">Latin America Caribbean (LAC): Antigua and Barbuda, Argentina, Bahamas, Barbados, Belize, Bolivia, Brazil, Chile, Colombia, Costa Rica, Cuba, Dominica, Dominican Republic, Ecuador, El Salvador, Grenada, Guatemala, Guyana, Haiti, Honduras, Jamaica, Mexico, Nicaragua, Panama, Paraguay, Peru, Saint Kitts and Nevis, Saint Lucia, Saint Vincent and The Grenadines, Suriname, Trinidad and Tobago, Uruguay, Venezuela. </w:t>
            </w:r>
          </w:p>
        </w:tc>
      </w:tr>
      <w:tr w:rsidR="00CF67BB" w14:paraId="7BE3F5F6" w14:textId="77777777" w:rsidTr="00B663E2">
        <w:tc>
          <w:tcPr>
            <w:tcW w:w="8303" w:type="dxa"/>
          </w:tcPr>
          <w:p w14:paraId="12951219" w14:textId="731873D5" w:rsidR="00CF67BB" w:rsidRPr="007212E4" w:rsidRDefault="00CF67BB" w:rsidP="002702D1">
            <w:pPr>
              <w:spacing w:before="120" w:after="120"/>
              <w:rPr>
                <w:rFonts w:eastAsia="Times New Roman"/>
                <w:color w:val="auto"/>
                <w:lang w:eastAsia="en-US"/>
              </w:rPr>
            </w:pPr>
            <w:r w:rsidRPr="007212E4">
              <w:rPr>
                <w:rFonts w:eastAsia="Times New Roman"/>
                <w:color w:val="auto"/>
                <w:lang w:eastAsia="en-US"/>
              </w:rPr>
              <w:t xml:space="preserve">Middle East/North Africa (MENA): Algeria, Bahrain, Egypt, Iran, Islamic Republic, Iran, Islamic Republic of Iraq, Israel, Jordan, Kuwait, Lebanon, Libyan Arab Jamahiriya, Mauritania, Morocco, Oman, Palestine, Qatar, Saudi Arabia, Syrian Arab Republic, Tunisia, Turkey, United Arab Emirates, Yemen. </w:t>
            </w:r>
          </w:p>
        </w:tc>
      </w:tr>
      <w:tr w:rsidR="00CF67BB" w14:paraId="1A98105E" w14:textId="77777777" w:rsidTr="00B663E2">
        <w:tc>
          <w:tcPr>
            <w:tcW w:w="8303" w:type="dxa"/>
          </w:tcPr>
          <w:p w14:paraId="3EC805EC" w14:textId="26AE95D3" w:rsidR="00CF67BB" w:rsidRPr="007212E4" w:rsidRDefault="00CF67BB" w:rsidP="002702D1">
            <w:pPr>
              <w:spacing w:before="120" w:after="120"/>
              <w:rPr>
                <w:rFonts w:eastAsia="Times New Roman"/>
                <w:color w:val="auto"/>
                <w:lang w:eastAsia="en-US"/>
              </w:rPr>
            </w:pPr>
            <w:r w:rsidRPr="007212E4">
              <w:rPr>
                <w:rFonts w:eastAsia="Times New Roman"/>
                <w:color w:val="auto"/>
                <w:lang w:eastAsia="en-US"/>
              </w:rPr>
              <w:t xml:space="preserve">Sub-Saharan Africa (SSA): Angola, Benin, Botswana, Burkina Faso, Burundi, Cameroon, Cape Verde, Central African Republic, Chad, Comoros, Congo, Congo, Democratic Republic of, Cote d'Ivoire, Djibouti, Equatorial Guinea, Eritrea, Ethiopia, Gabon, Gambia, Ghana, Guinea, Guinea-Bissau, Kenya, Lesotho, Liberia, Madagascar, Malawi, Mali, Mauritius, Mozambique, Namibia, Niger, Nigeria, Rwanda, Sao Tome and Principe, Senegal, Seychelles, Sierra Leone, Somalia, South Africa, Sudan, </w:t>
            </w:r>
            <w:r w:rsidR="00E2501A">
              <w:rPr>
                <w:rFonts w:eastAsia="Times New Roman"/>
                <w:color w:val="auto"/>
                <w:lang w:eastAsia="en-US"/>
              </w:rPr>
              <w:t>Eswatini</w:t>
            </w:r>
            <w:r w:rsidRPr="007212E4">
              <w:rPr>
                <w:rFonts w:eastAsia="Times New Roman"/>
                <w:color w:val="auto"/>
                <w:lang w:eastAsia="en-US"/>
              </w:rPr>
              <w:t>, Tanzania, United Republic of Togo, Uganda, Zambia, Zimbabwe</w:t>
            </w:r>
          </w:p>
        </w:tc>
      </w:tr>
      <w:tr w:rsidR="00B663E2" w14:paraId="634846CC" w14:textId="77777777" w:rsidTr="00B663E2">
        <w:tc>
          <w:tcPr>
            <w:tcW w:w="8303" w:type="dxa"/>
          </w:tcPr>
          <w:p w14:paraId="28370F07" w14:textId="0BFB1462" w:rsidR="00B663E2" w:rsidRPr="00B663E2" w:rsidRDefault="00B663E2" w:rsidP="002702D1">
            <w:pPr>
              <w:spacing w:before="120" w:after="120"/>
              <w:rPr>
                <w:rFonts w:eastAsia="Times New Roman"/>
                <w:color w:val="auto"/>
                <w:lang w:eastAsia="en-US"/>
              </w:rPr>
            </w:pPr>
            <w:r w:rsidRPr="007212E4">
              <w:rPr>
                <w:rFonts w:eastAsia="Times New Roman"/>
                <w:color w:val="auto"/>
                <w:lang w:eastAsia="en-US"/>
              </w:rPr>
              <w:t>Countries with Economies in Transition (CEIT): Armenia, Azerbaijan, Belarus, Georgia, Kazakhstan, Kyrgyzstan, Russian Federation, Tajikistan, Turkmenistan, Ukraine, Uzbekistan</w:t>
            </w:r>
          </w:p>
        </w:tc>
      </w:tr>
      <w:tr w:rsidR="00B663E2" w14:paraId="79877FEE" w14:textId="77777777" w:rsidTr="00B663E2">
        <w:tc>
          <w:tcPr>
            <w:tcW w:w="8303" w:type="dxa"/>
          </w:tcPr>
          <w:p w14:paraId="66D0F658" w14:textId="053CE0AB" w:rsidR="00B663E2" w:rsidRPr="00B663E2" w:rsidRDefault="00B663E2" w:rsidP="002702D1">
            <w:pPr>
              <w:spacing w:before="120" w:after="120"/>
              <w:rPr>
                <w:rFonts w:eastAsia="Times New Roman"/>
                <w:color w:val="auto"/>
                <w:lang w:eastAsia="en-US"/>
              </w:rPr>
            </w:pPr>
            <w:r w:rsidRPr="007212E4">
              <w:rPr>
                <w:rFonts w:eastAsia="Times New Roman"/>
                <w:color w:val="auto"/>
                <w:lang w:eastAsia="en-US"/>
              </w:rPr>
              <w:t>North America: Canada, USA</w:t>
            </w:r>
          </w:p>
        </w:tc>
      </w:tr>
      <w:tr w:rsidR="00B663E2" w14:paraId="4FC6FF8D" w14:textId="77777777" w:rsidTr="00B663E2">
        <w:tc>
          <w:tcPr>
            <w:tcW w:w="8303" w:type="dxa"/>
          </w:tcPr>
          <w:p w14:paraId="0346D787" w14:textId="28EBDBA4" w:rsidR="00B663E2" w:rsidRPr="007212E4" w:rsidRDefault="00CF67BB" w:rsidP="002702D1">
            <w:pPr>
              <w:spacing w:before="120" w:after="120"/>
              <w:rPr>
                <w:rFonts w:eastAsia="Times New Roman"/>
                <w:color w:val="auto"/>
                <w:lang w:eastAsia="en-US"/>
              </w:rPr>
            </w:pPr>
            <w:r w:rsidRPr="007212E4">
              <w:rPr>
                <w:rFonts w:eastAsia="Times New Roman"/>
                <w:color w:val="auto"/>
                <w:lang w:eastAsia="en-US"/>
              </w:rPr>
              <w:t>Japan: Japan</w:t>
            </w:r>
          </w:p>
        </w:tc>
      </w:tr>
      <w:tr w:rsidR="00B663E2" w14:paraId="6BCB1231" w14:textId="77777777" w:rsidTr="00B663E2">
        <w:tc>
          <w:tcPr>
            <w:tcW w:w="8303" w:type="dxa"/>
          </w:tcPr>
          <w:p w14:paraId="5E43D83A" w14:textId="6FABBCF8" w:rsidR="00B663E2" w:rsidRPr="00B663E2" w:rsidRDefault="00B663E2" w:rsidP="002702D1">
            <w:pPr>
              <w:spacing w:before="120" w:after="120"/>
              <w:rPr>
                <w:rFonts w:eastAsia="Times New Roman"/>
                <w:color w:val="auto"/>
                <w:lang w:eastAsia="en-US"/>
              </w:rPr>
            </w:pPr>
            <w:r w:rsidRPr="007212E4">
              <w:rPr>
                <w:rFonts w:eastAsia="Times New Roman"/>
                <w:color w:val="auto"/>
                <w:lang w:eastAsia="en-US"/>
              </w:rPr>
              <w:t>South-East Asia (SEA): Brunei Darussalam, Cambodia, Indonesia, Lao People's Democratic Republic, Malaysia, Myanmar, Philippines, Singapore, Thailand, Viet Nam.</w:t>
            </w:r>
          </w:p>
        </w:tc>
      </w:tr>
      <w:tr w:rsidR="00B663E2" w14:paraId="72533CA8" w14:textId="77777777" w:rsidTr="00B663E2">
        <w:tc>
          <w:tcPr>
            <w:tcW w:w="8303" w:type="dxa"/>
          </w:tcPr>
          <w:p w14:paraId="6885DBEF" w14:textId="12B68184" w:rsidR="00B663E2" w:rsidRDefault="00B663E2" w:rsidP="002702D1">
            <w:pPr>
              <w:spacing w:before="120" w:after="120"/>
              <w:rPr>
                <w:color w:val="000000" w:themeColor="text1"/>
                <w:lang w:val="en-US"/>
              </w:rPr>
            </w:pPr>
            <w:r w:rsidRPr="007212E4">
              <w:rPr>
                <w:rFonts w:eastAsia="Times New Roman"/>
                <w:color w:val="auto"/>
                <w:lang w:eastAsia="en-US"/>
              </w:rPr>
              <w:t>North-East Asia (NEA): China, Mongolia, North Korea, South Korea</w:t>
            </w:r>
          </w:p>
        </w:tc>
      </w:tr>
      <w:tr w:rsidR="00B663E2" w14:paraId="1D95E121" w14:textId="77777777" w:rsidTr="00B663E2">
        <w:tc>
          <w:tcPr>
            <w:tcW w:w="8303" w:type="dxa"/>
          </w:tcPr>
          <w:p w14:paraId="7E4AFB41" w14:textId="6FD6C367" w:rsidR="00B663E2" w:rsidRPr="00B663E2" w:rsidRDefault="00B663E2" w:rsidP="002702D1">
            <w:pPr>
              <w:spacing w:before="120" w:after="120"/>
              <w:rPr>
                <w:rFonts w:eastAsia="Times New Roman"/>
                <w:color w:val="auto"/>
                <w:lang w:eastAsia="en-US"/>
              </w:rPr>
            </w:pPr>
            <w:r w:rsidRPr="007212E4">
              <w:rPr>
                <w:rFonts w:eastAsia="Times New Roman"/>
                <w:color w:val="auto"/>
                <w:lang w:eastAsia="en-US"/>
              </w:rPr>
              <w:t>Australia, New Zealand &amp; The Pacific (ANZP): Australia, Cook Islands, Fiji, Kiribati, Marshall Islands, Micronesia, Nauru, New Zealand, Niue, Palau, Papua New Guinea, Samoa, Solomon Islands, Tonga, Tuvalu, Vanuatu</w:t>
            </w:r>
            <w:r w:rsidR="0076055D">
              <w:rPr>
                <w:rFonts w:eastAsia="Times New Roman"/>
                <w:color w:val="auto"/>
                <w:lang w:eastAsia="en-US"/>
              </w:rPr>
              <w:t xml:space="preserve"> </w:t>
            </w:r>
          </w:p>
        </w:tc>
      </w:tr>
      <w:tr w:rsidR="00B663E2" w14:paraId="526B22E6" w14:textId="77777777" w:rsidTr="00B663E2">
        <w:tc>
          <w:tcPr>
            <w:tcW w:w="8303" w:type="dxa"/>
          </w:tcPr>
          <w:p w14:paraId="19EA73DA" w14:textId="6C1687AF" w:rsidR="00B663E2" w:rsidRPr="00B663E2" w:rsidRDefault="00B663E2" w:rsidP="002702D1">
            <w:pPr>
              <w:spacing w:before="120" w:after="120"/>
              <w:rPr>
                <w:rFonts w:eastAsia="Times New Roman"/>
                <w:color w:val="auto"/>
                <w:lang w:eastAsia="en-US"/>
              </w:rPr>
            </w:pPr>
            <w:r w:rsidRPr="007212E4">
              <w:rPr>
                <w:rFonts w:eastAsia="Times New Roman"/>
                <w:color w:val="auto"/>
                <w:lang w:eastAsia="en-US"/>
              </w:rPr>
              <w:t>Europe: Albania, Andorra, Austria, Bosnia and Herzegovina, Belgium, Bulgaria, Croatia, Cyprus, Czech Republic, Denmark, Estonia, Finland, France, Germany, Greece, Holy See, Hungary, Latvia, Iceland, Ireland, Italy, Liechtenstein, Lithuania, Luxembourg, Macedonia, Malta, Moldova, Monaco, Netherlands, Norway, Poland, Portugal, Romania, San Marino, Slovakia, Slovenia, Spain, Sweden, Switzerland, United Kingdom, Yugoslavia</w:t>
            </w:r>
          </w:p>
        </w:tc>
      </w:tr>
      <w:tr w:rsidR="00B663E2" w14:paraId="2DEBCEF8" w14:textId="77777777" w:rsidTr="00B663E2">
        <w:tc>
          <w:tcPr>
            <w:tcW w:w="8303" w:type="dxa"/>
          </w:tcPr>
          <w:p w14:paraId="7326ADF0" w14:textId="1BD5F16F" w:rsidR="00B663E2" w:rsidRPr="00B663E2" w:rsidRDefault="00B663E2" w:rsidP="002702D1">
            <w:pPr>
              <w:spacing w:before="120" w:after="120"/>
              <w:rPr>
                <w:rFonts w:eastAsia="Times New Roman"/>
                <w:color w:val="auto"/>
                <w:lang w:eastAsia="en-US"/>
              </w:rPr>
            </w:pPr>
            <w:r w:rsidRPr="007212E4">
              <w:rPr>
                <w:rFonts w:eastAsia="Times New Roman"/>
                <w:color w:val="auto"/>
                <w:lang w:eastAsia="en-US"/>
              </w:rPr>
              <w:t>South/Central Asia (SCA): Afghanistan, Bangladesh, Bhutan, India, Maldives, Nepal, Pakistan, Sri Lanka.</w:t>
            </w:r>
          </w:p>
        </w:tc>
      </w:tr>
    </w:tbl>
    <w:p w14:paraId="22A1C14B" w14:textId="77777777" w:rsidR="001A3C33" w:rsidRDefault="001A3C33" w:rsidP="00325979">
      <w:pPr>
        <w:spacing w:line="259" w:lineRule="auto"/>
        <w:rPr>
          <w:color w:val="000000" w:themeColor="text1"/>
          <w:lang w:val="en-US"/>
        </w:rPr>
      </w:pPr>
    </w:p>
    <w:p w14:paraId="04796837" w14:textId="77777777" w:rsidR="00E1136B" w:rsidRDefault="00E1136B" w:rsidP="00325979">
      <w:pPr>
        <w:spacing w:line="259" w:lineRule="auto"/>
        <w:rPr>
          <w:color w:val="000000" w:themeColor="text1"/>
          <w:lang w:val="en-US"/>
        </w:rPr>
        <w:sectPr w:rsidR="00E1136B" w:rsidSect="009345EE">
          <w:type w:val="oddPage"/>
          <w:pgSz w:w="11907" w:h="16839" w:code="9"/>
          <w:pgMar w:top="1701" w:right="1797" w:bottom="1871" w:left="1797" w:header="720" w:footer="794" w:gutter="0"/>
          <w:cols w:space="720"/>
          <w:docGrid w:linePitch="299"/>
        </w:sectPr>
      </w:pPr>
    </w:p>
    <w:p w14:paraId="2B0AB728" w14:textId="3754C9AF" w:rsidR="00325979" w:rsidRDefault="00901C33" w:rsidP="00132BBC">
      <w:pPr>
        <w:pStyle w:val="AppendixHeading"/>
      </w:pPr>
      <w:bookmarkStart w:id="193" w:name="_Toc73045648"/>
      <w:r>
        <w:lastRenderedPageBreak/>
        <w:t xml:space="preserve">Appendix </w:t>
      </w:r>
      <w:r w:rsidR="0084718E">
        <w:t>6</w:t>
      </w:r>
      <w:r>
        <w:t>:</w:t>
      </w:r>
      <w:r w:rsidR="00225058">
        <w:tab/>
      </w:r>
      <w:r w:rsidR="00A17C61">
        <w:t xml:space="preserve">Polyurethane </w:t>
      </w:r>
      <w:r w:rsidR="00220F59">
        <w:t xml:space="preserve">foam blowing agent </w:t>
      </w:r>
      <w:r w:rsidR="00A17C61">
        <w:t xml:space="preserve">CFC-11 </w:t>
      </w:r>
      <w:r w:rsidR="00220F59">
        <w:t>replacement</w:t>
      </w:r>
      <w:bookmarkEnd w:id="193"/>
    </w:p>
    <w:p w14:paraId="3428DEF8" w14:textId="331A04F2" w:rsidR="00A92136" w:rsidRPr="00A92136" w:rsidRDefault="00BD0C6F" w:rsidP="00220F59">
      <w:pPr>
        <w:rPr>
          <w:lang w:val="en-US"/>
        </w:rPr>
      </w:pPr>
      <w:r>
        <w:rPr>
          <w:lang w:val="en-US"/>
        </w:rPr>
        <w:t xml:space="preserve">The transition from CFC-11 to HCFC-141b was examined to look </w:t>
      </w:r>
      <w:r w:rsidR="00417D7A">
        <w:rPr>
          <w:lang w:val="en-US"/>
        </w:rPr>
        <w:t xml:space="preserve">for anomalies in </w:t>
      </w:r>
      <w:r w:rsidR="00D425CB">
        <w:rPr>
          <w:lang w:val="en-US"/>
        </w:rPr>
        <w:t>t</w:t>
      </w:r>
      <w:r w:rsidR="00417D7A">
        <w:rPr>
          <w:lang w:val="en-US"/>
        </w:rPr>
        <w:t xml:space="preserve">he Task Force models. None were determined based on this brief analysis. </w:t>
      </w:r>
      <w:r w:rsidR="00F22C15">
        <w:rPr>
          <w:lang w:val="en-US"/>
        </w:rPr>
        <w:t xml:space="preserve">The matrix below also highlights the comparatively small quantities of CFC-11 and HCFC-141b usage in many regions. </w:t>
      </w:r>
      <w:r w:rsidR="00DF4204">
        <w:rPr>
          <w:lang w:val="en-US"/>
        </w:rPr>
        <w:t xml:space="preserve">Of note, </w:t>
      </w:r>
      <w:r w:rsidR="00144108">
        <w:rPr>
          <w:lang w:val="en-US"/>
        </w:rPr>
        <w:t>non-Article 5</w:t>
      </w:r>
      <w:r w:rsidR="00DF4204">
        <w:rPr>
          <w:lang w:val="en-US"/>
        </w:rPr>
        <w:t xml:space="preserve"> parties fluorocarbon usage as a foam blowing agent w</w:t>
      </w:r>
      <w:r w:rsidR="008D5C65">
        <w:rPr>
          <w:lang w:val="en-US"/>
        </w:rPr>
        <w:t>a</w:t>
      </w:r>
      <w:r w:rsidR="00DF4204">
        <w:rPr>
          <w:lang w:val="en-US"/>
        </w:rPr>
        <w:t>s reduced considerably</w:t>
      </w:r>
      <w:r w:rsidR="008D5C65">
        <w:rPr>
          <w:lang w:val="en-US"/>
        </w:rPr>
        <w:t xml:space="preserve"> during the transition to HCFCs and also to HFCs. This report notes earlier that </w:t>
      </w:r>
      <w:r w:rsidR="00763946">
        <w:rPr>
          <w:lang w:val="en-US"/>
        </w:rPr>
        <w:t xml:space="preserve">the </w:t>
      </w:r>
      <w:r w:rsidR="000C0AA2">
        <w:rPr>
          <w:lang w:val="en-US"/>
        </w:rPr>
        <w:t xml:space="preserve">global </w:t>
      </w:r>
      <w:r w:rsidR="00763946">
        <w:rPr>
          <w:lang w:val="en-US"/>
        </w:rPr>
        <w:t xml:space="preserve">capacity of HFCs used as blowing agents in closed-cell foams was less than </w:t>
      </w:r>
      <w:r w:rsidR="000C0AA2">
        <w:rPr>
          <w:lang w:val="en-US"/>
        </w:rPr>
        <w:t xml:space="preserve">45 </w:t>
      </w:r>
      <w:proofErr w:type="spellStart"/>
      <w:r w:rsidR="000C0AA2">
        <w:rPr>
          <w:lang w:val="en-US"/>
        </w:rPr>
        <w:t>kilotonnes</w:t>
      </w:r>
      <w:proofErr w:type="spellEnd"/>
      <w:r w:rsidR="000C0AA2">
        <w:rPr>
          <w:lang w:val="en-US"/>
        </w:rPr>
        <w:t xml:space="preserve"> until 2018.</w:t>
      </w:r>
    </w:p>
    <w:p w14:paraId="2E2CFFA3" w14:textId="77777777" w:rsidR="002068A9" w:rsidRPr="00220F59" w:rsidRDefault="002068A9" w:rsidP="00220F59">
      <w:pPr>
        <w:rPr>
          <w:b/>
          <w:bCs/>
          <w:lang w:val="en-US"/>
        </w:rPr>
      </w:pPr>
      <w:r w:rsidRPr="00220F59">
        <w:rPr>
          <w:b/>
          <w:bCs/>
          <w:lang w:val="en-US"/>
        </w:rPr>
        <w:t>Global Consumption of CFC-11 and HCFC-141b</w:t>
      </w:r>
    </w:p>
    <w:p w14:paraId="0F57DE98" w14:textId="38D4A414" w:rsidR="002068A9" w:rsidRDefault="002068A9" w:rsidP="00220F59">
      <w:pPr>
        <w:rPr>
          <w:lang w:val="en-US"/>
        </w:rPr>
      </w:pPr>
      <w:r>
        <w:rPr>
          <w:lang w:val="en-US"/>
        </w:rPr>
        <w:t xml:space="preserve">Global consumption of CFC-11 and HCFC-141b were compared as transitions occurred in the various foam regions determined by </w:t>
      </w:r>
      <w:r w:rsidR="004A1A97">
        <w:rPr>
          <w:lang w:val="en-US"/>
        </w:rPr>
        <w:t>FTOC</w:t>
      </w:r>
      <w:r>
        <w:rPr>
          <w:lang w:val="en-US"/>
        </w:rPr>
        <w:t xml:space="preserve"> in 2006 for their Assessment Report and noted here by region to further confirm the reasonable range of assumptions for foam models. The regions are identified below. A Weibull distribution of 2 was used for refrigerated containers because of their generally short lifecycle. </w:t>
      </w:r>
    </w:p>
    <w:p w14:paraId="4BCDDF22" w14:textId="3B089544" w:rsidR="00417D7A" w:rsidRPr="00220F59" w:rsidRDefault="00542E80" w:rsidP="00220F59">
      <w:pPr>
        <w:pStyle w:val="FigureandTableTitle"/>
      </w:pPr>
      <w:r w:rsidRPr="00220F59">
        <w:t>Figure</w:t>
      </w:r>
      <w:r w:rsidR="00417D7A" w:rsidRPr="00220F59">
        <w:t xml:space="preserve"> A</w:t>
      </w:r>
      <w:r w:rsidR="0084718E">
        <w:t>6</w:t>
      </w:r>
      <w:r w:rsidR="00417D7A" w:rsidRPr="00220F59">
        <w:t>.</w:t>
      </w:r>
      <w:r w:rsidR="00220F59" w:rsidRPr="00220F59">
        <w:t>1</w:t>
      </w:r>
      <w:r w:rsidR="00220F59" w:rsidRPr="00220F59">
        <w:tab/>
      </w:r>
      <w:r w:rsidR="00417D7A" w:rsidRPr="00220F59">
        <w:t xml:space="preserve">CFC-11 and HCFC-141b </w:t>
      </w:r>
      <w:r w:rsidR="00220F59">
        <w:t>c</w:t>
      </w:r>
      <w:r w:rsidR="00417D7A" w:rsidRPr="00220F59">
        <w:t>onsumption</w:t>
      </w:r>
      <w:r w:rsidR="00646D86">
        <w:t xml:space="preserve"> (tonnes)</w:t>
      </w:r>
    </w:p>
    <w:p w14:paraId="552145E2" w14:textId="77777777" w:rsidR="00325979" w:rsidRDefault="00325979" w:rsidP="00325979">
      <w:pPr>
        <w:spacing w:line="259" w:lineRule="auto"/>
        <w:rPr>
          <w:color w:val="000000" w:themeColor="text1"/>
          <w:lang w:val="en-US"/>
        </w:rPr>
      </w:pPr>
      <w:r>
        <w:rPr>
          <w:noProof/>
        </w:rPr>
        <w:drawing>
          <wp:inline distT="0" distB="0" distL="0" distR="0" wp14:anchorId="4CEAB125" wp14:editId="015DAB8E">
            <wp:extent cx="5205903" cy="3303917"/>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68">
                      <a:extLst>
                        <a:ext uri="{28A0092B-C50C-407E-A947-70E740481C1C}">
                          <a14:useLocalDpi xmlns:a14="http://schemas.microsoft.com/office/drawing/2010/main" val="0"/>
                        </a:ext>
                      </a:extLst>
                    </a:blip>
                    <a:stretch>
                      <a:fillRect/>
                    </a:stretch>
                  </pic:blipFill>
                  <pic:spPr>
                    <a:xfrm>
                      <a:off x="0" y="0"/>
                      <a:ext cx="5205903" cy="3303917"/>
                    </a:xfrm>
                    <a:prstGeom prst="rect">
                      <a:avLst/>
                    </a:prstGeom>
                  </pic:spPr>
                </pic:pic>
              </a:graphicData>
            </a:graphic>
          </wp:inline>
        </w:drawing>
      </w:r>
    </w:p>
    <w:p w14:paraId="7882CC76" w14:textId="77777777" w:rsidR="00325979" w:rsidRDefault="00325979" w:rsidP="00325979">
      <w:pPr>
        <w:spacing w:line="259" w:lineRule="auto"/>
        <w:rPr>
          <w:color w:val="000000" w:themeColor="text1"/>
          <w:lang w:val="en-US"/>
        </w:rPr>
      </w:pPr>
    </w:p>
    <w:p w14:paraId="4C956DF5" w14:textId="2BEE140F" w:rsidR="00FC351F" w:rsidRDefault="00542E80" w:rsidP="00220F59">
      <w:pPr>
        <w:pStyle w:val="FigureandTableTitle"/>
      </w:pPr>
      <w:r>
        <w:lastRenderedPageBreak/>
        <w:t xml:space="preserve">Figure </w:t>
      </w:r>
      <w:r w:rsidR="00FC351F">
        <w:t>A</w:t>
      </w:r>
      <w:r w:rsidR="0084718E">
        <w:t>6</w:t>
      </w:r>
      <w:r w:rsidR="00FC351F">
        <w:t>.</w:t>
      </w:r>
      <w:r w:rsidR="00220F59">
        <w:t>2</w:t>
      </w:r>
      <w:r w:rsidR="00220F59">
        <w:tab/>
      </w:r>
      <w:r w:rsidR="00FC351F">
        <w:t xml:space="preserve">CFC-11 and HCFC-141b </w:t>
      </w:r>
      <w:r w:rsidR="00220F59">
        <w:t>c</w:t>
      </w:r>
      <w:r w:rsidR="00FC351F">
        <w:t xml:space="preserve">onsumption in </w:t>
      </w:r>
      <w:r w:rsidR="000E22D7">
        <w:t>Article 5</w:t>
      </w:r>
      <w:r w:rsidR="00FC351F">
        <w:t xml:space="preserve"> parties </w:t>
      </w:r>
      <w:r w:rsidR="00646D86">
        <w:t>(tonnes)</w:t>
      </w:r>
    </w:p>
    <w:p w14:paraId="68DE1403" w14:textId="2FD45BD5" w:rsidR="001E7EBC" w:rsidRDefault="6C7EC4CF" w:rsidP="6C7EC4CF">
      <w:r>
        <w:rPr>
          <w:noProof/>
        </w:rPr>
        <w:drawing>
          <wp:inline distT="0" distB="0" distL="0" distR="0" wp14:anchorId="2ACCF0B0" wp14:editId="56C448A2">
            <wp:extent cx="4972694" cy="3183209"/>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69">
                      <a:extLst>
                        <a:ext uri="{28A0092B-C50C-407E-A947-70E740481C1C}">
                          <a14:useLocalDpi xmlns:a14="http://schemas.microsoft.com/office/drawing/2010/main" val="0"/>
                        </a:ext>
                      </a:extLst>
                    </a:blip>
                    <a:stretch>
                      <a:fillRect/>
                    </a:stretch>
                  </pic:blipFill>
                  <pic:spPr>
                    <a:xfrm>
                      <a:off x="0" y="0"/>
                      <a:ext cx="4972694" cy="3183209"/>
                    </a:xfrm>
                    <a:prstGeom prst="rect">
                      <a:avLst/>
                    </a:prstGeom>
                  </pic:spPr>
                </pic:pic>
              </a:graphicData>
            </a:graphic>
          </wp:inline>
        </w:drawing>
      </w:r>
    </w:p>
    <w:p w14:paraId="5812C412" w14:textId="77777777" w:rsidR="006911DB" w:rsidRDefault="006911DB" w:rsidP="00CA7412"/>
    <w:p w14:paraId="196F0424" w14:textId="591287B7" w:rsidR="00356A6A" w:rsidRDefault="00542E80" w:rsidP="00220F59">
      <w:pPr>
        <w:pStyle w:val="FigureandTableTitle"/>
      </w:pPr>
      <w:r>
        <w:t>Figure</w:t>
      </w:r>
      <w:r w:rsidR="00FC351F">
        <w:t xml:space="preserve"> A</w:t>
      </w:r>
      <w:r w:rsidR="0084718E">
        <w:t>6</w:t>
      </w:r>
      <w:r w:rsidR="00220F59">
        <w:t>.3</w:t>
      </w:r>
      <w:r w:rsidR="00220F59">
        <w:tab/>
      </w:r>
      <w:r w:rsidR="00FC351F">
        <w:t xml:space="preserve"> CFC-11 and HCFC-141b </w:t>
      </w:r>
      <w:r w:rsidR="00220F59">
        <w:t>c</w:t>
      </w:r>
      <w:r w:rsidR="00FC351F">
        <w:t xml:space="preserve">onsumption in </w:t>
      </w:r>
      <w:r w:rsidR="00144108">
        <w:t>non-Article 5</w:t>
      </w:r>
      <w:r w:rsidR="00FC351F">
        <w:t xml:space="preserve"> parties</w:t>
      </w:r>
      <w:r w:rsidR="00646D86">
        <w:t xml:space="preserve"> (tonnes)</w:t>
      </w:r>
    </w:p>
    <w:p w14:paraId="0D3A348B" w14:textId="0281B16E" w:rsidR="00356A6A" w:rsidRDefault="00356A6A" w:rsidP="6C7EC4CF">
      <w:r>
        <w:rPr>
          <w:noProof/>
        </w:rPr>
        <w:drawing>
          <wp:inline distT="0" distB="0" distL="0" distR="0" wp14:anchorId="448071A6" wp14:editId="49FF7CDC">
            <wp:extent cx="5278754" cy="274764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70">
                      <a:extLst>
                        <a:ext uri="{28A0092B-C50C-407E-A947-70E740481C1C}">
                          <a14:useLocalDpi xmlns:a14="http://schemas.microsoft.com/office/drawing/2010/main" val="0"/>
                        </a:ext>
                      </a:extLst>
                    </a:blip>
                    <a:stretch>
                      <a:fillRect/>
                    </a:stretch>
                  </pic:blipFill>
                  <pic:spPr>
                    <a:xfrm>
                      <a:off x="0" y="0"/>
                      <a:ext cx="5278754" cy="2747645"/>
                    </a:xfrm>
                    <a:prstGeom prst="rect">
                      <a:avLst/>
                    </a:prstGeom>
                  </pic:spPr>
                </pic:pic>
              </a:graphicData>
            </a:graphic>
          </wp:inline>
        </w:drawing>
      </w:r>
    </w:p>
    <w:p w14:paraId="657ED6EE" w14:textId="77777777" w:rsidR="00D4782B" w:rsidRDefault="00D4782B">
      <w:pPr>
        <w:spacing w:after="0"/>
        <w:rPr>
          <w:b/>
          <w:bCs/>
          <w:lang w:val="en-AU"/>
        </w:rPr>
      </w:pPr>
      <w:r>
        <w:br w:type="page"/>
      </w:r>
    </w:p>
    <w:p w14:paraId="1569ED12" w14:textId="48530B55" w:rsidR="00D25D7A" w:rsidRPr="00D4782B" w:rsidRDefault="00542E80" w:rsidP="00D4782B">
      <w:pPr>
        <w:pStyle w:val="FigureandTableTitle"/>
      </w:pPr>
      <w:r w:rsidRPr="00D4782B">
        <w:lastRenderedPageBreak/>
        <w:t xml:space="preserve">Figure </w:t>
      </w:r>
      <w:r w:rsidR="00F85B5E" w:rsidRPr="00D4782B">
        <w:t>A</w:t>
      </w:r>
      <w:r w:rsidR="0084718E">
        <w:t>6</w:t>
      </w:r>
      <w:r w:rsidR="00D4782B">
        <w:t>.4</w:t>
      </w:r>
      <w:r w:rsidR="00D4782B">
        <w:tab/>
      </w:r>
      <w:r w:rsidR="00873A40" w:rsidRPr="00D4782B">
        <w:t>Regional</w:t>
      </w:r>
      <w:r w:rsidR="00BB7EB0" w:rsidRPr="00D4782B">
        <w:t xml:space="preserve"> </w:t>
      </w:r>
      <w:r w:rsidR="00C27ECE" w:rsidRPr="00D4782B">
        <w:t xml:space="preserve">CFC-11 and HCFC-141b </w:t>
      </w:r>
      <w:r w:rsidR="00D4782B">
        <w:t>c</w:t>
      </w:r>
      <w:r w:rsidR="00C27ECE" w:rsidRPr="00D4782B">
        <w:t>onsumption</w:t>
      </w:r>
      <w:r w:rsidR="00584366">
        <w:t xml:space="preserve"> (tonnes)</w:t>
      </w:r>
    </w:p>
    <w:tbl>
      <w:tblPr>
        <w:tblStyle w:val="TableGrid"/>
        <w:tblW w:w="0" w:type="auto"/>
        <w:jc w:val="center"/>
        <w:tblLook w:val="04A0" w:firstRow="1" w:lastRow="0" w:firstColumn="1" w:lastColumn="0" w:noHBand="0" w:noVBand="1"/>
      </w:tblPr>
      <w:tblGrid>
        <w:gridCol w:w="3804"/>
        <w:gridCol w:w="4499"/>
      </w:tblGrid>
      <w:tr w:rsidR="000C3CFF" w14:paraId="1ACCF46A" w14:textId="77777777" w:rsidTr="2FE2C3C9">
        <w:trPr>
          <w:jc w:val="center"/>
        </w:trPr>
        <w:tc>
          <w:tcPr>
            <w:tcW w:w="3804" w:type="dxa"/>
          </w:tcPr>
          <w:p w14:paraId="75085264" w14:textId="77777777" w:rsidR="00305189" w:rsidRDefault="00305189" w:rsidP="00C27ECE">
            <w:pPr>
              <w:spacing w:line="259" w:lineRule="auto"/>
              <w:jc w:val="center"/>
              <w:rPr>
                <w:color w:val="000000" w:themeColor="text1"/>
                <w:lang w:val="en-US"/>
              </w:rPr>
            </w:pPr>
            <w:r>
              <w:rPr>
                <w:color w:val="000000" w:themeColor="text1"/>
                <w:lang w:val="en-US"/>
              </w:rPr>
              <w:t>CEIT</w:t>
            </w:r>
          </w:p>
          <w:p w14:paraId="2E6A5946" w14:textId="7BB74F22" w:rsidR="00305189" w:rsidRDefault="00305189" w:rsidP="00C27ECE">
            <w:pPr>
              <w:spacing w:line="259" w:lineRule="auto"/>
              <w:rPr>
                <w:color w:val="000000" w:themeColor="text1"/>
                <w:lang w:val="en-US"/>
              </w:rPr>
            </w:pPr>
            <w:r>
              <w:rPr>
                <w:noProof/>
              </w:rPr>
              <w:drawing>
                <wp:inline distT="0" distB="0" distL="0" distR="0" wp14:anchorId="19C9C5DD" wp14:editId="4FEFACB8">
                  <wp:extent cx="2077616" cy="1102164"/>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71">
                            <a:extLst>
                              <a:ext uri="{28A0092B-C50C-407E-A947-70E740481C1C}">
                                <a14:useLocalDpi xmlns:a14="http://schemas.microsoft.com/office/drawing/2010/main" val="0"/>
                              </a:ext>
                            </a:extLst>
                          </a:blip>
                          <a:stretch>
                            <a:fillRect/>
                          </a:stretch>
                        </pic:blipFill>
                        <pic:spPr>
                          <a:xfrm>
                            <a:off x="0" y="0"/>
                            <a:ext cx="2077616" cy="1102164"/>
                          </a:xfrm>
                          <a:prstGeom prst="rect">
                            <a:avLst/>
                          </a:prstGeom>
                        </pic:spPr>
                      </pic:pic>
                    </a:graphicData>
                  </a:graphic>
                </wp:inline>
              </w:drawing>
            </w:r>
          </w:p>
        </w:tc>
        <w:tc>
          <w:tcPr>
            <w:tcW w:w="4499" w:type="dxa"/>
          </w:tcPr>
          <w:p w14:paraId="46EC1B2A" w14:textId="328F8BFF" w:rsidR="00305189" w:rsidRDefault="00012476" w:rsidP="00C27ECE">
            <w:pPr>
              <w:spacing w:line="259" w:lineRule="auto"/>
              <w:jc w:val="center"/>
              <w:rPr>
                <w:color w:val="000000" w:themeColor="text1"/>
                <w:lang w:val="en-US"/>
              </w:rPr>
            </w:pPr>
            <w:r>
              <w:rPr>
                <w:color w:val="000000" w:themeColor="text1"/>
                <w:lang w:val="en-US"/>
              </w:rPr>
              <w:t>European Union</w:t>
            </w:r>
          </w:p>
          <w:p w14:paraId="40EFAD65" w14:textId="4A36AE48" w:rsidR="00305189" w:rsidRDefault="00305189" w:rsidP="00C27ECE">
            <w:pPr>
              <w:spacing w:line="259" w:lineRule="auto"/>
              <w:jc w:val="center"/>
              <w:rPr>
                <w:color w:val="000000" w:themeColor="text1"/>
                <w:lang w:val="en-US"/>
              </w:rPr>
            </w:pPr>
            <w:r>
              <w:rPr>
                <w:noProof/>
              </w:rPr>
              <w:drawing>
                <wp:inline distT="0" distB="0" distL="0" distR="0" wp14:anchorId="2EC8DCFE" wp14:editId="64B8F68A">
                  <wp:extent cx="2622127" cy="1099256"/>
                  <wp:effectExtent l="0" t="0" r="6985"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72">
                            <a:extLst>
                              <a:ext uri="{28A0092B-C50C-407E-A947-70E740481C1C}">
                                <a14:useLocalDpi xmlns:a14="http://schemas.microsoft.com/office/drawing/2010/main" val="0"/>
                              </a:ext>
                            </a:extLst>
                          </a:blip>
                          <a:stretch>
                            <a:fillRect/>
                          </a:stretch>
                        </pic:blipFill>
                        <pic:spPr>
                          <a:xfrm>
                            <a:off x="0" y="0"/>
                            <a:ext cx="2622127" cy="1099256"/>
                          </a:xfrm>
                          <a:prstGeom prst="rect">
                            <a:avLst/>
                          </a:prstGeom>
                        </pic:spPr>
                      </pic:pic>
                    </a:graphicData>
                  </a:graphic>
                </wp:inline>
              </w:drawing>
            </w:r>
          </w:p>
        </w:tc>
      </w:tr>
      <w:tr w:rsidR="00402AF9" w14:paraId="13CC2099" w14:textId="77777777" w:rsidTr="2FE2C3C9">
        <w:trPr>
          <w:jc w:val="center"/>
        </w:trPr>
        <w:tc>
          <w:tcPr>
            <w:tcW w:w="3804" w:type="dxa"/>
          </w:tcPr>
          <w:p w14:paraId="6D59DEC8" w14:textId="77777777" w:rsidR="00402AF9" w:rsidRDefault="00402AF9" w:rsidP="00402AF9">
            <w:pPr>
              <w:spacing w:line="259" w:lineRule="auto"/>
              <w:jc w:val="center"/>
              <w:rPr>
                <w:color w:val="000000" w:themeColor="text1"/>
                <w:lang w:val="en-US"/>
              </w:rPr>
            </w:pPr>
            <w:r>
              <w:rPr>
                <w:color w:val="000000" w:themeColor="text1"/>
                <w:lang w:val="en-US"/>
              </w:rPr>
              <w:t>SEA</w:t>
            </w:r>
          </w:p>
          <w:p w14:paraId="470C9F2D" w14:textId="2BC490B3" w:rsidR="00402AF9" w:rsidRDefault="00402AF9" w:rsidP="00402AF9">
            <w:pPr>
              <w:spacing w:line="259" w:lineRule="auto"/>
              <w:jc w:val="center"/>
              <w:rPr>
                <w:color w:val="000000" w:themeColor="text1"/>
                <w:lang w:val="en-US"/>
              </w:rPr>
            </w:pPr>
            <w:r>
              <w:rPr>
                <w:noProof/>
              </w:rPr>
              <w:drawing>
                <wp:inline distT="0" distB="0" distL="0" distR="0" wp14:anchorId="2EEFE830" wp14:editId="3664B6F2">
                  <wp:extent cx="2239184" cy="933061"/>
                  <wp:effectExtent l="0" t="0" r="889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73">
                            <a:extLst>
                              <a:ext uri="{28A0092B-C50C-407E-A947-70E740481C1C}">
                                <a14:useLocalDpi xmlns:a14="http://schemas.microsoft.com/office/drawing/2010/main" val="0"/>
                              </a:ext>
                            </a:extLst>
                          </a:blip>
                          <a:stretch>
                            <a:fillRect/>
                          </a:stretch>
                        </pic:blipFill>
                        <pic:spPr>
                          <a:xfrm>
                            <a:off x="0" y="0"/>
                            <a:ext cx="2239184" cy="933061"/>
                          </a:xfrm>
                          <a:prstGeom prst="rect">
                            <a:avLst/>
                          </a:prstGeom>
                        </pic:spPr>
                      </pic:pic>
                    </a:graphicData>
                  </a:graphic>
                </wp:inline>
              </w:drawing>
            </w:r>
          </w:p>
        </w:tc>
        <w:tc>
          <w:tcPr>
            <w:tcW w:w="4499" w:type="dxa"/>
          </w:tcPr>
          <w:p w14:paraId="79A9D35A" w14:textId="77777777" w:rsidR="00402AF9" w:rsidRDefault="00402AF9" w:rsidP="00402AF9">
            <w:pPr>
              <w:spacing w:line="259" w:lineRule="auto"/>
              <w:jc w:val="center"/>
              <w:rPr>
                <w:color w:val="000000" w:themeColor="text1"/>
                <w:lang w:val="en-US"/>
              </w:rPr>
            </w:pPr>
            <w:r>
              <w:rPr>
                <w:color w:val="000000" w:themeColor="text1"/>
                <w:lang w:val="en-US"/>
              </w:rPr>
              <w:t>SSA</w:t>
            </w:r>
          </w:p>
          <w:p w14:paraId="4A4352CB" w14:textId="031E23FA" w:rsidR="00402AF9" w:rsidRDefault="00402AF9" w:rsidP="00402AF9">
            <w:pPr>
              <w:spacing w:line="259" w:lineRule="auto"/>
              <w:jc w:val="center"/>
              <w:rPr>
                <w:color w:val="000000" w:themeColor="text1"/>
                <w:lang w:val="en-US"/>
              </w:rPr>
            </w:pPr>
            <w:r>
              <w:rPr>
                <w:noProof/>
              </w:rPr>
              <w:drawing>
                <wp:inline distT="0" distB="0" distL="0" distR="0" wp14:anchorId="3656E019" wp14:editId="1D06F30E">
                  <wp:extent cx="2649893" cy="110515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74">
                            <a:extLst>
                              <a:ext uri="{28A0092B-C50C-407E-A947-70E740481C1C}">
                                <a14:useLocalDpi xmlns:a14="http://schemas.microsoft.com/office/drawing/2010/main" val="0"/>
                              </a:ext>
                            </a:extLst>
                          </a:blip>
                          <a:stretch>
                            <a:fillRect/>
                          </a:stretch>
                        </pic:blipFill>
                        <pic:spPr>
                          <a:xfrm>
                            <a:off x="0" y="0"/>
                            <a:ext cx="2649893" cy="1105158"/>
                          </a:xfrm>
                          <a:prstGeom prst="rect">
                            <a:avLst/>
                          </a:prstGeom>
                        </pic:spPr>
                      </pic:pic>
                    </a:graphicData>
                  </a:graphic>
                </wp:inline>
              </w:drawing>
            </w:r>
          </w:p>
        </w:tc>
      </w:tr>
      <w:tr w:rsidR="00402AF9" w14:paraId="6A240BED" w14:textId="77777777" w:rsidTr="2FE2C3C9">
        <w:trPr>
          <w:jc w:val="center"/>
        </w:trPr>
        <w:tc>
          <w:tcPr>
            <w:tcW w:w="3804" w:type="dxa"/>
          </w:tcPr>
          <w:p w14:paraId="53AE064C" w14:textId="77777777" w:rsidR="00402AF9" w:rsidRDefault="00402AF9" w:rsidP="00402AF9">
            <w:pPr>
              <w:spacing w:line="259" w:lineRule="auto"/>
              <w:jc w:val="center"/>
              <w:rPr>
                <w:color w:val="000000" w:themeColor="text1"/>
                <w:lang w:val="en-US"/>
              </w:rPr>
            </w:pPr>
            <w:r>
              <w:rPr>
                <w:color w:val="000000" w:themeColor="text1"/>
                <w:lang w:val="en-US"/>
              </w:rPr>
              <w:t>NEA</w:t>
            </w:r>
          </w:p>
          <w:p w14:paraId="3C760600" w14:textId="56347723" w:rsidR="00402AF9" w:rsidRDefault="00402AF9" w:rsidP="00402AF9">
            <w:pPr>
              <w:spacing w:line="259" w:lineRule="auto"/>
              <w:jc w:val="center"/>
              <w:rPr>
                <w:color w:val="000000" w:themeColor="text1"/>
                <w:lang w:val="en-US"/>
              </w:rPr>
            </w:pPr>
            <w:r>
              <w:rPr>
                <w:noProof/>
              </w:rPr>
              <w:drawing>
                <wp:inline distT="0" distB="0" distL="0" distR="0" wp14:anchorId="35CB5846" wp14:editId="2640CD48">
                  <wp:extent cx="2313991" cy="98344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75">
                            <a:extLst>
                              <a:ext uri="{28A0092B-C50C-407E-A947-70E740481C1C}">
                                <a14:useLocalDpi xmlns:a14="http://schemas.microsoft.com/office/drawing/2010/main" val="0"/>
                              </a:ext>
                            </a:extLst>
                          </a:blip>
                          <a:stretch>
                            <a:fillRect/>
                          </a:stretch>
                        </pic:blipFill>
                        <pic:spPr>
                          <a:xfrm>
                            <a:off x="0" y="0"/>
                            <a:ext cx="2313991" cy="983440"/>
                          </a:xfrm>
                          <a:prstGeom prst="rect">
                            <a:avLst/>
                          </a:prstGeom>
                        </pic:spPr>
                      </pic:pic>
                    </a:graphicData>
                  </a:graphic>
                </wp:inline>
              </w:drawing>
            </w:r>
          </w:p>
        </w:tc>
        <w:tc>
          <w:tcPr>
            <w:tcW w:w="4499" w:type="dxa"/>
          </w:tcPr>
          <w:p w14:paraId="16D0FA6E" w14:textId="0F693F42" w:rsidR="00402AF9" w:rsidRDefault="2FE2C3C9" w:rsidP="00BB7EB0">
            <w:pPr>
              <w:spacing w:line="259" w:lineRule="auto"/>
              <w:jc w:val="center"/>
              <w:rPr>
                <w:color w:val="000000" w:themeColor="text1"/>
                <w:lang w:val="en-US"/>
              </w:rPr>
            </w:pPr>
            <w:r w:rsidRPr="2FE2C3C9">
              <w:rPr>
                <w:color w:val="000000" w:themeColor="text1"/>
                <w:lang w:val="en-US"/>
              </w:rPr>
              <w:t>SCA</w:t>
            </w:r>
            <w:r w:rsidR="1A6C7BA6">
              <w:rPr>
                <w:noProof/>
              </w:rPr>
              <w:drawing>
                <wp:inline distT="0" distB="0" distL="0" distR="0" wp14:anchorId="0446A7F4" wp14:editId="21A15DD6">
                  <wp:extent cx="2475722" cy="1013161"/>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76">
                            <a:extLst>
                              <a:ext uri="{28A0092B-C50C-407E-A947-70E740481C1C}">
                                <a14:useLocalDpi xmlns:a14="http://schemas.microsoft.com/office/drawing/2010/main" val="0"/>
                              </a:ext>
                            </a:extLst>
                          </a:blip>
                          <a:stretch>
                            <a:fillRect/>
                          </a:stretch>
                        </pic:blipFill>
                        <pic:spPr>
                          <a:xfrm>
                            <a:off x="0" y="0"/>
                            <a:ext cx="2475722" cy="1013161"/>
                          </a:xfrm>
                          <a:prstGeom prst="rect">
                            <a:avLst/>
                          </a:prstGeom>
                        </pic:spPr>
                      </pic:pic>
                    </a:graphicData>
                  </a:graphic>
                </wp:inline>
              </w:drawing>
            </w:r>
          </w:p>
        </w:tc>
      </w:tr>
      <w:tr w:rsidR="00402AF9" w14:paraId="71432D4C" w14:textId="77777777" w:rsidTr="2FE2C3C9">
        <w:trPr>
          <w:jc w:val="center"/>
        </w:trPr>
        <w:tc>
          <w:tcPr>
            <w:tcW w:w="3804" w:type="dxa"/>
          </w:tcPr>
          <w:p w14:paraId="09029583" w14:textId="77777777" w:rsidR="00402AF9" w:rsidRDefault="00402AF9" w:rsidP="00402AF9">
            <w:pPr>
              <w:spacing w:line="259" w:lineRule="auto"/>
              <w:jc w:val="center"/>
              <w:rPr>
                <w:color w:val="000000" w:themeColor="text1"/>
                <w:lang w:val="en-US"/>
              </w:rPr>
            </w:pPr>
            <w:r>
              <w:rPr>
                <w:color w:val="000000" w:themeColor="text1"/>
                <w:lang w:val="en-US"/>
              </w:rPr>
              <w:t>Japan</w:t>
            </w:r>
          </w:p>
          <w:p w14:paraId="43C933FD" w14:textId="432E6967" w:rsidR="00402AF9" w:rsidRDefault="00402AF9" w:rsidP="00402AF9">
            <w:pPr>
              <w:spacing w:line="259" w:lineRule="auto"/>
              <w:jc w:val="center"/>
              <w:rPr>
                <w:color w:val="000000" w:themeColor="text1"/>
                <w:lang w:val="en-US"/>
              </w:rPr>
            </w:pPr>
            <w:r>
              <w:rPr>
                <w:noProof/>
              </w:rPr>
              <w:drawing>
                <wp:inline distT="0" distB="0" distL="0" distR="0" wp14:anchorId="668E71B4" wp14:editId="46568EA0">
                  <wp:extent cx="2202024" cy="908570"/>
                  <wp:effectExtent l="0" t="0" r="8255"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77">
                            <a:extLst>
                              <a:ext uri="{28A0092B-C50C-407E-A947-70E740481C1C}">
                                <a14:useLocalDpi xmlns:a14="http://schemas.microsoft.com/office/drawing/2010/main" val="0"/>
                              </a:ext>
                            </a:extLst>
                          </a:blip>
                          <a:stretch>
                            <a:fillRect/>
                          </a:stretch>
                        </pic:blipFill>
                        <pic:spPr>
                          <a:xfrm>
                            <a:off x="0" y="0"/>
                            <a:ext cx="2202024" cy="908570"/>
                          </a:xfrm>
                          <a:prstGeom prst="rect">
                            <a:avLst/>
                          </a:prstGeom>
                        </pic:spPr>
                      </pic:pic>
                    </a:graphicData>
                  </a:graphic>
                </wp:inline>
              </w:drawing>
            </w:r>
          </w:p>
        </w:tc>
        <w:tc>
          <w:tcPr>
            <w:tcW w:w="4499" w:type="dxa"/>
          </w:tcPr>
          <w:p w14:paraId="18DC5491" w14:textId="68AC2D2A" w:rsidR="00402AF9" w:rsidRDefault="2FE2C3C9" w:rsidP="00402AF9">
            <w:pPr>
              <w:spacing w:line="259" w:lineRule="auto"/>
              <w:jc w:val="center"/>
              <w:rPr>
                <w:color w:val="000000" w:themeColor="text1"/>
                <w:lang w:val="en-US"/>
              </w:rPr>
            </w:pPr>
            <w:r w:rsidRPr="2FE2C3C9">
              <w:rPr>
                <w:color w:val="000000" w:themeColor="text1"/>
                <w:lang w:val="en-US"/>
              </w:rPr>
              <w:t>LAC</w:t>
            </w:r>
            <w:r w:rsidR="1A6C7BA6">
              <w:rPr>
                <w:noProof/>
              </w:rPr>
              <w:drawing>
                <wp:inline distT="0" distB="0" distL="0" distR="0" wp14:anchorId="50DCC819" wp14:editId="08B14113">
                  <wp:extent cx="2488159" cy="1048481"/>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78">
                            <a:extLst>
                              <a:ext uri="{28A0092B-C50C-407E-A947-70E740481C1C}">
                                <a14:useLocalDpi xmlns:a14="http://schemas.microsoft.com/office/drawing/2010/main" val="0"/>
                              </a:ext>
                            </a:extLst>
                          </a:blip>
                          <a:stretch>
                            <a:fillRect/>
                          </a:stretch>
                        </pic:blipFill>
                        <pic:spPr>
                          <a:xfrm>
                            <a:off x="0" y="0"/>
                            <a:ext cx="2488159" cy="1048481"/>
                          </a:xfrm>
                          <a:prstGeom prst="rect">
                            <a:avLst/>
                          </a:prstGeom>
                        </pic:spPr>
                      </pic:pic>
                    </a:graphicData>
                  </a:graphic>
                </wp:inline>
              </w:drawing>
            </w:r>
          </w:p>
        </w:tc>
      </w:tr>
      <w:tr w:rsidR="00402AF9" w14:paraId="55B7131E" w14:textId="77777777" w:rsidTr="2FE2C3C9">
        <w:trPr>
          <w:jc w:val="center"/>
        </w:trPr>
        <w:tc>
          <w:tcPr>
            <w:tcW w:w="3804" w:type="dxa"/>
          </w:tcPr>
          <w:p w14:paraId="709A3EA9" w14:textId="77777777" w:rsidR="00402AF9" w:rsidRDefault="00402AF9" w:rsidP="00402AF9">
            <w:pPr>
              <w:spacing w:line="259" w:lineRule="auto"/>
              <w:jc w:val="center"/>
              <w:rPr>
                <w:color w:val="000000" w:themeColor="text1"/>
                <w:lang w:val="en-US"/>
              </w:rPr>
            </w:pPr>
            <w:r>
              <w:rPr>
                <w:color w:val="000000" w:themeColor="text1"/>
                <w:lang w:val="en-US"/>
              </w:rPr>
              <w:t>MENA</w:t>
            </w:r>
          </w:p>
          <w:p w14:paraId="392DBBEA" w14:textId="6862C7D6" w:rsidR="00402AF9" w:rsidRDefault="00402AF9" w:rsidP="00402AF9">
            <w:pPr>
              <w:spacing w:line="259" w:lineRule="auto"/>
              <w:jc w:val="center"/>
              <w:rPr>
                <w:color w:val="000000" w:themeColor="text1"/>
                <w:lang w:val="en-US"/>
              </w:rPr>
            </w:pPr>
            <w:r>
              <w:rPr>
                <w:noProof/>
              </w:rPr>
              <w:drawing>
                <wp:inline distT="0" distB="0" distL="0" distR="0" wp14:anchorId="3099530E" wp14:editId="51BF53B1">
                  <wp:extent cx="2149618" cy="895739"/>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79">
                            <a:extLst>
                              <a:ext uri="{28A0092B-C50C-407E-A947-70E740481C1C}">
                                <a14:useLocalDpi xmlns:a14="http://schemas.microsoft.com/office/drawing/2010/main" val="0"/>
                              </a:ext>
                            </a:extLst>
                          </a:blip>
                          <a:stretch>
                            <a:fillRect/>
                          </a:stretch>
                        </pic:blipFill>
                        <pic:spPr>
                          <a:xfrm>
                            <a:off x="0" y="0"/>
                            <a:ext cx="2149618" cy="895739"/>
                          </a:xfrm>
                          <a:prstGeom prst="rect">
                            <a:avLst/>
                          </a:prstGeom>
                        </pic:spPr>
                      </pic:pic>
                    </a:graphicData>
                  </a:graphic>
                </wp:inline>
              </w:drawing>
            </w:r>
          </w:p>
        </w:tc>
        <w:tc>
          <w:tcPr>
            <w:tcW w:w="4499" w:type="dxa"/>
          </w:tcPr>
          <w:p w14:paraId="2A8ECADD" w14:textId="2D1EB381" w:rsidR="00402AF9" w:rsidRDefault="2FE2C3C9" w:rsidP="00402AF9">
            <w:pPr>
              <w:spacing w:line="259" w:lineRule="auto"/>
              <w:jc w:val="center"/>
              <w:rPr>
                <w:color w:val="000000" w:themeColor="text1"/>
                <w:lang w:val="en-US"/>
              </w:rPr>
            </w:pPr>
            <w:r w:rsidRPr="2FE2C3C9">
              <w:rPr>
                <w:color w:val="000000" w:themeColor="text1"/>
                <w:lang w:val="en-US"/>
              </w:rPr>
              <w:t>North America</w:t>
            </w:r>
            <w:r w:rsidR="1A6C7BA6">
              <w:rPr>
                <w:noProof/>
              </w:rPr>
              <w:drawing>
                <wp:inline distT="0" distB="0" distL="0" distR="0" wp14:anchorId="236AD740" wp14:editId="5A69370B">
                  <wp:extent cx="2761862" cy="1145211"/>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80">
                            <a:extLst>
                              <a:ext uri="{28A0092B-C50C-407E-A947-70E740481C1C}">
                                <a14:useLocalDpi xmlns:a14="http://schemas.microsoft.com/office/drawing/2010/main" val="0"/>
                              </a:ext>
                            </a:extLst>
                          </a:blip>
                          <a:stretch>
                            <a:fillRect/>
                          </a:stretch>
                        </pic:blipFill>
                        <pic:spPr>
                          <a:xfrm>
                            <a:off x="0" y="0"/>
                            <a:ext cx="2761862" cy="1145211"/>
                          </a:xfrm>
                          <a:prstGeom prst="rect">
                            <a:avLst/>
                          </a:prstGeom>
                        </pic:spPr>
                      </pic:pic>
                    </a:graphicData>
                  </a:graphic>
                </wp:inline>
              </w:drawing>
            </w:r>
          </w:p>
        </w:tc>
      </w:tr>
      <w:tr w:rsidR="00402AF9" w14:paraId="712F6CF0" w14:textId="77777777" w:rsidTr="000E5938">
        <w:trPr>
          <w:cantSplit/>
          <w:jc w:val="center"/>
        </w:trPr>
        <w:tc>
          <w:tcPr>
            <w:tcW w:w="8303" w:type="dxa"/>
            <w:gridSpan w:val="2"/>
          </w:tcPr>
          <w:p w14:paraId="1F12D293" w14:textId="0E9B3889" w:rsidR="00402AF9" w:rsidRDefault="00402AF9" w:rsidP="00402AF9">
            <w:pPr>
              <w:spacing w:line="259" w:lineRule="auto"/>
              <w:jc w:val="center"/>
              <w:rPr>
                <w:color w:val="000000" w:themeColor="text1"/>
                <w:lang w:val="en-US"/>
              </w:rPr>
            </w:pPr>
            <w:r>
              <w:rPr>
                <w:color w:val="000000" w:themeColor="text1"/>
                <w:lang w:val="en-US"/>
              </w:rPr>
              <w:lastRenderedPageBreak/>
              <w:t>ANZP</w:t>
            </w:r>
          </w:p>
          <w:p w14:paraId="4D4F2AF2" w14:textId="463AE42D" w:rsidR="00402AF9" w:rsidRDefault="00402AF9" w:rsidP="00402AF9">
            <w:pPr>
              <w:spacing w:line="259" w:lineRule="auto"/>
              <w:jc w:val="center"/>
              <w:rPr>
                <w:color w:val="000000" w:themeColor="text1"/>
                <w:lang w:val="en-US"/>
              </w:rPr>
            </w:pPr>
            <w:r>
              <w:rPr>
                <w:noProof/>
              </w:rPr>
              <w:drawing>
                <wp:inline distT="0" distB="0" distL="0" distR="0" wp14:anchorId="0CCF03A1" wp14:editId="72DF95E1">
                  <wp:extent cx="2183364" cy="1090238"/>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81">
                            <a:extLst>
                              <a:ext uri="{28A0092B-C50C-407E-A947-70E740481C1C}">
                                <a14:useLocalDpi xmlns:a14="http://schemas.microsoft.com/office/drawing/2010/main" val="0"/>
                              </a:ext>
                            </a:extLst>
                          </a:blip>
                          <a:stretch>
                            <a:fillRect/>
                          </a:stretch>
                        </pic:blipFill>
                        <pic:spPr>
                          <a:xfrm>
                            <a:off x="0" y="0"/>
                            <a:ext cx="2183364" cy="1090238"/>
                          </a:xfrm>
                          <a:prstGeom prst="rect">
                            <a:avLst/>
                          </a:prstGeom>
                        </pic:spPr>
                      </pic:pic>
                    </a:graphicData>
                  </a:graphic>
                </wp:inline>
              </w:drawing>
            </w:r>
          </w:p>
        </w:tc>
      </w:tr>
    </w:tbl>
    <w:p w14:paraId="02EB6847" w14:textId="1FAE94E5" w:rsidR="00C27ECE" w:rsidRDefault="00C27ECE" w:rsidP="00C27ECE">
      <w:pPr>
        <w:spacing w:line="259" w:lineRule="auto"/>
        <w:rPr>
          <w:color w:val="000000" w:themeColor="text1"/>
          <w:lang w:val="en-US"/>
        </w:rPr>
      </w:pPr>
    </w:p>
    <w:p w14:paraId="3D7A5819" w14:textId="3B8A1FC5" w:rsidR="00BF05F1" w:rsidRPr="00D4782B" w:rsidRDefault="00BF05F1" w:rsidP="00BF05F1">
      <w:pPr>
        <w:pStyle w:val="FigureandTableTitle"/>
      </w:pPr>
      <w:r w:rsidRPr="00D4782B">
        <w:t>Figure A</w:t>
      </w:r>
      <w:r>
        <w:t>6.5</w:t>
      </w:r>
      <w:r>
        <w:tab/>
      </w:r>
      <w:r w:rsidRPr="00D4782B">
        <w:t xml:space="preserve">Regional CFC-11 </w:t>
      </w:r>
      <w:r>
        <w:t>c</w:t>
      </w:r>
      <w:r w:rsidRPr="00D4782B">
        <w:t>onsumption</w:t>
      </w:r>
      <w:r w:rsidR="00584366">
        <w:t xml:space="preserve"> (tonnes)</w:t>
      </w:r>
    </w:p>
    <w:p w14:paraId="0B7345BF" w14:textId="3A691C7B" w:rsidR="003966CD" w:rsidRDefault="003966CD" w:rsidP="6C7EC4CF">
      <w:r>
        <w:rPr>
          <w:noProof/>
        </w:rPr>
        <w:drawing>
          <wp:inline distT="0" distB="0" distL="0" distR="0" wp14:anchorId="53C42885" wp14:editId="17003F14">
            <wp:extent cx="5278754" cy="22053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82">
                      <a:extLst>
                        <a:ext uri="{28A0092B-C50C-407E-A947-70E740481C1C}">
                          <a14:useLocalDpi xmlns:a14="http://schemas.microsoft.com/office/drawing/2010/main" val="0"/>
                        </a:ext>
                      </a:extLst>
                    </a:blip>
                    <a:stretch>
                      <a:fillRect/>
                    </a:stretch>
                  </pic:blipFill>
                  <pic:spPr>
                    <a:xfrm>
                      <a:off x="0" y="0"/>
                      <a:ext cx="5278754" cy="2205355"/>
                    </a:xfrm>
                    <a:prstGeom prst="rect">
                      <a:avLst/>
                    </a:prstGeom>
                  </pic:spPr>
                </pic:pic>
              </a:graphicData>
            </a:graphic>
          </wp:inline>
        </w:drawing>
      </w:r>
    </w:p>
    <w:p w14:paraId="2E8C9E6C" w14:textId="77777777" w:rsidR="004110EF" w:rsidRDefault="004110EF" w:rsidP="6C7EC4CF"/>
    <w:p w14:paraId="0B89C8CC" w14:textId="6C03941F" w:rsidR="00BF05F1" w:rsidRPr="00D4782B" w:rsidRDefault="00BF05F1" w:rsidP="00BF05F1">
      <w:pPr>
        <w:pStyle w:val="FigureandTableTitle"/>
      </w:pPr>
      <w:r w:rsidRPr="00D4782B">
        <w:t>Figure A</w:t>
      </w:r>
      <w:r>
        <w:t>6.6</w:t>
      </w:r>
      <w:r>
        <w:tab/>
      </w:r>
      <w:r w:rsidRPr="00D4782B">
        <w:t xml:space="preserve">Regional HCFC-141b </w:t>
      </w:r>
      <w:r>
        <w:t>c</w:t>
      </w:r>
      <w:r w:rsidRPr="00D4782B">
        <w:t>onsumption</w:t>
      </w:r>
      <w:r w:rsidR="00584366">
        <w:t xml:space="preserve"> (tonnes)</w:t>
      </w:r>
    </w:p>
    <w:p w14:paraId="4997ABC8" w14:textId="6D765CD8" w:rsidR="00956C38" w:rsidRDefault="00956C38" w:rsidP="6C7EC4CF">
      <w:pPr>
        <w:sectPr w:rsidR="00956C38" w:rsidSect="009345EE">
          <w:type w:val="oddPage"/>
          <w:pgSz w:w="11907" w:h="16839" w:code="9"/>
          <w:pgMar w:top="1701" w:right="1797" w:bottom="1871" w:left="1797" w:header="720" w:footer="794" w:gutter="0"/>
          <w:cols w:space="720"/>
          <w:docGrid w:linePitch="299"/>
        </w:sectPr>
      </w:pPr>
      <w:r>
        <w:rPr>
          <w:noProof/>
        </w:rPr>
        <w:drawing>
          <wp:inline distT="0" distB="0" distL="0" distR="0" wp14:anchorId="7E4DFB2A" wp14:editId="4F3983C0">
            <wp:extent cx="5278754" cy="22364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83">
                      <a:extLst>
                        <a:ext uri="{28A0092B-C50C-407E-A947-70E740481C1C}">
                          <a14:useLocalDpi xmlns:a14="http://schemas.microsoft.com/office/drawing/2010/main" val="0"/>
                        </a:ext>
                      </a:extLst>
                    </a:blip>
                    <a:stretch>
                      <a:fillRect/>
                    </a:stretch>
                  </pic:blipFill>
                  <pic:spPr>
                    <a:xfrm>
                      <a:off x="0" y="0"/>
                      <a:ext cx="5278754" cy="2236470"/>
                    </a:xfrm>
                    <a:prstGeom prst="rect">
                      <a:avLst/>
                    </a:prstGeom>
                  </pic:spPr>
                </pic:pic>
              </a:graphicData>
            </a:graphic>
          </wp:inline>
        </w:drawing>
      </w:r>
    </w:p>
    <w:p w14:paraId="27156EC4" w14:textId="4ACA1305" w:rsidR="00EC13D8" w:rsidRPr="00225058" w:rsidRDefault="00901C33" w:rsidP="00132BBC">
      <w:pPr>
        <w:pStyle w:val="AppendixHeading"/>
      </w:pPr>
      <w:bookmarkStart w:id="194" w:name="_Toc73045649"/>
      <w:r w:rsidRPr="00E112A7">
        <w:lastRenderedPageBreak/>
        <w:t xml:space="preserve">Appendix </w:t>
      </w:r>
      <w:r w:rsidR="0084718E" w:rsidRPr="004413D0">
        <w:t>7</w:t>
      </w:r>
      <w:r w:rsidRPr="00E31A1E">
        <w:t>:</w:t>
      </w:r>
      <w:r w:rsidR="00225058" w:rsidRPr="00225058">
        <w:tab/>
      </w:r>
      <w:r w:rsidR="00EC13D8" w:rsidRPr="00225058">
        <w:t>Regional CFC-11 foam product sectors distribution</w:t>
      </w:r>
      <w:r w:rsidR="001E25EE" w:rsidRPr="00225058">
        <w:t xml:space="preserve"> </w:t>
      </w:r>
      <w:r w:rsidR="00335A5A" w:rsidRPr="00225058">
        <w:t>based on FTOC 2006 Assessment Report</w:t>
      </w:r>
      <w:bookmarkEnd w:id="194"/>
    </w:p>
    <w:p w14:paraId="62AF23F1" w14:textId="5F2500A0" w:rsidR="00335A5A" w:rsidRDefault="00F76FAA" w:rsidP="6C7EC4CF">
      <w:r>
        <w:t xml:space="preserve">In 2006, the primary use of closed-cell foams was in domestic appliances followed by </w:t>
      </w:r>
      <w:proofErr w:type="spellStart"/>
      <w:r>
        <w:t>boardstock</w:t>
      </w:r>
      <w:proofErr w:type="spellEnd"/>
      <w:r>
        <w:t xml:space="preserve"> (primarily used in </w:t>
      </w:r>
      <w:r w:rsidR="00ED2C20">
        <w:t>North America</w:t>
      </w:r>
      <w:r>
        <w:t xml:space="preserve">). </w:t>
      </w:r>
      <w:r w:rsidR="00C76787">
        <w:t xml:space="preserve">Smaller quantities of </w:t>
      </w:r>
      <w:r w:rsidR="00C81161">
        <w:t xml:space="preserve">CFC-11 were used in panels and spray foam and very small quantities were used for other foam types comparatively. </w:t>
      </w:r>
    </w:p>
    <w:p w14:paraId="4F330EC6" w14:textId="4548757E" w:rsidR="00335A5A" w:rsidRDefault="00335A5A" w:rsidP="00335A5A">
      <w:r>
        <w:t xml:space="preserve">Regional product-type distributions show CFC-11 dominant usage in appliances and </w:t>
      </w:r>
      <w:proofErr w:type="spellStart"/>
      <w:r>
        <w:t>boardstock</w:t>
      </w:r>
      <w:proofErr w:type="spellEnd"/>
      <w:r>
        <w:t xml:space="preserve"> in </w:t>
      </w:r>
      <w:r w:rsidR="00ED2C20">
        <w:t>North America</w:t>
      </w:r>
      <w:r w:rsidR="006911DB">
        <w:t>,</w:t>
      </w:r>
      <w:r>
        <w:t xml:space="preserve"> in panels and appliances in </w:t>
      </w:r>
      <w:r w:rsidR="00012476">
        <w:t>Europe</w:t>
      </w:r>
      <w:r>
        <w:t>, and in appliances in N</w:t>
      </w:r>
      <w:r w:rsidR="006911DB">
        <w:t xml:space="preserve">ortheast </w:t>
      </w:r>
      <w:r>
        <w:t>A</w:t>
      </w:r>
      <w:r w:rsidR="006911DB">
        <w:t>sia</w:t>
      </w:r>
      <w:r>
        <w:t xml:space="preserve"> and </w:t>
      </w:r>
      <w:r w:rsidR="00A854DF" w:rsidRPr="00A854DF">
        <w:t xml:space="preserve">Latin America and the Caribbean (LAC) </w:t>
      </w:r>
      <w:r w:rsidR="00A854DF">
        <w:t>r</w:t>
      </w:r>
      <w:r w:rsidR="00A854DF" w:rsidRPr="00A854DF">
        <w:t>egion</w:t>
      </w:r>
      <w:r>
        <w:t xml:space="preserve">. The </w:t>
      </w:r>
      <w:r w:rsidR="008B0110">
        <w:t>Figure</w:t>
      </w:r>
      <w:r>
        <w:t xml:space="preserve">s below also highlight the very small relative quantities of foam historically used in </w:t>
      </w:r>
      <w:r w:rsidR="000E22D7">
        <w:t>Article 5</w:t>
      </w:r>
      <w:r>
        <w:t xml:space="preserve"> parties in 2006.</w:t>
      </w:r>
    </w:p>
    <w:p w14:paraId="58B85237" w14:textId="481C87F6" w:rsidR="001C459D" w:rsidRDefault="008B27B9" w:rsidP="0084718E">
      <w:pPr>
        <w:pStyle w:val="FigureandTableTitle"/>
      </w:pPr>
      <w:r>
        <w:t>Figure A</w:t>
      </w:r>
      <w:r w:rsidR="0084718E">
        <w:t>7.1</w:t>
      </w:r>
      <w:r w:rsidR="0084718E">
        <w:tab/>
      </w:r>
      <w:r w:rsidR="00343E3E">
        <w:t xml:space="preserve">Global foam </w:t>
      </w:r>
      <w:r w:rsidR="001F6BA0">
        <w:t>product-type distribution based on 2006 FTOC Assessment Report</w:t>
      </w:r>
      <w:r w:rsidR="00584366">
        <w:t xml:space="preserve"> (tonnes)</w:t>
      </w:r>
    </w:p>
    <w:p w14:paraId="3674F5B8" w14:textId="77777777" w:rsidR="003E4BD9" w:rsidRDefault="001C459D" w:rsidP="6C7EC4CF">
      <w:r>
        <w:rPr>
          <w:noProof/>
        </w:rPr>
        <w:drawing>
          <wp:inline distT="0" distB="0" distL="0" distR="0" wp14:anchorId="48C479D4" wp14:editId="22FC81A2">
            <wp:extent cx="5278754" cy="3238500"/>
            <wp:effectExtent l="0" t="0" r="0" b="0"/>
            <wp:docPr id="644245503" name="Picture 644245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245503"/>
                    <pic:cNvPicPr/>
                  </pic:nvPicPr>
                  <pic:blipFill>
                    <a:blip r:embed="rId84">
                      <a:extLst>
                        <a:ext uri="{28A0092B-C50C-407E-A947-70E740481C1C}">
                          <a14:useLocalDpi xmlns:a14="http://schemas.microsoft.com/office/drawing/2010/main" val="0"/>
                        </a:ext>
                      </a:extLst>
                    </a:blip>
                    <a:stretch>
                      <a:fillRect/>
                    </a:stretch>
                  </pic:blipFill>
                  <pic:spPr>
                    <a:xfrm>
                      <a:off x="0" y="0"/>
                      <a:ext cx="5278754" cy="3238500"/>
                    </a:xfrm>
                    <a:prstGeom prst="rect">
                      <a:avLst/>
                    </a:prstGeom>
                  </pic:spPr>
                </pic:pic>
              </a:graphicData>
            </a:graphic>
          </wp:inline>
        </w:drawing>
      </w:r>
    </w:p>
    <w:p w14:paraId="7DC637A0" w14:textId="77777777" w:rsidR="00A92064" w:rsidRDefault="00A92064" w:rsidP="00D25D7A"/>
    <w:p w14:paraId="13621A8A" w14:textId="77777777" w:rsidR="00A92064" w:rsidRDefault="00A92064">
      <w:pPr>
        <w:spacing w:after="0"/>
      </w:pPr>
      <w:r>
        <w:br w:type="page"/>
      </w:r>
    </w:p>
    <w:p w14:paraId="267F108E" w14:textId="2A181BA2" w:rsidR="00D25D7A" w:rsidRDefault="003E4BD9" w:rsidP="00D25D7A">
      <w:r>
        <w:lastRenderedPageBreak/>
        <w:t xml:space="preserve">The Task Force also examined foam product distribution temporally </w:t>
      </w:r>
      <w:r w:rsidR="008E2022">
        <w:t>in its build-up</w:t>
      </w:r>
      <w:r w:rsidR="00481AF3">
        <w:t xml:space="preserve"> model estimating emissions and </w:t>
      </w:r>
      <w:r w:rsidR="001F1320">
        <w:t xml:space="preserve">banks. </w:t>
      </w:r>
      <w:r w:rsidR="000D4FD2">
        <w:t xml:space="preserve">It is important to note that this </w:t>
      </w:r>
      <w:r w:rsidR="0007755E">
        <w:t xml:space="preserve">model creates a slight bias toward larger </w:t>
      </w:r>
      <w:r w:rsidR="00CE2CB6">
        <w:t xml:space="preserve">consumption of CFC-11 consumption in early years in </w:t>
      </w:r>
      <w:r w:rsidR="000E22D7">
        <w:t>Article 5</w:t>
      </w:r>
      <w:r w:rsidR="00CE2CB6">
        <w:t xml:space="preserve"> parties.</w:t>
      </w:r>
      <w:r w:rsidR="00A64639">
        <w:t xml:space="preserve"> </w:t>
      </w:r>
      <w:r w:rsidR="00CE2CB6">
        <w:t xml:space="preserve">The </w:t>
      </w:r>
      <w:r w:rsidR="00806E8C">
        <w:t xml:space="preserve">consumption in </w:t>
      </w:r>
      <w:r w:rsidR="000E22D7">
        <w:t>Article 5</w:t>
      </w:r>
      <w:r w:rsidR="006F1FF4">
        <w:t xml:space="preserve"> parties is shown to be small and was likely even </w:t>
      </w:r>
      <w:r w:rsidR="00224C34">
        <w:t>smaller</w:t>
      </w:r>
      <w:r w:rsidR="00E75A39">
        <w:t xml:space="preserve"> as the introduction of products likely happened at a slower rate</w:t>
      </w:r>
      <w:r w:rsidR="008F682D">
        <w:t>.</w:t>
      </w:r>
      <w:r w:rsidR="002F7651">
        <w:t xml:space="preserve"> </w:t>
      </w:r>
    </w:p>
    <w:p w14:paraId="46763D25" w14:textId="3B617B4C" w:rsidR="008F682D" w:rsidRPr="00D25D7A" w:rsidRDefault="008F682D" w:rsidP="008F682D">
      <w:pPr>
        <w:pStyle w:val="FigureandTableTitle"/>
      </w:pPr>
      <w:r>
        <w:t>Figure A7.2</w:t>
      </w:r>
      <w:r>
        <w:tab/>
      </w:r>
      <w:r w:rsidR="00583264">
        <w:t xml:space="preserve">Global CFC-11 </w:t>
      </w:r>
      <w:r w:rsidR="005E761D">
        <w:t xml:space="preserve">foam sector use assumptions based on the 2006 </w:t>
      </w:r>
      <w:r w:rsidR="004A1A97">
        <w:t>FTOC</w:t>
      </w:r>
      <w:r w:rsidR="005E761D">
        <w:t xml:space="preserve"> Assessment Report</w:t>
      </w:r>
      <w:r w:rsidR="00584366">
        <w:t xml:space="preserve"> (</w:t>
      </w:r>
      <w:proofErr w:type="spellStart"/>
      <w:r w:rsidR="00584366">
        <w:t>kilotonnes</w:t>
      </w:r>
      <w:proofErr w:type="spellEnd"/>
      <w:r w:rsidR="00584366">
        <w:t>)</w:t>
      </w:r>
    </w:p>
    <w:p w14:paraId="7C888B33" w14:textId="10D895B3" w:rsidR="004B2F02" w:rsidRDefault="004B2F02" w:rsidP="6C7EC4CF">
      <w:r>
        <w:rPr>
          <w:noProof/>
        </w:rPr>
        <w:drawing>
          <wp:inline distT="0" distB="0" distL="0" distR="0" wp14:anchorId="5FF3B13E" wp14:editId="4A8DC01B">
            <wp:extent cx="5191753" cy="2821021"/>
            <wp:effectExtent l="0" t="0" r="317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85">
                      <a:extLst>
                        <a:ext uri="{28A0092B-C50C-407E-A947-70E740481C1C}">
                          <a14:useLocalDpi xmlns:a14="http://schemas.microsoft.com/office/drawing/2010/main" val="0"/>
                        </a:ext>
                      </a:extLst>
                    </a:blip>
                    <a:stretch>
                      <a:fillRect/>
                    </a:stretch>
                  </pic:blipFill>
                  <pic:spPr>
                    <a:xfrm>
                      <a:off x="0" y="0"/>
                      <a:ext cx="5191753" cy="2821021"/>
                    </a:xfrm>
                    <a:prstGeom prst="rect">
                      <a:avLst/>
                    </a:prstGeom>
                  </pic:spPr>
                </pic:pic>
              </a:graphicData>
            </a:graphic>
          </wp:inline>
        </w:drawing>
      </w:r>
    </w:p>
    <w:p w14:paraId="08E1E65E" w14:textId="77777777" w:rsidR="008F682D" w:rsidRDefault="008F682D" w:rsidP="00F8431E"/>
    <w:p w14:paraId="2E29368C" w14:textId="77777777" w:rsidR="00BA6A33" w:rsidRDefault="00BA6A33">
      <w:pPr>
        <w:spacing w:after="0"/>
        <w:rPr>
          <w:b/>
          <w:bCs/>
          <w:lang w:val="en-AU"/>
        </w:rPr>
      </w:pPr>
      <w:r>
        <w:br w:type="page"/>
      </w:r>
    </w:p>
    <w:p w14:paraId="17288FC5" w14:textId="1420034B" w:rsidR="00F8431E" w:rsidRDefault="00F8431E" w:rsidP="008F682D">
      <w:pPr>
        <w:pStyle w:val="FigureandTableTitle"/>
      </w:pPr>
      <w:r>
        <w:lastRenderedPageBreak/>
        <w:t>Figure A</w:t>
      </w:r>
      <w:r w:rsidR="008F682D">
        <w:t>7.</w:t>
      </w:r>
      <w:r w:rsidR="00BA6A33">
        <w:t>3</w:t>
      </w:r>
      <w:r w:rsidR="00BA6A33">
        <w:tab/>
      </w:r>
      <w:r w:rsidR="008F1B74">
        <w:t>Regional</w:t>
      </w:r>
      <w:r>
        <w:t xml:space="preserve"> foam product-type distribution based on 2006 FTOC Assessment Report</w:t>
      </w:r>
      <w:r w:rsidR="00584366">
        <w:t xml:space="preserve"> (</w:t>
      </w:r>
      <w:proofErr w:type="spellStart"/>
      <w:r w:rsidR="00584366">
        <w:t>kilotonnes</w:t>
      </w:r>
      <w:proofErr w:type="spellEnd"/>
      <w:r w:rsidR="00584366">
        <w:t>)</w:t>
      </w:r>
    </w:p>
    <w:tbl>
      <w:tblPr>
        <w:tblStyle w:val="TableGrid"/>
        <w:tblW w:w="0" w:type="auto"/>
        <w:tblLook w:val="04A0" w:firstRow="1" w:lastRow="0" w:firstColumn="1" w:lastColumn="0" w:noHBand="0" w:noVBand="1"/>
      </w:tblPr>
      <w:tblGrid>
        <w:gridCol w:w="4205"/>
        <w:gridCol w:w="4098"/>
      </w:tblGrid>
      <w:tr w:rsidR="00DD46EC" w14:paraId="21ACC09B" w14:textId="77777777" w:rsidTr="2FE2C3C9">
        <w:tc>
          <w:tcPr>
            <w:tcW w:w="4205" w:type="dxa"/>
          </w:tcPr>
          <w:p w14:paraId="31A09ED5" w14:textId="56D1DF7A" w:rsidR="00DD46EC" w:rsidRDefault="000A2392" w:rsidP="00DD46EC">
            <w:pPr>
              <w:jc w:val="center"/>
            </w:pPr>
            <w:r>
              <w:t>Europe</w:t>
            </w:r>
          </w:p>
          <w:p w14:paraId="21DF0073" w14:textId="79FA2BD0" w:rsidR="00DD46EC" w:rsidRDefault="00DD46EC" w:rsidP="00DD46EC">
            <w:pPr>
              <w:jc w:val="center"/>
            </w:pPr>
            <w:r>
              <w:rPr>
                <w:noProof/>
              </w:rPr>
              <w:drawing>
                <wp:inline distT="0" distB="0" distL="0" distR="0" wp14:anchorId="0D6FD3FC" wp14:editId="55728897">
                  <wp:extent cx="2525688" cy="1392425"/>
                  <wp:effectExtent l="0" t="0" r="825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86">
                            <a:extLst>
                              <a:ext uri="{28A0092B-C50C-407E-A947-70E740481C1C}">
                                <a14:useLocalDpi xmlns:a14="http://schemas.microsoft.com/office/drawing/2010/main" val="0"/>
                              </a:ext>
                            </a:extLst>
                          </a:blip>
                          <a:stretch>
                            <a:fillRect/>
                          </a:stretch>
                        </pic:blipFill>
                        <pic:spPr>
                          <a:xfrm>
                            <a:off x="0" y="0"/>
                            <a:ext cx="2525688" cy="1392425"/>
                          </a:xfrm>
                          <a:prstGeom prst="rect">
                            <a:avLst/>
                          </a:prstGeom>
                        </pic:spPr>
                      </pic:pic>
                    </a:graphicData>
                  </a:graphic>
                </wp:inline>
              </w:drawing>
            </w:r>
          </w:p>
        </w:tc>
        <w:tc>
          <w:tcPr>
            <w:tcW w:w="4098" w:type="dxa"/>
          </w:tcPr>
          <w:p w14:paraId="0843490F" w14:textId="6FB74E85" w:rsidR="00DD46EC" w:rsidRDefault="00ED2C20" w:rsidP="00DD46EC">
            <w:pPr>
              <w:jc w:val="center"/>
            </w:pPr>
            <w:r>
              <w:t>North America</w:t>
            </w:r>
          </w:p>
          <w:p w14:paraId="0320F03B" w14:textId="185671A2" w:rsidR="00DD46EC" w:rsidRDefault="00DD46EC" w:rsidP="00DD46EC">
            <w:pPr>
              <w:jc w:val="center"/>
            </w:pPr>
            <w:r>
              <w:rPr>
                <w:noProof/>
              </w:rPr>
              <w:drawing>
                <wp:inline distT="0" distB="0" distL="0" distR="0" wp14:anchorId="47521BA2" wp14:editId="2F2C9CAA">
                  <wp:extent cx="2465969" cy="1363358"/>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87">
                            <a:extLst>
                              <a:ext uri="{28A0092B-C50C-407E-A947-70E740481C1C}">
                                <a14:useLocalDpi xmlns:a14="http://schemas.microsoft.com/office/drawing/2010/main" val="0"/>
                              </a:ext>
                            </a:extLst>
                          </a:blip>
                          <a:stretch>
                            <a:fillRect/>
                          </a:stretch>
                        </pic:blipFill>
                        <pic:spPr>
                          <a:xfrm>
                            <a:off x="0" y="0"/>
                            <a:ext cx="2465969" cy="1363358"/>
                          </a:xfrm>
                          <a:prstGeom prst="rect">
                            <a:avLst/>
                          </a:prstGeom>
                        </pic:spPr>
                      </pic:pic>
                    </a:graphicData>
                  </a:graphic>
                </wp:inline>
              </w:drawing>
            </w:r>
          </w:p>
        </w:tc>
      </w:tr>
      <w:tr w:rsidR="00DD46EC" w14:paraId="68B831DB" w14:textId="77777777" w:rsidTr="2FE2C3C9">
        <w:tc>
          <w:tcPr>
            <w:tcW w:w="4205" w:type="dxa"/>
          </w:tcPr>
          <w:p w14:paraId="1DD0A389" w14:textId="77777777" w:rsidR="00DD46EC" w:rsidRDefault="00DD46EC" w:rsidP="00DD46EC">
            <w:pPr>
              <w:jc w:val="center"/>
            </w:pPr>
            <w:r>
              <w:t>Japan</w:t>
            </w:r>
          </w:p>
          <w:p w14:paraId="7B65C47D" w14:textId="681E6FC5" w:rsidR="00DD46EC" w:rsidRDefault="00DD46EC" w:rsidP="00DD46EC">
            <w:pPr>
              <w:jc w:val="center"/>
            </w:pPr>
            <w:r>
              <w:rPr>
                <w:noProof/>
              </w:rPr>
              <w:drawing>
                <wp:inline distT="0" distB="0" distL="0" distR="0" wp14:anchorId="72B2D0D3" wp14:editId="51552586">
                  <wp:extent cx="2438400" cy="1351636"/>
                  <wp:effectExtent l="0" t="0" r="0" b="1270"/>
                  <wp:docPr id="644245441" name="Picture 64424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245441"/>
                          <pic:cNvPicPr/>
                        </pic:nvPicPr>
                        <pic:blipFill>
                          <a:blip r:embed="rId88">
                            <a:extLst>
                              <a:ext uri="{28A0092B-C50C-407E-A947-70E740481C1C}">
                                <a14:useLocalDpi xmlns:a14="http://schemas.microsoft.com/office/drawing/2010/main" val="0"/>
                              </a:ext>
                            </a:extLst>
                          </a:blip>
                          <a:stretch>
                            <a:fillRect/>
                          </a:stretch>
                        </pic:blipFill>
                        <pic:spPr>
                          <a:xfrm>
                            <a:off x="0" y="0"/>
                            <a:ext cx="2438400" cy="1351636"/>
                          </a:xfrm>
                          <a:prstGeom prst="rect">
                            <a:avLst/>
                          </a:prstGeom>
                        </pic:spPr>
                      </pic:pic>
                    </a:graphicData>
                  </a:graphic>
                </wp:inline>
              </w:drawing>
            </w:r>
          </w:p>
        </w:tc>
        <w:tc>
          <w:tcPr>
            <w:tcW w:w="4098" w:type="dxa"/>
          </w:tcPr>
          <w:p w14:paraId="7C110578" w14:textId="77777777" w:rsidR="00DD46EC" w:rsidRDefault="001570A7" w:rsidP="00DD46EC">
            <w:pPr>
              <w:jc w:val="center"/>
            </w:pPr>
            <w:r>
              <w:t>NEA</w:t>
            </w:r>
          </w:p>
          <w:p w14:paraId="0A2FD983" w14:textId="75C5599B" w:rsidR="00DD46EC" w:rsidRDefault="001570A7" w:rsidP="00DD46EC">
            <w:pPr>
              <w:jc w:val="center"/>
            </w:pPr>
            <w:r>
              <w:rPr>
                <w:noProof/>
              </w:rPr>
              <w:drawing>
                <wp:inline distT="0" distB="0" distL="0" distR="0" wp14:anchorId="2F0B7BCE" wp14:editId="7D76214A">
                  <wp:extent cx="2339528" cy="1302177"/>
                  <wp:effectExtent l="0" t="0" r="3810" b="0"/>
                  <wp:docPr id="644245494" name="Picture 644245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245494"/>
                          <pic:cNvPicPr/>
                        </pic:nvPicPr>
                        <pic:blipFill>
                          <a:blip r:embed="rId89">
                            <a:extLst>
                              <a:ext uri="{28A0092B-C50C-407E-A947-70E740481C1C}">
                                <a14:useLocalDpi xmlns:a14="http://schemas.microsoft.com/office/drawing/2010/main" val="0"/>
                              </a:ext>
                            </a:extLst>
                          </a:blip>
                          <a:stretch>
                            <a:fillRect/>
                          </a:stretch>
                        </pic:blipFill>
                        <pic:spPr>
                          <a:xfrm>
                            <a:off x="0" y="0"/>
                            <a:ext cx="2339528" cy="1302177"/>
                          </a:xfrm>
                          <a:prstGeom prst="rect">
                            <a:avLst/>
                          </a:prstGeom>
                        </pic:spPr>
                      </pic:pic>
                    </a:graphicData>
                  </a:graphic>
                </wp:inline>
              </w:drawing>
            </w:r>
          </w:p>
        </w:tc>
      </w:tr>
      <w:tr w:rsidR="00B80855" w14:paraId="345A41E6" w14:textId="77777777" w:rsidTr="2FE2C3C9">
        <w:tc>
          <w:tcPr>
            <w:tcW w:w="4205" w:type="dxa"/>
          </w:tcPr>
          <w:p w14:paraId="67333E2A" w14:textId="77777777" w:rsidR="00B80855" w:rsidRDefault="00DC2960" w:rsidP="00DD46EC">
            <w:pPr>
              <w:jc w:val="center"/>
            </w:pPr>
            <w:r>
              <w:t>SCA</w:t>
            </w:r>
          </w:p>
          <w:p w14:paraId="15E8AACC" w14:textId="04C19F40" w:rsidR="00B80855" w:rsidRDefault="00DC2960" w:rsidP="00DD46EC">
            <w:pPr>
              <w:jc w:val="center"/>
            </w:pPr>
            <w:r>
              <w:rPr>
                <w:noProof/>
              </w:rPr>
              <w:drawing>
                <wp:inline distT="0" distB="0" distL="0" distR="0" wp14:anchorId="1306FA8C" wp14:editId="2C22BB31">
                  <wp:extent cx="2212801" cy="1231641"/>
                  <wp:effectExtent l="0" t="0" r="0" b="6985"/>
                  <wp:docPr id="644245499" name="Picture 644245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245499"/>
                          <pic:cNvPicPr/>
                        </pic:nvPicPr>
                        <pic:blipFill>
                          <a:blip r:embed="rId90">
                            <a:extLst>
                              <a:ext uri="{28A0092B-C50C-407E-A947-70E740481C1C}">
                                <a14:useLocalDpi xmlns:a14="http://schemas.microsoft.com/office/drawing/2010/main" val="0"/>
                              </a:ext>
                            </a:extLst>
                          </a:blip>
                          <a:stretch>
                            <a:fillRect/>
                          </a:stretch>
                        </pic:blipFill>
                        <pic:spPr>
                          <a:xfrm>
                            <a:off x="0" y="0"/>
                            <a:ext cx="2212801" cy="1231641"/>
                          </a:xfrm>
                          <a:prstGeom prst="rect">
                            <a:avLst/>
                          </a:prstGeom>
                        </pic:spPr>
                      </pic:pic>
                    </a:graphicData>
                  </a:graphic>
                </wp:inline>
              </w:drawing>
            </w:r>
          </w:p>
        </w:tc>
        <w:tc>
          <w:tcPr>
            <w:tcW w:w="4098" w:type="dxa"/>
          </w:tcPr>
          <w:p w14:paraId="0743A421" w14:textId="77777777" w:rsidR="00B80855" w:rsidRDefault="00C87740" w:rsidP="00DD46EC">
            <w:pPr>
              <w:jc w:val="center"/>
            </w:pPr>
            <w:r>
              <w:t>SEA</w:t>
            </w:r>
          </w:p>
          <w:p w14:paraId="19ED015E" w14:textId="30AF742A" w:rsidR="00B80855" w:rsidRDefault="00C87740" w:rsidP="00DD46EC">
            <w:pPr>
              <w:jc w:val="center"/>
            </w:pPr>
            <w:r>
              <w:rPr>
                <w:noProof/>
              </w:rPr>
              <w:drawing>
                <wp:inline distT="0" distB="0" distL="0" distR="0" wp14:anchorId="56084F8A" wp14:editId="4774A1C1">
                  <wp:extent cx="2357535" cy="1333186"/>
                  <wp:effectExtent l="0" t="0" r="5080" b="635"/>
                  <wp:docPr id="644245500" name="Picture 64424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245500"/>
                          <pic:cNvPicPr/>
                        </pic:nvPicPr>
                        <pic:blipFill>
                          <a:blip r:embed="rId91">
                            <a:extLst>
                              <a:ext uri="{28A0092B-C50C-407E-A947-70E740481C1C}">
                                <a14:useLocalDpi xmlns:a14="http://schemas.microsoft.com/office/drawing/2010/main" val="0"/>
                              </a:ext>
                            </a:extLst>
                          </a:blip>
                          <a:stretch>
                            <a:fillRect/>
                          </a:stretch>
                        </pic:blipFill>
                        <pic:spPr>
                          <a:xfrm>
                            <a:off x="0" y="0"/>
                            <a:ext cx="2357535" cy="1333186"/>
                          </a:xfrm>
                          <a:prstGeom prst="rect">
                            <a:avLst/>
                          </a:prstGeom>
                        </pic:spPr>
                      </pic:pic>
                    </a:graphicData>
                  </a:graphic>
                </wp:inline>
              </w:drawing>
            </w:r>
          </w:p>
        </w:tc>
      </w:tr>
      <w:tr w:rsidR="00DD46EC" w14:paraId="11A6EB19" w14:textId="77777777" w:rsidTr="2FE2C3C9">
        <w:tc>
          <w:tcPr>
            <w:tcW w:w="4205" w:type="dxa"/>
          </w:tcPr>
          <w:p w14:paraId="26FA35B9" w14:textId="77777777" w:rsidR="00DD46EC" w:rsidRDefault="00D3428C" w:rsidP="00DD46EC">
            <w:pPr>
              <w:jc w:val="center"/>
            </w:pPr>
            <w:r>
              <w:t>CEIT</w:t>
            </w:r>
          </w:p>
          <w:p w14:paraId="7D5D9265" w14:textId="3CE5589B" w:rsidR="00DD46EC" w:rsidRDefault="00D3428C" w:rsidP="00DD46EC">
            <w:pPr>
              <w:jc w:val="center"/>
            </w:pPr>
            <w:r>
              <w:rPr>
                <w:noProof/>
              </w:rPr>
              <w:drawing>
                <wp:inline distT="0" distB="0" distL="0" distR="0" wp14:anchorId="45851404" wp14:editId="5C52406D">
                  <wp:extent cx="2257060" cy="1250302"/>
                  <wp:effectExtent l="0" t="0" r="0" b="7620"/>
                  <wp:docPr id="644245495" name="Picture 644245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245495"/>
                          <pic:cNvPicPr/>
                        </pic:nvPicPr>
                        <pic:blipFill>
                          <a:blip r:embed="rId92">
                            <a:extLst>
                              <a:ext uri="{28A0092B-C50C-407E-A947-70E740481C1C}">
                                <a14:useLocalDpi xmlns:a14="http://schemas.microsoft.com/office/drawing/2010/main" val="0"/>
                              </a:ext>
                            </a:extLst>
                          </a:blip>
                          <a:stretch>
                            <a:fillRect/>
                          </a:stretch>
                        </pic:blipFill>
                        <pic:spPr>
                          <a:xfrm>
                            <a:off x="0" y="0"/>
                            <a:ext cx="2257060" cy="1250302"/>
                          </a:xfrm>
                          <a:prstGeom prst="rect">
                            <a:avLst/>
                          </a:prstGeom>
                        </pic:spPr>
                      </pic:pic>
                    </a:graphicData>
                  </a:graphic>
                </wp:inline>
              </w:drawing>
            </w:r>
          </w:p>
        </w:tc>
        <w:tc>
          <w:tcPr>
            <w:tcW w:w="4098" w:type="dxa"/>
          </w:tcPr>
          <w:p w14:paraId="2F3C9D48" w14:textId="77777777" w:rsidR="00DD46EC" w:rsidRDefault="004F3E2C" w:rsidP="00DD46EC">
            <w:pPr>
              <w:jc w:val="center"/>
            </w:pPr>
            <w:r>
              <w:t>LAC</w:t>
            </w:r>
          </w:p>
          <w:p w14:paraId="09C625DB" w14:textId="035A12C7" w:rsidR="00DD46EC" w:rsidRDefault="004F3E2C" w:rsidP="00DD46EC">
            <w:pPr>
              <w:jc w:val="center"/>
            </w:pPr>
            <w:r>
              <w:rPr>
                <w:noProof/>
              </w:rPr>
              <w:drawing>
                <wp:inline distT="0" distB="0" distL="0" distR="0" wp14:anchorId="318F19A9" wp14:editId="612580DC">
                  <wp:extent cx="2338873" cy="1287745"/>
                  <wp:effectExtent l="0" t="0" r="4445" b="8255"/>
                  <wp:docPr id="644245496" name="Picture 644245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245496"/>
                          <pic:cNvPicPr/>
                        </pic:nvPicPr>
                        <pic:blipFill>
                          <a:blip r:embed="rId93">
                            <a:extLst>
                              <a:ext uri="{28A0092B-C50C-407E-A947-70E740481C1C}">
                                <a14:useLocalDpi xmlns:a14="http://schemas.microsoft.com/office/drawing/2010/main" val="0"/>
                              </a:ext>
                            </a:extLst>
                          </a:blip>
                          <a:stretch>
                            <a:fillRect/>
                          </a:stretch>
                        </pic:blipFill>
                        <pic:spPr>
                          <a:xfrm>
                            <a:off x="0" y="0"/>
                            <a:ext cx="2338873" cy="1287745"/>
                          </a:xfrm>
                          <a:prstGeom prst="rect">
                            <a:avLst/>
                          </a:prstGeom>
                        </pic:spPr>
                      </pic:pic>
                    </a:graphicData>
                  </a:graphic>
                </wp:inline>
              </w:drawing>
            </w:r>
          </w:p>
        </w:tc>
      </w:tr>
      <w:tr w:rsidR="00DD46EC" w14:paraId="728C542B" w14:textId="77777777" w:rsidTr="000E5938">
        <w:trPr>
          <w:cantSplit/>
        </w:trPr>
        <w:tc>
          <w:tcPr>
            <w:tcW w:w="4205" w:type="dxa"/>
          </w:tcPr>
          <w:p w14:paraId="5AD0798E" w14:textId="77777777" w:rsidR="00DD46EC" w:rsidRDefault="008B42E9" w:rsidP="00DD46EC">
            <w:pPr>
              <w:jc w:val="center"/>
            </w:pPr>
            <w:r>
              <w:lastRenderedPageBreak/>
              <w:t>MENA</w:t>
            </w:r>
          </w:p>
          <w:p w14:paraId="4B95DBD3" w14:textId="1CBF7C0F" w:rsidR="00DD46EC" w:rsidRDefault="001E1127" w:rsidP="00DD46EC">
            <w:pPr>
              <w:jc w:val="center"/>
            </w:pPr>
            <w:r>
              <w:rPr>
                <w:noProof/>
              </w:rPr>
              <w:drawing>
                <wp:inline distT="0" distB="0" distL="0" distR="0" wp14:anchorId="7907024B" wp14:editId="509B2A90">
                  <wp:extent cx="2158481" cy="1196473"/>
                  <wp:effectExtent l="0" t="0" r="0" b="3810"/>
                  <wp:docPr id="644245497" name="Picture 644245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245497"/>
                          <pic:cNvPicPr/>
                        </pic:nvPicPr>
                        <pic:blipFill>
                          <a:blip r:embed="rId94">
                            <a:extLst>
                              <a:ext uri="{28A0092B-C50C-407E-A947-70E740481C1C}">
                                <a14:useLocalDpi xmlns:a14="http://schemas.microsoft.com/office/drawing/2010/main" val="0"/>
                              </a:ext>
                            </a:extLst>
                          </a:blip>
                          <a:stretch>
                            <a:fillRect/>
                          </a:stretch>
                        </pic:blipFill>
                        <pic:spPr>
                          <a:xfrm>
                            <a:off x="0" y="0"/>
                            <a:ext cx="2158481" cy="1196473"/>
                          </a:xfrm>
                          <a:prstGeom prst="rect">
                            <a:avLst/>
                          </a:prstGeom>
                        </pic:spPr>
                      </pic:pic>
                    </a:graphicData>
                  </a:graphic>
                </wp:inline>
              </w:drawing>
            </w:r>
          </w:p>
        </w:tc>
        <w:tc>
          <w:tcPr>
            <w:tcW w:w="4098" w:type="dxa"/>
          </w:tcPr>
          <w:p w14:paraId="7E821DAB" w14:textId="77777777" w:rsidR="00DD46EC" w:rsidRDefault="00536267" w:rsidP="00DD46EC">
            <w:pPr>
              <w:jc w:val="center"/>
            </w:pPr>
            <w:r>
              <w:t>SCA</w:t>
            </w:r>
          </w:p>
          <w:p w14:paraId="4F1EFAE7" w14:textId="3D9EF549" w:rsidR="00DD46EC" w:rsidRDefault="00536267" w:rsidP="00DD46EC">
            <w:pPr>
              <w:jc w:val="center"/>
            </w:pPr>
            <w:r>
              <w:rPr>
                <w:noProof/>
              </w:rPr>
              <w:drawing>
                <wp:inline distT="0" distB="0" distL="0" distR="0" wp14:anchorId="1634C3F2" wp14:editId="3782B2D8">
                  <wp:extent cx="2401078" cy="1336435"/>
                  <wp:effectExtent l="0" t="0" r="0" b="0"/>
                  <wp:docPr id="644245498" name="Picture 644245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245498"/>
                          <pic:cNvPicPr/>
                        </pic:nvPicPr>
                        <pic:blipFill>
                          <a:blip r:embed="rId90">
                            <a:extLst>
                              <a:ext uri="{28A0092B-C50C-407E-A947-70E740481C1C}">
                                <a14:useLocalDpi xmlns:a14="http://schemas.microsoft.com/office/drawing/2010/main" val="0"/>
                              </a:ext>
                            </a:extLst>
                          </a:blip>
                          <a:stretch>
                            <a:fillRect/>
                          </a:stretch>
                        </pic:blipFill>
                        <pic:spPr>
                          <a:xfrm>
                            <a:off x="0" y="0"/>
                            <a:ext cx="2401078" cy="1336435"/>
                          </a:xfrm>
                          <a:prstGeom prst="rect">
                            <a:avLst/>
                          </a:prstGeom>
                        </pic:spPr>
                      </pic:pic>
                    </a:graphicData>
                  </a:graphic>
                </wp:inline>
              </w:drawing>
            </w:r>
          </w:p>
        </w:tc>
      </w:tr>
      <w:tr w:rsidR="00586E1F" w14:paraId="007BA6F2" w14:textId="77777777" w:rsidTr="2FE2C3C9">
        <w:tc>
          <w:tcPr>
            <w:tcW w:w="8303" w:type="dxa"/>
            <w:gridSpan w:val="2"/>
          </w:tcPr>
          <w:p w14:paraId="1ED98B78" w14:textId="74127D2D" w:rsidR="00EC1AAD" w:rsidRDefault="00EC1AAD" w:rsidP="00DD46EC">
            <w:pPr>
              <w:jc w:val="center"/>
            </w:pPr>
            <w:r>
              <w:t>SSA</w:t>
            </w:r>
          </w:p>
          <w:p w14:paraId="2E1F43E0" w14:textId="1D74A48E" w:rsidR="00586E1F" w:rsidRDefault="00EC1AAD" w:rsidP="00DD46EC">
            <w:pPr>
              <w:jc w:val="center"/>
            </w:pPr>
            <w:r>
              <w:rPr>
                <w:noProof/>
              </w:rPr>
              <w:drawing>
                <wp:inline distT="0" distB="0" distL="0" distR="0" wp14:anchorId="04ACCD31" wp14:editId="4FE3F6AB">
                  <wp:extent cx="2258008" cy="1263594"/>
                  <wp:effectExtent l="0" t="0" r="0" b="0"/>
                  <wp:docPr id="644245501" name="Picture 64424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245501"/>
                          <pic:cNvPicPr/>
                        </pic:nvPicPr>
                        <pic:blipFill>
                          <a:blip r:embed="rId95">
                            <a:extLst>
                              <a:ext uri="{28A0092B-C50C-407E-A947-70E740481C1C}">
                                <a14:useLocalDpi xmlns:a14="http://schemas.microsoft.com/office/drawing/2010/main" val="0"/>
                              </a:ext>
                            </a:extLst>
                          </a:blip>
                          <a:stretch>
                            <a:fillRect/>
                          </a:stretch>
                        </pic:blipFill>
                        <pic:spPr>
                          <a:xfrm>
                            <a:off x="0" y="0"/>
                            <a:ext cx="2258008" cy="1263594"/>
                          </a:xfrm>
                          <a:prstGeom prst="rect">
                            <a:avLst/>
                          </a:prstGeom>
                        </pic:spPr>
                      </pic:pic>
                    </a:graphicData>
                  </a:graphic>
                </wp:inline>
              </w:drawing>
            </w:r>
          </w:p>
        </w:tc>
      </w:tr>
    </w:tbl>
    <w:p w14:paraId="69F07DDF" w14:textId="49315DEE" w:rsidR="2AEF161D" w:rsidRDefault="2AEF161D" w:rsidP="00043208">
      <w:pPr>
        <w:pStyle w:val="NormalWeb"/>
        <w:shd w:val="clear" w:color="auto" w:fill="FFFFFF" w:themeFill="background1"/>
        <w:spacing w:before="120" w:after="120"/>
        <w:ind w:left="384"/>
        <w:jc w:val="center"/>
        <w:rPr>
          <w:szCs w:val="22"/>
        </w:rPr>
      </w:pPr>
    </w:p>
    <w:p w14:paraId="2D82AE2A" w14:textId="77777777" w:rsidR="000B43D4" w:rsidRDefault="000B43D4" w:rsidP="008A176B">
      <w:pPr>
        <w:sectPr w:rsidR="000B43D4" w:rsidSect="009345EE">
          <w:type w:val="oddPage"/>
          <w:pgSz w:w="11907" w:h="16839" w:code="9"/>
          <w:pgMar w:top="1701" w:right="1797" w:bottom="1871" w:left="1797" w:header="720" w:footer="794" w:gutter="0"/>
          <w:cols w:space="720"/>
          <w:docGrid w:linePitch="299"/>
        </w:sectPr>
      </w:pPr>
    </w:p>
    <w:p w14:paraId="2A620C98" w14:textId="1C2BCA33" w:rsidR="008A176B" w:rsidRDefault="008A176B" w:rsidP="00132BBC">
      <w:pPr>
        <w:pStyle w:val="AppendixHeading"/>
      </w:pPr>
      <w:bookmarkStart w:id="195" w:name="_Toc73045650"/>
      <w:r>
        <w:lastRenderedPageBreak/>
        <w:t>Appendix 8</w:t>
      </w:r>
      <w:r w:rsidR="00306393">
        <w:t>:</w:t>
      </w:r>
      <w:r w:rsidR="00225058">
        <w:tab/>
      </w:r>
      <w:r>
        <w:t>CFC and HCFC production and consumption phase-out schedules</w:t>
      </w:r>
      <w:bookmarkEnd w:id="195"/>
    </w:p>
    <w:p w14:paraId="0E89F4BE" w14:textId="704619CB" w:rsidR="008A176B" w:rsidRPr="004457D8" w:rsidRDefault="008A176B" w:rsidP="008A176B">
      <w:pPr>
        <w:pStyle w:val="FigureandTableTitle"/>
      </w:pPr>
      <w:r>
        <w:t xml:space="preserve">Table </w:t>
      </w:r>
      <w:r w:rsidR="3C577C97">
        <w:t>A.8</w:t>
      </w:r>
      <w:r>
        <w:t>.1</w:t>
      </w:r>
      <w:r>
        <w:tab/>
        <w:t xml:space="preserve">Production and consumption phase-out schedule for Montreal Protocol </w:t>
      </w:r>
      <w:r w:rsidRPr="00041989">
        <w:t>Annex A</w:t>
      </w:r>
      <w:r>
        <w:t>,</w:t>
      </w:r>
      <w:r w:rsidRPr="00041989">
        <w:t xml:space="preserve"> Group I</w:t>
      </w:r>
      <w:r>
        <w:t>, controlled substances</w:t>
      </w:r>
      <w:r w:rsidRPr="00041989">
        <w:t xml:space="preserve">: </w:t>
      </w:r>
      <w:r>
        <w:t>c</w:t>
      </w:r>
      <w:r w:rsidRPr="00041989">
        <w:t>hlorofluorocarbons</w:t>
      </w:r>
      <w:r>
        <w:rPr>
          <w:rStyle w:val="FootnoteReference"/>
        </w:rPr>
        <w:footnoteReference w:id="168"/>
      </w:r>
      <w:r w:rsidRPr="00041989">
        <w:t xml:space="preserve"> </w:t>
      </w:r>
    </w:p>
    <w:tbl>
      <w:tblPr>
        <w:tblStyle w:val="TableGrid"/>
        <w:tblW w:w="8359" w:type="dxa"/>
        <w:tblLook w:val="04A0" w:firstRow="1" w:lastRow="0" w:firstColumn="1" w:lastColumn="0" w:noHBand="0" w:noVBand="1"/>
      </w:tblPr>
      <w:tblGrid>
        <w:gridCol w:w="2075"/>
        <w:gridCol w:w="2076"/>
        <w:gridCol w:w="2076"/>
        <w:gridCol w:w="2132"/>
      </w:tblGrid>
      <w:tr w:rsidR="008A176B" w:rsidRPr="004457D8" w14:paraId="45D91E63" w14:textId="77777777" w:rsidTr="0025266C">
        <w:trPr>
          <w:trHeight w:val="521"/>
        </w:trPr>
        <w:tc>
          <w:tcPr>
            <w:tcW w:w="4151" w:type="dxa"/>
            <w:gridSpan w:val="2"/>
            <w:vAlign w:val="center"/>
            <w:hideMark/>
          </w:tcPr>
          <w:p w14:paraId="5D7EE87A" w14:textId="77777777" w:rsidR="008A176B" w:rsidRPr="004457D8" w:rsidRDefault="008A176B" w:rsidP="0025266C">
            <w:pPr>
              <w:spacing w:after="0" w:line="259" w:lineRule="auto"/>
              <w:jc w:val="center"/>
              <w:rPr>
                <w:color w:val="000000" w:themeColor="text1"/>
                <w:sz w:val="20"/>
                <w:szCs w:val="20"/>
                <w:lang w:val="en-US"/>
              </w:rPr>
            </w:pPr>
            <w:r w:rsidRPr="004457D8">
              <w:rPr>
                <w:i/>
                <w:iCs/>
                <w:color w:val="000000" w:themeColor="text1"/>
                <w:sz w:val="20"/>
                <w:szCs w:val="20"/>
                <w:lang w:val="en-US"/>
              </w:rPr>
              <w:t>Non-Article 5(1) Parties</w:t>
            </w:r>
          </w:p>
        </w:tc>
        <w:tc>
          <w:tcPr>
            <w:tcW w:w="4208" w:type="dxa"/>
            <w:gridSpan w:val="2"/>
            <w:vAlign w:val="center"/>
            <w:hideMark/>
          </w:tcPr>
          <w:p w14:paraId="68A966C9" w14:textId="77777777" w:rsidR="008A176B" w:rsidRPr="004457D8" w:rsidRDefault="008A176B" w:rsidP="0025266C">
            <w:pPr>
              <w:spacing w:after="0" w:line="259" w:lineRule="auto"/>
              <w:jc w:val="center"/>
              <w:rPr>
                <w:color w:val="000000" w:themeColor="text1"/>
                <w:sz w:val="20"/>
                <w:szCs w:val="20"/>
                <w:lang w:val="en-US"/>
              </w:rPr>
            </w:pPr>
            <w:r w:rsidRPr="004457D8">
              <w:rPr>
                <w:i/>
                <w:iCs/>
                <w:color w:val="000000" w:themeColor="text1"/>
                <w:sz w:val="20"/>
                <w:szCs w:val="20"/>
                <w:lang w:val="en-US"/>
              </w:rPr>
              <w:t>Article 5(1) Parties</w:t>
            </w:r>
          </w:p>
        </w:tc>
      </w:tr>
      <w:tr w:rsidR="008A176B" w:rsidRPr="004457D8" w14:paraId="3B46EF4D" w14:textId="77777777" w:rsidTr="0025266C">
        <w:trPr>
          <w:trHeight w:val="359"/>
        </w:trPr>
        <w:tc>
          <w:tcPr>
            <w:tcW w:w="2075" w:type="dxa"/>
            <w:vAlign w:val="center"/>
            <w:hideMark/>
          </w:tcPr>
          <w:p w14:paraId="356F8EFD" w14:textId="77777777" w:rsidR="008A176B" w:rsidRPr="004457D8" w:rsidRDefault="008A176B" w:rsidP="0025266C">
            <w:pPr>
              <w:spacing w:after="0" w:line="259" w:lineRule="auto"/>
              <w:rPr>
                <w:color w:val="000000" w:themeColor="text1"/>
                <w:sz w:val="20"/>
                <w:szCs w:val="20"/>
                <w:lang w:val="en-US"/>
              </w:rPr>
            </w:pPr>
            <w:r w:rsidRPr="004457D8">
              <w:rPr>
                <w:color w:val="000000" w:themeColor="text1"/>
                <w:sz w:val="20"/>
                <w:szCs w:val="20"/>
                <w:lang w:val="en-US"/>
              </w:rPr>
              <w:t>Base level:</w:t>
            </w:r>
          </w:p>
        </w:tc>
        <w:tc>
          <w:tcPr>
            <w:tcW w:w="2076" w:type="dxa"/>
            <w:vAlign w:val="center"/>
            <w:hideMark/>
          </w:tcPr>
          <w:p w14:paraId="13CD3D48" w14:textId="77777777" w:rsidR="008A176B" w:rsidRPr="004457D8" w:rsidRDefault="008A176B" w:rsidP="0025266C">
            <w:pPr>
              <w:spacing w:after="0" w:line="259" w:lineRule="auto"/>
              <w:rPr>
                <w:color w:val="000000" w:themeColor="text1"/>
                <w:sz w:val="20"/>
                <w:szCs w:val="20"/>
                <w:lang w:val="en-US"/>
              </w:rPr>
            </w:pPr>
            <w:r w:rsidRPr="004457D8">
              <w:rPr>
                <w:color w:val="000000" w:themeColor="text1"/>
                <w:sz w:val="20"/>
                <w:szCs w:val="20"/>
                <w:lang w:val="en-US"/>
              </w:rPr>
              <w:t>1986</w:t>
            </w:r>
          </w:p>
        </w:tc>
        <w:tc>
          <w:tcPr>
            <w:tcW w:w="2076" w:type="dxa"/>
            <w:vAlign w:val="center"/>
            <w:hideMark/>
          </w:tcPr>
          <w:p w14:paraId="43B49D91" w14:textId="77777777" w:rsidR="008A176B" w:rsidRPr="004457D8" w:rsidRDefault="008A176B" w:rsidP="0025266C">
            <w:pPr>
              <w:spacing w:after="0" w:line="259" w:lineRule="auto"/>
              <w:rPr>
                <w:color w:val="000000" w:themeColor="text1"/>
                <w:sz w:val="20"/>
                <w:szCs w:val="20"/>
                <w:lang w:val="en-US"/>
              </w:rPr>
            </w:pPr>
            <w:r w:rsidRPr="004457D8">
              <w:rPr>
                <w:color w:val="000000" w:themeColor="text1"/>
                <w:sz w:val="20"/>
                <w:szCs w:val="20"/>
                <w:lang w:val="en-US"/>
              </w:rPr>
              <w:t>Base level:</w:t>
            </w:r>
          </w:p>
        </w:tc>
        <w:tc>
          <w:tcPr>
            <w:tcW w:w="2132" w:type="dxa"/>
            <w:vAlign w:val="center"/>
            <w:hideMark/>
          </w:tcPr>
          <w:p w14:paraId="030D962D" w14:textId="77777777" w:rsidR="008A176B" w:rsidRPr="004457D8" w:rsidRDefault="008A176B" w:rsidP="0025266C">
            <w:pPr>
              <w:spacing w:after="0" w:line="259" w:lineRule="auto"/>
              <w:rPr>
                <w:color w:val="000000" w:themeColor="text1"/>
                <w:sz w:val="20"/>
                <w:szCs w:val="20"/>
                <w:lang w:val="en-US"/>
              </w:rPr>
            </w:pPr>
            <w:r w:rsidRPr="004457D8">
              <w:rPr>
                <w:color w:val="000000" w:themeColor="text1"/>
                <w:sz w:val="20"/>
                <w:szCs w:val="20"/>
                <w:lang w:val="en-US"/>
              </w:rPr>
              <w:t>Average of 1995-97</w:t>
            </w:r>
          </w:p>
        </w:tc>
      </w:tr>
      <w:tr w:rsidR="008A176B" w:rsidRPr="004457D8" w14:paraId="6449493F" w14:textId="77777777" w:rsidTr="0025266C">
        <w:trPr>
          <w:trHeight w:val="278"/>
        </w:trPr>
        <w:tc>
          <w:tcPr>
            <w:tcW w:w="2075" w:type="dxa"/>
            <w:vAlign w:val="center"/>
            <w:hideMark/>
          </w:tcPr>
          <w:p w14:paraId="2B57243C" w14:textId="77777777" w:rsidR="008A176B" w:rsidRPr="004457D8" w:rsidRDefault="008A176B" w:rsidP="0025266C">
            <w:pPr>
              <w:spacing w:after="0" w:line="259" w:lineRule="auto"/>
              <w:rPr>
                <w:color w:val="000000" w:themeColor="text1"/>
                <w:sz w:val="20"/>
                <w:szCs w:val="20"/>
                <w:lang w:val="en-US"/>
              </w:rPr>
            </w:pPr>
            <w:r w:rsidRPr="004457D8">
              <w:rPr>
                <w:color w:val="000000" w:themeColor="text1"/>
                <w:sz w:val="20"/>
                <w:szCs w:val="20"/>
                <w:lang w:val="en-US"/>
              </w:rPr>
              <w:t>Freeze:</w:t>
            </w:r>
          </w:p>
        </w:tc>
        <w:tc>
          <w:tcPr>
            <w:tcW w:w="2076" w:type="dxa"/>
            <w:vAlign w:val="center"/>
            <w:hideMark/>
          </w:tcPr>
          <w:p w14:paraId="4915D24F" w14:textId="77777777" w:rsidR="008A176B" w:rsidRPr="004457D8" w:rsidRDefault="008A176B" w:rsidP="0025266C">
            <w:pPr>
              <w:spacing w:after="0" w:line="259" w:lineRule="auto"/>
              <w:rPr>
                <w:color w:val="000000" w:themeColor="text1"/>
                <w:sz w:val="20"/>
                <w:szCs w:val="20"/>
                <w:lang w:val="en-US"/>
              </w:rPr>
            </w:pPr>
            <w:r w:rsidRPr="004457D8">
              <w:rPr>
                <w:color w:val="000000" w:themeColor="text1"/>
                <w:sz w:val="20"/>
                <w:szCs w:val="20"/>
                <w:lang w:val="en-US"/>
              </w:rPr>
              <w:t>July 1, 1989</w:t>
            </w:r>
          </w:p>
        </w:tc>
        <w:tc>
          <w:tcPr>
            <w:tcW w:w="2076" w:type="dxa"/>
            <w:vAlign w:val="center"/>
            <w:hideMark/>
          </w:tcPr>
          <w:p w14:paraId="65320999" w14:textId="77777777" w:rsidR="008A176B" w:rsidRPr="004457D8" w:rsidRDefault="008A176B" w:rsidP="0025266C">
            <w:pPr>
              <w:spacing w:after="0" w:line="259" w:lineRule="auto"/>
              <w:rPr>
                <w:color w:val="000000" w:themeColor="text1"/>
                <w:sz w:val="20"/>
                <w:szCs w:val="20"/>
                <w:lang w:val="en-US"/>
              </w:rPr>
            </w:pPr>
            <w:r w:rsidRPr="004457D8">
              <w:rPr>
                <w:color w:val="000000" w:themeColor="text1"/>
                <w:sz w:val="20"/>
                <w:szCs w:val="20"/>
                <w:lang w:val="en-US"/>
              </w:rPr>
              <w:t>Freeze:</w:t>
            </w:r>
          </w:p>
        </w:tc>
        <w:tc>
          <w:tcPr>
            <w:tcW w:w="2132" w:type="dxa"/>
            <w:vAlign w:val="center"/>
            <w:hideMark/>
          </w:tcPr>
          <w:p w14:paraId="4BA717CF" w14:textId="77777777" w:rsidR="008A176B" w:rsidRPr="004457D8" w:rsidRDefault="008A176B" w:rsidP="0025266C">
            <w:pPr>
              <w:spacing w:after="0" w:line="259" w:lineRule="auto"/>
              <w:rPr>
                <w:color w:val="000000" w:themeColor="text1"/>
                <w:sz w:val="20"/>
                <w:szCs w:val="20"/>
                <w:lang w:val="en-US"/>
              </w:rPr>
            </w:pPr>
            <w:r w:rsidRPr="004457D8">
              <w:rPr>
                <w:color w:val="000000" w:themeColor="text1"/>
                <w:sz w:val="20"/>
                <w:szCs w:val="20"/>
                <w:lang w:val="en-US"/>
              </w:rPr>
              <w:t>July 1, 1999</w:t>
            </w:r>
          </w:p>
        </w:tc>
      </w:tr>
      <w:tr w:rsidR="008A176B" w:rsidRPr="004457D8" w14:paraId="61A9166B" w14:textId="77777777" w:rsidTr="0025266C">
        <w:trPr>
          <w:trHeight w:val="530"/>
        </w:trPr>
        <w:tc>
          <w:tcPr>
            <w:tcW w:w="2075" w:type="dxa"/>
            <w:vAlign w:val="center"/>
            <w:hideMark/>
          </w:tcPr>
          <w:p w14:paraId="6A8BE90D" w14:textId="77777777" w:rsidR="008A176B" w:rsidRPr="004457D8" w:rsidRDefault="008A176B" w:rsidP="0025266C">
            <w:pPr>
              <w:spacing w:after="0" w:line="259" w:lineRule="auto"/>
              <w:rPr>
                <w:color w:val="000000" w:themeColor="text1"/>
                <w:sz w:val="20"/>
                <w:szCs w:val="20"/>
                <w:lang w:val="en-US"/>
              </w:rPr>
            </w:pPr>
            <w:r w:rsidRPr="004457D8">
              <w:rPr>
                <w:color w:val="000000" w:themeColor="text1"/>
                <w:sz w:val="20"/>
                <w:szCs w:val="20"/>
                <w:lang w:val="en-US"/>
              </w:rPr>
              <w:t>75 per cent: reduction</w:t>
            </w:r>
          </w:p>
        </w:tc>
        <w:tc>
          <w:tcPr>
            <w:tcW w:w="2076" w:type="dxa"/>
            <w:vAlign w:val="center"/>
            <w:hideMark/>
          </w:tcPr>
          <w:p w14:paraId="14787888" w14:textId="77777777" w:rsidR="008A176B" w:rsidRPr="004457D8" w:rsidRDefault="008A176B" w:rsidP="0025266C">
            <w:pPr>
              <w:spacing w:after="0" w:line="259" w:lineRule="auto"/>
              <w:rPr>
                <w:color w:val="000000" w:themeColor="text1"/>
                <w:sz w:val="20"/>
                <w:szCs w:val="20"/>
                <w:lang w:val="en-US"/>
              </w:rPr>
            </w:pPr>
            <w:r w:rsidRPr="004457D8">
              <w:rPr>
                <w:color w:val="000000" w:themeColor="text1"/>
                <w:sz w:val="20"/>
                <w:szCs w:val="20"/>
                <w:lang w:val="en-US"/>
              </w:rPr>
              <w:t>January 1, 1994</w:t>
            </w:r>
          </w:p>
        </w:tc>
        <w:tc>
          <w:tcPr>
            <w:tcW w:w="2076" w:type="dxa"/>
            <w:vAlign w:val="center"/>
            <w:hideMark/>
          </w:tcPr>
          <w:p w14:paraId="6CB4C6F4" w14:textId="77777777" w:rsidR="008A176B" w:rsidRPr="004457D8" w:rsidRDefault="008A176B" w:rsidP="0025266C">
            <w:pPr>
              <w:spacing w:after="0" w:line="259" w:lineRule="auto"/>
              <w:rPr>
                <w:color w:val="000000" w:themeColor="text1"/>
                <w:sz w:val="20"/>
                <w:szCs w:val="20"/>
                <w:lang w:val="en-US"/>
              </w:rPr>
            </w:pPr>
            <w:r w:rsidRPr="004457D8">
              <w:rPr>
                <w:color w:val="000000" w:themeColor="text1"/>
                <w:sz w:val="20"/>
                <w:szCs w:val="20"/>
                <w:lang w:val="en-US"/>
              </w:rPr>
              <w:t>50 per cent: reduction</w:t>
            </w:r>
          </w:p>
        </w:tc>
        <w:tc>
          <w:tcPr>
            <w:tcW w:w="2132" w:type="dxa"/>
            <w:vAlign w:val="center"/>
            <w:hideMark/>
          </w:tcPr>
          <w:p w14:paraId="6E417EC4" w14:textId="77777777" w:rsidR="008A176B" w:rsidRPr="004457D8" w:rsidRDefault="008A176B" w:rsidP="0025266C">
            <w:pPr>
              <w:spacing w:after="0" w:line="259" w:lineRule="auto"/>
              <w:rPr>
                <w:color w:val="000000" w:themeColor="text1"/>
                <w:sz w:val="20"/>
                <w:szCs w:val="20"/>
                <w:lang w:val="en-US"/>
              </w:rPr>
            </w:pPr>
            <w:r w:rsidRPr="004457D8">
              <w:rPr>
                <w:color w:val="000000" w:themeColor="text1"/>
                <w:sz w:val="20"/>
                <w:szCs w:val="20"/>
                <w:lang w:val="en-US"/>
              </w:rPr>
              <w:t>January 1, 2005</w:t>
            </w:r>
          </w:p>
        </w:tc>
      </w:tr>
      <w:tr w:rsidR="008A176B" w:rsidRPr="004457D8" w14:paraId="49D8885E" w14:textId="77777777" w:rsidTr="0025266C">
        <w:trPr>
          <w:trHeight w:val="368"/>
        </w:trPr>
        <w:tc>
          <w:tcPr>
            <w:tcW w:w="2075" w:type="dxa"/>
            <w:vAlign w:val="center"/>
            <w:hideMark/>
          </w:tcPr>
          <w:p w14:paraId="2ECDF265" w14:textId="77777777" w:rsidR="008A176B" w:rsidRPr="004457D8" w:rsidRDefault="008A176B" w:rsidP="0025266C">
            <w:pPr>
              <w:spacing w:after="0" w:line="259" w:lineRule="auto"/>
              <w:rPr>
                <w:color w:val="000000" w:themeColor="text1"/>
                <w:sz w:val="20"/>
                <w:szCs w:val="20"/>
                <w:lang w:val="en-US"/>
              </w:rPr>
            </w:pPr>
            <w:r w:rsidRPr="004457D8">
              <w:rPr>
                <w:color w:val="000000" w:themeColor="text1"/>
                <w:sz w:val="20"/>
                <w:szCs w:val="20"/>
                <w:lang w:val="en-US"/>
              </w:rPr>
              <w:t>100 per cent: reduction</w:t>
            </w:r>
          </w:p>
        </w:tc>
        <w:tc>
          <w:tcPr>
            <w:tcW w:w="2076" w:type="dxa"/>
            <w:vAlign w:val="center"/>
            <w:hideMark/>
          </w:tcPr>
          <w:p w14:paraId="2DD8D945" w14:textId="77777777" w:rsidR="008A176B" w:rsidRPr="004457D8" w:rsidRDefault="008A176B" w:rsidP="0025266C">
            <w:pPr>
              <w:spacing w:after="0" w:line="259" w:lineRule="auto"/>
              <w:rPr>
                <w:color w:val="000000" w:themeColor="text1"/>
                <w:sz w:val="20"/>
                <w:szCs w:val="20"/>
                <w:lang w:val="en-US"/>
              </w:rPr>
            </w:pPr>
            <w:r w:rsidRPr="004457D8">
              <w:rPr>
                <w:color w:val="000000" w:themeColor="text1"/>
                <w:sz w:val="20"/>
                <w:szCs w:val="20"/>
                <w:lang w:val="en-US"/>
              </w:rPr>
              <w:t>January 1, 199</w:t>
            </w:r>
            <w:r>
              <w:rPr>
                <w:color w:val="000000" w:themeColor="text1"/>
                <w:sz w:val="20"/>
                <w:szCs w:val="20"/>
                <w:lang w:val="en-US"/>
              </w:rPr>
              <w:t>6</w:t>
            </w:r>
            <w:r w:rsidRPr="004457D8">
              <w:rPr>
                <w:color w:val="000000" w:themeColor="text1"/>
                <w:sz w:val="20"/>
                <w:szCs w:val="20"/>
                <w:lang w:val="en-US"/>
              </w:rPr>
              <w:t>*</w:t>
            </w:r>
          </w:p>
        </w:tc>
        <w:tc>
          <w:tcPr>
            <w:tcW w:w="2076" w:type="dxa"/>
            <w:vAlign w:val="center"/>
            <w:hideMark/>
          </w:tcPr>
          <w:p w14:paraId="7313F7F7" w14:textId="77777777" w:rsidR="008A176B" w:rsidRPr="004457D8" w:rsidRDefault="008A176B" w:rsidP="0025266C">
            <w:pPr>
              <w:spacing w:after="0" w:line="259" w:lineRule="auto"/>
              <w:rPr>
                <w:color w:val="000000" w:themeColor="text1"/>
                <w:sz w:val="20"/>
                <w:szCs w:val="20"/>
                <w:lang w:val="en-US"/>
              </w:rPr>
            </w:pPr>
            <w:r w:rsidRPr="004457D8">
              <w:rPr>
                <w:color w:val="000000" w:themeColor="text1"/>
                <w:sz w:val="20"/>
                <w:szCs w:val="20"/>
                <w:lang w:val="en-US"/>
              </w:rPr>
              <w:t>85 per cent: reduction</w:t>
            </w:r>
          </w:p>
        </w:tc>
        <w:tc>
          <w:tcPr>
            <w:tcW w:w="2132" w:type="dxa"/>
            <w:vAlign w:val="center"/>
            <w:hideMark/>
          </w:tcPr>
          <w:p w14:paraId="601CBF02" w14:textId="77777777" w:rsidR="008A176B" w:rsidRPr="004457D8" w:rsidRDefault="008A176B" w:rsidP="0025266C">
            <w:pPr>
              <w:spacing w:after="0" w:line="259" w:lineRule="auto"/>
              <w:rPr>
                <w:color w:val="000000" w:themeColor="text1"/>
                <w:sz w:val="20"/>
                <w:szCs w:val="20"/>
                <w:lang w:val="en-US"/>
              </w:rPr>
            </w:pPr>
            <w:r w:rsidRPr="004457D8">
              <w:rPr>
                <w:color w:val="000000" w:themeColor="text1"/>
                <w:sz w:val="20"/>
                <w:szCs w:val="20"/>
                <w:lang w:val="en-US"/>
              </w:rPr>
              <w:t>January 1, 2007</w:t>
            </w:r>
          </w:p>
        </w:tc>
      </w:tr>
      <w:tr w:rsidR="008A176B" w:rsidRPr="004457D8" w14:paraId="0B039DD1" w14:textId="77777777" w:rsidTr="0025266C">
        <w:trPr>
          <w:trHeight w:val="530"/>
        </w:trPr>
        <w:tc>
          <w:tcPr>
            <w:tcW w:w="2075" w:type="dxa"/>
            <w:vAlign w:val="center"/>
            <w:hideMark/>
          </w:tcPr>
          <w:p w14:paraId="12F4536B" w14:textId="77777777" w:rsidR="008A176B" w:rsidRPr="004457D8" w:rsidRDefault="008A176B" w:rsidP="0025266C">
            <w:pPr>
              <w:spacing w:after="0" w:line="259" w:lineRule="auto"/>
              <w:rPr>
                <w:color w:val="000000" w:themeColor="text1"/>
                <w:sz w:val="20"/>
                <w:szCs w:val="20"/>
                <w:lang w:val="en-US"/>
              </w:rPr>
            </w:pPr>
            <w:r w:rsidRPr="004457D8">
              <w:rPr>
                <w:color w:val="000000" w:themeColor="text1"/>
                <w:sz w:val="20"/>
                <w:szCs w:val="20"/>
                <w:lang w:val="en-US"/>
              </w:rPr>
              <w:t> </w:t>
            </w:r>
          </w:p>
        </w:tc>
        <w:tc>
          <w:tcPr>
            <w:tcW w:w="2076" w:type="dxa"/>
            <w:vAlign w:val="center"/>
            <w:hideMark/>
          </w:tcPr>
          <w:p w14:paraId="4230FE79" w14:textId="77777777" w:rsidR="008A176B" w:rsidRPr="004457D8" w:rsidRDefault="008A176B" w:rsidP="0025266C">
            <w:pPr>
              <w:spacing w:after="0" w:line="259" w:lineRule="auto"/>
              <w:rPr>
                <w:color w:val="000000" w:themeColor="text1"/>
                <w:sz w:val="20"/>
                <w:szCs w:val="20"/>
                <w:lang w:val="en-US"/>
              </w:rPr>
            </w:pPr>
            <w:r w:rsidRPr="004457D8">
              <w:rPr>
                <w:color w:val="000000" w:themeColor="text1"/>
                <w:sz w:val="20"/>
                <w:szCs w:val="20"/>
                <w:lang w:val="en-US"/>
              </w:rPr>
              <w:t> </w:t>
            </w:r>
          </w:p>
        </w:tc>
        <w:tc>
          <w:tcPr>
            <w:tcW w:w="2076" w:type="dxa"/>
            <w:vAlign w:val="center"/>
            <w:hideMark/>
          </w:tcPr>
          <w:p w14:paraId="6C9F302F" w14:textId="77777777" w:rsidR="008A176B" w:rsidRPr="004457D8" w:rsidRDefault="008A176B" w:rsidP="0025266C">
            <w:pPr>
              <w:spacing w:after="0" w:line="259" w:lineRule="auto"/>
              <w:rPr>
                <w:color w:val="000000" w:themeColor="text1"/>
                <w:sz w:val="20"/>
                <w:szCs w:val="20"/>
                <w:lang w:val="en-US"/>
              </w:rPr>
            </w:pPr>
            <w:r w:rsidRPr="004457D8">
              <w:rPr>
                <w:color w:val="000000" w:themeColor="text1"/>
                <w:sz w:val="20"/>
                <w:szCs w:val="20"/>
                <w:lang w:val="en-US"/>
              </w:rPr>
              <w:t>100 per cent: reduction</w:t>
            </w:r>
          </w:p>
        </w:tc>
        <w:tc>
          <w:tcPr>
            <w:tcW w:w="2132" w:type="dxa"/>
            <w:vAlign w:val="center"/>
            <w:hideMark/>
          </w:tcPr>
          <w:p w14:paraId="32087F2D" w14:textId="77777777" w:rsidR="008A176B" w:rsidRPr="004457D8" w:rsidRDefault="008A176B" w:rsidP="0025266C">
            <w:pPr>
              <w:spacing w:after="0" w:line="259" w:lineRule="auto"/>
              <w:rPr>
                <w:color w:val="000000" w:themeColor="text1"/>
                <w:sz w:val="20"/>
                <w:szCs w:val="20"/>
                <w:lang w:val="en-US"/>
              </w:rPr>
            </w:pPr>
            <w:r w:rsidRPr="004457D8">
              <w:rPr>
                <w:color w:val="000000" w:themeColor="text1"/>
                <w:sz w:val="20"/>
                <w:szCs w:val="20"/>
                <w:lang w:val="en-US"/>
              </w:rPr>
              <w:t>January 1, 2010*</w:t>
            </w:r>
          </w:p>
        </w:tc>
      </w:tr>
    </w:tbl>
    <w:p w14:paraId="24CA24CF" w14:textId="77777777" w:rsidR="008A176B" w:rsidRPr="00CC60B5" w:rsidRDefault="008A176B" w:rsidP="008A176B">
      <w:pPr>
        <w:spacing w:before="120" w:line="259" w:lineRule="auto"/>
        <w:rPr>
          <w:i/>
          <w:iCs/>
          <w:color w:val="000000" w:themeColor="text1"/>
          <w:sz w:val="20"/>
          <w:lang w:val="en-US"/>
        </w:rPr>
      </w:pPr>
      <w:r w:rsidRPr="00CC60B5">
        <w:rPr>
          <w:i/>
          <w:iCs/>
          <w:color w:val="000000" w:themeColor="text1"/>
          <w:sz w:val="20"/>
          <w:lang w:val="en-US"/>
        </w:rPr>
        <w:t>*</w:t>
      </w:r>
      <w:r>
        <w:rPr>
          <w:i/>
          <w:iCs/>
          <w:color w:val="000000" w:themeColor="text1"/>
          <w:sz w:val="20"/>
          <w:lang w:val="en-US"/>
        </w:rPr>
        <w:t>Except for</w:t>
      </w:r>
      <w:r w:rsidRPr="00CC60B5">
        <w:rPr>
          <w:i/>
          <w:iCs/>
          <w:color w:val="000000" w:themeColor="text1"/>
          <w:sz w:val="20"/>
          <w:lang w:val="en-US"/>
        </w:rPr>
        <w:t xml:space="preserve"> essential use exemptions</w:t>
      </w:r>
    </w:p>
    <w:p w14:paraId="726288F9" w14:textId="5FA9F758" w:rsidR="008B2595" w:rsidRPr="008E165D" w:rsidRDefault="008B2595" w:rsidP="008B2595">
      <w:pPr>
        <w:pStyle w:val="FigureandTableTitle"/>
      </w:pPr>
      <w:r w:rsidRPr="00CC60B5">
        <w:t xml:space="preserve">Table </w:t>
      </w:r>
      <w:r w:rsidR="3C577C97">
        <w:t>A.8</w:t>
      </w:r>
      <w:r w:rsidRPr="00CC60B5">
        <w:t>.2</w:t>
      </w:r>
      <w:r w:rsidRPr="00CC60B5">
        <w:tab/>
      </w:r>
      <w:r>
        <w:t>C</w:t>
      </w:r>
      <w:r w:rsidRPr="00CC60B5">
        <w:t xml:space="preserve">onsumption phase-out schedule for Montreal Protocol </w:t>
      </w:r>
      <w:r w:rsidRPr="00043208">
        <w:t>Annex B, Group II</w:t>
      </w:r>
      <w:r w:rsidRPr="00B86D66">
        <w:t>,</w:t>
      </w:r>
      <w:r w:rsidRPr="00CC60B5">
        <w:t xml:space="preserve"> controlled substances: hydrochlorofluorocarbons</w:t>
      </w:r>
      <w:r w:rsidR="00902FF0">
        <w:rPr>
          <w:rStyle w:val="FootnoteReference"/>
        </w:rPr>
        <w:footnoteReference w:id="169"/>
      </w:r>
    </w:p>
    <w:tbl>
      <w:tblPr>
        <w:tblStyle w:val="TableGrid"/>
        <w:tblW w:w="0" w:type="auto"/>
        <w:tblLook w:val="04A0" w:firstRow="1" w:lastRow="0" w:firstColumn="1" w:lastColumn="0" w:noHBand="0" w:noVBand="1"/>
      </w:tblPr>
      <w:tblGrid>
        <w:gridCol w:w="2054"/>
        <w:gridCol w:w="2049"/>
        <w:gridCol w:w="2049"/>
        <w:gridCol w:w="2047"/>
      </w:tblGrid>
      <w:tr w:rsidR="008B2595" w:rsidRPr="00320FD7" w14:paraId="48CD7B46" w14:textId="77777777" w:rsidTr="0025266C">
        <w:trPr>
          <w:trHeight w:val="638"/>
        </w:trPr>
        <w:tc>
          <w:tcPr>
            <w:tcW w:w="4103" w:type="dxa"/>
            <w:gridSpan w:val="2"/>
            <w:vAlign w:val="center"/>
            <w:hideMark/>
          </w:tcPr>
          <w:p w14:paraId="492DAD1F" w14:textId="77777777" w:rsidR="008B2595" w:rsidRPr="00320FD7" w:rsidRDefault="008B2595" w:rsidP="0025266C">
            <w:pPr>
              <w:spacing w:after="0"/>
              <w:jc w:val="center"/>
              <w:rPr>
                <w:i/>
                <w:iCs/>
                <w:sz w:val="20"/>
                <w:szCs w:val="20"/>
                <w:lang w:val="en-US"/>
              </w:rPr>
            </w:pPr>
            <w:r w:rsidRPr="00320FD7">
              <w:rPr>
                <w:i/>
                <w:iCs/>
                <w:sz w:val="20"/>
                <w:szCs w:val="20"/>
                <w:lang w:val="en-US"/>
              </w:rPr>
              <w:t>Non-Article 5(1) Parties: Consumption</w:t>
            </w:r>
          </w:p>
        </w:tc>
        <w:tc>
          <w:tcPr>
            <w:tcW w:w="4096" w:type="dxa"/>
            <w:gridSpan w:val="2"/>
            <w:vAlign w:val="center"/>
            <w:hideMark/>
          </w:tcPr>
          <w:p w14:paraId="7857510E" w14:textId="77777777" w:rsidR="008B2595" w:rsidRPr="00320FD7" w:rsidRDefault="008B2595" w:rsidP="0025266C">
            <w:pPr>
              <w:spacing w:after="0"/>
              <w:jc w:val="center"/>
              <w:rPr>
                <w:i/>
                <w:iCs/>
                <w:sz w:val="20"/>
                <w:szCs w:val="20"/>
                <w:lang w:val="en-US"/>
              </w:rPr>
            </w:pPr>
            <w:r w:rsidRPr="00320FD7">
              <w:rPr>
                <w:i/>
                <w:iCs/>
                <w:sz w:val="20"/>
                <w:szCs w:val="20"/>
                <w:lang w:val="en-US"/>
              </w:rPr>
              <w:t>Article 5(1) Parties: Consumption</w:t>
            </w:r>
          </w:p>
        </w:tc>
      </w:tr>
      <w:tr w:rsidR="008B2595" w:rsidRPr="00FF5139" w14:paraId="2FD33444" w14:textId="77777777" w:rsidTr="0025266C">
        <w:trPr>
          <w:trHeight w:val="741"/>
        </w:trPr>
        <w:tc>
          <w:tcPr>
            <w:tcW w:w="2054" w:type="dxa"/>
            <w:hideMark/>
          </w:tcPr>
          <w:p w14:paraId="0DFF0992" w14:textId="77777777" w:rsidR="008B2595" w:rsidRPr="00FF5139" w:rsidRDefault="008B2595" w:rsidP="0025266C">
            <w:pPr>
              <w:spacing w:after="0"/>
              <w:rPr>
                <w:sz w:val="20"/>
                <w:szCs w:val="20"/>
                <w:lang w:val="en-US"/>
              </w:rPr>
            </w:pPr>
            <w:r w:rsidRPr="00FF5139">
              <w:rPr>
                <w:sz w:val="20"/>
                <w:szCs w:val="20"/>
                <w:lang w:val="en-US"/>
              </w:rPr>
              <w:t>Base level:</w:t>
            </w:r>
          </w:p>
        </w:tc>
        <w:tc>
          <w:tcPr>
            <w:tcW w:w="2049" w:type="dxa"/>
            <w:hideMark/>
          </w:tcPr>
          <w:p w14:paraId="0C1ED10D" w14:textId="77777777" w:rsidR="008B2595" w:rsidRPr="00FF5139" w:rsidRDefault="008B2595" w:rsidP="0025266C">
            <w:pPr>
              <w:spacing w:after="0"/>
              <w:rPr>
                <w:sz w:val="20"/>
                <w:szCs w:val="20"/>
                <w:lang w:val="en-US"/>
              </w:rPr>
            </w:pPr>
            <w:r w:rsidRPr="00FF5139">
              <w:rPr>
                <w:sz w:val="20"/>
                <w:szCs w:val="20"/>
                <w:lang w:val="en-US"/>
              </w:rPr>
              <w:t>1989 HCFC + 2.8 % 1989 CFC consumption</w:t>
            </w:r>
          </w:p>
        </w:tc>
        <w:tc>
          <w:tcPr>
            <w:tcW w:w="2049" w:type="dxa"/>
            <w:hideMark/>
          </w:tcPr>
          <w:p w14:paraId="15469D3E" w14:textId="77777777" w:rsidR="008B2595" w:rsidRPr="00FF5139" w:rsidRDefault="008B2595" w:rsidP="0025266C">
            <w:pPr>
              <w:spacing w:after="0"/>
              <w:rPr>
                <w:sz w:val="20"/>
                <w:szCs w:val="20"/>
                <w:lang w:val="en-US"/>
              </w:rPr>
            </w:pPr>
            <w:r w:rsidRPr="00FF5139">
              <w:rPr>
                <w:sz w:val="20"/>
                <w:szCs w:val="20"/>
                <w:lang w:val="en-US"/>
              </w:rPr>
              <w:t>Base level:</w:t>
            </w:r>
          </w:p>
        </w:tc>
        <w:tc>
          <w:tcPr>
            <w:tcW w:w="2047" w:type="dxa"/>
            <w:hideMark/>
          </w:tcPr>
          <w:p w14:paraId="510B0BDE" w14:textId="77777777" w:rsidR="008B2595" w:rsidRPr="00FF5139" w:rsidRDefault="008B2595" w:rsidP="0025266C">
            <w:pPr>
              <w:spacing w:after="0"/>
              <w:rPr>
                <w:sz w:val="20"/>
                <w:szCs w:val="20"/>
                <w:lang w:val="en-US"/>
              </w:rPr>
            </w:pPr>
            <w:r w:rsidRPr="00FF5139">
              <w:rPr>
                <w:sz w:val="20"/>
                <w:szCs w:val="20"/>
                <w:lang w:val="en-US"/>
              </w:rPr>
              <w:t>Average 2009-10</w:t>
            </w:r>
          </w:p>
        </w:tc>
      </w:tr>
      <w:tr w:rsidR="008B2595" w:rsidRPr="00FF5139" w14:paraId="6EDB8148" w14:textId="77777777" w:rsidTr="0025266C">
        <w:trPr>
          <w:trHeight w:val="284"/>
        </w:trPr>
        <w:tc>
          <w:tcPr>
            <w:tcW w:w="2054" w:type="dxa"/>
            <w:hideMark/>
          </w:tcPr>
          <w:p w14:paraId="5488EEC4" w14:textId="77777777" w:rsidR="008B2595" w:rsidRPr="00FF5139" w:rsidRDefault="008B2595" w:rsidP="0025266C">
            <w:pPr>
              <w:spacing w:after="0"/>
              <w:rPr>
                <w:sz w:val="20"/>
                <w:szCs w:val="20"/>
                <w:lang w:val="en-US"/>
              </w:rPr>
            </w:pPr>
            <w:r w:rsidRPr="00FF5139">
              <w:rPr>
                <w:sz w:val="20"/>
                <w:szCs w:val="20"/>
                <w:lang w:val="en-US"/>
              </w:rPr>
              <w:t>Freeze:</w:t>
            </w:r>
          </w:p>
        </w:tc>
        <w:tc>
          <w:tcPr>
            <w:tcW w:w="2049" w:type="dxa"/>
            <w:hideMark/>
          </w:tcPr>
          <w:p w14:paraId="243CBBC8" w14:textId="77777777" w:rsidR="008B2595" w:rsidRPr="00FF5139" w:rsidRDefault="008B2595" w:rsidP="0025266C">
            <w:pPr>
              <w:spacing w:after="0"/>
              <w:rPr>
                <w:sz w:val="20"/>
                <w:szCs w:val="20"/>
                <w:lang w:val="en-US"/>
              </w:rPr>
            </w:pPr>
            <w:r w:rsidRPr="00FF5139">
              <w:rPr>
                <w:sz w:val="20"/>
                <w:szCs w:val="20"/>
                <w:lang w:val="en-US"/>
              </w:rPr>
              <w:t>1996</w:t>
            </w:r>
          </w:p>
        </w:tc>
        <w:tc>
          <w:tcPr>
            <w:tcW w:w="2049" w:type="dxa"/>
            <w:hideMark/>
          </w:tcPr>
          <w:p w14:paraId="48FCB4AF" w14:textId="77777777" w:rsidR="008B2595" w:rsidRPr="00FF5139" w:rsidRDefault="008B2595" w:rsidP="0025266C">
            <w:pPr>
              <w:spacing w:after="0"/>
              <w:rPr>
                <w:sz w:val="20"/>
                <w:szCs w:val="20"/>
                <w:lang w:val="en-US"/>
              </w:rPr>
            </w:pPr>
            <w:r w:rsidRPr="00FF5139">
              <w:rPr>
                <w:sz w:val="20"/>
                <w:szCs w:val="20"/>
                <w:lang w:val="en-US"/>
              </w:rPr>
              <w:t>Freeze:</w:t>
            </w:r>
          </w:p>
        </w:tc>
        <w:tc>
          <w:tcPr>
            <w:tcW w:w="2047" w:type="dxa"/>
            <w:hideMark/>
          </w:tcPr>
          <w:p w14:paraId="21AC6CED" w14:textId="77777777" w:rsidR="008B2595" w:rsidRPr="00FF5139" w:rsidRDefault="008B2595" w:rsidP="0025266C">
            <w:pPr>
              <w:spacing w:after="0"/>
              <w:rPr>
                <w:sz w:val="20"/>
                <w:szCs w:val="20"/>
                <w:lang w:val="en-US"/>
              </w:rPr>
            </w:pPr>
            <w:r w:rsidRPr="00FF5139">
              <w:rPr>
                <w:sz w:val="20"/>
                <w:szCs w:val="20"/>
                <w:lang w:val="en-US"/>
              </w:rPr>
              <w:t>January 1, 2013</w:t>
            </w:r>
          </w:p>
        </w:tc>
      </w:tr>
      <w:tr w:rsidR="008B2595" w:rsidRPr="00FF5139" w14:paraId="3AFC7611" w14:textId="77777777" w:rsidTr="0025266C">
        <w:trPr>
          <w:trHeight w:val="362"/>
        </w:trPr>
        <w:tc>
          <w:tcPr>
            <w:tcW w:w="2054" w:type="dxa"/>
            <w:hideMark/>
          </w:tcPr>
          <w:p w14:paraId="75FBA868" w14:textId="77777777" w:rsidR="008B2595" w:rsidRPr="00FF5139" w:rsidRDefault="008B2595" w:rsidP="0025266C">
            <w:pPr>
              <w:spacing w:after="0"/>
              <w:rPr>
                <w:sz w:val="20"/>
                <w:szCs w:val="20"/>
                <w:lang w:val="en-US"/>
              </w:rPr>
            </w:pPr>
            <w:r w:rsidRPr="00FF5139">
              <w:rPr>
                <w:sz w:val="20"/>
                <w:szCs w:val="20"/>
                <w:lang w:val="en-US"/>
              </w:rPr>
              <w:t>35 per cent: reduction</w:t>
            </w:r>
          </w:p>
        </w:tc>
        <w:tc>
          <w:tcPr>
            <w:tcW w:w="2049" w:type="dxa"/>
            <w:hideMark/>
          </w:tcPr>
          <w:p w14:paraId="5278845B" w14:textId="77777777" w:rsidR="008B2595" w:rsidRPr="00FF5139" w:rsidRDefault="008B2595" w:rsidP="0025266C">
            <w:pPr>
              <w:spacing w:after="0"/>
              <w:rPr>
                <w:sz w:val="20"/>
                <w:szCs w:val="20"/>
                <w:lang w:val="en-US"/>
              </w:rPr>
            </w:pPr>
            <w:r w:rsidRPr="00FF5139">
              <w:rPr>
                <w:sz w:val="20"/>
                <w:szCs w:val="20"/>
                <w:lang w:val="en-US"/>
              </w:rPr>
              <w:t>January 1, 2004</w:t>
            </w:r>
          </w:p>
        </w:tc>
        <w:tc>
          <w:tcPr>
            <w:tcW w:w="2049" w:type="dxa"/>
            <w:hideMark/>
          </w:tcPr>
          <w:p w14:paraId="747A8A85" w14:textId="77777777" w:rsidR="008B2595" w:rsidRPr="00FF5139" w:rsidRDefault="008B2595" w:rsidP="0025266C">
            <w:pPr>
              <w:spacing w:after="0"/>
              <w:rPr>
                <w:sz w:val="20"/>
                <w:szCs w:val="20"/>
                <w:lang w:val="en-US"/>
              </w:rPr>
            </w:pPr>
            <w:r w:rsidRPr="00FF5139">
              <w:rPr>
                <w:sz w:val="20"/>
                <w:szCs w:val="20"/>
                <w:lang w:val="en-US"/>
              </w:rPr>
              <w:t>10 per cent: reduction</w:t>
            </w:r>
          </w:p>
        </w:tc>
        <w:tc>
          <w:tcPr>
            <w:tcW w:w="2047" w:type="dxa"/>
            <w:hideMark/>
          </w:tcPr>
          <w:p w14:paraId="1C210D00" w14:textId="77777777" w:rsidR="008B2595" w:rsidRPr="00FF5139" w:rsidRDefault="008B2595" w:rsidP="0025266C">
            <w:pPr>
              <w:spacing w:after="0"/>
              <w:rPr>
                <w:sz w:val="20"/>
                <w:szCs w:val="20"/>
                <w:lang w:val="en-US"/>
              </w:rPr>
            </w:pPr>
            <w:r w:rsidRPr="00FF5139">
              <w:rPr>
                <w:sz w:val="20"/>
                <w:szCs w:val="20"/>
                <w:lang w:val="en-US"/>
              </w:rPr>
              <w:t>January 1, 2015</w:t>
            </w:r>
          </w:p>
        </w:tc>
      </w:tr>
      <w:tr w:rsidR="008B2595" w:rsidRPr="00FF5139" w14:paraId="4438C638" w14:textId="77777777" w:rsidTr="0025266C">
        <w:trPr>
          <w:trHeight w:val="281"/>
        </w:trPr>
        <w:tc>
          <w:tcPr>
            <w:tcW w:w="2054" w:type="dxa"/>
            <w:hideMark/>
          </w:tcPr>
          <w:p w14:paraId="024A4571" w14:textId="77777777" w:rsidR="008B2595" w:rsidRPr="00FF5139" w:rsidRDefault="008B2595" w:rsidP="0025266C">
            <w:pPr>
              <w:spacing w:after="0"/>
              <w:rPr>
                <w:sz w:val="20"/>
                <w:szCs w:val="20"/>
                <w:lang w:val="en-US"/>
              </w:rPr>
            </w:pPr>
            <w:r w:rsidRPr="00FF5139">
              <w:rPr>
                <w:sz w:val="20"/>
                <w:szCs w:val="20"/>
                <w:lang w:val="en-US"/>
              </w:rPr>
              <w:t>75 per cent: reduction</w:t>
            </w:r>
          </w:p>
        </w:tc>
        <w:tc>
          <w:tcPr>
            <w:tcW w:w="2049" w:type="dxa"/>
            <w:hideMark/>
          </w:tcPr>
          <w:p w14:paraId="7656BCAA" w14:textId="77777777" w:rsidR="008B2595" w:rsidRPr="00FF5139" w:rsidRDefault="008B2595" w:rsidP="0025266C">
            <w:pPr>
              <w:spacing w:after="0"/>
              <w:rPr>
                <w:sz w:val="20"/>
                <w:szCs w:val="20"/>
                <w:lang w:val="en-US"/>
              </w:rPr>
            </w:pPr>
            <w:r w:rsidRPr="00FF5139">
              <w:rPr>
                <w:sz w:val="20"/>
                <w:szCs w:val="20"/>
                <w:lang w:val="en-US"/>
              </w:rPr>
              <w:t>January 1, 2010</w:t>
            </w:r>
          </w:p>
        </w:tc>
        <w:tc>
          <w:tcPr>
            <w:tcW w:w="2049" w:type="dxa"/>
            <w:hideMark/>
          </w:tcPr>
          <w:p w14:paraId="7890C3F0" w14:textId="77777777" w:rsidR="008B2595" w:rsidRPr="00FF5139" w:rsidRDefault="008B2595" w:rsidP="0025266C">
            <w:pPr>
              <w:spacing w:after="0"/>
              <w:rPr>
                <w:sz w:val="20"/>
                <w:szCs w:val="20"/>
                <w:lang w:val="en-US"/>
              </w:rPr>
            </w:pPr>
            <w:r w:rsidRPr="00FF5139">
              <w:rPr>
                <w:sz w:val="20"/>
                <w:szCs w:val="20"/>
                <w:lang w:val="en-US"/>
              </w:rPr>
              <w:t>35 per cent: reduction</w:t>
            </w:r>
          </w:p>
        </w:tc>
        <w:tc>
          <w:tcPr>
            <w:tcW w:w="2047" w:type="dxa"/>
            <w:hideMark/>
          </w:tcPr>
          <w:p w14:paraId="64B9BA9B" w14:textId="77777777" w:rsidR="008B2595" w:rsidRPr="00FF5139" w:rsidRDefault="008B2595" w:rsidP="0025266C">
            <w:pPr>
              <w:spacing w:after="0"/>
              <w:rPr>
                <w:sz w:val="20"/>
                <w:szCs w:val="20"/>
                <w:lang w:val="en-US"/>
              </w:rPr>
            </w:pPr>
            <w:r w:rsidRPr="00FF5139">
              <w:rPr>
                <w:sz w:val="20"/>
                <w:szCs w:val="20"/>
                <w:lang w:val="en-US"/>
              </w:rPr>
              <w:t>January 1, 2020</w:t>
            </w:r>
          </w:p>
        </w:tc>
      </w:tr>
      <w:tr w:rsidR="008B2595" w:rsidRPr="00FF5139" w14:paraId="3E9D8A24" w14:textId="77777777" w:rsidTr="0025266C">
        <w:trPr>
          <w:trHeight w:val="541"/>
        </w:trPr>
        <w:tc>
          <w:tcPr>
            <w:tcW w:w="2054" w:type="dxa"/>
            <w:hideMark/>
          </w:tcPr>
          <w:p w14:paraId="51191A20" w14:textId="77777777" w:rsidR="008B2595" w:rsidRPr="00FF5139" w:rsidRDefault="008B2595" w:rsidP="0025266C">
            <w:pPr>
              <w:spacing w:after="0"/>
              <w:rPr>
                <w:sz w:val="20"/>
                <w:szCs w:val="20"/>
                <w:lang w:val="en-US"/>
              </w:rPr>
            </w:pPr>
            <w:r w:rsidRPr="00FF5139">
              <w:rPr>
                <w:sz w:val="20"/>
                <w:szCs w:val="20"/>
                <w:lang w:val="en-US"/>
              </w:rPr>
              <w:t>90 per cent: reduction</w:t>
            </w:r>
          </w:p>
        </w:tc>
        <w:tc>
          <w:tcPr>
            <w:tcW w:w="2049" w:type="dxa"/>
            <w:hideMark/>
          </w:tcPr>
          <w:p w14:paraId="4B0C17EA" w14:textId="77777777" w:rsidR="008B2595" w:rsidRPr="00FF5139" w:rsidRDefault="008B2595" w:rsidP="0025266C">
            <w:pPr>
              <w:spacing w:after="0"/>
              <w:rPr>
                <w:sz w:val="20"/>
                <w:szCs w:val="20"/>
                <w:lang w:val="en-US"/>
              </w:rPr>
            </w:pPr>
            <w:r w:rsidRPr="00FF5139">
              <w:rPr>
                <w:sz w:val="20"/>
                <w:szCs w:val="20"/>
                <w:lang w:val="en-US"/>
              </w:rPr>
              <w:t>January 1, 2015</w:t>
            </w:r>
          </w:p>
        </w:tc>
        <w:tc>
          <w:tcPr>
            <w:tcW w:w="2049" w:type="dxa"/>
            <w:hideMark/>
          </w:tcPr>
          <w:p w14:paraId="29FE4121" w14:textId="77777777" w:rsidR="008B2595" w:rsidRPr="00FF5139" w:rsidRDefault="008B2595" w:rsidP="0025266C">
            <w:pPr>
              <w:spacing w:after="0"/>
              <w:rPr>
                <w:sz w:val="20"/>
                <w:szCs w:val="20"/>
                <w:lang w:val="en-US"/>
              </w:rPr>
            </w:pPr>
            <w:r w:rsidRPr="00FF5139">
              <w:rPr>
                <w:sz w:val="20"/>
                <w:szCs w:val="20"/>
                <w:lang w:val="en-US"/>
              </w:rPr>
              <w:t>67.5 per cent reduction</w:t>
            </w:r>
          </w:p>
        </w:tc>
        <w:tc>
          <w:tcPr>
            <w:tcW w:w="2047" w:type="dxa"/>
            <w:hideMark/>
          </w:tcPr>
          <w:p w14:paraId="1A154FA7" w14:textId="77777777" w:rsidR="008B2595" w:rsidRPr="00FF5139" w:rsidRDefault="008B2595" w:rsidP="0025266C">
            <w:pPr>
              <w:spacing w:after="0"/>
              <w:rPr>
                <w:sz w:val="20"/>
                <w:szCs w:val="20"/>
                <w:lang w:val="en-US"/>
              </w:rPr>
            </w:pPr>
            <w:r w:rsidRPr="00FF5139">
              <w:rPr>
                <w:sz w:val="20"/>
                <w:szCs w:val="20"/>
                <w:lang w:val="en-US"/>
              </w:rPr>
              <w:t>January 1, 2025</w:t>
            </w:r>
          </w:p>
        </w:tc>
      </w:tr>
      <w:tr w:rsidR="008B2595" w:rsidRPr="00FF5139" w14:paraId="386A9399" w14:textId="77777777" w:rsidTr="0025266C">
        <w:trPr>
          <w:trHeight w:val="2485"/>
        </w:trPr>
        <w:tc>
          <w:tcPr>
            <w:tcW w:w="2054" w:type="dxa"/>
            <w:hideMark/>
          </w:tcPr>
          <w:p w14:paraId="3CC96411" w14:textId="77777777" w:rsidR="008B2595" w:rsidRPr="00FF5139" w:rsidRDefault="008B2595" w:rsidP="0025266C">
            <w:pPr>
              <w:spacing w:after="0"/>
              <w:rPr>
                <w:sz w:val="20"/>
                <w:szCs w:val="20"/>
                <w:lang w:val="en-US"/>
              </w:rPr>
            </w:pPr>
            <w:r w:rsidRPr="00FF5139">
              <w:rPr>
                <w:sz w:val="20"/>
                <w:szCs w:val="20"/>
                <w:lang w:val="en-US"/>
              </w:rPr>
              <w:t>100 per cent: reduction</w:t>
            </w:r>
          </w:p>
        </w:tc>
        <w:tc>
          <w:tcPr>
            <w:tcW w:w="2049" w:type="dxa"/>
            <w:hideMark/>
          </w:tcPr>
          <w:p w14:paraId="1510A39D" w14:textId="77777777" w:rsidR="008B2595" w:rsidRPr="00FF5139" w:rsidRDefault="008B2595" w:rsidP="0025266C">
            <w:pPr>
              <w:spacing w:after="0"/>
              <w:rPr>
                <w:sz w:val="20"/>
                <w:szCs w:val="20"/>
                <w:lang w:val="en-US"/>
              </w:rPr>
            </w:pPr>
            <w:r w:rsidRPr="00FF5139">
              <w:rPr>
                <w:sz w:val="20"/>
                <w:szCs w:val="20"/>
                <w:lang w:val="en-US"/>
              </w:rPr>
              <w:t>January 1, 2020</w:t>
            </w:r>
          </w:p>
          <w:p w14:paraId="3A6183CB" w14:textId="77777777" w:rsidR="008B2595" w:rsidRDefault="008B2595" w:rsidP="0025266C">
            <w:pPr>
              <w:spacing w:after="0"/>
              <w:rPr>
                <w:sz w:val="20"/>
                <w:szCs w:val="20"/>
                <w:lang w:val="en-US"/>
              </w:rPr>
            </w:pPr>
          </w:p>
          <w:p w14:paraId="4A09E0B5" w14:textId="77777777" w:rsidR="008B2595" w:rsidRPr="00FF5139" w:rsidRDefault="008B2595" w:rsidP="0025266C">
            <w:pPr>
              <w:spacing w:after="0"/>
              <w:rPr>
                <w:sz w:val="20"/>
                <w:szCs w:val="20"/>
                <w:lang w:val="en-US"/>
              </w:rPr>
            </w:pPr>
            <w:r w:rsidRPr="00FF5139">
              <w:rPr>
                <w:sz w:val="20"/>
                <w:szCs w:val="20"/>
                <w:lang w:val="en-US"/>
              </w:rPr>
              <w:t>Allowance of 0.5 per cent of base level consumption until January 1, 2030 for servicing equipment existing on 1 January 2020.</w:t>
            </w:r>
          </w:p>
        </w:tc>
        <w:tc>
          <w:tcPr>
            <w:tcW w:w="2049" w:type="dxa"/>
            <w:hideMark/>
          </w:tcPr>
          <w:p w14:paraId="77FE510C" w14:textId="77777777" w:rsidR="008B2595" w:rsidRPr="00FF5139" w:rsidRDefault="008B2595" w:rsidP="0025266C">
            <w:pPr>
              <w:spacing w:after="0"/>
              <w:rPr>
                <w:sz w:val="20"/>
                <w:szCs w:val="20"/>
                <w:lang w:val="en-US"/>
              </w:rPr>
            </w:pPr>
            <w:r w:rsidRPr="00FF5139">
              <w:rPr>
                <w:sz w:val="20"/>
                <w:szCs w:val="20"/>
                <w:lang w:val="en-US"/>
              </w:rPr>
              <w:t>100 per cent: reduction</w:t>
            </w:r>
          </w:p>
        </w:tc>
        <w:tc>
          <w:tcPr>
            <w:tcW w:w="2047" w:type="dxa"/>
            <w:hideMark/>
          </w:tcPr>
          <w:p w14:paraId="72783CA2" w14:textId="77777777" w:rsidR="008B2595" w:rsidRPr="00FF5139" w:rsidRDefault="008B2595" w:rsidP="0025266C">
            <w:pPr>
              <w:spacing w:after="0"/>
              <w:rPr>
                <w:sz w:val="20"/>
                <w:szCs w:val="20"/>
                <w:lang w:val="en-US"/>
              </w:rPr>
            </w:pPr>
            <w:r w:rsidRPr="00FF5139">
              <w:rPr>
                <w:sz w:val="20"/>
                <w:szCs w:val="20"/>
                <w:lang w:val="en-US"/>
              </w:rPr>
              <w:t>January 1, 2030</w:t>
            </w:r>
          </w:p>
          <w:p w14:paraId="09BAF5B0" w14:textId="77777777" w:rsidR="008B2595" w:rsidRDefault="008B2595" w:rsidP="0025266C">
            <w:pPr>
              <w:spacing w:after="0"/>
              <w:rPr>
                <w:sz w:val="20"/>
                <w:szCs w:val="20"/>
                <w:lang w:val="en-US"/>
              </w:rPr>
            </w:pPr>
          </w:p>
          <w:p w14:paraId="64700487" w14:textId="77777777" w:rsidR="008B2595" w:rsidRPr="00FF5139" w:rsidRDefault="008B2595" w:rsidP="0025266C">
            <w:pPr>
              <w:spacing w:after="0"/>
              <w:rPr>
                <w:sz w:val="20"/>
                <w:szCs w:val="20"/>
                <w:lang w:val="en-US"/>
              </w:rPr>
            </w:pPr>
            <w:r w:rsidRPr="00FF5139">
              <w:rPr>
                <w:sz w:val="20"/>
                <w:szCs w:val="20"/>
                <w:lang w:val="en-US"/>
              </w:rPr>
              <w:t>Allowance of 2.5 per cent of base level consumption when averaged over ten years 2030-40 until January 1, 2040 for servicing equipment existing on 1 January 2030.</w:t>
            </w:r>
          </w:p>
        </w:tc>
      </w:tr>
    </w:tbl>
    <w:p w14:paraId="6BAD2547" w14:textId="77777777" w:rsidR="008B2595" w:rsidRDefault="008B2595" w:rsidP="008B2595">
      <w:pPr>
        <w:rPr>
          <w:lang w:val="en-US"/>
        </w:rPr>
      </w:pPr>
    </w:p>
    <w:p w14:paraId="55662368" w14:textId="17BAC156" w:rsidR="00CD2AF8" w:rsidRPr="00CD2AF8" w:rsidRDefault="00CD2AF8" w:rsidP="00043208">
      <w:pPr>
        <w:pStyle w:val="NormalWeb"/>
        <w:shd w:val="clear" w:color="auto" w:fill="FFFFFF" w:themeFill="background1"/>
        <w:spacing w:before="120" w:after="120"/>
        <w:ind w:left="384"/>
      </w:pPr>
    </w:p>
    <w:sectPr w:rsidR="00CD2AF8" w:rsidRPr="00CD2AF8" w:rsidSect="009345EE">
      <w:type w:val="oddPage"/>
      <w:pgSz w:w="11907" w:h="16839" w:code="9"/>
      <w:pgMar w:top="1701" w:right="1797" w:bottom="1871" w:left="1797" w:header="720" w:footer="79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45F00D" w14:textId="77777777" w:rsidR="00877370" w:rsidRDefault="00877370">
      <w:r>
        <w:separator/>
      </w:r>
    </w:p>
  </w:endnote>
  <w:endnote w:type="continuationSeparator" w:id="0">
    <w:p w14:paraId="05185DB3" w14:textId="77777777" w:rsidR="00877370" w:rsidRDefault="00877370">
      <w:r>
        <w:continuationSeparator/>
      </w:r>
    </w:p>
  </w:endnote>
  <w:endnote w:type="continuationNotice" w:id="1">
    <w:p w14:paraId="37DEC5E1" w14:textId="77777777" w:rsidR="00877370" w:rsidRDefault="0087737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UnicodeMS">
    <w:altName w:val="SimSun"/>
    <w:charset w:val="86"/>
    <w:family w:val="auto"/>
    <w:pitch w:val="default"/>
    <w:sig w:usb0="F7FFAFFF" w:usb1="E9DFFFFF" w:usb2="0000003F"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Yu Mincho">
    <w:charset w:val="80"/>
    <w:family w:val="roman"/>
    <w:pitch w:val="variable"/>
    <w:sig w:usb0="800002E7" w:usb1="2AC7FCFF" w:usb2="00000012" w:usb3="00000000" w:csb0="000200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Roman">
    <w:altName w:val="Times New Roman"/>
    <w:panose1 w:val="00000000000000000000"/>
    <w:charset w:val="FF"/>
    <w:family w:val="roman"/>
    <w:notTrueType/>
    <w:pitch w:val="variable"/>
    <w:sig w:usb0="00000003" w:usb1="00000000" w:usb2="00000000" w:usb3="00000000" w:csb0="00000000" w:csb1="00000000"/>
  </w:font>
  <w:font w:name="Chicago">
    <w:altName w:val="Arial"/>
    <w:charset w:val="00"/>
    <w:family w:val="auto"/>
    <w:pitch w:val="variable"/>
    <w:sig w:usb0="03000000" w:usb1="00000000" w:usb2="00000000" w:usb3="00000000" w:csb0="00000001" w:csb1="00000000"/>
  </w:font>
  <w:font w:name="Courier">
    <w:panose1 w:val="02070409020205020404"/>
    <w:charset w:val="00"/>
    <w:family w:val="auto"/>
    <w:pitch w:val="variable"/>
    <w:sig w:usb0="00000003" w:usb1="00000000" w:usb2="00000000" w:usb3="00000000" w:csb0="00000003" w:csb1="00000000"/>
  </w:font>
  <w:font w:name="Futura">
    <w:charset w:val="00"/>
    <w:family w:val="swiss"/>
    <w:pitch w:val="variable"/>
    <w:sig w:usb0="A00002AF" w:usb1="5000214A"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alliard">
    <w:altName w:val="Cambria"/>
    <w:panose1 w:val="00000000000000000000"/>
    <w:charset w:val="00"/>
    <w:family w:val="roman"/>
    <w:notTrueType/>
    <w:pitch w:val="variable"/>
    <w:sig w:usb0="0000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E0002AEF" w:usb1="C0007841" w:usb2="00000009" w:usb3="00000000" w:csb0="000001FF" w:csb1="00000000"/>
  </w:font>
  <w:font w:name="Helvetica">
    <w:panose1 w:val="020B0604020202020204"/>
    <w:charset w:val="00"/>
    <w:family w:val="auto"/>
    <w:pitch w:val="variable"/>
    <w:sig w:usb0="E00002FF" w:usb1="5000785B" w:usb2="00000000" w:usb3="00000000" w:csb0="0000019F" w:csb1="00000000"/>
  </w:font>
  <w:font w:name="FrutigerLTStd-Light">
    <w:altName w:val="Times New Roman"/>
    <w:panose1 w:val="00000000000000000000"/>
    <w:charset w:val="00"/>
    <w:family w:val="auto"/>
    <w:notTrueType/>
    <w:pitch w:val="default"/>
    <w:sig w:usb0="00000003" w:usb1="00000000" w:usb2="00000000" w:usb3="00000000" w:csb0="00000001" w:csb1="00000000"/>
  </w:font>
  <w:font w:name="FrutigerLTStd-Bold">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Roman">
    <w:altName w:val="Times"/>
    <w:panose1 w:val="00000000000000000000"/>
    <w:charset w:val="00"/>
    <w:family w:val="roman"/>
    <w:notTrueType/>
    <w:pitch w:val="default"/>
    <w:sig w:usb0="00000003" w:usb1="08070000" w:usb2="00000010" w:usb3="00000000" w:csb0="00020001"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OJFKL G+ Melior">
    <w:altName w:val="Times New Roman"/>
    <w:panose1 w:val="00000000000000000000"/>
    <w:charset w:val="00"/>
    <w:family w:val="roman"/>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Garamond">
    <w:altName w:val="Times New Roman"/>
    <w:panose1 w:val="00000000000000000000"/>
    <w:charset w:val="00"/>
    <w:family w:val="roman"/>
    <w:notTrueType/>
    <w:pitch w:val="default"/>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4AB1E" w14:textId="77777777" w:rsidR="007A211A" w:rsidRDefault="007A211A" w:rsidP="007A211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iii</w:t>
    </w:r>
    <w:r>
      <w:rPr>
        <w:rStyle w:val="PageNumber"/>
      </w:rPr>
      <w:fldChar w:fldCharType="end"/>
    </w:r>
  </w:p>
  <w:p w14:paraId="001CA500" w14:textId="77777777" w:rsidR="007A211A" w:rsidRDefault="007A211A" w:rsidP="007A211A">
    <w:pPr>
      <w:pStyle w:val="Footer"/>
      <w:spacing w:after="0"/>
      <w:ind w:right="993" w:firstLine="360"/>
      <w:jc w:val="center"/>
      <w:rPr>
        <w:rStyle w:val="PageNumber"/>
        <w:b/>
        <w:sz w:val="20"/>
      </w:rPr>
    </w:pPr>
    <w:r>
      <w:rPr>
        <w:rStyle w:val="PageNumber"/>
        <w:b/>
        <w:sz w:val="20"/>
      </w:rPr>
      <w:t>DRAFT TEAP Report, May 2021, Volume 3</w:t>
    </w:r>
  </w:p>
  <w:p w14:paraId="29AA31D2" w14:textId="52D14ABA" w:rsidR="007A211A" w:rsidRPr="007A211A" w:rsidRDefault="007A211A" w:rsidP="007A211A">
    <w:pPr>
      <w:pStyle w:val="Footer"/>
      <w:spacing w:after="0"/>
      <w:ind w:right="993" w:firstLine="360"/>
      <w:jc w:val="center"/>
      <w:rPr>
        <w:b/>
        <w:sz w:val="20"/>
      </w:rPr>
    </w:pPr>
    <w:r w:rsidRPr="008542F5">
      <w:rPr>
        <w:rStyle w:val="PageNumber"/>
        <w:b/>
        <w:sz w:val="20"/>
      </w:rPr>
      <w:t>Decision XXX</w:t>
    </w:r>
    <w:r>
      <w:rPr>
        <w:rStyle w:val="PageNumber"/>
        <w:b/>
        <w:sz w:val="20"/>
      </w:rPr>
      <w:t>I</w:t>
    </w:r>
    <w:r w:rsidRPr="008542F5">
      <w:rPr>
        <w:rStyle w:val="PageNumber"/>
        <w:b/>
        <w:sz w:val="20"/>
      </w:rPr>
      <w:t>/3 TEAP Task Force Report on Unexpected Emissions of Trichlorofluoromethane (CFC-11)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49B49" w14:textId="77777777" w:rsidR="0060224C" w:rsidRDefault="0060224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548200A8" w14:textId="3A4B55E5" w:rsidR="008542F5" w:rsidRDefault="007F048D" w:rsidP="008542F5">
    <w:pPr>
      <w:pStyle w:val="Footer"/>
      <w:spacing w:after="0"/>
      <w:ind w:right="993" w:firstLine="360"/>
      <w:jc w:val="center"/>
      <w:rPr>
        <w:rStyle w:val="PageNumber"/>
        <w:b/>
        <w:sz w:val="20"/>
      </w:rPr>
    </w:pPr>
    <w:r>
      <w:rPr>
        <w:rStyle w:val="PageNumber"/>
        <w:b/>
        <w:sz w:val="20"/>
      </w:rPr>
      <w:t xml:space="preserve">DRAFT </w:t>
    </w:r>
    <w:r w:rsidR="008542F5">
      <w:rPr>
        <w:rStyle w:val="PageNumber"/>
        <w:b/>
        <w:sz w:val="20"/>
      </w:rPr>
      <w:t xml:space="preserve">TEAP Report, </w:t>
    </w:r>
    <w:r w:rsidR="00580146">
      <w:rPr>
        <w:rStyle w:val="PageNumber"/>
        <w:b/>
        <w:sz w:val="20"/>
      </w:rPr>
      <w:t>May</w:t>
    </w:r>
    <w:r w:rsidR="0060224C">
      <w:rPr>
        <w:rStyle w:val="PageNumber"/>
        <w:b/>
        <w:sz w:val="20"/>
      </w:rPr>
      <w:t xml:space="preserve"> 202</w:t>
    </w:r>
    <w:r w:rsidR="00580146">
      <w:rPr>
        <w:rStyle w:val="PageNumber"/>
        <w:b/>
        <w:sz w:val="20"/>
      </w:rPr>
      <w:t>1</w:t>
    </w:r>
    <w:r w:rsidR="008542F5">
      <w:rPr>
        <w:rStyle w:val="PageNumber"/>
        <w:b/>
        <w:sz w:val="20"/>
      </w:rPr>
      <w:t xml:space="preserve">, Volume </w:t>
    </w:r>
    <w:r w:rsidR="00676730">
      <w:rPr>
        <w:rStyle w:val="PageNumber"/>
        <w:b/>
        <w:sz w:val="20"/>
      </w:rPr>
      <w:t>3</w:t>
    </w:r>
  </w:p>
  <w:p w14:paraId="1B35FE50" w14:textId="004F5C26" w:rsidR="0060224C" w:rsidRDefault="008542F5" w:rsidP="008542F5">
    <w:pPr>
      <w:pStyle w:val="Footer"/>
      <w:spacing w:after="0"/>
      <w:ind w:right="993" w:firstLine="360"/>
      <w:jc w:val="center"/>
      <w:rPr>
        <w:b/>
        <w:sz w:val="20"/>
      </w:rPr>
    </w:pPr>
    <w:r w:rsidRPr="008542F5">
      <w:rPr>
        <w:rStyle w:val="PageNumber"/>
        <w:b/>
        <w:sz w:val="20"/>
      </w:rPr>
      <w:t>Decision XXX</w:t>
    </w:r>
    <w:r>
      <w:rPr>
        <w:rStyle w:val="PageNumber"/>
        <w:b/>
        <w:sz w:val="20"/>
      </w:rPr>
      <w:t>I</w:t>
    </w:r>
    <w:r w:rsidRPr="008542F5">
      <w:rPr>
        <w:rStyle w:val="PageNumber"/>
        <w:b/>
        <w:sz w:val="20"/>
      </w:rPr>
      <w:t>/3 TEAP Task Force Report on Unexpected Emissions of Trichlorofluoromethane (CFC-11)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00F94" w14:textId="77777777" w:rsidR="0060224C" w:rsidRDefault="0060224C">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48273" w14:textId="77777777" w:rsidR="007A211A" w:rsidRDefault="007A211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602D5310" w14:textId="71A9F022" w:rsidR="007A211A" w:rsidRDefault="00603D51" w:rsidP="008542F5">
    <w:pPr>
      <w:pStyle w:val="Footer"/>
      <w:spacing w:after="0"/>
      <w:ind w:right="993" w:firstLine="360"/>
      <w:jc w:val="center"/>
      <w:rPr>
        <w:rStyle w:val="PageNumber"/>
        <w:b/>
        <w:sz w:val="20"/>
      </w:rPr>
    </w:pPr>
    <w:bookmarkStart w:id="62" w:name="_GoBack"/>
    <w:bookmarkEnd w:id="62"/>
    <w:r>
      <w:rPr>
        <w:rStyle w:val="PageNumber"/>
        <w:b/>
        <w:sz w:val="20"/>
      </w:rPr>
      <w:t xml:space="preserve">TEAP </w:t>
    </w:r>
    <w:r w:rsidR="007A211A">
      <w:rPr>
        <w:rStyle w:val="PageNumber"/>
        <w:b/>
        <w:sz w:val="20"/>
      </w:rPr>
      <w:t>Report, May 2021, Volume 3</w:t>
    </w:r>
  </w:p>
  <w:p w14:paraId="45D86C1F" w14:textId="77777777" w:rsidR="007A211A" w:rsidRDefault="007A211A" w:rsidP="008542F5">
    <w:pPr>
      <w:pStyle w:val="Footer"/>
      <w:spacing w:after="0"/>
      <w:ind w:right="993" w:firstLine="360"/>
      <w:jc w:val="center"/>
      <w:rPr>
        <w:b/>
        <w:sz w:val="20"/>
      </w:rPr>
    </w:pPr>
    <w:r w:rsidRPr="008542F5">
      <w:rPr>
        <w:rStyle w:val="PageNumber"/>
        <w:b/>
        <w:sz w:val="20"/>
      </w:rPr>
      <w:t>Decision XXX</w:t>
    </w:r>
    <w:r>
      <w:rPr>
        <w:rStyle w:val="PageNumber"/>
        <w:b/>
        <w:sz w:val="20"/>
      </w:rPr>
      <w:t>I</w:t>
    </w:r>
    <w:r w:rsidRPr="008542F5">
      <w:rPr>
        <w:rStyle w:val="PageNumber"/>
        <w:b/>
        <w:sz w:val="20"/>
      </w:rPr>
      <w:t>/3 TEAP Task Force Report on Unexpected Emissions of Trichlorofluoromethane (CFC-11)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5ECAB" w14:textId="4BFF0A44" w:rsidR="0060224C" w:rsidRDefault="0060224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A211A">
      <w:rPr>
        <w:rStyle w:val="PageNumber"/>
        <w:noProof/>
      </w:rPr>
      <w:t>iv</w:t>
    </w:r>
    <w:r>
      <w:rPr>
        <w:rStyle w:val="PageNumber"/>
      </w:rPr>
      <w:fldChar w:fldCharType="end"/>
    </w:r>
  </w:p>
  <w:p w14:paraId="422CA826" w14:textId="0C67D7A9" w:rsidR="007A211A" w:rsidRDefault="007A211A" w:rsidP="007A211A">
    <w:pPr>
      <w:pStyle w:val="Footer"/>
      <w:spacing w:after="0"/>
      <w:ind w:right="993" w:firstLine="360"/>
      <w:jc w:val="center"/>
      <w:rPr>
        <w:rStyle w:val="PageNumber"/>
        <w:b/>
        <w:sz w:val="20"/>
      </w:rPr>
    </w:pPr>
    <w:r>
      <w:rPr>
        <w:rStyle w:val="PageNumber"/>
        <w:b/>
        <w:sz w:val="20"/>
      </w:rPr>
      <w:t>TEAP Report, May 2021, Volume 3</w:t>
    </w:r>
  </w:p>
  <w:p w14:paraId="4C61B1E8" w14:textId="79B5734C" w:rsidR="0060224C" w:rsidRPr="007A211A" w:rsidRDefault="007A211A" w:rsidP="007A211A">
    <w:pPr>
      <w:pStyle w:val="Footer"/>
      <w:spacing w:after="0"/>
      <w:ind w:right="993" w:firstLine="360"/>
      <w:jc w:val="center"/>
      <w:rPr>
        <w:b/>
        <w:sz w:val="20"/>
      </w:rPr>
    </w:pPr>
    <w:r w:rsidRPr="008542F5">
      <w:rPr>
        <w:rStyle w:val="PageNumber"/>
        <w:b/>
        <w:sz w:val="20"/>
      </w:rPr>
      <w:t>Decision XXX</w:t>
    </w:r>
    <w:r>
      <w:rPr>
        <w:rStyle w:val="PageNumber"/>
        <w:b/>
        <w:sz w:val="20"/>
      </w:rPr>
      <w:t>I</w:t>
    </w:r>
    <w:r w:rsidRPr="008542F5">
      <w:rPr>
        <w:rStyle w:val="PageNumber"/>
        <w:b/>
        <w:sz w:val="20"/>
      </w:rPr>
      <w:t>/3 TEAP Task Force Report on Unexpected Emissions of Trichlorofluoromethane (CFC-11)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15EF8" w14:textId="47D6F69A" w:rsidR="0060224C" w:rsidRDefault="0060224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A211A">
      <w:rPr>
        <w:rStyle w:val="PageNumber"/>
        <w:noProof/>
      </w:rPr>
      <w:t>2</w:t>
    </w:r>
    <w:r>
      <w:rPr>
        <w:rStyle w:val="PageNumber"/>
      </w:rPr>
      <w:fldChar w:fldCharType="end"/>
    </w:r>
  </w:p>
  <w:p w14:paraId="3B1679C7" w14:textId="021C33F4" w:rsidR="007A211A" w:rsidRDefault="007A211A" w:rsidP="007A211A">
    <w:pPr>
      <w:pStyle w:val="Footer"/>
      <w:spacing w:after="0"/>
      <w:ind w:right="993" w:firstLine="360"/>
      <w:jc w:val="center"/>
      <w:rPr>
        <w:rStyle w:val="PageNumber"/>
        <w:b/>
        <w:sz w:val="20"/>
      </w:rPr>
    </w:pPr>
    <w:r>
      <w:rPr>
        <w:rStyle w:val="PageNumber"/>
        <w:b/>
        <w:sz w:val="20"/>
      </w:rPr>
      <w:t>TEAP Report, May 2021, Volume 3</w:t>
    </w:r>
  </w:p>
  <w:p w14:paraId="12F55219" w14:textId="26E92A01" w:rsidR="0060224C" w:rsidRPr="007A211A" w:rsidRDefault="007A211A" w:rsidP="007A211A">
    <w:pPr>
      <w:pStyle w:val="Footer"/>
      <w:spacing w:after="0"/>
      <w:ind w:right="993" w:firstLine="360"/>
      <w:jc w:val="center"/>
      <w:rPr>
        <w:b/>
        <w:sz w:val="20"/>
      </w:rPr>
    </w:pPr>
    <w:r w:rsidRPr="008542F5">
      <w:rPr>
        <w:rStyle w:val="PageNumber"/>
        <w:b/>
        <w:sz w:val="20"/>
      </w:rPr>
      <w:t>Decision XXX</w:t>
    </w:r>
    <w:r>
      <w:rPr>
        <w:rStyle w:val="PageNumber"/>
        <w:b/>
        <w:sz w:val="20"/>
      </w:rPr>
      <w:t>I</w:t>
    </w:r>
    <w:r w:rsidRPr="008542F5">
      <w:rPr>
        <w:rStyle w:val="PageNumber"/>
        <w:b/>
        <w:sz w:val="20"/>
      </w:rPr>
      <w:t>/3 TEAP Task Force Report on Unexpected Emissions of Trichlorofluoromethane (CFC-11)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A4D8E6" w14:textId="77777777" w:rsidR="00877370" w:rsidRDefault="00877370">
      <w:r>
        <w:separator/>
      </w:r>
    </w:p>
  </w:footnote>
  <w:footnote w:type="continuationSeparator" w:id="0">
    <w:p w14:paraId="648DDE76" w14:textId="77777777" w:rsidR="00877370" w:rsidRDefault="00877370">
      <w:r>
        <w:continuationSeparator/>
      </w:r>
    </w:p>
  </w:footnote>
  <w:footnote w:type="continuationNotice" w:id="1">
    <w:p w14:paraId="536D3CBF" w14:textId="77777777" w:rsidR="00877370" w:rsidRDefault="00877370">
      <w:pPr>
        <w:spacing w:after="0"/>
      </w:pPr>
    </w:p>
  </w:footnote>
  <w:footnote w:id="2">
    <w:p w14:paraId="40A2AD98" w14:textId="3AB37F17" w:rsidR="00012D33" w:rsidRPr="00132BBC" w:rsidRDefault="00012D33" w:rsidP="006E5954">
      <w:pPr>
        <w:pStyle w:val="FootnoteText"/>
        <w:rPr>
          <w:lang w:val="en-AU"/>
        </w:rPr>
      </w:pPr>
      <w:r>
        <w:rPr>
          <w:rStyle w:val="FootnoteReference"/>
        </w:rPr>
        <w:footnoteRef/>
      </w:r>
      <w:r>
        <w:t xml:space="preserve"> </w:t>
      </w:r>
      <w:r w:rsidR="00171BD0" w:rsidRPr="001640EC">
        <w:rPr>
          <w:lang w:val="en-US" w:eastAsia="en-US"/>
        </w:rPr>
        <w:t xml:space="preserve">It is important to note that </w:t>
      </w:r>
      <w:r w:rsidR="00171BD0">
        <w:rPr>
          <w:lang w:val="en-US" w:eastAsia="en-US"/>
        </w:rPr>
        <w:t>t</w:t>
      </w:r>
      <w:r w:rsidRPr="00012D33">
        <w:t xml:space="preserve">here is a difference between the estimated CFC-11 emissions from foams in banks (including landfills), based on observed foam emission rates (&lt;1.5%), and the derived atmospheric emissions (3-4%), including in regions where CFC-11 has not likely been used in foam </w:t>
      </w:r>
      <w:r w:rsidR="0073216D">
        <w:t>manufacture</w:t>
      </w:r>
      <w:r w:rsidR="0073216D" w:rsidRPr="00012D33">
        <w:t xml:space="preserve"> </w:t>
      </w:r>
      <w:r w:rsidRPr="00012D33">
        <w:t xml:space="preserve">in decades. This </w:t>
      </w:r>
      <w:r w:rsidR="00A30EE9">
        <w:t>continues to be</w:t>
      </w:r>
      <w:r w:rsidRPr="00012D33">
        <w:t xml:space="preserve"> an important disparity</w:t>
      </w:r>
      <w:r w:rsidR="008F4262" w:rsidRPr="008F4262">
        <w:rPr>
          <w:lang w:val="en-US" w:eastAsia="en-US"/>
        </w:rPr>
        <w:t xml:space="preserve"> </w:t>
      </w:r>
      <w:r w:rsidR="008F4262" w:rsidRPr="001640EC">
        <w:rPr>
          <w:lang w:val="en-US" w:eastAsia="en-US"/>
        </w:rPr>
        <w:t>between the inventory-based model and derived</w:t>
      </w:r>
      <w:r w:rsidR="008F4262">
        <w:rPr>
          <w:lang w:val="en-US" w:eastAsia="en-US"/>
        </w:rPr>
        <w:t xml:space="preserve"> emissions</w:t>
      </w:r>
      <w:r w:rsidRPr="00012D33">
        <w:t xml:space="preserve">, which was </w:t>
      </w:r>
      <w:r>
        <w:t xml:space="preserve">also </w:t>
      </w:r>
      <w:r w:rsidRPr="00012D33">
        <w:t>noted in the 2019 Task Force Report.</w:t>
      </w:r>
    </w:p>
  </w:footnote>
  <w:footnote w:id="3">
    <w:p w14:paraId="57F44E84" w14:textId="7BA3436A" w:rsidR="009D42A8" w:rsidRPr="0057129F" w:rsidRDefault="009D42A8" w:rsidP="00E642F8">
      <w:pPr>
        <w:pStyle w:val="FootnoteText"/>
      </w:pPr>
      <w:r>
        <w:rPr>
          <w:rStyle w:val="FootnoteReference"/>
        </w:rPr>
        <w:footnoteRef/>
      </w:r>
      <w:r>
        <w:t xml:space="preserve"> It is plausible that unreported CFC-11 produced in </w:t>
      </w:r>
      <w:r w:rsidR="007F2950">
        <w:t xml:space="preserve">the </w:t>
      </w:r>
      <w:r>
        <w:t xml:space="preserve">years </w:t>
      </w:r>
      <w:r w:rsidR="0047749E">
        <w:t xml:space="preserve">immediately prior </w:t>
      </w:r>
      <w:r>
        <w:t xml:space="preserve">was carried over as inventory to be used in 2019. </w:t>
      </w:r>
    </w:p>
  </w:footnote>
  <w:footnote w:id="4">
    <w:p w14:paraId="7FE1CD74" w14:textId="443F820C" w:rsidR="005A6B5B" w:rsidRDefault="005A6B5B" w:rsidP="00E642F8">
      <w:pPr>
        <w:pStyle w:val="FootnoteText"/>
      </w:pPr>
      <w:r>
        <w:rPr>
          <w:rStyle w:val="FootnoteReference"/>
        </w:rPr>
        <w:footnoteRef/>
      </w:r>
      <w:r>
        <w:t xml:space="preserve"> </w:t>
      </w:r>
      <w:proofErr w:type="spellStart"/>
      <w:r w:rsidR="00B46464">
        <w:t>Montzka</w:t>
      </w:r>
      <w:proofErr w:type="spellEnd"/>
      <w:r w:rsidR="00B46464">
        <w:t xml:space="preserve">, S. </w:t>
      </w:r>
      <w:r w:rsidR="00B46464" w:rsidRPr="00D312AA">
        <w:rPr>
          <w:i/>
          <w:iCs/>
        </w:rPr>
        <w:t>et al.</w:t>
      </w:r>
      <w:r w:rsidR="00B46464">
        <w:t xml:space="preserve">, </w:t>
      </w:r>
      <w:r w:rsidR="00B46464" w:rsidRPr="00B47261">
        <w:t>An unexpected and persistent increase in global emissions of ozone-depleting CFC-11</w:t>
      </w:r>
      <w:r w:rsidR="00B46464">
        <w:t xml:space="preserve">, </w:t>
      </w:r>
      <w:r w:rsidR="00B46464" w:rsidRPr="008A092C">
        <w:rPr>
          <w:i/>
        </w:rPr>
        <w:t>Nature</w:t>
      </w:r>
      <w:r w:rsidR="00B46464">
        <w:t xml:space="preserve">, 2018, </w:t>
      </w:r>
      <w:r w:rsidR="00B46464" w:rsidRPr="008A092C">
        <w:rPr>
          <w:b/>
        </w:rPr>
        <w:t>557</w:t>
      </w:r>
      <w:r w:rsidR="00B46464" w:rsidRPr="00B47261">
        <w:t>, 413–417</w:t>
      </w:r>
      <w:r w:rsidR="00B46464">
        <w:t xml:space="preserve">. </w:t>
      </w:r>
      <w:r w:rsidR="00B46464" w:rsidRPr="00B47261">
        <w:t>https://doi.org/10.1038/s41586-018-0106-2</w:t>
      </w:r>
      <w:r w:rsidR="00B46464">
        <w:t>.</w:t>
      </w:r>
    </w:p>
  </w:footnote>
  <w:footnote w:id="5">
    <w:p w14:paraId="1BAD0951" w14:textId="35BF859D" w:rsidR="00625FD5" w:rsidRDefault="00625FD5" w:rsidP="00474791">
      <w:pPr>
        <w:pStyle w:val="FootnoteText"/>
        <w:rPr>
          <w:rFonts w:ascii="Calibri" w:eastAsia="Calibri" w:hAnsi="Calibri" w:cs="Calibri"/>
          <w:szCs w:val="22"/>
        </w:rPr>
      </w:pPr>
      <w:r w:rsidRPr="006F3631">
        <w:rPr>
          <w:rStyle w:val="FootnoteReference"/>
        </w:rPr>
        <w:footnoteRef/>
      </w:r>
      <w:r w:rsidRPr="006F3631">
        <w:rPr>
          <w:rStyle w:val="FootnoteReference"/>
        </w:rPr>
        <w:t xml:space="preserve"> </w:t>
      </w:r>
      <w:proofErr w:type="spellStart"/>
      <w:r>
        <w:t>Montzka</w:t>
      </w:r>
      <w:proofErr w:type="spellEnd"/>
      <w:r>
        <w:t xml:space="preserve">, Stephen A., Geoffrey S. Dutton, Robert W. </w:t>
      </w:r>
      <w:proofErr w:type="spellStart"/>
      <w:r>
        <w:t>Portmann</w:t>
      </w:r>
      <w:proofErr w:type="spellEnd"/>
      <w:r>
        <w:t xml:space="preserve">, Martyn P. Chipperfield, Sean Davis, Wuhu Feng, Alistair J. Manning, </w:t>
      </w:r>
      <w:r w:rsidRPr="00063161">
        <w:rPr>
          <w:i/>
          <w:iCs/>
        </w:rPr>
        <w:t>et al</w:t>
      </w:r>
      <w:r>
        <w:rPr>
          <w:i/>
          <w:iCs/>
        </w:rPr>
        <w:t>.</w:t>
      </w:r>
      <w:r>
        <w:t xml:space="preserve">, A decline in global CFC-11 emissions during 2018-2019, </w:t>
      </w:r>
      <w:r w:rsidRPr="00F81DA8">
        <w:rPr>
          <w:i/>
          <w:iCs/>
        </w:rPr>
        <w:t>Nature</w:t>
      </w:r>
      <w:r>
        <w:t xml:space="preserve">, 2021, </w:t>
      </w:r>
      <w:r w:rsidRPr="001B5C46">
        <w:rPr>
          <w:b/>
          <w:bCs/>
        </w:rPr>
        <w:t>590</w:t>
      </w:r>
      <w:r w:rsidRPr="001B5C46">
        <w:t>, 428–432 (2021)</w:t>
      </w:r>
      <w:r>
        <w:t xml:space="preserve">. </w:t>
      </w:r>
      <w:hyperlink r:id="rId1" w:history="1">
        <w:r w:rsidRPr="00626EB0">
          <w:rPr>
            <w:rStyle w:val="Hyperlink"/>
          </w:rPr>
          <w:t>https://doi.org/10.1038/s41586-021-03260-5</w:t>
        </w:r>
      </w:hyperlink>
      <w:r w:rsidR="002C1DCF">
        <w:rPr>
          <w:rStyle w:val="Hyperlink"/>
        </w:rPr>
        <w:t>.</w:t>
      </w:r>
      <w:r>
        <w:t xml:space="preserve"> </w:t>
      </w:r>
    </w:p>
  </w:footnote>
  <w:footnote w:id="6">
    <w:p w14:paraId="24C35317" w14:textId="77777777" w:rsidR="005A6B5B" w:rsidRDefault="005A6B5B" w:rsidP="001F7D84">
      <w:pPr>
        <w:pStyle w:val="FootnoteText"/>
      </w:pPr>
      <w:r w:rsidRPr="002F0D19">
        <w:rPr>
          <w:rStyle w:val="FootnoteReference"/>
        </w:rPr>
        <w:footnoteRef/>
      </w:r>
      <w:r w:rsidRPr="002F0D19">
        <w:t xml:space="preserve"> Rigby, M. </w:t>
      </w:r>
      <w:r w:rsidRPr="002F0D19">
        <w:rPr>
          <w:i/>
          <w:iCs/>
        </w:rPr>
        <w:t>et al.</w:t>
      </w:r>
      <w:r w:rsidRPr="002F0D19">
        <w:t xml:space="preserve">, Increase in CFC-11 emissions from eastern China based on atmospheric observations, </w:t>
      </w:r>
      <w:r w:rsidRPr="002F0D19">
        <w:rPr>
          <w:i/>
          <w:iCs/>
        </w:rPr>
        <w:t>Nature</w:t>
      </w:r>
      <w:r w:rsidRPr="002F0D19">
        <w:t xml:space="preserve">, 2019, </w:t>
      </w:r>
      <w:r w:rsidRPr="002F0D19">
        <w:rPr>
          <w:b/>
          <w:bCs/>
        </w:rPr>
        <w:t>569</w:t>
      </w:r>
      <w:r w:rsidRPr="002F0D19">
        <w:t>, 546-550. https://doi: 10.1038/s41586-019-1193-4.</w:t>
      </w:r>
    </w:p>
  </w:footnote>
  <w:footnote w:id="7">
    <w:p w14:paraId="1BE47467" w14:textId="0F75A0CB" w:rsidR="00492859" w:rsidRPr="00616550" w:rsidRDefault="00492859" w:rsidP="00D4428E">
      <w:pPr>
        <w:pStyle w:val="FootnoteText"/>
        <w:rPr>
          <w:lang w:val="en-AU"/>
        </w:rPr>
      </w:pPr>
      <w:r>
        <w:rPr>
          <w:rStyle w:val="FootnoteReference"/>
        </w:rPr>
        <w:footnoteRef/>
      </w:r>
      <w:r>
        <w:t xml:space="preserve"> </w:t>
      </w:r>
      <w:r w:rsidRPr="7FD706EE">
        <w:rPr>
          <w:rFonts w:eastAsia="Calibri"/>
        </w:rPr>
        <w:t xml:space="preserve">Park, </w:t>
      </w:r>
      <w:proofErr w:type="spellStart"/>
      <w:r w:rsidRPr="7FD706EE">
        <w:rPr>
          <w:rFonts w:eastAsia="Calibri"/>
        </w:rPr>
        <w:t>Sunyoung</w:t>
      </w:r>
      <w:proofErr w:type="spellEnd"/>
      <w:r w:rsidRPr="7FD706EE">
        <w:rPr>
          <w:rFonts w:eastAsia="Calibri"/>
        </w:rPr>
        <w:t xml:space="preserve">, Luke M. Western, Takuya Saito, Alison L. Redington, Stephan </w:t>
      </w:r>
      <w:proofErr w:type="spellStart"/>
      <w:r w:rsidRPr="7FD706EE">
        <w:rPr>
          <w:rFonts w:eastAsia="Calibri"/>
        </w:rPr>
        <w:t>Henne</w:t>
      </w:r>
      <w:proofErr w:type="spellEnd"/>
      <w:r w:rsidRPr="7FD706EE">
        <w:rPr>
          <w:rFonts w:eastAsia="Calibri"/>
        </w:rPr>
        <w:t xml:space="preserve">, </w:t>
      </w:r>
      <w:proofErr w:type="spellStart"/>
      <w:r w:rsidRPr="7FD706EE">
        <w:rPr>
          <w:rFonts w:eastAsia="Calibri"/>
        </w:rPr>
        <w:t>Xuekun</w:t>
      </w:r>
      <w:proofErr w:type="spellEnd"/>
      <w:r w:rsidRPr="7FD706EE">
        <w:rPr>
          <w:rFonts w:eastAsia="Calibri"/>
        </w:rPr>
        <w:t xml:space="preserve"> Fang, Ronald G. Prinn</w:t>
      </w:r>
      <w:r>
        <w:rPr>
          <w:rFonts w:eastAsia="Calibri"/>
        </w:rPr>
        <w:t>,</w:t>
      </w:r>
      <w:r w:rsidRPr="7FD706EE">
        <w:rPr>
          <w:rFonts w:eastAsia="Calibri"/>
        </w:rPr>
        <w:t xml:space="preserve"> </w:t>
      </w:r>
      <w:r w:rsidRPr="00063161">
        <w:rPr>
          <w:rFonts w:eastAsia="Calibri"/>
          <w:i/>
          <w:iCs/>
        </w:rPr>
        <w:t>et al.</w:t>
      </w:r>
      <w:r>
        <w:rPr>
          <w:rFonts w:eastAsia="Calibri"/>
        </w:rPr>
        <w:t>,</w:t>
      </w:r>
      <w:r w:rsidRPr="7FD706EE">
        <w:rPr>
          <w:rFonts w:eastAsia="Calibri"/>
        </w:rPr>
        <w:t xml:space="preserve"> A decline in emissions of CFC-11 and related chemicals from eastern China</w:t>
      </w:r>
      <w:r>
        <w:rPr>
          <w:rFonts w:eastAsia="Calibri"/>
        </w:rPr>
        <w:t>,</w:t>
      </w:r>
      <w:r w:rsidRPr="7FD706EE">
        <w:rPr>
          <w:rFonts w:eastAsia="Calibri"/>
        </w:rPr>
        <w:t xml:space="preserve"> </w:t>
      </w:r>
      <w:r w:rsidRPr="00063161">
        <w:rPr>
          <w:rFonts w:eastAsia="Calibri"/>
          <w:i/>
          <w:iCs/>
        </w:rPr>
        <w:t>Nature</w:t>
      </w:r>
      <w:r>
        <w:rPr>
          <w:rFonts w:eastAsia="Calibri"/>
        </w:rPr>
        <w:t>, 2021,</w:t>
      </w:r>
      <w:r w:rsidRPr="7FD706EE">
        <w:rPr>
          <w:rFonts w:eastAsia="Calibri"/>
        </w:rPr>
        <w:t xml:space="preserve"> </w:t>
      </w:r>
      <w:r w:rsidRPr="00B32F06">
        <w:rPr>
          <w:rFonts w:eastAsia="Calibri"/>
          <w:b/>
          <w:bCs/>
        </w:rPr>
        <w:t>590</w:t>
      </w:r>
      <w:r w:rsidRPr="00B32F06">
        <w:rPr>
          <w:rFonts w:eastAsia="Calibri"/>
        </w:rPr>
        <w:t>, 433–437</w:t>
      </w:r>
      <w:r>
        <w:rPr>
          <w:rFonts w:eastAsia="Calibri"/>
        </w:rPr>
        <w:t>.</w:t>
      </w:r>
      <w:r w:rsidRPr="00B32F06">
        <w:rPr>
          <w:rFonts w:eastAsia="Calibri"/>
        </w:rPr>
        <w:t xml:space="preserve"> </w:t>
      </w:r>
      <w:hyperlink r:id="rId2" w:history="1">
        <w:r w:rsidRPr="00022619">
          <w:rPr>
            <w:rStyle w:val="Hyperlink"/>
            <w:rFonts w:eastAsia="Calibri"/>
          </w:rPr>
          <w:t>https://doi.org/10.1038/s41586-021-03277-w</w:t>
        </w:r>
      </w:hyperlink>
      <w:r w:rsidR="002C1DCF">
        <w:rPr>
          <w:rStyle w:val="Hyperlink"/>
          <w:rFonts w:eastAsia="Calibri"/>
        </w:rPr>
        <w:t>.</w:t>
      </w:r>
    </w:p>
  </w:footnote>
  <w:footnote w:id="8">
    <w:p w14:paraId="37236E37" w14:textId="2EA64D89" w:rsidR="00596C72" w:rsidRDefault="00596C72" w:rsidP="00D4428E">
      <w:pPr>
        <w:pStyle w:val="FootnoteText"/>
      </w:pPr>
      <w:r w:rsidRPr="006F3631">
        <w:rPr>
          <w:rStyle w:val="FootnoteReference"/>
        </w:rPr>
        <w:footnoteRef/>
      </w:r>
      <w:r w:rsidRPr="006F3631">
        <w:rPr>
          <w:rStyle w:val="FootnoteReference"/>
        </w:rPr>
        <w:t xml:space="preserve"> </w:t>
      </w:r>
      <w:r>
        <w:rPr>
          <w:lang w:val="en-AU"/>
        </w:rPr>
        <w:t xml:space="preserve">Report of the Technology and Economic Assessment Panel, September 2019, Volume 1: </w:t>
      </w:r>
      <w:r w:rsidRPr="005A6901">
        <w:rPr>
          <w:lang w:val="en-AU"/>
        </w:rPr>
        <w:t>Decision XXX/3 TEAP Task Force Report on Unexpected Emissions of CFC-11</w:t>
      </w:r>
      <w:r>
        <w:rPr>
          <w:lang w:val="en-AU"/>
        </w:rPr>
        <w:t xml:space="preserve">, Final Report, September 2019. </w:t>
      </w:r>
      <w:hyperlink r:id="rId3" w:history="1">
        <w:r w:rsidRPr="00626EB0">
          <w:rPr>
            <w:rStyle w:val="Hyperlink"/>
            <w:lang w:val="en-AU"/>
          </w:rPr>
          <w:t>https://ozone.unep.org/system/files/documents/TEAP-TF-DecXXX-3-unexpected_CFC11_emissions-september2019.pdf</w:t>
        </w:r>
      </w:hyperlink>
      <w:r w:rsidR="002C1DCF">
        <w:rPr>
          <w:rStyle w:val="Hyperlink"/>
          <w:lang w:val="en-AU"/>
        </w:rPr>
        <w:t>.</w:t>
      </w:r>
    </w:p>
  </w:footnote>
  <w:footnote w:id="9">
    <w:p w14:paraId="28B84E1D" w14:textId="325EB488" w:rsidR="0021259D" w:rsidRPr="00691A6E" w:rsidRDefault="0021259D" w:rsidP="00BA51F6">
      <w:pPr>
        <w:pStyle w:val="FootnoteText"/>
      </w:pPr>
      <w:r w:rsidRPr="00824776">
        <w:rPr>
          <w:rStyle w:val="FootnoteReference"/>
        </w:rPr>
        <w:footnoteRef/>
      </w:r>
      <w:r>
        <w:t xml:space="preserve"> </w:t>
      </w:r>
      <w:r w:rsidRPr="398767E3">
        <w:t>Engel, A. and Rigby, M.: Chapter 1: Update on Ozone Depleting Substances (ODSs) and Other Gases of Interest to the Montreal Protocol, in: Scientific Assessment of Ozone Depletion: 2018, vol. 58, World Meteorological Organization, Geneva, Switzerland, 2019.</w:t>
      </w:r>
    </w:p>
  </w:footnote>
  <w:footnote w:id="10">
    <w:p w14:paraId="415D7AC9" w14:textId="51F3D8D4" w:rsidR="008B2A57" w:rsidRPr="00CF5E02" w:rsidRDefault="008B2A57" w:rsidP="00BA51F6">
      <w:pPr>
        <w:pStyle w:val="FootnoteText"/>
      </w:pPr>
      <w:r>
        <w:rPr>
          <w:rStyle w:val="FootnoteReference"/>
        </w:rPr>
        <w:footnoteRef/>
      </w:r>
      <w:r>
        <w:t xml:space="preserve"> </w:t>
      </w:r>
      <w:r w:rsidRPr="00616550">
        <w:t>The Weibull distribution is widely used in reliability and life data analysis due to its versatility. Depending on the values of the parameters, the Weibull distribution can be used to model a variety of life behavio</w:t>
      </w:r>
      <w:r w:rsidR="00530430">
        <w:t>u</w:t>
      </w:r>
      <w:r w:rsidRPr="00616550">
        <w:t>rs.</w:t>
      </w:r>
      <w:r w:rsidR="00530430">
        <w:t xml:space="preserve"> </w:t>
      </w:r>
      <w:r w:rsidRPr="00616550">
        <w:t>http://reliawiki.org/index.php/The_Weibull_Distribution</w:t>
      </w:r>
      <w:r w:rsidR="00186212">
        <w:t>.</w:t>
      </w:r>
      <w:r w:rsidRPr="00616550">
        <w:t xml:space="preserve"> </w:t>
      </w:r>
    </w:p>
  </w:footnote>
  <w:footnote w:id="11">
    <w:p w14:paraId="3A3C362E" w14:textId="12D22EE9" w:rsidR="008B2A57" w:rsidRPr="00616550" w:rsidRDefault="008B2A57" w:rsidP="00BA51F6">
      <w:pPr>
        <w:pStyle w:val="FootnoteText"/>
        <w:rPr>
          <w:lang w:val="en-AU"/>
        </w:rPr>
      </w:pPr>
      <w:r>
        <w:rPr>
          <w:rStyle w:val="FootnoteReference"/>
        </w:rPr>
        <w:footnoteRef/>
      </w:r>
      <w:r>
        <w:t xml:space="preserve"> </w:t>
      </w:r>
      <w:r>
        <w:rPr>
          <w:lang w:val="en-AU"/>
        </w:rPr>
        <w:t xml:space="preserve">Report of the Technology and Economic Assessment Panel, September 2019, Volume 1: </w:t>
      </w:r>
      <w:r w:rsidRPr="005A6901">
        <w:rPr>
          <w:lang w:val="en-AU"/>
        </w:rPr>
        <w:t>Decision XXX/3 TEAP Task Force Report on Unexpected Emissions of CFC-11</w:t>
      </w:r>
      <w:r>
        <w:rPr>
          <w:lang w:val="en-AU"/>
        </w:rPr>
        <w:t xml:space="preserve">, Final Report, September 2019. </w:t>
      </w:r>
      <w:hyperlink r:id="rId4" w:history="1">
        <w:r w:rsidRPr="00626EB0">
          <w:rPr>
            <w:rStyle w:val="Hyperlink"/>
            <w:lang w:val="en-AU"/>
          </w:rPr>
          <w:t>https://ozone.unep.org/system/files/documents/TEAP-TF-DecXXX-3-unexpected_CFC11_emissions-september2019.pdf</w:t>
        </w:r>
      </w:hyperlink>
      <w:r w:rsidR="00186212">
        <w:rPr>
          <w:rStyle w:val="Hyperlink"/>
          <w:lang w:val="en-AU"/>
        </w:rPr>
        <w:t>.</w:t>
      </w:r>
    </w:p>
  </w:footnote>
  <w:footnote w:id="12">
    <w:p w14:paraId="73BF2A03" w14:textId="5435E30F" w:rsidR="0073216D" w:rsidRPr="006D3925" w:rsidRDefault="0073216D" w:rsidP="00BA51F6">
      <w:pPr>
        <w:pStyle w:val="FootnoteText"/>
        <w:rPr>
          <w:lang w:val="en-AU"/>
        </w:rPr>
      </w:pPr>
      <w:r>
        <w:rPr>
          <w:rStyle w:val="FootnoteReference"/>
        </w:rPr>
        <w:footnoteRef/>
      </w:r>
      <w:r>
        <w:t xml:space="preserve"> </w:t>
      </w:r>
      <w:r w:rsidRPr="001640EC">
        <w:rPr>
          <w:lang w:val="en-US" w:eastAsia="en-US"/>
        </w:rPr>
        <w:t xml:space="preserve">It is important to note that there is a difference between the estimated CFC-11 emissions from foams in banks (including landfills), based on </w:t>
      </w:r>
      <w:r w:rsidR="005415C7">
        <w:rPr>
          <w:lang w:val="en-US" w:eastAsia="en-US"/>
        </w:rPr>
        <w:t xml:space="preserve">observed foam </w:t>
      </w:r>
      <w:r w:rsidRPr="001640EC">
        <w:rPr>
          <w:lang w:val="en-US" w:eastAsia="en-US"/>
        </w:rPr>
        <w:t>emission rates (&lt; 1.5%</w:t>
      </w:r>
      <w:r>
        <w:rPr>
          <w:lang w:val="en-US" w:eastAsia="en-US"/>
        </w:rPr>
        <w:t>)</w:t>
      </w:r>
      <w:r w:rsidRPr="001640EC">
        <w:rPr>
          <w:lang w:val="en-US" w:eastAsia="en-US"/>
        </w:rPr>
        <w:t>, and the derived atmospheric emissions</w:t>
      </w:r>
      <w:r>
        <w:rPr>
          <w:lang w:val="en-US" w:eastAsia="en-US"/>
        </w:rPr>
        <w:t xml:space="preserve"> (</w:t>
      </w:r>
      <w:r w:rsidRPr="001640EC">
        <w:rPr>
          <w:lang w:val="en-US" w:eastAsia="en-US"/>
        </w:rPr>
        <w:t>3-4%</w:t>
      </w:r>
      <w:r>
        <w:rPr>
          <w:lang w:val="en-US" w:eastAsia="en-US"/>
        </w:rPr>
        <w:t>)</w:t>
      </w:r>
      <w:r w:rsidRPr="001640EC">
        <w:rPr>
          <w:lang w:val="en-US" w:eastAsia="en-US"/>
        </w:rPr>
        <w:t>, including in regions where CFC-11 has not likely been used in foam</w:t>
      </w:r>
      <w:r>
        <w:rPr>
          <w:lang w:val="en-US" w:eastAsia="en-US"/>
        </w:rPr>
        <w:t xml:space="preserve"> manufacture</w:t>
      </w:r>
      <w:r w:rsidRPr="001640EC">
        <w:rPr>
          <w:lang w:val="en-US" w:eastAsia="en-US"/>
        </w:rPr>
        <w:t xml:space="preserve"> in decades. This </w:t>
      </w:r>
      <w:r>
        <w:rPr>
          <w:lang w:val="en-US" w:eastAsia="en-US"/>
        </w:rPr>
        <w:t>continues to be</w:t>
      </w:r>
      <w:r w:rsidRPr="001640EC">
        <w:rPr>
          <w:lang w:val="en-US" w:eastAsia="en-US"/>
        </w:rPr>
        <w:t xml:space="preserve"> an important disparity between the inventory-based model and derived</w:t>
      </w:r>
      <w:r>
        <w:rPr>
          <w:lang w:val="en-US" w:eastAsia="en-US"/>
        </w:rPr>
        <w:t xml:space="preserve"> emissions</w:t>
      </w:r>
      <w:r w:rsidRPr="001640EC">
        <w:rPr>
          <w:lang w:val="en-US" w:eastAsia="en-US"/>
        </w:rPr>
        <w:t xml:space="preserve">, which was </w:t>
      </w:r>
      <w:r>
        <w:rPr>
          <w:lang w:val="en-US" w:eastAsia="en-US"/>
        </w:rPr>
        <w:t xml:space="preserve">also </w:t>
      </w:r>
      <w:r w:rsidRPr="001640EC">
        <w:rPr>
          <w:lang w:val="en-US" w:eastAsia="en-US"/>
        </w:rPr>
        <w:t>noted in the 2019 Task Force Report.</w:t>
      </w:r>
    </w:p>
  </w:footnote>
  <w:footnote w:id="13">
    <w:p w14:paraId="0782C822" w14:textId="77B0B900" w:rsidR="003966E1" w:rsidRPr="006D3925" w:rsidRDefault="003966E1" w:rsidP="00BA51F6">
      <w:pPr>
        <w:pStyle w:val="FootnoteText"/>
        <w:rPr>
          <w:lang w:val="en-AU"/>
        </w:rPr>
      </w:pPr>
      <w:r>
        <w:rPr>
          <w:rStyle w:val="FootnoteReference"/>
        </w:rPr>
        <w:footnoteRef/>
      </w:r>
      <w:r>
        <w:t xml:space="preserve"> A new conclusion of the 2021 Task Force is that u</w:t>
      </w:r>
      <w:r w:rsidRPr="00E028BE">
        <w:t xml:space="preserve">nreported CFC-11 production </w:t>
      </w:r>
      <w:r>
        <w:t>would seem to</w:t>
      </w:r>
      <w:r w:rsidRPr="00E028BE">
        <w:t xml:space="preserve"> have </w:t>
      </w:r>
      <w:r>
        <w:t>been already occurring</w:t>
      </w:r>
      <w:r w:rsidRPr="00E028BE">
        <w:t xml:space="preserve"> </w:t>
      </w:r>
      <w:r>
        <w:t xml:space="preserve">in the period from </w:t>
      </w:r>
      <w:r w:rsidRPr="00E028BE">
        <w:t>2007</w:t>
      </w:r>
      <w:r>
        <w:t xml:space="preserve"> to 2012</w:t>
      </w:r>
      <w:r w:rsidRPr="00E028BE">
        <w:t>.</w:t>
      </w:r>
      <w:r>
        <w:t xml:space="preserve"> </w:t>
      </w:r>
      <w:r w:rsidRPr="002C7B18">
        <w:t>This unreported production is necessary to explain the difference between inventory-based expected emissions and derived CFC-11 emissions during this earlier period.</w:t>
      </w:r>
    </w:p>
  </w:footnote>
  <w:footnote w:id="14">
    <w:p w14:paraId="1189778E" w14:textId="5C963895" w:rsidR="00E1425E" w:rsidRPr="00616550" w:rsidRDefault="00E1425E" w:rsidP="00BC034E">
      <w:pPr>
        <w:pStyle w:val="FootnoteText"/>
        <w:rPr>
          <w:lang w:val="en-US"/>
        </w:rPr>
      </w:pPr>
      <w:r>
        <w:rPr>
          <w:rStyle w:val="FootnoteReference"/>
        </w:rPr>
        <w:footnoteRef/>
      </w:r>
      <w:r>
        <w:t xml:space="preserve"> </w:t>
      </w:r>
      <w:r w:rsidR="001970B0">
        <w:t>T</w:t>
      </w:r>
      <w:r>
        <w:t xml:space="preserve">hese estimates </w:t>
      </w:r>
      <w:r w:rsidR="00976E88">
        <w:t xml:space="preserve">for unreported production </w:t>
      </w:r>
      <w:r>
        <w:t xml:space="preserve">are identical to those for </w:t>
      </w:r>
      <w:r w:rsidR="00651FBA">
        <w:t xml:space="preserve">the period </w:t>
      </w:r>
      <w:r>
        <w:t xml:space="preserve">2013-2018 </w:t>
      </w:r>
      <w:r w:rsidR="00651FBA">
        <w:t xml:space="preserve">included </w:t>
      </w:r>
      <w:r>
        <w:t xml:space="preserve">in the </w:t>
      </w:r>
      <w:r w:rsidR="00416A52">
        <w:t xml:space="preserve">2019 </w:t>
      </w:r>
      <w:r>
        <w:t xml:space="preserve">Task Force </w:t>
      </w:r>
      <w:r w:rsidR="00416A52">
        <w:t>R</w:t>
      </w:r>
      <w:r>
        <w:t>eport</w:t>
      </w:r>
      <w:r w:rsidR="00B125C0">
        <w:t>.</w:t>
      </w:r>
      <w:r>
        <w:t xml:space="preserve"> </w:t>
      </w:r>
    </w:p>
  </w:footnote>
  <w:footnote w:id="15">
    <w:p w14:paraId="61BC4007" w14:textId="56C78DA4" w:rsidR="00E1425E" w:rsidRPr="0057129F" w:rsidRDefault="00E1425E" w:rsidP="00BC034E">
      <w:pPr>
        <w:pStyle w:val="FootnoteText"/>
        <w:rPr>
          <w:lang w:val="en-AU"/>
        </w:rPr>
      </w:pPr>
      <w:r>
        <w:rPr>
          <w:rStyle w:val="FootnoteReference"/>
        </w:rPr>
        <w:footnoteRef/>
      </w:r>
      <w:r>
        <w:t xml:space="preserve"> It is also plausible that unreported </w:t>
      </w:r>
      <w:r>
        <w:rPr>
          <w:lang w:val="en-AU"/>
        </w:rPr>
        <w:t xml:space="preserve">CFC-11 produced in </w:t>
      </w:r>
      <w:r w:rsidR="00A934C5">
        <w:rPr>
          <w:lang w:val="en-AU"/>
        </w:rPr>
        <w:t xml:space="preserve">the </w:t>
      </w:r>
      <w:r>
        <w:rPr>
          <w:lang w:val="en-AU"/>
        </w:rPr>
        <w:t xml:space="preserve">years </w:t>
      </w:r>
      <w:r w:rsidR="0047749E">
        <w:rPr>
          <w:lang w:val="en-AU"/>
        </w:rPr>
        <w:t xml:space="preserve">immediately prior </w:t>
      </w:r>
      <w:r>
        <w:rPr>
          <w:lang w:val="en-AU"/>
        </w:rPr>
        <w:t xml:space="preserve">was carried over as inventory to be used in 2019. </w:t>
      </w:r>
    </w:p>
  </w:footnote>
  <w:footnote w:id="16">
    <w:p w14:paraId="4D5D0CEC" w14:textId="7E5926EF" w:rsidR="007B3783" w:rsidRPr="00191301" w:rsidRDefault="007B3783" w:rsidP="00BC034E">
      <w:pPr>
        <w:pStyle w:val="FootnoteText"/>
        <w:rPr>
          <w:lang w:val="en-AU"/>
        </w:rPr>
      </w:pPr>
      <w:r>
        <w:rPr>
          <w:rStyle w:val="FootnoteReference"/>
        </w:rPr>
        <w:footnoteRef/>
      </w:r>
      <w:r>
        <w:t xml:space="preserve"> </w:t>
      </w:r>
      <w:r>
        <w:rPr>
          <w:lang w:val="en-AU"/>
        </w:rPr>
        <w:t>Excludes estimated additional bank resulting from unreported CFC-11 production and use.</w:t>
      </w:r>
    </w:p>
  </w:footnote>
  <w:footnote w:id="17">
    <w:p w14:paraId="35B2AF6D" w14:textId="06AABBFD" w:rsidR="007B3783" w:rsidRPr="00022619" w:rsidRDefault="007B3783" w:rsidP="00BC034E">
      <w:pPr>
        <w:pStyle w:val="FootnoteText"/>
        <w:rPr>
          <w:lang w:val="en-AU"/>
        </w:rPr>
      </w:pPr>
      <w:r>
        <w:rPr>
          <w:rStyle w:val="FootnoteReference"/>
        </w:rPr>
        <w:footnoteRef/>
      </w:r>
      <w:r>
        <w:t xml:space="preserve"> </w:t>
      </w:r>
      <w:r>
        <w:rPr>
          <w:lang w:val="en-AU"/>
        </w:rPr>
        <w:t>Excludes estimated additional bank resulting from unreported CFC-11 production and use.</w:t>
      </w:r>
    </w:p>
  </w:footnote>
  <w:footnote w:id="18">
    <w:p w14:paraId="6968B0F0" w14:textId="5942CF9C" w:rsidR="006E5632" w:rsidRPr="00022619" w:rsidRDefault="006E5632" w:rsidP="00BC034E">
      <w:pPr>
        <w:pStyle w:val="FootnoteText"/>
        <w:rPr>
          <w:lang w:val="en-AU"/>
        </w:rPr>
      </w:pPr>
      <w:r>
        <w:rPr>
          <w:rStyle w:val="FootnoteReference"/>
        </w:rPr>
        <w:footnoteRef/>
      </w:r>
      <w:r>
        <w:t xml:space="preserve"> </w:t>
      </w:r>
      <w:r>
        <w:rPr>
          <w:lang w:val="en-AU"/>
        </w:rPr>
        <w:t>Destruction</w:t>
      </w:r>
      <w:r>
        <w:t xml:space="preserve"> technologies must always meet minimum local regulatory environmental standards.</w:t>
      </w:r>
    </w:p>
  </w:footnote>
  <w:footnote w:id="19">
    <w:p w14:paraId="4A7D6D0B" w14:textId="19D71825" w:rsidR="00D962E1" w:rsidRPr="00D962E1" w:rsidRDefault="00D962E1" w:rsidP="00BC034E">
      <w:pPr>
        <w:pStyle w:val="FootnoteText"/>
        <w:rPr>
          <w:lang w:val="en-AU"/>
        </w:rPr>
      </w:pPr>
      <w:r>
        <w:rPr>
          <w:rStyle w:val="FootnoteReference"/>
        </w:rPr>
        <w:footnoteRef/>
      </w:r>
      <w:r>
        <w:t xml:space="preserve"> </w:t>
      </w:r>
      <w:r w:rsidR="0014249D">
        <w:rPr>
          <w:lang w:val="en-AU"/>
        </w:rPr>
        <w:t>Report of the Technology and Economic Assessment Panel</w:t>
      </w:r>
      <w:r w:rsidR="00454E9E">
        <w:rPr>
          <w:lang w:val="en-AU"/>
        </w:rPr>
        <w:t>, September 2019, Volume 1</w:t>
      </w:r>
      <w:r w:rsidR="005A6901">
        <w:rPr>
          <w:lang w:val="en-AU"/>
        </w:rPr>
        <w:t>:</w:t>
      </w:r>
      <w:r w:rsidR="00454E9E">
        <w:rPr>
          <w:lang w:val="en-AU"/>
        </w:rPr>
        <w:t xml:space="preserve"> </w:t>
      </w:r>
      <w:r w:rsidR="005A6901" w:rsidRPr="005A6901">
        <w:rPr>
          <w:lang w:val="en-AU"/>
        </w:rPr>
        <w:t>Decision XXX/3 TEAP Task Force Report on Unexpected Emissions of CFC-11</w:t>
      </w:r>
      <w:r w:rsidR="005A6901">
        <w:rPr>
          <w:lang w:val="en-AU"/>
        </w:rPr>
        <w:t xml:space="preserve">, </w:t>
      </w:r>
      <w:r w:rsidR="009D38B8">
        <w:rPr>
          <w:lang w:val="en-AU"/>
        </w:rPr>
        <w:t xml:space="preserve">Final Report, </w:t>
      </w:r>
      <w:r w:rsidR="005A6901">
        <w:rPr>
          <w:lang w:val="en-AU"/>
        </w:rPr>
        <w:t xml:space="preserve">September 2019. </w:t>
      </w:r>
      <w:hyperlink r:id="rId5" w:history="1">
        <w:r w:rsidR="001228BB" w:rsidRPr="00626EB0">
          <w:rPr>
            <w:rStyle w:val="Hyperlink"/>
            <w:lang w:val="en-AU"/>
          </w:rPr>
          <w:t>https://ozone.unep.org/system/files/documents/TEAP-TF-DecXXX-3-unexpected_CFC11_emissions-september2019.pdf</w:t>
        </w:r>
      </w:hyperlink>
      <w:r w:rsidR="006E6B2B">
        <w:rPr>
          <w:rStyle w:val="Hyperlink"/>
          <w:lang w:val="en-AU"/>
        </w:rPr>
        <w:t>.</w:t>
      </w:r>
      <w:r w:rsidR="001228BB">
        <w:rPr>
          <w:lang w:val="en-AU"/>
        </w:rPr>
        <w:t xml:space="preserve"> </w:t>
      </w:r>
    </w:p>
  </w:footnote>
  <w:footnote w:id="20">
    <w:p w14:paraId="2F18F68D" w14:textId="77777777" w:rsidR="006F2CE0" w:rsidRPr="00F64C84" w:rsidRDefault="006F2CE0" w:rsidP="006F2CE0">
      <w:pPr>
        <w:pStyle w:val="FootnoteText"/>
      </w:pPr>
      <w:r>
        <w:rPr>
          <w:rStyle w:val="FootnoteReference"/>
        </w:rPr>
        <w:footnoteRef/>
      </w:r>
      <w:r>
        <w:t xml:space="preserve"> </w:t>
      </w:r>
      <w:proofErr w:type="spellStart"/>
      <w:r>
        <w:t>Montzka</w:t>
      </w:r>
      <w:proofErr w:type="spellEnd"/>
      <w:r>
        <w:t xml:space="preserve">, S. </w:t>
      </w:r>
      <w:r w:rsidRPr="00D312AA">
        <w:rPr>
          <w:i/>
          <w:iCs/>
        </w:rPr>
        <w:t>et al.</w:t>
      </w:r>
      <w:r>
        <w:t xml:space="preserve">, </w:t>
      </w:r>
      <w:r w:rsidRPr="00B47261">
        <w:t>An unexpected and persistent increase in global emissions of ozone-depleting CFC-11</w:t>
      </w:r>
      <w:r>
        <w:t xml:space="preserve">, </w:t>
      </w:r>
      <w:r w:rsidRPr="008A092C">
        <w:rPr>
          <w:i/>
        </w:rPr>
        <w:t>Nature</w:t>
      </w:r>
      <w:r>
        <w:t xml:space="preserve">, 2018, </w:t>
      </w:r>
      <w:r w:rsidRPr="008A092C">
        <w:rPr>
          <w:b/>
        </w:rPr>
        <w:t>557</w:t>
      </w:r>
      <w:r w:rsidRPr="00B47261">
        <w:t>, 413–417</w:t>
      </w:r>
      <w:r>
        <w:t xml:space="preserve">. </w:t>
      </w:r>
      <w:r w:rsidRPr="00B47261">
        <w:t>https://doi.org/10.1038/s41586-018-0106-2</w:t>
      </w:r>
      <w:r>
        <w:t>.</w:t>
      </w:r>
    </w:p>
  </w:footnote>
  <w:footnote w:id="21">
    <w:p w14:paraId="2B9D4F40" w14:textId="77777777" w:rsidR="006F2CE0" w:rsidRPr="00043208" w:rsidRDefault="006F2CE0" w:rsidP="006F2CE0">
      <w:pPr>
        <w:pStyle w:val="FootnoteText"/>
        <w:rPr>
          <w:lang w:val="en-US"/>
        </w:rPr>
      </w:pPr>
      <w:r>
        <w:rPr>
          <w:rStyle w:val="FootnoteReference"/>
        </w:rPr>
        <w:footnoteRef/>
      </w:r>
      <w:r>
        <w:t xml:space="preserve"> </w:t>
      </w:r>
      <w:r>
        <w:rPr>
          <w:lang w:val="en-US"/>
        </w:rPr>
        <w:t xml:space="preserve">There are hydrofluorocarbon, hydrochlorofluorocarbon, </w:t>
      </w:r>
      <w:proofErr w:type="spellStart"/>
      <w:r>
        <w:rPr>
          <w:lang w:val="en-US"/>
        </w:rPr>
        <w:t>hydrofluoro</w:t>
      </w:r>
      <w:proofErr w:type="spellEnd"/>
      <w:r>
        <w:rPr>
          <w:lang w:val="en-US"/>
        </w:rPr>
        <w:t xml:space="preserve">-olefin, and </w:t>
      </w:r>
      <w:proofErr w:type="spellStart"/>
      <w:r>
        <w:rPr>
          <w:lang w:val="en-US"/>
        </w:rPr>
        <w:t>hydrochlorofluoro</w:t>
      </w:r>
      <w:proofErr w:type="spellEnd"/>
      <w:r>
        <w:rPr>
          <w:lang w:val="en-US"/>
        </w:rPr>
        <w:t>-olefin solutions for both foams and chillers.</w:t>
      </w:r>
    </w:p>
  </w:footnote>
  <w:footnote w:id="22">
    <w:p w14:paraId="12DFC27D" w14:textId="77777777" w:rsidR="00A4274D" w:rsidRPr="007A211A" w:rsidRDefault="00A4274D" w:rsidP="00BC034E">
      <w:pPr>
        <w:pStyle w:val="FootnoteText"/>
        <w:rPr>
          <w:lang w:val="fr-FR"/>
        </w:rPr>
      </w:pPr>
      <w:r>
        <w:rPr>
          <w:rStyle w:val="FootnoteReference"/>
        </w:rPr>
        <w:footnoteRef/>
      </w:r>
      <w:r w:rsidRPr="007A211A">
        <w:rPr>
          <w:lang w:val="fr-FR"/>
        </w:rPr>
        <w:t xml:space="preserve"> Ibid., </w:t>
      </w:r>
      <w:proofErr w:type="spellStart"/>
      <w:r w:rsidRPr="007A211A">
        <w:rPr>
          <w:lang w:val="fr-FR"/>
        </w:rPr>
        <w:t>Montzka</w:t>
      </w:r>
      <w:proofErr w:type="spellEnd"/>
      <w:r w:rsidRPr="007A211A">
        <w:rPr>
          <w:lang w:val="fr-FR"/>
        </w:rPr>
        <w:t xml:space="preserve">, S. </w:t>
      </w:r>
      <w:r w:rsidRPr="007A211A">
        <w:rPr>
          <w:i/>
          <w:iCs/>
          <w:lang w:val="fr-FR"/>
        </w:rPr>
        <w:t>et al.</w:t>
      </w:r>
      <w:r w:rsidRPr="007A211A">
        <w:rPr>
          <w:lang w:val="fr-FR"/>
        </w:rPr>
        <w:t>, 2018.</w:t>
      </w:r>
    </w:p>
  </w:footnote>
  <w:footnote w:id="23">
    <w:p w14:paraId="222C277A" w14:textId="77777777" w:rsidR="006F2CE0" w:rsidRDefault="006F2CE0" w:rsidP="006F2CE0">
      <w:pPr>
        <w:pStyle w:val="FootnoteText"/>
      </w:pPr>
      <w:r>
        <w:rPr>
          <w:rStyle w:val="FootnoteReference"/>
        </w:rPr>
        <w:footnoteRef/>
      </w:r>
      <w:r>
        <w:t xml:space="preserve"> Environmental Investigation Agency, </w:t>
      </w:r>
      <w:r w:rsidRPr="004E60D2">
        <w:rPr>
          <w:i/>
        </w:rPr>
        <w:t>Blowing It: Illegal Production and Use of Banned CFC-11 in China’s Foam Blowing Industry</w:t>
      </w:r>
      <w:r>
        <w:t xml:space="preserve">, July 2018, </w:t>
      </w:r>
      <w:hyperlink r:id="rId6" w:history="1">
        <w:r w:rsidRPr="00A62F5C">
          <w:rPr>
            <w:rStyle w:val="Hyperlink"/>
          </w:rPr>
          <w:t>https://eia-international.org/report/blowing-it/</w:t>
        </w:r>
      </w:hyperlink>
      <w:r>
        <w:t xml:space="preserve">. </w:t>
      </w:r>
      <w:r w:rsidRPr="004E60D2">
        <w:rPr>
          <w:i/>
        </w:rPr>
        <w:t>Tip of the Iceberg: Implications</w:t>
      </w:r>
      <w:r>
        <w:t xml:space="preserve"> </w:t>
      </w:r>
      <w:r w:rsidRPr="004E60D2">
        <w:rPr>
          <w:i/>
        </w:rPr>
        <w:t>of Illegal CFC Production and Use</w:t>
      </w:r>
      <w:r>
        <w:t xml:space="preserve">, November 2018, </w:t>
      </w:r>
      <w:hyperlink r:id="rId7" w:history="1">
        <w:r w:rsidRPr="00A62F5C">
          <w:rPr>
            <w:rStyle w:val="Hyperlink"/>
          </w:rPr>
          <w:t>https://eia-international.org/report/tip-iceberg-implications-illegal-cfc-production-use/</w:t>
        </w:r>
      </w:hyperlink>
      <w:r>
        <w:t xml:space="preserve">. Both accessed May 2019. </w:t>
      </w:r>
    </w:p>
  </w:footnote>
  <w:footnote w:id="24">
    <w:p w14:paraId="62725727" w14:textId="77777777" w:rsidR="00A4274D" w:rsidRDefault="00A4274D" w:rsidP="00BC034E">
      <w:pPr>
        <w:pStyle w:val="FootnoteText"/>
      </w:pPr>
      <w:r>
        <w:rPr>
          <w:rStyle w:val="FootnoteReference"/>
        </w:rPr>
        <w:footnoteRef/>
      </w:r>
      <w:r>
        <w:t xml:space="preserve"> </w:t>
      </w:r>
      <w:r w:rsidRPr="004E60D2">
        <w:rPr>
          <w:i/>
        </w:rPr>
        <w:t>Inter alia</w:t>
      </w:r>
      <w:r>
        <w:t xml:space="preserve">, The New York Times, </w:t>
      </w:r>
      <w:r w:rsidRPr="004E60D2">
        <w:rPr>
          <w:i/>
        </w:rPr>
        <w:t>In a High-Stakes Environmental Whodunit, Many Clues Point to China</w:t>
      </w:r>
      <w:r>
        <w:t>, By Chris Buckley and Henry Fountain, June 24, 2018.</w:t>
      </w:r>
    </w:p>
  </w:footnote>
  <w:footnote w:id="25">
    <w:p w14:paraId="1790FD1E" w14:textId="77777777" w:rsidR="009326CB" w:rsidRDefault="009326CB" w:rsidP="00BC034E">
      <w:pPr>
        <w:pStyle w:val="FootnoteText"/>
      </w:pPr>
      <w:r w:rsidRPr="002F0D19">
        <w:rPr>
          <w:rStyle w:val="FootnoteReference"/>
        </w:rPr>
        <w:footnoteRef/>
      </w:r>
      <w:r w:rsidRPr="002F0D19">
        <w:t xml:space="preserve"> Rigby, M. </w:t>
      </w:r>
      <w:r w:rsidRPr="002F0D19">
        <w:rPr>
          <w:i/>
          <w:iCs/>
        </w:rPr>
        <w:t>et al.</w:t>
      </w:r>
      <w:r w:rsidRPr="002F0D19">
        <w:t xml:space="preserve">, Increase in CFC-11 emissions from eastern China based on atmospheric observations, </w:t>
      </w:r>
      <w:r w:rsidRPr="002F0D19">
        <w:rPr>
          <w:i/>
          <w:iCs/>
        </w:rPr>
        <w:t>Nature</w:t>
      </w:r>
      <w:r w:rsidRPr="002F0D19">
        <w:t xml:space="preserve">, 2019, </w:t>
      </w:r>
      <w:r w:rsidRPr="002F0D19">
        <w:rPr>
          <w:b/>
          <w:bCs/>
        </w:rPr>
        <w:t>569</w:t>
      </w:r>
      <w:r w:rsidRPr="002F0D19">
        <w:t>, 546-550. https://doi: 10.1038/s41586-019-1193-4.</w:t>
      </w:r>
    </w:p>
  </w:footnote>
  <w:footnote w:id="26">
    <w:p w14:paraId="304B1801" w14:textId="0A05A4D8" w:rsidR="009326CB" w:rsidRDefault="009326CB" w:rsidP="00BC034E">
      <w:pPr>
        <w:pStyle w:val="FootnoteText"/>
      </w:pPr>
      <w:r w:rsidRPr="002F0D19">
        <w:rPr>
          <w:rStyle w:val="FootnoteReference"/>
        </w:rPr>
        <w:footnoteRef/>
      </w:r>
      <w:r w:rsidRPr="002F0D19">
        <w:t xml:space="preserve"> </w:t>
      </w:r>
      <w:r w:rsidRPr="00A075FA">
        <w:t>No significant emission increase was derived for other eastern Asian countries or</w:t>
      </w:r>
      <w:r w:rsidRPr="00E82920">
        <w:t xml:space="preserve"> regions where atmospheric data enables the quantification of regional emissions</w:t>
      </w:r>
      <w:r w:rsidRPr="00976FE4">
        <w:t xml:space="preserve">. It is possible that variations in atmospheric circulation may have contributed in part </w:t>
      </w:r>
      <w:r w:rsidRPr="0084219E">
        <w:t>to the slow-down of the global atmospheric concentration decline of CFC</w:t>
      </w:r>
      <w:r w:rsidRPr="002F0D19">
        <w:t xml:space="preserve">-11, but the available evidence compiled in </w:t>
      </w:r>
      <w:proofErr w:type="spellStart"/>
      <w:r w:rsidRPr="002F0D19">
        <w:t>Montzka</w:t>
      </w:r>
      <w:proofErr w:type="spellEnd"/>
      <w:r w:rsidRPr="002F0D19">
        <w:t xml:space="preserve"> </w:t>
      </w:r>
      <w:r w:rsidRPr="002F0D19">
        <w:rPr>
          <w:i/>
          <w:iCs/>
        </w:rPr>
        <w:t>et al.</w:t>
      </w:r>
      <w:r w:rsidRPr="002F0D19">
        <w:t xml:space="preserve"> and Rigby </w:t>
      </w:r>
      <w:r w:rsidRPr="002F0D19">
        <w:rPr>
          <w:i/>
          <w:iCs/>
        </w:rPr>
        <w:t>et al.</w:t>
      </w:r>
      <w:r w:rsidRPr="002F0D19">
        <w:t xml:space="preserve"> clearly point to a global emission increase in CFC-11 emissions that is explained in large part by increased emissions from two provinces in eastern China.</w:t>
      </w:r>
    </w:p>
  </w:footnote>
  <w:footnote w:id="27">
    <w:p w14:paraId="30898274" w14:textId="77777777" w:rsidR="006F2CE0" w:rsidRPr="00A3707F" w:rsidRDefault="006F2CE0" w:rsidP="006F2CE0">
      <w:pPr>
        <w:pStyle w:val="FootnoteText"/>
      </w:pPr>
      <w:r w:rsidRPr="002F0D19">
        <w:rPr>
          <w:rStyle w:val="FootnoteReference"/>
        </w:rPr>
        <w:footnoteRef/>
      </w:r>
      <w:r w:rsidRPr="002F0D19">
        <w:t xml:space="preserve"> </w:t>
      </w:r>
      <w:r w:rsidRPr="002F0D19">
        <w:rPr>
          <w:lang w:val="en-US"/>
        </w:rPr>
        <w:t>Using a two-dimensional model of atmospheric transport and chemistry, and assuming a lifetime of 52 years.</w:t>
      </w:r>
    </w:p>
  </w:footnote>
  <w:footnote w:id="28">
    <w:p w14:paraId="4B3121C0" w14:textId="5E0F7DEB" w:rsidR="00503438" w:rsidRPr="006336BC" w:rsidRDefault="00503438" w:rsidP="00BC034E">
      <w:pPr>
        <w:pStyle w:val="FootnoteText"/>
        <w:rPr>
          <w:lang w:val="en-AU"/>
        </w:rPr>
      </w:pPr>
      <w:r>
        <w:rPr>
          <w:rStyle w:val="FootnoteReference"/>
        </w:rPr>
        <w:footnoteRef/>
      </w:r>
      <w:r>
        <w:t xml:space="preserve"> WMO, Global Atmospheric Watch, Ozone Research and Monitoring, </w:t>
      </w:r>
      <w:r w:rsidRPr="00DD48A5">
        <w:rPr>
          <w:i/>
          <w:iCs/>
        </w:rPr>
        <w:t>Report on the Unexpected Emissions of CFC-11, A Report of the Scientific Assessment Panel of the Montreal Protocol on Substances that Deplete the Ozone Layer</w:t>
      </w:r>
      <w:r>
        <w:t>, April 2021.</w:t>
      </w:r>
    </w:p>
  </w:footnote>
  <w:footnote w:id="29">
    <w:p w14:paraId="61DECC0F" w14:textId="61F5FF11" w:rsidR="004430A5" w:rsidRPr="006336BC" w:rsidRDefault="004430A5" w:rsidP="00BC034E">
      <w:pPr>
        <w:pStyle w:val="FootnoteText"/>
        <w:rPr>
          <w:lang w:val="en-AU"/>
        </w:rPr>
      </w:pPr>
      <w:r>
        <w:rPr>
          <w:rStyle w:val="FootnoteReference"/>
        </w:rPr>
        <w:footnoteRef/>
      </w:r>
      <w:r>
        <w:t xml:space="preserve"> </w:t>
      </w:r>
      <w:r w:rsidR="002A5211">
        <w:t xml:space="preserve">Ibid., </w:t>
      </w:r>
      <w:r w:rsidR="00802D97">
        <w:t xml:space="preserve">WMO, </w:t>
      </w:r>
      <w:r w:rsidR="00A04664">
        <w:t>2021.</w:t>
      </w:r>
    </w:p>
  </w:footnote>
  <w:footnote w:id="30">
    <w:p w14:paraId="1C135DCB" w14:textId="113D8CCD" w:rsidR="00277F17" w:rsidRPr="006829A3" w:rsidRDefault="00277F17" w:rsidP="00BC034E">
      <w:pPr>
        <w:pStyle w:val="FootnoteText"/>
        <w:rPr>
          <w:lang w:val="en-US"/>
        </w:rPr>
      </w:pPr>
      <w:r>
        <w:rPr>
          <w:rStyle w:val="FootnoteReference"/>
        </w:rPr>
        <w:footnoteRef/>
      </w:r>
      <w:r>
        <w:t xml:space="preserve"> </w:t>
      </w:r>
      <w:r w:rsidRPr="7FD706EE">
        <w:rPr>
          <w:rFonts w:eastAsia="Calibri"/>
        </w:rPr>
        <w:t xml:space="preserve">Park, </w:t>
      </w:r>
      <w:proofErr w:type="spellStart"/>
      <w:r w:rsidRPr="7FD706EE">
        <w:rPr>
          <w:rFonts w:eastAsia="Calibri"/>
        </w:rPr>
        <w:t>Sunyoung</w:t>
      </w:r>
      <w:proofErr w:type="spellEnd"/>
      <w:r w:rsidRPr="7FD706EE">
        <w:rPr>
          <w:rFonts w:eastAsia="Calibri"/>
        </w:rPr>
        <w:t xml:space="preserve">, Luke M. Western, Takuya Saito, Alison L. Redington, Stephan </w:t>
      </w:r>
      <w:proofErr w:type="spellStart"/>
      <w:r w:rsidRPr="7FD706EE">
        <w:rPr>
          <w:rFonts w:eastAsia="Calibri"/>
        </w:rPr>
        <w:t>Henne</w:t>
      </w:r>
      <w:proofErr w:type="spellEnd"/>
      <w:r w:rsidRPr="7FD706EE">
        <w:rPr>
          <w:rFonts w:eastAsia="Calibri"/>
        </w:rPr>
        <w:t xml:space="preserve">, </w:t>
      </w:r>
      <w:proofErr w:type="spellStart"/>
      <w:r w:rsidRPr="7FD706EE">
        <w:rPr>
          <w:rFonts w:eastAsia="Calibri"/>
        </w:rPr>
        <w:t>Xuekun</w:t>
      </w:r>
      <w:proofErr w:type="spellEnd"/>
      <w:r w:rsidRPr="7FD706EE">
        <w:rPr>
          <w:rFonts w:eastAsia="Calibri"/>
        </w:rPr>
        <w:t xml:space="preserve"> Fang, Ronald G. Prinn</w:t>
      </w:r>
      <w:r>
        <w:rPr>
          <w:rFonts w:eastAsia="Calibri"/>
        </w:rPr>
        <w:t>,</w:t>
      </w:r>
      <w:r w:rsidRPr="7FD706EE">
        <w:rPr>
          <w:rFonts w:eastAsia="Calibri"/>
        </w:rPr>
        <w:t xml:space="preserve"> </w:t>
      </w:r>
      <w:r w:rsidRPr="00063161">
        <w:rPr>
          <w:rFonts w:eastAsia="Calibri"/>
          <w:i/>
          <w:iCs/>
        </w:rPr>
        <w:t>et al.</w:t>
      </w:r>
      <w:r>
        <w:rPr>
          <w:rFonts w:eastAsia="Calibri"/>
        </w:rPr>
        <w:t>,</w:t>
      </w:r>
      <w:r w:rsidRPr="7FD706EE">
        <w:rPr>
          <w:rFonts w:eastAsia="Calibri"/>
        </w:rPr>
        <w:t xml:space="preserve"> A decline in emissions of CFC-11 and related chemicals from eastern China</w:t>
      </w:r>
      <w:r>
        <w:rPr>
          <w:rFonts w:eastAsia="Calibri"/>
        </w:rPr>
        <w:t>,</w:t>
      </w:r>
      <w:r w:rsidRPr="7FD706EE">
        <w:rPr>
          <w:rFonts w:eastAsia="Calibri"/>
        </w:rPr>
        <w:t xml:space="preserve"> </w:t>
      </w:r>
      <w:r w:rsidRPr="00063161">
        <w:rPr>
          <w:rFonts w:eastAsia="Calibri"/>
          <w:i/>
          <w:iCs/>
        </w:rPr>
        <w:t>Nature</w:t>
      </w:r>
      <w:r>
        <w:rPr>
          <w:rFonts w:eastAsia="Calibri"/>
        </w:rPr>
        <w:t>, 2021,</w:t>
      </w:r>
      <w:r w:rsidRPr="7FD706EE">
        <w:rPr>
          <w:rFonts w:eastAsia="Calibri"/>
        </w:rPr>
        <w:t xml:space="preserve"> </w:t>
      </w:r>
      <w:r w:rsidRPr="00B32F06">
        <w:rPr>
          <w:rFonts w:eastAsia="Calibri"/>
          <w:b/>
          <w:bCs/>
        </w:rPr>
        <w:t>590</w:t>
      </w:r>
      <w:r w:rsidRPr="00B32F06">
        <w:rPr>
          <w:rFonts w:eastAsia="Calibri"/>
        </w:rPr>
        <w:t>, 433–437</w:t>
      </w:r>
      <w:r>
        <w:rPr>
          <w:rFonts w:eastAsia="Calibri"/>
        </w:rPr>
        <w:t>.</w:t>
      </w:r>
      <w:r w:rsidRPr="00B32F06">
        <w:rPr>
          <w:rFonts w:eastAsia="Calibri"/>
        </w:rPr>
        <w:t xml:space="preserve"> </w:t>
      </w:r>
      <w:hyperlink r:id="rId8" w:history="1">
        <w:r w:rsidRPr="00626EB0">
          <w:rPr>
            <w:rStyle w:val="Hyperlink"/>
            <w:rFonts w:eastAsia="Calibri"/>
          </w:rPr>
          <w:t>https://doi.org/10.1038/s41586-021-03277-w</w:t>
        </w:r>
      </w:hyperlink>
      <w:r w:rsidR="005A5EF8">
        <w:rPr>
          <w:rStyle w:val="Hyperlink"/>
          <w:rFonts w:eastAsia="Calibri"/>
        </w:rPr>
        <w:t>.</w:t>
      </w:r>
    </w:p>
  </w:footnote>
  <w:footnote w:id="31">
    <w:p w14:paraId="7E9508F0" w14:textId="014F61E1" w:rsidR="00CB53F4" w:rsidRDefault="00CB53F4" w:rsidP="00BC034E">
      <w:pPr>
        <w:pStyle w:val="FootnoteText"/>
        <w:rPr>
          <w:rFonts w:ascii="Calibri" w:eastAsia="Calibri" w:hAnsi="Calibri" w:cs="Calibri"/>
          <w:szCs w:val="22"/>
        </w:rPr>
      </w:pPr>
      <w:r w:rsidRPr="006F3631">
        <w:rPr>
          <w:rStyle w:val="FootnoteReference"/>
        </w:rPr>
        <w:footnoteRef/>
      </w:r>
      <w:r w:rsidRPr="006F3631">
        <w:rPr>
          <w:rStyle w:val="FootnoteReference"/>
        </w:rPr>
        <w:t xml:space="preserve"> </w:t>
      </w:r>
      <w:proofErr w:type="spellStart"/>
      <w:r>
        <w:t>Montzka</w:t>
      </w:r>
      <w:proofErr w:type="spellEnd"/>
      <w:r>
        <w:t xml:space="preserve">, Stephen A., Geoffrey S. Dutton, Robert W. </w:t>
      </w:r>
      <w:proofErr w:type="spellStart"/>
      <w:r>
        <w:t>Portmann</w:t>
      </w:r>
      <w:proofErr w:type="spellEnd"/>
      <w:r>
        <w:t xml:space="preserve">, Martyn P. Chipperfield, Sean Davis, Wuhu Feng, Alistair J. Manning, </w:t>
      </w:r>
      <w:r w:rsidRPr="00063161">
        <w:rPr>
          <w:i/>
          <w:iCs/>
        </w:rPr>
        <w:t>et al</w:t>
      </w:r>
      <w:r>
        <w:rPr>
          <w:i/>
          <w:iCs/>
        </w:rPr>
        <w:t>.</w:t>
      </w:r>
      <w:r>
        <w:t xml:space="preserve">, A decline in global CFC-11 emissions during 2018-2019, </w:t>
      </w:r>
      <w:r w:rsidRPr="00F81DA8">
        <w:rPr>
          <w:i/>
          <w:iCs/>
        </w:rPr>
        <w:t>Nature</w:t>
      </w:r>
      <w:r>
        <w:t xml:space="preserve">, 2021, </w:t>
      </w:r>
      <w:r w:rsidRPr="001B5C46">
        <w:rPr>
          <w:b/>
          <w:bCs/>
        </w:rPr>
        <w:t>590</w:t>
      </w:r>
      <w:r w:rsidRPr="001B5C46">
        <w:t>, 428–432 (2021)</w:t>
      </w:r>
      <w:r>
        <w:t xml:space="preserve">. </w:t>
      </w:r>
      <w:hyperlink r:id="rId9" w:history="1">
        <w:r w:rsidRPr="00626EB0">
          <w:rPr>
            <w:rStyle w:val="Hyperlink"/>
          </w:rPr>
          <w:t>https://doi.org/10.1038/s41586-021-03260-5</w:t>
        </w:r>
      </w:hyperlink>
      <w:r w:rsidR="005A5EF8">
        <w:rPr>
          <w:rStyle w:val="Hyperlink"/>
        </w:rPr>
        <w:t>.</w:t>
      </w:r>
      <w:r>
        <w:t xml:space="preserve"> </w:t>
      </w:r>
    </w:p>
  </w:footnote>
  <w:footnote w:id="32">
    <w:p w14:paraId="41A291F6" w14:textId="77777777" w:rsidR="006F2CE0" w:rsidRDefault="006F2CE0" w:rsidP="006F2CE0">
      <w:pPr>
        <w:pStyle w:val="FootnoteText"/>
      </w:pPr>
      <w:r w:rsidRPr="006F3631">
        <w:rPr>
          <w:rStyle w:val="FootnoteReference"/>
        </w:rPr>
        <w:footnoteRef/>
      </w:r>
      <w:r w:rsidRPr="006F3631">
        <w:rPr>
          <w:rStyle w:val="FootnoteReference"/>
        </w:rPr>
        <w:t xml:space="preserve"> </w:t>
      </w:r>
      <w:r>
        <w:t xml:space="preserve">Ibid., </w:t>
      </w:r>
      <w:r>
        <w:rPr>
          <w:lang w:val="en-AU"/>
        </w:rPr>
        <w:t>Technology and Economic Assessment Panel, 2019</w:t>
      </w:r>
      <w:r w:rsidRPr="00132BBC">
        <w:rPr>
          <w:rStyle w:val="Hyperlink"/>
          <w:u w:val="none"/>
          <w:lang w:val="en-AU"/>
        </w:rPr>
        <w:t>.</w:t>
      </w:r>
    </w:p>
  </w:footnote>
  <w:footnote w:id="33">
    <w:p w14:paraId="40C2751C" w14:textId="269BD5E0" w:rsidR="00D42E15" w:rsidRPr="00043208" w:rsidRDefault="00D42E15" w:rsidP="00BC034E">
      <w:pPr>
        <w:pStyle w:val="FootnoteText"/>
        <w:rPr>
          <w:lang w:val="en-AU"/>
        </w:rPr>
      </w:pPr>
      <w:r>
        <w:rPr>
          <w:rStyle w:val="FootnoteReference"/>
        </w:rPr>
        <w:footnoteRef/>
      </w:r>
      <w:r>
        <w:t xml:space="preserve"> </w:t>
      </w:r>
      <w:r w:rsidR="00121CFC">
        <w:t xml:space="preserve">Ibid., </w:t>
      </w:r>
      <w:r w:rsidRPr="002F0D19">
        <w:t xml:space="preserve">Rigby, M. </w:t>
      </w:r>
      <w:r w:rsidRPr="002F0D19">
        <w:rPr>
          <w:i/>
          <w:iCs/>
        </w:rPr>
        <w:t>et al.</w:t>
      </w:r>
      <w:r w:rsidRPr="002F0D19">
        <w:t>, 2019.</w:t>
      </w:r>
    </w:p>
  </w:footnote>
  <w:footnote w:id="34">
    <w:p w14:paraId="5AAC1D9B" w14:textId="381A4FEC" w:rsidR="00F6716F" w:rsidRPr="00043208" w:rsidRDefault="00F6716F" w:rsidP="00BC034E">
      <w:pPr>
        <w:pStyle w:val="FootnoteText"/>
        <w:rPr>
          <w:lang w:val="en-AU"/>
        </w:rPr>
      </w:pPr>
      <w:r>
        <w:rPr>
          <w:rStyle w:val="FootnoteReference"/>
        </w:rPr>
        <w:footnoteRef/>
      </w:r>
      <w:r>
        <w:t xml:space="preserve"> </w:t>
      </w:r>
      <w:r w:rsidR="00CE3A79">
        <w:t xml:space="preserve">Ibid., </w:t>
      </w:r>
      <w:r w:rsidRPr="7FD706EE">
        <w:rPr>
          <w:rFonts w:eastAsia="Calibri"/>
        </w:rPr>
        <w:t xml:space="preserve">Park, </w:t>
      </w:r>
      <w:r w:rsidRPr="00063161">
        <w:rPr>
          <w:rFonts w:eastAsia="Calibri"/>
          <w:i/>
          <w:iCs/>
        </w:rPr>
        <w:t>et al.</w:t>
      </w:r>
      <w:r>
        <w:rPr>
          <w:rFonts w:eastAsia="Calibri"/>
        </w:rPr>
        <w:t>,</w:t>
      </w:r>
      <w:r w:rsidRPr="7FD706EE">
        <w:rPr>
          <w:rFonts w:eastAsia="Calibri"/>
        </w:rPr>
        <w:t xml:space="preserve"> </w:t>
      </w:r>
      <w:r>
        <w:rPr>
          <w:rFonts w:eastAsia="Calibri"/>
        </w:rPr>
        <w:t>2021</w:t>
      </w:r>
      <w:r w:rsidR="002512E5">
        <w:rPr>
          <w:rFonts w:eastAsia="Calibri"/>
        </w:rPr>
        <w:t>.</w:t>
      </w:r>
      <w:r w:rsidR="00CE3A79" w:rsidDel="00CE3A79">
        <w:rPr>
          <w:rFonts w:eastAsia="Calibri"/>
        </w:rPr>
        <w:t xml:space="preserve"> </w:t>
      </w:r>
    </w:p>
  </w:footnote>
  <w:footnote w:id="35">
    <w:p w14:paraId="1EC4ADA7" w14:textId="142459C6" w:rsidR="00776811" w:rsidRPr="00E142ED" w:rsidRDefault="00776811" w:rsidP="00BC034E">
      <w:pPr>
        <w:pStyle w:val="FootnoteText"/>
        <w:rPr>
          <w:lang w:val="en-AU"/>
        </w:rPr>
      </w:pPr>
      <w:r>
        <w:rPr>
          <w:rStyle w:val="FootnoteReference"/>
        </w:rPr>
        <w:footnoteRef/>
      </w:r>
      <w:r>
        <w:t xml:space="preserve"> </w:t>
      </w:r>
      <w:r w:rsidR="00CE3A79">
        <w:t xml:space="preserve">Ibid., </w:t>
      </w:r>
      <w:r>
        <w:t>WMO, 2021.</w:t>
      </w:r>
    </w:p>
  </w:footnote>
  <w:footnote w:id="36">
    <w:p w14:paraId="68300DF1" w14:textId="77777777" w:rsidR="0064747A" w:rsidRPr="00825B88" w:rsidRDefault="0064747A" w:rsidP="00BC034E">
      <w:pPr>
        <w:pStyle w:val="FootnoteText"/>
        <w:rPr>
          <w:lang w:val="en-US"/>
        </w:rPr>
      </w:pPr>
      <w:r>
        <w:rPr>
          <w:rStyle w:val="FootnoteReference"/>
        </w:rPr>
        <w:footnoteRef/>
      </w:r>
      <w:r>
        <w:t xml:space="preserve"> B</w:t>
      </w:r>
      <w:proofErr w:type="spellStart"/>
      <w:r>
        <w:rPr>
          <w:lang w:val="en-US"/>
        </w:rPr>
        <w:t>ased</w:t>
      </w:r>
      <w:proofErr w:type="spellEnd"/>
      <w:r>
        <w:rPr>
          <w:lang w:val="en-US"/>
        </w:rPr>
        <w:t xml:space="preserve"> on 100-year time horizon for each chemical.</w:t>
      </w:r>
    </w:p>
  </w:footnote>
  <w:footnote w:id="37">
    <w:p w14:paraId="7439BF71" w14:textId="7BE5867F" w:rsidR="00352B31" w:rsidRPr="00E142ED" w:rsidRDefault="00352B31" w:rsidP="00BC034E">
      <w:pPr>
        <w:pStyle w:val="FootnoteText"/>
        <w:rPr>
          <w:lang w:val="en-US"/>
        </w:rPr>
      </w:pPr>
      <w:r>
        <w:rPr>
          <w:rStyle w:val="FootnoteReference"/>
        </w:rPr>
        <w:footnoteRef/>
      </w:r>
      <w:r>
        <w:t xml:space="preserve"> </w:t>
      </w:r>
      <w:r w:rsidR="00CE3A79">
        <w:t xml:space="preserve">Ibid., </w:t>
      </w:r>
      <w:r>
        <w:t>WMO, 2021.</w:t>
      </w:r>
    </w:p>
  </w:footnote>
  <w:footnote w:id="38">
    <w:p w14:paraId="5D3A1A2C" w14:textId="77777777" w:rsidR="00132BBC" w:rsidRPr="0087723E" w:rsidRDefault="00132BBC" w:rsidP="00132BBC">
      <w:pPr>
        <w:spacing w:after="120"/>
        <w:rPr>
          <w:rStyle w:val="FootnoteTextChar2"/>
        </w:rPr>
      </w:pPr>
      <w:r w:rsidRPr="006E461F">
        <w:rPr>
          <w:rStyle w:val="FootnoteReference"/>
        </w:rPr>
        <w:footnoteRef/>
      </w:r>
      <w:r>
        <w:t xml:space="preserve"> </w:t>
      </w:r>
      <w:r w:rsidRPr="00132BBC">
        <w:rPr>
          <w:rStyle w:val="FootnoteTextChar2"/>
        </w:rPr>
        <w:t xml:space="preserve">Ibid., </w:t>
      </w:r>
      <w:r w:rsidRPr="0087723E">
        <w:rPr>
          <w:rStyle w:val="FootnoteTextChar2"/>
        </w:rPr>
        <w:t>Technology and Economic Assessment Panel, 2019</w:t>
      </w:r>
      <w:r>
        <w:rPr>
          <w:rStyle w:val="FootnoteTextChar2"/>
        </w:rPr>
        <w:t>.</w:t>
      </w:r>
      <w:r w:rsidRPr="0087723E">
        <w:rPr>
          <w:rStyle w:val="FootnoteTextChar2"/>
        </w:rPr>
        <w:t xml:space="preserve"> </w:t>
      </w:r>
    </w:p>
  </w:footnote>
  <w:footnote w:id="39">
    <w:p w14:paraId="12F599B2" w14:textId="77777777" w:rsidR="00132BBC" w:rsidRPr="006F3631" w:rsidRDefault="00132BBC" w:rsidP="00132BBC">
      <w:pPr>
        <w:spacing w:after="120"/>
        <w:rPr>
          <w:rStyle w:val="FootnoteTextChar2"/>
        </w:rPr>
      </w:pPr>
      <w:r w:rsidRPr="006E461F">
        <w:rPr>
          <w:rStyle w:val="FootnoteReference"/>
        </w:rPr>
        <w:footnoteRef/>
      </w:r>
      <w:r>
        <w:t xml:space="preserve"> </w:t>
      </w:r>
      <w:proofErr w:type="spellStart"/>
      <w:r w:rsidRPr="006F3631">
        <w:rPr>
          <w:rStyle w:val="FootnoteTextChar2"/>
        </w:rPr>
        <w:t>Lickley</w:t>
      </w:r>
      <w:proofErr w:type="spellEnd"/>
      <w:r w:rsidRPr="006F3631">
        <w:rPr>
          <w:rStyle w:val="FootnoteTextChar2"/>
        </w:rPr>
        <w:t xml:space="preserve">, M., S. Solomon, S. Fletcher, G.J.M. </w:t>
      </w:r>
      <w:proofErr w:type="spellStart"/>
      <w:r w:rsidRPr="006F3631">
        <w:rPr>
          <w:rStyle w:val="FootnoteTextChar2"/>
        </w:rPr>
        <w:t>Velders</w:t>
      </w:r>
      <w:proofErr w:type="spellEnd"/>
      <w:r w:rsidRPr="006F3631">
        <w:rPr>
          <w:rStyle w:val="FootnoteTextChar2"/>
        </w:rPr>
        <w:t xml:space="preserve">, J. Daniel, M. Rigby, S.A. </w:t>
      </w:r>
      <w:proofErr w:type="spellStart"/>
      <w:r w:rsidRPr="006F3631">
        <w:rPr>
          <w:rStyle w:val="FootnoteTextChar2"/>
        </w:rPr>
        <w:t>Montzka</w:t>
      </w:r>
      <w:proofErr w:type="spellEnd"/>
      <w:r w:rsidRPr="006F3631">
        <w:rPr>
          <w:rStyle w:val="FootnoteTextChar2"/>
        </w:rPr>
        <w:t xml:space="preserve">, L.J.M. </w:t>
      </w:r>
      <w:proofErr w:type="spellStart"/>
      <w:r w:rsidRPr="006F3631">
        <w:rPr>
          <w:rStyle w:val="FootnoteTextChar2"/>
        </w:rPr>
        <w:t>Kuijpers</w:t>
      </w:r>
      <w:proofErr w:type="spellEnd"/>
      <w:r w:rsidRPr="006F3631">
        <w:rPr>
          <w:rStyle w:val="FootnoteTextChar2"/>
        </w:rPr>
        <w:t>, and K. Stone, Quantifying contributions of chlorofluorocarbon banks to emissions and impacts on the ozone layer and climate, Nature Comm., 2020</w:t>
      </w:r>
      <w:r>
        <w:rPr>
          <w:rStyle w:val="FootnoteTextChar2"/>
        </w:rPr>
        <w:t xml:space="preserve">, </w:t>
      </w:r>
      <w:r w:rsidRPr="009808EB">
        <w:rPr>
          <w:rStyle w:val="FootnoteTextChar2"/>
          <w:b/>
          <w:bCs/>
        </w:rPr>
        <w:t>11</w:t>
      </w:r>
      <w:r w:rsidRPr="006F3631">
        <w:rPr>
          <w:rStyle w:val="FootnoteTextChar2"/>
        </w:rPr>
        <w:t xml:space="preserve">(1), </w:t>
      </w:r>
      <w:r w:rsidRPr="00616550">
        <w:rPr>
          <w:rStyle w:val="FootnoteTextChar2"/>
        </w:rPr>
        <w:t>1-11</w:t>
      </w:r>
      <w:r>
        <w:rPr>
          <w:rStyle w:val="FootnoteTextChar2"/>
        </w:rPr>
        <w:t xml:space="preserve">. </w:t>
      </w:r>
      <w:r w:rsidRPr="006F3631">
        <w:rPr>
          <w:rStyle w:val="FootnoteTextChar2"/>
        </w:rPr>
        <w:t>doi:10.1038/s41467-020-15162-7.</w:t>
      </w:r>
    </w:p>
  </w:footnote>
  <w:footnote w:id="40">
    <w:p w14:paraId="6F98BC86" w14:textId="42A7994B" w:rsidR="008A11C3" w:rsidRPr="009808EB" w:rsidRDefault="008A11C3" w:rsidP="00132BBC">
      <w:pPr>
        <w:pStyle w:val="FootnoteText"/>
        <w:rPr>
          <w:rStyle w:val="FootnoteTextChar2"/>
        </w:rPr>
      </w:pPr>
      <w:r>
        <w:rPr>
          <w:rStyle w:val="FootnoteReference"/>
        </w:rPr>
        <w:footnoteRef/>
      </w:r>
      <w:r>
        <w:t xml:space="preserve"> </w:t>
      </w:r>
      <w:proofErr w:type="spellStart"/>
      <w:r w:rsidRPr="009808EB">
        <w:rPr>
          <w:rStyle w:val="FootnoteTextChar2"/>
        </w:rPr>
        <w:t>Lickley</w:t>
      </w:r>
      <w:proofErr w:type="spellEnd"/>
      <w:r w:rsidRPr="009808EB">
        <w:rPr>
          <w:rStyle w:val="FootnoteTextChar2"/>
        </w:rPr>
        <w:t xml:space="preserve">, M., Solomon, S., Fletcher, S., </w:t>
      </w:r>
      <w:proofErr w:type="spellStart"/>
      <w:r w:rsidRPr="009808EB">
        <w:rPr>
          <w:rStyle w:val="FootnoteTextChar2"/>
        </w:rPr>
        <w:t>Velders</w:t>
      </w:r>
      <w:proofErr w:type="spellEnd"/>
      <w:r w:rsidRPr="009808EB">
        <w:rPr>
          <w:rStyle w:val="FootnoteTextChar2"/>
        </w:rPr>
        <w:t xml:space="preserve">, G. J., Daniel, J., Rigby, M., </w:t>
      </w:r>
      <w:proofErr w:type="spellStart"/>
      <w:r w:rsidRPr="009808EB">
        <w:rPr>
          <w:rStyle w:val="FootnoteTextChar2"/>
        </w:rPr>
        <w:t>Montzka</w:t>
      </w:r>
      <w:proofErr w:type="spellEnd"/>
      <w:r w:rsidRPr="009808EB">
        <w:rPr>
          <w:rStyle w:val="FootnoteTextChar2"/>
        </w:rPr>
        <w:t xml:space="preserve">, S., </w:t>
      </w:r>
      <w:proofErr w:type="spellStart"/>
      <w:r w:rsidRPr="009808EB">
        <w:rPr>
          <w:rStyle w:val="FootnoteTextChar2"/>
        </w:rPr>
        <w:t>Kuijpers</w:t>
      </w:r>
      <w:proofErr w:type="spellEnd"/>
      <w:r w:rsidRPr="009808EB">
        <w:rPr>
          <w:rStyle w:val="FootnoteTextChar2"/>
        </w:rPr>
        <w:t>, L., Stone, K.</w:t>
      </w:r>
      <w:r w:rsidR="00A75CD8">
        <w:rPr>
          <w:rStyle w:val="FootnoteTextChar2"/>
        </w:rPr>
        <w:t>,</w:t>
      </w:r>
      <w:r w:rsidRPr="009808EB">
        <w:rPr>
          <w:rStyle w:val="FootnoteTextChar2"/>
        </w:rPr>
        <w:t xml:space="preserve"> Quantifying contributions of chlorofluorocarbon banks to emissions and impacts on the ozone layer and climate. Nature communications, </w:t>
      </w:r>
      <w:r w:rsidR="00A75CD8" w:rsidRPr="009A0863">
        <w:rPr>
          <w:rStyle w:val="FootnoteTextChar2"/>
        </w:rPr>
        <w:t>2020</w:t>
      </w:r>
      <w:r w:rsidR="00A75CD8">
        <w:rPr>
          <w:rStyle w:val="FootnoteTextChar2"/>
        </w:rPr>
        <w:t>,</w:t>
      </w:r>
      <w:r w:rsidR="00A75CD8" w:rsidRPr="009A0863">
        <w:rPr>
          <w:rStyle w:val="FootnoteTextChar2"/>
        </w:rPr>
        <w:t xml:space="preserve"> </w:t>
      </w:r>
      <w:r w:rsidRPr="009808EB">
        <w:rPr>
          <w:rStyle w:val="FootnoteTextChar2"/>
          <w:b/>
          <w:bCs/>
        </w:rPr>
        <w:t>11</w:t>
      </w:r>
      <w:r w:rsidRPr="009808EB">
        <w:rPr>
          <w:rStyle w:val="FootnoteTextChar2"/>
        </w:rPr>
        <w:t>(1)</w:t>
      </w:r>
      <w:r w:rsidR="00A75CD8">
        <w:rPr>
          <w:rStyle w:val="FootnoteTextChar2"/>
        </w:rPr>
        <w:t>,</w:t>
      </w:r>
      <w:r w:rsidRPr="009808EB">
        <w:rPr>
          <w:rStyle w:val="FootnoteTextChar2"/>
        </w:rPr>
        <w:t xml:space="preserve"> 1-11.</w:t>
      </w:r>
      <w:r w:rsidR="00037D66">
        <w:rPr>
          <w:rStyle w:val="FootnoteTextChar2"/>
        </w:rPr>
        <w:t xml:space="preserve"> </w:t>
      </w:r>
      <w:r w:rsidR="00037D66" w:rsidRPr="006F3631">
        <w:rPr>
          <w:rStyle w:val="FootnoteTextChar2"/>
        </w:rPr>
        <w:t>doi:10.1038/s41467-020-15162-7.</w:t>
      </w:r>
    </w:p>
    <w:p w14:paraId="0294D5B3" w14:textId="67EC5A34" w:rsidR="008A11C3" w:rsidRPr="008A11C3" w:rsidRDefault="008A11C3" w:rsidP="00E642F8">
      <w:pPr>
        <w:pStyle w:val="FootnoteText"/>
        <w:rPr>
          <w:lang w:val="en-US"/>
        </w:rPr>
      </w:pPr>
      <w:proofErr w:type="spellStart"/>
      <w:r w:rsidRPr="00022619">
        <w:rPr>
          <w:lang w:val="en-US"/>
        </w:rPr>
        <w:t>Lickley</w:t>
      </w:r>
      <w:proofErr w:type="spellEnd"/>
      <w:r w:rsidRPr="00022619">
        <w:rPr>
          <w:lang w:val="en-US"/>
        </w:rPr>
        <w:t>, M., Fletcher, S., Rigby, M., Solomon, S.</w:t>
      </w:r>
      <w:r w:rsidR="00022619" w:rsidRPr="00022619">
        <w:rPr>
          <w:lang w:val="en-US"/>
        </w:rPr>
        <w:t>,</w:t>
      </w:r>
      <w:r w:rsidRPr="00022619">
        <w:rPr>
          <w:lang w:val="en-US"/>
        </w:rPr>
        <w:t xml:space="preserve"> Joint inference of CFC lifetimes and banks suggests previously unidentified emissions</w:t>
      </w:r>
      <w:r w:rsidR="00B238CC" w:rsidRPr="00022619">
        <w:rPr>
          <w:lang w:val="en-US"/>
        </w:rPr>
        <w:t>,</w:t>
      </w:r>
      <w:r w:rsidRPr="00022619">
        <w:rPr>
          <w:b/>
          <w:lang w:val="en-US"/>
        </w:rPr>
        <w:t xml:space="preserve"> </w:t>
      </w:r>
      <w:r w:rsidRPr="00022619">
        <w:rPr>
          <w:i/>
          <w:lang w:val="en-US"/>
        </w:rPr>
        <w:t>Nature Communications</w:t>
      </w:r>
      <w:r w:rsidR="00B238CC" w:rsidRPr="00022619">
        <w:rPr>
          <w:i/>
          <w:lang w:val="en-US"/>
        </w:rPr>
        <w:t>,</w:t>
      </w:r>
      <w:r w:rsidR="00B238CC" w:rsidRPr="00B238CC">
        <w:t xml:space="preserve"> </w:t>
      </w:r>
      <w:r w:rsidR="00B238CC" w:rsidRPr="00022619">
        <w:rPr>
          <w:iCs/>
          <w:lang w:val="en-US"/>
        </w:rPr>
        <w:t>2021</w:t>
      </w:r>
      <w:r w:rsidR="00B238CC">
        <w:rPr>
          <w:iCs/>
          <w:lang w:val="en-US"/>
        </w:rPr>
        <w:t xml:space="preserve">, </w:t>
      </w:r>
      <w:r w:rsidR="00B238CC" w:rsidRPr="00022619">
        <w:rPr>
          <w:b/>
          <w:bCs/>
          <w:iCs/>
          <w:lang w:val="en-US"/>
        </w:rPr>
        <w:t>12</w:t>
      </w:r>
      <w:r w:rsidR="00022619" w:rsidRPr="00022619">
        <w:rPr>
          <w:iCs/>
          <w:lang w:val="en-US"/>
        </w:rPr>
        <w:t>,</w:t>
      </w:r>
      <w:r w:rsidR="00317627" w:rsidRPr="00022619">
        <w:rPr>
          <w:iCs/>
          <w:lang w:val="en-US"/>
        </w:rPr>
        <w:t xml:space="preserve"> </w:t>
      </w:r>
      <w:r w:rsidR="00B238CC" w:rsidRPr="00022619">
        <w:rPr>
          <w:iCs/>
          <w:lang w:val="en-US"/>
        </w:rPr>
        <w:t>2920</w:t>
      </w:r>
      <w:r w:rsidR="00317627">
        <w:rPr>
          <w:iCs/>
          <w:lang w:val="en-US"/>
        </w:rPr>
        <w:t xml:space="preserve">, </w:t>
      </w:r>
      <w:r w:rsidR="00B238CC" w:rsidRPr="00022619">
        <w:rPr>
          <w:iCs/>
          <w:lang w:val="en-US"/>
        </w:rPr>
        <w:t>https://doi.org/10.1038/s41467-021-23229-</w:t>
      </w:r>
      <w:r w:rsidR="00B238CC" w:rsidRPr="0070250D">
        <w:rPr>
          <w:iCs/>
          <w:lang w:val="en-US"/>
        </w:rPr>
        <w:t>2</w:t>
      </w:r>
      <w:r w:rsidRPr="00132BBC">
        <w:rPr>
          <w:iCs/>
          <w:lang w:val="en-US"/>
        </w:rPr>
        <w:t>.</w:t>
      </w:r>
    </w:p>
  </w:footnote>
  <w:footnote w:id="41">
    <w:p w14:paraId="6A191DDC" w14:textId="5DF91DBF" w:rsidR="00DA5A4F" w:rsidRPr="000A2088" w:rsidRDefault="00DA5A4F" w:rsidP="00E642F8">
      <w:pPr>
        <w:spacing w:after="120"/>
        <w:rPr>
          <w:rStyle w:val="FootnoteTextChar2"/>
        </w:rPr>
      </w:pPr>
      <w:r w:rsidRPr="009249A0">
        <w:rPr>
          <w:rStyle w:val="FootnoteReference"/>
        </w:rPr>
        <w:footnoteRef/>
      </w:r>
      <w:r w:rsidRPr="07B910CD">
        <w:rPr>
          <w:sz w:val="20"/>
        </w:rPr>
        <w:t xml:space="preserve"> </w:t>
      </w:r>
      <w:r w:rsidRPr="000A2088">
        <w:rPr>
          <w:rStyle w:val="FootnoteTextChar2"/>
        </w:rPr>
        <w:t xml:space="preserve">Report of the Technology and Economic Assessment Panel, September 2019, Volume 1: Decision XXX/3 TEAP Task Force Report on Unexpected Emissions of CFC-11, Final Report, September 2019. </w:t>
      </w:r>
      <w:hyperlink r:id="rId10" w:history="1">
        <w:r w:rsidRPr="00626EB0">
          <w:rPr>
            <w:rStyle w:val="Hyperlink"/>
            <w:sz w:val="18"/>
            <w:szCs w:val="18"/>
          </w:rPr>
          <w:t>https://ozone.unep.org/system/files/documents/TEAP-TF-DecXXX-3-unexpected_CFC11_emissions-september2019.pdf</w:t>
        </w:r>
      </w:hyperlink>
      <w:r w:rsidR="006344EA">
        <w:rPr>
          <w:rStyle w:val="Hyperlink"/>
          <w:sz w:val="18"/>
          <w:szCs w:val="18"/>
        </w:rPr>
        <w:t>.</w:t>
      </w:r>
      <w:r>
        <w:rPr>
          <w:rStyle w:val="FootnoteTextChar2"/>
        </w:rPr>
        <w:t xml:space="preserve"> </w:t>
      </w:r>
    </w:p>
  </w:footnote>
  <w:footnote w:id="42">
    <w:p w14:paraId="7E45DC78" w14:textId="1EEAA8B6" w:rsidR="00370510" w:rsidRPr="000D57A2" w:rsidRDefault="00370510" w:rsidP="00474791">
      <w:pPr>
        <w:pStyle w:val="FootnoteText"/>
      </w:pPr>
      <w:r w:rsidRPr="00E12D58">
        <w:rPr>
          <w:rStyle w:val="FootnoteReference"/>
        </w:rPr>
        <w:footnoteRef/>
      </w:r>
      <w:r w:rsidRPr="00755CF5">
        <w:rPr>
          <w:rStyle w:val="FootnoteTextChar2"/>
          <w:color w:val="000000"/>
        </w:rPr>
        <w:t xml:space="preserve"> </w:t>
      </w:r>
      <w:r w:rsidRPr="000D57A2">
        <w:t>Identifying emissions due</w:t>
      </w:r>
      <w:r w:rsidR="002E15D1">
        <w:t xml:space="preserve"> </w:t>
      </w:r>
      <w:r w:rsidRPr="00755CF5">
        <w:t>first addressed in some depth in the 2006 IPCC Reporting Guidelines.</w:t>
      </w:r>
    </w:p>
  </w:footnote>
  <w:footnote w:id="43">
    <w:p w14:paraId="69274D79" w14:textId="65FF3E8B" w:rsidR="001C6D05" w:rsidRPr="00755CF5" w:rsidRDefault="001C6D05" w:rsidP="001F7D84">
      <w:pPr>
        <w:pStyle w:val="FootnoteText"/>
        <w:rPr>
          <w:lang w:val="en-US"/>
        </w:rPr>
      </w:pPr>
      <w:r w:rsidRPr="00755CF5">
        <w:rPr>
          <w:rStyle w:val="FootnoteReference"/>
        </w:rPr>
        <w:footnoteRef/>
      </w:r>
      <w:r w:rsidRPr="00755CF5">
        <w:rPr>
          <w:rStyle w:val="FootnoteReference"/>
          <w:vertAlign w:val="baseline"/>
        </w:rPr>
        <w:t xml:space="preserve"> </w:t>
      </w:r>
      <w:r w:rsidR="00234E11" w:rsidRPr="00755CF5">
        <w:t>The sales analysis provided within the AFEAS dataset was split between the main applications (e.g.</w:t>
      </w:r>
      <w:r w:rsidR="00DE6A70">
        <w:t>,</w:t>
      </w:r>
      <w:r w:rsidR="00234E11" w:rsidRPr="00755CF5">
        <w:t xml:space="preserve"> foam and refrigeration), but the further disaggregation was at a fairly high level (e.g.</w:t>
      </w:r>
      <w:r w:rsidR="00DE6A70">
        <w:t>,</w:t>
      </w:r>
      <w:r w:rsidR="00234E11" w:rsidRPr="00755CF5">
        <w:t xml:space="preserve"> open-celled vs closed-cell foams). This made it difficult to fully assess emission functions for the wide range of product types manufactured and used. This was addressed subsequently by additional historical analysis coupled with the development of the 2005 Special Report on Ozone </w:t>
      </w:r>
      <w:r w:rsidR="0030635C">
        <w:t>and</w:t>
      </w:r>
      <w:r w:rsidR="00234E11" w:rsidRPr="00755CF5">
        <w:t xml:space="preserve"> Climate (SROC)</w:t>
      </w:r>
      <w:r w:rsidR="00F27A35" w:rsidRPr="00755CF5">
        <w:t xml:space="preserve"> </w:t>
      </w:r>
      <w:r w:rsidR="006416A7" w:rsidRPr="00755CF5">
        <w:t>to examine ma</w:t>
      </w:r>
      <w:r w:rsidR="00AF55A1" w:rsidRPr="00755CF5">
        <w:t>ximum emissions rates</w:t>
      </w:r>
      <w:r w:rsidR="0069649B" w:rsidRPr="00755CF5">
        <w:t xml:space="preserve"> and their impact to stratospheric ozone. </w:t>
      </w:r>
      <w:r w:rsidR="00F536EB" w:rsidRPr="00755CF5">
        <w:t>Different assumptions were used in the 2019 and the 2021</w:t>
      </w:r>
      <w:r w:rsidR="00485748" w:rsidRPr="00755CF5">
        <w:t xml:space="preserve"> TEAP Task </w:t>
      </w:r>
      <w:r w:rsidR="00485748" w:rsidRPr="001640EC">
        <w:t>Force Reports</w:t>
      </w:r>
      <w:r w:rsidR="007D1AD8">
        <w:t>.</w:t>
      </w:r>
      <w:r w:rsidR="00485748" w:rsidRPr="001640EC">
        <w:t xml:space="preserve"> </w:t>
      </w:r>
    </w:p>
  </w:footnote>
  <w:footnote w:id="44">
    <w:p w14:paraId="1BC6192A" w14:textId="77777777" w:rsidR="006F2CE0" w:rsidRPr="000A2088" w:rsidRDefault="006F2CE0" w:rsidP="006F2CE0">
      <w:pPr>
        <w:spacing w:after="120"/>
        <w:rPr>
          <w:rStyle w:val="FootnoteTextChar2"/>
        </w:rPr>
      </w:pPr>
      <w:r w:rsidRPr="000A2088">
        <w:rPr>
          <w:rStyle w:val="FootnoteReference"/>
        </w:rPr>
        <w:footnoteRef/>
      </w:r>
      <w:r w:rsidRPr="000A2088">
        <w:rPr>
          <w:rStyle w:val="FootnoteReference"/>
        </w:rPr>
        <w:t xml:space="preserve"> </w:t>
      </w:r>
      <w:r w:rsidRPr="000A2088">
        <w:rPr>
          <w:rStyle w:val="FootnoteTextChar2"/>
        </w:rPr>
        <w:t>McCulloch, A., Ashford, P., &amp; Midgley, P.</w:t>
      </w:r>
      <w:r>
        <w:rPr>
          <w:rStyle w:val="FootnoteTextChar2"/>
        </w:rPr>
        <w:t>,</w:t>
      </w:r>
      <w:r w:rsidRPr="000A2088">
        <w:rPr>
          <w:rStyle w:val="FootnoteTextChar2"/>
        </w:rPr>
        <w:t xml:space="preserve"> Historic emissions of </w:t>
      </w:r>
      <w:proofErr w:type="spellStart"/>
      <w:r w:rsidRPr="000A2088">
        <w:rPr>
          <w:rStyle w:val="FootnoteTextChar2"/>
        </w:rPr>
        <w:t>fluorotrichloromethane</w:t>
      </w:r>
      <w:proofErr w:type="spellEnd"/>
      <w:r w:rsidRPr="000A2088">
        <w:rPr>
          <w:rStyle w:val="FootnoteTextChar2"/>
        </w:rPr>
        <w:t xml:space="preserve"> (CFC-11) based on a market survey</w:t>
      </w:r>
      <w:r>
        <w:rPr>
          <w:rStyle w:val="FootnoteTextChar2"/>
        </w:rPr>
        <w:t>,</w:t>
      </w:r>
      <w:r w:rsidRPr="000A2088">
        <w:rPr>
          <w:rStyle w:val="FootnoteTextChar2"/>
        </w:rPr>
        <w:t xml:space="preserve"> </w:t>
      </w:r>
      <w:r w:rsidRPr="00660A90">
        <w:rPr>
          <w:rStyle w:val="FootnoteTextChar2"/>
          <w:i/>
          <w:iCs/>
        </w:rPr>
        <w:t>Atmospheric Environment</w:t>
      </w:r>
      <w:r w:rsidRPr="000A2088">
        <w:rPr>
          <w:rStyle w:val="FootnoteTextChar2"/>
        </w:rPr>
        <w:t xml:space="preserve">, </w:t>
      </w:r>
      <w:r>
        <w:rPr>
          <w:rStyle w:val="FootnoteTextChar2"/>
        </w:rPr>
        <w:t xml:space="preserve">2001, </w:t>
      </w:r>
      <w:r w:rsidRPr="00C6106C">
        <w:rPr>
          <w:rStyle w:val="FootnoteTextChar2"/>
          <w:b/>
          <w:bCs/>
        </w:rPr>
        <w:t>35</w:t>
      </w:r>
      <w:r>
        <w:rPr>
          <w:rStyle w:val="FootnoteTextChar2"/>
        </w:rPr>
        <w:t xml:space="preserve">(26), </w:t>
      </w:r>
      <w:r w:rsidRPr="000A2088">
        <w:rPr>
          <w:rStyle w:val="FootnoteTextChar2"/>
        </w:rPr>
        <w:t>4387–4397.</w:t>
      </w:r>
    </w:p>
  </w:footnote>
  <w:footnote w:id="45">
    <w:p w14:paraId="0996ED3E" w14:textId="77777777" w:rsidR="006F2CE0" w:rsidRPr="00660A90" w:rsidRDefault="006F2CE0" w:rsidP="006F2CE0">
      <w:pPr>
        <w:spacing w:after="120"/>
        <w:rPr>
          <w:rStyle w:val="FootnoteTextChar2"/>
        </w:rPr>
      </w:pPr>
      <w:r w:rsidRPr="000A2088">
        <w:rPr>
          <w:rStyle w:val="FootnoteReference"/>
        </w:rPr>
        <w:footnoteRef/>
      </w:r>
      <w:r w:rsidRPr="7CE45782">
        <w:rPr>
          <w:sz w:val="20"/>
        </w:rPr>
        <w:t xml:space="preserve"> </w:t>
      </w:r>
      <w:r w:rsidRPr="00660A90">
        <w:rPr>
          <w:rStyle w:val="FootnoteTextChar2"/>
        </w:rPr>
        <w:t>Section 2.3</w:t>
      </w:r>
      <w:r>
        <w:rPr>
          <w:rStyle w:val="FootnoteTextChar2"/>
        </w:rPr>
        <w:t xml:space="preserve">, </w:t>
      </w:r>
      <w:r w:rsidRPr="00660A90">
        <w:rPr>
          <w:rStyle w:val="FootnoteTextChar2"/>
        </w:rPr>
        <w:t xml:space="preserve">Report of the Technology and Economic Assessment Panel, September 2019, Volume 1: Decision XXX/3 TEAP Task Force Report on Unexpected Emissions of CFC-11, Final Report, September 2019. </w:t>
      </w:r>
      <w:hyperlink r:id="rId11" w:history="1">
        <w:r w:rsidRPr="00626EB0">
          <w:rPr>
            <w:rStyle w:val="Hyperlink"/>
            <w:sz w:val="18"/>
            <w:szCs w:val="18"/>
          </w:rPr>
          <w:t>https://ozone.unep.org/system/files/documents/TEAP-TF-DecXXX-3-unexpected_CFC11_emissions-september2019.pdf</w:t>
        </w:r>
      </w:hyperlink>
      <w:r>
        <w:rPr>
          <w:rStyle w:val="Hyperlink"/>
          <w:sz w:val="18"/>
          <w:szCs w:val="18"/>
        </w:rPr>
        <w:t>.</w:t>
      </w:r>
      <w:r>
        <w:rPr>
          <w:rStyle w:val="FootnoteTextChar2"/>
          <w:rFonts w:eastAsia="Verdana"/>
        </w:rPr>
        <w:t xml:space="preserve"> </w:t>
      </w:r>
    </w:p>
  </w:footnote>
  <w:footnote w:id="46">
    <w:p w14:paraId="6FE645F9" w14:textId="089CE3A9" w:rsidR="00047528" w:rsidRPr="00A3719C" w:rsidRDefault="00047528" w:rsidP="00BA51F6">
      <w:pPr>
        <w:pStyle w:val="FootnoteText"/>
        <w:rPr>
          <w:lang w:val="en-US"/>
        </w:rPr>
      </w:pPr>
      <w:r>
        <w:rPr>
          <w:rStyle w:val="FootnoteReference"/>
        </w:rPr>
        <w:footnoteRef/>
      </w:r>
      <w:r>
        <w:t xml:space="preserve"> </w:t>
      </w:r>
      <w:r w:rsidRPr="00A3719C">
        <w:t>The Weibull distribution is widely used in reliability and life data analysis due to its versatility. Depending on the values of the parameters, the Weibull distribution can be used to model a variety of life behavio</w:t>
      </w:r>
      <w:r w:rsidR="00530430">
        <w:t>u</w:t>
      </w:r>
      <w:r w:rsidRPr="00A3719C">
        <w:t>rs.</w:t>
      </w:r>
      <w:r w:rsidR="00530430">
        <w:t xml:space="preserve"> </w:t>
      </w:r>
      <w:r w:rsidRPr="00A3719C">
        <w:t>http://reliawiki.org/index.php/The_Weibull_Distribution</w:t>
      </w:r>
      <w:r w:rsidR="00247167">
        <w:t>.</w:t>
      </w:r>
      <w:r w:rsidRPr="00530430">
        <w:t xml:space="preserve"> </w:t>
      </w:r>
    </w:p>
  </w:footnote>
  <w:footnote w:id="47">
    <w:p w14:paraId="7A5FE8CE" w14:textId="05D689A3" w:rsidR="00C57B81" w:rsidRPr="00A3719C" w:rsidRDefault="00C57B81" w:rsidP="00BA51F6">
      <w:pPr>
        <w:pStyle w:val="FootnoteText"/>
        <w:rPr>
          <w:lang w:val="en-AU"/>
        </w:rPr>
      </w:pPr>
      <w:r>
        <w:rPr>
          <w:rStyle w:val="FootnoteReference"/>
        </w:rPr>
        <w:footnoteRef/>
      </w:r>
      <w:r>
        <w:t xml:space="preserve"> </w:t>
      </w:r>
      <w:r>
        <w:rPr>
          <w:lang w:val="en-AU"/>
        </w:rPr>
        <w:t xml:space="preserve">Report of the Technology and Economic Assessment Panel, September 2019, Volume 1: </w:t>
      </w:r>
      <w:r w:rsidRPr="005A6901">
        <w:rPr>
          <w:lang w:val="en-AU"/>
        </w:rPr>
        <w:t>Decision XXX/3 TEAP Task Force Report on Unexpected Emissions of CFC-11</w:t>
      </w:r>
      <w:r>
        <w:rPr>
          <w:lang w:val="en-AU"/>
        </w:rPr>
        <w:t xml:space="preserve">, Final Report, September 2019. </w:t>
      </w:r>
      <w:hyperlink r:id="rId12" w:history="1">
        <w:r w:rsidRPr="00626EB0">
          <w:rPr>
            <w:rStyle w:val="Hyperlink"/>
            <w:lang w:val="en-AU"/>
          </w:rPr>
          <w:t>https://ozone.unep.org/system/files/documents/TEAP-TF-DecXXX-3-unexpected_CFC11_emissions-september2019.pdf</w:t>
        </w:r>
      </w:hyperlink>
      <w:r w:rsidR="00247167">
        <w:rPr>
          <w:rStyle w:val="Hyperlink"/>
          <w:lang w:val="en-AU"/>
        </w:rPr>
        <w:t>.</w:t>
      </w:r>
    </w:p>
  </w:footnote>
  <w:footnote w:id="48">
    <w:p w14:paraId="45E643AC" w14:textId="5CD1E8E7" w:rsidR="00D24B2C" w:rsidRPr="00043208" w:rsidRDefault="00D24B2C" w:rsidP="00BC034E">
      <w:pPr>
        <w:pStyle w:val="FootnoteText"/>
        <w:rPr>
          <w:lang w:val="en-US"/>
        </w:rPr>
      </w:pPr>
      <w:r>
        <w:rPr>
          <w:rStyle w:val="FootnoteReference"/>
        </w:rPr>
        <w:footnoteRef/>
      </w:r>
      <w:r>
        <w:t xml:space="preserve"> </w:t>
      </w:r>
      <w:r w:rsidR="00CB4856">
        <w:rPr>
          <w:lang w:val="en-US"/>
        </w:rPr>
        <w:t>Other chillers used CFC-12 and CFC-114</w:t>
      </w:r>
      <w:r w:rsidR="00D36399">
        <w:rPr>
          <w:lang w:val="en-US"/>
        </w:rPr>
        <w:t>.</w:t>
      </w:r>
    </w:p>
  </w:footnote>
  <w:footnote w:id="49">
    <w:p w14:paraId="4C020332" w14:textId="7A8FA87C" w:rsidR="00D4428E" w:rsidRPr="00132BBC" w:rsidRDefault="00D4428E">
      <w:pPr>
        <w:pStyle w:val="FootnoteText"/>
        <w:rPr>
          <w:lang w:val="en-AU"/>
        </w:rPr>
      </w:pPr>
      <w:r>
        <w:rPr>
          <w:rStyle w:val="FootnoteReference"/>
        </w:rPr>
        <w:footnoteRef/>
      </w:r>
      <w:r>
        <w:t xml:space="preserve"> </w:t>
      </w:r>
      <w:r w:rsidR="00B82176">
        <w:rPr>
          <w:lang w:val="en-AU"/>
        </w:rPr>
        <w:t>There are also emissions from maintaining systems</w:t>
      </w:r>
      <w:r w:rsidR="00BA51F6">
        <w:rPr>
          <w:lang w:val="en-AU"/>
        </w:rPr>
        <w:t xml:space="preserve"> and </w:t>
      </w:r>
      <w:r w:rsidR="00131DD4">
        <w:rPr>
          <w:lang w:val="en-AU"/>
        </w:rPr>
        <w:t>system failures</w:t>
      </w:r>
      <w:r w:rsidR="00B82176">
        <w:rPr>
          <w:lang w:val="en-AU"/>
        </w:rPr>
        <w:t xml:space="preserve">. </w:t>
      </w:r>
      <w:r w:rsidR="00EC073E">
        <w:rPr>
          <w:lang w:val="en-AU"/>
        </w:rPr>
        <w:t xml:space="preserve">System failures can result in </w:t>
      </w:r>
      <w:r w:rsidR="00873A89">
        <w:rPr>
          <w:lang w:val="en-AU"/>
        </w:rPr>
        <w:t xml:space="preserve">equipment needing additional </w:t>
      </w:r>
      <w:r w:rsidR="00C2756E">
        <w:rPr>
          <w:lang w:val="en-AU"/>
        </w:rPr>
        <w:t xml:space="preserve">maintenance and </w:t>
      </w:r>
      <w:r w:rsidR="00873A89">
        <w:rPr>
          <w:lang w:val="en-AU"/>
        </w:rPr>
        <w:t>refrigerant charge.</w:t>
      </w:r>
    </w:p>
  </w:footnote>
  <w:footnote w:id="50">
    <w:p w14:paraId="50F997FB" w14:textId="20E8D21E" w:rsidR="00156302" w:rsidRPr="00043208" w:rsidRDefault="00156302" w:rsidP="00D4428E">
      <w:pPr>
        <w:pStyle w:val="FootnoteText"/>
        <w:rPr>
          <w:lang w:val="en-US"/>
        </w:rPr>
      </w:pPr>
      <w:r>
        <w:rPr>
          <w:rStyle w:val="FootnoteReference"/>
        </w:rPr>
        <w:footnoteRef/>
      </w:r>
      <w:r>
        <w:t xml:space="preserve"> </w:t>
      </w:r>
      <w:r>
        <w:rPr>
          <w:lang w:val="en-AU"/>
        </w:rPr>
        <w:t>A</w:t>
      </w:r>
      <w:r w:rsidRPr="474DAC91">
        <w:rPr>
          <w:lang w:val="en-AU"/>
        </w:rPr>
        <w:t xml:space="preserve">ccording to </w:t>
      </w:r>
      <w:r w:rsidR="00B849FB">
        <w:rPr>
          <w:lang w:val="en-AU"/>
        </w:rPr>
        <w:t>industry estimates,</w:t>
      </w:r>
      <w:r w:rsidRPr="474DAC91">
        <w:rPr>
          <w:lang w:val="en-AU"/>
        </w:rPr>
        <w:t xml:space="preserve"> the vast majority (85%) of CFC-11 chillers were manufactured and installed in North America.</w:t>
      </w:r>
    </w:p>
  </w:footnote>
  <w:footnote w:id="51">
    <w:p w14:paraId="7D1894B3" w14:textId="77777777" w:rsidR="001B43E5" w:rsidRPr="00387D73" w:rsidRDefault="001B43E5" w:rsidP="00D4428E">
      <w:pPr>
        <w:pStyle w:val="FootnoteText"/>
        <w:rPr>
          <w:lang w:val="en-US"/>
        </w:rPr>
      </w:pPr>
      <w:r>
        <w:rPr>
          <w:rStyle w:val="FootnoteReference"/>
        </w:rPr>
        <w:footnoteRef/>
      </w:r>
      <w:r>
        <w:t xml:space="preserve"> </w:t>
      </w:r>
      <w:r>
        <w:rPr>
          <w:lang w:val="en-AU"/>
        </w:rPr>
        <w:t xml:space="preserve">In the late 1990s it was estimated that there were about 80,000 CFC-11 chillers in North America and about 18,000 in other parts of the world. </w:t>
      </w:r>
      <w:r w:rsidRPr="2270424A">
        <w:rPr>
          <w:lang w:val="en-AU"/>
        </w:rPr>
        <w:t xml:space="preserve">These large capacity chillers, with </w:t>
      </w:r>
      <w:r>
        <w:rPr>
          <w:lang w:val="en-AU"/>
        </w:rPr>
        <w:t xml:space="preserve">1500-3500 kW </w:t>
      </w:r>
      <w:r w:rsidRPr="2270424A">
        <w:rPr>
          <w:lang w:val="en-AU"/>
        </w:rPr>
        <w:t xml:space="preserve">of cooling capacity, are used to cool large buildings such as offices, commercial spaces and multi-family residences. The average refrigerant </w:t>
      </w:r>
      <w:r w:rsidRPr="001640EC">
        <w:rPr>
          <w:lang w:val="en-US"/>
        </w:rPr>
        <w:t xml:space="preserve">charge of such systems is 0.35 kg/kW capacity. </w:t>
      </w:r>
    </w:p>
  </w:footnote>
  <w:footnote w:id="52">
    <w:p w14:paraId="72983E09" w14:textId="688C2E3C" w:rsidR="00703FB1" w:rsidRPr="001640EC" w:rsidRDefault="00703FB1" w:rsidP="00BA51F6">
      <w:pPr>
        <w:pStyle w:val="FootnoteText"/>
        <w:rPr>
          <w:lang w:val="en-US"/>
        </w:rPr>
      </w:pPr>
      <w:r w:rsidRPr="000C1924">
        <w:rPr>
          <w:rStyle w:val="FootnoteReference"/>
        </w:rPr>
        <w:footnoteRef/>
      </w:r>
      <w:r w:rsidRPr="001640EC">
        <w:rPr>
          <w:lang w:val="en-US"/>
        </w:rPr>
        <w:t xml:space="preserve"> </w:t>
      </w:r>
      <w:r w:rsidR="002D01BA">
        <w:rPr>
          <w:lang w:val="en-US"/>
        </w:rPr>
        <w:t xml:space="preserve">Although there </w:t>
      </w:r>
      <w:r w:rsidRPr="001640EC">
        <w:rPr>
          <w:lang w:val="en-US"/>
        </w:rPr>
        <w:t xml:space="preserve">were CFC-12 </w:t>
      </w:r>
      <w:r w:rsidR="002D01BA" w:rsidRPr="002D01BA">
        <w:rPr>
          <w:lang w:val="en-US"/>
        </w:rPr>
        <w:t>centrifugal</w:t>
      </w:r>
      <w:r w:rsidR="002D01BA">
        <w:rPr>
          <w:lang w:val="en-US"/>
        </w:rPr>
        <w:t xml:space="preserve"> chillers</w:t>
      </w:r>
      <w:r w:rsidRPr="001640EC">
        <w:rPr>
          <w:lang w:val="en-US"/>
        </w:rPr>
        <w:t xml:space="preserve">, </w:t>
      </w:r>
      <w:r w:rsidR="002D01BA">
        <w:rPr>
          <w:lang w:val="en-US"/>
        </w:rPr>
        <w:t xml:space="preserve">less </w:t>
      </w:r>
      <w:r w:rsidRPr="001640EC">
        <w:rPr>
          <w:lang w:val="en-US"/>
        </w:rPr>
        <w:t xml:space="preserve">air conditioning </w:t>
      </w:r>
      <w:r w:rsidR="002D01BA">
        <w:rPr>
          <w:lang w:val="en-US"/>
        </w:rPr>
        <w:t>was installed from</w:t>
      </w:r>
      <w:r w:rsidRPr="001640EC">
        <w:rPr>
          <w:lang w:val="en-US"/>
        </w:rPr>
        <w:t xml:space="preserve"> 1970-1990</w:t>
      </w:r>
      <w:r>
        <w:t xml:space="preserve"> in Europe</w:t>
      </w:r>
      <w:r w:rsidR="000C1924">
        <w:t>.</w:t>
      </w:r>
    </w:p>
  </w:footnote>
  <w:footnote w:id="53">
    <w:p w14:paraId="516D002B" w14:textId="64D69C8B" w:rsidR="003E24C9" w:rsidRPr="00043208" w:rsidRDefault="003E24C9" w:rsidP="00BA51F6">
      <w:pPr>
        <w:pStyle w:val="FootnoteText"/>
        <w:rPr>
          <w:lang w:val="en-US"/>
        </w:rPr>
      </w:pPr>
      <w:r>
        <w:rPr>
          <w:rStyle w:val="FootnoteReference"/>
        </w:rPr>
        <w:footnoteRef/>
      </w:r>
      <w:r>
        <w:t xml:space="preserve"> Large countries in Latin America such as Brazil had a significant inventory of CFC-11 centrifugal chillers (MLF/GEF approved project on Chillers</w:t>
      </w:r>
      <w:r w:rsidR="00956A52">
        <w:t>’</w:t>
      </w:r>
      <w:r>
        <w:t xml:space="preserve"> replacement in Brazil in the years 2000 to 2008 mentions about 1,000 CFC-11 chillers to be replaced in Brazil. At that time there were also HCFC-123 chillers which were not part of the project. CFC-11 chillers were sold by different companies and when replaced not all went to HCFC-123</w:t>
      </w:r>
      <w:r w:rsidR="00D03677">
        <w:t>. O</w:t>
      </w:r>
      <w:r>
        <w:t xml:space="preserve">ther technologies </w:t>
      </w:r>
      <w:r w:rsidR="00D03677">
        <w:t xml:space="preserve">were commercialized </w:t>
      </w:r>
      <w:r>
        <w:t xml:space="preserve">mostly 134a or replaced with several smaller units with </w:t>
      </w:r>
      <w:r w:rsidR="00F31474">
        <w:t>HCFC</w:t>
      </w:r>
      <w:r>
        <w:t>-22.</w:t>
      </w:r>
    </w:p>
  </w:footnote>
  <w:footnote w:id="54">
    <w:p w14:paraId="4DBCB5BA" w14:textId="18407E27" w:rsidR="00DA58CF" w:rsidRPr="00043208" w:rsidRDefault="00DA58CF" w:rsidP="00BA51F6">
      <w:pPr>
        <w:pStyle w:val="FootnoteText"/>
        <w:rPr>
          <w:lang w:val="en-US"/>
        </w:rPr>
      </w:pPr>
      <w:r>
        <w:rPr>
          <w:rStyle w:val="FootnoteReference"/>
        </w:rPr>
        <w:footnoteRef/>
      </w:r>
      <w:r>
        <w:t xml:space="preserve"> </w:t>
      </w:r>
      <w:r w:rsidR="00A672DE">
        <w:rPr>
          <w:lang w:val="en-AU"/>
        </w:rPr>
        <w:t xml:space="preserve">According to </w:t>
      </w:r>
      <w:r>
        <w:rPr>
          <w:lang w:val="en-AU"/>
        </w:rPr>
        <w:t>industry experts and based on data from North America</w:t>
      </w:r>
      <w:r w:rsidR="00F31474">
        <w:rPr>
          <w:lang w:val="en-AU"/>
        </w:rPr>
        <w:t>.</w:t>
      </w:r>
    </w:p>
  </w:footnote>
  <w:footnote w:id="55">
    <w:p w14:paraId="409AC98E" w14:textId="77777777" w:rsidR="008A1EBE" w:rsidRPr="00C6106C" w:rsidRDefault="008A1EBE" w:rsidP="008A1EBE">
      <w:pPr>
        <w:spacing w:after="120"/>
        <w:rPr>
          <w:sz w:val="18"/>
          <w:szCs w:val="18"/>
        </w:rPr>
      </w:pPr>
      <w:r w:rsidRPr="00C6106C">
        <w:rPr>
          <w:rStyle w:val="FootnoteReference"/>
          <w:rFonts w:eastAsia="Times New Roman Bold"/>
        </w:rPr>
        <w:footnoteRef/>
      </w:r>
      <w:r w:rsidRPr="4B091020">
        <w:rPr>
          <w:rFonts w:ascii="Times New Roman Bold" w:eastAsia="Times New Roman Bold" w:hAnsi="Times New Roman Bold" w:cs="Times New Roman Bold"/>
          <w:sz w:val="20"/>
        </w:rPr>
        <w:t xml:space="preserve"> </w:t>
      </w:r>
      <w:r w:rsidRPr="00C6106C">
        <w:rPr>
          <w:rStyle w:val="FootnoteTextChar2"/>
          <w:rFonts w:eastAsia="Times New Roman Bold"/>
        </w:rPr>
        <w:t xml:space="preserve">Section 4.3.1, </w:t>
      </w:r>
      <w:r w:rsidRPr="00C6106C">
        <w:rPr>
          <w:rStyle w:val="FootnoteTextChar2"/>
        </w:rPr>
        <w:t xml:space="preserve">Report of the Technology and Economic Assessment Panel, September 2019, Volume 1: Decision XXX/3 TEAP Task Force Report on Unexpected Emissions of CFC-11, Final Report, September 2019. </w:t>
      </w:r>
      <w:hyperlink r:id="rId13" w:history="1">
        <w:r w:rsidRPr="001B193A">
          <w:rPr>
            <w:rStyle w:val="Hyperlink"/>
            <w:sz w:val="18"/>
            <w:szCs w:val="18"/>
          </w:rPr>
          <w:t>https://ozone.unep.org/system/files/documents/TEAP-TF-DecXXX-3-unexpected_CFC11_emissions-september2019.pdf</w:t>
        </w:r>
      </w:hyperlink>
      <w:r>
        <w:rPr>
          <w:rStyle w:val="Hyperlink"/>
          <w:sz w:val="18"/>
          <w:szCs w:val="18"/>
        </w:rPr>
        <w:t>.</w:t>
      </w:r>
      <w:r>
        <w:rPr>
          <w:rStyle w:val="FootnoteTextChar2"/>
        </w:rPr>
        <w:t xml:space="preserve"> Notes that it is unlikely that CFC-11 containing chillers were installed after 2010.</w:t>
      </w:r>
    </w:p>
  </w:footnote>
  <w:footnote w:id="56">
    <w:p w14:paraId="1D5E4293" w14:textId="447921A1" w:rsidR="001165B8" w:rsidRPr="001165B8" w:rsidRDefault="001165B8" w:rsidP="00474791">
      <w:pPr>
        <w:pStyle w:val="FootnoteText"/>
        <w:rPr>
          <w:lang w:val="en-US"/>
        </w:rPr>
      </w:pPr>
      <w:r>
        <w:rPr>
          <w:rStyle w:val="FootnoteReference"/>
        </w:rPr>
        <w:footnoteRef/>
      </w:r>
      <w:r>
        <w:t xml:space="preserve"> </w:t>
      </w:r>
      <w:r>
        <w:rPr>
          <w:lang w:val="en-US"/>
        </w:rPr>
        <w:t xml:space="preserve">Details around the Weibull </w:t>
      </w:r>
      <w:r w:rsidR="00037884">
        <w:rPr>
          <w:lang w:val="en-US"/>
        </w:rPr>
        <w:t xml:space="preserve">function use in the model are included in the Appendix </w:t>
      </w:r>
      <w:r w:rsidR="00D4462B">
        <w:rPr>
          <w:lang w:val="en-US"/>
        </w:rPr>
        <w:t>3</w:t>
      </w:r>
      <w:r w:rsidR="00B10D94">
        <w:rPr>
          <w:lang w:val="en-US"/>
        </w:rPr>
        <w:t>.</w:t>
      </w:r>
      <w:r w:rsidR="00B0694C">
        <w:rPr>
          <w:lang w:val="en-US"/>
        </w:rPr>
        <w:t xml:space="preserve"> </w:t>
      </w:r>
    </w:p>
  </w:footnote>
  <w:footnote w:id="57">
    <w:p w14:paraId="6105E552" w14:textId="77777777" w:rsidR="006F2CE0" w:rsidRPr="00C6106C" w:rsidRDefault="006F2CE0" w:rsidP="006F2CE0">
      <w:pPr>
        <w:spacing w:after="120"/>
        <w:rPr>
          <w:sz w:val="18"/>
          <w:szCs w:val="18"/>
        </w:rPr>
      </w:pPr>
      <w:r w:rsidRPr="00C6106C">
        <w:rPr>
          <w:rStyle w:val="FootnoteReference"/>
        </w:rPr>
        <w:footnoteRef/>
      </w:r>
      <w:r w:rsidRPr="00C6106C">
        <w:rPr>
          <w:rStyle w:val="FootnoteReference"/>
        </w:rPr>
        <w:t xml:space="preserve"> </w:t>
      </w:r>
      <w:r w:rsidRPr="00C6106C">
        <w:rPr>
          <w:rStyle w:val="FootnoteTextChar2"/>
        </w:rPr>
        <w:t xml:space="preserve">Section 3.1, Report of the Technology and Economic Assessment Panel, September 2019, Volume 1: Decision XXX/3 TEAP Task Force Report on Unexpected Emissions of CFC-11, Final Report, September 2019. </w:t>
      </w:r>
      <w:hyperlink r:id="rId14" w:history="1">
        <w:r w:rsidRPr="00C6106C">
          <w:rPr>
            <w:rStyle w:val="FootnoteTextChar2"/>
          </w:rPr>
          <w:t>https://ozone.unep.org/system/files/documents/TEAP-TF-DecXXX-3-unexpected_CFC11_emissions-september2019.pdf</w:t>
        </w:r>
      </w:hyperlink>
      <w:r>
        <w:rPr>
          <w:rStyle w:val="FootnoteTextChar2"/>
        </w:rPr>
        <w:t>.</w:t>
      </w:r>
    </w:p>
  </w:footnote>
  <w:footnote w:id="58">
    <w:p w14:paraId="6A717094" w14:textId="77777777" w:rsidR="00067CE9" w:rsidRPr="00B96F11" w:rsidRDefault="00067CE9" w:rsidP="00067CE9">
      <w:pPr>
        <w:pStyle w:val="FootnoteText"/>
      </w:pPr>
      <w:r>
        <w:rPr>
          <w:rStyle w:val="FootnoteReference"/>
        </w:rPr>
        <w:footnoteRef/>
      </w:r>
      <w:r>
        <w:t xml:space="preserve"> ICF International 2010, Assessment of Refrigerator/Freezer Foam End-of-Life Management Options, </w:t>
      </w:r>
      <w:proofErr w:type="spellStart"/>
      <w:r>
        <w:t>Scheutz</w:t>
      </w:r>
      <w:proofErr w:type="spellEnd"/>
      <w:r>
        <w:t xml:space="preserve"> </w:t>
      </w:r>
      <w:r w:rsidRPr="00EC4CC3">
        <w:rPr>
          <w:i/>
          <w:iCs/>
        </w:rPr>
        <w:t>et al.</w:t>
      </w:r>
      <w:r>
        <w:t xml:space="preserve"> (2007b) have shown that under laboratory-simulated, ideal landfill conditions (i.e., uniform mixing of moderately sized chunks of foam with anaerobic sludge and no compaction), there is the potential for bioremediation of up to 94% of the blowing agent (i.e., CFC-11) that reaches a landfill; this translates to 0-54% bioremediation of the blowing agent available at EOL, depending on the type of blowing agent. There were no non-ideal simulations or field-testing associated with the report, and the Task Force could not find evidence of additional studies. </w:t>
      </w:r>
    </w:p>
  </w:footnote>
  <w:footnote w:id="59">
    <w:p w14:paraId="4AFF126A" w14:textId="7E9371D3" w:rsidR="398767E3" w:rsidRPr="00691A6E" w:rsidRDefault="398767E3" w:rsidP="001F7D84">
      <w:pPr>
        <w:pStyle w:val="FootnoteText"/>
      </w:pPr>
      <w:r w:rsidRPr="00824776">
        <w:rPr>
          <w:rStyle w:val="FootnoteReference"/>
        </w:rPr>
        <w:footnoteRef/>
      </w:r>
      <w:r>
        <w:t xml:space="preserve"> </w:t>
      </w:r>
      <w:r w:rsidRPr="398767E3">
        <w:t>Engel, A. and Rigby, M.: Chapter 1: Update on Ozone Depleting Substances (ODSs) and Other Gases of Interest to the Montreal Protocol, in: Scientific Assessment of Ozone Depletion: 2018, vol. 58, World Meteorological Organization, Geneva, Switzerland, 2019.</w:t>
      </w:r>
    </w:p>
  </w:footnote>
  <w:footnote w:id="60">
    <w:p w14:paraId="58547983" w14:textId="7982B9CA" w:rsidR="00AB5DE4" w:rsidRPr="00043208" w:rsidRDefault="00AB5DE4" w:rsidP="00132BBC">
      <w:pPr>
        <w:spacing w:after="120"/>
        <w:rPr>
          <w:lang w:val="en-US"/>
        </w:rPr>
      </w:pPr>
      <w:r w:rsidRPr="0021259D">
        <w:rPr>
          <w:rStyle w:val="FootnoteReference"/>
        </w:rPr>
        <w:footnoteRef/>
      </w:r>
      <w:r w:rsidRPr="00043208">
        <w:rPr>
          <w:rStyle w:val="FootnoteReference"/>
        </w:rPr>
        <w:t xml:space="preserve"> </w:t>
      </w:r>
      <w:r w:rsidR="009F2DF7" w:rsidRPr="00043208">
        <w:rPr>
          <w:rStyle w:val="FootnoteTextChar2"/>
        </w:rPr>
        <w:t xml:space="preserve">Including time-dependent atmospheric lifetimes based on model calculations or the NOAA data would change the derived emissions and broaden their uncertainties, as discussed in </w:t>
      </w:r>
      <w:proofErr w:type="spellStart"/>
      <w:r w:rsidR="009F2DF7" w:rsidRPr="00043208">
        <w:rPr>
          <w:rStyle w:val="FootnoteTextChar2"/>
        </w:rPr>
        <w:t>Lickley</w:t>
      </w:r>
      <w:proofErr w:type="spellEnd"/>
      <w:r w:rsidR="009F2DF7" w:rsidRPr="00043208">
        <w:rPr>
          <w:rStyle w:val="FootnoteTextChar2"/>
        </w:rPr>
        <w:t xml:space="preserve"> </w:t>
      </w:r>
      <w:r w:rsidR="009F2DF7" w:rsidRPr="00043208">
        <w:rPr>
          <w:rStyle w:val="FootnoteTextChar2"/>
          <w:i/>
          <w:iCs/>
        </w:rPr>
        <w:t>et al</w:t>
      </w:r>
      <w:r w:rsidR="009F2DF7" w:rsidRPr="00043208">
        <w:rPr>
          <w:rStyle w:val="FootnoteTextChar2"/>
        </w:rPr>
        <w:t>. (2020, 2021).</w:t>
      </w:r>
    </w:p>
  </w:footnote>
  <w:footnote w:id="61">
    <w:p w14:paraId="11B86A3B" w14:textId="5F23E5A1" w:rsidR="00A3413A" w:rsidRPr="001640EC" w:rsidRDefault="00A3413A" w:rsidP="00E642F8">
      <w:pPr>
        <w:pStyle w:val="FootnoteText"/>
        <w:rPr>
          <w:lang w:val="en-US"/>
        </w:rPr>
      </w:pPr>
      <w:r>
        <w:rPr>
          <w:rStyle w:val="FootnoteReference"/>
        </w:rPr>
        <w:footnoteRef/>
      </w:r>
      <w:r>
        <w:t xml:space="preserve"> </w:t>
      </w:r>
      <w:r w:rsidR="00EB0101" w:rsidRPr="00043208">
        <w:rPr>
          <w:rStyle w:val="FootnoteTextChar2"/>
        </w:rPr>
        <w:t xml:space="preserve">Including time-dependent atmospheric lifetimes based on model calculations or the NOAA data would change the derived emissions and broaden their uncertainties, as discussed in </w:t>
      </w:r>
      <w:proofErr w:type="spellStart"/>
      <w:r w:rsidR="00EB0101" w:rsidRPr="00043208">
        <w:rPr>
          <w:rStyle w:val="FootnoteTextChar2"/>
        </w:rPr>
        <w:t>Lickley</w:t>
      </w:r>
      <w:proofErr w:type="spellEnd"/>
      <w:r w:rsidR="00EB0101" w:rsidRPr="00043208">
        <w:rPr>
          <w:rStyle w:val="FootnoteTextChar2"/>
        </w:rPr>
        <w:t xml:space="preserve"> </w:t>
      </w:r>
      <w:r w:rsidR="00EB0101" w:rsidRPr="00043208">
        <w:rPr>
          <w:rStyle w:val="FootnoteTextChar2"/>
          <w:i/>
          <w:iCs/>
        </w:rPr>
        <w:t>et al</w:t>
      </w:r>
      <w:r w:rsidR="00EB0101" w:rsidRPr="00043208">
        <w:rPr>
          <w:rStyle w:val="FootnoteTextChar2"/>
        </w:rPr>
        <w:t>. (2020, 2021).</w:t>
      </w:r>
    </w:p>
  </w:footnote>
  <w:footnote w:id="62">
    <w:p w14:paraId="14AE97EB" w14:textId="53B51F3B" w:rsidR="0097547F" w:rsidRPr="00132BBC" w:rsidRDefault="0097547F" w:rsidP="00132BBC">
      <w:pPr>
        <w:spacing w:after="120"/>
        <w:rPr>
          <w:rStyle w:val="FootnoteTextChar2"/>
        </w:rPr>
      </w:pPr>
      <w:r>
        <w:rPr>
          <w:rStyle w:val="FootnoteReference"/>
        </w:rPr>
        <w:footnoteRef/>
      </w:r>
      <w:r>
        <w:t xml:space="preserve"> </w:t>
      </w:r>
      <w:r w:rsidRPr="00132BBC">
        <w:rPr>
          <w:rStyle w:val="FootnoteTextChar2"/>
        </w:rPr>
        <w:t xml:space="preserve">It is important to note that there is a difference between the estimated CFC-11 emissions from foams in banks (including landfills), based on </w:t>
      </w:r>
      <w:r w:rsidR="00DC1ED4" w:rsidRPr="00132BBC">
        <w:rPr>
          <w:rStyle w:val="FootnoteTextChar2"/>
        </w:rPr>
        <w:t xml:space="preserve">observed </w:t>
      </w:r>
      <w:r w:rsidR="00AE2D84" w:rsidRPr="00132BBC">
        <w:rPr>
          <w:rStyle w:val="FootnoteTextChar2"/>
        </w:rPr>
        <w:t xml:space="preserve">foam </w:t>
      </w:r>
      <w:r w:rsidRPr="00132BBC">
        <w:rPr>
          <w:rStyle w:val="FootnoteTextChar2"/>
        </w:rPr>
        <w:t xml:space="preserve">emission rates </w:t>
      </w:r>
      <w:r w:rsidR="00F309C4" w:rsidRPr="00132BBC">
        <w:rPr>
          <w:rStyle w:val="FootnoteTextChar2"/>
        </w:rPr>
        <w:t>(&lt; 1.5%)</w:t>
      </w:r>
      <w:r w:rsidRPr="00132BBC">
        <w:rPr>
          <w:rStyle w:val="FootnoteTextChar2"/>
        </w:rPr>
        <w:t>, and the derived atmospheric emissions</w:t>
      </w:r>
      <w:r w:rsidR="00FB2138" w:rsidRPr="00132BBC">
        <w:rPr>
          <w:rStyle w:val="FootnoteTextChar2"/>
        </w:rPr>
        <w:t xml:space="preserve"> (</w:t>
      </w:r>
      <w:r w:rsidR="00F309C4" w:rsidRPr="00132BBC">
        <w:rPr>
          <w:rStyle w:val="FootnoteTextChar2"/>
        </w:rPr>
        <w:t>3-4%</w:t>
      </w:r>
      <w:r w:rsidR="00FB2138" w:rsidRPr="00132BBC">
        <w:rPr>
          <w:rStyle w:val="FootnoteTextChar2"/>
        </w:rPr>
        <w:t>)</w:t>
      </w:r>
      <w:r w:rsidRPr="00132BBC">
        <w:rPr>
          <w:rStyle w:val="FootnoteTextChar2"/>
        </w:rPr>
        <w:t>, including in regions where CFC-11 has not likely been used in foam</w:t>
      </w:r>
      <w:r w:rsidR="00D776BB" w:rsidRPr="00132BBC">
        <w:rPr>
          <w:rStyle w:val="FootnoteTextChar2"/>
        </w:rPr>
        <w:t xml:space="preserve"> manufacture</w:t>
      </w:r>
      <w:r w:rsidRPr="00132BBC">
        <w:rPr>
          <w:rStyle w:val="FootnoteTextChar2"/>
        </w:rPr>
        <w:t xml:space="preserve"> in decades. This </w:t>
      </w:r>
      <w:r w:rsidR="007D2694" w:rsidRPr="00132BBC">
        <w:rPr>
          <w:rStyle w:val="FootnoteTextChar2"/>
        </w:rPr>
        <w:t xml:space="preserve">continues to be </w:t>
      </w:r>
      <w:r w:rsidRPr="00132BBC">
        <w:rPr>
          <w:rStyle w:val="FootnoteTextChar2"/>
        </w:rPr>
        <w:t xml:space="preserve">an important disparity between the inventory-based </w:t>
      </w:r>
      <w:r w:rsidR="00575AD3" w:rsidRPr="00132BBC">
        <w:rPr>
          <w:rStyle w:val="FootnoteTextChar2"/>
        </w:rPr>
        <w:t xml:space="preserve">model </w:t>
      </w:r>
      <w:r w:rsidRPr="00132BBC">
        <w:rPr>
          <w:rStyle w:val="FootnoteTextChar2"/>
        </w:rPr>
        <w:t>and derived</w:t>
      </w:r>
      <w:r w:rsidR="00575AD3" w:rsidRPr="00132BBC">
        <w:rPr>
          <w:rStyle w:val="FootnoteTextChar2"/>
        </w:rPr>
        <w:t xml:space="preserve"> emissions</w:t>
      </w:r>
      <w:r w:rsidRPr="00132BBC">
        <w:rPr>
          <w:rStyle w:val="FootnoteTextChar2"/>
        </w:rPr>
        <w:t xml:space="preserve">, which was </w:t>
      </w:r>
      <w:r w:rsidR="007D2694" w:rsidRPr="00132BBC">
        <w:rPr>
          <w:rStyle w:val="FootnoteTextChar2"/>
        </w:rPr>
        <w:t xml:space="preserve">also </w:t>
      </w:r>
      <w:r w:rsidRPr="00132BBC">
        <w:rPr>
          <w:rStyle w:val="FootnoteTextChar2"/>
        </w:rPr>
        <w:t xml:space="preserve">noted in the 2019 Task Force Report. </w:t>
      </w:r>
    </w:p>
  </w:footnote>
  <w:footnote w:id="63">
    <w:p w14:paraId="777E4A2B" w14:textId="1E8DAC95" w:rsidR="00D34A2C" w:rsidRPr="001640EC" w:rsidRDefault="00D34A2C" w:rsidP="00484774">
      <w:pPr>
        <w:pStyle w:val="FootnoteText"/>
        <w:rPr>
          <w:lang w:val="en-US"/>
        </w:rPr>
      </w:pPr>
      <w:r>
        <w:rPr>
          <w:rStyle w:val="FootnoteReference"/>
        </w:rPr>
        <w:footnoteRef/>
      </w:r>
      <w:r>
        <w:t xml:space="preserve"> </w:t>
      </w:r>
      <w:r>
        <w:rPr>
          <w:lang w:val="en-US"/>
        </w:rPr>
        <w:t xml:space="preserve">Note that the </w:t>
      </w:r>
      <w:r w:rsidR="00913DF0">
        <w:rPr>
          <w:lang w:val="en-US"/>
        </w:rPr>
        <w:t>region</w:t>
      </w:r>
      <w:r w:rsidR="00DE7276">
        <w:rPr>
          <w:lang w:val="en-US"/>
        </w:rPr>
        <w:t>s</w:t>
      </w:r>
      <w:r w:rsidR="00C35ABB">
        <w:rPr>
          <w:lang w:val="en-US"/>
        </w:rPr>
        <w:t xml:space="preserve"> are </w:t>
      </w:r>
      <w:r w:rsidR="000231FB">
        <w:rPr>
          <w:lang w:val="en-US"/>
        </w:rPr>
        <w:t xml:space="preserve">listed </w:t>
      </w:r>
      <w:r w:rsidR="00C35ABB">
        <w:rPr>
          <w:lang w:val="en-US"/>
        </w:rPr>
        <w:t xml:space="preserve">in </w:t>
      </w:r>
      <w:r w:rsidR="00C35ABB" w:rsidRPr="00AC4014">
        <w:rPr>
          <w:lang w:val="en-US"/>
        </w:rPr>
        <w:t xml:space="preserve">Appendix </w:t>
      </w:r>
      <w:r w:rsidR="000231FB">
        <w:rPr>
          <w:lang w:val="en-US"/>
        </w:rPr>
        <w:t xml:space="preserve">5 as </w:t>
      </w:r>
      <w:r w:rsidR="00672893">
        <w:rPr>
          <w:lang w:val="en-US"/>
        </w:rPr>
        <w:t xml:space="preserve">defined in </w:t>
      </w:r>
      <w:r w:rsidR="00012DD1">
        <w:rPr>
          <w:lang w:val="en-US"/>
        </w:rPr>
        <w:t>FTOC 2006 Assessment Report.</w:t>
      </w:r>
    </w:p>
  </w:footnote>
  <w:footnote w:id="64">
    <w:p w14:paraId="70BBD4EC" w14:textId="3C22A386" w:rsidR="00C42F00" w:rsidRPr="00043208" w:rsidRDefault="00C42F00" w:rsidP="00E642F8">
      <w:pPr>
        <w:pStyle w:val="FootnoteText"/>
        <w:rPr>
          <w:lang w:val="en-US"/>
        </w:rPr>
      </w:pPr>
      <w:r>
        <w:rPr>
          <w:rStyle w:val="FootnoteReference"/>
        </w:rPr>
        <w:footnoteRef/>
      </w:r>
      <w:r>
        <w:t xml:space="preserve"> </w:t>
      </w:r>
      <w:r w:rsidR="00FC5151">
        <w:rPr>
          <w:lang w:val="en-US"/>
        </w:rPr>
        <w:t>Note that the European Union</w:t>
      </w:r>
      <w:r w:rsidR="003D2624">
        <w:rPr>
          <w:lang w:val="en-US"/>
        </w:rPr>
        <w:t xml:space="preserve"> requires O</w:t>
      </w:r>
      <w:r w:rsidR="00B82D52">
        <w:rPr>
          <w:lang w:val="en-US"/>
        </w:rPr>
        <w:t xml:space="preserve">DS blowing agents to be </w:t>
      </w:r>
      <w:r w:rsidR="00FC5151">
        <w:t>capture</w:t>
      </w:r>
      <w:r w:rsidR="00B82D52">
        <w:t>d</w:t>
      </w:r>
      <w:r w:rsidR="00FC5151">
        <w:t xml:space="preserve"> and destroy</w:t>
      </w:r>
      <w:r w:rsidR="00B82D52">
        <w:t>ed</w:t>
      </w:r>
      <w:r w:rsidR="00E96396">
        <w:t xml:space="preserve"> under the</w:t>
      </w:r>
      <w:r w:rsidR="00B82D52">
        <w:t xml:space="preserve"> </w:t>
      </w:r>
      <w:r w:rsidR="00680C16">
        <w:t>WEEE Directive 2002/96/EC,</w:t>
      </w:r>
      <w:r w:rsidR="00E91B4F">
        <w:t xml:space="preserve"> </w:t>
      </w:r>
      <w:r w:rsidR="0026309F">
        <w:t xml:space="preserve">ICF estimates that </w:t>
      </w:r>
      <w:r w:rsidR="00776030">
        <w:t>78-</w:t>
      </w:r>
      <w:r w:rsidR="000105B6">
        <w:t xml:space="preserve">88% of 55 </w:t>
      </w:r>
      <w:proofErr w:type="spellStart"/>
      <w:r w:rsidR="0026309F">
        <w:t>kilotonnes</w:t>
      </w:r>
      <w:proofErr w:type="spellEnd"/>
      <w:r w:rsidR="0026309F">
        <w:t xml:space="preserve"> </w:t>
      </w:r>
      <w:r w:rsidR="000105B6">
        <w:t>could be destroyed between 2010 and 2030</w:t>
      </w:r>
    </w:p>
  </w:footnote>
  <w:footnote w:id="65">
    <w:p w14:paraId="76F28201" w14:textId="33AE50B3" w:rsidR="00735447" w:rsidRPr="00431D46" w:rsidRDefault="00735447" w:rsidP="00474791">
      <w:pPr>
        <w:pStyle w:val="FootnoteText"/>
        <w:rPr>
          <w:lang w:val="en-AU"/>
        </w:rPr>
      </w:pPr>
      <w:r>
        <w:rPr>
          <w:rStyle w:val="FootnoteReference"/>
        </w:rPr>
        <w:footnoteRef/>
      </w:r>
      <w:r>
        <w:t xml:space="preserve"> </w:t>
      </w:r>
      <w:r>
        <w:rPr>
          <w:lang w:val="en-AU"/>
        </w:rPr>
        <w:t>Excludes estimated additional bank resulting from unreported CFC-11 production and use.</w:t>
      </w:r>
    </w:p>
  </w:footnote>
  <w:footnote w:id="66">
    <w:p w14:paraId="356B7501" w14:textId="71B13D9A" w:rsidR="00E32F9D" w:rsidRPr="00E32F9D" w:rsidRDefault="00E32F9D">
      <w:pPr>
        <w:pStyle w:val="FootnoteText"/>
        <w:rPr>
          <w:lang w:val="en-AU"/>
        </w:rPr>
      </w:pPr>
      <w:r>
        <w:rPr>
          <w:rStyle w:val="FootnoteReference"/>
        </w:rPr>
        <w:footnoteRef/>
      </w:r>
      <w:r>
        <w:t xml:space="preserve"> </w:t>
      </w:r>
      <w:r>
        <w:rPr>
          <w:lang w:val="en-AU"/>
        </w:rPr>
        <w:t>Excludes estimated additional bank resulting from unreported CFC-11 production and use.</w:t>
      </w:r>
    </w:p>
  </w:footnote>
  <w:footnote w:id="67">
    <w:p w14:paraId="2020BB08" w14:textId="6207F579" w:rsidR="00E32F9D" w:rsidRPr="00E32F9D" w:rsidRDefault="00E32F9D">
      <w:pPr>
        <w:pStyle w:val="FootnoteText"/>
        <w:rPr>
          <w:lang w:val="en-AU"/>
        </w:rPr>
      </w:pPr>
      <w:r>
        <w:rPr>
          <w:rStyle w:val="FootnoteReference"/>
        </w:rPr>
        <w:footnoteRef/>
      </w:r>
      <w:r>
        <w:t xml:space="preserve"> </w:t>
      </w:r>
      <w:r>
        <w:rPr>
          <w:lang w:val="en-AU"/>
        </w:rPr>
        <w:t>Excludes estimated additional bank resulting from unreported CFC-11 production and use.</w:t>
      </w:r>
    </w:p>
  </w:footnote>
  <w:footnote w:id="68">
    <w:p w14:paraId="48DC8887" w14:textId="77777777" w:rsidR="008A1EBE" w:rsidRPr="00043208" w:rsidRDefault="008A1EBE" w:rsidP="008A1EBE">
      <w:pPr>
        <w:pStyle w:val="FootnoteText"/>
        <w:rPr>
          <w:lang w:val="en-US"/>
        </w:rPr>
      </w:pPr>
      <w:r>
        <w:rPr>
          <w:rStyle w:val="FootnoteReference"/>
        </w:rPr>
        <w:footnoteRef/>
      </w:r>
      <w:r>
        <w:t xml:space="preserve"> ICF International Identifying and Assessing Policy Options for Promoting the Recovery and Destruction of Ozone Depleting Substances (ODS) and Certain Fluorinated Greenhouse Gases (F-Gases) Banked In Products and Equipment </w:t>
      </w:r>
      <w:hyperlink r:id="rId15" w:history="1">
        <w:r w:rsidRPr="00BD5081">
          <w:rPr>
            <w:rStyle w:val="Hyperlink"/>
          </w:rPr>
          <w:t>https://ec.europa.eu/clima/sites/clima/files/ozone/docs/ods_f-gas_destruction_report_en.pdf</w:t>
        </w:r>
      </w:hyperlink>
      <w:r>
        <w:t xml:space="preserve"> </w:t>
      </w:r>
    </w:p>
  </w:footnote>
  <w:footnote w:id="69">
    <w:p w14:paraId="2C13E4B2" w14:textId="148D549D" w:rsidR="00E32F9D" w:rsidRPr="00E32F9D" w:rsidRDefault="00E32F9D">
      <w:pPr>
        <w:pStyle w:val="FootnoteText"/>
        <w:rPr>
          <w:lang w:val="en-AU"/>
        </w:rPr>
      </w:pPr>
      <w:r>
        <w:rPr>
          <w:rStyle w:val="FootnoteReference"/>
        </w:rPr>
        <w:footnoteRef/>
      </w:r>
      <w:r>
        <w:t xml:space="preserve"> </w:t>
      </w:r>
      <w:r>
        <w:rPr>
          <w:lang w:val="en-AU"/>
        </w:rPr>
        <w:t>Excludes estimated additional bank resulting from unreported CFC-11 production and use.</w:t>
      </w:r>
    </w:p>
  </w:footnote>
  <w:footnote w:id="70">
    <w:p w14:paraId="51B4A35B" w14:textId="667FCE3B" w:rsidR="00E32F9D" w:rsidRPr="00E32F9D" w:rsidRDefault="00E32F9D">
      <w:pPr>
        <w:pStyle w:val="FootnoteText"/>
        <w:rPr>
          <w:lang w:val="en-AU"/>
        </w:rPr>
      </w:pPr>
      <w:r>
        <w:rPr>
          <w:rStyle w:val="FootnoteReference"/>
        </w:rPr>
        <w:footnoteRef/>
      </w:r>
      <w:r>
        <w:t xml:space="preserve"> </w:t>
      </w:r>
      <w:r w:rsidRPr="00E32F9D">
        <w:t>Excludes estimated additional bank resulting from unreported CFC-11 production and use.</w:t>
      </w:r>
    </w:p>
  </w:footnote>
  <w:footnote w:id="71">
    <w:p w14:paraId="2FBC50EC" w14:textId="7F1E44B6" w:rsidR="00704AFA" w:rsidRPr="00132BBC" w:rsidRDefault="00704AFA" w:rsidP="00E642F8">
      <w:pPr>
        <w:pStyle w:val="FootnoteText"/>
        <w:rPr>
          <w:lang w:val="en-AU"/>
        </w:rPr>
      </w:pPr>
      <w:r>
        <w:rPr>
          <w:rStyle w:val="FootnoteReference"/>
        </w:rPr>
        <w:footnoteRef/>
      </w:r>
      <w:r>
        <w:t xml:space="preserve"> </w:t>
      </w:r>
      <w:r w:rsidRPr="001640EC">
        <w:rPr>
          <w:lang w:val="en-US" w:eastAsia="en-US"/>
        </w:rPr>
        <w:t xml:space="preserve">It is important to note that there is a difference between the estimated CFC-11 emissions from foams in banks (including landfills), based on </w:t>
      </w:r>
      <w:r>
        <w:rPr>
          <w:lang w:val="en-US" w:eastAsia="en-US"/>
        </w:rPr>
        <w:t xml:space="preserve">observed foam </w:t>
      </w:r>
      <w:r w:rsidRPr="001640EC">
        <w:rPr>
          <w:lang w:val="en-US" w:eastAsia="en-US"/>
        </w:rPr>
        <w:t>emission rates (&lt; 1.5%</w:t>
      </w:r>
      <w:r>
        <w:rPr>
          <w:lang w:val="en-US" w:eastAsia="en-US"/>
        </w:rPr>
        <w:t>)</w:t>
      </w:r>
      <w:r w:rsidRPr="001640EC">
        <w:rPr>
          <w:lang w:val="en-US" w:eastAsia="en-US"/>
        </w:rPr>
        <w:t>, and the derived atmospheric emissions</w:t>
      </w:r>
      <w:r>
        <w:rPr>
          <w:lang w:val="en-US" w:eastAsia="en-US"/>
        </w:rPr>
        <w:t xml:space="preserve"> (</w:t>
      </w:r>
      <w:r w:rsidRPr="001640EC">
        <w:rPr>
          <w:lang w:val="en-US" w:eastAsia="en-US"/>
        </w:rPr>
        <w:t>3-4%</w:t>
      </w:r>
      <w:r>
        <w:rPr>
          <w:lang w:val="en-US" w:eastAsia="en-US"/>
        </w:rPr>
        <w:t>)</w:t>
      </w:r>
      <w:r w:rsidRPr="001640EC">
        <w:rPr>
          <w:lang w:val="en-US" w:eastAsia="en-US"/>
        </w:rPr>
        <w:t>, including in regions where CFC-11 has not likely been used in foam</w:t>
      </w:r>
      <w:r>
        <w:rPr>
          <w:lang w:val="en-US" w:eastAsia="en-US"/>
        </w:rPr>
        <w:t xml:space="preserve"> manufacture</w:t>
      </w:r>
      <w:r w:rsidRPr="001640EC">
        <w:rPr>
          <w:lang w:val="en-US" w:eastAsia="en-US"/>
        </w:rPr>
        <w:t xml:space="preserve"> in decades. This </w:t>
      </w:r>
      <w:r>
        <w:rPr>
          <w:lang w:val="en-US" w:eastAsia="en-US"/>
        </w:rPr>
        <w:t>continues to be</w:t>
      </w:r>
      <w:r w:rsidRPr="001640EC">
        <w:rPr>
          <w:lang w:val="en-US" w:eastAsia="en-US"/>
        </w:rPr>
        <w:t xml:space="preserve"> an important disparity between the inventory-based model and derived</w:t>
      </w:r>
      <w:r>
        <w:rPr>
          <w:lang w:val="en-US" w:eastAsia="en-US"/>
        </w:rPr>
        <w:t xml:space="preserve"> emissions</w:t>
      </w:r>
      <w:r w:rsidRPr="001640EC">
        <w:rPr>
          <w:lang w:val="en-US" w:eastAsia="en-US"/>
        </w:rPr>
        <w:t xml:space="preserve">, which was </w:t>
      </w:r>
      <w:r>
        <w:rPr>
          <w:lang w:val="en-US" w:eastAsia="en-US"/>
        </w:rPr>
        <w:t xml:space="preserve">also </w:t>
      </w:r>
      <w:r w:rsidRPr="001640EC">
        <w:rPr>
          <w:lang w:val="en-US" w:eastAsia="en-US"/>
        </w:rPr>
        <w:t>noted in the 2019 Task Force Report.</w:t>
      </w:r>
    </w:p>
  </w:footnote>
  <w:footnote w:id="72">
    <w:p w14:paraId="58D57852" w14:textId="5C44ADC4" w:rsidR="008237AA" w:rsidRPr="00431D46" w:rsidRDefault="008237AA" w:rsidP="00132BBC">
      <w:pPr>
        <w:spacing w:after="120"/>
        <w:rPr>
          <w:lang w:val="en-US"/>
        </w:rPr>
      </w:pPr>
      <w:r>
        <w:rPr>
          <w:rStyle w:val="FootnoteReference"/>
        </w:rPr>
        <w:footnoteRef/>
      </w:r>
      <w:r>
        <w:t xml:space="preserve"> </w:t>
      </w:r>
      <w:r w:rsidR="00717242" w:rsidRPr="00431D46">
        <w:rPr>
          <w:color w:val="auto"/>
          <w:sz w:val="18"/>
          <w:szCs w:val="18"/>
        </w:rPr>
        <w:t xml:space="preserve">A broader range of </w:t>
      </w:r>
      <w:r w:rsidR="00DD3B4C">
        <w:rPr>
          <w:color w:val="auto"/>
          <w:sz w:val="18"/>
          <w:szCs w:val="18"/>
        </w:rPr>
        <w:t>additional CFC-11 production was</w:t>
      </w:r>
      <w:r w:rsidR="00717242" w:rsidRPr="00431D46">
        <w:rPr>
          <w:color w:val="auto"/>
          <w:sz w:val="18"/>
          <w:szCs w:val="18"/>
        </w:rPr>
        <w:t xml:space="preserve"> considered but due to the </w:t>
      </w:r>
      <w:r w:rsidR="00DD3B4C" w:rsidRPr="00431D46">
        <w:rPr>
          <w:color w:val="auto"/>
          <w:sz w:val="18"/>
          <w:szCs w:val="18"/>
        </w:rPr>
        <w:t>higher</w:t>
      </w:r>
      <w:r w:rsidR="00DD3B4C">
        <w:rPr>
          <w:color w:val="auto"/>
          <w:sz w:val="18"/>
          <w:szCs w:val="18"/>
        </w:rPr>
        <w:t xml:space="preserve"> </w:t>
      </w:r>
      <w:r w:rsidR="00706D7F">
        <w:rPr>
          <w:color w:val="auto"/>
          <w:sz w:val="18"/>
          <w:szCs w:val="18"/>
        </w:rPr>
        <w:t>associated</w:t>
      </w:r>
      <w:r w:rsidR="00DD3B4C" w:rsidRPr="00431D46">
        <w:rPr>
          <w:color w:val="auto"/>
          <w:sz w:val="18"/>
          <w:szCs w:val="18"/>
        </w:rPr>
        <w:t xml:space="preserve"> uncertainties </w:t>
      </w:r>
      <w:r w:rsidR="00FF0E6B">
        <w:rPr>
          <w:color w:val="auto"/>
          <w:sz w:val="18"/>
          <w:szCs w:val="18"/>
        </w:rPr>
        <w:t xml:space="preserve">these </w:t>
      </w:r>
      <w:r w:rsidR="00DD3B4C" w:rsidRPr="00431D46">
        <w:rPr>
          <w:color w:val="auto"/>
          <w:sz w:val="18"/>
          <w:szCs w:val="18"/>
        </w:rPr>
        <w:t>were not included in the report.</w:t>
      </w:r>
      <w:r w:rsidR="00DD3B4C">
        <w:t xml:space="preserve"> </w:t>
      </w:r>
    </w:p>
  </w:footnote>
  <w:footnote w:id="73">
    <w:p w14:paraId="096FBB27" w14:textId="51D18FD4" w:rsidR="0006068D" w:rsidRPr="00132BBC" w:rsidRDefault="0006068D" w:rsidP="00484774">
      <w:pPr>
        <w:pStyle w:val="FootnoteText"/>
        <w:rPr>
          <w:lang w:val="en-AU"/>
        </w:rPr>
      </w:pPr>
      <w:r>
        <w:rPr>
          <w:rStyle w:val="FootnoteReference"/>
        </w:rPr>
        <w:footnoteRef/>
      </w:r>
      <w:r>
        <w:t xml:space="preserve"> A new conclusion of the 2021 Task Force is that u</w:t>
      </w:r>
      <w:r w:rsidRPr="00E028BE">
        <w:t xml:space="preserve">nreported CFC-11 production </w:t>
      </w:r>
      <w:r>
        <w:t>would seem to</w:t>
      </w:r>
      <w:r w:rsidRPr="00E028BE">
        <w:t xml:space="preserve"> have </w:t>
      </w:r>
      <w:r>
        <w:t>been already occurring</w:t>
      </w:r>
      <w:r w:rsidRPr="00E028BE">
        <w:t xml:space="preserve"> </w:t>
      </w:r>
      <w:r>
        <w:t xml:space="preserve">in the period from </w:t>
      </w:r>
      <w:r w:rsidRPr="00E028BE">
        <w:t>2007</w:t>
      </w:r>
      <w:r>
        <w:t xml:space="preserve"> to 2012</w:t>
      </w:r>
      <w:r w:rsidRPr="00E028BE">
        <w:t>.</w:t>
      </w:r>
      <w:r>
        <w:t xml:space="preserve"> </w:t>
      </w:r>
      <w:r w:rsidRPr="002C7B18">
        <w:t>This unreported production is necessary to explain the difference between inventory-based expected emissions and derived CFC-11 emissions during this earlier period.</w:t>
      </w:r>
    </w:p>
  </w:footnote>
  <w:footnote w:id="74">
    <w:p w14:paraId="1399BA16" w14:textId="602867D4" w:rsidR="00A816EB" w:rsidRPr="00043208" w:rsidRDefault="00A816EB" w:rsidP="00E642F8">
      <w:pPr>
        <w:pStyle w:val="FootnoteText"/>
        <w:rPr>
          <w:lang w:val="en-US"/>
        </w:rPr>
      </w:pPr>
      <w:r>
        <w:rPr>
          <w:rStyle w:val="FootnoteReference"/>
        </w:rPr>
        <w:footnoteRef/>
      </w:r>
      <w:r>
        <w:t xml:space="preserve"> </w:t>
      </w:r>
      <w:r w:rsidR="00BC6E19">
        <w:t xml:space="preserve">These estimates for unreported production are identical to those for the period 2013-2018 included in the 2019 Task Force Report. </w:t>
      </w:r>
    </w:p>
  </w:footnote>
  <w:footnote w:id="75">
    <w:p w14:paraId="76C0D2E6" w14:textId="1D40AD44" w:rsidR="00F5781A" w:rsidRPr="0057129F" w:rsidRDefault="00F5781A" w:rsidP="00474791">
      <w:pPr>
        <w:pStyle w:val="FootnoteText"/>
        <w:rPr>
          <w:lang w:val="en-AU"/>
        </w:rPr>
      </w:pPr>
      <w:r>
        <w:rPr>
          <w:rStyle w:val="FootnoteReference"/>
        </w:rPr>
        <w:footnoteRef/>
      </w:r>
      <w:r>
        <w:t xml:space="preserve"> </w:t>
      </w:r>
      <w:r w:rsidR="007A40C8">
        <w:t>It</w:t>
      </w:r>
      <w:r w:rsidR="00280002">
        <w:t xml:space="preserve"> is </w:t>
      </w:r>
      <w:r w:rsidR="007A40C8">
        <w:t xml:space="preserve">also </w:t>
      </w:r>
      <w:r w:rsidR="00280002">
        <w:t>plausible that u</w:t>
      </w:r>
      <w:r>
        <w:t xml:space="preserve">nreported </w:t>
      </w:r>
      <w:r>
        <w:rPr>
          <w:lang w:val="en-AU"/>
        </w:rPr>
        <w:t xml:space="preserve">CFC-11 produced in </w:t>
      </w:r>
      <w:r w:rsidR="00A934C5">
        <w:rPr>
          <w:lang w:val="en-AU"/>
        </w:rPr>
        <w:t xml:space="preserve">the </w:t>
      </w:r>
      <w:r>
        <w:rPr>
          <w:lang w:val="en-AU"/>
        </w:rPr>
        <w:t xml:space="preserve">years </w:t>
      </w:r>
      <w:r w:rsidR="0047749E">
        <w:rPr>
          <w:lang w:val="en-AU"/>
        </w:rPr>
        <w:t xml:space="preserve">immediately prior </w:t>
      </w:r>
      <w:r w:rsidR="00280002">
        <w:rPr>
          <w:lang w:val="en-AU"/>
        </w:rPr>
        <w:t>was</w:t>
      </w:r>
      <w:r w:rsidR="0093709F">
        <w:rPr>
          <w:lang w:val="en-AU"/>
        </w:rPr>
        <w:t xml:space="preserve"> carried over as inventory </w:t>
      </w:r>
      <w:r w:rsidR="00280002">
        <w:rPr>
          <w:lang w:val="en-AU"/>
        </w:rPr>
        <w:t xml:space="preserve">to be used </w:t>
      </w:r>
      <w:r w:rsidR="0093709F">
        <w:rPr>
          <w:lang w:val="en-AU"/>
        </w:rPr>
        <w:t>in 2019</w:t>
      </w:r>
      <w:r w:rsidR="0095112D">
        <w:rPr>
          <w:lang w:val="en-AU"/>
        </w:rPr>
        <w:t xml:space="preserve">. </w:t>
      </w:r>
    </w:p>
  </w:footnote>
  <w:footnote w:id="76">
    <w:p w14:paraId="4975F508" w14:textId="6FE16998" w:rsidR="00586959" w:rsidRPr="00043208" w:rsidRDefault="00586959" w:rsidP="00474791">
      <w:pPr>
        <w:pStyle w:val="FootnoteText"/>
        <w:rPr>
          <w:lang w:val="en-AU"/>
        </w:rPr>
      </w:pPr>
      <w:r>
        <w:rPr>
          <w:rStyle w:val="FootnoteReference"/>
        </w:rPr>
        <w:footnoteRef/>
      </w:r>
      <w:r>
        <w:t xml:space="preserve"> WMO, Global Atmospheric Watch, Ozone Research and Monitoring, </w:t>
      </w:r>
      <w:r w:rsidRPr="00DD48A5">
        <w:rPr>
          <w:i/>
          <w:iCs/>
        </w:rPr>
        <w:t>Report on the Unexpected Emissions of CFC-11, A Report of the Scientific Assessment Panel of the Montreal Protocol on Substances that Deplete the Ozone Layer</w:t>
      </w:r>
      <w:r>
        <w:t>, April 2021.</w:t>
      </w:r>
    </w:p>
  </w:footnote>
  <w:footnote w:id="77">
    <w:p w14:paraId="19A57BB1" w14:textId="1FD44C13" w:rsidR="0044741C" w:rsidRPr="00992FCD" w:rsidRDefault="0044741C" w:rsidP="001F7D84">
      <w:pPr>
        <w:pStyle w:val="FootnoteText"/>
        <w:rPr>
          <w:lang w:val="en-US"/>
        </w:rPr>
      </w:pPr>
      <w:r>
        <w:rPr>
          <w:rStyle w:val="FootnoteReference"/>
        </w:rPr>
        <w:footnoteRef/>
      </w:r>
      <w:r>
        <w:t xml:space="preserve"> </w:t>
      </w:r>
      <w:r w:rsidR="00C74F21">
        <w:t>Any co</w:t>
      </w:r>
      <w:r w:rsidR="00987528">
        <w:t>-</w:t>
      </w:r>
      <w:r w:rsidR="00C74F21">
        <w:t>produced CFC</w:t>
      </w:r>
      <w:r w:rsidR="001002E7">
        <w:t>-</w:t>
      </w:r>
      <w:r w:rsidR="00C74F21">
        <w:t>12 was probably used in refrigeration</w:t>
      </w:r>
      <w:r w:rsidR="00273598">
        <w:t xml:space="preserve"> and</w:t>
      </w:r>
      <w:r w:rsidR="00050677">
        <w:t xml:space="preserve"> would </w:t>
      </w:r>
      <w:r w:rsidR="00124B0A">
        <w:t>remain in inventory</w:t>
      </w:r>
      <w:r w:rsidR="00682D80">
        <w:t xml:space="preserve"> for some time.</w:t>
      </w:r>
    </w:p>
  </w:footnote>
  <w:footnote w:id="78">
    <w:p w14:paraId="7E371AA6" w14:textId="093A3E5B" w:rsidR="00C92E4D" w:rsidRDefault="00C92E4D" w:rsidP="00D4428E">
      <w:pPr>
        <w:pStyle w:val="FootnoteText"/>
      </w:pPr>
      <w:r>
        <w:rPr>
          <w:rStyle w:val="FootnoteReference"/>
        </w:rPr>
        <w:footnoteRef/>
      </w:r>
      <w:r>
        <w:t xml:space="preserve"> For a more comprehensive list of CTC feedstock uses see the </w:t>
      </w:r>
      <w:r w:rsidR="00582957">
        <w:t xml:space="preserve">UNEP TEAP, May 2020, Volume 1: Progress Report, </w:t>
      </w:r>
      <w:r w:rsidRPr="003818D0">
        <w:t>Table 5.1</w:t>
      </w:r>
      <w:r>
        <w:t xml:space="preserve"> </w:t>
      </w:r>
      <w:r w:rsidRPr="003818D0">
        <w:t>Common feedstock applications of ozone-depleting substances (this list is not exhaustive)</w:t>
      </w:r>
    </w:p>
  </w:footnote>
  <w:footnote w:id="79">
    <w:p w14:paraId="02D80E97" w14:textId="09240849" w:rsidR="00E02B85" w:rsidRPr="00616550" w:rsidRDefault="00E02B85" w:rsidP="00D4428E">
      <w:pPr>
        <w:pStyle w:val="FootnoteText"/>
        <w:rPr>
          <w:lang w:val="en-AU"/>
        </w:rPr>
      </w:pPr>
      <w:r>
        <w:rPr>
          <w:rStyle w:val="FootnoteReference"/>
        </w:rPr>
        <w:footnoteRef/>
      </w:r>
      <w:r>
        <w:t xml:space="preserve"> </w:t>
      </w:r>
      <w:r w:rsidRPr="00D53CDE">
        <w:t xml:space="preserve">Table </w:t>
      </w:r>
      <w:r w:rsidR="00AF461A">
        <w:t>3</w:t>
      </w:r>
      <w:r>
        <w:t>.1</w:t>
      </w:r>
      <w:r w:rsidRPr="00D53CDE">
        <w:t xml:space="preserve"> </w:t>
      </w:r>
      <w:r>
        <w:t>(to follow) shows</w:t>
      </w:r>
      <w:r w:rsidRPr="00D53CDE">
        <w:t xml:space="preserve"> that, in 2015-2017, CTC production in China was around 4.7% of total </w:t>
      </w:r>
      <w:r>
        <w:t>chloromethanes</w:t>
      </w:r>
      <w:r w:rsidRPr="00D53CDE">
        <w:t xml:space="preserve"> production.</w:t>
      </w:r>
    </w:p>
  </w:footnote>
  <w:footnote w:id="80">
    <w:p w14:paraId="6F06B105" w14:textId="4E3B0403" w:rsidR="00CA0CD1" w:rsidRDefault="00CA0CD1" w:rsidP="00BA51F6">
      <w:pPr>
        <w:pStyle w:val="FootnoteText"/>
      </w:pPr>
      <w:r>
        <w:rPr>
          <w:rStyle w:val="FootnoteReference"/>
        </w:rPr>
        <w:footnoteRef/>
      </w:r>
      <w:r>
        <w:t xml:space="preserve"> </w:t>
      </w:r>
      <w:r w:rsidRPr="003C3046">
        <w:t>These plants have also been described as “CTC</w:t>
      </w:r>
      <w:r w:rsidRPr="003C3046">
        <w:rPr>
          <w:rFonts w:ascii="Wingdings" w:eastAsia="Wingdings" w:hAnsi="Wingdings" w:cs="Wingdings"/>
        </w:rPr>
        <w:t></w:t>
      </w:r>
      <w:r w:rsidRPr="003C3046">
        <w:t>PCE” units</w:t>
      </w:r>
      <w:r w:rsidR="00CB150F">
        <w:t xml:space="preserve">. </w:t>
      </w:r>
      <w:r w:rsidR="0089256D">
        <w:t>At the time of</w:t>
      </w:r>
      <w:r w:rsidR="00CB150F">
        <w:t xml:space="preserve"> the 2019 Task Force Report,</w:t>
      </w:r>
      <w:r w:rsidR="00CB150F" w:rsidRPr="00CB150F">
        <w:t xml:space="preserve"> </w:t>
      </w:r>
      <w:r w:rsidR="0089256D">
        <w:t>the</w:t>
      </w:r>
      <w:r w:rsidR="00CB150F" w:rsidRPr="00CB150F">
        <w:t xml:space="preserve"> sole purpose </w:t>
      </w:r>
      <w:r w:rsidR="0089256D">
        <w:t xml:space="preserve">of the plants in China </w:t>
      </w:r>
      <w:r w:rsidR="00CB150F" w:rsidRPr="00CB150F">
        <w:t xml:space="preserve">was to produce PCE from surplus CTC. </w:t>
      </w:r>
      <w:r w:rsidR="0089256D">
        <w:t>T</w:t>
      </w:r>
      <w:r w:rsidR="00CB150F" w:rsidRPr="00CB150F">
        <w:t>hey now take mixed feedstock</w:t>
      </w:r>
      <w:r w:rsidR="00A9011B">
        <w:t xml:space="preserve"> </w:t>
      </w:r>
      <w:r w:rsidR="0089256D">
        <w:t>and</w:t>
      </w:r>
      <w:r w:rsidR="00CB150F" w:rsidRPr="00CB150F">
        <w:t xml:space="preserve"> operate in a similar fashion to the other global PCE/CTC plants in Europe and USA.</w:t>
      </w:r>
    </w:p>
  </w:footnote>
  <w:footnote w:id="81">
    <w:p w14:paraId="229A6BAC" w14:textId="1A76EE38" w:rsidR="00CA0CD1" w:rsidRPr="00B41C2D" w:rsidRDefault="00CA0CD1" w:rsidP="00BC034E">
      <w:pPr>
        <w:spacing w:after="120"/>
        <w:rPr>
          <w:sz w:val="18"/>
          <w:szCs w:val="18"/>
        </w:rPr>
      </w:pPr>
      <w:r>
        <w:rPr>
          <w:rStyle w:val="FootnoteReference"/>
        </w:rPr>
        <w:footnoteRef/>
      </w:r>
      <w:r>
        <w:t xml:space="preserve"> </w:t>
      </w:r>
      <w:r w:rsidRPr="00B41C2D">
        <w:rPr>
          <w:rStyle w:val="FootnoteTextChar2"/>
        </w:rPr>
        <w:t xml:space="preserve">CFC-113 is used as a feedstock for several substances see </w:t>
      </w:r>
      <w:r w:rsidR="00582957">
        <w:rPr>
          <w:rStyle w:val="FootnoteTextChar2"/>
        </w:rPr>
        <w:t>UNEP TEAP, May</w:t>
      </w:r>
      <w:r w:rsidR="00582957" w:rsidRPr="00B41C2D">
        <w:rPr>
          <w:rStyle w:val="FootnoteTextChar2"/>
        </w:rPr>
        <w:t xml:space="preserve"> </w:t>
      </w:r>
      <w:r w:rsidRPr="00B41C2D">
        <w:rPr>
          <w:rStyle w:val="FootnoteTextChar2"/>
        </w:rPr>
        <w:t>2020</w:t>
      </w:r>
      <w:r w:rsidR="00582957">
        <w:rPr>
          <w:rStyle w:val="FootnoteTextChar2"/>
        </w:rPr>
        <w:t>, Volume 1:</w:t>
      </w:r>
      <w:r w:rsidRPr="00B41C2D">
        <w:rPr>
          <w:rStyle w:val="FootnoteTextChar2"/>
        </w:rPr>
        <w:t xml:space="preserve"> Progress Report</w:t>
      </w:r>
      <w:r w:rsidR="00582957">
        <w:rPr>
          <w:rStyle w:val="FootnoteTextChar2"/>
        </w:rPr>
        <w:t>,</w:t>
      </w:r>
      <w:r w:rsidRPr="00B41C2D">
        <w:rPr>
          <w:rStyle w:val="FootnoteTextChar2"/>
        </w:rPr>
        <w:t xml:space="preserve"> Figure 5.4 Main Feedstock and Intermediate Uses of CFC-113 and CFC-113a </w:t>
      </w:r>
    </w:p>
  </w:footnote>
  <w:footnote w:id="82">
    <w:p w14:paraId="1CB2528F" w14:textId="0DCAD30B" w:rsidR="00FA4DAA" w:rsidRPr="00043208" w:rsidRDefault="00FA4DAA" w:rsidP="00BC034E">
      <w:pPr>
        <w:pStyle w:val="FootnoteText"/>
        <w:rPr>
          <w:lang w:val="en-AU"/>
        </w:rPr>
      </w:pPr>
      <w:r>
        <w:rPr>
          <w:rStyle w:val="FootnoteReference"/>
        </w:rPr>
        <w:footnoteRef/>
      </w:r>
      <w:r>
        <w:t xml:space="preserve"> </w:t>
      </w:r>
      <w:r w:rsidR="0072560D" w:rsidRPr="0072560D">
        <w:t xml:space="preserve">Park, S., L.M. Western, T. Saito, A.L. Redington, S. </w:t>
      </w:r>
      <w:proofErr w:type="spellStart"/>
      <w:r w:rsidR="0072560D" w:rsidRPr="0072560D">
        <w:t>Henne</w:t>
      </w:r>
      <w:proofErr w:type="spellEnd"/>
      <w:r w:rsidR="0072560D" w:rsidRPr="0072560D">
        <w:t xml:space="preserve">, X. Fang, R.G. Prinn, A.J. Manning, S.A. </w:t>
      </w:r>
      <w:proofErr w:type="spellStart"/>
      <w:r w:rsidR="0072560D" w:rsidRPr="0072560D">
        <w:t>Montzka</w:t>
      </w:r>
      <w:proofErr w:type="spellEnd"/>
      <w:r w:rsidR="0072560D" w:rsidRPr="0072560D">
        <w:t xml:space="preserve">, P.J. Fraser, A.L. Ganesan, C.M. </w:t>
      </w:r>
      <w:proofErr w:type="spellStart"/>
      <w:r w:rsidR="0072560D" w:rsidRPr="0072560D">
        <w:t>Harth</w:t>
      </w:r>
      <w:proofErr w:type="spellEnd"/>
      <w:r w:rsidR="0072560D" w:rsidRPr="0072560D">
        <w:t xml:space="preserve">, J. Kim, P.B. </w:t>
      </w:r>
      <w:proofErr w:type="spellStart"/>
      <w:r w:rsidR="0072560D" w:rsidRPr="0072560D">
        <w:t>Krummel</w:t>
      </w:r>
      <w:proofErr w:type="spellEnd"/>
      <w:r w:rsidR="0072560D" w:rsidRPr="0072560D">
        <w:t xml:space="preserve">, Q. Liang, J. </w:t>
      </w:r>
      <w:proofErr w:type="spellStart"/>
      <w:r w:rsidR="0072560D" w:rsidRPr="0072560D">
        <w:t>Mühle</w:t>
      </w:r>
      <w:proofErr w:type="spellEnd"/>
      <w:r w:rsidR="0072560D" w:rsidRPr="0072560D">
        <w:t xml:space="preserve">, S. </w:t>
      </w:r>
      <w:proofErr w:type="spellStart"/>
      <w:r w:rsidR="0072560D" w:rsidRPr="0072560D">
        <w:t>O’Doherty</w:t>
      </w:r>
      <w:proofErr w:type="spellEnd"/>
      <w:r w:rsidR="0072560D" w:rsidRPr="0072560D">
        <w:t xml:space="preserve">, H. Park, M.K. Park, S. Reimann, P.K. Salameh, R.F. Weiss, and M. Rigby, Significant recent reductions in the emissions of CFC-11 and related ozone- depleting substances from Eastern China, </w:t>
      </w:r>
      <w:r w:rsidR="0072560D" w:rsidRPr="00043208">
        <w:rPr>
          <w:i/>
          <w:iCs/>
        </w:rPr>
        <w:t>Nature</w:t>
      </w:r>
      <w:r w:rsidR="0072560D" w:rsidRPr="0072560D">
        <w:t>, in press, 2021</w:t>
      </w:r>
      <w:r w:rsidR="00582957">
        <w:t xml:space="preserve">, as </w:t>
      </w:r>
      <w:r w:rsidR="00201C00">
        <w:t>reported</w:t>
      </w:r>
      <w:r w:rsidR="00582957">
        <w:t xml:space="preserve"> in</w:t>
      </w:r>
      <w:r w:rsidR="00201C00">
        <w:t>,</w:t>
      </w:r>
      <w:r w:rsidR="00582957">
        <w:t xml:space="preserve"> </w:t>
      </w:r>
      <w:r w:rsidR="00201C00">
        <w:t xml:space="preserve">WMO, Global Atmospheric Watch, Ozone Research and Monitoring, </w:t>
      </w:r>
      <w:r w:rsidR="00201C00" w:rsidRPr="00DD48A5">
        <w:rPr>
          <w:i/>
          <w:iCs/>
        </w:rPr>
        <w:t>Report on the Unexpected Emissions of CFC-11, A Report of the Scientific Assessment Panel of the Montreal Protocol on Substances that Deplete the Ozone Layer</w:t>
      </w:r>
      <w:r w:rsidR="00201C00">
        <w:t>, April 2021.</w:t>
      </w:r>
      <w:r>
        <w:rPr>
          <w:lang w:val="en-AU"/>
        </w:rPr>
        <w:t xml:space="preserve"> </w:t>
      </w:r>
    </w:p>
  </w:footnote>
  <w:footnote w:id="83">
    <w:p w14:paraId="57F77383" w14:textId="67ED4436" w:rsidR="00FE12CA" w:rsidRPr="000A59D5" w:rsidRDefault="00FE12CA" w:rsidP="00BC034E">
      <w:pPr>
        <w:pStyle w:val="FootnoteText"/>
      </w:pPr>
      <w:r>
        <w:rPr>
          <w:rStyle w:val="FootnoteReference"/>
        </w:rPr>
        <w:footnoteRef/>
      </w:r>
      <w:r>
        <w:t xml:space="preserve"> </w:t>
      </w:r>
      <w:r w:rsidR="001B32CB">
        <w:t xml:space="preserve">UNEP Technology and Economic </w:t>
      </w:r>
      <w:r w:rsidR="001B32CB" w:rsidRPr="000A59D5">
        <w:t xml:space="preserve">Assessment Panel, </w:t>
      </w:r>
      <w:r w:rsidRPr="00043208">
        <w:t>May 2020</w:t>
      </w:r>
      <w:r w:rsidR="000A59D5" w:rsidRPr="00043208">
        <w:t xml:space="preserve">, </w:t>
      </w:r>
      <w:r w:rsidRPr="00043208">
        <w:t>Volume 1</w:t>
      </w:r>
      <w:r w:rsidR="000A59D5" w:rsidRPr="00043208">
        <w:t>: Progress Report</w:t>
      </w:r>
      <w:r w:rsidR="000A59D5">
        <w:t xml:space="preserve">, </w:t>
      </w:r>
      <w:r w:rsidRPr="00043208">
        <w:t>page 49</w:t>
      </w:r>
      <w:r w:rsidR="000A59D5">
        <w:t>.</w:t>
      </w:r>
    </w:p>
  </w:footnote>
  <w:footnote w:id="84">
    <w:p w14:paraId="2EB1E5E8" w14:textId="2304FFC6" w:rsidR="003742AF" w:rsidRDefault="003742AF" w:rsidP="00BC034E">
      <w:pPr>
        <w:pStyle w:val="FootnoteText"/>
      </w:pPr>
      <w:r>
        <w:rPr>
          <w:rStyle w:val="FootnoteReference"/>
        </w:rPr>
        <w:footnoteRef/>
      </w:r>
      <w:r>
        <w:t xml:space="preserve"> UNEP/</w:t>
      </w:r>
      <w:proofErr w:type="spellStart"/>
      <w:r>
        <w:t>OzL.Pro</w:t>
      </w:r>
      <w:proofErr w:type="spellEnd"/>
      <w:r>
        <w:t>/ExCom/84/22/Add.2</w:t>
      </w:r>
      <w:r w:rsidR="009129FA">
        <w:t xml:space="preserve">, </w:t>
      </w:r>
      <w:r w:rsidR="00FB222B" w:rsidRPr="00CE5F8B">
        <w:rPr>
          <w:i/>
          <w:iCs/>
        </w:rPr>
        <w:t>Reports on Projects with Specific Reporting Requirements</w:t>
      </w:r>
      <w:r w:rsidR="00FB222B" w:rsidRPr="00CE5F8B">
        <w:t xml:space="preserve">, </w:t>
      </w:r>
      <w:r w:rsidR="00FB222B" w:rsidRPr="00CE5F8B">
        <w:rPr>
          <w:i/>
          <w:iCs/>
        </w:rPr>
        <w:t xml:space="preserve">Addendum, </w:t>
      </w:r>
      <w:r w:rsidR="00FB222B" w:rsidRPr="00CE5F8B">
        <w:t>28 November 2019</w:t>
      </w:r>
      <w:r w:rsidR="00603D01">
        <w:t>.</w:t>
      </w:r>
    </w:p>
  </w:footnote>
  <w:footnote w:id="85">
    <w:p w14:paraId="67172E8A" w14:textId="77777777" w:rsidR="008030CC" w:rsidRDefault="008030CC" w:rsidP="00BC034E">
      <w:pPr>
        <w:pStyle w:val="FootnoteText"/>
      </w:pPr>
      <w:r>
        <w:rPr>
          <w:rStyle w:val="FootnoteReference"/>
        </w:rPr>
        <w:footnoteRef/>
      </w:r>
      <w:r>
        <w:t xml:space="preserve"> </w:t>
      </w:r>
      <w:r w:rsidRPr="0025035A">
        <w:rPr>
          <w:i/>
          <w:iCs/>
        </w:rPr>
        <w:t>CTC Production, Conversion Technology and Management in China</w:t>
      </w:r>
      <w:r w:rsidRPr="0025035A">
        <w:t>, Chun-xi Li, College of Chemical Engineering, Beijing University of Chemical Technology. Presentation given to the “Workshop on Capacity Building for the Implementation of the Montreal Protocol”, Beijing, China, March 2019.</w:t>
      </w:r>
    </w:p>
  </w:footnote>
  <w:footnote w:id="86">
    <w:p w14:paraId="49A95329" w14:textId="3FAA9D26" w:rsidR="00BB35E7" w:rsidRDefault="00BB35E7" w:rsidP="00BC034E">
      <w:pPr>
        <w:pStyle w:val="FootnoteText"/>
      </w:pPr>
      <w:r>
        <w:rPr>
          <w:rStyle w:val="FootnoteReference"/>
        </w:rPr>
        <w:footnoteRef/>
      </w:r>
      <w:r>
        <w:t xml:space="preserve"> From ExCom </w:t>
      </w:r>
      <w:r w:rsidRPr="00D3267A">
        <w:t>UNEP/</w:t>
      </w:r>
      <w:proofErr w:type="spellStart"/>
      <w:r w:rsidRPr="00D3267A">
        <w:t>OzL.Pro</w:t>
      </w:r>
      <w:proofErr w:type="spellEnd"/>
      <w:r w:rsidRPr="00D3267A">
        <w:t>/ExCom/84/22/Add.2</w:t>
      </w:r>
      <w:r>
        <w:t xml:space="preserve"> para</w:t>
      </w:r>
      <w:r w:rsidR="00916BB1">
        <w:t>.</w:t>
      </w:r>
      <w:r>
        <w:t xml:space="preserve"> 30 and Add.3</w:t>
      </w:r>
      <w:r w:rsidR="00A575CA">
        <w:t>,</w:t>
      </w:r>
      <w:r>
        <w:t xml:space="preserve"> </w:t>
      </w:r>
      <w:r w:rsidRPr="00D3267A">
        <w:t>December 2019</w:t>
      </w:r>
      <w:r>
        <w:t xml:space="preserve">, </w:t>
      </w:r>
      <w:r w:rsidRPr="00132BBC">
        <w:rPr>
          <w:i/>
          <w:iCs/>
        </w:rPr>
        <w:t>Report on the production of carbon tetrachloride and its feedstock uses in China (Decision 75/18 (b) (iii)</w:t>
      </w:r>
      <w:r w:rsidRPr="00D3267A">
        <w:t>)</w:t>
      </w:r>
      <w:r>
        <w:t xml:space="preserve">. </w:t>
      </w:r>
    </w:p>
  </w:footnote>
  <w:footnote w:id="87">
    <w:p w14:paraId="7FE81E03" w14:textId="77777777" w:rsidR="00BB35E7" w:rsidRPr="00820655" w:rsidRDefault="00BB35E7" w:rsidP="00BC034E">
      <w:pPr>
        <w:pStyle w:val="FootnoteText"/>
        <w:rPr>
          <w:lang w:val="en-AU"/>
        </w:rPr>
      </w:pPr>
      <w:r>
        <w:rPr>
          <w:rStyle w:val="FootnoteReference"/>
        </w:rPr>
        <w:footnoteRef/>
      </w:r>
      <w:r>
        <w:t xml:space="preserve"> </w:t>
      </w:r>
      <w:r>
        <w:rPr>
          <w:lang w:val="en-AU"/>
        </w:rPr>
        <w:t>Ibid.</w:t>
      </w:r>
    </w:p>
  </w:footnote>
  <w:footnote w:id="88">
    <w:p w14:paraId="1CFB80DB" w14:textId="26F0A0E4" w:rsidR="0063029F" w:rsidRPr="0063029F" w:rsidRDefault="0063029F" w:rsidP="00BC034E">
      <w:pPr>
        <w:pStyle w:val="FootnoteText"/>
        <w:rPr>
          <w:lang w:val="en-AU"/>
        </w:rPr>
      </w:pPr>
      <w:r>
        <w:rPr>
          <w:rStyle w:val="FootnoteReference"/>
        </w:rPr>
        <w:footnoteRef/>
      </w:r>
      <w:r>
        <w:t xml:space="preserve"> </w:t>
      </w:r>
      <w:r w:rsidRPr="0063029F">
        <w:t xml:space="preserve">Single quoted price was $2.2/kg while HCFC-141b is advertised at $3.5-3.7/kg which is a price that has been confirmed with industry. </w:t>
      </w:r>
      <w:hyperlink r:id="rId16" w:history="1">
        <w:r w:rsidRPr="009830C7">
          <w:rPr>
            <w:rStyle w:val="Hyperlink"/>
          </w:rPr>
          <w:t>https://www.alibaba.com/product-detail/Direct-factory-Dichlorofluoroethane-Hcfc-Refrigerant-141b_60622055923.html?spm=a2700.7724857.normalList.21.19567508vByNqX</w:t>
        </w:r>
      </w:hyperlink>
      <w:r w:rsidR="00BD46A7">
        <w:rPr>
          <w:rStyle w:val="Hyperlink"/>
        </w:rPr>
        <w:t>.</w:t>
      </w:r>
      <w:r>
        <w:t xml:space="preserve"> </w:t>
      </w:r>
    </w:p>
  </w:footnote>
  <w:footnote w:id="89">
    <w:p w14:paraId="58E07195" w14:textId="465E8AF2" w:rsidR="00213E96" w:rsidRPr="00043208" w:rsidRDefault="00213E96" w:rsidP="00BC034E">
      <w:pPr>
        <w:pStyle w:val="FootnoteText"/>
        <w:rPr>
          <w:lang w:val="en-US"/>
        </w:rPr>
      </w:pPr>
      <w:r>
        <w:rPr>
          <w:rStyle w:val="FootnoteReference"/>
        </w:rPr>
        <w:footnoteRef/>
      </w:r>
      <w:r>
        <w:t xml:space="preserve"> </w:t>
      </w:r>
      <w:r w:rsidR="005D358A">
        <w:rPr>
          <w:lang w:val="en-US"/>
        </w:rPr>
        <w:t xml:space="preserve">After some </w:t>
      </w:r>
      <w:r w:rsidR="009F6B55">
        <w:rPr>
          <w:lang w:val="en-US"/>
        </w:rPr>
        <w:t>serious fires</w:t>
      </w:r>
      <w:r w:rsidR="00EA5ED5">
        <w:rPr>
          <w:lang w:val="en-US"/>
        </w:rPr>
        <w:t>, some</w:t>
      </w:r>
      <w:r w:rsidR="009F6B55">
        <w:rPr>
          <w:lang w:val="en-US"/>
        </w:rPr>
        <w:t xml:space="preserve"> Article 5 parties</w:t>
      </w:r>
      <w:r w:rsidR="00EA5ED5">
        <w:rPr>
          <w:lang w:val="en-US"/>
        </w:rPr>
        <w:t xml:space="preserve"> </w:t>
      </w:r>
      <w:r w:rsidR="00963975">
        <w:rPr>
          <w:lang w:val="en-US"/>
        </w:rPr>
        <w:t xml:space="preserve">have strengthened fire codes related to foams. </w:t>
      </w:r>
      <w:r w:rsidR="003C6CC6">
        <w:rPr>
          <w:lang w:val="en-US"/>
        </w:rPr>
        <w:t xml:space="preserve">Some companies may assume that CFC-11 would reduce the need for fire retardant. However, flammability is very specific to foam </w:t>
      </w:r>
      <w:r w:rsidR="006C3AF3">
        <w:rPr>
          <w:lang w:val="en-US"/>
        </w:rPr>
        <w:t>formulation,</w:t>
      </w:r>
      <w:r w:rsidR="003C6CC6">
        <w:rPr>
          <w:lang w:val="en-US"/>
        </w:rPr>
        <w:t xml:space="preserve"> and this would not necessarily be the case. </w:t>
      </w:r>
    </w:p>
  </w:footnote>
  <w:footnote w:id="90">
    <w:p w14:paraId="5329B134" w14:textId="12E2269C" w:rsidR="008B121E" w:rsidRPr="008B121E" w:rsidRDefault="008B121E" w:rsidP="00BC034E">
      <w:pPr>
        <w:pStyle w:val="FootnoteText"/>
        <w:rPr>
          <w:lang w:val="en-AU"/>
        </w:rPr>
      </w:pPr>
      <w:r>
        <w:rPr>
          <w:rStyle w:val="FootnoteReference"/>
        </w:rPr>
        <w:footnoteRef/>
      </w:r>
      <w:r>
        <w:t xml:space="preserve"> </w:t>
      </w:r>
      <w:r w:rsidRPr="008B121E">
        <w:t>Dichloromethane is very low cost compared to fluorocarbon alternatives.</w:t>
      </w:r>
    </w:p>
  </w:footnote>
  <w:footnote w:id="91">
    <w:p w14:paraId="460C218D" w14:textId="78591647" w:rsidR="00633A38" w:rsidRPr="00BE3854" w:rsidRDefault="00633A38" w:rsidP="00BC034E">
      <w:pPr>
        <w:pStyle w:val="FootnoteText"/>
      </w:pPr>
      <w:r>
        <w:rPr>
          <w:rStyle w:val="FootnoteReference"/>
        </w:rPr>
        <w:footnoteRef/>
      </w:r>
      <w:r>
        <w:t xml:space="preserve"> </w:t>
      </w:r>
      <w:r w:rsidRPr="00352B44">
        <w:t>UNEP/</w:t>
      </w:r>
      <w:proofErr w:type="spellStart"/>
      <w:r w:rsidRPr="00352B44">
        <w:t>OzL.Pro</w:t>
      </w:r>
      <w:proofErr w:type="spellEnd"/>
      <w:r w:rsidRPr="00352B44">
        <w:t xml:space="preserve">/ExCom/64/29, 15 June 2011, </w:t>
      </w:r>
      <w:r w:rsidRPr="00132BBC">
        <w:rPr>
          <w:i/>
          <w:iCs/>
        </w:rPr>
        <w:t>Project controls: China</w:t>
      </w:r>
      <w:r w:rsidRPr="00352B44">
        <w:t>, paragraph 44</w:t>
      </w:r>
      <w:r w:rsidR="00BD46A7">
        <w:t>.</w:t>
      </w:r>
    </w:p>
  </w:footnote>
  <w:footnote w:id="92">
    <w:p w14:paraId="5A6FF4EA" w14:textId="21AA2B48" w:rsidR="00633A38" w:rsidRPr="00352B44" w:rsidRDefault="00633A38" w:rsidP="00BC034E">
      <w:pPr>
        <w:pStyle w:val="FootnoteText"/>
      </w:pPr>
      <w:r w:rsidRPr="00BE3854">
        <w:rPr>
          <w:rStyle w:val="FootnoteReference"/>
        </w:rPr>
        <w:footnoteRef/>
      </w:r>
      <w:r w:rsidRPr="00BE3854">
        <w:t xml:space="preserve"> </w:t>
      </w:r>
      <w:r w:rsidRPr="00352B44">
        <w:t>UNEP/</w:t>
      </w:r>
      <w:proofErr w:type="spellStart"/>
      <w:r w:rsidRPr="00352B44">
        <w:t>OzL.Pro</w:t>
      </w:r>
      <w:proofErr w:type="spellEnd"/>
      <w:r w:rsidRPr="00352B44">
        <w:t xml:space="preserve">/ExCom/80/37, 21 October 2017, </w:t>
      </w:r>
      <w:r w:rsidRPr="00132BBC">
        <w:rPr>
          <w:i/>
          <w:iCs/>
        </w:rPr>
        <w:t>China HCFC phase-out management plan (stage I) (annual progress report)</w:t>
      </w:r>
      <w:r w:rsidR="00BD46A7">
        <w:t>,</w:t>
      </w:r>
      <w:r w:rsidRPr="00352B44">
        <w:t xml:space="preserve"> extracts from paragraphs 9, 11, 39 and 40</w:t>
      </w:r>
      <w:r w:rsidR="00BD46A7">
        <w:t>.</w:t>
      </w:r>
    </w:p>
  </w:footnote>
  <w:footnote w:id="93">
    <w:p w14:paraId="7ED919BC" w14:textId="05A89095" w:rsidR="00203F6A" w:rsidRPr="00B36DC0" w:rsidRDefault="00203F6A" w:rsidP="00BC034E">
      <w:pPr>
        <w:pStyle w:val="FootnoteText"/>
      </w:pPr>
      <w:r>
        <w:rPr>
          <w:rStyle w:val="FootnoteReference"/>
        </w:rPr>
        <w:footnoteRef/>
      </w:r>
      <w:r>
        <w:t xml:space="preserve"> </w:t>
      </w:r>
      <w:r w:rsidRPr="00043208">
        <w:rPr>
          <w:lang w:eastAsia="en-US"/>
        </w:rPr>
        <w:t>59</w:t>
      </w:r>
      <w:r w:rsidRPr="00043208">
        <w:rPr>
          <w:sz w:val="12"/>
          <w:szCs w:val="12"/>
          <w:lang w:eastAsia="en-US"/>
        </w:rPr>
        <w:t xml:space="preserve">th </w:t>
      </w:r>
      <w:r w:rsidRPr="00043208">
        <w:rPr>
          <w:lang w:eastAsia="en-US"/>
        </w:rPr>
        <w:t>Meeting of the Executive Committee for the Implementation of the Montreal Protocol, UNDP Amendment to the 2009 Work Programme</w:t>
      </w:r>
      <w:r w:rsidR="00C87CCF">
        <w:rPr>
          <w:lang w:eastAsia="en-US"/>
        </w:rPr>
        <w:t>, 2008</w:t>
      </w:r>
      <w:r w:rsidR="00B36DC0">
        <w:rPr>
          <w:lang w:eastAsia="en-US"/>
        </w:rPr>
        <w:t>.</w:t>
      </w:r>
    </w:p>
  </w:footnote>
  <w:footnote w:id="94">
    <w:p w14:paraId="11CC9F75" w14:textId="09C6ED76" w:rsidR="00A93FAB" w:rsidRPr="007D4102" w:rsidRDefault="00A93FAB" w:rsidP="00BC034E">
      <w:pPr>
        <w:pStyle w:val="FootnoteText"/>
      </w:pPr>
      <w:r>
        <w:rPr>
          <w:rStyle w:val="FootnoteReference"/>
        </w:rPr>
        <w:footnoteRef/>
      </w:r>
      <w:r>
        <w:t xml:space="preserve"> </w:t>
      </w:r>
      <w:r w:rsidRPr="00D5215D">
        <w:t xml:space="preserve">Wang </w:t>
      </w:r>
      <w:r w:rsidRPr="00D5215D">
        <w:rPr>
          <w:i/>
          <w:iCs/>
        </w:rPr>
        <w:t>et al</w:t>
      </w:r>
      <w:r>
        <w:t>.</w:t>
      </w:r>
      <w:r w:rsidRPr="00D5215D">
        <w:t xml:space="preserve">, Past, present, and future emissions of HCFC-141b in China, </w:t>
      </w:r>
      <w:r w:rsidRPr="00D5215D">
        <w:rPr>
          <w:i/>
          <w:iCs/>
        </w:rPr>
        <w:t>Atmospheric Environment</w:t>
      </w:r>
      <w:r w:rsidRPr="00D5215D">
        <w:t>,</w:t>
      </w:r>
      <w:r>
        <w:t xml:space="preserve"> 2015,</w:t>
      </w:r>
      <w:r w:rsidRPr="00D5215D">
        <w:t xml:space="preserve"> </w:t>
      </w:r>
      <w:r w:rsidRPr="00D5215D">
        <w:rPr>
          <w:b/>
          <w:bCs/>
        </w:rPr>
        <w:t>109</w:t>
      </w:r>
      <w:r>
        <w:t>,</w:t>
      </w:r>
      <w:r w:rsidRPr="00D5215D">
        <w:t xml:space="preserve"> 228e233.</w:t>
      </w:r>
    </w:p>
  </w:footnote>
  <w:footnote w:id="95">
    <w:p w14:paraId="141394EB" w14:textId="48A367A0" w:rsidR="00633A38" w:rsidRDefault="00633A38" w:rsidP="00BC034E">
      <w:pPr>
        <w:pStyle w:val="FootnoteText"/>
      </w:pPr>
      <w:r>
        <w:rPr>
          <w:rStyle w:val="FootnoteReference"/>
        </w:rPr>
        <w:footnoteRef/>
      </w:r>
      <w:r>
        <w:t xml:space="preserve"> </w:t>
      </w:r>
      <w:hyperlink r:id="rId17" w:history="1">
        <w:r w:rsidRPr="00B848E9">
          <w:rPr>
            <w:rStyle w:val="Hyperlink"/>
          </w:rPr>
          <w:t>https://www.fluorineproducts-honeywell.com/blowingagents/press-releases/honeywell-files-lawsuit-against-mek-chemical-corporation-for-patent-infringement/</w:t>
        </w:r>
      </w:hyperlink>
      <w:r>
        <w:t xml:space="preserve"> </w:t>
      </w:r>
      <w:r w:rsidRPr="00EB35B2">
        <w:t>accessed 29 June 2020</w:t>
      </w:r>
      <w:r w:rsidR="005F59A5">
        <w:t>.</w:t>
      </w:r>
    </w:p>
  </w:footnote>
  <w:footnote w:id="96">
    <w:p w14:paraId="79414484" w14:textId="3FCB3B25" w:rsidR="00F75472" w:rsidRDefault="00F75472" w:rsidP="00BC034E">
      <w:pPr>
        <w:pStyle w:val="FootnoteText"/>
      </w:pPr>
      <w:r>
        <w:rPr>
          <w:rStyle w:val="FootnoteReference"/>
        </w:rPr>
        <w:footnoteRef/>
      </w:r>
      <w:r>
        <w:t xml:space="preserve"> </w:t>
      </w:r>
      <w:r w:rsidRPr="00A422C7">
        <w:t>http://uto.flywheelsites.com/news/honeywell-loses-china-patent-fight-on-hfc-process/</w:t>
      </w:r>
      <w:r w:rsidR="005F59A5">
        <w:t>.</w:t>
      </w:r>
    </w:p>
  </w:footnote>
  <w:footnote w:id="97">
    <w:p w14:paraId="4E44C207" w14:textId="72A8C1FF" w:rsidR="00633A38" w:rsidRDefault="00633A38" w:rsidP="00BC034E">
      <w:pPr>
        <w:pStyle w:val="FootnoteText"/>
      </w:pPr>
      <w:r>
        <w:rPr>
          <w:rStyle w:val="FootnoteReference"/>
        </w:rPr>
        <w:footnoteRef/>
      </w:r>
      <w:r>
        <w:t xml:space="preserve"> </w:t>
      </w:r>
      <w:hyperlink r:id="rId18" w:history="1">
        <w:r w:rsidRPr="00B848E9">
          <w:rPr>
            <w:rStyle w:val="Hyperlink"/>
          </w:rPr>
          <w:t>https://cen.acs.org/articles/93/i29/Chinese-Court-Sides-Honeywell.html</w:t>
        </w:r>
      </w:hyperlink>
      <w:r w:rsidR="000B7470">
        <w:rPr>
          <w:rStyle w:val="Hyperlink"/>
        </w:rPr>
        <w:t>.</w:t>
      </w:r>
      <w:r>
        <w:t xml:space="preserve"> </w:t>
      </w:r>
      <w:r w:rsidR="000B7470">
        <w:t>A</w:t>
      </w:r>
      <w:r>
        <w:t>ccessed 29 June 2020</w:t>
      </w:r>
      <w:r w:rsidR="005F59A5">
        <w:t>.</w:t>
      </w:r>
    </w:p>
  </w:footnote>
  <w:footnote w:id="98">
    <w:p w14:paraId="3ED46B66" w14:textId="5543DC59" w:rsidR="00633A38" w:rsidRPr="0025035A" w:rsidRDefault="00633A38" w:rsidP="00BC034E">
      <w:pPr>
        <w:pStyle w:val="FootnoteText"/>
      </w:pPr>
      <w:r w:rsidRPr="0025035A">
        <w:rPr>
          <w:rStyle w:val="FootnoteReference"/>
        </w:rPr>
        <w:footnoteRef/>
      </w:r>
      <w:r w:rsidRPr="0025035A">
        <w:t xml:space="preserve"> </w:t>
      </w:r>
      <w:r>
        <w:t xml:space="preserve">“Honeywell loses patent fight on HFC Process”, </w:t>
      </w:r>
      <w:r w:rsidRPr="0025035A">
        <w:t>Urethanes International Technology</w:t>
      </w:r>
      <w:r w:rsidRPr="00E95F00">
        <w:rPr>
          <w:color w:val="000000" w:themeColor="text1"/>
        </w:rPr>
        <w:t>,</w:t>
      </w:r>
      <w:r w:rsidRPr="00E95F00">
        <w:rPr>
          <w:color w:val="000000" w:themeColor="text1"/>
          <w:shd w:val="clear" w:color="auto" w:fill="FFFFFF"/>
        </w:rPr>
        <w:t>19 Mar 2018</w:t>
      </w:r>
      <w:r w:rsidR="00E95F00">
        <w:rPr>
          <w:color w:val="000000" w:themeColor="text1"/>
          <w:shd w:val="clear" w:color="auto" w:fill="FFFFFF"/>
        </w:rPr>
        <w:t>.</w:t>
      </w:r>
    </w:p>
  </w:footnote>
  <w:footnote w:id="99">
    <w:p w14:paraId="7628EE42" w14:textId="33FC5F9E" w:rsidR="00633A38" w:rsidRDefault="00633A38" w:rsidP="00BC034E">
      <w:pPr>
        <w:pStyle w:val="FootnoteText"/>
      </w:pPr>
      <w:r>
        <w:rPr>
          <w:rStyle w:val="FootnoteReference"/>
        </w:rPr>
        <w:footnoteRef/>
      </w:r>
      <w:r>
        <w:t xml:space="preserve"> </w:t>
      </w:r>
      <w:r w:rsidRPr="0025035A">
        <w:rPr>
          <w:i/>
          <w:iCs/>
        </w:rPr>
        <w:t>CTC Production, Conversion Technology and Management in China</w:t>
      </w:r>
      <w:r w:rsidRPr="0025035A">
        <w:t>, Chun-xi Li, College of Chemical Engineering, Beijing University of Chemical Technology. Presentation given to the “Workshop on Capacity Building for the Implementation of the Montreal Protocol”, Beijing, China, March 2019.</w:t>
      </w:r>
      <w:r w:rsidR="00EC4CC3">
        <w:t xml:space="preserve">  </w:t>
      </w:r>
    </w:p>
  </w:footnote>
  <w:footnote w:id="100">
    <w:p w14:paraId="37E0C14D" w14:textId="1FD47B69" w:rsidR="00246CD3" w:rsidRPr="00246CD3" w:rsidRDefault="00246CD3" w:rsidP="00BC034E">
      <w:pPr>
        <w:pStyle w:val="FootnoteText"/>
        <w:rPr>
          <w:lang w:val="en-AU"/>
        </w:rPr>
      </w:pPr>
      <w:r>
        <w:rPr>
          <w:rStyle w:val="FootnoteReference"/>
        </w:rPr>
        <w:footnoteRef/>
      </w:r>
      <w:r>
        <w:t xml:space="preserve"> </w:t>
      </w:r>
      <w:r w:rsidR="00891E3B" w:rsidRPr="00891E3B">
        <w:t xml:space="preserve">Bruce J. Wall, Appliance Recycling </w:t>
      </w:r>
      <w:proofErr w:type="spellStart"/>
      <w:r w:rsidR="00891E3B" w:rsidRPr="00891E3B">
        <w:t>Centers</w:t>
      </w:r>
      <w:proofErr w:type="spellEnd"/>
      <w:r w:rsidR="00891E3B" w:rsidRPr="00891E3B">
        <w:t xml:space="preserve"> of America, Inc.</w:t>
      </w:r>
      <w:r w:rsidR="00891E3B">
        <w:t xml:space="preserve">, </w:t>
      </w:r>
      <w:r w:rsidR="003F60B6" w:rsidRPr="00950CE5">
        <w:rPr>
          <w:i/>
          <w:iCs/>
        </w:rPr>
        <w:t>CFCs in Foam Insulation: The Recovery Experience</w:t>
      </w:r>
      <w:r w:rsidR="00950CE5">
        <w:t xml:space="preserve">, </w:t>
      </w:r>
      <w:r w:rsidR="00BE3696">
        <w:t>1994</w:t>
      </w:r>
      <w:r w:rsidR="00950CE5">
        <w:t xml:space="preserve">, </w:t>
      </w:r>
      <w:hyperlink r:id="rId19" w:history="1">
        <w:r w:rsidR="005C2F71" w:rsidRPr="009830C7">
          <w:rPr>
            <w:rStyle w:val="Hyperlink"/>
          </w:rPr>
          <w:t>https://www.aceee.org/files/proceedings/1994/data/papers/SS94_Panel4_Paper28.pdf</w:t>
        </w:r>
      </w:hyperlink>
      <w:r w:rsidR="005C2F71">
        <w:t xml:space="preserve"> (accessed April 2021)</w:t>
      </w:r>
      <w:r w:rsidR="00950CE5">
        <w:t>.</w:t>
      </w:r>
    </w:p>
  </w:footnote>
  <w:footnote w:id="101">
    <w:p w14:paraId="5173143A" w14:textId="70B35D78" w:rsidR="00E20C9F" w:rsidRPr="00D25D30" w:rsidRDefault="00E20C9F" w:rsidP="00BC034E">
      <w:pPr>
        <w:pStyle w:val="FootnoteText"/>
        <w:rPr>
          <w:lang w:val="en-AU"/>
        </w:rPr>
      </w:pPr>
      <w:r>
        <w:rPr>
          <w:rStyle w:val="FootnoteReference"/>
        </w:rPr>
        <w:footnoteRef/>
      </w:r>
      <w:r>
        <w:t xml:space="preserve"> </w:t>
      </w:r>
      <w:r w:rsidR="00435A5D" w:rsidRPr="000F7935">
        <w:t xml:space="preserve">Bert Metz, Lambert </w:t>
      </w:r>
      <w:proofErr w:type="spellStart"/>
      <w:r w:rsidR="00435A5D" w:rsidRPr="000F7935">
        <w:t>Kuijpers</w:t>
      </w:r>
      <w:proofErr w:type="spellEnd"/>
      <w:r w:rsidR="00435A5D" w:rsidRPr="000F7935">
        <w:t xml:space="preserve">, Susan Solomon, Stephen O. Andersen, </w:t>
      </w:r>
      <w:proofErr w:type="spellStart"/>
      <w:r w:rsidR="00435A5D" w:rsidRPr="000F7935">
        <w:t>Ogunlade</w:t>
      </w:r>
      <w:proofErr w:type="spellEnd"/>
      <w:r w:rsidR="00435A5D" w:rsidRPr="000F7935">
        <w:t xml:space="preserve"> Davidson, José Pons, David de Jager, </w:t>
      </w:r>
      <w:proofErr w:type="spellStart"/>
      <w:r w:rsidR="00435A5D" w:rsidRPr="000F7935">
        <w:t>Tahl</w:t>
      </w:r>
      <w:proofErr w:type="spellEnd"/>
      <w:r w:rsidR="00435A5D" w:rsidRPr="000F7935">
        <w:t xml:space="preserve"> Kestin, Martin Manning, and Leo Meyer (Eds</w:t>
      </w:r>
      <w:r w:rsidR="00435A5D">
        <w:t>),</w:t>
      </w:r>
      <w:r w:rsidR="00435A5D" w:rsidRPr="00280962">
        <w:t xml:space="preserve"> </w:t>
      </w:r>
      <w:r w:rsidRPr="00E20C9F">
        <w:rPr>
          <w:i/>
          <w:iCs/>
        </w:rPr>
        <w:t>IPCC/TEAP Special Report: Safeguarding the Ozone Layer and the Global Climate System</w:t>
      </w:r>
      <w:r w:rsidR="00D25D30">
        <w:t xml:space="preserve">, </w:t>
      </w:r>
      <w:r w:rsidR="00571E31">
        <w:t>page 419</w:t>
      </w:r>
      <w:r w:rsidR="00280962">
        <w:t>,</w:t>
      </w:r>
      <w:r w:rsidR="00421F0E">
        <w:t xml:space="preserve"> </w:t>
      </w:r>
      <w:r w:rsidR="00CD3D6B" w:rsidRPr="000F7935">
        <w:t>Cambridge University Press, UK</w:t>
      </w:r>
      <w:r w:rsidR="00CD3D6B">
        <w:t>.</w:t>
      </w:r>
      <w:r w:rsidR="00435A5D">
        <w:t xml:space="preserve"> </w:t>
      </w:r>
      <w:hyperlink r:id="rId20" w:history="1">
        <w:r w:rsidR="00D65E6A" w:rsidRPr="009830C7">
          <w:rPr>
            <w:rStyle w:val="Hyperlink"/>
          </w:rPr>
          <w:t>https://www.ipcc.ch/report/safeguarding-the-ozone-layer-and-the-global-climate-system/</w:t>
        </w:r>
      </w:hyperlink>
      <w:r w:rsidR="00421F0E">
        <w:t xml:space="preserve"> </w:t>
      </w:r>
    </w:p>
  </w:footnote>
  <w:footnote w:id="102">
    <w:p w14:paraId="68DBC5FC" w14:textId="6582C92A" w:rsidR="001C3BE5" w:rsidRPr="00043208" w:rsidRDefault="001C3BE5" w:rsidP="00BC034E">
      <w:pPr>
        <w:pStyle w:val="FootnoteText"/>
        <w:rPr>
          <w:lang w:val="en-US"/>
        </w:rPr>
      </w:pPr>
      <w:r>
        <w:rPr>
          <w:rStyle w:val="FootnoteReference"/>
        </w:rPr>
        <w:footnoteRef/>
      </w:r>
      <w:r>
        <w:t xml:space="preserve"> </w:t>
      </w:r>
      <w:r w:rsidR="002A03B6">
        <w:rPr>
          <w:lang w:val="en-US"/>
        </w:rPr>
        <w:t xml:space="preserve">Destruction generally </w:t>
      </w:r>
      <w:r w:rsidR="00056BE5">
        <w:rPr>
          <w:lang w:val="en-US"/>
        </w:rPr>
        <w:t xml:space="preserve">by incineration. </w:t>
      </w:r>
    </w:p>
  </w:footnote>
  <w:footnote w:id="103">
    <w:p w14:paraId="67FC54D2" w14:textId="3B6899A2" w:rsidR="00E35C08" w:rsidRPr="00E95F00" w:rsidRDefault="00E35C08" w:rsidP="00BC034E">
      <w:pPr>
        <w:pStyle w:val="FootnoteText"/>
        <w:rPr>
          <w:lang w:val="en-AU"/>
        </w:rPr>
      </w:pPr>
      <w:r>
        <w:rPr>
          <w:rStyle w:val="FootnoteReference"/>
        </w:rPr>
        <w:footnoteRef/>
      </w:r>
      <w:r>
        <w:t xml:space="preserve"> </w:t>
      </w:r>
      <w:r w:rsidR="000728A9">
        <w:t xml:space="preserve">GIZ </w:t>
      </w:r>
      <w:proofErr w:type="spellStart"/>
      <w:r w:rsidR="000728A9">
        <w:t>Proklima</w:t>
      </w:r>
      <w:proofErr w:type="spellEnd"/>
      <w:r w:rsidR="000728A9">
        <w:t xml:space="preserve">, </w:t>
      </w:r>
      <w:r w:rsidR="000728A9" w:rsidRPr="004D4E82">
        <w:rPr>
          <w:i/>
          <w:iCs/>
        </w:rPr>
        <w:t>Banks and Emissions of CFC-11 and CFC-12, Country data and possible consequences for global modelling</w:t>
      </w:r>
      <w:r w:rsidR="000728A9">
        <w:t>, 2020.</w:t>
      </w:r>
    </w:p>
  </w:footnote>
  <w:footnote w:id="104">
    <w:p w14:paraId="2998F593" w14:textId="77777777" w:rsidR="00067CE9" w:rsidRPr="00FB3E98" w:rsidRDefault="00067CE9" w:rsidP="00067CE9">
      <w:pPr>
        <w:pStyle w:val="FootnoteText"/>
        <w:rPr>
          <w:lang w:val="en-AU"/>
        </w:rPr>
      </w:pPr>
      <w:r>
        <w:rPr>
          <w:rStyle w:val="FootnoteReference"/>
        </w:rPr>
        <w:footnoteRef/>
      </w:r>
      <w:r>
        <w:t xml:space="preserve"> </w:t>
      </w:r>
      <w:r w:rsidRPr="00EB1C92">
        <w:rPr>
          <w:i/>
          <w:iCs/>
        </w:rPr>
        <w:t xml:space="preserve">RAL-GZ 729 standard for </w:t>
      </w:r>
      <w:proofErr w:type="spellStart"/>
      <w:r w:rsidRPr="00EB1C92">
        <w:rPr>
          <w:i/>
          <w:iCs/>
        </w:rPr>
        <w:t>demanufacturing</w:t>
      </w:r>
      <w:proofErr w:type="spellEnd"/>
      <w:r w:rsidRPr="00EB1C92">
        <w:rPr>
          <w:i/>
          <w:iCs/>
        </w:rPr>
        <w:t xml:space="preserve"> CFC-blown foam products</w:t>
      </w:r>
      <w:r>
        <w:t xml:space="preserve">, </w:t>
      </w:r>
      <w:r w:rsidRPr="00EB1C92">
        <w:t>Recycling Magazine,</w:t>
      </w:r>
      <w:r>
        <w:t xml:space="preserve"> 18 August 2020, </w:t>
      </w:r>
      <w:hyperlink r:id="rId21" w:history="1">
        <w:r w:rsidRPr="006744A7">
          <w:rPr>
            <w:rStyle w:val="Hyperlink"/>
          </w:rPr>
          <w:t>https://www.recycling-magazine.com/2020/08/18/ral-gz-729-standard-for-demanufacturing-cfc-blown-foam-products/</w:t>
        </w:r>
      </w:hyperlink>
      <w:r>
        <w:t xml:space="preserve"> </w:t>
      </w:r>
    </w:p>
  </w:footnote>
  <w:footnote w:id="105">
    <w:p w14:paraId="504DB157" w14:textId="3D7C7CF4" w:rsidR="00557F11" w:rsidRPr="00557F11" w:rsidRDefault="00557F11" w:rsidP="00BC034E">
      <w:pPr>
        <w:pStyle w:val="FootnoteText"/>
        <w:rPr>
          <w:lang w:val="en-AU"/>
        </w:rPr>
      </w:pPr>
      <w:r>
        <w:rPr>
          <w:rStyle w:val="FootnoteReference"/>
        </w:rPr>
        <w:footnoteRef/>
      </w:r>
      <w:r>
        <w:t xml:space="preserve"> </w:t>
      </w:r>
      <w:r w:rsidRPr="00557F11">
        <w:t xml:space="preserve">GIZ </w:t>
      </w:r>
      <w:proofErr w:type="spellStart"/>
      <w:r w:rsidRPr="00557F11">
        <w:t>Proklima</w:t>
      </w:r>
      <w:proofErr w:type="spellEnd"/>
      <w:r w:rsidRPr="00557F11">
        <w:t xml:space="preserve">, </w:t>
      </w:r>
      <w:r w:rsidRPr="00557F11">
        <w:rPr>
          <w:i/>
          <w:iCs/>
        </w:rPr>
        <w:t>Management and destruction of existing ozone depleting substances banks</w:t>
      </w:r>
      <w:r w:rsidRPr="00557F11">
        <w:t>, August 2015.</w:t>
      </w:r>
    </w:p>
  </w:footnote>
  <w:footnote w:id="106">
    <w:p w14:paraId="763363B0" w14:textId="34B9654B" w:rsidR="00735447" w:rsidRPr="000728A9" w:rsidRDefault="00735447" w:rsidP="00BC034E">
      <w:pPr>
        <w:pStyle w:val="FootnoteText"/>
        <w:rPr>
          <w:lang w:val="en-AU"/>
        </w:rPr>
      </w:pPr>
      <w:r>
        <w:rPr>
          <w:rStyle w:val="FootnoteReference"/>
        </w:rPr>
        <w:footnoteRef/>
      </w:r>
      <w:r>
        <w:t xml:space="preserve"> </w:t>
      </w:r>
      <w:r>
        <w:rPr>
          <w:lang w:val="en-AU"/>
        </w:rPr>
        <w:t>Excludes estimated additional bank resulting from unreported CFC-11 production and use.</w:t>
      </w:r>
    </w:p>
  </w:footnote>
  <w:footnote w:id="107">
    <w:p w14:paraId="078EDF80" w14:textId="47CC2C82" w:rsidR="00761518" w:rsidRPr="00761518" w:rsidRDefault="00761518" w:rsidP="00BC034E">
      <w:pPr>
        <w:pStyle w:val="FootnoteText"/>
        <w:rPr>
          <w:lang w:val="en-AU"/>
        </w:rPr>
      </w:pPr>
      <w:r>
        <w:rPr>
          <w:rStyle w:val="FootnoteReference"/>
        </w:rPr>
        <w:footnoteRef/>
      </w:r>
      <w:r>
        <w:t xml:space="preserve"> </w:t>
      </w:r>
      <w:r w:rsidRPr="008D08C9">
        <w:rPr>
          <w:rFonts w:eastAsia="Calibri"/>
        </w:rPr>
        <w:t xml:space="preserve">Report </w:t>
      </w:r>
      <w:r>
        <w:rPr>
          <w:rFonts w:eastAsia="Calibri"/>
        </w:rPr>
        <w:t xml:space="preserve">of the </w:t>
      </w:r>
      <w:r w:rsidR="006B22B3">
        <w:t xml:space="preserve">Decision XX/7 </w:t>
      </w:r>
      <w:r>
        <w:rPr>
          <w:rFonts w:eastAsia="Calibri"/>
        </w:rPr>
        <w:t>TEAP</w:t>
      </w:r>
      <w:r w:rsidRPr="008D08C9">
        <w:t xml:space="preserve"> Task Force on Environmentally Sound Management of Banks of Ozone-Depleting Substances, Phase 2 Report, October 2009. </w:t>
      </w:r>
      <w:hyperlink r:id="rId22" w:history="1">
        <w:r w:rsidRPr="008D08C9">
          <w:t>https://ozone.unep.org/sites/default/files/2019-05/teap-october-2009-decisionXX-7-task-force-phase2-report.pdf</w:t>
        </w:r>
      </w:hyperlink>
      <w:r w:rsidR="008C0F1C">
        <w:t>.</w:t>
      </w:r>
    </w:p>
  </w:footnote>
  <w:footnote w:id="108">
    <w:p w14:paraId="395BE9E7" w14:textId="3C65CCBE" w:rsidR="00A80DFB" w:rsidRPr="00326859" w:rsidRDefault="00A80DFB" w:rsidP="00BC034E">
      <w:pPr>
        <w:pStyle w:val="FootnoteText"/>
        <w:rPr>
          <w:lang w:val="en-AU"/>
        </w:rPr>
      </w:pPr>
      <w:r>
        <w:rPr>
          <w:rStyle w:val="FootnoteReference"/>
        </w:rPr>
        <w:footnoteRef/>
      </w:r>
      <w:r>
        <w:t xml:space="preserve"> </w:t>
      </w:r>
      <w:r w:rsidR="006B22B3">
        <w:t xml:space="preserve">Ibid., </w:t>
      </w:r>
      <w:r>
        <w:t>Decision XX/7 TEAP Task Force</w:t>
      </w:r>
      <w:r w:rsidR="00CE43EF">
        <w:t>,</w:t>
      </w:r>
      <w:r>
        <w:t xml:space="preserve"> 2009. </w:t>
      </w:r>
    </w:p>
  </w:footnote>
  <w:footnote w:id="109">
    <w:p w14:paraId="3E7E136E" w14:textId="77777777" w:rsidR="00C06496" w:rsidRPr="007576E2" w:rsidRDefault="00C06496" w:rsidP="00BC034E">
      <w:pPr>
        <w:pStyle w:val="FootnoteText"/>
        <w:rPr>
          <w:lang w:val="en-AU"/>
        </w:rPr>
      </w:pPr>
      <w:r>
        <w:rPr>
          <w:rStyle w:val="FootnoteReference"/>
        </w:rPr>
        <w:footnoteRef/>
      </w:r>
      <w:r>
        <w:t xml:space="preserve"> </w:t>
      </w:r>
      <w:r w:rsidRPr="00203037">
        <w:t>ICF</w:t>
      </w:r>
      <w:r>
        <w:t xml:space="preserve">, </w:t>
      </w:r>
      <w:r w:rsidRPr="007576E2">
        <w:rPr>
          <w:i/>
          <w:iCs/>
        </w:rPr>
        <w:t xml:space="preserve">Identifying and Assessing Policy Options for Promoting the Recovery and Destruction of Ozone Depleting Substances (ODS) and Certain Fluorinated Greenhouse Gases (F-Gases) Banked </w:t>
      </w:r>
      <w:r>
        <w:rPr>
          <w:i/>
          <w:iCs/>
        </w:rPr>
        <w:t>i</w:t>
      </w:r>
      <w:r w:rsidRPr="007576E2">
        <w:rPr>
          <w:i/>
          <w:iCs/>
        </w:rPr>
        <w:t>n Products and Equipment</w:t>
      </w:r>
      <w:r>
        <w:t>,</w:t>
      </w:r>
      <w:r w:rsidRPr="00203037">
        <w:t xml:space="preserve"> 2010</w:t>
      </w:r>
      <w:r>
        <w:t>.</w:t>
      </w:r>
      <w:r w:rsidRPr="001B2E57">
        <w:t xml:space="preserve"> </w:t>
      </w:r>
      <w:r>
        <w:t>P</w:t>
      </w:r>
      <w:r w:rsidRPr="00203037">
        <w:t xml:space="preserve">repared for the European Commission. </w:t>
      </w:r>
    </w:p>
  </w:footnote>
  <w:footnote w:id="110">
    <w:p w14:paraId="654DABCC" w14:textId="626D2B63" w:rsidR="000D6116" w:rsidRPr="001B227F" w:rsidRDefault="000D6116" w:rsidP="00BC034E">
      <w:pPr>
        <w:pStyle w:val="FootnoteText"/>
        <w:rPr>
          <w:lang w:val="en-AU"/>
        </w:rPr>
      </w:pPr>
      <w:r>
        <w:rPr>
          <w:rStyle w:val="FootnoteReference"/>
        </w:rPr>
        <w:footnoteRef/>
      </w:r>
      <w:r>
        <w:t xml:space="preserve"> </w:t>
      </w:r>
      <w:r w:rsidR="00A017E3">
        <w:t xml:space="preserve">Ibid., </w:t>
      </w:r>
      <w:r>
        <w:t xml:space="preserve">GIZ </w:t>
      </w:r>
      <w:proofErr w:type="spellStart"/>
      <w:r>
        <w:t>Proklima</w:t>
      </w:r>
      <w:proofErr w:type="spellEnd"/>
      <w:r>
        <w:t xml:space="preserve">, 2015. </w:t>
      </w:r>
    </w:p>
  </w:footnote>
  <w:footnote w:id="111">
    <w:p w14:paraId="7E62EB16" w14:textId="4C727CD9" w:rsidR="00D36F13" w:rsidRPr="00043208" w:rsidRDefault="00D36F13" w:rsidP="00BC034E">
      <w:pPr>
        <w:pStyle w:val="FootnoteText"/>
        <w:rPr>
          <w:lang w:val="en-AU"/>
        </w:rPr>
      </w:pPr>
      <w:r>
        <w:rPr>
          <w:rStyle w:val="FootnoteReference"/>
        </w:rPr>
        <w:footnoteRef/>
      </w:r>
      <w:r>
        <w:t xml:space="preserve"> </w:t>
      </w:r>
      <w:r w:rsidRPr="003D3177">
        <w:t xml:space="preserve">ICF, </w:t>
      </w:r>
      <w:r w:rsidRPr="003D3177">
        <w:rPr>
          <w:i/>
          <w:iCs/>
        </w:rPr>
        <w:t>Study on the Collection and Treatment of Unwanted Ozone-Depleting Substances in Article 5 and Non-Article 5 Countries</w:t>
      </w:r>
      <w:r>
        <w:t>, 2008.</w:t>
      </w:r>
      <w:r w:rsidRPr="003D3177">
        <w:t xml:space="preserve"> Prepared for the Multilateral Fund</w:t>
      </w:r>
      <w:r>
        <w:t>.</w:t>
      </w:r>
    </w:p>
  </w:footnote>
  <w:footnote w:id="112">
    <w:p w14:paraId="6E5B84DE" w14:textId="77777777" w:rsidR="00067CE9" w:rsidRPr="005D6D4D" w:rsidRDefault="00067CE9" w:rsidP="00067CE9">
      <w:pPr>
        <w:pStyle w:val="FootnoteText"/>
        <w:rPr>
          <w:lang w:val="en-AU"/>
        </w:rPr>
      </w:pPr>
      <w:r w:rsidRPr="00CA7412">
        <w:rPr>
          <w:rStyle w:val="FootnoteReference"/>
        </w:rPr>
        <w:footnoteRef/>
      </w:r>
      <w:r w:rsidRPr="003F6865">
        <w:t xml:space="preserve"> W</w:t>
      </w:r>
      <w:r>
        <w:t xml:space="preserve">MO, Global Atmospheric Watch, Ozone Research and Monitoring, </w:t>
      </w:r>
      <w:r w:rsidRPr="00DD48A5">
        <w:rPr>
          <w:i/>
          <w:iCs/>
        </w:rPr>
        <w:t>Report on the Unexpected Emissions of CFC-11, A Report of the Scientific Assessment Panel of the Montreal Protocol on Substances that Deplete the Ozone Layer</w:t>
      </w:r>
      <w:r>
        <w:t>, April 2021.</w:t>
      </w:r>
    </w:p>
  </w:footnote>
  <w:footnote w:id="113">
    <w:p w14:paraId="4193A02C" w14:textId="77777777" w:rsidR="00067CE9" w:rsidRPr="00823676" w:rsidRDefault="00067CE9" w:rsidP="00067CE9">
      <w:pPr>
        <w:pStyle w:val="FootnoteText"/>
      </w:pPr>
      <w:r>
        <w:rPr>
          <w:rStyle w:val="FootnoteReference"/>
        </w:rPr>
        <w:footnoteRef/>
      </w:r>
      <w:r>
        <w:t xml:space="preserve"> HJ 1058-2019 Determination of ozone-depleting substances including HCFC-22, CFC-11 and HCFC-141b in rigid polyurethane and pre-blended polyether polyols-Portable headspaces/gas chromatography-mass spectrometry, and HJ 1057-2019 Determination of ozone-depleting substances including HCFC-22, CFC-11 and HCFC-141b in pre-blended polyether polyols-headspaces/gas chromatography-mass spectrometry.</w:t>
      </w:r>
    </w:p>
  </w:footnote>
  <w:footnote w:id="114">
    <w:p w14:paraId="38F9B1EE" w14:textId="77777777" w:rsidR="00067CE9" w:rsidRPr="00FD14C7" w:rsidRDefault="00067CE9" w:rsidP="00067CE9">
      <w:pPr>
        <w:pStyle w:val="FootnoteText"/>
        <w:rPr>
          <w:lang w:val="en-AU"/>
        </w:rPr>
      </w:pPr>
      <w:r>
        <w:rPr>
          <w:rStyle w:val="FootnoteReference"/>
        </w:rPr>
        <w:footnoteRef/>
      </w:r>
      <w:r>
        <w:t xml:space="preserve"> </w:t>
      </w:r>
      <w:r w:rsidRPr="00CE5F8B">
        <w:t>UNEP/</w:t>
      </w:r>
      <w:proofErr w:type="spellStart"/>
      <w:r w:rsidRPr="00CE5F8B">
        <w:t>OzL.Pro</w:t>
      </w:r>
      <w:proofErr w:type="spellEnd"/>
      <w:r w:rsidRPr="00CE5F8B">
        <w:t xml:space="preserve">/ExCom/83/11/Add.1, </w:t>
      </w:r>
      <w:r w:rsidRPr="00CE5F8B">
        <w:rPr>
          <w:i/>
          <w:iCs/>
        </w:rPr>
        <w:t>Reports on Projects with Specific Reporting Requirements</w:t>
      </w:r>
      <w:r w:rsidRPr="00CE5F8B">
        <w:t xml:space="preserve">, </w:t>
      </w:r>
      <w:r w:rsidRPr="00CE5F8B">
        <w:rPr>
          <w:i/>
          <w:iCs/>
        </w:rPr>
        <w:t xml:space="preserve">Addendum, </w:t>
      </w:r>
      <w:r w:rsidRPr="00CE5F8B">
        <w:t>3 May 2019; UNEP/</w:t>
      </w:r>
      <w:proofErr w:type="spellStart"/>
      <w:r w:rsidRPr="00CE5F8B">
        <w:t>OzL.Pro</w:t>
      </w:r>
      <w:proofErr w:type="spellEnd"/>
      <w:r w:rsidRPr="00CE5F8B">
        <w:t>/ExCom/84/22/Add.1,</w:t>
      </w:r>
      <w:r w:rsidRPr="00CE5F8B">
        <w:rPr>
          <w:i/>
          <w:iCs/>
        </w:rPr>
        <w:t xml:space="preserve"> Reports on Projects with Specific Reporting Requirements</w:t>
      </w:r>
      <w:r w:rsidRPr="00CE5F8B">
        <w:t xml:space="preserve">, </w:t>
      </w:r>
      <w:r w:rsidRPr="00CE5F8B">
        <w:rPr>
          <w:i/>
          <w:iCs/>
        </w:rPr>
        <w:t xml:space="preserve">Addendum, </w:t>
      </w:r>
      <w:r w:rsidRPr="00CE5F8B">
        <w:t xml:space="preserve">28 November 2019; </w:t>
      </w:r>
      <w:r w:rsidRPr="00CA7412">
        <w:t>UNEP/</w:t>
      </w:r>
      <w:proofErr w:type="spellStart"/>
      <w:r w:rsidRPr="00CA7412">
        <w:t>OzL.Pro</w:t>
      </w:r>
      <w:proofErr w:type="spellEnd"/>
      <w:r w:rsidRPr="00CA7412">
        <w:t>/ExCom/86/21/Add.1</w:t>
      </w:r>
      <w:r w:rsidRPr="005772FF">
        <w:t>,</w:t>
      </w:r>
      <w:r>
        <w:t xml:space="preserve"> </w:t>
      </w:r>
      <w:r w:rsidRPr="00CE5F8B">
        <w:rPr>
          <w:i/>
          <w:iCs/>
        </w:rPr>
        <w:t>Reports on Projects with Specific Reporting Requirements</w:t>
      </w:r>
      <w:r>
        <w:t xml:space="preserve">, </w:t>
      </w:r>
      <w:r w:rsidRPr="000831DA">
        <w:rPr>
          <w:i/>
          <w:iCs/>
        </w:rPr>
        <w:t xml:space="preserve">Addendum, </w:t>
      </w:r>
      <w:r>
        <w:t>6 November 2020.</w:t>
      </w:r>
    </w:p>
  </w:footnote>
  <w:footnote w:id="115">
    <w:p w14:paraId="722AC370" w14:textId="77777777" w:rsidR="00067CE9" w:rsidRPr="00650F96" w:rsidRDefault="00067CE9" w:rsidP="00067CE9">
      <w:pPr>
        <w:pStyle w:val="FootnoteText"/>
        <w:rPr>
          <w:lang w:val="en-AU"/>
        </w:rPr>
      </w:pPr>
      <w:r>
        <w:rPr>
          <w:rStyle w:val="FootnoteReference"/>
        </w:rPr>
        <w:footnoteRef/>
      </w:r>
      <w:r>
        <w:t xml:space="preserve"> </w:t>
      </w:r>
      <w:r w:rsidRPr="00650F96">
        <w:t>UNEP/</w:t>
      </w:r>
      <w:proofErr w:type="spellStart"/>
      <w:r w:rsidRPr="00650F96">
        <w:t>OzL.Pro</w:t>
      </w:r>
      <w:proofErr w:type="spellEnd"/>
      <w:r w:rsidRPr="00650F96">
        <w:t>/ExCom/86/83</w:t>
      </w:r>
      <w:r>
        <w:t xml:space="preserve">, </w:t>
      </w:r>
      <w:r w:rsidRPr="002F3593">
        <w:rPr>
          <w:i/>
          <w:iCs/>
        </w:rPr>
        <w:t>Overview of Current Monitoring, Reporting, Verification and Enforceable Licensing and Quota Systems Developed with Support from the Multilateral Fund (Decision 84/85)</w:t>
      </w:r>
      <w:r>
        <w:t xml:space="preserve">, 21 December 2020. </w:t>
      </w:r>
    </w:p>
  </w:footnote>
  <w:footnote w:id="116">
    <w:p w14:paraId="527FD9AE" w14:textId="5361C64C" w:rsidR="00DB262E" w:rsidRPr="00DB262E" w:rsidRDefault="00DB262E" w:rsidP="00132BBC">
      <w:pPr>
        <w:spacing w:after="120"/>
        <w:rPr>
          <w:color w:val="auto"/>
          <w:sz w:val="18"/>
          <w:szCs w:val="18"/>
        </w:rPr>
      </w:pPr>
      <w:r>
        <w:rPr>
          <w:rStyle w:val="FootnoteReference"/>
        </w:rPr>
        <w:footnoteRef/>
      </w:r>
      <w:r>
        <w:t xml:space="preserve"> </w:t>
      </w:r>
      <w:r w:rsidRPr="00DB262E">
        <w:rPr>
          <w:color w:val="auto"/>
          <w:sz w:val="18"/>
          <w:szCs w:val="18"/>
        </w:rPr>
        <w:t xml:space="preserve">The Harmonized System </w:t>
      </w:r>
      <w:r>
        <w:rPr>
          <w:color w:val="auto"/>
          <w:sz w:val="18"/>
          <w:szCs w:val="18"/>
        </w:rPr>
        <w:t xml:space="preserve">(HS Code) </w:t>
      </w:r>
      <w:r w:rsidRPr="00DB262E">
        <w:rPr>
          <w:color w:val="auto"/>
          <w:sz w:val="18"/>
          <w:szCs w:val="18"/>
        </w:rPr>
        <w:t xml:space="preserve">is a standardized numerical method of classifying traded products. It is used by customs authorities around the world to identify products when assessing duties and taxes and for gathering statistics. </w:t>
      </w:r>
    </w:p>
  </w:footnote>
  <w:footnote w:id="117">
    <w:p w14:paraId="20BF7905" w14:textId="36FDEC58" w:rsidR="00987F8E" w:rsidRPr="00987F8E" w:rsidRDefault="00987F8E" w:rsidP="00484774">
      <w:pPr>
        <w:pStyle w:val="FootnoteText"/>
        <w:rPr>
          <w:lang w:val="en-AU"/>
        </w:rPr>
      </w:pPr>
      <w:r>
        <w:rPr>
          <w:rStyle w:val="FootnoteReference"/>
        </w:rPr>
        <w:footnoteRef/>
      </w:r>
      <w:r>
        <w:t xml:space="preserve"> </w:t>
      </w:r>
      <w:r w:rsidRPr="00987F8E">
        <w:t>UN numbers are four-digit numbers that identify dangerous goods, hazardous substances and articles</w:t>
      </w:r>
      <w:r>
        <w:t xml:space="preserve">, </w:t>
      </w:r>
      <w:r w:rsidRPr="00987F8E">
        <w:t>such as explosives, flammable liquids, toxic substances, etc.</w:t>
      </w:r>
      <w:r>
        <w:t>,</w:t>
      </w:r>
      <w:r w:rsidRPr="00987F8E">
        <w:t xml:space="preserve"> in the framework of international transport. They are assigned by the United Nations Committee of Experts on the Transport of Dangerous Goods.</w:t>
      </w:r>
    </w:p>
  </w:footnote>
  <w:footnote w:id="118">
    <w:p w14:paraId="6ADC334D" w14:textId="38D4F75E" w:rsidR="0073323E" w:rsidRPr="0073323E" w:rsidRDefault="0073323E" w:rsidP="00E642F8">
      <w:pPr>
        <w:pStyle w:val="FootnoteText"/>
        <w:rPr>
          <w:lang w:val="en-AU"/>
        </w:rPr>
      </w:pPr>
      <w:r>
        <w:rPr>
          <w:rStyle w:val="FootnoteReference"/>
        </w:rPr>
        <w:footnoteRef/>
      </w:r>
      <w:r>
        <w:t xml:space="preserve"> </w:t>
      </w:r>
      <w:r w:rsidRPr="0073323E">
        <w:t xml:space="preserve">A CAS Registry Number, or CAS Number, is a unique numerical identifier assigned by the Chemical Abstracts Service (CAS) to every chemical substance described in </w:t>
      </w:r>
      <w:r w:rsidR="00BC212B">
        <w:t>published</w:t>
      </w:r>
      <w:r w:rsidRPr="0073323E">
        <w:t xml:space="preserve"> scientific literature</w:t>
      </w:r>
      <w:r w:rsidR="00BC212B">
        <w:t>.</w:t>
      </w:r>
    </w:p>
  </w:footnote>
  <w:footnote w:id="119">
    <w:p w14:paraId="2910585E" w14:textId="622D6E80" w:rsidR="00384954" w:rsidRPr="007576E2" w:rsidRDefault="00384954" w:rsidP="00E642F8">
      <w:pPr>
        <w:pStyle w:val="FootnoteText"/>
        <w:rPr>
          <w:lang w:val="en-AU"/>
        </w:rPr>
      </w:pPr>
      <w:r>
        <w:rPr>
          <w:rStyle w:val="FootnoteReference"/>
        </w:rPr>
        <w:footnoteRef/>
      </w:r>
      <w:r>
        <w:t xml:space="preserve"> </w:t>
      </w:r>
      <w:proofErr w:type="spellStart"/>
      <w:r w:rsidR="005F0BB5" w:rsidRPr="005F0BB5">
        <w:t>Lickley</w:t>
      </w:r>
      <w:proofErr w:type="spellEnd"/>
      <w:r w:rsidR="005F0BB5" w:rsidRPr="005F0BB5">
        <w:t xml:space="preserve">, M., Solomon, S., Fletcher, S. </w:t>
      </w:r>
      <w:r w:rsidR="005F0BB5" w:rsidRPr="007576E2">
        <w:rPr>
          <w:i/>
          <w:iCs/>
        </w:rPr>
        <w:t>et al</w:t>
      </w:r>
      <w:r w:rsidRPr="007576E2">
        <w:rPr>
          <w:i/>
          <w:iCs/>
        </w:rPr>
        <w:t>.</w:t>
      </w:r>
      <w:r w:rsidR="0093472A">
        <w:t xml:space="preserve">, </w:t>
      </w:r>
      <w:r w:rsidR="0093472A" w:rsidRPr="0093472A">
        <w:t>Quantifying contributions of chlorofluorocarbon banks to emissions and impacts on the ozone layer and climate</w:t>
      </w:r>
      <w:r w:rsidR="0093472A">
        <w:t>,</w:t>
      </w:r>
      <w:r w:rsidRPr="00384954">
        <w:t xml:space="preserve"> </w:t>
      </w:r>
      <w:r w:rsidRPr="007576E2">
        <w:rPr>
          <w:i/>
          <w:iCs/>
        </w:rPr>
        <w:t>Nature Commun</w:t>
      </w:r>
      <w:r>
        <w:t>ications</w:t>
      </w:r>
      <w:r w:rsidR="0061083E">
        <w:t>,</w:t>
      </w:r>
      <w:r w:rsidR="0093472A">
        <w:t xml:space="preserve"> 2020,</w:t>
      </w:r>
      <w:r w:rsidRPr="00384954">
        <w:t xml:space="preserve"> </w:t>
      </w:r>
      <w:r w:rsidRPr="007576E2">
        <w:rPr>
          <w:b/>
          <w:bCs/>
        </w:rPr>
        <w:t>11</w:t>
      </w:r>
      <w:r w:rsidRPr="00384954">
        <w:t>, 1380.</w:t>
      </w:r>
      <w:r w:rsidR="0093472A">
        <w:t xml:space="preserve"> </w:t>
      </w:r>
      <w:r w:rsidR="00317ADC" w:rsidRPr="00317ADC">
        <w:t>https://doi.org/10.1038/s41467-020-15162-7</w:t>
      </w:r>
    </w:p>
  </w:footnote>
  <w:footnote w:id="120">
    <w:p w14:paraId="5FCCCDA1" w14:textId="510A86EF" w:rsidR="00C40F93" w:rsidRPr="007576E2" w:rsidRDefault="00C40F93" w:rsidP="00474791">
      <w:pPr>
        <w:pStyle w:val="FootnoteText"/>
        <w:rPr>
          <w:lang w:val="en-AU"/>
        </w:rPr>
      </w:pPr>
      <w:r>
        <w:rPr>
          <w:rStyle w:val="FootnoteReference"/>
        </w:rPr>
        <w:footnoteRef/>
      </w:r>
      <w:r>
        <w:t xml:space="preserve"> </w:t>
      </w:r>
      <w:r w:rsidR="00AA351E" w:rsidRPr="00E35C08">
        <w:t>Editor</w:t>
      </w:r>
      <w:r w:rsidR="00095B49" w:rsidRPr="00E35C08">
        <w:t>ial</w:t>
      </w:r>
      <w:r w:rsidR="00AA351E">
        <w:t xml:space="preserve">, </w:t>
      </w:r>
      <w:r w:rsidR="00E92A3D" w:rsidRPr="00E92A3D">
        <w:t>Decades-old refrigerators and insulation from buildings are leaking ozone-destroying chemicals: nations must act</w:t>
      </w:r>
      <w:r w:rsidR="00E92A3D">
        <w:t xml:space="preserve">, </w:t>
      </w:r>
      <w:r w:rsidRPr="00C40F93">
        <w:rPr>
          <w:i/>
          <w:iCs/>
          <w:lang w:val="en-AU"/>
        </w:rPr>
        <w:t>Nature</w:t>
      </w:r>
      <w:r w:rsidR="00E942FD">
        <w:rPr>
          <w:i/>
          <w:iCs/>
          <w:lang w:val="en-AU"/>
        </w:rPr>
        <w:t>,</w:t>
      </w:r>
      <w:r w:rsidR="00E942FD">
        <w:rPr>
          <w:lang w:val="en-AU"/>
        </w:rPr>
        <w:t xml:space="preserve"> </w:t>
      </w:r>
      <w:r w:rsidR="0010544B" w:rsidRPr="00C40F93">
        <w:rPr>
          <w:lang w:val="en-AU"/>
        </w:rPr>
        <w:t>2020</w:t>
      </w:r>
      <w:r w:rsidR="0010544B">
        <w:rPr>
          <w:lang w:val="en-AU"/>
        </w:rPr>
        <w:t xml:space="preserve">, </w:t>
      </w:r>
      <w:r w:rsidRPr="00C40F93">
        <w:rPr>
          <w:b/>
          <w:bCs/>
          <w:lang w:val="en-AU"/>
        </w:rPr>
        <w:t>579</w:t>
      </w:r>
      <w:r w:rsidRPr="00C40F93">
        <w:rPr>
          <w:lang w:val="en-AU"/>
        </w:rPr>
        <w:t>, 472</w:t>
      </w:r>
      <w:r w:rsidR="0093472A">
        <w:rPr>
          <w:lang w:val="en-AU"/>
        </w:rPr>
        <w:t>.</w:t>
      </w:r>
      <w:r w:rsidR="00E942FD">
        <w:rPr>
          <w:lang w:val="en-AU"/>
        </w:rPr>
        <w:t xml:space="preserve"> </w:t>
      </w:r>
      <w:hyperlink r:id="rId23" w:history="1">
        <w:r w:rsidRPr="007576E2">
          <w:rPr>
            <w:rStyle w:val="Hyperlink"/>
            <w:lang w:val="en-AU"/>
          </w:rPr>
          <w:t>https://doi.org/10.1038/d41586-020-00883-y</w:t>
        </w:r>
      </w:hyperlink>
      <w:r w:rsidR="008C0F1C">
        <w:rPr>
          <w:rStyle w:val="Hyperlink"/>
          <w:lang w:val="en-AU"/>
        </w:rPr>
        <w:t>.</w:t>
      </w:r>
    </w:p>
  </w:footnote>
  <w:footnote w:id="121">
    <w:p w14:paraId="3B041538" w14:textId="6E1652DC" w:rsidR="00233770" w:rsidRPr="00DA3BE8" w:rsidRDefault="00233770" w:rsidP="001F7D84">
      <w:pPr>
        <w:pStyle w:val="FootnoteText"/>
        <w:rPr>
          <w:lang w:val="en-AU"/>
        </w:rPr>
      </w:pPr>
      <w:r>
        <w:rPr>
          <w:rStyle w:val="FootnoteReference"/>
        </w:rPr>
        <w:footnoteRef/>
      </w:r>
      <w:r>
        <w:t xml:space="preserve"> </w:t>
      </w:r>
      <w:r>
        <w:rPr>
          <w:lang w:val="en-AU"/>
        </w:rPr>
        <w:t>Excludes estimated additional bank resulting from unreported CFC-11 production and use.</w:t>
      </w:r>
    </w:p>
  </w:footnote>
  <w:footnote w:id="122">
    <w:p w14:paraId="3342A7EB" w14:textId="77777777" w:rsidR="00801047" w:rsidRPr="00DA3BE8" w:rsidRDefault="00801047" w:rsidP="00801047">
      <w:pPr>
        <w:pStyle w:val="FootnoteText"/>
        <w:rPr>
          <w:lang w:val="en-AU"/>
        </w:rPr>
      </w:pPr>
      <w:r>
        <w:rPr>
          <w:rStyle w:val="FootnoteReference"/>
        </w:rPr>
        <w:footnoteRef/>
      </w:r>
      <w:r>
        <w:t xml:space="preserve"> </w:t>
      </w:r>
      <w:r>
        <w:rPr>
          <w:lang w:val="en-AU"/>
        </w:rPr>
        <w:t>Excludes estimated additional bank resulting from unreported CFC-11 production and use.</w:t>
      </w:r>
    </w:p>
  </w:footnote>
  <w:footnote w:id="123">
    <w:p w14:paraId="1744DA8C" w14:textId="4FA6A610" w:rsidR="002D04C5" w:rsidRPr="00753A12" w:rsidRDefault="009E4290" w:rsidP="00BA51F6">
      <w:pPr>
        <w:pStyle w:val="FootnoteText"/>
        <w:rPr>
          <w:lang w:val="en-US"/>
        </w:rPr>
      </w:pPr>
      <w:r>
        <w:rPr>
          <w:rStyle w:val="FootnoteReference"/>
        </w:rPr>
        <w:footnoteRef/>
      </w:r>
      <w:r w:rsidR="002D04C5">
        <w:t xml:space="preserve"> Zhou </w:t>
      </w:r>
      <w:r w:rsidR="002D04C5" w:rsidRPr="00753A12">
        <w:rPr>
          <w:i/>
          <w:iCs/>
        </w:rPr>
        <w:t>et al</w:t>
      </w:r>
      <w:r w:rsidR="00E35C08">
        <w:t>.,</w:t>
      </w:r>
      <w:r>
        <w:t xml:space="preserve"> </w:t>
      </w:r>
      <w:r w:rsidR="00287B6C">
        <w:t>Estimating Lifetimes and Stock Turnover Dynamics of Urban Residential Buildings in China</w:t>
      </w:r>
      <w:r w:rsidR="00E35C08">
        <w:t xml:space="preserve">, </w:t>
      </w:r>
      <w:r w:rsidR="002D04C5" w:rsidRPr="002D04C5">
        <w:rPr>
          <w:lang w:val="en-US"/>
        </w:rPr>
        <w:t>https://www.mdpi.com/2071-1050/11/13/3720/pdf#:~:text=The%20specified%20Weibull%20distribution%20had,design%20lifetime%20of%2050%20years.</w:t>
      </w:r>
    </w:p>
  </w:footnote>
  <w:footnote w:id="124">
    <w:p w14:paraId="505E114C" w14:textId="4E879A26" w:rsidR="00542D89" w:rsidRPr="00753A12" w:rsidRDefault="00542D89" w:rsidP="00801047">
      <w:pPr>
        <w:pStyle w:val="FootnoteText"/>
        <w:rPr>
          <w:lang w:val="en-US"/>
        </w:rPr>
      </w:pPr>
      <w:r>
        <w:rPr>
          <w:rStyle w:val="FootnoteReference"/>
        </w:rPr>
        <w:footnoteRef/>
      </w:r>
      <w:r>
        <w:t xml:space="preserve"> </w:t>
      </w:r>
      <w:proofErr w:type="spellStart"/>
      <w:r w:rsidR="00D319B7">
        <w:t>Aktas</w:t>
      </w:r>
      <w:proofErr w:type="spellEnd"/>
      <w:r w:rsidR="00D319B7">
        <w:t>, Can and Bile, M</w:t>
      </w:r>
      <w:r w:rsidR="000728A9">
        <w:t>,</w:t>
      </w:r>
      <w:r w:rsidR="00D319B7">
        <w:t xml:space="preserve"> Lifetime on U.S. Residential Building LCA Results</w:t>
      </w:r>
      <w:r w:rsidR="000728A9">
        <w:t>,</w:t>
      </w:r>
      <w:r w:rsidR="00D319B7">
        <w:t xml:space="preserve"> </w:t>
      </w:r>
      <w:r w:rsidR="00D319B7" w:rsidRPr="00BB1B21">
        <w:t>https://digitalcommons.newhaven.edu/cgi/viewcontent.cgi?referer=&amp;httpsredir=1&amp;article=1002&amp;context=civilengineering-facpubs</w:t>
      </w:r>
      <w:r w:rsidR="00945627">
        <w:t>.</w:t>
      </w:r>
    </w:p>
  </w:footnote>
  <w:footnote w:id="125">
    <w:p w14:paraId="612823A3" w14:textId="620CC082" w:rsidR="00716735" w:rsidRPr="00716735" w:rsidRDefault="00716735">
      <w:pPr>
        <w:pStyle w:val="FootnoteText"/>
        <w:rPr>
          <w:lang w:val="en-AU"/>
        </w:rPr>
      </w:pPr>
      <w:r>
        <w:rPr>
          <w:rStyle w:val="FootnoteReference"/>
        </w:rPr>
        <w:footnoteRef/>
      </w:r>
      <w:r>
        <w:t xml:space="preserve"> </w:t>
      </w:r>
      <w:r w:rsidRPr="00716735">
        <w:t>Excludes estimated additional bank resulting from unreported CFC-11 production and use.</w:t>
      </w:r>
    </w:p>
  </w:footnote>
  <w:footnote w:id="126">
    <w:p w14:paraId="63D8195F" w14:textId="7E71173A" w:rsidR="00716735" w:rsidRPr="00716735" w:rsidRDefault="00716735">
      <w:pPr>
        <w:pStyle w:val="FootnoteText"/>
        <w:rPr>
          <w:lang w:val="en-AU"/>
        </w:rPr>
      </w:pPr>
      <w:r>
        <w:rPr>
          <w:rStyle w:val="FootnoteReference"/>
        </w:rPr>
        <w:footnoteRef/>
      </w:r>
      <w:r>
        <w:t xml:space="preserve"> </w:t>
      </w:r>
      <w:r w:rsidRPr="00716735">
        <w:t>Excludes estimated additional bank resulting from unreported CFC-11 production and use.</w:t>
      </w:r>
    </w:p>
  </w:footnote>
  <w:footnote w:id="127">
    <w:p w14:paraId="76324FBB" w14:textId="16585F9E" w:rsidR="00716735" w:rsidRPr="00716735" w:rsidRDefault="00716735">
      <w:pPr>
        <w:pStyle w:val="FootnoteText"/>
        <w:rPr>
          <w:lang w:val="en-AU"/>
        </w:rPr>
      </w:pPr>
      <w:r>
        <w:rPr>
          <w:rStyle w:val="FootnoteReference"/>
        </w:rPr>
        <w:footnoteRef/>
      </w:r>
      <w:r>
        <w:t xml:space="preserve"> </w:t>
      </w:r>
      <w:r w:rsidRPr="00716735">
        <w:t>Excludes estimated additional bank resulting from unreported CFC-11 production and use.</w:t>
      </w:r>
    </w:p>
  </w:footnote>
  <w:footnote w:id="128">
    <w:p w14:paraId="4746178C" w14:textId="06B0F991" w:rsidR="00233770" w:rsidRPr="00574A5F" w:rsidRDefault="00233770" w:rsidP="00801047">
      <w:pPr>
        <w:pStyle w:val="FootnoteText"/>
        <w:rPr>
          <w:lang w:val="en-AU"/>
        </w:rPr>
      </w:pPr>
      <w:r>
        <w:rPr>
          <w:rStyle w:val="FootnoteReference"/>
        </w:rPr>
        <w:footnoteRef/>
      </w:r>
      <w:r>
        <w:t xml:space="preserve"> </w:t>
      </w:r>
      <w:r>
        <w:rPr>
          <w:lang w:val="en-AU"/>
        </w:rPr>
        <w:t>Excludes estimated additional bank resulting from unreported CFC-11 production and use.</w:t>
      </w:r>
    </w:p>
  </w:footnote>
  <w:footnote w:id="129">
    <w:p w14:paraId="78F44F94" w14:textId="2CCF71ED" w:rsidR="0021567F" w:rsidRPr="00043208" w:rsidRDefault="0021567F" w:rsidP="00BC034E">
      <w:pPr>
        <w:pStyle w:val="FootnoteText"/>
        <w:rPr>
          <w:lang w:val="en-US"/>
        </w:rPr>
      </w:pPr>
      <w:r>
        <w:rPr>
          <w:rStyle w:val="FootnoteReference"/>
        </w:rPr>
        <w:footnoteRef/>
      </w:r>
      <w:r>
        <w:t xml:space="preserve"> </w:t>
      </w:r>
      <w:r w:rsidR="000556FD">
        <w:rPr>
          <w:lang w:val="en-US"/>
        </w:rPr>
        <w:t xml:space="preserve">The Task Force consulted with industry </w:t>
      </w:r>
      <w:r w:rsidR="00CC2C06">
        <w:rPr>
          <w:lang w:val="en-US"/>
        </w:rPr>
        <w:t xml:space="preserve">associations, </w:t>
      </w:r>
      <w:r w:rsidR="000556FD">
        <w:rPr>
          <w:lang w:val="en-US"/>
        </w:rPr>
        <w:t xml:space="preserve">industry experts that service </w:t>
      </w:r>
      <w:r w:rsidR="006158EF">
        <w:rPr>
          <w:lang w:val="en-US"/>
        </w:rPr>
        <w:t xml:space="preserve">and dismantle </w:t>
      </w:r>
      <w:r w:rsidR="000556FD">
        <w:rPr>
          <w:lang w:val="en-US"/>
        </w:rPr>
        <w:t xml:space="preserve">equipment </w:t>
      </w:r>
      <w:r w:rsidR="00CC2C06">
        <w:rPr>
          <w:lang w:val="en-US"/>
        </w:rPr>
        <w:t xml:space="preserve">to confirm </w:t>
      </w:r>
      <w:r w:rsidR="004538AB">
        <w:rPr>
          <w:lang w:val="en-US"/>
        </w:rPr>
        <w:t xml:space="preserve">the reasonableness of </w:t>
      </w:r>
      <w:r w:rsidR="004960F6">
        <w:rPr>
          <w:lang w:val="en-US"/>
        </w:rPr>
        <w:t>current estimates of CFC-11 remaining in centrifugal chillers</w:t>
      </w:r>
      <w:r w:rsidR="004538AB">
        <w:rPr>
          <w:lang w:val="en-US"/>
        </w:rPr>
        <w:t xml:space="preserve"> and in </w:t>
      </w:r>
      <w:r w:rsidR="004224B8">
        <w:rPr>
          <w:lang w:val="en-US"/>
        </w:rPr>
        <w:t>inventory to service chillers</w:t>
      </w:r>
      <w:r w:rsidR="004960F6">
        <w:rPr>
          <w:lang w:val="en-US"/>
        </w:rPr>
        <w:t xml:space="preserve">, </w:t>
      </w:r>
      <w:r w:rsidR="006A792D">
        <w:rPr>
          <w:lang w:val="en-US"/>
        </w:rPr>
        <w:t xml:space="preserve">and </w:t>
      </w:r>
      <w:r w:rsidR="004960F6">
        <w:rPr>
          <w:lang w:val="en-US"/>
        </w:rPr>
        <w:t>end-of-life practices</w:t>
      </w:r>
      <w:r w:rsidR="004224B8">
        <w:rPr>
          <w:lang w:val="en-US"/>
        </w:rPr>
        <w:t xml:space="preserve"> including reclamation</w:t>
      </w:r>
      <w:r w:rsidR="004960F6">
        <w:rPr>
          <w:lang w:val="en-US"/>
        </w:rPr>
        <w:t xml:space="preserve"> and </w:t>
      </w:r>
      <w:r w:rsidR="006A792D">
        <w:rPr>
          <w:lang w:val="en-US"/>
        </w:rPr>
        <w:t>destruction of CFC-11.</w:t>
      </w:r>
    </w:p>
  </w:footnote>
  <w:footnote w:id="130">
    <w:p w14:paraId="138AC364" w14:textId="7A4F3E1D" w:rsidR="00716735" w:rsidRPr="00716735" w:rsidRDefault="00716735">
      <w:pPr>
        <w:pStyle w:val="FootnoteText"/>
        <w:rPr>
          <w:lang w:val="en-AU"/>
        </w:rPr>
      </w:pPr>
      <w:r>
        <w:rPr>
          <w:rStyle w:val="FootnoteReference"/>
        </w:rPr>
        <w:footnoteRef/>
      </w:r>
      <w:r>
        <w:t xml:space="preserve"> </w:t>
      </w:r>
      <w:r w:rsidRPr="00716735">
        <w:t>Excludes estimated additional bank resulting from unreported CFC-11 production and use.</w:t>
      </w:r>
    </w:p>
  </w:footnote>
  <w:footnote w:id="131">
    <w:p w14:paraId="0B62F042" w14:textId="77777777" w:rsidR="00E11F0F" w:rsidRPr="00D369A7" w:rsidRDefault="00E11F0F" w:rsidP="00BC034E">
      <w:pPr>
        <w:pStyle w:val="FootnoteText"/>
        <w:rPr>
          <w:lang w:val="en-AU"/>
        </w:rPr>
      </w:pPr>
      <w:r>
        <w:rPr>
          <w:rStyle w:val="FootnoteReference"/>
        </w:rPr>
        <w:footnoteRef/>
      </w:r>
      <w:r>
        <w:t xml:space="preserve"> GIZ </w:t>
      </w:r>
      <w:proofErr w:type="spellStart"/>
      <w:r>
        <w:t>Proklima</w:t>
      </w:r>
      <w:proofErr w:type="spellEnd"/>
      <w:r>
        <w:t xml:space="preserve">, </w:t>
      </w:r>
      <w:r w:rsidRPr="004D4E82">
        <w:rPr>
          <w:i/>
          <w:iCs/>
        </w:rPr>
        <w:t>Banks and Emissions of CFC-11 and CFC-12, Country data and possible consequences for global modelling</w:t>
      </w:r>
      <w:r>
        <w:t>, 2020.</w:t>
      </w:r>
    </w:p>
  </w:footnote>
  <w:footnote w:id="132">
    <w:p w14:paraId="3A5BD1B6" w14:textId="77777777" w:rsidR="00E11F0F" w:rsidRPr="00FB57E7" w:rsidRDefault="00E11F0F" w:rsidP="00BC034E">
      <w:pPr>
        <w:pStyle w:val="FootnoteText"/>
        <w:rPr>
          <w:lang w:val="en-AU"/>
        </w:rPr>
      </w:pPr>
      <w:r>
        <w:rPr>
          <w:rStyle w:val="FootnoteReference"/>
        </w:rPr>
        <w:footnoteRef/>
      </w:r>
      <w:r>
        <w:t xml:space="preserve"> This may over-estimate the accumulating inactive bank compared the approach taken by the CFC-11 Task Force.</w:t>
      </w:r>
    </w:p>
  </w:footnote>
  <w:footnote w:id="133">
    <w:p w14:paraId="3FB3CCB5" w14:textId="4119E3A4" w:rsidR="001F7D84" w:rsidRPr="00132BBC" w:rsidRDefault="001F7D84">
      <w:pPr>
        <w:pStyle w:val="FootnoteText"/>
        <w:rPr>
          <w:lang w:val="en-AU"/>
        </w:rPr>
      </w:pPr>
      <w:r>
        <w:rPr>
          <w:rStyle w:val="FootnoteReference"/>
        </w:rPr>
        <w:footnoteRef/>
      </w:r>
      <w:r>
        <w:t xml:space="preserve"> </w:t>
      </w:r>
      <w:r w:rsidR="00390EB1">
        <w:rPr>
          <w:lang w:val="en-AU"/>
        </w:rPr>
        <w:t xml:space="preserve">Personal </w:t>
      </w:r>
      <w:r w:rsidR="00096B71">
        <w:rPr>
          <w:lang w:val="en-AU"/>
        </w:rPr>
        <w:t>communications, Heat-International, Germany</w:t>
      </w:r>
      <w:r w:rsidR="00550559">
        <w:rPr>
          <w:lang w:val="en-AU"/>
        </w:rPr>
        <w:t xml:space="preserve">, update to GIZ </w:t>
      </w:r>
      <w:proofErr w:type="spellStart"/>
      <w:r w:rsidR="00550559">
        <w:rPr>
          <w:lang w:val="en-AU"/>
        </w:rPr>
        <w:t>Proklima</w:t>
      </w:r>
      <w:proofErr w:type="spellEnd"/>
      <w:r w:rsidR="00550559">
        <w:rPr>
          <w:lang w:val="en-AU"/>
        </w:rPr>
        <w:t xml:space="preserve"> report.</w:t>
      </w:r>
    </w:p>
  </w:footnote>
  <w:footnote w:id="134">
    <w:p w14:paraId="6C24C6B9" w14:textId="2C3758DB" w:rsidR="00F17655" w:rsidRPr="00B30AAE" w:rsidRDefault="00F17655" w:rsidP="001F7D84">
      <w:pPr>
        <w:pStyle w:val="FootnoteText"/>
        <w:rPr>
          <w:lang w:val="en-AU"/>
        </w:rPr>
      </w:pPr>
      <w:r>
        <w:rPr>
          <w:rStyle w:val="FootnoteReference"/>
        </w:rPr>
        <w:footnoteRef/>
      </w:r>
      <w:r>
        <w:t xml:space="preserve"> </w:t>
      </w:r>
      <w:r w:rsidR="00945627">
        <w:t xml:space="preserve">Ibid., </w:t>
      </w:r>
      <w:r w:rsidR="00727B40">
        <w:t xml:space="preserve">GIZ </w:t>
      </w:r>
      <w:proofErr w:type="spellStart"/>
      <w:r w:rsidR="00727B40">
        <w:t>Proklima</w:t>
      </w:r>
      <w:proofErr w:type="spellEnd"/>
      <w:r w:rsidR="00727B40">
        <w:t>, 2020.</w:t>
      </w:r>
      <w:r w:rsidR="00057BA1">
        <w:t xml:space="preserve"> </w:t>
      </w:r>
      <w:r w:rsidR="00057BA1" w:rsidRPr="00057BA1">
        <w:t xml:space="preserve">With acknowledgment, </w:t>
      </w:r>
      <w:r w:rsidR="00057BA1">
        <w:t xml:space="preserve">the figure is </w:t>
      </w:r>
      <w:r w:rsidR="00057BA1" w:rsidRPr="00057BA1">
        <w:t>reproduced with the permission of the consultant.</w:t>
      </w:r>
    </w:p>
  </w:footnote>
  <w:footnote w:id="135">
    <w:p w14:paraId="2ECE93E5" w14:textId="625895D5" w:rsidR="00AD0CA5" w:rsidRPr="00B30AAE" w:rsidRDefault="00AD0CA5" w:rsidP="00B82176">
      <w:pPr>
        <w:pStyle w:val="FootnoteText"/>
        <w:rPr>
          <w:lang w:val="en-AU"/>
        </w:rPr>
      </w:pPr>
      <w:r>
        <w:rPr>
          <w:rStyle w:val="FootnoteReference"/>
        </w:rPr>
        <w:footnoteRef/>
      </w:r>
      <w:r>
        <w:t xml:space="preserve"> </w:t>
      </w:r>
      <w:r w:rsidR="00945627">
        <w:t xml:space="preserve">Ibid., </w:t>
      </w:r>
      <w:r>
        <w:t xml:space="preserve">GIZ </w:t>
      </w:r>
      <w:proofErr w:type="spellStart"/>
      <w:r>
        <w:t>Proklima</w:t>
      </w:r>
      <w:proofErr w:type="spellEnd"/>
      <w:r>
        <w:t>, 2020.</w:t>
      </w:r>
      <w:r w:rsidR="00057BA1">
        <w:t xml:space="preserve"> </w:t>
      </w:r>
      <w:r w:rsidR="00057BA1" w:rsidRPr="00057BA1">
        <w:t xml:space="preserve">With acknowledgment, </w:t>
      </w:r>
      <w:r w:rsidR="00057BA1">
        <w:t xml:space="preserve">the figure is </w:t>
      </w:r>
      <w:r w:rsidR="00057BA1" w:rsidRPr="00057BA1">
        <w:t>reproduced with the permission of the consultant.</w:t>
      </w:r>
    </w:p>
  </w:footnote>
  <w:footnote w:id="136">
    <w:p w14:paraId="4A9CD51F" w14:textId="7D414CBE" w:rsidR="0049624B" w:rsidRPr="00FF0B10" w:rsidRDefault="0049624B" w:rsidP="00BA51F6">
      <w:pPr>
        <w:pStyle w:val="FootnoteText"/>
        <w:rPr>
          <w:lang w:val="en-AU"/>
        </w:rPr>
      </w:pPr>
      <w:r>
        <w:rPr>
          <w:rStyle w:val="FootnoteReference"/>
        </w:rPr>
        <w:footnoteRef/>
      </w:r>
      <w:r>
        <w:t xml:space="preserve"> </w:t>
      </w:r>
      <w:r w:rsidR="007F5C0D" w:rsidRPr="00D92735">
        <w:t xml:space="preserve">Report of the </w:t>
      </w:r>
      <w:r w:rsidRPr="00D92735">
        <w:rPr>
          <w:lang w:val="en-AU"/>
        </w:rPr>
        <w:t>Medical and Chemicals Technical Options Committee</w:t>
      </w:r>
      <w:r w:rsidR="000752F6">
        <w:rPr>
          <w:lang w:val="en-AU"/>
        </w:rPr>
        <w:t xml:space="preserve">, 2018 Assessment Report, </w:t>
      </w:r>
      <w:r w:rsidR="009C0905">
        <w:rPr>
          <w:lang w:val="en-AU"/>
        </w:rPr>
        <w:t xml:space="preserve">December </w:t>
      </w:r>
      <w:r w:rsidR="000752F6">
        <w:rPr>
          <w:lang w:val="en-AU"/>
        </w:rPr>
        <w:t>201</w:t>
      </w:r>
      <w:r w:rsidR="009C0905">
        <w:rPr>
          <w:lang w:val="en-AU"/>
        </w:rPr>
        <w:t>8</w:t>
      </w:r>
      <w:r w:rsidR="0015161E">
        <w:rPr>
          <w:lang w:val="en-AU"/>
        </w:rPr>
        <w:t>.</w:t>
      </w:r>
    </w:p>
  </w:footnote>
  <w:footnote w:id="137">
    <w:p w14:paraId="3EECD501" w14:textId="77F0E05B" w:rsidR="00764311" w:rsidRPr="00FF0B10" w:rsidRDefault="00764311" w:rsidP="00801047">
      <w:pPr>
        <w:pStyle w:val="FootnoteText"/>
        <w:rPr>
          <w:lang w:val="en-AU"/>
        </w:rPr>
      </w:pPr>
      <w:r>
        <w:rPr>
          <w:rStyle w:val="FootnoteReference"/>
        </w:rPr>
        <w:footnoteRef/>
      </w:r>
      <w:r>
        <w:t xml:space="preserve"> </w:t>
      </w:r>
      <w:r w:rsidR="00CE43EF">
        <w:t xml:space="preserve">Ibid., </w:t>
      </w:r>
      <w:r w:rsidR="00205D86">
        <w:t xml:space="preserve">GIZ </w:t>
      </w:r>
      <w:proofErr w:type="spellStart"/>
      <w:r w:rsidR="00205D86">
        <w:t>Proklima</w:t>
      </w:r>
      <w:proofErr w:type="spellEnd"/>
      <w:r w:rsidR="00205D86">
        <w:t xml:space="preserve">, </w:t>
      </w:r>
      <w:r w:rsidR="00DE5DE3">
        <w:t>2015.</w:t>
      </w:r>
    </w:p>
  </w:footnote>
  <w:footnote w:id="138">
    <w:p w14:paraId="67DEA081" w14:textId="4D5834D2" w:rsidR="0015161E" w:rsidRPr="00FF0B10" w:rsidRDefault="0015161E" w:rsidP="00BC034E">
      <w:pPr>
        <w:pStyle w:val="FootnoteText"/>
        <w:rPr>
          <w:lang w:val="en-AU"/>
        </w:rPr>
      </w:pPr>
      <w:r>
        <w:rPr>
          <w:rStyle w:val="FootnoteReference"/>
        </w:rPr>
        <w:footnoteRef/>
      </w:r>
      <w:r>
        <w:t xml:space="preserve"> </w:t>
      </w:r>
      <w:r w:rsidR="00CE43EF">
        <w:rPr>
          <w:rFonts w:eastAsia="Calibri"/>
        </w:rPr>
        <w:t>Ibid.,</w:t>
      </w:r>
      <w:r w:rsidR="008D08C9">
        <w:rPr>
          <w:rFonts w:eastAsia="Calibri"/>
        </w:rPr>
        <w:t xml:space="preserve"> </w:t>
      </w:r>
      <w:r w:rsidR="00670664">
        <w:rPr>
          <w:rFonts w:eastAsia="Calibri"/>
        </w:rPr>
        <w:t xml:space="preserve">Decision XX/7 </w:t>
      </w:r>
      <w:r w:rsidR="008D08C9">
        <w:rPr>
          <w:rFonts w:eastAsia="Calibri"/>
        </w:rPr>
        <w:t>TEAP</w:t>
      </w:r>
      <w:r w:rsidR="00D45A77" w:rsidRPr="008D08C9">
        <w:t xml:space="preserve"> Task Force</w:t>
      </w:r>
      <w:r w:rsidR="00CE43EF">
        <w:t>,</w:t>
      </w:r>
      <w:r w:rsidR="00D45A77" w:rsidRPr="008D08C9">
        <w:t xml:space="preserve"> </w:t>
      </w:r>
      <w:r w:rsidR="0014169F" w:rsidRPr="008D08C9">
        <w:t>2009.</w:t>
      </w:r>
      <w:r w:rsidR="007C6EE2" w:rsidRPr="008D08C9">
        <w:t xml:space="preserve"> </w:t>
      </w:r>
    </w:p>
  </w:footnote>
  <w:footnote w:id="139">
    <w:p w14:paraId="01BFEA0E" w14:textId="77777777" w:rsidR="00B94D94" w:rsidRPr="00657E4C" w:rsidRDefault="00B94D94" w:rsidP="00B94D94">
      <w:pPr>
        <w:pStyle w:val="FootnoteText"/>
        <w:rPr>
          <w:lang w:val="en-AU"/>
        </w:rPr>
      </w:pPr>
      <w:r>
        <w:rPr>
          <w:rStyle w:val="FootnoteReference"/>
        </w:rPr>
        <w:footnoteRef/>
      </w:r>
      <w:r>
        <w:t xml:space="preserve"> </w:t>
      </w:r>
      <w:r>
        <w:rPr>
          <w:lang w:val="en-AU"/>
        </w:rPr>
        <w:t>The Report of the Decision XX/7 TEAP Task Force (2009) included all ODS and used different models to estimate CFC-11 banks (compared with the estimations by Decision XXX/3 and Decision XXXI/3 CFC-11 Task Forces in 2019 and 2021). These newly generated estimations of ODS entering the waste stream, based on data from the 2009 Decision XX/7 TEAP Task Force study, are provided for comparative purposes, including to show relative proportions of CFC-11 within the ODS waste stream.</w:t>
      </w:r>
    </w:p>
  </w:footnote>
  <w:footnote w:id="140">
    <w:p w14:paraId="131391EF" w14:textId="1B93062F" w:rsidR="00834C0C" w:rsidRPr="00834C0C" w:rsidRDefault="00834C0C" w:rsidP="00474791">
      <w:pPr>
        <w:pStyle w:val="FootnoteText"/>
        <w:rPr>
          <w:lang w:val="en-AU"/>
        </w:rPr>
      </w:pPr>
      <w:r>
        <w:rPr>
          <w:rStyle w:val="FootnoteReference"/>
        </w:rPr>
        <w:footnoteRef/>
      </w:r>
      <w:r>
        <w:t xml:space="preserve"> </w:t>
      </w:r>
      <w:r>
        <w:rPr>
          <w:lang w:val="en-AU"/>
        </w:rPr>
        <w:t>Ibid.</w:t>
      </w:r>
      <w:r w:rsidR="00481107">
        <w:rPr>
          <w:lang w:val="en-AU"/>
        </w:rPr>
        <w:t xml:space="preserve">, </w:t>
      </w:r>
      <w:r w:rsidR="00481107">
        <w:t>Decision XX/7 TEAP Task Force, 2009.</w:t>
      </w:r>
    </w:p>
  </w:footnote>
  <w:footnote w:id="141">
    <w:p w14:paraId="20E704FB" w14:textId="2AD3E1D4" w:rsidR="00265239" w:rsidRPr="00265239" w:rsidRDefault="00265239" w:rsidP="001F7D84">
      <w:pPr>
        <w:pStyle w:val="FootnoteText"/>
        <w:rPr>
          <w:lang w:val="en-AU"/>
        </w:rPr>
      </w:pPr>
      <w:r>
        <w:rPr>
          <w:rStyle w:val="FootnoteReference"/>
        </w:rPr>
        <w:footnoteRef/>
      </w:r>
      <w:r>
        <w:t xml:space="preserve"> </w:t>
      </w:r>
      <w:r w:rsidR="00627C20">
        <w:rPr>
          <w:lang w:val="en-AU"/>
        </w:rPr>
        <w:t xml:space="preserve">The “Appliance and Foams” category includes </w:t>
      </w:r>
      <w:r w:rsidR="00CE7942" w:rsidRPr="00CE7942">
        <w:t>all refrigerants and blowing agents available from domestic refrigerators and other hermetic refrigeration appliances (e.g.</w:t>
      </w:r>
      <w:r w:rsidR="00CE7942">
        <w:t>,</w:t>
      </w:r>
      <w:r w:rsidR="00CE7942" w:rsidRPr="00CE7942">
        <w:t xml:space="preserve"> freezers, stand-alone display cabinets etc.) </w:t>
      </w:r>
      <w:r w:rsidR="00CE7942">
        <w:t>and all other foams</w:t>
      </w:r>
      <w:r w:rsidR="00F61E62">
        <w:t>, such as building insulation foams. The “Other Refrigeration” category includes</w:t>
      </w:r>
      <w:r w:rsidR="0076147F">
        <w:t xml:space="preserve"> refrigerants from other refrigeration</w:t>
      </w:r>
      <w:r w:rsidR="004B3F3D">
        <w:t xml:space="preserve"> applications, including </w:t>
      </w:r>
      <w:r w:rsidR="00F27554">
        <w:t>commercial, industrial</w:t>
      </w:r>
      <w:r w:rsidR="00411CDE">
        <w:t xml:space="preserve">, transport, mobile air conditioning and </w:t>
      </w:r>
      <w:r w:rsidR="004B3F3D">
        <w:t xml:space="preserve">stationary air conditioning </w:t>
      </w:r>
      <w:r w:rsidR="00F27554">
        <w:t>(</w:t>
      </w:r>
      <w:r w:rsidR="00411CDE">
        <w:t xml:space="preserve">e.g., </w:t>
      </w:r>
      <w:r w:rsidR="00F27554">
        <w:t>CFC-11 centrifugal chillers).</w:t>
      </w:r>
    </w:p>
  </w:footnote>
  <w:footnote w:id="142">
    <w:p w14:paraId="5CA7B319" w14:textId="00025CFB" w:rsidR="00256765" w:rsidRPr="00043208" w:rsidRDefault="00256765" w:rsidP="00B82176">
      <w:pPr>
        <w:pStyle w:val="FootnoteText"/>
        <w:rPr>
          <w:lang w:val="en-AU"/>
        </w:rPr>
      </w:pPr>
      <w:r>
        <w:rPr>
          <w:rStyle w:val="FootnoteReference"/>
        </w:rPr>
        <w:footnoteRef/>
      </w:r>
      <w:r>
        <w:t xml:space="preserve"> </w:t>
      </w:r>
      <w:r>
        <w:rPr>
          <w:lang w:val="en-AU"/>
        </w:rPr>
        <w:t xml:space="preserve">The 2015 GIZ </w:t>
      </w:r>
      <w:proofErr w:type="spellStart"/>
      <w:r>
        <w:rPr>
          <w:lang w:val="en-AU"/>
        </w:rPr>
        <w:t>Proklima</w:t>
      </w:r>
      <w:proofErr w:type="spellEnd"/>
      <w:r>
        <w:rPr>
          <w:lang w:val="en-AU"/>
        </w:rPr>
        <w:t xml:space="preserve"> report use</w:t>
      </w:r>
      <w:r w:rsidR="00E80753">
        <w:rPr>
          <w:lang w:val="en-AU"/>
        </w:rPr>
        <w:t>s</w:t>
      </w:r>
      <w:r>
        <w:rPr>
          <w:lang w:val="en-AU"/>
        </w:rPr>
        <w:t xml:space="preserve"> data </w:t>
      </w:r>
      <w:r w:rsidR="0042324B">
        <w:rPr>
          <w:lang w:val="en-AU"/>
        </w:rPr>
        <w:t xml:space="preserve">from </w:t>
      </w:r>
      <w:r>
        <w:rPr>
          <w:lang w:val="en-AU"/>
        </w:rPr>
        <w:t xml:space="preserve">the 2009 Decision XX/7 </w:t>
      </w:r>
      <w:r w:rsidR="000A7547">
        <w:rPr>
          <w:lang w:val="en-AU"/>
        </w:rPr>
        <w:t xml:space="preserve">TEAP </w:t>
      </w:r>
      <w:r>
        <w:rPr>
          <w:lang w:val="en-AU"/>
        </w:rPr>
        <w:t xml:space="preserve">Task Force </w:t>
      </w:r>
      <w:r w:rsidR="000A7547">
        <w:rPr>
          <w:lang w:val="en-AU"/>
        </w:rPr>
        <w:t>R</w:t>
      </w:r>
      <w:r>
        <w:rPr>
          <w:lang w:val="en-AU"/>
        </w:rPr>
        <w:t>eport.</w:t>
      </w:r>
    </w:p>
  </w:footnote>
  <w:footnote w:id="143">
    <w:p w14:paraId="0A17DBE8" w14:textId="5502B45F" w:rsidR="00EB208C" w:rsidRPr="00EB208C" w:rsidRDefault="00EB208C" w:rsidP="00B82176">
      <w:pPr>
        <w:pStyle w:val="FootnoteText"/>
        <w:rPr>
          <w:lang w:val="en-AU"/>
        </w:rPr>
      </w:pPr>
      <w:r>
        <w:rPr>
          <w:rStyle w:val="FootnoteReference"/>
        </w:rPr>
        <w:footnoteRef/>
      </w:r>
      <w:r>
        <w:t xml:space="preserve"> </w:t>
      </w:r>
      <w:r w:rsidR="000A7547">
        <w:t xml:space="preserve">Ibid., </w:t>
      </w:r>
      <w:r w:rsidRPr="00EB208C">
        <w:t xml:space="preserve">GIZ </w:t>
      </w:r>
      <w:proofErr w:type="spellStart"/>
      <w:r w:rsidRPr="00EB208C">
        <w:t>Proklima</w:t>
      </w:r>
      <w:proofErr w:type="spellEnd"/>
      <w:r w:rsidRPr="00EB208C">
        <w:t>, 2020.</w:t>
      </w:r>
    </w:p>
  </w:footnote>
  <w:footnote w:id="144">
    <w:p w14:paraId="2D1990F3" w14:textId="44D3E9C2" w:rsidR="00696443" w:rsidRPr="003F0693" w:rsidRDefault="00696443" w:rsidP="00BA51F6">
      <w:pPr>
        <w:pStyle w:val="FootnoteText"/>
        <w:rPr>
          <w:lang w:val="en-AU"/>
        </w:rPr>
      </w:pPr>
      <w:r>
        <w:rPr>
          <w:rStyle w:val="FootnoteReference"/>
        </w:rPr>
        <w:footnoteRef/>
      </w:r>
      <w:r>
        <w:t xml:space="preserve"> </w:t>
      </w:r>
      <w:r w:rsidRPr="00696443">
        <w:t>SKM ENVIROS</w:t>
      </w:r>
      <w:r w:rsidR="00362FC1">
        <w:t xml:space="preserve">, </w:t>
      </w:r>
      <w:r w:rsidRPr="007576E2">
        <w:rPr>
          <w:i/>
          <w:iCs/>
        </w:rPr>
        <w:t>Further Assessment of Policy Options for the Management and Destruction of Banks of ODS and F-Gases in the EU</w:t>
      </w:r>
      <w:r w:rsidR="00362FC1">
        <w:t>,</w:t>
      </w:r>
      <w:r w:rsidRPr="00696443">
        <w:t xml:space="preserve"> Final report</w:t>
      </w:r>
      <w:r w:rsidR="00362FC1">
        <w:t>, 2012. Prepared for the European Commission.</w:t>
      </w:r>
      <w:r w:rsidR="00715870">
        <w:t xml:space="preserve"> With acknowledgment, </w:t>
      </w:r>
      <w:r w:rsidR="00057BA1">
        <w:t xml:space="preserve">the figure is </w:t>
      </w:r>
      <w:r w:rsidR="00715870">
        <w:t>reproduced with the permission of the consultant.</w:t>
      </w:r>
    </w:p>
  </w:footnote>
  <w:footnote w:id="145">
    <w:p w14:paraId="78C5510D" w14:textId="77777777" w:rsidR="00B94D94" w:rsidRDefault="00B94D94" w:rsidP="00B94D94">
      <w:pPr>
        <w:pStyle w:val="FootnoteText"/>
      </w:pPr>
      <w:r>
        <w:rPr>
          <w:rStyle w:val="FootnoteReference"/>
        </w:rPr>
        <w:footnoteRef/>
      </w:r>
      <w:r>
        <w:t xml:space="preserve"> GIZ </w:t>
      </w:r>
      <w:proofErr w:type="spellStart"/>
      <w:r>
        <w:t>Proklima</w:t>
      </w:r>
      <w:proofErr w:type="spellEnd"/>
      <w:r>
        <w:t xml:space="preserve">, </w:t>
      </w:r>
      <w:r w:rsidRPr="00557F11">
        <w:rPr>
          <w:i/>
          <w:iCs/>
        </w:rPr>
        <w:t>Management and destruction of existing ozone depleting substances banks</w:t>
      </w:r>
      <w:r>
        <w:t xml:space="preserve">, August 2015. </w:t>
      </w:r>
    </w:p>
    <w:p w14:paraId="44C36A6A" w14:textId="77777777" w:rsidR="00B94D94" w:rsidRPr="001B227F" w:rsidRDefault="00B94D94" w:rsidP="00B94D94">
      <w:pPr>
        <w:pStyle w:val="FootnoteText"/>
        <w:rPr>
          <w:lang w:val="en-AU"/>
        </w:rPr>
      </w:pPr>
      <w:r w:rsidRPr="003D3177">
        <w:t xml:space="preserve">ICF, </w:t>
      </w:r>
      <w:r w:rsidRPr="003D3177">
        <w:rPr>
          <w:i/>
          <w:iCs/>
        </w:rPr>
        <w:t>Study on the Collection and Treatment of Unwanted Ozone-Depleting Substances in Article 5 and Non-Article 5 Countries</w:t>
      </w:r>
      <w:r>
        <w:t>, 2008.</w:t>
      </w:r>
      <w:r w:rsidRPr="003D3177">
        <w:t xml:space="preserve"> Prepared for the Multilateral Fund</w:t>
      </w:r>
      <w:r>
        <w:t>.</w:t>
      </w:r>
    </w:p>
  </w:footnote>
  <w:footnote w:id="146">
    <w:p w14:paraId="69667933" w14:textId="485CB1F4" w:rsidR="00E642F8" w:rsidRPr="00132BBC" w:rsidRDefault="00E642F8">
      <w:pPr>
        <w:pStyle w:val="FootnoteText"/>
        <w:rPr>
          <w:lang w:val="en-AU"/>
        </w:rPr>
      </w:pPr>
      <w:r>
        <w:rPr>
          <w:rStyle w:val="FootnoteReference"/>
        </w:rPr>
        <w:footnoteRef/>
      </w:r>
      <w:r>
        <w:t xml:space="preserve"> Ibid., </w:t>
      </w:r>
      <w:r w:rsidRPr="00696443">
        <w:t>SKM ENVIROS</w:t>
      </w:r>
      <w:r>
        <w:t>, 2012.</w:t>
      </w:r>
      <w:r w:rsidR="00057BA1">
        <w:t xml:space="preserve"> </w:t>
      </w:r>
      <w:r w:rsidR="00057BA1" w:rsidRPr="00057BA1">
        <w:t xml:space="preserve">With acknowledgment, </w:t>
      </w:r>
      <w:r w:rsidR="00057BA1">
        <w:t xml:space="preserve">the figure below is </w:t>
      </w:r>
      <w:r w:rsidR="00057BA1" w:rsidRPr="00057BA1">
        <w:t>reproduced with the permission of the consultant.</w:t>
      </w:r>
    </w:p>
  </w:footnote>
  <w:footnote w:id="147">
    <w:p w14:paraId="2810C3FF" w14:textId="1E1E5584" w:rsidR="00936CF0" w:rsidRPr="00936CF0" w:rsidRDefault="00936CF0" w:rsidP="00E642F8">
      <w:pPr>
        <w:pStyle w:val="FootnoteText"/>
        <w:rPr>
          <w:lang w:val="en-AU"/>
        </w:rPr>
      </w:pPr>
      <w:r>
        <w:rPr>
          <w:rStyle w:val="FootnoteReference"/>
        </w:rPr>
        <w:footnoteRef/>
      </w:r>
      <w:r>
        <w:t xml:space="preserve"> </w:t>
      </w:r>
      <w:r w:rsidR="003E4CD9">
        <w:t xml:space="preserve">Ibid., </w:t>
      </w:r>
      <w:r w:rsidRPr="00936CF0">
        <w:t xml:space="preserve">ICF, </w:t>
      </w:r>
      <w:r>
        <w:t>2008.</w:t>
      </w:r>
      <w:r w:rsidRPr="00936CF0">
        <w:t xml:space="preserve"> </w:t>
      </w:r>
    </w:p>
  </w:footnote>
  <w:footnote w:id="148">
    <w:p w14:paraId="0591A510" w14:textId="42BFBFF4" w:rsidR="001B4684" w:rsidRPr="001B4684" w:rsidRDefault="001B4684" w:rsidP="00474791">
      <w:pPr>
        <w:pStyle w:val="FootnoteText"/>
        <w:rPr>
          <w:lang w:val="en-AU"/>
        </w:rPr>
      </w:pPr>
      <w:r>
        <w:rPr>
          <w:rStyle w:val="FootnoteReference"/>
        </w:rPr>
        <w:footnoteRef/>
      </w:r>
      <w:r>
        <w:t xml:space="preserve"> </w:t>
      </w:r>
      <w:r w:rsidR="003E4CD9">
        <w:t xml:space="preserve">Ibid., </w:t>
      </w:r>
      <w:r>
        <w:t xml:space="preserve">GIZ </w:t>
      </w:r>
      <w:proofErr w:type="spellStart"/>
      <w:r>
        <w:t>Proklima</w:t>
      </w:r>
      <w:proofErr w:type="spellEnd"/>
      <w:r>
        <w:t>, 2015.</w:t>
      </w:r>
    </w:p>
  </w:footnote>
  <w:footnote w:id="149">
    <w:p w14:paraId="0E390CA7" w14:textId="554FB008" w:rsidR="0072597B" w:rsidRPr="00D31DDC" w:rsidRDefault="0072597B" w:rsidP="001F7D84">
      <w:pPr>
        <w:pStyle w:val="FootnoteText"/>
      </w:pPr>
      <w:r>
        <w:rPr>
          <w:rStyle w:val="FootnoteReference"/>
        </w:rPr>
        <w:footnoteRef/>
      </w:r>
      <w:r>
        <w:t xml:space="preserve"> </w:t>
      </w:r>
      <w:r w:rsidR="00D31DDC" w:rsidRPr="00D31DDC">
        <w:t xml:space="preserve">Destruction and projects in </w:t>
      </w:r>
      <w:r w:rsidR="000E22D7">
        <w:t>Article 5</w:t>
      </w:r>
      <w:r w:rsidR="00D31DDC" w:rsidRPr="00D31DDC">
        <w:t xml:space="preserve"> </w:t>
      </w:r>
      <w:r w:rsidR="00D31DDC">
        <w:t>parties are</w:t>
      </w:r>
      <w:r w:rsidR="00D31DDC" w:rsidRPr="00D31DDC">
        <w:t xml:space="preserve"> discussed in greater detail in the MCTOC 2018 Assessment Report</w:t>
      </w:r>
      <w:r w:rsidR="008C25B9" w:rsidRPr="00D31DDC">
        <w:t>.</w:t>
      </w:r>
      <w:r w:rsidR="00F3318A">
        <w:t xml:space="preserve"> </w:t>
      </w:r>
      <w:r w:rsidR="007F5C0D">
        <w:t xml:space="preserve">Report of the </w:t>
      </w:r>
      <w:r w:rsidR="00F3318A" w:rsidRPr="00F3318A">
        <w:t>Medical and Chemicals Technical Options Committee, 2018 Assessment Report, December 2018</w:t>
      </w:r>
      <w:r w:rsidR="00F3318A">
        <w:t>.</w:t>
      </w:r>
      <w:r w:rsidR="00195CB4">
        <w:t xml:space="preserve"> </w:t>
      </w:r>
    </w:p>
  </w:footnote>
  <w:footnote w:id="150">
    <w:p w14:paraId="7F753EA1" w14:textId="50679614" w:rsidR="00195CB4" w:rsidRPr="00EE7C18" w:rsidRDefault="00195CB4" w:rsidP="00B82176">
      <w:pPr>
        <w:pStyle w:val="FootnoteText"/>
      </w:pPr>
      <w:r>
        <w:rPr>
          <w:rStyle w:val="FootnoteReference"/>
        </w:rPr>
        <w:footnoteRef/>
      </w:r>
      <w:r>
        <w:t xml:space="preserve"> </w:t>
      </w:r>
      <w:r w:rsidRPr="00195CB4">
        <w:t xml:space="preserve">Early replacement of equipment due to changes in energy efficiency regulations </w:t>
      </w:r>
      <w:r w:rsidR="00EA5338">
        <w:t>would</w:t>
      </w:r>
      <w:r w:rsidRPr="00195CB4">
        <w:t xml:space="preserve"> generate </w:t>
      </w:r>
      <w:r w:rsidR="0073059B">
        <w:t xml:space="preserve">the </w:t>
      </w:r>
      <w:r w:rsidRPr="00195CB4">
        <w:t xml:space="preserve">quantities </w:t>
      </w:r>
      <w:r w:rsidR="0073059B">
        <w:t>to</w:t>
      </w:r>
      <w:r w:rsidRPr="00195CB4">
        <w:t xml:space="preserve"> make recover</w:t>
      </w:r>
      <w:r>
        <w:t>y</w:t>
      </w:r>
      <w:r w:rsidRPr="00195CB4">
        <w:t xml:space="preserve"> and destruction viable.</w:t>
      </w:r>
      <w:r w:rsidR="00521F40">
        <w:t xml:space="preserve"> See </w:t>
      </w:r>
      <w:r w:rsidR="00EE7C18">
        <w:t>UNEP Report of the Technology and Economic Assessment Panel, May 2020, Volume 3: Assessment of the Funding Requirement for the Replenishment of the Multilateral Fund for the Period 2021-2023.</w:t>
      </w:r>
    </w:p>
  </w:footnote>
  <w:footnote w:id="151">
    <w:p w14:paraId="716073BD" w14:textId="46FA3D13" w:rsidR="00EE1ABC" w:rsidRPr="00326859" w:rsidRDefault="00EE1ABC" w:rsidP="00BA51F6">
      <w:pPr>
        <w:pStyle w:val="FootnoteText"/>
        <w:rPr>
          <w:lang w:val="en-AU"/>
        </w:rPr>
      </w:pPr>
      <w:r>
        <w:rPr>
          <w:rStyle w:val="FootnoteReference"/>
        </w:rPr>
        <w:footnoteRef/>
      </w:r>
      <w:r>
        <w:t xml:space="preserve"> </w:t>
      </w:r>
      <w:r w:rsidR="003E4CD9">
        <w:t xml:space="preserve">Ibid., </w:t>
      </w:r>
      <w:r>
        <w:t>Decision XX/7 TEAP Task Force</w:t>
      </w:r>
      <w:r w:rsidR="003E4CD9">
        <w:t>,</w:t>
      </w:r>
      <w:r>
        <w:t xml:space="preserve"> 2009. </w:t>
      </w:r>
    </w:p>
  </w:footnote>
  <w:footnote w:id="152">
    <w:p w14:paraId="5957DB89" w14:textId="77777777" w:rsidR="006451FC" w:rsidRDefault="006451FC" w:rsidP="006451FC">
      <w:pPr>
        <w:pStyle w:val="FootnoteText"/>
      </w:pPr>
      <w:r>
        <w:rPr>
          <w:rStyle w:val="FootnoteReference"/>
        </w:rPr>
        <w:footnoteRef/>
      </w:r>
      <w:r>
        <w:t xml:space="preserve"> </w:t>
      </w:r>
      <w:r w:rsidRPr="004A6153">
        <w:rPr>
          <w:i/>
          <w:iCs/>
        </w:rPr>
        <w:t>Inter alia</w:t>
      </w:r>
      <w:r>
        <w:rPr>
          <w:i/>
          <w:iCs/>
        </w:rPr>
        <w:t>:</w:t>
      </w:r>
    </w:p>
    <w:p w14:paraId="1A8E066B" w14:textId="77777777" w:rsidR="006451FC" w:rsidRDefault="006451FC" w:rsidP="006451FC">
      <w:pPr>
        <w:pStyle w:val="FootnoteText"/>
      </w:pPr>
      <w:r>
        <w:t xml:space="preserve">GIZ </w:t>
      </w:r>
      <w:proofErr w:type="spellStart"/>
      <w:r>
        <w:t>Proklima</w:t>
      </w:r>
      <w:proofErr w:type="spellEnd"/>
      <w:r>
        <w:t xml:space="preserve">, </w:t>
      </w:r>
      <w:r w:rsidRPr="00557F11">
        <w:rPr>
          <w:i/>
          <w:iCs/>
        </w:rPr>
        <w:t>Management and destruction of existing ozone depleting substances banks</w:t>
      </w:r>
      <w:r>
        <w:t>, August 2015.</w:t>
      </w:r>
    </w:p>
    <w:p w14:paraId="5598F3B6" w14:textId="77777777" w:rsidR="006451FC" w:rsidRDefault="006451FC" w:rsidP="006451FC">
      <w:pPr>
        <w:pStyle w:val="FootnoteText"/>
        <w:rPr>
          <w:lang w:val="en-AU"/>
        </w:rPr>
      </w:pPr>
      <w:r>
        <w:rPr>
          <w:lang w:val="en-AU"/>
        </w:rPr>
        <w:t>UNEP</w:t>
      </w:r>
      <w:r w:rsidRPr="00370FD5">
        <w:rPr>
          <w:lang w:val="en-AU"/>
        </w:rPr>
        <w:t xml:space="preserve"> TEAP Report, </w:t>
      </w:r>
      <w:r>
        <w:rPr>
          <w:lang w:val="en-AU"/>
        </w:rPr>
        <w:t xml:space="preserve">April 2018, </w:t>
      </w:r>
      <w:r w:rsidRPr="00370FD5">
        <w:rPr>
          <w:lang w:val="en-AU"/>
        </w:rPr>
        <w:t>Volume 2: Decision XXIX/4 TEAP Task Force Report on vii Destruction Technologies for Controlled Substances</w:t>
      </w:r>
      <w:r>
        <w:rPr>
          <w:lang w:val="en-AU"/>
        </w:rPr>
        <w:t xml:space="preserve">, April 2018. </w:t>
      </w:r>
      <w:hyperlink r:id="rId24" w:history="1">
        <w:r w:rsidRPr="00626EB0">
          <w:rPr>
            <w:rStyle w:val="Hyperlink"/>
            <w:lang w:val="en-AU"/>
          </w:rPr>
          <w:t>https://ozone.unep.org/sites/default/files/2019-04/TEAP-DecXXIX4-TF-Report-April2018.pdf</w:t>
        </w:r>
      </w:hyperlink>
      <w:r>
        <w:rPr>
          <w:lang w:val="en-AU"/>
        </w:rPr>
        <w:t xml:space="preserve"> </w:t>
      </w:r>
    </w:p>
    <w:p w14:paraId="67CA79D6" w14:textId="77777777" w:rsidR="006451FC" w:rsidRDefault="006451FC" w:rsidP="006451FC">
      <w:pPr>
        <w:pStyle w:val="FootnoteText"/>
        <w:rPr>
          <w:lang w:val="en-AU"/>
        </w:rPr>
      </w:pPr>
      <w:r>
        <w:rPr>
          <w:lang w:val="en-AU"/>
        </w:rPr>
        <w:t xml:space="preserve">UNEP </w:t>
      </w:r>
      <w:r w:rsidRPr="004A6153">
        <w:rPr>
          <w:lang w:val="en-AU"/>
        </w:rPr>
        <w:t>TEAP Report</w:t>
      </w:r>
      <w:r>
        <w:rPr>
          <w:lang w:val="en-AU"/>
        </w:rPr>
        <w:t xml:space="preserve"> September 2018,</w:t>
      </w:r>
      <w:r w:rsidRPr="004A6153">
        <w:rPr>
          <w:lang w:val="en-AU"/>
        </w:rPr>
        <w:t xml:space="preserve"> Volume 1</w:t>
      </w:r>
      <w:r>
        <w:rPr>
          <w:lang w:val="en-AU"/>
        </w:rPr>
        <w:t xml:space="preserve">, </w:t>
      </w:r>
      <w:r w:rsidRPr="004A6153">
        <w:rPr>
          <w:lang w:val="en-AU"/>
        </w:rPr>
        <w:t>Decision XXIX/4 TEAP Task Force Report on Destruction Technologies for Controlled Substances</w:t>
      </w:r>
      <w:r>
        <w:rPr>
          <w:lang w:val="en-AU"/>
        </w:rPr>
        <w:t>,</w:t>
      </w:r>
      <w:r w:rsidRPr="004A6153">
        <w:rPr>
          <w:lang w:val="en-AU"/>
        </w:rPr>
        <w:t xml:space="preserve"> Addendum to the May 2018 Supplemental Report</w:t>
      </w:r>
      <w:r>
        <w:rPr>
          <w:lang w:val="en-AU"/>
        </w:rPr>
        <w:t>,</w:t>
      </w:r>
      <w:r w:rsidRPr="004A6153">
        <w:rPr>
          <w:lang w:val="en-AU"/>
        </w:rPr>
        <w:t xml:space="preserve"> September 2018</w:t>
      </w:r>
      <w:r>
        <w:rPr>
          <w:lang w:val="en-AU"/>
        </w:rPr>
        <w:t xml:space="preserve">. </w:t>
      </w:r>
      <w:hyperlink r:id="rId25" w:history="1">
        <w:r w:rsidRPr="00626EB0">
          <w:rPr>
            <w:rStyle w:val="Hyperlink"/>
            <w:lang w:val="en-AU"/>
          </w:rPr>
          <w:t>https://ozone.unep.org/sites/default/files/2019-04/TEAP-DecXXIX4-TF-Addendum-to-May2018-Report_September2018.pdf</w:t>
        </w:r>
      </w:hyperlink>
      <w:r>
        <w:rPr>
          <w:lang w:val="en-AU"/>
        </w:rPr>
        <w:t xml:space="preserve"> </w:t>
      </w:r>
    </w:p>
    <w:p w14:paraId="5DB0F616" w14:textId="77777777" w:rsidR="006451FC" w:rsidRDefault="006451FC" w:rsidP="006451FC">
      <w:pPr>
        <w:pStyle w:val="FootnoteText"/>
        <w:rPr>
          <w:lang w:val="en-AU"/>
        </w:rPr>
      </w:pPr>
      <w:r w:rsidRPr="000F2377">
        <w:rPr>
          <w:lang w:val="en-AU"/>
        </w:rPr>
        <w:t>UNEP/</w:t>
      </w:r>
      <w:proofErr w:type="spellStart"/>
      <w:r w:rsidRPr="000F2377">
        <w:rPr>
          <w:lang w:val="en-AU"/>
        </w:rPr>
        <w:t>OzL.Pro</w:t>
      </w:r>
      <w:proofErr w:type="spellEnd"/>
      <w:r w:rsidRPr="000F2377">
        <w:rPr>
          <w:lang w:val="en-AU"/>
        </w:rPr>
        <w:t>/ExCom/75/10</w:t>
      </w:r>
      <w:r>
        <w:rPr>
          <w:lang w:val="en-AU"/>
        </w:rPr>
        <w:t xml:space="preserve">, </w:t>
      </w:r>
      <w:r w:rsidRPr="000F2377">
        <w:rPr>
          <w:i/>
          <w:iCs/>
          <w:lang w:val="en-AU"/>
        </w:rPr>
        <w:t>Desk study on the evaluation of the pilot demonstration projects on ODS disposal and destruction</w:t>
      </w:r>
      <w:r w:rsidRPr="000F2377">
        <w:rPr>
          <w:lang w:val="en-AU"/>
        </w:rPr>
        <w:t>,</w:t>
      </w:r>
      <w:r>
        <w:rPr>
          <w:lang w:val="en-AU"/>
        </w:rPr>
        <w:t xml:space="preserve"> </w:t>
      </w:r>
      <w:r w:rsidRPr="000F2377">
        <w:rPr>
          <w:lang w:val="en-AU"/>
        </w:rPr>
        <w:t>24 October 2015.</w:t>
      </w:r>
    </w:p>
    <w:p w14:paraId="68DD80AF" w14:textId="580183CB" w:rsidR="006451FC" w:rsidRPr="008C1BEB" w:rsidRDefault="006451FC" w:rsidP="006451FC">
      <w:pPr>
        <w:pStyle w:val="FootnoteText"/>
        <w:rPr>
          <w:lang w:val="en-AU"/>
        </w:rPr>
      </w:pPr>
      <w:r w:rsidRPr="00C96FC6">
        <w:rPr>
          <w:lang w:val="en-AU"/>
        </w:rPr>
        <w:t>UNEP/</w:t>
      </w:r>
      <w:proofErr w:type="spellStart"/>
      <w:r w:rsidRPr="00C96FC6">
        <w:rPr>
          <w:lang w:val="en-AU"/>
        </w:rPr>
        <w:t>OzL.Pro</w:t>
      </w:r>
      <w:proofErr w:type="spellEnd"/>
      <w:r w:rsidRPr="00C96FC6">
        <w:rPr>
          <w:lang w:val="en-AU"/>
        </w:rPr>
        <w:t>/ExCom/84/11</w:t>
      </w:r>
      <w:r>
        <w:rPr>
          <w:lang w:val="en-AU"/>
        </w:rPr>
        <w:t xml:space="preserve">, </w:t>
      </w:r>
      <w:r w:rsidRPr="0072046A">
        <w:rPr>
          <w:i/>
          <w:iCs/>
          <w:lang w:val="en-AU"/>
        </w:rPr>
        <w:t>Final Report on the Evaluation of the Pilot Demonstration Projects on ODS Disposal and Destruction</w:t>
      </w:r>
      <w:r>
        <w:rPr>
          <w:lang w:val="en-AU"/>
        </w:rPr>
        <w:t>,</w:t>
      </w:r>
      <w:r w:rsidRPr="00C96FC6">
        <w:rPr>
          <w:lang w:val="en-AU"/>
        </w:rPr>
        <w:t xml:space="preserve"> 14 November 2019</w:t>
      </w:r>
      <w:r>
        <w:rPr>
          <w:lang w:val="en-AU"/>
        </w:rPr>
        <w:t xml:space="preserve"> and its Corrigendum, </w:t>
      </w:r>
      <w:r w:rsidRPr="005F6892">
        <w:rPr>
          <w:lang w:val="en-AU"/>
        </w:rPr>
        <w:t>UNEP/</w:t>
      </w:r>
      <w:proofErr w:type="spellStart"/>
      <w:r w:rsidRPr="005F6892">
        <w:rPr>
          <w:lang w:val="en-AU"/>
        </w:rPr>
        <w:t>OzL.Pro</w:t>
      </w:r>
      <w:proofErr w:type="spellEnd"/>
      <w:r w:rsidRPr="005F6892">
        <w:rPr>
          <w:lang w:val="en-AU"/>
        </w:rPr>
        <w:t>/ExCom/84/11/Corr.1</w:t>
      </w:r>
      <w:r>
        <w:rPr>
          <w:lang w:val="en-AU"/>
        </w:rPr>
        <w:t>.</w:t>
      </w:r>
      <w:r w:rsidRPr="005F6892">
        <w:rPr>
          <w:lang w:val="en-AU"/>
        </w:rPr>
        <w:t xml:space="preserve"> </w:t>
      </w:r>
    </w:p>
  </w:footnote>
  <w:footnote w:id="153">
    <w:p w14:paraId="753104A3" w14:textId="481645A1" w:rsidR="00743BA0" w:rsidRPr="00350931" w:rsidRDefault="00743BA0" w:rsidP="00BC034E">
      <w:pPr>
        <w:pStyle w:val="FootnoteText"/>
        <w:rPr>
          <w:lang w:val="en-AU"/>
        </w:rPr>
      </w:pPr>
      <w:r>
        <w:rPr>
          <w:rStyle w:val="FootnoteReference"/>
        </w:rPr>
        <w:footnoteRef/>
      </w:r>
      <w:r>
        <w:t xml:space="preserve"> </w:t>
      </w:r>
      <w:r>
        <w:rPr>
          <w:lang w:val="en-AU"/>
        </w:rPr>
        <w:t>95% is the destruction and removal efficiency criteria established as a baseline for recommendation to the Montreal Protocol approved list of technologies to destroy dilute wastes such as foams, recalling that the approved list has a purely administrative purpose for reporting production under Article 7.</w:t>
      </w:r>
      <w:r w:rsidR="00292CFD">
        <w:rPr>
          <w:lang w:val="en-AU"/>
        </w:rPr>
        <w:t xml:space="preserve"> </w:t>
      </w:r>
      <w:r w:rsidR="00250263">
        <w:rPr>
          <w:lang w:val="en-AU"/>
        </w:rPr>
        <w:t>Destruction</w:t>
      </w:r>
      <w:r w:rsidR="00292CFD">
        <w:t xml:space="preserve"> technologies must </w:t>
      </w:r>
      <w:r w:rsidR="006E5632">
        <w:t xml:space="preserve">always </w:t>
      </w:r>
      <w:r w:rsidR="00292CFD">
        <w:t>meet minimum local regulatory environmental standards</w:t>
      </w:r>
      <w:r w:rsidR="00250263">
        <w:t>.</w:t>
      </w:r>
    </w:p>
  </w:footnote>
  <w:footnote w:id="154">
    <w:p w14:paraId="19F2AD55" w14:textId="5EE92536" w:rsidR="002035F6" w:rsidRPr="002035F6" w:rsidRDefault="002035F6" w:rsidP="00BC034E">
      <w:pPr>
        <w:pStyle w:val="FootnoteText"/>
        <w:rPr>
          <w:lang w:val="en-AU"/>
        </w:rPr>
      </w:pPr>
      <w:r>
        <w:rPr>
          <w:rStyle w:val="FootnoteReference"/>
        </w:rPr>
        <w:footnoteRef/>
      </w:r>
      <w:r>
        <w:t xml:space="preserve"> </w:t>
      </w:r>
      <w:r w:rsidR="003E4CD9">
        <w:t xml:space="preserve">Ibid., </w:t>
      </w:r>
      <w:r w:rsidRPr="00936CF0">
        <w:t xml:space="preserve">ICF, </w:t>
      </w:r>
      <w:r>
        <w:t>2008.</w:t>
      </w:r>
      <w:r w:rsidRPr="00936CF0">
        <w:t xml:space="preserve"> </w:t>
      </w:r>
    </w:p>
  </w:footnote>
  <w:footnote w:id="155">
    <w:p w14:paraId="33CF464A" w14:textId="338C000E" w:rsidR="00F956F5" w:rsidRPr="00F956F5" w:rsidRDefault="00F956F5" w:rsidP="00BC034E">
      <w:pPr>
        <w:pStyle w:val="FootnoteText"/>
        <w:rPr>
          <w:lang w:val="en-AU"/>
        </w:rPr>
      </w:pPr>
      <w:r>
        <w:rPr>
          <w:rStyle w:val="FootnoteReference"/>
        </w:rPr>
        <w:footnoteRef/>
      </w:r>
      <w:r>
        <w:t xml:space="preserve"> </w:t>
      </w:r>
      <w:r w:rsidRPr="00C96FC6">
        <w:rPr>
          <w:lang w:val="en-AU"/>
        </w:rPr>
        <w:t>UNEP/</w:t>
      </w:r>
      <w:proofErr w:type="spellStart"/>
      <w:r w:rsidRPr="00C96FC6">
        <w:rPr>
          <w:lang w:val="en-AU"/>
        </w:rPr>
        <w:t>OzL.Pro</w:t>
      </w:r>
      <w:proofErr w:type="spellEnd"/>
      <w:r w:rsidRPr="00C96FC6">
        <w:rPr>
          <w:lang w:val="en-AU"/>
        </w:rPr>
        <w:t>/ExCom/84/11</w:t>
      </w:r>
      <w:r>
        <w:rPr>
          <w:lang w:val="en-AU"/>
        </w:rPr>
        <w:t xml:space="preserve">, </w:t>
      </w:r>
      <w:r w:rsidRPr="0072046A">
        <w:rPr>
          <w:i/>
          <w:iCs/>
          <w:lang w:val="en-AU"/>
        </w:rPr>
        <w:t>Final Report on the Evaluation of the Pilot Demonstration Projects on ODS Disposal and Destruction</w:t>
      </w:r>
      <w:r>
        <w:rPr>
          <w:lang w:val="en-AU"/>
        </w:rPr>
        <w:t>,</w:t>
      </w:r>
      <w:r w:rsidRPr="00C96FC6">
        <w:rPr>
          <w:lang w:val="en-AU"/>
        </w:rPr>
        <w:t xml:space="preserve"> 14 November 2019</w:t>
      </w:r>
      <w:r>
        <w:rPr>
          <w:lang w:val="en-AU"/>
        </w:rPr>
        <w:t xml:space="preserve"> and its Corrigendum, </w:t>
      </w:r>
      <w:r w:rsidRPr="005F6892">
        <w:rPr>
          <w:lang w:val="en-AU"/>
        </w:rPr>
        <w:t>UNEP/</w:t>
      </w:r>
      <w:proofErr w:type="spellStart"/>
      <w:r w:rsidRPr="005F6892">
        <w:rPr>
          <w:lang w:val="en-AU"/>
        </w:rPr>
        <w:t>OzL.Pro</w:t>
      </w:r>
      <w:proofErr w:type="spellEnd"/>
      <w:r w:rsidRPr="005F6892">
        <w:rPr>
          <w:lang w:val="en-AU"/>
        </w:rPr>
        <w:t>/ExCom/84/11/Corr.1</w:t>
      </w:r>
      <w:r>
        <w:rPr>
          <w:lang w:val="en-AU"/>
        </w:rPr>
        <w:t>.</w:t>
      </w:r>
    </w:p>
  </w:footnote>
  <w:footnote w:id="156">
    <w:p w14:paraId="7C22BB7C" w14:textId="33B511B3" w:rsidR="009D23AC" w:rsidRPr="009D23AC" w:rsidRDefault="009D23AC">
      <w:pPr>
        <w:pStyle w:val="FootnoteText"/>
        <w:rPr>
          <w:lang w:val="en-AU"/>
        </w:rPr>
      </w:pPr>
      <w:r>
        <w:rPr>
          <w:rStyle w:val="FootnoteReference"/>
        </w:rPr>
        <w:footnoteRef/>
      </w:r>
      <w:r>
        <w:t xml:space="preserve"> </w:t>
      </w:r>
      <w:r w:rsidRPr="00716735">
        <w:t>Excludes estimated additional bank resulting from unreported CFC-11 production and use.</w:t>
      </w:r>
    </w:p>
  </w:footnote>
  <w:footnote w:id="157">
    <w:p w14:paraId="410C173D" w14:textId="2E1A6364" w:rsidR="009D23AC" w:rsidRPr="009D23AC" w:rsidRDefault="009D23AC">
      <w:pPr>
        <w:pStyle w:val="FootnoteText"/>
        <w:rPr>
          <w:lang w:val="en-AU"/>
        </w:rPr>
      </w:pPr>
      <w:r>
        <w:rPr>
          <w:rStyle w:val="FootnoteReference"/>
        </w:rPr>
        <w:footnoteRef/>
      </w:r>
      <w:r>
        <w:t xml:space="preserve"> </w:t>
      </w:r>
      <w:r w:rsidRPr="00716735">
        <w:t>Excludes estimated additional bank resulting from unreported CFC-11 production and use.</w:t>
      </w:r>
    </w:p>
  </w:footnote>
  <w:footnote w:id="158">
    <w:p w14:paraId="6B801889" w14:textId="544BD5FA" w:rsidR="0097547F" w:rsidRPr="002F5D78" w:rsidRDefault="0097547F" w:rsidP="00BC034E">
      <w:pPr>
        <w:pStyle w:val="FootnoteText"/>
        <w:rPr>
          <w:lang w:val="en-US"/>
        </w:rPr>
      </w:pPr>
      <w:r>
        <w:rPr>
          <w:rStyle w:val="FootnoteReference"/>
        </w:rPr>
        <w:footnoteRef/>
      </w:r>
      <w:r>
        <w:t xml:space="preserve"> More details about the banks by sector can be found in Chapter 5.</w:t>
      </w:r>
      <w:r w:rsidR="00EC4CC3">
        <w:t xml:space="preserve"> </w:t>
      </w:r>
      <w:r>
        <w:t>A summary of the active and inactive banks in the inventory-based model that does not incorporate the regional and product differences can be found in the Appendix 2.</w:t>
      </w:r>
    </w:p>
  </w:footnote>
  <w:footnote w:id="159">
    <w:p w14:paraId="0F12A6EF" w14:textId="657DF2CB" w:rsidR="009D23AC" w:rsidRPr="009D23AC" w:rsidRDefault="009D23AC">
      <w:pPr>
        <w:pStyle w:val="FootnoteText"/>
        <w:rPr>
          <w:lang w:val="en-AU"/>
        </w:rPr>
      </w:pPr>
      <w:r>
        <w:rPr>
          <w:rStyle w:val="FootnoteReference"/>
        </w:rPr>
        <w:footnoteRef/>
      </w:r>
      <w:r>
        <w:t xml:space="preserve"> </w:t>
      </w:r>
      <w:r w:rsidRPr="00716735">
        <w:t>Excludes estimated additional bank resulting from unreported CFC-11 production and use.</w:t>
      </w:r>
    </w:p>
  </w:footnote>
  <w:footnote w:id="160">
    <w:p w14:paraId="04F24720" w14:textId="7046CB8D" w:rsidR="009D23AC" w:rsidRPr="009D23AC" w:rsidRDefault="009D23AC">
      <w:pPr>
        <w:pStyle w:val="FootnoteText"/>
        <w:rPr>
          <w:lang w:val="en-AU"/>
        </w:rPr>
      </w:pPr>
      <w:r>
        <w:rPr>
          <w:rStyle w:val="FootnoteReference"/>
        </w:rPr>
        <w:footnoteRef/>
      </w:r>
      <w:r>
        <w:t xml:space="preserve"> </w:t>
      </w:r>
      <w:r w:rsidRPr="00716735">
        <w:t>Excludes estimated additional bank resulting from unreported CFC-11 production and use.</w:t>
      </w:r>
    </w:p>
  </w:footnote>
  <w:footnote w:id="161">
    <w:p w14:paraId="7D447E73" w14:textId="3BB46F11" w:rsidR="008A7207" w:rsidRPr="00132BBC" w:rsidRDefault="008A7207">
      <w:pPr>
        <w:pStyle w:val="FootnoteText"/>
        <w:rPr>
          <w:lang w:val="en-AU"/>
        </w:rPr>
      </w:pPr>
      <w:r>
        <w:rPr>
          <w:rStyle w:val="FootnoteReference"/>
        </w:rPr>
        <w:footnoteRef/>
      </w:r>
      <w:r>
        <w:t xml:space="preserve"> </w:t>
      </w:r>
      <w:r w:rsidRPr="002C7B18">
        <w:t>Weibull, W.</w:t>
      </w:r>
      <w:r>
        <w:t>,</w:t>
      </w:r>
      <w:r w:rsidRPr="002C7B18">
        <w:t xml:space="preserve"> A Statistical Distribution Function of Wide Applicability</w:t>
      </w:r>
      <w:r>
        <w:t>,</w:t>
      </w:r>
      <w:r w:rsidRPr="002C7B18">
        <w:t xml:space="preserve"> </w:t>
      </w:r>
      <w:r w:rsidRPr="002C7B18">
        <w:rPr>
          <w:i/>
          <w:iCs/>
        </w:rPr>
        <w:t>Journal of Applied Mechanics</w:t>
      </w:r>
      <w:r w:rsidRPr="002C7B18">
        <w:t xml:space="preserve">, </w:t>
      </w:r>
      <w:r w:rsidRPr="009A356D">
        <w:t>1951</w:t>
      </w:r>
      <w:r>
        <w:t>,</w:t>
      </w:r>
      <w:r w:rsidRPr="009A356D">
        <w:t xml:space="preserve"> </w:t>
      </w:r>
      <w:r w:rsidRPr="002C7B18">
        <w:rPr>
          <w:b/>
          <w:bCs/>
        </w:rPr>
        <w:t>18</w:t>
      </w:r>
      <w:r w:rsidRPr="002C7B18">
        <w:t>, 293-297.</w:t>
      </w:r>
    </w:p>
  </w:footnote>
  <w:footnote w:id="162">
    <w:p w14:paraId="06578AB0" w14:textId="5E9DC74B" w:rsidR="008A7207" w:rsidRPr="00132BBC" w:rsidRDefault="008A7207">
      <w:pPr>
        <w:pStyle w:val="FootnoteText"/>
        <w:rPr>
          <w:lang w:val="en-AU"/>
        </w:rPr>
      </w:pPr>
      <w:r>
        <w:rPr>
          <w:rStyle w:val="FootnoteReference"/>
        </w:rPr>
        <w:footnoteRef/>
      </w:r>
      <w:r>
        <w:t xml:space="preserve"> </w:t>
      </w:r>
      <w:r w:rsidRPr="00360ED9">
        <w:rPr>
          <w:rFonts w:eastAsia="Calibri"/>
          <w:szCs w:val="22"/>
        </w:rPr>
        <w:t>U.S. Department of Energy</w:t>
      </w:r>
      <w:r>
        <w:rPr>
          <w:rFonts w:eastAsia="Calibri"/>
          <w:szCs w:val="22"/>
        </w:rPr>
        <w:t xml:space="preserve">, </w:t>
      </w:r>
      <w:r w:rsidRPr="00360ED9">
        <w:rPr>
          <w:rFonts w:eastAsia="Calibri"/>
          <w:szCs w:val="22"/>
        </w:rPr>
        <w:t>2016-12 Final Rule Technical Support Document: Energy Efficiency Program for Consumer Products: Residential Central Air Conditioners and Heat Pumps</w:t>
      </w:r>
      <w:r>
        <w:rPr>
          <w:rFonts w:eastAsia="Calibri"/>
          <w:szCs w:val="22"/>
        </w:rPr>
        <w:t xml:space="preserve">, </w:t>
      </w:r>
      <w:r w:rsidRPr="00360ED9">
        <w:rPr>
          <w:rFonts w:eastAsia="Calibri"/>
          <w:szCs w:val="22"/>
        </w:rPr>
        <w:t xml:space="preserve">2016. Accessed from </w:t>
      </w:r>
      <w:hyperlink r:id="rId26">
        <w:r w:rsidRPr="00360ED9">
          <w:rPr>
            <w:rStyle w:val="Hyperlink"/>
            <w:rFonts w:eastAsia="Calibri"/>
            <w:szCs w:val="22"/>
          </w:rPr>
          <w:t>https://www.regulations.gov/document/EERE-2014-BT-STD-0048-0098</w:t>
        </w:r>
      </w:hyperlink>
      <w:r w:rsidRPr="00360ED9">
        <w:rPr>
          <w:rFonts w:eastAsia="Calibri"/>
          <w:color w:val="000000" w:themeColor="text1"/>
          <w:szCs w:val="22"/>
        </w:rPr>
        <w:t>.</w:t>
      </w:r>
    </w:p>
  </w:footnote>
  <w:footnote w:id="163">
    <w:p w14:paraId="69E29F6A" w14:textId="1A1F4347" w:rsidR="008A7207" w:rsidRPr="00132BBC" w:rsidRDefault="008A7207">
      <w:pPr>
        <w:pStyle w:val="FootnoteText"/>
        <w:rPr>
          <w:lang w:val="en-AU"/>
        </w:rPr>
      </w:pPr>
      <w:r>
        <w:rPr>
          <w:rStyle w:val="FootnoteReference"/>
        </w:rPr>
        <w:footnoteRef/>
      </w:r>
      <w:r>
        <w:t xml:space="preserve"> </w:t>
      </w:r>
      <w:r w:rsidRPr="002C7B18">
        <w:rPr>
          <w:rStyle w:val="FootnoteTextChar2"/>
        </w:rPr>
        <w:t>Gallagher, G</w:t>
      </w:r>
      <w:r>
        <w:rPr>
          <w:rStyle w:val="FootnoteTextChar2"/>
        </w:rPr>
        <w:t>.,</w:t>
      </w:r>
      <w:r w:rsidRPr="002C7B18">
        <w:rPr>
          <w:rStyle w:val="FootnoteTextChar2"/>
        </w:rPr>
        <w:t xml:space="preserve"> California Air Resources Board (CARB)</w:t>
      </w:r>
      <w:r>
        <w:rPr>
          <w:rStyle w:val="FootnoteTextChar2"/>
        </w:rPr>
        <w:t>,</w:t>
      </w:r>
      <w:r w:rsidRPr="002C7B18">
        <w:rPr>
          <w:rStyle w:val="FootnoteTextChar2"/>
        </w:rPr>
        <w:t xml:space="preserve"> Retirement/Survival Curves used by CARB for Refrigeration and Air-Conditioning Equipment.</w:t>
      </w:r>
    </w:p>
  </w:footnote>
  <w:footnote w:id="164">
    <w:p w14:paraId="155012AA" w14:textId="2F826C6F" w:rsidR="008A7207" w:rsidRPr="00132BBC" w:rsidRDefault="008A7207">
      <w:pPr>
        <w:pStyle w:val="FootnoteText"/>
        <w:rPr>
          <w:lang w:val="en-AU"/>
        </w:rPr>
      </w:pPr>
      <w:r>
        <w:rPr>
          <w:rStyle w:val="FootnoteReference"/>
        </w:rPr>
        <w:footnoteRef/>
      </w:r>
      <w:r>
        <w:t xml:space="preserve"> </w:t>
      </w:r>
      <w:r w:rsidRPr="002C7B18">
        <w:rPr>
          <w:rStyle w:val="FootnoteTextChar2"/>
        </w:rPr>
        <w:t>U.S. Department of Energy</w:t>
      </w:r>
      <w:r>
        <w:rPr>
          <w:rStyle w:val="FootnoteTextChar2"/>
        </w:rPr>
        <w:t>,</w:t>
      </w:r>
      <w:r w:rsidRPr="002C7B18">
        <w:rPr>
          <w:rStyle w:val="FootnoteTextChar2"/>
        </w:rPr>
        <w:t xml:space="preserve"> 2016-12 Final Rule Technical Support Document: Energy Efficiency Program for Consumer Products: Residential Central Air Conditioners and Heat Pumps</w:t>
      </w:r>
      <w:r>
        <w:rPr>
          <w:rStyle w:val="FootnoteTextChar2"/>
        </w:rPr>
        <w:t xml:space="preserve">, </w:t>
      </w:r>
      <w:r w:rsidRPr="00EF2487">
        <w:rPr>
          <w:rStyle w:val="FootnoteTextChar2"/>
        </w:rPr>
        <w:t>2016</w:t>
      </w:r>
      <w:r w:rsidRPr="002C7B18">
        <w:rPr>
          <w:rStyle w:val="FootnoteTextChar2"/>
        </w:rPr>
        <w:t xml:space="preserve">. Accessed from </w:t>
      </w:r>
      <w:hyperlink r:id="rId27">
        <w:r w:rsidRPr="002C7B18">
          <w:rPr>
            <w:rStyle w:val="FootnoteTextChar2"/>
          </w:rPr>
          <w:t>https://www.regulations.gov/document/EERE-2014-BT-STD-0048-0098</w:t>
        </w:r>
      </w:hyperlink>
      <w:r w:rsidRPr="002C7B18">
        <w:rPr>
          <w:rStyle w:val="FootnoteTextChar2"/>
        </w:rPr>
        <w:t>.</w:t>
      </w:r>
    </w:p>
  </w:footnote>
  <w:footnote w:id="165">
    <w:p w14:paraId="50431EDA" w14:textId="7F347189" w:rsidR="00EB78F2" w:rsidRPr="00265A67" w:rsidRDefault="00EB78F2" w:rsidP="00E642F8">
      <w:pPr>
        <w:pStyle w:val="FootnoteText"/>
        <w:rPr>
          <w:lang w:val="en-US"/>
        </w:rPr>
      </w:pPr>
      <w:r>
        <w:rPr>
          <w:rStyle w:val="FootnoteReference"/>
        </w:rPr>
        <w:footnoteRef/>
      </w:r>
      <w:r>
        <w:t xml:space="preserve"> </w:t>
      </w:r>
      <w:proofErr w:type="spellStart"/>
      <w:r>
        <w:t>Aktas</w:t>
      </w:r>
      <w:proofErr w:type="spellEnd"/>
      <w:r>
        <w:t xml:space="preserve">, Can and Bile, M Lifetime on U.S. Residential Building LCA Results </w:t>
      </w:r>
      <w:r w:rsidRPr="00BB1B21">
        <w:t>https://digitalcommons.newhaven.edu/cgi/viewcontent.cgi?referer=&amp;httpsredir=1&amp;article=1002&amp;context=civilengineering-facpubs</w:t>
      </w:r>
      <w:r w:rsidR="006E5954">
        <w:t>.</w:t>
      </w:r>
    </w:p>
  </w:footnote>
  <w:footnote w:id="166">
    <w:p w14:paraId="7D627354" w14:textId="63E9336F" w:rsidR="00D76D2F" w:rsidRPr="00132BBC" w:rsidRDefault="00D76D2F">
      <w:pPr>
        <w:pStyle w:val="FootnoteText"/>
        <w:rPr>
          <w:lang w:val="en-US"/>
        </w:rPr>
      </w:pPr>
      <w:r>
        <w:rPr>
          <w:rStyle w:val="FootnoteReference"/>
        </w:rPr>
        <w:footnoteRef/>
      </w:r>
      <w:r>
        <w:t xml:space="preserve"> </w:t>
      </w:r>
      <w:r w:rsidR="008A46F5">
        <w:rPr>
          <w:lang w:val="en-US"/>
        </w:rPr>
        <w:t xml:space="preserve">O’Connor, Jennifer </w:t>
      </w:r>
      <w:r w:rsidR="008A46F5">
        <w:t>Survey on actual service lives for North American buildings</w:t>
      </w:r>
      <w:r w:rsidR="008A46F5">
        <w:rPr>
          <w:lang w:val="en-US"/>
        </w:rPr>
        <w:t xml:space="preserve">  </w:t>
      </w:r>
      <w:r w:rsidR="008A46F5" w:rsidRPr="008A46F5">
        <w:rPr>
          <w:lang w:val="en-US"/>
        </w:rPr>
        <w:t>https://cwc.ca/wp-content/uploads/2013/12/DurabilityService_Life_E.pdf</w:t>
      </w:r>
      <w:r>
        <w:rPr>
          <w:lang w:val="en-US"/>
        </w:rPr>
        <w:t xml:space="preserve">    </w:t>
      </w:r>
    </w:p>
  </w:footnote>
  <w:footnote w:id="167">
    <w:p w14:paraId="32136E33" w14:textId="4F03DD88" w:rsidR="000441B0" w:rsidRPr="00132BBC" w:rsidRDefault="000441B0">
      <w:pPr>
        <w:pStyle w:val="FootnoteText"/>
        <w:rPr>
          <w:lang w:val="en-US"/>
        </w:rPr>
      </w:pPr>
      <w:r>
        <w:rPr>
          <w:rStyle w:val="FootnoteReference"/>
        </w:rPr>
        <w:footnoteRef/>
      </w:r>
      <w:r>
        <w:t xml:space="preserve"> </w:t>
      </w:r>
      <w:r w:rsidR="00A96275">
        <w:rPr>
          <w:lang w:val="en-US"/>
        </w:rPr>
        <w:t>Zhou et al</w:t>
      </w:r>
      <w:r w:rsidR="00EA144D">
        <w:rPr>
          <w:lang w:val="en-US"/>
        </w:rPr>
        <w:t xml:space="preserve">, </w:t>
      </w:r>
      <w:r w:rsidR="00EA144D">
        <w:t>Estimating Lifetimes and Stock Turnover Dynamics of Urban Residential Buildings in China</w:t>
      </w:r>
      <w:r w:rsidR="000F6B41">
        <w:t xml:space="preserve"> </w:t>
      </w:r>
      <w:r w:rsidR="000F6B41" w:rsidRPr="000F6B41">
        <w:t>https://www.mdpi.com/2071-1050/11/13/3720/pdf</w:t>
      </w:r>
    </w:p>
  </w:footnote>
  <w:footnote w:id="168">
    <w:p w14:paraId="3B50FD3E" w14:textId="170067F4" w:rsidR="1AF2A500" w:rsidRPr="00132BBC" w:rsidRDefault="1AF2A500" w:rsidP="00E642F8">
      <w:pPr>
        <w:pStyle w:val="FootnoteText"/>
        <w:rPr>
          <w:lang w:val="en-US"/>
        </w:rPr>
      </w:pPr>
      <w:r>
        <w:rPr>
          <w:rStyle w:val="FootnoteReference"/>
        </w:rPr>
        <w:footnoteRef/>
      </w:r>
      <w:r w:rsidR="00A80B69">
        <w:t xml:space="preserve"> </w:t>
      </w:r>
      <w:r w:rsidR="00902FF0">
        <w:t xml:space="preserve">This includes </w:t>
      </w:r>
      <w:r w:rsidR="00902FF0" w:rsidRPr="00041989">
        <w:t xml:space="preserve">CFC-11, CFC-12 and </w:t>
      </w:r>
      <w:r w:rsidR="00902FF0">
        <w:t>others</w:t>
      </w:r>
      <w:r w:rsidR="006E5954">
        <w:t>.</w:t>
      </w:r>
    </w:p>
  </w:footnote>
  <w:footnote w:id="169">
    <w:p w14:paraId="3C79D634" w14:textId="05A0A707" w:rsidR="00902FF0" w:rsidRPr="00132BBC" w:rsidRDefault="00902FF0" w:rsidP="00474791">
      <w:pPr>
        <w:pStyle w:val="FootnoteText"/>
        <w:rPr>
          <w:lang w:val="en-US"/>
        </w:rPr>
      </w:pPr>
      <w:r>
        <w:rPr>
          <w:rStyle w:val="FootnoteReference"/>
        </w:rPr>
        <w:footnoteRef/>
      </w:r>
      <w:r>
        <w:t xml:space="preserve"> </w:t>
      </w:r>
      <w:r w:rsidR="00331A10">
        <w:rPr>
          <w:lang w:val="en-US"/>
        </w:rPr>
        <w:t>This includes HCFC-141b, HCFC-142b, HCFC-22 and others</w:t>
      </w:r>
      <w:r w:rsidR="006E5954">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3D58D" w14:textId="076A9AD9" w:rsidR="0060224C" w:rsidRDefault="0060224C">
    <w:pPr>
      <w:pStyle w:val="Header"/>
    </w:pPr>
    <w:r>
      <w:rPr>
        <w:noProof/>
        <w:lang w:eastAsia="en-GB"/>
      </w:rPr>
      <mc:AlternateContent>
        <mc:Choice Requires="wps">
          <w:drawing>
            <wp:anchor distT="0" distB="0" distL="114300" distR="114300" simplePos="0" relativeHeight="251658242" behindDoc="1" locked="0" layoutInCell="0" allowOverlap="1" wp14:anchorId="155482B1" wp14:editId="6626829C">
              <wp:simplePos x="0" y="0"/>
              <wp:positionH relativeFrom="margin">
                <wp:align>center</wp:align>
              </wp:positionH>
              <wp:positionV relativeFrom="margin">
                <wp:align>center</wp:align>
              </wp:positionV>
              <wp:extent cx="6631940" cy="1104900"/>
              <wp:effectExtent l="0" t="0" r="0" b="0"/>
              <wp:wrapNone/>
              <wp:docPr id="2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631940" cy="1104900"/>
                      </a:xfrm>
                      <a:prstGeom prst="rect">
                        <a:avLst/>
                      </a:prstGeom>
                    </wps:spPr>
                    <wps:txbx>
                      <w:txbxContent>
                        <w:p w14:paraId="5F6B0F43" w14:textId="77777777" w:rsidR="0060224C" w:rsidRDefault="0060224C" w:rsidP="007D5FE8">
                          <w:pPr>
                            <w:pStyle w:val="NormalWeb"/>
                            <w:spacing w:before="0" w:after="0"/>
                            <w:jc w:val="center"/>
                            <w:rPr>
                              <w:sz w:val="24"/>
                              <w:szCs w:val="24"/>
                            </w:rPr>
                          </w:pPr>
                          <w:r w:rsidRPr="002B45FD">
                            <w:rPr>
                              <w:color w:val="C0C0C0"/>
                              <w:sz w:val="16"/>
                              <w:szCs w:val="16"/>
                            </w:rPr>
                            <w:t>ADVANCE COPY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55482B1" id="_x0000_t202" coordsize="21600,21600" o:spt="202" path="m,l,21600r21600,l21600,xe">
              <v:stroke joinstyle="miter"/>
              <v:path gradientshapeok="t" o:connecttype="rect"/>
            </v:shapetype>
            <v:shape id="WordArt 2" o:spid="_x0000_s1026" type="#_x0000_t202" style="position:absolute;margin-left:0;margin-top:0;width:522.2pt;height:87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" o:allowincell="f" filled="f" stroked="f">
              <v:textbox>
                <w:txbxContent>
                  <w:p w14:paraId="5F6B0F43" w14:textId="77777777" w:rsidR="0060224C" w:rsidRDefault="0060224C" w:rsidP="007D5FE8">
                    <w:pPr>
                      <w:pStyle w:val="NormalWeb"/>
                      <w:spacing w:before="0" w:after="0"/>
                      <w:jc w:val="center"/>
                      <w:rPr>
                        <w:sz w:val="24"/>
                        <w:szCs w:val="24"/>
                      </w:rPr>
                    </w:pPr>
                    <w:r w:rsidRPr="002B45FD">
                      <w:rPr>
                        <w:color w:val="C0C0C0"/>
                        <w:sz w:val="16"/>
                        <w:szCs w:val="16"/>
                      </w:rPr>
                      <w:t>ADVANCE COPY</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2906A" w14:textId="353BDC08" w:rsidR="0060224C" w:rsidRDefault="0060224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F689E" w14:textId="5474E94F" w:rsidR="0060224C" w:rsidRPr="007B7749" w:rsidRDefault="0060224C" w:rsidP="00C86F2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E5BD0" w14:textId="210E1B59" w:rsidR="0060224C" w:rsidRDefault="0060224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19C61" w14:textId="1628A85D" w:rsidR="0060224C" w:rsidRPr="009F7495" w:rsidRDefault="0060224C" w:rsidP="009F749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0B607" w14:textId="30CFC590" w:rsidR="0060224C" w:rsidRDefault="0060224C">
    <w:pPr>
      <w:pStyle w:val="Header"/>
      <w:rPr>
        <w:sz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981CC" w14:textId="242763B4" w:rsidR="0060224C" w:rsidRDefault="0060224C">
    <w:pPr>
      <w:pStyle w:val="Header"/>
    </w:pPr>
    <w:r>
      <w:rPr>
        <w:noProof/>
        <w:lang w:eastAsia="en-GB"/>
      </w:rPr>
      <mc:AlternateContent>
        <mc:Choice Requires="wps">
          <w:drawing>
            <wp:anchor distT="0" distB="0" distL="114300" distR="114300" simplePos="0" relativeHeight="251658246" behindDoc="1" locked="0" layoutInCell="0" allowOverlap="1" wp14:anchorId="774B0C21" wp14:editId="151D51F1">
              <wp:simplePos x="0" y="0"/>
              <wp:positionH relativeFrom="margin">
                <wp:align>center</wp:align>
              </wp:positionH>
              <wp:positionV relativeFrom="margin">
                <wp:align>center</wp:align>
              </wp:positionV>
              <wp:extent cx="6631940" cy="1104900"/>
              <wp:effectExtent l="0" t="0" r="0" b="0"/>
              <wp:wrapNone/>
              <wp:docPr id="18"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631940" cy="1104900"/>
                      </a:xfrm>
                      <a:prstGeom prst="rect">
                        <a:avLst/>
                      </a:prstGeom>
                    </wps:spPr>
                    <wps:txbx>
                      <w:txbxContent>
                        <w:p w14:paraId="30FE15B9" w14:textId="77777777" w:rsidR="0060224C" w:rsidRDefault="0060224C" w:rsidP="007D5FE8">
                          <w:pPr>
                            <w:pStyle w:val="NormalWeb"/>
                            <w:spacing w:before="0" w:after="0"/>
                            <w:jc w:val="center"/>
                            <w:rPr>
                              <w:sz w:val="24"/>
                              <w:szCs w:val="24"/>
                            </w:rPr>
                          </w:pPr>
                          <w:r w:rsidRPr="002B45FD">
                            <w:rPr>
                              <w:color w:val="C0C0C0"/>
                              <w:sz w:val="16"/>
                              <w:szCs w:val="16"/>
                            </w:rPr>
                            <w:t>ADVANCE COPY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type w14:anchorId="774B0C21" id="_x0000_t202" coordsize="21600,21600" o:spt="202" path="m,l,21600r21600,l21600,xe">
              <v:stroke joinstyle="miter"/>
              <v:path gradientshapeok="t" o:connecttype="rect"/>
            </v:shapetype>
            <v:shape id="WordArt 16" o:spid="_x0000_s1030" type="#_x0000_t202" style="position:absolute;margin-left:0;margin-top:0;width:522.2pt;height:87pt;rotation:-45;z-index:-2516582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" o:allowincell="f" filled="f" stroked="f">
              <v:textbox>
                <w:txbxContent>
                  <w:p w14:paraId="30FE15B9" w14:textId="77777777" w:rsidR="0060224C" w:rsidRDefault="0060224C" w:rsidP="007D5FE8">
                    <w:pPr>
                      <w:pStyle w:val="NormalWeb"/>
                      <w:spacing w:before="0" w:after="0"/>
                      <w:jc w:val="center"/>
                      <w:rPr>
                        <w:sz w:val="24"/>
                        <w:szCs w:val="24"/>
                      </w:rPr>
                    </w:pPr>
                    <w:r w:rsidRPr="002B45FD">
                      <w:rPr>
                        <w:color w:val="C0C0C0"/>
                        <w:sz w:val="16"/>
                        <w:szCs w:val="16"/>
                      </w:rPr>
                      <w:t>ADVANCE COPY</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770"/>
      <w:gridCol w:w="2770"/>
      <w:gridCol w:w="2770"/>
    </w:tblGrid>
    <w:tr w:rsidR="6F3C6FA3" w14:paraId="78E7EFF5" w14:textId="77777777" w:rsidTr="00CD0A17">
      <w:tc>
        <w:tcPr>
          <w:tcW w:w="2770" w:type="dxa"/>
        </w:tcPr>
        <w:p w14:paraId="3D6C40D6" w14:textId="21EF2DC9" w:rsidR="6F3C6FA3" w:rsidRDefault="6F3C6FA3" w:rsidP="00CD0A17">
          <w:pPr>
            <w:ind w:left="-115"/>
          </w:pPr>
        </w:p>
      </w:tc>
      <w:tc>
        <w:tcPr>
          <w:tcW w:w="2770" w:type="dxa"/>
        </w:tcPr>
        <w:p w14:paraId="3C43F34E" w14:textId="2880FC5D" w:rsidR="6F3C6FA3" w:rsidRDefault="6F3C6FA3" w:rsidP="00CD0A17">
          <w:pPr>
            <w:jc w:val="center"/>
          </w:pPr>
        </w:p>
      </w:tc>
      <w:tc>
        <w:tcPr>
          <w:tcW w:w="2770" w:type="dxa"/>
        </w:tcPr>
        <w:p w14:paraId="77FB0779" w14:textId="2CA72B71" w:rsidR="6F3C6FA3" w:rsidRDefault="6F3C6FA3" w:rsidP="00CD0A17">
          <w:pPr>
            <w:ind w:right="-115"/>
            <w:jc w:val="right"/>
          </w:pPr>
        </w:p>
      </w:tc>
    </w:tr>
  </w:tbl>
  <w:p w14:paraId="014925E3" w14:textId="1FC32AFC" w:rsidR="00463216" w:rsidRDefault="0046321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0784D" w14:textId="4F8DA11C" w:rsidR="00D032A4" w:rsidRDefault="00D032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35E10" w14:textId="58B7D0EA" w:rsidR="0060224C" w:rsidRDefault="0060224C">
    <w:pPr>
      <w:pStyle w:val="Header"/>
    </w:pPr>
    <w:r>
      <w:rPr>
        <w:noProof/>
        <w:lang w:eastAsia="en-GB"/>
      </w:rPr>
      <mc:AlternateContent>
        <mc:Choice Requires="wps">
          <w:drawing>
            <wp:anchor distT="0" distB="0" distL="114300" distR="114300" simplePos="0" relativeHeight="251658244" behindDoc="1" locked="0" layoutInCell="0" allowOverlap="1" wp14:anchorId="6E6D915B" wp14:editId="7C6E4578">
              <wp:simplePos x="0" y="0"/>
              <wp:positionH relativeFrom="margin">
                <wp:align>center</wp:align>
              </wp:positionH>
              <wp:positionV relativeFrom="margin">
                <wp:align>center</wp:align>
              </wp:positionV>
              <wp:extent cx="6631940" cy="1104900"/>
              <wp:effectExtent l="0" t="0" r="0" b="0"/>
              <wp:wrapNone/>
              <wp:docPr id="24"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631940" cy="1104900"/>
                      </a:xfrm>
                      <a:prstGeom prst="rect">
                        <a:avLst/>
                      </a:prstGeom>
                    </wps:spPr>
                    <wps:txbx>
                      <w:txbxContent>
                        <w:p w14:paraId="027D41ED" w14:textId="77777777" w:rsidR="0060224C" w:rsidRDefault="0060224C" w:rsidP="007D5FE8">
                          <w:pPr>
                            <w:pStyle w:val="NormalWeb"/>
                            <w:spacing w:before="0" w:after="0"/>
                            <w:jc w:val="center"/>
                            <w:rPr>
                              <w:sz w:val="24"/>
                              <w:szCs w:val="24"/>
                            </w:rPr>
                          </w:pPr>
                          <w:r w:rsidRPr="002B45FD">
                            <w:rPr>
                              <w:color w:val="C0C0C0"/>
                              <w:sz w:val="16"/>
                              <w:szCs w:val="16"/>
                            </w:rPr>
                            <w:t>ADVANCE COPY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type w14:anchorId="6E6D915B" id="_x0000_t202" coordsize="21600,21600" o:spt="202" path="m,l,21600r21600,l21600,xe">
              <v:stroke joinstyle="miter"/>
              <v:path gradientshapeok="t" o:connecttype="rect"/>
            </v:shapetype>
            <v:shape id="WordArt 8" o:spid="_x0000_s1027" type="#_x0000_t202" style="position:absolute;margin-left:0;margin-top:0;width:522.2pt;height:87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" o:allowincell="f" filled="f" stroked="f">
              <v:textbox>
                <w:txbxContent>
                  <w:p w14:paraId="027D41ED" w14:textId="77777777" w:rsidR="0060224C" w:rsidRDefault="0060224C" w:rsidP="007D5FE8">
                    <w:pPr>
                      <w:pStyle w:val="NormalWeb"/>
                      <w:spacing w:before="0" w:after="0"/>
                      <w:jc w:val="center"/>
                      <w:rPr>
                        <w:sz w:val="24"/>
                        <w:szCs w:val="24"/>
                      </w:rPr>
                    </w:pPr>
                    <w:r w:rsidRPr="002B45FD">
                      <w:rPr>
                        <w:color w:val="C0C0C0"/>
                        <w:sz w:val="16"/>
                        <w:szCs w:val="16"/>
                      </w:rPr>
                      <w:t>ADVANCE COPY</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493BF" w14:textId="1ED698F8" w:rsidR="0060224C" w:rsidRDefault="0060224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CFF59" w14:textId="1D54C936" w:rsidR="0060224C" w:rsidRDefault="0060224C">
    <w:pPr>
      <w:pStyle w:val="Header"/>
    </w:pPr>
    <w:r>
      <w:rPr>
        <w:noProof/>
        <w:lang w:eastAsia="en-GB"/>
      </w:rPr>
      <mc:AlternateContent>
        <mc:Choice Requires="wps">
          <w:drawing>
            <wp:anchor distT="0" distB="0" distL="114300" distR="114300" simplePos="0" relativeHeight="251658243" behindDoc="1" locked="0" layoutInCell="0" allowOverlap="1" wp14:anchorId="2D6BFEB6" wp14:editId="2317582C">
              <wp:simplePos x="0" y="0"/>
              <wp:positionH relativeFrom="margin">
                <wp:align>center</wp:align>
              </wp:positionH>
              <wp:positionV relativeFrom="margin">
                <wp:align>center</wp:align>
              </wp:positionV>
              <wp:extent cx="6631940" cy="1104900"/>
              <wp:effectExtent l="0" t="0" r="0" b="0"/>
              <wp:wrapNone/>
              <wp:docPr id="23"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631940" cy="1104900"/>
                      </a:xfrm>
                      <a:prstGeom prst="rect">
                        <a:avLst/>
                      </a:prstGeom>
                    </wps:spPr>
                    <wps:txbx>
                      <w:txbxContent>
                        <w:p w14:paraId="0DA4D9EB" w14:textId="77777777" w:rsidR="0060224C" w:rsidRDefault="0060224C" w:rsidP="007D5FE8">
                          <w:pPr>
                            <w:pStyle w:val="NormalWeb"/>
                            <w:spacing w:before="0" w:after="0"/>
                            <w:jc w:val="center"/>
                            <w:rPr>
                              <w:sz w:val="24"/>
                              <w:szCs w:val="24"/>
                            </w:rPr>
                          </w:pPr>
                          <w:r w:rsidRPr="002B45FD">
                            <w:rPr>
                              <w:color w:val="C0C0C0"/>
                              <w:sz w:val="16"/>
                              <w:szCs w:val="16"/>
                            </w:rPr>
                            <w:t>ADVANCE COPY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type w14:anchorId="2D6BFEB6" id="_x0000_t202" coordsize="21600,21600" o:spt="202" path="m,l,21600r21600,l21600,xe">
              <v:stroke joinstyle="miter"/>
              <v:path gradientshapeok="t" o:connecttype="rect"/>
            </v:shapetype>
            <v:shape id="WordArt 7" o:spid="_x0000_s1028" type="#_x0000_t202" style="position:absolute;margin-left:0;margin-top:0;width:522.2pt;height:87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" o:allowincell="f" filled="f" stroked="f">
              <v:textbox>
                <w:txbxContent>
                  <w:p w14:paraId="0DA4D9EB" w14:textId="77777777" w:rsidR="0060224C" w:rsidRDefault="0060224C" w:rsidP="007D5FE8">
                    <w:pPr>
                      <w:pStyle w:val="NormalWeb"/>
                      <w:spacing w:before="0" w:after="0"/>
                      <w:jc w:val="center"/>
                      <w:rPr>
                        <w:sz w:val="24"/>
                        <w:szCs w:val="24"/>
                      </w:rPr>
                    </w:pPr>
                    <w:r w:rsidRPr="002B45FD">
                      <w:rPr>
                        <w:color w:val="C0C0C0"/>
                        <w:sz w:val="16"/>
                        <w:szCs w:val="16"/>
                      </w:rPr>
                      <w:t>ADVANCE COPY</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A83E4" w14:textId="74667E4C" w:rsidR="0060224C" w:rsidRDefault="0060224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5D227" w14:textId="1B081B5A" w:rsidR="0060224C" w:rsidRDefault="0060224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95885" w14:textId="29B73484" w:rsidR="0060224C" w:rsidRDefault="0060224C">
    <w:pPr>
      <w:pStyle w:val="Header"/>
    </w:pPr>
    <w:r>
      <w:rPr>
        <w:noProof/>
        <w:lang w:eastAsia="en-GB"/>
      </w:rPr>
      <mc:AlternateContent>
        <mc:Choice Requires="wps">
          <w:drawing>
            <wp:anchor distT="0" distB="0" distL="114300" distR="114300" simplePos="0" relativeHeight="251658240" behindDoc="1" locked="0" layoutInCell="0" allowOverlap="1" wp14:anchorId="38CBDEB9" wp14:editId="002C3AD9">
              <wp:simplePos x="0" y="0"/>
              <wp:positionH relativeFrom="margin">
                <wp:align>center</wp:align>
              </wp:positionH>
              <wp:positionV relativeFrom="margin">
                <wp:align>center</wp:align>
              </wp:positionV>
              <wp:extent cx="6631940" cy="1104900"/>
              <wp:effectExtent l="0" t="0" r="0" b="0"/>
              <wp:wrapNone/>
              <wp:docPr id="21"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631940" cy="1104900"/>
                      </a:xfrm>
                      <a:prstGeom prst="rect">
                        <a:avLst/>
                      </a:prstGeom>
                    </wps:spPr>
                    <wps:txbx>
                      <w:txbxContent>
                        <w:p w14:paraId="6C5EF192" w14:textId="77777777" w:rsidR="0060224C" w:rsidRDefault="0060224C" w:rsidP="007D5FE8">
                          <w:pPr>
                            <w:pStyle w:val="NormalWeb"/>
                            <w:spacing w:before="0" w:after="0"/>
                            <w:jc w:val="center"/>
                            <w:rPr>
                              <w:sz w:val="24"/>
                              <w:szCs w:val="24"/>
                            </w:rPr>
                          </w:pPr>
                          <w:r w:rsidRPr="002B45FD">
                            <w:rPr>
                              <w:color w:val="C0C0C0"/>
                              <w:sz w:val="16"/>
                              <w:szCs w:val="16"/>
                            </w:rPr>
                            <w:t>ADVANCE COPY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type w14:anchorId="38CBDEB9" id="_x0000_t202" coordsize="21600,21600" o:spt="202" path="m,l,21600r21600,l21600,xe">
              <v:stroke joinstyle="miter"/>
              <v:path gradientshapeok="t" o:connecttype="rect"/>
            </v:shapetype>
            <v:shape id="WordArt 10" o:spid="_x0000_s1029" type="#_x0000_t202" style="position:absolute;margin-left:0;margin-top:0;width:522.2pt;height:87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" o:allowincell="f" filled="f" stroked="f">
              <v:textbox>
                <w:txbxContent>
                  <w:p w14:paraId="6C5EF192" w14:textId="77777777" w:rsidR="0060224C" w:rsidRDefault="0060224C" w:rsidP="007D5FE8">
                    <w:pPr>
                      <w:pStyle w:val="NormalWeb"/>
                      <w:spacing w:before="0" w:after="0"/>
                      <w:jc w:val="center"/>
                      <w:rPr>
                        <w:sz w:val="24"/>
                        <w:szCs w:val="24"/>
                      </w:rPr>
                    </w:pPr>
                    <w:r w:rsidRPr="002B45FD">
                      <w:rPr>
                        <w:color w:val="C0C0C0"/>
                        <w:sz w:val="16"/>
                        <w:szCs w:val="16"/>
                      </w:rPr>
                      <w:t>ADVANCE COPY</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DB8ACA6"/>
    <w:lvl w:ilvl="0">
      <w:start w:val="1"/>
      <w:numFmt w:val="decimal"/>
      <w:pStyle w:val="ListNumber5"/>
      <w:lvlText w:val="%1."/>
      <w:lvlJc w:val="left"/>
      <w:pPr>
        <w:tabs>
          <w:tab w:val="num" w:pos="1492"/>
        </w:tabs>
        <w:ind w:left="1492" w:hanging="360"/>
      </w:pPr>
    </w:lvl>
  </w:abstractNum>
  <w:abstractNum w:abstractNumId="1" w15:restartNumberingAfterBreak="0">
    <w:nsid w:val="00000002"/>
    <w:multiLevelType w:val="singleLevel"/>
    <w:tmpl w:val="00000002"/>
    <w:name w:val="WW8Num1"/>
    <w:lvl w:ilvl="0">
      <w:start w:val="1"/>
      <w:numFmt w:val="decimal"/>
      <w:lvlText w:val="%1."/>
      <w:lvlJc w:val="left"/>
      <w:pPr>
        <w:tabs>
          <w:tab w:val="num" w:pos="720"/>
        </w:tabs>
        <w:ind w:left="720" w:hanging="360"/>
      </w:pPr>
    </w:lvl>
  </w:abstractNum>
  <w:abstractNum w:abstractNumId="2" w15:restartNumberingAfterBreak="0">
    <w:nsid w:val="029F4C38"/>
    <w:multiLevelType w:val="hybridMultilevel"/>
    <w:tmpl w:val="9782C7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3213B4E"/>
    <w:multiLevelType w:val="hybridMultilevel"/>
    <w:tmpl w:val="A20AD7F4"/>
    <w:lvl w:ilvl="0" w:tplc="22B4DCC6">
      <w:start w:val="1"/>
      <w:numFmt w:val="bullet"/>
      <w:pStyle w:val="Bullet"/>
      <w:lvlText w:val="•"/>
      <w:lvlJc w:val="left"/>
      <w:pPr>
        <w:tabs>
          <w:tab w:val="num" w:pos="1437"/>
        </w:tabs>
        <w:ind w:left="1437" w:hanging="360"/>
      </w:pPr>
      <w:rPr>
        <w:rFonts w:ascii="Times New Roman" w:hAnsi="Times New Roman" w:hint="default"/>
      </w:rPr>
    </w:lvl>
    <w:lvl w:ilvl="1" w:tplc="21A8863A" w:tentative="1">
      <w:start w:val="1"/>
      <w:numFmt w:val="bullet"/>
      <w:lvlText w:val="o"/>
      <w:lvlJc w:val="left"/>
      <w:pPr>
        <w:tabs>
          <w:tab w:val="num" w:pos="1440"/>
        </w:tabs>
        <w:ind w:left="1440" w:hanging="360"/>
      </w:pPr>
      <w:rPr>
        <w:rFonts w:ascii="Courier New" w:hAnsi="Courier New" w:hint="default"/>
      </w:rPr>
    </w:lvl>
    <w:lvl w:ilvl="2" w:tplc="CB0C0A2A" w:tentative="1">
      <w:start w:val="1"/>
      <w:numFmt w:val="bullet"/>
      <w:pStyle w:val="SimonUberschrift"/>
      <w:lvlText w:val=""/>
      <w:lvlJc w:val="left"/>
      <w:pPr>
        <w:tabs>
          <w:tab w:val="num" w:pos="2160"/>
        </w:tabs>
        <w:ind w:left="2160" w:hanging="360"/>
      </w:pPr>
      <w:rPr>
        <w:rFonts w:ascii="Wingdings" w:hAnsi="Wingdings" w:hint="default"/>
      </w:rPr>
    </w:lvl>
    <w:lvl w:ilvl="3" w:tplc="545A6888" w:tentative="1">
      <w:start w:val="1"/>
      <w:numFmt w:val="bullet"/>
      <w:lvlText w:val=""/>
      <w:lvlJc w:val="left"/>
      <w:pPr>
        <w:tabs>
          <w:tab w:val="num" w:pos="2880"/>
        </w:tabs>
        <w:ind w:left="2880" w:hanging="360"/>
      </w:pPr>
      <w:rPr>
        <w:rFonts w:ascii="Symbol" w:hAnsi="Symbol" w:hint="default"/>
      </w:rPr>
    </w:lvl>
    <w:lvl w:ilvl="4" w:tplc="918E681E" w:tentative="1">
      <w:start w:val="1"/>
      <w:numFmt w:val="bullet"/>
      <w:lvlText w:val="o"/>
      <w:lvlJc w:val="left"/>
      <w:pPr>
        <w:tabs>
          <w:tab w:val="num" w:pos="3600"/>
        </w:tabs>
        <w:ind w:left="3600" w:hanging="360"/>
      </w:pPr>
      <w:rPr>
        <w:rFonts w:ascii="Courier New" w:hAnsi="Courier New" w:hint="default"/>
      </w:rPr>
    </w:lvl>
    <w:lvl w:ilvl="5" w:tplc="D3AE3642" w:tentative="1">
      <w:start w:val="1"/>
      <w:numFmt w:val="bullet"/>
      <w:lvlText w:val=""/>
      <w:lvlJc w:val="left"/>
      <w:pPr>
        <w:tabs>
          <w:tab w:val="num" w:pos="4320"/>
        </w:tabs>
        <w:ind w:left="4320" w:hanging="360"/>
      </w:pPr>
      <w:rPr>
        <w:rFonts w:ascii="Wingdings" w:hAnsi="Wingdings" w:hint="default"/>
      </w:rPr>
    </w:lvl>
    <w:lvl w:ilvl="6" w:tplc="DE26FADC" w:tentative="1">
      <w:start w:val="1"/>
      <w:numFmt w:val="bullet"/>
      <w:lvlText w:val=""/>
      <w:lvlJc w:val="left"/>
      <w:pPr>
        <w:tabs>
          <w:tab w:val="num" w:pos="5040"/>
        </w:tabs>
        <w:ind w:left="5040" w:hanging="360"/>
      </w:pPr>
      <w:rPr>
        <w:rFonts w:ascii="Symbol" w:hAnsi="Symbol" w:hint="default"/>
      </w:rPr>
    </w:lvl>
    <w:lvl w:ilvl="7" w:tplc="73FE358C" w:tentative="1">
      <w:start w:val="1"/>
      <w:numFmt w:val="bullet"/>
      <w:lvlText w:val="o"/>
      <w:lvlJc w:val="left"/>
      <w:pPr>
        <w:tabs>
          <w:tab w:val="num" w:pos="5760"/>
        </w:tabs>
        <w:ind w:left="5760" w:hanging="360"/>
      </w:pPr>
      <w:rPr>
        <w:rFonts w:ascii="Courier New" w:hAnsi="Courier New" w:hint="default"/>
      </w:rPr>
    </w:lvl>
    <w:lvl w:ilvl="8" w:tplc="AE2C729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965050"/>
    <w:multiLevelType w:val="multilevel"/>
    <w:tmpl w:val="B7E6A91E"/>
    <w:lvl w:ilvl="0">
      <w:start w:val="1"/>
      <w:numFmt w:val="lowerLetter"/>
      <w:pStyle w:val="BulletsinTable"/>
      <w:lvlText w:val="(%1)"/>
      <w:lvlJc w:val="left"/>
      <w:pPr>
        <w:tabs>
          <w:tab w:val="num" w:pos="539"/>
        </w:tabs>
        <w:ind w:left="539" w:hanging="539"/>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4642420"/>
    <w:multiLevelType w:val="hybridMultilevel"/>
    <w:tmpl w:val="24A09A12"/>
    <w:lvl w:ilvl="0" w:tplc="AC2CA7D2">
      <w:start w:val="1"/>
      <w:numFmt w:val="bullet"/>
      <w:pStyle w:val="EndnoteText"/>
      <w:lvlText w:val=""/>
      <w:lvlJc w:val="left"/>
      <w:pPr>
        <w:tabs>
          <w:tab w:val="num" w:pos="720"/>
        </w:tabs>
        <w:ind w:left="720" w:hanging="360"/>
      </w:pPr>
      <w:rPr>
        <w:rFonts w:ascii="Symbol" w:hAnsi="Symbol" w:hint="default"/>
      </w:rPr>
    </w:lvl>
    <w:lvl w:ilvl="1" w:tplc="BC243F5E" w:tentative="1">
      <w:start w:val="1"/>
      <w:numFmt w:val="bullet"/>
      <w:lvlText w:val="o"/>
      <w:lvlJc w:val="left"/>
      <w:pPr>
        <w:tabs>
          <w:tab w:val="num" w:pos="1440"/>
        </w:tabs>
        <w:ind w:left="1440" w:hanging="360"/>
      </w:pPr>
      <w:rPr>
        <w:rFonts w:ascii="Courier New" w:hAnsi="Courier New" w:cs="Consolas" w:hint="default"/>
      </w:rPr>
    </w:lvl>
    <w:lvl w:ilvl="2" w:tplc="7612122C" w:tentative="1">
      <w:start w:val="1"/>
      <w:numFmt w:val="bullet"/>
      <w:lvlText w:val=""/>
      <w:lvlJc w:val="left"/>
      <w:pPr>
        <w:tabs>
          <w:tab w:val="num" w:pos="2160"/>
        </w:tabs>
        <w:ind w:left="2160" w:hanging="360"/>
      </w:pPr>
      <w:rPr>
        <w:rFonts w:ascii="Wingdings" w:hAnsi="Wingdings" w:hint="default"/>
      </w:rPr>
    </w:lvl>
    <w:lvl w:ilvl="3" w:tplc="7618E782" w:tentative="1">
      <w:start w:val="1"/>
      <w:numFmt w:val="bullet"/>
      <w:lvlText w:val=""/>
      <w:lvlJc w:val="left"/>
      <w:pPr>
        <w:tabs>
          <w:tab w:val="num" w:pos="2880"/>
        </w:tabs>
        <w:ind w:left="2880" w:hanging="360"/>
      </w:pPr>
      <w:rPr>
        <w:rFonts w:ascii="Symbol" w:hAnsi="Symbol" w:hint="default"/>
      </w:rPr>
    </w:lvl>
    <w:lvl w:ilvl="4" w:tplc="F236AB18" w:tentative="1">
      <w:start w:val="1"/>
      <w:numFmt w:val="bullet"/>
      <w:lvlText w:val="o"/>
      <w:lvlJc w:val="left"/>
      <w:pPr>
        <w:tabs>
          <w:tab w:val="num" w:pos="3600"/>
        </w:tabs>
        <w:ind w:left="3600" w:hanging="360"/>
      </w:pPr>
      <w:rPr>
        <w:rFonts w:ascii="Courier New" w:hAnsi="Courier New" w:cs="Consolas" w:hint="default"/>
      </w:rPr>
    </w:lvl>
    <w:lvl w:ilvl="5" w:tplc="4FBEA80C" w:tentative="1">
      <w:start w:val="1"/>
      <w:numFmt w:val="bullet"/>
      <w:lvlText w:val=""/>
      <w:lvlJc w:val="left"/>
      <w:pPr>
        <w:tabs>
          <w:tab w:val="num" w:pos="4320"/>
        </w:tabs>
        <w:ind w:left="4320" w:hanging="360"/>
      </w:pPr>
      <w:rPr>
        <w:rFonts w:ascii="Wingdings" w:hAnsi="Wingdings" w:hint="default"/>
      </w:rPr>
    </w:lvl>
    <w:lvl w:ilvl="6" w:tplc="50A066B0" w:tentative="1">
      <w:start w:val="1"/>
      <w:numFmt w:val="bullet"/>
      <w:lvlText w:val=""/>
      <w:lvlJc w:val="left"/>
      <w:pPr>
        <w:tabs>
          <w:tab w:val="num" w:pos="5040"/>
        </w:tabs>
        <w:ind w:left="5040" w:hanging="360"/>
      </w:pPr>
      <w:rPr>
        <w:rFonts w:ascii="Symbol" w:hAnsi="Symbol" w:hint="default"/>
      </w:rPr>
    </w:lvl>
    <w:lvl w:ilvl="7" w:tplc="E3FE081C" w:tentative="1">
      <w:start w:val="1"/>
      <w:numFmt w:val="bullet"/>
      <w:lvlText w:val="o"/>
      <w:lvlJc w:val="left"/>
      <w:pPr>
        <w:tabs>
          <w:tab w:val="num" w:pos="5760"/>
        </w:tabs>
        <w:ind w:left="5760" w:hanging="360"/>
      </w:pPr>
      <w:rPr>
        <w:rFonts w:ascii="Courier New" w:hAnsi="Courier New" w:cs="Consolas" w:hint="default"/>
      </w:rPr>
    </w:lvl>
    <w:lvl w:ilvl="8" w:tplc="97ECA8C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F252BD"/>
    <w:multiLevelType w:val="singleLevel"/>
    <w:tmpl w:val="074C56F8"/>
    <w:lvl w:ilvl="0">
      <w:start w:val="1"/>
      <w:numFmt w:val="decimal"/>
      <w:pStyle w:val="Bibliography1"/>
      <w:lvlText w:val="[%1]"/>
      <w:lvlJc w:val="left"/>
      <w:pPr>
        <w:tabs>
          <w:tab w:val="num" w:pos="360"/>
        </w:tabs>
        <w:ind w:left="360" w:hanging="360"/>
      </w:pPr>
    </w:lvl>
  </w:abstractNum>
  <w:abstractNum w:abstractNumId="7" w15:restartNumberingAfterBreak="0">
    <w:nsid w:val="066629DD"/>
    <w:multiLevelType w:val="multilevel"/>
    <w:tmpl w:val="38BCE3A8"/>
    <w:lvl w:ilvl="0">
      <w:start w:val="1"/>
      <w:numFmt w:val="lowerLetter"/>
      <w:pStyle w:val="IPPSubheadNumber"/>
      <w:lvlText w:val="(%1)"/>
      <w:lvlJc w:val="left"/>
      <w:pPr>
        <w:tabs>
          <w:tab w:val="num" w:pos="3240"/>
        </w:tabs>
        <w:ind w:left="3240" w:hanging="720"/>
      </w:pPr>
      <w:rPr>
        <w:rFonts w:hint="default"/>
      </w:rPr>
    </w:lvl>
    <w:lvl w:ilvl="1">
      <w:start w:val="1"/>
      <w:numFmt w:val="lowerLetter"/>
      <w:lvlText w:val="%2."/>
      <w:lvlJc w:val="left"/>
      <w:pPr>
        <w:tabs>
          <w:tab w:val="num" w:pos="3600"/>
        </w:tabs>
        <w:ind w:left="3600" w:hanging="360"/>
      </w:pPr>
      <w:rPr>
        <w:rFonts w:hint="default"/>
      </w:rPr>
    </w:lvl>
    <w:lvl w:ilvl="2">
      <w:start w:val="1"/>
      <w:numFmt w:val="lowerRoman"/>
      <w:lvlText w:val="%3."/>
      <w:lvlJc w:val="right"/>
      <w:pPr>
        <w:tabs>
          <w:tab w:val="num" w:pos="4320"/>
        </w:tabs>
        <w:ind w:left="4320" w:hanging="180"/>
      </w:pPr>
      <w:rPr>
        <w:rFonts w:hint="default"/>
      </w:rPr>
    </w:lvl>
    <w:lvl w:ilvl="3">
      <w:start w:val="1"/>
      <w:numFmt w:val="decimal"/>
      <w:lvlText w:val="%4."/>
      <w:lvlJc w:val="left"/>
      <w:pPr>
        <w:tabs>
          <w:tab w:val="num" w:pos="5040"/>
        </w:tabs>
        <w:ind w:left="5040" w:hanging="360"/>
      </w:pPr>
      <w:rPr>
        <w:rFonts w:hint="default"/>
      </w:rPr>
    </w:lvl>
    <w:lvl w:ilvl="4">
      <w:start w:val="1"/>
      <w:numFmt w:val="lowerLetter"/>
      <w:lvlText w:val="%5."/>
      <w:lvlJc w:val="left"/>
      <w:pPr>
        <w:tabs>
          <w:tab w:val="num" w:pos="5760"/>
        </w:tabs>
        <w:ind w:left="5760" w:hanging="360"/>
      </w:pPr>
      <w:rPr>
        <w:rFonts w:hint="default"/>
      </w:rPr>
    </w:lvl>
    <w:lvl w:ilvl="5">
      <w:start w:val="1"/>
      <w:numFmt w:val="lowerRoman"/>
      <w:lvlText w:val="%6."/>
      <w:lvlJc w:val="right"/>
      <w:pPr>
        <w:tabs>
          <w:tab w:val="num" w:pos="6480"/>
        </w:tabs>
        <w:ind w:left="6480" w:hanging="180"/>
      </w:pPr>
      <w:rPr>
        <w:rFonts w:hint="default"/>
      </w:rPr>
    </w:lvl>
    <w:lvl w:ilvl="6">
      <w:start w:val="1"/>
      <w:numFmt w:val="decimal"/>
      <w:lvlText w:val="%7."/>
      <w:lvlJc w:val="left"/>
      <w:pPr>
        <w:tabs>
          <w:tab w:val="num" w:pos="7200"/>
        </w:tabs>
        <w:ind w:left="7200" w:hanging="360"/>
      </w:pPr>
      <w:rPr>
        <w:rFonts w:hint="default"/>
      </w:rPr>
    </w:lvl>
    <w:lvl w:ilvl="7">
      <w:start w:val="1"/>
      <w:numFmt w:val="lowerLetter"/>
      <w:lvlText w:val="%8."/>
      <w:lvlJc w:val="left"/>
      <w:pPr>
        <w:tabs>
          <w:tab w:val="num" w:pos="7920"/>
        </w:tabs>
        <w:ind w:left="7920" w:hanging="360"/>
      </w:pPr>
      <w:rPr>
        <w:rFonts w:hint="default"/>
      </w:rPr>
    </w:lvl>
    <w:lvl w:ilvl="8">
      <w:start w:val="1"/>
      <w:numFmt w:val="lowerRoman"/>
      <w:lvlText w:val="%9."/>
      <w:lvlJc w:val="right"/>
      <w:pPr>
        <w:tabs>
          <w:tab w:val="num" w:pos="8640"/>
        </w:tabs>
        <w:ind w:left="8640" w:hanging="180"/>
      </w:pPr>
      <w:rPr>
        <w:rFonts w:hint="default"/>
      </w:rPr>
    </w:lvl>
  </w:abstractNum>
  <w:abstractNum w:abstractNumId="8" w15:restartNumberingAfterBreak="0">
    <w:nsid w:val="067730E7"/>
    <w:multiLevelType w:val="hybridMultilevel"/>
    <w:tmpl w:val="901CFCE4"/>
    <w:lvl w:ilvl="0" w:tplc="EDAEDC90">
      <w:start w:val="1"/>
      <w:numFmt w:val="bullet"/>
      <w:pStyle w:val="IPPHeadSection"/>
      <w:lvlText w:val=""/>
      <w:lvlJc w:val="left"/>
      <w:pPr>
        <w:tabs>
          <w:tab w:val="num" w:pos="720"/>
        </w:tabs>
        <w:ind w:left="720" w:hanging="360"/>
      </w:pPr>
      <w:rPr>
        <w:rFonts w:ascii="Symbol" w:hAnsi="Symbol" w:hint="default"/>
      </w:rPr>
    </w:lvl>
    <w:lvl w:ilvl="1" w:tplc="2B7CB54A" w:tentative="1">
      <w:start w:val="1"/>
      <w:numFmt w:val="bullet"/>
      <w:lvlText w:val="o"/>
      <w:lvlJc w:val="left"/>
      <w:pPr>
        <w:tabs>
          <w:tab w:val="num" w:pos="1440"/>
        </w:tabs>
        <w:ind w:left="1440" w:hanging="360"/>
      </w:pPr>
      <w:rPr>
        <w:rFonts w:ascii="Courier New" w:hAnsi="Courier New" w:cs="Consolas" w:hint="default"/>
      </w:rPr>
    </w:lvl>
    <w:lvl w:ilvl="2" w:tplc="7814FBA4" w:tentative="1">
      <w:start w:val="1"/>
      <w:numFmt w:val="bullet"/>
      <w:lvlText w:val=""/>
      <w:lvlJc w:val="left"/>
      <w:pPr>
        <w:tabs>
          <w:tab w:val="num" w:pos="2160"/>
        </w:tabs>
        <w:ind w:left="2160" w:hanging="360"/>
      </w:pPr>
      <w:rPr>
        <w:rFonts w:ascii="Wingdings" w:hAnsi="Wingdings" w:hint="default"/>
      </w:rPr>
    </w:lvl>
    <w:lvl w:ilvl="3" w:tplc="533CBB36" w:tentative="1">
      <w:start w:val="1"/>
      <w:numFmt w:val="bullet"/>
      <w:lvlText w:val=""/>
      <w:lvlJc w:val="left"/>
      <w:pPr>
        <w:tabs>
          <w:tab w:val="num" w:pos="2880"/>
        </w:tabs>
        <w:ind w:left="2880" w:hanging="360"/>
      </w:pPr>
      <w:rPr>
        <w:rFonts w:ascii="Symbol" w:hAnsi="Symbol" w:hint="default"/>
      </w:rPr>
    </w:lvl>
    <w:lvl w:ilvl="4" w:tplc="7AD231EA" w:tentative="1">
      <w:start w:val="1"/>
      <w:numFmt w:val="bullet"/>
      <w:lvlText w:val="o"/>
      <w:lvlJc w:val="left"/>
      <w:pPr>
        <w:tabs>
          <w:tab w:val="num" w:pos="3600"/>
        </w:tabs>
        <w:ind w:left="3600" w:hanging="360"/>
      </w:pPr>
      <w:rPr>
        <w:rFonts w:ascii="Courier New" w:hAnsi="Courier New" w:cs="Consolas" w:hint="default"/>
      </w:rPr>
    </w:lvl>
    <w:lvl w:ilvl="5" w:tplc="48D0B726" w:tentative="1">
      <w:start w:val="1"/>
      <w:numFmt w:val="bullet"/>
      <w:lvlText w:val=""/>
      <w:lvlJc w:val="left"/>
      <w:pPr>
        <w:tabs>
          <w:tab w:val="num" w:pos="4320"/>
        </w:tabs>
        <w:ind w:left="4320" w:hanging="360"/>
      </w:pPr>
      <w:rPr>
        <w:rFonts w:ascii="Wingdings" w:hAnsi="Wingdings" w:hint="default"/>
      </w:rPr>
    </w:lvl>
    <w:lvl w:ilvl="6" w:tplc="A7F62352" w:tentative="1">
      <w:start w:val="1"/>
      <w:numFmt w:val="bullet"/>
      <w:lvlText w:val=""/>
      <w:lvlJc w:val="left"/>
      <w:pPr>
        <w:tabs>
          <w:tab w:val="num" w:pos="5040"/>
        </w:tabs>
        <w:ind w:left="5040" w:hanging="360"/>
      </w:pPr>
      <w:rPr>
        <w:rFonts w:ascii="Symbol" w:hAnsi="Symbol" w:hint="default"/>
      </w:rPr>
    </w:lvl>
    <w:lvl w:ilvl="7" w:tplc="7BAAA722" w:tentative="1">
      <w:start w:val="1"/>
      <w:numFmt w:val="bullet"/>
      <w:lvlText w:val="o"/>
      <w:lvlJc w:val="left"/>
      <w:pPr>
        <w:tabs>
          <w:tab w:val="num" w:pos="5760"/>
        </w:tabs>
        <w:ind w:left="5760" w:hanging="360"/>
      </w:pPr>
      <w:rPr>
        <w:rFonts w:ascii="Courier New" w:hAnsi="Courier New" w:cs="Consolas" w:hint="default"/>
      </w:rPr>
    </w:lvl>
    <w:lvl w:ilvl="8" w:tplc="66CAAD9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6784FB5"/>
    <w:multiLevelType w:val="hybridMultilevel"/>
    <w:tmpl w:val="54CA5C26"/>
    <w:name w:val="WW8Num1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843152F"/>
    <w:multiLevelType w:val="hybridMultilevel"/>
    <w:tmpl w:val="ABE29012"/>
    <w:lvl w:ilvl="0" w:tplc="64A224B8">
      <w:start w:val="1"/>
      <w:numFmt w:val="bullet"/>
      <w:lvlText w:val="•"/>
      <w:lvlJc w:val="left"/>
      <w:pPr>
        <w:tabs>
          <w:tab w:val="num" w:pos="720"/>
        </w:tabs>
        <w:ind w:left="720" w:hanging="360"/>
      </w:pPr>
      <w:rPr>
        <w:rFonts w:ascii="Arial" w:hAnsi="Arial" w:hint="default"/>
      </w:rPr>
    </w:lvl>
    <w:lvl w:ilvl="1" w:tplc="E85CAFCC" w:tentative="1">
      <w:start w:val="1"/>
      <w:numFmt w:val="bullet"/>
      <w:lvlText w:val="•"/>
      <w:lvlJc w:val="left"/>
      <w:pPr>
        <w:tabs>
          <w:tab w:val="num" w:pos="1440"/>
        </w:tabs>
        <w:ind w:left="1440" w:hanging="360"/>
      </w:pPr>
      <w:rPr>
        <w:rFonts w:ascii="Arial" w:hAnsi="Arial" w:hint="default"/>
      </w:rPr>
    </w:lvl>
    <w:lvl w:ilvl="2" w:tplc="9B7EC192" w:tentative="1">
      <w:start w:val="1"/>
      <w:numFmt w:val="bullet"/>
      <w:lvlText w:val="•"/>
      <w:lvlJc w:val="left"/>
      <w:pPr>
        <w:tabs>
          <w:tab w:val="num" w:pos="2160"/>
        </w:tabs>
        <w:ind w:left="2160" w:hanging="360"/>
      </w:pPr>
      <w:rPr>
        <w:rFonts w:ascii="Arial" w:hAnsi="Arial" w:hint="default"/>
      </w:rPr>
    </w:lvl>
    <w:lvl w:ilvl="3" w:tplc="873A5510" w:tentative="1">
      <w:start w:val="1"/>
      <w:numFmt w:val="bullet"/>
      <w:lvlText w:val="•"/>
      <w:lvlJc w:val="left"/>
      <w:pPr>
        <w:tabs>
          <w:tab w:val="num" w:pos="2880"/>
        </w:tabs>
        <w:ind w:left="2880" w:hanging="360"/>
      </w:pPr>
      <w:rPr>
        <w:rFonts w:ascii="Arial" w:hAnsi="Arial" w:hint="default"/>
      </w:rPr>
    </w:lvl>
    <w:lvl w:ilvl="4" w:tplc="D7487F76" w:tentative="1">
      <w:start w:val="1"/>
      <w:numFmt w:val="bullet"/>
      <w:lvlText w:val="•"/>
      <w:lvlJc w:val="left"/>
      <w:pPr>
        <w:tabs>
          <w:tab w:val="num" w:pos="3600"/>
        </w:tabs>
        <w:ind w:left="3600" w:hanging="360"/>
      </w:pPr>
      <w:rPr>
        <w:rFonts w:ascii="Arial" w:hAnsi="Arial" w:hint="default"/>
      </w:rPr>
    </w:lvl>
    <w:lvl w:ilvl="5" w:tplc="69765142" w:tentative="1">
      <w:start w:val="1"/>
      <w:numFmt w:val="bullet"/>
      <w:lvlText w:val="•"/>
      <w:lvlJc w:val="left"/>
      <w:pPr>
        <w:tabs>
          <w:tab w:val="num" w:pos="4320"/>
        </w:tabs>
        <w:ind w:left="4320" w:hanging="360"/>
      </w:pPr>
      <w:rPr>
        <w:rFonts w:ascii="Arial" w:hAnsi="Arial" w:hint="default"/>
      </w:rPr>
    </w:lvl>
    <w:lvl w:ilvl="6" w:tplc="EBD85484" w:tentative="1">
      <w:start w:val="1"/>
      <w:numFmt w:val="bullet"/>
      <w:lvlText w:val="•"/>
      <w:lvlJc w:val="left"/>
      <w:pPr>
        <w:tabs>
          <w:tab w:val="num" w:pos="5040"/>
        </w:tabs>
        <w:ind w:left="5040" w:hanging="360"/>
      </w:pPr>
      <w:rPr>
        <w:rFonts w:ascii="Arial" w:hAnsi="Arial" w:hint="default"/>
      </w:rPr>
    </w:lvl>
    <w:lvl w:ilvl="7" w:tplc="E558272C" w:tentative="1">
      <w:start w:val="1"/>
      <w:numFmt w:val="bullet"/>
      <w:lvlText w:val="•"/>
      <w:lvlJc w:val="left"/>
      <w:pPr>
        <w:tabs>
          <w:tab w:val="num" w:pos="5760"/>
        </w:tabs>
        <w:ind w:left="5760" w:hanging="360"/>
      </w:pPr>
      <w:rPr>
        <w:rFonts w:ascii="Arial" w:hAnsi="Arial" w:hint="default"/>
      </w:rPr>
    </w:lvl>
    <w:lvl w:ilvl="8" w:tplc="082E22A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8571822"/>
    <w:multiLevelType w:val="hybridMultilevel"/>
    <w:tmpl w:val="FBF0A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F54125"/>
    <w:multiLevelType w:val="hybridMultilevel"/>
    <w:tmpl w:val="C1B01A42"/>
    <w:lvl w:ilvl="0" w:tplc="C9E009DC">
      <w:start w:val="1"/>
      <w:numFmt w:val="bullet"/>
      <w:pStyle w:val="BoxSeqList1"/>
      <w:lvlText w:val=""/>
      <w:lvlJc w:val="left"/>
      <w:pPr>
        <w:tabs>
          <w:tab w:val="num" w:pos="720"/>
        </w:tabs>
        <w:ind w:left="720" w:hanging="360"/>
      </w:pPr>
      <w:rPr>
        <w:rFonts w:ascii="Symbol" w:hAnsi="Symbol" w:hint="default"/>
      </w:rPr>
    </w:lvl>
    <w:lvl w:ilvl="1" w:tplc="B0DA4A42" w:tentative="1">
      <w:start w:val="1"/>
      <w:numFmt w:val="bullet"/>
      <w:lvlText w:val="o"/>
      <w:lvlJc w:val="left"/>
      <w:pPr>
        <w:tabs>
          <w:tab w:val="num" w:pos="1440"/>
        </w:tabs>
        <w:ind w:left="1440" w:hanging="360"/>
      </w:pPr>
      <w:rPr>
        <w:rFonts w:ascii="Courier New" w:hAnsi="Courier New" w:cs="Consolas" w:hint="default"/>
      </w:rPr>
    </w:lvl>
    <w:lvl w:ilvl="2" w:tplc="21A88146" w:tentative="1">
      <w:start w:val="1"/>
      <w:numFmt w:val="bullet"/>
      <w:lvlText w:val=""/>
      <w:lvlJc w:val="left"/>
      <w:pPr>
        <w:tabs>
          <w:tab w:val="num" w:pos="2160"/>
        </w:tabs>
        <w:ind w:left="2160" w:hanging="360"/>
      </w:pPr>
      <w:rPr>
        <w:rFonts w:ascii="Wingdings" w:hAnsi="Wingdings" w:hint="default"/>
      </w:rPr>
    </w:lvl>
    <w:lvl w:ilvl="3" w:tplc="C6986F9C" w:tentative="1">
      <w:start w:val="1"/>
      <w:numFmt w:val="bullet"/>
      <w:lvlText w:val=""/>
      <w:lvlJc w:val="left"/>
      <w:pPr>
        <w:tabs>
          <w:tab w:val="num" w:pos="2880"/>
        </w:tabs>
        <w:ind w:left="2880" w:hanging="360"/>
      </w:pPr>
      <w:rPr>
        <w:rFonts w:ascii="Symbol" w:hAnsi="Symbol" w:hint="default"/>
      </w:rPr>
    </w:lvl>
    <w:lvl w:ilvl="4" w:tplc="53345EA6" w:tentative="1">
      <w:start w:val="1"/>
      <w:numFmt w:val="bullet"/>
      <w:lvlText w:val="o"/>
      <w:lvlJc w:val="left"/>
      <w:pPr>
        <w:tabs>
          <w:tab w:val="num" w:pos="3600"/>
        </w:tabs>
        <w:ind w:left="3600" w:hanging="360"/>
      </w:pPr>
      <w:rPr>
        <w:rFonts w:ascii="Courier New" w:hAnsi="Courier New" w:cs="Consolas" w:hint="default"/>
      </w:rPr>
    </w:lvl>
    <w:lvl w:ilvl="5" w:tplc="5F0A9A32" w:tentative="1">
      <w:start w:val="1"/>
      <w:numFmt w:val="bullet"/>
      <w:lvlText w:val=""/>
      <w:lvlJc w:val="left"/>
      <w:pPr>
        <w:tabs>
          <w:tab w:val="num" w:pos="4320"/>
        </w:tabs>
        <w:ind w:left="4320" w:hanging="360"/>
      </w:pPr>
      <w:rPr>
        <w:rFonts w:ascii="Wingdings" w:hAnsi="Wingdings" w:hint="default"/>
      </w:rPr>
    </w:lvl>
    <w:lvl w:ilvl="6" w:tplc="02F27FAE" w:tentative="1">
      <w:start w:val="1"/>
      <w:numFmt w:val="bullet"/>
      <w:lvlText w:val=""/>
      <w:lvlJc w:val="left"/>
      <w:pPr>
        <w:tabs>
          <w:tab w:val="num" w:pos="5040"/>
        </w:tabs>
        <w:ind w:left="5040" w:hanging="360"/>
      </w:pPr>
      <w:rPr>
        <w:rFonts w:ascii="Symbol" w:hAnsi="Symbol" w:hint="default"/>
      </w:rPr>
    </w:lvl>
    <w:lvl w:ilvl="7" w:tplc="D04A314E" w:tentative="1">
      <w:start w:val="1"/>
      <w:numFmt w:val="bullet"/>
      <w:lvlText w:val="o"/>
      <w:lvlJc w:val="left"/>
      <w:pPr>
        <w:tabs>
          <w:tab w:val="num" w:pos="5760"/>
        </w:tabs>
        <w:ind w:left="5760" w:hanging="360"/>
      </w:pPr>
      <w:rPr>
        <w:rFonts w:ascii="Courier New" w:hAnsi="Courier New" w:cs="Consolas" w:hint="default"/>
      </w:rPr>
    </w:lvl>
    <w:lvl w:ilvl="8" w:tplc="F2A0725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1FF0634"/>
    <w:multiLevelType w:val="hybridMultilevel"/>
    <w:tmpl w:val="6B6A5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AB4B41"/>
    <w:multiLevelType w:val="hybridMultilevel"/>
    <w:tmpl w:val="7E1ECB5E"/>
    <w:lvl w:ilvl="0" w:tplc="04964D0A">
      <w:start w:val="1"/>
      <w:numFmt w:val="lowerLetter"/>
      <w:pStyle w:val="IPPBullet1Last"/>
      <w:lvlText w:val="%1."/>
      <w:lvlJc w:val="left"/>
      <w:pPr>
        <w:ind w:left="1854" w:hanging="360"/>
      </w:pPr>
    </w:lvl>
    <w:lvl w:ilvl="1" w:tplc="E2AEDD66" w:tentative="1">
      <w:start w:val="1"/>
      <w:numFmt w:val="lowerLetter"/>
      <w:lvlText w:val="%2."/>
      <w:lvlJc w:val="left"/>
      <w:pPr>
        <w:ind w:left="2574" w:hanging="360"/>
      </w:pPr>
    </w:lvl>
    <w:lvl w:ilvl="2" w:tplc="40184B22" w:tentative="1">
      <w:start w:val="1"/>
      <w:numFmt w:val="lowerRoman"/>
      <w:lvlText w:val="%3."/>
      <w:lvlJc w:val="right"/>
      <w:pPr>
        <w:ind w:left="3294" w:hanging="180"/>
      </w:pPr>
    </w:lvl>
    <w:lvl w:ilvl="3" w:tplc="EF5A0A42" w:tentative="1">
      <w:start w:val="1"/>
      <w:numFmt w:val="decimal"/>
      <w:lvlText w:val="%4."/>
      <w:lvlJc w:val="left"/>
      <w:pPr>
        <w:ind w:left="4014" w:hanging="360"/>
      </w:pPr>
    </w:lvl>
    <w:lvl w:ilvl="4" w:tplc="FA44BC42" w:tentative="1">
      <w:start w:val="1"/>
      <w:numFmt w:val="lowerLetter"/>
      <w:lvlText w:val="%5."/>
      <w:lvlJc w:val="left"/>
      <w:pPr>
        <w:ind w:left="4734" w:hanging="360"/>
      </w:pPr>
    </w:lvl>
    <w:lvl w:ilvl="5" w:tplc="B17C73C4" w:tentative="1">
      <w:start w:val="1"/>
      <w:numFmt w:val="lowerRoman"/>
      <w:lvlText w:val="%6."/>
      <w:lvlJc w:val="right"/>
      <w:pPr>
        <w:ind w:left="5454" w:hanging="180"/>
      </w:pPr>
    </w:lvl>
    <w:lvl w:ilvl="6" w:tplc="BBD0B7A2" w:tentative="1">
      <w:start w:val="1"/>
      <w:numFmt w:val="decimal"/>
      <w:lvlText w:val="%7."/>
      <w:lvlJc w:val="left"/>
      <w:pPr>
        <w:ind w:left="6174" w:hanging="360"/>
      </w:pPr>
    </w:lvl>
    <w:lvl w:ilvl="7" w:tplc="31C60108" w:tentative="1">
      <w:start w:val="1"/>
      <w:numFmt w:val="lowerLetter"/>
      <w:lvlText w:val="%8."/>
      <w:lvlJc w:val="left"/>
      <w:pPr>
        <w:ind w:left="6894" w:hanging="360"/>
      </w:pPr>
    </w:lvl>
    <w:lvl w:ilvl="8" w:tplc="D3922874" w:tentative="1">
      <w:start w:val="1"/>
      <w:numFmt w:val="lowerRoman"/>
      <w:lvlText w:val="%9."/>
      <w:lvlJc w:val="right"/>
      <w:pPr>
        <w:ind w:left="7614" w:hanging="180"/>
      </w:pPr>
    </w:lvl>
  </w:abstractNum>
  <w:abstractNum w:abstractNumId="15" w15:restartNumberingAfterBreak="0">
    <w:nsid w:val="15476E60"/>
    <w:multiLevelType w:val="hybridMultilevel"/>
    <w:tmpl w:val="4D006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F37907"/>
    <w:multiLevelType w:val="singleLevel"/>
    <w:tmpl w:val="04090001"/>
    <w:lvl w:ilvl="0">
      <w:start w:val="1"/>
      <w:numFmt w:val="bullet"/>
      <w:pStyle w:val="Box"/>
      <w:lvlText w:val=""/>
      <w:lvlJc w:val="left"/>
      <w:pPr>
        <w:tabs>
          <w:tab w:val="num" w:pos="720"/>
        </w:tabs>
        <w:ind w:left="720" w:hanging="360"/>
      </w:pPr>
      <w:rPr>
        <w:rFonts w:ascii="Symbol" w:hAnsi="Symbol" w:hint="default"/>
      </w:rPr>
    </w:lvl>
  </w:abstractNum>
  <w:abstractNum w:abstractNumId="17" w15:restartNumberingAfterBreak="0">
    <w:nsid w:val="1C593D3A"/>
    <w:multiLevelType w:val="hybridMultilevel"/>
    <w:tmpl w:val="46208B1E"/>
    <w:styleLink w:val="EstiloImportado1"/>
    <w:lvl w:ilvl="0" w:tplc="729406AE">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EE320E">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2EEEC7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6E8D8F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0A8B4CA">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A02125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188581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8CC652E">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666424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1DF27C46"/>
    <w:multiLevelType w:val="hybridMultilevel"/>
    <w:tmpl w:val="D58AC1F4"/>
    <w:lvl w:ilvl="0" w:tplc="41944AB2">
      <w:start w:val="1"/>
      <w:numFmt w:val="bullet"/>
      <w:pStyle w:val="Section3numbered"/>
      <w:lvlText w:val=""/>
      <w:lvlJc w:val="left"/>
      <w:pPr>
        <w:tabs>
          <w:tab w:val="num" w:pos="720"/>
        </w:tabs>
        <w:ind w:left="720" w:hanging="360"/>
      </w:pPr>
      <w:rPr>
        <w:rFonts w:ascii="Symbol" w:hAnsi="Symbol" w:hint="default"/>
      </w:rPr>
    </w:lvl>
    <w:lvl w:ilvl="1" w:tplc="0AC47AFE" w:tentative="1">
      <w:start w:val="1"/>
      <w:numFmt w:val="bullet"/>
      <w:lvlText w:val="o"/>
      <w:lvlJc w:val="left"/>
      <w:pPr>
        <w:tabs>
          <w:tab w:val="num" w:pos="1440"/>
        </w:tabs>
        <w:ind w:left="1440" w:hanging="360"/>
      </w:pPr>
      <w:rPr>
        <w:rFonts w:ascii="Courier New" w:hAnsi="Courier New" w:cs="Consolas" w:hint="default"/>
      </w:rPr>
    </w:lvl>
    <w:lvl w:ilvl="2" w:tplc="FBE0714E" w:tentative="1">
      <w:start w:val="1"/>
      <w:numFmt w:val="bullet"/>
      <w:lvlText w:val=""/>
      <w:lvlJc w:val="left"/>
      <w:pPr>
        <w:tabs>
          <w:tab w:val="num" w:pos="2160"/>
        </w:tabs>
        <w:ind w:left="2160" w:hanging="360"/>
      </w:pPr>
      <w:rPr>
        <w:rFonts w:ascii="Wingdings" w:hAnsi="Wingdings" w:hint="default"/>
      </w:rPr>
    </w:lvl>
    <w:lvl w:ilvl="3" w:tplc="15D621B0" w:tentative="1">
      <w:start w:val="1"/>
      <w:numFmt w:val="bullet"/>
      <w:lvlText w:val=""/>
      <w:lvlJc w:val="left"/>
      <w:pPr>
        <w:tabs>
          <w:tab w:val="num" w:pos="2880"/>
        </w:tabs>
        <w:ind w:left="2880" w:hanging="360"/>
      </w:pPr>
      <w:rPr>
        <w:rFonts w:ascii="Symbol" w:hAnsi="Symbol" w:hint="default"/>
      </w:rPr>
    </w:lvl>
    <w:lvl w:ilvl="4" w:tplc="A844B542" w:tentative="1">
      <w:start w:val="1"/>
      <w:numFmt w:val="bullet"/>
      <w:lvlText w:val="o"/>
      <w:lvlJc w:val="left"/>
      <w:pPr>
        <w:tabs>
          <w:tab w:val="num" w:pos="3600"/>
        </w:tabs>
        <w:ind w:left="3600" w:hanging="360"/>
      </w:pPr>
      <w:rPr>
        <w:rFonts w:ascii="Courier New" w:hAnsi="Courier New" w:cs="Consolas" w:hint="default"/>
      </w:rPr>
    </w:lvl>
    <w:lvl w:ilvl="5" w:tplc="14844F18" w:tentative="1">
      <w:start w:val="1"/>
      <w:numFmt w:val="bullet"/>
      <w:lvlText w:val=""/>
      <w:lvlJc w:val="left"/>
      <w:pPr>
        <w:tabs>
          <w:tab w:val="num" w:pos="4320"/>
        </w:tabs>
        <w:ind w:left="4320" w:hanging="360"/>
      </w:pPr>
      <w:rPr>
        <w:rFonts w:ascii="Wingdings" w:hAnsi="Wingdings" w:hint="default"/>
      </w:rPr>
    </w:lvl>
    <w:lvl w:ilvl="6" w:tplc="BF56D5EE" w:tentative="1">
      <w:start w:val="1"/>
      <w:numFmt w:val="bullet"/>
      <w:lvlText w:val=""/>
      <w:lvlJc w:val="left"/>
      <w:pPr>
        <w:tabs>
          <w:tab w:val="num" w:pos="5040"/>
        </w:tabs>
        <w:ind w:left="5040" w:hanging="360"/>
      </w:pPr>
      <w:rPr>
        <w:rFonts w:ascii="Symbol" w:hAnsi="Symbol" w:hint="default"/>
      </w:rPr>
    </w:lvl>
    <w:lvl w:ilvl="7" w:tplc="8392D59E" w:tentative="1">
      <w:start w:val="1"/>
      <w:numFmt w:val="bullet"/>
      <w:lvlText w:val="o"/>
      <w:lvlJc w:val="left"/>
      <w:pPr>
        <w:tabs>
          <w:tab w:val="num" w:pos="5760"/>
        </w:tabs>
        <w:ind w:left="5760" w:hanging="360"/>
      </w:pPr>
      <w:rPr>
        <w:rFonts w:ascii="Courier New" w:hAnsi="Courier New" w:cs="Consolas" w:hint="default"/>
      </w:rPr>
    </w:lvl>
    <w:lvl w:ilvl="8" w:tplc="A782A3C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EEA21A5"/>
    <w:multiLevelType w:val="multilevel"/>
    <w:tmpl w:val="1EF87CA6"/>
    <w:lvl w:ilvl="0">
      <w:start w:val="1"/>
      <w:numFmt w:val="bullet"/>
      <w:pStyle w:val="Bulletsnumberedintable"/>
      <w:lvlText w:val=""/>
      <w:lvlJc w:val="left"/>
      <w:pPr>
        <w:tabs>
          <w:tab w:val="num" w:pos="539"/>
        </w:tabs>
        <w:ind w:left="539" w:hanging="539"/>
      </w:pPr>
      <w:rPr>
        <w:rFonts w:ascii="Symbol" w:hAnsi="Symbol" w:cs="Symbol" w:hint="default"/>
        <w:sz w:val="18"/>
        <w:szCs w:val="18"/>
      </w:rPr>
    </w:lvl>
    <w:lvl w:ilvl="1">
      <w:start w:val="1"/>
      <w:numFmt w:val="bullet"/>
      <w:lvlText w:val=""/>
      <w:lvlJc w:val="left"/>
      <w:pPr>
        <w:tabs>
          <w:tab w:val="num" w:pos="765"/>
        </w:tabs>
        <w:ind w:left="765" w:hanging="198"/>
      </w:pPr>
      <w:rPr>
        <w:rFonts w:ascii="Symbol" w:hAnsi="Symbol" w:cs="Symbol" w:hint="default"/>
        <w:sz w:val="18"/>
        <w:szCs w:val="18"/>
      </w:rPr>
    </w:lvl>
    <w:lvl w:ilvl="2">
      <w:start w:val="1"/>
      <w:numFmt w:val="bullet"/>
      <w:lvlText w:val=""/>
      <w:lvlJc w:val="left"/>
      <w:pPr>
        <w:tabs>
          <w:tab w:val="num" w:pos="2160"/>
        </w:tabs>
        <w:ind w:left="2160" w:hanging="360"/>
      </w:pPr>
      <w:rPr>
        <w:rFonts w:ascii="Wingdings" w:hAnsi="Wingdings" w:cs="ArialUnicodeM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ArialUnicodeMS" w:hint="default"/>
      </w:rPr>
    </w:lvl>
    <w:lvl w:ilvl="5">
      <w:start w:val="1"/>
      <w:numFmt w:val="bullet"/>
      <w:lvlText w:val=""/>
      <w:lvlJc w:val="left"/>
      <w:pPr>
        <w:tabs>
          <w:tab w:val="num" w:pos="4320"/>
        </w:tabs>
        <w:ind w:left="4320" w:hanging="360"/>
      </w:pPr>
      <w:rPr>
        <w:rFonts w:ascii="Wingdings" w:hAnsi="Wingdings" w:cs="ArialUnicodeM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ArialUnicodeMS" w:hint="default"/>
      </w:rPr>
    </w:lvl>
    <w:lvl w:ilvl="8">
      <w:start w:val="1"/>
      <w:numFmt w:val="bullet"/>
      <w:lvlText w:val=""/>
      <w:lvlJc w:val="left"/>
      <w:pPr>
        <w:tabs>
          <w:tab w:val="num" w:pos="6480"/>
        </w:tabs>
        <w:ind w:left="6480" w:hanging="360"/>
      </w:pPr>
      <w:rPr>
        <w:rFonts w:ascii="Wingdings" w:hAnsi="Wingdings" w:cs="ArialUnicodeMS" w:hint="default"/>
      </w:rPr>
    </w:lvl>
  </w:abstractNum>
  <w:abstractNum w:abstractNumId="20" w15:restartNumberingAfterBreak="0">
    <w:nsid w:val="22682942"/>
    <w:multiLevelType w:val="multilevel"/>
    <w:tmpl w:val="C89C9FF0"/>
    <w:lvl w:ilvl="0">
      <w:start w:val="1"/>
      <w:numFmt w:val="decimal"/>
      <w:pStyle w:val="BlankLine"/>
      <w:lvlText w:val="%1."/>
      <w:lvlJc w:val="left"/>
      <w:pPr>
        <w:tabs>
          <w:tab w:val="num" w:pos="360"/>
        </w:tabs>
        <w:ind w:left="360" w:hanging="360"/>
      </w:pPr>
    </w:lvl>
    <w:lvl w:ilvl="1">
      <w:start w:val="1"/>
      <w:numFmt w:val="lowerLetter"/>
      <w:pStyle w:val="SeqListLev1"/>
      <w:lvlText w:val="%2."/>
      <w:lvlJc w:val="left"/>
      <w:pPr>
        <w:tabs>
          <w:tab w:val="num" w:pos="1080"/>
        </w:tabs>
        <w:ind w:left="1080" w:hanging="360"/>
      </w:pPr>
    </w:lvl>
    <w:lvl w:ilvl="2">
      <w:start w:val="1"/>
      <w:numFmt w:val="lowerRoman"/>
      <w:pStyle w:val="SeqListLev2"/>
      <w:lvlText w:val="%3."/>
      <w:lvlJc w:val="right"/>
      <w:pPr>
        <w:tabs>
          <w:tab w:val="num" w:pos="1800"/>
        </w:tabs>
        <w:ind w:left="1800" w:hanging="180"/>
      </w:pPr>
    </w:lvl>
    <w:lvl w:ilvl="3">
      <w:start w:val="1"/>
      <w:numFmt w:val="decimal"/>
      <w:pStyle w:val="SeqListLev3"/>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1" w15:restartNumberingAfterBreak="0">
    <w:nsid w:val="24DC3E23"/>
    <w:multiLevelType w:val="multilevel"/>
    <w:tmpl w:val="F1E8F132"/>
    <w:lvl w:ilvl="0">
      <w:start w:val="1"/>
      <w:numFmt w:val="bullet"/>
      <w:pStyle w:val="IPPNumberSubhead"/>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nsola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nsola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nsolas"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E60C83"/>
    <w:multiLevelType w:val="multilevel"/>
    <w:tmpl w:val="AA481282"/>
    <w:lvl w:ilvl="0">
      <w:numFmt w:val="bullet"/>
      <w:pStyle w:val="IPPIndentClose"/>
      <w:lvlText w:val="-"/>
      <w:lvlJc w:val="left"/>
      <w:pPr>
        <w:tabs>
          <w:tab w:val="num" w:pos="720"/>
        </w:tabs>
        <w:ind w:left="720" w:hanging="360"/>
      </w:pPr>
      <w:rPr>
        <w:rFonts w:ascii="Arial" w:eastAsia="Times New Roman" w:hAnsi="Arial" w:cs="Arial" w:hint="default"/>
        <w:b/>
      </w:rPr>
    </w:lvl>
    <w:lvl w:ilvl="1">
      <w:start w:val="1"/>
      <w:numFmt w:val="bullet"/>
      <w:lvlText w:val="o"/>
      <w:lvlJc w:val="left"/>
      <w:pPr>
        <w:tabs>
          <w:tab w:val="num" w:pos="1440"/>
        </w:tabs>
        <w:ind w:left="1440" w:hanging="360"/>
      </w:pPr>
      <w:rPr>
        <w:rFonts w:ascii="Courier New" w:hAnsi="Courier New" w:cs="Consola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nsola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nsolas"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7483E3B"/>
    <w:multiLevelType w:val="multilevel"/>
    <w:tmpl w:val="2CA8847C"/>
    <w:lvl w:ilvl="0">
      <w:start w:val="1"/>
      <w:numFmt w:val="decimal"/>
      <w:pStyle w:val="Thesisheading1"/>
      <w:lvlText w:val="1.%1"/>
      <w:lvlJc w:val="left"/>
      <w:pPr>
        <w:tabs>
          <w:tab w:val="num" w:pos="720"/>
        </w:tabs>
        <w:ind w:left="720" w:hanging="720"/>
      </w:pPr>
      <w:rPr>
        <w:rFonts w:hint="default"/>
      </w:rPr>
    </w:lvl>
    <w:lvl w:ilvl="1">
      <w:start w:val="1"/>
      <w:numFmt w:val="decimal"/>
      <w:lvlText w:val="%1.%2.1"/>
      <w:lvlJc w:val="left"/>
      <w:pPr>
        <w:tabs>
          <w:tab w:val="num" w:pos="720"/>
        </w:tabs>
        <w:ind w:left="720" w:hanging="720"/>
      </w:pPr>
      <w:rPr>
        <w:rFonts w:hint="default"/>
      </w:rPr>
    </w:lvl>
    <w:lvl w:ilvl="2">
      <w:start w:val="1"/>
      <w:numFmt w:val="lowerLetter"/>
      <w:pStyle w:val="Thesisheading4"/>
      <w:lvlText w:val="(%3)"/>
      <w:lvlJc w:val="left"/>
      <w:pPr>
        <w:tabs>
          <w:tab w:val="num" w:pos="720"/>
        </w:tabs>
        <w:ind w:left="720" w:hanging="720"/>
      </w:pPr>
      <w:rPr>
        <w:rFonts w:hint="default"/>
      </w:rPr>
    </w:lvl>
    <w:lvl w:ilvl="3">
      <w:start w:val="1"/>
      <w:numFmt w:val="none"/>
      <w:suff w:val="nothing"/>
      <w:lvlText w:val=""/>
      <w:lvlJc w:val="left"/>
      <w:pPr>
        <w:ind w:left="0" w:firstLine="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4" w15:restartNumberingAfterBreak="0">
    <w:nsid w:val="286617E9"/>
    <w:multiLevelType w:val="hybridMultilevel"/>
    <w:tmpl w:val="09F2EEE6"/>
    <w:lvl w:ilvl="0" w:tplc="93942E1E">
      <w:start w:val="1"/>
      <w:numFmt w:val="bullet"/>
      <w:pStyle w:val="IPPBullet1"/>
      <w:lvlText w:val=""/>
      <w:lvlJc w:val="left"/>
      <w:pPr>
        <w:tabs>
          <w:tab w:val="num" w:pos="720"/>
        </w:tabs>
        <w:ind w:left="720" w:hanging="360"/>
      </w:pPr>
      <w:rPr>
        <w:rFonts w:ascii="Symbol" w:hAnsi="Symbol" w:hint="default"/>
      </w:rPr>
    </w:lvl>
    <w:lvl w:ilvl="1" w:tplc="790C445A">
      <w:start w:val="1"/>
      <w:numFmt w:val="bullet"/>
      <w:lvlText w:val="o"/>
      <w:lvlJc w:val="left"/>
      <w:pPr>
        <w:tabs>
          <w:tab w:val="num" w:pos="1440"/>
        </w:tabs>
        <w:ind w:left="1440" w:hanging="360"/>
      </w:pPr>
      <w:rPr>
        <w:rFonts w:ascii="Courier New" w:hAnsi="Courier New" w:cs="Consolas" w:hint="default"/>
      </w:rPr>
    </w:lvl>
    <w:lvl w:ilvl="2" w:tplc="AD42556A">
      <w:start w:val="1"/>
      <w:numFmt w:val="decimal"/>
      <w:lvlText w:val="%3."/>
      <w:lvlJc w:val="left"/>
      <w:pPr>
        <w:tabs>
          <w:tab w:val="num" w:pos="2160"/>
        </w:tabs>
        <w:ind w:left="2160" w:hanging="360"/>
      </w:pPr>
    </w:lvl>
    <w:lvl w:ilvl="3" w:tplc="34FCFE2E">
      <w:start w:val="1"/>
      <w:numFmt w:val="decimal"/>
      <w:lvlText w:val="%4."/>
      <w:lvlJc w:val="left"/>
      <w:pPr>
        <w:tabs>
          <w:tab w:val="num" w:pos="2880"/>
        </w:tabs>
        <w:ind w:left="2880" w:hanging="360"/>
      </w:pPr>
    </w:lvl>
    <w:lvl w:ilvl="4" w:tplc="BC385A72">
      <w:start w:val="1"/>
      <w:numFmt w:val="decimal"/>
      <w:lvlText w:val="%5."/>
      <w:lvlJc w:val="left"/>
      <w:pPr>
        <w:tabs>
          <w:tab w:val="num" w:pos="3600"/>
        </w:tabs>
        <w:ind w:left="3600" w:hanging="360"/>
      </w:pPr>
    </w:lvl>
    <w:lvl w:ilvl="5" w:tplc="22A0BFE4">
      <w:start w:val="1"/>
      <w:numFmt w:val="decimal"/>
      <w:lvlText w:val="%6."/>
      <w:lvlJc w:val="left"/>
      <w:pPr>
        <w:tabs>
          <w:tab w:val="num" w:pos="4320"/>
        </w:tabs>
        <w:ind w:left="4320" w:hanging="360"/>
      </w:pPr>
    </w:lvl>
    <w:lvl w:ilvl="6" w:tplc="14B4819A">
      <w:start w:val="1"/>
      <w:numFmt w:val="decimal"/>
      <w:lvlText w:val="%7."/>
      <w:lvlJc w:val="left"/>
      <w:pPr>
        <w:tabs>
          <w:tab w:val="num" w:pos="5040"/>
        </w:tabs>
        <w:ind w:left="5040" w:hanging="360"/>
      </w:pPr>
    </w:lvl>
    <w:lvl w:ilvl="7" w:tplc="7BCEEECA">
      <w:start w:val="1"/>
      <w:numFmt w:val="decimal"/>
      <w:lvlText w:val="%8."/>
      <w:lvlJc w:val="left"/>
      <w:pPr>
        <w:tabs>
          <w:tab w:val="num" w:pos="5760"/>
        </w:tabs>
        <w:ind w:left="5760" w:hanging="360"/>
      </w:pPr>
    </w:lvl>
    <w:lvl w:ilvl="8" w:tplc="3A6A5B8C">
      <w:start w:val="1"/>
      <w:numFmt w:val="decimal"/>
      <w:lvlText w:val="%9."/>
      <w:lvlJc w:val="left"/>
      <w:pPr>
        <w:tabs>
          <w:tab w:val="num" w:pos="6480"/>
        </w:tabs>
        <w:ind w:left="6480" w:hanging="360"/>
      </w:pPr>
    </w:lvl>
  </w:abstractNum>
  <w:abstractNum w:abstractNumId="25" w15:restartNumberingAfterBreak="0">
    <w:nsid w:val="2869746C"/>
    <w:multiLevelType w:val="hybridMultilevel"/>
    <w:tmpl w:val="235020DA"/>
    <w:lvl w:ilvl="0" w:tplc="AEF8D51C">
      <w:start w:val="1"/>
      <w:numFmt w:val="bullet"/>
      <w:pStyle w:val="BasicParagraph"/>
      <w:lvlText w:val=""/>
      <w:lvlJc w:val="left"/>
      <w:pPr>
        <w:tabs>
          <w:tab w:val="num" w:pos="720"/>
        </w:tabs>
        <w:ind w:left="720" w:hanging="360"/>
      </w:pPr>
      <w:rPr>
        <w:rFonts w:ascii="Symbol" w:hAnsi="Symbol" w:hint="default"/>
      </w:rPr>
    </w:lvl>
    <w:lvl w:ilvl="1" w:tplc="3EF22854" w:tentative="1">
      <w:start w:val="1"/>
      <w:numFmt w:val="bullet"/>
      <w:lvlText w:val="o"/>
      <w:lvlJc w:val="left"/>
      <w:pPr>
        <w:tabs>
          <w:tab w:val="num" w:pos="1440"/>
        </w:tabs>
        <w:ind w:left="1440" w:hanging="360"/>
      </w:pPr>
      <w:rPr>
        <w:rFonts w:ascii="Courier New" w:hAnsi="Courier New" w:cs="Consolas" w:hint="default"/>
      </w:rPr>
    </w:lvl>
    <w:lvl w:ilvl="2" w:tplc="7280F928" w:tentative="1">
      <w:start w:val="1"/>
      <w:numFmt w:val="bullet"/>
      <w:lvlText w:val=""/>
      <w:lvlJc w:val="left"/>
      <w:pPr>
        <w:tabs>
          <w:tab w:val="num" w:pos="2160"/>
        </w:tabs>
        <w:ind w:left="2160" w:hanging="360"/>
      </w:pPr>
      <w:rPr>
        <w:rFonts w:ascii="Wingdings" w:hAnsi="Wingdings" w:hint="default"/>
      </w:rPr>
    </w:lvl>
    <w:lvl w:ilvl="3" w:tplc="FDE4CDF2" w:tentative="1">
      <w:start w:val="1"/>
      <w:numFmt w:val="bullet"/>
      <w:lvlText w:val=""/>
      <w:lvlJc w:val="left"/>
      <w:pPr>
        <w:tabs>
          <w:tab w:val="num" w:pos="2880"/>
        </w:tabs>
        <w:ind w:left="2880" w:hanging="360"/>
      </w:pPr>
      <w:rPr>
        <w:rFonts w:ascii="Symbol" w:hAnsi="Symbol" w:hint="default"/>
      </w:rPr>
    </w:lvl>
    <w:lvl w:ilvl="4" w:tplc="38C2FABE" w:tentative="1">
      <w:start w:val="1"/>
      <w:numFmt w:val="bullet"/>
      <w:lvlText w:val="o"/>
      <w:lvlJc w:val="left"/>
      <w:pPr>
        <w:tabs>
          <w:tab w:val="num" w:pos="3600"/>
        </w:tabs>
        <w:ind w:left="3600" w:hanging="360"/>
      </w:pPr>
      <w:rPr>
        <w:rFonts w:ascii="Courier New" w:hAnsi="Courier New" w:cs="Consolas" w:hint="default"/>
      </w:rPr>
    </w:lvl>
    <w:lvl w:ilvl="5" w:tplc="D7600742" w:tentative="1">
      <w:start w:val="1"/>
      <w:numFmt w:val="bullet"/>
      <w:lvlText w:val=""/>
      <w:lvlJc w:val="left"/>
      <w:pPr>
        <w:tabs>
          <w:tab w:val="num" w:pos="4320"/>
        </w:tabs>
        <w:ind w:left="4320" w:hanging="360"/>
      </w:pPr>
      <w:rPr>
        <w:rFonts w:ascii="Wingdings" w:hAnsi="Wingdings" w:hint="default"/>
      </w:rPr>
    </w:lvl>
    <w:lvl w:ilvl="6" w:tplc="F1E462EC" w:tentative="1">
      <w:start w:val="1"/>
      <w:numFmt w:val="bullet"/>
      <w:lvlText w:val=""/>
      <w:lvlJc w:val="left"/>
      <w:pPr>
        <w:tabs>
          <w:tab w:val="num" w:pos="5040"/>
        </w:tabs>
        <w:ind w:left="5040" w:hanging="360"/>
      </w:pPr>
      <w:rPr>
        <w:rFonts w:ascii="Symbol" w:hAnsi="Symbol" w:hint="default"/>
      </w:rPr>
    </w:lvl>
    <w:lvl w:ilvl="7" w:tplc="8D5A16B4" w:tentative="1">
      <w:start w:val="1"/>
      <w:numFmt w:val="bullet"/>
      <w:lvlText w:val="o"/>
      <w:lvlJc w:val="left"/>
      <w:pPr>
        <w:tabs>
          <w:tab w:val="num" w:pos="5760"/>
        </w:tabs>
        <w:ind w:left="5760" w:hanging="360"/>
      </w:pPr>
      <w:rPr>
        <w:rFonts w:ascii="Courier New" w:hAnsi="Courier New" w:cs="Consolas" w:hint="default"/>
      </w:rPr>
    </w:lvl>
    <w:lvl w:ilvl="8" w:tplc="5DBC7710"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990330D"/>
    <w:multiLevelType w:val="hybridMultilevel"/>
    <w:tmpl w:val="8B92EB8E"/>
    <w:lvl w:ilvl="0" w:tplc="A844B96A">
      <w:start w:val="1"/>
      <w:numFmt w:val="bullet"/>
      <w:pStyle w:val="BoxSeqList3"/>
      <w:lvlText w:val=""/>
      <w:lvlJc w:val="left"/>
      <w:pPr>
        <w:tabs>
          <w:tab w:val="num" w:pos="720"/>
        </w:tabs>
        <w:ind w:left="720" w:hanging="360"/>
      </w:pPr>
      <w:rPr>
        <w:rFonts w:ascii="Symbol" w:hAnsi="Symbol" w:hint="default"/>
      </w:rPr>
    </w:lvl>
    <w:lvl w:ilvl="1" w:tplc="9BC2F584" w:tentative="1">
      <w:start w:val="1"/>
      <w:numFmt w:val="bullet"/>
      <w:lvlText w:val="o"/>
      <w:lvlJc w:val="left"/>
      <w:pPr>
        <w:tabs>
          <w:tab w:val="num" w:pos="1440"/>
        </w:tabs>
        <w:ind w:left="1440" w:hanging="360"/>
      </w:pPr>
      <w:rPr>
        <w:rFonts w:ascii="Courier New" w:hAnsi="Courier New" w:cs="Consolas" w:hint="default"/>
      </w:rPr>
    </w:lvl>
    <w:lvl w:ilvl="2" w:tplc="54DCE6F2" w:tentative="1">
      <w:start w:val="1"/>
      <w:numFmt w:val="bullet"/>
      <w:lvlText w:val=""/>
      <w:lvlJc w:val="left"/>
      <w:pPr>
        <w:tabs>
          <w:tab w:val="num" w:pos="2160"/>
        </w:tabs>
        <w:ind w:left="2160" w:hanging="360"/>
      </w:pPr>
      <w:rPr>
        <w:rFonts w:ascii="Wingdings" w:hAnsi="Wingdings" w:hint="default"/>
      </w:rPr>
    </w:lvl>
    <w:lvl w:ilvl="3" w:tplc="6CFA0B66" w:tentative="1">
      <w:start w:val="1"/>
      <w:numFmt w:val="bullet"/>
      <w:lvlText w:val=""/>
      <w:lvlJc w:val="left"/>
      <w:pPr>
        <w:tabs>
          <w:tab w:val="num" w:pos="2880"/>
        </w:tabs>
        <w:ind w:left="2880" w:hanging="360"/>
      </w:pPr>
      <w:rPr>
        <w:rFonts w:ascii="Symbol" w:hAnsi="Symbol" w:hint="default"/>
      </w:rPr>
    </w:lvl>
    <w:lvl w:ilvl="4" w:tplc="9EC80C8E" w:tentative="1">
      <w:start w:val="1"/>
      <w:numFmt w:val="bullet"/>
      <w:lvlText w:val="o"/>
      <w:lvlJc w:val="left"/>
      <w:pPr>
        <w:tabs>
          <w:tab w:val="num" w:pos="3600"/>
        </w:tabs>
        <w:ind w:left="3600" w:hanging="360"/>
      </w:pPr>
      <w:rPr>
        <w:rFonts w:ascii="Courier New" w:hAnsi="Courier New" w:cs="Consolas" w:hint="default"/>
      </w:rPr>
    </w:lvl>
    <w:lvl w:ilvl="5" w:tplc="EFAACC36" w:tentative="1">
      <w:start w:val="1"/>
      <w:numFmt w:val="bullet"/>
      <w:lvlText w:val=""/>
      <w:lvlJc w:val="left"/>
      <w:pPr>
        <w:tabs>
          <w:tab w:val="num" w:pos="4320"/>
        </w:tabs>
        <w:ind w:left="4320" w:hanging="360"/>
      </w:pPr>
      <w:rPr>
        <w:rFonts w:ascii="Wingdings" w:hAnsi="Wingdings" w:hint="default"/>
      </w:rPr>
    </w:lvl>
    <w:lvl w:ilvl="6" w:tplc="E572EC80" w:tentative="1">
      <w:start w:val="1"/>
      <w:numFmt w:val="bullet"/>
      <w:lvlText w:val=""/>
      <w:lvlJc w:val="left"/>
      <w:pPr>
        <w:tabs>
          <w:tab w:val="num" w:pos="5040"/>
        </w:tabs>
        <w:ind w:left="5040" w:hanging="360"/>
      </w:pPr>
      <w:rPr>
        <w:rFonts w:ascii="Symbol" w:hAnsi="Symbol" w:hint="default"/>
      </w:rPr>
    </w:lvl>
    <w:lvl w:ilvl="7" w:tplc="6DC45B3C" w:tentative="1">
      <w:start w:val="1"/>
      <w:numFmt w:val="bullet"/>
      <w:lvlText w:val="o"/>
      <w:lvlJc w:val="left"/>
      <w:pPr>
        <w:tabs>
          <w:tab w:val="num" w:pos="5760"/>
        </w:tabs>
        <w:ind w:left="5760" w:hanging="360"/>
      </w:pPr>
      <w:rPr>
        <w:rFonts w:ascii="Courier New" w:hAnsi="Courier New" w:cs="Consolas" w:hint="default"/>
      </w:rPr>
    </w:lvl>
    <w:lvl w:ilvl="8" w:tplc="8B84DF42"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9F608CA"/>
    <w:multiLevelType w:val="hybridMultilevel"/>
    <w:tmpl w:val="D354E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A036878"/>
    <w:multiLevelType w:val="multilevel"/>
    <w:tmpl w:val="B45A9380"/>
    <w:lvl w:ilvl="0">
      <w:start w:val="1"/>
      <w:numFmt w:val="decimal"/>
      <w:lvlText w:val="%1."/>
      <w:lvlJc w:val="left"/>
      <w:pPr>
        <w:tabs>
          <w:tab w:val="num" w:pos="720"/>
        </w:tabs>
        <w:ind w:left="720" w:hanging="360"/>
      </w:pPr>
    </w:lvl>
    <w:lvl w:ilvl="1">
      <w:start w:val="3"/>
      <w:numFmt w:val="decimal"/>
      <w:isLgl/>
      <w:lvlText w:val="%1.%2"/>
      <w:lvlJc w:val="left"/>
      <w:pPr>
        <w:ind w:left="1065" w:hanging="705"/>
      </w:pPr>
      <w:rPr>
        <w:rFonts w:hint="default"/>
        <w:b/>
      </w:rPr>
    </w:lvl>
    <w:lvl w:ilvl="2">
      <w:start w:val="1"/>
      <w:numFmt w:val="decimal"/>
      <w:pStyle w:val="BoxSeqList2"/>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9" w15:restartNumberingAfterBreak="0">
    <w:nsid w:val="2F417AE2"/>
    <w:multiLevelType w:val="hybridMultilevel"/>
    <w:tmpl w:val="E966A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2EB1F01"/>
    <w:multiLevelType w:val="multilevel"/>
    <w:tmpl w:val="260C1CE4"/>
    <w:lvl w:ilvl="0">
      <w:start w:val="1"/>
      <w:numFmt w:val="decimal"/>
      <w:lvlText w:val="%1."/>
      <w:lvlJc w:val="left"/>
      <w:pPr>
        <w:ind w:left="360" w:hanging="360"/>
      </w:pPr>
      <w:rPr>
        <w:rFonts w:hint="default"/>
      </w:rPr>
    </w:lvl>
    <w:lvl w:ilvl="1">
      <w:start w:val="1"/>
      <w:numFmt w:val="decimal"/>
      <w:pStyle w:val="Style16"/>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337C6877"/>
    <w:multiLevelType w:val="hybridMultilevel"/>
    <w:tmpl w:val="B2A27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4501A57"/>
    <w:multiLevelType w:val="hybridMultilevel"/>
    <w:tmpl w:val="5B24FFB8"/>
    <w:lvl w:ilvl="0" w:tplc="721C2A1A">
      <w:start w:val="1"/>
      <w:numFmt w:val="decimal"/>
      <w:pStyle w:val="Bulletnumbered"/>
      <w:lvlText w:val="%1."/>
      <w:lvlJc w:val="left"/>
      <w:pPr>
        <w:ind w:left="1854" w:hanging="360"/>
      </w:pPr>
    </w:lvl>
    <w:lvl w:ilvl="1" w:tplc="9A02AD78" w:tentative="1">
      <w:start w:val="1"/>
      <w:numFmt w:val="lowerLetter"/>
      <w:lvlText w:val="%2."/>
      <w:lvlJc w:val="left"/>
      <w:pPr>
        <w:ind w:left="2574" w:hanging="360"/>
      </w:pPr>
    </w:lvl>
    <w:lvl w:ilvl="2" w:tplc="5FEA1EDC" w:tentative="1">
      <w:start w:val="1"/>
      <w:numFmt w:val="lowerRoman"/>
      <w:lvlText w:val="%3."/>
      <w:lvlJc w:val="right"/>
      <w:pPr>
        <w:ind w:left="3294" w:hanging="180"/>
      </w:pPr>
    </w:lvl>
    <w:lvl w:ilvl="3" w:tplc="3E2C8934" w:tentative="1">
      <w:start w:val="1"/>
      <w:numFmt w:val="decimal"/>
      <w:lvlText w:val="%4."/>
      <w:lvlJc w:val="left"/>
      <w:pPr>
        <w:ind w:left="4014" w:hanging="360"/>
      </w:pPr>
    </w:lvl>
    <w:lvl w:ilvl="4" w:tplc="332C7AA6" w:tentative="1">
      <w:start w:val="1"/>
      <w:numFmt w:val="lowerLetter"/>
      <w:lvlText w:val="%5."/>
      <w:lvlJc w:val="left"/>
      <w:pPr>
        <w:ind w:left="4734" w:hanging="360"/>
      </w:pPr>
    </w:lvl>
    <w:lvl w:ilvl="5" w:tplc="8D7A1C90" w:tentative="1">
      <w:start w:val="1"/>
      <w:numFmt w:val="lowerRoman"/>
      <w:lvlText w:val="%6."/>
      <w:lvlJc w:val="right"/>
      <w:pPr>
        <w:ind w:left="5454" w:hanging="180"/>
      </w:pPr>
    </w:lvl>
    <w:lvl w:ilvl="6" w:tplc="2F2C0594" w:tentative="1">
      <w:start w:val="1"/>
      <w:numFmt w:val="decimal"/>
      <w:lvlText w:val="%7."/>
      <w:lvlJc w:val="left"/>
      <w:pPr>
        <w:ind w:left="6174" w:hanging="360"/>
      </w:pPr>
    </w:lvl>
    <w:lvl w:ilvl="7" w:tplc="56508CE2" w:tentative="1">
      <w:start w:val="1"/>
      <w:numFmt w:val="lowerLetter"/>
      <w:lvlText w:val="%8."/>
      <w:lvlJc w:val="left"/>
      <w:pPr>
        <w:ind w:left="6894" w:hanging="360"/>
      </w:pPr>
    </w:lvl>
    <w:lvl w:ilvl="8" w:tplc="29FE73F8" w:tentative="1">
      <w:start w:val="1"/>
      <w:numFmt w:val="lowerRoman"/>
      <w:lvlText w:val="%9."/>
      <w:lvlJc w:val="right"/>
      <w:pPr>
        <w:ind w:left="7614" w:hanging="180"/>
      </w:pPr>
    </w:lvl>
  </w:abstractNum>
  <w:abstractNum w:abstractNumId="33" w15:restartNumberingAfterBreak="0">
    <w:nsid w:val="36620CB5"/>
    <w:multiLevelType w:val="hybridMultilevel"/>
    <w:tmpl w:val="3BD4ABCC"/>
    <w:lvl w:ilvl="0" w:tplc="85626A0A">
      <w:start w:val="1"/>
      <w:numFmt w:val="bullet"/>
      <w:pStyle w:val="NewPara"/>
      <w:lvlText w:val=""/>
      <w:lvlJc w:val="left"/>
      <w:pPr>
        <w:tabs>
          <w:tab w:val="num" w:pos="720"/>
        </w:tabs>
        <w:ind w:left="720" w:hanging="360"/>
      </w:pPr>
      <w:rPr>
        <w:rFonts w:ascii="Symbol" w:hAnsi="Symbol" w:hint="default"/>
      </w:rPr>
    </w:lvl>
    <w:lvl w:ilvl="1" w:tplc="6C183E32" w:tentative="1">
      <w:start w:val="1"/>
      <w:numFmt w:val="bullet"/>
      <w:pStyle w:val="TableEntry"/>
      <w:lvlText w:val="o"/>
      <w:lvlJc w:val="left"/>
      <w:pPr>
        <w:tabs>
          <w:tab w:val="num" w:pos="1440"/>
        </w:tabs>
        <w:ind w:left="1440" w:hanging="360"/>
      </w:pPr>
      <w:rPr>
        <w:rFonts w:ascii="Courier New" w:hAnsi="Courier New" w:cs="Consolas" w:hint="default"/>
      </w:rPr>
    </w:lvl>
    <w:lvl w:ilvl="2" w:tplc="97341F44" w:tentative="1">
      <w:start w:val="1"/>
      <w:numFmt w:val="bullet"/>
      <w:pStyle w:val="CarCar"/>
      <w:lvlText w:val=""/>
      <w:lvlJc w:val="left"/>
      <w:pPr>
        <w:tabs>
          <w:tab w:val="num" w:pos="2160"/>
        </w:tabs>
        <w:ind w:left="2160" w:hanging="360"/>
      </w:pPr>
      <w:rPr>
        <w:rFonts w:ascii="Wingdings" w:hAnsi="Wingdings" w:hint="default"/>
      </w:rPr>
    </w:lvl>
    <w:lvl w:ilvl="3" w:tplc="E5F68E6A" w:tentative="1">
      <w:start w:val="1"/>
      <w:numFmt w:val="bullet"/>
      <w:pStyle w:val="BoxTitle"/>
      <w:lvlText w:val=""/>
      <w:lvlJc w:val="left"/>
      <w:pPr>
        <w:tabs>
          <w:tab w:val="num" w:pos="2880"/>
        </w:tabs>
        <w:ind w:left="2880" w:hanging="360"/>
      </w:pPr>
      <w:rPr>
        <w:rFonts w:ascii="Symbol" w:hAnsi="Symbol" w:hint="default"/>
      </w:rPr>
    </w:lvl>
    <w:lvl w:ilvl="4" w:tplc="E146B7B2" w:tentative="1">
      <w:start w:val="1"/>
      <w:numFmt w:val="bullet"/>
      <w:lvlText w:val="o"/>
      <w:lvlJc w:val="left"/>
      <w:pPr>
        <w:tabs>
          <w:tab w:val="num" w:pos="3600"/>
        </w:tabs>
        <w:ind w:left="3600" w:hanging="360"/>
      </w:pPr>
      <w:rPr>
        <w:rFonts w:ascii="Courier New" w:hAnsi="Courier New" w:cs="Consolas" w:hint="default"/>
      </w:rPr>
    </w:lvl>
    <w:lvl w:ilvl="5" w:tplc="CBA4E2D8" w:tentative="1">
      <w:start w:val="1"/>
      <w:numFmt w:val="bullet"/>
      <w:lvlText w:val=""/>
      <w:lvlJc w:val="left"/>
      <w:pPr>
        <w:tabs>
          <w:tab w:val="num" w:pos="4320"/>
        </w:tabs>
        <w:ind w:left="4320" w:hanging="360"/>
      </w:pPr>
      <w:rPr>
        <w:rFonts w:ascii="Wingdings" w:hAnsi="Wingdings" w:hint="default"/>
      </w:rPr>
    </w:lvl>
    <w:lvl w:ilvl="6" w:tplc="09961A4C" w:tentative="1">
      <w:start w:val="1"/>
      <w:numFmt w:val="bullet"/>
      <w:lvlText w:val=""/>
      <w:lvlJc w:val="left"/>
      <w:pPr>
        <w:tabs>
          <w:tab w:val="num" w:pos="5040"/>
        </w:tabs>
        <w:ind w:left="5040" w:hanging="360"/>
      </w:pPr>
      <w:rPr>
        <w:rFonts w:ascii="Symbol" w:hAnsi="Symbol" w:hint="default"/>
      </w:rPr>
    </w:lvl>
    <w:lvl w:ilvl="7" w:tplc="40CC5086" w:tentative="1">
      <w:start w:val="1"/>
      <w:numFmt w:val="bullet"/>
      <w:lvlText w:val="o"/>
      <w:lvlJc w:val="left"/>
      <w:pPr>
        <w:tabs>
          <w:tab w:val="num" w:pos="5760"/>
        </w:tabs>
        <w:ind w:left="5760" w:hanging="360"/>
      </w:pPr>
      <w:rPr>
        <w:rFonts w:ascii="Courier New" w:hAnsi="Courier New" w:cs="Consolas" w:hint="default"/>
      </w:rPr>
    </w:lvl>
    <w:lvl w:ilvl="8" w:tplc="923CB502"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7980EB6"/>
    <w:multiLevelType w:val="hybridMultilevel"/>
    <w:tmpl w:val="43C2DA88"/>
    <w:lvl w:ilvl="0" w:tplc="3A8EEBBE">
      <w:start w:val="1"/>
      <w:numFmt w:val="decimal"/>
      <w:pStyle w:val="IPPNormalCloseSpace"/>
      <w:lvlText w:val="%1."/>
      <w:lvlJc w:val="left"/>
      <w:pPr>
        <w:tabs>
          <w:tab w:val="num" w:pos="720"/>
        </w:tabs>
        <w:ind w:left="720" w:hanging="360"/>
      </w:pPr>
    </w:lvl>
    <w:lvl w:ilvl="1" w:tplc="62885C90" w:tentative="1">
      <w:start w:val="1"/>
      <w:numFmt w:val="lowerLetter"/>
      <w:lvlText w:val="%2."/>
      <w:lvlJc w:val="left"/>
      <w:pPr>
        <w:tabs>
          <w:tab w:val="num" w:pos="1440"/>
        </w:tabs>
        <w:ind w:left="1440" w:hanging="360"/>
      </w:pPr>
    </w:lvl>
    <w:lvl w:ilvl="2" w:tplc="78D638B6" w:tentative="1">
      <w:start w:val="1"/>
      <w:numFmt w:val="lowerRoman"/>
      <w:lvlText w:val="%3."/>
      <w:lvlJc w:val="right"/>
      <w:pPr>
        <w:tabs>
          <w:tab w:val="num" w:pos="2160"/>
        </w:tabs>
        <w:ind w:left="2160" w:hanging="180"/>
      </w:pPr>
    </w:lvl>
    <w:lvl w:ilvl="3" w:tplc="13A04FFA" w:tentative="1">
      <w:start w:val="1"/>
      <w:numFmt w:val="decimal"/>
      <w:lvlText w:val="%4."/>
      <w:lvlJc w:val="left"/>
      <w:pPr>
        <w:tabs>
          <w:tab w:val="num" w:pos="2880"/>
        </w:tabs>
        <w:ind w:left="2880" w:hanging="360"/>
      </w:pPr>
    </w:lvl>
    <w:lvl w:ilvl="4" w:tplc="88D48E46" w:tentative="1">
      <w:start w:val="1"/>
      <w:numFmt w:val="lowerLetter"/>
      <w:lvlText w:val="%5."/>
      <w:lvlJc w:val="left"/>
      <w:pPr>
        <w:tabs>
          <w:tab w:val="num" w:pos="3600"/>
        </w:tabs>
        <w:ind w:left="3600" w:hanging="360"/>
      </w:pPr>
    </w:lvl>
    <w:lvl w:ilvl="5" w:tplc="B930E5A4" w:tentative="1">
      <w:start w:val="1"/>
      <w:numFmt w:val="lowerRoman"/>
      <w:lvlText w:val="%6."/>
      <w:lvlJc w:val="right"/>
      <w:pPr>
        <w:tabs>
          <w:tab w:val="num" w:pos="4320"/>
        </w:tabs>
        <w:ind w:left="4320" w:hanging="180"/>
      </w:pPr>
    </w:lvl>
    <w:lvl w:ilvl="6" w:tplc="4120E2FE" w:tentative="1">
      <w:start w:val="1"/>
      <w:numFmt w:val="decimal"/>
      <w:lvlText w:val="%7."/>
      <w:lvlJc w:val="left"/>
      <w:pPr>
        <w:tabs>
          <w:tab w:val="num" w:pos="5040"/>
        </w:tabs>
        <w:ind w:left="5040" w:hanging="360"/>
      </w:pPr>
    </w:lvl>
    <w:lvl w:ilvl="7" w:tplc="CC009A92" w:tentative="1">
      <w:start w:val="1"/>
      <w:numFmt w:val="lowerLetter"/>
      <w:lvlText w:val="%8."/>
      <w:lvlJc w:val="left"/>
      <w:pPr>
        <w:tabs>
          <w:tab w:val="num" w:pos="5760"/>
        </w:tabs>
        <w:ind w:left="5760" w:hanging="360"/>
      </w:pPr>
    </w:lvl>
    <w:lvl w:ilvl="8" w:tplc="4642CD88" w:tentative="1">
      <w:start w:val="1"/>
      <w:numFmt w:val="lowerRoman"/>
      <w:lvlText w:val="%9."/>
      <w:lvlJc w:val="right"/>
      <w:pPr>
        <w:tabs>
          <w:tab w:val="num" w:pos="6480"/>
        </w:tabs>
        <w:ind w:left="6480" w:hanging="180"/>
      </w:pPr>
    </w:lvl>
  </w:abstractNum>
  <w:abstractNum w:abstractNumId="35" w15:restartNumberingAfterBreak="0">
    <w:nsid w:val="381B306B"/>
    <w:multiLevelType w:val="multilevel"/>
    <w:tmpl w:val="2E04D6D0"/>
    <w:lvl w:ilvl="0">
      <w:start w:val="1"/>
      <w:numFmt w:val="decimal"/>
      <w:pStyle w:val="List1"/>
      <w:lvlText w:val="%1."/>
      <w:lvlJc w:val="left"/>
      <w:pPr>
        <w:tabs>
          <w:tab w:val="num" w:pos="810"/>
        </w:tabs>
        <w:ind w:left="810" w:hanging="360"/>
      </w:p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15:restartNumberingAfterBreak="0">
    <w:nsid w:val="38B06FE7"/>
    <w:multiLevelType w:val="multilevel"/>
    <w:tmpl w:val="0A7A6A7E"/>
    <w:lvl w:ilvl="0">
      <w:start w:val="1"/>
      <w:numFmt w:val="decimal"/>
      <w:pStyle w:val="Alt2-LevelLegal1"/>
      <w:lvlText w:val="CHAPTER %1"/>
      <w:lvlJc w:val="left"/>
      <w:pPr>
        <w:tabs>
          <w:tab w:val="num" w:pos="1440"/>
        </w:tabs>
        <w:ind w:left="0" w:firstLine="0"/>
      </w:pPr>
      <w:rPr>
        <w:rFonts w:ascii="Times New Roman" w:hAnsi="Times New Roman" w:hint="default"/>
        <w:b/>
        <w:i w:val="0"/>
        <w:color w:val="000000"/>
        <w:sz w:val="28"/>
        <w:szCs w:val="28"/>
      </w:rPr>
    </w:lvl>
    <w:lvl w:ilvl="1">
      <w:start w:val="1"/>
      <w:numFmt w:val="decimal"/>
      <w:pStyle w:val="Alt2-LevelLegal2"/>
      <w:isLgl/>
      <w:lvlText w:val="%1.%2"/>
      <w:lvlJc w:val="left"/>
      <w:pPr>
        <w:tabs>
          <w:tab w:val="num" w:pos="720"/>
        </w:tabs>
        <w:ind w:left="720" w:hanging="720"/>
      </w:pPr>
      <w:rPr>
        <w:rFonts w:ascii="Times New Roman" w:hAnsi="Times New Roman" w:hint="default"/>
        <w:b/>
        <w:i w:val="0"/>
        <w:color w:val="000000"/>
        <w:sz w:val="22"/>
      </w:rPr>
    </w:lvl>
    <w:lvl w:ilvl="2">
      <w:start w:val="1"/>
      <w:numFmt w:val="decimal"/>
      <w:pStyle w:val="Alt2-LevelLegal3"/>
      <w:isLgl/>
      <w:lvlText w:val="%1.%2.%3"/>
      <w:lvlJc w:val="left"/>
      <w:pPr>
        <w:tabs>
          <w:tab w:val="num" w:pos="720"/>
        </w:tabs>
        <w:ind w:left="720" w:hanging="720"/>
      </w:pPr>
      <w:rPr>
        <w:rFonts w:ascii="Times New Roman" w:hAnsi="Times New Roman" w:hint="default"/>
        <w:b/>
        <w:i w:val="0"/>
        <w:color w:val="000000"/>
        <w:sz w:val="22"/>
      </w:rPr>
    </w:lvl>
    <w:lvl w:ilvl="3">
      <w:start w:val="1"/>
      <w:numFmt w:val="lowerLetter"/>
      <w:pStyle w:val="Alt2-LevelLegal4"/>
      <w:lvlText w:val="(%4)"/>
      <w:lvlJc w:val="left"/>
      <w:pPr>
        <w:tabs>
          <w:tab w:val="num" w:pos="1440"/>
        </w:tabs>
        <w:ind w:left="1440" w:hanging="720"/>
      </w:pPr>
      <w:rPr>
        <w:rFonts w:hint="default"/>
        <w:color w:val="000000"/>
      </w:rPr>
    </w:lvl>
    <w:lvl w:ilvl="4">
      <w:start w:val="1"/>
      <w:numFmt w:val="lowerRoman"/>
      <w:pStyle w:val="Alt2-LevelLegal5"/>
      <w:lvlText w:val="(%5)"/>
      <w:lvlJc w:val="left"/>
      <w:pPr>
        <w:tabs>
          <w:tab w:val="num" w:pos="2160"/>
        </w:tabs>
        <w:ind w:left="2160" w:hanging="720"/>
      </w:pPr>
      <w:rPr>
        <w:rFonts w:hint="default"/>
        <w:color w:val="000000"/>
      </w:rPr>
    </w:lvl>
    <w:lvl w:ilvl="5">
      <w:start w:val="1"/>
      <w:numFmt w:val="decimal"/>
      <w:pStyle w:val="Alt2-LevelLegal1"/>
      <w:lvlText w:val="%6."/>
      <w:lvlJc w:val="left"/>
      <w:pPr>
        <w:tabs>
          <w:tab w:val="num" w:pos="1440"/>
        </w:tabs>
        <w:ind w:left="1440" w:hanging="720"/>
      </w:pPr>
      <w:rPr>
        <w:rFonts w:hint="default"/>
        <w:color w:val="000000"/>
      </w:rPr>
    </w:lvl>
    <w:lvl w:ilvl="6">
      <w:start w:val="1"/>
      <w:numFmt w:val="upperLetter"/>
      <w:pStyle w:val="Alt2-LevelLegal2"/>
      <w:lvlText w:val="(%7)"/>
      <w:lvlJc w:val="left"/>
      <w:pPr>
        <w:tabs>
          <w:tab w:val="num" w:pos="3600"/>
        </w:tabs>
        <w:ind w:left="3600" w:hanging="720"/>
      </w:pPr>
      <w:rPr>
        <w:rFonts w:hint="default"/>
        <w:color w:val="00000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3A7D0EE6"/>
    <w:multiLevelType w:val="hybridMultilevel"/>
    <w:tmpl w:val="A0B4B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AC55B9C"/>
    <w:multiLevelType w:val="hybridMultilevel"/>
    <w:tmpl w:val="70BE8C52"/>
    <w:lvl w:ilvl="0" w:tplc="8D5A24AC">
      <w:start w:val="1"/>
      <w:numFmt w:val="decimal"/>
      <w:pStyle w:val="GEFChar"/>
      <w:lvlText w:val="%1."/>
      <w:lvlJc w:val="left"/>
      <w:pPr>
        <w:tabs>
          <w:tab w:val="num" w:pos="720"/>
        </w:tabs>
        <w:ind w:left="720" w:hanging="360"/>
      </w:pPr>
    </w:lvl>
    <w:lvl w:ilvl="1" w:tplc="68121BF6" w:tentative="1">
      <w:start w:val="1"/>
      <w:numFmt w:val="lowerLetter"/>
      <w:lvlText w:val="%2."/>
      <w:lvlJc w:val="left"/>
      <w:pPr>
        <w:tabs>
          <w:tab w:val="num" w:pos="1440"/>
        </w:tabs>
        <w:ind w:left="1440" w:hanging="360"/>
      </w:pPr>
    </w:lvl>
    <w:lvl w:ilvl="2" w:tplc="EC4A60C4" w:tentative="1">
      <w:start w:val="1"/>
      <w:numFmt w:val="lowerRoman"/>
      <w:lvlText w:val="%3."/>
      <w:lvlJc w:val="right"/>
      <w:pPr>
        <w:tabs>
          <w:tab w:val="num" w:pos="2160"/>
        </w:tabs>
        <w:ind w:left="2160" w:hanging="180"/>
      </w:pPr>
    </w:lvl>
    <w:lvl w:ilvl="3" w:tplc="96D4CBA0" w:tentative="1">
      <w:start w:val="1"/>
      <w:numFmt w:val="decimal"/>
      <w:lvlText w:val="%4."/>
      <w:lvlJc w:val="left"/>
      <w:pPr>
        <w:tabs>
          <w:tab w:val="num" w:pos="2880"/>
        </w:tabs>
        <w:ind w:left="2880" w:hanging="360"/>
      </w:pPr>
    </w:lvl>
    <w:lvl w:ilvl="4" w:tplc="632263AC" w:tentative="1">
      <w:start w:val="1"/>
      <w:numFmt w:val="lowerLetter"/>
      <w:lvlText w:val="%5."/>
      <w:lvlJc w:val="left"/>
      <w:pPr>
        <w:tabs>
          <w:tab w:val="num" w:pos="3600"/>
        </w:tabs>
        <w:ind w:left="3600" w:hanging="360"/>
      </w:pPr>
    </w:lvl>
    <w:lvl w:ilvl="5" w:tplc="323A3212" w:tentative="1">
      <w:start w:val="1"/>
      <w:numFmt w:val="lowerRoman"/>
      <w:lvlText w:val="%6."/>
      <w:lvlJc w:val="right"/>
      <w:pPr>
        <w:tabs>
          <w:tab w:val="num" w:pos="4320"/>
        </w:tabs>
        <w:ind w:left="4320" w:hanging="180"/>
      </w:pPr>
    </w:lvl>
    <w:lvl w:ilvl="6" w:tplc="2CE6F4E6" w:tentative="1">
      <w:start w:val="1"/>
      <w:numFmt w:val="decimal"/>
      <w:lvlText w:val="%7."/>
      <w:lvlJc w:val="left"/>
      <w:pPr>
        <w:tabs>
          <w:tab w:val="num" w:pos="5040"/>
        </w:tabs>
        <w:ind w:left="5040" w:hanging="360"/>
      </w:pPr>
    </w:lvl>
    <w:lvl w:ilvl="7" w:tplc="A6082C4C" w:tentative="1">
      <w:start w:val="1"/>
      <w:numFmt w:val="lowerLetter"/>
      <w:lvlText w:val="%8."/>
      <w:lvlJc w:val="left"/>
      <w:pPr>
        <w:tabs>
          <w:tab w:val="num" w:pos="5760"/>
        </w:tabs>
        <w:ind w:left="5760" w:hanging="360"/>
      </w:pPr>
    </w:lvl>
    <w:lvl w:ilvl="8" w:tplc="A6FCAFB6" w:tentative="1">
      <w:start w:val="1"/>
      <w:numFmt w:val="lowerRoman"/>
      <w:lvlText w:val="%9."/>
      <w:lvlJc w:val="right"/>
      <w:pPr>
        <w:tabs>
          <w:tab w:val="num" w:pos="6480"/>
        </w:tabs>
        <w:ind w:left="6480" w:hanging="180"/>
      </w:pPr>
    </w:lvl>
  </w:abstractNum>
  <w:abstractNum w:abstractNumId="39" w15:restartNumberingAfterBreak="0">
    <w:nsid w:val="3C6B1558"/>
    <w:multiLevelType w:val="hybridMultilevel"/>
    <w:tmpl w:val="196A5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F821D89"/>
    <w:multiLevelType w:val="hybridMultilevel"/>
    <w:tmpl w:val="4296CB94"/>
    <w:name w:val="AltLvl2ListTemplate"/>
    <w:lvl w:ilvl="0" w:tplc="5C3E2BBE">
      <w:start w:val="1"/>
      <w:numFmt w:val="bullet"/>
      <w:pStyle w:val="ListParagraph1"/>
      <w:lvlText w:val=""/>
      <w:lvlJc w:val="left"/>
      <w:pPr>
        <w:ind w:left="720" w:hanging="360"/>
      </w:pPr>
      <w:rPr>
        <w:rFonts w:ascii="Symbol" w:hAnsi="Symbol" w:hint="default"/>
      </w:rPr>
    </w:lvl>
    <w:lvl w:ilvl="1" w:tplc="78363A18" w:tentative="1">
      <w:start w:val="1"/>
      <w:numFmt w:val="bullet"/>
      <w:lvlText w:val="o"/>
      <w:lvlJc w:val="left"/>
      <w:pPr>
        <w:ind w:left="1440" w:hanging="360"/>
      </w:pPr>
      <w:rPr>
        <w:rFonts w:ascii="Courier New" w:hAnsi="Courier New" w:hint="default"/>
      </w:rPr>
    </w:lvl>
    <w:lvl w:ilvl="2" w:tplc="39468530" w:tentative="1">
      <w:start w:val="1"/>
      <w:numFmt w:val="bullet"/>
      <w:lvlText w:val=""/>
      <w:lvlJc w:val="left"/>
      <w:pPr>
        <w:ind w:left="2160" w:hanging="360"/>
      </w:pPr>
      <w:rPr>
        <w:rFonts w:ascii="Wingdings" w:hAnsi="Wingdings" w:hint="default"/>
      </w:rPr>
    </w:lvl>
    <w:lvl w:ilvl="3" w:tplc="21F639EE" w:tentative="1">
      <w:start w:val="1"/>
      <w:numFmt w:val="bullet"/>
      <w:lvlText w:val=""/>
      <w:lvlJc w:val="left"/>
      <w:pPr>
        <w:ind w:left="2880" w:hanging="360"/>
      </w:pPr>
      <w:rPr>
        <w:rFonts w:ascii="Symbol" w:hAnsi="Symbol" w:hint="default"/>
      </w:rPr>
    </w:lvl>
    <w:lvl w:ilvl="4" w:tplc="E04E98DA" w:tentative="1">
      <w:start w:val="1"/>
      <w:numFmt w:val="bullet"/>
      <w:lvlText w:val="o"/>
      <w:lvlJc w:val="left"/>
      <w:pPr>
        <w:ind w:left="3600" w:hanging="360"/>
      </w:pPr>
      <w:rPr>
        <w:rFonts w:ascii="Courier New" w:hAnsi="Courier New" w:hint="default"/>
      </w:rPr>
    </w:lvl>
    <w:lvl w:ilvl="5" w:tplc="55A61C4C" w:tentative="1">
      <w:start w:val="1"/>
      <w:numFmt w:val="bullet"/>
      <w:lvlText w:val=""/>
      <w:lvlJc w:val="left"/>
      <w:pPr>
        <w:ind w:left="4320" w:hanging="360"/>
      </w:pPr>
      <w:rPr>
        <w:rFonts w:ascii="Wingdings" w:hAnsi="Wingdings" w:hint="default"/>
      </w:rPr>
    </w:lvl>
    <w:lvl w:ilvl="6" w:tplc="FCE0A7A0" w:tentative="1">
      <w:start w:val="1"/>
      <w:numFmt w:val="bullet"/>
      <w:lvlText w:val=""/>
      <w:lvlJc w:val="left"/>
      <w:pPr>
        <w:ind w:left="5040" w:hanging="360"/>
      </w:pPr>
      <w:rPr>
        <w:rFonts w:ascii="Symbol" w:hAnsi="Symbol" w:hint="default"/>
      </w:rPr>
    </w:lvl>
    <w:lvl w:ilvl="7" w:tplc="4BC2D52A" w:tentative="1">
      <w:start w:val="1"/>
      <w:numFmt w:val="bullet"/>
      <w:lvlText w:val="o"/>
      <w:lvlJc w:val="left"/>
      <w:pPr>
        <w:ind w:left="5760" w:hanging="360"/>
      </w:pPr>
      <w:rPr>
        <w:rFonts w:ascii="Courier New" w:hAnsi="Courier New" w:hint="default"/>
      </w:rPr>
    </w:lvl>
    <w:lvl w:ilvl="8" w:tplc="391EB116" w:tentative="1">
      <w:start w:val="1"/>
      <w:numFmt w:val="bullet"/>
      <w:lvlText w:val=""/>
      <w:lvlJc w:val="left"/>
      <w:pPr>
        <w:ind w:left="6480" w:hanging="360"/>
      </w:pPr>
      <w:rPr>
        <w:rFonts w:ascii="Wingdings" w:hAnsi="Wingdings" w:hint="default"/>
      </w:rPr>
    </w:lvl>
  </w:abstractNum>
  <w:abstractNum w:abstractNumId="41" w15:restartNumberingAfterBreak="0">
    <w:nsid w:val="402C1981"/>
    <w:multiLevelType w:val="hybridMultilevel"/>
    <w:tmpl w:val="FFFFFFFF"/>
    <w:lvl w:ilvl="0" w:tplc="295C3532">
      <w:start w:val="1"/>
      <w:numFmt w:val="bullet"/>
      <w:lvlText w:val="·"/>
      <w:lvlJc w:val="left"/>
      <w:pPr>
        <w:ind w:left="720" w:hanging="360"/>
      </w:pPr>
      <w:rPr>
        <w:rFonts w:ascii="Symbol" w:hAnsi="Symbol" w:hint="default"/>
      </w:rPr>
    </w:lvl>
    <w:lvl w:ilvl="1" w:tplc="46465462">
      <w:start w:val="1"/>
      <w:numFmt w:val="bullet"/>
      <w:lvlText w:val="o"/>
      <w:lvlJc w:val="left"/>
      <w:pPr>
        <w:ind w:left="1440" w:hanging="360"/>
      </w:pPr>
      <w:rPr>
        <w:rFonts w:ascii="Courier New" w:hAnsi="Courier New" w:hint="default"/>
      </w:rPr>
    </w:lvl>
    <w:lvl w:ilvl="2" w:tplc="A31E3DEA">
      <w:start w:val="1"/>
      <w:numFmt w:val="bullet"/>
      <w:lvlText w:val=""/>
      <w:lvlJc w:val="left"/>
      <w:pPr>
        <w:ind w:left="2160" w:hanging="360"/>
      </w:pPr>
      <w:rPr>
        <w:rFonts w:ascii="Wingdings" w:hAnsi="Wingdings" w:hint="default"/>
      </w:rPr>
    </w:lvl>
    <w:lvl w:ilvl="3" w:tplc="878C8A90">
      <w:start w:val="1"/>
      <w:numFmt w:val="bullet"/>
      <w:lvlText w:val=""/>
      <w:lvlJc w:val="left"/>
      <w:pPr>
        <w:ind w:left="2880" w:hanging="360"/>
      </w:pPr>
      <w:rPr>
        <w:rFonts w:ascii="Symbol" w:hAnsi="Symbol" w:hint="default"/>
      </w:rPr>
    </w:lvl>
    <w:lvl w:ilvl="4" w:tplc="5E3C8520">
      <w:start w:val="1"/>
      <w:numFmt w:val="bullet"/>
      <w:lvlText w:val="o"/>
      <w:lvlJc w:val="left"/>
      <w:pPr>
        <w:ind w:left="3600" w:hanging="360"/>
      </w:pPr>
      <w:rPr>
        <w:rFonts w:ascii="Courier New" w:hAnsi="Courier New" w:hint="default"/>
      </w:rPr>
    </w:lvl>
    <w:lvl w:ilvl="5" w:tplc="9EA4A0AE">
      <w:start w:val="1"/>
      <w:numFmt w:val="bullet"/>
      <w:lvlText w:val=""/>
      <w:lvlJc w:val="left"/>
      <w:pPr>
        <w:ind w:left="4320" w:hanging="360"/>
      </w:pPr>
      <w:rPr>
        <w:rFonts w:ascii="Wingdings" w:hAnsi="Wingdings" w:hint="default"/>
      </w:rPr>
    </w:lvl>
    <w:lvl w:ilvl="6" w:tplc="9EF6BB6A">
      <w:start w:val="1"/>
      <w:numFmt w:val="bullet"/>
      <w:lvlText w:val=""/>
      <w:lvlJc w:val="left"/>
      <w:pPr>
        <w:ind w:left="5040" w:hanging="360"/>
      </w:pPr>
      <w:rPr>
        <w:rFonts w:ascii="Symbol" w:hAnsi="Symbol" w:hint="default"/>
      </w:rPr>
    </w:lvl>
    <w:lvl w:ilvl="7" w:tplc="81EEF5EC">
      <w:start w:val="1"/>
      <w:numFmt w:val="bullet"/>
      <w:lvlText w:val="o"/>
      <w:lvlJc w:val="left"/>
      <w:pPr>
        <w:ind w:left="5760" w:hanging="360"/>
      </w:pPr>
      <w:rPr>
        <w:rFonts w:ascii="Courier New" w:hAnsi="Courier New" w:hint="default"/>
      </w:rPr>
    </w:lvl>
    <w:lvl w:ilvl="8" w:tplc="E640B77E">
      <w:start w:val="1"/>
      <w:numFmt w:val="bullet"/>
      <w:lvlText w:val=""/>
      <w:lvlJc w:val="left"/>
      <w:pPr>
        <w:ind w:left="6480" w:hanging="360"/>
      </w:pPr>
      <w:rPr>
        <w:rFonts w:ascii="Wingdings" w:hAnsi="Wingdings" w:hint="default"/>
      </w:rPr>
    </w:lvl>
  </w:abstractNum>
  <w:abstractNum w:abstractNumId="42" w15:restartNumberingAfterBreak="0">
    <w:nsid w:val="41330EAC"/>
    <w:multiLevelType w:val="multilevel"/>
    <w:tmpl w:val="0A92EF3C"/>
    <w:lvl w:ilvl="0">
      <w:start w:val="1"/>
      <w:numFmt w:val="bullet"/>
      <w:pStyle w:val="AR4Listbullet1"/>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459075C4"/>
    <w:multiLevelType w:val="hybridMultilevel"/>
    <w:tmpl w:val="44AE4BBE"/>
    <w:lvl w:ilvl="0" w:tplc="0DEA307E">
      <w:start w:val="1"/>
      <w:numFmt w:val="bullet"/>
      <w:lvlText w:val="•"/>
      <w:lvlJc w:val="left"/>
      <w:pPr>
        <w:tabs>
          <w:tab w:val="num" w:pos="720"/>
        </w:tabs>
        <w:ind w:left="720" w:hanging="360"/>
      </w:pPr>
      <w:rPr>
        <w:rFonts w:ascii="Arial" w:hAnsi="Arial" w:hint="default"/>
      </w:rPr>
    </w:lvl>
    <w:lvl w:ilvl="1" w:tplc="DA4C38A0" w:tentative="1">
      <w:start w:val="1"/>
      <w:numFmt w:val="bullet"/>
      <w:lvlText w:val="•"/>
      <w:lvlJc w:val="left"/>
      <w:pPr>
        <w:tabs>
          <w:tab w:val="num" w:pos="1440"/>
        </w:tabs>
        <w:ind w:left="1440" w:hanging="360"/>
      </w:pPr>
      <w:rPr>
        <w:rFonts w:ascii="Arial" w:hAnsi="Arial" w:hint="default"/>
      </w:rPr>
    </w:lvl>
    <w:lvl w:ilvl="2" w:tplc="9E40A7B8" w:tentative="1">
      <w:start w:val="1"/>
      <w:numFmt w:val="bullet"/>
      <w:lvlText w:val="•"/>
      <w:lvlJc w:val="left"/>
      <w:pPr>
        <w:tabs>
          <w:tab w:val="num" w:pos="2160"/>
        </w:tabs>
        <w:ind w:left="2160" w:hanging="360"/>
      </w:pPr>
      <w:rPr>
        <w:rFonts w:ascii="Arial" w:hAnsi="Arial" w:hint="default"/>
      </w:rPr>
    </w:lvl>
    <w:lvl w:ilvl="3" w:tplc="E070B2F0" w:tentative="1">
      <w:start w:val="1"/>
      <w:numFmt w:val="bullet"/>
      <w:lvlText w:val="•"/>
      <w:lvlJc w:val="left"/>
      <w:pPr>
        <w:tabs>
          <w:tab w:val="num" w:pos="2880"/>
        </w:tabs>
        <w:ind w:left="2880" w:hanging="360"/>
      </w:pPr>
      <w:rPr>
        <w:rFonts w:ascii="Arial" w:hAnsi="Arial" w:hint="default"/>
      </w:rPr>
    </w:lvl>
    <w:lvl w:ilvl="4" w:tplc="4FF4A612" w:tentative="1">
      <w:start w:val="1"/>
      <w:numFmt w:val="bullet"/>
      <w:lvlText w:val="•"/>
      <w:lvlJc w:val="left"/>
      <w:pPr>
        <w:tabs>
          <w:tab w:val="num" w:pos="3600"/>
        </w:tabs>
        <w:ind w:left="3600" w:hanging="360"/>
      </w:pPr>
      <w:rPr>
        <w:rFonts w:ascii="Arial" w:hAnsi="Arial" w:hint="default"/>
      </w:rPr>
    </w:lvl>
    <w:lvl w:ilvl="5" w:tplc="8C66CF16" w:tentative="1">
      <w:start w:val="1"/>
      <w:numFmt w:val="bullet"/>
      <w:lvlText w:val="•"/>
      <w:lvlJc w:val="left"/>
      <w:pPr>
        <w:tabs>
          <w:tab w:val="num" w:pos="4320"/>
        </w:tabs>
        <w:ind w:left="4320" w:hanging="360"/>
      </w:pPr>
      <w:rPr>
        <w:rFonts w:ascii="Arial" w:hAnsi="Arial" w:hint="default"/>
      </w:rPr>
    </w:lvl>
    <w:lvl w:ilvl="6" w:tplc="02248BA8" w:tentative="1">
      <w:start w:val="1"/>
      <w:numFmt w:val="bullet"/>
      <w:lvlText w:val="•"/>
      <w:lvlJc w:val="left"/>
      <w:pPr>
        <w:tabs>
          <w:tab w:val="num" w:pos="5040"/>
        </w:tabs>
        <w:ind w:left="5040" w:hanging="360"/>
      </w:pPr>
      <w:rPr>
        <w:rFonts w:ascii="Arial" w:hAnsi="Arial" w:hint="default"/>
      </w:rPr>
    </w:lvl>
    <w:lvl w:ilvl="7" w:tplc="11D0CC06" w:tentative="1">
      <w:start w:val="1"/>
      <w:numFmt w:val="bullet"/>
      <w:lvlText w:val="•"/>
      <w:lvlJc w:val="left"/>
      <w:pPr>
        <w:tabs>
          <w:tab w:val="num" w:pos="5760"/>
        </w:tabs>
        <w:ind w:left="5760" w:hanging="360"/>
      </w:pPr>
      <w:rPr>
        <w:rFonts w:ascii="Arial" w:hAnsi="Arial" w:hint="default"/>
      </w:rPr>
    </w:lvl>
    <w:lvl w:ilvl="8" w:tplc="9A505A20"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46E50A78"/>
    <w:multiLevelType w:val="hybridMultilevel"/>
    <w:tmpl w:val="B4B07384"/>
    <w:lvl w:ilvl="0" w:tplc="510A4844">
      <w:start w:val="1"/>
      <w:numFmt w:val="bullet"/>
      <w:pStyle w:val="CM3"/>
      <w:lvlText w:val=""/>
      <w:lvlJc w:val="left"/>
      <w:pPr>
        <w:tabs>
          <w:tab w:val="num" w:pos="720"/>
        </w:tabs>
        <w:ind w:left="720" w:hanging="360"/>
      </w:pPr>
      <w:rPr>
        <w:rFonts w:ascii="Symbol" w:hAnsi="Symbol" w:hint="default"/>
      </w:rPr>
    </w:lvl>
    <w:lvl w:ilvl="1" w:tplc="ADB0C450" w:tentative="1">
      <w:start w:val="1"/>
      <w:numFmt w:val="bullet"/>
      <w:lvlText w:val="o"/>
      <w:lvlJc w:val="left"/>
      <w:pPr>
        <w:tabs>
          <w:tab w:val="num" w:pos="1440"/>
        </w:tabs>
        <w:ind w:left="1440" w:hanging="360"/>
      </w:pPr>
      <w:rPr>
        <w:rFonts w:ascii="Courier New" w:hAnsi="Courier New" w:cs="Consolas" w:hint="default"/>
      </w:rPr>
    </w:lvl>
    <w:lvl w:ilvl="2" w:tplc="A738BCF6" w:tentative="1">
      <w:start w:val="1"/>
      <w:numFmt w:val="bullet"/>
      <w:lvlText w:val=""/>
      <w:lvlJc w:val="left"/>
      <w:pPr>
        <w:tabs>
          <w:tab w:val="num" w:pos="2160"/>
        </w:tabs>
        <w:ind w:left="2160" w:hanging="360"/>
      </w:pPr>
      <w:rPr>
        <w:rFonts w:ascii="Wingdings" w:hAnsi="Wingdings" w:hint="default"/>
      </w:rPr>
    </w:lvl>
    <w:lvl w:ilvl="3" w:tplc="BE7C49E6" w:tentative="1">
      <w:start w:val="1"/>
      <w:numFmt w:val="bullet"/>
      <w:lvlText w:val=""/>
      <w:lvlJc w:val="left"/>
      <w:pPr>
        <w:tabs>
          <w:tab w:val="num" w:pos="2880"/>
        </w:tabs>
        <w:ind w:left="2880" w:hanging="360"/>
      </w:pPr>
      <w:rPr>
        <w:rFonts w:ascii="Symbol" w:hAnsi="Symbol" w:hint="default"/>
      </w:rPr>
    </w:lvl>
    <w:lvl w:ilvl="4" w:tplc="73342BE4" w:tentative="1">
      <w:start w:val="1"/>
      <w:numFmt w:val="bullet"/>
      <w:lvlText w:val="o"/>
      <w:lvlJc w:val="left"/>
      <w:pPr>
        <w:tabs>
          <w:tab w:val="num" w:pos="3600"/>
        </w:tabs>
        <w:ind w:left="3600" w:hanging="360"/>
      </w:pPr>
      <w:rPr>
        <w:rFonts w:ascii="Courier New" w:hAnsi="Courier New" w:cs="Consolas" w:hint="default"/>
      </w:rPr>
    </w:lvl>
    <w:lvl w:ilvl="5" w:tplc="21DC4B6E" w:tentative="1">
      <w:start w:val="1"/>
      <w:numFmt w:val="bullet"/>
      <w:lvlText w:val=""/>
      <w:lvlJc w:val="left"/>
      <w:pPr>
        <w:tabs>
          <w:tab w:val="num" w:pos="4320"/>
        </w:tabs>
        <w:ind w:left="4320" w:hanging="360"/>
      </w:pPr>
      <w:rPr>
        <w:rFonts w:ascii="Wingdings" w:hAnsi="Wingdings" w:hint="default"/>
      </w:rPr>
    </w:lvl>
    <w:lvl w:ilvl="6" w:tplc="350C58EE" w:tentative="1">
      <w:start w:val="1"/>
      <w:numFmt w:val="bullet"/>
      <w:lvlText w:val=""/>
      <w:lvlJc w:val="left"/>
      <w:pPr>
        <w:tabs>
          <w:tab w:val="num" w:pos="5040"/>
        </w:tabs>
        <w:ind w:left="5040" w:hanging="360"/>
      </w:pPr>
      <w:rPr>
        <w:rFonts w:ascii="Symbol" w:hAnsi="Symbol" w:hint="default"/>
      </w:rPr>
    </w:lvl>
    <w:lvl w:ilvl="7" w:tplc="39E203C6" w:tentative="1">
      <w:start w:val="1"/>
      <w:numFmt w:val="bullet"/>
      <w:lvlText w:val="o"/>
      <w:lvlJc w:val="left"/>
      <w:pPr>
        <w:tabs>
          <w:tab w:val="num" w:pos="5760"/>
        </w:tabs>
        <w:ind w:left="5760" w:hanging="360"/>
      </w:pPr>
      <w:rPr>
        <w:rFonts w:ascii="Courier New" w:hAnsi="Courier New" w:cs="Consolas" w:hint="default"/>
      </w:rPr>
    </w:lvl>
    <w:lvl w:ilvl="8" w:tplc="FE84D040"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B1E7BCB"/>
    <w:multiLevelType w:val="hybridMultilevel"/>
    <w:tmpl w:val="2ECCB4D8"/>
    <w:lvl w:ilvl="0" w:tplc="933AA438">
      <w:start w:val="1"/>
      <w:numFmt w:val="bullet"/>
      <w:pStyle w:val="DashListLev3"/>
      <w:lvlText w:val="-"/>
      <w:lvlJc w:val="left"/>
      <w:pPr>
        <w:tabs>
          <w:tab w:val="num" w:pos="1080"/>
        </w:tabs>
        <w:ind w:left="1080" w:hanging="360"/>
      </w:pPr>
      <w:rPr>
        <w:rFonts w:ascii="Times New Roman" w:eastAsia="Times New Roman" w:hAnsi="Times New Roman" w:cs="Times New Roman" w:hint="default"/>
      </w:rPr>
    </w:lvl>
    <w:lvl w:ilvl="1" w:tplc="A19669D6" w:tentative="1">
      <w:start w:val="1"/>
      <w:numFmt w:val="bullet"/>
      <w:lvlText w:val="o"/>
      <w:lvlJc w:val="left"/>
      <w:pPr>
        <w:tabs>
          <w:tab w:val="num" w:pos="1800"/>
        </w:tabs>
        <w:ind w:left="1800" w:hanging="360"/>
      </w:pPr>
      <w:rPr>
        <w:rFonts w:ascii="Courier New" w:hAnsi="Courier New" w:cs="Arial" w:hint="default"/>
      </w:rPr>
    </w:lvl>
    <w:lvl w:ilvl="2" w:tplc="962A583A" w:tentative="1">
      <w:start w:val="1"/>
      <w:numFmt w:val="bullet"/>
      <w:lvlText w:val=""/>
      <w:lvlJc w:val="left"/>
      <w:pPr>
        <w:tabs>
          <w:tab w:val="num" w:pos="2520"/>
        </w:tabs>
        <w:ind w:left="2520" w:hanging="360"/>
      </w:pPr>
      <w:rPr>
        <w:rFonts w:ascii="Wingdings" w:hAnsi="Wingdings" w:hint="default"/>
      </w:rPr>
    </w:lvl>
    <w:lvl w:ilvl="3" w:tplc="0B3EBCF8" w:tentative="1">
      <w:start w:val="1"/>
      <w:numFmt w:val="bullet"/>
      <w:lvlText w:val=""/>
      <w:lvlJc w:val="left"/>
      <w:pPr>
        <w:tabs>
          <w:tab w:val="num" w:pos="3240"/>
        </w:tabs>
        <w:ind w:left="3240" w:hanging="360"/>
      </w:pPr>
      <w:rPr>
        <w:rFonts w:ascii="Symbol" w:hAnsi="Symbol" w:hint="default"/>
      </w:rPr>
    </w:lvl>
    <w:lvl w:ilvl="4" w:tplc="1714CF22" w:tentative="1">
      <w:start w:val="1"/>
      <w:numFmt w:val="bullet"/>
      <w:lvlText w:val="o"/>
      <w:lvlJc w:val="left"/>
      <w:pPr>
        <w:tabs>
          <w:tab w:val="num" w:pos="3960"/>
        </w:tabs>
        <w:ind w:left="3960" w:hanging="360"/>
      </w:pPr>
      <w:rPr>
        <w:rFonts w:ascii="Courier New" w:hAnsi="Courier New" w:cs="Arial" w:hint="default"/>
      </w:rPr>
    </w:lvl>
    <w:lvl w:ilvl="5" w:tplc="D6864FF4" w:tentative="1">
      <w:start w:val="1"/>
      <w:numFmt w:val="bullet"/>
      <w:lvlText w:val=""/>
      <w:lvlJc w:val="left"/>
      <w:pPr>
        <w:tabs>
          <w:tab w:val="num" w:pos="4680"/>
        </w:tabs>
        <w:ind w:left="4680" w:hanging="360"/>
      </w:pPr>
      <w:rPr>
        <w:rFonts w:ascii="Wingdings" w:hAnsi="Wingdings" w:hint="default"/>
      </w:rPr>
    </w:lvl>
    <w:lvl w:ilvl="6" w:tplc="AB82342E" w:tentative="1">
      <w:start w:val="1"/>
      <w:numFmt w:val="bullet"/>
      <w:lvlText w:val=""/>
      <w:lvlJc w:val="left"/>
      <w:pPr>
        <w:tabs>
          <w:tab w:val="num" w:pos="5400"/>
        </w:tabs>
        <w:ind w:left="5400" w:hanging="360"/>
      </w:pPr>
      <w:rPr>
        <w:rFonts w:ascii="Symbol" w:hAnsi="Symbol" w:hint="default"/>
      </w:rPr>
    </w:lvl>
    <w:lvl w:ilvl="7" w:tplc="14067868" w:tentative="1">
      <w:start w:val="1"/>
      <w:numFmt w:val="bullet"/>
      <w:lvlText w:val="o"/>
      <w:lvlJc w:val="left"/>
      <w:pPr>
        <w:tabs>
          <w:tab w:val="num" w:pos="6120"/>
        </w:tabs>
        <w:ind w:left="6120" w:hanging="360"/>
      </w:pPr>
      <w:rPr>
        <w:rFonts w:ascii="Courier New" w:hAnsi="Courier New" w:cs="Arial" w:hint="default"/>
      </w:rPr>
    </w:lvl>
    <w:lvl w:ilvl="8" w:tplc="C338E22E"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4D1A2BA9"/>
    <w:multiLevelType w:val="hybridMultilevel"/>
    <w:tmpl w:val="35183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E166811"/>
    <w:multiLevelType w:val="hybridMultilevel"/>
    <w:tmpl w:val="78E4687C"/>
    <w:lvl w:ilvl="0" w:tplc="2A2A1BC6">
      <w:start w:val="2"/>
      <w:numFmt w:val="lowerLetter"/>
      <w:pStyle w:val="IPPAnnexHeadAppendix"/>
      <w:lvlText w:val="(%1)"/>
      <w:lvlJc w:val="left"/>
      <w:pPr>
        <w:tabs>
          <w:tab w:val="num" w:pos="1080"/>
        </w:tabs>
        <w:ind w:left="1080" w:hanging="720"/>
      </w:pPr>
      <w:rPr>
        <w:rFonts w:hint="default"/>
      </w:rPr>
    </w:lvl>
    <w:lvl w:ilvl="1" w:tplc="BEBCB278" w:tentative="1">
      <w:start w:val="1"/>
      <w:numFmt w:val="lowerLetter"/>
      <w:lvlText w:val="%2."/>
      <w:lvlJc w:val="left"/>
      <w:pPr>
        <w:tabs>
          <w:tab w:val="num" w:pos="1440"/>
        </w:tabs>
        <w:ind w:left="1440" w:hanging="360"/>
      </w:pPr>
    </w:lvl>
    <w:lvl w:ilvl="2" w:tplc="22B83E10" w:tentative="1">
      <w:start w:val="1"/>
      <w:numFmt w:val="lowerRoman"/>
      <w:lvlText w:val="%3."/>
      <w:lvlJc w:val="right"/>
      <w:pPr>
        <w:tabs>
          <w:tab w:val="num" w:pos="2160"/>
        </w:tabs>
        <w:ind w:left="2160" w:hanging="180"/>
      </w:pPr>
    </w:lvl>
    <w:lvl w:ilvl="3" w:tplc="76A2A9C2" w:tentative="1">
      <w:start w:val="1"/>
      <w:numFmt w:val="decimal"/>
      <w:lvlText w:val="%4."/>
      <w:lvlJc w:val="left"/>
      <w:pPr>
        <w:tabs>
          <w:tab w:val="num" w:pos="2880"/>
        </w:tabs>
        <w:ind w:left="2880" w:hanging="360"/>
      </w:pPr>
    </w:lvl>
    <w:lvl w:ilvl="4" w:tplc="FBF6C78C" w:tentative="1">
      <w:start w:val="1"/>
      <w:numFmt w:val="lowerLetter"/>
      <w:lvlText w:val="%5."/>
      <w:lvlJc w:val="left"/>
      <w:pPr>
        <w:tabs>
          <w:tab w:val="num" w:pos="3600"/>
        </w:tabs>
        <w:ind w:left="3600" w:hanging="360"/>
      </w:pPr>
    </w:lvl>
    <w:lvl w:ilvl="5" w:tplc="E23A710C" w:tentative="1">
      <w:start w:val="1"/>
      <w:numFmt w:val="lowerRoman"/>
      <w:lvlText w:val="%6."/>
      <w:lvlJc w:val="right"/>
      <w:pPr>
        <w:tabs>
          <w:tab w:val="num" w:pos="4320"/>
        </w:tabs>
        <w:ind w:left="4320" w:hanging="180"/>
      </w:pPr>
    </w:lvl>
    <w:lvl w:ilvl="6" w:tplc="615A0DEC" w:tentative="1">
      <w:start w:val="1"/>
      <w:numFmt w:val="decimal"/>
      <w:lvlText w:val="%7."/>
      <w:lvlJc w:val="left"/>
      <w:pPr>
        <w:tabs>
          <w:tab w:val="num" w:pos="5040"/>
        </w:tabs>
        <w:ind w:left="5040" w:hanging="360"/>
      </w:pPr>
    </w:lvl>
    <w:lvl w:ilvl="7" w:tplc="9D8ED22C" w:tentative="1">
      <w:start w:val="1"/>
      <w:numFmt w:val="lowerLetter"/>
      <w:lvlText w:val="%8."/>
      <w:lvlJc w:val="left"/>
      <w:pPr>
        <w:tabs>
          <w:tab w:val="num" w:pos="5760"/>
        </w:tabs>
        <w:ind w:left="5760" w:hanging="360"/>
      </w:pPr>
    </w:lvl>
    <w:lvl w:ilvl="8" w:tplc="990C0C12" w:tentative="1">
      <w:start w:val="1"/>
      <w:numFmt w:val="lowerRoman"/>
      <w:lvlText w:val="%9."/>
      <w:lvlJc w:val="right"/>
      <w:pPr>
        <w:tabs>
          <w:tab w:val="num" w:pos="6480"/>
        </w:tabs>
        <w:ind w:left="6480" w:hanging="180"/>
      </w:pPr>
    </w:lvl>
  </w:abstractNum>
  <w:abstractNum w:abstractNumId="48" w15:restartNumberingAfterBreak="0">
    <w:nsid w:val="4EBD6056"/>
    <w:multiLevelType w:val="singleLevel"/>
    <w:tmpl w:val="22D82B4C"/>
    <w:lvl w:ilvl="0">
      <w:start w:val="1"/>
      <w:numFmt w:val="lowerRoman"/>
      <w:pStyle w:val="Paralevel3"/>
      <w:lvlText w:val="(%1)"/>
      <w:lvlJc w:val="left"/>
      <w:pPr>
        <w:tabs>
          <w:tab w:val="num" w:pos="2892"/>
        </w:tabs>
        <w:ind w:left="2892" w:hanging="579"/>
      </w:pPr>
      <w:rPr>
        <w:rFonts w:hint="default"/>
      </w:rPr>
    </w:lvl>
  </w:abstractNum>
  <w:abstractNum w:abstractNumId="49" w15:restartNumberingAfterBreak="0">
    <w:nsid w:val="4F122000"/>
    <w:multiLevelType w:val="hybridMultilevel"/>
    <w:tmpl w:val="FFFFFFFF"/>
    <w:lvl w:ilvl="0" w:tplc="9AF4F688">
      <w:start w:val="1"/>
      <w:numFmt w:val="bullet"/>
      <w:lvlText w:val=""/>
      <w:lvlJc w:val="left"/>
      <w:pPr>
        <w:ind w:left="720" w:hanging="360"/>
      </w:pPr>
      <w:rPr>
        <w:rFonts w:ascii="Symbol" w:hAnsi="Symbol" w:hint="default"/>
      </w:rPr>
    </w:lvl>
    <w:lvl w:ilvl="1" w:tplc="48344446">
      <w:start w:val="1"/>
      <w:numFmt w:val="bullet"/>
      <w:lvlText w:val=""/>
      <w:lvlJc w:val="left"/>
      <w:pPr>
        <w:ind w:left="1440" w:hanging="360"/>
      </w:pPr>
      <w:rPr>
        <w:rFonts w:ascii="Symbol" w:hAnsi="Symbol" w:hint="default"/>
      </w:rPr>
    </w:lvl>
    <w:lvl w:ilvl="2" w:tplc="8B2697B0">
      <w:start w:val="1"/>
      <w:numFmt w:val="bullet"/>
      <w:lvlText w:val=""/>
      <w:lvlJc w:val="left"/>
      <w:pPr>
        <w:ind w:left="2160" w:hanging="360"/>
      </w:pPr>
      <w:rPr>
        <w:rFonts w:ascii="Wingdings" w:hAnsi="Wingdings" w:hint="default"/>
      </w:rPr>
    </w:lvl>
    <w:lvl w:ilvl="3" w:tplc="D6E6B50C">
      <w:start w:val="1"/>
      <w:numFmt w:val="bullet"/>
      <w:lvlText w:val=""/>
      <w:lvlJc w:val="left"/>
      <w:pPr>
        <w:ind w:left="2880" w:hanging="360"/>
      </w:pPr>
      <w:rPr>
        <w:rFonts w:ascii="Symbol" w:hAnsi="Symbol" w:hint="default"/>
      </w:rPr>
    </w:lvl>
    <w:lvl w:ilvl="4" w:tplc="01989132">
      <w:start w:val="1"/>
      <w:numFmt w:val="bullet"/>
      <w:lvlText w:val="o"/>
      <w:lvlJc w:val="left"/>
      <w:pPr>
        <w:ind w:left="3600" w:hanging="360"/>
      </w:pPr>
      <w:rPr>
        <w:rFonts w:ascii="Courier New" w:hAnsi="Courier New" w:hint="default"/>
      </w:rPr>
    </w:lvl>
    <w:lvl w:ilvl="5" w:tplc="D73810FE">
      <w:start w:val="1"/>
      <w:numFmt w:val="bullet"/>
      <w:lvlText w:val=""/>
      <w:lvlJc w:val="left"/>
      <w:pPr>
        <w:ind w:left="4320" w:hanging="360"/>
      </w:pPr>
      <w:rPr>
        <w:rFonts w:ascii="Wingdings" w:hAnsi="Wingdings" w:hint="default"/>
      </w:rPr>
    </w:lvl>
    <w:lvl w:ilvl="6" w:tplc="2B2A2E58">
      <w:start w:val="1"/>
      <w:numFmt w:val="bullet"/>
      <w:lvlText w:val=""/>
      <w:lvlJc w:val="left"/>
      <w:pPr>
        <w:ind w:left="5040" w:hanging="360"/>
      </w:pPr>
      <w:rPr>
        <w:rFonts w:ascii="Symbol" w:hAnsi="Symbol" w:hint="default"/>
      </w:rPr>
    </w:lvl>
    <w:lvl w:ilvl="7" w:tplc="762E6672">
      <w:start w:val="1"/>
      <w:numFmt w:val="bullet"/>
      <w:lvlText w:val="o"/>
      <w:lvlJc w:val="left"/>
      <w:pPr>
        <w:ind w:left="5760" w:hanging="360"/>
      </w:pPr>
      <w:rPr>
        <w:rFonts w:ascii="Courier New" w:hAnsi="Courier New" w:hint="default"/>
      </w:rPr>
    </w:lvl>
    <w:lvl w:ilvl="8" w:tplc="A7806350">
      <w:start w:val="1"/>
      <w:numFmt w:val="bullet"/>
      <w:lvlText w:val=""/>
      <w:lvlJc w:val="left"/>
      <w:pPr>
        <w:ind w:left="6480" w:hanging="360"/>
      </w:pPr>
      <w:rPr>
        <w:rFonts w:ascii="Wingdings" w:hAnsi="Wingdings" w:hint="default"/>
      </w:rPr>
    </w:lvl>
  </w:abstractNum>
  <w:abstractNum w:abstractNumId="50" w15:restartNumberingAfterBreak="0">
    <w:nsid w:val="51F3281C"/>
    <w:multiLevelType w:val="multilevel"/>
    <w:tmpl w:val="CFFC9744"/>
    <w:lvl w:ilvl="0">
      <w:start w:val="1"/>
      <w:numFmt w:val="decimal"/>
      <w:pStyle w:val="CM33"/>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15:restartNumberingAfterBreak="0">
    <w:nsid w:val="52A66A9D"/>
    <w:multiLevelType w:val="multilevel"/>
    <w:tmpl w:val="BAF606F8"/>
    <w:styleLink w:val="Normallist"/>
    <w:lvl w:ilvl="0">
      <w:start w:val="1"/>
      <w:numFmt w:val="decimal"/>
      <w:lvlText w:val="(%1)"/>
      <w:lvlJc w:val="left"/>
      <w:pPr>
        <w:ind w:left="1607" w:hanging="360"/>
      </w:pPr>
      <w:rPr>
        <w:rFonts w:hint="default"/>
      </w:rPr>
    </w:lvl>
    <w:lvl w:ilvl="1">
      <w:start w:val="1"/>
      <w:numFmt w:val="lowerLetter"/>
      <w:lvlText w:val="(%2)"/>
      <w:lvlJc w:val="left"/>
      <w:pPr>
        <w:tabs>
          <w:tab w:val="num" w:pos="568"/>
        </w:tabs>
        <w:ind w:left="1248" w:firstLine="567"/>
      </w:pPr>
      <w:rPr>
        <w:rFonts w:hint="default"/>
      </w:rPr>
    </w:lvl>
    <w:lvl w:ilvl="2">
      <w:start w:val="1"/>
      <w:numFmt w:val="lowerRoman"/>
      <w:lvlText w:val="(%3)"/>
      <w:lvlJc w:val="left"/>
      <w:pPr>
        <w:tabs>
          <w:tab w:val="num" w:pos="568"/>
        </w:tabs>
        <w:ind w:left="2949" w:hanging="567"/>
      </w:pPr>
      <w:rPr>
        <w:rFonts w:hint="default"/>
      </w:rPr>
    </w:lvl>
    <w:lvl w:ilvl="3">
      <w:start w:val="1"/>
      <w:numFmt w:val="lowerLetter"/>
      <w:lvlText w:val="%4."/>
      <w:lvlJc w:val="left"/>
      <w:pPr>
        <w:tabs>
          <w:tab w:val="num" w:pos="568"/>
        </w:tabs>
        <w:ind w:left="3516" w:hanging="567"/>
      </w:pPr>
      <w:rPr>
        <w:rFonts w:hint="default"/>
      </w:rPr>
    </w:lvl>
    <w:lvl w:ilvl="4">
      <w:start w:val="1"/>
      <w:numFmt w:val="lowerLetter"/>
      <w:lvlText w:val="%5."/>
      <w:lvlJc w:val="left"/>
      <w:pPr>
        <w:tabs>
          <w:tab w:val="num" w:pos="6549"/>
        </w:tabs>
        <w:ind w:left="6549" w:hanging="360"/>
      </w:pPr>
      <w:rPr>
        <w:rFonts w:hint="default"/>
      </w:rPr>
    </w:lvl>
    <w:lvl w:ilvl="5">
      <w:start w:val="1"/>
      <w:numFmt w:val="lowerRoman"/>
      <w:lvlText w:val="%6."/>
      <w:lvlJc w:val="right"/>
      <w:pPr>
        <w:tabs>
          <w:tab w:val="num" w:pos="7269"/>
        </w:tabs>
        <w:ind w:left="7269" w:hanging="180"/>
      </w:pPr>
      <w:rPr>
        <w:rFonts w:hint="default"/>
      </w:rPr>
    </w:lvl>
    <w:lvl w:ilvl="6">
      <w:start w:val="1"/>
      <w:numFmt w:val="decimal"/>
      <w:lvlText w:val="%7."/>
      <w:lvlJc w:val="left"/>
      <w:pPr>
        <w:tabs>
          <w:tab w:val="num" w:pos="7989"/>
        </w:tabs>
        <w:ind w:left="7989" w:hanging="360"/>
      </w:pPr>
      <w:rPr>
        <w:rFonts w:hint="default"/>
      </w:rPr>
    </w:lvl>
    <w:lvl w:ilvl="7">
      <w:start w:val="1"/>
      <w:numFmt w:val="lowerLetter"/>
      <w:lvlText w:val="%8."/>
      <w:lvlJc w:val="left"/>
      <w:pPr>
        <w:tabs>
          <w:tab w:val="num" w:pos="8709"/>
        </w:tabs>
        <w:ind w:left="8709" w:hanging="360"/>
      </w:pPr>
      <w:rPr>
        <w:rFonts w:hint="default"/>
      </w:rPr>
    </w:lvl>
    <w:lvl w:ilvl="8">
      <w:start w:val="1"/>
      <w:numFmt w:val="lowerRoman"/>
      <w:lvlText w:val="%9."/>
      <w:lvlJc w:val="right"/>
      <w:pPr>
        <w:tabs>
          <w:tab w:val="num" w:pos="9429"/>
        </w:tabs>
        <w:ind w:left="9429" w:hanging="180"/>
      </w:pPr>
      <w:rPr>
        <w:rFonts w:hint="default"/>
      </w:rPr>
    </w:lvl>
  </w:abstractNum>
  <w:abstractNum w:abstractNumId="52" w15:restartNumberingAfterBreak="0">
    <w:nsid w:val="52B113E2"/>
    <w:multiLevelType w:val="hybridMultilevel"/>
    <w:tmpl w:val="E91C6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33965DE"/>
    <w:multiLevelType w:val="hybridMultilevel"/>
    <w:tmpl w:val="0D9EC4D8"/>
    <w:lvl w:ilvl="0" w:tplc="0514169E">
      <w:start w:val="1"/>
      <w:numFmt w:val="bullet"/>
      <w:pStyle w:val="ListParagraph"/>
      <w:lvlText w:val=""/>
      <w:lvlJc w:val="left"/>
      <w:pPr>
        <w:ind w:left="502"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50C79D7"/>
    <w:multiLevelType w:val="hybridMultilevel"/>
    <w:tmpl w:val="E34C97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62F2442"/>
    <w:multiLevelType w:val="hybridMultilevel"/>
    <w:tmpl w:val="FFFFFFFF"/>
    <w:lvl w:ilvl="0" w:tplc="67CECC16">
      <w:start w:val="1"/>
      <w:numFmt w:val="decimal"/>
      <w:lvlText w:val="%1."/>
      <w:lvlJc w:val="left"/>
      <w:pPr>
        <w:ind w:left="720" w:hanging="360"/>
      </w:pPr>
    </w:lvl>
    <w:lvl w:ilvl="1" w:tplc="DB54A52E">
      <w:start w:val="1"/>
      <w:numFmt w:val="lowerLetter"/>
      <w:lvlText w:val="%2."/>
      <w:lvlJc w:val="left"/>
      <w:pPr>
        <w:ind w:left="1440" w:hanging="360"/>
      </w:pPr>
    </w:lvl>
    <w:lvl w:ilvl="2" w:tplc="6A4C7CD0">
      <w:start w:val="1"/>
      <w:numFmt w:val="lowerRoman"/>
      <w:lvlText w:val="%3."/>
      <w:lvlJc w:val="right"/>
      <w:pPr>
        <w:ind w:left="2160" w:hanging="180"/>
      </w:pPr>
    </w:lvl>
    <w:lvl w:ilvl="3" w:tplc="9356DFD0">
      <w:start w:val="1"/>
      <w:numFmt w:val="decimal"/>
      <w:lvlText w:val="%4."/>
      <w:lvlJc w:val="left"/>
      <w:pPr>
        <w:ind w:left="2880" w:hanging="360"/>
      </w:pPr>
    </w:lvl>
    <w:lvl w:ilvl="4" w:tplc="E848C416">
      <w:start w:val="1"/>
      <w:numFmt w:val="lowerLetter"/>
      <w:lvlText w:val="%5."/>
      <w:lvlJc w:val="left"/>
      <w:pPr>
        <w:ind w:left="3600" w:hanging="360"/>
      </w:pPr>
    </w:lvl>
    <w:lvl w:ilvl="5" w:tplc="3B2697AA">
      <w:start w:val="1"/>
      <w:numFmt w:val="lowerRoman"/>
      <w:lvlText w:val="%6."/>
      <w:lvlJc w:val="right"/>
      <w:pPr>
        <w:ind w:left="4320" w:hanging="180"/>
      </w:pPr>
    </w:lvl>
    <w:lvl w:ilvl="6" w:tplc="FC60A43E">
      <w:start w:val="1"/>
      <w:numFmt w:val="decimal"/>
      <w:lvlText w:val="%7."/>
      <w:lvlJc w:val="left"/>
      <w:pPr>
        <w:ind w:left="5040" w:hanging="360"/>
      </w:pPr>
    </w:lvl>
    <w:lvl w:ilvl="7" w:tplc="8A9CE860">
      <w:start w:val="1"/>
      <w:numFmt w:val="lowerLetter"/>
      <w:lvlText w:val="%8."/>
      <w:lvlJc w:val="left"/>
      <w:pPr>
        <w:ind w:left="5760" w:hanging="360"/>
      </w:pPr>
    </w:lvl>
    <w:lvl w:ilvl="8" w:tplc="58B4786E">
      <w:start w:val="1"/>
      <w:numFmt w:val="lowerRoman"/>
      <w:lvlText w:val="%9."/>
      <w:lvlJc w:val="right"/>
      <w:pPr>
        <w:ind w:left="6480" w:hanging="180"/>
      </w:pPr>
    </w:lvl>
  </w:abstractNum>
  <w:abstractNum w:abstractNumId="56" w15:restartNumberingAfterBreak="0">
    <w:nsid w:val="56D9100B"/>
    <w:multiLevelType w:val="multilevel"/>
    <w:tmpl w:val="7834EB9A"/>
    <w:lvl w:ilvl="0">
      <w:start w:val="1"/>
      <w:numFmt w:val="lowerLetter"/>
      <w:pStyle w:val="CH4"/>
      <w:lvlText w:val="(%1)"/>
      <w:lvlJc w:val="left"/>
      <w:pPr>
        <w:tabs>
          <w:tab w:val="num" w:pos="0"/>
        </w:tabs>
        <w:ind w:left="578" w:firstLine="0"/>
      </w:pPr>
      <w:rPr>
        <w:rFonts w:ascii="Times New Roman" w:hAnsi="Times New Roman" w:hint="default"/>
        <w:b/>
        <w:i w:val="0"/>
        <w:sz w:val="20"/>
        <w:szCs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7" w15:restartNumberingAfterBreak="0">
    <w:nsid w:val="576466B0"/>
    <w:multiLevelType w:val="singleLevel"/>
    <w:tmpl w:val="04090001"/>
    <w:lvl w:ilvl="0">
      <w:start w:val="1"/>
      <w:numFmt w:val="bullet"/>
      <w:pStyle w:val="Smallbullet"/>
      <w:lvlText w:val=""/>
      <w:lvlJc w:val="left"/>
      <w:pPr>
        <w:tabs>
          <w:tab w:val="num" w:pos="360"/>
        </w:tabs>
        <w:ind w:left="360" w:hanging="360"/>
      </w:pPr>
      <w:rPr>
        <w:rFonts w:ascii="Symbol" w:hAnsi="Symbol" w:hint="default"/>
      </w:rPr>
    </w:lvl>
  </w:abstractNum>
  <w:abstractNum w:abstractNumId="58" w15:restartNumberingAfterBreak="0">
    <w:nsid w:val="58C5440B"/>
    <w:multiLevelType w:val="hybridMultilevel"/>
    <w:tmpl w:val="1B42352C"/>
    <w:lvl w:ilvl="0" w:tplc="18CA3E2A">
      <w:start w:val="1"/>
      <w:numFmt w:val="lowerRoman"/>
      <w:pStyle w:val="IPPLetterList"/>
      <w:lvlText w:val="%1."/>
      <w:lvlJc w:val="right"/>
      <w:pPr>
        <w:tabs>
          <w:tab w:val="num" w:pos="120"/>
        </w:tabs>
        <w:ind w:left="120" w:hanging="180"/>
      </w:pPr>
      <w:rPr>
        <w:rFonts w:hint="default"/>
      </w:rPr>
    </w:lvl>
    <w:lvl w:ilvl="1" w:tplc="330E0B74" w:tentative="1">
      <w:start w:val="1"/>
      <w:numFmt w:val="lowerLetter"/>
      <w:lvlText w:val="%2."/>
      <w:lvlJc w:val="left"/>
      <w:pPr>
        <w:tabs>
          <w:tab w:val="num" w:pos="840"/>
        </w:tabs>
        <w:ind w:left="840" w:hanging="360"/>
      </w:pPr>
    </w:lvl>
    <w:lvl w:ilvl="2" w:tplc="9AE834D4" w:tentative="1">
      <w:start w:val="1"/>
      <w:numFmt w:val="lowerRoman"/>
      <w:lvlText w:val="%3."/>
      <w:lvlJc w:val="right"/>
      <w:pPr>
        <w:tabs>
          <w:tab w:val="num" w:pos="1560"/>
        </w:tabs>
        <w:ind w:left="1560" w:hanging="180"/>
      </w:pPr>
    </w:lvl>
    <w:lvl w:ilvl="3" w:tplc="FB3608D2" w:tentative="1">
      <w:start w:val="1"/>
      <w:numFmt w:val="decimal"/>
      <w:lvlText w:val="%4."/>
      <w:lvlJc w:val="left"/>
      <w:pPr>
        <w:tabs>
          <w:tab w:val="num" w:pos="2280"/>
        </w:tabs>
        <w:ind w:left="2280" w:hanging="360"/>
      </w:pPr>
    </w:lvl>
    <w:lvl w:ilvl="4" w:tplc="B59CC228" w:tentative="1">
      <w:start w:val="1"/>
      <w:numFmt w:val="lowerLetter"/>
      <w:lvlText w:val="%5."/>
      <w:lvlJc w:val="left"/>
      <w:pPr>
        <w:tabs>
          <w:tab w:val="num" w:pos="3000"/>
        </w:tabs>
        <w:ind w:left="3000" w:hanging="360"/>
      </w:pPr>
    </w:lvl>
    <w:lvl w:ilvl="5" w:tplc="1974BD16" w:tentative="1">
      <w:start w:val="1"/>
      <w:numFmt w:val="lowerRoman"/>
      <w:lvlText w:val="%6."/>
      <w:lvlJc w:val="right"/>
      <w:pPr>
        <w:tabs>
          <w:tab w:val="num" w:pos="3720"/>
        </w:tabs>
        <w:ind w:left="3720" w:hanging="180"/>
      </w:pPr>
    </w:lvl>
    <w:lvl w:ilvl="6" w:tplc="AF3AC2D0" w:tentative="1">
      <w:start w:val="1"/>
      <w:numFmt w:val="decimal"/>
      <w:lvlText w:val="%7."/>
      <w:lvlJc w:val="left"/>
      <w:pPr>
        <w:tabs>
          <w:tab w:val="num" w:pos="4440"/>
        </w:tabs>
        <w:ind w:left="4440" w:hanging="360"/>
      </w:pPr>
    </w:lvl>
    <w:lvl w:ilvl="7" w:tplc="26120416" w:tentative="1">
      <w:start w:val="1"/>
      <w:numFmt w:val="lowerLetter"/>
      <w:lvlText w:val="%8."/>
      <w:lvlJc w:val="left"/>
      <w:pPr>
        <w:tabs>
          <w:tab w:val="num" w:pos="5160"/>
        </w:tabs>
        <w:ind w:left="5160" w:hanging="360"/>
      </w:pPr>
    </w:lvl>
    <w:lvl w:ilvl="8" w:tplc="4222A73E" w:tentative="1">
      <w:start w:val="1"/>
      <w:numFmt w:val="lowerRoman"/>
      <w:lvlText w:val="%9."/>
      <w:lvlJc w:val="right"/>
      <w:pPr>
        <w:tabs>
          <w:tab w:val="num" w:pos="5880"/>
        </w:tabs>
        <w:ind w:left="5880" w:hanging="180"/>
      </w:pPr>
    </w:lvl>
  </w:abstractNum>
  <w:abstractNum w:abstractNumId="59" w15:restartNumberingAfterBreak="0">
    <w:nsid w:val="597D5FBF"/>
    <w:multiLevelType w:val="hybridMultilevel"/>
    <w:tmpl w:val="4DAADB14"/>
    <w:lvl w:ilvl="0" w:tplc="FD44A6A4">
      <w:start w:val="2006"/>
      <w:numFmt w:val="bullet"/>
      <w:pStyle w:val="DashListLev2"/>
      <w:lvlText w:val="-"/>
      <w:lvlJc w:val="left"/>
      <w:pPr>
        <w:tabs>
          <w:tab w:val="num" w:pos="1080"/>
        </w:tabs>
        <w:ind w:left="1080" w:hanging="360"/>
      </w:pPr>
      <w:rPr>
        <w:rFonts w:ascii="Times New Roman" w:eastAsia="Times New Roman" w:hAnsi="Times New Roman" w:cs="Times New Roman" w:hint="default"/>
      </w:rPr>
    </w:lvl>
    <w:lvl w:ilvl="1" w:tplc="84DA32D6" w:tentative="1">
      <w:start w:val="1"/>
      <w:numFmt w:val="bullet"/>
      <w:lvlText w:val="o"/>
      <w:lvlJc w:val="left"/>
      <w:pPr>
        <w:tabs>
          <w:tab w:val="num" w:pos="1800"/>
        </w:tabs>
        <w:ind w:left="1800" w:hanging="360"/>
      </w:pPr>
      <w:rPr>
        <w:rFonts w:ascii="Courier New" w:hAnsi="Courier New" w:cs="Arial" w:hint="default"/>
      </w:rPr>
    </w:lvl>
    <w:lvl w:ilvl="2" w:tplc="945E661C" w:tentative="1">
      <w:start w:val="1"/>
      <w:numFmt w:val="bullet"/>
      <w:lvlText w:val=""/>
      <w:lvlJc w:val="left"/>
      <w:pPr>
        <w:tabs>
          <w:tab w:val="num" w:pos="2520"/>
        </w:tabs>
        <w:ind w:left="2520" w:hanging="360"/>
      </w:pPr>
      <w:rPr>
        <w:rFonts w:ascii="Wingdings" w:hAnsi="Wingdings" w:hint="default"/>
      </w:rPr>
    </w:lvl>
    <w:lvl w:ilvl="3" w:tplc="D6C84350" w:tentative="1">
      <w:start w:val="1"/>
      <w:numFmt w:val="bullet"/>
      <w:lvlText w:val=""/>
      <w:lvlJc w:val="left"/>
      <w:pPr>
        <w:tabs>
          <w:tab w:val="num" w:pos="3240"/>
        </w:tabs>
        <w:ind w:left="3240" w:hanging="360"/>
      </w:pPr>
      <w:rPr>
        <w:rFonts w:ascii="Symbol" w:hAnsi="Symbol" w:hint="default"/>
      </w:rPr>
    </w:lvl>
    <w:lvl w:ilvl="4" w:tplc="D2B2B734" w:tentative="1">
      <w:start w:val="1"/>
      <w:numFmt w:val="bullet"/>
      <w:lvlText w:val="o"/>
      <w:lvlJc w:val="left"/>
      <w:pPr>
        <w:tabs>
          <w:tab w:val="num" w:pos="3960"/>
        </w:tabs>
        <w:ind w:left="3960" w:hanging="360"/>
      </w:pPr>
      <w:rPr>
        <w:rFonts w:ascii="Courier New" w:hAnsi="Courier New" w:cs="Arial" w:hint="default"/>
      </w:rPr>
    </w:lvl>
    <w:lvl w:ilvl="5" w:tplc="E42C028A" w:tentative="1">
      <w:start w:val="1"/>
      <w:numFmt w:val="bullet"/>
      <w:lvlText w:val=""/>
      <w:lvlJc w:val="left"/>
      <w:pPr>
        <w:tabs>
          <w:tab w:val="num" w:pos="4680"/>
        </w:tabs>
        <w:ind w:left="4680" w:hanging="360"/>
      </w:pPr>
      <w:rPr>
        <w:rFonts w:ascii="Wingdings" w:hAnsi="Wingdings" w:hint="default"/>
      </w:rPr>
    </w:lvl>
    <w:lvl w:ilvl="6" w:tplc="A1BACDD2" w:tentative="1">
      <w:start w:val="1"/>
      <w:numFmt w:val="bullet"/>
      <w:lvlText w:val=""/>
      <w:lvlJc w:val="left"/>
      <w:pPr>
        <w:tabs>
          <w:tab w:val="num" w:pos="5400"/>
        </w:tabs>
        <w:ind w:left="5400" w:hanging="360"/>
      </w:pPr>
      <w:rPr>
        <w:rFonts w:ascii="Symbol" w:hAnsi="Symbol" w:hint="default"/>
      </w:rPr>
    </w:lvl>
    <w:lvl w:ilvl="7" w:tplc="883AA312" w:tentative="1">
      <w:start w:val="1"/>
      <w:numFmt w:val="bullet"/>
      <w:lvlText w:val="o"/>
      <w:lvlJc w:val="left"/>
      <w:pPr>
        <w:tabs>
          <w:tab w:val="num" w:pos="6120"/>
        </w:tabs>
        <w:ind w:left="6120" w:hanging="360"/>
      </w:pPr>
      <w:rPr>
        <w:rFonts w:ascii="Courier New" w:hAnsi="Courier New" w:cs="Arial" w:hint="default"/>
      </w:rPr>
    </w:lvl>
    <w:lvl w:ilvl="8" w:tplc="76FAF8F6" w:tentative="1">
      <w:start w:val="1"/>
      <w:numFmt w:val="bullet"/>
      <w:lvlText w:val=""/>
      <w:lvlJc w:val="left"/>
      <w:pPr>
        <w:tabs>
          <w:tab w:val="num" w:pos="6840"/>
        </w:tabs>
        <w:ind w:left="6840" w:hanging="360"/>
      </w:pPr>
      <w:rPr>
        <w:rFonts w:ascii="Wingdings" w:hAnsi="Wingdings" w:hint="default"/>
      </w:rPr>
    </w:lvl>
  </w:abstractNum>
  <w:abstractNum w:abstractNumId="60" w15:restartNumberingAfterBreak="0">
    <w:nsid w:val="59F54F51"/>
    <w:multiLevelType w:val="hybridMultilevel"/>
    <w:tmpl w:val="7930A9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B28641D"/>
    <w:multiLevelType w:val="multilevel"/>
    <w:tmpl w:val="C504C638"/>
    <w:lvl w:ilvl="0">
      <w:start w:val="1"/>
      <w:numFmt w:val="bullet"/>
      <w:pStyle w:val="RandListLev1"/>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2" w15:restartNumberingAfterBreak="0">
    <w:nsid w:val="5B8D7EDF"/>
    <w:multiLevelType w:val="hybridMultilevel"/>
    <w:tmpl w:val="F976A6C2"/>
    <w:lvl w:ilvl="0" w:tplc="681ECAC2">
      <w:start w:val="1"/>
      <w:numFmt w:val="bullet"/>
      <w:pStyle w:val="IPPNumberedListLast"/>
      <w:lvlText w:val=""/>
      <w:lvlJc w:val="left"/>
      <w:pPr>
        <w:tabs>
          <w:tab w:val="num" w:pos="765"/>
        </w:tabs>
        <w:ind w:left="765" w:hanging="360"/>
      </w:pPr>
      <w:rPr>
        <w:rFonts w:ascii="Wingdings" w:hAnsi="Wingdings" w:hint="default"/>
      </w:rPr>
    </w:lvl>
    <w:lvl w:ilvl="1" w:tplc="FD487CA0" w:tentative="1">
      <w:start w:val="1"/>
      <w:numFmt w:val="bullet"/>
      <w:lvlText w:val="o"/>
      <w:lvlJc w:val="left"/>
      <w:pPr>
        <w:tabs>
          <w:tab w:val="num" w:pos="1485"/>
        </w:tabs>
        <w:ind w:left="1485" w:hanging="360"/>
      </w:pPr>
      <w:rPr>
        <w:rFonts w:ascii="Courier New" w:hAnsi="Courier New" w:cs="MS Gothic" w:hint="default"/>
      </w:rPr>
    </w:lvl>
    <w:lvl w:ilvl="2" w:tplc="655E490A" w:tentative="1">
      <w:start w:val="1"/>
      <w:numFmt w:val="bullet"/>
      <w:lvlText w:val=""/>
      <w:lvlJc w:val="left"/>
      <w:pPr>
        <w:tabs>
          <w:tab w:val="num" w:pos="2205"/>
        </w:tabs>
        <w:ind w:left="2205" w:hanging="360"/>
      </w:pPr>
      <w:rPr>
        <w:rFonts w:ascii="Wingdings" w:hAnsi="Wingdings" w:hint="default"/>
      </w:rPr>
    </w:lvl>
    <w:lvl w:ilvl="3" w:tplc="8C8E9480" w:tentative="1">
      <w:start w:val="1"/>
      <w:numFmt w:val="bullet"/>
      <w:lvlText w:val=""/>
      <w:lvlJc w:val="left"/>
      <w:pPr>
        <w:tabs>
          <w:tab w:val="num" w:pos="2925"/>
        </w:tabs>
        <w:ind w:left="2925" w:hanging="360"/>
      </w:pPr>
      <w:rPr>
        <w:rFonts w:ascii="Symbol" w:hAnsi="Symbol" w:hint="default"/>
      </w:rPr>
    </w:lvl>
    <w:lvl w:ilvl="4" w:tplc="70C6F768" w:tentative="1">
      <w:start w:val="1"/>
      <w:numFmt w:val="bullet"/>
      <w:lvlText w:val="o"/>
      <w:lvlJc w:val="left"/>
      <w:pPr>
        <w:tabs>
          <w:tab w:val="num" w:pos="3645"/>
        </w:tabs>
        <w:ind w:left="3645" w:hanging="360"/>
      </w:pPr>
      <w:rPr>
        <w:rFonts w:ascii="Courier New" w:hAnsi="Courier New" w:cs="MS Gothic" w:hint="default"/>
      </w:rPr>
    </w:lvl>
    <w:lvl w:ilvl="5" w:tplc="ED7E8A32" w:tentative="1">
      <w:start w:val="1"/>
      <w:numFmt w:val="bullet"/>
      <w:lvlText w:val=""/>
      <w:lvlJc w:val="left"/>
      <w:pPr>
        <w:tabs>
          <w:tab w:val="num" w:pos="4365"/>
        </w:tabs>
        <w:ind w:left="4365" w:hanging="360"/>
      </w:pPr>
      <w:rPr>
        <w:rFonts w:ascii="Wingdings" w:hAnsi="Wingdings" w:hint="default"/>
      </w:rPr>
    </w:lvl>
    <w:lvl w:ilvl="6" w:tplc="19E018E8" w:tentative="1">
      <w:start w:val="1"/>
      <w:numFmt w:val="bullet"/>
      <w:lvlText w:val=""/>
      <w:lvlJc w:val="left"/>
      <w:pPr>
        <w:tabs>
          <w:tab w:val="num" w:pos="5085"/>
        </w:tabs>
        <w:ind w:left="5085" w:hanging="360"/>
      </w:pPr>
      <w:rPr>
        <w:rFonts w:ascii="Symbol" w:hAnsi="Symbol" w:hint="default"/>
      </w:rPr>
    </w:lvl>
    <w:lvl w:ilvl="7" w:tplc="FE523592" w:tentative="1">
      <w:start w:val="1"/>
      <w:numFmt w:val="bullet"/>
      <w:lvlText w:val="o"/>
      <w:lvlJc w:val="left"/>
      <w:pPr>
        <w:tabs>
          <w:tab w:val="num" w:pos="5805"/>
        </w:tabs>
        <w:ind w:left="5805" w:hanging="360"/>
      </w:pPr>
      <w:rPr>
        <w:rFonts w:ascii="Courier New" w:hAnsi="Courier New" w:cs="MS Gothic" w:hint="default"/>
      </w:rPr>
    </w:lvl>
    <w:lvl w:ilvl="8" w:tplc="8C006F8C" w:tentative="1">
      <w:start w:val="1"/>
      <w:numFmt w:val="bullet"/>
      <w:lvlText w:val=""/>
      <w:lvlJc w:val="left"/>
      <w:pPr>
        <w:tabs>
          <w:tab w:val="num" w:pos="6525"/>
        </w:tabs>
        <w:ind w:left="6525" w:hanging="360"/>
      </w:pPr>
      <w:rPr>
        <w:rFonts w:ascii="Wingdings" w:hAnsi="Wingdings" w:hint="default"/>
      </w:rPr>
    </w:lvl>
  </w:abstractNum>
  <w:abstractNum w:abstractNumId="63" w15:restartNumberingAfterBreak="0">
    <w:nsid w:val="5E70440A"/>
    <w:multiLevelType w:val="hybridMultilevel"/>
    <w:tmpl w:val="034E3442"/>
    <w:lvl w:ilvl="0" w:tplc="1BC49250">
      <w:start w:val="1"/>
      <w:numFmt w:val="decimal"/>
      <w:pStyle w:val="IPPNormal"/>
      <w:lvlText w:val="%1."/>
      <w:lvlJc w:val="left"/>
      <w:pPr>
        <w:tabs>
          <w:tab w:val="num" w:pos="720"/>
        </w:tabs>
        <w:ind w:left="720" w:hanging="360"/>
      </w:pPr>
    </w:lvl>
    <w:lvl w:ilvl="1" w:tplc="94E0F534" w:tentative="1">
      <w:start w:val="1"/>
      <w:numFmt w:val="lowerLetter"/>
      <w:lvlText w:val="%2."/>
      <w:lvlJc w:val="left"/>
      <w:pPr>
        <w:tabs>
          <w:tab w:val="num" w:pos="1440"/>
        </w:tabs>
        <w:ind w:left="1440" w:hanging="360"/>
      </w:pPr>
    </w:lvl>
    <w:lvl w:ilvl="2" w:tplc="871807C6" w:tentative="1">
      <w:start w:val="1"/>
      <w:numFmt w:val="lowerRoman"/>
      <w:lvlText w:val="%3."/>
      <w:lvlJc w:val="right"/>
      <w:pPr>
        <w:tabs>
          <w:tab w:val="num" w:pos="2160"/>
        </w:tabs>
        <w:ind w:left="2160" w:hanging="180"/>
      </w:pPr>
    </w:lvl>
    <w:lvl w:ilvl="3" w:tplc="AA2E4ABA" w:tentative="1">
      <w:start w:val="1"/>
      <w:numFmt w:val="decimal"/>
      <w:lvlText w:val="%4."/>
      <w:lvlJc w:val="left"/>
      <w:pPr>
        <w:tabs>
          <w:tab w:val="num" w:pos="2880"/>
        </w:tabs>
        <w:ind w:left="2880" w:hanging="360"/>
      </w:pPr>
    </w:lvl>
    <w:lvl w:ilvl="4" w:tplc="3CB65DD4" w:tentative="1">
      <w:start w:val="1"/>
      <w:numFmt w:val="lowerLetter"/>
      <w:lvlText w:val="%5."/>
      <w:lvlJc w:val="left"/>
      <w:pPr>
        <w:tabs>
          <w:tab w:val="num" w:pos="3600"/>
        </w:tabs>
        <w:ind w:left="3600" w:hanging="360"/>
      </w:pPr>
    </w:lvl>
    <w:lvl w:ilvl="5" w:tplc="E158B12A" w:tentative="1">
      <w:start w:val="1"/>
      <w:numFmt w:val="lowerRoman"/>
      <w:lvlText w:val="%6."/>
      <w:lvlJc w:val="right"/>
      <w:pPr>
        <w:tabs>
          <w:tab w:val="num" w:pos="4320"/>
        </w:tabs>
        <w:ind w:left="4320" w:hanging="180"/>
      </w:pPr>
    </w:lvl>
    <w:lvl w:ilvl="6" w:tplc="223260AE" w:tentative="1">
      <w:start w:val="1"/>
      <w:numFmt w:val="decimal"/>
      <w:lvlText w:val="%7."/>
      <w:lvlJc w:val="left"/>
      <w:pPr>
        <w:tabs>
          <w:tab w:val="num" w:pos="5040"/>
        </w:tabs>
        <w:ind w:left="5040" w:hanging="360"/>
      </w:pPr>
    </w:lvl>
    <w:lvl w:ilvl="7" w:tplc="911E922E" w:tentative="1">
      <w:start w:val="1"/>
      <w:numFmt w:val="lowerLetter"/>
      <w:lvlText w:val="%8."/>
      <w:lvlJc w:val="left"/>
      <w:pPr>
        <w:tabs>
          <w:tab w:val="num" w:pos="5760"/>
        </w:tabs>
        <w:ind w:left="5760" w:hanging="360"/>
      </w:pPr>
    </w:lvl>
    <w:lvl w:ilvl="8" w:tplc="831C4494" w:tentative="1">
      <w:start w:val="1"/>
      <w:numFmt w:val="lowerRoman"/>
      <w:lvlText w:val="%9."/>
      <w:lvlJc w:val="right"/>
      <w:pPr>
        <w:tabs>
          <w:tab w:val="num" w:pos="6480"/>
        </w:tabs>
        <w:ind w:left="6480" w:hanging="180"/>
      </w:pPr>
    </w:lvl>
  </w:abstractNum>
  <w:abstractNum w:abstractNumId="64" w15:restartNumberingAfterBreak="0">
    <w:nsid w:val="605B5305"/>
    <w:multiLevelType w:val="hybridMultilevel"/>
    <w:tmpl w:val="5394D204"/>
    <w:lvl w:ilvl="0" w:tplc="5E66DE9E">
      <w:start w:val="1"/>
      <w:numFmt w:val="decimal"/>
      <w:pStyle w:val="Paranumbered"/>
      <w:lvlText w:val="%1."/>
      <w:lvlJc w:val="left"/>
      <w:pPr>
        <w:tabs>
          <w:tab w:val="num" w:pos="720"/>
        </w:tabs>
        <w:ind w:left="720" w:hanging="720"/>
      </w:pPr>
      <w:rPr>
        <w:rFonts w:hint="default"/>
      </w:rPr>
    </w:lvl>
    <w:lvl w:ilvl="1" w:tplc="18AA76F4">
      <w:start w:val="1"/>
      <w:numFmt w:val="lowerLetter"/>
      <w:lvlText w:val="%2."/>
      <w:lvlJc w:val="left"/>
      <w:pPr>
        <w:tabs>
          <w:tab w:val="num" w:pos="1440"/>
        </w:tabs>
        <w:ind w:left="1440" w:hanging="360"/>
      </w:pPr>
    </w:lvl>
    <w:lvl w:ilvl="2" w:tplc="CDC21372">
      <w:start w:val="1"/>
      <w:numFmt w:val="lowerRoman"/>
      <w:lvlText w:val="%3."/>
      <w:lvlJc w:val="right"/>
      <w:pPr>
        <w:tabs>
          <w:tab w:val="num" w:pos="2160"/>
        </w:tabs>
        <w:ind w:left="2160" w:hanging="180"/>
      </w:pPr>
    </w:lvl>
    <w:lvl w:ilvl="3" w:tplc="79262EEA">
      <w:start w:val="1"/>
      <w:numFmt w:val="decimal"/>
      <w:lvlText w:val="%4."/>
      <w:lvlJc w:val="left"/>
      <w:pPr>
        <w:tabs>
          <w:tab w:val="num" w:pos="2880"/>
        </w:tabs>
        <w:ind w:left="2880" w:hanging="360"/>
      </w:pPr>
    </w:lvl>
    <w:lvl w:ilvl="4" w:tplc="1D48B888">
      <w:start w:val="1"/>
      <w:numFmt w:val="lowerLetter"/>
      <w:lvlText w:val="%5."/>
      <w:lvlJc w:val="left"/>
      <w:pPr>
        <w:tabs>
          <w:tab w:val="num" w:pos="3600"/>
        </w:tabs>
        <w:ind w:left="3600" w:hanging="360"/>
      </w:pPr>
    </w:lvl>
    <w:lvl w:ilvl="5" w:tplc="BE30C18E">
      <w:start w:val="1"/>
      <w:numFmt w:val="lowerRoman"/>
      <w:lvlText w:val="%6."/>
      <w:lvlJc w:val="right"/>
      <w:pPr>
        <w:tabs>
          <w:tab w:val="num" w:pos="4320"/>
        </w:tabs>
        <w:ind w:left="4320" w:hanging="180"/>
      </w:pPr>
    </w:lvl>
    <w:lvl w:ilvl="6" w:tplc="EEFE24EA">
      <w:start w:val="1"/>
      <w:numFmt w:val="decimal"/>
      <w:lvlText w:val="%7."/>
      <w:lvlJc w:val="left"/>
      <w:pPr>
        <w:tabs>
          <w:tab w:val="num" w:pos="5040"/>
        </w:tabs>
        <w:ind w:left="5040" w:hanging="360"/>
      </w:pPr>
    </w:lvl>
    <w:lvl w:ilvl="7" w:tplc="8E909338">
      <w:start w:val="1"/>
      <w:numFmt w:val="lowerLetter"/>
      <w:lvlText w:val="%8."/>
      <w:lvlJc w:val="left"/>
      <w:pPr>
        <w:tabs>
          <w:tab w:val="num" w:pos="5760"/>
        </w:tabs>
        <w:ind w:left="5760" w:hanging="360"/>
      </w:pPr>
    </w:lvl>
    <w:lvl w:ilvl="8" w:tplc="664E46A0">
      <w:start w:val="1"/>
      <w:numFmt w:val="lowerRoman"/>
      <w:lvlText w:val="%9."/>
      <w:lvlJc w:val="right"/>
      <w:pPr>
        <w:tabs>
          <w:tab w:val="num" w:pos="6480"/>
        </w:tabs>
        <w:ind w:left="6480" w:hanging="180"/>
      </w:pPr>
    </w:lvl>
  </w:abstractNum>
  <w:abstractNum w:abstractNumId="65" w15:restartNumberingAfterBreak="0">
    <w:nsid w:val="606E19AA"/>
    <w:multiLevelType w:val="hybridMultilevel"/>
    <w:tmpl w:val="6AACAAA0"/>
    <w:lvl w:ilvl="0" w:tplc="CD90B98C">
      <w:start w:val="1"/>
      <w:numFmt w:val="bullet"/>
      <w:pStyle w:val="Bulletdash"/>
      <w:lvlText w:val=""/>
      <w:lvlJc w:val="left"/>
      <w:pPr>
        <w:ind w:left="618" w:hanging="360"/>
      </w:pPr>
      <w:rPr>
        <w:rFonts w:ascii="Symbol" w:hAnsi="Symbol" w:hint="default"/>
      </w:rPr>
    </w:lvl>
    <w:lvl w:ilvl="1" w:tplc="B5A04B06" w:tentative="1">
      <w:start w:val="1"/>
      <w:numFmt w:val="bullet"/>
      <w:lvlText w:val="o"/>
      <w:lvlJc w:val="left"/>
      <w:pPr>
        <w:ind w:left="1338" w:hanging="360"/>
      </w:pPr>
      <w:rPr>
        <w:rFonts w:ascii="Courier New" w:hAnsi="Courier New" w:cs="Consolas" w:hint="default"/>
      </w:rPr>
    </w:lvl>
    <w:lvl w:ilvl="2" w:tplc="9DE86EB2" w:tentative="1">
      <w:start w:val="1"/>
      <w:numFmt w:val="bullet"/>
      <w:lvlText w:val=""/>
      <w:lvlJc w:val="left"/>
      <w:pPr>
        <w:ind w:left="2058" w:hanging="360"/>
      </w:pPr>
      <w:rPr>
        <w:rFonts w:ascii="Wingdings" w:hAnsi="Wingdings" w:hint="default"/>
      </w:rPr>
    </w:lvl>
    <w:lvl w:ilvl="3" w:tplc="1EA28136" w:tentative="1">
      <w:start w:val="1"/>
      <w:numFmt w:val="bullet"/>
      <w:lvlText w:val=""/>
      <w:lvlJc w:val="left"/>
      <w:pPr>
        <w:ind w:left="2778" w:hanging="360"/>
      </w:pPr>
      <w:rPr>
        <w:rFonts w:ascii="Symbol" w:hAnsi="Symbol" w:hint="default"/>
      </w:rPr>
    </w:lvl>
    <w:lvl w:ilvl="4" w:tplc="7F905118" w:tentative="1">
      <w:start w:val="1"/>
      <w:numFmt w:val="bullet"/>
      <w:lvlText w:val="o"/>
      <w:lvlJc w:val="left"/>
      <w:pPr>
        <w:ind w:left="3498" w:hanging="360"/>
      </w:pPr>
      <w:rPr>
        <w:rFonts w:ascii="Courier New" w:hAnsi="Courier New" w:cs="Consolas" w:hint="default"/>
      </w:rPr>
    </w:lvl>
    <w:lvl w:ilvl="5" w:tplc="66E25F2E" w:tentative="1">
      <w:start w:val="1"/>
      <w:numFmt w:val="bullet"/>
      <w:lvlText w:val=""/>
      <w:lvlJc w:val="left"/>
      <w:pPr>
        <w:ind w:left="4218" w:hanging="360"/>
      </w:pPr>
      <w:rPr>
        <w:rFonts w:ascii="Wingdings" w:hAnsi="Wingdings" w:hint="default"/>
      </w:rPr>
    </w:lvl>
    <w:lvl w:ilvl="6" w:tplc="DB8E8F84" w:tentative="1">
      <w:start w:val="1"/>
      <w:numFmt w:val="bullet"/>
      <w:lvlText w:val=""/>
      <w:lvlJc w:val="left"/>
      <w:pPr>
        <w:ind w:left="4938" w:hanging="360"/>
      </w:pPr>
      <w:rPr>
        <w:rFonts w:ascii="Symbol" w:hAnsi="Symbol" w:hint="default"/>
      </w:rPr>
    </w:lvl>
    <w:lvl w:ilvl="7" w:tplc="47A61CB2" w:tentative="1">
      <w:start w:val="1"/>
      <w:numFmt w:val="bullet"/>
      <w:lvlText w:val="o"/>
      <w:lvlJc w:val="left"/>
      <w:pPr>
        <w:ind w:left="5658" w:hanging="360"/>
      </w:pPr>
      <w:rPr>
        <w:rFonts w:ascii="Courier New" w:hAnsi="Courier New" w:cs="Consolas" w:hint="default"/>
      </w:rPr>
    </w:lvl>
    <w:lvl w:ilvl="8" w:tplc="4FBE97A4" w:tentative="1">
      <w:start w:val="1"/>
      <w:numFmt w:val="bullet"/>
      <w:lvlText w:val=""/>
      <w:lvlJc w:val="left"/>
      <w:pPr>
        <w:ind w:left="6378" w:hanging="360"/>
      </w:pPr>
      <w:rPr>
        <w:rFonts w:ascii="Wingdings" w:hAnsi="Wingdings" w:hint="default"/>
      </w:rPr>
    </w:lvl>
  </w:abstractNum>
  <w:abstractNum w:abstractNumId="66" w15:restartNumberingAfterBreak="0">
    <w:nsid w:val="61AE1ECE"/>
    <w:multiLevelType w:val="hybridMultilevel"/>
    <w:tmpl w:val="D522F93E"/>
    <w:lvl w:ilvl="0" w:tplc="7932EDE0">
      <w:start w:val="15"/>
      <w:numFmt w:val="decimal"/>
      <w:pStyle w:val="IPPLetterListIndent"/>
      <w:lvlText w:val="%1."/>
      <w:lvlJc w:val="left"/>
      <w:pPr>
        <w:tabs>
          <w:tab w:val="num" w:pos="990"/>
        </w:tabs>
        <w:ind w:left="990" w:hanging="360"/>
      </w:pPr>
      <w:rPr>
        <w:rFonts w:hint="default"/>
      </w:rPr>
    </w:lvl>
    <w:lvl w:ilvl="1" w:tplc="6DB657F2" w:tentative="1">
      <w:start w:val="1"/>
      <w:numFmt w:val="lowerLetter"/>
      <w:lvlText w:val="%2."/>
      <w:lvlJc w:val="left"/>
      <w:pPr>
        <w:tabs>
          <w:tab w:val="num" w:pos="1710"/>
        </w:tabs>
        <w:ind w:left="1710" w:hanging="360"/>
      </w:pPr>
    </w:lvl>
    <w:lvl w:ilvl="2" w:tplc="53D2334A" w:tentative="1">
      <w:start w:val="1"/>
      <w:numFmt w:val="lowerRoman"/>
      <w:lvlText w:val="%3."/>
      <w:lvlJc w:val="right"/>
      <w:pPr>
        <w:tabs>
          <w:tab w:val="num" w:pos="2430"/>
        </w:tabs>
        <w:ind w:left="2430" w:hanging="180"/>
      </w:pPr>
    </w:lvl>
    <w:lvl w:ilvl="3" w:tplc="01F43DE8" w:tentative="1">
      <w:start w:val="1"/>
      <w:numFmt w:val="decimal"/>
      <w:lvlText w:val="%4."/>
      <w:lvlJc w:val="left"/>
      <w:pPr>
        <w:tabs>
          <w:tab w:val="num" w:pos="3150"/>
        </w:tabs>
        <w:ind w:left="3150" w:hanging="360"/>
      </w:pPr>
    </w:lvl>
    <w:lvl w:ilvl="4" w:tplc="4184DA78" w:tentative="1">
      <w:start w:val="1"/>
      <w:numFmt w:val="lowerLetter"/>
      <w:lvlText w:val="%5."/>
      <w:lvlJc w:val="left"/>
      <w:pPr>
        <w:tabs>
          <w:tab w:val="num" w:pos="3870"/>
        </w:tabs>
        <w:ind w:left="3870" w:hanging="360"/>
      </w:pPr>
    </w:lvl>
    <w:lvl w:ilvl="5" w:tplc="ABFA36F6" w:tentative="1">
      <w:start w:val="1"/>
      <w:numFmt w:val="lowerRoman"/>
      <w:lvlText w:val="%6."/>
      <w:lvlJc w:val="right"/>
      <w:pPr>
        <w:tabs>
          <w:tab w:val="num" w:pos="4590"/>
        </w:tabs>
        <w:ind w:left="4590" w:hanging="180"/>
      </w:pPr>
    </w:lvl>
    <w:lvl w:ilvl="6" w:tplc="FCF256CE" w:tentative="1">
      <w:start w:val="1"/>
      <w:numFmt w:val="decimal"/>
      <w:lvlText w:val="%7."/>
      <w:lvlJc w:val="left"/>
      <w:pPr>
        <w:tabs>
          <w:tab w:val="num" w:pos="5310"/>
        </w:tabs>
        <w:ind w:left="5310" w:hanging="360"/>
      </w:pPr>
    </w:lvl>
    <w:lvl w:ilvl="7" w:tplc="7F682FB8" w:tentative="1">
      <w:start w:val="1"/>
      <w:numFmt w:val="lowerLetter"/>
      <w:lvlText w:val="%8."/>
      <w:lvlJc w:val="left"/>
      <w:pPr>
        <w:tabs>
          <w:tab w:val="num" w:pos="6030"/>
        </w:tabs>
        <w:ind w:left="6030" w:hanging="360"/>
      </w:pPr>
    </w:lvl>
    <w:lvl w:ilvl="8" w:tplc="2BA6E802" w:tentative="1">
      <w:start w:val="1"/>
      <w:numFmt w:val="lowerRoman"/>
      <w:lvlText w:val="%9."/>
      <w:lvlJc w:val="right"/>
      <w:pPr>
        <w:tabs>
          <w:tab w:val="num" w:pos="6750"/>
        </w:tabs>
        <w:ind w:left="6750" w:hanging="180"/>
      </w:pPr>
    </w:lvl>
  </w:abstractNum>
  <w:abstractNum w:abstractNumId="67" w15:restartNumberingAfterBreak="0">
    <w:nsid w:val="658A2624"/>
    <w:multiLevelType w:val="hybridMultilevel"/>
    <w:tmpl w:val="C5E8DBFA"/>
    <w:lvl w:ilvl="0" w:tplc="16B225DA">
      <w:start w:val="1"/>
      <w:numFmt w:val="bullet"/>
      <w:pStyle w:val="Style"/>
      <w:lvlText w:val=""/>
      <w:lvlJc w:val="left"/>
      <w:pPr>
        <w:tabs>
          <w:tab w:val="num" w:pos="720"/>
        </w:tabs>
        <w:ind w:left="720" w:hanging="360"/>
      </w:pPr>
      <w:rPr>
        <w:rFonts w:ascii="Symbol" w:hAnsi="Symbol" w:hint="default"/>
      </w:rPr>
    </w:lvl>
    <w:lvl w:ilvl="1" w:tplc="5E464262">
      <w:start w:val="1"/>
      <w:numFmt w:val="bullet"/>
      <w:lvlText w:val="o"/>
      <w:lvlJc w:val="left"/>
      <w:pPr>
        <w:tabs>
          <w:tab w:val="num" w:pos="1440"/>
        </w:tabs>
        <w:ind w:left="1440" w:hanging="360"/>
      </w:pPr>
      <w:rPr>
        <w:rFonts w:ascii="Courier New" w:hAnsi="Courier New" w:cs="Consolas" w:hint="default"/>
      </w:rPr>
    </w:lvl>
    <w:lvl w:ilvl="2" w:tplc="26EC6F76" w:tentative="1">
      <w:start w:val="1"/>
      <w:numFmt w:val="bullet"/>
      <w:lvlText w:val=""/>
      <w:lvlJc w:val="left"/>
      <w:pPr>
        <w:tabs>
          <w:tab w:val="num" w:pos="2160"/>
        </w:tabs>
        <w:ind w:left="2160" w:hanging="360"/>
      </w:pPr>
      <w:rPr>
        <w:rFonts w:ascii="Wingdings" w:hAnsi="Wingdings" w:hint="default"/>
      </w:rPr>
    </w:lvl>
    <w:lvl w:ilvl="3" w:tplc="5EF0A7B2" w:tentative="1">
      <w:start w:val="1"/>
      <w:numFmt w:val="bullet"/>
      <w:lvlText w:val=""/>
      <w:lvlJc w:val="left"/>
      <w:pPr>
        <w:tabs>
          <w:tab w:val="num" w:pos="2880"/>
        </w:tabs>
        <w:ind w:left="2880" w:hanging="360"/>
      </w:pPr>
      <w:rPr>
        <w:rFonts w:ascii="Symbol" w:hAnsi="Symbol" w:hint="default"/>
      </w:rPr>
    </w:lvl>
    <w:lvl w:ilvl="4" w:tplc="068C84BC" w:tentative="1">
      <w:start w:val="1"/>
      <w:numFmt w:val="bullet"/>
      <w:lvlText w:val="o"/>
      <w:lvlJc w:val="left"/>
      <w:pPr>
        <w:tabs>
          <w:tab w:val="num" w:pos="3600"/>
        </w:tabs>
        <w:ind w:left="3600" w:hanging="360"/>
      </w:pPr>
      <w:rPr>
        <w:rFonts w:ascii="Courier New" w:hAnsi="Courier New" w:cs="Consolas" w:hint="default"/>
      </w:rPr>
    </w:lvl>
    <w:lvl w:ilvl="5" w:tplc="8FF8A9E8" w:tentative="1">
      <w:start w:val="1"/>
      <w:numFmt w:val="bullet"/>
      <w:lvlText w:val=""/>
      <w:lvlJc w:val="left"/>
      <w:pPr>
        <w:tabs>
          <w:tab w:val="num" w:pos="4320"/>
        </w:tabs>
        <w:ind w:left="4320" w:hanging="360"/>
      </w:pPr>
      <w:rPr>
        <w:rFonts w:ascii="Wingdings" w:hAnsi="Wingdings" w:hint="default"/>
      </w:rPr>
    </w:lvl>
    <w:lvl w:ilvl="6" w:tplc="D3CCE5E2" w:tentative="1">
      <w:start w:val="1"/>
      <w:numFmt w:val="bullet"/>
      <w:lvlText w:val=""/>
      <w:lvlJc w:val="left"/>
      <w:pPr>
        <w:tabs>
          <w:tab w:val="num" w:pos="5040"/>
        </w:tabs>
        <w:ind w:left="5040" w:hanging="360"/>
      </w:pPr>
      <w:rPr>
        <w:rFonts w:ascii="Symbol" w:hAnsi="Symbol" w:hint="default"/>
      </w:rPr>
    </w:lvl>
    <w:lvl w:ilvl="7" w:tplc="AF9A4E3C" w:tentative="1">
      <w:start w:val="1"/>
      <w:numFmt w:val="bullet"/>
      <w:lvlText w:val="o"/>
      <w:lvlJc w:val="left"/>
      <w:pPr>
        <w:tabs>
          <w:tab w:val="num" w:pos="5760"/>
        </w:tabs>
        <w:ind w:left="5760" w:hanging="360"/>
      </w:pPr>
      <w:rPr>
        <w:rFonts w:ascii="Courier New" w:hAnsi="Courier New" w:cs="Consolas" w:hint="default"/>
      </w:rPr>
    </w:lvl>
    <w:lvl w:ilvl="8" w:tplc="D5968010"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61621F8"/>
    <w:multiLevelType w:val="hybridMultilevel"/>
    <w:tmpl w:val="FFFFFFFF"/>
    <w:lvl w:ilvl="0" w:tplc="9F4CB964">
      <w:start w:val="1"/>
      <w:numFmt w:val="decimal"/>
      <w:lvlText w:val="%1."/>
      <w:lvlJc w:val="left"/>
      <w:pPr>
        <w:ind w:left="720" w:hanging="360"/>
      </w:pPr>
    </w:lvl>
    <w:lvl w:ilvl="1" w:tplc="A1E44C6A">
      <w:start w:val="1"/>
      <w:numFmt w:val="lowerLetter"/>
      <w:lvlText w:val="%2."/>
      <w:lvlJc w:val="left"/>
      <w:pPr>
        <w:ind w:left="1440" w:hanging="360"/>
      </w:pPr>
    </w:lvl>
    <w:lvl w:ilvl="2" w:tplc="14D815BA">
      <w:start w:val="1"/>
      <w:numFmt w:val="lowerRoman"/>
      <w:lvlText w:val="%3."/>
      <w:lvlJc w:val="right"/>
      <w:pPr>
        <w:ind w:left="2160" w:hanging="180"/>
      </w:pPr>
    </w:lvl>
    <w:lvl w:ilvl="3" w:tplc="FDC4CEA2">
      <w:start w:val="1"/>
      <w:numFmt w:val="decimal"/>
      <w:lvlText w:val="%4."/>
      <w:lvlJc w:val="left"/>
      <w:pPr>
        <w:ind w:left="2880" w:hanging="360"/>
      </w:pPr>
    </w:lvl>
    <w:lvl w:ilvl="4" w:tplc="C5E69C1C">
      <w:start w:val="1"/>
      <w:numFmt w:val="lowerLetter"/>
      <w:lvlText w:val="%5."/>
      <w:lvlJc w:val="left"/>
      <w:pPr>
        <w:ind w:left="3600" w:hanging="360"/>
      </w:pPr>
    </w:lvl>
    <w:lvl w:ilvl="5" w:tplc="5C7EE452">
      <w:start w:val="1"/>
      <w:numFmt w:val="lowerRoman"/>
      <w:lvlText w:val="%6."/>
      <w:lvlJc w:val="right"/>
      <w:pPr>
        <w:ind w:left="4320" w:hanging="180"/>
      </w:pPr>
    </w:lvl>
    <w:lvl w:ilvl="6" w:tplc="A7B40F72">
      <w:start w:val="1"/>
      <w:numFmt w:val="decimal"/>
      <w:lvlText w:val="%7."/>
      <w:lvlJc w:val="left"/>
      <w:pPr>
        <w:ind w:left="5040" w:hanging="360"/>
      </w:pPr>
    </w:lvl>
    <w:lvl w:ilvl="7" w:tplc="E0966126">
      <w:start w:val="1"/>
      <w:numFmt w:val="lowerLetter"/>
      <w:lvlText w:val="%8."/>
      <w:lvlJc w:val="left"/>
      <w:pPr>
        <w:ind w:left="5760" w:hanging="360"/>
      </w:pPr>
    </w:lvl>
    <w:lvl w:ilvl="8" w:tplc="8D3E1BB0">
      <w:start w:val="1"/>
      <w:numFmt w:val="lowerRoman"/>
      <w:lvlText w:val="%9."/>
      <w:lvlJc w:val="right"/>
      <w:pPr>
        <w:ind w:left="6480" w:hanging="180"/>
      </w:pPr>
    </w:lvl>
  </w:abstractNum>
  <w:abstractNum w:abstractNumId="69" w15:restartNumberingAfterBreak="0">
    <w:nsid w:val="6D6507BD"/>
    <w:multiLevelType w:val="hybridMultilevel"/>
    <w:tmpl w:val="3EBABF54"/>
    <w:lvl w:ilvl="0" w:tplc="3FBA5326">
      <w:start w:val="1"/>
      <w:numFmt w:val="bullet"/>
      <w:pStyle w:val="IPPAnnexHead"/>
      <w:lvlText w:val=""/>
      <w:lvlJc w:val="left"/>
      <w:pPr>
        <w:tabs>
          <w:tab w:val="num" w:pos="720"/>
        </w:tabs>
        <w:ind w:left="720" w:hanging="360"/>
      </w:pPr>
      <w:rPr>
        <w:rFonts w:ascii="Symbol" w:hAnsi="Symbol" w:hint="default"/>
      </w:rPr>
    </w:lvl>
    <w:lvl w:ilvl="1" w:tplc="3C7EFD9C" w:tentative="1">
      <w:start w:val="1"/>
      <w:numFmt w:val="bullet"/>
      <w:lvlText w:val="o"/>
      <w:lvlJc w:val="left"/>
      <w:pPr>
        <w:tabs>
          <w:tab w:val="num" w:pos="1440"/>
        </w:tabs>
        <w:ind w:left="1440" w:hanging="360"/>
      </w:pPr>
      <w:rPr>
        <w:rFonts w:ascii="Courier New" w:hAnsi="Courier New" w:cs="Consolas" w:hint="default"/>
      </w:rPr>
    </w:lvl>
    <w:lvl w:ilvl="2" w:tplc="17604286" w:tentative="1">
      <w:start w:val="1"/>
      <w:numFmt w:val="bullet"/>
      <w:lvlText w:val=""/>
      <w:lvlJc w:val="left"/>
      <w:pPr>
        <w:tabs>
          <w:tab w:val="num" w:pos="2160"/>
        </w:tabs>
        <w:ind w:left="2160" w:hanging="360"/>
      </w:pPr>
      <w:rPr>
        <w:rFonts w:ascii="Wingdings" w:hAnsi="Wingdings" w:hint="default"/>
      </w:rPr>
    </w:lvl>
    <w:lvl w:ilvl="3" w:tplc="80C0D0C2" w:tentative="1">
      <w:start w:val="1"/>
      <w:numFmt w:val="bullet"/>
      <w:lvlText w:val=""/>
      <w:lvlJc w:val="left"/>
      <w:pPr>
        <w:tabs>
          <w:tab w:val="num" w:pos="2880"/>
        </w:tabs>
        <w:ind w:left="2880" w:hanging="360"/>
      </w:pPr>
      <w:rPr>
        <w:rFonts w:ascii="Symbol" w:hAnsi="Symbol" w:hint="default"/>
      </w:rPr>
    </w:lvl>
    <w:lvl w:ilvl="4" w:tplc="5262D67E" w:tentative="1">
      <w:start w:val="1"/>
      <w:numFmt w:val="bullet"/>
      <w:lvlText w:val="o"/>
      <w:lvlJc w:val="left"/>
      <w:pPr>
        <w:tabs>
          <w:tab w:val="num" w:pos="3600"/>
        </w:tabs>
        <w:ind w:left="3600" w:hanging="360"/>
      </w:pPr>
      <w:rPr>
        <w:rFonts w:ascii="Courier New" w:hAnsi="Courier New" w:cs="Consolas" w:hint="default"/>
      </w:rPr>
    </w:lvl>
    <w:lvl w:ilvl="5" w:tplc="2BF82DF2" w:tentative="1">
      <w:start w:val="1"/>
      <w:numFmt w:val="bullet"/>
      <w:lvlText w:val=""/>
      <w:lvlJc w:val="left"/>
      <w:pPr>
        <w:tabs>
          <w:tab w:val="num" w:pos="4320"/>
        </w:tabs>
        <w:ind w:left="4320" w:hanging="360"/>
      </w:pPr>
      <w:rPr>
        <w:rFonts w:ascii="Wingdings" w:hAnsi="Wingdings" w:hint="default"/>
      </w:rPr>
    </w:lvl>
    <w:lvl w:ilvl="6" w:tplc="E3C24FD0" w:tentative="1">
      <w:start w:val="1"/>
      <w:numFmt w:val="bullet"/>
      <w:lvlText w:val=""/>
      <w:lvlJc w:val="left"/>
      <w:pPr>
        <w:tabs>
          <w:tab w:val="num" w:pos="5040"/>
        </w:tabs>
        <w:ind w:left="5040" w:hanging="360"/>
      </w:pPr>
      <w:rPr>
        <w:rFonts w:ascii="Symbol" w:hAnsi="Symbol" w:hint="default"/>
      </w:rPr>
    </w:lvl>
    <w:lvl w:ilvl="7" w:tplc="6F964FB6" w:tentative="1">
      <w:start w:val="1"/>
      <w:numFmt w:val="bullet"/>
      <w:lvlText w:val="o"/>
      <w:lvlJc w:val="left"/>
      <w:pPr>
        <w:tabs>
          <w:tab w:val="num" w:pos="5760"/>
        </w:tabs>
        <w:ind w:left="5760" w:hanging="360"/>
      </w:pPr>
      <w:rPr>
        <w:rFonts w:ascii="Courier New" w:hAnsi="Courier New" w:cs="Consolas" w:hint="default"/>
      </w:rPr>
    </w:lvl>
    <w:lvl w:ilvl="8" w:tplc="7D3C0544"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27F3C72"/>
    <w:multiLevelType w:val="hybridMultilevel"/>
    <w:tmpl w:val="77B60982"/>
    <w:lvl w:ilvl="0" w:tplc="B81CB32C">
      <w:start w:val="1"/>
      <w:numFmt w:val="decimal"/>
      <w:pStyle w:val="BoxRandList1"/>
      <w:lvlText w:val="%1."/>
      <w:lvlJc w:val="left"/>
      <w:pPr>
        <w:tabs>
          <w:tab w:val="num" w:pos="1278"/>
        </w:tabs>
        <w:ind w:left="1278" w:hanging="360"/>
      </w:pPr>
      <w:rPr>
        <w:rFonts w:hint="default"/>
      </w:rPr>
    </w:lvl>
    <w:lvl w:ilvl="1" w:tplc="1494B8DA" w:tentative="1">
      <w:start w:val="1"/>
      <w:numFmt w:val="aiueoFullWidth"/>
      <w:lvlText w:val="(%2)"/>
      <w:lvlJc w:val="left"/>
      <w:pPr>
        <w:tabs>
          <w:tab w:val="num" w:pos="1758"/>
        </w:tabs>
        <w:ind w:left="1758" w:hanging="420"/>
      </w:pPr>
    </w:lvl>
    <w:lvl w:ilvl="2" w:tplc="018CC1A4" w:tentative="1">
      <w:start w:val="1"/>
      <w:numFmt w:val="decimalEnclosedCircle"/>
      <w:lvlText w:val="%3"/>
      <w:lvlJc w:val="left"/>
      <w:pPr>
        <w:tabs>
          <w:tab w:val="num" w:pos="2178"/>
        </w:tabs>
        <w:ind w:left="2178" w:hanging="420"/>
      </w:pPr>
    </w:lvl>
    <w:lvl w:ilvl="3" w:tplc="38CEBDF8" w:tentative="1">
      <w:start w:val="1"/>
      <w:numFmt w:val="decimal"/>
      <w:lvlText w:val="%4."/>
      <w:lvlJc w:val="left"/>
      <w:pPr>
        <w:tabs>
          <w:tab w:val="num" w:pos="2598"/>
        </w:tabs>
        <w:ind w:left="2598" w:hanging="420"/>
      </w:pPr>
    </w:lvl>
    <w:lvl w:ilvl="4" w:tplc="7FDE0116" w:tentative="1">
      <w:start w:val="1"/>
      <w:numFmt w:val="aiueoFullWidth"/>
      <w:lvlText w:val="(%5)"/>
      <w:lvlJc w:val="left"/>
      <w:pPr>
        <w:tabs>
          <w:tab w:val="num" w:pos="3018"/>
        </w:tabs>
        <w:ind w:left="3018" w:hanging="420"/>
      </w:pPr>
    </w:lvl>
    <w:lvl w:ilvl="5" w:tplc="DFCE99B0" w:tentative="1">
      <w:start w:val="1"/>
      <w:numFmt w:val="decimalEnclosedCircle"/>
      <w:lvlText w:val="%6"/>
      <w:lvlJc w:val="left"/>
      <w:pPr>
        <w:tabs>
          <w:tab w:val="num" w:pos="3438"/>
        </w:tabs>
        <w:ind w:left="3438" w:hanging="420"/>
      </w:pPr>
    </w:lvl>
    <w:lvl w:ilvl="6" w:tplc="6E6EDCBC" w:tentative="1">
      <w:start w:val="1"/>
      <w:numFmt w:val="decimal"/>
      <w:lvlText w:val="%7."/>
      <w:lvlJc w:val="left"/>
      <w:pPr>
        <w:tabs>
          <w:tab w:val="num" w:pos="3858"/>
        </w:tabs>
        <w:ind w:left="3858" w:hanging="420"/>
      </w:pPr>
    </w:lvl>
    <w:lvl w:ilvl="7" w:tplc="D40EB880" w:tentative="1">
      <w:start w:val="1"/>
      <w:numFmt w:val="aiueoFullWidth"/>
      <w:lvlText w:val="(%8)"/>
      <w:lvlJc w:val="left"/>
      <w:pPr>
        <w:tabs>
          <w:tab w:val="num" w:pos="4278"/>
        </w:tabs>
        <w:ind w:left="4278" w:hanging="420"/>
      </w:pPr>
    </w:lvl>
    <w:lvl w:ilvl="8" w:tplc="B024EF66" w:tentative="1">
      <w:start w:val="1"/>
      <w:numFmt w:val="decimalEnclosedCircle"/>
      <w:lvlText w:val="%9"/>
      <w:lvlJc w:val="left"/>
      <w:pPr>
        <w:tabs>
          <w:tab w:val="num" w:pos="4698"/>
        </w:tabs>
        <w:ind w:left="4698" w:hanging="420"/>
      </w:pPr>
    </w:lvl>
  </w:abstractNum>
  <w:abstractNum w:abstractNumId="71" w15:restartNumberingAfterBreak="0">
    <w:nsid w:val="749306FA"/>
    <w:multiLevelType w:val="multilevel"/>
    <w:tmpl w:val="25B63E1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rFonts w:ascii="Times New Roman" w:hAnsi="Times New Roman" w:cs="Times New Roman" w:hint="default"/>
        <w:sz w:val="22"/>
        <w:szCs w:val="22"/>
      </w:rPr>
    </w:lvl>
    <w:lvl w:ilvl="2">
      <w:start w:val="1"/>
      <w:numFmt w:val="decimal"/>
      <w:lvlText w:val="%1.%2.%3"/>
      <w:lvlJc w:val="left"/>
      <w:pPr>
        <w:tabs>
          <w:tab w:val="num" w:pos="720"/>
        </w:tabs>
        <w:ind w:left="720" w:hanging="72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72" w15:restartNumberingAfterBreak="0">
    <w:nsid w:val="79D523C4"/>
    <w:multiLevelType w:val="multilevel"/>
    <w:tmpl w:val="9BE2DC72"/>
    <w:lvl w:ilvl="0">
      <w:start w:val="1"/>
      <w:numFmt w:val="decimal"/>
      <w:pStyle w:val="ToDoList"/>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15:restartNumberingAfterBreak="0">
    <w:nsid w:val="7BD149F3"/>
    <w:multiLevelType w:val="hybridMultilevel"/>
    <w:tmpl w:val="51CEBB5E"/>
    <w:lvl w:ilvl="0" w:tplc="74181FB4">
      <w:start w:val="1"/>
      <w:numFmt w:val="bullet"/>
      <w:pStyle w:val="IPPNumberedListArial"/>
      <w:lvlText w:val=""/>
      <w:lvlJc w:val="left"/>
      <w:pPr>
        <w:tabs>
          <w:tab w:val="num" w:pos="360"/>
        </w:tabs>
        <w:ind w:left="360" w:hanging="360"/>
      </w:pPr>
      <w:rPr>
        <w:rFonts w:ascii="Symbol" w:hAnsi="Symbol" w:hint="default"/>
        <w:color w:val="auto"/>
      </w:rPr>
    </w:lvl>
    <w:lvl w:ilvl="1" w:tplc="8F10EEF4" w:tentative="1">
      <w:start w:val="1"/>
      <w:numFmt w:val="bullet"/>
      <w:lvlText w:val="o"/>
      <w:lvlJc w:val="left"/>
      <w:pPr>
        <w:tabs>
          <w:tab w:val="num" w:pos="1080"/>
        </w:tabs>
        <w:ind w:left="1080" w:hanging="360"/>
      </w:pPr>
      <w:rPr>
        <w:rFonts w:ascii="Courier New" w:hAnsi="Courier New" w:cs="Consolas" w:hint="default"/>
      </w:rPr>
    </w:lvl>
    <w:lvl w:ilvl="2" w:tplc="C208229A" w:tentative="1">
      <w:start w:val="1"/>
      <w:numFmt w:val="bullet"/>
      <w:lvlText w:val=""/>
      <w:lvlJc w:val="left"/>
      <w:pPr>
        <w:tabs>
          <w:tab w:val="num" w:pos="1800"/>
        </w:tabs>
        <w:ind w:left="1800" w:hanging="360"/>
      </w:pPr>
      <w:rPr>
        <w:rFonts w:ascii="Wingdings" w:hAnsi="Wingdings" w:hint="default"/>
      </w:rPr>
    </w:lvl>
    <w:lvl w:ilvl="3" w:tplc="EEF27C18" w:tentative="1">
      <w:start w:val="1"/>
      <w:numFmt w:val="bullet"/>
      <w:lvlText w:val=""/>
      <w:lvlJc w:val="left"/>
      <w:pPr>
        <w:tabs>
          <w:tab w:val="num" w:pos="2520"/>
        </w:tabs>
        <w:ind w:left="2520" w:hanging="360"/>
      </w:pPr>
      <w:rPr>
        <w:rFonts w:ascii="Symbol" w:hAnsi="Symbol" w:hint="default"/>
      </w:rPr>
    </w:lvl>
    <w:lvl w:ilvl="4" w:tplc="4B8E1B22" w:tentative="1">
      <w:start w:val="1"/>
      <w:numFmt w:val="bullet"/>
      <w:lvlText w:val="o"/>
      <w:lvlJc w:val="left"/>
      <w:pPr>
        <w:tabs>
          <w:tab w:val="num" w:pos="3240"/>
        </w:tabs>
        <w:ind w:left="3240" w:hanging="360"/>
      </w:pPr>
      <w:rPr>
        <w:rFonts w:ascii="Courier New" w:hAnsi="Courier New" w:cs="Consolas" w:hint="default"/>
      </w:rPr>
    </w:lvl>
    <w:lvl w:ilvl="5" w:tplc="271CA3A0" w:tentative="1">
      <w:start w:val="1"/>
      <w:numFmt w:val="bullet"/>
      <w:lvlText w:val=""/>
      <w:lvlJc w:val="left"/>
      <w:pPr>
        <w:tabs>
          <w:tab w:val="num" w:pos="3960"/>
        </w:tabs>
        <w:ind w:left="3960" w:hanging="360"/>
      </w:pPr>
      <w:rPr>
        <w:rFonts w:ascii="Wingdings" w:hAnsi="Wingdings" w:hint="default"/>
      </w:rPr>
    </w:lvl>
    <w:lvl w:ilvl="6" w:tplc="D3C02C0A" w:tentative="1">
      <w:start w:val="1"/>
      <w:numFmt w:val="bullet"/>
      <w:lvlText w:val=""/>
      <w:lvlJc w:val="left"/>
      <w:pPr>
        <w:tabs>
          <w:tab w:val="num" w:pos="4680"/>
        </w:tabs>
        <w:ind w:left="4680" w:hanging="360"/>
      </w:pPr>
      <w:rPr>
        <w:rFonts w:ascii="Symbol" w:hAnsi="Symbol" w:hint="default"/>
      </w:rPr>
    </w:lvl>
    <w:lvl w:ilvl="7" w:tplc="FC96A254" w:tentative="1">
      <w:start w:val="1"/>
      <w:numFmt w:val="bullet"/>
      <w:lvlText w:val="o"/>
      <w:lvlJc w:val="left"/>
      <w:pPr>
        <w:tabs>
          <w:tab w:val="num" w:pos="5400"/>
        </w:tabs>
        <w:ind w:left="5400" w:hanging="360"/>
      </w:pPr>
      <w:rPr>
        <w:rFonts w:ascii="Courier New" w:hAnsi="Courier New" w:cs="Consolas" w:hint="default"/>
      </w:rPr>
    </w:lvl>
    <w:lvl w:ilvl="8" w:tplc="1E88ADD4" w:tentative="1">
      <w:start w:val="1"/>
      <w:numFmt w:val="bullet"/>
      <w:lvlText w:val=""/>
      <w:lvlJc w:val="left"/>
      <w:pPr>
        <w:tabs>
          <w:tab w:val="num" w:pos="6120"/>
        </w:tabs>
        <w:ind w:left="6120" w:hanging="360"/>
      </w:pPr>
      <w:rPr>
        <w:rFonts w:ascii="Wingdings" w:hAnsi="Wingdings" w:hint="default"/>
      </w:rPr>
    </w:lvl>
  </w:abstractNum>
  <w:abstractNum w:abstractNumId="74" w15:restartNumberingAfterBreak="0">
    <w:nsid w:val="7BED1788"/>
    <w:multiLevelType w:val="hybridMultilevel"/>
    <w:tmpl w:val="CF9E5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CAA628E"/>
    <w:multiLevelType w:val="hybridMultilevel"/>
    <w:tmpl w:val="36EA3B62"/>
    <w:lvl w:ilvl="0" w:tplc="9D22A2B4">
      <w:start w:val="1"/>
      <w:numFmt w:val="bullet"/>
      <w:pStyle w:val="DashListLev4"/>
      <w:lvlText w:val=""/>
      <w:lvlJc w:val="left"/>
      <w:pPr>
        <w:tabs>
          <w:tab w:val="num" w:pos="720"/>
        </w:tabs>
        <w:ind w:left="720" w:hanging="360"/>
      </w:pPr>
      <w:rPr>
        <w:rFonts w:ascii="Symbol" w:hAnsi="Symbol" w:hint="default"/>
      </w:rPr>
    </w:lvl>
    <w:lvl w:ilvl="1" w:tplc="49721496" w:tentative="1">
      <w:start w:val="1"/>
      <w:numFmt w:val="bullet"/>
      <w:lvlText w:val="o"/>
      <w:lvlJc w:val="left"/>
      <w:pPr>
        <w:tabs>
          <w:tab w:val="num" w:pos="1440"/>
        </w:tabs>
        <w:ind w:left="1440" w:hanging="360"/>
      </w:pPr>
      <w:rPr>
        <w:rFonts w:ascii="Courier New" w:hAnsi="Courier New" w:cs="Consolas" w:hint="default"/>
      </w:rPr>
    </w:lvl>
    <w:lvl w:ilvl="2" w:tplc="049E9CF0" w:tentative="1">
      <w:start w:val="1"/>
      <w:numFmt w:val="bullet"/>
      <w:lvlText w:val=""/>
      <w:lvlJc w:val="left"/>
      <w:pPr>
        <w:tabs>
          <w:tab w:val="num" w:pos="2160"/>
        </w:tabs>
        <w:ind w:left="2160" w:hanging="360"/>
      </w:pPr>
      <w:rPr>
        <w:rFonts w:ascii="Wingdings" w:hAnsi="Wingdings" w:hint="default"/>
      </w:rPr>
    </w:lvl>
    <w:lvl w:ilvl="3" w:tplc="1F0EB0A4" w:tentative="1">
      <w:start w:val="1"/>
      <w:numFmt w:val="bullet"/>
      <w:lvlText w:val=""/>
      <w:lvlJc w:val="left"/>
      <w:pPr>
        <w:tabs>
          <w:tab w:val="num" w:pos="2880"/>
        </w:tabs>
        <w:ind w:left="2880" w:hanging="360"/>
      </w:pPr>
      <w:rPr>
        <w:rFonts w:ascii="Symbol" w:hAnsi="Symbol" w:hint="default"/>
      </w:rPr>
    </w:lvl>
    <w:lvl w:ilvl="4" w:tplc="2D184B3E" w:tentative="1">
      <w:start w:val="1"/>
      <w:numFmt w:val="bullet"/>
      <w:lvlText w:val="o"/>
      <w:lvlJc w:val="left"/>
      <w:pPr>
        <w:tabs>
          <w:tab w:val="num" w:pos="3600"/>
        </w:tabs>
        <w:ind w:left="3600" w:hanging="360"/>
      </w:pPr>
      <w:rPr>
        <w:rFonts w:ascii="Courier New" w:hAnsi="Courier New" w:cs="Consolas" w:hint="default"/>
      </w:rPr>
    </w:lvl>
    <w:lvl w:ilvl="5" w:tplc="1AB2A380" w:tentative="1">
      <w:start w:val="1"/>
      <w:numFmt w:val="bullet"/>
      <w:lvlText w:val=""/>
      <w:lvlJc w:val="left"/>
      <w:pPr>
        <w:tabs>
          <w:tab w:val="num" w:pos="4320"/>
        </w:tabs>
        <w:ind w:left="4320" w:hanging="360"/>
      </w:pPr>
      <w:rPr>
        <w:rFonts w:ascii="Wingdings" w:hAnsi="Wingdings" w:hint="default"/>
      </w:rPr>
    </w:lvl>
    <w:lvl w:ilvl="6" w:tplc="F4E82FFE" w:tentative="1">
      <w:start w:val="1"/>
      <w:numFmt w:val="bullet"/>
      <w:lvlText w:val=""/>
      <w:lvlJc w:val="left"/>
      <w:pPr>
        <w:tabs>
          <w:tab w:val="num" w:pos="5040"/>
        </w:tabs>
        <w:ind w:left="5040" w:hanging="360"/>
      </w:pPr>
      <w:rPr>
        <w:rFonts w:ascii="Symbol" w:hAnsi="Symbol" w:hint="default"/>
      </w:rPr>
    </w:lvl>
    <w:lvl w:ilvl="7" w:tplc="7E90F43A" w:tentative="1">
      <w:start w:val="1"/>
      <w:numFmt w:val="bullet"/>
      <w:lvlText w:val="o"/>
      <w:lvlJc w:val="left"/>
      <w:pPr>
        <w:tabs>
          <w:tab w:val="num" w:pos="5760"/>
        </w:tabs>
        <w:ind w:left="5760" w:hanging="360"/>
      </w:pPr>
      <w:rPr>
        <w:rFonts w:ascii="Courier New" w:hAnsi="Courier New" w:cs="Consolas" w:hint="default"/>
      </w:rPr>
    </w:lvl>
    <w:lvl w:ilvl="8" w:tplc="E1D675C6"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3"/>
  </w:num>
  <w:num w:numId="3">
    <w:abstractNumId w:val="0"/>
  </w:num>
  <w:num w:numId="4">
    <w:abstractNumId w:val="42"/>
  </w:num>
  <w:num w:numId="5">
    <w:abstractNumId w:val="56"/>
  </w:num>
  <w:num w:numId="6">
    <w:abstractNumId w:val="71"/>
  </w:num>
  <w:num w:numId="7">
    <w:abstractNumId w:val="16"/>
  </w:num>
  <w:num w:numId="8">
    <w:abstractNumId w:val="57"/>
  </w:num>
  <w:num w:numId="9">
    <w:abstractNumId w:val="4"/>
  </w:num>
  <w:num w:numId="10">
    <w:abstractNumId w:val="19"/>
  </w:num>
  <w:num w:numId="11">
    <w:abstractNumId w:val="64"/>
  </w:num>
  <w:num w:numId="12">
    <w:abstractNumId w:val="61"/>
  </w:num>
  <w:num w:numId="13">
    <w:abstractNumId w:val="20"/>
  </w:num>
  <w:num w:numId="14">
    <w:abstractNumId w:val="28"/>
  </w:num>
  <w:num w:numId="15">
    <w:abstractNumId w:val="70"/>
  </w:num>
  <w:num w:numId="16">
    <w:abstractNumId w:val="45"/>
  </w:num>
  <w:num w:numId="17">
    <w:abstractNumId w:val="59"/>
  </w:num>
  <w:num w:numId="18">
    <w:abstractNumId w:val="40"/>
  </w:num>
  <w:num w:numId="19">
    <w:abstractNumId w:val="65"/>
  </w:num>
  <w:num w:numId="20">
    <w:abstractNumId w:val="14"/>
  </w:num>
  <w:num w:numId="21">
    <w:abstractNumId w:val="32"/>
  </w:num>
  <w:num w:numId="22">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num>
  <w:num w:numId="24">
    <w:abstractNumId w:val="58"/>
  </w:num>
  <w:num w:numId="25">
    <w:abstractNumId w:val="47"/>
  </w:num>
  <w:num w:numId="26">
    <w:abstractNumId w:val="48"/>
  </w:num>
  <w:num w:numId="27">
    <w:abstractNumId w:val="7"/>
  </w:num>
  <w:num w:numId="28">
    <w:abstractNumId w:val="66"/>
  </w:num>
  <w:num w:numId="29">
    <w:abstractNumId w:val="67"/>
  </w:num>
  <w:num w:numId="30">
    <w:abstractNumId w:val="18"/>
  </w:num>
  <w:num w:numId="31">
    <w:abstractNumId w:val="25"/>
  </w:num>
  <w:num w:numId="32">
    <w:abstractNumId w:val="44"/>
  </w:num>
  <w:num w:numId="33">
    <w:abstractNumId w:val="38"/>
  </w:num>
  <w:num w:numId="34">
    <w:abstractNumId w:val="26"/>
  </w:num>
  <w:num w:numId="35">
    <w:abstractNumId w:val="33"/>
  </w:num>
  <w:num w:numId="36">
    <w:abstractNumId w:val="12"/>
  </w:num>
  <w:num w:numId="37">
    <w:abstractNumId w:val="5"/>
  </w:num>
  <w:num w:numId="38">
    <w:abstractNumId w:val="75"/>
  </w:num>
  <w:num w:numId="39">
    <w:abstractNumId w:val="63"/>
  </w:num>
  <w:num w:numId="40">
    <w:abstractNumId w:val="34"/>
  </w:num>
  <w:num w:numId="41">
    <w:abstractNumId w:val="8"/>
  </w:num>
  <w:num w:numId="42">
    <w:abstractNumId w:val="69"/>
  </w:num>
  <w:num w:numId="43">
    <w:abstractNumId w:val="62"/>
  </w:num>
  <w:num w:numId="44">
    <w:abstractNumId w:val="21"/>
  </w:num>
  <w:num w:numId="45">
    <w:abstractNumId w:val="73"/>
  </w:num>
  <w:num w:numId="46">
    <w:abstractNumId w:val="22"/>
  </w:num>
  <w:num w:numId="47">
    <w:abstractNumId w:val="50"/>
  </w:num>
  <w:num w:numId="48">
    <w:abstractNumId w:val="72"/>
  </w:num>
  <w:num w:numId="49">
    <w:abstractNumId w:val="35"/>
  </w:num>
  <w:num w:numId="50">
    <w:abstractNumId w:val="17"/>
  </w:num>
  <w:num w:numId="51">
    <w:abstractNumId w:val="6"/>
  </w:num>
  <w:num w:numId="52">
    <w:abstractNumId w:val="51"/>
  </w:num>
  <w:num w:numId="53">
    <w:abstractNumId w:val="30"/>
  </w:num>
  <w:num w:numId="54">
    <w:abstractNumId w:val="29"/>
  </w:num>
  <w:num w:numId="55">
    <w:abstractNumId w:val="37"/>
  </w:num>
  <w:num w:numId="56">
    <w:abstractNumId w:val="74"/>
  </w:num>
  <w:num w:numId="57">
    <w:abstractNumId w:val="46"/>
  </w:num>
  <w:num w:numId="58">
    <w:abstractNumId w:val="13"/>
  </w:num>
  <w:num w:numId="59">
    <w:abstractNumId w:val="52"/>
  </w:num>
  <w:num w:numId="60">
    <w:abstractNumId w:val="55"/>
  </w:num>
  <w:num w:numId="61">
    <w:abstractNumId w:val="68"/>
  </w:num>
  <w:num w:numId="62">
    <w:abstractNumId w:val="49"/>
  </w:num>
  <w:num w:numId="63">
    <w:abstractNumId w:val="43"/>
  </w:num>
  <w:num w:numId="64">
    <w:abstractNumId w:val="10"/>
  </w:num>
  <w:num w:numId="65">
    <w:abstractNumId w:val="41"/>
  </w:num>
  <w:num w:numId="66">
    <w:abstractNumId w:val="2"/>
  </w:num>
  <w:num w:numId="67">
    <w:abstractNumId w:val="39"/>
  </w:num>
  <w:num w:numId="68">
    <w:abstractNumId w:val="53"/>
  </w:num>
  <w:num w:numId="69">
    <w:abstractNumId w:val="15"/>
  </w:num>
  <w:num w:numId="70">
    <w:abstractNumId w:val="54"/>
  </w:num>
  <w:num w:numId="71">
    <w:abstractNumId w:val="11"/>
  </w:num>
  <w:num w:numId="72">
    <w:abstractNumId w:val="31"/>
  </w:num>
  <w:num w:numId="73">
    <w:abstractNumId w:val="27"/>
  </w:num>
  <w:num w:numId="74">
    <w:abstractNumId w:val="6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mirrorMargins/>
  <w:activeWritingStyle w:appName="MSWord" w:lang="en-US" w:vendorID="64" w:dllVersion="4096" w:nlCheck="1" w:checkStyle="0"/>
  <w:activeWritingStyle w:appName="MSWord" w:lang="en-AU" w:vendorID="64" w:dllVersion="4096" w:nlCheck="1" w:checkStyle="0"/>
  <w:activeWritingStyle w:appName="MSWord" w:lang="en-GB" w:vendorID="64" w:dllVersion="4096" w:nlCheck="1" w:checkStyle="0"/>
  <w:activeWritingStyle w:appName="MSWord" w:lang="en-CA"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activeWritingStyle w:appName="MSWord" w:lang="en-CA" w:vendorID="64" w:dllVersion="0" w:nlCheck="1" w:checkStyle="0"/>
  <w:activeWritingStyle w:appName="MSWord" w:lang="fr-FR" w:vendorID="64" w:dllVersion="4096" w:nlCheck="1" w:checkStyle="0"/>
  <w:activeWritingStyle w:appName="MSWord" w:lang="it-IT" w:vendorID="3" w:dllVersion="517"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50"/>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967"/>
    <w:rsid w:val="0000001B"/>
    <w:rsid w:val="000002D2"/>
    <w:rsid w:val="0000031D"/>
    <w:rsid w:val="00000449"/>
    <w:rsid w:val="00000526"/>
    <w:rsid w:val="000006C6"/>
    <w:rsid w:val="000008C4"/>
    <w:rsid w:val="00000980"/>
    <w:rsid w:val="00000A65"/>
    <w:rsid w:val="0000134A"/>
    <w:rsid w:val="000017DE"/>
    <w:rsid w:val="00001A80"/>
    <w:rsid w:val="00001A87"/>
    <w:rsid w:val="00001A8A"/>
    <w:rsid w:val="00001BB3"/>
    <w:rsid w:val="00001D21"/>
    <w:rsid w:val="00001DB8"/>
    <w:rsid w:val="00001E5C"/>
    <w:rsid w:val="0000233D"/>
    <w:rsid w:val="000023DF"/>
    <w:rsid w:val="0000249A"/>
    <w:rsid w:val="0000264D"/>
    <w:rsid w:val="000026FC"/>
    <w:rsid w:val="00002780"/>
    <w:rsid w:val="000028E0"/>
    <w:rsid w:val="00002A58"/>
    <w:rsid w:val="00002B30"/>
    <w:rsid w:val="00002B8D"/>
    <w:rsid w:val="00002BF1"/>
    <w:rsid w:val="00002CA5"/>
    <w:rsid w:val="00003143"/>
    <w:rsid w:val="00003172"/>
    <w:rsid w:val="000037D3"/>
    <w:rsid w:val="00003919"/>
    <w:rsid w:val="00003AED"/>
    <w:rsid w:val="00003C8E"/>
    <w:rsid w:val="00003E11"/>
    <w:rsid w:val="00003E19"/>
    <w:rsid w:val="00003F99"/>
    <w:rsid w:val="00003FFD"/>
    <w:rsid w:val="00004186"/>
    <w:rsid w:val="00004A23"/>
    <w:rsid w:val="00004CD5"/>
    <w:rsid w:val="00004D9A"/>
    <w:rsid w:val="00004E95"/>
    <w:rsid w:val="00004F2B"/>
    <w:rsid w:val="000051FA"/>
    <w:rsid w:val="00005662"/>
    <w:rsid w:val="00005794"/>
    <w:rsid w:val="00005A9E"/>
    <w:rsid w:val="00005AB1"/>
    <w:rsid w:val="00005CED"/>
    <w:rsid w:val="00005D79"/>
    <w:rsid w:val="00005DA6"/>
    <w:rsid w:val="0000641D"/>
    <w:rsid w:val="0000668D"/>
    <w:rsid w:val="000070DE"/>
    <w:rsid w:val="0000789E"/>
    <w:rsid w:val="000078E5"/>
    <w:rsid w:val="00007936"/>
    <w:rsid w:val="00007D0C"/>
    <w:rsid w:val="00010137"/>
    <w:rsid w:val="00010141"/>
    <w:rsid w:val="0001039A"/>
    <w:rsid w:val="000104AE"/>
    <w:rsid w:val="000105B6"/>
    <w:rsid w:val="00010621"/>
    <w:rsid w:val="00010B65"/>
    <w:rsid w:val="00010D9B"/>
    <w:rsid w:val="00010EDD"/>
    <w:rsid w:val="00010F3E"/>
    <w:rsid w:val="000110CF"/>
    <w:rsid w:val="0001127C"/>
    <w:rsid w:val="0001131B"/>
    <w:rsid w:val="00011357"/>
    <w:rsid w:val="000115A6"/>
    <w:rsid w:val="00011693"/>
    <w:rsid w:val="00011763"/>
    <w:rsid w:val="00011FE2"/>
    <w:rsid w:val="00012044"/>
    <w:rsid w:val="0001208A"/>
    <w:rsid w:val="0001209A"/>
    <w:rsid w:val="000121EB"/>
    <w:rsid w:val="00012238"/>
    <w:rsid w:val="00012476"/>
    <w:rsid w:val="00012CD4"/>
    <w:rsid w:val="00012D33"/>
    <w:rsid w:val="00012DD1"/>
    <w:rsid w:val="00012E14"/>
    <w:rsid w:val="00012F58"/>
    <w:rsid w:val="00012F7C"/>
    <w:rsid w:val="0001316A"/>
    <w:rsid w:val="00013444"/>
    <w:rsid w:val="000134B8"/>
    <w:rsid w:val="00013787"/>
    <w:rsid w:val="00013A5E"/>
    <w:rsid w:val="00013B41"/>
    <w:rsid w:val="00013BFB"/>
    <w:rsid w:val="00013C3C"/>
    <w:rsid w:val="00013FC8"/>
    <w:rsid w:val="00014048"/>
    <w:rsid w:val="000140D7"/>
    <w:rsid w:val="000144DB"/>
    <w:rsid w:val="00014951"/>
    <w:rsid w:val="00014E75"/>
    <w:rsid w:val="00014EFF"/>
    <w:rsid w:val="00014F9E"/>
    <w:rsid w:val="0001517E"/>
    <w:rsid w:val="00015602"/>
    <w:rsid w:val="00015643"/>
    <w:rsid w:val="00015663"/>
    <w:rsid w:val="000158F6"/>
    <w:rsid w:val="00015917"/>
    <w:rsid w:val="00015B29"/>
    <w:rsid w:val="00015F88"/>
    <w:rsid w:val="00015FF3"/>
    <w:rsid w:val="000161F3"/>
    <w:rsid w:val="000162E1"/>
    <w:rsid w:val="000163D3"/>
    <w:rsid w:val="000166BD"/>
    <w:rsid w:val="000167CB"/>
    <w:rsid w:val="000168B2"/>
    <w:rsid w:val="00016AC8"/>
    <w:rsid w:val="00016B11"/>
    <w:rsid w:val="00017347"/>
    <w:rsid w:val="00017402"/>
    <w:rsid w:val="00017508"/>
    <w:rsid w:val="00017510"/>
    <w:rsid w:val="00017633"/>
    <w:rsid w:val="0001776D"/>
    <w:rsid w:val="00017991"/>
    <w:rsid w:val="00017AED"/>
    <w:rsid w:val="00017C15"/>
    <w:rsid w:val="00017CF9"/>
    <w:rsid w:val="00017D4D"/>
    <w:rsid w:val="00017D73"/>
    <w:rsid w:val="00017F3B"/>
    <w:rsid w:val="00017F6A"/>
    <w:rsid w:val="00017FB0"/>
    <w:rsid w:val="00020196"/>
    <w:rsid w:val="000201FB"/>
    <w:rsid w:val="00020403"/>
    <w:rsid w:val="0002054E"/>
    <w:rsid w:val="0002056B"/>
    <w:rsid w:val="000205B2"/>
    <w:rsid w:val="000205EA"/>
    <w:rsid w:val="00020BB0"/>
    <w:rsid w:val="00020C54"/>
    <w:rsid w:val="000210AE"/>
    <w:rsid w:val="000213A0"/>
    <w:rsid w:val="000213F4"/>
    <w:rsid w:val="00021656"/>
    <w:rsid w:val="000218D3"/>
    <w:rsid w:val="0002194C"/>
    <w:rsid w:val="000219A6"/>
    <w:rsid w:val="000219AA"/>
    <w:rsid w:val="00021C3C"/>
    <w:rsid w:val="00021E97"/>
    <w:rsid w:val="00021F97"/>
    <w:rsid w:val="000223F5"/>
    <w:rsid w:val="0002243D"/>
    <w:rsid w:val="00022619"/>
    <w:rsid w:val="000226BC"/>
    <w:rsid w:val="0002282C"/>
    <w:rsid w:val="00022852"/>
    <w:rsid w:val="000228C9"/>
    <w:rsid w:val="00022A39"/>
    <w:rsid w:val="00022AD2"/>
    <w:rsid w:val="00022B03"/>
    <w:rsid w:val="00022B27"/>
    <w:rsid w:val="000231C5"/>
    <w:rsid w:val="000231FB"/>
    <w:rsid w:val="0002368D"/>
    <w:rsid w:val="0002382E"/>
    <w:rsid w:val="0002395C"/>
    <w:rsid w:val="00023A8D"/>
    <w:rsid w:val="00023BC5"/>
    <w:rsid w:val="00023E06"/>
    <w:rsid w:val="0002402E"/>
    <w:rsid w:val="0002422E"/>
    <w:rsid w:val="0002461B"/>
    <w:rsid w:val="00024A1E"/>
    <w:rsid w:val="00024B82"/>
    <w:rsid w:val="00024FF8"/>
    <w:rsid w:val="0002523B"/>
    <w:rsid w:val="000252FF"/>
    <w:rsid w:val="000253EB"/>
    <w:rsid w:val="00025897"/>
    <w:rsid w:val="00025982"/>
    <w:rsid w:val="00025A03"/>
    <w:rsid w:val="00025CD3"/>
    <w:rsid w:val="00025F32"/>
    <w:rsid w:val="00026696"/>
    <w:rsid w:val="00027144"/>
    <w:rsid w:val="0002716C"/>
    <w:rsid w:val="0002747B"/>
    <w:rsid w:val="00027515"/>
    <w:rsid w:val="0002784B"/>
    <w:rsid w:val="000278C6"/>
    <w:rsid w:val="0002790D"/>
    <w:rsid w:val="00027B16"/>
    <w:rsid w:val="00027B4A"/>
    <w:rsid w:val="00027B89"/>
    <w:rsid w:val="00027DC8"/>
    <w:rsid w:val="00027EEE"/>
    <w:rsid w:val="00030267"/>
    <w:rsid w:val="000305DA"/>
    <w:rsid w:val="00030777"/>
    <w:rsid w:val="00030B6B"/>
    <w:rsid w:val="00030B94"/>
    <w:rsid w:val="00030BF7"/>
    <w:rsid w:val="00030C7B"/>
    <w:rsid w:val="00030D2D"/>
    <w:rsid w:val="00030DFA"/>
    <w:rsid w:val="00031534"/>
    <w:rsid w:val="0003167E"/>
    <w:rsid w:val="000317F7"/>
    <w:rsid w:val="000320F1"/>
    <w:rsid w:val="000321B8"/>
    <w:rsid w:val="00032275"/>
    <w:rsid w:val="00032BCA"/>
    <w:rsid w:val="00032DF7"/>
    <w:rsid w:val="00032E81"/>
    <w:rsid w:val="00033138"/>
    <w:rsid w:val="00033230"/>
    <w:rsid w:val="00033297"/>
    <w:rsid w:val="00033522"/>
    <w:rsid w:val="00033AE6"/>
    <w:rsid w:val="00033BAE"/>
    <w:rsid w:val="000341E6"/>
    <w:rsid w:val="0003423D"/>
    <w:rsid w:val="00034252"/>
    <w:rsid w:val="000343E5"/>
    <w:rsid w:val="0003475D"/>
    <w:rsid w:val="00035077"/>
    <w:rsid w:val="000355F3"/>
    <w:rsid w:val="00035756"/>
    <w:rsid w:val="000357AF"/>
    <w:rsid w:val="000357E1"/>
    <w:rsid w:val="00035C55"/>
    <w:rsid w:val="000362CA"/>
    <w:rsid w:val="0003630D"/>
    <w:rsid w:val="00036457"/>
    <w:rsid w:val="00036904"/>
    <w:rsid w:val="00036C01"/>
    <w:rsid w:val="00036C96"/>
    <w:rsid w:val="00036CDE"/>
    <w:rsid w:val="00036E0E"/>
    <w:rsid w:val="00036FDA"/>
    <w:rsid w:val="00037214"/>
    <w:rsid w:val="00037567"/>
    <w:rsid w:val="00037667"/>
    <w:rsid w:val="00037884"/>
    <w:rsid w:val="00037918"/>
    <w:rsid w:val="00037A61"/>
    <w:rsid w:val="00037BBA"/>
    <w:rsid w:val="00037C31"/>
    <w:rsid w:val="00037D66"/>
    <w:rsid w:val="000405D1"/>
    <w:rsid w:val="000405D5"/>
    <w:rsid w:val="00040845"/>
    <w:rsid w:val="00040A98"/>
    <w:rsid w:val="00040B90"/>
    <w:rsid w:val="000410D9"/>
    <w:rsid w:val="000416BF"/>
    <w:rsid w:val="0004186A"/>
    <w:rsid w:val="00041923"/>
    <w:rsid w:val="00041989"/>
    <w:rsid w:val="00041C86"/>
    <w:rsid w:val="00041D73"/>
    <w:rsid w:val="00041EAD"/>
    <w:rsid w:val="00042067"/>
    <w:rsid w:val="00042090"/>
    <w:rsid w:val="000427B7"/>
    <w:rsid w:val="0004284C"/>
    <w:rsid w:val="00042C25"/>
    <w:rsid w:val="00042E93"/>
    <w:rsid w:val="00042EB5"/>
    <w:rsid w:val="00043208"/>
    <w:rsid w:val="0004337A"/>
    <w:rsid w:val="00043695"/>
    <w:rsid w:val="0004384F"/>
    <w:rsid w:val="00043B09"/>
    <w:rsid w:val="00043BC7"/>
    <w:rsid w:val="00043F1C"/>
    <w:rsid w:val="00043F95"/>
    <w:rsid w:val="000441B0"/>
    <w:rsid w:val="00044289"/>
    <w:rsid w:val="000443F6"/>
    <w:rsid w:val="00044826"/>
    <w:rsid w:val="00044CC8"/>
    <w:rsid w:val="00044CDD"/>
    <w:rsid w:val="000451AD"/>
    <w:rsid w:val="0004562B"/>
    <w:rsid w:val="00045631"/>
    <w:rsid w:val="000456F2"/>
    <w:rsid w:val="00045D2C"/>
    <w:rsid w:val="00045F68"/>
    <w:rsid w:val="00045FE5"/>
    <w:rsid w:val="0004643F"/>
    <w:rsid w:val="00046DC1"/>
    <w:rsid w:val="00046FF3"/>
    <w:rsid w:val="000473F9"/>
    <w:rsid w:val="00047528"/>
    <w:rsid w:val="000477CE"/>
    <w:rsid w:val="00047B49"/>
    <w:rsid w:val="00047E9C"/>
    <w:rsid w:val="00050238"/>
    <w:rsid w:val="00050268"/>
    <w:rsid w:val="0005055C"/>
    <w:rsid w:val="000505AD"/>
    <w:rsid w:val="00050677"/>
    <w:rsid w:val="000506EA"/>
    <w:rsid w:val="00050BFB"/>
    <w:rsid w:val="00050D32"/>
    <w:rsid w:val="00050FA3"/>
    <w:rsid w:val="00051048"/>
    <w:rsid w:val="000510F6"/>
    <w:rsid w:val="00051479"/>
    <w:rsid w:val="000514D5"/>
    <w:rsid w:val="0005163E"/>
    <w:rsid w:val="000516ED"/>
    <w:rsid w:val="000519C0"/>
    <w:rsid w:val="00051F42"/>
    <w:rsid w:val="00052224"/>
    <w:rsid w:val="00052251"/>
    <w:rsid w:val="000526D2"/>
    <w:rsid w:val="0005272A"/>
    <w:rsid w:val="00052984"/>
    <w:rsid w:val="000529BB"/>
    <w:rsid w:val="00052CF9"/>
    <w:rsid w:val="00052FE5"/>
    <w:rsid w:val="00053018"/>
    <w:rsid w:val="00053743"/>
    <w:rsid w:val="00053765"/>
    <w:rsid w:val="00053788"/>
    <w:rsid w:val="00053A2E"/>
    <w:rsid w:val="00053C11"/>
    <w:rsid w:val="00053ED4"/>
    <w:rsid w:val="00054011"/>
    <w:rsid w:val="00054050"/>
    <w:rsid w:val="000542EA"/>
    <w:rsid w:val="000546FC"/>
    <w:rsid w:val="000547C7"/>
    <w:rsid w:val="00054919"/>
    <w:rsid w:val="00054971"/>
    <w:rsid w:val="00054AD5"/>
    <w:rsid w:val="00054AEE"/>
    <w:rsid w:val="00054B59"/>
    <w:rsid w:val="00054F32"/>
    <w:rsid w:val="00054F91"/>
    <w:rsid w:val="000550F1"/>
    <w:rsid w:val="000551CC"/>
    <w:rsid w:val="000556FD"/>
    <w:rsid w:val="0005584F"/>
    <w:rsid w:val="0005593E"/>
    <w:rsid w:val="00055A80"/>
    <w:rsid w:val="00055BEF"/>
    <w:rsid w:val="00055C7F"/>
    <w:rsid w:val="00055C91"/>
    <w:rsid w:val="00056190"/>
    <w:rsid w:val="0005619F"/>
    <w:rsid w:val="00056410"/>
    <w:rsid w:val="00056BE5"/>
    <w:rsid w:val="00056C8C"/>
    <w:rsid w:val="000570B6"/>
    <w:rsid w:val="000573C8"/>
    <w:rsid w:val="000575C6"/>
    <w:rsid w:val="00057855"/>
    <w:rsid w:val="00057987"/>
    <w:rsid w:val="000579D7"/>
    <w:rsid w:val="00057BA1"/>
    <w:rsid w:val="0006015C"/>
    <w:rsid w:val="00060338"/>
    <w:rsid w:val="00060395"/>
    <w:rsid w:val="00060587"/>
    <w:rsid w:val="0006068D"/>
    <w:rsid w:val="00060841"/>
    <w:rsid w:val="0006094E"/>
    <w:rsid w:val="000609F0"/>
    <w:rsid w:val="00060A1D"/>
    <w:rsid w:val="00060B29"/>
    <w:rsid w:val="00060B99"/>
    <w:rsid w:val="0006143E"/>
    <w:rsid w:val="00061BFF"/>
    <w:rsid w:val="00061C10"/>
    <w:rsid w:val="00061CFF"/>
    <w:rsid w:val="00061D22"/>
    <w:rsid w:val="00061DA6"/>
    <w:rsid w:val="00061F45"/>
    <w:rsid w:val="0006214F"/>
    <w:rsid w:val="000622F2"/>
    <w:rsid w:val="0006237E"/>
    <w:rsid w:val="000623A4"/>
    <w:rsid w:val="00062646"/>
    <w:rsid w:val="00062980"/>
    <w:rsid w:val="000629F0"/>
    <w:rsid w:val="00062BE3"/>
    <w:rsid w:val="00062CDD"/>
    <w:rsid w:val="00062CF4"/>
    <w:rsid w:val="00062EDD"/>
    <w:rsid w:val="00063161"/>
    <w:rsid w:val="0006358B"/>
    <w:rsid w:val="000635D0"/>
    <w:rsid w:val="00063656"/>
    <w:rsid w:val="0006372A"/>
    <w:rsid w:val="00063E29"/>
    <w:rsid w:val="00063E54"/>
    <w:rsid w:val="00063EEF"/>
    <w:rsid w:val="0006427E"/>
    <w:rsid w:val="000645CB"/>
    <w:rsid w:val="00064E19"/>
    <w:rsid w:val="00064F68"/>
    <w:rsid w:val="00064F81"/>
    <w:rsid w:val="00064FA6"/>
    <w:rsid w:val="0006504C"/>
    <w:rsid w:val="0006536C"/>
    <w:rsid w:val="000658F8"/>
    <w:rsid w:val="0006590F"/>
    <w:rsid w:val="00065AD0"/>
    <w:rsid w:val="00065B52"/>
    <w:rsid w:val="00065C26"/>
    <w:rsid w:val="000661B6"/>
    <w:rsid w:val="000664D0"/>
    <w:rsid w:val="00066638"/>
    <w:rsid w:val="00066738"/>
    <w:rsid w:val="000668A8"/>
    <w:rsid w:val="00066DA3"/>
    <w:rsid w:val="00066F6D"/>
    <w:rsid w:val="000674D1"/>
    <w:rsid w:val="0006750E"/>
    <w:rsid w:val="000676AD"/>
    <w:rsid w:val="000678F1"/>
    <w:rsid w:val="00067CE9"/>
    <w:rsid w:val="00067E61"/>
    <w:rsid w:val="000700A3"/>
    <w:rsid w:val="00070508"/>
    <w:rsid w:val="000706BB"/>
    <w:rsid w:val="0007081D"/>
    <w:rsid w:val="00070ACF"/>
    <w:rsid w:val="00070CE8"/>
    <w:rsid w:val="00070E4F"/>
    <w:rsid w:val="0007132D"/>
    <w:rsid w:val="0007145B"/>
    <w:rsid w:val="00071621"/>
    <w:rsid w:val="0007193C"/>
    <w:rsid w:val="00071A13"/>
    <w:rsid w:val="00071D74"/>
    <w:rsid w:val="00071DB6"/>
    <w:rsid w:val="00071DC3"/>
    <w:rsid w:val="00071E26"/>
    <w:rsid w:val="00071E8B"/>
    <w:rsid w:val="000723A2"/>
    <w:rsid w:val="00072655"/>
    <w:rsid w:val="000726F8"/>
    <w:rsid w:val="00072769"/>
    <w:rsid w:val="000727EB"/>
    <w:rsid w:val="000728A9"/>
    <w:rsid w:val="00072BAE"/>
    <w:rsid w:val="00072FE8"/>
    <w:rsid w:val="000730CB"/>
    <w:rsid w:val="0007324D"/>
    <w:rsid w:val="000733C9"/>
    <w:rsid w:val="000733FB"/>
    <w:rsid w:val="000734F9"/>
    <w:rsid w:val="00073B08"/>
    <w:rsid w:val="00073E1A"/>
    <w:rsid w:val="00073E72"/>
    <w:rsid w:val="00073ECB"/>
    <w:rsid w:val="00073F35"/>
    <w:rsid w:val="00073F36"/>
    <w:rsid w:val="000740FC"/>
    <w:rsid w:val="000741EB"/>
    <w:rsid w:val="00074297"/>
    <w:rsid w:val="000745A0"/>
    <w:rsid w:val="000745C8"/>
    <w:rsid w:val="00074930"/>
    <w:rsid w:val="00074C0E"/>
    <w:rsid w:val="00074E64"/>
    <w:rsid w:val="00074EDA"/>
    <w:rsid w:val="000752F6"/>
    <w:rsid w:val="00075437"/>
    <w:rsid w:val="00075479"/>
    <w:rsid w:val="00075530"/>
    <w:rsid w:val="0007553C"/>
    <w:rsid w:val="00075ACE"/>
    <w:rsid w:val="00075AFF"/>
    <w:rsid w:val="00075C29"/>
    <w:rsid w:val="00075D21"/>
    <w:rsid w:val="00075E96"/>
    <w:rsid w:val="0007658D"/>
    <w:rsid w:val="0007669D"/>
    <w:rsid w:val="00076882"/>
    <w:rsid w:val="00076F04"/>
    <w:rsid w:val="000771B2"/>
    <w:rsid w:val="000771CC"/>
    <w:rsid w:val="000773A0"/>
    <w:rsid w:val="00077501"/>
    <w:rsid w:val="0007755E"/>
    <w:rsid w:val="00077684"/>
    <w:rsid w:val="0007771D"/>
    <w:rsid w:val="0007779D"/>
    <w:rsid w:val="000779D9"/>
    <w:rsid w:val="00077C2F"/>
    <w:rsid w:val="00077C7C"/>
    <w:rsid w:val="00077C91"/>
    <w:rsid w:val="00077CD2"/>
    <w:rsid w:val="00077D2B"/>
    <w:rsid w:val="00077EC5"/>
    <w:rsid w:val="0008051C"/>
    <w:rsid w:val="000807AE"/>
    <w:rsid w:val="0008082B"/>
    <w:rsid w:val="00080848"/>
    <w:rsid w:val="0008091A"/>
    <w:rsid w:val="00080A85"/>
    <w:rsid w:val="00080D1F"/>
    <w:rsid w:val="00080D5C"/>
    <w:rsid w:val="00080E3C"/>
    <w:rsid w:val="000817D5"/>
    <w:rsid w:val="0008184D"/>
    <w:rsid w:val="00081918"/>
    <w:rsid w:val="000819C7"/>
    <w:rsid w:val="00081AEB"/>
    <w:rsid w:val="00081D4D"/>
    <w:rsid w:val="00081D4F"/>
    <w:rsid w:val="00082551"/>
    <w:rsid w:val="00082620"/>
    <w:rsid w:val="000827D5"/>
    <w:rsid w:val="000827E2"/>
    <w:rsid w:val="00082887"/>
    <w:rsid w:val="00082C81"/>
    <w:rsid w:val="00083506"/>
    <w:rsid w:val="0008354F"/>
    <w:rsid w:val="00083763"/>
    <w:rsid w:val="00084066"/>
    <w:rsid w:val="000841C5"/>
    <w:rsid w:val="00084395"/>
    <w:rsid w:val="00084548"/>
    <w:rsid w:val="00084850"/>
    <w:rsid w:val="00084DD9"/>
    <w:rsid w:val="00084E34"/>
    <w:rsid w:val="00084EBB"/>
    <w:rsid w:val="00085016"/>
    <w:rsid w:val="000851F4"/>
    <w:rsid w:val="00085261"/>
    <w:rsid w:val="000853E4"/>
    <w:rsid w:val="0008578C"/>
    <w:rsid w:val="00085795"/>
    <w:rsid w:val="000859C7"/>
    <w:rsid w:val="00085CDA"/>
    <w:rsid w:val="00086196"/>
    <w:rsid w:val="000863D1"/>
    <w:rsid w:val="00086760"/>
    <w:rsid w:val="00086AAE"/>
    <w:rsid w:val="00086B9B"/>
    <w:rsid w:val="00086C31"/>
    <w:rsid w:val="00086DBA"/>
    <w:rsid w:val="00086EE9"/>
    <w:rsid w:val="00086F4C"/>
    <w:rsid w:val="00087026"/>
    <w:rsid w:val="00087276"/>
    <w:rsid w:val="00087456"/>
    <w:rsid w:val="00087495"/>
    <w:rsid w:val="000874D3"/>
    <w:rsid w:val="0008773E"/>
    <w:rsid w:val="0008799B"/>
    <w:rsid w:val="00087B51"/>
    <w:rsid w:val="00087BBB"/>
    <w:rsid w:val="00087D34"/>
    <w:rsid w:val="00087DC6"/>
    <w:rsid w:val="00087E0A"/>
    <w:rsid w:val="00090365"/>
    <w:rsid w:val="00090901"/>
    <w:rsid w:val="00090E23"/>
    <w:rsid w:val="00090E40"/>
    <w:rsid w:val="00090EAC"/>
    <w:rsid w:val="00091135"/>
    <w:rsid w:val="00091747"/>
    <w:rsid w:val="00091AD4"/>
    <w:rsid w:val="00091BEA"/>
    <w:rsid w:val="00091DDE"/>
    <w:rsid w:val="00091F55"/>
    <w:rsid w:val="00091F79"/>
    <w:rsid w:val="00092024"/>
    <w:rsid w:val="00092530"/>
    <w:rsid w:val="00092646"/>
    <w:rsid w:val="00092886"/>
    <w:rsid w:val="00092ADA"/>
    <w:rsid w:val="00092DD6"/>
    <w:rsid w:val="0009317F"/>
    <w:rsid w:val="00093290"/>
    <w:rsid w:val="00093458"/>
    <w:rsid w:val="0009346D"/>
    <w:rsid w:val="000936BE"/>
    <w:rsid w:val="0009372B"/>
    <w:rsid w:val="000937CE"/>
    <w:rsid w:val="00093C2F"/>
    <w:rsid w:val="00093C5C"/>
    <w:rsid w:val="00093E8C"/>
    <w:rsid w:val="00093F92"/>
    <w:rsid w:val="0009404F"/>
    <w:rsid w:val="00094079"/>
    <w:rsid w:val="000949C5"/>
    <w:rsid w:val="00094F04"/>
    <w:rsid w:val="00094F45"/>
    <w:rsid w:val="000953A2"/>
    <w:rsid w:val="0009542F"/>
    <w:rsid w:val="000955BC"/>
    <w:rsid w:val="00095691"/>
    <w:rsid w:val="000956BD"/>
    <w:rsid w:val="00095A56"/>
    <w:rsid w:val="00095B26"/>
    <w:rsid w:val="00095B49"/>
    <w:rsid w:val="00095B9D"/>
    <w:rsid w:val="00095E55"/>
    <w:rsid w:val="00095FFC"/>
    <w:rsid w:val="0009609D"/>
    <w:rsid w:val="00096117"/>
    <w:rsid w:val="00096144"/>
    <w:rsid w:val="00096319"/>
    <w:rsid w:val="00096390"/>
    <w:rsid w:val="00096425"/>
    <w:rsid w:val="000965B2"/>
    <w:rsid w:val="00096796"/>
    <w:rsid w:val="000968DC"/>
    <w:rsid w:val="00096A94"/>
    <w:rsid w:val="00096B71"/>
    <w:rsid w:val="00096C73"/>
    <w:rsid w:val="00096E5D"/>
    <w:rsid w:val="00096F4F"/>
    <w:rsid w:val="00096F6D"/>
    <w:rsid w:val="0009704E"/>
    <w:rsid w:val="0009740E"/>
    <w:rsid w:val="0009747B"/>
    <w:rsid w:val="000974C8"/>
    <w:rsid w:val="00097681"/>
    <w:rsid w:val="00097717"/>
    <w:rsid w:val="00097882"/>
    <w:rsid w:val="00097A17"/>
    <w:rsid w:val="00097BBC"/>
    <w:rsid w:val="00097C39"/>
    <w:rsid w:val="00097D5F"/>
    <w:rsid w:val="00097D90"/>
    <w:rsid w:val="000A002B"/>
    <w:rsid w:val="000A005B"/>
    <w:rsid w:val="000A00EE"/>
    <w:rsid w:val="000A02CF"/>
    <w:rsid w:val="000A0319"/>
    <w:rsid w:val="000A0CDC"/>
    <w:rsid w:val="000A0DDE"/>
    <w:rsid w:val="000A0E10"/>
    <w:rsid w:val="000A0F49"/>
    <w:rsid w:val="000A1147"/>
    <w:rsid w:val="000A16F4"/>
    <w:rsid w:val="000A17EC"/>
    <w:rsid w:val="000A18FE"/>
    <w:rsid w:val="000A19C7"/>
    <w:rsid w:val="000A1D5A"/>
    <w:rsid w:val="000A1FB4"/>
    <w:rsid w:val="000A203E"/>
    <w:rsid w:val="000A2078"/>
    <w:rsid w:val="000A2088"/>
    <w:rsid w:val="000A2287"/>
    <w:rsid w:val="000A2392"/>
    <w:rsid w:val="000A2559"/>
    <w:rsid w:val="000A263C"/>
    <w:rsid w:val="000A2B3F"/>
    <w:rsid w:val="000A2BDC"/>
    <w:rsid w:val="000A2D5C"/>
    <w:rsid w:val="000A30B1"/>
    <w:rsid w:val="000A3267"/>
    <w:rsid w:val="000A3310"/>
    <w:rsid w:val="000A331E"/>
    <w:rsid w:val="000A3557"/>
    <w:rsid w:val="000A3590"/>
    <w:rsid w:val="000A35BA"/>
    <w:rsid w:val="000A35EA"/>
    <w:rsid w:val="000A37BA"/>
    <w:rsid w:val="000A37FD"/>
    <w:rsid w:val="000A399E"/>
    <w:rsid w:val="000A3CAF"/>
    <w:rsid w:val="000A3F2B"/>
    <w:rsid w:val="000A4302"/>
    <w:rsid w:val="000A43A5"/>
    <w:rsid w:val="000A44E1"/>
    <w:rsid w:val="000A4702"/>
    <w:rsid w:val="000A48FF"/>
    <w:rsid w:val="000A493C"/>
    <w:rsid w:val="000A4AC1"/>
    <w:rsid w:val="000A4EAF"/>
    <w:rsid w:val="000A5137"/>
    <w:rsid w:val="000A5169"/>
    <w:rsid w:val="000A554F"/>
    <w:rsid w:val="000A556D"/>
    <w:rsid w:val="000A5707"/>
    <w:rsid w:val="000A577A"/>
    <w:rsid w:val="000A57A1"/>
    <w:rsid w:val="000A58A2"/>
    <w:rsid w:val="000A5970"/>
    <w:rsid w:val="000A59D5"/>
    <w:rsid w:val="000A5B2B"/>
    <w:rsid w:val="000A5CA7"/>
    <w:rsid w:val="000A5E6A"/>
    <w:rsid w:val="000A6182"/>
    <w:rsid w:val="000A6487"/>
    <w:rsid w:val="000A6872"/>
    <w:rsid w:val="000A6A6E"/>
    <w:rsid w:val="000A6C25"/>
    <w:rsid w:val="000A6D5E"/>
    <w:rsid w:val="000A7099"/>
    <w:rsid w:val="000A72D5"/>
    <w:rsid w:val="000A742C"/>
    <w:rsid w:val="000A74FB"/>
    <w:rsid w:val="000A7547"/>
    <w:rsid w:val="000A76CE"/>
    <w:rsid w:val="000A7970"/>
    <w:rsid w:val="000A7B53"/>
    <w:rsid w:val="000A7DBA"/>
    <w:rsid w:val="000A7EE2"/>
    <w:rsid w:val="000B011B"/>
    <w:rsid w:val="000B0405"/>
    <w:rsid w:val="000B0474"/>
    <w:rsid w:val="000B0491"/>
    <w:rsid w:val="000B0531"/>
    <w:rsid w:val="000B0809"/>
    <w:rsid w:val="000B0A23"/>
    <w:rsid w:val="000B0C19"/>
    <w:rsid w:val="000B0C53"/>
    <w:rsid w:val="000B0C7D"/>
    <w:rsid w:val="000B0E98"/>
    <w:rsid w:val="000B0ECD"/>
    <w:rsid w:val="000B0F34"/>
    <w:rsid w:val="000B102F"/>
    <w:rsid w:val="000B112E"/>
    <w:rsid w:val="000B114E"/>
    <w:rsid w:val="000B12C2"/>
    <w:rsid w:val="000B12E1"/>
    <w:rsid w:val="000B1481"/>
    <w:rsid w:val="000B1657"/>
    <w:rsid w:val="000B178A"/>
    <w:rsid w:val="000B17F1"/>
    <w:rsid w:val="000B183F"/>
    <w:rsid w:val="000B1B5B"/>
    <w:rsid w:val="000B1E61"/>
    <w:rsid w:val="000B1F4D"/>
    <w:rsid w:val="000B2021"/>
    <w:rsid w:val="000B2ACE"/>
    <w:rsid w:val="000B2C3D"/>
    <w:rsid w:val="000B2FBF"/>
    <w:rsid w:val="000B3505"/>
    <w:rsid w:val="000B3584"/>
    <w:rsid w:val="000B3597"/>
    <w:rsid w:val="000B35A1"/>
    <w:rsid w:val="000B3766"/>
    <w:rsid w:val="000B3C7A"/>
    <w:rsid w:val="000B3C97"/>
    <w:rsid w:val="000B3F1D"/>
    <w:rsid w:val="000B4123"/>
    <w:rsid w:val="000B41E1"/>
    <w:rsid w:val="000B43D4"/>
    <w:rsid w:val="000B4728"/>
    <w:rsid w:val="000B4AF0"/>
    <w:rsid w:val="000B4E81"/>
    <w:rsid w:val="000B4F9E"/>
    <w:rsid w:val="000B4FF4"/>
    <w:rsid w:val="000B53B1"/>
    <w:rsid w:val="000B5A77"/>
    <w:rsid w:val="000B5AAC"/>
    <w:rsid w:val="000B5AD5"/>
    <w:rsid w:val="000B5C96"/>
    <w:rsid w:val="000B5DBE"/>
    <w:rsid w:val="000B5E07"/>
    <w:rsid w:val="000B5F9C"/>
    <w:rsid w:val="000B60BC"/>
    <w:rsid w:val="000B6343"/>
    <w:rsid w:val="000B6700"/>
    <w:rsid w:val="000B67B0"/>
    <w:rsid w:val="000B6F63"/>
    <w:rsid w:val="000B7051"/>
    <w:rsid w:val="000B73ED"/>
    <w:rsid w:val="000B7405"/>
    <w:rsid w:val="000B7470"/>
    <w:rsid w:val="000B74FB"/>
    <w:rsid w:val="000B751E"/>
    <w:rsid w:val="000B763B"/>
    <w:rsid w:val="000B7A34"/>
    <w:rsid w:val="000B7BDE"/>
    <w:rsid w:val="000B7CAB"/>
    <w:rsid w:val="000B7E29"/>
    <w:rsid w:val="000B7E59"/>
    <w:rsid w:val="000B7F11"/>
    <w:rsid w:val="000B7FF5"/>
    <w:rsid w:val="000C0042"/>
    <w:rsid w:val="000C0411"/>
    <w:rsid w:val="000C06CE"/>
    <w:rsid w:val="000C0AA2"/>
    <w:rsid w:val="000C0B37"/>
    <w:rsid w:val="000C0EEE"/>
    <w:rsid w:val="000C0F90"/>
    <w:rsid w:val="000C135A"/>
    <w:rsid w:val="000C14C2"/>
    <w:rsid w:val="000C16F0"/>
    <w:rsid w:val="000C1924"/>
    <w:rsid w:val="000C1A06"/>
    <w:rsid w:val="000C1A64"/>
    <w:rsid w:val="000C1C1A"/>
    <w:rsid w:val="000C20E6"/>
    <w:rsid w:val="000C2455"/>
    <w:rsid w:val="000C28FC"/>
    <w:rsid w:val="000C2AF2"/>
    <w:rsid w:val="000C2CB1"/>
    <w:rsid w:val="000C2F84"/>
    <w:rsid w:val="000C3156"/>
    <w:rsid w:val="000C32DD"/>
    <w:rsid w:val="000C3300"/>
    <w:rsid w:val="000C35CD"/>
    <w:rsid w:val="000C369F"/>
    <w:rsid w:val="000C3B14"/>
    <w:rsid w:val="000C3CFF"/>
    <w:rsid w:val="000C3F8C"/>
    <w:rsid w:val="000C445A"/>
    <w:rsid w:val="000C44E4"/>
    <w:rsid w:val="000C46E7"/>
    <w:rsid w:val="000C4850"/>
    <w:rsid w:val="000C49EB"/>
    <w:rsid w:val="000C4EAA"/>
    <w:rsid w:val="000C4F04"/>
    <w:rsid w:val="000C514F"/>
    <w:rsid w:val="000C51F1"/>
    <w:rsid w:val="000C52C1"/>
    <w:rsid w:val="000C5BB2"/>
    <w:rsid w:val="000C5D46"/>
    <w:rsid w:val="000C5F5F"/>
    <w:rsid w:val="000C5F6D"/>
    <w:rsid w:val="000C60D6"/>
    <w:rsid w:val="000C6407"/>
    <w:rsid w:val="000C6584"/>
    <w:rsid w:val="000C6600"/>
    <w:rsid w:val="000C6739"/>
    <w:rsid w:val="000C6876"/>
    <w:rsid w:val="000C68EF"/>
    <w:rsid w:val="000C6DEC"/>
    <w:rsid w:val="000C6F78"/>
    <w:rsid w:val="000C7EF0"/>
    <w:rsid w:val="000C7EFA"/>
    <w:rsid w:val="000C7FD1"/>
    <w:rsid w:val="000D003A"/>
    <w:rsid w:val="000D02B2"/>
    <w:rsid w:val="000D03B5"/>
    <w:rsid w:val="000D054F"/>
    <w:rsid w:val="000D0759"/>
    <w:rsid w:val="000D0B7B"/>
    <w:rsid w:val="000D0F9B"/>
    <w:rsid w:val="000D1028"/>
    <w:rsid w:val="000D11BF"/>
    <w:rsid w:val="000D160A"/>
    <w:rsid w:val="000D16B9"/>
    <w:rsid w:val="000D16DF"/>
    <w:rsid w:val="000D177B"/>
    <w:rsid w:val="000D202E"/>
    <w:rsid w:val="000D2188"/>
    <w:rsid w:val="000D24C0"/>
    <w:rsid w:val="000D2540"/>
    <w:rsid w:val="000D2CF4"/>
    <w:rsid w:val="000D2F2D"/>
    <w:rsid w:val="000D338E"/>
    <w:rsid w:val="000D33E1"/>
    <w:rsid w:val="000D37BE"/>
    <w:rsid w:val="000D3B23"/>
    <w:rsid w:val="000D3DC0"/>
    <w:rsid w:val="000D3EA4"/>
    <w:rsid w:val="000D4109"/>
    <w:rsid w:val="000D491E"/>
    <w:rsid w:val="000D4923"/>
    <w:rsid w:val="000D4A51"/>
    <w:rsid w:val="000D4A6E"/>
    <w:rsid w:val="000D4B26"/>
    <w:rsid w:val="000D4BF3"/>
    <w:rsid w:val="000D4C7A"/>
    <w:rsid w:val="000D4CD5"/>
    <w:rsid w:val="000D4CF5"/>
    <w:rsid w:val="000D4E0F"/>
    <w:rsid w:val="000D4E61"/>
    <w:rsid w:val="000D4E6C"/>
    <w:rsid w:val="000D4F9A"/>
    <w:rsid w:val="000D4FD2"/>
    <w:rsid w:val="000D4FE1"/>
    <w:rsid w:val="000D54A8"/>
    <w:rsid w:val="000D560E"/>
    <w:rsid w:val="000D56CB"/>
    <w:rsid w:val="000D574D"/>
    <w:rsid w:val="000D57A2"/>
    <w:rsid w:val="000D5A2A"/>
    <w:rsid w:val="000D5D75"/>
    <w:rsid w:val="000D5E51"/>
    <w:rsid w:val="000D6008"/>
    <w:rsid w:val="000D6116"/>
    <w:rsid w:val="000D619D"/>
    <w:rsid w:val="000D6360"/>
    <w:rsid w:val="000D6367"/>
    <w:rsid w:val="000D63DE"/>
    <w:rsid w:val="000D6492"/>
    <w:rsid w:val="000D6516"/>
    <w:rsid w:val="000D68E0"/>
    <w:rsid w:val="000D69BA"/>
    <w:rsid w:val="000D6BA0"/>
    <w:rsid w:val="000D6C45"/>
    <w:rsid w:val="000D6D4C"/>
    <w:rsid w:val="000D6E21"/>
    <w:rsid w:val="000D6EB1"/>
    <w:rsid w:val="000D7002"/>
    <w:rsid w:val="000D7194"/>
    <w:rsid w:val="000D7281"/>
    <w:rsid w:val="000D7353"/>
    <w:rsid w:val="000D7468"/>
    <w:rsid w:val="000D777B"/>
    <w:rsid w:val="000D7C8B"/>
    <w:rsid w:val="000E027C"/>
    <w:rsid w:val="000E037B"/>
    <w:rsid w:val="000E04BA"/>
    <w:rsid w:val="000E04F0"/>
    <w:rsid w:val="000E065C"/>
    <w:rsid w:val="000E07B3"/>
    <w:rsid w:val="000E08E0"/>
    <w:rsid w:val="000E0D82"/>
    <w:rsid w:val="000E0FEA"/>
    <w:rsid w:val="000E0FF9"/>
    <w:rsid w:val="000E12F7"/>
    <w:rsid w:val="000E1485"/>
    <w:rsid w:val="000E14A3"/>
    <w:rsid w:val="000E1B45"/>
    <w:rsid w:val="000E1D24"/>
    <w:rsid w:val="000E1F06"/>
    <w:rsid w:val="000E2143"/>
    <w:rsid w:val="000E222E"/>
    <w:rsid w:val="000E22D7"/>
    <w:rsid w:val="000E23DA"/>
    <w:rsid w:val="000E24BB"/>
    <w:rsid w:val="000E26F4"/>
    <w:rsid w:val="000E27D1"/>
    <w:rsid w:val="000E281C"/>
    <w:rsid w:val="000E2A1D"/>
    <w:rsid w:val="000E2AC0"/>
    <w:rsid w:val="000E2AFD"/>
    <w:rsid w:val="000E2BEF"/>
    <w:rsid w:val="000E335E"/>
    <w:rsid w:val="000E38C7"/>
    <w:rsid w:val="000E39F0"/>
    <w:rsid w:val="000E3AB9"/>
    <w:rsid w:val="000E3B66"/>
    <w:rsid w:val="000E3D2A"/>
    <w:rsid w:val="000E3E5D"/>
    <w:rsid w:val="000E421E"/>
    <w:rsid w:val="000E443B"/>
    <w:rsid w:val="000E48C6"/>
    <w:rsid w:val="000E4B76"/>
    <w:rsid w:val="000E4F8E"/>
    <w:rsid w:val="000E5015"/>
    <w:rsid w:val="000E5034"/>
    <w:rsid w:val="000E50E4"/>
    <w:rsid w:val="000E51A4"/>
    <w:rsid w:val="000E51A7"/>
    <w:rsid w:val="000E526E"/>
    <w:rsid w:val="000E52EE"/>
    <w:rsid w:val="000E56D4"/>
    <w:rsid w:val="000E5938"/>
    <w:rsid w:val="000E5CF9"/>
    <w:rsid w:val="000E5DBD"/>
    <w:rsid w:val="000E6021"/>
    <w:rsid w:val="000E604B"/>
    <w:rsid w:val="000E64F9"/>
    <w:rsid w:val="000E66A9"/>
    <w:rsid w:val="000E66F2"/>
    <w:rsid w:val="000E66FC"/>
    <w:rsid w:val="000E675B"/>
    <w:rsid w:val="000E6B8B"/>
    <w:rsid w:val="000E6FD3"/>
    <w:rsid w:val="000E7825"/>
    <w:rsid w:val="000E7A9F"/>
    <w:rsid w:val="000E7CD8"/>
    <w:rsid w:val="000E7ECC"/>
    <w:rsid w:val="000E7F75"/>
    <w:rsid w:val="000E7F83"/>
    <w:rsid w:val="000F0006"/>
    <w:rsid w:val="000F0065"/>
    <w:rsid w:val="000F0287"/>
    <w:rsid w:val="000F04E3"/>
    <w:rsid w:val="000F078E"/>
    <w:rsid w:val="000F0884"/>
    <w:rsid w:val="000F0C2D"/>
    <w:rsid w:val="000F0C49"/>
    <w:rsid w:val="000F0FBE"/>
    <w:rsid w:val="000F1027"/>
    <w:rsid w:val="000F10E4"/>
    <w:rsid w:val="000F10FD"/>
    <w:rsid w:val="000F13AD"/>
    <w:rsid w:val="000F144D"/>
    <w:rsid w:val="000F15AD"/>
    <w:rsid w:val="000F171B"/>
    <w:rsid w:val="000F17C6"/>
    <w:rsid w:val="000F18FC"/>
    <w:rsid w:val="000F1F24"/>
    <w:rsid w:val="000F22E2"/>
    <w:rsid w:val="000F2377"/>
    <w:rsid w:val="000F248B"/>
    <w:rsid w:val="000F2688"/>
    <w:rsid w:val="000F27DF"/>
    <w:rsid w:val="000F2832"/>
    <w:rsid w:val="000F28FC"/>
    <w:rsid w:val="000F2901"/>
    <w:rsid w:val="000F2940"/>
    <w:rsid w:val="000F2AFA"/>
    <w:rsid w:val="000F2D5E"/>
    <w:rsid w:val="000F2ECD"/>
    <w:rsid w:val="000F348A"/>
    <w:rsid w:val="000F38BB"/>
    <w:rsid w:val="000F3AF7"/>
    <w:rsid w:val="000F3DC5"/>
    <w:rsid w:val="000F3F10"/>
    <w:rsid w:val="000F41FD"/>
    <w:rsid w:val="000F42CB"/>
    <w:rsid w:val="000F44BE"/>
    <w:rsid w:val="000F4647"/>
    <w:rsid w:val="000F48D4"/>
    <w:rsid w:val="000F49F0"/>
    <w:rsid w:val="000F4AA2"/>
    <w:rsid w:val="000F4FA0"/>
    <w:rsid w:val="000F51EA"/>
    <w:rsid w:val="000F54C9"/>
    <w:rsid w:val="000F5A51"/>
    <w:rsid w:val="000F5B28"/>
    <w:rsid w:val="000F5D4A"/>
    <w:rsid w:val="000F5DA6"/>
    <w:rsid w:val="000F603A"/>
    <w:rsid w:val="000F6273"/>
    <w:rsid w:val="000F644E"/>
    <w:rsid w:val="000F6B00"/>
    <w:rsid w:val="000F6B41"/>
    <w:rsid w:val="000F71FC"/>
    <w:rsid w:val="000F72F2"/>
    <w:rsid w:val="000F75A3"/>
    <w:rsid w:val="000F75F1"/>
    <w:rsid w:val="000F7935"/>
    <w:rsid w:val="000F7C60"/>
    <w:rsid w:val="000F7DB9"/>
    <w:rsid w:val="001002E5"/>
    <w:rsid w:val="001002E7"/>
    <w:rsid w:val="0010033E"/>
    <w:rsid w:val="0010038E"/>
    <w:rsid w:val="00100667"/>
    <w:rsid w:val="00100806"/>
    <w:rsid w:val="00100B46"/>
    <w:rsid w:val="00100F06"/>
    <w:rsid w:val="00100FD1"/>
    <w:rsid w:val="00101013"/>
    <w:rsid w:val="00101106"/>
    <w:rsid w:val="0010130E"/>
    <w:rsid w:val="001015DC"/>
    <w:rsid w:val="001015EE"/>
    <w:rsid w:val="001016FF"/>
    <w:rsid w:val="00101794"/>
    <w:rsid w:val="00101A3A"/>
    <w:rsid w:val="00101D95"/>
    <w:rsid w:val="00101ECD"/>
    <w:rsid w:val="0010207A"/>
    <w:rsid w:val="001022B7"/>
    <w:rsid w:val="00102326"/>
    <w:rsid w:val="0010236E"/>
    <w:rsid w:val="001025A9"/>
    <w:rsid w:val="001026FA"/>
    <w:rsid w:val="001029A0"/>
    <w:rsid w:val="00102C1F"/>
    <w:rsid w:val="00102CBA"/>
    <w:rsid w:val="00102D28"/>
    <w:rsid w:val="00102FA5"/>
    <w:rsid w:val="0010305C"/>
    <w:rsid w:val="00103842"/>
    <w:rsid w:val="00103909"/>
    <w:rsid w:val="0010393E"/>
    <w:rsid w:val="00103940"/>
    <w:rsid w:val="00103BFE"/>
    <w:rsid w:val="00103E8D"/>
    <w:rsid w:val="00103F31"/>
    <w:rsid w:val="00104221"/>
    <w:rsid w:val="00104854"/>
    <w:rsid w:val="001049F0"/>
    <w:rsid w:val="00104A43"/>
    <w:rsid w:val="00104AD8"/>
    <w:rsid w:val="00104C9F"/>
    <w:rsid w:val="0010504C"/>
    <w:rsid w:val="001050D7"/>
    <w:rsid w:val="0010544B"/>
    <w:rsid w:val="001056BA"/>
    <w:rsid w:val="00105BB8"/>
    <w:rsid w:val="0010604F"/>
    <w:rsid w:val="00106051"/>
    <w:rsid w:val="0010629B"/>
    <w:rsid w:val="0010635D"/>
    <w:rsid w:val="001064C3"/>
    <w:rsid w:val="00106C1D"/>
    <w:rsid w:val="00106DEE"/>
    <w:rsid w:val="00107067"/>
    <w:rsid w:val="0010723B"/>
    <w:rsid w:val="00107306"/>
    <w:rsid w:val="00107580"/>
    <w:rsid w:val="00107C98"/>
    <w:rsid w:val="00107CE8"/>
    <w:rsid w:val="00107E68"/>
    <w:rsid w:val="0011029E"/>
    <w:rsid w:val="001102E4"/>
    <w:rsid w:val="0011086E"/>
    <w:rsid w:val="00110A72"/>
    <w:rsid w:val="00110BD7"/>
    <w:rsid w:val="00110DD3"/>
    <w:rsid w:val="00110EB4"/>
    <w:rsid w:val="00110F93"/>
    <w:rsid w:val="0011140B"/>
    <w:rsid w:val="001114A5"/>
    <w:rsid w:val="001116A4"/>
    <w:rsid w:val="00111C0F"/>
    <w:rsid w:val="00111DD4"/>
    <w:rsid w:val="00111E86"/>
    <w:rsid w:val="00111F5B"/>
    <w:rsid w:val="00112482"/>
    <w:rsid w:val="001125A3"/>
    <w:rsid w:val="00112617"/>
    <w:rsid w:val="00112932"/>
    <w:rsid w:val="00112B01"/>
    <w:rsid w:val="00112D42"/>
    <w:rsid w:val="001133FF"/>
    <w:rsid w:val="00113452"/>
    <w:rsid w:val="00113458"/>
    <w:rsid w:val="001135FE"/>
    <w:rsid w:val="001136FD"/>
    <w:rsid w:val="00113976"/>
    <w:rsid w:val="001139C3"/>
    <w:rsid w:val="001139C6"/>
    <w:rsid w:val="00113A07"/>
    <w:rsid w:val="00113A9D"/>
    <w:rsid w:val="00113E2A"/>
    <w:rsid w:val="0011417B"/>
    <w:rsid w:val="00114206"/>
    <w:rsid w:val="0011422E"/>
    <w:rsid w:val="001142E3"/>
    <w:rsid w:val="001143A1"/>
    <w:rsid w:val="00114773"/>
    <w:rsid w:val="00114A00"/>
    <w:rsid w:val="00114B12"/>
    <w:rsid w:val="00115083"/>
    <w:rsid w:val="0011580C"/>
    <w:rsid w:val="0011582A"/>
    <w:rsid w:val="0011594B"/>
    <w:rsid w:val="0011595F"/>
    <w:rsid w:val="00115B4D"/>
    <w:rsid w:val="00115C2F"/>
    <w:rsid w:val="00115DB4"/>
    <w:rsid w:val="001161A8"/>
    <w:rsid w:val="0011657B"/>
    <w:rsid w:val="001165B8"/>
    <w:rsid w:val="001165BF"/>
    <w:rsid w:val="00116D9D"/>
    <w:rsid w:val="00116F7D"/>
    <w:rsid w:val="00117338"/>
    <w:rsid w:val="001173F6"/>
    <w:rsid w:val="001175C8"/>
    <w:rsid w:val="001176B7"/>
    <w:rsid w:val="001176DA"/>
    <w:rsid w:val="001179B0"/>
    <w:rsid w:val="001179BA"/>
    <w:rsid w:val="00117E07"/>
    <w:rsid w:val="00120375"/>
    <w:rsid w:val="00120395"/>
    <w:rsid w:val="001203BC"/>
    <w:rsid w:val="0012046B"/>
    <w:rsid w:val="001209A0"/>
    <w:rsid w:val="00120CFA"/>
    <w:rsid w:val="00120D21"/>
    <w:rsid w:val="00120D8A"/>
    <w:rsid w:val="00120F72"/>
    <w:rsid w:val="00120FB1"/>
    <w:rsid w:val="001211C6"/>
    <w:rsid w:val="00121272"/>
    <w:rsid w:val="00121425"/>
    <w:rsid w:val="0012156F"/>
    <w:rsid w:val="001215A7"/>
    <w:rsid w:val="001216AC"/>
    <w:rsid w:val="0012187A"/>
    <w:rsid w:val="00121959"/>
    <w:rsid w:val="00121CFC"/>
    <w:rsid w:val="00121F7A"/>
    <w:rsid w:val="001224B1"/>
    <w:rsid w:val="00122724"/>
    <w:rsid w:val="001227CC"/>
    <w:rsid w:val="001227DB"/>
    <w:rsid w:val="001228BB"/>
    <w:rsid w:val="0012296D"/>
    <w:rsid w:val="00122A95"/>
    <w:rsid w:val="00122C9F"/>
    <w:rsid w:val="0012307E"/>
    <w:rsid w:val="001230DD"/>
    <w:rsid w:val="00123111"/>
    <w:rsid w:val="0012325B"/>
    <w:rsid w:val="001233CB"/>
    <w:rsid w:val="0012368C"/>
    <w:rsid w:val="00123B75"/>
    <w:rsid w:val="00123C26"/>
    <w:rsid w:val="00124337"/>
    <w:rsid w:val="00124421"/>
    <w:rsid w:val="001246F8"/>
    <w:rsid w:val="00124897"/>
    <w:rsid w:val="00124913"/>
    <w:rsid w:val="0012496A"/>
    <w:rsid w:val="00124A29"/>
    <w:rsid w:val="00124AED"/>
    <w:rsid w:val="00124B0A"/>
    <w:rsid w:val="00124B6E"/>
    <w:rsid w:val="00124BA7"/>
    <w:rsid w:val="00124C8F"/>
    <w:rsid w:val="00124CDC"/>
    <w:rsid w:val="00124FDC"/>
    <w:rsid w:val="00125246"/>
    <w:rsid w:val="001254DC"/>
    <w:rsid w:val="00125B2F"/>
    <w:rsid w:val="00125CDF"/>
    <w:rsid w:val="00125E17"/>
    <w:rsid w:val="00125F9B"/>
    <w:rsid w:val="00125FD7"/>
    <w:rsid w:val="00126462"/>
    <w:rsid w:val="00126AE6"/>
    <w:rsid w:val="00126C3F"/>
    <w:rsid w:val="00126F16"/>
    <w:rsid w:val="00127272"/>
    <w:rsid w:val="001272DA"/>
    <w:rsid w:val="001272E0"/>
    <w:rsid w:val="00127468"/>
    <w:rsid w:val="00127748"/>
    <w:rsid w:val="00127A94"/>
    <w:rsid w:val="00127B37"/>
    <w:rsid w:val="00130438"/>
    <w:rsid w:val="001308D3"/>
    <w:rsid w:val="00130A03"/>
    <w:rsid w:val="00130A3D"/>
    <w:rsid w:val="00130A97"/>
    <w:rsid w:val="001311FF"/>
    <w:rsid w:val="00131472"/>
    <w:rsid w:val="001316C0"/>
    <w:rsid w:val="00131989"/>
    <w:rsid w:val="00131A69"/>
    <w:rsid w:val="00131AE3"/>
    <w:rsid w:val="00131B2F"/>
    <w:rsid w:val="00131DD4"/>
    <w:rsid w:val="0013218B"/>
    <w:rsid w:val="001323A1"/>
    <w:rsid w:val="0013254C"/>
    <w:rsid w:val="0013259F"/>
    <w:rsid w:val="001325DB"/>
    <w:rsid w:val="0013260C"/>
    <w:rsid w:val="0013286B"/>
    <w:rsid w:val="00132BBC"/>
    <w:rsid w:val="00132C6A"/>
    <w:rsid w:val="00132D8E"/>
    <w:rsid w:val="0013324D"/>
    <w:rsid w:val="0013337A"/>
    <w:rsid w:val="0013340D"/>
    <w:rsid w:val="001334BE"/>
    <w:rsid w:val="001337C0"/>
    <w:rsid w:val="00133A32"/>
    <w:rsid w:val="00133B52"/>
    <w:rsid w:val="00133CC2"/>
    <w:rsid w:val="00133D51"/>
    <w:rsid w:val="00133DF4"/>
    <w:rsid w:val="00134190"/>
    <w:rsid w:val="0013442A"/>
    <w:rsid w:val="00134654"/>
    <w:rsid w:val="001346AC"/>
    <w:rsid w:val="001346E6"/>
    <w:rsid w:val="001348D5"/>
    <w:rsid w:val="00134A27"/>
    <w:rsid w:val="00134BD2"/>
    <w:rsid w:val="00134CAB"/>
    <w:rsid w:val="00134D97"/>
    <w:rsid w:val="00134F88"/>
    <w:rsid w:val="001350CA"/>
    <w:rsid w:val="00135610"/>
    <w:rsid w:val="0013561C"/>
    <w:rsid w:val="00135658"/>
    <w:rsid w:val="001356F2"/>
    <w:rsid w:val="00135B42"/>
    <w:rsid w:val="00135E17"/>
    <w:rsid w:val="00135EE1"/>
    <w:rsid w:val="00135F4F"/>
    <w:rsid w:val="001360FE"/>
    <w:rsid w:val="00136137"/>
    <w:rsid w:val="001361AB"/>
    <w:rsid w:val="00136263"/>
    <w:rsid w:val="001363A7"/>
    <w:rsid w:val="00136593"/>
    <w:rsid w:val="00136DFA"/>
    <w:rsid w:val="00136E7B"/>
    <w:rsid w:val="00136EAB"/>
    <w:rsid w:val="0013737E"/>
    <w:rsid w:val="00137418"/>
    <w:rsid w:val="001374EE"/>
    <w:rsid w:val="00137546"/>
    <w:rsid w:val="0013786E"/>
    <w:rsid w:val="00137AC2"/>
    <w:rsid w:val="00137CA6"/>
    <w:rsid w:val="00137CD8"/>
    <w:rsid w:val="00140096"/>
    <w:rsid w:val="001400D9"/>
    <w:rsid w:val="0014059B"/>
    <w:rsid w:val="00140680"/>
    <w:rsid w:val="00140872"/>
    <w:rsid w:val="00140B7A"/>
    <w:rsid w:val="00140C8F"/>
    <w:rsid w:val="00140EE5"/>
    <w:rsid w:val="0014143D"/>
    <w:rsid w:val="001414B7"/>
    <w:rsid w:val="00141577"/>
    <w:rsid w:val="001415A4"/>
    <w:rsid w:val="0014169F"/>
    <w:rsid w:val="00141A51"/>
    <w:rsid w:val="00141CAF"/>
    <w:rsid w:val="00142057"/>
    <w:rsid w:val="001421C8"/>
    <w:rsid w:val="0014249D"/>
    <w:rsid w:val="001426E9"/>
    <w:rsid w:val="00142867"/>
    <w:rsid w:val="00142ACE"/>
    <w:rsid w:val="0014348E"/>
    <w:rsid w:val="00143854"/>
    <w:rsid w:val="00143A93"/>
    <w:rsid w:val="00143E15"/>
    <w:rsid w:val="00144108"/>
    <w:rsid w:val="001443A0"/>
    <w:rsid w:val="001444F3"/>
    <w:rsid w:val="00144902"/>
    <w:rsid w:val="00144C10"/>
    <w:rsid w:val="00144E4B"/>
    <w:rsid w:val="0014513A"/>
    <w:rsid w:val="001456FA"/>
    <w:rsid w:val="001457AD"/>
    <w:rsid w:val="0014582A"/>
    <w:rsid w:val="00145C9F"/>
    <w:rsid w:val="00145D28"/>
    <w:rsid w:val="00145F83"/>
    <w:rsid w:val="001460C0"/>
    <w:rsid w:val="001460C1"/>
    <w:rsid w:val="0014632B"/>
    <w:rsid w:val="001463A7"/>
    <w:rsid w:val="001463EE"/>
    <w:rsid w:val="00146569"/>
    <w:rsid w:val="00146883"/>
    <w:rsid w:val="001468D5"/>
    <w:rsid w:val="00146A17"/>
    <w:rsid w:val="00146B11"/>
    <w:rsid w:val="00146BC8"/>
    <w:rsid w:val="00146C3B"/>
    <w:rsid w:val="00146E6C"/>
    <w:rsid w:val="00146FDB"/>
    <w:rsid w:val="00147027"/>
    <w:rsid w:val="001473E4"/>
    <w:rsid w:val="0014746A"/>
    <w:rsid w:val="0014750B"/>
    <w:rsid w:val="0014771B"/>
    <w:rsid w:val="0014786A"/>
    <w:rsid w:val="00147901"/>
    <w:rsid w:val="00147C69"/>
    <w:rsid w:val="00147ECA"/>
    <w:rsid w:val="00147F56"/>
    <w:rsid w:val="00150005"/>
    <w:rsid w:val="00150401"/>
    <w:rsid w:val="00150420"/>
    <w:rsid w:val="00150648"/>
    <w:rsid w:val="001508F6"/>
    <w:rsid w:val="00150BF1"/>
    <w:rsid w:val="00150DDE"/>
    <w:rsid w:val="00150E3C"/>
    <w:rsid w:val="00150E6F"/>
    <w:rsid w:val="00150EF0"/>
    <w:rsid w:val="00150F23"/>
    <w:rsid w:val="0015104B"/>
    <w:rsid w:val="00151092"/>
    <w:rsid w:val="0015161E"/>
    <w:rsid w:val="001516A7"/>
    <w:rsid w:val="00151851"/>
    <w:rsid w:val="0015186E"/>
    <w:rsid w:val="001518C9"/>
    <w:rsid w:val="00151C31"/>
    <w:rsid w:val="00151DD1"/>
    <w:rsid w:val="00151F80"/>
    <w:rsid w:val="00151F8C"/>
    <w:rsid w:val="0015204B"/>
    <w:rsid w:val="00152101"/>
    <w:rsid w:val="001521AF"/>
    <w:rsid w:val="00152254"/>
    <w:rsid w:val="00152415"/>
    <w:rsid w:val="001525BC"/>
    <w:rsid w:val="00152612"/>
    <w:rsid w:val="001527BF"/>
    <w:rsid w:val="00152896"/>
    <w:rsid w:val="00152D3A"/>
    <w:rsid w:val="00152F32"/>
    <w:rsid w:val="0015310A"/>
    <w:rsid w:val="0015325E"/>
    <w:rsid w:val="00153566"/>
    <w:rsid w:val="001537A5"/>
    <w:rsid w:val="00153C40"/>
    <w:rsid w:val="00153D5A"/>
    <w:rsid w:val="00153F14"/>
    <w:rsid w:val="001541F9"/>
    <w:rsid w:val="0015427A"/>
    <w:rsid w:val="001543F5"/>
    <w:rsid w:val="00154655"/>
    <w:rsid w:val="001546DA"/>
    <w:rsid w:val="001546F8"/>
    <w:rsid w:val="00154932"/>
    <w:rsid w:val="00154A7F"/>
    <w:rsid w:val="00154B21"/>
    <w:rsid w:val="00154B6D"/>
    <w:rsid w:val="00154C03"/>
    <w:rsid w:val="00154D23"/>
    <w:rsid w:val="00154F07"/>
    <w:rsid w:val="00154FC2"/>
    <w:rsid w:val="0015501D"/>
    <w:rsid w:val="0015506D"/>
    <w:rsid w:val="00155080"/>
    <w:rsid w:val="0015519F"/>
    <w:rsid w:val="00155378"/>
    <w:rsid w:val="001553BA"/>
    <w:rsid w:val="001554B9"/>
    <w:rsid w:val="001556A9"/>
    <w:rsid w:val="0015571D"/>
    <w:rsid w:val="001557D3"/>
    <w:rsid w:val="00155B07"/>
    <w:rsid w:val="00155DEF"/>
    <w:rsid w:val="00156302"/>
    <w:rsid w:val="00156779"/>
    <w:rsid w:val="00156B1C"/>
    <w:rsid w:val="001570A7"/>
    <w:rsid w:val="00157138"/>
    <w:rsid w:val="00157244"/>
    <w:rsid w:val="0015746F"/>
    <w:rsid w:val="00157534"/>
    <w:rsid w:val="001578E9"/>
    <w:rsid w:val="00157970"/>
    <w:rsid w:val="00157CAD"/>
    <w:rsid w:val="00157CE7"/>
    <w:rsid w:val="00157E0E"/>
    <w:rsid w:val="001601BC"/>
    <w:rsid w:val="001602F4"/>
    <w:rsid w:val="00160755"/>
    <w:rsid w:val="00160B2E"/>
    <w:rsid w:val="00160BC9"/>
    <w:rsid w:val="00161580"/>
    <w:rsid w:val="0016197A"/>
    <w:rsid w:val="00161A51"/>
    <w:rsid w:val="00161AF8"/>
    <w:rsid w:val="00161F72"/>
    <w:rsid w:val="00162105"/>
    <w:rsid w:val="001623F8"/>
    <w:rsid w:val="00162766"/>
    <w:rsid w:val="0016296C"/>
    <w:rsid w:val="00162A4B"/>
    <w:rsid w:val="00162AF8"/>
    <w:rsid w:val="00162B0E"/>
    <w:rsid w:val="00163019"/>
    <w:rsid w:val="00163038"/>
    <w:rsid w:val="0016393D"/>
    <w:rsid w:val="00163C76"/>
    <w:rsid w:val="00163E0B"/>
    <w:rsid w:val="00163E50"/>
    <w:rsid w:val="00163F7D"/>
    <w:rsid w:val="001640EC"/>
    <w:rsid w:val="00164656"/>
    <w:rsid w:val="0016477B"/>
    <w:rsid w:val="00164803"/>
    <w:rsid w:val="00164C03"/>
    <w:rsid w:val="00164C38"/>
    <w:rsid w:val="00165232"/>
    <w:rsid w:val="0016527C"/>
    <w:rsid w:val="00165308"/>
    <w:rsid w:val="001653A0"/>
    <w:rsid w:val="001657A6"/>
    <w:rsid w:val="00165E88"/>
    <w:rsid w:val="00165EE1"/>
    <w:rsid w:val="00166529"/>
    <w:rsid w:val="00166B94"/>
    <w:rsid w:val="00166BE1"/>
    <w:rsid w:val="00166C6F"/>
    <w:rsid w:val="00166E2B"/>
    <w:rsid w:val="00166EDA"/>
    <w:rsid w:val="00166F51"/>
    <w:rsid w:val="0016723F"/>
    <w:rsid w:val="00167262"/>
    <w:rsid w:val="00167622"/>
    <w:rsid w:val="001676A5"/>
    <w:rsid w:val="00167A71"/>
    <w:rsid w:val="00167B95"/>
    <w:rsid w:val="00167C9D"/>
    <w:rsid w:val="00167CB4"/>
    <w:rsid w:val="00167EFD"/>
    <w:rsid w:val="0017025E"/>
    <w:rsid w:val="00170473"/>
    <w:rsid w:val="00170575"/>
    <w:rsid w:val="00170754"/>
    <w:rsid w:val="00170833"/>
    <w:rsid w:val="00170889"/>
    <w:rsid w:val="001708EA"/>
    <w:rsid w:val="0017093B"/>
    <w:rsid w:val="00170DAB"/>
    <w:rsid w:val="00170F2E"/>
    <w:rsid w:val="00171238"/>
    <w:rsid w:val="00171278"/>
    <w:rsid w:val="001713FE"/>
    <w:rsid w:val="00171463"/>
    <w:rsid w:val="00171BD0"/>
    <w:rsid w:val="00171E2E"/>
    <w:rsid w:val="00172286"/>
    <w:rsid w:val="001722E3"/>
    <w:rsid w:val="00172316"/>
    <w:rsid w:val="00172674"/>
    <w:rsid w:val="00172784"/>
    <w:rsid w:val="001728E1"/>
    <w:rsid w:val="00172AC4"/>
    <w:rsid w:val="00172B61"/>
    <w:rsid w:val="00172BE8"/>
    <w:rsid w:val="00172DD0"/>
    <w:rsid w:val="00173112"/>
    <w:rsid w:val="00173135"/>
    <w:rsid w:val="00173453"/>
    <w:rsid w:val="00173563"/>
    <w:rsid w:val="00173967"/>
    <w:rsid w:val="00173C7A"/>
    <w:rsid w:val="00173F7C"/>
    <w:rsid w:val="00174087"/>
    <w:rsid w:val="001742D4"/>
    <w:rsid w:val="00174498"/>
    <w:rsid w:val="00174DFD"/>
    <w:rsid w:val="00174EB1"/>
    <w:rsid w:val="00174FEC"/>
    <w:rsid w:val="0017519A"/>
    <w:rsid w:val="0017532A"/>
    <w:rsid w:val="00175504"/>
    <w:rsid w:val="00175540"/>
    <w:rsid w:val="00175901"/>
    <w:rsid w:val="00175AB1"/>
    <w:rsid w:val="00175C1A"/>
    <w:rsid w:val="00175C4F"/>
    <w:rsid w:val="00175D67"/>
    <w:rsid w:val="00176263"/>
    <w:rsid w:val="0017656E"/>
    <w:rsid w:val="001768BA"/>
    <w:rsid w:val="00176913"/>
    <w:rsid w:val="0017699E"/>
    <w:rsid w:val="001769B7"/>
    <w:rsid w:val="00176A51"/>
    <w:rsid w:val="00176A93"/>
    <w:rsid w:val="00176BDB"/>
    <w:rsid w:val="00176C05"/>
    <w:rsid w:val="00176DA1"/>
    <w:rsid w:val="00177076"/>
    <w:rsid w:val="0017737F"/>
    <w:rsid w:val="0017740E"/>
    <w:rsid w:val="00177452"/>
    <w:rsid w:val="0017749B"/>
    <w:rsid w:val="001778CE"/>
    <w:rsid w:val="00177F03"/>
    <w:rsid w:val="0017A227"/>
    <w:rsid w:val="001800F2"/>
    <w:rsid w:val="001801C0"/>
    <w:rsid w:val="0018092D"/>
    <w:rsid w:val="00180A27"/>
    <w:rsid w:val="00180D42"/>
    <w:rsid w:val="00180F35"/>
    <w:rsid w:val="001812F2"/>
    <w:rsid w:val="00181410"/>
    <w:rsid w:val="001814AD"/>
    <w:rsid w:val="001814EC"/>
    <w:rsid w:val="001815D6"/>
    <w:rsid w:val="00181B4F"/>
    <w:rsid w:val="00181D18"/>
    <w:rsid w:val="00181E18"/>
    <w:rsid w:val="00181F4A"/>
    <w:rsid w:val="00181FF3"/>
    <w:rsid w:val="001820C2"/>
    <w:rsid w:val="00182673"/>
    <w:rsid w:val="001827DE"/>
    <w:rsid w:val="00182AB0"/>
    <w:rsid w:val="00182C25"/>
    <w:rsid w:val="00182C73"/>
    <w:rsid w:val="00183089"/>
    <w:rsid w:val="00183094"/>
    <w:rsid w:val="00183923"/>
    <w:rsid w:val="00183B86"/>
    <w:rsid w:val="00183C9C"/>
    <w:rsid w:val="00183E01"/>
    <w:rsid w:val="00184052"/>
    <w:rsid w:val="0018405F"/>
    <w:rsid w:val="001842FA"/>
    <w:rsid w:val="001843C0"/>
    <w:rsid w:val="00184972"/>
    <w:rsid w:val="001849EF"/>
    <w:rsid w:val="00184C92"/>
    <w:rsid w:val="00185116"/>
    <w:rsid w:val="00185601"/>
    <w:rsid w:val="001857D1"/>
    <w:rsid w:val="001859EC"/>
    <w:rsid w:val="00185BCF"/>
    <w:rsid w:val="00185CAA"/>
    <w:rsid w:val="00185D5D"/>
    <w:rsid w:val="00186069"/>
    <w:rsid w:val="001860E1"/>
    <w:rsid w:val="00186212"/>
    <w:rsid w:val="00186333"/>
    <w:rsid w:val="00186483"/>
    <w:rsid w:val="001865E7"/>
    <w:rsid w:val="001869FD"/>
    <w:rsid w:val="00186C45"/>
    <w:rsid w:val="00186E15"/>
    <w:rsid w:val="00186E4C"/>
    <w:rsid w:val="00186E70"/>
    <w:rsid w:val="00186FDC"/>
    <w:rsid w:val="00187042"/>
    <w:rsid w:val="0018710E"/>
    <w:rsid w:val="00187134"/>
    <w:rsid w:val="00187136"/>
    <w:rsid w:val="001871BA"/>
    <w:rsid w:val="0018731A"/>
    <w:rsid w:val="0018738E"/>
    <w:rsid w:val="001875BD"/>
    <w:rsid w:val="00187680"/>
    <w:rsid w:val="001876EB"/>
    <w:rsid w:val="00187834"/>
    <w:rsid w:val="00187A3E"/>
    <w:rsid w:val="00187B21"/>
    <w:rsid w:val="00187CF7"/>
    <w:rsid w:val="00187D47"/>
    <w:rsid w:val="00187DC2"/>
    <w:rsid w:val="0019000D"/>
    <w:rsid w:val="00190052"/>
    <w:rsid w:val="001906EA"/>
    <w:rsid w:val="00190874"/>
    <w:rsid w:val="00191301"/>
    <w:rsid w:val="00191421"/>
    <w:rsid w:val="00191785"/>
    <w:rsid w:val="00191984"/>
    <w:rsid w:val="00191C24"/>
    <w:rsid w:val="00191D9F"/>
    <w:rsid w:val="0019216C"/>
    <w:rsid w:val="001922F4"/>
    <w:rsid w:val="001923E5"/>
    <w:rsid w:val="0019273D"/>
    <w:rsid w:val="00192888"/>
    <w:rsid w:val="00192A7A"/>
    <w:rsid w:val="00192A9E"/>
    <w:rsid w:val="00192C2F"/>
    <w:rsid w:val="00192CD6"/>
    <w:rsid w:val="00192DB2"/>
    <w:rsid w:val="00192F30"/>
    <w:rsid w:val="00193130"/>
    <w:rsid w:val="0019322A"/>
    <w:rsid w:val="0019327C"/>
    <w:rsid w:val="0019363A"/>
    <w:rsid w:val="00193688"/>
    <w:rsid w:val="001936FC"/>
    <w:rsid w:val="00193B49"/>
    <w:rsid w:val="00193BE5"/>
    <w:rsid w:val="00193BFE"/>
    <w:rsid w:val="00193CC2"/>
    <w:rsid w:val="00193DE6"/>
    <w:rsid w:val="00193F30"/>
    <w:rsid w:val="00193F71"/>
    <w:rsid w:val="00194206"/>
    <w:rsid w:val="00194279"/>
    <w:rsid w:val="001942A6"/>
    <w:rsid w:val="00194342"/>
    <w:rsid w:val="00194726"/>
    <w:rsid w:val="001947A8"/>
    <w:rsid w:val="001947EE"/>
    <w:rsid w:val="0019499D"/>
    <w:rsid w:val="00195078"/>
    <w:rsid w:val="001950F2"/>
    <w:rsid w:val="0019529B"/>
    <w:rsid w:val="001952A4"/>
    <w:rsid w:val="001954CC"/>
    <w:rsid w:val="001957F1"/>
    <w:rsid w:val="001958EC"/>
    <w:rsid w:val="00195B33"/>
    <w:rsid w:val="00195CB4"/>
    <w:rsid w:val="00195CBA"/>
    <w:rsid w:val="0019605F"/>
    <w:rsid w:val="001961EC"/>
    <w:rsid w:val="001965A8"/>
    <w:rsid w:val="001966C9"/>
    <w:rsid w:val="00196926"/>
    <w:rsid w:val="00196961"/>
    <w:rsid w:val="00196E35"/>
    <w:rsid w:val="00196EAF"/>
    <w:rsid w:val="001970B0"/>
    <w:rsid w:val="0019739F"/>
    <w:rsid w:val="00197590"/>
    <w:rsid w:val="001976A3"/>
    <w:rsid w:val="00197838"/>
    <w:rsid w:val="0019797B"/>
    <w:rsid w:val="00197E96"/>
    <w:rsid w:val="00197F59"/>
    <w:rsid w:val="001A03D3"/>
    <w:rsid w:val="001A03FB"/>
    <w:rsid w:val="001A0856"/>
    <w:rsid w:val="001A0ADE"/>
    <w:rsid w:val="001A0BA2"/>
    <w:rsid w:val="001A1170"/>
    <w:rsid w:val="001A1412"/>
    <w:rsid w:val="001A141B"/>
    <w:rsid w:val="001A1421"/>
    <w:rsid w:val="001A14FA"/>
    <w:rsid w:val="001A15A2"/>
    <w:rsid w:val="001A174C"/>
    <w:rsid w:val="001A181D"/>
    <w:rsid w:val="001A18BB"/>
    <w:rsid w:val="001A1A65"/>
    <w:rsid w:val="001A1FB6"/>
    <w:rsid w:val="001A1FE7"/>
    <w:rsid w:val="001A27AA"/>
    <w:rsid w:val="001A2841"/>
    <w:rsid w:val="001A2CEA"/>
    <w:rsid w:val="001A2DDE"/>
    <w:rsid w:val="001A2ECF"/>
    <w:rsid w:val="001A2F82"/>
    <w:rsid w:val="001A30DA"/>
    <w:rsid w:val="001A3559"/>
    <w:rsid w:val="001A364B"/>
    <w:rsid w:val="001A3816"/>
    <w:rsid w:val="001A38D6"/>
    <w:rsid w:val="001A3A08"/>
    <w:rsid w:val="001A3B89"/>
    <w:rsid w:val="001A3C33"/>
    <w:rsid w:val="001A3D41"/>
    <w:rsid w:val="001A3DE1"/>
    <w:rsid w:val="001A3DEB"/>
    <w:rsid w:val="001A43AB"/>
    <w:rsid w:val="001A45AE"/>
    <w:rsid w:val="001A45EF"/>
    <w:rsid w:val="001A49D7"/>
    <w:rsid w:val="001A4B0C"/>
    <w:rsid w:val="001A4B3E"/>
    <w:rsid w:val="001A4CB6"/>
    <w:rsid w:val="001A4F15"/>
    <w:rsid w:val="001A4F63"/>
    <w:rsid w:val="001A501A"/>
    <w:rsid w:val="001A5056"/>
    <w:rsid w:val="001A5216"/>
    <w:rsid w:val="001A5229"/>
    <w:rsid w:val="001A5363"/>
    <w:rsid w:val="001A53D9"/>
    <w:rsid w:val="001A5574"/>
    <w:rsid w:val="001A5645"/>
    <w:rsid w:val="001A575A"/>
    <w:rsid w:val="001A57A8"/>
    <w:rsid w:val="001A584C"/>
    <w:rsid w:val="001A5898"/>
    <w:rsid w:val="001A5BBF"/>
    <w:rsid w:val="001A5D9D"/>
    <w:rsid w:val="001A5E0D"/>
    <w:rsid w:val="001A5F25"/>
    <w:rsid w:val="001A5FA5"/>
    <w:rsid w:val="001A5FB4"/>
    <w:rsid w:val="001A61FE"/>
    <w:rsid w:val="001A6754"/>
    <w:rsid w:val="001A67A1"/>
    <w:rsid w:val="001A685A"/>
    <w:rsid w:val="001A68EF"/>
    <w:rsid w:val="001A6A56"/>
    <w:rsid w:val="001A6C8C"/>
    <w:rsid w:val="001A711C"/>
    <w:rsid w:val="001A7475"/>
    <w:rsid w:val="001A7577"/>
    <w:rsid w:val="001A760C"/>
    <w:rsid w:val="001A7658"/>
    <w:rsid w:val="001A77D9"/>
    <w:rsid w:val="001A7B7A"/>
    <w:rsid w:val="001A7D6E"/>
    <w:rsid w:val="001A7F30"/>
    <w:rsid w:val="001B0452"/>
    <w:rsid w:val="001B0513"/>
    <w:rsid w:val="001B06EB"/>
    <w:rsid w:val="001B113D"/>
    <w:rsid w:val="001B126B"/>
    <w:rsid w:val="001B130F"/>
    <w:rsid w:val="001B1555"/>
    <w:rsid w:val="001B1737"/>
    <w:rsid w:val="001B1AA0"/>
    <w:rsid w:val="001B1C3F"/>
    <w:rsid w:val="001B1E98"/>
    <w:rsid w:val="001B1F0B"/>
    <w:rsid w:val="001B213B"/>
    <w:rsid w:val="001B2172"/>
    <w:rsid w:val="001B227F"/>
    <w:rsid w:val="001B2371"/>
    <w:rsid w:val="001B24C8"/>
    <w:rsid w:val="001B2619"/>
    <w:rsid w:val="001B28BF"/>
    <w:rsid w:val="001B29A6"/>
    <w:rsid w:val="001B2AFE"/>
    <w:rsid w:val="001B2BF6"/>
    <w:rsid w:val="001B2C39"/>
    <w:rsid w:val="001B2E57"/>
    <w:rsid w:val="001B32CB"/>
    <w:rsid w:val="001B35DD"/>
    <w:rsid w:val="001B36F7"/>
    <w:rsid w:val="001B37C3"/>
    <w:rsid w:val="001B3DDA"/>
    <w:rsid w:val="001B3F52"/>
    <w:rsid w:val="001B42C9"/>
    <w:rsid w:val="001B438F"/>
    <w:rsid w:val="001B43E5"/>
    <w:rsid w:val="001B44A2"/>
    <w:rsid w:val="001B4684"/>
    <w:rsid w:val="001B4716"/>
    <w:rsid w:val="001B4A2E"/>
    <w:rsid w:val="001B4AA1"/>
    <w:rsid w:val="001B4E36"/>
    <w:rsid w:val="001B4EC1"/>
    <w:rsid w:val="001B520F"/>
    <w:rsid w:val="001B544B"/>
    <w:rsid w:val="001B575A"/>
    <w:rsid w:val="001B57C6"/>
    <w:rsid w:val="001B5884"/>
    <w:rsid w:val="001B591E"/>
    <w:rsid w:val="001B5C46"/>
    <w:rsid w:val="001B5CF2"/>
    <w:rsid w:val="001B5F57"/>
    <w:rsid w:val="001B5F72"/>
    <w:rsid w:val="001B5F94"/>
    <w:rsid w:val="001B5F9F"/>
    <w:rsid w:val="001B6245"/>
    <w:rsid w:val="001B6339"/>
    <w:rsid w:val="001B63F5"/>
    <w:rsid w:val="001B69A9"/>
    <w:rsid w:val="001B6A7F"/>
    <w:rsid w:val="001B6AA3"/>
    <w:rsid w:val="001B700D"/>
    <w:rsid w:val="001B704D"/>
    <w:rsid w:val="001B7900"/>
    <w:rsid w:val="001B7B18"/>
    <w:rsid w:val="001B7BC7"/>
    <w:rsid w:val="001B7D9E"/>
    <w:rsid w:val="001B7DE2"/>
    <w:rsid w:val="001C00BD"/>
    <w:rsid w:val="001C0111"/>
    <w:rsid w:val="001C0376"/>
    <w:rsid w:val="001C03A1"/>
    <w:rsid w:val="001C03C8"/>
    <w:rsid w:val="001C0551"/>
    <w:rsid w:val="001C0579"/>
    <w:rsid w:val="001C0A5E"/>
    <w:rsid w:val="001C0E0D"/>
    <w:rsid w:val="001C139D"/>
    <w:rsid w:val="001C1A6C"/>
    <w:rsid w:val="001C1CF5"/>
    <w:rsid w:val="001C1DDC"/>
    <w:rsid w:val="001C202B"/>
    <w:rsid w:val="001C2315"/>
    <w:rsid w:val="001C2476"/>
    <w:rsid w:val="001C2574"/>
    <w:rsid w:val="001C2998"/>
    <w:rsid w:val="001C2E8A"/>
    <w:rsid w:val="001C2F7A"/>
    <w:rsid w:val="001C3033"/>
    <w:rsid w:val="001C32AE"/>
    <w:rsid w:val="001C32D3"/>
    <w:rsid w:val="001C3377"/>
    <w:rsid w:val="001C34C2"/>
    <w:rsid w:val="001C37B4"/>
    <w:rsid w:val="001C3AC5"/>
    <w:rsid w:val="001C3BE5"/>
    <w:rsid w:val="001C3DCF"/>
    <w:rsid w:val="001C4107"/>
    <w:rsid w:val="001C41A6"/>
    <w:rsid w:val="001C42CC"/>
    <w:rsid w:val="001C43A9"/>
    <w:rsid w:val="001C43B5"/>
    <w:rsid w:val="001C447E"/>
    <w:rsid w:val="001C450C"/>
    <w:rsid w:val="001C4566"/>
    <w:rsid w:val="001C459D"/>
    <w:rsid w:val="001C464A"/>
    <w:rsid w:val="001C47C4"/>
    <w:rsid w:val="001C4892"/>
    <w:rsid w:val="001C4AD0"/>
    <w:rsid w:val="001C4F7D"/>
    <w:rsid w:val="001C52BE"/>
    <w:rsid w:val="001C52C9"/>
    <w:rsid w:val="001C5701"/>
    <w:rsid w:val="001C58A4"/>
    <w:rsid w:val="001C5E46"/>
    <w:rsid w:val="001C5E68"/>
    <w:rsid w:val="001C66D3"/>
    <w:rsid w:val="001C69F7"/>
    <w:rsid w:val="001C6A5E"/>
    <w:rsid w:val="001C6D05"/>
    <w:rsid w:val="001C6E2E"/>
    <w:rsid w:val="001C6E85"/>
    <w:rsid w:val="001C6F27"/>
    <w:rsid w:val="001C71BB"/>
    <w:rsid w:val="001C71F3"/>
    <w:rsid w:val="001C7275"/>
    <w:rsid w:val="001C76F9"/>
    <w:rsid w:val="001C7C24"/>
    <w:rsid w:val="001C7C82"/>
    <w:rsid w:val="001C7E1D"/>
    <w:rsid w:val="001D009F"/>
    <w:rsid w:val="001D0103"/>
    <w:rsid w:val="001D01F3"/>
    <w:rsid w:val="001D021C"/>
    <w:rsid w:val="001D0278"/>
    <w:rsid w:val="001D02AC"/>
    <w:rsid w:val="001D030D"/>
    <w:rsid w:val="001D0390"/>
    <w:rsid w:val="001D067B"/>
    <w:rsid w:val="001D06EF"/>
    <w:rsid w:val="001D0862"/>
    <w:rsid w:val="001D09CE"/>
    <w:rsid w:val="001D0BC5"/>
    <w:rsid w:val="001D0F7C"/>
    <w:rsid w:val="001D0F87"/>
    <w:rsid w:val="001D13A3"/>
    <w:rsid w:val="001D1467"/>
    <w:rsid w:val="001D1B35"/>
    <w:rsid w:val="001D1C22"/>
    <w:rsid w:val="001D1C65"/>
    <w:rsid w:val="001D1DBE"/>
    <w:rsid w:val="001D1E81"/>
    <w:rsid w:val="001D1FEB"/>
    <w:rsid w:val="001D1FF2"/>
    <w:rsid w:val="001D20D2"/>
    <w:rsid w:val="001D2326"/>
    <w:rsid w:val="001D2395"/>
    <w:rsid w:val="001D25E3"/>
    <w:rsid w:val="001D26E0"/>
    <w:rsid w:val="001D28D8"/>
    <w:rsid w:val="001D2C09"/>
    <w:rsid w:val="001D2C1A"/>
    <w:rsid w:val="001D2FBA"/>
    <w:rsid w:val="001D30D5"/>
    <w:rsid w:val="001D3226"/>
    <w:rsid w:val="001D3398"/>
    <w:rsid w:val="001D36B5"/>
    <w:rsid w:val="001D3775"/>
    <w:rsid w:val="001D38BF"/>
    <w:rsid w:val="001D3ACC"/>
    <w:rsid w:val="001D3CCB"/>
    <w:rsid w:val="001D3D6C"/>
    <w:rsid w:val="001D416F"/>
    <w:rsid w:val="001D4215"/>
    <w:rsid w:val="001D43B3"/>
    <w:rsid w:val="001D4445"/>
    <w:rsid w:val="001D46B9"/>
    <w:rsid w:val="001D477D"/>
    <w:rsid w:val="001D47DC"/>
    <w:rsid w:val="001D497D"/>
    <w:rsid w:val="001D4BE1"/>
    <w:rsid w:val="001D4C05"/>
    <w:rsid w:val="001D52B1"/>
    <w:rsid w:val="001D52C7"/>
    <w:rsid w:val="001D54C4"/>
    <w:rsid w:val="001D5537"/>
    <w:rsid w:val="001D57FB"/>
    <w:rsid w:val="001D598F"/>
    <w:rsid w:val="001D5BFC"/>
    <w:rsid w:val="001D5C62"/>
    <w:rsid w:val="001D624A"/>
    <w:rsid w:val="001D653B"/>
    <w:rsid w:val="001D66C5"/>
    <w:rsid w:val="001D66CF"/>
    <w:rsid w:val="001D68D2"/>
    <w:rsid w:val="001D6A16"/>
    <w:rsid w:val="001D6B1F"/>
    <w:rsid w:val="001D6B27"/>
    <w:rsid w:val="001D6C97"/>
    <w:rsid w:val="001D6DAF"/>
    <w:rsid w:val="001D6FA0"/>
    <w:rsid w:val="001D70F8"/>
    <w:rsid w:val="001D7139"/>
    <w:rsid w:val="001D7656"/>
    <w:rsid w:val="001D7813"/>
    <w:rsid w:val="001D78F3"/>
    <w:rsid w:val="001D7915"/>
    <w:rsid w:val="001D7C4C"/>
    <w:rsid w:val="001D7ED0"/>
    <w:rsid w:val="001D7EDE"/>
    <w:rsid w:val="001D7FD8"/>
    <w:rsid w:val="001E007B"/>
    <w:rsid w:val="001E0106"/>
    <w:rsid w:val="001E0322"/>
    <w:rsid w:val="001E055F"/>
    <w:rsid w:val="001E0B19"/>
    <w:rsid w:val="001E0E1C"/>
    <w:rsid w:val="001E0E45"/>
    <w:rsid w:val="001E0ED6"/>
    <w:rsid w:val="001E1127"/>
    <w:rsid w:val="001E115C"/>
    <w:rsid w:val="001E1251"/>
    <w:rsid w:val="001E13E4"/>
    <w:rsid w:val="001E16E5"/>
    <w:rsid w:val="001E171E"/>
    <w:rsid w:val="001E1A8F"/>
    <w:rsid w:val="001E1CB8"/>
    <w:rsid w:val="001E1F5D"/>
    <w:rsid w:val="001E21E5"/>
    <w:rsid w:val="001E2221"/>
    <w:rsid w:val="001E23F4"/>
    <w:rsid w:val="001E25EE"/>
    <w:rsid w:val="001E267B"/>
    <w:rsid w:val="001E2702"/>
    <w:rsid w:val="001E279B"/>
    <w:rsid w:val="001E28AC"/>
    <w:rsid w:val="001E2A4B"/>
    <w:rsid w:val="001E2C72"/>
    <w:rsid w:val="001E2E6D"/>
    <w:rsid w:val="001E30DB"/>
    <w:rsid w:val="001E31F4"/>
    <w:rsid w:val="001E3375"/>
    <w:rsid w:val="001E3621"/>
    <w:rsid w:val="001E38BE"/>
    <w:rsid w:val="001E3B92"/>
    <w:rsid w:val="001E3BC9"/>
    <w:rsid w:val="001E3DD5"/>
    <w:rsid w:val="001E3E3A"/>
    <w:rsid w:val="001E4046"/>
    <w:rsid w:val="001E41AB"/>
    <w:rsid w:val="001E452D"/>
    <w:rsid w:val="001E4ACC"/>
    <w:rsid w:val="001E4C7F"/>
    <w:rsid w:val="001E4E8B"/>
    <w:rsid w:val="001E52A7"/>
    <w:rsid w:val="001E53EF"/>
    <w:rsid w:val="001E54AD"/>
    <w:rsid w:val="001E55E1"/>
    <w:rsid w:val="001E568A"/>
    <w:rsid w:val="001E568E"/>
    <w:rsid w:val="001E585B"/>
    <w:rsid w:val="001E5A13"/>
    <w:rsid w:val="001E5AE9"/>
    <w:rsid w:val="001E5CDC"/>
    <w:rsid w:val="001E5F5B"/>
    <w:rsid w:val="001E624E"/>
    <w:rsid w:val="001E6351"/>
    <w:rsid w:val="001E6509"/>
    <w:rsid w:val="001E69B8"/>
    <w:rsid w:val="001E6B14"/>
    <w:rsid w:val="001E6BF2"/>
    <w:rsid w:val="001E7155"/>
    <w:rsid w:val="001E76BB"/>
    <w:rsid w:val="001E76BF"/>
    <w:rsid w:val="001E77CC"/>
    <w:rsid w:val="001E7B81"/>
    <w:rsid w:val="001E7EBC"/>
    <w:rsid w:val="001E7FDC"/>
    <w:rsid w:val="001F016F"/>
    <w:rsid w:val="001F019C"/>
    <w:rsid w:val="001F05D7"/>
    <w:rsid w:val="001F05DA"/>
    <w:rsid w:val="001F065D"/>
    <w:rsid w:val="001F0D0D"/>
    <w:rsid w:val="001F0E3D"/>
    <w:rsid w:val="001F1320"/>
    <w:rsid w:val="001F1334"/>
    <w:rsid w:val="001F154E"/>
    <w:rsid w:val="001F168F"/>
    <w:rsid w:val="001F16A0"/>
    <w:rsid w:val="001F18E2"/>
    <w:rsid w:val="001F1B65"/>
    <w:rsid w:val="001F1E0D"/>
    <w:rsid w:val="001F22B5"/>
    <w:rsid w:val="001F25BB"/>
    <w:rsid w:val="001F267C"/>
    <w:rsid w:val="001F2A11"/>
    <w:rsid w:val="001F2B84"/>
    <w:rsid w:val="001F2CFF"/>
    <w:rsid w:val="001F325F"/>
    <w:rsid w:val="001F3438"/>
    <w:rsid w:val="001F3956"/>
    <w:rsid w:val="001F4076"/>
    <w:rsid w:val="001F42F5"/>
    <w:rsid w:val="001F4609"/>
    <w:rsid w:val="001F48B8"/>
    <w:rsid w:val="001F4B2C"/>
    <w:rsid w:val="001F4DAB"/>
    <w:rsid w:val="001F5126"/>
    <w:rsid w:val="001F5220"/>
    <w:rsid w:val="001F5482"/>
    <w:rsid w:val="001F56BC"/>
    <w:rsid w:val="001F5725"/>
    <w:rsid w:val="001F58C7"/>
    <w:rsid w:val="001F59D6"/>
    <w:rsid w:val="001F5C34"/>
    <w:rsid w:val="001F5CD7"/>
    <w:rsid w:val="001F6468"/>
    <w:rsid w:val="001F6489"/>
    <w:rsid w:val="001F6A52"/>
    <w:rsid w:val="001F6BA0"/>
    <w:rsid w:val="001F6CEA"/>
    <w:rsid w:val="001F7184"/>
    <w:rsid w:val="001F751D"/>
    <w:rsid w:val="001F7591"/>
    <w:rsid w:val="001F75CB"/>
    <w:rsid w:val="001F769F"/>
    <w:rsid w:val="001F7795"/>
    <w:rsid w:val="001F7860"/>
    <w:rsid w:val="001F7D84"/>
    <w:rsid w:val="001F7E75"/>
    <w:rsid w:val="00200127"/>
    <w:rsid w:val="00200255"/>
    <w:rsid w:val="002002E6"/>
    <w:rsid w:val="0020041F"/>
    <w:rsid w:val="00200447"/>
    <w:rsid w:val="002004B6"/>
    <w:rsid w:val="002004BC"/>
    <w:rsid w:val="002004CD"/>
    <w:rsid w:val="002006F1"/>
    <w:rsid w:val="0020075A"/>
    <w:rsid w:val="00200894"/>
    <w:rsid w:val="00200A61"/>
    <w:rsid w:val="00200AEA"/>
    <w:rsid w:val="00200B50"/>
    <w:rsid w:val="0020110C"/>
    <w:rsid w:val="00201131"/>
    <w:rsid w:val="00201274"/>
    <w:rsid w:val="002014C4"/>
    <w:rsid w:val="002016B5"/>
    <w:rsid w:val="0020173C"/>
    <w:rsid w:val="00201C00"/>
    <w:rsid w:val="00201E9D"/>
    <w:rsid w:val="00201F9A"/>
    <w:rsid w:val="00201F9D"/>
    <w:rsid w:val="00202016"/>
    <w:rsid w:val="002022C6"/>
    <w:rsid w:val="002023C7"/>
    <w:rsid w:val="002029E1"/>
    <w:rsid w:val="00202BA0"/>
    <w:rsid w:val="00202E2F"/>
    <w:rsid w:val="00203037"/>
    <w:rsid w:val="002031B4"/>
    <w:rsid w:val="00203358"/>
    <w:rsid w:val="00203554"/>
    <w:rsid w:val="002035F6"/>
    <w:rsid w:val="00203610"/>
    <w:rsid w:val="002038C7"/>
    <w:rsid w:val="0020398D"/>
    <w:rsid w:val="00203AAD"/>
    <w:rsid w:val="00203BAD"/>
    <w:rsid w:val="00203BDD"/>
    <w:rsid w:val="00203BF8"/>
    <w:rsid w:val="00203CE6"/>
    <w:rsid w:val="00203E52"/>
    <w:rsid w:val="00203F6A"/>
    <w:rsid w:val="00204180"/>
    <w:rsid w:val="00204871"/>
    <w:rsid w:val="00204AA0"/>
    <w:rsid w:val="00204B34"/>
    <w:rsid w:val="00204CF8"/>
    <w:rsid w:val="00204D1C"/>
    <w:rsid w:val="00204E2E"/>
    <w:rsid w:val="002050F5"/>
    <w:rsid w:val="002050F6"/>
    <w:rsid w:val="00205163"/>
    <w:rsid w:val="00205205"/>
    <w:rsid w:val="0020554D"/>
    <w:rsid w:val="002056B7"/>
    <w:rsid w:val="00205787"/>
    <w:rsid w:val="002058A5"/>
    <w:rsid w:val="0020590A"/>
    <w:rsid w:val="00205C2F"/>
    <w:rsid w:val="00205D1E"/>
    <w:rsid w:val="00205D28"/>
    <w:rsid w:val="00205D86"/>
    <w:rsid w:val="00205F0D"/>
    <w:rsid w:val="00206075"/>
    <w:rsid w:val="002060E5"/>
    <w:rsid w:val="002064BC"/>
    <w:rsid w:val="002068A9"/>
    <w:rsid w:val="0020695F"/>
    <w:rsid w:val="00206D3C"/>
    <w:rsid w:val="0020741F"/>
    <w:rsid w:val="002075C6"/>
    <w:rsid w:val="002075FB"/>
    <w:rsid w:val="002076C3"/>
    <w:rsid w:val="002077DA"/>
    <w:rsid w:val="002077F2"/>
    <w:rsid w:val="00207A57"/>
    <w:rsid w:val="00207AAC"/>
    <w:rsid w:val="00207B36"/>
    <w:rsid w:val="00207B4A"/>
    <w:rsid w:val="00210254"/>
    <w:rsid w:val="00210366"/>
    <w:rsid w:val="00210367"/>
    <w:rsid w:val="00210429"/>
    <w:rsid w:val="0021044D"/>
    <w:rsid w:val="00210768"/>
    <w:rsid w:val="00210790"/>
    <w:rsid w:val="00210E1F"/>
    <w:rsid w:val="00210FF2"/>
    <w:rsid w:val="00211530"/>
    <w:rsid w:val="002119BB"/>
    <w:rsid w:val="00211BE6"/>
    <w:rsid w:val="00211F61"/>
    <w:rsid w:val="0021201F"/>
    <w:rsid w:val="00212309"/>
    <w:rsid w:val="00212365"/>
    <w:rsid w:val="00212442"/>
    <w:rsid w:val="00212459"/>
    <w:rsid w:val="0021259D"/>
    <w:rsid w:val="0021274D"/>
    <w:rsid w:val="00212BB3"/>
    <w:rsid w:val="0021302E"/>
    <w:rsid w:val="002133BB"/>
    <w:rsid w:val="00213494"/>
    <w:rsid w:val="00213520"/>
    <w:rsid w:val="00213526"/>
    <w:rsid w:val="002135FD"/>
    <w:rsid w:val="00213878"/>
    <w:rsid w:val="0021388A"/>
    <w:rsid w:val="00213B25"/>
    <w:rsid w:val="00213C91"/>
    <w:rsid w:val="00213CE9"/>
    <w:rsid w:val="00213DD3"/>
    <w:rsid w:val="00213E96"/>
    <w:rsid w:val="00214131"/>
    <w:rsid w:val="002141A9"/>
    <w:rsid w:val="002142DB"/>
    <w:rsid w:val="002143DE"/>
    <w:rsid w:val="00214850"/>
    <w:rsid w:val="0021485D"/>
    <w:rsid w:val="00214BA0"/>
    <w:rsid w:val="00214CD9"/>
    <w:rsid w:val="00214D12"/>
    <w:rsid w:val="00214D3A"/>
    <w:rsid w:val="00215129"/>
    <w:rsid w:val="0021519D"/>
    <w:rsid w:val="002151B6"/>
    <w:rsid w:val="00215249"/>
    <w:rsid w:val="00215425"/>
    <w:rsid w:val="002155D3"/>
    <w:rsid w:val="00215610"/>
    <w:rsid w:val="0021567F"/>
    <w:rsid w:val="002156C6"/>
    <w:rsid w:val="002156EC"/>
    <w:rsid w:val="00215929"/>
    <w:rsid w:val="00215CBD"/>
    <w:rsid w:val="00215D40"/>
    <w:rsid w:val="00215DDC"/>
    <w:rsid w:val="00215E1A"/>
    <w:rsid w:val="002160F8"/>
    <w:rsid w:val="00216352"/>
    <w:rsid w:val="002169C8"/>
    <w:rsid w:val="00216C12"/>
    <w:rsid w:val="00216D96"/>
    <w:rsid w:val="00216DA0"/>
    <w:rsid w:val="00216EBD"/>
    <w:rsid w:val="002171D0"/>
    <w:rsid w:val="00217491"/>
    <w:rsid w:val="002203A5"/>
    <w:rsid w:val="00220470"/>
    <w:rsid w:val="002205A9"/>
    <w:rsid w:val="0022070D"/>
    <w:rsid w:val="0022071B"/>
    <w:rsid w:val="00220950"/>
    <w:rsid w:val="00220964"/>
    <w:rsid w:val="00220B11"/>
    <w:rsid w:val="00220E27"/>
    <w:rsid w:val="00220EBB"/>
    <w:rsid w:val="00220F59"/>
    <w:rsid w:val="00221047"/>
    <w:rsid w:val="002210A2"/>
    <w:rsid w:val="002210FE"/>
    <w:rsid w:val="00221188"/>
    <w:rsid w:val="002211A9"/>
    <w:rsid w:val="00221228"/>
    <w:rsid w:val="002216FF"/>
    <w:rsid w:val="00221703"/>
    <w:rsid w:val="002217A4"/>
    <w:rsid w:val="002217B6"/>
    <w:rsid w:val="002217C7"/>
    <w:rsid w:val="0022186D"/>
    <w:rsid w:val="00221B13"/>
    <w:rsid w:val="00221B71"/>
    <w:rsid w:val="00221DB0"/>
    <w:rsid w:val="00221DB2"/>
    <w:rsid w:val="00221F83"/>
    <w:rsid w:val="0022213A"/>
    <w:rsid w:val="0022295C"/>
    <w:rsid w:val="00222BB3"/>
    <w:rsid w:val="00222D3A"/>
    <w:rsid w:val="00222EBB"/>
    <w:rsid w:val="00222FAB"/>
    <w:rsid w:val="00223243"/>
    <w:rsid w:val="0022333F"/>
    <w:rsid w:val="00223446"/>
    <w:rsid w:val="00223568"/>
    <w:rsid w:val="002237FC"/>
    <w:rsid w:val="00223819"/>
    <w:rsid w:val="002238F2"/>
    <w:rsid w:val="00223981"/>
    <w:rsid w:val="00223E5C"/>
    <w:rsid w:val="0022401A"/>
    <w:rsid w:val="002240A6"/>
    <w:rsid w:val="00224A5B"/>
    <w:rsid w:val="00224C34"/>
    <w:rsid w:val="00224D97"/>
    <w:rsid w:val="00224FE8"/>
    <w:rsid w:val="00225058"/>
    <w:rsid w:val="00225064"/>
    <w:rsid w:val="00225355"/>
    <w:rsid w:val="00225806"/>
    <w:rsid w:val="002258E2"/>
    <w:rsid w:val="00225B26"/>
    <w:rsid w:val="00225B2A"/>
    <w:rsid w:val="00225B3C"/>
    <w:rsid w:val="00225B71"/>
    <w:rsid w:val="00225DA7"/>
    <w:rsid w:val="00225F7B"/>
    <w:rsid w:val="00226079"/>
    <w:rsid w:val="002262FD"/>
    <w:rsid w:val="00226389"/>
    <w:rsid w:val="002269E4"/>
    <w:rsid w:val="00226A47"/>
    <w:rsid w:val="00226A8C"/>
    <w:rsid w:val="00226A92"/>
    <w:rsid w:val="00226AE0"/>
    <w:rsid w:val="00226E53"/>
    <w:rsid w:val="002274AF"/>
    <w:rsid w:val="00227868"/>
    <w:rsid w:val="00227904"/>
    <w:rsid w:val="0022796C"/>
    <w:rsid w:val="00230009"/>
    <w:rsid w:val="00230020"/>
    <w:rsid w:val="00230297"/>
    <w:rsid w:val="002304E4"/>
    <w:rsid w:val="0023060F"/>
    <w:rsid w:val="0023094C"/>
    <w:rsid w:val="00230CEE"/>
    <w:rsid w:val="00230F23"/>
    <w:rsid w:val="00231320"/>
    <w:rsid w:val="002313D4"/>
    <w:rsid w:val="00231408"/>
    <w:rsid w:val="002314DF"/>
    <w:rsid w:val="0023191E"/>
    <w:rsid w:val="00231A2F"/>
    <w:rsid w:val="00231AFC"/>
    <w:rsid w:val="00231F08"/>
    <w:rsid w:val="00231F6E"/>
    <w:rsid w:val="00232073"/>
    <w:rsid w:val="00232144"/>
    <w:rsid w:val="00232416"/>
    <w:rsid w:val="0023255B"/>
    <w:rsid w:val="00232589"/>
    <w:rsid w:val="00232674"/>
    <w:rsid w:val="002327D6"/>
    <w:rsid w:val="0023282B"/>
    <w:rsid w:val="00232963"/>
    <w:rsid w:val="00232B2C"/>
    <w:rsid w:val="00232B62"/>
    <w:rsid w:val="00232DDF"/>
    <w:rsid w:val="00233021"/>
    <w:rsid w:val="002334C4"/>
    <w:rsid w:val="002334F2"/>
    <w:rsid w:val="0023373B"/>
    <w:rsid w:val="00233770"/>
    <w:rsid w:val="002337A0"/>
    <w:rsid w:val="002337F5"/>
    <w:rsid w:val="0023394D"/>
    <w:rsid w:val="00233D57"/>
    <w:rsid w:val="0023405B"/>
    <w:rsid w:val="00234259"/>
    <w:rsid w:val="0023430D"/>
    <w:rsid w:val="0023462E"/>
    <w:rsid w:val="00234664"/>
    <w:rsid w:val="00234883"/>
    <w:rsid w:val="00234A1D"/>
    <w:rsid w:val="00234BC9"/>
    <w:rsid w:val="00234E11"/>
    <w:rsid w:val="00234E1D"/>
    <w:rsid w:val="00234E64"/>
    <w:rsid w:val="002351B6"/>
    <w:rsid w:val="002353D8"/>
    <w:rsid w:val="00235726"/>
    <w:rsid w:val="00235C41"/>
    <w:rsid w:val="00235C67"/>
    <w:rsid w:val="00235D5F"/>
    <w:rsid w:val="00236320"/>
    <w:rsid w:val="002364BE"/>
    <w:rsid w:val="0023660C"/>
    <w:rsid w:val="00236754"/>
    <w:rsid w:val="002367E4"/>
    <w:rsid w:val="00236834"/>
    <w:rsid w:val="002368A5"/>
    <w:rsid w:val="002369E0"/>
    <w:rsid w:val="00236A14"/>
    <w:rsid w:val="00236BE1"/>
    <w:rsid w:val="00237138"/>
    <w:rsid w:val="0023713C"/>
    <w:rsid w:val="002373A6"/>
    <w:rsid w:val="002373CD"/>
    <w:rsid w:val="0023776B"/>
    <w:rsid w:val="00237A1E"/>
    <w:rsid w:val="00237BFA"/>
    <w:rsid w:val="00237D8F"/>
    <w:rsid w:val="00237ED8"/>
    <w:rsid w:val="00240061"/>
    <w:rsid w:val="0024006C"/>
    <w:rsid w:val="0024039A"/>
    <w:rsid w:val="002403C5"/>
    <w:rsid w:val="00240401"/>
    <w:rsid w:val="0024045C"/>
    <w:rsid w:val="002406A8"/>
    <w:rsid w:val="00240812"/>
    <w:rsid w:val="00240E37"/>
    <w:rsid w:val="0024106B"/>
    <w:rsid w:val="002411CF"/>
    <w:rsid w:val="0024123F"/>
    <w:rsid w:val="00241366"/>
    <w:rsid w:val="00241644"/>
    <w:rsid w:val="00241646"/>
    <w:rsid w:val="002418BC"/>
    <w:rsid w:val="002418E4"/>
    <w:rsid w:val="00241AB9"/>
    <w:rsid w:val="00241AF8"/>
    <w:rsid w:val="0024215F"/>
    <w:rsid w:val="002421A6"/>
    <w:rsid w:val="00242394"/>
    <w:rsid w:val="002423A9"/>
    <w:rsid w:val="00242421"/>
    <w:rsid w:val="00242453"/>
    <w:rsid w:val="0024272D"/>
    <w:rsid w:val="00242756"/>
    <w:rsid w:val="0024285E"/>
    <w:rsid w:val="002431F1"/>
    <w:rsid w:val="002434ED"/>
    <w:rsid w:val="002435B0"/>
    <w:rsid w:val="00243A19"/>
    <w:rsid w:val="00243A3C"/>
    <w:rsid w:val="00243C9D"/>
    <w:rsid w:val="00243D48"/>
    <w:rsid w:val="00243FF6"/>
    <w:rsid w:val="00244311"/>
    <w:rsid w:val="00244357"/>
    <w:rsid w:val="00244619"/>
    <w:rsid w:val="002449CD"/>
    <w:rsid w:val="00244AC6"/>
    <w:rsid w:val="00244BB8"/>
    <w:rsid w:val="00244DAD"/>
    <w:rsid w:val="00244F0D"/>
    <w:rsid w:val="00244F48"/>
    <w:rsid w:val="002450BB"/>
    <w:rsid w:val="00245106"/>
    <w:rsid w:val="0024516E"/>
    <w:rsid w:val="002453DB"/>
    <w:rsid w:val="00245407"/>
    <w:rsid w:val="002457EF"/>
    <w:rsid w:val="00245B0D"/>
    <w:rsid w:val="0024616D"/>
    <w:rsid w:val="00246653"/>
    <w:rsid w:val="002467FF"/>
    <w:rsid w:val="00246B02"/>
    <w:rsid w:val="00246CD3"/>
    <w:rsid w:val="00246E40"/>
    <w:rsid w:val="00246EDF"/>
    <w:rsid w:val="00247167"/>
    <w:rsid w:val="00247306"/>
    <w:rsid w:val="002474A6"/>
    <w:rsid w:val="002478E7"/>
    <w:rsid w:val="00247BDB"/>
    <w:rsid w:val="00247D7D"/>
    <w:rsid w:val="00250263"/>
    <w:rsid w:val="0025041E"/>
    <w:rsid w:val="0025056E"/>
    <w:rsid w:val="002505D6"/>
    <w:rsid w:val="00250651"/>
    <w:rsid w:val="00250655"/>
    <w:rsid w:val="00250DF5"/>
    <w:rsid w:val="00251085"/>
    <w:rsid w:val="002510FC"/>
    <w:rsid w:val="00251156"/>
    <w:rsid w:val="002512E5"/>
    <w:rsid w:val="00251706"/>
    <w:rsid w:val="00251B57"/>
    <w:rsid w:val="00251DAA"/>
    <w:rsid w:val="00252278"/>
    <w:rsid w:val="002522A6"/>
    <w:rsid w:val="0025242A"/>
    <w:rsid w:val="002524D1"/>
    <w:rsid w:val="0025266C"/>
    <w:rsid w:val="00252A28"/>
    <w:rsid w:val="00252AFE"/>
    <w:rsid w:val="00252E29"/>
    <w:rsid w:val="00252E2B"/>
    <w:rsid w:val="00252F15"/>
    <w:rsid w:val="00252F30"/>
    <w:rsid w:val="0025312C"/>
    <w:rsid w:val="002532ED"/>
    <w:rsid w:val="0025340F"/>
    <w:rsid w:val="0025349D"/>
    <w:rsid w:val="0025367F"/>
    <w:rsid w:val="002536FC"/>
    <w:rsid w:val="002537CD"/>
    <w:rsid w:val="00253ADC"/>
    <w:rsid w:val="00253AEA"/>
    <w:rsid w:val="00253DCF"/>
    <w:rsid w:val="00254623"/>
    <w:rsid w:val="00254947"/>
    <w:rsid w:val="00254A45"/>
    <w:rsid w:val="00254CE4"/>
    <w:rsid w:val="00254DA3"/>
    <w:rsid w:val="00254F80"/>
    <w:rsid w:val="002550D4"/>
    <w:rsid w:val="002552CF"/>
    <w:rsid w:val="002552FC"/>
    <w:rsid w:val="0025539F"/>
    <w:rsid w:val="002555A9"/>
    <w:rsid w:val="00255612"/>
    <w:rsid w:val="00255766"/>
    <w:rsid w:val="002558DA"/>
    <w:rsid w:val="00255995"/>
    <w:rsid w:val="00255A93"/>
    <w:rsid w:val="00255D99"/>
    <w:rsid w:val="00255FA6"/>
    <w:rsid w:val="002560EC"/>
    <w:rsid w:val="00256521"/>
    <w:rsid w:val="00256765"/>
    <w:rsid w:val="00256B47"/>
    <w:rsid w:val="00256DED"/>
    <w:rsid w:val="00256DF4"/>
    <w:rsid w:val="0025706B"/>
    <w:rsid w:val="0025741F"/>
    <w:rsid w:val="002578F4"/>
    <w:rsid w:val="00257E8A"/>
    <w:rsid w:val="00257F5F"/>
    <w:rsid w:val="0026040B"/>
    <w:rsid w:val="00260A53"/>
    <w:rsid w:val="00260C5C"/>
    <w:rsid w:val="00260E9A"/>
    <w:rsid w:val="00261173"/>
    <w:rsid w:val="00261275"/>
    <w:rsid w:val="00261442"/>
    <w:rsid w:val="0026182A"/>
    <w:rsid w:val="0026182D"/>
    <w:rsid w:val="0026191C"/>
    <w:rsid w:val="002621E8"/>
    <w:rsid w:val="0026233F"/>
    <w:rsid w:val="0026248B"/>
    <w:rsid w:val="002625D9"/>
    <w:rsid w:val="00262A4D"/>
    <w:rsid w:val="00262B70"/>
    <w:rsid w:val="00262D33"/>
    <w:rsid w:val="00262F0D"/>
    <w:rsid w:val="0026309F"/>
    <w:rsid w:val="002633AD"/>
    <w:rsid w:val="002633B8"/>
    <w:rsid w:val="002635F7"/>
    <w:rsid w:val="00263B42"/>
    <w:rsid w:val="00263B51"/>
    <w:rsid w:val="00263C6E"/>
    <w:rsid w:val="00263E97"/>
    <w:rsid w:val="00264116"/>
    <w:rsid w:val="002644AD"/>
    <w:rsid w:val="00264650"/>
    <w:rsid w:val="00264696"/>
    <w:rsid w:val="00264AC6"/>
    <w:rsid w:val="00264AD1"/>
    <w:rsid w:val="00264D1C"/>
    <w:rsid w:val="00264FC0"/>
    <w:rsid w:val="00265139"/>
    <w:rsid w:val="00265239"/>
    <w:rsid w:val="00265585"/>
    <w:rsid w:val="00265866"/>
    <w:rsid w:val="00265A5D"/>
    <w:rsid w:val="00265AC2"/>
    <w:rsid w:val="00265AD5"/>
    <w:rsid w:val="00265FFE"/>
    <w:rsid w:val="002661A7"/>
    <w:rsid w:val="00266509"/>
    <w:rsid w:val="00266BDA"/>
    <w:rsid w:val="00266DD5"/>
    <w:rsid w:val="00266E02"/>
    <w:rsid w:val="00267014"/>
    <w:rsid w:val="002673A0"/>
    <w:rsid w:val="00267643"/>
    <w:rsid w:val="00267711"/>
    <w:rsid w:val="0026775A"/>
    <w:rsid w:val="00267837"/>
    <w:rsid w:val="00267840"/>
    <w:rsid w:val="002678D1"/>
    <w:rsid w:val="00267A1E"/>
    <w:rsid w:val="00267EC5"/>
    <w:rsid w:val="0027003F"/>
    <w:rsid w:val="002702D1"/>
    <w:rsid w:val="002704EA"/>
    <w:rsid w:val="0027063B"/>
    <w:rsid w:val="002707B3"/>
    <w:rsid w:val="00270C29"/>
    <w:rsid w:val="00270C3D"/>
    <w:rsid w:val="00270FBD"/>
    <w:rsid w:val="0027102D"/>
    <w:rsid w:val="0027135E"/>
    <w:rsid w:val="00271786"/>
    <w:rsid w:val="002717B9"/>
    <w:rsid w:val="002718F5"/>
    <w:rsid w:val="00271CAA"/>
    <w:rsid w:val="00272019"/>
    <w:rsid w:val="00272215"/>
    <w:rsid w:val="0027293C"/>
    <w:rsid w:val="00272A45"/>
    <w:rsid w:val="00272B1C"/>
    <w:rsid w:val="00272BE3"/>
    <w:rsid w:val="00272D72"/>
    <w:rsid w:val="00272E0E"/>
    <w:rsid w:val="00272ED7"/>
    <w:rsid w:val="00272FB0"/>
    <w:rsid w:val="00273010"/>
    <w:rsid w:val="00273038"/>
    <w:rsid w:val="002731E4"/>
    <w:rsid w:val="0027328F"/>
    <w:rsid w:val="00273598"/>
    <w:rsid w:val="002739A2"/>
    <w:rsid w:val="00273F5A"/>
    <w:rsid w:val="00274036"/>
    <w:rsid w:val="00274085"/>
    <w:rsid w:val="00274196"/>
    <w:rsid w:val="00274201"/>
    <w:rsid w:val="00274842"/>
    <w:rsid w:val="00274843"/>
    <w:rsid w:val="00274869"/>
    <w:rsid w:val="00274A9C"/>
    <w:rsid w:val="00274AB4"/>
    <w:rsid w:val="00274C90"/>
    <w:rsid w:val="00274CEE"/>
    <w:rsid w:val="00274DAD"/>
    <w:rsid w:val="00275100"/>
    <w:rsid w:val="0027541C"/>
    <w:rsid w:val="002757A3"/>
    <w:rsid w:val="002758D2"/>
    <w:rsid w:val="002759A3"/>
    <w:rsid w:val="00275C89"/>
    <w:rsid w:val="00276248"/>
    <w:rsid w:val="002762DB"/>
    <w:rsid w:val="0027645F"/>
    <w:rsid w:val="002766E3"/>
    <w:rsid w:val="002766E5"/>
    <w:rsid w:val="00276B0F"/>
    <w:rsid w:val="00276CF9"/>
    <w:rsid w:val="00276F72"/>
    <w:rsid w:val="00277156"/>
    <w:rsid w:val="002772BA"/>
    <w:rsid w:val="00277330"/>
    <w:rsid w:val="00277389"/>
    <w:rsid w:val="0027740A"/>
    <w:rsid w:val="0027745B"/>
    <w:rsid w:val="0027745D"/>
    <w:rsid w:val="002778BD"/>
    <w:rsid w:val="0027794F"/>
    <w:rsid w:val="00277BE4"/>
    <w:rsid w:val="00277DC9"/>
    <w:rsid w:val="00277E90"/>
    <w:rsid w:val="00277EDE"/>
    <w:rsid w:val="00277F17"/>
    <w:rsid w:val="00280002"/>
    <w:rsid w:val="0028017D"/>
    <w:rsid w:val="002802B0"/>
    <w:rsid w:val="0028039B"/>
    <w:rsid w:val="0028064D"/>
    <w:rsid w:val="0028069B"/>
    <w:rsid w:val="002808A9"/>
    <w:rsid w:val="00280962"/>
    <w:rsid w:val="00280A99"/>
    <w:rsid w:val="00280A9D"/>
    <w:rsid w:val="00280B78"/>
    <w:rsid w:val="00280F33"/>
    <w:rsid w:val="00280F7B"/>
    <w:rsid w:val="0028120C"/>
    <w:rsid w:val="00281289"/>
    <w:rsid w:val="00281474"/>
    <w:rsid w:val="00281A0A"/>
    <w:rsid w:val="00281A2D"/>
    <w:rsid w:val="00281B95"/>
    <w:rsid w:val="00281C69"/>
    <w:rsid w:val="00281CCF"/>
    <w:rsid w:val="00281CEE"/>
    <w:rsid w:val="00281DD2"/>
    <w:rsid w:val="00282363"/>
    <w:rsid w:val="0028240E"/>
    <w:rsid w:val="00282471"/>
    <w:rsid w:val="00282652"/>
    <w:rsid w:val="002828D5"/>
    <w:rsid w:val="00282956"/>
    <w:rsid w:val="00282A24"/>
    <w:rsid w:val="00282EDB"/>
    <w:rsid w:val="00283598"/>
    <w:rsid w:val="002835BE"/>
    <w:rsid w:val="002835CE"/>
    <w:rsid w:val="00283694"/>
    <w:rsid w:val="002836BA"/>
    <w:rsid w:val="0028397E"/>
    <w:rsid w:val="00283BE3"/>
    <w:rsid w:val="00283FE8"/>
    <w:rsid w:val="00284051"/>
    <w:rsid w:val="002840FB"/>
    <w:rsid w:val="0028418C"/>
    <w:rsid w:val="002842EC"/>
    <w:rsid w:val="002845D6"/>
    <w:rsid w:val="0028468B"/>
    <w:rsid w:val="00284807"/>
    <w:rsid w:val="002848AC"/>
    <w:rsid w:val="00284936"/>
    <w:rsid w:val="00284AC1"/>
    <w:rsid w:val="00285709"/>
    <w:rsid w:val="0028579D"/>
    <w:rsid w:val="00285CAA"/>
    <w:rsid w:val="00285CB0"/>
    <w:rsid w:val="0028690F"/>
    <w:rsid w:val="00286B26"/>
    <w:rsid w:val="00286F85"/>
    <w:rsid w:val="00286FD9"/>
    <w:rsid w:val="002870DB"/>
    <w:rsid w:val="002871DF"/>
    <w:rsid w:val="002872F3"/>
    <w:rsid w:val="002874AE"/>
    <w:rsid w:val="002878D4"/>
    <w:rsid w:val="002879DE"/>
    <w:rsid w:val="00287B6C"/>
    <w:rsid w:val="00287DCD"/>
    <w:rsid w:val="002902CF"/>
    <w:rsid w:val="00290773"/>
    <w:rsid w:val="002908F9"/>
    <w:rsid w:val="00290A0E"/>
    <w:rsid w:val="00290A22"/>
    <w:rsid w:val="00290D12"/>
    <w:rsid w:val="00291101"/>
    <w:rsid w:val="002912F4"/>
    <w:rsid w:val="00291554"/>
    <w:rsid w:val="0029156A"/>
    <w:rsid w:val="002917B3"/>
    <w:rsid w:val="0029189F"/>
    <w:rsid w:val="00291BBC"/>
    <w:rsid w:val="00291C0F"/>
    <w:rsid w:val="002920B3"/>
    <w:rsid w:val="00292262"/>
    <w:rsid w:val="00292293"/>
    <w:rsid w:val="00292817"/>
    <w:rsid w:val="00292955"/>
    <w:rsid w:val="00292B18"/>
    <w:rsid w:val="00292CC5"/>
    <w:rsid w:val="00292CFD"/>
    <w:rsid w:val="002930AA"/>
    <w:rsid w:val="00293363"/>
    <w:rsid w:val="00293364"/>
    <w:rsid w:val="002934D1"/>
    <w:rsid w:val="002934F0"/>
    <w:rsid w:val="002935B7"/>
    <w:rsid w:val="0029361F"/>
    <w:rsid w:val="00293681"/>
    <w:rsid w:val="00293760"/>
    <w:rsid w:val="0029392A"/>
    <w:rsid w:val="00293C73"/>
    <w:rsid w:val="00293E63"/>
    <w:rsid w:val="00293EC5"/>
    <w:rsid w:val="00293FC1"/>
    <w:rsid w:val="0029409D"/>
    <w:rsid w:val="00294145"/>
    <w:rsid w:val="0029426A"/>
    <w:rsid w:val="002944CC"/>
    <w:rsid w:val="0029471B"/>
    <w:rsid w:val="002949DC"/>
    <w:rsid w:val="002952C4"/>
    <w:rsid w:val="00295361"/>
    <w:rsid w:val="002954F8"/>
    <w:rsid w:val="00295783"/>
    <w:rsid w:val="0029627B"/>
    <w:rsid w:val="00296C8F"/>
    <w:rsid w:val="00296CD3"/>
    <w:rsid w:val="0029723C"/>
    <w:rsid w:val="002973AA"/>
    <w:rsid w:val="00297716"/>
    <w:rsid w:val="0029776D"/>
    <w:rsid w:val="002979FD"/>
    <w:rsid w:val="00297A4B"/>
    <w:rsid w:val="002A03B6"/>
    <w:rsid w:val="002A0905"/>
    <w:rsid w:val="002A0979"/>
    <w:rsid w:val="002A0CF5"/>
    <w:rsid w:val="002A0D14"/>
    <w:rsid w:val="002A152E"/>
    <w:rsid w:val="002A192A"/>
    <w:rsid w:val="002A1B6A"/>
    <w:rsid w:val="002A1C25"/>
    <w:rsid w:val="002A1C3A"/>
    <w:rsid w:val="002A1CF3"/>
    <w:rsid w:val="002A201A"/>
    <w:rsid w:val="002A23DC"/>
    <w:rsid w:val="002A2671"/>
    <w:rsid w:val="002A2846"/>
    <w:rsid w:val="002A28E7"/>
    <w:rsid w:val="002A2BB8"/>
    <w:rsid w:val="002A2C74"/>
    <w:rsid w:val="002A2DD4"/>
    <w:rsid w:val="002A2EDE"/>
    <w:rsid w:val="002A3140"/>
    <w:rsid w:val="002A3167"/>
    <w:rsid w:val="002A33F5"/>
    <w:rsid w:val="002A35E2"/>
    <w:rsid w:val="002A35E9"/>
    <w:rsid w:val="002A3978"/>
    <w:rsid w:val="002A3E54"/>
    <w:rsid w:val="002A418D"/>
    <w:rsid w:val="002A4352"/>
    <w:rsid w:val="002A44A8"/>
    <w:rsid w:val="002A44AE"/>
    <w:rsid w:val="002A46D5"/>
    <w:rsid w:val="002A46EF"/>
    <w:rsid w:val="002A4A87"/>
    <w:rsid w:val="002A4E6F"/>
    <w:rsid w:val="002A5211"/>
    <w:rsid w:val="002A5380"/>
    <w:rsid w:val="002A5633"/>
    <w:rsid w:val="002A57FB"/>
    <w:rsid w:val="002A5B54"/>
    <w:rsid w:val="002A5B94"/>
    <w:rsid w:val="002A5D0F"/>
    <w:rsid w:val="002A5DBD"/>
    <w:rsid w:val="002A5E16"/>
    <w:rsid w:val="002A6642"/>
    <w:rsid w:val="002A682E"/>
    <w:rsid w:val="002A692F"/>
    <w:rsid w:val="002A6A88"/>
    <w:rsid w:val="002A6BEE"/>
    <w:rsid w:val="002A70B2"/>
    <w:rsid w:val="002A7221"/>
    <w:rsid w:val="002A72D5"/>
    <w:rsid w:val="002A74AC"/>
    <w:rsid w:val="002A74E4"/>
    <w:rsid w:val="002A761C"/>
    <w:rsid w:val="002A7697"/>
    <w:rsid w:val="002A7A3F"/>
    <w:rsid w:val="002A7B71"/>
    <w:rsid w:val="002A7F96"/>
    <w:rsid w:val="002A7FCE"/>
    <w:rsid w:val="002B02EB"/>
    <w:rsid w:val="002B033D"/>
    <w:rsid w:val="002B05DA"/>
    <w:rsid w:val="002B0697"/>
    <w:rsid w:val="002B06C9"/>
    <w:rsid w:val="002B13EC"/>
    <w:rsid w:val="002B13FD"/>
    <w:rsid w:val="002B1459"/>
    <w:rsid w:val="002B17A7"/>
    <w:rsid w:val="002B1A63"/>
    <w:rsid w:val="002B1ACD"/>
    <w:rsid w:val="002B1F93"/>
    <w:rsid w:val="002B21A3"/>
    <w:rsid w:val="002B21EF"/>
    <w:rsid w:val="002B21FD"/>
    <w:rsid w:val="002B2503"/>
    <w:rsid w:val="002B2560"/>
    <w:rsid w:val="002B25F0"/>
    <w:rsid w:val="002B261C"/>
    <w:rsid w:val="002B28A0"/>
    <w:rsid w:val="002B292A"/>
    <w:rsid w:val="002B2C5C"/>
    <w:rsid w:val="002B2E53"/>
    <w:rsid w:val="002B2E97"/>
    <w:rsid w:val="002B2FC3"/>
    <w:rsid w:val="002B301D"/>
    <w:rsid w:val="002B303C"/>
    <w:rsid w:val="002B3044"/>
    <w:rsid w:val="002B3307"/>
    <w:rsid w:val="002B34DA"/>
    <w:rsid w:val="002B38D3"/>
    <w:rsid w:val="002B3B02"/>
    <w:rsid w:val="002B432F"/>
    <w:rsid w:val="002B45FD"/>
    <w:rsid w:val="002B4804"/>
    <w:rsid w:val="002B495A"/>
    <w:rsid w:val="002B4DA6"/>
    <w:rsid w:val="002B4E10"/>
    <w:rsid w:val="002B4E82"/>
    <w:rsid w:val="002B4F24"/>
    <w:rsid w:val="002B525A"/>
    <w:rsid w:val="002B5325"/>
    <w:rsid w:val="002B5714"/>
    <w:rsid w:val="002B5A0E"/>
    <w:rsid w:val="002B5BAD"/>
    <w:rsid w:val="002B5DD2"/>
    <w:rsid w:val="002B5E6E"/>
    <w:rsid w:val="002B60F3"/>
    <w:rsid w:val="002B6265"/>
    <w:rsid w:val="002B636F"/>
    <w:rsid w:val="002B6477"/>
    <w:rsid w:val="002B64C8"/>
    <w:rsid w:val="002B67E2"/>
    <w:rsid w:val="002B742A"/>
    <w:rsid w:val="002B771A"/>
    <w:rsid w:val="002B77F4"/>
    <w:rsid w:val="002B7818"/>
    <w:rsid w:val="002B7C62"/>
    <w:rsid w:val="002B7F1A"/>
    <w:rsid w:val="002B7FA5"/>
    <w:rsid w:val="002C0076"/>
    <w:rsid w:val="002C049C"/>
    <w:rsid w:val="002C06B9"/>
    <w:rsid w:val="002C082C"/>
    <w:rsid w:val="002C0A35"/>
    <w:rsid w:val="002C0DE0"/>
    <w:rsid w:val="002C1082"/>
    <w:rsid w:val="002C10E1"/>
    <w:rsid w:val="002C1270"/>
    <w:rsid w:val="002C1768"/>
    <w:rsid w:val="002C17CA"/>
    <w:rsid w:val="002C1820"/>
    <w:rsid w:val="002C1A9A"/>
    <w:rsid w:val="002C1DCF"/>
    <w:rsid w:val="002C2576"/>
    <w:rsid w:val="002C264D"/>
    <w:rsid w:val="002C2C5D"/>
    <w:rsid w:val="002C2CAC"/>
    <w:rsid w:val="002C2D90"/>
    <w:rsid w:val="002C2F11"/>
    <w:rsid w:val="002C30F3"/>
    <w:rsid w:val="002C368B"/>
    <w:rsid w:val="002C389F"/>
    <w:rsid w:val="002C38AF"/>
    <w:rsid w:val="002C3E87"/>
    <w:rsid w:val="002C4058"/>
    <w:rsid w:val="002C4358"/>
    <w:rsid w:val="002C4541"/>
    <w:rsid w:val="002C4836"/>
    <w:rsid w:val="002C488D"/>
    <w:rsid w:val="002C4893"/>
    <w:rsid w:val="002C4A04"/>
    <w:rsid w:val="002C4ACD"/>
    <w:rsid w:val="002C4F41"/>
    <w:rsid w:val="002C50EE"/>
    <w:rsid w:val="002C548C"/>
    <w:rsid w:val="002C56D7"/>
    <w:rsid w:val="002C57F9"/>
    <w:rsid w:val="002C5A7C"/>
    <w:rsid w:val="002C5B17"/>
    <w:rsid w:val="002C5B66"/>
    <w:rsid w:val="002C5E99"/>
    <w:rsid w:val="002C5EAA"/>
    <w:rsid w:val="002C65A8"/>
    <w:rsid w:val="002C65AF"/>
    <w:rsid w:val="002C663A"/>
    <w:rsid w:val="002C6750"/>
    <w:rsid w:val="002C6A2A"/>
    <w:rsid w:val="002C6B4B"/>
    <w:rsid w:val="002C6B5F"/>
    <w:rsid w:val="002C6F06"/>
    <w:rsid w:val="002C6F4F"/>
    <w:rsid w:val="002C6FE5"/>
    <w:rsid w:val="002C7666"/>
    <w:rsid w:val="002C798E"/>
    <w:rsid w:val="002C7CF0"/>
    <w:rsid w:val="002D01BA"/>
    <w:rsid w:val="002D02C9"/>
    <w:rsid w:val="002D037C"/>
    <w:rsid w:val="002D03BD"/>
    <w:rsid w:val="002D04C5"/>
    <w:rsid w:val="002D056F"/>
    <w:rsid w:val="002D06B1"/>
    <w:rsid w:val="002D09D3"/>
    <w:rsid w:val="002D0BCE"/>
    <w:rsid w:val="002D0C88"/>
    <w:rsid w:val="002D0E50"/>
    <w:rsid w:val="002D0E5E"/>
    <w:rsid w:val="002D0E83"/>
    <w:rsid w:val="002D0F07"/>
    <w:rsid w:val="002D1194"/>
    <w:rsid w:val="002D1378"/>
    <w:rsid w:val="002D1416"/>
    <w:rsid w:val="002D15FF"/>
    <w:rsid w:val="002D168C"/>
    <w:rsid w:val="002D17A8"/>
    <w:rsid w:val="002D1C31"/>
    <w:rsid w:val="002D1D03"/>
    <w:rsid w:val="002D1FC6"/>
    <w:rsid w:val="002D29F0"/>
    <w:rsid w:val="002D2CB5"/>
    <w:rsid w:val="002D30BA"/>
    <w:rsid w:val="002D3118"/>
    <w:rsid w:val="002D31D6"/>
    <w:rsid w:val="002D33C4"/>
    <w:rsid w:val="002D3784"/>
    <w:rsid w:val="002D37F9"/>
    <w:rsid w:val="002D3995"/>
    <w:rsid w:val="002D3B0B"/>
    <w:rsid w:val="002D3D42"/>
    <w:rsid w:val="002D3DD8"/>
    <w:rsid w:val="002D3E9E"/>
    <w:rsid w:val="002D40E6"/>
    <w:rsid w:val="002D445B"/>
    <w:rsid w:val="002D454A"/>
    <w:rsid w:val="002D4573"/>
    <w:rsid w:val="002D460B"/>
    <w:rsid w:val="002D486F"/>
    <w:rsid w:val="002D48D4"/>
    <w:rsid w:val="002D4B19"/>
    <w:rsid w:val="002D4DCE"/>
    <w:rsid w:val="002D4DEE"/>
    <w:rsid w:val="002D4E61"/>
    <w:rsid w:val="002D4EBD"/>
    <w:rsid w:val="002D4F9B"/>
    <w:rsid w:val="002D4FE5"/>
    <w:rsid w:val="002D53B1"/>
    <w:rsid w:val="002D55C4"/>
    <w:rsid w:val="002D5925"/>
    <w:rsid w:val="002D5948"/>
    <w:rsid w:val="002D59D8"/>
    <w:rsid w:val="002D5B22"/>
    <w:rsid w:val="002D5E08"/>
    <w:rsid w:val="002D608B"/>
    <w:rsid w:val="002D62D9"/>
    <w:rsid w:val="002D6389"/>
    <w:rsid w:val="002D6454"/>
    <w:rsid w:val="002D656B"/>
    <w:rsid w:val="002D6CDE"/>
    <w:rsid w:val="002D7145"/>
    <w:rsid w:val="002D7309"/>
    <w:rsid w:val="002D766C"/>
    <w:rsid w:val="002D767C"/>
    <w:rsid w:val="002D79DF"/>
    <w:rsid w:val="002D7C8A"/>
    <w:rsid w:val="002E0435"/>
    <w:rsid w:val="002E04F7"/>
    <w:rsid w:val="002E05C9"/>
    <w:rsid w:val="002E061E"/>
    <w:rsid w:val="002E0643"/>
    <w:rsid w:val="002E0C40"/>
    <w:rsid w:val="002E12BC"/>
    <w:rsid w:val="002E12D4"/>
    <w:rsid w:val="002E12DA"/>
    <w:rsid w:val="002E133F"/>
    <w:rsid w:val="002E1464"/>
    <w:rsid w:val="002E15D1"/>
    <w:rsid w:val="002E17DD"/>
    <w:rsid w:val="002E1A2B"/>
    <w:rsid w:val="002E1A49"/>
    <w:rsid w:val="002E1ACA"/>
    <w:rsid w:val="002E2233"/>
    <w:rsid w:val="002E23FD"/>
    <w:rsid w:val="002E28B2"/>
    <w:rsid w:val="002E28E9"/>
    <w:rsid w:val="002E2914"/>
    <w:rsid w:val="002E2944"/>
    <w:rsid w:val="002E2D77"/>
    <w:rsid w:val="002E3036"/>
    <w:rsid w:val="002E36D3"/>
    <w:rsid w:val="002E372A"/>
    <w:rsid w:val="002E37A7"/>
    <w:rsid w:val="002E3834"/>
    <w:rsid w:val="002E3AD0"/>
    <w:rsid w:val="002E3C28"/>
    <w:rsid w:val="002E3E6A"/>
    <w:rsid w:val="002E3F3A"/>
    <w:rsid w:val="002E41BA"/>
    <w:rsid w:val="002E42C7"/>
    <w:rsid w:val="002E4371"/>
    <w:rsid w:val="002E43BA"/>
    <w:rsid w:val="002E456E"/>
    <w:rsid w:val="002E464D"/>
    <w:rsid w:val="002E48D7"/>
    <w:rsid w:val="002E4ECA"/>
    <w:rsid w:val="002E5632"/>
    <w:rsid w:val="002E581B"/>
    <w:rsid w:val="002E5864"/>
    <w:rsid w:val="002E636A"/>
    <w:rsid w:val="002E647E"/>
    <w:rsid w:val="002E65B8"/>
    <w:rsid w:val="002E66C3"/>
    <w:rsid w:val="002E6862"/>
    <w:rsid w:val="002E6928"/>
    <w:rsid w:val="002E6C03"/>
    <w:rsid w:val="002E6C54"/>
    <w:rsid w:val="002E6C6A"/>
    <w:rsid w:val="002E6CC5"/>
    <w:rsid w:val="002E6F58"/>
    <w:rsid w:val="002E749D"/>
    <w:rsid w:val="002E7524"/>
    <w:rsid w:val="002E78F3"/>
    <w:rsid w:val="002E7953"/>
    <w:rsid w:val="002E79C6"/>
    <w:rsid w:val="002E7B80"/>
    <w:rsid w:val="002E7D76"/>
    <w:rsid w:val="002E7EC3"/>
    <w:rsid w:val="002F032B"/>
    <w:rsid w:val="002F0685"/>
    <w:rsid w:val="002F078D"/>
    <w:rsid w:val="002F07E4"/>
    <w:rsid w:val="002F0A44"/>
    <w:rsid w:val="002F0AC3"/>
    <w:rsid w:val="002F0AEA"/>
    <w:rsid w:val="002F0D19"/>
    <w:rsid w:val="002F0E68"/>
    <w:rsid w:val="002F0EBD"/>
    <w:rsid w:val="002F1163"/>
    <w:rsid w:val="002F13CE"/>
    <w:rsid w:val="002F153C"/>
    <w:rsid w:val="002F1784"/>
    <w:rsid w:val="002F1849"/>
    <w:rsid w:val="002F1BF8"/>
    <w:rsid w:val="002F1D23"/>
    <w:rsid w:val="002F1D79"/>
    <w:rsid w:val="002F1ED4"/>
    <w:rsid w:val="002F2113"/>
    <w:rsid w:val="002F2114"/>
    <w:rsid w:val="002F2119"/>
    <w:rsid w:val="002F2475"/>
    <w:rsid w:val="002F2491"/>
    <w:rsid w:val="002F2683"/>
    <w:rsid w:val="002F28DC"/>
    <w:rsid w:val="002F292A"/>
    <w:rsid w:val="002F29B9"/>
    <w:rsid w:val="002F2E26"/>
    <w:rsid w:val="002F2EEF"/>
    <w:rsid w:val="002F2F93"/>
    <w:rsid w:val="002F313D"/>
    <w:rsid w:val="002F313F"/>
    <w:rsid w:val="002F33B1"/>
    <w:rsid w:val="002F3501"/>
    <w:rsid w:val="002F3593"/>
    <w:rsid w:val="002F3DBC"/>
    <w:rsid w:val="002F3E07"/>
    <w:rsid w:val="002F3EB4"/>
    <w:rsid w:val="002F4145"/>
    <w:rsid w:val="002F433D"/>
    <w:rsid w:val="002F45D1"/>
    <w:rsid w:val="002F4A8E"/>
    <w:rsid w:val="002F4C2F"/>
    <w:rsid w:val="002F5077"/>
    <w:rsid w:val="002F53BC"/>
    <w:rsid w:val="002F54F2"/>
    <w:rsid w:val="002F5536"/>
    <w:rsid w:val="002F57E6"/>
    <w:rsid w:val="002F5A3B"/>
    <w:rsid w:val="002F5EC1"/>
    <w:rsid w:val="002F65BB"/>
    <w:rsid w:val="002F65C7"/>
    <w:rsid w:val="002F676F"/>
    <w:rsid w:val="002F696D"/>
    <w:rsid w:val="002F6A47"/>
    <w:rsid w:val="002F6A54"/>
    <w:rsid w:val="002F6F9F"/>
    <w:rsid w:val="002F6FB8"/>
    <w:rsid w:val="002F72A1"/>
    <w:rsid w:val="002F73F0"/>
    <w:rsid w:val="002F75CE"/>
    <w:rsid w:val="002F7603"/>
    <w:rsid w:val="002F7651"/>
    <w:rsid w:val="002F78D8"/>
    <w:rsid w:val="002F7C21"/>
    <w:rsid w:val="002F7D82"/>
    <w:rsid w:val="002F7DA7"/>
    <w:rsid w:val="0030009C"/>
    <w:rsid w:val="003001A9"/>
    <w:rsid w:val="00300242"/>
    <w:rsid w:val="00300355"/>
    <w:rsid w:val="00300B63"/>
    <w:rsid w:val="00300D32"/>
    <w:rsid w:val="00300E52"/>
    <w:rsid w:val="003010D9"/>
    <w:rsid w:val="0030141E"/>
    <w:rsid w:val="003014C3"/>
    <w:rsid w:val="0030159C"/>
    <w:rsid w:val="0030165A"/>
    <w:rsid w:val="003018ED"/>
    <w:rsid w:val="00301B2E"/>
    <w:rsid w:val="00301BDE"/>
    <w:rsid w:val="00301C62"/>
    <w:rsid w:val="00301EA5"/>
    <w:rsid w:val="00301F12"/>
    <w:rsid w:val="00301F5A"/>
    <w:rsid w:val="00302856"/>
    <w:rsid w:val="00302A73"/>
    <w:rsid w:val="00302B07"/>
    <w:rsid w:val="00302B50"/>
    <w:rsid w:val="00302BAF"/>
    <w:rsid w:val="00302CCF"/>
    <w:rsid w:val="0030309D"/>
    <w:rsid w:val="003030EF"/>
    <w:rsid w:val="003032E0"/>
    <w:rsid w:val="003034D0"/>
    <w:rsid w:val="003036CE"/>
    <w:rsid w:val="00303776"/>
    <w:rsid w:val="003037B3"/>
    <w:rsid w:val="003038DB"/>
    <w:rsid w:val="00303A3A"/>
    <w:rsid w:val="00304215"/>
    <w:rsid w:val="00304278"/>
    <w:rsid w:val="003042D3"/>
    <w:rsid w:val="003045E2"/>
    <w:rsid w:val="0030480D"/>
    <w:rsid w:val="00304B50"/>
    <w:rsid w:val="00304E90"/>
    <w:rsid w:val="003050FE"/>
    <w:rsid w:val="0030517D"/>
    <w:rsid w:val="00305189"/>
    <w:rsid w:val="003057C8"/>
    <w:rsid w:val="00305AEC"/>
    <w:rsid w:val="00305DC1"/>
    <w:rsid w:val="00306103"/>
    <w:rsid w:val="0030635C"/>
    <w:rsid w:val="00306393"/>
    <w:rsid w:val="0030661C"/>
    <w:rsid w:val="00306871"/>
    <w:rsid w:val="003068F0"/>
    <w:rsid w:val="0030694B"/>
    <w:rsid w:val="00306966"/>
    <w:rsid w:val="003069C5"/>
    <w:rsid w:val="00306D23"/>
    <w:rsid w:val="00307167"/>
    <w:rsid w:val="0030721B"/>
    <w:rsid w:val="003073C0"/>
    <w:rsid w:val="00307550"/>
    <w:rsid w:val="00307A9C"/>
    <w:rsid w:val="00307BD7"/>
    <w:rsid w:val="00307D90"/>
    <w:rsid w:val="00307DEC"/>
    <w:rsid w:val="00307E1A"/>
    <w:rsid w:val="003100A5"/>
    <w:rsid w:val="00310225"/>
    <w:rsid w:val="00310B67"/>
    <w:rsid w:val="00310D50"/>
    <w:rsid w:val="00310D9C"/>
    <w:rsid w:val="00310F05"/>
    <w:rsid w:val="00310F32"/>
    <w:rsid w:val="00311057"/>
    <w:rsid w:val="003110E3"/>
    <w:rsid w:val="00311567"/>
    <w:rsid w:val="003119EA"/>
    <w:rsid w:val="00311A6E"/>
    <w:rsid w:val="00311AC3"/>
    <w:rsid w:val="00311ECB"/>
    <w:rsid w:val="0031202C"/>
    <w:rsid w:val="00312081"/>
    <w:rsid w:val="00312589"/>
    <w:rsid w:val="003126C7"/>
    <w:rsid w:val="0031284F"/>
    <w:rsid w:val="003128DE"/>
    <w:rsid w:val="00312EE6"/>
    <w:rsid w:val="00312F2A"/>
    <w:rsid w:val="00312F63"/>
    <w:rsid w:val="0031327E"/>
    <w:rsid w:val="00313318"/>
    <w:rsid w:val="00313385"/>
    <w:rsid w:val="003134AD"/>
    <w:rsid w:val="003136E0"/>
    <w:rsid w:val="00313759"/>
    <w:rsid w:val="00313976"/>
    <w:rsid w:val="00313E4A"/>
    <w:rsid w:val="0031411B"/>
    <w:rsid w:val="0031434B"/>
    <w:rsid w:val="003144F1"/>
    <w:rsid w:val="003144F4"/>
    <w:rsid w:val="00314538"/>
    <w:rsid w:val="003146C0"/>
    <w:rsid w:val="0031487A"/>
    <w:rsid w:val="00314AB1"/>
    <w:rsid w:val="00314B6A"/>
    <w:rsid w:val="00315395"/>
    <w:rsid w:val="0031555D"/>
    <w:rsid w:val="003155A9"/>
    <w:rsid w:val="003156BC"/>
    <w:rsid w:val="003156CE"/>
    <w:rsid w:val="003157A8"/>
    <w:rsid w:val="003157E7"/>
    <w:rsid w:val="00315C26"/>
    <w:rsid w:val="00315FCA"/>
    <w:rsid w:val="003161F6"/>
    <w:rsid w:val="0031622A"/>
    <w:rsid w:val="003163BB"/>
    <w:rsid w:val="003164BC"/>
    <w:rsid w:val="003166F2"/>
    <w:rsid w:val="00316757"/>
    <w:rsid w:val="003169D0"/>
    <w:rsid w:val="00317198"/>
    <w:rsid w:val="003171B9"/>
    <w:rsid w:val="00317548"/>
    <w:rsid w:val="00317624"/>
    <w:rsid w:val="00317627"/>
    <w:rsid w:val="00317779"/>
    <w:rsid w:val="00317900"/>
    <w:rsid w:val="00317A10"/>
    <w:rsid w:val="00317ADC"/>
    <w:rsid w:val="00317C67"/>
    <w:rsid w:val="00317C78"/>
    <w:rsid w:val="00317E1C"/>
    <w:rsid w:val="00317E89"/>
    <w:rsid w:val="00320334"/>
    <w:rsid w:val="00320727"/>
    <w:rsid w:val="00320853"/>
    <w:rsid w:val="003208B9"/>
    <w:rsid w:val="00320D3D"/>
    <w:rsid w:val="00320D93"/>
    <w:rsid w:val="00320DCE"/>
    <w:rsid w:val="00320FD7"/>
    <w:rsid w:val="00320FDF"/>
    <w:rsid w:val="003214E1"/>
    <w:rsid w:val="0032152F"/>
    <w:rsid w:val="003215F3"/>
    <w:rsid w:val="00321656"/>
    <w:rsid w:val="00321831"/>
    <w:rsid w:val="003219A5"/>
    <w:rsid w:val="003219F1"/>
    <w:rsid w:val="00321B46"/>
    <w:rsid w:val="00321B76"/>
    <w:rsid w:val="00321D3C"/>
    <w:rsid w:val="00321D47"/>
    <w:rsid w:val="00321E9C"/>
    <w:rsid w:val="0032203E"/>
    <w:rsid w:val="00322051"/>
    <w:rsid w:val="0032242A"/>
    <w:rsid w:val="0032244C"/>
    <w:rsid w:val="00322851"/>
    <w:rsid w:val="0032299B"/>
    <w:rsid w:val="003229B7"/>
    <w:rsid w:val="00322B3C"/>
    <w:rsid w:val="00322C26"/>
    <w:rsid w:val="00322C49"/>
    <w:rsid w:val="00322D88"/>
    <w:rsid w:val="00322F21"/>
    <w:rsid w:val="00322F75"/>
    <w:rsid w:val="00323113"/>
    <w:rsid w:val="003231D4"/>
    <w:rsid w:val="00323387"/>
    <w:rsid w:val="0032355A"/>
    <w:rsid w:val="00323B51"/>
    <w:rsid w:val="00323DB8"/>
    <w:rsid w:val="00323E9F"/>
    <w:rsid w:val="0032407C"/>
    <w:rsid w:val="0032430F"/>
    <w:rsid w:val="00324400"/>
    <w:rsid w:val="00324427"/>
    <w:rsid w:val="00324706"/>
    <w:rsid w:val="003247E9"/>
    <w:rsid w:val="003249F4"/>
    <w:rsid w:val="00324A9B"/>
    <w:rsid w:val="00324B5F"/>
    <w:rsid w:val="00324B81"/>
    <w:rsid w:val="00324BAB"/>
    <w:rsid w:val="00324D2C"/>
    <w:rsid w:val="00325032"/>
    <w:rsid w:val="003250FC"/>
    <w:rsid w:val="00325196"/>
    <w:rsid w:val="0032525C"/>
    <w:rsid w:val="003254F9"/>
    <w:rsid w:val="00325979"/>
    <w:rsid w:val="003259CD"/>
    <w:rsid w:val="00325C70"/>
    <w:rsid w:val="00325D94"/>
    <w:rsid w:val="00325D96"/>
    <w:rsid w:val="00326330"/>
    <w:rsid w:val="003265B7"/>
    <w:rsid w:val="00326734"/>
    <w:rsid w:val="0032681C"/>
    <w:rsid w:val="00326859"/>
    <w:rsid w:val="00326ADE"/>
    <w:rsid w:val="00326B49"/>
    <w:rsid w:val="00326E9C"/>
    <w:rsid w:val="00326EF9"/>
    <w:rsid w:val="00326F62"/>
    <w:rsid w:val="0032730E"/>
    <w:rsid w:val="00327466"/>
    <w:rsid w:val="00327486"/>
    <w:rsid w:val="00327AE0"/>
    <w:rsid w:val="00327B78"/>
    <w:rsid w:val="00327E2C"/>
    <w:rsid w:val="00327E65"/>
    <w:rsid w:val="00330086"/>
    <w:rsid w:val="00330333"/>
    <w:rsid w:val="0033084A"/>
    <w:rsid w:val="00330AD4"/>
    <w:rsid w:val="00330B89"/>
    <w:rsid w:val="00330BA1"/>
    <w:rsid w:val="0033174D"/>
    <w:rsid w:val="00331867"/>
    <w:rsid w:val="00331A10"/>
    <w:rsid w:val="00331C06"/>
    <w:rsid w:val="00331CD9"/>
    <w:rsid w:val="0033230C"/>
    <w:rsid w:val="00332527"/>
    <w:rsid w:val="00332579"/>
    <w:rsid w:val="00332776"/>
    <w:rsid w:val="00332FF8"/>
    <w:rsid w:val="00333266"/>
    <w:rsid w:val="003335B9"/>
    <w:rsid w:val="003335D8"/>
    <w:rsid w:val="00333741"/>
    <w:rsid w:val="00333A99"/>
    <w:rsid w:val="00333AA7"/>
    <w:rsid w:val="00333CFA"/>
    <w:rsid w:val="003340FA"/>
    <w:rsid w:val="0033431B"/>
    <w:rsid w:val="00334838"/>
    <w:rsid w:val="003349FC"/>
    <w:rsid w:val="00335447"/>
    <w:rsid w:val="003355D3"/>
    <w:rsid w:val="003355E3"/>
    <w:rsid w:val="003356AE"/>
    <w:rsid w:val="003356B2"/>
    <w:rsid w:val="003357FA"/>
    <w:rsid w:val="00335A5A"/>
    <w:rsid w:val="00335AE4"/>
    <w:rsid w:val="00335B31"/>
    <w:rsid w:val="00335D5A"/>
    <w:rsid w:val="00335D99"/>
    <w:rsid w:val="00335E95"/>
    <w:rsid w:val="003360C1"/>
    <w:rsid w:val="0033613B"/>
    <w:rsid w:val="00336147"/>
    <w:rsid w:val="00336230"/>
    <w:rsid w:val="00336236"/>
    <w:rsid w:val="0033628D"/>
    <w:rsid w:val="0033634E"/>
    <w:rsid w:val="00336898"/>
    <w:rsid w:val="00336962"/>
    <w:rsid w:val="00336ABE"/>
    <w:rsid w:val="00336C3E"/>
    <w:rsid w:val="00336C52"/>
    <w:rsid w:val="00336D47"/>
    <w:rsid w:val="00336FB4"/>
    <w:rsid w:val="00337333"/>
    <w:rsid w:val="00337479"/>
    <w:rsid w:val="00337692"/>
    <w:rsid w:val="0033777F"/>
    <w:rsid w:val="0033796A"/>
    <w:rsid w:val="00337B4C"/>
    <w:rsid w:val="00337C8D"/>
    <w:rsid w:val="00337DF0"/>
    <w:rsid w:val="00340026"/>
    <w:rsid w:val="003400A8"/>
    <w:rsid w:val="003400F1"/>
    <w:rsid w:val="0034030A"/>
    <w:rsid w:val="00340588"/>
    <w:rsid w:val="003405D3"/>
    <w:rsid w:val="00340733"/>
    <w:rsid w:val="0034082C"/>
    <w:rsid w:val="00340A84"/>
    <w:rsid w:val="00340CBC"/>
    <w:rsid w:val="00340D2A"/>
    <w:rsid w:val="00340D4B"/>
    <w:rsid w:val="00340E42"/>
    <w:rsid w:val="0034119E"/>
    <w:rsid w:val="003412B0"/>
    <w:rsid w:val="00341495"/>
    <w:rsid w:val="00341904"/>
    <w:rsid w:val="003420C5"/>
    <w:rsid w:val="00342402"/>
    <w:rsid w:val="00342459"/>
    <w:rsid w:val="00342881"/>
    <w:rsid w:val="00342BC8"/>
    <w:rsid w:val="00342C8D"/>
    <w:rsid w:val="003433C4"/>
    <w:rsid w:val="003433EC"/>
    <w:rsid w:val="0034387F"/>
    <w:rsid w:val="00343890"/>
    <w:rsid w:val="00343A2F"/>
    <w:rsid w:val="00343E3E"/>
    <w:rsid w:val="00343FA0"/>
    <w:rsid w:val="00343FBC"/>
    <w:rsid w:val="00344027"/>
    <w:rsid w:val="00344269"/>
    <w:rsid w:val="00344294"/>
    <w:rsid w:val="003442C2"/>
    <w:rsid w:val="003442F6"/>
    <w:rsid w:val="003447A1"/>
    <w:rsid w:val="00344889"/>
    <w:rsid w:val="003449DF"/>
    <w:rsid w:val="00344DF5"/>
    <w:rsid w:val="00344F5A"/>
    <w:rsid w:val="003450DE"/>
    <w:rsid w:val="0034514C"/>
    <w:rsid w:val="003452CB"/>
    <w:rsid w:val="00345349"/>
    <w:rsid w:val="003453A4"/>
    <w:rsid w:val="003457A6"/>
    <w:rsid w:val="003458E3"/>
    <w:rsid w:val="00345914"/>
    <w:rsid w:val="003459B2"/>
    <w:rsid w:val="00345AD4"/>
    <w:rsid w:val="00345B57"/>
    <w:rsid w:val="00345CA7"/>
    <w:rsid w:val="0034603A"/>
    <w:rsid w:val="00346A67"/>
    <w:rsid w:val="00346C35"/>
    <w:rsid w:val="00346EAF"/>
    <w:rsid w:val="00347050"/>
    <w:rsid w:val="00347672"/>
    <w:rsid w:val="00347A45"/>
    <w:rsid w:val="00347ACE"/>
    <w:rsid w:val="00347B42"/>
    <w:rsid w:val="00347CD0"/>
    <w:rsid w:val="00347D47"/>
    <w:rsid w:val="00347E6B"/>
    <w:rsid w:val="00350020"/>
    <w:rsid w:val="003503AC"/>
    <w:rsid w:val="003505D2"/>
    <w:rsid w:val="0035079A"/>
    <w:rsid w:val="003507DA"/>
    <w:rsid w:val="00350931"/>
    <w:rsid w:val="00350B22"/>
    <w:rsid w:val="00350B75"/>
    <w:rsid w:val="00351039"/>
    <w:rsid w:val="00351235"/>
    <w:rsid w:val="0035140D"/>
    <w:rsid w:val="00351472"/>
    <w:rsid w:val="003514D8"/>
    <w:rsid w:val="0035155D"/>
    <w:rsid w:val="00351742"/>
    <w:rsid w:val="00351811"/>
    <w:rsid w:val="0035198D"/>
    <w:rsid w:val="00351B8C"/>
    <w:rsid w:val="00351BDF"/>
    <w:rsid w:val="003520DF"/>
    <w:rsid w:val="00352127"/>
    <w:rsid w:val="003522D5"/>
    <w:rsid w:val="003524BC"/>
    <w:rsid w:val="00352671"/>
    <w:rsid w:val="00352821"/>
    <w:rsid w:val="003529C2"/>
    <w:rsid w:val="00352B31"/>
    <w:rsid w:val="00352B44"/>
    <w:rsid w:val="00352E92"/>
    <w:rsid w:val="00353210"/>
    <w:rsid w:val="003533F9"/>
    <w:rsid w:val="0035340F"/>
    <w:rsid w:val="003534DF"/>
    <w:rsid w:val="0035362B"/>
    <w:rsid w:val="0035388D"/>
    <w:rsid w:val="00353E48"/>
    <w:rsid w:val="003540CF"/>
    <w:rsid w:val="0035410E"/>
    <w:rsid w:val="00354620"/>
    <w:rsid w:val="00354799"/>
    <w:rsid w:val="003547D1"/>
    <w:rsid w:val="00354B62"/>
    <w:rsid w:val="00354DBC"/>
    <w:rsid w:val="0035524C"/>
    <w:rsid w:val="003552E6"/>
    <w:rsid w:val="003558AB"/>
    <w:rsid w:val="00355970"/>
    <w:rsid w:val="00355B29"/>
    <w:rsid w:val="00355D48"/>
    <w:rsid w:val="0035610F"/>
    <w:rsid w:val="003566EB"/>
    <w:rsid w:val="003567C2"/>
    <w:rsid w:val="0035692F"/>
    <w:rsid w:val="003569A7"/>
    <w:rsid w:val="00356A6A"/>
    <w:rsid w:val="00356A78"/>
    <w:rsid w:val="00356AEB"/>
    <w:rsid w:val="00356B41"/>
    <w:rsid w:val="00356B44"/>
    <w:rsid w:val="00356C30"/>
    <w:rsid w:val="00356CE0"/>
    <w:rsid w:val="003571AA"/>
    <w:rsid w:val="00357601"/>
    <w:rsid w:val="00357734"/>
    <w:rsid w:val="00357882"/>
    <w:rsid w:val="00357AA5"/>
    <w:rsid w:val="00357BD4"/>
    <w:rsid w:val="00357CAF"/>
    <w:rsid w:val="00357CCC"/>
    <w:rsid w:val="00357DF1"/>
    <w:rsid w:val="00357ECC"/>
    <w:rsid w:val="00357FBF"/>
    <w:rsid w:val="0036065D"/>
    <w:rsid w:val="003607BE"/>
    <w:rsid w:val="00360BF2"/>
    <w:rsid w:val="00360C43"/>
    <w:rsid w:val="00360EB7"/>
    <w:rsid w:val="00360ED9"/>
    <w:rsid w:val="0036103C"/>
    <w:rsid w:val="003611C2"/>
    <w:rsid w:val="003612E9"/>
    <w:rsid w:val="003613E9"/>
    <w:rsid w:val="00361441"/>
    <w:rsid w:val="00361540"/>
    <w:rsid w:val="0036179A"/>
    <w:rsid w:val="00361CBF"/>
    <w:rsid w:val="00361D97"/>
    <w:rsid w:val="003622C0"/>
    <w:rsid w:val="003623EB"/>
    <w:rsid w:val="003624D4"/>
    <w:rsid w:val="003624F5"/>
    <w:rsid w:val="00362547"/>
    <w:rsid w:val="00362A01"/>
    <w:rsid w:val="00362A46"/>
    <w:rsid w:val="00362CB6"/>
    <w:rsid w:val="00362E33"/>
    <w:rsid w:val="00362FC1"/>
    <w:rsid w:val="00363280"/>
    <w:rsid w:val="003634B3"/>
    <w:rsid w:val="0036357C"/>
    <w:rsid w:val="00363A76"/>
    <w:rsid w:val="00363B5C"/>
    <w:rsid w:val="00363B8C"/>
    <w:rsid w:val="0036416F"/>
    <w:rsid w:val="00364549"/>
    <w:rsid w:val="00364899"/>
    <w:rsid w:val="003649EB"/>
    <w:rsid w:val="00364B10"/>
    <w:rsid w:val="00364BE8"/>
    <w:rsid w:val="003654FF"/>
    <w:rsid w:val="00365AA0"/>
    <w:rsid w:val="00365F2D"/>
    <w:rsid w:val="0036602B"/>
    <w:rsid w:val="00366192"/>
    <w:rsid w:val="003664E6"/>
    <w:rsid w:val="0036686D"/>
    <w:rsid w:val="00366B22"/>
    <w:rsid w:val="00366BAC"/>
    <w:rsid w:val="00366BC6"/>
    <w:rsid w:val="003674FB"/>
    <w:rsid w:val="0036758A"/>
    <w:rsid w:val="00367AFF"/>
    <w:rsid w:val="00367B92"/>
    <w:rsid w:val="00370144"/>
    <w:rsid w:val="003704B6"/>
    <w:rsid w:val="00370510"/>
    <w:rsid w:val="003705C2"/>
    <w:rsid w:val="003707A0"/>
    <w:rsid w:val="003709B0"/>
    <w:rsid w:val="00370F23"/>
    <w:rsid w:val="00370FD5"/>
    <w:rsid w:val="0037131B"/>
    <w:rsid w:val="00371377"/>
    <w:rsid w:val="003719D9"/>
    <w:rsid w:val="00371CFD"/>
    <w:rsid w:val="00372033"/>
    <w:rsid w:val="003720E6"/>
    <w:rsid w:val="003723C2"/>
    <w:rsid w:val="003723F5"/>
    <w:rsid w:val="0037245E"/>
    <w:rsid w:val="00372471"/>
    <w:rsid w:val="0037258F"/>
    <w:rsid w:val="0037262E"/>
    <w:rsid w:val="0037278B"/>
    <w:rsid w:val="00372ABA"/>
    <w:rsid w:val="00372B91"/>
    <w:rsid w:val="00372BD1"/>
    <w:rsid w:val="00372F56"/>
    <w:rsid w:val="00373042"/>
    <w:rsid w:val="003731C1"/>
    <w:rsid w:val="003733D8"/>
    <w:rsid w:val="003734AB"/>
    <w:rsid w:val="00373525"/>
    <w:rsid w:val="003735EC"/>
    <w:rsid w:val="00373CEA"/>
    <w:rsid w:val="00373D11"/>
    <w:rsid w:val="00373D5B"/>
    <w:rsid w:val="00373E9C"/>
    <w:rsid w:val="003742AF"/>
    <w:rsid w:val="00374484"/>
    <w:rsid w:val="003744FD"/>
    <w:rsid w:val="003746D7"/>
    <w:rsid w:val="00374A73"/>
    <w:rsid w:val="00374B87"/>
    <w:rsid w:val="0037506F"/>
    <w:rsid w:val="0037597C"/>
    <w:rsid w:val="00375C74"/>
    <w:rsid w:val="00375DD3"/>
    <w:rsid w:val="003760B2"/>
    <w:rsid w:val="0037614B"/>
    <w:rsid w:val="00376400"/>
    <w:rsid w:val="00376896"/>
    <w:rsid w:val="0037693F"/>
    <w:rsid w:val="00376C28"/>
    <w:rsid w:val="00377225"/>
    <w:rsid w:val="0037727B"/>
    <w:rsid w:val="003772CC"/>
    <w:rsid w:val="003778F4"/>
    <w:rsid w:val="003779DF"/>
    <w:rsid w:val="00377C2D"/>
    <w:rsid w:val="00377CB6"/>
    <w:rsid w:val="0037F6EE"/>
    <w:rsid w:val="00380264"/>
    <w:rsid w:val="00380304"/>
    <w:rsid w:val="00380517"/>
    <w:rsid w:val="003806CC"/>
    <w:rsid w:val="00380928"/>
    <w:rsid w:val="00380B2E"/>
    <w:rsid w:val="00380BAE"/>
    <w:rsid w:val="00380C08"/>
    <w:rsid w:val="00380D41"/>
    <w:rsid w:val="00380F7B"/>
    <w:rsid w:val="00381869"/>
    <w:rsid w:val="003818E3"/>
    <w:rsid w:val="00381953"/>
    <w:rsid w:val="00381CE2"/>
    <w:rsid w:val="00381DEE"/>
    <w:rsid w:val="00382130"/>
    <w:rsid w:val="00382426"/>
    <w:rsid w:val="00382576"/>
    <w:rsid w:val="00382636"/>
    <w:rsid w:val="00382694"/>
    <w:rsid w:val="00382983"/>
    <w:rsid w:val="00382A01"/>
    <w:rsid w:val="00382DAC"/>
    <w:rsid w:val="00382F15"/>
    <w:rsid w:val="003831BC"/>
    <w:rsid w:val="003832CD"/>
    <w:rsid w:val="00383701"/>
    <w:rsid w:val="003838BC"/>
    <w:rsid w:val="003839D7"/>
    <w:rsid w:val="00383A0B"/>
    <w:rsid w:val="00383CCD"/>
    <w:rsid w:val="00383D77"/>
    <w:rsid w:val="00384041"/>
    <w:rsid w:val="00384204"/>
    <w:rsid w:val="003845FD"/>
    <w:rsid w:val="0038479A"/>
    <w:rsid w:val="00384954"/>
    <w:rsid w:val="00384963"/>
    <w:rsid w:val="003849FE"/>
    <w:rsid w:val="00384A6B"/>
    <w:rsid w:val="00384CC7"/>
    <w:rsid w:val="00384DC2"/>
    <w:rsid w:val="00384E11"/>
    <w:rsid w:val="00385059"/>
    <w:rsid w:val="003850FB"/>
    <w:rsid w:val="003851D1"/>
    <w:rsid w:val="0038538E"/>
    <w:rsid w:val="003854B2"/>
    <w:rsid w:val="0038552F"/>
    <w:rsid w:val="003855D8"/>
    <w:rsid w:val="00385639"/>
    <w:rsid w:val="0038582B"/>
    <w:rsid w:val="00385981"/>
    <w:rsid w:val="00386195"/>
    <w:rsid w:val="00386204"/>
    <w:rsid w:val="0038637D"/>
    <w:rsid w:val="00386490"/>
    <w:rsid w:val="003865D7"/>
    <w:rsid w:val="00386656"/>
    <w:rsid w:val="003868FB"/>
    <w:rsid w:val="0038696B"/>
    <w:rsid w:val="00386B2C"/>
    <w:rsid w:val="00386C3B"/>
    <w:rsid w:val="00386CBB"/>
    <w:rsid w:val="003871E8"/>
    <w:rsid w:val="003873F2"/>
    <w:rsid w:val="00387768"/>
    <w:rsid w:val="003879A2"/>
    <w:rsid w:val="003879DA"/>
    <w:rsid w:val="00387F9D"/>
    <w:rsid w:val="00387FA7"/>
    <w:rsid w:val="003900A9"/>
    <w:rsid w:val="00390184"/>
    <w:rsid w:val="003901B1"/>
    <w:rsid w:val="00390337"/>
    <w:rsid w:val="00390580"/>
    <w:rsid w:val="0039058F"/>
    <w:rsid w:val="00390A12"/>
    <w:rsid w:val="00390C9C"/>
    <w:rsid w:val="00390CA6"/>
    <w:rsid w:val="00390EB1"/>
    <w:rsid w:val="00390FA8"/>
    <w:rsid w:val="00390FE2"/>
    <w:rsid w:val="00391184"/>
    <w:rsid w:val="003912A2"/>
    <w:rsid w:val="003912DA"/>
    <w:rsid w:val="003913DD"/>
    <w:rsid w:val="00391961"/>
    <w:rsid w:val="00391C61"/>
    <w:rsid w:val="00391E6B"/>
    <w:rsid w:val="00391EF9"/>
    <w:rsid w:val="0039231C"/>
    <w:rsid w:val="00392594"/>
    <w:rsid w:val="003928A8"/>
    <w:rsid w:val="00392976"/>
    <w:rsid w:val="00392990"/>
    <w:rsid w:val="00392CFA"/>
    <w:rsid w:val="00392DAC"/>
    <w:rsid w:val="00392DFE"/>
    <w:rsid w:val="00392FE3"/>
    <w:rsid w:val="003931B3"/>
    <w:rsid w:val="0039320E"/>
    <w:rsid w:val="003935ED"/>
    <w:rsid w:val="003938FC"/>
    <w:rsid w:val="003939FF"/>
    <w:rsid w:val="00393C9A"/>
    <w:rsid w:val="00393F63"/>
    <w:rsid w:val="003940D6"/>
    <w:rsid w:val="003944EE"/>
    <w:rsid w:val="003945F2"/>
    <w:rsid w:val="003948BA"/>
    <w:rsid w:val="003948D1"/>
    <w:rsid w:val="00394A7A"/>
    <w:rsid w:val="00394A98"/>
    <w:rsid w:val="00394CB6"/>
    <w:rsid w:val="00394EB9"/>
    <w:rsid w:val="003950FE"/>
    <w:rsid w:val="003953E0"/>
    <w:rsid w:val="003953FF"/>
    <w:rsid w:val="003954A6"/>
    <w:rsid w:val="00395D59"/>
    <w:rsid w:val="0039618D"/>
    <w:rsid w:val="0039628C"/>
    <w:rsid w:val="0039654F"/>
    <w:rsid w:val="003966CD"/>
    <w:rsid w:val="003966E1"/>
    <w:rsid w:val="0039673E"/>
    <w:rsid w:val="00396880"/>
    <w:rsid w:val="003968C5"/>
    <w:rsid w:val="003969C3"/>
    <w:rsid w:val="00396AD1"/>
    <w:rsid w:val="00396B4D"/>
    <w:rsid w:val="00396CA8"/>
    <w:rsid w:val="003971F5"/>
    <w:rsid w:val="003973E9"/>
    <w:rsid w:val="003973F1"/>
    <w:rsid w:val="00397573"/>
    <w:rsid w:val="003975BB"/>
    <w:rsid w:val="003978DF"/>
    <w:rsid w:val="00397935"/>
    <w:rsid w:val="0039798E"/>
    <w:rsid w:val="003A02B3"/>
    <w:rsid w:val="003A035E"/>
    <w:rsid w:val="003A0660"/>
    <w:rsid w:val="003A0AE0"/>
    <w:rsid w:val="003A0E38"/>
    <w:rsid w:val="003A0E47"/>
    <w:rsid w:val="003A0FA7"/>
    <w:rsid w:val="003A0FD2"/>
    <w:rsid w:val="003A115D"/>
    <w:rsid w:val="003A1360"/>
    <w:rsid w:val="003A13C4"/>
    <w:rsid w:val="003A14AF"/>
    <w:rsid w:val="003A14C1"/>
    <w:rsid w:val="003A15D9"/>
    <w:rsid w:val="003A19FC"/>
    <w:rsid w:val="003A1D1F"/>
    <w:rsid w:val="003A1DCB"/>
    <w:rsid w:val="003A20E0"/>
    <w:rsid w:val="003A244E"/>
    <w:rsid w:val="003A2542"/>
    <w:rsid w:val="003A25B7"/>
    <w:rsid w:val="003A25D7"/>
    <w:rsid w:val="003A261B"/>
    <w:rsid w:val="003A2967"/>
    <w:rsid w:val="003A2B37"/>
    <w:rsid w:val="003A2CCF"/>
    <w:rsid w:val="003A31CF"/>
    <w:rsid w:val="003A3331"/>
    <w:rsid w:val="003A36ED"/>
    <w:rsid w:val="003A3A94"/>
    <w:rsid w:val="003A3B60"/>
    <w:rsid w:val="003A3EBC"/>
    <w:rsid w:val="003A4144"/>
    <w:rsid w:val="003A419B"/>
    <w:rsid w:val="003A4227"/>
    <w:rsid w:val="003A437A"/>
    <w:rsid w:val="003A4416"/>
    <w:rsid w:val="003A4597"/>
    <w:rsid w:val="003A4760"/>
    <w:rsid w:val="003A47BF"/>
    <w:rsid w:val="003A47C8"/>
    <w:rsid w:val="003A4DF3"/>
    <w:rsid w:val="003A4EF4"/>
    <w:rsid w:val="003A5216"/>
    <w:rsid w:val="003A523F"/>
    <w:rsid w:val="003A5407"/>
    <w:rsid w:val="003A5470"/>
    <w:rsid w:val="003A55D1"/>
    <w:rsid w:val="003A5ACF"/>
    <w:rsid w:val="003A5FFF"/>
    <w:rsid w:val="003A6348"/>
    <w:rsid w:val="003A6498"/>
    <w:rsid w:val="003A66C7"/>
    <w:rsid w:val="003A6840"/>
    <w:rsid w:val="003A6A44"/>
    <w:rsid w:val="003A6C89"/>
    <w:rsid w:val="003A706C"/>
    <w:rsid w:val="003A7295"/>
    <w:rsid w:val="003A75E4"/>
    <w:rsid w:val="003A785B"/>
    <w:rsid w:val="003A795F"/>
    <w:rsid w:val="003A7B0E"/>
    <w:rsid w:val="003A7CF9"/>
    <w:rsid w:val="003B02B8"/>
    <w:rsid w:val="003B0418"/>
    <w:rsid w:val="003B0482"/>
    <w:rsid w:val="003B0493"/>
    <w:rsid w:val="003B04F7"/>
    <w:rsid w:val="003B0592"/>
    <w:rsid w:val="003B05AE"/>
    <w:rsid w:val="003B05C7"/>
    <w:rsid w:val="003B05CF"/>
    <w:rsid w:val="003B074A"/>
    <w:rsid w:val="003B07D9"/>
    <w:rsid w:val="003B0922"/>
    <w:rsid w:val="003B0ABB"/>
    <w:rsid w:val="003B0C1B"/>
    <w:rsid w:val="003B0F0A"/>
    <w:rsid w:val="003B0F69"/>
    <w:rsid w:val="003B0FBD"/>
    <w:rsid w:val="003B12B9"/>
    <w:rsid w:val="003B1631"/>
    <w:rsid w:val="003B1840"/>
    <w:rsid w:val="003B1901"/>
    <w:rsid w:val="003B1C09"/>
    <w:rsid w:val="003B1FDF"/>
    <w:rsid w:val="003B213F"/>
    <w:rsid w:val="003B24AA"/>
    <w:rsid w:val="003B282D"/>
    <w:rsid w:val="003B2DD7"/>
    <w:rsid w:val="003B2E22"/>
    <w:rsid w:val="003B3097"/>
    <w:rsid w:val="003B317C"/>
    <w:rsid w:val="003B3366"/>
    <w:rsid w:val="003B3393"/>
    <w:rsid w:val="003B3711"/>
    <w:rsid w:val="003B375B"/>
    <w:rsid w:val="003B3790"/>
    <w:rsid w:val="003B3792"/>
    <w:rsid w:val="003B3971"/>
    <w:rsid w:val="003B3A06"/>
    <w:rsid w:val="003B3BED"/>
    <w:rsid w:val="003B3E5C"/>
    <w:rsid w:val="003B3F1B"/>
    <w:rsid w:val="003B4498"/>
    <w:rsid w:val="003B4548"/>
    <w:rsid w:val="003B4AA0"/>
    <w:rsid w:val="003B4D9E"/>
    <w:rsid w:val="003B5113"/>
    <w:rsid w:val="003B5279"/>
    <w:rsid w:val="003B55A0"/>
    <w:rsid w:val="003B5720"/>
    <w:rsid w:val="003B57E2"/>
    <w:rsid w:val="003B58A2"/>
    <w:rsid w:val="003B5CAB"/>
    <w:rsid w:val="003B5D78"/>
    <w:rsid w:val="003B5DD6"/>
    <w:rsid w:val="003B5E7A"/>
    <w:rsid w:val="003B60E4"/>
    <w:rsid w:val="003B61EC"/>
    <w:rsid w:val="003B68C8"/>
    <w:rsid w:val="003B6918"/>
    <w:rsid w:val="003B695F"/>
    <w:rsid w:val="003B6964"/>
    <w:rsid w:val="003B6B76"/>
    <w:rsid w:val="003B6CDD"/>
    <w:rsid w:val="003B6D92"/>
    <w:rsid w:val="003B6F8F"/>
    <w:rsid w:val="003B7072"/>
    <w:rsid w:val="003B70FC"/>
    <w:rsid w:val="003B71C5"/>
    <w:rsid w:val="003B729B"/>
    <w:rsid w:val="003B74BF"/>
    <w:rsid w:val="003B74EC"/>
    <w:rsid w:val="003B7CCF"/>
    <w:rsid w:val="003B7F2B"/>
    <w:rsid w:val="003B7F91"/>
    <w:rsid w:val="003C067B"/>
    <w:rsid w:val="003C06E7"/>
    <w:rsid w:val="003C0785"/>
    <w:rsid w:val="003C09C2"/>
    <w:rsid w:val="003C0A10"/>
    <w:rsid w:val="003C0C8F"/>
    <w:rsid w:val="003C0DA0"/>
    <w:rsid w:val="003C11ED"/>
    <w:rsid w:val="003C1381"/>
    <w:rsid w:val="003C13A4"/>
    <w:rsid w:val="003C1407"/>
    <w:rsid w:val="003C14E0"/>
    <w:rsid w:val="003C16FC"/>
    <w:rsid w:val="003C1703"/>
    <w:rsid w:val="003C1B9D"/>
    <w:rsid w:val="003C1C96"/>
    <w:rsid w:val="003C1E5C"/>
    <w:rsid w:val="003C1E60"/>
    <w:rsid w:val="003C217E"/>
    <w:rsid w:val="003C2352"/>
    <w:rsid w:val="003C2488"/>
    <w:rsid w:val="003C26CE"/>
    <w:rsid w:val="003C2753"/>
    <w:rsid w:val="003C302D"/>
    <w:rsid w:val="003C32C2"/>
    <w:rsid w:val="003C3844"/>
    <w:rsid w:val="003C3E0D"/>
    <w:rsid w:val="003C4033"/>
    <w:rsid w:val="003C40C4"/>
    <w:rsid w:val="003C40F4"/>
    <w:rsid w:val="003C4246"/>
    <w:rsid w:val="003C4384"/>
    <w:rsid w:val="003C43A6"/>
    <w:rsid w:val="003C44BE"/>
    <w:rsid w:val="003C451A"/>
    <w:rsid w:val="003C486F"/>
    <w:rsid w:val="003C5019"/>
    <w:rsid w:val="003C5101"/>
    <w:rsid w:val="003C5181"/>
    <w:rsid w:val="003C57D9"/>
    <w:rsid w:val="003C57DB"/>
    <w:rsid w:val="003C5ADC"/>
    <w:rsid w:val="003C5B2B"/>
    <w:rsid w:val="003C5B37"/>
    <w:rsid w:val="003C5DAF"/>
    <w:rsid w:val="003C5EC9"/>
    <w:rsid w:val="003C5ECD"/>
    <w:rsid w:val="003C5ED1"/>
    <w:rsid w:val="003C61CE"/>
    <w:rsid w:val="003C61F2"/>
    <w:rsid w:val="003C63EA"/>
    <w:rsid w:val="003C6453"/>
    <w:rsid w:val="003C65AB"/>
    <w:rsid w:val="003C6641"/>
    <w:rsid w:val="003C67D1"/>
    <w:rsid w:val="003C6A16"/>
    <w:rsid w:val="003C6AE8"/>
    <w:rsid w:val="003C6C9C"/>
    <w:rsid w:val="003C6CC6"/>
    <w:rsid w:val="003C7574"/>
    <w:rsid w:val="003C75A4"/>
    <w:rsid w:val="003C761C"/>
    <w:rsid w:val="003C7699"/>
    <w:rsid w:val="003C7841"/>
    <w:rsid w:val="003C784E"/>
    <w:rsid w:val="003C79B3"/>
    <w:rsid w:val="003C7C89"/>
    <w:rsid w:val="003C7CC1"/>
    <w:rsid w:val="003C7E11"/>
    <w:rsid w:val="003C7EB2"/>
    <w:rsid w:val="003C7EE0"/>
    <w:rsid w:val="003D03F2"/>
    <w:rsid w:val="003D079F"/>
    <w:rsid w:val="003D0D2E"/>
    <w:rsid w:val="003D0DC7"/>
    <w:rsid w:val="003D0FB2"/>
    <w:rsid w:val="003D1075"/>
    <w:rsid w:val="003D16E1"/>
    <w:rsid w:val="003D17FD"/>
    <w:rsid w:val="003D1873"/>
    <w:rsid w:val="003D1892"/>
    <w:rsid w:val="003D18C8"/>
    <w:rsid w:val="003D1C62"/>
    <w:rsid w:val="003D1F00"/>
    <w:rsid w:val="003D24FE"/>
    <w:rsid w:val="003D25FB"/>
    <w:rsid w:val="003D2624"/>
    <w:rsid w:val="003D2C87"/>
    <w:rsid w:val="003D3177"/>
    <w:rsid w:val="003D3418"/>
    <w:rsid w:val="003D3662"/>
    <w:rsid w:val="003D377D"/>
    <w:rsid w:val="003D381E"/>
    <w:rsid w:val="003D397D"/>
    <w:rsid w:val="003D3A58"/>
    <w:rsid w:val="003D3D33"/>
    <w:rsid w:val="003D3DFC"/>
    <w:rsid w:val="003D3E2F"/>
    <w:rsid w:val="003D3E80"/>
    <w:rsid w:val="003D4397"/>
    <w:rsid w:val="003D4691"/>
    <w:rsid w:val="003D46BC"/>
    <w:rsid w:val="003D46F4"/>
    <w:rsid w:val="003D4BF4"/>
    <w:rsid w:val="003D4E82"/>
    <w:rsid w:val="003D4EE5"/>
    <w:rsid w:val="003D5040"/>
    <w:rsid w:val="003D54FF"/>
    <w:rsid w:val="003D577F"/>
    <w:rsid w:val="003D5946"/>
    <w:rsid w:val="003D598F"/>
    <w:rsid w:val="003D5A59"/>
    <w:rsid w:val="003D5D16"/>
    <w:rsid w:val="003D5DCE"/>
    <w:rsid w:val="003D5E45"/>
    <w:rsid w:val="003D5E81"/>
    <w:rsid w:val="003D5EC6"/>
    <w:rsid w:val="003D5F1B"/>
    <w:rsid w:val="003D6023"/>
    <w:rsid w:val="003D609F"/>
    <w:rsid w:val="003D60AC"/>
    <w:rsid w:val="003D6191"/>
    <w:rsid w:val="003D65B5"/>
    <w:rsid w:val="003D696D"/>
    <w:rsid w:val="003D6B94"/>
    <w:rsid w:val="003D6DCF"/>
    <w:rsid w:val="003D6E84"/>
    <w:rsid w:val="003D6FBA"/>
    <w:rsid w:val="003D7013"/>
    <w:rsid w:val="003D7081"/>
    <w:rsid w:val="003D731D"/>
    <w:rsid w:val="003D7587"/>
    <w:rsid w:val="003D7697"/>
    <w:rsid w:val="003D76EE"/>
    <w:rsid w:val="003D7AF6"/>
    <w:rsid w:val="003D7BDE"/>
    <w:rsid w:val="003E006E"/>
    <w:rsid w:val="003E0361"/>
    <w:rsid w:val="003E04C3"/>
    <w:rsid w:val="003E063D"/>
    <w:rsid w:val="003E070D"/>
    <w:rsid w:val="003E079D"/>
    <w:rsid w:val="003E0AE5"/>
    <w:rsid w:val="003E0AF0"/>
    <w:rsid w:val="003E0B00"/>
    <w:rsid w:val="003E0B3B"/>
    <w:rsid w:val="003E0C00"/>
    <w:rsid w:val="003E0CC5"/>
    <w:rsid w:val="003E0EEF"/>
    <w:rsid w:val="003E13E1"/>
    <w:rsid w:val="003E16AF"/>
    <w:rsid w:val="003E1921"/>
    <w:rsid w:val="003E1BCF"/>
    <w:rsid w:val="003E2102"/>
    <w:rsid w:val="003E2118"/>
    <w:rsid w:val="003E2160"/>
    <w:rsid w:val="003E2313"/>
    <w:rsid w:val="003E234A"/>
    <w:rsid w:val="003E24C9"/>
    <w:rsid w:val="003E252C"/>
    <w:rsid w:val="003E254D"/>
    <w:rsid w:val="003E27D9"/>
    <w:rsid w:val="003E2836"/>
    <w:rsid w:val="003E28CA"/>
    <w:rsid w:val="003E2933"/>
    <w:rsid w:val="003E2C5C"/>
    <w:rsid w:val="003E2C88"/>
    <w:rsid w:val="003E2FED"/>
    <w:rsid w:val="003E30E8"/>
    <w:rsid w:val="003E314B"/>
    <w:rsid w:val="003E34E1"/>
    <w:rsid w:val="003E362A"/>
    <w:rsid w:val="003E3806"/>
    <w:rsid w:val="003E3A87"/>
    <w:rsid w:val="003E3AB9"/>
    <w:rsid w:val="003E3D8C"/>
    <w:rsid w:val="003E3E0A"/>
    <w:rsid w:val="003E3E38"/>
    <w:rsid w:val="003E4153"/>
    <w:rsid w:val="003E41D8"/>
    <w:rsid w:val="003E428B"/>
    <w:rsid w:val="003E4447"/>
    <w:rsid w:val="003E468F"/>
    <w:rsid w:val="003E474F"/>
    <w:rsid w:val="003E4753"/>
    <w:rsid w:val="003E4BD9"/>
    <w:rsid w:val="003E4CD9"/>
    <w:rsid w:val="003E525A"/>
    <w:rsid w:val="003E52C1"/>
    <w:rsid w:val="003E5568"/>
    <w:rsid w:val="003E5805"/>
    <w:rsid w:val="003E58AA"/>
    <w:rsid w:val="003E5C78"/>
    <w:rsid w:val="003E5FC7"/>
    <w:rsid w:val="003E6121"/>
    <w:rsid w:val="003E6173"/>
    <w:rsid w:val="003E6281"/>
    <w:rsid w:val="003E62B1"/>
    <w:rsid w:val="003E69FD"/>
    <w:rsid w:val="003E6D73"/>
    <w:rsid w:val="003E7046"/>
    <w:rsid w:val="003E7151"/>
    <w:rsid w:val="003E73E6"/>
    <w:rsid w:val="003E7552"/>
    <w:rsid w:val="003E76FB"/>
    <w:rsid w:val="003E7A63"/>
    <w:rsid w:val="003E7AEE"/>
    <w:rsid w:val="003E7C42"/>
    <w:rsid w:val="003F02B5"/>
    <w:rsid w:val="003F04B0"/>
    <w:rsid w:val="003F059D"/>
    <w:rsid w:val="003F0693"/>
    <w:rsid w:val="003F0700"/>
    <w:rsid w:val="003F0747"/>
    <w:rsid w:val="003F0B51"/>
    <w:rsid w:val="003F0C85"/>
    <w:rsid w:val="003F0EA3"/>
    <w:rsid w:val="003F0F9D"/>
    <w:rsid w:val="003F133C"/>
    <w:rsid w:val="003F143E"/>
    <w:rsid w:val="003F14AA"/>
    <w:rsid w:val="003F14B6"/>
    <w:rsid w:val="003F17B6"/>
    <w:rsid w:val="003F1E43"/>
    <w:rsid w:val="003F20B7"/>
    <w:rsid w:val="003F2135"/>
    <w:rsid w:val="003F2163"/>
    <w:rsid w:val="003F2514"/>
    <w:rsid w:val="003F2529"/>
    <w:rsid w:val="003F2802"/>
    <w:rsid w:val="003F2CB3"/>
    <w:rsid w:val="003F3022"/>
    <w:rsid w:val="003F34ED"/>
    <w:rsid w:val="003F3582"/>
    <w:rsid w:val="003F36FF"/>
    <w:rsid w:val="003F378F"/>
    <w:rsid w:val="003F395F"/>
    <w:rsid w:val="003F3A79"/>
    <w:rsid w:val="003F3AE0"/>
    <w:rsid w:val="003F3B7D"/>
    <w:rsid w:val="003F3BE8"/>
    <w:rsid w:val="003F3D2B"/>
    <w:rsid w:val="003F3E09"/>
    <w:rsid w:val="003F4596"/>
    <w:rsid w:val="003F46A5"/>
    <w:rsid w:val="003F4903"/>
    <w:rsid w:val="003F4B4A"/>
    <w:rsid w:val="003F4BF9"/>
    <w:rsid w:val="003F5156"/>
    <w:rsid w:val="003F53C9"/>
    <w:rsid w:val="003F5599"/>
    <w:rsid w:val="003F56E1"/>
    <w:rsid w:val="003F57C1"/>
    <w:rsid w:val="003F57C6"/>
    <w:rsid w:val="003F5A00"/>
    <w:rsid w:val="003F5AF5"/>
    <w:rsid w:val="003F5B16"/>
    <w:rsid w:val="003F5B42"/>
    <w:rsid w:val="003F5C08"/>
    <w:rsid w:val="003F5C8D"/>
    <w:rsid w:val="003F5D5D"/>
    <w:rsid w:val="003F60B6"/>
    <w:rsid w:val="003F642E"/>
    <w:rsid w:val="003F64CF"/>
    <w:rsid w:val="003F6865"/>
    <w:rsid w:val="003F68E9"/>
    <w:rsid w:val="003F6D1E"/>
    <w:rsid w:val="003F6FDD"/>
    <w:rsid w:val="003F702F"/>
    <w:rsid w:val="003F7523"/>
    <w:rsid w:val="003F77A1"/>
    <w:rsid w:val="003F7C46"/>
    <w:rsid w:val="003F7C4C"/>
    <w:rsid w:val="003F7E5E"/>
    <w:rsid w:val="004001FE"/>
    <w:rsid w:val="00400359"/>
    <w:rsid w:val="004003FB"/>
    <w:rsid w:val="0040050D"/>
    <w:rsid w:val="0040082D"/>
    <w:rsid w:val="00400874"/>
    <w:rsid w:val="00400890"/>
    <w:rsid w:val="004008B3"/>
    <w:rsid w:val="004008D8"/>
    <w:rsid w:val="004008E7"/>
    <w:rsid w:val="00400CC1"/>
    <w:rsid w:val="00400E7D"/>
    <w:rsid w:val="00400EEB"/>
    <w:rsid w:val="004016C6"/>
    <w:rsid w:val="00401855"/>
    <w:rsid w:val="00402413"/>
    <w:rsid w:val="004026DB"/>
    <w:rsid w:val="00402884"/>
    <w:rsid w:val="00402916"/>
    <w:rsid w:val="00402926"/>
    <w:rsid w:val="00402A1E"/>
    <w:rsid w:val="00402A25"/>
    <w:rsid w:val="00402AF9"/>
    <w:rsid w:val="00402BF5"/>
    <w:rsid w:val="00402D86"/>
    <w:rsid w:val="0040332E"/>
    <w:rsid w:val="004037D7"/>
    <w:rsid w:val="00403B65"/>
    <w:rsid w:val="00403CB6"/>
    <w:rsid w:val="00403EDD"/>
    <w:rsid w:val="00403F54"/>
    <w:rsid w:val="00403FC4"/>
    <w:rsid w:val="00404299"/>
    <w:rsid w:val="00404302"/>
    <w:rsid w:val="004043B3"/>
    <w:rsid w:val="004043C3"/>
    <w:rsid w:val="0040471E"/>
    <w:rsid w:val="0040474A"/>
    <w:rsid w:val="00404FB0"/>
    <w:rsid w:val="0040528A"/>
    <w:rsid w:val="0040532B"/>
    <w:rsid w:val="0040537B"/>
    <w:rsid w:val="00405537"/>
    <w:rsid w:val="0040589C"/>
    <w:rsid w:val="00405B14"/>
    <w:rsid w:val="00405CF5"/>
    <w:rsid w:val="00406629"/>
    <w:rsid w:val="00406903"/>
    <w:rsid w:val="00406D32"/>
    <w:rsid w:val="00406E97"/>
    <w:rsid w:val="00407201"/>
    <w:rsid w:val="0040723E"/>
    <w:rsid w:val="004073EA"/>
    <w:rsid w:val="00407451"/>
    <w:rsid w:val="00407477"/>
    <w:rsid w:val="00407481"/>
    <w:rsid w:val="004078CA"/>
    <w:rsid w:val="00407D3D"/>
    <w:rsid w:val="00407DB3"/>
    <w:rsid w:val="00407DD1"/>
    <w:rsid w:val="00407E92"/>
    <w:rsid w:val="00407F56"/>
    <w:rsid w:val="004103A3"/>
    <w:rsid w:val="004103E1"/>
    <w:rsid w:val="00410443"/>
    <w:rsid w:val="0041057E"/>
    <w:rsid w:val="0041072B"/>
    <w:rsid w:val="004107F4"/>
    <w:rsid w:val="00410851"/>
    <w:rsid w:val="00410AB7"/>
    <w:rsid w:val="00410BB3"/>
    <w:rsid w:val="00410EB3"/>
    <w:rsid w:val="00410EEA"/>
    <w:rsid w:val="004110EF"/>
    <w:rsid w:val="004111FD"/>
    <w:rsid w:val="00411241"/>
    <w:rsid w:val="0041175F"/>
    <w:rsid w:val="00411B62"/>
    <w:rsid w:val="00411C7B"/>
    <w:rsid w:val="00411CDE"/>
    <w:rsid w:val="00411D76"/>
    <w:rsid w:val="00411D8A"/>
    <w:rsid w:val="00412110"/>
    <w:rsid w:val="0041218A"/>
    <w:rsid w:val="0041245A"/>
    <w:rsid w:val="0041255E"/>
    <w:rsid w:val="00412880"/>
    <w:rsid w:val="00412B53"/>
    <w:rsid w:val="00412CA6"/>
    <w:rsid w:val="00412E3C"/>
    <w:rsid w:val="00413BC6"/>
    <w:rsid w:val="00413BE5"/>
    <w:rsid w:val="00413D77"/>
    <w:rsid w:val="00413E4A"/>
    <w:rsid w:val="004141D0"/>
    <w:rsid w:val="004142B2"/>
    <w:rsid w:val="004143C8"/>
    <w:rsid w:val="004147E1"/>
    <w:rsid w:val="00414A28"/>
    <w:rsid w:val="00414B9B"/>
    <w:rsid w:val="00414BFD"/>
    <w:rsid w:val="00414BFF"/>
    <w:rsid w:val="00415188"/>
    <w:rsid w:val="00415347"/>
    <w:rsid w:val="00415361"/>
    <w:rsid w:val="0041546D"/>
    <w:rsid w:val="00415518"/>
    <w:rsid w:val="00415856"/>
    <w:rsid w:val="00415C42"/>
    <w:rsid w:val="00415C46"/>
    <w:rsid w:val="00415D76"/>
    <w:rsid w:val="00415EB8"/>
    <w:rsid w:val="0041610C"/>
    <w:rsid w:val="0041620E"/>
    <w:rsid w:val="00416495"/>
    <w:rsid w:val="004165A1"/>
    <w:rsid w:val="00416A52"/>
    <w:rsid w:val="00416BF0"/>
    <w:rsid w:val="004170EB"/>
    <w:rsid w:val="004170FC"/>
    <w:rsid w:val="00417408"/>
    <w:rsid w:val="0041756C"/>
    <w:rsid w:val="0041783C"/>
    <w:rsid w:val="00417A49"/>
    <w:rsid w:val="00417BF5"/>
    <w:rsid w:val="00417C0C"/>
    <w:rsid w:val="00417D7A"/>
    <w:rsid w:val="00417E9A"/>
    <w:rsid w:val="004200B5"/>
    <w:rsid w:val="004200FD"/>
    <w:rsid w:val="004201D7"/>
    <w:rsid w:val="00420268"/>
    <w:rsid w:val="004204EB"/>
    <w:rsid w:val="004205F2"/>
    <w:rsid w:val="00420B22"/>
    <w:rsid w:val="00420C18"/>
    <w:rsid w:val="00420C65"/>
    <w:rsid w:val="00421197"/>
    <w:rsid w:val="0042127F"/>
    <w:rsid w:val="00421501"/>
    <w:rsid w:val="004217A2"/>
    <w:rsid w:val="00421830"/>
    <w:rsid w:val="00421F0E"/>
    <w:rsid w:val="00422186"/>
    <w:rsid w:val="004223F4"/>
    <w:rsid w:val="004223F5"/>
    <w:rsid w:val="004224B8"/>
    <w:rsid w:val="00422574"/>
    <w:rsid w:val="0042261C"/>
    <w:rsid w:val="0042279F"/>
    <w:rsid w:val="00422C85"/>
    <w:rsid w:val="00422D03"/>
    <w:rsid w:val="00422D3A"/>
    <w:rsid w:val="00422D5F"/>
    <w:rsid w:val="0042302B"/>
    <w:rsid w:val="0042314F"/>
    <w:rsid w:val="0042316D"/>
    <w:rsid w:val="0042321D"/>
    <w:rsid w:val="0042324B"/>
    <w:rsid w:val="004232A2"/>
    <w:rsid w:val="00423335"/>
    <w:rsid w:val="00423599"/>
    <w:rsid w:val="004238C8"/>
    <w:rsid w:val="00423967"/>
    <w:rsid w:val="0042399A"/>
    <w:rsid w:val="00423A1E"/>
    <w:rsid w:val="00423A43"/>
    <w:rsid w:val="00423C04"/>
    <w:rsid w:val="00424198"/>
    <w:rsid w:val="0042431F"/>
    <w:rsid w:val="0042434F"/>
    <w:rsid w:val="00424373"/>
    <w:rsid w:val="00424547"/>
    <w:rsid w:val="0042457F"/>
    <w:rsid w:val="004248A4"/>
    <w:rsid w:val="00424B5E"/>
    <w:rsid w:val="00424B99"/>
    <w:rsid w:val="00424FA4"/>
    <w:rsid w:val="00425056"/>
    <w:rsid w:val="004251C6"/>
    <w:rsid w:val="0042521D"/>
    <w:rsid w:val="004254F0"/>
    <w:rsid w:val="004255BE"/>
    <w:rsid w:val="00425661"/>
    <w:rsid w:val="00425B61"/>
    <w:rsid w:val="00425D72"/>
    <w:rsid w:val="00425DE8"/>
    <w:rsid w:val="00425F61"/>
    <w:rsid w:val="00426521"/>
    <w:rsid w:val="004266A0"/>
    <w:rsid w:val="004266F2"/>
    <w:rsid w:val="0042690D"/>
    <w:rsid w:val="004271A6"/>
    <w:rsid w:val="004273AF"/>
    <w:rsid w:val="00427499"/>
    <w:rsid w:val="0042756F"/>
    <w:rsid w:val="004277F3"/>
    <w:rsid w:val="00427920"/>
    <w:rsid w:val="00427BAF"/>
    <w:rsid w:val="00427CCC"/>
    <w:rsid w:val="00427CFF"/>
    <w:rsid w:val="00427D54"/>
    <w:rsid w:val="00427DF7"/>
    <w:rsid w:val="00427E60"/>
    <w:rsid w:val="00427EAF"/>
    <w:rsid w:val="00427EBC"/>
    <w:rsid w:val="00427F1D"/>
    <w:rsid w:val="00427FE8"/>
    <w:rsid w:val="0043013F"/>
    <w:rsid w:val="004301B9"/>
    <w:rsid w:val="00430255"/>
    <w:rsid w:val="00430496"/>
    <w:rsid w:val="00430548"/>
    <w:rsid w:val="0043074C"/>
    <w:rsid w:val="00430A81"/>
    <w:rsid w:val="00430B76"/>
    <w:rsid w:val="00430F46"/>
    <w:rsid w:val="00430FC3"/>
    <w:rsid w:val="00431017"/>
    <w:rsid w:val="00431479"/>
    <w:rsid w:val="00431481"/>
    <w:rsid w:val="00431695"/>
    <w:rsid w:val="0043175C"/>
    <w:rsid w:val="004317D0"/>
    <w:rsid w:val="004317D9"/>
    <w:rsid w:val="004317F8"/>
    <w:rsid w:val="00431883"/>
    <w:rsid w:val="00431A40"/>
    <w:rsid w:val="00431A7D"/>
    <w:rsid w:val="00431CB9"/>
    <w:rsid w:val="00431D46"/>
    <w:rsid w:val="00431E06"/>
    <w:rsid w:val="00431E59"/>
    <w:rsid w:val="0043202B"/>
    <w:rsid w:val="0043205E"/>
    <w:rsid w:val="00432338"/>
    <w:rsid w:val="0043262A"/>
    <w:rsid w:val="004326F4"/>
    <w:rsid w:val="004327CE"/>
    <w:rsid w:val="00432874"/>
    <w:rsid w:val="004329DA"/>
    <w:rsid w:val="00432A9D"/>
    <w:rsid w:val="00432AEA"/>
    <w:rsid w:val="00432CDA"/>
    <w:rsid w:val="00432FC1"/>
    <w:rsid w:val="00433243"/>
    <w:rsid w:val="00433422"/>
    <w:rsid w:val="004334B7"/>
    <w:rsid w:val="0043375B"/>
    <w:rsid w:val="004338EF"/>
    <w:rsid w:val="004339BE"/>
    <w:rsid w:val="00433B86"/>
    <w:rsid w:val="00433C0E"/>
    <w:rsid w:val="00433C8C"/>
    <w:rsid w:val="00433CDE"/>
    <w:rsid w:val="004340D2"/>
    <w:rsid w:val="00434142"/>
    <w:rsid w:val="004345D3"/>
    <w:rsid w:val="004345E0"/>
    <w:rsid w:val="00434858"/>
    <w:rsid w:val="004349D0"/>
    <w:rsid w:val="00434DA5"/>
    <w:rsid w:val="00435064"/>
    <w:rsid w:val="00435117"/>
    <w:rsid w:val="004354AC"/>
    <w:rsid w:val="00435820"/>
    <w:rsid w:val="004359C8"/>
    <w:rsid w:val="00435A5D"/>
    <w:rsid w:val="00435B73"/>
    <w:rsid w:val="00436143"/>
    <w:rsid w:val="00436419"/>
    <w:rsid w:val="004367BC"/>
    <w:rsid w:val="0043688F"/>
    <w:rsid w:val="0043696E"/>
    <w:rsid w:val="004370D9"/>
    <w:rsid w:val="00437399"/>
    <w:rsid w:val="00437461"/>
    <w:rsid w:val="004374D6"/>
    <w:rsid w:val="0043771F"/>
    <w:rsid w:val="00437A8F"/>
    <w:rsid w:val="00437EEC"/>
    <w:rsid w:val="00440055"/>
    <w:rsid w:val="004405FB"/>
    <w:rsid w:val="00440673"/>
    <w:rsid w:val="00440676"/>
    <w:rsid w:val="0044096F"/>
    <w:rsid w:val="00440ACB"/>
    <w:rsid w:val="00440C13"/>
    <w:rsid w:val="00440C94"/>
    <w:rsid w:val="00440E4F"/>
    <w:rsid w:val="00440E96"/>
    <w:rsid w:val="00440F61"/>
    <w:rsid w:val="0044117B"/>
    <w:rsid w:val="004411D0"/>
    <w:rsid w:val="00441212"/>
    <w:rsid w:val="004413D0"/>
    <w:rsid w:val="00441BE4"/>
    <w:rsid w:val="00441DA6"/>
    <w:rsid w:val="00441ED8"/>
    <w:rsid w:val="004421B5"/>
    <w:rsid w:val="00442229"/>
    <w:rsid w:val="00442298"/>
    <w:rsid w:val="0044262B"/>
    <w:rsid w:val="00442788"/>
    <w:rsid w:val="0044286D"/>
    <w:rsid w:val="00442993"/>
    <w:rsid w:val="00442B28"/>
    <w:rsid w:val="00442B4F"/>
    <w:rsid w:val="00442BBD"/>
    <w:rsid w:val="00442CAF"/>
    <w:rsid w:val="0044307F"/>
    <w:rsid w:val="004430A5"/>
    <w:rsid w:val="004432F6"/>
    <w:rsid w:val="0044344A"/>
    <w:rsid w:val="00443521"/>
    <w:rsid w:val="00443560"/>
    <w:rsid w:val="00443836"/>
    <w:rsid w:val="0044388B"/>
    <w:rsid w:val="00443A67"/>
    <w:rsid w:val="00443CC1"/>
    <w:rsid w:val="00443CD5"/>
    <w:rsid w:val="00444278"/>
    <w:rsid w:val="004448A4"/>
    <w:rsid w:val="00444C1C"/>
    <w:rsid w:val="00444D80"/>
    <w:rsid w:val="00445169"/>
    <w:rsid w:val="004451C6"/>
    <w:rsid w:val="004452B0"/>
    <w:rsid w:val="004453AF"/>
    <w:rsid w:val="0044555C"/>
    <w:rsid w:val="004457D0"/>
    <w:rsid w:val="004457D8"/>
    <w:rsid w:val="00445A6F"/>
    <w:rsid w:val="00445B43"/>
    <w:rsid w:val="00445CFD"/>
    <w:rsid w:val="00446145"/>
    <w:rsid w:val="0044617D"/>
    <w:rsid w:val="004463D8"/>
    <w:rsid w:val="0044645C"/>
    <w:rsid w:val="004464FE"/>
    <w:rsid w:val="00446506"/>
    <w:rsid w:val="00446ABC"/>
    <w:rsid w:val="00446BE4"/>
    <w:rsid w:val="00446D33"/>
    <w:rsid w:val="00446D8A"/>
    <w:rsid w:val="00447104"/>
    <w:rsid w:val="0044726E"/>
    <w:rsid w:val="00447375"/>
    <w:rsid w:val="0044741C"/>
    <w:rsid w:val="004476C1"/>
    <w:rsid w:val="0044778D"/>
    <w:rsid w:val="00447B2B"/>
    <w:rsid w:val="00447C18"/>
    <w:rsid w:val="00447CFD"/>
    <w:rsid w:val="00447F79"/>
    <w:rsid w:val="00447FEC"/>
    <w:rsid w:val="004501A8"/>
    <w:rsid w:val="004501E1"/>
    <w:rsid w:val="0045032A"/>
    <w:rsid w:val="00450703"/>
    <w:rsid w:val="00450716"/>
    <w:rsid w:val="004507BE"/>
    <w:rsid w:val="00450B68"/>
    <w:rsid w:val="00450F64"/>
    <w:rsid w:val="00450FA5"/>
    <w:rsid w:val="004517D2"/>
    <w:rsid w:val="004518E1"/>
    <w:rsid w:val="0045216C"/>
    <w:rsid w:val="00452299"/>
    <w:rsid w:val="004522AF"/>
    <w:rsid w:val="004525E8"/>
    <w:rsid w:val="00452806"/>
    <w:rsid w:val="00452DAE"/>
    <w:rsid w:val="00452DF8"/>
    <w:rsid w:val="00452EBA"/>
    <w:rsid w:val="00453430"/>
    <w:rsid w:val="0045350D"/>
    <w:rsid w:val="004535B9"/>
    <w:rsid w:val="004538AB"/>
    <w:rsid w:val="00453927"/>
    <w:rsid w:val="00453A74"/>
    <w:rsid w:val="00453BDD"/>
    <w:rsid w:val="00453CBE"/>
    <w:rsid w:val="00453ED9"/>
    <w:rsid w:val="00453F0A"/>
    <w:rsid w:val="00454067"/>
    <w:rsid w:val="00454249"/>
    <w:rsid w:val="0045440E"/>
    <w:rsid w:val="004545E5"/>
    <w:rsid w:val="00454689"/>
    <w:rsid w:val="0045468A"/>
    <w:rsid w:val="0045497E"/>
    <w:rsid w:val="00454995"/>
    <w:rsid w:val="00454ADA"/>
    <w:rsid w:val="00454C0A"/>
    <w:rsid w:val="00454C0C"/>
    <w:rsid w:val="00454E0B"/>
    <w:rsid w:val="00454E9E"/>
    <w:rsid w:val="0045504A"/>
    <w:rsid w:val="004550CF"/>
    <w:rsid w:val="00455567"/>
    <w:rsid w:val="00455AF3"/>
    <w:rsid w:val="00455E6E"/>
    <w:rsid w:val="00455F46"/>
    <w:rsid w:val="0045601D"/>
    <w:rsid w:val="00456512"/>
    <w:rsid w:val="004568DB"/>
    <w:rsid w:val="00456BF2"/>
    <w:rsid w:val="00456C13"/>
    <w:rsid w:val="00456FBD"/>
    <w:rsid w:val="00456FD7"/>
    <w:rsid w:val="004571E8"/>
    <w:rsid w:val="004571F6"/>
    <w:rsid w:val="00457884"/>
    <w:rsid w:val="00457B11"/>
    <w:rsid w:val="00457B5F"/>
    <w:rsid w:val="00457FAB"/>
    <w:rsid w:val="00460054"/>
    <w:rsid w:val="004602EB"/>
    <w:rsid w:val="00460A75"/>
    <w:rsid w:val="00460F96"/>
    <w:rsid w:val="0046104C"/>
    <w:rsid w:val="0046119E"/>
    <w:rsid w:val="0046130E"/>
    <w:rsid w:val="004615EE"/>
    <w:rsid w:val="0046170B"/>
    <w:rsid w:val="00461CA3"/>
    <w:rsid w:val="004620DB"/>
    <w:rsid w:val="004621F6"/>
    <w:rsid w:val="004623C8"/>
    <w:rsid w:val="00462B9B"/>
    <w:rsid w:val="00462D2D"/>
    <w:rsid w:val="0046320A"/>
    <w:rsid w:val="00463216"/>
    <w:rsid w:val="00463382"/>
    <w:rsid w:val="004633E8"/>
    <w:rsid w:val="004636DC"/>
    <w:rsid w:val="00463797"/>
    <w:rsid w:val="004637D6"/>
    <w:rsid w:val="0046381B"/>
    <w:rsid w:val="00463896"/>
    <w:rsid w:val="004639F5"/>
    <w:rsid w:val="00463C30"/>
    <w:rsid w:val="00463D73"/>
    <w:rsid w:val="0046410B"/>
    <w:rsid w:val="00464135"/>
    <w:rsid w:val="0046415D"/>
    <w:rsid w:val="004643F2"/>
    <w:rsid w:val="00464604"/>
    <w:rsid w:val="004647B3"/>
    <w:rsid w:val="00464E53"/>
    <w:rsid w:val="0046513C"/>
    <w:rsid w:val="00465151"/>
    <w:rsid w:val="00465348"/>
    <w:rsid w:val="00465370"/>
    <w:rsid w:val="004654D3"/>
    <w:rsid w:val="0046575F"/>
    <w:rsid w:val="00465768"/>
    <w:rsid w:val="00465B07"/>
    <w:rsid w:val="00465DAD"/>
    <w:rsid w:val="004664C3"/>
    <w:rsid w:val="00466F5B"/>
    <w:rsid w:val="00467331"/>
    <w:rsid w:val="00467549"/>
    <w:rsid w:val="004676D5"/>
    <w:rsid w:val="00467729"/>
    <w:rsid w:val="00467794"/>
    <w:rsid w:val="004678F2"/>
    <w:rsid w:val="00467925"/>
    <w:rsid w:val="00467B67"/>
    <w:rsid w:val="00467D6D"/>
    <w:rsid w:val="00467F34"/>
    <w:rsid w:val="00470051"/>
    <w:rsid w:val="00470216"/>
    <w:rsid w:val="0047027B"/>
    <w:rsid w:val="0047029B"/>
    <w:rsid w:val="0047036C"/>
    <w:rsid w:val="004703F7"/>
    <w:rsid w:val="0047043A"/>
    <w:rsid w:val="00470607"/>
    <w:rsid w:val="00470643"/>
    <w:rsid w:val="00470689"/>
    <w:rsid w:val="00470743"/>
    <w:rsid w:val="004708BE"/>
    <w:rsid w:val="00470A70"/>
    <w:rsid w:val="00470AD1"/>
    <w:rsid w:val="00470B19"/>
    <w:rsid w:val="00471450"/>
    <w:rsid w:val="004717C4"/>
    <w:rsid w:val="00471B04"/>
    <w:rsid w:val="00471B8A"/>
    <w:rsid w:val="00471BBD"/>
    <w:rsid w:val="00472291"/>
    <w:rsid w:val="0047231E"/>
    <w:rsid w:val="004725F8"/>
    <w:rsid w:val="004726B7"/>
    <w:rsid w:val="00472F0F"/>
    <w:rsid w:val="0047322C"/>
    <w:rsid w:val="00473434"/>
    <w:rsid w:val="00473891"/>
    <w:rsid w:val="00473C1E"/>
    <w:rsid w:val="00473C61"/>
    <w:rsid w:val="00473CDF"/>
    <w:rsid w:val="00473D4D"/>
    <w:rsid w:val="00474791"/>
    <w:rsid w:val="004748C2"/>
    <w:rsid w:val="004749C9"/>
    <w:rsid w:val="00474B69"/>
    <w:rsid w:val="00474C8C"/>
    <w:rsid w:val="00474D84"/>
    <w:rsid w:val="00474E5C"/>
    <w:rsid w:val="0047502D"/>
    <w:rsid w:val="0047509C"/>
    <w:rsid w:val="00475182"/>
    <w:rsid w:val="00475342"/>
    <w:rsid w:val="00475432"/>
    <w:rsid w:val="00475553"/>
    <w:rsid w:val="00475781"/>
    <w:rsid w:val="00475D5E"/>
    <w:rsid w:val="00476056"/>
    <w:rsid w:val="00476190"/>
    <w:rsid w:val="0047640A"/>
    <w:rsid w:val="004765FF"/>
    <w:rsid w:val="00476628"/>
    <w:rsid w:val="00476BC2"/>
    <w:rsid w:val="00476C29"/>
    <w:rsid w:val="00476EB3"/>
    <w:rsid w:val="004770E1"/>
    <w:rsid w:val="00477308"/>
    <w:rsid w:val="0047749E"/>
    <w:rsid w:val="00477898"/>
    <w:rsid w:val="00477B25"/>
    <w:rsid w:val="00477E9F"/>
    <w:rsid w:val="0048044D"/>
    <w:rsid w:val="00480B51"/>
    <w:rsid w:val="00480C99"/>
    <w:rsid w:val="00481107"/>
    <w:rsid w:val="0048149D"/>
    <w:rsid w:val="0048179C"/>
    <w:rsid w:val="004819F1"/>
    <w:rsid w:val="00481AF3"/>
    <w:rsid w:val="00482066"/>
    <w:rsid w:val="0048215B"/>
    <w:rsid w:val="004823B7"/>
    <w:rsid w:val="00482581"/>
    <w:rsid w:val="00482928"/>
    <w:rsid w:val="00482933"/>
    <w:rsid w:val="00482EA2"/>
    <w:rsid w:val="0048307C"/>
    <w:rsid w:val="004831ED"/>
    <w:rsid w:val="00483551"/>
    <w:rsid w:val="0048367E"/>
    <w:rsid w:val="004836B6"/>
    <w:rsid w:val="00483788"/>
    <w:rsid w:val="00483DC2"/>
    <w:rsid w:val="00483EE3"/>
    <w:rsid w:val="00483F46"/>
    <w:rsid w:val="004840CE"/>
    <w:rsid w:val="00484225"/>
    <w:rsid w:val="004842BC"/>
    <w:rsid w:val="00484426"/>
    <w:rsid w:val="00484429"/>
    <w:rsid w:val="00484540"/>
    <w:rsid w:val="004845B1"/>
    <w:rsid w:val="0048463F"/>
    <w:rsid w:val="004846B6"/>
    <w:rsid w:val="00484774"/>
    <w:rsid w:val="00484AB9"/>
    <w:rsid w:val="00484DBB"/>
    <w:rsid w:val="00484EBD"/>
    <w:rsid w:val="0048515F"/>
    <w:rsid w:val="0048521F"/>
    <w:rsid w:val="004852B2"/>
    <w:rsid w:val="00485739"/>
    <w:rsid w:val="00485748"/>
    <w:rsid w:val="00485AE0"/>
    <w:rsid w:val="00485BEF"/>
    <w:rsid w:val="00485F82"/>
    <w:rsid w:val="0048613A"/>
    <w:rsid w:val="00486370"/>
    <w:rsid w:val="004863DB"/>
    <w:rsid w:val="00486488"/>
    <w:rsid w:val="00486501"/>
    <w:rsid w:val="0048654A"/>
    <w:rsid w:val="00486763"/>
    <w:rsid w:val="004867A6"/>
    <w:rsid w:val="004867B1"/>
    <w:rsid w:val="00486938"/>
    <w:rsid w:val="00486D68"/>
    <w:rsid w:val="004871AC"/>
    <w:rsid w:val="00487244"/>
    <w:rsid w:val="004874A2"/>
    <w:rsid w:val="00487730"/>
    <w:rsid w:val="00487783"/>
    <w:rsid w:val="00487AC9"/>
    <w:rsid w:val="00487C8E"/>
    <w:rsid w:val="00487E57"/>
    <w:rsid w:val="00487F5A"/>
    <w:rsid w:val="00490079"/>
    <w:rsid w:val="00490312"/>
    <w:rsid w:val="00490354"/>
    <w:rsid w:val="004905BA"/>
    <w:rsid w:val="004906E6"/>
    <w:rsid w:val="0049084E"/>
    <w:rsid w:val="00490886"/>
    <w:rsid w:val="00490F31"/>
    <w:rsid w:val="0049102E"/>
    <w:rsid w:val="0049175F"/>
    <w:rsid w:val="004917F5"/>
    <w:rsid w:val="004917F8"/>
    <w:rsid w:val="00491BC5"/>
    <w:rsid w:val="00491BD5"/>
    <w:rsid w:val="00491D51"/>
    <w:rsid w:val="00491E3E"/>
    <w:rsid w:val="00491F80"/>
    <w:rsid w:val="004922DE"/>
    <w:rsid w:val="004926C2"/>
    <w:rsid w:val="00492859"/>
    <w:rsid w:val="0049290E"/>
    <w:rsid w:val="00492A5B"/>
    <w:rsid w:val="00492FE0"/>
    <w:rsid w:val="004930DF"/>
    <w:rsid w:val="004931B7"/>
    <w:rsid w:val="00493339"/>
    <w:rsid w:val="00493447"/>
    <w:rsid w:val="0049359E"/>
    <w:rsid w:val="004939EA"/>
    <w:rsid w:val="00493A25"/>
    <w:rsid w:val="00493C09"/>
    <w:rsid w:val="00493DF4"/>
    <w:rsid w:val="00493E2D"/>
    <w:rsid w:val="0049428D"/>
    <w:rsid w:val="004946EA"/>
    <w:rsid w:val="00494713"/>
    <w:rsid w:val="004947AC"/>
    <w:rsid w:val="00494914"/>
    <w:rsid w:val="00494982"/>
    <w:rsid w:val="00494A75"/>
    <w:rsid w:val="00494CC5"/>
    <w:rsid w:val="00494D8C"/>
    <w:rsid w:val="00494F15"/>
    <w:rsid w:val="00494F6A"/>
    <w:rsid w:val="00494FC8"/>
    <w:rsid w:val="004951DA"/>
    <w:rsid w:val="00495813"/>
    <w:rsid w:val="0049589D"/>
    <w:rsid w:val="004958A0"/>
    <w:rsid w:val="00495989"/>
    <w:rsid w:val="004959C9"/>
    <w:rsid w:val="004959ED"/>
    <w:rsid w:val="00495A07"/>
    <w:rsid w:val="00495A3E"/>
    <w:rsid w:val="004960F6"/>
    <w:rsid w:val="00496189"/>
    <w:rsid w:val="0049619A"/>
    <w:rsid w:val="0049623B"/>
    <w:rsid w:val="0049624B"/>
    <w:rsid w:val="00496340"/>
    <w:rsid w:val="00496971"/>
    <w:rsid w:val="00496C9E"/>
    <w:rsid w:val="00496CE2"/>
    <w:rsid w:val="00496CF1"/>
    <w:rsid w:val="00497081"/>
    <w:rsid w:val="004970AD"/>
    <w:rsid w:val="0049739D"/>
    <w:rsid w:val="0049781A"/>
    <w:rsid w:val="004979CF"/>
    <w:rsid w:val="00497A6B"/>
    <w:rsid w:val="00497B55"/>
    <w:rsid w:val="00497BED"/>
    <w:rsid w:val="00497F61"/>
    <w:rsid w:val="004A01CB"/>
    <w:rsid w:val="004A034F"/>
    <w:rsid w:val="004A0373"/>
    <w:rsid w:val="004A03D5"/>
    <w:rsid w:val="004A04D1"/>
    <w:rsid w:val="004A08D7"/>
    <w:rsid w:val="004A0978"/>
    <w:rsid w:val="004A0E79"/>
    <w:rsid w:val="004A0F07"/>
    <w:rsid w:val="004A0F59"/>
    <w:rsid w:val="004A0F73"/>
    <w:rsid w:val="004A1066"/>
    <w:rsid w:val="004A1075"/>
    <w:rsid w:val="004A1303"/>
    <w:rsid w:val="004A1394"/>
    <w:rsid w:val="004A15BF"/>
    <w:rsid w:val="004A16D9"/>
    <w:rsid w:val="004A1A96"/>
    <w:rsid w:val="004A1A97"/>
    <w:rsid w:val="004A1BD6"/>
    <w:rsid w:val="004A1C0C"/>
    <w:rsid w:val="004A1EE5"/>
    <w:rsid w:val="004A2019"/>
    <w:rsid w:val="004A2182"/>
    <w:rsid w:val="004A229A"/>
    <w:rsid w:val="004A2613"/>
    <w:rsid w:val="004A269B"/>
    <w:rsid w:val="004A2B68"/>
    <w:rsid w:val="004A2BE2"/>
    <w:rsid w:val="004A3050"/>
    <w:rsid w:val="004A323D"/>
    <w:rsid w:val="004A3256"/>
    <w:rsid w:val="004A33FE"/>
    <w:rsid w:val="004A3520"/>
    <w:rsid w:val="004A36F9"/>
    <w:rsid w:val="004A3724"/>
    <w:rsid w:val="004A387B"/>
    <w:rsid w:val="004A3930"/>
    <w:rsid w:val="004A3A81"/>
    <w:rsid w:val="004A3D33"/>
    <w:rsid w:val="004A3DDE"/>
    <w:rsid w:val="004A404B"/>
    <w:rsid w:val="004A40E3"/>
    <w:rsid w:val="004A4333"/>
    <w:rsid w:val="004A46BA"/>
    <w:rsid w:val="004A47C3"/>
    <w:rsid w:val="004A4D23"/>
    <w:rsid w:val="004A4DDE"/>
    <w:rsid w:val="004A4FCD"/>
    <w:rsid w:val="004A5106"/>
    <w:rsid w:val="004A52E5"/>
    <w:rsid w:val="004A53CF"/>
    <w:rsid w:val="004A5AF8"/>
    <w:rsid w:val="004A5C44"/>
    <w:rsid w:val="004A6072"/>
    <w:rsid w:val="004A6153"/>
    <w:rsid w:val="004A6779"/>
    <w:rsid w:val="004A6CB4"/>
    <w:rsid w:val="004A6CDE"/>
    <w:rsid w:val="004A6D0C"/>
    <w:rsid w:val="004A6D3F"/>
    <w:rsid w:val="004A6E96"/>
    <w:rsid w:val="004A6EAB"/>
    <w:rsid w:val="004A6F5D"/>
    <w:rsid w:val="004A70B5"/>
    <w:rsid w:val="004A741A"/>
    <w:rsid w:val="004A7521"/>
    <w:rsid w:val="004A78CB"/>
    <w:rsid w:val="004A7B7B"/>
    <w:rsid w:val="004A7D6F"/>
    <w:rsid w:val="004A7EEE"/>
    <w:rsid w:val="004B042F"/>
    <w:rsid w:val="004B0449"/>
    <w:rsid w:val="004B0800"/>
    <w:rsid w:val="004B08CD"/>
    <w:rsid w:val="004B0B4E"/>
    <w:rsid w:val="004B0C55"/>
    <w:rsid w:val="004B0D8E"/>
    <w:rsid w:val="004B0ED1"/>
    <w:rsid w:val="004B10C9"/>
    <w:rsid w:val="004B10E6"/>
    <w:rsid w:val="004B14B0"/>
    <w:rsid w:val="004B159B"/>
    <w:rsid w:val="004B1623"/>
    <w:rsid w:val="004B16B8"/>
    <w:rsid w:val="004B1DF1"/>
    <w:rsid w:val="004B1F46"/>
    <w:rsid w:val="004B20A5"/>
    <w:rsid w:val="004B20CC"/>
    <w:rsid w:val="004B21BA"/>
    <w:rsid w:val="004B2342"/>
    <w:rsid w:val="004B26C7"/>
    <w:rsid w:val="004B280D"/>
    <w:rsid w:val="004B2838"/>
    <w:rsid w:val="004B2905"/>
    <w:rsid w:val="004B2A2C"/>
    <w:rsid w:val="004B2E2C"/>
    <w:rsid w:val="004B2F02"/>
    <w:rsid w:val="004B2F48"/>
    <w:rsid w:val="004B356F"/>
    <w:rsid w:val="004B36FE"/>
    <w:rsid w:val="004B384E"/>
    <w:rsid w:val="004B3854"/>
    <w:rsid w:val="004B3B6F"/>
    <w:rsid w:val="004B3BD6"/>
    <w:rsid w:val="004B3BE3"/>
    <w:rsid w:val="004B3C12"/>
    <w:rsid w:val="004B3F3D"/>
    <w:rsid w:val="004B3F5D"/>
    <w:rsid w:val="004B3F9E"/>
    <w:rsid w:val="004B4022"/>
    <w:rsid w:val="004B4154"/>
    <w:rsid w:val="004B4170"/>
    <w:rsid w:val="004B466D"/>
    <w:rsid w:val="004B46AE"/>
    <w:rsid w:val="004B4835"/>
    <w:rsid w:val="004B4A25"/>
    <w:rsid w:val="004B4A6B"/>
    <w:rsid w:val="004B4AAF"/>
    <w:rsid w:val="004B4C27"/>
    <w:rsid w:val="004B4CBF"/>
    <w:rsid w:val="004B4CC1"/>
    <w:rsid w:val="004B4CC8"/>
    <w:rsid w:val="004B54B8"/>
    <w:rsid w:val="004B54E2"/>
    <w:rsid w:val="004B57CC"/>
    <w:rsid w:val="004B5B8F"/>
    <w:rsid w:val="004B5DBD"/>
    <w:rsid w:val="004B5F39"/>
    <w:rsid w:val="004B5FA1"/>
    <w:rsid w:val="004B6146"/>
    <w:rsid w:val="004B6151"/>
    <w:rsid w:val="004B626F"/>
    <w:rsid w:val="004B62ED"/>
    <w:rsid w:val="004B653E"/>
    <w:rsid w:val="004B6712"/>
    <w:rsid w:val="004B6C85"/>
    <w:rsid w:val="004B6D68"/>
    <w:rsid w:val="004B73E8"/>
    <w:rsid w:val="004B7451"/>
    <w:rsid w:val="004B780A"/>
    <w:rsid w:val="004B781F"/>
    <w:rsid w:val="004B7C6D"/>
    <w:rsid w:val="004C0440"/>
    <w:rsid w:val="004C04C8"/>
    <w:rsid w:val="004C0688"/>
    <w:rsid w:val="004C0C9A"/>
    <w:rsid w:val="004C0CE4"/>
    <w:rsid w:val="004C0F49"/>
    <w:rsid w:val="004C160C"/>
    <w:rsid w:val="004C1B48"/>
    <w:rsid w:val="004C1BA8"/>
    <w:rsid w:val="004C1E66"/>
    <w:rsid w:val="004C1EBC"/>
    <w:rsid w:val="004C2429"/>
    <w:rsid w:val="004C278D"/>
    <w:rsid w:val="004C3409"/>
    <w:rsid w:val="004C3720"/>
    <w:rsid w:val="004C3C61"/>
    <w:rsid w:val="004C3D7A"/>
    <w:rsid w:val="004C3EE8"/>
    <w:rsid w:val="004C3F53"/>
    <w:rsid w:val="004C42AF"/>
    <w:rsid w:val="004C43A3"/>
    <w:rsid w:val="004C470D"/>
    <w:rsid w:val="004C479B"/>
    <w:rsid w:val="004C4B88"/>
    <w:rsid w:val="004C4E30"/>
    <w:rsid w:val="004C50FA"/>
    <w:rsid w:val="004C54C7"/>
    <w:rsid w:val="004C554D"/>
    <w:rsid w:val="004C57B5"/>
    <w:rsid w:val="004C58A5"/>
    <w:rsid w:val="004C5A1D"/>
    <w:rsid w:val="004C65DB"/>
    <w:rsid w:val="004C6664"/>
    <w:rsid w:val="004C6D98"/>
    <w:rsid w:val="004C6E32"/>
    <w:rsid w:val="004C6F54"/>
    <w:rsid w:val="004C70AA"/>
    <w:rsid w:val="004C71DF"/>
    <w:rsid w:val="004C7277"/>
    <w:rsid w:val="004C72CD"/>
    <w:rsid w:val="004C745C"/>
    <w:rsid w:val="004C771D"/>
    <w:rsid w:val="004C7778"/>
    <w:rsid w:val="004C77C9"/>
    <w:rsid w:val="004C79CE"/>
    <w:rsid w:val="004C7A7E"/>
    <w:rsid w:val="004C7A97"/>
    <w:rsid w:val="004D0397"/>
    <w:rsid w:val="004D0433"/>
    <w:rsid w:val="004D0452"/>
    <w:rsid w:val="004D052B"/>
    <w:rsid w:val="004D0638"/>
    <w:rsid w:val="004D067B"/>
    <w:rsid w:val="004D0863"/>
    <w:rsid w:val="004D0BB3"/>
    <w:rsid w:val="004D1347"/>
    <w:rsid w:val="004D13E4"/>
    <w:rsid w:val="004D13F9"/>
    <w:rsid w:val="004D142F"/>
    <w:rsid w:val="004D1484"/>
    <w:rsid w:val="004D16CD"/>
    <w:rsid w:val="004D180D"/>
    <w:rsid w:val="004D1838"/>
    <w:rsid w:val="004D1972"/>
    <w:rsid w:val="004D19C4"/>
    <w:rsid w:val="004D1B0F"/>
    <w:rsid w:val="004D1B6A"/>
    <w:rsid w:val="004D1FB9"/>
    <w:rsid w:val="004D221A"/>
    <w:rsid w:val="004D238F"/>
    <w:rsid w:val="004D23B9"/>
    <w:rsid w:val="004D2431"/>
    <w:rsid w:val="004D2831"/>
    <w:rsid w:val="004D2A0B"/>
    <w:rsid w:val="004D2D1B"/>
    <w:rsid w:val="004D30B1"/>
    <w:rsid w:val="004D3266"/>
    <w:rsid w:val="004D32E0"/>
    <w:rsid w:val="004D335B"/>
    <w:rsid w:val="004D340A"/>
    <w:rsid w:val="004D34A4"/>
    <w:rsid w:val="004D34D9"/>
    <w:rsid w:val="004D35D4"/>
    <w:rsid w:val="004D3766"/>
    <w:rsid w:val="004D37AD"/>
    <w:rsid w:val="004D37E1"/>
    <w:rsid w:val="004D39D9"/>
    <w:rsid w:val="004D3AE9"/>
    <w:rsid w:val="004D3B4D"/>
    <w:rsid w:val="004D3D0B"/>
    <w:rsid w:val="004D4082"/>
    <w:rsid w:val="004D415D"/>
    <w:rsid w:val="004D421D"/>
    <w:rsid w:val="004D44B2"/>
    <w:rsid w:val="004D49EC"/>
    <w:rsid w:val="004D4A95"/>
    <w:rsid w:val="004D4B71"/>
    <w:rsid w:val="004D4E82"/>
    <w:rsid w:val="004D5060"/>
    <w:rsid w:val="004D5098"/>
    <w:rsid w:val="004D50AE"/>
    <w:rsid w:val="004D546A"/>
    <w:rsid w:val="004D563C"/>
    <w:rsid w:val="004D56DD"/>
    <w:rsid w:val="004D571E"/>
    <w:rsid w:val="004D5819"/>
    <w:rsid w:val="004D59BF"/>
    <w:rsid w:val="004D5BF3"/>
    <w:rsid w:val="004D5C65"/>
    <w:rsid w:val="004D5CA9"/>
    <w:rsid w:val="004D5CCA"/>
    <w:rsid w:val="004D5CE6"/>
    <w:rsid w:val="004D5DA7"/>
    <w:rsid w:val="004D5F49"/>
    <w:rsid w:val="004D5F7A"/>
    <w:rsid w:val="004D6002"/>
    <w:rsid w:val="004D61C3"/>
    <w:rsid w:val="004D65C5"/>
    <w:rsid w:val="004D6ABB"/>
    <w:rsid w:val="004D6AEC"/>
    <w:rsid w:val="004D6CF8"/>
    <w:rsid w:val="004D7057"/>
    <w:rsid w:val="004D7168"/>
    <w:rsid w:val="004D742B"/>
    <w:rsid w:val="004D7A28"/>
    <w:rsid w:val="004D7BCB"/>
    <w:rsid w:val="004D7C26"/>
    <w:rsid w:val="004D7C9B"/>
    <w:rsid w:val="004D7F6B"/>
    <w:rsid w:val="004D7F71"/>
    <w:rsid w:val="004E0086"/>
    <w:rsid w:val="004E032F"/>
    <w:rsid w:val="004E05C8"/>
    <w:rsid w:val="004E07E7"/>
    <w:rsid w:val="004E0AF2"/>
    <w:rsid w:val="004E0B3A"/>
    <w:rsid w:val="004E0BEC"/>
    <w:rsid w:val="004E0D21"/>
    <w:rsid w:val="004E0E46"/>
    <w:rsid w:val="004E0F5A"/>
    <w:rsid w:val="004E0F62"/>
    <w:rsid w:val="004E1271"/>
    <w:rsid w:val="004E15A5"/>
    <w:rsid w:val="004E15F1"/>
    <w:rsid w:val="004E174E"/>
    <w:rsid w:val="004E1930"/>
    <w:rsid w:val="004E1CE7"/>
    <w:rsid w:val="004E1EE8"/>
    <w:rsid w:val="004E1FE6"/>
    <w:rsid w:val="004E232D"/>
    <w:rsid w:val="004E2535"/>
    <w:rsid w:val="004E25C2"/>
    <w:rsid w:val="004E26F6"/>
    <w:rsid w:val="004E28AA"/>
    <w:rsid w:val="004E294D"/>
    <w:rsid w:val="004E2B93"/>
    <w:rsid w:val="004E3160"/>
    <w:rsid w:val="004E374E"/>
    <w:rsid w:val="004E37BA"/>
    <w:rsid w:val="004E43F2"/>
    <w:rsid w:val="004E47A1"/>
    <w:rsid w:val="004E4B48"/>
    <w:rsid w:val="004E4C87"/>
    <w:rsid w:val="004E4DB8"/>
    <w:rsid w:val="004E4F13"/>
    <w:rsid w:val="004E4F68"/>
    <w:rsid w:val="004E4F7F"/>
    <w:rsid w:val="004E51B5"/>
    <w:rsid w:val="004E5461"/>
    <w:rsid w:val="004E54A5"/>
    <w:rsid w:val="004E555C"/>
    <w:rsid w:val="004E55E4"/>
    <w:rsid w:val="004E59EE"/>
    <w:rsid w:val="004E5D56"/>
    <w:rsid w:val="004E6162"/>
    <w:rsid w:val="004E6276"/>
    <w:rsid w:val="004E6706"/>
    <w:rsid w:val="004E6AF7"/>
    <w:rsid w:val="004E6C06"/>
    <w:rsid w:val="004E703A"/>
    <w:rsid w:val="004E71F0"/>
    <w:rsid w:val="004E721C"/>
    <w:rsid w:val="004E72AF"/>
    <w:rsid w:val="004E7449"/>
    <w:rsid w:val="004E7485"/>
    <w:rsid w:val="004E760C"/>
    <w:rsid w:val="004E7853"/>
    <w:rsid w:val="004E7A7F"/>
    <w:rsid w:val="004E7AC5"/>
    <w:rsid w:val="004E7CF2"/>
    <w:rsid w:val="004E7D16"/>
    <w:rsid w:val="004E7EA8"/>
    <w:rsid w:val="004E7F53"/>
    <w:rsid w:val="004E7F60"/>
    <w:rsid w:val="004F0015"/>
    <w:rsid w:val="004F018A"/>
    <w:rsid w:val="004F021E"/>
    <w:rsid w:val="004F0292"/>
    <w:rsid w:val="004F03D7"/>
    <w:rsid w:val="004F04E2"/>
    <w:rsid w:val="004F0583"/>
    <w:rsid w:val="004F0734"/>
    <w:rsid w:val="004F083C"/>
    <w:rsid w:val="004F088F"/>
    <w:rsid w:val="004F096C"/>
    <w:rsid w:val="004F0D60"/>
    <w:rsid w:val="004F0FA6"/>
    <w:rsid w:val="004F10BF"/>
    <w:rsid w:val="004F10CB"/>
    <w:rsid w:val="004F1880"/>
    <w:rsid w:val="004F1891"/>
    <w:rsid w:val="004F1BD8"/>
    <w:rsid w:val="004F1DF6"/>
    <w:rsid w:val="004F1EA8"/>
    <w:rsid w:val="004F1F33"/>
    <w:rsid w:val="004F1FD7"/>
    <w:rsid w:val="004F2054"/>
    <w:rsid w:val="004F287B"/>
    <w:rsid w:val="004F2958"/>
    <w:rsid w:val="004F2D95"/>
    <w:rsid w:val="004F2F39"/>
    <w:rsid w:val="004F300F"/>
    <w:rsid w:val="004F3050"/>
    <w:rsid w:val="004F324D"/>
    <w:rsid w:val="004F34D1"/>
    <w:rsid w:val="004F354F"/>
    <w:rsid w:val="004F3E2C"/>
    <w:rsid w:val="004F3EA0"/>
    <w:rsid w:val="004F3FD3"/>
    <w:rsid w:val="004F4164"/>
    <w:rsid w:val="004F4215"/>
    <w:rsid w:val="004F4263"/>
    <w:rsid w:val="004F432C"/>
    <w:rsid w:val="004F434F"/>
    <w:rsid w:val="004F43DD"/>
    <w:rsid w:val="004F4417"/>
    <w:rsid w:val="004F45C4"/>
    <w:rsid w:val="004F4625"/>
    <w:rsid w:val="004F4737"/>
    <w:rsid w:val="004F4A3A"/>
    <w:rsid w:val="004F4A3B"/>
    <w:rsid w:val="004F4B63"/>
    <w:rsid w:val="004F4CF4"/>
    <w:rsid w:val="004F4E54"/>
    <w:rsid w:val="004F52AF"/>
    <w:rsid w:val="004F5612"/>
    <w:rsid w:val="004F5838"/>
    <w:rsid w:val="004F5F05"/>
    <w:rsid w:val="004F615C"/>
    <w:rsid w:val="004F654E"/>
    <w:rsid w:val="004F6581"/>
    <w:rsid w:val="004F66A6"/>
    <w:rsid w:val="004F6797"/>
    <w:rsid w:val="004F680E"/>
    <w:rsid w:val="004F68B6"/>
    <w:rsid w:val="004F6934"/>
    <w:rsid w:val="004F6B86"/>
    <w:rsid w:val="004F6D65"/>
    <w:rsid w:val="004F6DED"/>
    <w:rsid w:val="004F6EB8"/>
    <w:rsid w:val="004F724A"/>
    <w:rsid w:val="004F76AA"/>
    <w:rsid w:val="004F7729"/>
    <w:rsid w:val="004F7810"/>
    <w:rsid w:val="004F788B"/>
    <w:rsid w:val="004F78B2"/>
    <w:rsid w:val="004F7AC4"/>
    <w:rsid w:val="004F7BFC"/>
    <w:rsid w:val="004F7F17"/>
    <w:rsid w:val="00500038"/>
    <w:rsid w:val="005001A1"/>
    <w:rsid w:val="00500499"/>
    <w:rsid w:val="005004B2"/>
    <w:rsid w:val="0050053D"/>
    <w:rsid w:val="005005AF"/>
    <w:rsid w:val="005005D0"/>
    <w:rsid w:val="0050070F"/>
    <w:rsid w:val="00500716"/>
    <w:rsid w:val="00500B09"/>
    <w:rsid w:val="00500B3C"/>
    <w:rsid w:val="00500EC1"/>
    <w:rsid w:val="00501089"/>
    <w:rsid w:val="00501126"/>
    <w:rsid w:val="005012B4"/>
    <w:rsid w:val="0050137E"/>
    <w:rsid w:val="0050164E"/>
    <w:rsid w:val="0050172C"/>
    <w:rsid w:val="00501AE1"/>
    <w:rsid w:val="00501F15"/>
    <w:rsid w:val="0050204B"/>
    <w:rsid w:val="005020EF"/>
    <w:rsid w:val="005021EB"/>
    <w:rsid w:val="0050236C"/>
    <w:rsid w:val="00502410"/>
    <w:rsid w:val="00502484"/>
    <w:rsid w:val="00502512"/>
    <w:rsid w:val="005025D5"/>
    <w:rsid w:val="00502621"/>
    <w:rsid w:val="0050280E"/>
    <w:rsid w:val="00502C61"/>
    <w:rsid w:val="00503098"/>
    <w:rsid w:val="005031E9"/>
    <w:rsid w:val="00503250"/>
    <w:rsid w:val="00503438"/>
    <w:rsid w:val="005035E2"/>
    <w:rsid w:val="005036F7"/>
    <w:rsid w:val="0050379E"/>
    <w:rsid w:val="00503AB4"/>
    <w:rsid w:val="00503C92"/>
    <w:rsid w:val="00503CA6"/>
    <w:rsid w:val="00503E56"/>
    <w:rsid w:val="0050456B"/>
    <w:rsid w:val="00504663"/>
    <w:rsid w:val="00504E90"/>
    <w:rsid w:val="005052D6"/>
    <w:rsid w:val="0050555E"/>
    <w:rsid w:val="00505ED2"/>
    <w:rsid w:val="00505F1F"/>
    <w:rsid w:val="00505F80"/>
    <w:rsid w:val="00505F88"/>
    <w:rsid w:val="00506129"/>
    <w:rsid w:val="005065AF"/>
    <w:rsid w:val="00506674"/>
    <w:rsid w:val="0050686C"/>
    <w:rsid w:val="005068D3"/>
    <w:rsid w:val="005068D5"/>
    <w:rsid w:val="00506A2B"/>
    <w:rsid w:val="00506E9E"/>
    <w:rsid w:val="00506F55"/>
    <w:rsid w:val="00507071"/>
    <w:rsid w:val="00507117"/>
    <w:rsid w:val="005074A1"/>
    <w:rsid w:val="00507579"/>
    <w:rsid w:val="00507918"/>
    <w:rsid w:val="00507984"/>
    <w:rsid w:val="0051014D"/>
    <w:rsid w:val="005103B0"/>
    <w:rsid w:val="005105AE"/>
    <w:rsid w:val="005106AD"/>
    <w:rsid w:val="00510744"/>
    <w:rsid w:val="00510815"/>
    <w:rsid w:val="005108C3"/>
    <w:rsid w:val="005109A0"/>
    <w:rsid w:val="00510AA7"/>
    <w:rsid w:val="00510AAF"/>
    <w:rsid w:val="00510F74"/>
    <w:rsid w:val="0051105C"/>
    <w:rsid w:val="00511086"/>
    <w:rsid w:val="005110D3"/>
    <w:rsid w:val="0051175B"/>
    <w:rsid w:val="00511AED"/>
    <w:rsid w:val="00511CC0"/>
    <w:rsid w:val="00511E6D"/>
    <w:rsid w:val="00512267"/>
    <w:rsid w:val="0051237F"/>
    <w:rsid w:val="0051255A"/>
    <w:rsid w:val="005127BE"/>
    <w:rsid w:val="00512C58"/>
    <w:rsid w:val="00512F1C"/>
    <w:rsid w:val="005131DF"/>
    <w:rsid w:val="005136B4"/>
    <w:rsid w:val="00513A21"/>
    <w:rsid w:val="00514153"/>
    <w:rsid w:val="00514489"/>
    <w:rsid w:val="00514541"/>
    <w:rsid w:val="005145D6"/>
    <w:rsid w:val="005146F5"/>
    <w:rsid w:val="00514BF2"/>
    <w:rsid w:val="00514E62"/>
    <w:rsid w:val="00514F3C"/>
    <w:rsid w:val="0051520A"/>
    <w:rsid w:val="00515516"/>
    <w:rsid w:val="005157CE"/>
    <w:rsid w:val="005158C1"/>
    <w:rsid w:val="00515B3A"/>
    <w:rsid w:val="00515E67"/>
    <w:rsid w:val="00516573"/>
    <w:rsid w:val="00516972"/>
    <w:rsid w:val="005171E4"/>
    <w:rsid w:val="00517691"/>
    <w:rsid w:val="005179A6"/>
    <w:rsid w:val="00517E5C"/>
    <w:rsid w:val="00517EC2"/>
    <w:rsid w:val="00517F01"/>
    <w:rsid w:val="0052020D"/>
    <w:rsid w:val="0052031D"/>
    <w:rsid w:val="0052070A"/>
    <w:rsid w:val="00520754"/>
    <w:rsid w:val="00520891"/>
    <w:rsid w:val="005208C6"/>
    <w:rsid w:val="00520B4A"/>
    <w:rsid w:val="00520C4A"/>
    <w:rsid w:val="00520D77"/>
    <w:rsid w:val="005210BF"/>
    <w:rsid w:val="0052194C"/>
    <w:rsid w:val="00521D5D"/>
    <w:rsid w:val="00521D97"/>
    <w:rsid w:val="00521EAB"/>
    <w:rsid w:val="00521F40"/>
    <w:rsid w:val="00522263"/>
    <w:rsid w:val="0052260C"/>
    <w:rsid w:val="0052261C"/>
    <w:rsid w:val="005229B0"/>
    <w:rsid w:val="005229D7"/>
    <w:rsid w:val="00522E34"/>
    <w:rsid w:val="0052301E"/>
    <w:rsid w:val="005230D6"/>
    <w:rsid w:val="005233E5"/>
    <w:rsid w:val="0052371C"/>
    <w:rsid w:val="00523AED"/>
    <w:rsid w:val="00523E05"/>
    <w:rsid w:val="00523E4F"/>
    <w:rsid w:val="005240B9"/>
    <w:rsid w:val="005241A2"/>
    <w:rsid w:val="0052431B"/>
    <w:rsid w:val="00524589"/>
    <w:rsid w:val="00524B9C"/>
    <w:rsid w:val="00524E00"/>
    <w:rsid w:val="005251FF"/>
    <w:rsid w:val="0052528F"/>
    <w:rsid w:val="005252C9"/>
    <w:rsid w:val="0052536A"/>
    <w:rsid w:val="00525438"/>
    <w:rsid w:val="00525819"/>
    <w:rsid w:val="005259CB"/>
    <w:rsid w:val="00525BAC"/>
    <w:rsid w:val="00525CD1"/>
    <w:rsid w:val="00525D76"/>
    <w:rsid w:val="00525DA2"/>
    <w:rsid w:val="00525DD0"/>
    <w:rsid w:val="0052612C"/>
    <w:rsid w:val="0052628C"/>
    <w:rsid w:val="005266E3"/>
    <w:rsid w:val="005266EA"/>
    <w:rsid w:val="00526833"/>
    <w:rsid w:val="005268C8"/>
    <w:rsid w:val="0052697C"/>
    <w:rsid w:val="005269E1"/>
    <w:rsid w:val="00526A0F"/>
    <w:rsid w:val="00526B70"/>
    <w:rsid w:val="00526F86"/>
    <w:rsid w:val="00526F97"/>
    <w:rsid w:val="00527071"/>
    <w:rsid w:val="0052729F"/>
    <w:rsid w:val="005277CC"/>
    <w:rsid w:val="00527C9F"/>
    <w:rsid w:val="00527E3F"/>
    <w:rsid w:val="00530076"/>
    <w:rsid w:val="005300CF"/>
    <w:rsid w:val="00530120"/>
    <w:rsid w:val="00530258"/>
    <w:rsid w:val="00530310"/>
    <w:rsid w:val="00530430"/>
    <w:rsid w:val="005308FC"/>
    <w:rsid w:val="00530B87"/>
    <w:rsid w:val="00530BBD"/>
    <w:rsid w:val="00530D69"/>
    <w:rsid w:val="00530E7B"/>
    <w:rsid w:val="00530E90"/>
    <w:rsid w:val="0053145E"/>
    <w:rsid w:val="005314D7"/>
    <w:rsid w:val="00531545"/>
    <w:rsid w:val="00531596"/>
    <w:rsid w:val="00531908"/>
    <w:rsid w:val="00531937"/>
    <w:rsid w:val="00531A2C"/>
    <w:rsid w:val="00531E1A"/>
    <w:rsid w:val="00531FA9"/>
    <w:rsid w:val="0053251C"/>
    <w:rsid w:val="00532581"/>
    <w:rsid w:val="005329D2"/>
    <w:rsid w:val="00532AC8"/>
    <w:rsid w:val="00532EEA"/>
    <w:rsid w:val="005331BF"/>
    <w:rsid w:val="005332BD"/>
    <w:rsid w:val="00533304"/>
    <w:rsid w:val="00533588"/>
    <w:rsid w:val="005335AE"/>
    <w:rsid w:val="00533AD4"/>
    <w:rsid w:val="00533B08"/>
    <w:rsid w:val="00533C89"/>
    <w:rsid w:val="00533E05"/>
    <w:rsid w:val="00533E4D"/>
    <w:rsid w:val="00534228"/>
    <w:rsid w:val="00534514"/>
    <w:rsid w:val="00534595"/>
    <w:rsid w:val="005348C9"/>
    <w:rsid w:val="00534A13"/>
    <w:rsid w:val="00534C4A"/>
    <w:rsid w:val="00534E40"/>
    <w:rsid w:val="00534FAD"/>
    <w:rsid w:val="00535239"/>
    <w:rsid w:val="005354BC"/>
    <w:rsid w:val="00535697"/>
    <w:rsid w:val="005356B5"/>
    <w:rsid w:val="005356F1"/>
    <w:rsid w:val="00535ADF"/>
    <w:rsid w:val="00535B5E"/>
    <w:rsid w:val="00535D52"/>
    <w:rsid w:val="00535D67"/>
    <w:rsid w:val="00535FEF"/>
    <w:rsid w:val="00536009"/>
    <w:rsid w:val="00536267"/>
    <w:rsid w:val="00536498"/>
    <w:rsid w:val="005365BD"/>
    <w:rsid w:val="005366B4"/>
    <w:rsid w:val="00536A53"/>
    <w:rsid w:val="00536DFD"/>
    <w:rsid w:val="00536EE5"/>
    <w:rsid w:val="0053709C"/>
    <w:rsid w:val="005372D7"/>
    <w:rsid w:val="005373AC"/>
    <w:rsid w:val="005374D2"/>
    <w:rsid w:val="00537575"/>
    <w:rsid w:val="005375AB"/>
    <w:rsid w:val="005379DC"/>
    <w:rsid w:val="00537A3B"/>
    <w:rsid w:val="00540196"/>
    <w:rsid w:val="005403D7"/>
    <w:rsid w:val="00540411"/>
    <w:rsid w:val="005406C9"/>
    <w:rsid w:val="005406DB"/>
    <w:rsid w:val="00540A99"/>
    <w:rsid w:val="00540E25"/>
    <w:rsid w:val="00540ECE"/>
    <w:rsid w:val="00540F30"/>
    <w:rsid w:val="00541061"/>
    <w:rsid w:val="005415C7"/>
    <w:rsid w:val="00541603"/>
    <w:rsid w:val="00541842"/>
    <w:rsid w:val="0054197B"/>
    <w:rsid w:val="00541A0E"/>
    <w:rsid w:val="00541FD2"/>
    <w:rsid w:val="0054238D"/>
    <w:rsid w:val="00542479"/>
    <w:rsid w:val="00542D89"/>
    <w:rsid w:val="00542E80"/>
    <w:rsid w:val="00542FD2"/>
    <w:rsid w:val="005430AD"/>
    <w:rsid w:val="0054317E"/>
    <w:rsid w:val="005431AA"/>
    <w:rsid w:val="005433C9"/>
    <w:rsid w:val="00543531"/>
    <w:rsid w:val="005436F8"/>
    <w:rsid w:val="005438CA"/>
    <w:rsid w:val="00543BE8"/>
    <w:rsid w:val="00543D9F"/>
    <w:rsid w:val="00544053"/>
    <w:rsid w:val="00544180"/>
    <w:rsid w:val="005441B2"/>
    <w:rsid w:val="00544291"/>
    <w:rsid w:val="00544A4E"/>
    <w:rsid w:val="00544A86"/>
    <w:rsid w:val="00544B27"/>
    <w:rsid w:val="00544C43"/>
    <w:rsid w:val="00544C48"/>
    <w:rsid w:val="00544E7A"/>
    <w:rsid w:val="00544FC4"/>
    <w:rsid w:val="00544FDC"/>
    <w:rsid w:val="005450A0"/>
    <w:rsid w:val="005453EB"/>
    <w:rsid w:val="005454F9"/>
    <w:rsid w:val="0054567F"/>
    <w:rsid w:val="00545A43"/>
    <w:rsid w:val="00545CAE"/>
    <w:rsid w:val="00545DFA"/>
    <w:rsid w:val="00545E8B"/>
    <w:rsid w:val="00545F37"/>
    <w:rsid w:val="005460C8"/>
    <w:rsid w:val="00546450"/>
    <w:rsid w:val="0054645C"/>
    <w:rsid w:val="005464D5"/>
    <w:rsid w:val="00546610"/>
    <w:rsid w:val="005467DE"/>
    <w:rsid w:val="00546BEC"/>
    <w:rsid w:val="00547078"/>
    <w:rsid w:val="005474CA"/>
    <w:rsid w:val="0054763F"/>
    <w:rsid w:val="00547751"/>
    <w:rsid w:val="0054782F"/>
    <w:rsid w:val="00547848"/>
    <w:rsid w:val="00547AA1"/>
    <w:rsid w:val="00547C04"/>
    <w:rsid w:val="00547D5B"/>
    <w:rsid w:val="00547D9B"/>
    <w:rsid w:val="00547F81"/>
    <w:rsid w:val="00550011"/>
    <w:rsid w:val="0055002C"/>
    <w:rsid w:val="0055022F"/>
    <w:rsid w:val="005503BC"/>
    <w:rsid w:val="005504A1"/>
    <w:rsid w:val="00550559"/>
    <w:rsid w:val="005508E9"/>
    <w:rsid w:val="00550A12"/>
    <w:rsid w:val="00550BEC"/>
    <w:rsid w:val="00550E11"/>
    <w:rsid w:val="00550F71"/>
    <w:rsid w:val="00550FF7"/>
    <w:rsid w:val="00551387"/>
    <w:rsid w:val="00551697"/>
    <w:rsid w:val="0055171F"/>
    <w:rsid w:val="00551D6A"/>
    <w:rsid w:val="00551E5A"/>
    <w:rsid w:val="00551F77"/>
    <w:rsid w:val="0055202E"/>
    <w:rsid w:val="00552094"/>
    <w:rsid w:val="005521CA"/>
    <w:rsid w:val="005524FD"/>
    <w:rsid w:val="00552756"/>
    <w:rsid w:val="005528E7"/>
    <w:rsid w:val="005529C0"/>
    <w:rsid w:val="00552DF9"/>
    <w:rsid w:val="00552E89"/>
    <w:rsid w:val="00552E9C"/>
    <w:rsid w:val="00552F4F"/>
    <w:rsid w:val="0055317C"/>
    <w:rsid w:val="005534A9"/>
    <w:rsid w:val="0055425E"/>
    <w:rsid w:val="00554649"/>
    <w:rsid w:val="005546F2"/>
    <w:rsid w:val="00554B42"/>
    <w:rsid w:val="00554C74"/>
    <w:rsid w:val="00554F34"/>
    <w:rsid w:val="00554F49"/>
    <w:rsid w:val="00555044"/>
    <w:rsid w:val="00555896"/>
    <w:rsid w:val="00555B0C"/>
    <w:rsid w:val="00555DE6"/>
    <w:rsid w:val="00555EA7"/>
    <w:rsid w:val="00555FD2"/>
    <w:rsid w:val="00556019"/>
    <w:rsid w:val="00556158"/>
    <w:rsid w:val="00556273"/>
    <w:rsid w:val="0055642A"/>
    <w:rsid w:val="005566AB"/>
    <w:rsid w:val="00556D86"/>
    <w:rsid w:val="00556FA1"/>
    <w:rsid w:val="00557556"/>
    <w:rsid w:val="005575A1"/>
    <w:rsid w:val="005575C7"/>
    <w:rsid w:val="005575F4"/>
    <w:rsid w:val="0055781A"/>
    <w:rsid w:val="00557A58"/>
    <w:rsid w:val="00557F11"/>
    <w:rsid w:val="00557F1B"/>
    <w:rsid w:val="00560635"/>
    <w:rsid w:val="00560689"/>
    <w:rsid w:val="005606D4"/>
    <w:rsid w:val="005608A1"/>
    <w:rsid w:val="005608DA"/>
    <w:rsid w:val="00560917"/>
    <w:rsid w:val="00560A6F"/>
    <w:rsid w:val="00560AC6"/>
    <w:rsid w:val="00560F8A"/>
    <w:rsid w:val="00561039"/>
    <w:rsid w:val="00561198"/>
    <w:rsid w:val="005611AF"/>
    <w:rsid w:val="005611CD"/>
    <w:rsid w:val="0056147F"/>
    <w:rsid w:val="0056149F"/>
    <w:rsid w:val="005616D2"/>
    <w:rsid w:val="00561824"/>
    <w:rsid w:val="0056239E"/>
    <w:rsid w:val="0056240C"/>
    <w:rsid w:val="00562447"/>
    <w:rsid w:val="005624DB"/>
    <w:rsid w:val="0056273A"/>
    <w:rsid w:val="005629EE"/>
    <w:rsid w:val="0056313A"/>
    <w:rsid w:val="005631AF"/>
    <w:rsid w:val="00563424"/>
    <w:rsid w:val="005639E3"/>
    <w:rsid w:val="00563ABD"/>
    <w:rsid w:val="0056450D"/>
    <w:rsid w:val="0056452B"/>
    <w:rsid w:val="00564C1B"/>
    <w:rsid w:val="00564C9A"/>
    <w:rsid w:val="0056515F"/>
    <w:rsid w:val="00565353"/>
    <w:rsid w:val="00565B8B"/>
    <w:rsid w:val="00565CCB"/>
    <w:rsid w:val="00565E7D"/>
    <w:rsid w:val="005662BB"/>
    <w:rsid w:val="0056644C"/>
    <w:rsid w:val="0056665A"/>
    <w:rsid w:val="005666F9"/>
    <w:rsid w:val="00566AAC"/>
    <w:rsid w:val="00566AD3"/>
    <w:rsid w:val="005670EB"/>
    <w:rsid w:val="005675AB"/>
    <w:rsid w:val="005676A4"/>
    <w:rsid w:val="00567715"/>
    <w:rsid w:val="00567908"/>
    <w:rsid w:val="00567BDD"/>
    <w:rsid w:val="00567F90"/>
    <w:rsid w:val="00567FED"/>
    <w:rsid w:val="00570304"/>
    <w:rsid w:val="00570467"/>
    <w:rsid w:val="005705FB"/>
    <w:rsid w:val="0057083E"/>
    <w:rsid w:val="00570B73"/>
    <w:rsid w:val="00570D24"/>
    <w:rsid w:val="00570E15"/>
    <w:rsid w:val="00571326"/>
    <w:rsid w:val="00571472"/>
    <w:rsid w:val="005715C2"/>
    <w:rsid w:val="005715D3"/>
    <w:rsid w:val="005716CE"/>
    <w:rsid w:val="005719D3"/>
    <w:rsid w:val="00571B8C"/>
    <w:rsid w:val="00571E31"/>
    <w:rsid w:val="005720CA"/>
    <w:rsid w:val="005723E2"/>
    <w:rsid w:val="005724BE"/>
    <w:rsid w:val="0057252E"/>
    <w:rsid w:val="005727FF"/>
    <w:rsid w:val="0057281D"/>
    <w:rsid w:val="00572899"/>
    <w:rsid w:val="005729D9"/>
    <w:rsid w:val="00572C4E"/>
    <w:rsid w:val="0057334D"/>
    <w:rsid w:val="005735E0"/>
    <w:rsid w:val="00573687"/>
    <w:rsid w:val="0057369F"/>
    <w:rsid w:val="0057387D"/>
    <w:rsid w:val="00573B1C"/>
    <w:rsid w:val="00573F4A"/>
    <w:rsid w:val="005742E8"/>
    <w:rsid w:val="00574374"/>
    <w:rsid w:val="00574831"/>
    <w:rsid w:val="0057483F"/>
    <w:rsid w:val="0057492E"/>
    <w:rsid w:val="00574A15"/>
    <w:rsid w:val="00574A5F"/>
    <w:rsid w:val="00575712"/>
    <w:rsid w:val="005759B4"/>
    <w:rsid w:val="00575A07"/>
    <w:rsid w:val="00575A6C"/>
    <w:rsid w:val="00575A6F"/>
    <w:rsid w:val="00575AD3"/>
    <w:rsid w:val="00576399"/>
    <w:rsid w:val="00576810"/>
    <w:rsid w:val="00576EB7"/>
    <w:rsid w:val="005772FF"/>
    <w:rsid w:val="00577349"/>
    <w:rsid w:val="0057744E"/>
    <w:rsid w:val="0057752A"/>
    <w:rsid w:val="00577634"/>
    <w:rsid w:val="005776BB"/>
    <w:rsid w:val="0057777F"/>
    <w:rsid w:val="00577827"/>
    <w:rsid w:val="00577BD7"/>
    <w:rsid w:val="00577CA6"/>
    <w:rsid w:val="00577EBC"/>
    <w:rsid w:val="00580146"/>
    <w:rsid w:val="005801BB"/>
    <w:rsid w:val="00580570"/>
    <w:rsid w:val="0058061D"/>
    <w:rsid w:val="005807DC"/>
    <w:rsid w:val="005808E1"/>
    <w:rsid w:val="005809B1"/>
    <w:rsid w:val="00580AF8"/>
    <w:rsid w:val="00580D46"/>
    <w:rsid w:val="00580F74"/>
    <w:rsid w:val="00580FE1"/>
    <w:rsid w:val="0058101E"/>
    <w:rsid w:val="005811D7"/>
    <w:rsid w:val="005814BE"/>
    <w:rsid w:val="00581508"/>
    <w:rsid w:val="0058167B"/>
    <w:rsid w:val="00581827"/>
    <w:rsid w:val="005818E9"/>
    <w:rsid w:val="005819AC"/>
    <w:rsid w:val="005819E3"/>
    <w:rsid w:val="00581C56"/>
    <w:rsid w:val="00581CE1"/>
    <w:rsid w:val="005821BC"/>
    <w:rsid w:val="00582492"/>
    <w:rsid w:val="005828A0"/>
    <w:rsid w:val="005828AC"/>
    <w:rsid w:val="005828CF"/>
    <w:rsid w:val="00582957"/>
    <w:rsid w:val="005829FB"/>
    <w:rsid w:val="00582B47"/>
    <w:rsid w:val="00582B76"/>
    <w:rsid w:val="00582C25"/>
    <w:rsid w:val="00582C4D"/>
    <w:rsid w:val="00583264"/>
    <w:rsid w:val="00583390"/>
    <w:rsid w:val="0058393E"/>
    <w:rsid w:val="005839A6"/>
    <w:rsid w:val="00583ACE"/>
    <w:rsid w:val="00583B43"/>
    <w:rsid w:val="00583F8F"/>
    <w:rsid w:val="00584223"/>
    <w:rsid w:val="00584366"/>
    <w:rsid w:val="005846F7"/>
    <w:rsid w:val="005847E7"/>
    <w:rsid w:val="00584AF0"/>
    <w:rsid w:val="00584B23"/>
    <w:rsid w:val="00584D54"/>
    <w:rsid w:val="00584F61"/>
    <w:rsid w:val="005850E2"/>
    <w:rsid w:val="005852C1"/>
    <w:rsid w:val="0058548C"/>
    <w:rsid w:val="005856E2"/>
    <w:rsid w:val="00585743"/>
    <w:rsid w:val="00585983"/>
    <w:rsid w:val="005859D1"/>
    <w:rsid w:val="00585AE2"/>
    <w:rsid w:val="00585B94"/>
    <w:rsid w:val="00585C69"/>
    <w:rsid w:val="00585CE4"/>
    <w:rsid w:val="00585D1B"/>
    <w:rsid w:val="00586221"/>
    <w:rsid w:val="005862DE"/>
    <w:rsid w:val="00586368"/>
    <w:rsid w:val="005863CD"/>
    <w:rsid w:val="00586460"/>
    <w:rsid w:val="0058655A"/>
    <w:rsid w:val="00586568"/>
    <w:rsid w:val="00586697"/>
    <w:rsid w:val="00586959"/>
    <w:rsid w:val="00586974"/>
    <w:rsid w:val="00586AE8"/>
    <w:rsid w:val="00586DFE"/>
    <w:rsid w:val="00586E1F"/>
    <w:rsid w:val="00587402"/>
    <w:rsid w:val="005874DA"/>
    <w:rsid w:val="00587574"/>
    <w:rsid w:val="0058776A"/>
    <w:rsid w:val="0058791B"/>
    <w:rsid w:val="00587D6F"/>
    <w:rsid w:val="00587E08"/>
    <w:rsid w:val="00587EE6"/>
    <w:rsid w:val="00587F24"/>
    <w:rsid w:val="0059005A"/>
    <w:rsid w:val="005901E6"/>
    <w:rsid w:val="00590289"/>
    <w:rsid w:val="00590379"/>
    <w:rsid w:val="00590455"/>
    <w:rsid w:val="00590458"/>
    <w:rsid w:val="0059048F"/>
    <w:rsid w:val="005904B9"/>
    <w:rsid w:val="005907F7"/>
    <w:rsid w:val="00590B40"/>
    <w:rsid w:val="00590D66"/>
    <w:rsid w:val="00590EE8"/>
    <w:rsid w:val="00591339"/>
    <w:rsid w:val="0059141E"/>
    <w:rsid w:val="005915C7"/>
    <w:rsid w:val="00591654"/>
    <w:rsid w:val="0059165E"/>
    <w:rsid w:val="005918D2"/>
    <w:rsid w:val="00591AA8"/>
    <w:rsid w:val="00591D18"/>
    <w:rsid w:val="00591E7A"/>
    <w:rsid w:val="00591FCB"/>
    <w:rsid w:val="005920F8"/>
    <w:rsid w:val="0059286F"/>
    <w:rsid w:val="005928A8"/>
    <w:rsid w:val="00592922"/>
    <w:rsid w:val="0059296D"/>
    <w:rsid w:val="00592AF2"/>
    <w:rsid w:val="00592C81"/>
    <w:rsid w:val="00592F74"/>
    <w:rsid w:val="00593042"/>
    <w:rsid w:val="0059366B"/>
    <w:rsid w:val="005938C5"/>
    <w:rsid w:val="005939CD"/>
    <w:rsid w:val="00593C69"/>
    <w:rsid w:val="00593E01"/>
    <w:rsid w:val="005942AC"/>
    <w:rsid w:val="005942B9"/>
    <w:rsid w:val="005942D7"/>
    <w:rsid w:val="005947E5"/>
    <w:rsid w:val="00594812"/>
    <w:rsid w:val="00594B2E"/>
    <w:rsid w:val="00594B48"/>
    <w:rsid w:val="00594CDD"/>
    <w:rsid w:val="00594D9E"/>
    <w:rsid w:val="00595049"/>
    <w:rsid w:val="00595459"/>
    <w:rsid w:val="0059545C"/>
    <w:rsid w:val="00595935"/>
    <w:rsid w:val="005959BD"/>
    <w:rsid w:val="00595A65"/>
    <w:rsid w:val="00595AFA"/>
    <w:rsid w:val="00595C06"/>
    <w:rsid w:val="00595CE8"/>
    <w:rsid w:val="00595D56"/>
    <w:rsid w:val="005961EF"/>
    <w:rsid w:val="00596373"/>
    <w:rsid w:val="00596420"/>
    <w:rsid w:val="005964F0"/>
    <w:rsid w:val="0059658E"/>
    <w:rsid w:val="00596C25"/>
    <w:rsid w:val="00596C72"/>
    <w:rsid w:val="00596DC3"/>
    <w:rsid w:val="0059722B"/>
    <w:rsid w:val="005972E9"/>
    <w:rsid w:val="00597486"/>
    <w:rsid w:val="00597509"/>
    <w:rsid w:val="00597517"/>
    <w:rsid w:val="00597540"/>
    <w:rsid w:val="00597D4C"/>
    <w:rsid w:val="005A00A0"/>
    <w:rsid w:val="005A032B"/>
    <w:rsid w:val="005A04BF"/>
    <w:rsid w:val="005A0660"/>
    <w:rsid w:val="005A06C8"/>
    <w:rsid w:val="005A0740"/>
    <w:rsid w:val="005A07F0"/>
    <w:rsid w:val="005A084B"/>
    <w:rsid w:val="005A0D41"/>
    <w:rsid w:val="005A0D5D"/>
    <w:rsid w:val="005A0FFA"/>
    <w:rsid w:val="005A1125"/>
    <w:rsid w:val="005A1178"/>
    <w:rsid w:val="005A1204"/>
    <w:rsid w:val="005A121A"/>
    <w:rsid w:val="005A18B5"/>
    <w:rsid w:val="005A19C7"/>
    <w:rsid w:val="005A1C82"/>
    <w:rsid w:val="005A1D48"/>
    <w:rsid w:val="005A1F04"/>
    <w:rsid w:val="005A1F80"/>
    <w:rsid w:val="005A1FDD"/>
    <w:rsid w:val="005A20BC"/>
    <w:rsid w:val="005A2281"/>
    <w:rsid w:val="005A22A9"/>
    <w:rsid w:val="005A25D2"/>
    <w:rsid w:val="005A27A2"/>
    <w:rsid w:val="005A292B"/>
    <w:rsid w:val="005A2ADE"/>
    <w:rsid w:val="005A2B9E"/>
    <w:rsid w:val="005A2C52"/>
    <w:rsid w:val="005A2E4E"/>
    <w:rsid w:val="005A30DB"/>
    <w:rsid w:val="005A31B9"/>
    <w:rsid w:val="005A3251"/>
    <w:rsid w:val="005A32AD"/>
    <w:rsid w:val="005A34B5"/>
    <w:rsid w:val="005A3850"/>
    <w:rsid w:val="005A38FC"/>
    <w:rsid w:val="005A3A9C"/>
    <w:rsid w:val="005A3D89"/>
    <w:rsid w:val="005A40B0"/>
    <w:rsid w:val="005A4284"/>
    <w:rsid w:val="005A4468"/>
    <w:rsid w:val="005A44F1"/>
    <w:rsid w:val="005A469E"/>
    <w:rsid w:val="005A46DD"/>
    <w:rsid w:val="005A4700"/>
    <w:rsid w:val="005A4848"/>
    <w:rsid w:val="005A4A24"/>
    <w:rsid w:val="005A4C2F"/>
    <w:rsid w:val="005A4E1F"/>
    <w:rsid w:val="005A5560"/>
    <w:rsid w:val="005A5595"/>
    <w:rsid w:val="005A5683"/>
    <w:rsid w:val="005A5D18"/>
    <w:rsid w:val="005A5EF8"/>
    <w:rsid w:val="005A61F1"/>
    <w:rsid w:val="005A6352"/>
    <w:rsid w:val="005A64FE"/>
    <w:rsid w:val="005A6556"/>
    <w:rsid w:val="005A66A0"/>
    <w:rsid w:val="005A6901"/>
    <w:rsid w:val="005A6B5B"/>
    <w:rsid w:val="005A6D0A"/>
    <w:rsid w:val="005A6DE5"/>
    <w:rsid w:val="005A6EF3"/>
    <w:rsid w:val="005A6FA9"/>
    <w:rsid w:val="005A7022"/>
    <w:rsid w:val="005A7240"/>
    <w:rsid w:val="005A72E7"/>
    <w:rsid w:val="005A7426"/>
    <w:rsid w:val="005A75BF"/>
    <w:rsid w:val="005A7712"/>
    <w:rsid w:val="005A78B3"/>
    <w:rsid w:val="005A7981"/>
    <w:rsid w:val="005A7A65"/>
    <w:rsid w:val="005A7D82"/>
    <w:rsid w:val="005A7DB7"/>
    <w:rsid w:val="005A7E2B"/>
    <w:rsid w:val="005A7F21"/>
    <w:rsid w:val="005A7F89"/>
    <w:rsid w:val="005B0054"/>
    <w:rsid w:val="005B0138"/>
    <w:rsid w:val="005B035A"/>
    <w:rsid w:val="005B0563"/>
    <w:rsid w:val="005B05D3"/>
    <w:rsid w:val="005B0883"/>
    <w:rsid w:val="005B092A"/>
    <w:rsid w:val="005B098D"/>
    <w:rsid w:val="005B0C17"/>
    <w:rsid w:val="005B0C37"/>
    <w:rsid w:val="005B0CFC"/>
    <w:rsid w:val="005B0DF4"/>
    <w:rsid w:val="005B0F07"/>
    <w:rsid w:val="005B0FEC"/>
    <w:rsid w:val="005B1611"/>
    <w:rsid w:val="005B1DE3"/>
    <w:rsid w:val="005B1E3A"/>
    <w:rsid w:val="005B1FC8"/>
    <w:rsid w:val="005B2134"/>
    <w:rsid w:val="005B2475"/>
    <w:rsid w:val="005B2559"/>
    <w:rsid w:val="005B257E"/>
    <w:rsid w:val="005B260B"/>
    <w:rsid w:val="005B27D2"/>
    <w:rsid w:val="005B2A63"/>
    <w:rsid w:val="005B2BC8"/>
    <w:rsid w:val="005B2DCE"/>
    <w:rsid w:val="005B2E90"/>
    <w:rsid w:val="005B308E"/>
    <w:rsid w:val="005B30E5"/>
    <w:rsid w:val="005B3236"/>
    <w:rsid w:val="005B3245"/>
    <w:rsid w:val="005B3462"/>
    <w:rsid w:val="005B369C"/>
    <w:rsid w:val="005B39BD"/>
    <w:rsid w:val="005B3F56"/>
    <w:rsid w:val="005B3F78"/>
    <w:rsid w:val="005B420A"/>
    <w:rsid w:val="005B44EF"/>
    <w:rsid w:val="005B4837"/>
    <w:rsid w:val="005B4A02"/>
    <w:rsid w:val="005B4A3D"/>
    <w:rsid w:val="005B4B75"/>
    <w:rsid w:val="005B4DAC"/>
    <w:rsid w:val="005B4E6A"/>
    <w:rsid w:val="005B4FD8"/>
    <w:rsid w:val="005B518C"/>
    <w:rsid w:val="005B5381"/>
    <w:rsid w:val="005B54C8"/>
    <w:rsid w:val="005B5560"/>
    <w:rsid w:val="005B5566"/>
    <w:rsid w:val="005B5708"/>
    <w:rsid w:val="005B5731"/>
    <w:rsid w:val="005B58DD"/>
    <w:rsid w:val="005B5A83"/>
    <w:rsid w:val="005B6283"/>
    <w:rsid w:val="005B638B"/>
    <w:rsid w:val="005B63DD"/>
    <w:rsid w:val="005B6775"/>
    <w:rsid w:val="005B687D"/>
    <w:rsid w:val="005B6A82"/>
    <w:rsid w:val="005B6B48"/>
    <w:rsid w:val="005B6E60"/>
    <w:rsid w:val="005B6EDC"/>
    <w:rsid w:val="005B7500"/>
    <w:rsid w:val="005B7743"/>
    <w:rsid w:val="005B77C3"/>
    <w:rsid w:val="005B7B41"/>
    <w:rsid w:val="005B7C2B"/>
    <w:rsid w:val="005B7C6B"/>
    <w:rsid w:val="005C0140"/>
    <w:rsid w:val="005C0570"/>
    <w:rsid w:val="005C05AD"/>
    <w:rsid w:val="005C080A"/>
    <w:rsid w:val="005C0A57"/>
    <w:rsid w:val="005C0E89"/>
    <w:rsid w:val="005C0FBD"/>
    <w:rsid w:val="005C147B"/>
    <w:rsid w:val="005C1548"/>
    <w:rsid w:val="005C1632"/>
    <w:rsid w:val="005C165C"/>
    <w:rsid w:val="005C17E8"/>
    <w:rsid w:val="005C1A87"/>
    <w:rsid w:val="005C1ABF"/>
    <w:rsid w:val="005C1ED5"/>
    <w:rsid w:val="005C242C"/>
    <w:rsid w:val="005C290F"/>
    <w:rsid w:val="005C2ADE"/>
    <w:rsid w:val="005C2F71"/>
    <w:rsid w:val="005C3053"/>
    <w:rsid w:val="005C340E"/>
    <w:rsid w:val="005C34E4"/>
    <w:rsid w:val="005C3951"/>
    <w:rsid w:val="005C3A0D"/>
    <w:rsid w:val="005C3B2D"/>
    <w:rsid w:val="005C3BFD"/>
    <w:rsid w:val="005C3D75"/>
    <w:rsid w:val="005C3D92"/>
    <w:rsid w:val="005C3F60"/>
    <w:rsid w:val="005C4156"/>
    <w:rsid w:val="005C422E"/>
    <w:rsid w:val="005C4526"/>
    <w:rsid w:val="005C4534"/>
    <w:rsid w:val="005C45BB"/>
    <w:rsid w:val="005C4650"/>
    <w:rsid w:val="005C465E"/>
    <w:rsid w:val="005C497F"/>
    <w:rsid w:val="005C49F3"/>
    <w:rsid w:val="005C4B48"/>
    <w:rsid w:val="005C4CAA"/>
    <w:rsid w:val="005C53D6"/>
    <w:rsid w:val="005C5415"/>
    <w:rsid w:val="005C5487"/>
    <w:rsid w:val="005C56AD"/>
    <w:rsid w:val="005C56E0"/>
    <w:rsid w:val="005C57FE"/>
    <w:rsid w:val="005C5824"/>
    <w:rsid w:val="005C5A66"/>
    <w:rsid w:val="005C5BF7"/>
    <w:rsid w:val="005C5E85"/>
    <w:rsid w:val="005C5F30"/>
    <w:rsid w:val="005C6006"/>
    <w:rsid w:val="005C6C6B"/>
    <w:rsid w:val="005C6D13"/>
    <w:rsid w:val="005C7377"/>
    <w:rsid w:val="005C744D"/>
    <w:rsid w:val="005C77D9"/>
    <w:rsid w:val="005C77E5"/>
    <w:rsid w:val="005C7C16"/>
    <w:rsid w:val="005C7C94"/>
    <w:rsid w:val="005C7E11"/>
    <w:rsid w:val="005D009D"/>
    <w:rsid w:val="005D0142"/>
    <w:rsid w:val="005D0311"/>
    <w:rsid w:val="005D099E"/>
    <w:rsid w:val="005D0A01"/>
    <w:rsid w:val="005D1144"/>
    <w:rsid w:val="005D11EF"/>
    <w:rsid w:val="005D122C"/>
    <w:rsid w:val="005D13D3"/>
    <w:rsid w:val="005D1436"/>
    <w:rsid w:val="005D1632"/>
    <w:rsid w:val="005D1823"/>
    <w:rsid w:val="005D186F"/>
    <w:rsid w:val="005D19D8"/>
    <w:rsid w:val="005D1D11"/>
    <w:rsid w:val="005D1D1F"/>
    <w:rsid w:val="005D20A9"/>
    <w:rsid w:val="005D258B"/>
    <w:rsid w:val="005D2599"/>
    <w:rsid w:val="005D2782"/>
    <w:rsid w:val="005D2B7E"/>
    <w:rsid w:val="005D2C23"/>
    <w:rsid w:val="005D2D02"/>
    <w:rsid w:val="005D2F99"/>
    <w:rsid w:val="005D33AF"/>
    <w:rsid w:val="005D358A"/>
    <w:rsid w:val="005D3963"/>
    <w:rsid w:val="005D3AE0"/>
    <w:rsid w:val="005D3B09"/>
    <w:rsid w:val="005D3B40"/>
    <w:rsid w:val="005D4187"/>
    <w:rsid w:val="005D42D4"/>
    <w:rsid w:val="005D458B"/>
    <w:rsid w:val="005D45FD"/>
    <w:rsid w:val="005D4936"/>
    <w:rsid w:val="005D4955"/>
    <w:rsid w:val="005D4BB0"/>
    <w:rsid w:val="005D4BEF"/>
    <w:rsid w:val="005D4C84"/>
    <w:rsid w:val="005D4DC3"/>
    <w:rsid w:val="005D4E11"/>
    <w:rsid w:val="005D4F4E"/>
    <w:rsid w:val="005D502E"/>
    <w:rsid w:val="005D5099"/>
    <w:rsid w:val="005D53CA"/>
    <w:rsid w:val="005D54FD"/>
    <w:rsid w:val="005D5533"/>
    <w:rsid w:val="005D585D"/>
    <w:rsid w:val="005D61BE"/>
    <w:rsid w:val="005D61DD"/>
    <w:rsid w:val="005D6283"/>
    <w:rsid w:val="005D65B5"/>
    <w:rsid w:val="005D66D2"/>
    <w:rsid w:val="005D6AF9"/>
    <w:rsid w:val="005D6CA6"/>
    <w:rsid w:val="005D6CA8"/>
    <w:rsid w:val="005D6D19"/>
    <w:rsid w:val="005D6D4D"/>
    <w:rsid w:val="005D70E2"/>
    <w:rsid w:val="005D73DE"/>
    <w:rsid w:val="005D73F5"/>
    <w:rsid w:val="005D74E2"/>
    <w:rsid w:val="005D74F8"/>
    <w:rsid w:val="005D75F2"/>
    <w:rsid w:val="005D7704"/>
    <w:rsid w:val="005D7ACE"/>
    <w:rsid w:val="005D7BC0"/>
    <w:rsid w:val="005D7BF2"/>
    <w:rsid w:val="005E00AA"/>
    <w:rsid w:val="005E013E"/>
    <w:rsid w:val="005E0175"/>
    <w:rsid w:val="005E02ED"/>
    <w:rsid w:val="005E0329"/>
    <w:rsid w:val="005E05B5"/>
    <w:rsid w:val="005E05B6"/>
    <w:rsid w:val="005E0B27"/>
    <w:rsid w:val="005E0FF6"/>
    <w:rsid w:val="005E12A3"/>
    <w:rsid w:val="005E153E"/>
    <w:rsid w:val="005E1615"/>
    <w:rsid w:val="005E17F1"/>
    <w:rsid w:val="005E1815"/>
    <w:rsid w:val="005E1847"/>
    <w:rsid w:val="005E21A1"/>
    <w:rsid w:val="005E2523"/>
    <w:rsid w:val="005E25DF"/>
    <w:rsid w:val="005E279C"/>
    <w:rsid w:val="005E2A4B"/>
    <w:rsid w:val="005E2B26"/>
    <w:rsid w:val="005E317F"/>
    <w:rsid w:val="005E321B"/>
    <w:rsid w:val="005E356B"/>
    <w:rsid w:val="005E38DB"/>
    <w:rsid w:val="005E3AD5"/>
    <w:rsid w:val="005E3E96"/>
    <w:rsid w:val="005E403E"/>
    <w:rsid w:val="005E436E"/>
    <w:rsid w:val="005E444A"/>
    <w:rsid w:val="005E44AE"/>
    <w:rsid w:val="005E475D"/>
    <w:rsid w:val="005E4A49"/>
    <w:rsid w:val="005E4A90"/>
    <w:rsid w:val="005E4F36"/>
    <w:rsid w:val="005E5653"/>
    <w:rsid w:val="005E57BA"/>
    <w:rsid w:val="005E5A40"/>
    <w:rsid w:val="005E5E8C"/>
    <w:rsid w:val="005E5F38"/>
    <w:rsid w:val="005E6038"/>
    <w:rsid w:val="005E62A0"/>
    <w:rsid w:val="005E6324"/>
    <w:rsid w:val="005E66D4"/>
    <w:rsid w:val="005E6ADC"/>
    <w:rsid w:val="005E6B25"/>
    <w:rsid w:val="005E6F74"/>
    <w:rsid w:val="005E70B7"/>
    <w:rsid w:val="005E710D"/>
    <w:rsid w:val="005E71E9"/>
    <w:rsid w:val="005E71F9"/>
    <w:rsid w:val="005E7289"/>
    <w:rsid w:val="005E730E"/>
    <w:rsid w:val="005E7422"/>
    <w:rsid w:val="005E761D"/>
    <w:rsid w:val="005E79F8"/>
    <w:rsid w:val="005E7B76"/>
    <w:rsid w:val="005E7BDA"/>
    <w:rsid w:val="005E7BE4"/>
    <w:rsid w:val="005E7CF2"/>
    <w:rsid w:val="005E7F40"/>
    <w:rsid w:val="005E7FFE"/>
    <w:rsid w:val="005F010B"/>
    <w:rsid w:val="005F020F"/>
    <w:rsid w:val="005F02FF"/>
    <w:rsid w:val="005F03A9"/>
    <w:rsid w:val="005F07B6"/>
    <w:rsid w:val="005F089E"/>
    <w:rsid w:val="005F0AA3"/>
    <w:rsid w:val="005F0B8D"/>
    <w:rsid w:val="005F0BB5"/>
    <w:rsid w:val="005F0FC4"/>
    <w:rsid w:val="005F109C"/>
    <w:rsid w:val="005F11B2"/>
    <w:rsid w:val="005F11F6"/>
    <w:rsid w:val="005F123F"/>
    <w:rsid w:val="005F1393"/>
    <w:rsid w:val="005F140A"/>
    <w:rsid w:val="005F1474"/>
    <w:rsid w:val="005F1499"/>
    <w:rsid w:val="005F17B1"/>
    <w:rsid w:val="005F1822"/>
    <w:rsid w:val="005F1F3A"/>
    <w:rsid w:val="005F25CC"/>
    <w:rsid w:val="005F2603"/>
    <w:rsid w:val="005F285F"/>
    <w:rsid w:val="005F2BC9"/>
    <w:rsid w:val="005F2C7F"/>
    <w:rsid w:val="005F2F7A"/>
    <w:rsid w:val="005F2FD5"/>
    <w:rsid w:val="005F360B"/>
    <w:rsid w:val="005F387F"/>
    <w:rsid w:val="005F3F52"/>
    <w:rsid w:val="005F3F77"/>
    <w:rsid w:val="005F41C0"/>
    <w:rsid w:val="005F44B2"/>
    <w:rsid w:val="005F4DFF"/>
    <w:rsid w:val="005F4E3C"/>
    <w:rsid w:val="005F51C7"/>
    <w:rsid w:val="005F5617"/>
    <w:rsid w:val="005F578D"/>
    <w:rsid w:val="005F58F7"/>
    <w:rsid w:val="005F59A5"/>
    <w:rsid w:val="005F5A5F"/>
    <w:rsid w:val="005F5A74"/>
    <w:rsid w:val="005F5DCC"/>
    <w:rsid w:val="005F5E4E"/>
    <w:rsid w:val="005F61B0"/>
    <w:rsid w:val="005F61E9"/>
    <w:rsid w:val="005F6548"/>
    <w:rsid w:val="005F66BD"/>
    <w:rsid w:val="005F67B4"/>
    <w:rsid w:val="005F6892"/>
    <w:rsid w:val="005F6AE7"/>
    <w:rsid w:val="005F6FD7"/>
    <w:rsid w:val="005F702A"/>
    <w:rsid w:val="005F70C0"/>
    <w:rsid w:val="005F71D8"/>
    <w:rsid w:val="005F746F"/>
    <w:rsid w:val="005F75BD"/>
    <w:rsid w:val="005F7A12"/>
    <w:rsid w:val="005F7D96"/>
    <w:rsid w:val="005F7E0E"/>
    <w:rsid w:val="005F7F93"/>
    <w:rsid w:val="00600137"/>
    <w:rsid w:val="00600559"/>
    <w:rsid w:val="006005AE"/>
    <w:rsid w:val="006008D7"/>
    <w:rsid w:val="0060093C"/>
    <w:rsid w:val="00600A57"/>
    <w:rsid w:val="00600C73"/>
    <w:rsid w:val="00600DF2"/>
    <w:rsid w:val="00600F21"/>
    <w:rsid w:val="006012E1"/>
    <w:rsid w:val="006014BE"/>
    <w:rsid w:val="00601839"/>
    <w:rsid w:val="00601AD3"/>
    <w:rsid w:val="00602115"/>
    <w:rsid w:val="006021DC"/>
    <w:rsid w:val="006021E8"/>
    <w:rsid w:val="0060224C"/>
    <w:rsid w:val="0060226A"/>
    <w:rsid w:val="006022B0"/>
    <w:rsid w:val="006022DE"/>
    <w:rsid w:val="0060232B"/>
    <w:rsid w:val="0060235A"/>
    <w:rsid w:val="0060238F"/>
    <w:rsid w:val="0060276E"/>
    <w:rsid w:val="00602986"/>
    <w:rsid w:val="00602C69"/>
    <w:rsid w:val="00603346"/>
    <w:rsid w:val="00603854"/>
    <w:rsid w:val="00603D01"/>
    <w:rsid w:val="00603D51"/>
    <w:rsid w:val="0060418A"/>
    <w:rsid w:val="00604354"/>
    <w:rsid w:val="00604CE3"/>
    <w:rsid w:val="00604D11"/>
    <w:rsid w:val="00604E57"/>
    <w:rsid w:val="00604F03"/>
    <w:rsid w:val="00604F96"/>
    <w:rsid w:val="00605338"/>
    <w:rsid w:val="0060556C"/>
    <w:rsid w:val="0060558A"/>
    <w:rsid w:val="00605877"/>
    <w:rsid w:val="00605B4D"/>
    <w:rsid w:val="00605EB1"/>
    <w:rsid w:val="00605EDC"/>
    <w:rsid w:val="00605EDE"/>
    <w:rsid w:val="00605F36"/>
    <w:rsid w:val="00606544"/>
    <w:rsid w:val="00606700"/>
    <w:rsid w:val="00606A27"/>
    <w:rsid w:val="00606DE5"/>
    <w:rsid w:val="00606DEE"/>
    <w:rsid w:val="00606E68"/>
    <w:rsid w:val="00606F4F"/>
    <w:rsid w:val="00606FC1"/>
    <w:rsid w:val="0060700B"/>
    <w:rsid w:val="0060708F"/>
    <w:rsid w:val="006072F9"/>
    <w:rsid w:val="0060765D"/>
    <w:rsid w:val="00607784"/>
    <w:rsid w:val="006077BC"/>
    <w:rsid w:val="00607D34"/>
    <w:rsid w:val="00607DEF"/>
    <w:rsid w:val="006100E4"/>
    <w:rsid w:val="006101BF"/>
    <w:rsid w:val="006102B3"/>
    <w:rsid w:val="006103BA"/>
    <w:rsid w:val="00610553"/>
    <w:rsid w:val="006106B1"/>
    <w:rsid w:val="006107C2"/>
    <w:rsid w:val="006107EE"/>
    <w:rsid w:val="0061083E"/>
    <w:rsid w:val="00610B1A"/>
    <w:rsid w:val="00610FED"/>
    <w:rsid w:val="0061105C"/>
    <w:rsid w:val="006113A2"/>
    <w:rsid w:val="00611802"/>
    <w:rsid w:val="00611E26"/>
    <w:rsid w:val="00612090"/>
    <w:rsid w:val="00612183"/>
    <w:rsid w:val="006125CF"/>
    <w:rsid w:val="006126AB"/>
    <w:rsid w:val="0061272C"/>
    <w:rsid w:val="0061272D"/>
    <w:rsid w:val="00612741"/>
    <w:rsid w:val="006127C9"/>
    <w:rsid w:val="006128C2"/>
    <w:rsid w:val="00612A68"/>
    <w:rsid w:val="00612B01"/>
    <w:rsid w:val="00612C4A"/>
    <w:rsid w:val="00612D72"/>
    <w:rsid w:val="0061306E"/>
    <w:rsid w:val="00613440"/>
    <w:rsid w:val="006134AD"/>
    <w:rsid w:val="00613685"/>
    <w:rsid w:val="00613A72"/>
    <w:rsid w:val="00613B4B"/>
    <w:rsid w:val="00613F39"/>
    <w:rsid w:val="006142FA"/>
    <w:rsid w:val="006145A0"/>
    <w:rsid w:val="006146BE"/>
    <w:rsid w:val="006149FF"/>
    <w:rsid w:val="00614BAC"/>
    <w:rsid w:val="00615462"/>
    <w:rsid w:val="00615590"/>
    <w:rsid w:val="006158AC"/>
    <w:rsid w:val="006158EF"/>
    <w:rsid w:val="00615B9C"/>
    <w:rsid w:val="00615BA3"/>
    <w:rsid w:val="00615D11"/>
    <w:rsid w:val="00616341"/>
    <w:rsid w:val="006163B5"/>
    <w:rsid w:val="00616783"/>
    <w:rsid w:val="0061681A"/>
    <w:rsid w:val="006169D9"/>
    <w:rsid w:val="00616A2A"/>
    <w:rsid w:val="00616C50"/>
    <w:rsid w:val="00617507"/>
    <w:rsid w:val="006178D2"/>
    <w:rsid w:val="00617AB9"/>
    <w:rsid w:val="00617CD2"/>
    <w:rsid w:val="00617D6E"/>
    <w:rsid w:val="00617E85"/>
    <w:rsid w:val="00617F51"/>
    <w:rsid w:val="00617FFD"/>
    <w:rsid w:val="0062090B"/>
    <w:rsid w:val="0062091A"/>
    <w:rsid w:val="00620953"/>
    <w:rsid w:val="00620B34"/>
    <w:rsid w:val="00620C1D"/>
    <w:rsid w:val="00621161"/>
    <w:rsid w:val="006211B2"/>
    <w:rsid w:val="0062138F"/>
    <w:rsid w:val="0062167D"/>
    <w:rsid w:val="00621963"/>
    <w:rsid w:val="00621993"/>
    <w:rsid w:val="00621B41"/>
    <w:rsid w:val="00621C30"/>
    <w:rsid w:val="00621D87"/>
    <w:rsid w:val="00621E89"/>
    <w:rsid w:val="00621F5B"/>
    <w:rsid w:val="00621FCD"/>
    <w:rsid w:val="00622270"/>
    <w:rsid w:val="00622605"/>
    <w:rsid w:val="00622905"/>
    <w:rsid w:val="00622A24"/>
    <w:rsid w:val="00622AE7"/>
    <w:rsid w:val="00622D96"/>
    <w:rsid w:val="0062311A"/>
    <w:rsid w:val="00623254"/>
    <w:rsid w:val="00623258"/>
    <w:rsid w:val="0062349F"/>
    <w:rsid w:val="00623CF6"/>
    <w:rsid w:val="00623E0A"/>
    <w:rsid w:val="00623E5E"/>
    <w:rsid w:val="00623E9C"/>
    <w:rsid w:val="00623F19"/>
    <w:rsid w:val="0062401F"/>
    <w:rsid w:val="006243BE"/>
    <w:rsid w:val="006245A1"/>
    <w:rsid w:val="006246FD"/>
    <w:rsid w:val="006249E6"/>
    <w:rsid w:val="00624CB5"/>
    <w:rsid w:val="00624D1B"/>
    <w:rsid w:val="00624EA7"/>
    <w:rsid w:val="00624EB9"/>
    <w:rsid w:val="00625067"/>
    <w:rsid w:val="00625160"/>
    <w:rsid w:val="00625260"/>
    <w:rsid w:val="006253AA"/>
    <w:rsid w:val="00625568"/>
    <w:rsid w:val="00625992"/>
    <w:rsid w:val="006259A1"/>
    <w:rsid w:val="00625A05"/>
    <w:rsid w:val="00625E32"/>
    <w:rsid w:val="00625E8B"/>
    <w:rsid w:val="00625EE6"/>
    <w:rsid w:val="00625EFC"/>
    <w:rsid w:val="00625FD5"/>
    <w:rsid w:val="00626089"/>
    <w:rsid w:val="00626442"/>
    <w:rsid w:val="00626446"/>
    <w:rsid w:val="0062652A"/>
    <w:rsid w:val="00626587"/>
    <w:rsid w:val="006265DB"/>
    <w:rsid w:val="0062674D"/>
    <w:rsid w:val="00626BCB"/>
    <w:rsid w:val="00626CD3"/>
    <w:rsid w:val="00626D97"/>
    <w:rsid w:val="00626ECC"/>
    <w:rsid w:val="00626F73"/>
    <w:rsid w:val="00626F78"/>
    <w:rsid w:val="006270A8"/>
    <w:rsid w:val="00627185"/>
    <w:rsid w:val="00627564"/>
    <w:rsid w:val="00627A4A"/>
    <w:rsid w:val="00627BB0"/>
    <w:rsid w:val="00627C20"/>
    <w:rsid w:val="00627CCF"/>
    <w:rsid w:val="00627D34"/>
    <w:rsid w:val="00627D46"/>
    <w:rsid w:val="00627DEA"/>
    <w:rsid w:val="00627FBF"/>
    <w:rsid w:val="00630027"/>
    <w:rsid w:val="0063009A"/>
    <w:rsid w:val="006300E3"/>
    <w:rsid w:val="0063029F"/>
    <w:rsid w:val="00630354"/>
    <w:rsid w:val="00630408"/>
    <w:rsid w:val="00630566"/>
    <w:rsid w:val="00630B14"/>
    <w:rsid w:val="00630CAD"/>
    <w:rsid w:val="00631193"/>
    <w:rsid w:val="00631350"/>
    <w:rsid w:val="00631376"/>
    <w:rsid w:val="006316E2"/>
    <w:rsid w:val="006319B7"/>
    <w:rsid w:val="00631FCB"/>
    <w:rsid w:val="00632315"/>
    <w:rsid w:val="006324E7"/>
    <w:rsid w:val="00632BA6"/>
    <w:rsid w:val="00632DC5"/>
    <w:rsid w:val="00632E8C"/>
    <w:rsid w:val="006332B8"/>
    <w:rsid w:val="0063340C"/>
    <w:rsid w:val="006335AD"/>
    <w:rsid w:val="006336BC"/>
    <w:rsid w:val="006339CD"/>
    <w:rsid w:val="006339EC"/>
    <w:rsid w:val="00633A38"/>
    <w:rsid w:val="00633F06"/>
    <w:rsid w:val="00633F26"/>
    <w:rsid w:val="0063413D"/>
    <w:rsid w:val="0063418A"/>
    <w:rsid w:val="00634261"/>
    <w:rsid w:val="006344EA"/>
    <w:rsid w:val="006345B4"/>
    <w:rsid w:val="0063497E"/>
    <w:rsid w:val="006349C1"/>
    <w:rsid w:val="00634F13"/>
    <w:rsid w:val="00634FE2"/>
    <w:rsid w:val="00635176"/>
    <w:rsid w:val="0063539D"/>
    <w:rsid w:val="006354B3"/>
    <w:rsid w:val="006354C9"/>
    <w:rsid w:val="006354D5"/>
    <w:rsid w:val="0063577E"/>
    <w:rsid w:val="006359DD"/>
    <w:rsid w:val="00635A6A"/>
    <w:rsid w:val="00635EAF"/>
    <w:rsid w:val="00636853"/>
    <w:rsid w:val="0063688A"/>
    <w:rsid w:val="00636B64"/>
    <w:rsid w:val="00636BB5"/>
    <w:rsid w:val="00636C2B"/>
    <w:rsid w:val="00637374"/>
    <w:rsid w:val="006375E5"/>
    <w:rsid w:val="00637B19"/>
    <w:rsid w:val="00637DB1"/>
    <w:rsid w:val="00637EAE"/>
    <w:rsid w:val="00637ED9"/>
    <w:rsid w:val="0064011D"/>
    <w:rsid w:val="00640263"/>
    <w:rsid w:val="0064030D"/>
    <w:rsid w:val="0064051F"/>
    <w:rsid w:val="0064063E"/>
    <w:rsid w:val="0064073B"/>
    <w:rsid w:val="0064077F"/>
    <w:rsid w:val="00640866"/>
    <w:rsid w:val="00640918"/>
    <w:rsid w:val="00640979"/>
    <w:rsid w:val="00640B22"/>
    <w:rsid w:val="00640BCB"/>
    <w:rsid w:val="00640BEB"/>
    <w:rsid w:val="00640D93"/>
    <w:rsid w:val="00640EC8"/>
    <w:rsid w:val="00640F91"/>
    <w:rsid w:val="00641083"/>
    <w:rsid w:val="00641215"/>
    <w:rsid w:val="006414B9"/>
    <w:rsid w:val="006416A7"/>
    <w:rsid w:val="00641872"/>
    <w:rsid w:val="00641A3C"/>
    <w:rsid w:val="00641D1B"/>
    <w:rsid w:val="0064201C"/>
    <w:rsid w:val="006422A9"/>
    <w:rsid w:val="006422C8"/>
    <w:rsid w:val="00642375"/>
    <w:rsid w:val="00642379"/>
    <w:rsid w:val="006424BC"/>
    <w:rsid w:val="006424E0"/>
    <w:rsid w:val="00642A4E"/>
    <w:rsid w:val="00642AB3"/>
    <w:rsid w:val="00642C39"/>
    <w:rsid w:val="00642EC5"/>
    <w:rsid w:val="0064329C"/>
    <w:rsid w:val="006432C6"/>
    <w:rsid w:val="006433FB"/>
    <w:rsid w:val="00643414"/>
    <w:rsid w:val="006434B0"/>
    <w:rsid w:val="006434E2"/>
    <w:rsid w:val="006436DD"/>
    <w:rsid w:val="00643A1C"/>
    <w:rsid w:val="00643BA0"/>
    <w:rsid w:val="00643EAD"/>
    <w:rsid w:val="006440E2"/>
    <w:rsid w:val="006441FF"/>
    <w:rsid w:val="00644510"/>
    <w:rsid w:val="0064451F"/>
    <w:rsid w:val="006445C1"/>
    <w:rsid w:val="00644891"/>
    <w:rsid w:val="00644910"/>
    <w:rsid w:val="006449F9"/>
    <w:rsid w:val="00644AC8"/>
    <w:rsid w:val="00644C02"/>
    <w:rsid w:val="00644DB8"/>
    <w:rsid w:val="00644E64"/>
    <w:rsid w:val="00645103"/>
    <w:rsid w:val="006451FC"/>
    <w:rsid w:val="00645297"/>
    <w:rsid w:val="00645393"/>
    <w:rsid w:val="0064558C"/>
    <w:rsid w:val="0064560D"/>
    <w:rsid w:val="00645888"/>
    <w:rsid w:val="00645DBB"/>
    <w:rsid w:val="00645F91"/>
    <w:rsid w:val="00646343"/>
    <w:rsid w:val="00646445"/>
    <w:rsid w:val="00646687"/>
    <w:rsid w:val="00646774"/>
    <w:rsid w:val="00646834"/>
    <w:rsid w:val="006469FC"/>
    <w:rsid w:val="00646C98"/>
    <w:rsid w:val="00646D19"/>
    <w:rsid w:val="00646D86"/>
    <w:rsid w:val="00646E1E"/>
    <w:rsid w:val="00646E86"/>
    <w:rsid w:val="00646F32"/>
    <w:rsid w:val="00647048"/>
    <w:rsid w:val="0064724F"/>
    <w:rsid w:val="0064747A"/>
    <w:rsid w:val="0064769C"/>
    <w:rsid w:val="00647844"/>
    <w:rsid w:val="006479B1"/>
    <w:rsid w:val="00647AED"/>
    <w:rsid w:val="00647F5C"/>
    <w:rsid w:val="006500D0"/>
    <w:rsid w:val="00650118"/>
    <w:rsid w:val="00650319"/>
    <w:rsid w:val="00650AE8"/>
    <w:rsid w:val="00650D35"/>
    <w:rsid w:val="00650F96"/>
    <w:rsid w:val="0065118D"/>
    <w:rsid w:val="00651547"/>
    <w:rsid w:val="00651899"/>
    <w:rsid w:val="0065194C"/>
    <w:rsid w:val="00651AEA"/>
    <w:rsid w:val="00651C0A"/>
    <w:rsid w:val="00651E26"/>
    <w:rsid w:val="00651FBA"/>
    <w:rsid w:val="006521F8"/>
    <w:rsid w:val="00652451"/>
    <w:rsid w:val="006525A1"/>
    <w:rsid w:val="006526AC"/>
    <w:rsid w:val="006528FD"/>
    <w:rsid w:val="006529AA"/>
    <w:rsid w:val="00652ACF"/>
    <w:rsid w:val="00652AD0"/>
    <w:rsid w:val="00652C1E"/>
    <w:rsid w:val="00652E8B"/>
    <w:rsid w:val="00653197"/>
    <w:rsid w:val="00653449"/>
    <w:rsid w:val="00653507"/>
    <w:rsid w:val="006535D5"/>
    <w:rsid w:val="00653B42"/>
    <w:rsid w:val="00653B59"/>
    <w:rsid w:val="00653CF6"/>
    <w:rsid w:val="0065416C"/>
    <w:rsid w:val="0065469E"/>
    <w:rsid w:val="006546EE"/>
    <w:rsid w:val="00654FEF"/>
    <w:rsid w:val="00655110"/>
    <w:rsid w:val="00655157"/>
    <w:rsid w:val="006552CA"/>
    <w:rsid w:val="006553D0"/>
    <w:rsid w:val="00655455"/>
    <w:rsid w:val="00655579"/>
    <w:rsid w:val="006555C3"/>
    <w:rsid w:val="0065570C"/>
    <w:rsid w:val="00655B4C"/>
    <w:rsid w:val="00655CC4"/>
    <w:rsid w:val="00655F74"/>
    <w:rsid w:val="006564A3"/>
    <w:rsid w:val="00656650"/>
    <w:rsid w:val="00656673"/>
    <w:rsid w:val="00656829"/>
    <w:rsid w:val="006568A3"/>
    <w:rsid w:val="006569F6"/>
    <w:rsid w:val="00656A02"/>
    <w:rsid w:val="00656BAE"/>
    <w:rsid w:val="00656C56"/>
    <w:rsid w:val="00656D2C"/>
    <w:rsid w:val="00656D4D"/>
    <w:rsid w:val="00656E7D"/>
    <w:rsid w:val="00657315"/>
    <w:rsid w:val="00657578"/>
    <w:rsid w:val="006579E0"/>
    <w:rsid w:val="00657C0D"/>
    <w:rsid w:val="00657E0C"/>
    <w:rsid w:val="00657E4C"/>
    <w:rsid w:val="00660146"/>
    <w:rsid w:val="0066023F"/>
    <w:rsid w:val="00660250"/>
    <w:rsid w:val="0066052E"/>
    <w:rsid w:val="00660661"/>
    <w:rsid w:val="0066083B"/>
    <w:rsid w:val="006609DF"/>
    <w:rsid w:val="00660A90"/>
    <w:rsid w:val="00661590"/>
    <w:rsid w:val="00661BD2"/>
    <w:rsid w:val="00661CDB"/>
    <w:rsid w:val="006627AB"/>
    <w:rsid w:val="00662FA1"/>
    <w:rsid w:val="0066359C"/>
    <w:rsid w:val="0066374C"/>
    <w:rsid w:val="00663909"/>
    <w:rsid w:val="0066398F"/>
    <w:rsid w:val="00663A53"/>
    <w:rsid w:val="00663CF8"/>
    <w:rsid w:val="00663DE2"/>
    <w:rsid w:val="00663EF8"/>
    <w:rsid w:val="00664095"/>
    <w:rsid w:val="006640CD"/>
    <w:rsid w:val="00664475"/>
    <w:rsid w:val="00664560"/>
    <w:rsid w:val="00664765"/>
    <w:rsid w:val="00664833"/>
    <w:rsid w:val="006648AF"/>
    <w:rsid w:val="00664F4C"/>
    <w:rsid w:val="0066578B"/>
    <w:rsid w:val="00665812"/>
    <w:rsid w:val="006658DD"/>
    <w:rsid w:val="0066597E"/>
    <w:rsid w:val="0066598F"/>
    <w:rsid w:val="00665A61"/>
    <w:rsid w:val="00665A6A"/>
    <w:rsid w:val="00665A8D"/>
    <w:rsid w:val="00665AE8"/>
    <w:rsid w:val="00665EEB"/>
    <w:rsid w:val="00665F32"/>
    <w:rsid w:val="006662EE"/>
    <w:rsid w:val="00666444"/>
    <w:rsid w:val="00666699"/>
    <w:rsid w:val="0066696C"/>
    <w:rsid w:val="00666A20"/>
    <w:rsid w:val="00666B40"/>
    <w:rsid w:val="00666BB5"/>
    <w:rsid w:val="00666D1E"/>
    <w:rsid w:val="00666D6A"/>
    <w:rsid w:val="00666E55"/>
    <w:rsid w:val="00667032"/>
    <w:rsid w:val="00667347"/>
    <w:rsid w:val="00667705"/>
    <w:rsid w:val="00667734"/>
    <w:rsid w:val="00667FFB"/>
    <w:rsid w:val="006700C0"/>
    <w:rsid w:val="00670141"/>
    <w:rsid w:val="00670364"/>
    <w:rsid w:val="00670560"/>
    <w:rsid w:val="00670664"/>
    <w:rsid w:val="0067083A"/>
    <w:rsid w:val="0067085B"/>
    <w:rsid w:val="006709A0"/>
    <w:rsid w:val="00670C7F"/>
    <w:rsid w:val="006710D7"/>
    <w:rsid w:val="00671603"/>
    <w:rsid w:val="006716F5"/>
    <w:rsid w:val="00671A4C"/>
    <w:rsid w:val="00671B04"/>
    <w:rsid w:val="00671B5D"/>
    <w:rsid w:val="00671D26"/>
    <w:rsid w:val="00671D50"/>
    <w:rsid w:val="00671F5B"/>
    <w:rsid w:val="00671FC9"/>
    <w:rsid w:val="00672012"/>
    <w:rsid w:val="006720DD"/>
    <w:rsid w:val="00672156"/>
    <w:rsid w:val="0067227C"/>
    <w:rsid w:val="00672893"/>
    <w:rsid w:val="00672D44"/>
    <w:rsid w:val="00672F0D"/>
    <w:rsid w:val="00673569"/>
    <w:rsid w:val="00673653"/>
    <w:rsid w:val="00673778"/>
    <w:rsid w:val="006738A8"/>
    <w:rsid w:val="00673C8A"/>
    <w:rsid w:val="00673FA0"/>
    <w:rsid w:val="006742D5"/>
    <w:rsid w:val="006743BB"/>
    <w:rsid w:val="006746B7"/>
    <w:rsid w:val="0067477B"/>
    <w:rsid w:val="00674A32"/>
    <w:rsid w:val="00674BAC"/>
    <w:rsid w:val="006751B4"/>
    <w:rsid w:val="00675336"/>
    <w:rsid w:val="006753B2"/>
    <w:rsid w:val="00675468"/>
    <w:rsid w:val="006754C9"/>
    <w:rsid w:val="0067560A"/>
    <w:rsid w:val="00675A38"/>
    <w:rsid w:val="00675CAB"/>
    <w:rsid w:val="00676095"/>
    <w:rsid w:val="006760A3"/>
    <w:rsid w:val="0067610A"/>
    <w:rsid w:val="00676730"/>
    <w:rsid w:val="00676C7B"/>
    <w:rsid w:val="00676D07"/>
    <w:rsid w:val="0067723F"/>
    <w:rsid w:val="0067726D"/>
    <w:rsid w:val="006772F8"/>
    <w:rsid w:val="00677435"/>
    <w:rsid w:val="006775FC"/>
    <w:rsid w:val="00677887"/>
    <w:rsid w:val="00677C1F"/>
    <w:rsid w:val="00680026"/>
    <w:rsid w:val="00680156"/>
    <w:rsid w:val="00680209"/>
    <w:rsid w:val="006804DF"/>
    <w:rsid w:val="006805C3"/>
    <w:rsid w:val="0068061A"/>
    <w:rsid w:val="00680730"/>
    <w:rsid w:val="0068076A"/>
    <w:rsid w:val="00680777"/>
    <w:rsid w:val="00680778"/>
    <w:rsid w:val="00680851"/>
    <w:rsid w:val="00680B47"/>
    <w:rsid w:val="00680B78"/>
    <w:rsid w:val="00680BA6"/>
    <w:rsid w:val="00680C16"/>
    <w:rsid w:val="00680CDC"/>
    <w:rsid w:val="00681544"/>
    <w:rsid w:val="00681559"/>
    <w:rsid w:val="0068175C"/>
    <w:rsid w:val="00681B95"/>
    <w:rsid w:val="00682412"/>
    <w:rsid w:val="0068258A"/>
    <w:rsid w:val="006825D7"/>
    <w:rsid w:val="00682977"/>
    <w:rsid w:val="006829A3"/>
    <w:rsid w:val="00682C12"/>
    <w:rsid w:val="00682D80"/>
    <w:rsid w:val="0068307D"/>
    <w:rsid w:val="006832B1"/>
    <w:rsid w:val="00683330"/>
    <w:rsid w:val="00683340"/>
    <w:rsid w:val="00683656"/>
    <w:rsid w:val="006836BF"/>
    <w:rsid w:val="0068394E"/>
    <w:rsid w:val="00683AB0"/>
    <w:rsid w:val="00683C2E"/>
    <w:rsid w:val="00684355"/>
    <w:rsid w:val="006843C9"/>
    <w:rsid w:val="0068476F"/>
    <w:rsid w:val="006847C0"/>
    <w:rsid w:val="00684836"/>
    <w:rsid w:val="006848E1"/>
    <w:rsid w:val="00684C2A"/>
    <w:rsid w:val="00684D07"/>
    <w:rsid w:val="00684E56"/>
    <w:rsid w:val="006850D4"/>
    <w:rsid w:val="006853B5"/>
    <w:rsid w:val="0068551F"/>
    <w:rsid w:val="00685543"/>
    <w:rsid w:val="00685B48"/>
    <w:rsid w:val="00685C69"/>
    <w:rsid w:val="00685CE8"/>
    <w:rsid w:val="00685D82"/>
    <w:rsid w:val="0068629E"/>
    <w:rsid w:val="006862BB"/>
    <w:rsid w:val="006863D8"/>
    <w:rsid w:val="006868EC"/>
    <w:rsid w:val="00686928"/>
    <w:rsid w:val="0068699C"/>
    <w:rsid w:val="00686BCE"/>
    <w:rsid w:val="00686ED3"/>
    <w:rsid w:val="00687CE0"/>
    <w:rsid w:val="00687DCE"/>
    <w:rsid w:val="00690165"/>
    <w:rsid w:val="00690265"/>
    <w:rsid w:val="0069091E"/>
    <w:rsid w:val="00690961"/>
    <w:rsid w:val="00690E8A"/>
    <w:rsid w:val="00690EE2"/>
    <w:rsid w:val="00691145"/>
    <w:rsid w:val="006911DB"/>
    <w:rsid w:val="006912C6"/>
    <w:rsid w:val="00691403"/>
    <w:rsid w:val="00691484"/>
    <w:rsid w:val="006916EA"/>
    <w:rsid w:val="006917D9"/>
    <w:rsid w:val="006918B8"/>
    <w:rsid w:val="00691A44"/>
    <w:rsid w:val="00691A6E"/>
    <w:rsid w:val="00691AF6"/>
    <w:rsid w:val="00691CE7"/>
    <w:rsid w:val="00691E5A"/>
    <w:rsid w:val="006924D2"/>
    <w:rsid w:val="00692CEA"/>
    <w:rsid w:val="00692EF2"/>
    <w:rsid w:val="00692F81"/>
    <w:rsid w:val="0069311E"/>
    <w:rsid w:val="0069313F"/>
    <w:rsid w:val="006931AC"/>
    <w:rsid w:val="006934F4"/>
    <w:rsid w:val="006935A9"/>
    <w:rsid w:val="00693A95"/>
    <w:rsid w:val="00693AA0"/>
    <w:rsid w:val="00693C07"/>
    <w:rsid w:val="00693E76"/>
    <w:rsid w:val="00693F4E"/>
    <w:rsid w:val="0069435B"/>
    <w:rsid w:val="006944FB"/>
    <w:rsid w:val="006945DF"/>
    <w:rsid w:val="00694629"/>
    <w:rsid w:val="006947F7"/>
    <w:rsid w:val="00694E0C"/>
    <w:rsid w:val="00695254"/>
    <w:rsid w:val="00695449"/>
    <w:rsid w:val="0069556F"/>
    <w:rsid w:val="00695849"/>
    <w:rsid w:val="006959C1"/>
    <w:rsid w:val="00695B0A"/>
    <w:rsid w:val="00695B60"/>
    <w:rsid w:val="00695BD7"/>
    <w:rsid w:val="00695E85"/>
    <w:rsid w:val="00695F6F"/>
    <w:rsid w:val="006962B1"/>
    <w:rsid w:val="00696443"/>
    <w:rsid w:val="0069649B"/>
    <w:rsid w:val="00696619"/>
    <w:rsid w:val="00696698"/>
    <w:rsid w:val="0069669E"/>
    <w:rsid w:val="0069687C"/>
    <w:rsid w:val="00696BC3"/>
    <w:rsid w:val="00696BE6"/>
    <w:rsid w:val="00696CB5"/>
    <w:rsid w:val="006972B5"/>
    <w:rsid w:val="0069736D"/>
    <w:rsid w:val="006973AD"/>
    <w:rsid w:val="0069788E"/>
    <w:rsid w:val="00697C31"/>
    <w:rsid w:val="00697DDE"/>
    <w:rsid w:val="00697EAC"/>
    <w:rsid w:val="006A0029"/>
    <w:rsid w:val="006A0160"/>
    <w:rsid w:val="006A01D2"/>
    <w:rsid w:val="006A0410"/>
    <w:rsid w:val="006A054B"/>
    <w:rsid w:val="006A0AC5"/>
    <w:rsid w:val="006A0AF7"/>
    <w:rsid w:val="006A0B47"/>
    <w:rsid w:val="006A1201"/>
    <w:rsid w:val="006A1351"/>
    <w:rsid w:val="006A1524"/>
    <w:rsid w:val="006A1841"/>
    <w:rsid w:val="006A19A8"/>
    <w:rsid w:val="006A2201"/>
    <w:rsid w:val="006A237C"/>
    <w:rsid w:val="006A23C9"/>
    <w:rsid w:val="006A255C"/>
    <w:rsid w:val="006A261D"/>
    <w:rsid w:val="006A288B"/>
    <w:rsid w:val="006A2D14"/>
    <w:rsid w:val="006A2F47"/>
    <w:rsid w:val="006A3096"/>
    <w:rsid w:val="006A3211"/>
    <w:rsid w:val="006A32A5"/>
    <w:rsid w:val="006A332B"/>
    <w:rsid w:val="006A3452"/>
    <w:rsid w:val="006A3AF1"/>
    <w:rsid w:val="006A3B0B"/>
    <w:rsid w:val="006A3C8D"/>
    <w:rsid w:val="006A3E7A"/>
    <w:rsid w:val="006A3F11"/>
    <w:rsid w:val="006A408C"/>
    <w:rsid w:val="006A4641"/>
    <w:rsid w:val="006A46BC"/>
    <w:rsid w:val="006A475F"/>
    <w:rsid w:val="006A47FE"/>
    <w:rsid w:val="006A4830"/>
    <w:rsid w:val="006A4B3D"/>
    <w:rsid w:val="006A4B44"/>
    <w:rsid w:val="006A519E"/>
    <w:rsid w:val="006A5352"/>
    <w:rsid w:val="006A53A2"/>
    <w:rsid w:val="006A5422"/>
    <w:rsid w:val="006A595A"/>
    <w:rsid w:val="006A5E41"/>
    <w:rsid w:val="006A5E82"/>
    <w:rsid w:val="006A5F47"/>
    <w:rsid w:val="006A648F"/>
    <w:rsid w:val="006A64FE"/>
    <w:rsid w:val="006A651F"/>
    <w:rsid w:val="006A6615"/>
    <w:rsid w:val="006A68DD"/>
    <w:rsid w:val="006A6C22"/>
    <w:rsid w:val="006A6C33"/>
    <w:rsid w:val="006A6EFB"/>
    <w:rsid w:val="006A700D"/>
    <w:rsid w:val="006A713F"/>
    <w:rsid w:val="006A71DB"/>
    <w:rsid w:val="006A72AA"/>
    <w:rsid w:val="006A7657"/>
    <w:rsid w:val="006A771A"/>
    <w:rsid w:val="006A792D"/>
    <w:rsid w:val="006B0134"/>
    <w:rsid w:val="006B0481"/>
    <w:rsid w:val="006B062B"/>
    <w:rsid w:val="006B073A"/>
    <w:rsid w:val="006B09B0"/>
    <w:rsid w:val="006B0B25"/>
    <w:rsid w:val="006B0CE8"/>
    <w:rsid w:val="006B0D44"/>
    <w:rsid w:val="006B0F0D"/>
    <w:rsid w:val="006B0F72"/>
    <w:rsid w:val="006B1141"/>
    <w:rsid w:val="006B11A8"/>
    <w:rsid w:val="006B150A"/>
    <w:rsid w:val="006B186E"/>
    <w:rsid w:val="006B18DA"/>
    <w:rsid w:val="006B1C3B"/>
    <w:rsid w:val="006B1D62"/>
    <w:rsid w:val="006B1E31"/>
    <w:rsid w:val="006B1E7E"/>
    <w:rsid w:val="006B1EEE"/>
    <w:rsid w:val="006B2079"/>
    <w:rsid w:val="006B22B3"/>
    <w:rsid w:val="006B29EC"/>
    <w:rsid w:val="006B2C7F"/>
    <w:rsid w:val="006B2D39"/>
    <w:rsid w:val="006B2F36"/>
    <w:rsid w:val="006B31A4"/>
    <w:rsid w:val="006B32FD"/>
    <w:rsid w:val="006B361D"/>
    <w:rsid w:val="006B3999"/>
    <w:rsid w:val="006B3AD0"/>
    <w:rsid w:val="006B3BBE"/>
    <w:rsid w:val="006B3C70"/>
    <w:rsid w:val="006B3D16"/>
    <w:rsid w:val="006B3E18"/>
    <w:rsid w:val="006B4022"/>
    <w:rsid w:val="006B40A4"/>
    <w:rsid w:val="006B45FC"/>
    <w:rsid w:val="006B475E"/>
    <w:rsid w:val="006B4922"/>
    <w:rsid w:val="006B49A7"/>
    <w:rsid w:val="006B49AA"/>
    <w:rsid w:val="006B4B5A"/>
    <w:rsid w:val="006B4C7D"/>
    <w:rsid w:val="006B4E0B"/>
    <w:rsid w:val="006B52E0"/>
    <w:rsid w:val="006B56EF"/>
    <w:rsid w:val="006B5976"/>
    <w:rsid w:val="006B5AD4"/>
    <w:rsid w:val="006B5ADA"/>
    <w:rsid w:val="006B5FD9"/>
    <w:rsid w:val="006B62A7"/>
    <w:rsid w:val="006B65C1"/>
    <w:rsid w:val="006B6727"/>
    <w:rsid w:val="006B6852"/>
    <w:rsid w:val="006B6A5D"/>
    <w:rsid w:val="006B6BC8"/>
    <w:rsid w:val="006B6E05"/>
    <w:rsid w:val="006B6E51"/>
    <w:rsid w:val="006B6EDF"/>
    <w:rsid w:val="006B70D7"/>
    <w:rsid w:val="006B7229"/>
    <w:rsid w:val="006B724C"/>
    <w:rsid w:val="006B75BC"/>
    <w:rsid w:val="006B77F2"/>
    <w:rsid w:val="006B784F"/>
    <w:rsid w:val="006B7A23"/>
    <w:rsid w:val="006B7A93"/>
    <w:rsid w:val="006B7C38"/>
    <w:rsid w:val="006B7E1A"/>
    <w:rsid w:val="006B7EC9"/>
    <w:rsid w:val="006C0051"/>
    <w:rsid w:val="006C01E2"/>
    <w:rsid w:val="006C0211"/>
    <w:rsid w:val="006C042E"/>
    <w:rsid w:val="006C0676"/>
    <w:rsid w:val="006C0910"/>
    <w:rsid w:val="006C09E1"/>
    <w:rsid w:val="006C0DC0"/>
    <w:rsid w:val="006C0E65"/>
    <w:rsid w:val="006C1292"/>
    <w:rsid w:val="006C129D"/>
    <w:rsid w:val="006C1424"/>
    <w:rsid w:val="006C1936"/>
    <w:rsid w:val="006C19A4"/>
    <w:rsid w:val="006C1AE5"/>
    <w:rsid w:val="006C1BB3"/>
    <w:rsid w:val="006C2095"/>
    <w:rsid w:val="006C21EA"/>
    <w:rsid w:val="006C268D"/>
    <w:rsid w:val="006C2A47"/>
    <w:rsid w:val="006C2B10"/>
    <w:rsid w:val="006C2BDD"/>
    <w:rsid w:val="006C2BF2"/>
    <w:rsid w:val="006C2D69"/>
    <w:rsid w:val="006C3157"/>
    <w:rsid w:val="006C31BC"/>
    <w:rsid w:val="006C3592"/>
    <w:rsid w:val="006C3693"/>
    <w:rsid w:val="006C387D"/>
    <w:rsid w:val="006C3AF3"/>
    <w:rsid w:val="006C3D36"/>
    <w:rsid w:val="006C3E5B"/>
    <w:rsid w:val="006C40D5"/>
    <w:rsid w:val="006C4204"/>
    <w:rsid w:val="006C4546"/>
    <w:rsid w:val="006C4580"/>
    <w:rsid w:val="006C467E"/>
    <w:rsid w:val="006C478B"/>
    <w:rsid w:val="006C47B1"/>
    <w:rsid w:val="006C4BF7"/>
    <w:rsid w:val="006C4F44"/>
    <w:rsid w:val="006C50E8"/>
    <w:rsid w:val="006C51E4"/>
    <w:rsid w:val="006C5202"/>
    <w:rsid w:val="006C546C"/>
    <w:rsid w:val="006C5472"/>
    <w:rsid w:val="006C55A5"/>
    <w:rsid w:val="006C56A0"/>
    <w:rsid w:val="006C5A4E"/>
    <w:rsid w:val="006C5DEB"/>
    <w:rsid w:val="006C5E7B"/>
    <w:rsid w:val="006C62C2"/>
    <w:rsid w:val="006C63C0"/>
    <w:rsid w:val="006C65E5"/>
    <w:rsid w:val="006C6680"/>
    <w:rsid w:val="006C675A"/>
    <w:rsid w:val="006C688B"/>
    <w:rsid w:val="006C6AD4"/>
    <w:rsid w:val="006C6CC5"/>
    <w:rsid w:val="006C6ED5"/>
    <w:rsid w:val="006C7137"/>
    <w:rsid w:val="006C736F"/>
    <w:rsid w:val="006C746F"/>
    <w:rsid w:val="006C79E4"/>
    <w:rsid w:val="006C7F1D"/>
    <w:rsid w:val="006D00E8"/>
    <w:rsid w:val="006D0210"/>
    <w:rsid w:val="006D0D34"/>
    <w:rsid w:val="006D0E45"/>
    <w:rsid w:val="006D0E5B"/>
    <w:rsid w:val="006D1156"/>
    <w:rsid w:val="006D19B7"/>
    <w:rsid w:val="006D1C79"/>
    <w:rsid w:val="006D222A"/>
    <w:rsid w:val="006D236E"/>
    <w:rsid w:val="006D2579"/>
    <w:rsid w:val="006D27E8"/>
    <w:rsid w:val="006D2836"/>
    <w:rsid w:val="006D2A0F"/>
    <w:rsid w:val="006D2A72"/>
    <w:rsid w:val="006D2B19"/>
    <w:rsid w:val="006D3312"/>
    <w:rsid w:val="006D3669"/>
    <w:rsid w:val="006D3704"/>
    <w:rsid w:val="006D3777"/>
    <w:rsid w:val="006D3786"/>
    <w:rsid w:val="006D3925"/>
    <w:rsid w:val="006D3A9C"/>
    <w:rsid w:val="006D3DC3"/>
    <w:rsid w:val="006D3E0F"/>
    <w:rsid w:val="006D416F"/>
    <w:rsid w:val="006D420B"/>
    <w:rsid w:val="006D443C"/>
    <w:rsid w:val="006D4F7B"/>
    <w:rsid w:val="006D50D4"/>
    <w:rsid w:val="006D51D6"/>
    <w:rsid w:val="006D5341"/>
    <w:rsid w:val="006D536A"/>
    <w:rsid w:val="006D5518"/>
    <w:rsid w:val="006D5820"/>
    <w:rsid w:val="006D58F8"/>
    <w:rsid w:val="006D592E"/>
    <w:rsid w:val="006D5A73"/>
    <w:rsid w:val="006D5AD5"/>
    <w:rsid w:val="006D5CA4"/>
    <w:rsid w:val="006D5D3C"/>
    <w:rsid w:val="006D5DDC"/>
    <w:rsid w:val="006D605D"/>
    <w:rsid w:val="006D63F5"/>
    <w:rsid w:val="006D6437"/>
    <w:rsid w:val="006D676B"/>
    <w:rsid w:val="006D6C65"/>
    <w:rsid w:val="006D6F68"/>
    <w:rsid w:val="006D723F"/>
    <w:rsid w:val="006D731B"/>
    <w:rsid w:val="006D7396"/>
    <w:rsid w:val="006D74B1"/>
    <w:rsid w:val="006D7573"/>
    <w:rsid w:val="006D7670"/>
    <w:rsid w:val="006D7812"/>
    <w:rsid w:val="006D791A"/>
    <w:rsid w:val="006D79B3"/>
    <w:rsid w:val="006D7B7D"/>
    <w:rsid w:val="006D7C5E"/>
    <w:rsid w:val="006D7DDA"/>
    <w:rsid w:val="006D7EAA"/>
    <w:rsid w:val="006E0157"/>
    <w:rsid w:val="006E01E6"/>
    <w:rsid w:val="006E02ED"/>
    <w:rsid w:val="006E0AFF"/>
    <w:rsid w:val="006E0D7F"/>
    <w:rsid w:val="006E138B"/>
    <w:rsid w:val="006E13B3"/>
    <w:rsid w:val="006E1475"/>
    <w:rsid w:val="006E1545"/>
    <w:rsid w:val="006E1689"/>
    <w:rsid w:val="006E16EE"/>
    <w:rsid w:val="006E1793"/>
    <w:rsid w:val="006E1BDF"/>
    <w:rsid w:val="006E1E87"/>
    <w:rsid w:val="006E2022"/>
    <w:rsid w:val="006E21B3"/>
    <w:rsid w:val="006E21BD"/>
    <w:rsid w:val="006E22CA"/>
    <w:rsid w:val="006E22EB"/>
    <w:rsid w:val="006E24F2"/>
    <w:rsid w:val="006E2593"/>
    <w:rsid w:val="006E280F"/>
    <w:rsid w:val="006E2883"/>
    <w:rsid w:val="006E2A72"/>
    <w:rsid w:val="006E2A77"/>
    <w:rsid w:val="006E2D4E"/>
    <w:rsid w:val="006E2DA9"/>
    <w:rsid w:val="006E3125"/>
    <w:rsid w:val="006E3352"/>
    <w:rsid w:val="006E3398"/>
    <w:rsid w:val="006E35DA"/>
    <w:rsid w:val="006E3A58"/>
    <w:rsid w:val="006E3A5F"/>
    <w:rsid w:val="006E3AD4"/>
    <w:rsid w:val="006E3BA1"/>
    <w:rsid w:val="006E3D65"/>
    <w:rsid w:val="006E461F"/>
    <w:rsid w:val="006E463F"/>
    <w:rsid w:val="006E470C"/>
    <w:rsid w:val="006E4A3B"/>
    <w:rsid w:val="006E4CFE"/>
    <w:rsid w:val="006E4E8B"/>
    <w:rsid w:val="006E5205"/>
    <w:rsid w:val="006E5231"/>
    <w:rsid w:val="006E561E"/>
    <w:rsid w:val="006E5632"/>
    <w:rsid w:val="006E56F9"/>
    <w:rsid w:val="006E587E"/>
    <w:rsid w:val="006E58AC"/>
    <w:rsid w:val="006E5954"/>
    <w:rsid w:val="006E59E8"/>
    <w:rsid w:val="006E5A0E"/>
    <w:rsid w:val="006E5C79"/>
    <w:rsid w:val="006E5CD1"/>
    <w:rsid w:val="006E5E16"/>
    <w:rsid w:val="006E5F80"/>
    <w:rsid w:val="006E60CC"/>
    <w:rsid w:val="006E628C"/>
    <w:rsid w:val="006E64FF"/>
    <w:rsid w:val="006E6B23"/>
    <w:rsid w:val="006E6B2B"/>
    <w:rsid w:val="006E6D2F"/>
    <w:rsid w:val="006E6D7A"/>
    <w:rsid w:val="006E6E46"/>
    <w:rsid w:val="006E6F8A"/>
    <w:rsid w:val="006E7019"/>
    <w:rsid w:val="006E7044"/>
    <w:rsid w:val="006E7204"/>
    <w:rsid w:val="006E72FF"/>
    <w:rsid w:val="006E73D8"/>
    <w:rsid w:val="006E76B9"/>
    <w:rsid w:val="006E79B6"/>
    <w:rsid w:val="006E7B53"/>
    <w:rsid w:val="006E7D21"/>
    <w:rsid w:val="006F0173"/>
    <w:rsid w:val="006F01DB"/>
    <w:rsid w:val="006F0219"/>
    <w:rsid w:val="006F0389"/>
    <w:rsid w:val="006F04F5"/>
    <w:rsid w:val="006F0C02"/>
    <w:rsid w:val="006F0E1D"/>
    <w:rsid w:val="006F0EB5"/>
    <w:rsid w:val="006F0F22"/>
    <w:rsid w:val="006F11C5"/>
    <w:rsid w:val="006F14D8"/>
    <w:rsid w:val="006F155A"/>
    <w:rsid w:val="006F1A68"/>
    <w:rsid w:val="006F1C71"/>
    <w:rsid w:val="006F1D19"/>
    <w:rsid w:val="006F1F1D"/>
    <w:rsid w:val="006F1FF4"/>
    <w:rsid w:val="006F211A"/>
    <w:rsid w:val="006F22A3"/>
    <w:rsid w:val="006F2779"/>
    <w:rsid w:val="006F2A33"/>
    <w:rsid w:val="006F2B24"/>
    <w:rsid w:val="006F2C77"/>
    <w:rsid w:val="006F2CE0"/>
    <w:rsid w:val="006F2D01"/>
    <w:rsid w:val="006F2D75"/>
    <w:rsid w:val="006F2F8D"/>
    <w:rsid w:val="006F30F2"/>
    <w:rsid w:val="006F32D6"/>
    <w:rsid w:val="006F32F1"/>
    <w:rsid w:val="006F3362"/>
    <w:rsid w:val="006F33D8"/>
    <w:rsid w:val="006F33FB"/>
    <w:rsid w:val="006F33FE"/>
    <w:rsid w:val="006F3447"/>
    <w:rsid w:val="006F3532"/>
    <w:rsid w:val="006F3631"/>
    <w:rsid w:val="006F3AC7"/>
    <w:rsid w:val="006F3C37"/>
    <w:rsid w:val="006F4153"/>
    <w:rsid w:val="006F420B"/>
    <w:rsid w:val="006F453E"/>
    <w:rsid w:val="006F4AD6"/>
    <w:rsid w:val="006F4AF6"/>
    <w:rsid w:val="006F4E94"/>
    <w:rsid w:val="006F55C6"/>
    <w:rsid w:val="006F5735"/>
    <w:rsid w:val="006F5988"/>
    <w:rsid w:val="006F5AE7"/>
    <w:rsid w:val="006F5B61"/>
    <w:rsid w:val="006F5B91"/>
    <w:rsid w:val="006F5D71"/>
    <w:rsid w:val="006F5DD4"/>
    <w:rsid w:val="006F5EEF"/>
    <w:rsid w:val="006F6135"/>
    <w:rsid w:val="006F6323"/>
    <w:rsid w:val="006F6449"/>
    <w:rsid w:val="006F68AB"/>
    <w:rsid w:val="006F6BA3"/>
    <w:rsid w:val="006F6E1F"/>
    <w:rsid w:val="006F6FE1"/>
    <w:rsid w:val="006F7004"/>
    <w:rsid w:val="006F70F9"/>
    <w:rsid w:val="006F78F9"/>
    <w:rsid w:val="006F7E4D"/>
    <w:rsid w:val="006F7E6D"/>
    <w:rsid w:val="006F7EED"/>
    <w:rsid w:val="0070015D"/>
    <w:rsid w:val="00700498"/>
    <w:rsid w:val="007005AC"/>
    <w:rsid w:val="00700751"/>
    <w:rsid w:val="00700981"/>
    <w:rsid w:val="00700AE8"/>
    <w:rsid w:val="00700B10"/>
    <w:rsid w:val="007010EE"/>
    <w:rsid w:val="0070164A"/>
    <w:rsid w:val="00701937"/>
    <w:rsid w:val="007019C7"/>
    <w:rsid w:val="00701BC4"/>
    <w:rsid w:val="00701C4C"/>
    <w:rsid w:val="00701C57"/>
    <w:rsid w:val="00702019"/>
    <w:rsid w:val="007022F0"/>
    <w:rsid w:val="00702336"/>
    <w:rsid w:val="0070250D"/>
    <w:rsid w:val="00702565"/>
    <w:rsid w:val="00702946"/>
    <w:rsid w:val="00702AEF"/>
    <w:rsid w:val="00702D2F"/>
    <w:rsid w:val="00703036"/>
    <w:rsid w:val="007030B6"/>
    <w:rsid w:val="00703318"/>
    <w:rsid w:val="00703659"/>
    <w:rsid w:val="007037F5"/>
    <w:rsid w:val="007037FC"/>
    <w:rsid w:val="00703AD0"/>
    <w:rsid w:val="00703FB1"/>
    <w:rsid w:val="007040FF"/>
    <w:rsid w:val="007041F3"/>
    <w:rsid w:val="00704455"/>
    <w:rsid w:val="0070478A"/>
    <w:rsid w:val="007049A7"/>
    <w:rsid w:val="00704AFA"/>
    <w:rsid w:val="00704D88"/>
    <w:rsid w:val="00704E11"/>
    <w:rsid w:val="007050A9"/>
    <w:rsid w:val="00705177"/>
    <w:rsid w:val="00705221"/>
    <w:rsid w:val="00705370"/>
    <w:rsid w:val="007053E9"/>
    <w:rsid w:val="0070560C"/>
    <w:rsid w:val="00705751"/>
    <w:rsid w:val="00705B07"/>
    <w:rsid w:val="00705BB1"/>
    <w:rsid w:val="00705BD7"/>
    <w:rsid w:val="00705C9D"/>
    <w:rsid w:val="00705DD1"/>
    <w:rsid w:val="00705DE0"/>
    <w:rsid w:val="00705FE6"/>
    <w:rsid w:val="0070607D"/>
    <w:rsid w:val="007060DB"/>
    <w:rsid w:val="007063DC"/>
    <w:rsid w:val="007065EF"/>
    <w:rsid w:val="00706D7F"/>
    <w:rsid w:val="00706E6C"/>
    <w:rsid w:val="00706F1A"/>
    <w:rsid w:val="00706F53"/>
    <w:rsid w:val="007072EA"/>
    <w:rsid w:val="00707304"/>
    <w:rsid w:val="007079A3"/>
    <w:rsid w:val="00707B48"/>
    <w:rsid w:val="00710500"/>
    <w:rsid w:val="00710888"/>
    <w:rsid w:val="00710A61"/>
    <w:rsid w:val="00710B04"/>
    <w:rsid w:val="00710BF3"/>
    <w:rsid w:val="00710E02"/>
    <w:rsid w:val="00710E57"/>
    <w:rsid w:val="00711307"/>
    <w:rsid w:val="00711359"/>
    <w:rsid w:val="00711408"/>
    <w:rsid w:val="0071154F"/>
    <w:rsid w:val="007115FA"/>
    <w:rsid w:val="00711800"/>
    <w:rsid w:val="007118C9"/>
    <w:rsid w:val="00711AB9"/>
    <w:rsid w:val="007124DE"/>
    <w:rsid w:val="00712679"/>
    <w:rsid w:val="007126A4"/>
    <w:rsid w:val="007128E0"/>
    <w:rsid w:val="00712E72"/>
    <w:rsid w:val="00712FD6"/>
    <w:rsid w:val="0071302F"/>
    <w:rsid w:val="007131EF"/>
    <w:rsid w:val="0071349E"/>
    <w:rsid w:val="0071384E"/>
    <w:rsid w:val="00713BF9"/>
    <w:rsid w:val="00713C75"/>
    <w:rsid w:val="00713D72"/>
    <w:rsid w:val="00713E0C"/>
    <w:rsid w:val="00713E4B"/>
    <w:rsid w:val="00713FC1"/>
    <w:rsid w:val="007141BE"/>
    <w:rsid w:val="0071420A"/>
    <w:rsid w:val="007142CB"/>
    <w:rsid w:val="0071450F"/>
    <w:rsid w:val="00714543"/>
    <w:rsid w:val="0071459E"/>
    <w:rsid w:val="00714638"/>
    <w:rsid w:val="0071498E"/>
    <w:rsid w:val="007149D8"/>
    <w:rsid w:val="00714BF6"/>
    <w:rsid w:val="00714D59"/>
    <w:rsid w:val="00714D97"/>
    <w:rsid w:val="007150BA"/>
    <w:rsid w:val="00715487"/>
    <w:rsid w:val="00715683"/>
    <w:rsid w:val="007157C0"/>
    <w:rsid w:val="00715870"/>
    <w:rsid w:val="007159AC"/>
    <w:rsid w:val="00715BB2"/>
    <w:rsid w:val="00715BC7"/>
    <w:rsid w:val="00715EF9"/>
    <w:rsid w:val="0071602D"/>
    <w:rsid w:val="00716184"/>
    <w:rsid w:val="007161F5"/>
    <w:rsid w:val="00716242"/>
    <w:rsid w:val="00716406"/>
    <w:rsid w:val="00716448"/>
    <w:rsid w:val="0071648E"/>
    <w:rsid w:val="00716575"/>
    <w:rsid w:val="00716637"/>
    <w:rsid w:val="0071663C"/>
    <w:rsid w:val="0071671E"/>
    <w:rsid w:val="00716735"/>
    <w:rsid w:val="00716985"/>
    <w:rsid w:val="00716A2D"/>
    <w:rsid w:val="00716B6E"/>
    <w:rsid w:val="00716BE9"/>
    <w:rsid w:val="00716BF4"/>
    <w:rsid w:val="00716FC0"/>
    <w:rsid w:val="00716FCB"/>
    <w:rsid w:val="00717070"/>
    <w:rsid w:val="00717086"/>
    <w:rsid w:val="00717169"/>
    <w:rsid w:val="0071721A"/>
    <w:rsid w:val="00717242"/>
    <w:rsid w:val="00717422"/>
    <w:rsid w:val="00717463"/>
    <w:rsid w:val="00717554"/>
    <w:rsid w:val="00717B9A"/>
    <w:rsid w:val="00717CEE"/>
    <w:rsid w:val="00717E48"/>
    <w:rsid w:val="00717F97"/>
    <w:rsid w:val="00720171"/>
    <w:rsid w:val="00720255"/>
    <w:rsid w:val="007203C2"/>
    <w:rsid w:val="007203E8"/>
    <w:rsid w:val="0072046A"/>
    <w:rsid w:val="0072054F"/>
    <w:rsid w:val="00720939"/>
    <w:rsid w:val="00720A99"/>
    <w:rsid w:val="00720AD9"/>
    <w:rsid w:val="00720D7F"/>
    <w:rsid w:val="00720E47"/>
    <w:rsid w:val="00720EF2"/>
    <w:rsid w:val="00720F64"/>
    <w:rsid w:val="007211ED"/>
    <w:rsid w:val="007212E4"/>
    <w:rsid w:val="0072148E"/>
    <w:rsid w:val="00721542"/>
    <w:rsid w:val="0072197E"/>
    <w:rsid w:val="00721D3E"/>
    <w:rsid w:val="00721DD9"/>
    <w:rsid w:val="00721E10"/>
    <w:rsid w:val="00721F03"/>
    <w:rsid w:val="007220E9"/>
    <w:rsid w:val="007222F0"/>
    <w:rsid w:val="007223B6"/>
    <w:rsid w:val="007223E5"/>
    <w:rsid w:val="00722505"/>
    <w:rsid w:val="007225DC"/>
    <w:rsid w:val="00722605"/>
    <w:rsid w:val="00722748"/>
    <w:rsid w:val="00722D63"/>
    <w:rsid w:val="00722FC8"/>
    <w:rsid w:val="0072324B"/>
    <w:rsid w:val="00723315"/>
    <w:rsid w:val="00723343"/>
    <w:rsid w:val="00723644"/>
    <w:rsid w:val="007236A3"/>
    <w:rsid w:val="007236D6"/>
    <w:rsid w:val="00723741"/>
    <w:rsid w:val="00723A75"/>
    <w:rsid w:val="0072418A"/>
    <w:rsid w:val="0072494E"/>
    <w:rsid w:val="007249A3"/>
    <w:rsid w:val="007249B7"/>
    <w:rsid w:val="00724A8A"/>
    <w:rsid w:val="00725246"/>
    <w:rsid w:val="00725399"/>
    <w:rsid w:val="00725450"/>
    <w:rsid w:val="0072560D"/>
    <w:rsid w:val="0072597B"/>
    <w:rsid w:val="00725CB7"/>
    <w:rsid w:val="00725D07"/>
    <w:rsid w:val="00725D92"/>
    <w:rsid w:val="007260A4"/>
    <w:rsid w:val="007261CC"/>
    <w:rsid w:val="00726221"/>
    <w:rsid w:val="0072651A"/>
    <w:rsid w:val="00726592"/>
    <w:rsid w:val="00726956"/>
    <w:rsid w:val="00726DEB"/>
    <w:rsid w:val="00726E93"/>
    <w:rsid w:val="0072706C"/>
    <w:rsid w:val="007273A8"/>
    <w:rsid w:val="00727610"/>
    <w:rsid w:val="007277A1"/>
    <w:rsid w:val="00727B40"/>
    <w:rsid w:val="00727DBE"/>
    <w:rsid w:val="00727E02"/>
    <w:rsid w:val="00727F81"/>
    <w:rsid w:val="0073059B"/>
    <w:rsid w:val="007308B4"/>
    <w:rsid w:val="0073090E"/>
    <w:rsid w:val="00730A98"/>
    <w:rsid w:val="00730AD0"/>
    <w:rsid w:val="00730CA9"/>
    <w:rsid w:val="00730ED7"/>
    <w:rsid w:val="00730F57"/>
    <w:rsid w:val="00731629"/>
    <w:rsid w:val="007316EF"/>
    <w:rsid w:val="0073181F"/>
    <w:rsid w:val="007319A2"/>
    <w:rsid w:val="00731A7F"/>
    <w:rsid w:val="00731B3A"/>
    <w:rsid w:val="00731BD4"/>
    <w:rsid w:val="00731C1A"/>
    <w:rsid w:val="00731DA4"/>
    <w:rsid w:val="00731F38"/>
    <w:rsid w:val="00732110"/>
    <w:rsid w:val="0073216D"/>
    <w:rsid w:val="007329CB"/>
    <w:rsid w:val="00732A0F"/>
    <w:rsid w:val="00732CF4"/>
    <w:rsid w:val="00732DFD"/>
    <w:rsid w:val="00732F43"/>
    <w:rsid w:val="00733138"/>
    <w:rsid w:val="0073323E"/>
    <w:rsid w:val="007332B1"/>
    <w:rsid w:val="007339BB"/>
    <w:rsid w:val="007339E5"/>
    <w:rsid w:val="00733DD7"/>
    <w:rsid w:val="00734051"/>
    <w:rsid w:val="007340E4"/>
    <w:rsid w:val="0073411B"/>
    <w:rsid w:val="0073513D"/>
    <w:rsid w:val="007351B0"/>
    <w:rsid w:val="0073520B"/>
    <w:rsid w:val="0073540E"/>
    <w:rsid w:val="00735447"/>
    <w:rsid w:val="007354D8"/>
    <w:rsid w:val="0073570C"/>
    <w:rsid w:val="00735AEE"/>
    <w:rsid w:val="00735CAF"/>
    <w:rsid w:val="00735D5F"/>
    <w:rsid w:val="00735D70"/>
    <w:rsid w:val="00735D95"/>
    <w:rsid w:val="00736093"/>
    <w:rsid w:val="00736099"/>
    <w:rsid w:val="007364BC"/>
    <w:rsid w:val="00736840"/>
    <w:rsid w:val="00736A18"/>
    <w:rsid w:val="00736B6E"/>
    <w:rsid w:val="00736BC0"/>
    <w:rsid w:val="00736BC5"/>
    <w:rsid w:val="00736BE9"/>
    <w:rsid w:val="00736C3E"/>
    <w:rsid w:val="00736CC4"/>
    <w:rsid w:val="00736E04"/>
    <w:rsid w:val="00736E4B"/>
    <w:rsid w:val="00736F2F"/>
    <w:rsid w:val="00736FCF"/>
    <w:rsid w:val="0073724C"/>
    <w:rsid w:val="00737B18"/>
    <w:rsid w:val="00737D58"/>
    <w:rsid w:val="007400D9"/>
    <w:rsid w:val="0074049D"/>
    <w:rsid w:val="007404AD"/>
    <w:rsid w:val="0074078C"/>
    <w:rsid w:val="00740937"/>
    <w:rsid w:val="00740D22"/>
    <w:rsid w:val="00740DBC"/>
    <w:rsid w:val="00740E19"/>
    <w:rsid w:val="00740F16"/>
    <w:rsid w:val="0074122B"/>
    <w:rsid w:val="00741589"/>
    <w:rsid w:val="00741913"/>
    <w:rsid w:val="00741AD6"/>
    <w:rsid w:val="00741B80"/>
    <w:rsid w:val="00741C5D"/>
    <w:rsid w:val="0074209F"/>
    <w:rsid w:val="007420BB"/>
    <w:rsid w:val="007422A5"/>
    <w:rsid w:val="007424F6"/>
    <w:rsid w:val="0074250E"/>
    <w:rsid w:val="00742845"/>
    <w:rsid w:val="00742D94"/>
    <w:rsid w:val="00742DB7"/>
    <w:rsid w:val="00743116"/>
    <w:rsid w:val="00743236"/>
    <w:rsid w:val="00743363"/>
    <w:rsid w:val="00743638"/>
    <w:rsid w:val="00743A9F"/>
    <w:rsid w:val="00743BA0"/>
    <w:rsid w:val="007440D2"/>
    <w:rsid w:val="007441B9"/>
    <w:rsid w:val="007443E4"/>
    <w:rsid w:val="00744731"/>
    <w:rsid w:val="00744800"/>
    <w:rsid w:val="007448F4"/>
    <w:rsid w:val="0074499B"/>
    <w:rsid w:val="0074499E"/>
    <w:rsid w:val="00744AFE"/>
    <w:rsid w:val="00744C2A"/>
    <w:rsid w:val="00744DAF"/>
    <w:rsid w:val="0074507E"/>
    <w:rsid w:val="00745D06"/>
    <w:rsid w:val="00745D73"/>
    <w:rsid w:val="00745DAE"/>
    <w:rsid w:val="00745E06"/>
    <w:rsid w:val="007461F7"/>
    <w:rsid w:val="0074634E"/>
    <w:rsid w:val="00746673"/>
    <w:rsid w:val="007467E1"/>
    <w:rsid w:val="007468BA"/>
    <w:rsid w:val="00746AE9"/>
    <w:rsid w:val="00746E37"/>
    <w:rsid w:val="00746E97"/>
    <w:rsid w:val="00746F20"/>
    <w:rsid w:val="007471B9"/>
    <w:rsid w:val="00747262"/>
    <w:rsid w:val="0074741E"/>
    <w:rsid w:val="00747679"/>
    <w:rsid w:val="007476E3"/>
    <w:rsid w:val="0074793C"/>
    <w:rsid w:val="0074799F"/>
    <w:rsid w:val="00747CE7"/>
    <w:rsid w:val="00747D9F"/>
    <w:rsid w:val="00747F35"/>
    <w:rsid w:val="007502F1"/>
    <w:rsid w:val="00750512"/>
    <w:rsid w:val="00750699"/>
    <w:rsid w:val="007507BC"/>
    <w:rsid w:val="00750A3F"/>
    <w:rsid w:val="00750F5F"/>
    <w:rsid w:val="00751202"/>
    <w:rsid w:val="0075123D"/>
    <w:rsid w:val="0075155E"/>
    <w:rsid w:val="00751812"/>
    <w:rsid w:val="00751963"/>
    <w:rsid w:val="00751968"/>
    <w:rsid w:val="00751BD4"/>
    <w:rsid w:val="00751BFB"/>
    <w:rsid w:val="00751C7F"/>
    <w:rsid w:val="00751E8D"/>
    <w:rsid w:val="00751ECE"/>
    <w:rsid w:val="0075208E"/>
    <w:rsid w:val="007520B3"/>
    <w:rsid w:val="00752196"/>
    <w:rsid w:val="00752462"/>
    <w:rsid w:val="00752667"/>
    <w:rsid w:val="0075284F"/>
    <w:rsid w:val="00752AA1"/>
    <w:rsid w:val="00752AC1"/>
    <w:rsid w:val="00752B07"/>
    <w:rsid w:val="00752DD3"/>
    <w:rsid w:val="00752F38"/>
    <w:rsid w:val="00753408"/>
    <w:rsid w:val="00753534"/>
    <w:rsid w:val="0075383B"/>
    <w:rsid w:val="0075386C"/>
    <w:rsid w:val="00753991"/>
    <w:rsid w:val="00753A12"/>
    <w:rsid w:val="00753C20"/>
    <w:rsid w:val="00753C9E"/>
    <w:rsid w:val="00753ED0"/>
    <w:rsid w:val="0075413F"/>
    <w:rsid w:val="0075415C"/>
    <w:rsid w:val="0075424F"/>
    <w:rsid w:val="0075435D"/>
    <w:rsid w:val="007543FF"/>
    <w:rsid w:val="0075476A"/>
    <w:rsid w:val="00754847"/>
    <w:rsid w:val="007548EF"/>
    <w:rsid w:val="00754FBE"/>
    <w:rsid w:val="0075529E"/>
    <w:rsid w:val="00755581"/>
    <w:rsid w:val="00755731"/>
    <w:rsid w:val="0075580B"/>
    <w:rsid w:val="00755ADD"/>
    <w:rsid w:val="00755CF5"/>
    <w:rsid w:val="00755D2F"/>
    <w:rsid w:val="00755D55"/>
    <w:rsid w:val="00755F84"/>
    <w:rsid w:val="007566B6"/>
    <w:rsid w:val="007567C1"/>
    <w:rsid w:val="007569E2"/>
    <w:rsid w:val="00756F8D"/>
    <w:rsid w:val="00757089"/>
    <w:rsid w:val="00757312"/>
    <w:rsid w:val="00757669"/>
    <w:rsid w:val="007576E2"/>
    <w:rsid w:val="00757933"/>
    <w:rsid w:val="00757A50"/>
    <w:rsid w:val="00757A69"/>
    <w:rsid w:val="00760262"/>
    <w:rsid w:val="007603A7"/>
    <w:rsid w:val="00760421"/>
    <w:rsid w:val="007604CC"/>
    <w:rsid w:val="007604EA"/>
    <w:rsid w:val="0076055D"/>
    <w:rsid w:val="007605A4"/>
    <w:rsid w:val="00760971"/>
    <w:rsid w:val="00760A38"/>
    <w:rsid w:val="00760AD0"/>
    <w:rsid w:val="00760AF0"/>
    <w:rsid w:val="00760B75"/>
    <w:rsid w:val="00760C72"/>
    <w:rsid w:val="00760D05"/>
    <w:rsid w:val="00760DE8"/>
    <w:rsid w:val="00760FAB"/>
    <w:rsid w:val="0076138D"/>
    <w:rsid w:val="0076147F"/>
    <w:rsid w:val="00761518"/>
    <w:rsid w:val="0076155F"/>
    <w:rsid w:val="0076156D"/>
    <w:rsid w:val="00761579"/>
    <w:rsid w:val="0076163C"/>
    <w:rsid w:val="00761652"/>
    <w:rsid w:val="0076179B"/>
    <w:rsid w:val="00761884"/>
    <w:rsid w:val="007618CA"/>
    <w:rsid w:val="0076190F"/>
    <w:rsid w:val="0076196B"/>
    <w:rsid w:val="00761BE4"/>
    <w:rsid w:val="00761C06"/>
    <w:rsid w:val="00761EA3"/>
    <w:rsid w:val="0076204D"/>
    <w:rsid w:val="00762201"/>
    <w:rsid w:val="00762226"/>
    <w:rsid w:val="00762285"/>
    <w:rsid w:val="007624BE"/>
    <w:rsid w:val="00762536"/>
    <w:rsid w:val="007625CA"/>
    <w:rsid w:val="00762612"/>
    <w:rsid w:val="0076266B"/>
    <w:rsid w:val="00762799"/>
    <w:rsid w:val="00762980"/>
    <w:rsid w:val="00762AE0"/>
    <w:rsid w:val="00762D27"/>
    <w:rsid w:val="00762EC2"/>
    <w:rsid w:val="00762FCB"/>
    <w:rsid w:val="00763376"/>
    <w:rsid w:val="00763946"/>
    <w:rsid w:val="00763A81"/>
    <w:rsid w:val="00763B91"/>
    <w:rsid w:val="00763C1D"/>
    <w:rsid w:val="00763E91"/>
    <w:rsid w:val="007640D0"/>
    <w:rsid w:val="0076413B"/>
    <w:rsid w:val="007642FA"/>
    <w:rsid w:val="00764311"/>
    <w:rsid w:val="007644D5"/>
    <w:rsid w:val="0076456B"/>
    <w:rsid w:val="0076462E"/>
    <w:rsid w:val="00764641"/>
    <w:rsid w:val="00764646"/>
    <w:rsid w:val="0076466D"/>
    <w:rsid w:val="007648B2"/>
    <w:rsid w:val="00764BEE"/>
    <w:rsid w:val="007651BF"/>
    <w:rsid w:val="00765241"/>
    <w:rsid w:val="007653C7"/>
    <w:rsid w:val="0076540F"/>
    <w:rsid w:val="007657A4"/>
    <w:rsid w:val="0076583A"/>
    <w:rsid w:val="00765872"/>
    <w:rsid w:val="00765913"/>
    <w:rsid w:val="00765CD9"/>
    <w:rsid w:val="00765DE0"/>
    <w:rsid w:val="00765E3D"/>
    <w:rsid w:val="00765E4E"/>
    <w:rsid w:val="00765ED6"/>
    <w:rsid w:val="00765F64"/>
    <w:rsid w:val="00766033"/>
    <w:rsid w:val="0076604B"/>
    <w:rsid w:val="0076611A"/>
    <w:rsid w:val="00766731"/>
    <w:rsid w:val="007668A3"/>
    <w:rsid w:val="00766928"/>
    <w:rsid w:val="007669FB"/>
    <w:rsid w:val="00766CAC"/>
    <w:rsid w:val="00766E4C"/>
    <w:rsid w:val="00767342"/>
    <w:rsid w:val="007674BB"/>
    <w:rsid w:val="00767670"/>
    <w:rsid w:val="0076799D"/>
    <w:rsid w:val="00767B1E"/>
    <w:rsid w:val="00767C30"/>
    <w:rsid w:val="00767D9F"/>
    <w:rsid w:val="00767E20"/>
    <w:rsid w:val="00770077"/>
    <w:rsid w:val="007705E1"/>
    <w:rsid w:val="007706E7"/>
    <w:rsid w:val="0077092F"/>
    <w:rsid w:val="007709D2"/>
    <w:rsid w:val="00770B8A"/>
    <w:rsid w:val="00770B9D"/>
    <w:rsid w:val="00770DE3"/>
    <w:rsid w:val="00770E7F"/>
    <w:rsid w:val="0077109D"/>
    <w:rsid w:val="00771151"/>
    <w:rsid w:val="00771282"/>
    <w:rsid w:val="0077137A"/>
    <w:rsid w:val="00771477"/>
    <w:rsid w:val="0077154A"/>
    <w:rsid w:val="007717BC"/>
    <w:rsid w:val="007718CC"/>
    <w:rsid w:val="00771992"/>
    <w:rsid w:val="00771A12"/>
    <w:rsid w:val="00771AA3"/>
    <w:rsid w:val="00771B4C"/>
    <w:rsid w:val="00771CBB"/>
    <w:rsid w:val="00771CE4"/>
    <w:rsid w:val="0077205B"/>
    <w:rsid w:val="00772070"/>
    <w:rsid w:val="0077210A"/>
    <w:rsid w:val="0077255D"/>
    <w:rsid w:val="00772645"/>
    <w:rsid w:val="007726B7"/>
    <w:rsid w:val="007728E9"/>
    <w:rsid w:val="0077291C"/>
    <w:rsid w:val="00772E1D"/>
    <w:rsid w:val="00772E87"/>
    <w:rsid w:val="00772F16"/>
    <w:rsid w:val="0077306F"/>
    <w:rsid w:val="007730CB"/>
    <w:rsid w:val="00773132"/>
    <w:rsid w:val="0077317D"/>
    <w:rsid w:val="0077319B"/>
    <w:rsid w:val="00773203"/>
    <w:rsid w:val="00773209"/>
    <w:rsid w:val="0077327A"/>
    <w:rsid w:val="00773281"/>
    <w:rsid w:val="00773317"/>
    <w:rsid w:val="00773512"/>
    <w:rsid w:val="007737F6"/>
    <w:rsid w:val="007739A7"/>
    <w:rsid w:val="007739B6"/>
    <w:rsid w:val="007739E3"/>
    <w:rsid w:val="00773A4B"/>
    <w:rsid w:val="007741FC"/>
    <w:rsid w:val="00774529"/>
    <w:rsid w:val="00774801"/>
    <w:rsid w:val="00774842"/>
    <w:rsid w:val="007748FF"/>
    <w:rsid w:val="00774AB6"/>
    <w:rsid w:val="00774B03"/>
    <w:rsid w:val="00774D5D"/>
    <w:rsid w:val="0077505C"/>
    <w:rsid w:val="00775588"/>
    <w:rsid w:val="00775784"/>
    <w:rsid w:val="00775D0A"/>
    <w:rsid w:val="00775D7F"/>
    <w:rsid w:val="00775EAB"/>
    <w:rsid w:val="00775F95"/>
    <w:rsid w:val="00776030"/>
    <w:rsid w:val="007763C9"/>
    <w:rsid w:val="007765BA"/>
    <w:rsid w:val="00776811"/>
    <w:rsid w:val="00776AF4"/>
    <w:rsid w:val="00776D60"/>
    <w:rsid w:val="00777074"/>
    <w:rsid w:val="00777213"/>
    <w:rsid w:val="00777369"/>
    <w:rsid w:val="00777504"/>
    <w:rsid w:val="007777BC"/>
    <w:rsid w:val="00777AE7"/>
    <w:rsid w:val="00777B64"/>
    <w:rsid w:val="00777BEC"/>
    <w:rsid w:val="00777E86"/>
    <w:rsid w:val="007800EA"/>
    <w:rsid w:val="0078012D"/>
    <w:rsid w:val="0078023E"/>
    <w:rsid w:val="00780352"/>
    <w:rsid w:val="00780634"/>
    <w:rsid w:val="00780A0F"/>
    <w:rsid w:val="00780C0F"/>
    <w:rsid w:val="00780C9B"/>
    <w:rsid w:val="00780D55"/>
    <w:rsid w:val="00781A80"/>
    <w:rsid w:val="00781B18"/>
    <w:rsid w:val="00781DB2"/>
    <w:rsid w:val="007823AB"/>
    <w:rsid w:val="007823D6"/>
    <w:rsid w:val="007823E5"/>
    <w:rsid w:val="00782492"/>
    <w:rsid w:val="007824A3"/>
    <w:rsid w:val="00782627"/>
    <w:rsid w:val="007827B2"/>
    <w:rsid w:val="00782A02"/>
    <w:rsid w:val="00782EA2"/>
    <w:rsid w:val="00783309"/>
    <w:rsid w:val="00783441"/>
    <w:rsid w:val="0078360E"/>
    <w:rsid w:val="007837B4"/>
    <w:rsid w:val="0078396C"/>
    <w:rsid w:val="007839AE"/>
    <w:rsid w:val="00783BA9"/>
    <w:rsid w:val="00783C72"/>
    <w:rsid w:val="00783CB1"/>
    <w:rsid w:val="00784185"/>
    <w:rsid w:val="007842AD"/>
    <w:rsid w:val="007843B2"/>
    <w:rsid w:val="0078481B"/>
    <w:rsid w:val="00784884"/>
    <w:rsid w:val="007849BD"/>
    <w:rsid w:val="00784AB8"/>
    <w:rsid w:val="0078553D"/>
    <w:rsid w:val="007856E8"/>
    <w:rsid w:val="007857C2"/>
    <w:rsid w:val="007857DC"/>
    <w:rsid w:val="007859A0"/>
    <w:rsid w:val="00785C60"/>
    <w:rsid w:val="00785E1D"/>
    <w:rsid w:val="00785FF6"/>
    <w:rsid w:val="0078665A"/>
    <w:rsid w:val="0078677C"/>
    <w:rsid w:val="00786A41"/>
    <w:rsid w:val="00786F94"/>
    <w:rsid w:val="00786FD7"/>
    <w:rsid w:val="00787314"/>
    <w:rsid w:val="00787330"/>
    <w:rsid w:val="00787357"/>
    <w:rsid w:val="007879B4"/>
    <w:rsid w:val="00787BF8"/>
    <w:rsid w:val="00787F5D"/>
    <w:rsid w:val="00787F71"/>
    <w:rsid w:val="0079009C"/>
    <w:rsid w:val="007900D0"/>
    <w:rsid w:val="00790535"/>
    <w:rsid w:val="007906B6"/>
    <w:rsid w:val="00790D81"/>
    <w:rsid w:val="00790D93"/>
    <w:rsid w:val="00790E9C"/>
    <w:rsid w:val="007911EF"/>
    <w:rsid w:val="0079126A"/>
    <w:rsid w:val="0079139F"/>
    <w:rsid w:val="0079146A"/>
    <w:rsid w:val="00791518"/>
    <w:rsid w:val="007917EE"/>
    <w:rsid w:val="00791B4D"/>
    <w:rsid w:val="00792134"/>
    <w:rsid w:val="007924B6"/>
    <w:rsid w:val="007924CD"/>
    <w:rsid w:val="00792873"/>
    <w:rsid w:val="00792AC8"/>
    <w:rsid w:val="00792ACA"/>
    <w:rsid w:val="00792ADB"/>
    <w:rsid w:val="00792C51"/>
    <w:rsid w:val="00792C7F"/>
    <w:rsid w:val="00792EC6"/>
    <w:rsid w:val="007931BB"/>
    <w:rsid w:val="00793298"/>
    <w:rsid w:val="00793325"/>
    <w:rsid w:val="007933BC"/>
    <w:rsid w:val="00793531"/>
    <w:rsid w:val="00793810"/>
    <w:rsid w:val="0079385A"/>
    <w:rsid w:val="00793CF2"/>
    <w:rsid w:val="00793DED"/>
    <w:rsid w:val="00793E8A"/>
    <w:rsid w:val="00793F6B"/>
    <w:rsid w:val="00794178"/>
    <w:rsid w:val="00794405"/>
    <w:rsid w:val="007948C1"/>
    <w:rsid w:val="00794B53"/>
    <w:rsid w:val="00794C61"/>
    <w:rsid w:val="0079510A"/>
    <w:rsid w:val="0079527F"/>
    <w:rsid w:val="0079545D"/>
    <w:rsid w:val="007954E9"/>
    <w:rsid w:val="007954FA"/>
    <w:rsid w:val="0079577C"/>
    <w:rsid w:val="00795997"/>
    <w:rsid w:val="0079605B"/>
    <w:rsid w:val="007964BC"/>
    <w:rsid w:val="00796918"/>
    <w:rsid w:val="0079693D"/>
    <w:rsid w:val="007969C0"/>
    <w:rsid w:val="00796A28"/>
    <w:rsid w:val="00796A9E"/>
    <w:rsid w:val="00796D4E"/>
    <w:rsid w:val="00796D6E"/>
    <w:rsid w:val="00796EC7"/>
    <w:rsid w:val="00797443"/>
    <w:rsid w:val="00797557"/>
    <w:rsid w:val="00797C8F"/>
    <w:rsid w:val="00797D5D"/>
    <w:rsid w:val="00797DE0"/>
    <w:rsid w:val="007A0192"/>
    <w:rsid w:val="007A0197"/>
    <w:rsid w:val="007A025C"/>
    <w:rsid w:val="007A052A"/>
    <w:rsid w:val="007A05E6"/>
    <w:rsid w:val="007A0607"/>
    <w:rsid w:val="007A0777"/>
    <w:rsid w:val="007A0AB5"/>
    <w:rsid w:val="007A0DD6"/>
    <w:rsid w:val="007A0FE9"/>
    <w:rsid w:val="007A10C4"/>
    <w:rsid w:val="007A1132"/>
    <w:rsid w:val="007A12DF"/>
    <w:rsid w:val="007A16A6"/>
    <w:rsid w:val="007A1B62"/>
    <w:rsid w:val="007A1B78"/>
    <w:rsid w:val="007A1B9E"/>
    <w:rsid w:val="007A1CC2"/>
    <w:rsid w:val="007A1DCF"/>
    <w:rsid w:val="007A1DF5"/>
    <w:rsid w:val="007A20CB"/>
    <w:rsid w:val="007A211A"/>
    <w:rsid w:val="007A215E"/>
    <w:rsid w:val="007A2231"/>
    <w:rsid w:val="007A236B"/>
    <w:rsid w:val="007A2694"/>
    <w:rsid w:val="007A27AA"/>
    <w:rsid w:val="007A293D"/>
    <w:rsid w:val="007A2A5F"/>
    <w:rsid w:val="007A2A88"/>
    <w:rsid w:val="007A2F99"/>
    <w:rsid w:val="007A3106"/>
    <w:rsid w:val="007A33FE"/>
    <w:rsid w:val="007A3487"/>
    <w:rsid w:val="007A34E1"/>
    <w:rsid w:val="007A34EF"/>
    <w:rsid w:val="007A399E"/>
    <w:rsid w:val="007A3AC1"/>
    <w:rsid w:val="007A3B93"/>
    <w:rsid w:val="007A3C3B"/>
    <w:rsid w:val="007A3E3E"/>
    <w:rsid w:val="007A3F2A"/>
    <w:rsid w:val="007A3F76"/>
    <w:rsid w:val="007A3F90"/>
    <w:rsid w:val="007A40C8"/>
    <w:rsid w:val="007A426B"/>
    <w:rsid w:val="007A436A"/>
    <w:rsid w:val="007A485E"/>
    <w:rsid w:val="007A4DF3"/>
    <w:rsid w:val="007A4ED4"/>
    <w:rsid w:val="007A5093"/>
    <w:rsid w:val="007A50D0"/>
    <w:rsid w:val="007A51EA"/>
    <w:rsid w:val="007A523D"/>
    <w:rsid w:val="007A52FD"/>
    <w:rsid w:val="007A55C0"/>
    <w:rsid w:val="007A564B"/>
    <w:rsid w:val="007A5D13"/>
    <w:rsid w:val="007A5D7C"/>
    <w:rsid w:val="007A6566"/>
    <w:rsid w:val="007A65A2"/>
    <w:rsid w:val="007A6725"/>
    <w:rsid w:val="007A6801"/>
    <w:rsid w:val="007A6871"/>
    <w:rsid w:val="007A68A3"/>
    <w:rsid w:val="007A692A"/>
    <w:rsid w:val="007A6D4C"/>
    <w:rsid w:val="007A6DB2"/>
    <w:rsid w:val="007A6DB6"/>
    <w:rsid w:val="007A6DD1"/>
    <w:rsid w:val="007A6E28"/>
    <w:rsid w:val="007A6EE5"/>
    <w:rsid w:val="007A757E"/>
    <w:rsid w:val="007A77BA"/>
    <w:rsid w:val="007A77CF"/>
    <w:rsid w:val="007A7E0F"/>
    <w:rsid w:val="007B0402"/>
    <w:rsid w:val="007B0435"/>
    <w:rsid w:val="007B05CF"/>
    <w:rsid w:val="007B0BAF"/>
    <w:rsid w:val="007B0CA5"/>
    <w:rsid w:val="007B0E53"/>
    <w:rsid w:val="007B0F61"/>
    <w:rsid w:val="007B0FE1"/>
    <w:rsid w:val="007B1517"/>
    <w:rsid w:val="007B151F"/>
    <w:rsid w:val="007B155A"/>
    <w:rsid w:val="007B16E4"/>
    <w:rsid w:val="007B17F5"/>
    <w:rsid w:val="007B1BA1"/>
    <w:rsid w:val="007B2207"/>
    <w:rsid w:val="007B24C8"/>
    <w:rsid w:val="007B289F"/>
    <w:rsid w:val="007B2A14"/>
    <w:rsid w:val="007B2C50"/>
    <w:rsid w:val="007B2EF0"/>
    <w:rsid w:val="007B303D"/>
    <w:rsid w:val="007B3694"/>
    <w:rsid w:val="007B36D8"/>
    <w:rsid w:val="007B3783"/>
    <w:rsid w:val="007B3935"/>
    <w:rsid w:val="007B3BE5"/>
    <w:rsid w:val="007B3BFD"/>
    <w:rsid w:val="007B3EF1"/>
    <w:rsid w:val="007B4219"/>
    <w:rsid w:val="007B4398"/>
    <w:rsid w:val="007B44C7"/>
    <w:rsid w:val="007B4960"/>
    <w:rsid w:val="007B4B83"/>
    <w:rsid w:val="007B4ED7"/>
    <w:rsid w:val="007B50FC"/>
    <w:rsid w:val="007B5534"/>
    <w:rsid w:val="007B555A"/>
    <w:rsid w:val="007B56EC"/>
    <w:rsid w:val="007B57C8"/>
    <w:rsid w:val="007B5A52"/>
    <w:rsid w:val="007B5D20"/>
    <w:rsid w:val="007B5EB0"/>
    <w:rsid w:val="007B61D2"/>
    <w:rsid w:val="007B6322"/>
    <w:rsid w:val="007B6351"/>
    <w:rsid w:val="007B6526"/>
    <w:rsid w:val="007B6B50"/>
    <w:rsid w:val="007B6DD2"/>
    <w:rsid w:val="007B6FE9"/>
    <w:rsid w:val="007B718F"/>
    <w:rsid w:val="007B7306"/>
    <w:rsid w:val="007B7481"/>
    <w:rsid w:val="007B75B1"/>
    <w:rsid w:val="007B7879"/>
    <w:rsid w:val="007B7A7D"/>
    <w:rsid w:val="007C03ED"/>
    <w:rsid w:val="007C049B"/>
    <w:rsid w:val="007C04E4"/>
    <w:rsid w:val="007C0521"/>
    <w:rsid w:val="007C070A"/>
    <w:rsid w:val="007C107D"/>
    <w:rsid w:val="007C1571"/>
    <w:rsid w:val="007C186C"/>
    <w:rsid w:val="007C18D9"/>
    <w:rsid w:val="007C18E1"/>
    <w:rsid w:val="007C190A"/>
    <w:rsid w:val="007C1998"/>
    <w:rsid w:val="007C1A4C"/>
    <w:rsid w:val="007C1D5E"/>
    <w:rsid w:val="007C1D8B"/>
    <w:rsid w:val="007C2293"/>
    <w:rsid w:val="007C2763"/>
    <w:rsid w:val="007C2992"/>
    <w:rsid w:val="007C2CEE"/>
    <w:rsid w:val="007C3005"/>
    <w:rsid w:val="007C3101"/>
    <w:rsid w:val="007C358A"/>
    <w:rsid w:val="007C393F"/>
    <w:rsid w:val="007C3A4A"/>
    <w:rsid w:val="007C3CCB"/>
    <w:rsid w:val="007C3EB1"/>
    <w:rsid w:val="007C3F3C"/>
    <w:rsid w:val="007C3FCB"/>
    <w:rsid w:val="007C3FED"/>
    <w:rsid w:val="007C424F"/>
    <w:rsid w:val="007C4589"/>
    <w:rsid w:val="007C475B"/>
    <w:rsid w:val="007C48E5"/>
    <w:rsid w:val="007C4BF1"/>
    <w:rsid w:val="007C4C1D"/>
    <w:rsid w:val="007C4EB5"/>
    <w:rsid w:val="007C4FC5"/>
    <w:rsid w:val="007C502F"/>
    <w:rsid w:val="007C50CD"/>
    <w:rsid w:val="007C5267"/>
    <w:rsid w:val="007C55BD"/>
    <w:rsid w:val="007C56E6"/>
    <w:rsid w:val="007C5973"/>
    <w:rsid w:val="007C5ACF"/>
    <w:rsid w:val="007C5E6F"/>
    <w:rsid w:val="007C6083"/>
    <w:rsid w:val="007C6440"/>
    <w:rsid w:val="007C6563"/>
    <w:rsid w:val="007C67D4"/>
    <w:rsid w:val="007C684F"/>
    <w:rsid w:val="007C6BE5"/>
    <w:rsid w:val="007C6C13"/>
    <w:rsid w:val="007C6D58"/>
    <w:rsid w:val="007C6E11"/>
    <w:rsid w:val="007C6EE2"/>
    <w:rsid w:val="007C7075"/>
    <w:rsid w:val="007C71B8"/>
    <w:rsid w:val="007C7382"/>
    <w:rsid w:val="007C7AFE"/>
    <w:rsid w:val="007C7B4C"/>
    <w:rsid w:val="007C7BE8"/>
    <w:rsid w:val="007C7CE4"/>
    <w:rsid w:val="007C7F9E"/>
    <w:rsid w:val="007C7FA8"/>
    <w:rsid w:val="007D00FB"/>
    <w:rsid w:val="007D06C6"/>
    <w:rsid w:val="007D0991"/>
    <w:rsid w:val="007D0D9E"/>
    <w:rsid w:val="007D123A"/>
    <w:rsid w:val="007D125A"/>
    <w:rsid w:val="007D16BB"/>
    <w:rsid w:val="007D17FA"/>
    <w:rsid w:val="007D1AD8"/>
    <w:rsid w:val="007D1C7F"/>
    <w:rsid w:val="007D1D0C"/>
    <w:rsid w:val="007D211A"/>
    <w:rsid w:val="007D2482"/>
    <w:rsid w:val="007D2694"/>
    <w:rsid w:val="007D2735"/>
    <w:rsid w:val="007D2758"/>
    <w:rsid w:val="007D2B91"/>
    <w:rsid w:val="007D2BAD"/>
    <w:rsid w:val="007D2BAF"/>
    <w:rsid w:val="007D2BEB"/>
    <w:rsid w:val="007D2D4C"/>
    <w:rsid w:val="007D2D88"/>
    <w:rsid w:val="007D3008"/>
    <w:rsid w:val="007D326A"/>
    <w:rsid w:val="007D32C6"/>
    <w:rsid w:val="007D344D"/>
    <w:rsid w:val="007D36C7"/>
    <w:rsid w:val="007D387C"/>
    <w:rsid w:val="007D38F2"/>
    <w:rsid w:val="007D3D05"/>
    <w:rsid w:val="007D4102"/>
    <w:rsid w:val="007D41AA"/>
    <w:rsid w:val="007D4483"/>
    <w:rsid w:val="007D4670"/>
    <w:rsid w:val="007D48A8"/>
    <w:rsid w:val="007D4AAD"/>
    <w:rsid w:val="007D4AB8"/>
    <w:rsid w:val="007D4E1D"/>
    <w:rsid w:val="007D5071"/>
    <w:rsid w:val="007D5A0A"/>
    <w:rsid w:val="007D5D44"/>
    <w:rsid w:val="007D5FE8"/>
    <w:rsid w:val="007D65D9"/>
    <w:rsid w:val="007D6626"/>
    <w:rsid w:val="007D6BED"/>
    <w:rsid w:val="007D6CC4"/>
    <w:rsid w:val="007D6FE5"/>
    <w:rsid w:val="007D7146"/>
    <w:rsid w:val="007D7349"/>
    <w:rsid w:val="007D7515"/>
    <w:rsid w:val="007D7730"/>
    <w:rsid w:val="007D77BB"/>
    <w:rsid w:val="007D7C90"/>
    <w:rsid w:val="007D7CB1"/>
    <w:rsid w:val="007D7D49"/>
    <w:rsid w:val="007D7E43"/>
    <w:rsid w:val="007D7F62"/>
    <w:rsid w:val="007D7FD0"/>
    <w:rsid w:val="007E00CC"/>
    <w:rsid w:val="007E0743"/>
    <w:rsid w:val="007E105A"/>
    <w:rsid w:val="007E1354"/>
    <w:rsid w:val="007E13BE"/>
    <w:rsid w:val="007E1571"/>
    <w:rsid w:val="007E15E3"/>
    <w:rsid w:val="007E19C5"/>
    <w:rsid w:val="007E1A53"/>
    <w:rsid w:val="007E1B1C"/>
    <w:rsid w:val="007E1C0E"/>
    <w:rsid w:val="007E1C4E"/>
    <w:rsid w:val="007E1FE3"/>
    <w:rsid w:val="007E1FE4"/>
    <w:rsid w:val="007E20AD"/>
    <w:rsid w:val="007E2305"/>
    <w:rsid w:val="007E2347"/>
    <w:rsid w:val="007E25CD"/>
    <w:rsid w:val="007E27E6"/>
    <w:rsid w:val="007E3095"/>
    <w:rsid w:val="007E30C7"/>
    <w:rsid w:val="007E3310"/>
    <w:rsid w:val="007E368A"/>
    <w:rsid w:val="007E3724"/>
    <w:rsid w:val="007E406A"/>
    <w:rsid w:val="007E41F9"/>
    <w:rsid w:val="007E43A8"/>
    <w:rsid w:val="007E453B"/>
    <w:rsid w:val="007E47E5"/>
    <w:rsid w:val="007E4C73"/>
    <w:rsid w:val="007E4C7D"/>
    <w:rsid w:val="007E4E94"/>
    <w:rsid w:val="007E51F4"/>
    <w:rsid w:val="007E5538"/>
    <w:rsid w:val="007E5769"/>
    <w:rsid w:val="007E5803"/>
    <w:rsid w:val="007E5900"/>
    <w:rsid w:val="007E5B91"/>
    <w:rsid w:val="007E5D4A"/>
    <w:rsid w:val="007E5DBF"/>
    <w:rsid w:val="007E5F07"/>
    <w:rsid w:val="007E5F47"/>
    <w:rsid w:val="007E5F86"/>
    <w:rsid w:val="007E62F9"/>
    <w:rsid w:val="007E6457"/>
    <w:rsid w:val="007E6554"/>
    <w:rsid w:val="007E6E52"/>
    <w:rsid w:val="007E6FCA"/>
    <w:rsid w:val="007E70DF"/>
    <w:rsid w:val="007E746D"/>
    <w:rsid w:val="007E75E5"/>
    <w:rsid w:val="007E764D"/>
    <w:rsid w:val="007E76D2"/>
    <w:rsid w:val="007E76DD"/>
    <w:rsid w:val="007E796F"/>
    <w:rsid w:val="007E7BE4"/>
    <w:rsid w:val="007E7E95"/>
    <w:rsid w:val="007F01FF"/>
    <w:rsid w:val="007F0466"/>
    <w:rsid w:val="007F048D"/>
    <w:rsid w:val="007F085F"/>
    <w:rsid w:val="007F0AA3"/>
    <w:rsid w:val="007F0AB7"/>
    <w:rsid w:val="007F0BED"/>
    <w:rsid w:val="007F0D47"/>
    <w:rsid w:val="007F0E62"/>
    <w:rsid w:val="007F0F9B"/>
    <w:rsid w:val="007F1053"/>
    <w:rsid w:val="007F17BC"/>
    <w:rsid w:val="007F1A22"/>
    <w:rsid w:val="007F1BED"/>
    <w:rsid w:val="007F1D43"/>
    <w:rsid w:val="007F218A"/>
    <w:rsid w:val="007F2327"/>
    <w:rsid w:val="007F2474"/>
    <w:rsid w:val="007F27B4"/>
    <w:rsid w:val="007F27C4"/>
    <w:rsid w:val="007F27C8"/>
    <w:rsid w:val="007F28C3"/>
    <w:rsid w:val="007F2950"/>
    <w:rsid w:val="007F2A8A"/>
    <w:rsid w:val="007F2A8C"/>
    <w:rsid w:val="007F2AE3"/>
    <w:rsid w:val="007F2B76"/>
    <w:rsid w:val="007F2F9E"/>
    <w:rsid w:val="007F3167"/>
    <w:rsid w:val="007F33F5"/>
    <w:rsid w:val="007F38F6"/>
    <w:rsid w:val="007F3A1D"/>
    <w:rsid w:val="007F3BEF"/>
    <w:rsid w:val="007F3CF4"/>
    <w:rsid w:val="007F3D7B"/>
    <w:rsid w:val="007F3D81"/>
    <w:rsid w:val="007F409C"/>
    <w:rsid w:val="007F4245"/>
    <w:rsid w:val="007F445E"/>
    <w:rsid w:val="007F4613"/>
    <w:rsid w:val="007F47A3"/>
    <w:rsid w:val="007F4DCF"/>
    <w:rsid w:val="007F5019"/>
    <w:rsid w:val="007F51B8"/>
    <w:rsid w:val="007F54D4"/>
    <w:rsid w:val="007F57FD"/>
    <w:rsid w:val="007F59B7"/>
    <w:rsid w:val="007F5A18"/>
    <w:rsid w:val="007F5C0D"/>
    <w:rsid w:val="007F5D21"/>
    <w:rsid w:val="007F6314"/>
    <w:rsid w:val="007F65B4"/>
    <w:rsid w:val="007F6776"/>
    <w:rsid w:val="007F6926"/>
    <w:rsid w:val="007F6A36"/>
    <w:rsid w:val="007F6A83"/>
    <w:rsid w:val="007F6B7C"/>
    <w:rsid w:val="007F6E84"/>
    <w:rsid w:val="007F7313"/>
    <w:rsid w:val="007F75C2"/>
    <w:rsid w:val="007F770E"/>
    <w:rsid w:val="007F7896"/>
    <w:rsid w:val="007F78CB"/>
    <w:rsid w:val="007F7A1A"/>
    <w:rsid w:val="007F7AA9"/>
    <w:rsid w:val="007F7B85"/>
    <w:rsid w:val="007F7C84"/>
    <w:rsid w:val="00800ACA"/>
    <w:rsid w:val="00800BCF"/>
    <w:rsid w:val="00800C4D"/>
    <w:rsid w:val="00800E4D"/>
    <w:rsid w:val="00801047"/>
    <w:rsid w:val="008014B6"/>
    <w:rsid w:val="008017C9"/>
    <w:rsid w:val="008019C1"/>
    <w:rsid w:val="00801B15"/>
    <w:rsid w:val="00801D9F"/>
    <w:rsid w:val="00802130"/>
    <w:rsid w:val="008021DA"/>
    <w:rsid w:val="00802388"/>
    <w:rsid w:val="008024C1"/>
    <w:rsid w:val="00802A53"/>
    <w:rsid w:val="00802AA9"/>
    <w:rsid w:val="00802D97"/>
    <w:rsid w:val="0080303E"/>
    <w:rsid w:val="008030CC"/>
    <w:rsid w:val="00803115"/>
    <w:rsid w:val="00803224"/>
    <w:rsid w:val="0080340C"/>
    <w:rsid w:val="00803565"/>
    <w:rsid w:val="00803990"/>
    <w:rsid w:val="00803A2A"/>
    <w:rsid w:val="00803B32"/>
    <w:rsid w:val="00803FAF"/>
    <w:rsid w:val="00803FC6"/>
    <w:rsid w:val="00804012"/>
    <w:rsid w:val="00804091"/>
    <w:rsid w:val="0080414B"/>
    <w:rsid w:val="008047A2"/>
    <w:rsid w:val="008047AC"/>
    <w:rsid w:val="0080483C"/>
    <w:rsid w:val="008048DE"/>
    <w:rsid w:val="00804940"/>
    <w:rsid w:val="00804FC0"/>
    <w:rsid w:val="00805137"/>
    <w:rsid w:val="0080525F"/>
    <w:rsid w:val="008052F5"/>
    <w:rsid w:val="00805590"/>
    <w:rsid w:val="00805624"/>
    <w:rsid w:val="00805801"/>
    <w:rsid w:val="00805D50"/>
    <w:rsid w:val="00805DB0"/>
    <w:rsid w:val="00805E1A"/>
    <w:rsid w:val="00805E75"/>
    <w:rsid w:val="00805FE4"/>
    <w:rsid w:val="008061F1"/>
    <w:rsid w:val="00806356"/>
    <w:rsid w:val="0080637A"/>
    <w:rsid w:val="008063CC"/>
    <w:rsid w:val="00806529"/>
    <w:rsid w:val="008069E9"/>
    <w:rsid w:val="00806A8C"/>
    <w:rsid w:val="00806B59"/>
    <w:rsid w:val="00806CA3"/>
    <w:rsid w:val="00806D04"/>
    <w:rsid w:val="00806E8C"/>
    <w:rsid w:val="00806FC7"/>
    <w:rsid w:val="00806FD0"/>
    <w:rsid w:val="00807172"/>
    <w:rsid w:val="008071A1"/>
    <w:rsid w:val="0080725A"/>
    <w:rsid w:val="008073E0"/>
    <w:rsid w:val="00807691"/>
    <w:rsid w:val="00807847"/>
    <w:rsid w:val="00807859"/>
    <w:rsid w:val="00807894"/>
    <w:rsid w:val="00807AA3"/>
    <w:rsid w:val="00807C7E"/>
    <w:rsid w:val="00810096"/>
    <w:rsid w:val="008100AC"/>
    <w:rsid w:val="008100C1"/>
    <w:rsid w:val="0081014A"/>
    <w:rsid w:val="008105B7"/>
    <w:rsid w:val="008106C6"/>
    <w:rsid w:val="00810761"/>
    <w:rsid w:val="008108D8"/>
    <w:rsid w:val="00810920"/>
    <w:rsid w:val="00810C7A"/>
    <w:rsid w:val="00810CC3"/>
    <w:rsid w:val="00810DF9"/>
    <w:rsid w:val="00811025"/>
    <w:rsid w:val="00811079"/>
    <w:rsid w:val="00811424"/>
    <w:rsid w:val="0081150D"/>
    <w:rsid w:val="00811937"/>
    <w:rsid w:val="00811AEF"/>
    <w:rsid w:val="00811CB1"/>
    <w:rsid w:val="00811F36"/>
    <w:rsid w:val="00812483"/>
    <w:rsid w:val="00812504"/>
    <w:rsid w:val="00812617"/>
    <w:rsid w:val="0081274E"/>
    <w:rsid w:val="008128AE"/>
    <w:rsid w:val="00812A7C"/>
    <w:rsid w:val="00812A95"/>
    <w:rsid w:val="00812AAB"/>
    <w:rsid w:val="00812D03"/>
    <w:rsid w:val="00812EF9"/>
    <w:rsid w:val="008130EF"/>
    <w:rsid w:val="008133EB"/>
    <w:rsid w:val="00813661"/>
    <w:rsid w:val="008137D5"/>
    <w:rsid w:val="008138A6"/>
    <w:rsid w:val="008138DD"/>
    <w:rsid w:val="00813D0C"/>
    <w:rsid w:val="00813E5C"/>
    <w:rsid w:val="0081440D"/>
    <w:rsid w:val="008145A1"/>
    <w:rsid w:val="0081490E"/>
    <w:rsid w:val="00814973"/>
    <w:rsid w:val="00814B16"/>
    <w:rsid w:val="00814B70"/>
    <w:rsid w:val="00814DFA"/>
    <w:rsid w:val="00815263"/>
    <w:rsid w:val="008153B8"/>
    <w:rsid w:val="0081548A"/>
    <w:rsid w:val="008154FA"/>
    <w:rsid w:val="0081579D"/>
    <w:rsid w:val="00815894"/>
    <w:rsid w:val="00815A35"/>
    <w:rsid w:val="00815A8A"/>
    <w:rsid w:val="00815AB4"/>
    <w:rsid w:val="00815D88"/>
    <w:rsid w:val="00815E36"/>
    <w:rsid w:val="00816103"/>
    <w:rsid w:val="008162D1"/>
    <w:rsid w:val="008169AB"/>
    <w:rsid w:val="00816CA5"/>
    <w:rsid w:val="00816CA6"/>
    <w:rsid w:val="0081732C"/>
    <w:rsid w:val="008175B8"/>
    <w:rsid w:val="00817A28"/>
    <w:rsid w:val="00817B3E"/>
    <w:rsid w:val="00817CC7"/>
    <w:rsid w:val="00817DCF"/>
    <w:rsid w:val="0082029A"/>
    <w:rsid w:val="008203B6"/>
    <w:rsid w:val="0082054A"/>
    <w:rsid w:val="00820655"/>
    <w:rsid w:val="008209F6"/>
    <w:rsid w:val="00820EF9"/>
    <w:rsid w:val="008212A6"/>
    <w:rsid w:val="0082140F"/>
    <w:rsid w:val="0082174D"/>
    <w:rsid w:val="00821764"/>
    <w:rsid w:val="0082182A"/>
    <w:rsid w:val="00821982"/>
    <w:rsid w:val="00821A1F"/>
    <w:rsid w:val="00821E5A"/>
    <w:rsid w:val="00821F72"/>
    <w:rsid w:val="00822319"/>
    <w:rsid w:val="008227DC"/>
    <w:rsid w:val="00822B4C"/>
    <w:rsid w:val="00822C26"/>
    <w:rsid w:val="00822C5E"/>
    <w:rsid w:val="00822C93"/>
    <w:rsid w:val="00822DFF"/>
    <w:rsid w:val="008231BF"/>
    <w:rsid w:val="008231FB"/>
    <w:rsid w:val="0082338B"/>
    <w:rsid w:val="00823395"/>
    <w:rsid w:val="00823527"/>
    <w:rsid w:val="00823676"/>
    <w:rsid w:val="008237AA"/>
    <w:rsid w:val="008238AB"/>
    <w:rsid w:val="00823C7C"/>
    <w:rsid w:val="00824267"/>
    <w:rsid w:val="00824496"/>
    <w:rsid w:val="00824734"/>
    <w:rsid w:val="00824776"/>
    <w:rsid w:val="008248AB"/>
    <w:rsid w:val="00824901"/>
    <w:rsid w:val="00824A84"/>
    <w:rsid w:val="00824D91"/>
    <w:rsid w:val="00824F95"/>
    <w:rsid w:val="008250CE"/>
    <w:rsid w:val="00825364"/>
    <w:rsid w:val="008254BC"/>
    <w:rsid w:val="00825803"/>
    <w:rsid w:val="0082583D"/>
    <w:rsid w:val="00825B42"/>
    <w:rsid w:val="00825BA5"/>
    <w:rsid w:val="00825C7C"/>
    <w:rsid w:val="00825F0D"/>
    <w:rsid w:val="0082615A"/>
    <w:rsid w:val="008262AE"/>
    <w:rsid w:val="008265F5"/>
    <w:rsid w:val="008269D4"/>
    <w:rsid w:val="00826B9E"/>
    <w:rsid w:val="00826DAB"/>
    <w:rsid w:val="00826E75"/>
    <w:rsid w:val="00826EB3"/>
    <w:rsid w:val="00827027"/>
    <w:rsid w:val="008270D0"/>
    <w:rsid w:val="0082710C"/>
    <w:rsid w:val="0082716B"/>
    <w:rsid w:val="0082718C"/>
    <w:rsid w:val="00827309"/>
    <w:rsid w:val="00827803"/>
    <w:rsid w:val="00827906"/>
    <w:rsid w:val="00827AEC"/>
    <w:rsid w:val="00827B78"/>
    <w:rsid w:val="00827C60"/>
    <w:rsid w:val="00827D17"/>
    <w:rsid w:val="00827D26"/>
    <w:rsid w:val="00827D91"/>
    <w:rsid w:val="00827DF2"/>
    <w:rsid w:val="00827E3E"/>
    <w:rsid w:val="00827E7B"/>
    <w:rsid w:val="00827F81"/>
    <w:rsid w:val="00830515"/>
    <w:rsid w:val="00830536"/>
    <w:rsid w:val="008305CE"/>
    <w:rsid w:val="008307DB"/>
    <w:rsid w:val="00830AA0"/>
    <w:rsid w:val="00830CB6"/>
    <w:rsid w:val="00830EF1"/>
    <w:rsid w:val="00831023"/>
    <w:rsid w:val="0083105B"/>
    <w:rsid w:val="008314CA"/>
    <w:rsid w:val="0083192B"/>
    <w:rsid w:val="00831CE9"/>
    <w:rsid w:val="00831F77"/>
    <w:rsid w:val="00832290"/>
    <w:rsid w:val="008322F8"/>
    <w:rsid w:val="00832308"/>
    <w:rsid w:val="00832376"/>
    <w:rsid w:val="00832401"/>
    <w:rsid w:val="0083251F"/>
    <w:rsid w:val="00832536"/>
    <w:rsid w:val="008325A3"/>
    <w:rsid w:val="008325D1"/>
    <w:rsid w:val="008327F2"/>
    <w:rsid w:val="00832C4E"/>
    <w:rsid w:val="008331FF"/>
    <w:rsid w:val="00833378"/>
    <w:rsid w:val="00833387"/>
    <w:rsid w:val="0083340E"/>
    <w:rsid w:val="00833510"/>
    <w:rsid w:val="00833521"/>
    <w:rsid w:val="0083380F"/>
    <w:rsid w:val="008338F6"/>
    <w:rsid w:val="00833AE4"/>
    <w:rsid w:val="00833B2D"/>
    <w:rsid w:val="00833D99"/>
    <w:rsid w:val="00833FFF"/>
    <w:rsid w:val="0083407A"/>
    <w:rsid w:val="00834733"/>
    <w:rsid w:val="00834874"/>
    <w:rsid w:val="00834995"/>
    <w:rsid w:val="00834C0C"/>
    <w:rsid w:val="00834E40"/>
    <w:rsid w:val="00834FC5"/>
    <w:rsid w:val="00835092"/>
    <w:rsid w:val="008350E2"/>
    <w:rsid w:val="008353E9"/>
    <w:rsid w:val="00835569"/>
    <w:rsid w:val="008357BB"/>
    <w:rsid w:val="008357E8"/>
    <w:rsid w:val="0083598A"/>
    <w:rsid w:val="00835AA1"/>
    <w:rsid w:val="00835C44"/>
    <w:rsid w:val="00835E36"/>
    <w:rsid w:val="00835EE0"/>
    <w:rsid w:val="00835FE6"/>
    <w:rsid w:val="00836093"/>
    <w:rsid w:val="008360CA"/>
    <w:rsid w:val="00836313"/>
    <w:rsid w:val="008365BD"/>
    <w:rsid w:val="00836799"/>
    <w:rsid w:val="00836837"/>
    <w:rsid w:val="00836AA7"/>
    <w:rsid w:val="00836B32"/>
    <w:rsid w:val="00836C86"/>
    <w:rsid w:val="00836CFE"/>
    <w:rsid w:val="00836ED3"/>
    <w:rsid w:val="0083700B"/>
    <w:rsid w:val="0083708E"/>
    <w:rsid w:val="008372B3"/>
    <w:rsid w:val="00837315"/>
    <w:rsid w:val="00837A97"/>
    <w:rsid w:val="00837AD3"/>
    <w:rsid w:val="00837C72"/>
    <w:rsid w:val="00840245"/>
    <w:rsid w:val="00840A8C"/>
    <w:rsid w:val="00840B11"/>
    <w:rsid w:val="00840CE5"/>
    <w:rsid w:val="00840D6A"/>
    <w:rsid w:val="00840DF6"/>
    <w:rsid w:val="00841011"/>
    <w:rsid w:val="00841115"/>
    <w:rsid w:val="00841412"/>
    <w:rsid w:val="008415E7"/>
    <w:rsid w:val="0084178A"/>
    <w:rsid w:val="00841B5A"/>
    <w:rsid w:val="00841BDE"/>
    <w:rsid w:val="00841D8E"/>
    <w:rsid w:val="00841E5F"/>
    <w:rsid w:val="00841EF3"/>
    <w:rsid w:val="008420B5"/>
    <w:rsid w:val="0084219E"/>
    <w:rsid w:val="00842422"/>
    <w:rsid w:val="00842557"/>
    <w:rsid w:val="008425C0"/>
    <w:rsid w:val="0084268B"/>
    <w:rsid w:val="008426DA"/>
    <w:rsid w:val="00842BF0"/>
    <w:rsid w:val="008438E6"/>
    <w:rsid w:val="00843BF9"/>
    <w:rsid w:val="00843CCD"/>
    <w:rsid w:val="00843D89"/>
    <w:rsid w:val="00843EF2"/>
    <w:rsid w:val="00844209"/>
    <w:rsid w:val="008444B8"/>
    <w:rsid w:val="00844542"/>
    <w:rsid w:val="0084484B"/>
    <w:rsid w:val="00844DEE"/>
    <w:rsid w:val="00844F16"/>
    <w:rsid w:val="00844FF5"/>
    <w:rsid w:val="00845132"/>
    <w:rsid w:val="008453BE"/>
    <w:rsid w:val="00845468"/>
    <w:rsid w:val="008454AB"/>
    <w:rsid w:val="0084550B"/>
    <w:rsid w:val="00845538"/>
    <w:rsid w:val="0084562A"/>
    <w:rsid w:val="008458C5"/>
    <w:rsid w:val="00845C5A"/>
    <w:rsid w:val="00845E2E"/>
    <w:rsid w:val="008461D5"/>
    <w:rsid w:val="00846330"/>
    <w:rsid w:val="008463D8"/>
    <w:rsid w:val="008464A3"/>
    <w:rsid w:val="00846F80"/>
    <w:rsid w:val="0084718E"/>
    <w:rsid w:val="008472E5"/>
    <w:rsid w:val="008473AE"/>
    <w:rsid w:val="008475B6"/>
    <w:rsid w:val="00847749"/>
    <w:rsid w:val="008479C1"/>
    <w:rsid w:val="00847BBB"/>
    <w:rsid w:val="00847DA7"/>
    <w:rsid w:val="00847DD0"/>
    <w:rsid w:val="00847F7F"/>
    <w:rsid w:val="00850173"/>
    <w:rsid w:val="008505C1"/>
    <w:rsid w:val="008505C6"/>
    <w:rsid w:val="0085061E"/>
    <w:rsid w:val="00850702"/>
    <w:rsid w:val="0085081F"/>
    <w:rsid w:val="00850834"/>
    <w:rsid w:val="00850977"/>
    <w:rsid w:val="00850B67"/>
    <w:rsid w:val="00850C68"/>
    <w:rsid w:val="00850CAE"/>
    <w:rsid w:val="00850D23"/>
    <w:rsid w:val="00851090"/>
    <w:rsid w:val="0085117A"/>
    <w:rsid w:val="0085122B"/>
    <w:rsid w:val="00851287"/>
    <w:rsid w:val="008512F3"/>
    <w:rsid w:val="0085141B"/>
    <w:rsid w:val="0085182F"/>
    <w:rsid w:val="0085185E"/>
    <w:rsid w:val="00851869"/>
    <w:rsid w:val="00851985"/>
    <w:rsid w:val="00851B0C"/>
    <w:rsid w:val="00851B4D"/>
    <w:rsid w:val="00851CFA"/>
    <w:rsid w:val="00851D28"/>
    <w:rsid w:val="00851D9A"/>
    <w:rsid w:val="00851DC0"/>
    <w:rsid w:val="00851E4C"/>
    <w:rsid w:val="00851E59"/>
    <w:rsid w:val="00852116"/>
    <w:rsid w:val="008521C3"/>
    <w:rsid w:val="00852238"/>
    <w:rsid w:val="008522C0"/>
    <w:rsid w:val="00852301"/>
    <w:rsid w:val="00852491"/>
    <w:rsid w:val="008530E3"/>
    <w:rsid w:val="008530F2"/>
    <w:rsid w:val="00853657"/>
    <w:rsid w:val="008539C4"/>
    <w:rsid w:val="008539EE"/>
    <w:rsid w:val="00853A93"/>
    <w:rsid w:val="00853C85"/>
    <w:rsid w:val="00853DB7"/>
    <w:rsid w:val="00853EA0"/>
    <w:rsid w:val="00853F09"/>
    <w:rsid w:val="0085429F"/>
    <w:rsid w:val="008542F5"/>
    <w:rsid w:val="00854949"/>
    <w:rsid w:val="00854C67"/>
    <w:rsid w:val="00854D20"/>
    <w:rsid w:val="0085501B"/>
    <w:rsid w:val="00855086"/>
    <w:rsid w:val="008550B0"/>
    <w:rsid w:val="00855189"/>
    <w:rsid w:val="008551EA"/>
    <w:rsid w:val="0085525C"/>
    <w:rsid w:val="0085529E"/>
    <w:rsid w:val="00855633"/>
    <w:rsid w:val="008556B9"/>
    <w:rsid w:val="008557E4"/>
    <w:rsid w:val="00855B17"/>
    <w:rsid w:val="00855B6F"/>
    <w:rsid w:val="00855BFC"/>
    <w:rsid w:val="00855C42"/>
    <w:rsid w:val="00855D89"/>
    <w:rsid w:val="008562FE"/>
    <w:rsid w:val="00856524"/>
    <w:rsid w:val="008568E0"/>
    <w:rsid w:val="00856956"/>
    <w:rsid w:val="0085716F"/>
    <w:rsid w:val="008573DE"/>
    <w:rsid w:val="008574D2"/>
    <w:rsid w:val="00857553"/>
    <w:rsid w:val="008577BA"/>
    <w:rsid w:val="0085782F"/>
    <w:rsid w:val="00857ABC"/>
    <w:rsid w:val="00857B7A"/>
    <w:rsid w:val="00857B82"/>
    <w:rsid w:val="00857BA3"/>
    <w:rsid w:val="00857CCC"/>
    <w:rsid w:val="00857E95"/>
    <w:rsid w:val="0086014F"/>
    <w:rsid w:val="00860457"/>
    <w:rsid w:val="0086073A"/>
    <w:rsid w:val="00860860"/>
    <w:rsid w:val="00860AAA"/>
    <w:rsid w:val="00860AE4"/>
    <w:rsid w:val="00860C00"/>
    <w:rsid w:val="008610AC"/>
    <w:rsid w:val="0086167A"/>
    <w:rsid w:val="00861980"/>
    <w:rsid w:val="00861A12"/>
    <w:rsid w:val="00861B5F"/>
    <w:rsid w:val="00861D15"/>
    <w:rsid w:val="00861D4C"/>
    <w:rsid w:val="00861E2B"/>
    <w:rsid w:val="008622F6"/>
    <w:rsid w:val="00862506"/>
    <w:rsid w:val="008626F5"/>
    <w:rsid w:val="00862772"/>
    <w:rsid w:val="008628DD"/>
    <w:rsid w:val="00862AE2"/>
    <w:rsid w:val="00862BA7"/>
    <w:rsid w:val="00862E29"/>
    <w:rsid w:val="00862EA0"/>
    <w:rsid w:val="008631C3"/>
    <w:rsid w:val="008631FD"/>
    <w:rsid w:val="00863237"/>
    <w:rsid w:val="00863356"/>
    <w:rsid w:val="00863544"/>
    <w:rsid w:val="008637C9"/>
    <w:rsid w:val="0086380E"/>
    <w:rsid w:val="00863D8B"/>
    <w:rsid w:val="00863E2A"/>
    <w:rsid w:val="00863E8C"/>
    <w:rsid w:val="0086419C"/>
    <w:rsid w:val="008643E3"/>
    <w:rsid w:val="00864560"/>
    <w:rsid w:val="008645C3"/>
    <w:rsid w:val="00864652"/>
    <w:rsid w:val="008647D1"/>
    <w:rsid w:val="00864841"/>
    <w:rsid w:val="008648FF"/>
    <w:rsid w:val="00864A4F"/>
    <w:rsid w:val="00864E53"/>
    <w:rsid w:val="00864E9A"/>
    <w:rsid w:val="00864EB4"/>
    <w:rsid w:val="00864F84"/>
    <w:rsid w:val="008651AC"/>
    <w:rsid w:val="0086535E"/>
    <w:rsid w:val="008653F6"/>
    <w:rsid w:val="00865959"/>
    <w:rsid w:val="00865998"/>
    <w:rsid w:val="00865D48"/>
    <w:rsid w:val="00866006"/>
    <w:rsid w:val="0086609D"/>
    <w:rsid w:val="0086613E"/>
    <w:rsid w:val="0086617C"/>
    <w:rsid w:val="00866269"/>
    <w:rsid w:val="0086633B"/>
    <w:rsid w:val="00866375"/>
    <w:rsid w:val="00866535"/>
    <w:rsid w:val="0086670E"/>
    <w:rsid w:val="00866C83"/>
    <w:rsid w:val="00866D71"/>
    <w:rsid w:val="00866EA3"/>
    <w:rsid w:val="008671DA"/>
    <w:rsid w:val="008671E4"/>
    <w:rsid w:val="00867731"/>
    <w:rsid w:val="008677B1"/>
    <w:rsid w:val="00867D96"/>
    <w:rsid w:val="00867E28"/>
    <w:rsid w:val="00867F58"/>
    <w:rsid w:val="00870421"/>
    <w:rsid w:val="00870541"/>
    <w:rsid w:val="0087066F"/>
    <w:rsid w:val="0087070F"/>
    <w:rsid w:val="008707ED"/>
    <w:rsid w:val="008708C7"/>
    <w:rsid w:val="008709C1"/>
    <w:rsid w:val="00870E2E"/>
    <w:rsid w:val="00870E46"/>
    <w:rsid w:val="00871330"/>
    <w:rsid w:val="00871347"/>
    <w:rsid w:val="00871393"/>
    <w:rsid w:val="0087146B"/>
    <w:rsid w:val="0087148F"/>
    <w:rsid w:val="008714E3"/>
    <w:rsid w:val="00871899"/>
    <w:rsid w:val="00871AD3"/>
    <w:rsid w:val="00871B02"/>
    <w:rsid w:val="00871B39"/>
    <w:rsid w:val="00871C44"/>
    <w:rsid w:val="00872075"/>
    <w:rsid w:val="00872293"/>
    <w:rsid w:val="00872332"/>
    <w:rsid w:val="0087249A"/>
    <w:rsid w:val="008725A2"/>
    <w:rsid w:val="008726DA"/>
    <w:rsid w:val="008727A2"/>
    <w:rsid w:val="008728B4"/>
    <w:rsid w:val="00872931"/>
    <w:rsid w:val="00872A85"/>
    <w:rsid w:val="00872CCE"/>
    <w:rsid w:val="00873205"/>
    <w:rsid w:val="00873436"/>
    <w:rsid w:val="008734BF"/>
    <w:rsid w:val="008736F8"/>
    <w:rsid w:val="00873713"/>
    <w:rsid w:val="0087387B"/>
    <w:rsid w:val="008738CF"/>
    <w:rsid w:val="00873A40"/>
    <w:rsid w:val="00873A89"/>
    <w:rsid w:val="0087417D"/>
    <w:rsid w:val="008741A9"/>
    <w:rsid w:val="0087428A"/>
    <w:rsid w:val="008744DF"/>
    <w:rsid w:val="00874664"/>
    <w:rsid w:val="0087498B"/>
    <w:rsid w:val="00874B22"/>
    <w:rsid w:val="00874F9A"/>
    <w:rsid w:val="00875228"/>
    <w:rsid w:val="008753DA"/>
    <w:rsid w:val="008754B8"/>
    <w:rsid w:val="008754D6"/>
    <w:rsid w:val="00875D6A"/>
    <w:rsid w:val="00875D95"/>
    <w:rsid w:val="00876898"/>
    <w:rsid w:val="00876CF4"/>
    <w:rsid w:val="00876EBB"/>
    <w:rsid w:val="0087723E"/>
    <w:rsid w:val="00877370"/>
    <w:rsid w:val="008774E7"/>
    <w:rsid w:val="0087772D"/>
    <w:rsid w:val="00877882"/>
    <w:rsid w:val="00877A36"/>
    <w:rsid w:val="00877B8E"/>
    <w:rsid w:val="00877D35"/>
    <w:rsid w:val="00877F0C"/>
    <w:rsid w:val="00877FF2"/>
    <w:rsid w:val="00880141"/>
    <w:rsid w:val="008801FC"/>
    <w:rsid w:val="00880218"/>
    <w:rsid w:val="008805D1"/>
    <w:rsid w:val="00880702"/>
    <w:rsid w:val="0088098A"/>
    <w:rsid w:val="00880CC7"/>
    <w:rsid w:val="00880E05"/>
    <w:rsid w:val="00880E59"/>
    <w:rsid w:val="008812A8"/>
    <w:rsid w:val="00881697"/>
    <w:rsid w:val="00881AE4"/>
    <w:rsid w:val="00881B17"/>
    <w:rsid w:val="00881D44"/>
    <w:rsid w:val="00881D4B"/>
    <w:rsid w:val="00881EB4"/>
    <w:rsid w:val="00882073"/>
    <w:rsid w:val="008822F2"/>
    <w:rsid w:val="00882312"/>
    <w:rsid w:val="008823BE"/>
    <w:rsid w:val="008825F1"/>
    <w:rsid w:val="0088263D"/>
    <w:rsid w:val="00882691"/>
    <w:rsid w:val="00882796"/>
    <w:rsid w:val="00882A40"/>
    <w:rsid w:val="00882B5E"/>
    <w:rsid w:val="00882BEB"/>
    <w:rsid w:val="00882DCF"/>
    <w:rsid w:val="00882E98"/>
    <w:rsid w:val="00883551"/>
    <w:rsid w:val="008835F6"/>
    <w:rsid w:val="0088370B"/>
    <w:rsid w:val="008838C8"/>
    <w:rsid w:val="008839AB"/>
    <w:rsid w:val="00883D17"/>
    <w:rsid w:val="00883EAB"/>
    <w:rsid w:val="00883EBD"/>
    <w:rsid w:val="00883EE0"/>
    <w:rsid w:val="00884377"/>
    <w:rsid w:val="00884463"/>
    <w:rsid w:val="008844C1"/>
    <w:rsid w:val="00884B40"/>
    <w:rsid w:val="00884F84"/>
    <w:rsid w:val="0088501B"/>
    <w:rsid w:val="00885158"/>
    <w:rsid w:val="008853C8"/>
    <w:rsid w:val="008854C8"/>
    <w:rsid w:val="00885782"/>
    <w:rsid w:val="008858CB"/>
    <w:rsid w:val="00885B2C"/>
    <w:rsid w:val="00885B2E"/>
    <w:rsid w:val="00885C8D"/>
    <w:rsid w:val="00885C92"/>
    <w:rsid w:val="008860F1"/>
    <w:rsid w:val="008860F3"/>
    <w:rsid w:val="0088664E"/>
    <w:rsid w:val="008867C9"/>
    <w:rsid w:val="0088684C"/>
    <w:rsid w:val="00886D46"/>
    <w:rsid w:val="00886DA4"/>
    <w:rsid w:val="00887218"/>
    <w:rsid w:val="0088740E"/>
    <w:rsid w:val="00887558"/>
    <w:rsid w:val="0088768E"/>
    <w:rsid w:val="008879A3"/>
    <w:rsid w:val="00887D9F"/>
    <w:rsid w:val="00887EC6"/>
    <w:rsid w:val="00887FA3"/>
    <w:rsid w:val="00890064"/>
    <w:rsid w:val="0089070C"/>
    <w:rsid w:val="0089090C"/>
    <w:rsid w:val="00890978"/>
    <w:rsid w:val="008910F8"/>
    <w:rsid w:val="008911D3"/>
    <w:rsid w:val="0089121F"/>
    <w:rsid w:val="00891229"/>
    <w:rsid w:val="00891230"/>
    <w:rsid w:val="008913E2"/>
    <w:rsid w:val="008914D7"/>
    <w:rsid w:val="008915B8"/>
    <w:rsid w:val="008917AE"/>
    <w:rsid w:val="008918D2"/>
    <w:rsid w:val="00891B11"/>
    <w:rsid w:val="00891E3B"/>
    <w:rsid w:val="0089213E"/>
    <w:rsid w:val="00892312"/>
    <w:rsid w:val="0089256D"/>
    <w:rsid w:val="0089258E"/>
    <w:rsid w:val="008925E5"/>
    <w:rsid w:val="008927DE"/>
    <w:rsid w:val="00892B4D"/>
    <w:rsid w:val="00892D99"/>
    <w:rsid w:val="00893085"/>
    <w:rsid w:val="00893143"/>
    <w:rsid w:val="008932F8"/>
    <w:rsid w:val="0089360D"/>
    <w:rsid w:val="0089362D"/>
    <w:rsid w:val="00893822"/>
    <w:rsid w:val="00893835"/>
    <w:rsid w:val="008938CC"/>
    <w:rsid w:val="00893CA5"/>
    <w:rsid w:val="00893E54"/>
    <w:rsid w:val="00893FD4"/>
    <w:rsid w:val="0089400E"/>
    <w:rsid w:val="00894067"/>
    <w:rsid w:val="00894353"/>
    <w:rsid w:val="00894D03"/>
    <w:rsid w:val="00894D42"/>
    <w:rsid w:val="00894E05"/>
    <w:rsid w:val="00894F2C"/>
    <w:rsid w:val="008951ED"/>
    <w:rsid w:val="00895272"/>
    <w:rsid w:val="00895279"/>
    <w:rsid w:val="00895519"/>
    <w:rsid w:val="008955C1"/>
    <w:rsid w:val="008956C7"/>
    <w:rsid w:val="00895B99"/>
    <w:rsid w:val="00895E42"/>
    <w:rsid w:val="00895E72"/>
    <w:rsid w:val="00896381"/>
    <w:rsid w:val="0089649A"/>
    <w:rsid w:val="008964EC"/>
    <w:rsid w:val="008967BD"/>
    <w:rsid w:val="00896889"/>
    <w:rsid w:val="00896D70"/>
    <w:rsid w:val="00896E87"/>
    <w:rsid w:val="00896EF2"/>
    <w:rsid w:val="00896F4C"/>
    <w:rsid w:val="00897594"/>
    <w:rsid w:val="0089769F"/>
    <w:rsid w:val="008977F1"/>
    <w:rsid w:val="00897B72"/>
    <w:rsid w:val="00897E21"/>
    <w:rsid w:val="008A0003"/>
    <w:rsid w:val="008A03EF"/>
    <w:rsid w:val="008A0995"/>
    <w:rsid w:val="008A0A80"/>
    <w:rsid w:val="008A0F42"/>
    <w:rsid w:val="008A11C3"/>
    <w:rsid w:val="008A13C2"/>
    <w:rsid w:val="008A157D"/>
    <w:rsid w:val="008A176B"/>
    <w:rsid w:val="008A182B"/>
    <w:rsid w:val="008A1842"/>
    <w:rsid w:val="008A18C6"/>
    <w:rsid w:val="008A1C24"/>
    <w:rsid w:val="008A1D5A"/>
    <w:rsid w:val="008A1EBE"/>
    <w:rsid w:val="008A1F5A"/>
    <w:rsid w:val="008A1FC0"/>
    <w:rsid w:val="008A212A"/>
    <w:rsid w:val="008A2459"/>
    <w:rsid w:val="008A2503"/>
    <w:rsid w:val="008A25DE"/>
    <w:rsid w:val="008A2618"/>
    <w:rsid w:val="008A2689"/>
    <w:rsid w:val="008A26FA"/>
    <w:rsid w:val="008A2902"/>
    <w:rsid w:val="008A2B11"/>
    <w:rsid w:val="008A305E"/>
    <w:rsid w:val="008A3644"/>
    <w:rsid w:val="008A364E"/>
    <w:rsid w:val="008A3766"/>
    <w:rsid w:val="008A40E3"/>
    <w:rsid w:val="008A41C2"/>
    <w:rsid w:val="008A4423"/>
    <w:rsid w:val="008A44E7"/>
    <w:rsid w:val="008A46F5"/>
    <w:rsid w:val="008A488F"/>
    <w:rsid w:val="008A48E2"/>
    <w:rsid w:val="008A4911"/>
    <w:rsid w:val="008A4A11"/>
    <w:rsid w:val="008A4ABF"/>
    <w:rsid w:val="008A4B15"/>
    <w:rsid w:val="008A4BB2"/>
    <w:rsid w:val="008A4D6C"/>
    <w:rsid w:val="008A502B"/>
    <w:rsid w:val="008A544B"/>
    <w:rsid w:val="008A55E9"/>
    <w:rsid w:val="008A56E8"/>
    <w:rsid w:val="008A5BAD"/>
    <w:rsid w:val="008A5BC6"/>
    <w:rsid w:val="008A619A"/>
    <w:rsid w:val="008A64DA"/>
    <w:rsid w:val="008A6653"/>
    <w:rsid w:val="008A6767"/>
    <w:rsid w:val="008A683D"/>
    <w:rsid w:val="008A68D7"/>
    <w:rsid w:val="008A6BB3"/>
    <w:rsid w:val="008A6C53"/>
    <w:rsid w:val="008A701D"/>
    <w:rsid w:val="008A7041"/>
    <w:rsid w:val="008A71E9"/>
    <w:rsid w:val="008A7207"/>
    <w:rsid w:val="008A7388"/>
    <w:rsid w:val="008A7BF6"/>
    <w:rsid w:val="008A7C1B"/>
    <w:rsid w:val="008A7FD4"/>
    <w:rsid w:val="008B0110"/>
    <w:rsid w:val="008B035C"/>
    <w:rsid w:val="008B04B9"/>
    <w:rsid w:val="008B0512"/>
    <w:rsid w:val="008B090F"/>
    <w:rsid w:val="008B0BE8"/>
    <w:rsid w:val="008B0DAE"/>
    <w:rsid w:val="008B0E08"/>
    <w:rsid w:val="008B0EC4"/>
    <w:rsid w:val="008B0FBA"/>
    <w:rsid w:val="008B121E"/>
    <w:rsid w:val="008B160A"/>
    <w:rsid w:val="008B1C48"/>
    <w:rsid w:val="008B1C9D"/>
    <w:rsid w:val="008B1CCE"/>
    <w:rsid w:val="008B1DFB"/>
    <w:rsid w:val="008B235E"/>
    <w:rsid w:val="008B2595"/>
    <w:rsid w:val="008B2703"/>
    <w:rsid w:val="008B27B9"/>
    <w:rsid w:val="008B2A57"/>
    <w:rsid w:val="008B2D01"/>
    <w:rsid w:val="008B2D7F"/>
    <w:rsid w:val="008B2F1C"/>
    <w:rsid w:val="008B2F31"/>
    <w:rsid w:val="008B2FD2"/>
    <w:rsid w:val="008B329D"/>
    <w:rsid w:val="008B340A"/>
    <w:rsid w:val="008B355F"/>
    <w:rsid w:val="008B39D4"/>
    <w:rsid w:val="008B3D3F"/>
    <w:rsid w:val="008B3DCB"/>
    <w:rsid w:val="008B3DCD"/>
    <w:rsid w:val="008B4019"/>
    <w:rsid w:val="008B42E9"/>
    <w:rsid w:val="008B4846"/>
    <w:rsid w:val="008B48A3"/>
    <w:rsid w:val="008B4999"/>
    <w:rsid w:val="008B49FD"/>
    <w:rsid w:val="008B4B4F"/>
    <w:rsid w:val="008B4B5C"/>
    <w:rsid w:val="008B5120"/>
    <w:rsid w:val="008B5194"/>
    <w:rsid w:val="008B5345"/>
    <w:rsid w:val="008B548C"/>
    <w:rsid w:val="008B5AD2"/>
    <w:rsid w:val="008B5CF0"/>
    <w:rsid w:val="008B5DAA"/>
    <w:rsid w:val="008B5E30"/>
    <w:rsid w:val="008B5F5F"/>
    <w:rsid w:val="008B61FB"/>
    <w:rsid w:val="008B6339"/>
    <w:rsid w:val="008B645F"/>
    <w:rsid w:val="008B656F"/>
    <w:rsid w:val="008B66FB"/>
    <w:rsid w:val="008B6920"/>
    <w:rsid w:val="008B6CB4"/>
    <w:rsid w:val="008B6EFA"/>
    <w:rsid w:val="008B6F26"/>
    <w:rsid w:val="008B6FA3"/>
    <w:rsid w:val="008B70AE"/>
    <w:rsid w:val="008B72D3"/>
    <w:rsid w:val="008B72EB"/>
    <w:rsid w:val="008B7408"/>
    <w:rsid w:val="008B77F9"/>
    <w:rsid w:val="008B78FC"/>
    <w:rsid w:val="008B7AE6"/>
    <w:rsid w:val="008B7F5A"/>
    <w:rsid w:val="008C0165"/>
    <w:rsid w:val="008C01A9"/>
    <w:rsid w:val="008C01EB"/>
    <w:rsid w:val="008C0533"/>
    <w:rsid w:val="008C0871"/>
    <w:rsid w:val="008C0C41"/>
    <w:rsid w:val="008C0EB2"/>
    <w:rsid w:val="008C0F1C"/>
    <w:rsid w:val="008C128B"/>
    <w:rsid w:val="008C1618"/>
    <w:rsid w:val="008C1632"/>
    <w:rsid w:val="008C169F"/>
    <w:rsid w:val="008C1859"/>
    <w:rsid w:val="008C18DB"/>
    <w:rsid w:val="008C1B34"/>
    <w:rsid w:val="008C1BEB"/>
    <w:rsid w:val="008C1D4E"/>
    <w:rsid w:val="008C1DE1"/>
    <w:rsid w:val="008C1EEA"/>
    <w:rsid w:val="008C2101"/>
    <w:rsid w:val="008C2173"/>
    <w:rsid w:val="008C218B"/>
    <w:rsid w:val="008C231E"/>
    <w:rsid w:val="008C2336"/>
    <w:rsid w:val="008C23D8"/>
    <w:rsid w:val="008C2470"/>
    <w:rsid w:val="008C24E1"/>
    <w:rsid w:val="008C24F6"/>
    <w:rsid w:val="008C2511"/>
    <w:rsid w:val="008C252E"/>
    <w:rsid w:val="008C25B9"/>
    <w:rsid w:val="008C2669"/>
    <w:rsid w:val="008C26F6"/>
    <w:rsid w:val="008C2D6A"/>
    <w:rsid w:val="008C3266"/>
    <w:rsid w:val="008C33D9"/>
    <w:rsid w:val="008C3463"/>
    <w:rsid w:val="008C3A0C"/>
    <w:rsid w:val="008C3A68"/>
    <w:rsid w:val="008C3ABB"/>
    <w:rsid w:val="008C3E58"/>
    <w:rsid w:val="008C3FC2"/>
    <w:rsid w:val="008C4094"/>
    <w:rsid w:val="008C4418"/>
    <w:rsid w:val="008C4481"/>
    <w:rsid w:val="008C490E"/>
    <w:rsid w:val="008C4948"/>
    <w:rsid w:val="008C49E4"/>
    <w:rsid w:val="008C49F8"/>
    <w:rsid w:val="008C4B4D"/>
    <w:rsid w:val="008C4BFA"/>
    <w:rsid w:val="008C506B"/>
    <w:rsid w:val="008C5121"/>
    <w:rsid w:val="008C51F1"/>
    <w:rsid w:val="008C57EE"/>
    <w:rsid w:val="008C5831"/>
    <w:rsid w:val="008C5C28"/>
    <w:rsid w:val="008C623D"/>
    <w:rsid w:val="008C62AA"/>
    <w:rsid w:val="008C641D"/>
    <w:rsid w:val="008C7397"/>
    <w:rsid w:val="008C7691"/>
    <w:rsid w:val="008C769C"/>
    <w:rsid w:val="008C76E8"/>
    <w:rsid w:val="008C782B"/>
    <w:rsid w:val="008C793B"/>
    <w:rsid w:val="008C7944"/>
    <w:rsid w:val="008C797C"/>
    <w:rsid w:val="008C7C73"/>
    <w:rsid w:val="008C7CB3"/>
    <w:rsid w:val="008D0010"/>
    <w:rsid w:val="008D0063"/>
    <w:rsid w:val="008D014E"/>
    <w:rsid w:val="008D01C6"/>
    <w:rsid w:val="008D0290"/>
    <w:rsid w:val="008D06EA"/>
    <w:rsid w:val="008D08BF"/>
    <w:rsid w:val="008D08C9"/>
    <w:rsid w:val="008D0CEC"/>
    <w:rsid w:val="008D10F3"/>
    <w:rsid w:val="008D1310"/>
    <w:rsid w:val="008D1727"/>
    <w:rsid w:val="008D18EE"/>
    <w:rsid w:val="008D19D5"/>
    <w:rsid w:val="008D1A43"/>
    <w:rsid w:val="008D1C0D"/>
    <w:rsid w:val="008D1CD6"/>
    <w:rsid w:val="008D1DD8"/>
    <w:rsid w:val="008D1E4E"/>
    <w:rsid w:val="008D1FCB"/>
    <w:rsid w:val="008D20A2"/>
    <w:rsid w:val="008D23CD"/>
    <w:rsid w:val="008D2596"/>
    <w:rsid w:val="008D2611"/>
    <w:rsid w:val="008D281A"/>
    <w:rsid w:val="008D2DC0"/>
    <w:rsid w:val="008D2FB7"/>
    <w:rsid w:val="008D302E"/>
    <w:rsid w:val="008D3050"/>
    <w:rsid w:val="008D3238"/>
    <w:rsid w:val="008D34C6"/>
    <w:rsid w:val="008D3582"/>
    <w:rsid w:val="008D3636"/>
    <w:rsid w:val="008D39A6"/>
    <w:rsid w:val="008D40D5"/>
    <w:rsid w:val="008D43BA"/>
    <w:rsid w:val="008D46C7"/>
    <w:rsid w:val="008D46CC"/>
    <w:rsid w:val="008D4CBB"/>
    <w:rsid w:val="008D503F"/>
    <w:rsid w:val="008D5278"/>
    <w:rsid w:val="008D53DB"/>
    <w:rsid w:val="008D545F"/>
    <w:rsid w:val="008D55A0"/>
    <w:rsid w:val="008D5805"/>
    <w:rsid w:val="008D580E"/>
    <w:rsid w:val="008D584A"/>
    <w:rsid w:val="008D587F"/>
    <w:rsid w:val="008D58FB"/>
    <w:rsid w:val="008D5A8C"/>
    <w:rsid w:val="008D5C65"/>
    <w:rsid w:val="008D5D40"/>
    <w:rsid w:val="008D5EDC"/>
    <w:rsid w:val="008D61E2"/>
    <w:rsid w:val="008D6293"/>
    <w:rsid w:val="008D647F"/>
    <w:rsid w:val="008D6660"/>
    <w:rsid w:val="008D6937"/>
    <w:rsid w:val="008D6A35"/>
    <w:rsid w:val="008D6B84"/>
    <w:rsid w:val="008D6CAD"/>
    <w:rsid w:val="008D6D47"/>
    <w:rsid w:val="008D6E40"/>
    <w:rsid w:val="008D6FD9"/>
    <w:rsid w:val="008D7023"/>
    <w:rsid w:val="008D7313"/>
    <w:rsid w:val="008D75FC"/>
    <w:rsid w:val="008D7623"/>
    <w:rsid w:val="008D7654"/>
    <w:rsid w:val="008D7C40"/>
    <w:rsid w:val="008D7C7E"/>
    <w:rsid w:val="008D7D16"/>
    <w:rsid w:val="008E018B"/>
    <w:rsid w:val="008E024B"/>
    <w:rsid w:val="008E06E8"/>
    <w:rsid w:val="008E0B50"/>
    <w:rsid w:val="008E0B7F"/>
    <w:rsid w:val="008E0BE3"/>
    <w:rsid w:val="008E0FF5"/>
    <w:rsid w:val="008E11D5"/>
    <w:rsid w:val="008E1504"/>
    <w:rsid w:val="008E15BE"/>
    <w:rsid w:val="008E165D"/>
    <w:rsid w:val="008E1961"/>
    <w:rsid w:val="008E1ABD"/>
    <w:rsid w:val="008E1DA7"/>
    <w:rsid w:val="008E1DFC"/>
    <w:rsid w:val="008E1F3B"/>
    <w:rsid w:val="008E2022"/>
    <w:rsid w:val="008E2187"/>
    <w:rsid w:val="008E230E"/>
    <w:rsid w:val="008E2656"/>
    <w:rsid w:val="008E2BE2"/>
    <w:rsid w:val="008E2C80"/>
    <w:rsid w:val="008E2E3B"/>
    <w:rsid w:val="008E2E78"/>
    <w:rsid w:val="008E333E"/>
    <w:rsid w:val="008E33A5"/>
    <w:rsid w:val="008E356F"/>
    <w:rsid w:val="008E38F6"/>
    <w:rsid w:val="008E3911"/>
    <w:rsid w:val="008E3C01"/>
    <w:rsid w:val="008E3FE7"/>
    <w:rsid w:val="008E447D"/>
    <w:rsid w:val="008E45DC"/>
    <w:rsid w:val="008E4665"/>
    <w:rsid w:val="008E468B"/>
    <w:rsid w:val="008E4A55"/>
    <w:rsid w:val="008E4CA7"/>
    <w:rsid w:val="008E4CFF"/>
    <w:rsid w:val="008E4E74"/>
    <w:rsid w:val="008E52AB"/>
    <w:rsid w:val="008E5420"/>
    <w:rsid w:val="008E5474"/>
    <w:rsid w:val="008E5684"/>
    <w:rsid w:val="008E5BEC"/>
    <w:rsid w:val="008E6038"/>
    <w:rsid w:val="008E6076"/>
    <w:rsid w:val="008E6610"/>
    <w:rsid w:val="008E6657"/>
    <w:rsid w:val="008E68C3"/>
    <w:rsid w:val="008E69CA"/>
    <w:rsid w:val="008E6AB8"/>
    <w:rsid w:val="008E6C70"/>
    <w:rsid w:val="008E6DBE"/>
    <w:rsid w:val="008E6E12"/>
    <w:rsid w:val="008E6EE0"/>
    <w:rsid w:val="008E6F3E"/>
    <w:rsid w:val="008E6F76"/>
    <w:rsid w:val="008E71FE"/>
    <w:rsid w:val="008E75CD"/>
    <w:rsid w:val="008E7698"/>
    <w:rsid w:val="008E7CAD"/>
    <w:rsid w:val="008F0173"/>
    <w:rsid w:val="008F0404"/>
    <w:rsid w:val="008F05BF"/>
    <w:rsid w:val="008F0E58"/>
    <w:rsid w:val="008F0F76"/>
    <w:rsid w:val="008F11DD"/>
    <w:rsid w:val="008F1526"/>
    <w:rsid w:val="008F1650"/>
    <w:rsid w:val="008F1795"/>
    <w:rsid w:val="008F1A7A"/>
    <w:rsid w:val="008F1A94"/>
    <w:rsid w:val="008F1B74"/>
    <w:rsid w:val="008F2026"/>
    <w:rsid w:val="008F252D"/>
    <w:rsid w:val="008F2719"/>
    <w:rsid w:val="008F2855"/>
    <w:rsid w:val="008F28F6"/>
    <w:rsid w:val="008F2A84"/>
    <w:rsid w:val="008F2BA5"/>
    <w:rsid w:val="008F2C10"/>
    <w:rsid w:val="008F2DCB"/>
    <w:rsid w:val="008F2F1B"/>
    <w:rsid w:val="008F30D0"/>
    <w:rsid w:val="008F3107"/>
    <w:rsid w:val="008F33F3"/>
    <w:rsid w:val="008F3728"/>
    <w:rsid w:val="008F3949"/>
    <w:rsid w:val="008F3A0C"/>
    <w:rsid w:val="008F3B2E"/>
    <w:rsid w:val="008F3B59"/>
    <w:rsid w:val="008F3C84"/>
    <w:rsid w:val="008F3E5F"/>
    <w:rsid w:val="008F404B"/>
    <w:rsid w:val="008F406F"/>
    <w:rsid w:val="008F407E"/>
    <w:rsid w:val="008F4194"/>
    <w:rsid w:val="008F4199"/>
    <w:rsid w:val="008F41B2"/>
    <w:rsid w:val="008F4262"/>
    <w:rsid w:val="008F45A4"/>
    <w:rsid w:val="008F45BB"/>
    <w:rsid w:val="008F460F"/>
    <w:rsid w:val="008F4771"/>
    <w:rsid w:val="008F4B8A"/>
    <w:rsid w:val="008F4CB1"/>
    <w:rsid w:val="008F4F4A"/>
    <w:rsid w:val="008F4F74"/>
    <w:rsid w:val="008F55F4"/>
    <w:rsid w:val="008F5673"/>
    <w:rsid w:val="008F577E"/>
    <w:rsid w:val="008F5935"/>
    <w:rsid w:val="008F59A1"/>
    <w:rsid w:val="008F5A22"/>
    <w:rsid w:val="008F5C81"/>
    <w:rsid w:val="008F634F"/>
    <w:rsid w:val="008F645C"/>
    <w:rsid w:val="008F64D1"/>
    <w:rsid w:val="008F65FA"/>
    <w:rsid w:val="008F682D"/>
    <w:rsid w:val="008F6B3C"/>
    <w:rsid w:val="008F6DA5"/>
    <w:rsid w:val="008F6F24"/>
    <w:rsid w:val="008F768C"/>
    <w:rsid w:val="008F78A7"/>
    <w:rsid w:val="008F796F"/>
    <w:rsid w:val="008F7BE0"/>
    <w:rsid w:val="008F7EBB"/>
    <w:rsid w:val="008F7F00"/>
    <w:rsid w:val="008F7F9D"/>
    <w:rsid w:val="0090017B"/>
    <w:rsid w:val="00900425"/>
    <w:rsid w:val="00900838"/>
    <w:rsid w:val="009008DE"/>
    <w:rsid w:val="00900C71"/>
    <w:rsid w:val="00900E2D"/>
    <w:rsid w:val="00900F79"/>
    <w:rsid w:val="00901112"/>
    <w:rsid w:val="009011B8"/>
    <w:rsid w:val="00901427"/>
    <w:rsid w:val="00901574"/>
    <w:rsid w:val="0090167F"/>
    <w:rsid w:val="00901C33"/>
    <w:rsid w:val="00901D92"/>
    <w:rsid w:val="00901F6D"/>
    <w:rsid w:val="00901F72"/>
    <w:rsid w:val="0090203F"/>
    <w:rsid w:val="009021DF"/>
    <w:rsid w:val="009022B4"/>
    <w:rsid w:val="0090245F"/>
    <w:rsid w:val="0090273F"/>
    <w:rsid w:val="00902BAF"/>
    <w:rsid w:val="00902D1E"/>
    <w:rsid w:val="00902EA2"/>
    <w:rsid w:val="00902F5A"/>
    <w:rsid w:val="00902FB7"/>
    <w:rsid w:val="00902FF0"/>
    <w:rsid w:val="00903469"/>
    <w:rsid w:val="009036F8"/>
    <w:rsid w:val="0090384B"/>
    <w:rsid w:val="00903876"/>
    <w:rsid w:val="00903BAB"/>
    <w:rsid w:val="00903E10"/>
    <w:rsid w:val="00904469"/>
    <w:rsid w:val="009045BC"/>
    <w:rsid w:val="00904812"/>
    <w:rsid w:val="00904E82"/>
    <w:rsid w:val="00905561"/>
    <w:rsid w:val="0090585C"/>
    <w:rsid w:val="009058E9"/>
    <w:rsid w:val="00905CFB"/>
    <w:rsid w:val="00905ED6"/>
    <w:rsid w:val="00905F8E"/>
    <w:rsid w:val="00906036"/>
    <w:rsid w:val="0090667A"/>
    <w:rsid w:val="0090695C"/>
    <w:rsid w:val="00906E2F"/>
    <w:rsid w:val="0090703E"/>
    <w:rsid w:val="0090706E"/>
    <w:rsid w:val="00907230"/>
    <w:rsid w:val="009075C6"/>
    <w:rsid w:val="009078E8"/>
    <w:rsid w:val="00907929"/>
    <w:rsid w:val="00907A48"/>
    <w:rsid w:val="00907B88"/>
    <w:rsid w:val="00907C43"/>
    <w:rsid w:val="00907CF5"/>
    <w:rsid w:val="00907D59"/>
    <w:rsid w:val="00910085"/>
    <w:rsid w:val="0091037D"/>
    <w:rsid w:val="00910661"/>
    <w:rsid w:val="00910768"/>
    <w:rsid w:val="009107B5"/>
    <w:rsid w:val="009107F1"/>
    <w:rsid w:val="00910829"/>
    <w:rsid w:val="00910B60"/>
    <w:rsid w:val="009113A2"/>
    <w:rsid w:val="00911602"/>
    <w:rsid w:val="0091187A"/>
    <w:rsid w:val="00911A0F"/>
    <w:rsid w:val="00911A52"/>
    <w:rsid w:val="00911B2D"/>
    <w:rsid w:val="00911B32"/>
    <w:rsid w:val="00911FCF"/>
    <w:rsid w:val="009127FD"/>
    <w:rsid w:val="009129FA"/>
    <w:rsid w:val="00912A41"/>
    <w:rsid w:val="00912BC2"/>
    <w:rsid w:val="00912C2D"/>
    <w:rsid w:val="00912DE7"/>
    <w:rsid w:val="00912E2E"/>
    <w:rsid w:val="00913263"/>
    <w:rsid w:val="009135A4"/>
    <w:rsid w:val="00913671"/>
    <w:rsid w:val="00913B8C"/>
    <w:rsid w:val="00913D0F"/>
    <w:rsid w:val="00913DF0"/>
    <w:rsid w:val="00914055"/>
    <w:rsid w:val="0091490D"/>
    <w:rsid w:val="00914B7F"/>
    <w:rsid w:val="00914F15"/>
    <w:rsid w:val="00914F2D"/>
    <w:rsid w:val="0091540B"/>
    <w:rsid w:val="009159BE"/>
    <w:rsid w:val="00915B7E"/>
    <w:rsid w:val="00915E75"/>
    <w:rsid w:val="00916355"/>
    <w:rsid w:val="009164E1"/>
    <w:rsid w:val="00916942"/>
    <w:rsid w:val="00916A4D"/>
    <w:rsid w:val="00916A54"/>
    <w:rsid w:val="00916BB1"/>
    <w:rsid w:val="00916C1C"/>
    <w:rsid w:val="00917147"/>
    <w:rsid w:val="00917421"/>
    <w:rsid w:val="0091742C"/>
    <w:rsid w:val="009177F9"/>
    <w:rsid w:val="00917B66"/>
    <w:rsid w:val="00917D53"/>
    <w:rsid w:val="00920157"/>
    <w:rsid w:val="0092057D"/>
    <w:rsid w:val="00920878"/>
    <w:rsid w:val="009209E6"/>
    <w:rsid w:val="00920B72"/>
    <w:rsid w:val="00920C7D"/>
    <w:rsid w:val="00921017"/>
    <w:rsid w:val="00921886"/>
    <w:rsid w:val="009219C5"/>
    <w:rsid w:val="00921A94"/>
    <w:rsid w:val="00921C43"/>
    <w:rsid w:val="00921E32"/>
    <w:rsid w:val="00921EDF"/>
    <w:rsid w:val="00921F31"/>
    <w:rsid w:val="00922025"/>
    <w:rsid w:val="009221B4"/>
    <w:rsid w:val="009224B8"/>
    <w:rsid w:val="009224F6"/>
    <w:rsid w:val="0092277D"/>
    <w:rsid w:val="009228AD"/>
    <w:rsid w:val="009229F3"/>
    <w:rsid w:val="00922ACD"/>
    <w:rsid w:val="00922E77"/>
    <w:rsid w:val="00922F3A"/>
    <w:rsid w:val="00923060"/>
    <w:rsid w:val="0092309C"/>
    <w:rsid w:val="009234BE"/>
    <w:rsid w:val="009235D4"/>
    <w:rsid w:val="009238E5"/>
    <w:rsid w:val="00923D1F"/>
    <w:rsid w:val="00923F0C"/>
    <w:rsid w:val="0092410C"/>
    <w:rsid w:val="0092424D"/>
    <w:rsid w:val="009242E9"/>
    <w:rsid w:val="009243A4"/>
    <w:rsid w:val="009245AC"/>
    <w:rsid w:val="00924695"/>
    <w:rsid w:val="00924830"/>
    <w:rsid w:val="00924846"/>
    <w:rsid w:val="009249A0"/>
    <w:rsid w:val="00924BC7"/>
    <w:rsid w:val="009250CC"/>
    <w:rsid w:val="009251CC"/>
    <w:rsid w:val="00925575"/>
    <w:rsid w:val="00925BD8"/>
    <w:rsid w:val="00925D69"/>
    <w:rsid w:val="00925DEA"/>
    <w:rsid w:val="009264F4"/>
    <w:rsid w:val="009268DE"/>
    <w:rsid w:val="009268EA"/>
    <w:rsid w:val="009269BF"/>
    <w:rsid w:val="009271ED"/>
    <w:rsid w:val="0092751C"/>
    <w:rsid w:val="00927564"/>
    <w:rsid w:val="009276FE"/>
    <w:rsid w:val="00927758"/>
    <w:rsid w:val="0092791D"/>
    <w:rsid w:val="009279BE"/>
    <w:rsid w:val="00927AFD"/>
    <w:rsid w:val="00927B04"/>
    <w:rsid w:val="00927BA8"/>
    <w:rsid w:val="00927F45"/>
    <w:rsid w:val="0093006B"/>
    <w:rsid w:val="00930189"/>
    <w:rsid w:val="00930426"/>
    <w:rsid w:val="00930574"/>
    <w:rsid w:val="00930653"/>
    <w:rsid w:val="00930AC6"/>
    <w:rsid w:val="00931008"/>
    <w:rsid w:val="0093109F"/>
    <w:rsid w:val="00931138"/>
    <w:rsid w:val="00931171"/>
    <w:rsid w:val="00931232"/>
    <w:rsid w:val="009315EE"/>
    <w:rsid w:val="00931712"/>
    <w:rsid w:val="0093171A"/>
    <w:rsid w:val="00931970"/>
    <w:rsid w:val="009319E9"/>
    <w:rsid w:val="00931DF3"/>
    <w:rsid w:val="0093206E"/>
    <w:rsid w:val="009322DF"/>
    <w:rsid w:val="00932558"/>
    <w:rsid w:val="00932697"/>
    <w:rsid w:val="009326B3"/>
    <w:rsid w:val="009326CB"/>
    <w:rsid w:val="00932850"/>
    <w:rsid w:val="009329DD"/>
    <w:rsid w:val="009329E5"/>
    <w:rsid w:val="00932AC2"/>
    <w:rsid w:val="00932D98"/>
    <w:rsid w:val="00933094"/>
    <w:rsid w:val="009330AF"/>
    <w:rsid w:val="0093313B"/>
    <w:rsid w:val="009331A4"/>
    <w:rsid w:val="009331A6"/>
    <w:rsid w:val="00933402"/>
    <w:rsid w:val="009335FD"/>
    <w:rsid w:val="00933A54"/>
    <w:rsid w:val="00933F68"/>
    <w:rsid w:val="00934154"/>
    <w:rsid w:val="00934436"/>
    <w:rsid w:val="00934578"/>
    <w:rsid w:val="009345CE"/>
    <w:rsid w:val="009345EE"/>
    <w:rsid w:val="00934644"/>
    <w:rsid w:val="0093472A"/>
    <w:rsid w:val="00934F2E"/>
    <w:rsid w:val="00935013"/>
    <w:rsid w:val="00935198"/>
    <w:rsid w:val="00935232"/>
    <w:rsid w:val="009352C7"/>
    <w:rsid w:val="009356F6"/>
    <w:rsid w:val="00935949"/>
    <w:rsid w:val="00935BFF"/>
    <w:rsid w:val="00936042"/>
    <w:rsid w:val="0093629A"/>
    <w:rsid w:val="0093681A"/>
    <w:rsid w:val="009368A9"/>
    <w:rsid w:val="00936AE3"/>
    <w:rsid w:val="00936C21"/>
    <w:rsid w:val="00936C2F"/>
    <w:rsid w:val="00936C39"/>
    <w:rsid w:val="00936CF0"/>
    <w:rsid w:val="00936D31"/>
    <w:rsid w:val="00936DCA"/>
    <w:rsid w:val="0093709F"/>
    <w:rsid w:val="00937C98"/>
    <w:rsid w:val="00937CE4"/>
    <w:rsid w:val="00940113"/>
    <w:rsid w:val="009401F3"/>
    <w:rsid w:val="00940265"/>
    <w:rsid w:val="009403A3"/>
    <w:rsid w:val="00940754"/>
    <w:rsid w:val="0094079C"/>
    <w:rsid w:val="00940859"/>
    <w:rsid w:val="009408E4"/>
    <w:rsid w:val="009410C4"/>
    <w:rsid w:val="00941150"/>
    <w:rsid w:val="00941746"/>
    <w:rsid w:val="00941A78"/>
    <w:rsid w:val="00941E3B"/>
    <w:rsid w:val="00941F72"/>
    <w:rsid w:val="00941FDA"/>
    <w:rsid w:val="009420EE"/>
    <w:rsid w:val="009421B3"/>
    <w:rsid w:val="009421EE"/>
    <w:rsid w:val="00942532"/>
    <w:rsid w:val="009427BE"/>
    <w:rsid w:val="00942BEB"/>
    <w:rsid w:val="00942E2A"/>
    <w:rsid w:val="00942EFC"/>
    <w:rsid w:val="00943575"/>
    <w:rsid w:val="0094359C"/>
    <w:rsid w:val="0094363C"/>
    <w:rsid w:val="0094378D"/>
    <w:rsid w:val="0094396D"/>
    <w:rsid w:val="009439F4"/>
    <w:rsid w:val="00943A1F"/>
    <w:rsid w:val="00943CFE"/>
    <w:rsid w:val="00943D38"/>
    <w:rsid w:val="00943D90"/>
    <w:rsid w:val="009440C1"/>
    <w:rsid w:val="0094414F"/>
    <w:rsid w:val="00944592"/>
    <w:rsid w:val="00944855"/>
    <w:rsid w:val="00944863"/>
    <w:rsid w:val="00944A8E"/>
    <w:rsid w:val="00944D8E"/>
    <w:rsid w:val="00945069"/>
    <w:rsid w:val="00945264"/>
    <w:rsid w:val="00945627"/>
    <w:rsid w:val="0094562B"/>
    <w:rsid w:val="00945ABE"/>
    <w:rsid w:val="00945ACF"/>
    <w:rsid w:val="00945B8B"/>
    <w:rsid w:val="00945EF9"/>
    <w:rsid w:val="0094601A"/>
    <w:rsid w:val="009462EF"/>
    <w:rsid w:val="00946930"/>
    <w:rsid w:val="00946E08"/>
    <w:rsid w:val="00946E24"/>
    <w:rsid w:val="00946E6D"/>
    <w:rsid w:val="009473EE"/>
    <w:rsid w:val="009474D5"/>
    <w:rsid w:val="009475BC"/>
    <w:rsid w:val="00947632"/>
    <w:rsid w:val="0094780D"/>
    <w:rsid w:val="009500A5"/>
    <w:rsid w:val="009500C8"/>
    <w:rsid w:val="009501A1"/>
    <w:rsid w:val="0095076E"/>
    <w:rsid w:val="009507AC"/>
    <w:rsid w:val="0095086E"/>
    <w:rsid w:val="00950932"/>
    <w:rsid w:val="00950AE6"/>
    <w:rsid w:val="00950CE5"/>
    <w:rsid w:val="0095112D"/>
    <w:rsid w:val="009512BA"/>
    <w:rsid w:val="0095135D"/>
    <w:rsid w:val="009514B5"/>
    <w:rsid w:val="00951559"/>
    <w:rsid w:val="00951751"/>
    <w:rsid w:val="00951AB7"/>
    <w:rsid w:val="00951BB9"/>
    <w:rsid w:val="00951C6D"/>
    <w:rsid w:val="009521A5"/>
    <w:rsid w:val="0095235E"/>
    <w:rsid w:val="0095245A"/>
    <w:rsid w:val="00952AB1"/>
    <w:rsid w:val="00952B79"/>
    <w:rsid w:val="00952D37"/>
    <w:rsid w:val="00952F34"/>
    <w:rsid w:val="00953037"/>
    <w:rsid w:val="0095334A"/>
    <w:rsid w:val="0095378B"/>
    <w:rsid w:val="00953818"/>
    <w:rsid w:val="00953998"/>
    <w:rsid w:val="009539DD"/>
    <w:rsid w:val="00953A12"/>
    <w:rsid w:val="00953A24"/>
    <w:rsid w:val="00953B69"/>
    <w:rsid w:val="00954AB0"/>
    <w:rsid w:val="00954BA4"/>
    <w:rsid w:val="00954D0B"/>
    <w:rsid w:val="00954DA6"/>
    <w:rsid w:val="00954DB7"/>
    <w:rsid w:val="00954DF3"/>
    <w:rsid w:val="00955002"/>
    <w:rsid w:val="00955048"/>
    <w:rsid w:val="00955186"/>
    <w:rsid w:val="009555C1"/>
    <w:rsid w:val="009558DD"/>
    <w:rsid w:val="00955A14"/>
    <w:rsid w:val="00955A7C"/>
    <w:rsid w:val="00955ABA"/>
    <w:rsid w:val="00955C97"/>
    <w:rsid w:val="00955D45"/>
    <w:rsid w:val="00955F73"/>
    <w:rsid w:val="00956054"/>
    <w:rsid w:val="009560CA"/>
    <w:rsid w:val="009561AF"/>
    <w:rsid w:val="0095639E"/>
    <w:rsid w:val="0095676A"/>
    <w:rsid w:val="00956984"/>
    <w:rsid w:val="00956A52"/>
    <w:rsid w:val="00956B34"/>
    <w:rsid w:val="00956C38"/>
    <w:rsid w:val="00956CD9"/>
    <w:rsid w:val="00956E1A"/>
    <w:rsid w:val="00956FBC"/>
    <w:rsid w:val="009571EB"/>
    <w:rsid w:val="009572E9"/>
    <w:rsid w:val="0095732E"/>
    <w:rsid w:val="009574B7"/>
    <w:rsid w:val="009575DA"/>
    <w:rsid w:val="00957700"/>
    <w:rsid w:val="0095770A"/>
    <w:rsid w:val="0095779B"/>
    <w:rsid w:val="00957924"/>
    <w:rsid w:val="00957A13"/>
    <w:rsid w:val="00957BBF"/>
    <w:rsid w:val="00957E00"/>
    <w:rsid w:val="00957EF5"/>
    <w:rsid w:val="00960182"/>
    <w:rsid w:val="009604A8"/>
    <w:rsid w:val="009605AB"/>
    <w:rsid w:val="009605D2"/>
    <w:rsid w:val="00960715"/>
    <w:rsid w:val="00960942"/>
    <w:rsid w:val="00960C86"/>
    <w:rsid w:val="00960DBC"/>
    <w:rsid w:val="00960DCF"/>
    <w:rsid w:val="00960E85"/>
    <w:rsid w:val="00960F9C"/>
    <w:rsid w:val="00961374"/>
    <w:rsid w:val="00961909"/>
    <w:rsid w:val="009619DE"/>
    <w:rsid w:val="00961AC9"/>
    <w:rsid w:val="00961D5B"/>
    <w:rsid w:val="00961E29"/>
    <w:rsid w:val="00962021"/>
    <w:rsid w:val="009620ED"/>
    <w:rsid w:val="009621C5"/>
    <w:rsid w:val="0096224C"/>
    <w:rsid w:val="009625D9"/>
    <w:rsid w:val="0096272F"/>
    <w:rsid w:val="00962B21"/>
    <w:rsid w:val="00962C17"/>
    <w:rsid w:val="00962CAA"/>
    <w:rsid w:val="00962D68"/>
    <w:rsid w:val="00962DD4"/>
    <w:rsid w:val="009632ED"/>
    <w:rsid w:val="00963307"/>
    <w:rsid w:val="00963349"/>
    <w:rsid w:val="009635D0"/>
    <w:rsid w:val="00963825"/>
    <w:rsid w:val="00963889"/>
    <w:rsid w:val="00963975"/>
    <w:rsid w:val="00963AFF"/>
    <w:rsid w:val="00963BE9"/>
    <w:rsid w:val="00964029"/>
    <w:rsid w:val="009640C0"/>
    <w:rsid w:val="00964145"/>
    <w:rsid w:val="00964307"/>
    <w:rsid w:val="0096485B"/>
    <w:rsid w:val="0096491C"/>
    <w:rsid w:val="00964B0B"/>
    <w:rsid w:val="00964BCA"/>
    <w:rsid w:val="00964DA2"/>
    <w:rsid w:val="00964DC8"/>
    <w:rsid w:val="00964F19"/>
    <w:rsid w:val="00965068"/>
    <w:rsid w:val="009655D4"/>
    <w:rsid w:val="009659DF"/>
    <w:rsid w:val="00965AE3"/>
    <w:rsid w:val="00965BC9"/>
    <w:rsid w:val="00965BFF"/>
    <w:rsid w:val="009666FC"/>
    <w:rsid w:val="00966814"/>
    <w:rsid w:val="0096697F"/>
    <w:rsid w:val="00966D39"/>
    <w:rsid w:val="00966E5F"/>
    <w:rsid w:val="00966FF2"/>
    <w:rsid w:val="00967135"/>
    <w:rsid w:val="00967493"/>
    <w:rsid w:val="009677D4"/>
    <w:rsid w:val="00967AF2"/>
    <w:rsid w:val="00967D95"/>
    <w:rsid w:val="009700F7"/>
    <w:rsid w:val="009704DE"/>
    <w:rsid w:val="009704E4"/>
    <w:rsid w:val="00970505"/>
    <w:rsid w:val="009705F2"/>
    <w:rsid w:val="00970641"/>
    <w:rsid w:val="009709A6"/>
    <w:rsid w:val="00970BF6"/>
    <w:rsid w:val="00970CC7"/>
    <w:rsid w:val="00970E47"/>
    <w:rsid w:val="00971106"/>
    <w:rsid w:val="00971363"/>
    <w:rsid w:val="0097140B"/>
    <w:rsid w:val="00971768"/>
    <w:rsid w:val="00971874"/>
    <w:rsid w:val="00971989"/>
    <w:rsid w:val="00971BC1"/>
    <w:rsid w:val="00971C5F"/>
    <w:rsid w:val="00972011"/>
    <w:rsid w:val="00972035"/>
    <w:rsid w:val="00972185"/>
    <w:rsid w:val="0097219C"/>
    <w:rsid w:val="009721A6"/>
    <w:rsid w:val="00972638"/>
    <w:rsid w:val="00972683"/>
    <w:rsid w:val="009727B9"/>
    <w:rsid w:val="009728B6"/>
    <w:rsid w:val="009729A7"/>
    <w:rsid w:val="00972F31"/>
    <w:rsid w:val="00972FF8"/>
    <w:rsid w:val="009738C9"/>
    <w:rsid w:val="00973A1C"/>
    <w:rsid w:val="00973C5A"/>
    <w:rsid w:val="00973CEC"/>
    <w:rsid w:val="00973EEE"/>
    <w:rsid w:val="0097462D"/>
    <w:rsid w:val="00974890"/>
    <w:rsid w:val="0097495C"/>
    <w:rsid w:val="00974B3E"/>
    <w:rsid w:val="00974DD6"/>
    <w:rsid w:val="00974DFD"/>
    <w:rsid w:val="0097547F"/>
    <w:rsid w:val="009757DE"/>
    <w:rsid w:val="00975854"/>
    <w:rsid w:val="00975B4F"/>
    <w:rsid w:val="00975E5D"/>
    <w:rsid w:val="0097613B"/>
    <w:rsid w:val="009762E4"/>
    <w:rsid w:val="009762F8"/>
    <w:rsid w:val="009766A5"/>
    <w:rsid w:val="0097683B"/>
    <w:rsid w:val="00976DB3"/>
    <w:rsid w:val="00976E88"/>
    <w:rsid w:val="00976FE4"/>
    <w:rsid w:val="009770CF"/>
    <w:rsid w:val="009770EF"/>
    <w:rsid w:val="009771F7"/>
    <w:rsid w:val="00977331"/>
    <w:rsid w:val="009779CF"/>
    <w:rsid w:val="00977C26"/>
    <w:rsid w:val="0098001C"/>
    <w:rsid w:val="00980198"/>
    <w:rsid w:val="00980533"/>
    <w:rsid w:val="00980771"/>
    <w:rsid w:val="00980817"/>
    <w:rsid w:val="009808EB"/>
    <w:rsid w:val="00980CE9"/>
    <w:rsid w:val="00980EA1"/>
    <w:rsid w:val="00981005"/>
    <w:rsid w:val="009813C2"/>
    <w:rsid w:val="0098144A"/>
    <w:rsid w:val="0098148C"/>
    <w:rsid w:val="009815FF"/>
    <w:rsid w:val="00981954"/>
    <w:rsid w:val="009819EC"/>
    <w:rsid w:val="009819ED"/>
    <w:rsid w:val="00981B57"/>
    <w:rsid w:val="00981BC9"/>
    <w:rsid w:val="00981BDC"/>
    <w:rsid w:val="00981D96"/>
    <w:rsid w:val="00981FC3"/>
    <w:rsid w:val="00982031"/>
    <w:rsid w:val="0098251E"/>
    <w:rsid w:val="00982586"/>
    <w:rsid w:val="009828C0"/>
    <w:rsid w:val="009829D4"/>
    <w:rsid w:val="00982A61"/>
    <w:rsid w:val="00982B0A"/>
    <w:rsid w:val="00982C5C"/>
    <w:rsid w:val="0098300A"/>
    <w:rsid w:val="00983070"/>
    <w:rsid w:val="009835F7"/>
    <w:rsid w:val="00983661"/>
    <w:rsid w:val="00983A1C"/>
    <w:rsid w:val="00983B66"/>
    <w:rsid w:val="00983CAE"/>
    <w:rsid w:val="00983E1A"/>
    <w:rsid w:val="00983E1D"/>
    <w:rsid w:val="00983EB2"/>
    <w:rsid w:val="009840CD"/>
    <w:rsid w:val="00984288"/>
    <w:rsid w:val="009842CD"/>
    <w:rsid w:val="009843CE"/>
    <w:rsid w:val="0098448D"/>
    <w:rsid w:val="00984758"/>
    <w:rsid w:val="00984836"/>
    <w:rsid w:val="009849C9"/>
    <w:rsid w:val="00984BCF"/>
    <w:rsid w:val="00984C30"/>
    <w:rsid w:val="00984E42"/>
    <w:rsid w:val="00985006"/>
    <w:rsid w:val="00985029"/>
    <w:rsid w:val="009850FD"/>
    <w:rsid w:val="009851AA"/>
    <w:rsid w:val="009853C0"/>
    <w:rsid w:val="00985ACD"/>
    <w:rsid w:val="00985D3B"/>
    <w:rsid w:val="00985DBC"/>
    <w:rsid w:val="00985F55"/>
    <w:rsid w:val="00985F67"/>
    <w:rsid w:val="00986148"/>
    <w:rsid w:val="00986473"/>
    <w:rsid w:val="009865A4"/>
    <w:rsid w:val="0098660C"/>
    <w:rsid w:val="0098666B"/>
    <w:rsid w:val="00986A1C"/>
    <w:rsid w:val="00986A9B"/>
    <w:rsid w:val="00986B26"/>
    <w:rsid w:val="00986C6A"/>
    <w:rsid w:val="00986D64"/>
    <w:rsid w:val="009871BF"/>
    <w:rsid w:val="009871EC"/>
    <w:rsid w:val="009872F0"/>
    <w:rsid w:val="00987528"/>
    <w:rsid w:val="0098762D"/>
    <w:rsid w:val="00987718"/>
    <w:rsid w:val="0098776B"/>
    <w:rsid w:val="00987C0D"/>
    <w:rsid w:val="00987D27"/>
    <w:rsid w:val="00987F8E"/>
    <w:rsid w:val="00990039"/>
    <w:rsid w:val="009902F0"/>
    <w:rsid w:val="00990489"/>
    <w:rsid w:val="00990896"/>
    <w:rsid w:val="00990C04"/>
    <w:rsid w:val="00990FE1"/>
    <w:rsid w:val="009913CF"/>
    <w:rsid w:val="009913D0"/>
    <w:rsid w:val="00991522"/>
    <w:rsid w:val="00991599"/>
    <w:rsid w:val="00991928"/>
    <w:rsid w:val="00991D05"/>
    <w:rsid w:val="00992373"/>
    <w:rsid w:val="009924A9"/>
    <w:rsid w:val="009924FF"/>
    <w:rsid w:val="0099262E"/>
    <w:rsid w:val="009927E7"/>
    <w:rsid w:val="009928A0"/>
    <w:rsid w:val="00992AC6"/>
    <w:rsid w:val="00992EDD"/>
    <w:rsid w:val="00992FCD"/>
    <w:rsid w:val="0099315F"/>
    <w:rsid w:val="0099336B"/>
    <w:rsid w:val="00993741"/>
    <w:rsid w:val="00993B76"/>
    <w:rsid w:val="00993B8E"/>
    <w:rsid w:val="00993C04"/>
    <w:rsid w:val="00993D08"/>
    <w:rsid w:val="00993D68"/>
    <w:rsid w:val="00993E42"/>
    <w:rsid w:val="00993E44"/>
    <w:rsid w:val="00993EA9"/>
    <w:rsid w:val="0099412B"/>
    <w:rsid w:val="009941D5"/>
    <w:rsid w:val="0099432B"/>
    <w:rsid w:val="00994622"/>
    <w:rsid w:val="00994675"/>
    <w:rsid w:val="009947B5"/>
    <w:rsid w:val="00994950"/>
    <w:rsid w:val="00994EF1"/>
    <w:rsid w:val="00994F0B"/>
    <w:rsid w:val="00994F3B"/>
    <w:rsid w:val="00995047"/>
    <w:rsid w:val="00995162"/>
    <w:rsid w:val="009955AA"/>
    <w:rsid w:val="0099577C"/>
    <w:rsid w:val="00995BE9"/>
    <w:rsid w:val="00995DBD"/>
    <w:rsid w:val="0099612D"/>
    <w:rsid w:val="009962DF"/>
    <w:rsid w:val="009963E3"/>
    <w:rsid w:val="009965F2"/>
    <w:rsid w:val="00996861"/>
    <w:rsid w:val="009968F8"/>
    <w:rsid w:val="00996D30"/>
    <w:rsid w:val="00997266"/>
    <w:rsid w:val="009977D0"/>
    <w:rsid w:val="0099793C"/>
    <w:rsid w:val="0099794D"/>
    <w:rsid w:val="009A0212"/>
    <w:rsid w:val="009A0792"/>
    <w:rsid w:val="009A0AB4"/>
    <w:rsid w:val="009A0B67"/>
    <w:rsid w:val="009A0F01"/>
    <w:rsid w:val="009A0F56"/>
    <w:rsid w:val="009A101A"/>
    <w:rsid w:val="009A12C4"/>
    <w:rsid w:val="009A164C"/>
    <w:rsid w:val="009A1ACB"/>
    <w:rsid w:val="009A1B57"/>
    <w:rsid w:val="009A1C64"/>
    <w:rsid w:val="009A1EE2"/>
    <w:rsid w:val="009A1F66"/>
    <w:rsid w:val="009A1F7A"/>
    <w:rsid w:val="009A237B"/>
    <w:rsid w:val="009A23BA"/>
    <w:rsid w:val="009A24A0"/>
    <w:rsid w:val="009A29D9"/>
    <w:rsid w:val="009A2A08"/>
    <w:rsid w:val="009A2A60"/>
    <w:rsid w:val="009A2C09"/>
    <w:rsid w:val="009A2E8D"/>
    <w:rsid w:val="009A2E96"/>
    <w:rsid w:val="009A2FF9"/>
    <w:rsid w:val="009A3073"/>
    <w:rsid w:val="009A31BF"/>
    <w:rsid w:val="009A3234"/>
    <w:rsid w:val="009A33EC"/>
    <w:rsid w:val="009A350B"/>
    <w:rsid w:val="009A37B2"/>
    <w:rsid w:val="009A3BB9"/>
    <w:rsid w:val="009A3E53"/>
    <w:rsid w:val="009A3EFE"/>
    <w:rsid w:val="009A3FFB"/>
    <w:rsid w:val="009A406D"/>
    <w:rsid w:val="009A409B"/>
    <w:rsid w:val="009A4540"/>
    <w:rsid w:val="009A46E7"/>
    <w:rsid w:val="009A4854"/>
    <w:rsid w:val="009A4AF5"/>
    <w:rsid w:val="009A4C20"/>
    <w:rsid w:val="009A52A0"/>
    <w:rsid w:val="009A576A"/>
    <w:rsid w:val="009A5785"/>
    <w:rsid w:val="009A5806"/>
    <w:rsid w:val="009A58B0"/>
    <w:rsid w:val="009A5AFB"/>
    <w:rsid w:val="009A5D37"/>
    <w:rsid w:val="009A61B8"/>
    <w:rsid w:val="009A622E"/>
    <w:rsid w:val="009A632C"/>
    <w:rsid w:val="009A6AE0"/>
    <w:rsid w:val="009A6D7C"/>
    <w:rsid w:val="009A6E68"/>
    <w:rsid w:val="009A6EB7"/>
    <w:rsid w:val="009A70AA"/>
    <w:rsid w:val="009A7334"/>
    <w:rsid w:val="009A733E"/>
    <w:rsid w:val="009A773B"/>
    <w:rsid w:val="009A77AA"/>
    <w:rsid w:val="009A793A"/>
    <w:rsid w:val="009A7993"/>
    <w:rsid w:val="009A7E53"/>
    <w:rsid w:val="009A7F38"/>
    <w:rsid w:val="009B0083"/>
    <w:rsid w:val="009B0133"/>
    <w:rsid w:val="009B087C"/>
    <w:rsid w:val="009B0934"/>
    <w:rsid w:val="009B0A5B"/>
    <w:rsid w:val="009B0C0B"/>
    <w:rsid w:val="009B0E0F"/>
    <w:rsid w:val="009B0F7E"/>
    <w:rsid w:val="009B11DB"/>
    <w:rsid w:val="009B14A2"/>
    <w:rsid w:val="009B153C"/>
    <w:rsid w:val="009B1695"/>
    <w:rsid w:val="009B17ED"/>
    <w:rsid w:val="009B1A57"/>
    <w:rsid w:val="009B1C52"/>
    <w:rsid w:val="009B1CE0"/>
    <w:rsid w:val="009B1DF2"/>
    <w:rsid w:val="009B1ED5"/>
    <w:rsid w:val="009B365D"/>
    <w:rsid w:val="009B3966"/>
    <w:rsid w:val="009B39CF"/>
    <w:rsid w:val="009B3B8B"/>
    <w:rsid w:val="009B3C39"/>
    <w:rsid w:val="009B3CF6"/>
    <w:rsid w:val="009B4413"/>
    <w:rsid w:val="009B4506"/>
    <w:rsid w:val="009B451E"/>
    <w:rsid w:val="009B4525"/>
    <w:rsid w:val="009B498E"/>
    <w:rsid w:val="009B4A16"/>
    <w:rsid w:val="009B4B1B"/>
    <w:rsid w:val="009B4D54"/>
    <w:rsid w:val="009B50E8"/>
    <w:rsid w:val="009B52F8"/>
    <w:rsid w:val="009B585A"/>
    <w:rsid w:val="009B587C"/>
    <w:rsid w:val="009B59E6"/>
    <w:rsid w:val="009B5C2C"/>
    <w:rsid w:val="009B5C5B"/>
    <w:rsid w:val="009B5CC7"/>
    <w:rsid w:val="009B5D1E"/>
    <w:rsid w:val="009B5DFC"/>
    <w:rsid w:val="009B5E0F"/>
    <w:rsid w:val="009B5F97"/>
    <w:rsid w:val="009B6031"/>
    <w:rsid w:val="009B61C3"/>
    <w:rsid w:val="009B62C4"/>
    <w:rsid w:val="009B63CB"/>
    <w:rsid w:val="009B644A"/>
    <w:rsid w:val="009B6706"/>
    <w:rsid w:val="009B689C"/>
    <w:rsid w:val="009B6BC8"/>
    <w:rsid w:val="009B6D87"/>
    <w:rsid w:val="009B7171"/>
    <w:rsid w:val="009B71F6"/>
    <w:rsid w:val="009B7645"/>
    <w:rsid w:val="009B778E"/>
    <w:rsid w:val="009B78F2"/>
    <w:rsid w:val="009B7BED"/>
    <w:rsid w:val="009B7C06"/>
    <w:rsid w:val="009B7E8D"/>
    <w:rsid w:val="009C0047"/>
    <w:rsid w:val="009C034C"/>
    <w:rsid w:val="009C03B4"/>
    <w:rsid w:val="009C0829"/>
    <w:rsid w:val="009C0905"/>
    <w:rsid w:val="009C0B29"/>
    <w:rsid w:val="009C0E62"/>
    <w:rsid w:val="009C0F81"/>
    <w:rsid w:val="009C114E"/>
    <w:rsid w:val="009C1246"/>
    <w:rsid w:val="009C1248"/>
    <w:rsid w:val="009C1333"/>
    <w:rsid w:val="009C14CF"/>
    <w:rsid w:val="009C14FB"/>
    <w:rsid w:val="009C15A4"/>
    <w:rsid w:val="009C1626"/>
    <w:rsid w:val="009C168C"/>
    <w:rsid w:val="009C1C9F"/>
    <w:rsid w:val="009C1EA0"/>
    <w:rsid w:val="009C1EA2"/>
    <w:rsid w:val="009C2025"/>
    <w:rsid w:val="009C214D"/>
    <w:rsid w:val="009C22CB"/>
    <w:rsid w:val="009C256D"/>
    <w:rsid w:val="009C2717"/>
    <w:rsid w:val="009C2ACA"/>
    <w:rsid w:val="009C2B4A"/>
    <w:rsid w:val="009C3017"/>
    <w:rsid w:val="009C30CB"/>
    <w:rsid w:val="009C3250"/>
    <w:rsid w:val="009C336F"/>
    <w:rsid w:val="009C35AE"/>
    <w:rsid w:val="009C3AF5"/>
    <w:rsid w:val="009C3CE4"/>
    <w:rsid w:val="009C3E50"/>
    <w:rsid w:val="009C3FDD"/>
    <w:rsid w:val="009C426F"/>
    <w:rsid w:val="009C44A6"/>
    <w:rsid w:val="009C454A"/>
    <w:rsid w:val="009C4609"/>
    <w:rsid w:val="009C4627"/>
    <w:rsid w:val="009C48EE"/>
    <w:rsid w:val="009C4C77"/>
    <w:rsid w:val="009C4C81"/>
    <w:rsid w:val="009C4C9B"/>
    <w:rsid w:val="009C4D44"/>
    <w:rsid w:val="009C5067"/>
    <w:rsid w:val="009C50F0"/>
    <w:rsid w:val="009C52C3"/>
    <w:rsid w:val="009C54C8"/>
    <w:rsid w:val="009C5530"/>
    <w:rsid w:val="009C562D"/>
    <w:rsid w:val="009C58B0"/>
    <w:rsid w:val="009C5A97"/>
    <w:rsid w:val="009C5E2D"/>
    <w:rsid w:val="009C6174"/>
    <w:rsid w:val="009C657B"/>
    <w:rsid w:val="009C66D4"/>
    <w:rsid w:val="009C698C"/>
    <w:rsid w:val="009C6A24"/>
    <w:rsid w:val="009C6BEA"/>
    <w:rsid w:val="009C6CBD"/>
    <w:rsid w:val="009C72BD"/>
    <w:rsid w:val="009C72E2"/>
    <w:rsid w:val="009C7E14"/>
    <w:rsid w:val="009D02D3"/>
    <w:rsid w:val="009D0312"/>
    <w:rsid w:val="009D034E"/>
    <w:rsid w:val="009D04DE"/>
    <w:rsid w:val="009D0522"/>
    <w:rsid w:val="009D05A0"/>
    <w:rsid w:val="009D067B"/>
    <w:rsid w:val="009D0DEB"/>
    <w:rsid w:val="009D0FB4"/>
    <w:rsid w:val="009D1036"/>
    <w:rsid w:val="009D103E"/>
    <w:rsid w:val="009D1075"/>
    <w:rsid w:val="009D1143"/>
    <w:rsid w:val="009D115A"/>
    <w:rsid w:val="009D1363"/>
    <w:rsid w:val="009D15B4"/>
    <w:rsid w:val="009D1C44"/>
    <w:rsid w:val="009D1CEC"/>
    <w:rsid w:val="009D1FA5"/>
    <w:rsid w:val="009D1FE9"/>
    <w:rsid w:val="009D2239"/>
    <w:rsid w:val="009D2331"/>
    <w:rsid w:val="009D23AC"/>
    <w:rsid w:val="009D23E6"/>
    <w:rsid w:val="009D261B"/>
    <w:rsid w:val="009D2952"/>
    <w:rsid w:val="009D29B0"/>
    <w:rsid w:val="009D29EC"/>
    <w:rsid w:val="009D2A67"/>
    <w:rsid w:val="009D2A9C"/>
    <w:rsid w:val="009D2E30"/>
    <w:rsid w:val="009D30BD"/>
    <w:rsid w:val="009D3396"/>
    <w:rsid w:val="009D3424"/>
    <w:rsid w:val="009D38B8"/>
    <w:rsid w:val="009D38C9"/>
    <w:rsid w:val="009D39DF"/>
    <w:rsid w:val="009D3EC7"/>
    <w:rsid w:val="009D4032"/>
    <w:rsid w:val="009D40EC"/>
    <w:rsid w:val="009D4155"/>
    <w:rsid w:val="009D42A8"/>
    <w:rsid w:val="009D42AC"/>
    <w:rsid w:val="009D46EA"/>
    <w:rsid w:val="009D4E70"/>
    <w:rsid w:val="009D4F30"/>
    <w:rsid w:val="009D5301"/>
    <w:rsid w:val="009D5401"/>
    <w:rsid w:val="009D55FB"/>
    <w:rsid w:val="009D56B3"/>
    <w:rsid w:val="009D58EC"/>
    <w:rsid w:val="009D5A16"/>
    <w:rsid w:val="009D5B18"/>
    <w:rsid w:val="009D5D01"/>
    <w:rsid w:val="009D5D06"/>
    <w:rsid w:val="009D5D4B"/>
    <w:rsid w:val="009D5DC0"/>
    <w:rsid w:val="009D5F18"/>
    <w:rsid w:val="009D635F"/>
    <w:rsid w:val="009D64F6"/>
    <w:rsid w:val="009D6977"/>
    <w:rsid w:val="009D6AA4"/>
    <w:rsid w:val="009D6CE7"/>
    <w:rsid w:val="009D759B"/>
    <w:rsid w:val="009D7671"/>
    <w:rsid w:val="009D7A60"/>
    <w:rsid w:val="009D7B29"/>
    <w:rsid w:val="009D7B35"/>
    <w:rsid w:val="009D7C2E"/>
    <w:rsid w:val="009D7E50"/>
    <w:rsid w:val="009E0306"/>
    <w:rsid w:val="009E0375"/>
    <w:rsid w:val="009E06D5"/>
    <w:rsid w:val="009E074B"/>
    <w:rsid w:val="009E0796"/>
    <w:rsid w:val="009E09D1"/>
    <w:rsid w:val="009E0C9F"/>
    <w:rsid w:val="009E11B9"/>
    <w:rsid w:val="009E1406"/>
    <w:rsid w:val="009E1660"/>
    <w:rsid w:val="009E1AF4"/>
    <w:rsid w:val="009E1B3E"/>
    <w:rsid w:val="009E1C5F"/>
    <w:rsid w:val="009E1CFF"/>
    <w:rsid w:val="009E1D94"/>
    <w:rsid w:val="009E1EA6"/>
    <w:rsid w:val="009E1FD5"/>
    <w:rsid w:val="009E23B0"/>
    <w:rsid w:val="009E288A"/>
    <w:rsid w:val="009E2917"/>
    <w:rsid w:val="009E2A6F"/>
    <w:rsid w:val="009E2CE8"/>
    <w:rsid w:val="009E2D2B"/>
    <w:rsid w:val="009E2D74"/>
    <w:rsid w:val="009E2FCA"/>
    <w:rsid w:val="009E36AA"/>
    <w:rsid w:val="009E36AF"/>
    <w:rsid w:val="009E376B"/>
    <w:rsid w:val="009E37DC"/>
    <w:rsid w:val="009E3826"/>
    <w:rsid w:val="009E3863"/>
    <w:rsid w:val="009E3BFF"/>
    <w:rsid w:val="009E3C4E"/>
    <w:rsid w:val="009E3D3F"/>
    <w:rsid w:val="009E3EDA"/>
    <w:rsid w:val="009E41D5"/>
    <w:rsid w:val="009E41D6"/>
    <w:rsid w:val="009E4290"/>
    <w:rsid w:val="009E42A0"/>
    <w:rsid w:val="009E4472"/>
    <w:rsid w:val="009E4541"/>
    <w:rsid w:val="009E45C4"/>
    <w:rsid w:val="009E46A8"/>
    <w:rsid w:val="009E4890"/>
    <w:rsid w:val="009E4927"/>
    <w:rsid w:val="009E4A07"/>
    <w:rsid w:val="009E4B00"/>
    <w:rsid w:val="009E4DBD"/>
    <w:rsid w:val="009E4EF5"/>
    <w:rsid w:val="009E4F1E"/>
    <w:rsid w:val="009E4FE7"/>
    <w:rsid w:val="009E50A7"/>
    <w:rsid w:val="009E52E3"/>
    <w:rsid w:val="009E5460"/>
    <w:rsid w:val="009E5477"/>
    <w:rsid w:val="009E555F"/>
    <w:rsid w:val="009E5B02"/>
    <w:rsid w:val="009E5B7B"/>
    <w:rsid w:val="009E5D41"/>
    <w:rsid w:val="009E5DA6"/>
    <w:rsid w:val="009E6285"/>
    <w:rsid w:val="009E63E8"/>
    <w:rsid w:val="009E66DB"/>
    <w:rsid w:val="009E6A16"/>
    <w:rsid w:val="009E704D"/>
    <w:rsid w:val="009E7166"/>
    <w:rsid w:val="009E7262"/>
    <w:rsid w:val="009E7467"/>
    <w:rsid w:val="009E7544"/>
    <w:rsid w:val="009E77CD"/>
    <w:rsid w:val="009E79B6"/>
    <w:rsid w:val="009E7AC4"/>
    <w:rsid w:val="009E7C40"/>
    <w:rsid w:val="009E7DFD"/>
    <w:rsid w:val="009F01E7"/>
    <w:rsid w:val="009F0497"/>
    <w:rsid w:val="009F09F8"/>
    <w:rsid w:val="009F0A77"/>
    <w:rsid w:val="009F0FB4"/>
    <w:rsid w:val="009F1048"/>
    <w:rsid w:val="009F1124"/>
    <w:rsid w:val="009F1232"/>
    <w:rsid w:val="009F1427"/>
    <w:rsid w:val="009F142E"/>
    <w:rsid w:val="009F1551"/>
    <w:rsid w:val="009F1C9A"/>
    <w:rsid w:val="009F1E00"/>
    <w:rsid w:val="009F2147"/>
    <w:rsid w:val="009F22DE"/>
    <w:rsid w:val="009F2DF7"/>
    <w:rsid w:val="009F2FD8"/>
    <w:rsid w:val="009F306C"/>
    <w:rsid w:val="009F306E"/>
    <w:rsid w:val="009F32E5"/>
    <w:rsid w:val="009F3473"/>
    <w:rsid w:val="009F3551"/>
    <w:rsid w:val="009F35B0"/>
    <w:rsid w:val="009F3701"/>
    <w:rsid w:val="009F386B"/>
    <w:rsid w:val="009F39A1"/>
    <w:rsid w:val="009F39F4"/>
    <w:rsid w:val="009F3A46"/>
    <w:rsid w:val="009F3BE7"/>
    <w:rsid w:val="009F3EAC"/>
    <w:rsid w:val="009F437F"/>
    <w:rsid w:val="009F4630"/>
    <w:rsid w:val="009F46D2"/>
    <w:rsid w:val="009F4DAD"/>
    <w:rsid w:val="009F4E89"/>
    <w:rsid w:val="009F50A0"/>
    <w:rsid w:val="009F50D2"/>
    <w:rsid w:val="009F541E"/>
    <w:rsid w:val="009F554C"/>
    <w:rsid w:val="009F58A2"/>
    <w:rsid w:val="009F628B"/>
    <w:rsid w:val="009F6360"/>
    <w:rsid w:val="009F694A"/>
    <w:rsid w:val="009F6B55"/>
    <w:rsid w:val="009F7025"/>
    <w:rsid w:val="009F7215"/>
    <w:rsid w:val="009F7338"/>
    <w:rsid w:val="009F73D2"/>
    <w:rsid w:val="009F7495"/>
    <w:rsid w:val="009F7700"/>
    <w:rsid w:val="009F7830"/>
    <w:rsid w:val="009F78DA"/>
    <w:rsid w:val="009F7A4F"/>
    <w:rsid w:val="009F7BDD"/>
    <w:rsid w:val="00A007AE"/>
    <w:rsid w:val="00A00A34"/>
    <w:rsid w:val="00A00A51"/>
    <w:rsid w:val="00A00A6F"/>
    <w:rsid w:val="00A0150C"/>
    <w:rsid w:val="00A017E3"/>
    <w:rsid w:val="00A019E4"/>
    <w:rsid w:val="00A01A74"/>
    <w:rsid w:val="00A01ABC"/>
    <w:rsid w:val="00A01C15"/>
    <w:rsid w:val="00A01C95"/>
    <w:rsid w:val="00A01E8B"/>
    <w:rsid w:val="00A01E99"/>
    <w:rsid w:val="00A01F0A"/>
    <w:rsid w:val="00A01FB8"/>
    <w:rsid w:val="00A020ED"/>
    <w:rsid w:val="00A02576"/>
    <w:rsid w:val="00A02915"/>
    <w:rsid w:val="00A02B2E"/>
    <w:rsid w:val="00A030EB"/>
    <w:rsid w:val="00A03296"/>
    <w:rsid w:val="00A03691"/>
    <w:rsid w:val="00A036D9"/>
    <w:rsid w:val="00A03927"/>
    <w:rsid w:val="00A0396D"/>
    <w:rsid w:val="00A03DF7"/>
    <w:rsid w:val="00A03EA7"/>
    <w:rsid w:val="00A03FEC"/>
    <w:rsid w:val="00A04150"/>
    <w:rsid w:val="00A04648"/>
    <w:rsid w:val="00A04664"/>
    <w:rsid w:val="00A0475A"/>
    <w:rsid w:val="00A04B79"/>
    <w:rsid w:val="00A04FD7"/>
    <w:rsid w:val="00A052CC"/>
    <w:rsid w:val="00A056F0"/>
    <w:rsid w:val="00A05B40"/>
    <w:rsid w:val="00A06157"/>
    <w:rsid w:val="00A06467"/>
    <w:rsid w:val="00A068AB"/>
    <w:rsid w:val="00A06B12"/>
    <w:rsid w:val="00A06D88"/>
    <w:rsid w:val="00A06E8B"/>
    <w:rsid w:val="00A06E96"/>
    <w:rsid w:val="00A074BC"/>
    <w:rsid w:val="00A074D9"/>
    <w:rsid w:val="00A075FA"/>
    <w:rsid w:val="00A076D8"/>
    <w:rsid w:val="00A07849"/>
    <w:rsid w:val="00A07C2E"/>
    <w:rsid w:val="00A07D31"/>
    <w:rsid w:val="00A07FC8"/>
    <w:rsid w:val="00A101A3"/>
    <w:rsid w:val="00A101F1"/>
    <w:rsid w:val="00A10267"/>
    <w:rsid w:val="00A10387"/>
    <w:rsid w:val="00A1087C"/>
    <w:rsid w:val="00A10BCB"/>
    <w:rsid w:val="00A1109D"/>
    <w:rsid w:val="00A110F8"/>
    <w:rsid w:val="00A11243"/>
    <w:rsid w:val="00A116F7"/>
    <w:rsid w:val="00A11AA2"/>
    <w:rsid w:val="00A11AE1"/>
    <w:rsid w:val="00A11C28"/>
    <w:rsid w:val="00A12345"/>
    <w:rsid w:val="00A12357"/>
    <w:rsid w:val="00A12422"/>
    <w:rsid w:val="00A125AA"/>
    <w:rsid w:val="00A1267E"/>
    <w:rsid w:val="00A12799"/>
    <w:rsid w:val="00A12919"/>
    <w:rsid w:val="00A12A40"/>
    <w:rsid w:val="00A12AED"/>
    <w:rsid w:val="00A12AF0"/>
    <w:rsid w:val="00A131FB"/>
    <w:rsid w:val="00A13204"/>
    <w:rsid w:val="00A132C5"/>
    <w:rsid w:val="00A137C3"/>
    <w:rsid w:val="00A13976"/>
    <w:rsid w:val="00A13A28"/>
    <w:rsid w:val="00A13BE9"/>
    <w:rsid w:val="00A13D24"/>
    <w:rsid w:val="00A13D97"/>
    <w:rsid w:val="00A13F96"/>
    <w:rsid w:val="00A140B1"/>
    <w:rsid w:val="00A141BA"/>
    <w:rsid w:val="00A14342"/>
    <w:rsid w:val="00A145B6"/>
    <w:rsid w:val="00A1498B"/>
    <w:rsid w:val="00A14B36"/>
    <w:rsid w:val="00A14CFD"/>
    <w:rsid w:val="00A14D9B"/>
    <w:rsid w:val="00A14F60"/>
    <w:rsid w:val="00A1529D"/>
    <w:rsid w:val="00A1536A"/>
    <w:rsid w:val="00A153F7"/>
    <w:rsid w:val="00A154C0"/>
    <w:rsid w:val="00A155FA"/>
    <w:rsid w:val="00A15787"/>
    <w:rsid w:val="00A157D4"/>
    <w:rsid w:val="00A1588F"/>
    <w:rsid w:val="00A158C5"/>
    <w:rsid w:val="00A1599A"/>
    <w:rsid w:val="00A15A87"/>
    <w:rsid w:val="00A1607E"/>
    <w:rsid w:val="00A16194"/>
    <w:rsid w:val="00A161C5"/>
    <w:rsid w:val="00A16559"/>
    <w:rsid w:val="00A165CD"/>
    <w:rsid w:val="00A16819"/>
    <w:rsid w:val="00A1682B"/>
    <w:rsid w:val="00A16C6B"/>
    <w:rsid w:val="00A16D31"/>
    <w:rsid w:val="00A16D54"/>
    <w:rsid w:val="00A16DDC"/>
    <w:rsid w:val="00A171B2"/>
    <w:rsid w:val="00A172E8"/>
    <w:rsid w:val="00A17437"/>
    <w:rsid w:val="00A1743E"/>
    <w:rsid w:val="00A17663"/>
    <w:rsid w:val="00A17B34"/>
    <w:rsid w:val="00A17B6D"/>
    <w:rsid w:val="00A17C61"/>
    <w:rsid w:val="00A17C63"/>
    <w:rsid w:val="00A20198"/>
    <w:rsid w:val="00A203A3"/>
    <w:rsid w:val="00A203FA"/>
    <w:rsid w:val="00A20B28"/>
    <w:rsid w:val="00A20B4C"/>
    <w:rsid w:val="00A20F61"/>
    <w:rsid w:val="00A20F86"/>
    <w:rsid w:val="00A20FB3"/>
    <w:rsid w:val="00A211A5"/>
    <w:rsid w:val="00A211DA"/>
    <w:rsid w:val="00A21364"/>
    <w:rsid w:val="00A2152C"/>
    <w:rsid w:val="00A21634"/>
    <w:rsid w:val="00A2166C"/>
    <w:rsid w:val="00A217EF"/>
    <w:rsid w:val="00A21C6B"/>
    <w:rsid w:val="00A21C82"/>
    <w:rsid w:val="00A21CF0"/>
    <w:rsid w:val="00A21DB8"/>
    <w:rsid w:val="00A221E5"/>
    <w:rsid w:val="00A2234B"/>
    <w:rsid w:val="00A223AF"/>
    <w:rsid w:val="00A225CF"/>
    <w:rsid w:val="00A22617"/>
    <w:rsid w:val="00A22B01"/>
    <w:rsid w:val="00A22E15"/>
    <w:rsid w:val="00A22F29"/>
    <w:rsid w:val="00A230FD"/>
    <w:rsid w:val="00A235BB"/>
    <w:rsid w:val="00A237BE"/>
    <w:rsid w:val="00A2386B"/>
    <w:rsid w:val="00A238A6"/>
    <w:rsid w:val="00A23D43"/>
    <w:rsid w:val="00A23D56"/>
    <w:rsid w:val="00A24095"/>
    <w:rsid w:val="00A24108"/>
    <w:rsid w:val="00A2413F"/>
    <w:rsid w:val="00A241A0"/>
    <w:rsid w:val="00A242A4"/>
    <w:rsid w:val="00A242F7"/>
    <w:rsid w:val="00A24350"/>
    <w:rsid w:val="00A24590"/>
    <w:rsid w:val="00A247C6"/>
    <w:rsid w:val="00A24923"/>
    <w:rsid w:val="00A24927"/>
    <w:rsid w:val="00A24968"/>
    <w:rsid w:val="00A24A31"/>
    <w:rsid w:val="00A24B2E"/>
    <w:rsid w:val="00A24CCE"/>
    <w:rsid w:val="00A24D5F"/>
    <w:rsid w:val="00A25189"/>
    <w:rsid w:val="00A253AF"/>
    <w:rsid w:val="00A2549E"/>
    <w:rsid w:val="00A254DB"/>
    <w:rsid w:val="00A2574A"/>
    <w:rsid w:val="00A259F9"/>
    <w:rsid w:val="00A259FD"/>
    <w:rsid w:val="00A25BFC"/>
    <w:rsid w:val="00A25D65"/>
    <w:rsid w:val="00A25EE5"/>
    <w:rsid w:val="00A261C5"/>
    <w:rsid w:val="00A26200"/>
    <w:rsid w:val="00A2631D"/>
    <w:rsid w:val="00A26324"/>
    <w:rsid w:val="00A263AA"/>
    <w:rsid w:val="00A2679D"/>
    <w:rsid w:val="00A26840"/>
    <w:rsid w:val="00A26BE9"/>
    <w:rsid w:val="00A26E7E"/>
    <w:rsid w:val="00A26EE0"/>
    <w:rsid w:val="00A26F2C"/>
    <w:rsid w:val="00A27286"/>
    <w:rsid w:val="00A273C3"/>
    <w:rsid w:val="00A274D9"/>
    <w:rsid w:val="00A27572"/>
    <w:rsid w:val="00A27877"/>
    <w:rsid w:val="00A27A34"/>
    <w:rsid w:val="00A27DBD"/>
    <w:rsid w:val="00A30089"/>
    <w:rsid w:val="00A30225"/>
    <w:rsid w:val="00A3054C"/>
    <w:rsid w:val="00A30804"/>
    <w:rsid w:val="00A308C5"/>
    <w:rsid w:val="00A3099E"/>
    <w:rsid w:val="00A30C2C"/>
    <w:rsid w:val="00A30EE9"/>
    <w:rsid w:val="00A3122D"/>
    <w:rsid w:val="00A314D3"/>
    <w:rsid w:val="00A31690"/>
    <w:rsid w:val="00A31B59"/>
    <w:rsid w:val="00A31BE6"/>
    <w:rsid w:val="00A31E5D"/>
    <w:rsid w:val="00A31F10"/>
    <w:rsid w:val="00A31FAF"/>
    <w:rsid w:val="00A32074"/>
    <w:rsid w:val="00A321B3"/>
    <w:rsid w:val="00A3229B"/>
    <w:rsid w:val="00A32504"/>
    <w:rsid w:val="00A327E2"/>
    <w:rsid w:val="00A328F5"/>
    <w:rsid w:val="00A3331D"/>
    <w:rsid w:val="00A333A4"/>
    <w:rsid w:val="00A3363E"/>
    <w:rsid w:val="00A337C3"/>
    <w:rsid w:val="00A337ED"/>
    <w:rsid w:val="00A33B92"/>
    <w:rsid w:val="00A33BEF"/>
    <w:rsid w:val="00A33D57"/>
    <w:rsid w:val="00A33F37"/>
    <w:rsid w:val="00A3413A"/>
    <w:rsid w:val="00A341B0"/>
    <w:rsid w:val="00A341D7"/>
    <w:rsid w:val="00A34299"/>
    <w:rsid w:val="00A34414"/>
    <w:rsid w:val="00A3486F"/>
    <w:rsid w:val="00A34E75"/>
    <w:rsid w:val="00A35002"/>
    <w:rsid w:val="00A3527D"/>
    <w:rsid w:val="00A35408"/>
    <w:rsid w:val="00A35420"/>
    <w:rsid w:val="00A35543"/>
    <w:rsid w:val="00A35A01"/>
    <w:rsid w:val="00A35A1E"/>
    <w:rsid w:val="00A35A3C"/>
    <w:rsid w:val="00A36038"/>
    <w:rsid w:val="00A3607B"/>
    <w:rsid w:val="00A369AD"/>
    <w:rsid w:val="00A3719C"/>
    <w:rsid w:val="00A37397"/>
    <w:rsid w:val="00A3791E"/>
    <w:rsid w:val="00A40064"/>
    <w:rsid w:val="00A403D2"/>
    <w:rsid w:val="00A4040C"/>
    <w:rsid w:val="00A404E0"/>
    <w:rsid w:val="00A40588"/>
    <w:rsid w:val="00A406F1"/>
    <w:rsid w:val="00A40881"/>
    <w:rsid w:val="00A40ACD"/>
    <w:rsid w:val="00A40B1B"/>
    <w:rsid w:val="00A40DED"/>
    <w:rsid w:val="00A410BF"/>
    <w:rsid w:val="00A41566"/>
    <w:rsid w:val="00A4172C"/>
    <w:rsid w:val="00A41733"/>
    <w:rsid w:val="00A41761"/>
    <w:rsid w:val="00A41847"/>
    <w:rsid w:val="00A41B33"/>
    <w:rsid w:val="00A41C0E"/>
    <w:rsid w:val="00A41D80"/>
    <w:rsid w:val="00A41DD7"/>
    <w:rsid w:val="00A41E69"/>
    <w:rsid w:val="00A42130"/>
    <w:rsid w:val="00A4214E"/>
    <w:rsid w:val="00A4218C"/>
    <w:rsid w:val="00A422BD"/>
    <w:rsid w:val="00A422C6"/>
    <w:rsid w:val="00A4261B"/>
    <w:rsid w:val="00A426B8"/>
    <w:rsid w:val="00A4274D"/>
    <w:rsid w:val="00A42A5D"/>
    <w:rsid w:val="00A42B2C"/>
    <w:rsid w:val="00A42C1F"/>
    <w:rsid w:val="00A42E16"/>
    <w:rsid w:val="00A43087"/>
    <w:rsid w:val="00A432EA"/>
    <w:rsid w:val="00A4370C"/>
    <w:rsid w:val="00A438EC"/>
    <w:rsid w:val="00A439A8"/>
    <w:rsid w:val="00A43CD0"/>
    <w:rsid w:val="00A4464E"/>
    <w:rsid w:val="00A44662"/>
    <w:rsid w:val="00A448E6"/>
    <w:rsid w:val="00A44B47"/>
    <w:rsid w:val="00A44BE8"/>
    <w:rsid w:val="00A44BEB"/>
    <w:rsid w:val="00A45064"/>
    <w:rsid w:val="00A45150"/>
    <w:rsid w:val="00A4556A"/>
    <w:rsid w:val="00A4567F"/>
    <w:rsid w:val="00A4582A"/>
    <w:rsid w:val="00A45AFB"/>
    <w:rsid w:val="00A45BE9"/>
    <w:rsid w:val="00A45CF2"/>
    <w:rsid w:val="00A45D86"/>
    <w:rsid w:val="00A45F47"/>
    <w:rsid w:val="00A4639A"/>
    <w:rsid w:val="00A463B8"/>
    <w:rsid w:val="00A466C4"/>
    <w:rsid w:val="00A46819"/>
    <w:rsid w:val="00A4684B"/>
    <w:rsid w:val="00A468C8"/>
    <w:rsid w:val="00A46A7C"/>
    <w:rsid w:val="00A46C3C"/>
    <w:rsid w:val="00A471F2"/>
    <w:rsid w:val="00A47332"/>
    <w:rsid w:val="00A4787E"/>
    <w:rsid w:val="00A47D26"/>
    <w:rsid w:val="00A47D9E"/>
    <w:rsid w:val="00A47F99"/>
    <w:rsid w:val="00A50106"/>
    <w:rsid w:val="00A503DB"/>
    <w:rsid w:val="00A50514"/>
    <w:rsid w:val="00A50703"/>
    <w:rsid w:val="00A50891"/>
    <w:rsid w:val="00A50C36"/>
    <w:rsid w:val="00A50E91"/>
    <w:rsid w:val="00A510AA"/>
    <w:rsid w:val="00A510D2"/>
    <w:rsid w:val="00A5110C"/>
    <w:rsid w:val="00A511B8"/>
    <w:rsid w:val="00A512E4"/>
    <w:rsid w:val="00A51533"/>
    <w:rsid w:val="00A515E6"/>
    <w:rsid w:val="00A51628"/>
    <w:rsid w:val="00A517FE"/>
    <w:rsid w:val="00A51C8B"/>
    <w:rsid w:val="00A52059"/>
    <w:rsid w:val="00A523B1"/>
    <w:rsid w:val="00A52AAF"/>
    <w:rsid w:val="00A52B1F"/>
    <w:rsid w:val="00A52B9C"/>
    <w:rsid w:val="00A52BC3"/>
    <w:rsid w:val="00A53009"/>
    <w:rsid w:val="00A536F3"/>
    <w:rsid w:val="00A53916"/>
    <w:rsid w:val="00A53D02"/>
    <w:rsid w:val="00A540CF"/>
    <w:rsid w:val="00A542B5"/>
    <w:rsid w:val="00A542E2"/>
    <w:rsid w:val="00A5435E"/>
    <w:rsid w:val="00A54365"/>
    <w:rsid w:val="00A544F1"/>
    <w:rsid w:val="00A54680"/>
    <w:rsid w:val="00A546A0"/>
    <w:rsid w:val="00A54930"/>
    <w:rsid w:val="00A54CEF"/>
    <w:rsid w:val="00A55342"/>
    <w:rsid w:val="00A5548B"/>
    <w:rsid w:val="00A55593"/>
    <w:rsid w:val="00A55594"/>
    <w:rsid w:val="00A558E5"/>
    <w:rsid w:val="00A55A4B"/>
    <w:rsid w:val="00A55B14"/>
    <w:rsid w:val="00A55B6C"/>
    <w:rsid w:val="00A55C62"/>
    <w:rsid w:val="00A55DE1"/>
    <w:rsid w:val="00A55F0C"/>
    <w:rsid w:val="00A55FD8"/>
    <w:rsid w:val="00A560F6"/>
    <w:rsid w:val="00A5610F"/>
    <w:rsid w:val="00A56122"/>
    <w:rsid w:val="00A561DC"/>
    <w:rsid w:val="00A56247"/>
    <w:rsid w:val="00A5659A"/>
    <w:rsid w:val="00A565D8"/>
    <w:rsid w:val="00A5664B"/>
    <w:rsid w:val="00A566DB"/>
    <w:rsid w:val="00A56F3F"/>
    <w:rsid w:val="00A57081"/>
    <w:rsid w:val="00A57107"/>
    <w:rsid w:val="00A5721B"/>
    <w:rsid w:val="00A575CA"/>
    <w:rsid w:val="00A57782"/>
    <w:rsid w:val="00A578B0"/>
    <w:rsid w:val="00A57944"/>
    <w:rsid w:val="00A57A54"/>
    <w:rsid w:val="00A57ADD"/>
    <w:rsid w:val="00A57AF2"/>
    <w:rsid w:val="00A57D09"/>
    <w:rsid w:val="00A6000A"/>
    <w:rsid w:val="00A60050"/>
    <w:rsid w:val="00A60067"/>
    <w:rsid w:val="00A601D1"/>
    <w:rsid w:val="00A6037E"/>
    <w:rsid w:val="00A60598"/>
    <w:rsid w:val="00A60708"/>
    <w:rsid w:val="00A607A2"/>
    <w:rsid w:val="00A60848"/>
    <w:rsid w:val="00A60AFA"/>
    <w:rsid w:val="00A6155A"/>
    <w:rsid w:val="00A615F0"/>
    <w:rsid w:val="00A61653"/>
    <w:rsid w:val="00A61DB6"/>
    <w:rsid w:val="00A6237D"/>
    <w:rsid w:val="00A6243E"/>
    <w:rsid w:val="00A62465"/>
    <w:rsid w:val="00A625EB"/>
    <w:rsid w:val="00A6273D"/>
    <w:rsid w:val="00A62889"/>
    <w:rsid w:val="00A6288C"/>
    <w:rsid w:val="00A62A31"/>
    <w:rsid w:val="00A62B6F"/>
    <w:rsid w:val="00A62B7E"/>
    <w:rsid w:val="00A62E84"/>
    <w:rsid w:val="00A631E4"/>
    <w:rsid w:val="00A6340D"/>
    <w:rsid w:val="00A63458"/>
    <w:rsid w:val="00A635AA"/>
    <w:rsid w:val="00A6370D"/>
    <w:rsid w:val="00A6397D"/>
    <w:rsid w:val="00A639D3"/>
    <w:rsid w:val="00A64296"/>
    <w:rsid w:val="00A642B8"/>
    <w:rsid w:val="00A6458B"/>
    <w:rsid w:val="00A64639"/>
    <w:rsid w:val="00A646D7"/>
    <w:rsid w:val="00A6494A"/>
    <w:rsid w:val="00A649BB"/>
    <w:rsid w:val="00A64E06"/>
    <w:rsid w:val="00A650D5"/>
    <w:rsid w:val="00A6511D"/>
    <w:rsid w:val="00A652BD"/>
    <w:rsid w:val="00A655E5"/>
    <w:rsid w:val="00A6561A"/>
    <w:rsid w:val="00A656CC"/>
    <w:rsid w:val="00A657B7"/>
    <w:rsid w:val="00A6584B"/>
    <w:rsid w:val="00A659F4"/>
    <w:rsid w:val="00A65A07"/>
    <w:rsid w:val="00A65CE5"/>
    <w:rsid w:val="00A65D31"/>
    <w:rsid w:val="00A65F38"/>
    <w:rsid w:val="00A667B5"/>
    <w:rsid w:val="00A667DC"/>
    <w:rsid w:val="00A66A93"/>
    <w:rsid w:val="00A66B22"/>
    <w:rsid w:val="00A66E1E"/>
    <w:rsid w:val="00A66F2B"/>
    <w:rsid w:val="00A67087"/>
    <w:rsid w:val="00A67175"/>
    <w:rsid w:val="00A672DE"/>
    <w:rsid w:val="00A67318"/>
    <w:rsid w:val="00A67382"/>
    <w:rsid w:val="00A67536"/>
    <w:rsid w:val="00A676B8"/>
    <w:rsid w:val="00A677C6"/>
    <w:rsid w:val="00A67839"/>
    <w:rsid w:val="00A67A7A"/>
    <w:rsid w:val="00A67CD0"/>
    <w:rsid w:val="00A67E3E"/>
    <w:rsid w:val="00A67E76"/>
    <w:rsid w:val="00A67ECC"/>
    <w:rsid w:val="00A70185"/>
    <w:rsid w:val="00A7045B"/>
    <w:rsid w:val="00A70557"/>
    <w:rsid w:val="00A70581"/>
    <w:rsid w:val="00A70650"/>
    <w:rsid w:val="00A70719"/>
    <w:rsid w:val="00A70910"/>
    <w:rsid w:val="00A709D4"/>
    <w:rsid w:val="00A70B19"/>
    <w:rsid w:val="00A70D6A"/>
    <w:rsid w:val="00A7104C"/>
    <w:rsid w:val="00A71321"/>
    <w:rsid w:val="00A713A0"/>
    <w:rsid w:val="00A7166F"/>
    <w:rsid w:val="00A71CCA"/>
    <w:rsid w:val="00A71EF9"/>
    <w:rsid w:val="00A71F6B"/>
    <w:rsid w:val="00A720A4"/>
    <w:rsid w:val="00A7212C"/>
    <w:rsid w:val="00A722E2"/>
    <w:rsid w:val="00A7251D"/>
    <w:rsid w:val="00A72565"/>
    <w:rsid w:val="00A727B9"/>
    <w:rsid w:val="00A72AEC"/>
    <w:rsid w:val="00A72DB8"/>
    <w:rsid w:val="00A73037"/>
    <w:rsid w:val="00A7321C"/>
    <w:rsid w:val="00A733BE"/>
    <w:rsid w:val="00A7355C"/>
    <w:rsid w:val="00A7359A"/>
    <w:rsid w:val="00A73E70"/>
    <w:rsid w:val="00A73E7E"/>
    <w:rsid w:val="00A73F73"/>
    <w:rsid w:val="00A73F9F"/>
    <w:rsid w:val="00A74082"/>
    <w:rsid w:val="00A740FE"/>
    <w:rsid w:val="00A74205"/>
    <w:rsid w:val="00A744F3"/>
    <w:rsid w:val="00A7485A"/>
    <w:rsid w:val="00A748B1"/>
    <w:rsid w:val="00A74C39"/>
    <w:rsid w:val="00A74E20"/>
    <w:rsid w:val="00A74FEE"/>
    <w:rsid w:val="00A75230"/>
    <w:rsid w:val="00A753C9"/>
    <w:rsid w:val="00A75511"/>
    <w:rsid w:val="00A755E5"/>
    <w:rsid w:val="00A7580C"/>
    <w:rsid w:val="00A75861"/>
    <w:rsid w:val="00A75BCC"/>
    <w:rsid w:val="00A75C87"/>
    <w:rsid w:val="00A75CD8"/>
    <w:rsid w:val="00A76227"/>
    <w:rsid w:val="00A762C3"/>
    <w:rsid w:val="00A7662E"/>
    <w:rsid w:val="00A769E8"/>
    <w:rsid w:val="00A76A72"/>
    <w:rsid w:val="00A76B78"/>
    <w:rsid w:val="00A76BE7"/>
    <w:rsid w:val="00A76DF9"/>
    <w:rsid w:val="00A76FFD"/>
    <w:rsid w:val="00A77001"/>
    <w:rsid w:val="00A77308"/>
    <w:rsid w:val="00A7741F"/>
    <w:rsid w:val="00A774B0"/>
    <w:rsid w:val="00A775DD"/>
    <w:rsid w:val="00A77B41"/>
    <w:rsid w:val="00A77DC7"/>
    <w:rsid w:val="00A8011A"/>
    <w:rsid w:val="00A8016B"/>
    <w:rsid w:val="00A8018E"/>
    <w:rsid w:val="00A80307"/>
    <w:rsid w:val="00A805AF"/>
    <w:rsid w:val="00A805BE"/>
    <w:rsid w:val="00A80607"/>
    <w:rsid w:val="00A80665"/>
    <w:rsid w:val="00A80B69"/>
    <w:rsid w:val="00A80DFB"/>
    <w:rsid w:val="00A80E49"/>
    <w:rsid w:val="00A80F9C"/>
    <w:rsid w:val="00A812C5"/>
    <w:rsid w:val="00A816EB"/>
    <w:rsid w:val="00A81747"/>
    <w:rsid w:val="00A81889"/>
    <w:rsid w:val="00A81C39"/>
    <w:rsid w:val="00A81DA1"/>
    <w:rsid w:val="00A81EF9"/>
    <w:rsid w:val="00A82321"/>
    <w:rsid w:val="00A8264F"/>
    <w:rsid w:val="00A826EB"/>
    <w:rsid w:val="00A82700"/>
    <w:rsid w:val="00A8274D"/>
    <w:rsid w:val="00A829AD"/>
    <w:rsid w:val="00A82A5C"/>
    <w:rsid w:val="00A82A94"/>
    <w:rsid w:val="00A83075"/>
    <w:rsid w:val="00A8312B"/>
    <w:rsid w:val="00A8345B"/>
    <w:rsid w:val="00A836C0"/>
    <w:rsid w:val="00A8385D"/>
    <w:rsid w:val="00A83883"/>
    <w:rsid w:val="00A83968"/>
    <w:rsid w:val="00A83A5D"/>
    <w:rsid w:val="00A83C6D"/>
    <w:rsid w:val="00A83DB6"/>
    <w:rsid w:val="00A83FD2"/>
    <w:rsid w:val="00A8410A"/>
    <w:rsid w:val="00A8423A"/>
    <w:rsid w:val="00A84389"/>
    <w:rsid w:val="00A8445D"/>
    <w:rsid w:val="00A84686"/>
    <w:rsid w:val="00A84761"/>
    <w:rsid w:val="00A849A4"/>
    <w:rsid w:val="00A84AC8"/>
    <w:rsid w:val="00A84FA3"/>
    <w:rsid w:val="00A85003"/>
    <w:rsid w:val="00A85019"/>
    <w:rsid w:val="00A8509C"/>
    <w:rsid w:val="00A851E5"/>
    <w:rsid w:val="00A853E6"/>
    <w:rsid w:val="00A853EF"/>
    <w:rsid w:val="00A854A5"/>
    <w:rsid w:val="00A854DF"/>
    <w:rsid w:val="00A8566A"/>
    <w:rsid w:val="00A85869"/>
    <w:rsid w:val="00A8587C"/>
    <w:rsid w:val="00A85B40"/>
    <w:rsid w:val="00A85BCD"/>
    <w:rsid w:val="00A85F32"/>
    <w:rsid w:val="00A86226"/>
    <w:rsid w:val="00A86349"/>
    <w:rsid w:val="00A8663C"/>
    <w:rsid w:val="00A86648"/>
    <w:rsid w:val="00A86889"/>
    <w:rsid w:val="00A86901"/>
    <w:rsid w:val="00A86DE6"/>
    <w:rsid w:val="00A86FA4"/>
    <w:rsid w:val="00A86FB0"/>
    <w:rsid w:val="00A871C1"/>
    <w:rsid w:val="00A872CF"/>
    <w:rsid w:val="00A87818"/>
    <w:rsid w:val="00A87B09"/>
    <w:rsid w:val="00A87B13"/>
    <w:rsid w:val="00A9011B"/>
    <w:rsid w:val="00A90221"/>
    <w:rsid w:val="00A906A5"/>
    <w:rsid w:val="00A9080F"/>
    <w:rsid w:val="00A908DC"/>
    <w:rsid w:val="00A90AED"/>
    <w:rsid w:val="00A911D8"/>
    <w:rsid w:val="00A91333"/>
    <w:rsid w:val="00A91353"/>
    <w:rsid w:val="00A9146B"/>
    <w:rsid w:val="00A919C5"/>
    <w:rsid w:val="00A91A8E"/>
    <w:rsid w:val="00A91BCA"/>
    <w:rsid w:val="00A91EBE"/>
    <w:rsid w:val="00A91ED1"/>
    <w:rsid w:val="00A92064"/>
    <w:rsid w:val="00A92136"/>
    <w:rsid w:val="00A921CA"/>
    <w:rsid w:val="00A921F0"/>
    <w:rsid w:val="00A925FF"/>
    <w:rsid w:val="00A92865"/>
    <w:rsid w:val="00A92874"/>
    <w:rsid w:val="00A92A3E"/>
    <w:rsid w:val="00A92B5B"/>
    <w:rsid w:val="00A92F4F"/>
    <w:rsid w:val="00A92FC8"/>
    <w:rsid w:val="00A93125"/>
    <w:rsid w:val="00A93331"/>
    <w:rsid w:val="00A934C5"/>
    <w:rsid w:val="00A93700"/>
    <w:rsid w:val="00A9399B"/>
    <w:rsid w:val="00A93A57"/>
    <w:rsid w:val="00A93A58"/>
    <w:rsid w:val="00A93B0C"/>
    <w:rsid w:val="00A93DF9"/>
    <w:rsid w:val="00A93FAB"/>
    <w:rsid w:val="00A947C9"/>
    <w:rsid w:val="00A948D7"/>
    <w:rsid w:val="00A9498C"/>
    <w:rsid w:val="00A94D46"/>
    <w:rsid w:val="00A94F5F"/>
    <w:rsid w:val="00A95074"/>
    <w:rsid w:val="00A950BF"/>
    <w:rsid w:val="00A95456"/>
    <w:rsid w:val="00A95736"/>
    <w:rsid w:val="00A95A2C"/>
    <w:rsid w:val="00A95C0E"/>
    <w:rsid w:val="00A95D8A"/>
    <w:rsid w:val="00A95EB6"/>
    <w:rsid w:val="00A95FF8"/>
    <w:rsid w:val="00A96096"/>
    <w:rsid w:val="00A9609E"/>
    <w:rsid w:val="00A96259"/>
    <w:rsid w:val="00A96275"/>
    <w:rsid w:val="00A96289"/>
    <w:rsid w:val="00A964F9"/>
    <w:rsid w:val="00A9668B"/>
    <w:rsid w:val="00A969E1"/>
    <w:rsid w:val="00A96BF9"/>
    <w:rsid w:val="00A96C8A"/>
    <w:rsid w:val="00A96DA2"/>
    <w:rsid w:val="00A970E7"/>
    <w:rsid w:val="00A971D1"/>
    <w:rsid w:val="00A971EF"/>
    <w:rsid w:val="00A973BD"/>
    <w:rsid w:val="00A97497"/>
    <w:rsid w:val="00A975D6"/>
    <w:rsid w:val="00A97998"/>
    <w:rsid w:val="00A97DD6"/>
    <w:rsid w:val="00AA014E"/>
    <w:rsid w:val="00AA01D6"/>
    <w:rsid w:val="00AA023A"/>
    <w:rsid w:val="00AA0383"/>
    <w:rsid w:val="00AA0423"/>
    <w:rsid w:val="00AA063F"/>
    <w:rsid w:val="00AA07F4"/>
    <w:rsid w:val="00AA0925"/>
    <w:rsid w:val="00AA09BA"/>
    <w:rsid w:val="00AA0C4F"/>
    <w:rsid w:val="00AA0CE0"/>
    <w:rsid w:val="00AA0FFA"/>
    <w:rsid w:val="00AA104D"/>
    <w:rsid w:val="00AA1469"/>
    <w:rsid w:val="00AA15A0"/>
    <w:rsid w:val="00AA17B1"/>
    <w:rsid w:val="00AA1A8F"/>
    <w:rsid w:val="00AA1AB2"/>
    <w:rsid w:val="00AA1FFE"/>
    <w:rsid w:val="00AA22AC"/>
    <w:rsid w:val="00AA22BE"/>
    <w:rsid w:val="00AA27CC"/>
    <w:rsid w:val="00AA2A86"/>
    <w:rsid w:val="00AA2E06"/>
    <w:rsid w:val="00AA2E21"/>
    <w:rsid w:val="00AA351E"/>
    <w:rsid w:val="00AA38A6"/>
    <w:rsid w:val="00AA3A0D"/>
    <w:rsid w:val="00AA3FCB"/>
    <w:rsid w:val="00AA3FEA"/>
    <w:rsid w:val="00AA428F"/>
    <w:rsid w:val="00AA42B9"/>
    <w:rsid w:val="00AA42D7"/>
    <w:rsid w:val="00AA43BB"/>
    <w:rsid w:val="00AA4426"/>
    <w:rsid w:val="00AA456C"/>
    <w:rsid w:val="00AA462B"/>
    <w:rsid w:val="00AA464D"/>
    <w:rsid w:val="00AA4A0A"/>
    <w:rsid w:val="00AA4CFB"/>
    <w:rsid w:val="00AA4D20"/>
    <w:rsid w:val="00AA50CA"/>
    <w:rsid w:val="00AA52A8"/>
    <w:rsid w:val="00AA5369"/>
    <w:rsid w:val="00AA566C"/>
    <w:rsid w:val="00AA5923"/>
    <w:rsid w:val="00AA5987"/>
    <w:rsid w:val="00AA5A78"/>
    <w:rsid w:val="00AA5B95"/>
    <w:rsid w:val="00AA5C26"/>
    <w:rsid w:val="00AA5E23"/>
    <w:rsid w:val="00AA5FED"/>
    <w:rsid w:val="00AA6313"/>
    <w:rsid w:val="00AA6706"/>
    <w:rsid w:val="00AA673C"/>
    <w:rsid w:val="00AA6886"/>
    <w:rsid w:val="00AA6BE4"/>
    <w:rsid w:val="00AA6EF6"/>
    <w:rsid w:val="00AA70E8"/>
    <w:rsid w:val="00AA7232"/>
    <w:rsid w:val="00AA7412"/>
    <w:rsid w:val="00AA7899"/>
    <w:rsid w:val="00AA7972"/>
    <w:rsid w:val="00AA7AEA"/>
    <w:rsid w:val="00AA7C06"/>
    <w:rsid w:val="00AA7E06"/>
    <w:rsid w:val="00AA7F15"/>
    <w:rsid w:val="00AB0001"/>
    <w:rsid w:val="00AB01C3"/>
    <w:rsid w:val="00AB0281"/>
    <w:rsid w:val="00AB04A9"/>
    <w:rsid w:val="00AB0B10"/>
    <w:rsid w:val="00AB0D93"/>
    <w:rsid w:val="00AB160A"/>
    <w:rsid w:val="00AB163D"/>
    <w:rsid w:val="00AB1833"/>
    <w:rsid w:val="00AB1F0C"/>
    <w:rsid w:val="00AB1F94"/>
    <w:rsid w:val="00AB219E"/>
    <w:rsid w:val="00AB258F"/>
    <w:rsid w:val="00AB2739"/>
    <w:rsid w:val="00AB2865"/>
    <w:rsid w:val="00AB28AF"/>
    <w:rsid w:val="00AB2D52"/>
    <w:rsid w:val="00AB2D7B"/>
    <w:rsid w:val="00AB2D9E"/>
    <w:rsid w:val="00AB2E6E"/>
    <w:rsid w:val="00AB2EEF"/>
    <w:rsid w:val="00AB3155"/>
    <w:rsid w:val="00AB3262"/>
    <w:rsid w:val="00AB334D"/>
    <w:rsid w:val="00AB3931"/>
    <w:rsid w:val="00AB3948"/>
    <w:rsid w:val="00AB3B31"/>
    <w:rsid w:val="00AB3B88"/>
    <w:rsid w:val="00AB3BCF"/>
    <w:rsid w:val="00AB3CD9"/>
    <w:rsid w:val="00AB3D98"/>
    <w:rsid w:val="00AB3E82"/>
    <w:rsid w:val="00AB4175"/>
    <w:rsid w:val="00AB4870"/>
    <w:rsid w:val="00AB4F20"/>
    <w:rsid w:val="00AB529A"/>
    <w:rsid w:val="00AB5433"/>
    <w:rsid w:val="00AB5696"/>
    <w:rsid w:val="00AB56DF"/>
    <w:rsid w:val="00AB5CB3"/>
    <w:rsid w:val="00AB5DC6"/>
    <w:rsid w:val="00AB5DDD"/>
    <w:rsid w:val="00AB5DE4"/>
    <w:rsid w:val="00AB6412"/>
    <w:rsid w:val="00AB65FA"/>
    <w:rsid w:val="00AB6965"/>
    <w:rsid w:val="00AB6B28"/>
    <w:rsid w:val="00AB6E5E"/>
    <w:rsid w:val="00AB6E9C"/>
    <w:rsid w:val="00AB6F34"/>
    <w:rsid w:val="00AB7285"/>
    <w:rsid w:val="00AB7321"/>
    <w:rsid w:val="00AB73BF"/>
    <w:rsid w:val="00AB73D8"/>
    <w:rsid w:val="00AB75F3"/>
    <w:rsid w:val="00AB76C6"/>
    <w:rsid w:val="00AB7896"/>
    <w:rsid w:val="00AB7B87"/>
    <w:rsid w:val="00AB7BA3"/>
    <w:rsid w:val="00AC01D9"/>
    <w:rsid w:val="00AC03BA"/>
    <w:rsid w:val="00AC097D"/>
    <w:rsid w:val="00AC0DBE"/>
    <w:rsid w:val="00AC0DBF"/>
    <w:rsid w:val="00AC0E06"/>
    <w:rsid w:val="00AC0EF9"/>
    <w:rsid w:val="00AC0F24"/>
    <w:rsid w:val="00AC0F4E"/>
    <w:rsid w:val="00AC15B6"/>
    <w:rsid w:val="00AC1710"/>
    <w:rsid w:val="00AC19AF"/>
    <w:rsid w:val="00AC1C77"/>
    <w:rsid w:val="00AC1CA1"/>
    <w:rsid w:val="00AC1EE0"/>
    <w:rsid w:val="00AC212A"/>
    <w:rsid w:val="00AC2158"/>
    <w:rsid w:val="00AC219D"/>
    <w:rsid w:val="00AC22C8"/>
    <w:rsid w:val="00AC2300"/>
    <w:rsid w:val="00AC2998"/>
    <w:rsid w:val="00AC2A06"/>
    <w:rsid w:val="00AC2B06"/>
    <w:rsid w:val="00AC2BD1"/>
    <w:rsid w:val="00AC2ED1"/>
    <w:rsid w:val="00AC3032"/>
    <w:rsid w:val="00AC313E"/>
    <w:rsid w:val="00AC3281"/>
    <w:rsid w:val="00AC3AF7"/>
    <w:rsid w:val="00AC3E81"/>
    <w:rsid w:val="00AC3EAD"/>
    <w:rsid w:val="00AC4014"/>
    <w:rsid w:val="00AC40E6"/>
    <w:rsid w:val="00AC412C"/>
    <w:rsid w:val="00AC4409"/>
    <w:rsid w:val="00AC4946"/>
    <w:rsid w:val="00AC4A99"/>
    <w:rsid w:val="00AC4AB5"/>
    <w:rsid w:val="00AC4C31"/>
    <w:rsid w:val="00AC52A7"/>
    <w:rsid w:val="00AC52BD"/>
    <w:rsid w:val="00AC5318"/>
    <w:rsid w:val="00AC55AC"/>
    <w:rsid w:val="00AC5A35"/>
    <w:rsid w:val="00AC5A6F"/>
    <w:rsid w:val="00AC5E85"/>
    <w:rsid w:val="00AC5F2C"/>
    <w:rsid w:val="00AC5F7D"/>
    <w:rsid w:val="00AC60CD"/>
    <w:rsid w:val="00AC6115"/>
    <w:rsid w:val="00AC6157"/>
    <w:rsid w:val="00AC626B"/>
    <w:rsid w:val="00AC65D2"/>
    <w:rsid w:val="00AC6825"/>
    <w:rsid w:val="00AC6BE0"/>
    <w:rsid w:val="00AC6D7F"/>
    <w:rsid w:val="00AC7131"/>
    <w:rsid w:val="00AC728B"/>
    <w:rsid w:val="00AC7636"/>
    <w:rsid w:val="00AC793B"/>
    <w:rsid w:val="00AC79C3"/>
    <w:rsid w:val="00AC7B43"/>
    <w:rsid w:val="00AC7D4B"/>
    <w:rsid w:val="00AC7E85"/>
    <w:rsid w:val="00AD039D"/>
    <w:rsid w:val="00AD0752"/>
    <w:rsid w:val="00AD07A8"/>
    <w:rsid w:val="00AD0830"/>
    <w:rsid w:val="00AD08EF"/>
    <w:rsid w:val="00AD0CA5"/>
    <w:rsid w:val="00AD15AF"/>
    <w:rsid w:val="00AD190F"/>
    <w:rsid w:val="00AD1955"/>
    <w:rsid w:val="00AD1A43"/>
    <w:rsid w:val="00AD1CFE"/>
    <w:rsid w:val="00AD1D1D"/>
    <w:rsid w:val="00AD21D6"/>
    <w:rsid w:val="00AD2233"/>
    <w:rsid w:val="00AD22B0"/>
    <w:rsid w:val="00AD23E2"/>
    <w:rsid w:val="00AD2492"/>
    <w:rsid w:val="00AD2701"/>
    <w:rsid w:val="00AD2AB4"/>
    <w:rsid w:val="00AD2B24"/>
    <w:rsid w:val="00AD2BD3"/>
    <w:rsid w:val="00AD2C95"/>
    <w:rsid w:val="00AD2CDF"/>
    <w:rsid w:val="00AD2D87"/>
    <w:rsid w:val="00AD2DEB"/>
    <w:rsid w:val="00AD2E31"/>
    <w:rsid w:val="00AD2EC9"/>
    <w:rsid w:val="00AD32A5"/>
    <w:rsid w:val="00AD33E5"/>
    <w:rsid w:val="00AD3532"/>
    <w:rsid w:val="00AD3719"/>
    <w:rsid w:val="00AD3765"/>
    <w:rsid w:val="00AD3E26"/>
    <w:rsid w:val="00AD3F02"/>
    <w:rsid w:val="00AD4222"/>
    <w:rsid w:val="00AD4282"/>
    <w:rsid w:val="00AD428D"/>
    <w:rsid w:val="00AD43A9"/>
    <w:rsid w:val="00AD43D7"/>
    <w:rsid w:val="00AD44EF"/>
    <w:rsid w:val="00AD457C"/>
    <w:rsid w:val="00AD4B2A"/>
    <w:rsid w:val="00AD4CBC"/>
    <w:rsid w:val="00AD4EB2"/>
    <w:rsid w:val="00AD4FC7"/>
    <w:rsid w:val="00AD504A"/>
    <w:rsid w:val="00AD50B2"/>
    <w:rsid w:val="00AD510A"/>
    <w:rsid w:val="00AD5349"/>
    <w:rsid w:val="00AD55C1"/>
    <w:rsid w:val="00AD5641"/>
    <w:rsid w:val="00AD5970"/>
    <w:rsid w:val="00AD5976"/>
    <w:rsid w:val="00AD5B19"/>
    <w:rsid w:val="00AD5C10"/>
    <w:rsid w:val="00AD5CB8"/>
    <w:rsid w:val="00AD5CBD"/>
    <w:rsid w:val="00AD5D16"/>
    <w:rsid w:val="00AD5E06"/>
    <w:rsid w:val="00AD6265"/>
    <w:rsid w:val="00AD63C6"/>
    <w:rsid w:val="00AD65D9"/>
    <w:rsid w:val="00AD663D"/>
    <w:rsid w:val="00AD6695"/>
    <w:rsid w:val="00AD69C9"/>
    <w:rsid w:val="00AD6AF6"/>
    <w:rsid w:val="00AD6C86"/>
    <w:rsid w:val="00AD6E08"/>
    <w:rsid w:val="00AD6E66"/>
    <w:rsid w:val="00AD707D"/>
    <w:rsid w:val="00AD724D"/>
    <w:rsid w:val="00AD75B5"/>
    <w:rsid w:val="00AD76B3"/>
    <w:rsid w:val="00AD7788"/>
    <w:rsid w:val="00AD79BA"/>
    <w:rsid w:val="00AD7CC7"/>
    <w:rsid w:val="00AD7D3C"/>
    <w:rsid w:val="00AD7FCF"/>
    <w:rsid w:val="00AE0153"/>
    <w:rsid w:val="00AE03D6"/>
    <w:rsid w:val="00AE0404"/>
    <w:rsid w:val="00AE05C4"/>
    <w:rsid w:val="00AE0847"/>
    <w:rsid w:val="00AE0A8C"/>
    <w:rsid w:val="00AE0D2E"/>
    <w:rsid w:val="00AE10B3"/>
    <w:rsid w:val="00AE14A7"/>
    <w:rsid w:val="00AE19FC"/>
    <w:rsid w:val="00AE1DC7"/>
    <w:rsid w:val="00AE227E"/>
    <w:rsid w:val="00AE25B8"/>
    <w:rsid w:val="00AE28E8"/>
    <w:rsid w:val="00AE2B02"/>
    <w:rsid w:val="00AE2CF3"/>
    <w:rsid w:val="00AE2D84"/>
    <w:rsid w:val="00AE3036"/>
    <w:rsid w:val="00AE3834"/>
    <w:rsid w:val="00AE3835"/>
    <w:rsid w:val="00AE3A8C"/>
    <w:rsid w:val="00AE3F2E"/>
    <w:rsid w:val="00AE3F4B"/>
    <w:rsid w:val="00AE41D1"/>
    <w:rsid w:val="00AE4383"/>
    <w:rsid w:val="00AE4459"/>
    <w:rsid w:val="00AE4507"/>
    <w:rsid w:val="00AE4915"/>
    <w:rsid w:val="00AE4975"/>
    <w:rsid w:val="00AE4CFB"/>
    <w:rsid w:val="00AE4E6E"/>
    <w:rsid w:val="00AE515B"/>
    <w:rsid w:val="00AE5385"/>
    <w:rsid w:val="00AE53B1"/>
    <w:rsid w:val="00AE5478"/>
    <w:rsid w:val="00AE553F"/>
    <w:rsid w:val="00AE5585"/>
    <w:rsid w:val="00AE5693"/>
    <w:rsid w:val="00AE571D"/>
    <w:rsid w:val="00AE57BF"/>
    <w:rsid w:val="00AE5CDA"/>
    <w:rsid w:val="00AE5EE3"/>
    <w:rsid w:val="00AE63B1"/>
    <w:rsid w:val="00AE6532"/>
    <w:rsid w:val="00AE66CE"/>
    <w:rsid w:val="00AE6A91"/>
    <w:rsid w:val="00AE6B0B"/>
    <w:rsid w:val="00AE6B42"/>
    <w:rsid w:val="00AE6D64"/>
    <w:rsid w:val="00AE6E1B"/>
    <w:rsid w:val="00AE7476"/>
    <w:rsid w:val="00AE77A0"/>
    <w:rsid w:val="00AE77B0"/>
    <w:rsid w:val="00AE7ABD"/>
    <w:rsid w:val="00AE7B99"/>
    <w:rsid w:val="00AE7BA0"/>
    <w:rsid w:val="00AE7C0D"/>
    <w:rsid w:val="00AF004F"/>
    <w:rsid w:val="00AF007F"/>
    <w:rsid w:val="00AF00FC"/>
    <w:rsid w:val="00AF0573"/>
    <w:rsid w:val="00AF06F8"/>
    <w:rsid w:val="00AF0779"/>
    <w:rsid w:val="00AF0856"/>
    <w:rsid w:val="00AF095D"/>
    <w:rsid w:val="00AF0F09"/>
    <w:rsid w:val="00AF10B7"/>
    <w:rsid w:val="00AF11E1"/>
    <w:rsid w:val="00AF13F6"/>
    <w:rsid w:val="00AF18A9"/>
    <w:rsid w:val="00AF1F50"/>
    <w:rsid w:val="00AF229B"/>
    <w:rsid w:val="00AF22FE"/>
    <w:rsid w:val="00AF25AA"/>
    <w:rsid w:val="00AF2871"/>
    <w:rsid w:val="00AF2BB6"/>
    <w:rsid w:val="00AF2BD6"/>
    <w:rsid w:val="00AF2DE0"/>
    <w:rsid w:val="00AF2E2B"/>
    <w:rsid w:val="00AF35EC"/>
    <w:rsid w:val="00AF36E3"/>
    <w:rsid w:val="00AF386A"/>
    <w:rsid w:val="00AF3A8B"/>
    <w:rsid w:val="00AF40A8"/>
    <w:rsid w:val="00AF40DD"/>
    <w:rsid w:val="00AF4228"/>
    <w:rsid w:val="00AF42A9"/>
    <w:rsid w:val="00AF432E"/>
    <w:rsid w:val="00AF4400"/>
    <w:rsid w:val="00AF443F"/>
    <w:rsid w:val="00AF461A"/>
    <w:rsid w:val="00AF48EC"/>
    <w:rsid w:val="00AF4B87"/>
    <w:rsid w:val="00AF4CB1"/>
    <w:rsid w:val="00AF4D90"/>
    <w:rsid w:val="00AF4E7C"/>
    <w:rsid w:val="00AF5023"/>
    <w:rsid w:val="00AF527C"/>
    <w:rsid w:val="00AF556B"/>
    <w:rsid w:val="00AF55A1"/>
    <w:rsid w:val="00AF55FB"/>
    <w:rsid w:val="00AF5604"/>
    <w:rsid w:val="00AF5845"/>
    <w:rsid w:val="00AF5BB2"/>
    <w:rsid w:val="00AF5D0B"/>
    <w:rsid w:val="00AF6002"/>
    <w:rsid w:val="00AF62B5"/>
    <w:rsid w:val="00AF63AE"/>
    <w:rsid w:val="00AF63F7"/>
    <w:rsid w:val="00AF6472"/>
    <w:rsid w:val="00AF64C1"/>
    <w:rsid w:val="00AF6579"/>
    <w:rsid w:val="00AF6969"/>
    <w:rsid w:val="00AF7229"/>
    <w:rsid w:val="00AF7492"/>
    <w:rsid w:val="00AF74E9"/>
    <w:rsid w:val="00AF7D25"/>
    <w:rsid w:val="00B0025E"/>
    <w:rsid w:val="00B00278"/>
    <w:rsid w:val="00B007C1"/>
    <w:rsid w:val="00B0083B"/>
    <w:rsid w:val="00B00967"/>
    <w:rsid w:val="00B00D48"/>
    <w:rsid w:val="00B00D67"/>
    <w:rsid w:val="00B00DA7"/>
    <w:rsid w:val="00B00E44"/>
    <w:rsid w:val="00B0102D"/>
    <w:rsid w:val="00B0107E"/>
    <w:rsid w:val="00B011A0"/>
    <w:rsid w:val="00B0139C"/>
    <w:rsid w:val="00B014D7"/>
    <w:rsid w:val="00B01553"/>
    <w:rsid w:val="00B01948"/>
    <w:rsid w:val="00B01DE0"/>
    <w:rsid w:val="00B020D7"/>
    <w:rsid w:val="00B02299"/>
    <w:rsid w:val="00B0284B"/>
    <w:rsid w:val="00B02A70"/>
    <w:rsid w:val="00B02C48"/>
    <w:rsid w:val="00B02FA0"/>
    <w:rsid w:val="00B030E2"/>
    <w:rsid w:val="00B03131"/>
    <w:rsid w:val="00B03245"/>
    <w:rsid w:val="00B033C1"/>
    <w:rsid w:val="00B0357B"/>
    <w:rsid w:val="00B03653"/>
    <w:rsid w:val="00B03AB7"/>
    <w:rsid w:val="00B03CC8"/>
    <w:rsid w:val="00B03DB3"/>
    <w:rsid w:val="00B04005"/>
    <w:rsid w:val="00B04528"/>
    <w:rsid w:val="00B0468F"/>
    <w:rsid w:val="00B04961"/>
    <w:rsid w:val="00B0498E"/>
    <w:rsid w:val="00B05113"/>
    <w:rsid w:val="00B05290"/>
    <w:rsid w:val="00B05295"/>
    <w:rsid w:val="00B052BC"/>
    <w:rsid w:val="00B05643"/>
    <w:rsid w:val="00B056A5"/>
    <w:rsid w:val="00B0584A"/>
    <w:rsid w:val="00B05BE5"/>
    <w:rsid w:val="00B05D08"/>
    <w:rsid w:val="00B05E3A"/>
    <w:rsid w:val="00B060EC"/>
    <w:rsid w:val="00B060ED"/>
    <w:rsid w:val="00B060EF"/>
    <w:rsid w:val="00B06140"/>
    <w:rsid w:val="00B06163"/>
    <w:rsid w:val="00B0629B"/>
    <w:rsid w:val="00B0633C"/>
    <w:rsid w:val="00B0662E"/>
    <w:rsid w:val="00B0672B"/>
    <w:rsid w:val="00B06910"/>
    <w:rsid w:val="00B0694C"/>
    <w:rsid w:val="00B06D0B"/>
    <w:rsid w:val="00B06D2E"/>
    <w:rsid w:val="00B06D4E"/>
    <w:rsid w:val="00B06EFA"/>
    <w:rsid w:val="00B07216"/>
    <w:rsid w:val="00B074B5"/>
    <w:rsid w:val="00B074D3"/>
    <w:rsid w:val="00B07860"/>
    <w:rsid w:val="00B07871"/>
    <w:rsid w:val="00B07930"/>
    <w:rsid w:val="00B07A1C"/>
    <w:rsid w:val="00B07BB0"/>
    <w:rsid w:val="00B100E7"/>
    <w:rsid w:val="00B10200"/>
    <w:rsid w:val="00B10378"/>
    <w:rsid w:val="00B1041C"/>
    <w:rsid w:val="00B10AB3"/>
    <w:rsid w:val="00B10D8B"/>
    <w:rsid w:val="00B10D94"/>
    <w:rsid w:val="00B10E7D"/>
    <w:rsid w:val="00B11286"/>
    <w:rsid w:val="00B1150D"/>
    <w:rsid w:val="00B115B4"/>
    <w:rsid w:val="00B11728"/>
    <w:rsid w:val="00B117DE"/>
    <w:rsid w:val="00B11819"/>
    <w:rsid w:val="00B11AF7"/>
    <w:rsid w:val="00B11E3E"/>
    <w:rsid w:val="00B11EB2"/>
    <w:rsid w:val="00B12346"/>
    <w:rsid w:val="00B1236F"/>
    <w:rsid w:val="00B125C0"/>
    <w:rsid w:val="00B128D4"/>
    <w:rsid w:val="00B12B5E"/>
    <w:rsid w:val="00B12E2F"/>
    <w:rsid w:val="00B130B0"/>
    <w:rsid w:val="00B13499"/>
    <w:rsid w:val="00B134C4"/>
    <w:rsid w:val="00B137DD"/>
    <w:rsid w:val="00B138C8"/>
    <w:rsid w:val="00B13AFF"/>
    <w:rsid w:val="00B13B97"/>
    <w:rsid w:val="00B13BEF"/>
    <w:rsid w:val="00B13D6C"/>
    <w:rsid w:val="00B1421C"/>
    <w:rsid w:val="00B142B5"/>
    <w:rsid w:val="00B143E8"/>
    <w:rsid w:val="00B14808"/>
    <w:rsid w:val="00B14B4D"/>
    <w:rsid w:val="00B14B77"/>
    <w:rsid w:val="00B14CD8"/>
    <w:rsid w:val="00B14ECE"/>
    <w:rsid w:val="00B15429"/>
    <w:rsid w:val="00B15463"/>
    <w:rsid w:val="00B15835"/>
    <w:rsid w:val="00B15A65"/>
    <w:rsid w:val="00B15B23"/>
    <w:rsid w:val="00B15C00"/>
    <w:rsid w:val="00B15EF9"/>
    <w:rsid w:val="00B15F0A"/>
    <w:rsid w:val="00B1600A"/>
    <w:rsid w:val="00B160C6"/>
    <w:rsid w:val="00B162D2"/>
    <w:rsid w:val="00B16370"/>
    <w:rsid w:val="00B16448"/>
    <w:rsid w:val="00B164DE"/>
    <w:rsid w:val="00B16565"/>
    <w:rsid w:val="00B16748"/>
    <w:rsid w:val="00B16955"/>
    <w:rsid w:val="00B16970"/>
    <w:rsid w:val="00B16D09"/>
    <w:rsid w:val="00B16F83"/>
    <w:rsid w:val="00B170FA"/>
    <w:rsid w:val="00B173A1"/>
    <w:rsid w:val="00B1750C"/>
    <w:rsid w:val="00B17771"/>
    <w:rsid w:val="00B177BF"/>
    <w:rsid w:val="00B1788D"/>
    <w:rsid w:val="00B17C8C"/>
    <w:rsid w:val="00B17CB8"/>
    <w:rsid w:val="00B17D62"/>
    <w:rsid w:val="00B2021F"/>
    <w:rsid w:val="00B20603"/>
    <w:rsid w:val="00B2066D"/>
    <w:rsid w:val="00B2076D"/>
    <w:rsid w:val="00B20BFF"/>
    <w:rsid w:val="00B20E47"/>
    <w:rsid w:val="00B210F8"/>
    <w:rsid w:val="00B21544"/>
    <w:rsid w:val="00B2163A"/>
    <w:rsid w:val="00B21B2D"/>
    <w:rsid w:val="00B21BA5"/>
    <w:rsid w:val="00B22259"/>
    <w:rsid w:val="00B22360"/>
    <w:rsid w:val="00B225B7"/>
    <w:rsid w:val="00B225C7"/>
    <w:rsid w:val="00B22631"/>
    <w:rsid w:val="00B226CA"/>
    <w:rsid w:val="00B22C0B"/>
    <w:rsid w:val="00B22DAA"/>
    <w:rsid w:val="00B22E82"/>
    <w:rsid w:val="00B22E9C"/>
    <w:rsid w:val="00B22F2B"/>
    <w:rsid w:val="00B2301E"/>
    <w:rsid w:val="00B2338B"/>
    <w:rsid w:val="00B23497"/>
    <w:rsid w:val="00B23710"/>
    <w:rsid w:val="00B238CC"/>
    <w:rsid w:val="00B23924"/>
    <w:rsid w:val="00B23993"/>
    <w:rsid w:val="00B23AA1"/>
    <w:rsid w:val="00B23ADB"/>
    <w:rsid w:val="00B23CED"/>
    <w:rsid w:val="00B2422A"/>
    <w:rsid w:val="00B242CA"/>
    <w:rsid w:val="00B2455B"/>
    <w:rsid w:val="00B2456E"/>
    <w:rsid w:val="00B245D7"/>
    <w:rsid w:val="00B24AE8"/>
    <w:rsid w:val="00B25059"/>
    <w:rsid w:val="00B251B4"/>
    <w:rsid w:val="00B25265"/>
    <w:rsid w:val="00B25547"/>
    <w:rsid w:val="00B2579A"/>
    <w:rsid w:val="00B2582C"/>
    <w:rsid w:val="00B25C65"/>
    <w:rsid w:val="00B25C7A"/>
    <w:rsid w:val="00B25CFF"/>
    <w:rsid w:val="00B25DED"/>
    <w:rsid w:val="00B25ED1"/>
    <w:rsid w:val="00B25F99"/>
    <w:rsid w:val="00B262F0"/>
    <w:rsid w:val="00B268C4"/>
    <w:rsid w:val="00B26CE3"/>
    <w:rsid w:val="00B26D21"/>
    <w:rsid w:val="00B26F5E"/>
    <w:rsid w:val="00B272D5"/>
    <w:rsid w:val="00B27563"/>
    <w:rsid w:val="00B27B4D"/>
    <w:rsid w:val="00B27DBF"/>
    <w:rsid w:val="00B302B4"/>
    <w:rsid w:val="00B3060B"/>
    <w:rsid w:val="00B306AF"/>
    <w:rsid w:val="00B3072C"/>
    <w:rsid w:val="00B30780"/>
    <w:rsid w:val="00B30795"/>
    <w:rsid w:val="00B307C9"/>
    <w:rsid w:val="00B30960"/>
    <w:rsid w:val="00B30AAE"/>
    <w:rsid w:val="00B30B90"/>
    <w:rsid w:val="00B30CA4"/>
    <w:rsid w:val="00B30F7D"/>
    <w:rsid w:val="00B310E1"/>
    <w:rsid w:val="00B312D5"/>
    <w:rsid w:val="00B3154F"/>
    <w:rsid w:val="00B3184F"/>
    <w:rsid w:val="00B31B7A"/>
    <w:rsid w:val="00B32074"/>
    <w:rsid w:val="00B32595"/>
    <w:rsid w:val="00B3280D"/>
    <w:rsid w:val="00B32918"/>
    <w:rsid w:val="00B32A89"/>
    <w:rsid w:val="00B32F06"/>
    <w:rsid w:val="00B32FBA"/>
    <w:rsid w:val="00B330E6"/>
    <w:rsid w:val="00B33172"/>
    <w:rsid w:val="00B33275"/>
    <w:rsid w:val="00B333F3"/>
    <w:rsid w:val="00B33417"/>
    <w:rsid w:val="00B335BF"/>
    <w:rsid w:val="00B33690"/>
    <w:rsid w:val="00B3374E"/>
    <w:rsid w:val="00B337A8"/>
    <w:rsid w:val="00B33958"/>
    <w:rsid w:val="00B339DE"/>
    <w:rsid w:val="00B33C73"/>
    <w:rsid w:val="00B33C7F"/>
    <w:rsid w:val="00B33D22"/>
    <w:rsid w:val="00B343A4"/>
    <w:rsid w:val="00B344E3"/>
    <w:rsid w:val="00B34601"/>
    <w:rsid w:val="00B34695"/>
    <w:rsid w:val="00B346FC"/>
    <w:rsid w:val="00B347CF"/>
    <w:rsid w:val="00B347DB"/>
    <w:rsid w:val="00B34F38"/>
    <w:rsid w:val="00B34FA3"/>
    <w:rsid w:val="00B350C4"/>
    <w:rsid w:val="00B355DB"/>
    <w:rsid w:val="00B356BE"/>
    <w:rsid w:val="00B35AD8"/>
    <w:rsid w:val="00B35D05"/>
    <w:rsid w:val="00B35DDB"/>
    <w:rsid w:val="00B35E8D"/>
    <w:rsid w:val="00B35F0E"/>
    <w:rsid w:val="00B36878"/>
    <w:rsid w:val="00B3695F"/>
    <w:rsid w:val="00B369EB"/>
    <w:rsid w:val="00B36B60"/>
    <w:rsid w:val="00B36C9C"/>
    <w:rsid w:val="00B36DB5"/>
    <w:rsid w:val="00B36DC0"/>
    <w:rsid w:val="00B36E4A"/>
    <w:rsid w:val="00B37021"/>
    <w:rsid w:val="00B370A5"/>
    <w:rsid w:val="00B37229"/>
    <w:rsid w:val="00B37817"/>
    <w:rsid w:val="00B37D0B"/>
    <w:rsid w:val="00B37DA7"/>
    <w:rsid w:val="00B40050"/>
    <w:rsid w:val="00B400FB"/>
    <w:rsid w:val="00B402C5"/>
    <w:rsid w:val="00B403DF"/>
    <w:rsid w:val="00B40426"/>
    <w:rsid w:val="00B40504"/>
    <w:rsid w:val="00B40819"/>
    <w:rsid w:val="00B4081A"/>
    <w:rsid w:val="00B408DF"/>
    <w:rsid w:val="00B40BDB"/>
    <w:rsid w:val="00B40C7C"/>
    <w:rsid w:val="00B40FC0"/>
    <w:rsid w:val="00B40FC2"/>
    <w:rsid w:val="00B40FD2"/>
    <w:rsid w:val="00B41212"/>
    <w:rsid w:val="00B41482"/>
    <w:rsid w:val="00B41624"/>
    <w:rsid w:val="00B418C8"/>
    <w:rsid w:val="00B41ACE"/>
    <w:rsid w:val="00B41C2D"/>
    <w:rsid w:val="00B41C5A"/>
    <w:rsid w:val="00B42001"/>
    <w:rsid w:val="00B42070"/>
    <w:rsid w:val="00B421F4"/>
    <w:rsid w:val="00B42604"/>
    <w:rsid w:val="00B426F1"/>
    <w:rsid w:val="00B427BA"/>
    <w:rsid w:val="00B42F52"/>
    <w:rsid w:val="00B430FE"/>
    <w:rsid w:val="00B433C3"/>
    <w:rsid w:val="00B43479"/>
    <w:rsid w:val="00B43D62"/>
    <w:rsid w:val="00B43E3E"/>
    <w:rsid w:val="00B43F19"/>
    <w:rsid w:val="00B4430C"/>
    <w:rsid w:val="00B445AE"/>
    <w:rsid w:val="00B44694"/>
    <w:rsid w:val="00B447EB"/>
    <w:rsid w:val="00B448E0"/>
    <w:rsid w:val="00B44C58"/>
    <w:rsid w:val="00B44C8B"/>
    <w:rsid w:val="00B44D86"/>
    <w:rsid w:val="00B44E74"/>
    <w:rsid w:val="00B44F93"/>
    <w:rsid w:val="00B4517E"/>
    <w:rsid w:val="00B455CA"/>
    <w:rsid w:val="00B456A6"/>
    <w:rsid w:val="00B45814"/>
    <w:rsid w:val="00B45A06"/>
    <w:rsid w:val="00B45AE3"/>
    <w:rsid w:val="00B46143"/>
    <w:rsid w:val="00B4628D"/>
    <w:rsid w:val="00B462A7"/>
    <w:rsid w:val="00B4636E"/>
    <w:rsid w:val="00B46371"/>
    <w:rsid w:val="00B463D4"/>
    <w:rsid w:val="00B46464"/>
    <w:rsid w:val="00B4648D"/>
    <w:rsid w:val="00B46511"/>
    <w:rsid w:val="00B46667"/>
    <w:rsid w:val="00B4698C"/>
    <w:rsid w:val="00B471EA"/>
    <w:rsid w:val="00B47392"/>
    <w:rsid w:val="00B4792C"/>
    <w:rsid w:val="00B47948"/>
    <w:rsid w:val="00B47A44"/>
    <w:rsid w:val="00B47A63"/>
    <w:rsid w:val="00B47E47"/>
    <w:rsid w:val="00B47FC5"/>
    <w:rsid w:val="00B503AD"/>
    <w:rsid w:val="00B50447"/>
    <w:rsid w:val="00B50537"/>
    <w:rsid w:val="00B5057A"/>
    <w:rsid w:val="00B50705"/>
    <w:rsid w:val="00B5074E"/>
    <w:rsid w:val="00B508CB"/>
    <w:rsid w:val="00B50912"/>
    <w:rsid w:val="00B50913"/>
    <w:rsid w:val="00B509FD"/>
    <w:rsid w:val="00B50DBE"/>
    <w:rsid w:val="00B50ECA"/>
    <w:rsid w:val="00B515B4"/>
    <w:rsid w:val="00B515EE"/>
    <w:rsid w:val="00B517F0"/>
    <w:rsid w:val="00B519A4"/>
    <w:rsid w:val="00B51A24"/>
    <w:rsid w:val="00B51AF7"/>
    <w:rsid w:val="00B51BB4"/>
    <w:rsid w:val="00B51DDB"/>
    <w:rsid w:val="00B51E0E"/>
    <w:rsid w:val="00B52605"/>
    <w:rsid w:val="00B52608"/>
    <w:rsid w:val="00B5267C"/>
    <w:rsid w:val="00B527FD"/>
    <w:rsid w:val="00B5283F"/>
    <w:rsid w:val="00B528D8"/>
    <w:rsid w:val="00B52C69"/>
    <w:rsid w:val="00B52D0C"/>
    <w:rsid w:val="00B52D31"/>
    <w:rsid w:val="00B52E49"/>
    <w:rsid w:val="00B52EBE"/>
    <w:rsid w:val="00B536FA"/>
    <w:rsid w:val="00B539B8"/>
    <w:rsid w:val="00B53BA4"/>
    <w:rsid w:val="00B54063"/>
    <w:rsid w:val="00B54113"/>
    <w:rsid w:val="00B54725"/>
    <w:rsid w:val="00B54BF5"/>
    <w:rsid w:val="00B54CFC"/>
    <w:rsid w:val="00B55176"/>
    <w:rsid w:val="00B55186"/>
    <w:rsid w:val="00B552B3"/>
    <w:rsid w:val="00B552BC"/>
    <w:rsid w:val="00B5534C"/>
    <w:rsid w:val="00B55A05"/>
    <w:rsid w:val="00B562A6"/>
    <w:rsid w:val="00B56679"/>
    <w:rsid w:val="00B56746"/>
    <w:rsid w:val="00B56788"/>
    <w:rsid w:val="00B569A6"/>
    <w:rsid w:val="00B56EFC"/>
    <w:rsid w:val="00B5751B"/>
    <w:rsid w:val="00B57623"/>
    <w:rsid w:val="00B5764B"/>
    <w:rsid w:val="00B578A9"/>
    <w:rsid w:val="00B579C2"/>
    <w:rsid w:val="00B600CA"/>
    <w:rsid w:val="00B6015E"/>
    <w:rsid w:val="00B60294"/>
    <w:rsid w:val="00B60347"/>
    <w:rsid w:val="00B6037E"/>
    <w:rsid w:val="00B60592"/>
    <w:rsid w:val="00B605D1"/>
    <w:rsid w:val="00B605F7"/>
    <w:rsid w:val="00B60CB5"/>
    <w:rsid w:val="00B60CCC"/>
    <w:rsid w:val="00B60CCD"/>
    <w:rsid w:val="00B60E5C"/>
    <w:rsid w:val="00B60FE8"/>
    <w:rsid w:val="00B6104A"/>
    <w:rsid w:val="00B6109B"/>
    <w:rsid w:val="00B610EE"/>
    <w:rsid w:val="00B61160"/>
    <w:rsid w:val="00B61374"/>
    <w:rsid w:val="00B6195A"/>
    <w:rsid w:val="00B61C50"/>
    <w:rsid w:val="00B62399"/>
    <w:rsid w:val="00B62677"/>
    <w:rsid w:val="00B627E5"/>
    <w:rsid w:val="00B62856"/>
    <w:rsid w:val="00B628CC"/>
    <w:rsid w:val="00B62980"/>
    <w:rsid w:val="00B62AC2"/>
    <w:rsid w:val="00B62BF5"/>
    <w:rsid w:val="00B631AA"/>
    <w:rsid w:val="00B63242"/>
    <w:rsid w:val="00B6329F"/>
    <w:rsid w:val="00B6347E"/>
    <w:rsid w:val="00B63634"/>
    <w:rsid w:val="00B6392E"/>
    <w:rsid w:val="00B64079"/>
    <w:rsid w:val="00B641D4"/>
    <w:rsid w:val="00B641E7"/>
    <w:rsid w:val="00B64367"/>
    <w:rsid w:val="00B6447B"/>
    <w:rsid w:val="00B645A2"/>
    <w:rsid w:val="00B6467B"/>
    <w:rsid w:val="00B646EA"/>
    <w:rsid w:val="00B64762"/>
    <w:rsid w:val="00B64C6E"/>
    <w:rsid w:val="00B64CF3"/>
    <w:rsid w:val="00B64F66"/>
    <w:rsid w:val="00B64F69"/>
    <w:rsid w:val="00B6506D"/>
    <w:rsid w:val="00B651D4"/>
    <w:rsid w:val="00B6564B"/>
    <w:rsid w:val="00B658F2"/>
    <w:rsid w:val="00B65AB0"/>
    <w:rsid w:val="00B66107"/>
    <w:rsid w:val="00B66233"/>
    <w:rsid w:val="00B66326"/>
    <w:rsid w:val="00B663E2"/>
    <w:rsid w:val="00B66A43"/>
    <w:rsid w:val="00B66C0A"/>
    <w:rsid w:val="00B66E59"/>
    <w:rsid w:val="00B66F9C"/>
    <w:rsid w:val="00B66FD9"/>
    <w:rsid w:val="00B673BD"/>
    <w:rsid w:val="00B67483"/>
    <w:rsid w:val="00B675FE"/>
    <w:rsid w:val="00B67862"/>
    <w:rsid w:val="00B6796B"/>
    <w:rsid w:val="00B67A73"/>
    <w:rsid w:val="00B67F14"/>
    <w:rsid w:val="00B67F56"/>
    <w:rsid w:val="00B67F6D"/>
    <w:rsid w:val="00B67FEA"/>
    <w:rsid w:val="00B70716"/>
    <w:rsid w:val="00B708A0"/>
    <w:rsid w:val="00B70AAD"/>
    <w:rsid w:val="00B70B18"/>
    <w:rsid w:val="00B70D55"/>
    <w:rsid w:val="00B712A6"/>
    <w:rsid w:val="00B715AD"/>
    <w:rsid w:val="00B715F1"/>
    <w:rsid w:val="00B71629"/>
    <w:rsid w:val="00B718E2"/>
    <w:rsid w:val="00B71FC7"/>
    <w:rsid w:val="00B72268"/>
    <w:rsid w:val="00B7227D"/>
    <w:rsid w:val="00B723A4"/>
    <w:rsid w:val="00B725AD"/>
    <w:rsid w:val="00B72811"/>
    <w:rsid w:val="00B729AD"/>
    <w:rsid w:val="00B72AE8"/>
    <w:rsid w:val="00B72CF0"/>
    <w:rsid w:val="00B72F02"/>
    <w:rsid w:val="00B72F70"/>
    <w:rsid w:val="00B72F8F"/>
    <w:rsid w:val="00B72FFA"/>
    <w:rsid w:val="00B732AC"/>
    <w:rsid w:val="00B7341C"/>
    <w:rsid w:val="00B73CCF"/>
    <w:rsid w:val="00B74031"/>
    <w:rsid w:val="00B743E5"/>
    <w:rsid w:val="00B74549"/>
    <w:rsid w:val="00B74907"/>
    <w:rsid w:val="00B749D0"/>
    <w:rsid w:val="00B74DDF"/>
    <w:rsid w:val="00B75576"/>
    <w:rsid w:val="00B755C7"/>
    <w:rsid w:val="00B756F4"/>
    <w:rsid w:val="00B757B5"/>
    <w:rsid w:val="00B75827"/>
    <w:rsid w:val="00B75B88"/>
    <w:rsid w:val="00B75F32"/>
    <w:rsid w:val="00B7639D"/>
    <w:rsid w:val="00B7699F"/>
    <w:rsid w:val="00B76C21"/>
    <w:rsid w:val="00B77294"/>
    <w:rsid w:val="00B777B5"/>
    <w:rsid w:val="00B77B66"/>
    <w:rsid w:val="00B77E15"/>
    <w:rsid w:val="00B77F8A"/>
    <w:rsid w:val="00B801DA"/>
    <w:rsid w:val="00B80287"/>
    <w:rsid w:val="00B8068C"/>
    <w:rsid w:val="00B806DB"/>
    <w:rsid w:val="00B80855"/>
    <w:rsid w:val="00B80A3B"/>
    <w:rsid w:val="00B80AB1"/>
    <w:rsid w:val="00B80DB0"/>
    <w:rsid w:val="00B80E7E"/>
    <w:rsid w:val="00B80FE4"/>
    <w:rsid w:val="00B81103"/>
    <w:rsid w:val="00B811A6"/>
    <w:rsid w:val="00B81283"/>
    <w:rsid w:val="00B81322"/>
    <w:rsid w:val="00B8132D"/>
    <w:rsid w:val="00B813B9"/>
    <w:rsid w:val="00B8143E"/>
    <w:rsid w:val="00B816A1"/>
    <w:rsid w:val="00B81731"/>
    <w:rsid w:val="00B81876"/>
    <w:rsid w:val="00B81FF5"/>
    <w:rsid w:val="00B82176"/>
    <w:rsid w:val="00B821BF"/>
    <w:rsid w:val="00B823B7"/>
    <w:rsid w:val="00B82C47"/>
    <w:rsid w:val="00B82D52"/>
    <w:rsid w:val="00B82E24"/>
    <w:rsid w:val="00B83089"/>
    <w:rsid w:val="00B83245"/>
    <w:rsid w:val="00B836E0"/>
    <w:rsid w:val="00B837BD"/>
    <w:rsid w:val="00B83A54"/>
    <w:rsid w:val="00B83C2E"/>
    <w:rsid w:val="00B83F02"/>
    <w:rsid w:val="00B8421E"/>
    <w:rsid w:val="00B84369"/>
    <w:rsid w:val="00B84405"/>
    <w:rsid w:val="00B84594"/>
    <w:rsid w:val="00B845F8"/>
    <w:rsid w:val="00B845FE"/>
    <w:rsid w:val="00B8477C"/>
    <w:rsid w:val="00B849FB"/>
    <w:rsid w:val="00B84BAB"/>
    <w:rsid w:val="00B84CF3"/>
    <w:rsid w:val="00B84DD3"/>
    <w:rsid w:val="00B852A0"/>
    <w:rsid w:val="00B857D6"/>
    <w:rsid w:val="00B85A3B"/>
    <w:rsid w:val="00B85BE1"/>
    <w:rsid w:val="00B85CCF"/>
    <w:rsid w:val="00B85D11"/>
    <w:rsid w:val="00B85DF9"/>
    <w:rsid w:val="00B85E03"/>
    <w:rsid w:val="00B85EFA"/>
    <w:rsid w:val="00B8601A"/>
    <w:rsid w:val="00B8649B"/>
    <w:rsid w:val="00B864D8"/>
    <w:rsid w:val="00B8679C"/>
    <w:rsid w:val="00B8684B"/>
    <w:rsid w:val="00B8699E"/>
    <w:rsid w:val="00B86A63"/>
    <w:rsid w:val="00B86D66"/>
    <w:rsid w:val="00B86FD5"/>
    <w:rsid w:val="00B871EA"/>
    <w:rsid w:val="00B8738D"/>
    <w:rsid w:val="00B875DB"/>
    <w:rsid w:val="00B8761B"/>
    <w:rsid w:val="00B87702"/>
    <w:rsid w:val="00B8778F"/>
    <w:rsid w:val="00B8789B"/>
    <w:rsid w:val="00B879B5"/>
    <w:rsid w:val="00B87CD1"/>
    <w:rsid w:val="00B87D26"/>
    <w:rsid w:val="00B87FAA"/>
    <w:rsid w:val="00B87FEB"/>
    <w:rsid w:val="00B90430"/>
    <w:rsid w:val="00B906F4"/>
    <w:rsid w:val="00B912F8"/>
    <w:rsid w:val="00B915D5"/>
    <w:rsid w:val="00B91627"/>
    <w:rsid w:val="00B91738"/>
    <w:rsid w:val="00B91C22"/>
    <w:rsid w:val="00B9202B"/>
    <w:rsid w:val="00B92260"/>
    <w:rsid w:val="00B92376"/>
    <w:rsid w:val="00B9249E"/>
    <w:rsid w:val="00B92517"/>
    <w:rsid w:val="00B927A0"/>
    <w:rsid w:val="00B92826"/>
    <w:rsid w:val="00B92892"/>
    <w:rsid w:val="00B92A7D"/>
    <w:rsid w:val="00B92B9C"/>
    <w:rsid w:val="00B92C11"/>
    <w:rsid w:val="00B92DFF"/>
    <w:rsid w:val="00B92E1B"/>
    <w:rsid w:val="00B9307E"/>
    <w:rsid w:val="00B93259"/>
    <w:rsid w:val="00B935B5"/>
    <w:rsid w:val="00B935FD"/>
    <w:rsid w:val="00B9360B"/>
    <w:rsid w:val="00B939E0"/>
    <w:rsid w:val="00B93B54"/>
    <w:rsid w:val="00B93CAD"/>
    <w:rsid w:val="00B93E1F"/>
    <w:rsid w:val="00B93F27"/>
    <w:rsid w:val="00B940BC"/>
    <w:rsid w:val="00B94401"/>
    <w:rsid w:val="00B9480B"/>
    <w:rsid w:val="00B94AB6"/>
    <w:rsid w:val="00B94D94"/>
    <w:rsid w:val="00B94D96"/>
    <w:rsid w:val="00B94FC1"/>
    <w:rsid w:val="00B951F9"/>
    <w:rsid w:val="00B9530F"/>
    <w:rsid w:val="00B95867"/>
    <w:rsid w:val="00B9591D"/>
    <w:rsid w:val="00B95CCD"/>
    <w:rsid w:val="00B95CD3"/>
    <w:rsid w:val="00B95E0E"/>
    <w:rsid w:val="00B95EB6"/>
    <w:rsid w:val="00B96005"/>
    <w:rsid w:val="00B96081"/>
    <w:rsid w:val="00B9631A"/>
    <w:rsid w:val="00B9695A"/>
    <w:rsid w:val="00B96975"/>
    <w:rsid w:val="00B96CD8"/>
    <w:rsid w:val="00B96E82"/>
    <w:rsid w:val="00B96F11"/>
    <w:rsid w:val="00B97651"/>
    <w:rsid w:val="00B976C0"/>
    <w:rsid w:val="00B97768"/>
    <w:rsid w:val="00B9785C"/>
    <w:rsid w:val="00B978CA"/>
    <w:rsid w:val="00B97969"/>
    <w:rsid w:val="00B97A63"/>
    <w:rsid w:val="00B97ABC"/>
    <w:rsid w:val="00B97B63"/>
    <w:rsid w:val="00B97D2A"/>
    <w:rsid w:val="00BA0281"/>
    <w:rsid w:val="00BA054A"/>
    <w:rsid w:val="00BA083D"/>
    <w:rsid w:val="00BA0879"/>
    <w:rsid w:val="00BA0923"/>
    <w:rsid w:val="00BA09B5"/>
    <w:rsid w:val="00BA0B8F"/>
    <w:rsid w:val="00BA0CE0"/>
    <w:rsid w:val="00BA0E13"/>
    <w:rsid w:val="00BA1025"/>
    <w:rsid w:val="00BA10D6"/>
    <w:rsid w:val="00BA1166"/>
    <w:rsid w:val="00BA12AA"/>
    <w:rsid w:val="00BA1987"/>
    <w:rsid w:val="00BA1BB8"/>
    <w:rsid w:val="00BA1E74"/>
    <w:rsid w:val="00BA1EA3"/>
    <w:rsid w:val="00BA2415"/>
    <w:rsid w:val="00BA24DF"/>
    <w:rsid w:val="00BA2597"/>
    <w:rsid w:val="00BA25A4"/>
    <w:rsid w:val="00BA272D"/>
    <w:rsid w:val="00BA2B00"/>
    <w:rsid w:val="00BA2DBA"/>
    <w:rsid w:val="00BA2F3A"/>
    <w:rsid w:val="00BA2FF0"/>
    <w:rsid w:val="00BA3194"/>
    <w:rsid w:val="00BA3287"/>
    <w:rsid w:val="00BA352D"/>
    <w:rsid w:val="00BA35C1"/>
    <w:rsid w:val="00BA3778"/>
    <w:rsid w:val="00BA3EEC"/>
    <w:rsid w:val="00BA3F9A"/>
    <w:rsid w:val="00BA3FDC"/>
    <w:rsid w:val="00BA47A5"/>
    <w:rsid w:val="00BA4838"/>
    <w:rsid w:val="00BA4A30"/>
    <w:rsid w:val="00BA4CB7"/>
    <w:rsid w:val="00BA4DC1"/>
    <w:rsid w:val="00BA4DDA"/>
    <w:rsid w:val="00BA5057"/>
    <w:rsid w:val="00BA50CF"/>
    <w:rsid w:val="00BA5109"/>
    <w:rsid w:val="00BA51F6"/>
    <w:rsid w:val="00BA542F"/>
    <w:rsid w:val="00BA57FA"/>
    <w:rsid w:val="00BA582C"/>
    <w:rsid w:val="00BA5AE8"/>
    <w:rsid w:val="00BA5C2E"/>
    <w:rsid w:val="00BA5EB7"/>
    <w:rsid w:val="00BA6032"/>
    <w:rsid w:val="00BA61E1"/>
    <w:rsid w:val="00BA6544"/>
    <w:rsid w:val="00BA6545"/>
    <w:rsid w:val="00BA6800"/>
    <w:rsid w:val="00BA6A33"/>
    <w:rsid w:val="00BA6A68"/>
    <w:rsid w:val="00BA6C59"/>
    <w:rsid w:val="00BA6D40"/>
    <w:rsid w:val="00BA6D55"/>
    <w:rsid w:val="00BA6EA4"/>
    <w:rsid w:val="00BA70E7"/>
    <w:rsid w:val="00BA7119"/>
    <w:rsid w:val="00BA72A7"/>
    <w:rsid w:val="00BA7387"/>
    <w:rsid w:val="00BA7699"/>
    <w:rsid w:val="00BA77A6"/>
    <w:rsid w:val="00BA794A"/>
    <w:rsid w:val="00BA79DC"/>
    <w:rsid w:val="00BA7FDE"/>
    <w:rsid w:val="00BB002B"/>
    <w:rsid w:val="00BB0579"/>
    <w:rsid w:val="00BB07C3"/>
    <w:rsid w:val="00BB08C7"/>
    <w:rsid w:val="00BB08EB"/>
    <w:rsid w:val="00BB0B13"/>
    <w:rsid w:val="00BB0C8E"/>
    <w:rsid w:val="00BB0D15"/>
    <w:rsid w:val="00BB0D4A"/>
    <w:rsid w:val="00BB0DA7"/>
    <w:rsid w:val="00BB0EA9"/>
    <w:rsid w:val="00BB1011"/>
    <w:rsid w:val="00BB101F"/>
    <w:rsid w:val="00BB11BF"/>
    <w:rsid w:val="00BB11DB"/>
    <w:rsid w:val="00BB1355"/>
    <w:rsid w:val="00BB1733"/>
    <w:rsid w:val="00BB179A"/>
    <w:rsid w:val="00BB1944"/>
    <w:rsid w:val="00BB1B21"/>
    <w:rsid w:val="00BB1FB6"/>
    <w:rsid w:val="00BB2268"/>
    <w:rsid w:val="00BB24B9"/>
    <w:rsid w:val="00BB2885"/>
    <w:rsid w:val="00BB2B8A"/>
    <w:rsid w:val="00BB2BBB"/>
    <w:rsid w:val="00BB3098"/>
    <w:rsid w:val="00BB314D"/>
    <w:rsid w:val="00BB35C0"/>
    <w:rsid w:val="00BB35E7"/>
    <w:rsid w:val="00BB39AC"/>
    <w:rsid w:val="00BB3C8B"/>
    <w:rsid w:val="00BB3D6B"/>
    <w:rsid w:val="00BB3DE4"/>
    <w:rsid w:val="00BB3EB4"/>
    <w:rsid w:val="00BB3F0B"/>
    <w:rsid w:val="00BB414E"/>
    <w:rsid w:val="00BB45F5"/>
    <w:rsid w:val="00BB47A8"/>
    <w:rsid w:val="00BB47F7"/>
    <w:rsid w:val="00BB49A1"/>
    <w:rsid w:val="00BB49A4"/>
    <w:rsid w:val="00BB4C61"/>
    <w:rsid w:val="00BB4D47"/>
    <w:rsid w:val="00BB4DF2"/>
    <w:rsid w:val="00BB4E6B"/>
    <w:rsid w:val="00BB4EB5"/>
    <w:rsid w:val="00BB4F70"/>
    <w:rsid w:val="00BB50F6"/>
    <w:rsid w:val="00BB51AC"/>
    <w:rsid w:val="00BB53B9"/>
    <w:rsid w:val="00BB53EC"/>
    <w:rsid w:val="00BB543E"/>
    <w:rsid w:val="00BB566D"/>
    <w:rsid w:val="00BB5801"/>
    <w:rsid w:val="00BB5A3F"/>
    <w:rsid w:val="00BB5ABE"/>
    <w:rsid w:val="00BB5B5A"/>
    <w:rsid w:val="00BB5C27"/>
    <w:rsid w:val="00BB5CDC"/>
    <w:rsid w:val="00BB5EBB"/>
    <w:rsid w:val="00BB609E"/>
    <w:rsid w:val="00BB659F"/>
    <w:rsid w:val="00BB669F"/>
    <w:rsid w:val="00BB6791"/>
    <w:rsid w:val="00BB6E3C"/>
    <w:rsid w:val="00BB6F38"/>
    <w:rsid w:val="00BB7186"/>
    <w:rsid w:val="00BB724A"/>
    <w:rsid w:val="00BB72FD"/>
    <w:rsid w:val="00BB734E"/>
    <w:rsid w:val="00BB735D"/>
    <w:rsid w:val="00BB7433"/>
    <w:rsid w:val="00BB7480"/>
    <w:rsid w:val="00BB7550"/>
    <w:rsid w:val="00BB791E"/>
    <w:rsid w:val="00BB7B33"/>
    <w:rsid w:val="00BB7B3A"/>
    <w:rsid w:val="00BB7C78"/>
    <w:rsid w:val="00BB7EB0"/>
    <w:rsid w:val="00BB7F81"/>
    <w:rsid w:val="00BC0347"/>
    <w:rsid w:val="00BC034E"/>
    <w:rsid w:val="00BC0831"/>
    <w:rsid w:val="00BC0EEF"/>
    <w:rsid w:val="00BC12BF"/>
    <w:rsid w:val="00BC12CE"/>
    <w:rsid w:val="00BC13FF"/>
    <w:rsid w:val="00BC1645"/>
    <w:rsid w:val="00BC1D91"/>
    <w:rsid w:val="00BC1EAA"/>
    <w:rsid w:val="00BC1EC7"/>
    <w:rsid w:val="00BC212B"/>
    <w:rsid w:val="00BC24A5"/>
    <w:rsid w:val="00BC2592"/>
    <w:rsid w:val="00BC2670"/>
    <w:rsid w:val="00BC2C95"/>
    <w:rsid w:val="00BC2E56"/>
    <w:rsid w:val="00BC3373"/>
    <w:rsid w:val="00BC352D"/>
    <w:rsid w:val="00BC3C8C"/>
    <w:rsid w:val="00BC3D41"/>
    <w:rsid w:val="00BC3E6A"/>
    <w:rsid w:val="00BC4085"/>
    <w:rsid w:val="00BC4116"/>
    <w:rsid w:val="00BC4196"/>
    <w:rsid w:val="00BC42F0"/>
    <w:rsid w:val="00BC4495"/>
    <w:rsid w:val="00BC44E0"/>
    <w:rsid w:val="00BC456E"/>
    <w:rsid w:val="00BC4684"/>
    <w:rsid w:val="00BC4880"/>
    <w:rsid w:val="00BC4AE7"/>
    <w:rsid w:val="00BC4AEB"/>
    <w:rsid w:val="00BC4BED"/>
    <w:rsid w:val="00BC4BF1"/>
    <w:rsid w:val="00BC4FC5"/>
    <w:rsid w:val="00BC5248"/>
    <w:rsid w:val="00BC528C"/>
    <w:rsid w:val="00BC52FA"/>
    <w:rsid w:val="00BC5370"/>
    <w:rsid w:val="00BC56F7"/>
    <w:rsid w:val="00BC5990"/>
    <w:rsid w:val="00BC5C12"/>
    <w:rsid w:val="00BC5C88"/>
    <w:rsid w:val="00BC5EFE"/>
    <w:rsid w:val="00BC66FE"/>
    <w:rsid w:val="00BC6E19"/>
    <w:rsid w:val="00BC6EBD"/>
    <w:rsid w:val="00BC6F51"/>
    <w:rsid w:val="00BC6FAA"/>
    <w:rsid w:val="00BC704E"/>
    <w:rsid w:val="00BC7116"/>
    <w:rsid w:val="00BC74DE"/>
    <w:rsid w:val="00BC7584"/>
    <w:rsid w:val="00BC7644"/>
    <w:rsid w:val="00BC76CD"/>
    <w:rsid w:val="00BC7A29"/>
    <w:rsid w:val="00BC7A84"/>
    <w:rsid w:val="00BC7E1E"/>
    <w:rsid w:val="00BC7E85"/>
    <w:rsid w:val="00BD0313"/>
    <w:rsid w:val="00BD082D"/>
    <w:rsid w:val="00BD0A8D"/>
    <w:rsid w:val="00BD0B7B"/>
    <w:rsid w:val="00BD0C6F"/>
    <w:rsid w:val="00BD0CCF"/>
    <w:rsid w:val="00BD0DC8"/>
    <w:rsid w:val="00BD0DE2"/>
    <w:rsid w:val="00BD0F84"/>
    <w:rsid w:val="00BD112C"/>
    <w:rsid w:val="00BD1624"/>
    <w:rsid w:val="00BD1637"/>
    <w:rsid w:val="00BD1699"/>
    <w:rsid w:val="00BD17D0"/>
    <w:rsid w:val="00BD1B8C"/>
    <w:rsid w:val="00BD22B9"/>
    <w:rsid w:val="00BD232B"/>
    <w:rsid w:val="00BD2616"/>
    <w:rsid w:val="00BD26E0"/>
    <w:rsid w:val="00BD26F6"/>
    <w:rsid w:val="00BD2878"/>
    <w:rsid w:val="00BD29F3"/>
    <w:rsid w:val="00BD2A0C"/>
    <w:rsid w:val="00BD2E3A"/>
    <w:rsid w:val="00BD2F69"/>
    <w:rsid w:val="00BD3826"/>
    <w:rsid w:val="00BD399C"/>
    <w:rsid w:val="00BD3B05"/>
    <w:rsid w:val="00BD3E69"/>
    <w:rsid w:val="00BD40A0"/>
    <w:rsid w:val="00BD4615"/>
    <w:rsid w:val="00BD46A7"/>
    <w:rsid w:val="00BD47DB"/>
    <w:rsid w:val="00BD4860"/>
    <w:rsid w:val="00BD48D8"/>
    <w:rsid w:val="00BD493E"/>
    <w:rsid w:val="00BD4A8E"/>
    <w:rsid w:val="00BD4AEC"/>
    <w:rsid w:val="00BD4C0F"/>
    <w:rsid w:val="00BD4DBE"/>
    <w:rsid w:val="00BD4E3B"/>
    <w:rsid w:val="00BD4E4C"/>
    <w:rsid w:val="00BD4F27"/>
    <w:rsid w:val="00BD5077"/>
    <w:rsid w:val="00BD5081"/>
    <w:rsid w:val="00BD5293"/>
    <w:rsid w:val="00BD5347"/>
    <w:rsid w:val="00BD53CB"/>
    <w:rsid w:val="00BD55AD"/>
    <w:rsid w:val="00BD5650"/>
    <w:rsid w:val="00BD5685"/>
    <w:rsid w:val="00BD588A"/>
    <w:rsid w:val="00BD5C73"/>
    <w:rsid w:val="00BD5D7E"/>
    <w:rsid w:val="00BD5FF4"/>
    <w:rsid w:val="00BD618D"/>
    <w:rsid w:val="00BD6483"/>
    <w:rsid w:val="00BD6576"/>
    <w:rsid w:val="00BD6659"/>
    <w:rsid w:val="00BD6763"/>
    <w:rsid w:val="00BD6B3D"/>
    <w:rsid w:val="00BD6C13"/>
    <w:rsid w:val="00BD6D3E"/>
    <w:rsid w:val="00BD6D57"/>
    <w:rsid w:val="00BD6E1C"/>
    <w:rsid w:val="00BD7313"/>
    <w:rsid w:val="00BD7337"/>
    <w:rsid w:val="00BD73D9"/>
    <w:rsid w:val="00BD7732"/>
    <w:rsid w:val="00BD773B"/>
    <w:rsid w:val="00BD78A6"/>
    <w:rsid w:val="00BD7B2B"/>
    <w:rsid w:val="00BD7CC7"/>
    <w:rsid w:val="00BD7E2E"/>
    <w:rsid w:val="00BD7FA5"/>
    <w:rsid w:val="00BE06C4"/>
    <w:rsid w:val="00BE09AF"/>
    <w:rsid w:val="00BE09E8"/>
    <w:rsid w:val="00BE0A94"/>
    <w:rsid w:val="00BE0CCC"/>
    <w:rsid w:val="00BE0D2E"/>
    <w:rsid w:val="00BE0E1F"/>
    <w:rsid w:val="00BE0F6D"/>
    <w:rsid w:val="00BE1137"/>
    <w:rsid w:val="00BE1173"/>
    <w:rsid w:val="00BE11A0"/>
    <w:rsid w:val="00BE1752"/>
    <w:rsid w:val="00BE1B31"/>
    <w:rsid w:val="00BE1C59"/>
    <w:rsid w:val="00BE1D81"/>
    <w:rsid w:val="00BE1F27"/>
    <w:rsid w:val="00BE223A"/>
    <w:rsid w:val="00BE2593"/>
    <w:rsid w:val="00BE2595"/>
    <w:rsid w:val="00BE2712"/>
    <w:rsid w:val="00BE2ABB"/>
    <w:rsid w:val="00BE2D33"/>
    <w:rsid w:val="00BE31FE"/>
    <w:rsid w:val="00BE3622"/>
    <w:rsid w:val="00BE3670"/>
    <w:rsid w:val="00BE3696"/>
    <w:rsid w:val="00BE36B9"/>
    <w:rsid w:val="00BE3876"/>
    <w:rsid w:val="00BE3952"/>
    <w:rsid w:val="00BE3A4F"/>
    <w:rsid w:val="00BE410E"/>
    <w:rsid w:val="00BE418A"/>
    <w:rsid w:val="00BE4272"/>
    <w:rsid w:val="00BE4619"/>
    <w:rsid w:val="00BE49F9"/>
    <w:rsid w:val="00BE4B62"/>
    <w:rsid w:val="00BE4BB0"/>
    <w:rsid w:val="00BE4BF3"/>
    <w:rsid w:val="00BE4FFE"/>
    <w:rsid w:val="00BE52D2"/>
    <w:rsid w:val="00BE540C"/>
    <w:rsid w:val="00BE554D"/>
    <w:rsid w:val="00BE59AE"/>
    <w:rsid w:val="00BE5A5A"/>
    <w:rsid w:val="00BE5ED3"/>
    <w:rsid w:val="00BE5F8E"/>
    <w:rsid w:val="00BE603F"/>
    <w:rsid w:val="00BE60AB"/>
    <w:rsid w:val="00BE61C3"/>
    <w:rsid w:val="00BE6336"/>
    <w:rsid w:val="00BE68C0"/>
    <w:rsid w:val="00BE6F2E"/>
    <w:rsid w:val="00BE6F81"/>
    <w:rsid w:val="00BE6FCA"/>
    <w:rsid w:val="00BE711C"/>
    <w:rsid w:val="00BE74AF"/>
    <w:rsid w:val="00BE7725"/>
    <w:rsid w:val="00BE79C4"/>
    <w:rsid w:val="00BE79C7"/>
    <w:rsid w:val="00BE7BBF"/>
    <w:rsid w:val="00BE7DEA"/>
    <w:rsid w:val="00BE7E7E"/>
    <w:rsid w:val="00BF01F8"/>
    <w:rsid w:val="00BF041A"/>
    <w:rsid w:val="00BF0423"/>
    <w:rsid w:val="00BF0582"/>
    <w:rsid w:val="00BF05B1"/>
    <w:rsid w:val="00BF05F1"/>
    <w:rsid w:val="00BF060B"/>
    <w:rsid w:val="00BF0640"/>
    <w:rsid w:val="00BF0916"/>
    <w:rsid w:val="00BF0EAD"/>
    <w:rsid w:val="00BF0EF4"/>
    <w:rsid w:val="00BF1071"/>
    <w:rsid w:val="00BF10A2"/>
    <w:rsid w:val="00BF120A"/>
    <w:rsid w:val="00BF1225"/>
    <w:rsid w:val="00BF1408"/>
    <w:rsid w:val="00BF1A77"/>
    <w:rsid w:val="00BF2009"/>
    <w:rsid w:val="00BF2381"/>
    <w:rsid w:val="00BF2541"/>
    <w:rsid w:val="00BF25C0"/>
    <w:rsid w:val="00BF26E6"/>
    <w:rsid w:val="00BF279E"/>
    <w:rsid w:val="00BF2A45"/>
    <w:rsid w:val="00BF2B75"/>
    <w:rsid w:val="00BF3205"/>
    <w:rsid w:val="00BF3287"/>
    <w:rsid w:val="00BF32AA"/>
    <w:rsid w:val="00BF36D4"/>
    <w:rsid w:val="00BF38D1"/>
    <w:rsid w:val="00BF3B2B"/>
    <w:rsid w:val="00BF3B50"/>
    <w:rsid w:val="00BF3C56"/>
    <w:rsid w:val="00BF3DE9"/>
    <w:rsid w:val="00BF43C4"/>
    <w:rsid w:val="00BF4695"/>
    <w:rsid w:val="00BF472D"/>
    <w:rsid w:val="00BF47F7"/>
    <w:rsid w:val="00BF48C3"/>
    <w:rsid w:val="00BF4A1E"/>
    <w:rsid w:val="00BF4A98"/>
    <w:rsid w:val="00BF4A9C"/>
    <w:rsid w:val="00BF4B52"/>
    <w:rsid w:val="00BF4B9D"/>
    <w:rsid w:val="00BF4D8A"/>
    <w:rsid w:val="00BF5037"/>
    <w:rsid w:val="00BF54CB"/>
    <w:rsid w:val="00BF581F"/>
    <w:rsid w:val="00BF5947"/>
    <w:rsid w:val="00BF5AC3"/>
    <w:rsid w:val="00BF5DDF"/>
    <w:rsid w:val="00BF61BD"/>
    <w:rsid w:val="00BF643B"/>
    <w:rsid w:val="00BF67A8"/>
    <w:rsid w:val="00BF6835"/>
    <w:rsid w:val="00BF6A74"/>
    <w:rsid w:val="00BF6CAC"/>
    <w:rsid w:val="00BF6F97"/>
    <w:rsid w:val="00BF74CB"/>
    <w:rsid w:val="00BF750D"/>
    <w:rsid w:val="00BF78D3"/>
    <w:rsid w:val="00BF7B58"/>
    <w:rsid w:val="00BF7B62"/>
    <w:rsid w:val="00BF7CB0"/>
    <w:rsid w:val="00BF7E2E"/>
    <w:rsid w:val="00C00261"/>
    <w:rsid w:val="00C00481"/>
    <w:rsid w:val="00C00663"/>
    <w:rsid w:val="00C00889"/>
    <w:rsid w:val="00C009ED"/>
    <w:rsid w:val="00C00D22"/>
    <w:rsid w:val="00C00E8E"/>
    <w:rsid w:val="00C00F46"/>
    <w:rsid w:val="00C00FD2"/>
    <w:rsid w:val="00C0111F"/>
    <w:rsid w:val="00C01221"/>
    <w:rsid w:val="00C01403"/>
    <w:rsid w:val="00C01782"/>
    <w:rsid w:val="00C01B39"/>
    <w:rsid w:val="00C01C43"/>
    <w:rsid w:val="00C01F0C"/>
    <w:rsid w:val="00C02060"/>
    <w:rsid w:val="00C0215C"/>
    <w:rsid w:val="00C02226"/>
    <w:rsid w:val="00C02366"/>
    <w:rsid w:val="00C0278B"/>
    <w:rsid w:val="00C027F1"/>
    <w:rsid w:val="00C02CA6"/>
    <w:rsid w:val="00C02CD6"/>
    <w:rsid w:val="00C02CDA"/>
    <w:rsid w:val="00C02EFB"/>
    <w:rsid w:val="00C03043"/>
    <w:rsid w:val="00C030FA"/>
    <w:rsid w:val="00C03443"/>
    <w:rsid w:val="00C03550"/>
    <w:rsid w:val="00C03C4C"/>
    <w:rsid w:val="00C03CAB"/>
    <w:rsid w:val="00C0459F"/>
    <w:rsid w:val="00C04627"/>
    <w:rsid w:val="00C0470F"/>
    <w:rsid w:val="00C04B5C"/>
    <w:rsid w:val="00C04BFE"/>
    <w:rsid w:val="00C04DEF"/>
    <w:rsid w:val="00C04F8E"/>
    <w:rsid w:val="00C05109"/>
    <w:rsid w:val="00C0568C"/>
    <w:rsid w:val="00C05775"/>
    <w:rsid w:val="00C05B39"/>
    <w:rsid w:val="00C05B9F"/>
    <w:rsid w:val="00C05D40"/>
    <w:rsid w:val="00C05FFC"/>
    <w:rsid w:val="00C0608C"/>
    <w:rsid w:val="00C06496"/>
    <w:rsid w:val="00C065E5"/>
    <w:rsid w:val="00C06649"/>
    <w:rsid w:val="00C066F8"/>
    <w:rsid w:val="00C06734"/>
    <w:rsid w:val="00C0686B"/>
    <w:rsid w:val="00C06ABF"/>
    <w:rsid w:val="00C06B55"/>
    <w:rsid w:val="00C06C0B"/>
    <w:rsid w:val="00C06C86"/>
    <w:rsid w:val="00C06E0B"/>
    <w:rsid w:val="00C06E61"/>
    <w:rsid w:val="00C07622"/>
    <w:rsid w:val="00C07703"/>
    <w:rsid w:val="00C07743"/>
    <w:rsid w:val="00C07934"/>
    <w:rsid w:val="00C07A01"/>
    <w:rsid w:val="00C07C87"/>
    <w:rsid w:val="00C1004B"/>
    <w:rsid w:val="00C1031A"/>
    <w:rsid w:val="00C10426"/>
    <w:rsid w:val="00C104A4"/>
    <w:rsid w:val="00C1051A"/>
    <w:rsid w:val="00C109ED"/>
    <w:rsid w:val="00C10BA2"/>
    <w:rsid w:val="00C10C17"/>
    <w:rsid w:val="00C10E88"/>
    <w:rsid w:val="00C10FF4"/>
    <w:rsid w:val="00C110C4"/>
    <w:rsid w:val="00C110DE"/>
    <w:rsid w:val="00C115FE"/>
    <w:rsid w:val="00C116A6"/>
    <w:rsid w:val="00C118B9"/>
    <w:rsid w:val="00C11CC6"/>
    <w:rsid w:val="00C12136"/>
    <w:rsid w:val="00C12244"/>
    <w:rsid w:val="00C1231A"/>
    <w:rsid w:val="00C124F6"/>
    <w:rsid w:val="00C1282C"/>
    <w:rsid w:val="00C12AE5"/>
    <w:rsid w:val="00C12C4B"/>
    <w:rsid w:val="00C132BA"/>
    <w:rsid w:val="00C13643"/>
    <w:rsid w:val="00C137C5"/>
    <w:rsid w:val="00C13B23"/>
    <w:rsid w:val="00C13DD1"/>
    <w:rsid w:val="00C14035"/>
    <w:rsid w:val="00C14203"/>
    <w:rsid w:val="00C143F1"/>
    <w:rsid w:val="00C144BA"/>
    <w:rsid w:val="00C147AE"/>
    <w:rsid w:val="00C148C7"/>
    <w:rsid w:val="00C14A93"/>
    <w:rsid w:val="00C15076"/>
    <w:rsid w:val="00C150B7"/>
    <w:rsid w:val="00C152B8"/>
    <w:rsid w:val="00C1599C"/>
    <w:rsid w:val="00C15BD2"/>
    <w:rsid w:val="00C15CEF"/>
    <w:rsid w:val="00C15CFD"/>
    <w:rsid w:val="00C15FCB"/>
    <w:rsid w:val="00C1617F"/>
    <w:rsid w:val="00C1629F"/>
    <w:rsid w:val="00C16409"/>
    <w:rsid w:val="00C16475"/>
    <w:rsid w:val="00C16675"/>
    <w:rsid w:val="00C167E4"/>
    <w:rsid w:val="00C16FD6"/>
    <w:rsid w:val="00C17219"/>
    <w:rsid w:val="00C172A5"/>
    <w:rsid w:val="00C1761D"/>
    <w:rsid w:val="00C1762D"/>
    <w:rsid w:val="00C17717"/>
    <w:rsid w:val="00C17BF5"/>
    <w:rsid w:val="00C17C00"/>
    <w:rsid w:val="00C17C87"/>
    <w:rsid w:val="00C17D5C"/>
    <w:rsid w:val="00C17E71"/>
    <w:rsid w:val="00C201AD"/>
    <w:rsid w:val="00C20296"/>
    <w:rsid w:val="00C20315"/>
    <w:rsid w:val="00C20352"/>
    <w:rsid w:val="00C203E5"/>
    <w:rsid w:val="00C20527"/>
    <w:rsid w:val="00C207AD"/>
    <w:rsid w:val="00C20CB6"/>
    <w:rsid w:val="00C20D20"/>
    <w:rsid w:val="00C20DDC"/>
    <w:rsid w:val="00C20E59"/>
    <w:rsid w:val="00C218DD"/>
    <w:rsid w:val="00C218F9"/>
    <w:rsid w:val="00C21AA3"/>
    <w:rsid w:val="00C21FC9"/>
    <w:rsid w:val="00C21FFD"/>
    <w:rsid w:val="00C2230D"/>
    <w:rsid w:val="00C2234F"/>
    <w:rsid w:val="00C22663"/>
    <w:rsid w:val="00C22A17"/>
    <w:rsid w:val="00C22C0B"/>
    <w:rsid w:val="00C230AA"/>
    <w:rsid w:val="00C231F7"/>
    <w:rsid w:val="00C233F8"/>
    <w:rsid w:val="00C233FE"/>
    <w:rsid w:val="00C23414"/>
    <w:rsid w:val="00C2346F"/>
    <w:rsid w:val="00C23872"/>
    <w:rsid w:val="00C23A52"/>
    <w:rsid w:val="00C23C4D"/>
    <w:rsid w:val="00C2405C"/>
    <w:rsid w:val="00C24576"/>
    <w:rsid w:val="00C249AF"/>
    <w:rsid w:val="00C249B3"/>
    <w:rsid w:val="00C249D3"/>
    <w:rsid w:val="00C24C9A"/>
    <w:rsid w:val="00C24D5C"/>
    <w:rsid w:val="00C24FDD"/>
    <w:rsid w:val="00C25073"/>
    <w:rsid w:val="00C25185"/>
    <w:rsid w:val="00C2548C"/>
    <w:rsid w:val="00C25745"/>
    <w:rsid w:val="00C257CE"/>
    <w:rsid w:val="00C257F0"/>
    <w:rsid w:val="00C25A78"/>
    <w:rsid w:val="00C25AC5"/>
    <w:rsid w:val="00C25C38"/>
    <w:rsid w:val="00C25C86"/>
    <w:rsid w:val="00C25D86"/>
    <w:rsid w:val="00C25E97"/>
    <w:rsid w:val="00C25FEC"/>
    <w:rsid w:val="00C26009"/>
    <w:rsid w:val="00C26041"/>
    <w:rsid w:val="00C260C8"/>
    <w:rsid w:val="00C260D5"/>
    <w:rsid w:val="00C2624C"/>
    <w:rsid w:val="00C263C9"/>
    <w:rsid w:val="00C268FE"/>
    <w:rsid w:val="00C2694F"/>
    <w:rsid w:val="00C26A5C"/>
    <w:rsid w:val="00C26B2A"/>
    <w:rsid w:val="00C26CB3"/>
    <w:rsid w:val="00C26E17"/>
    <w:rsid w:val="00C26F26"/>
    <w:rsid w:val="00C26F32"/>
    <w:rsid w:val="00C26F57"/>
    <w:rsid w:val="00C271CA"/>
    <w:rsid w:val="00C272EC"/>
    <w:rsid w:val="00C273F2"/>
    <w:rsid w:val="00C2752B"/>
    <w:rsid w:val="00C2754C"/>
    <w:rsid w:val="00C2756E"/>
    <w:rsid w:val="00C277EA"/>
    <w:rsid w:val="00C27DA0"/>
    <w:rsid w:val="00C27EC6"/>
    <w:rsid w:val="00C27ECE"/>
    <w:rsid w:val="00C306FC"/>
    <w:rsid w:val="00C30903"/>
    <w:rsid w:val="00C30954"/>
    <w:rsid w:val="00C30961"/>
    <w:rsid w:val="00C30B2D"/>
    <w:rsid w:val="00C30EBB"/>
    <w:rsid w:val="00C30EFB"/>
    <w:rsid w:val="00C31292"/>
    <w:rsid w:val="00C313D6"/>
    <w:rsid w:val="00C317A4"/>
    <w:rsid w:val="00C31AF2"/>
    <w:rsid w:val="00C31D2E"/>
    <w:rsid w:val="00C31D4B"/>
    <w:rsid w:val="00C31D75"/>
    <w:rsid w:val="00C3218A"/>
    <w:rsid w:val="00C3220E"/>
    <w:rsid w:val="00C323CE"/>
    <w:rsid w:val="00C325C9"/>
    <w:rsid w:val="00C32728"/>
    <w:rsid w:val="00C327F2"/>
    <w:rsid w:val="00C32879"/>
    <w:rsid w:val="00C3294D"/>
    <w:rsid w:val="00C32C40"/>
    <w:rsid w:val="00C32EF3"/>
    <w:rsid w:val="00C331EE"/>
    <w:rsid w:val="00C3353F"/>
    <w:rsid w:val="00C3399D"/>
    <w:rsid w:val="00C33BFD"/>
    <w:rsid w:val="00C33C65"/>
    <w:rsid w:val="00C33E74"/>
    <w:rsid w:val="00C33EFB"/>
    <w:rsid w:val="00C33FF9"/>
    <w:rsid w:val="00C3402E"/>
    <w:rsid w:val="00C340E4"/>
    <w:rsid w:val="00C3419A"/>
    <w:rsid w:val="00C3446F"/>
    <w:rsid w:val="00C345AA"/>
    <w:rsid w:val="00C348DD"/>
    <w:rsid w:val="00C34A4B"/>
    <w:rsid w:val="00C34AE2"/>
    <w:rsid w:val="00C34B50"/>
    <w:rsid w:val="00C34DFC"/>
    <w:rsid w:val="00C34E01"/>
    <w:rsid w:val="00C352B0"/>
    <w:rsid w:val="00C353E4"/>
    <w:rsid w:val="00C354E8"/>
    <w:rsid w:val="00C3568C"/>
    <w:rsid w:val="00C359A3"/>
    <w:rsid w:val="00C35A38"/>
    <w:rsid w:val="00C35ABB"/>
    <w:rsid w:val="00C35BBB"/>
    <w:rsid w:val="00C36062"/>
    <w:rsid w:val="00C3617E"/>
    <w:rsid w:val="00C3646C"/>
    <w:rsid w:val="00C36595"/>
    <w:rsid w:val="00C365D4"/>
    <w:rsid w:val="00C36664"/>
    <w:rsid w:val="00C366B9"/>
    <w:rsid w:val="00C36BDA"/>
    <w:rsid w:val="00C36D87"/>
    <w:rsid w:val="00C36DD4"/>
    <w:rsid w:val="00C36DE2"/>
    <w:rsid w:val="00C36DE4"/>
    <w:rsid w:val="00C37186"/>
    <w:rsid w:val="00C373A7"/>
    <w:rsid w:val="00C37564"/>
    <w:rsid w:val="00C37BA2"/>
    <w:rsid w:val="00C37EB5"/>
    <w:rsid w:val="00C40214"/>
    <w:rsid w:val="00C403E7"/>
    <w:rsid w:val="00C40560"/>
    <w:rsid w:val="00C406C9"/>
    <w:rsid w:val="00C4098B"/>
    <w:rsid w:val="00C409E0"/>
    <w:rsid w:val="00C40A7B"/>
    <w:rsid w:val="00C40AF0"/>
    <w:rsid w:val="00C40C51"/>
    <w:rsid w:val="00C40F93"/>
    <w:rsid w:val="00C40FC5"/>
    <w:rsid w:val="00C4117D"/>
    <w:rsid w:val="00C4117F"/>
    <w:rsid w:val="00C41348"/>
    <w:rsid w:val="00C415D1"/>
    <w:rsid w:val="00C4178C"/>
    <w:rsid w:val="00C419E3"/>
    <w:rsid w:val="00C41BA2"/>
    <w:rsid w:val="00C41BC1"/>
    <w:rsid w:val="00C41D2B"/>
    <w:rsid w:val="00C42089"/>
    <w:rsid w:val="00C422C0"/>
    <w:rsid w:val="00C42375"/>
    <w:rsid w:val="00C423EE"/>
    <w:rsid w:val="00C42492"/>
    <w:rsid w:val="00C425DE"/>
    <w:rsid w:val="00C4264D"/>
    <w:rsid w:val="00C426DC"/>
    <w:rsid w:val="00C42B1B"/>
    <w:rsid w:val="00C42C69"/>
    <w:rsid w:val="00C42EFA"/>
    <w:rsid w:val="00C42F00"/>
    <w:rsid w:val="00C43708"/>
    <w:rsid w:val="00C43B67"/>
    <w:rsid w:val="00C44025"/>
    <w:rsid w:val="00C44233"/>
    <w:rsid w:val="00C443F4"/>
    <w:rsid w:val="00C44587"/>
    <w:rsid w:val="00C4473B"/>
    <w:rsid w:val="00C449BB"/>
    <w:rsid w:val="00C44BAC"/>
    <w:rsid w:val="00C44DD3"/>
    <w:rsid w:val="00C4512F"/>
    <w:rsid w:val="00C4554F"/>
    <w:rsid w:val="00C45826"/>
    <w:rsid w:val="00C45AA4"/>
    <w:rsid w:val="00C45B83"/>
    <w:rsid w:val="00C45C05"/>
    <w:rsid w:val="00C45E67"/>
    <w:rsid w:val="00C45FBF"/>
    <w:rsid w:val="00C46074"/>
    <w:rsid w:val="00C460B1"/>
    <w:rsid w:val="00C460B6"/>
    <w:rsid w:val="00C46314"/>
    <w:rsid w:val="00C46333"/>
    <w:rsid w:val="00C464BD"/>
    <w:rsid w:val="00C46543"/>
    <w:rsid w:val="00C466C3"/>
    <w:rsid w:val="00C469A2"/>
    <w:rsid w:val="00C46B64"/>
    <w:rsid w:val="00C46CFF"/>
    <w:rsid w:val="00C46F8F"/>
    <w:rsid w:val="00C4737C"/>
    <w:rsid w:val="00C4790D"/>
    <w:rsid w:val="00C47BEB"/>
    <w:rsid w:val="00C47CFD"/>
    <w:rsid w:val="00C47DAA"/>
    <w:rsid w:val="00C47E39"/>
    <w:rsid w:val="00C500F0"/>
    <w:rsid w:val="00C50341"/>
    <w:rsid w:val="00C50426"/>
    <w:rsid w:val="00C505FC"/>
    <w:rsid w:val="00C50719"/>
    <w:rsid w:val="00C5080E"/>
    <w:rsid w:val="00C50AF6"/>
    <w:rsid w:val="00C50F4E"/>
    <w:rsid w:val="00C51096"/>
    <w:rsid w:val="00C512C0"/>
    <w:rsid w:val="00C512DF"/>
    <w:rsid w:val="00C514CC"/>
    <w:rsid w:val="00C51819"/>
    <w:rsid w:val="00C51B1B"/>
    <w:rsid w:val="00C51DE3"/>
    <w:rsid w:val="00C51E1C"/>
    <w:rsid w:val="00C521CE"/>
    <w:rsid w:val="00C52264"/>
    <w:rsid w:val="00C522AE"/>
    <w:rsid w:val="00C52489"/>
    <w:rsid w:val="00C52517"/>
    <w:rsid w:val="00C526F7"/>
    <w:rsid w:val="00C52C70"/>
    <w:rsid w:val="00C52CBF"/>
    <w:rsid w:val="00C53501"/>
    <w:rsid w:val="00C5350F"/>
    <w:rsid w:val="00C5356E"/>
    <w:rsid w:val="00C53677"/>
    <w:rsid w:val="00C539EB"/>
    <w:rsid w:val="00C53B1E"/>
    <w:rsid w:val="00C53B73"/>
    <w:rsid w:val="00C53D35"/>
    <w:rsid w:val="00C53D6E"/>
    <w:rsid w:val="00C53D99"/>
    <w:rsid w:val="00C53FEB"/>
    <w:rsid w:val="00C541B0"/>
    <w:rsid w:val="00C541F9"/>
    <w:rsid w:val="00C54C5C"/>
    <w:rsid w:val="00C54C9B"/>
    <w:rsid w:val="00C54CAD"/>
    <w:rsid w:val="00C54D18"/>
    <w:rsid w:val="00C54DB0"/>
    <w:rsid w:val="00C54FDC"/>
    <w:rsid w:val="00C550E4"/>
    <w:rsid w:val="00C5517E"/>
    <w:rsid w:val="00C55283"/>
    <w:rsid w:val="00C55339"/>
    <w:rsid w:val="00C555A5"/>
    <w:rsid w:val="00C555D6"/>
    <w:rsid w:val="00C55775"/>
    <w:rsid w:val="00C55798"/>
    <w:rsid w:val="00C55A88"/>
    <w:rsid w:val="00C55F48"/>
    <w:rsid w:val="00C56167"/>
    <w:rsid w:val="00C561BB"/>
    <w:rsid w:val="00C561FC"/>
    <w:rsid w:val="00C563FA"/>
    <w:rsid w:val="00C56519"/>
    <w:rsid w:val="00C56688"/>
    <w:rsid w:val="00C56703"/>
    <w:rsid w:val="00C569E3"/>
    <w:rsid w:val="00C56F57"/>
    <w:rsid w:val="00C56F65"/>
    <w:rsid w:val="00C570E8"/>
    <w:rsid w:val="00C57974"/>
    <w:rsid w:val="00C57B81"/>
    <w:rsid w:val="00C57BAF"/>
    <w:rsid w:val="00C57BD0"/>
    <w:rsid w:val="00C57F73"/>
    <w:rsid w:val="00C6058B"/>
    <w:rsid w:val="00C60B31"/>
    <w:rsid w:val="00C60B6D"/>
    <w:rsid w:val="00C60CC8"/>
    <w:rsid w:val="00C60CC9"/>
    <w:rsid w:val="00C60E04"/>
    <w:rsid w:val="00C60E1F"/>
    <w:rsid w:val="00C6106C"/>
    <w:rsid w:val="00C616E8"/>
    <w:rsid w:val="00C61DF8"/>
    <w:rsid w:val="00C623D1"/>
    <w:rsid w:val="00C6242D"/>
    <w:rsid w:val="00C624C1"/>
    <w:rsid w:val="00C6260D"/>
    <w:rsid w:val="00C62929"/>
    <w:rsid w:val="00C62BB3"/>
    <w:rsid w:val="00C62BB6"/>
    <w:rsid w:val="00C62D7D"/>
    <w:rsid w:val="00C62E21"/>
    <w:rsid w:val="00C63045"/>
    <w:rsid w:val="00C6320C"/>
    <w:rsid w:val="00C63308"/>
    <w:rsid w:val="00C63423"/>
    <w:rsid w:val="00C63548"/>
    <w:rsid w:val="00C63AB3"/>
    <w:rsid w:val="00C63EE5"/>
    <w:rsid w:val="00C63F6A"/>
    <w:rsid w:val="00C6413B"/>
    <w:rsid w:val="00C6434F"/>
    <w:rsid w:val="00C6444C"/>
    <w:rsid w:val="00C644B2"/>
    <w:rsid w:val="00C64742"/>
    <w:rsid w:val="00C647FD"/>
    <w:rsid w:val="00C64BF8"/>
    <w:rsid w:val="00C64C2A"/>
    <w:rsid w:val="00C64E7E"/>
    <w:rsid w:val="00C651BF"/>
    <w:rsid w:val="00C65221"/>
    <w:rsid w:val="00C65452"/>
    <w:rsid w:val="00C65823"/>
    <w:rsid w:val="00C65830"/>
    <w:rsid w:val="00C6594C"/>
    <w:rsid w:val="00C6619A"/>
    <w:rsid w:val="00C6633D"/>
    <w:rsid w:val="00C6671D"/>
    <w:rsid w:val="00C66809"/>
    <w:rsid w:val="00C668C9"/>
    <w:rsid w:val="00C66BAD"/>
    <w:rsid w:val="00C66CFE"/>
    <w:rsid w:val="00C66D4D"/>
    <w:rsid w:val="00C67075"/>
    <w:rsid w:val="00C67112"/>
    <w:rsid w:val="00C676E8"/>
    <w:rsid w:val="00C677DA"/>
    <w:rsid w:val="00C678D5"/>
    <w:rsid w:val="00C67AA1"/>
    <w:rsid w:val="00C67BF3"/>
    <w:rsid w:val="00C70189"/>
    <w:rsid w:val="00C70425"/>
    <w:rsid w:val="00C70663"/>
    <w:rsid w:val="00C7074C"/>
    <w:rsid w:val="00C70C40"/>
    <w:rsid w:val="00C71235"/>
    <w:rsid w:val="00C713C6"/>
    <w:rsid w:val="00C7197B"/>
    <w:rsid w:val="00C71F7D"/>
    <w:rsid w:val="00C72385"/>
    <w:rsid w:val="00C72435"/>
    <w:rsid w:val="00C72B9B"/>
    <w:rsid w:val="00C72CB2"/>
    <w:rsid w:val="00C72E4D"/>
    <w:rsid w:val="00C72EB8"/>
    <w:rsid w:val="00C730BC"/>
    <w:rsid w:val="00C7330D"/>
    <w:rsid w:val="00C7346D"/>
    <w:rsid w:val="00C7350C"/>
    <w:rsid w:val="00C7370C"/>
    <w:rsid w:val="00C737DD"/>
    <w:rsid w:val="00C73AA8"/>
    <w:rsid w:val="00C73CC1"/>
    <w:rsid w:val="00C73EB4"/>
    <w:rsid w:val="00C73EDC"/>
    <w:rsid w:val="00C74113"/>
    <w:rsid w:val="00C741B4"/>
    <w:rsid w:val="00C741F9"/>
    <w:rsid w:val="00C74408"/>
    <w:rsid w:val="00C74518"/>
    <w:rsid w:val="00C748D2"/>
    <w:rsid w:val="00C7499A"/>
    <w:rsid w:val="00C74C2F"/>
    <w:rsid w:val="00C74F21"/>
    <w:rsid w:val="00C74F2D"/>
    <w:rsid w:val="00C750C2"/>
    <w:rsid w:val="00C753DB"/>
    <w:rsid w:val="00C754E9"/>
    <w:rsid w:val="00C755CA"/>
    <w:rsid w:val="00C75D16"/>
    <w:rsid w:val="00C75DEF"/>
    <w:rsid w:val="00C7617B"/>
    <w:rsid w:val="00C761B6"/>
    <w:rsid w:val="00C76296"/>
    <w:rsid w:val="00C7631E"/>
    <w:rsid w:val="00C764D2"/>
    <w:rsid w:val="00C765B9"/>
    <w:rsid w:val="00C765E8"/>
    <w:rsid w:val="00C7663D"/>
    <w:rsid w:val="00C76787"/>
    <w:rsid w:val="00C76A48"/>
    <w:rsid w:val="00C76B3F"/>
    <w:rsid w:val="00C76E84"/>
    <w:rsid w:val="00C77137"/>
    <w:rsid w:val="00C774AB"/>
    <w:rsid w:val="00C774BE"/>
    <w:rsid w:val="00C776FA"/>
    <w:rsid w:val="00C77E9C"/>
    <w:rsid w:val="00C80012"/>
    <w:rsid w:val="00C80081"/>
    <w:rsid w:val="00C8020E"/>
    <w:rsid w:val="00C80247"/>
    <w:rsid w:val="00C802BE"/>
    <w:rsid w:val="00C80322"/>
    <w:rsid w:val="00C80421"/>
    <w:rsid w:val="00C8052A"/>
    <w:rsid w:val="00C8089F"/>
    <w:rsid w:val="00C809E9"/>
    <w:rsid w:val="00C80ACE"/>
    <w:rsid w:val="00C80B22"/>
    <w:rsid w:val="00C80B4B"/>
    <w:rsid w:val="00C80C34"/>
    <w:rsid w:val="00C80C93"/>
    <w:rsid w:val="00C80D09"/>
    <w:rsid w:val="00C80E85"/>
    <w:rsid w:val="00C80EF1"/>
    <w:rsid w:val="00C810B5"/>
    <w:rsid w:val="00C810C6"/>
    <w:rsid w:val="00C81161"/>
    <w:rsid w:val="00C8116A"/>
    <w:rsid w:val="00C8118E"/>
    <w:rsid w:val="00C8143C"/>
    <w:rsid w:val="00C8174C"/>
    <w:rsid w:val="00C817F1"/>
    <w:rsid w:val="00C81972"/>
    <w:rsid w:val="00C81A27"/>
    <w:rsid w:val="00C81BD5"/>
    <w:rsid w:val="00C81E3C"/>
    <w:rsid w:val="00C81F90"/>
    <w:rsid w:val="00C8217D"/>
    <w:rsid w:val="00C82306"/>
    <w:rsid w:val="00C8236F"/>
    <w:rsid w:val="00C82393"/>
    <w:rsid w:val="00C82872"/>
    <w:rsid w:val="00C828C1"/>
    <w:rsid w:val="00C82BD1"/>
    <w:rsid w:val="00C82C76"/>
    <w:rsid w:val="00C82CDA"/>
    <w:rsid w:val="00C82DE9"/>
    <w:rsid w:val="00C83321"/>
    <w:rsid w:val="00C8337E"/>
    <w:rsid w:val="00C834A1"/>
    <w:rsid w:val="00C83651"/>
    <w:rsid w:val="00C8373A"/>
    <w:rsid w:val="00C83901"/>
    <w:rsid w:val="00C83983"/>
    <w:rsid w:val="00C839FB"/>
    <w:rsid w:val="00C83ADF"/>
    <w:rsid w:val="00C83E74"/>
    <w:rsid w:val="00C84536"/>
    <w:rsid w:val="00C84827"/>
    <w:rsid w:val="00C848F7"/>
    <w:rsid w:val="00C849C6"/>
    <w:rsid w:val="00C84A57"/>
    <w:rsid w:val="00C84CDC"/>
    <w:rsid w:val="00C84CE6"/>
    <w:rsid w:val="00C84E68"/>
    <w:rsid w:val="00C84EA0"/>
    <w:rsid w:val="00C854A4"/>
    <w:rsid w:val="00C8555E"/>
    <w:rsid w:val="00C855CC"/>
    <w:rsid w:val="00C85749"/>
    <w:rsid w:val="00C857DD"/>
    <w:rsid w:val="00C85A92"/>
    <w:rsid w:val="00C85B53"/>
    <w:rsid w:val="00C85C49"/>
    <w:rsid w:val="00C85C55"/>
    <w:rsid w:val="00C863E1"/>
    <w:rsid w:val="00C86464"/>
    <w:rsid w:val="00C86511"/>
    <w:rsid w:val="00C86770"/>
    <w:rsid w:val="00C867B2"/>
    <w:rsid w:val="00C8683E"/>
    <w:rsid w:val="00C868E3"/>
    <w:rsid w:val="00C86AA3"/>
    <w:rsid w:val="00C86DC8"/>
    <w:rsid w:val="00C86E46"/>
    <w:rsid w:val="00C86E56"/>
    <w:rsid w:val="00C86F21"/>
    <w:rsid w:val="00C86F2A"/>
    <w:rsid w:val="00C86F7A"/>
    <w:rsid w:val="00C8749E"/>
    <w:rsid w:val="00C87739"/>
    <w:rsid w:val="00C87740"/>
    <w:rsid w:val="00C87756"/>
    <w:rsid w:val="00C8782B"/>
    <w:rsid w:val="00C87A28"/>
    <w:rsid w:val="00C87B3A"/>
    <w:rsid w:val="00C87CC6"/>
    <w:rsid w:val="00C87CCF"/>
    <w:rsid w:val="00C87FC0"/>
    <w:rsid w:val="00C87FF9"/>
    <w:rsid w:val="00C900DE"/>
    <w:rsid w:val="00C902C9"/>
    <w:rsid w:val="00C904CE"/>
    <w:rsid w:val="00C90525"/>
    <w:rsid w:val="00C90686"/>
    <w:rsid w:val="00C908B7"/>
    <w:rsid w:val="00C90977"/>
    <w:rsid w:val="00C90CF9"/>
    <w:rsid w:val="00C910BC"/>
    <w:rsid w:val="00C913A1"/>
    <w:rsid w:val="00C915BC"/>
    <w:rsid w:val="00C915BD"/>
    <w:rsid w:val="00C9168C"/>
    <w:rsid w:val="00C91863"/>
    <w:rsid w:val="00C9188B"/>
    <w:rsid w:val="00C91C58"/>
    <w:rsid w:val="00C91C64"/>
    <w:rsid w:val="00C9207D"/>
    <w:rsid w:val="00C9236D"/>
    <w:rsid w:val="00C923F6"/>
    <w:rsid w:val="00C92536"/>
    <w:rsid w:val="00C92A5D"/>
    <w:rsid w:val="00C92ACC"/>
    <w:rsid w:val="00C92B1A"/>
    <w:rsid w:val="00C92B84"/>
    <w:rsid w:val="00C92E4D"/>
    <w:rsid w:val="00C92E71"/>
    <w:rsid w:val="00C92EA5"/>
    <w:rsid w:val="00C93330"/>
    <w:rsid w:val="00C93484"/>
    <w:rsid w:val="00C938A9"/>
    <w:rsid w:val="00C9391E"/>
    <w:rsid w:val="00C93A61"/>
    <w:rsid w:val="00C93AE0"/>
    <w:rsid w:val="00C93B2F"/>
    <w:rsid w:val="00C93CC8"/>
    <w:rsid w:val="00C93FBD"/>
    <w:rsid w:val="00C941C6"/>
    <w:rsid w:val="00C9422F"/>
    <w:rsid w:val="00C943DC"/>
    <w:rsid w:val="00C94643"/>
    <w:rsid w:val="00C947FE"/>
    <w:rsid w:val="00C948A7"/>
    <w:rsid w:val="00C94D20"/>
    <w:rsid w:val="00C95005"/>
    <w:rsid w:val="00C95366"/>
    <w:rsid w:val="00C953B6"/>
    <w:rsid w:val="00C953B9"/>
    <w:rsid w:val="00C95896"/>
    <w:rsid w:val="00C959B0"/>
    <w:rsid w:val="00C95A94"/>
    <w:rsid w:val="00C95E04"/>
    <w:rsid w:val="00C96550"/>
    <w:rsid w:val="00C967D7"/>
    <w:rsid w:val="00C96AC5"/>
    <w:rsid w:val="00C96AE6"/>
    <w:rsid w:val="00C96C24"/>
    <w:rsid w:val="00C96FC6"/>
    <w:rsid w:val="00C96FD3"/>
    <w:rsid w:val="00C9714C"/>
    <w:rsid w:val="00C971E4"/>
    <w:rsid w:val="00C973ED"/>
    <w:rsid w:val="00C9743D"/>
    <w:rsid w:val="00C97460"/>
    <w:rsid w:val="00C9749B"/>
    <w:rsid w:val="00C97591"/>
    <w:rsid w:val="00C976ED"/>
    <w:rsid w:val="00C97799"/>
    <w:rsid w:val="00C97930"/>
    <w:rsid w:val="00C97A79"/>
    <w:rsid w:val="00C97E54"/>
    <w:rsid w:val="00C97EE5"/>
    <w:rsid w:val="00C97F51"/>
    <w:rsid w:val="00C97F6C"/>
    <w:rsid w:val="00CA0012"/>
    <w:rsid w:val="00CA0347"/>
    <w:rsid w:val="00CA0424"/>
    <w:rsid w:val="00CA060F"/>
    <w:rsid w:val="00CA0677"/>
    <w:rsid w:val="00CA080C"/>
    <w:rsid w:val="00CA08E9"/>
    <w:rsid w:val="00CA09A4"/>
    <w:rsid w:val="00CA0A79"/>
    <w:rsid w:val="00CA0C4E"/>
    <w:rsid w:val="00CA0CD1"/>
    <w:rsid w:val="00CA0CE0"/>
    <w:rsid w:val="00CA0E84"/>
    <w:rsid w:val="00CA0EBE"/>
    <w:rsid w:val="00CA10A0"/>
    <w:rsid w:val="00CA13A8"/>
    <w:rsid w:val="00CA176D"/>
    <w:rsid w:val="00CA17EC"/>
    <w:rsid w:val="00CA18DF"/>
    <w:rsid w:val="00CA1A44"/>
    <w:rsid w:val="00CA1A57"/>
    <w:rsid w:val="00CA1B1B"/>
    <w:rsid w:val="00CA1C20"/>
    <w:rsid w:val="00CA1C2E"/>
    <w:rsid w:val="00CA1DA7"/>
    <w:rsid w:val="00CA2004"/>
    <w:rsid w:val="00CA2078"/>
    <w:rsid w:val="00CA23C1"/>
    <w:rsid w:val="00CA2612"/>
    <w:rsid w:val="00CA2782"/>
    <w:rsid w:val="00CA2AA6"/>
    <w:rsid w:val="00CA2FE0"/>
    <w:rsid w:val="00CA3277"/>
    <w:rsid w:val="00CA3280"/>
    <w:rsid w:val="00CA34C0"/>
    <w:rsid w:val="00CA3554"/>
    <w:rsid w:val="00CA365E"/>
    <w:rsid w:val="00CA36B6"/>
    <w:rsid w:val="00CA395E"/>
    <w:rsid w:val="00CA3AC3"/>
    <w:rsid w:val="00CA3B40"/>
    <w:rsid w:val="00CA41FF"/>
    <w:rsid w:val="00CA48F7"/>
    <w:rsid w:val="00CA4A4C"/>
    <w:rsid w:val="00CA4D71"/>
    <w:rsid w:val="00CA4DEE"/>
    <w:rsid w:val="00CA4E4F"/>
    <w:rsid w:val="00CA5084"/>
    <w:rsid w:val="00CA523E"/>
    <w:rsid w:val="00CA558A"/>
    <w:rsid w:val="00CA5620"/>
    <w:rsid w:val="00CA5639"/>
    <w:rsid w:val="00CA57C7"/>
    <w:rsid w:val="00CA5833"/>
    <w:rsid w:val="00CA5E9C"/>
    <w:rsid w:val="00CA5F28"/>
    <w:rsid w:val="00CA6097"/>
    <w:rsid w:val="00CA6182"/>
    <w:rsid w:val="00CA6572"/>
    <w:rsid w:val="00CA690D"/>
    <w:rsid w:val="00CA6BE5"/>
    <w:rsid w:val="00CA6BFB"/>
    <w:rsid w:val="00CA6D51"/>
    <w:rsid w:val="00CA6E34"/>
    <w:rsid w:val="00CA719B"/>
    <w:rsid w:val="00CA71F0"/>
    <w:rsid w:val="00CA7412"/>
    <w:rsid w:val="00CA7700"/>
    <w:rsid w:val="00CA778A"/>
    <w:rsid w:val="00CA790C"/>
    <w:rsid w:val="00CA7923"/>
    <w:rsid w:val="00CA7CFE"/>
    <w:rsid w:val="00CA7D68"/>
    <w:rsid w:val="00CB0044"/>
    <w:rsid w:val="00CB0256"/>
    <w:rsid w:val="00CB0863"/>
    <w:rsid w:val="00CB0886"/>
    <w:rsid w:val="00CB0BE4"/>
    <w:rsid w:val="00CB0C8F"/>
    <w:rsid w:val="00CB0D8C"/>
    <w:rsid w:val="00CB0E13"/>
    <w:rsid w:val="00CB10A0"/>
    <w:rsid w:val="00CB10AB"/>
    <w:rsid w:val="00CB1498"/>
    <w:rsid w:val="00CB150F"/>
    <w:rsid w:val="00CB1CB4"/>
    <w:rsid w:val="00CB1CD6"/>
    <w:rsid w:val="00CB1E7B"/>
    <w:rsid w:val="00CB202D"/>
    <w:rsid w:val="00CB22E7"/>
    <w:rsid w:val="00CB23E7"/>
    <w:rsid w:val="00CB2705"/>
    <w:rsid w:val="00CB27CD"/>
    <w:rsid w:val="00CB281A"/>
    <w:rsid w:val="00CB283E"/>
    <w:rsid w:val="00CB2E5D"/>
    <w:rsid w:val="00CB2FE2"/>
    <w:rsid w:val="00CB31AC"/>
    <w:rsid w:val="00CB31E9"/>
    <w:rsid w:val="00CB32F6"/>
    <w:rsid w:val="00CB330C"/>
    <w:rsid w:val="00CB3556"/>
    <w:rsid w:val="00CB3644"/>
    <w:rsid w:val="00CB36BB"/>
    <w:rsid w:val="00CB3812"/>
    <w:rsid w:val="00CB38AE"/>
    <w:rsid w:val="00CB39E2"/>
    <w:rsid w:val="00CB3E05"/>
    <w:rsid w:val="00CB3F20"/>
    <w:rsid w:val="00CB42F5"/>
    <w:rsid w:val="00CB43CE"/>
    <w:rsid w:val="00CB46AC"/>
    <w:rsid w:val="00CB4856"/>
    <w:rsid w:val="00CB4942"/>
    <w:rsid w:val="00CB53C6"/>
    <w:rsid w:val="00CB53CC"/>
    <w:rsid w:val="00CB53F4"/>
    <w:rsid w:val="00CB54A9"/>
    <w:rsid w:val="00CB55AD"/>
    <w:rsid w:val="00CB5F83"/>
    <w:rsid w:val="00CB6079"/>
    <w:rsid w:val="00CB63AD"/>
    <w:rsid w:val="00CB6569"/>
    <w:rsid w:val="00CB65AF"/>
    <w:rsid w:val="00CB664C"/>
    <w:rsid w:val="00CB66F5"/>
    <w:rsid w:val="00CB680A"/>
    <w:rsid w:val="00CB6875"/>
    <w:rsid w:val="00CB6B5C"/>
    <w:rsid w:val="00CB6C25"/>
    <w:rsid w:val="00CB6CB1"/>
    <w:rsid w:val="00CB6DF4"/>
    <w:rsid w:val="00CB71A6"/>
    <w:rsid w:val="00CB7212"/>
    <w:rsid w:val="00CB7629"/>
    <w:rsid w:val="00CB787E"/>
    <w:rsid w:val="00CB78CA"/>
    <w:rsid w:val="00CB7989"/>
    <w:rsid w:val="00CB7CC3"/>
    <w:rsid w:val="00CB7CD2"/>
    <w:rsid w:val="00CB7D90"/>
    <w:rsid w:val="00CB7E86"/>
    <w:rsid w:val="00CC0102"/>
    <w:rsid w:val="00CC07C5"/>
    <w:rsid w:val="00CC0D2F"/>
    <w:rsid w:val="00CC0E21"/>
    <w:rsid w:val="00CC11FD"/>
    <w:rsid w:val="00CC1527"/>
    <w:rsid w:val="00CC1A62"/>
    <w:rsid w:val="00CC1A90"/>
    <w:rsid w:val="00CC1AD4"/>
    <w:rsid w:val="00CC1C36"/>
    <w:rsid w:val="00CC1FCC"/>
    <w:rsid w:val="00CC224D"/>
    <w:rsid w:val="00CC2551"/>
    <w:rsid w:val="00CC2808"/>
    <w:rsid w:val="00CC2BFD"/>
    <w:rsid w:val="00CC2C06"/>
    <w:rsid w:val="00CC2E0C"/>
    <w:rsid w:val="00CC2EDC"/>
    <w:rsid w:val="00CC3A61"/>
    <w:rsid w:val="00CC3BD4"/>
    <w:rsid w:val="00CC3E2F"/>
    <w:rsid w:val="00CC410C"/>
    <w:rsid w:val="00CC4236"/>
    <w:rsid w:val="00CC46B8"/>
    <w:rsid w:val="00CC47C6"/>
    <w:rsid w:val="00CC486A"/>
    <w:rsid w:val="00CC4873"/>
    <w:rsid w:val="00CC48E3"/>
    <w:rsid w:val="00CC4B02"/>
    <w:rsid w:val="00CC4BBC"/>
    <w:rsid w:val="00CC54E1"/>
    <w:rsid w:val="00CC55F6"/>
    <w:rsid w:val="00CC5AB3"/>
    <w:rsid w:val="00CC5B32"/>
    <w:rsid w:val="00CC5F29"/>
    <w:rsid w:val="00CC5FF6"/>
    <w:rsid w:val="00CC60B5"/>
    <w:rsid w:val="00CC616F"/>
    <w:rsid w:val="00CC61EA"/>
    <w:rsid w:val="00CC63B6"/>
    <w:rsid w:val="00CC6698"/>
    <w:rsid w:val="00CC66CA"/>
    <w:rsid w:val="00CC6720"/>
    <w:rsid w:val="00CC680A"/>
    <w:rsid w:val="00CC68A0"/>
    <w:rsid w:val="00CC698A"/>
    <w:rsid w:val="00CC6B05"/>
    <w:rsid w:val="00CC6B6A"/>
    <w:rsid w:val="00CC71D5"/>
    <w:rsid w:val="00CC743B"/>
    <w:rsid w:val="00CC770B"/>
    <w:rsid w:val="00CC77DF"/>
    <w:rsid w:val="00CC788D"/>
    <w:rsid w:val="00CC7A75"/>
    <w:rsid w:val="00CC7D32"/>
    <w:rsid w:val="00CC7F79"/>
    <w:rsid w:val="00CD0119"/>
    <w:rsid w:val="00CD03E6"/>
    <w:rsid w:val="00CD046D"/>
    <w:rsid w:val="00CD074B"/>
    <w:rsid w:val="00CD0774"/>
    <w:rsid w:val="00CD0801"/>
    <w:rsid w:val="00CD0A17"/>
    <w:rsid w:val="00CD0BD5"/>
    <w:rsid w:val="00CD0F63"/>
    <w:rsid w:val="00CD1165"/>
    <w:rsid w:val="00CD128C"/>
    <w:rsid w:val="00CD149F"/>
    <w:rsid w:val="00CD1543"/>
    <w:rsid w:val="00CD158E"/>
    <w:rsid w:val="00CD1A61"/>
    <w:rsid w:val="00CD1CE8"/>
    <w:rsid w:val="00CD1DA7"/>
    <w:rsid w:val="00CD230F"/>
    <w:rsid w:val="00CD25DF"/>
    <w:rsid w:val="00CD27AE"/>
    <w:rsid w:val="00CD27DE"/>
    <w:rsid w:val="00CD27EE"/>
    <w:rsid w:val="00CD2AF8"/>
    <w:rsid w:val="00CD2D29"/>
    <w:rsid w:val="00CD2E11"/>
    <w:rsid w:val="00CD300B"/>
    <w:rsid w:val="00CD318A"/>
    <w:rsid w:val="00CD3209"/>
    <w:rsid w:val="00CD3289"/>
    <w:rsid w:val="00CD37BB"/>
    <w:rsid w:val="00CD38C7"/>
    <w:rsid w:val="00CD3920"/>
    <w:rsid w:val="00CD3ABD"/>
    <w:rsid w:val="00CD3D65"/>
    <w:rsid w:val="00CD3D6B"/>
    <w:rsid w:val="00CD40CF"/>
    <w:rsid w:val="00CD42DE"/>
    <w:rsid w:val="00CD47E6"/>
    <w:rsid w:val="00CD48BF"/>
    <w:rsid w:val="00CD4DFA"/>
    <w:rsid w:val="00CD4E2C"/>
    <w:rsid w:val="00CD4E59"/>
    <w:rsid w:val="00CD51B0"/>
    <w:rsid w:val="00CD51BE"/>
    <w:rsid w:val="00CD5428"/>
    <w:rsid w:val="00CD5830"/>
    <w:rsid w:val="00CD5937"/>
    <w:rsid w:val="00CD5E2A"/>
    <w:rsid w:val="00CD60A4"/>
    <w:rsid w:val="00CD63D9"/>
    <w:rsid w:val="00CD6492"/>
    <w:rsid w:val="00CD69B6"/>
    <w:rsid w:val="00CD6EB7"/>
    <w:rsid w:val="00CD6F3D"/>
    <w:rsid w:val="00CD6F8C"/>
    <w:rsid w:val="00CD7165"/>
    <w:rsid w:val="00CD7A2F"/>
    <w:rsid w:val="00CD7B7C"/>
    <w:rsid w:val="00CD7B9C"/>
    <w:rsid w:val="00CD7C35"/>
    <w:rsid w:val="00CD7D0C"/>
    <w:rsid w:val="00CD7F4B"/>
    <w:rsid w:val="00CE00AB"/>
    <w:rsid w:val="00CE036D"/>
    <w:rsid w:val="00CE03BA"/>
    <w:rsid w:val="00CE0472"/>
    <w:rsid w:val="00CE09EB"/>
    <w:rsid w:val="00CE0A07"/>
    <w:rsid w:val="00CE1101"/>
    <w:rsid w:val="00CE11BE"/>
    <w:rsid w:val="00CE14D1"/>
    <w:rsid w:val="00CE17DC"/>
    <w:rsid w:val="00CE1817"/>
    <w:rsid w:val="00CE1A51"/>
    <w:rsid w:val="00CE2896"/>
    <w:rsid w:val="00CE2A65"/>
    <w:rsid w:val="00CE2CB6"/>
    <w:rsid w:val="00CE3067"/>
    <w:rsid w:val="00CE3252"/>
    <w:rsid w:val="00CE32EA"/>
    <w:rsid w:val="00CE338D"/>
    <w:rsid w:val="00CE33A2"/>
    <w:rsid w:val="00CE3A79"/>
    <w:rsid w:val="00CE3A85"/>
    <w:rsid w:val="00CE3B51"/>
    <w:rsid w:val="00CE3B61"/>
    <w:rsid w:val="00CE3DF9"/>
    <w:rsid w:val="00CE3F17"/>
    <w:rsid w:val="00CE3F5E"/>
    <w:rsid w:val="00CE43EF"/>
    <w:rsid w:val="00CE441E"/>
    <w:rsid w:val="00CE4484"/>
    <w:rsid w:val="00CE448F"/>
    <w:rsid w:val="00CE44EF"/>
    <w:rsid w:val="00CE44FD"/>
    <w:rsid w:val="00CE4653"/>
    <w:rsid w:val="00CE47B2"/>
    <w:rsid w:val="00CE4973"/>
    <w:rsid w:val="00CE4CFA"/>
    <w:rsid w:val="00CE4DDD"/>
    <w:rsid w:val="00CE4E63"/>
    <w:rsid w:val="00CE4F0E"/>
    <w:rsid w:val="00CE557A"/>
    <w:rsid w:val="00CE587E"/>
    <w:rsid w:val="00CE595C"/>
    <w:rsid w:val="00CE5E5A"/>
    <w:rsid w:val="00CE5EAF"/>
    <w:rsid w:val="00CE5EBE"/>
    <w:rsid w:val="00CE5F4A"/>
    <w:rsid w:val="00CE5F8B"/>
    <w:rsid w:val="00CE622F"/>
    <w:rsid w:val="00CE624D"/>
    <w:rsid w:val="00CE62C3"/>
    <w:rsid w:val="00CE63A8"/>
    <w:rsid w:val="00CE64AB"/>
    <w:rsid w:val="00CE64D0"/>
    <w:rsid w:val="00CE657C"/>
    <w:rsid w:val="00CE68E7"/>
    <w:rsid w:val="00CE69EF"/>
    <w:rsid w:val="00CE7296"/>
    <w:rsid w:val="00CE7375"/>
    <w:rsid w:val="00CE74F4"/>
    <w:rsid w:val="00CE7680"/>
    <w:rsid w:val="00CE76A0"/>
    <w:rsid w:val="00CE7848"/>
    <w:rsid w:val="00CE7942"/>
    <w:rsid w:val="00CE7B32"/>
    <w:rsid w:val="00CE7B39"/>
    <w:rsid w:val="00CE7B95"/>
    <w:rsid w:val="00CF018E"/>
    <w:rsid w:val="00CF01A0"/>
    <w:rsid w:val="00CF0A8B"/>
    <w:rsid w:val="00CF0CDF"/>
    <w:rsid w:val="00CF0CED"/>
    <w:rsid w:val="00CF0EE0"/>
    <w:rsid w:val="00CF12C9"/>
    <w:rsid w:val="00CF16F1"/>
    <w:rsid w:val="00CF170D"/>
    <w:rsid w:val="00CF1FD0"/>
    <w:rsid w:val="00CF1FFD"/>
    <w:rsid w:val="00CF2131"/>
    <w:rsid w:val="00CF2243"/>
    <w:rsid w:val="00CF26C8"/>
    <w:rsid w:val="00CF2A99"/>
    <w:rsid w:val="00CF2B44"/>
    <w:rsid w:val="00CF2B97"/>
    <w:rsid w:val="00CF2C29"/>
    <w:rsid w:val="00CF2DF4"/>
    <w:rsid w:val="00CF2EE7"/>
    <w:rsid w:val="00CF2EF8"/>
    <w:rsid w:val="00CF2F21"/>
    <w:rsid w:val="00CF2FC6"/>
    <w:rsid w:val="00CF348C"/>
    <w:rsid w:val="00CF36BD"/>
    <w:rsid w:val="00CF374A"/>
    <w:rsid w:val="00CF37B7"/>
    <w:rsid w:val="00CF3955"/>
    <w:rsid w:val="00CF395C"/>
    <w:rsid w:val="00CF3A2B"/>
    <w:rsid w:val="00CF3CA7"/>
    <w:rsid w:val="00CF406C"/>
    <w:rsid w:val="00CF483A"/>
    <w:rsid w:val="00CF48FD"/>
    <w:rsid w:val="00CF49F9"/>
    <w:rsid w:val="00CF4CD6"/>
    <w:rsid w:val="00CF4E27"/>
    <w:rsid w:val="00CF4F09"/>
    <w:rsid w:val="00CF4F58"/>
    <w:rsid w:val="00CF4FF2"/>
    <w:rsid w:val="00CF50A8"/>
    <w:rsid w:val="00CF5386"/>
    <w:rsid w:val="00CF55E8"/>
    <w:rsid w:val="00CF5889"/>
    <w:rsid w:val="00CF5AD3"/>
    <w:rsid w:val="00CF5BBA"/>
    <w:rsid w:val="00CF5C0C"/>
    <w:rsid w:val="00CF5E02"/>
    <w:rsid w:val="00CF5E07"/>
    <w:rsid w:val="00CF5E7B"/>
    <w:rsid w:val="00CF5F49"/>
    <w:rsid w:val="00CF6124"/>
    <w:rsid w:val="00CF6191"/>
    <w:rsid w:val="00CF61DC"/>
    <w:rsid w:val="00CF63BA"/>
    <w:rsid w:val="00CF6681"/>
    <w:rsid w:val="00CF67BB"/>
    <w:rsid w:val="00CF6BD3"/>
    <w:rsid w:val="00CF6EC6"/>
    <w:rsid w:val="00CF7038"/>
    <w:rsid w:val="00CF7086"/>
    <w:rsid w:val="00CF78A5"/>
    <w:rsid w:val="00CF7B29"/>
    <w:rsid w:val="00CF7CFA"/>
    <w:rsid w:val="00CF7F16"/>
    <w:rsid w:val="00D0040D"/>
    <w:rsid w:val="00D00C13"/>
    <w:rsid w:val="00D00C9A"/>
    <w:rsid w:val="00D011C0"/>
    <w:rsid w:val="00D01426"/>
    <w:rsid w:val="00D019B6"/>
    <w:rsid w:val="00D01BAC"/>
    <w:rsid w:val="00D01CF1"/>
    <w:rsid w:val="00D01D67"/>
    <w:rsid w:val="00D01E4A"/>
    <w:rsid w:val="00D01E4D"/>
    <w:rsid w:val="00D01E85"/>
    <w:rsid w:val="00D02057"/>
    <w:rsid w:val="00D021CD"/>
    <w:rsid w:val="00D02282"/>
    <w:rsid w:val="00D0291B"/>
    <w:rsid w:val="00D02BE2"/>
    <w:rsid w:val="00D02C78"/>
    <w:rsid w:val="00D02E5B"/>
    <w:rsid w:val="00D032A4"/>
    <w:rsid w:val="00D033EA"/>
    <w:rsid w:val="00D0342B"/>
    <w:rsid w:val="00D0352A"/>
    <w:rsid w:val="00D03677"/>
    <w:rsid w:val="00D0373C"/>
    <w:rsid w:val="00D03825"/>
    <w:rsid w:val="00D03BCC"/>
    <w:rsid w:val="00D03F76"/>
    <w:rsid w:val="00D041E5"/>
    <w:rsid w:val="00D042C5"/>
    <w:rsid w:val="00D0441C"/>
    <w:rsid w:val="00D044AA"/>
    <w:rsid w:val="00D0450A"/>
    <w:rsid w:val="00D048A4"/>
    <w:rsid w:val="00D048EE"/>
    <w:rsid w:val="00D04B18"/>
    <w:rsid w:val="00D050C3"/>
    <w:rsid w:val="00D051B0"/>
    <w:rsid w:val="00D05710"/>
    <w:rsid w:val="00D0573B"/>
    <w:rsid w:val="00D05B19"/>
    <w:rsid w:val="00D05FBE"/>
    <w:rsid w:val="00D065C5"/>
    <w:rsid w:val="00D066C2"/>
    <w:rsid w:val="00D06934"/>
    <w:rsid w:val="00D06B3B"/>
    <w:rsid w:val="00D06D2B"/>
    <w:rsid w:val="00D06DA9"/>
    <w:rsid w:val="00D06DF8"/>
    <w:rsid w:val="00D071D1"/>
    <w:rsid w:val="00D07362"/>
    <w:rsid w:val="00D07595"/>
    <w:rsid w:val="00D07979"/>
    <w:rsid w:val="00D079FD"/>
    <w:rsid w:val="00D07A32"/>
    <w:rsid w:val="00D07A58"/>
    <w:rsid w:val="00D07BD7"/>
    <w:rsid w:val="00D07D33"/>
    <w:rsid w:val="00D07D4F"/>
    <w:rsid w:val="00D07F05"/>
    <w:rsid w:val="00D10041"/>
    <w:rsid w:val="00D1006B"/>
    <w:rsid w:val="00D1069F"/>
    <w:rsid w:val="00D10736"/>
    <w:rsid w:val="00D107C2"/>
    <w:rsid w:val="00D107DA"/>
    <w:rsid w:val="00D1087F"/>
    <w:rsid w:val="00D1096E"/>
    <w:rsid w:val="00D10A20"/>
    <w:rsid w:val="00D10A7F"/>
    <w:rsid w:val="00D10CAB"/>
    <w:rsid w:val="00D10D55"/>
    <w:rsid w:val="00D11151"/>
    <w:rsid w:val="00D112BE"/>
    <w:rsid w:val="00D1154D"/>
    <w:rsid w:val="00D1182B"/>
    <w:rsid w:val="00D118B7"/>
    <w:rsid w:val="00D11FB4"/>
    <w:rsid w:val="00D1202A"/>
    <w:rsid w:val="00D12802"/>
    <w:rsid w:val="00D12966"/>
    <w:rsid w:val="00D12990"/>
    <w:rsid w:val="00D12BA4"/>
    <w:rsid w:val="00D12BA9"/>
    <w:rsid w:val="00D13129"/>
    <w:rsid w:val="00D131C7"/>
    <w:rsid w:val="00D132E4"/>
    <w:rsid w:val="00D1346A"/>
    <w:rsid w:val="00D13757"/>
    <w:rsid w:val="00D137D9"/>
    <w:rsid w:val="00D138A7"/>
    <w:rsid w:val="00D13B0A"/>
    <w:rsid w:val="00D13C25"/>
    <w:rsid w:val="00D13DDA"/>
    <w:rsid w:val="00D13F94"/>
    <w:rsid w:val="00D1414C"/>
    <w:rsid w:val="00D141F9"/>
    <w:rsid w:val="00D14238"/>
    <w:rsid w:val="00D145B8"/>
    <w:rsid w:val="00D14994"/>
    <w:rsid w:val="00D14A97"/>
    <w:rsid w:val="00D14B0F"/>
    <w:rsid w:val="00D14B2E"/>
    <w:rsid w:val="00D14BAF"/>
    <w:rsid w:val="00D14D83"/>
    <w:rsid w:val="00D14F67"/>
    <w:rsid w:val="00D15134"/>
    <w:rsid w:val="00D15545"/>
    <w:rsid w:val="00D15628"/>
    <w:rsid w:val="00D1563F"/>
    <w:rsid w:val="00D158A2"/>
    <w:rsid w:val="00D1599A"/>
    <w:rsid w:val="00D15A8B"/>
    <w:rsid w:val="00D15CC2"/>
    <w:rsid w:val="00D15FB3"/>
    <w:rsid w:val="00D1610F"/>
    <w:rsid w:val="00D162A8"/>
    <w:rsid w:val="00D1636A"/>
    <w:rsid w:val="00D16443"/>
    <w:rsid w:val="00D1648B"/>
    <w:rsid w:val="00D16A0B"/>
    <w:rsid w:val="00D16AC5"/>
    <w:rsid w:val="00D16B58"/>
    <w:rsid w:val="00D16C3C"/>
    <w:rsid w:val="00D16F5D"/>
    <w:rsid w:val="00D1773A"/>
    <w:rsid w:val="00D1777A"/>
    <w:rsid w:val="00D1777C"/>
    <w:rsid w:val="00D177AE"/>
    <w:rsid w:val="00D17870"/>
    <w:rsid w:val="00D179E2"/>
    <w:rsid w:val="00D17B6B"/>
    <w:rsid w:val="00D17B88"/>
    <w:rsid w:val="00D17D76"/>
    <w:rsid w:val="00D17DC3"/>
    <w:rsid w:val="00D17FFD"/>
    <w:rsid w:val="00D2016C"/>
    <w:rsid w:val="00D201AC"/>
    <w:rsid w:val="00D20201"/>
    <w:rsid w:val="00D20691"/>
    <w:rsid w:val="00D20A28"/>
    <w:rsid w:val="00D20C18"/>
    <w:rsid w:val="00D20CC6"/>
    <w:rsid w:val="00D210CA"/>
    <w:rsid w:val="00D2161A"/>
    <w:rsid w:val="00D21719"/>
    <w:rsid w:val="00D21792"/>
    <w:rsid w:val="00D218E8"/>
    <w:rsid w:val="00D21B4A"/>
    <w:rsid w:val="00D21D34"/>
    <w:rsid w:val="00D2219D"/>
    <w:rsid w:val="00D22432"/>
    <w:rsid w:val="00D2283E"/>
    <w:rsid w:val="00D22B12"/>
    <w:rsid w:val="00D22B90"/>
    <w:rsid w:val="00D22EA4"/>
    <w:rsid w:val="00D22FC7"/>
    <w:rsid w:val="00D231B6"/>
    <w:rsid w:val="00D233AE"/>
    <w:rsid w:val="00D2365F"/>
    <w:rsid w:val="00D2383F"/>
    <w:rsid w:val="00D238CA"/>
    <w:rsid w:val="00D23986"/>
    <w:rsid w:val="00D23B8C"/>
    <w:rsid w:val="00D23FB6"/>
    <w:rsid w:val="00D2411D"/>
    <w:rsid w:val="00D243B1"/>
    <w:rsid w:val="00D2440F"/>
    <w:rsid w:val="00D24787"/>
    <w:rsid w:val="00D247BD"/>
    <w:rsid w:val="00D24B26"/>
    <w:rsid w:val="00D24B2C"/>
    <w:rsid w:val="00D24C73"/>
    <w:rsid w:val="00D24EB6"/>
    <w:rsid w:val="00D24F63"/>
    <w:rsid w:val="00D250BF"/>
    <w:rsid w:val="00D25217"/>
    <w:rsid w:val="00D255A5"/>
    <w:rsid w:val="00D25600"/>
    <w:rsid w:val="00D2563A"/>
    <w:rsid w:val="00D2572F"/>
    <w:rsid w:val="00D25A50"/>
    <w:rsid w:val="00D25BF4"/>
    <w:rsid w:val="00D25D30"/>
    <w:rsid w:val="00D25D7A"/>
    <w:rsid w:val="00D25EA1"/>
    <w:rsid w:val="00D25F18"/>
    <w:rsid w:val="00D25F97"/>
    <w:rsid w:val="00D2611A"/>
    <w:rsid w:val="00D2641B"/>
    <w:rsid w:val="00D26538"/>
    <w:rsid w:val="00D265DA"/>
    <w:rsid w:val="00D26766"/>
    <w:rsid w:val="00D2685C"/>
    <w:rsid w:val="00D26863"/>
    <w:rsid w:val="00D26D7B"/>
    <w:rsid w:val="00D26E40"/>
    <w:rsid w:val="00D26F02"/>
    <w:rsid w:val="00D27098"/>
    <w:rsid w:val="00D273BD"/>
    <w:rsid w:val="00D274F2"/>
    <w:rsid w:val="00D2753B"/>
    <w:rsid w:val="00D27584"/>
    <w:rsid w:val="00D27622"/>
    <w:rsid w:val="00D276FA"/>
    <w:rsid w:val="00D27756"/>
    <w:rsid w:val="00D27B00"/>
    <w:rsid w:val="00D27DF2"/>
    <w:rsid w:val="00D27E7C"/>
    <w:rsid w:val="00D301C7"/>
    <w:rsid w:val="00D301D3"/>
    <w:rsid w:val="00D30257"/>
    <w:rsid w:val="00D3028B"/>
    <w:rsid w:val="00D30B2E"/>
    <w:rsid w:val="00D30C22"/>
    <w:rsid w:val="00D30C24"/>
    <w:rsid w:val="00D30E4D"/>
    <w:rsid w:val="00D30EA0"/>
    <w:rsid w:val="00D30FB7"/>
    <w:rsid w:val="00D31441"/>
    <w:rsid w:val="00D3158A"/>
    <w:rsid w:val="00D31666"/>
    <w:rsid w:val="00D318FD"/>
    <w:rsid w:val="00D319B7"/>
    <w:rsid w:val="00D319CE"/>
    <w:rsid w:val="00D31AF7"/>
    <w:rsid w:val="00D31B09"/>
    <w:rsid w:val="00D31C72"/>
    <w:rsid w:val="00D31DDC"/>
    <w:rsid w:val="00D31E89"/>
    <w:rsid w:val="00D31E99"/>
    <w:rsid w:val="00D3208E"/>
    <w:rsid w:val="00D3214E"/>
    <w:rsid w:val="00D32297"/>
    <w:rsid w:val="00D32B0D"/>
    <w:rsid w:val="00D32C74"/>
    <w:rsid w:val="00D32DDF"/>
    <w:rsid w:val="00D32F30"/>
    <w:rsid w:val="00D331D6"/>
    <w:rsid w:val="00D331FC"/>
    <w:rsid w:val="00D3337C"/>
    <w:rsid w:val="00D33387"/>
    <w:rsid w:val="00D33531"/>
    <w:rsid w:val="00D33587"/>
    <w:rsid w:val="00D335D1"/>
    <w:rsid w:val="00D337FE"/>
    <w:rsid w:val="00D34000"/>
    <w:rsid w:val="00D3415E"/>
    <w:rsid w:val="00D34257"/>
    <w:rsid w:val="00D3428C"/>
    <w:rsid w:val="00D34556"/>
    <w:rsid w:val="00D347BA"/>
    <w:rsid w:val="00D34870"/>
    <w:rsid w:val="00D34A2C"/>
    <w:rsid w:val="00D34AAF"/>
    <w:rsid w:val="00D34DE7"/>
    <w:rsid w:val="00D35055"/>
    <w:rsid w:val="00D350A9"/>
    <w:rsid w:val="00D350B6"/>
    <w:rsid w:val="00D351BA"/>
    <w:rsid w:val="00D351FA"/>
    <w:rsid w:val="00D35E0B"/>
    <w:rsid w:val="00D35F43"/>
    <w:rsid w:val="00D3607C"/>
    <w:rsid w:val="00D362B8"/>
    <w:rsid w:val="00D36399"/>
    <w:rsid w:val="00D36470"/>
    <w:rsid w:val="00D36684"/>
    <w:rsid w:val="00D366EB"/>
    <w:rsid w:val="00D3670C"/>
    <w:rsid w:val="00D3675F"/>
    <w:rsid w:val="00D368DA"/>
    <w:rsid w:val="00D369A7"/>
    <w:rsid w:val="00D36C4F"/>
    <w:rsid w:val="00D36C91"/>
    <w:rsid w:val="00D36F13"/>
    <w:rsid w:val="00D36F4D"/>
    <w:rsid w:val="00D3711D"/>
    <w:rsid w:val="00D3733E"/>
    <w:rsid w:val="00D373A9"/>
    <w:rsid w:val="00D374DA"/>
    <w:rsid w:val="00D378B1"/>
    <w:rsid w:val="00D37B22"/>
    <w:rsid w:val="00D37CAA"/>
    <w:rsid w:val="00D37D63"/>
    <w:rsid w:val="00D37F0A"/>
    <w:rsid w:val="00D400C6"/>
    <w:rsid w:val="00D403A7"/>
    <w:rsid w:val="00D40483"/>
    <w:rsid w:val="00D40598"/>
    <w:rsid w:val="00D405EF"/>
    <w:rsid w:val="00D40D02"/>
    <w:rsid w:val="00D40D93"/>
    <w:rsid w:val="00D40FBA"/>
    <w:rsid w:val="00D41161"/>
    <w:rsid w:val="00D41266"/>
    <w:rsid w:val="00D413EC"/>
    <w:rsid w:val="00D414CD"/>
    <w:rsid w:val="00D41824"/>
    <w:rsid w:val="00D41A4E"/>
    <w:rsid w:val="00D41C5F"/>
    <w:rsid w:val="00D41F29"/>
    <w:rsid w:val="00D41F4A"/>
    <w:rsid w:val="00D4202D"/>
    <w:rsid w:val="00D42190"/>
    <w:rsid w:val="00D421F7"/>
    <w:rsid w:val="00D424DD"/>
    <w:rsid w:val="00D425CB"/>
    <w:rsid w:val="00D4260D"/>
    <w:rsid w:val="00D4286A"/>
    <w:rsid w:val="00D42C4C"/>
    <w:rsid w:val="00D42C6B"/>
    <w:rsid w:val="00D42E15"/>
    <w:rsid w:val="00D42F77"/>
    <w:rsid w:val="00D430E9"/>
    <w:rsid w:val="00D43318"/>
    <w:rsid w:val="00D434CB"/>
    <w:rsid w:val="00D435BB"/>
    <w:rsid w:val="00D43642"/>
    <w:rsid w:val="00D43B19"/>
    <w:rsid w:val="00D43E24"/>
    <w:rsid w:val="00D43E2C"/>
    <w:rsid w:val="00D43EFD"/>
    <w:rsid w:val="00D43EFF"/>
    <w:rsid w:val="00D44082"/>
    <w:rsid w:val="00D440C2"/>
    <w:rsid w:val="00D44163"/>
    <w:rsid w:val="00D441A5"/>
    <w:rsid w:val="00D4426F"/>
    <w:rsid w:val="00D4428E"/>
    <w:rsid w:val="00D442C0"/>
    <w:rsid w:val="00D442FB"/>
    <w:rsid w:val="00D443D5"/>
    <w:rsid w:val="00D443F2"/>
    <w:rsid w:val="00D444EB"/>
    <w:rsid w:val="00D445FC"/>
    <w:rsid w:val="00D4462B"/>
    <w:rsid w:val="00D447F3"/>
    <w:rsid w:val="00D44C95"/>
    <w:rsid w:val="00D44DDE"/>
    <w:rsid w:val="00D450CC"/>
    <w:rsid w:val="00D45446"/>
    <w:rsid w:val="00D456E7"/>
    <w:rsid w:val="00D45A77"/>
    <w:rsid w:val="00D45E7F"/>
    <w:rsid w:val="00D461C3"/>
    <w:rsid w:val="00D46387"/>
    <w:rsid w:val="00D468A8"/>
    <w:rsid w:val="00D46945"/>
    <w:rsid w:val="00D469AA"/>
    <w:rsid w:val="00D47301"/>
    <w:rsid w:val="00D4739B"/>
    <w:rsid w:val="00D4747C"/>
    <w:rsid w:val="00D47576"/>
    <w:rsid w:val="00D4782B"/>
    <w:rsid w:val="00D47894"/>
    <w:rsid w:val="00D47A33"/>
    <w:rsid w:val="00D47B2F"/>
    <w:rsid w:val="00D47F1E"/>
    <w:rsid w:val="00D5032E"/>
    <w:rsid w:val="00D505F0"/>
    <w:rsid w:val="00D50C57"/>
    <w:rsid w:val="00D511F6"/>
    <w:rsid w:val="00D51438"/>
    <w:rsid w:val="00D5173B"/>
    <w:rsid w:val="00D51DFC"/>
    <w:rsid w:val="00D52379"/>
    <w:rsid w:val="00D523B2"/>
    <w:rsid w:val="00D523B5"/>
    <w:rsid w:val="00D5253A"/>
    <w:rsid w:val="00D525DB"/>
    <w:rsid w:val="00D527CA"/>
    <w:rsid w:val="00D52857"/>
    <w:rsid w:val="00D52DD4"/>
    <w:rsid w:val="00D52E0E"/>
    <w:rsid w:val="00D53238"/>
    <w:rsid w:val="00D53364"/>
    <w:rsid w:val="00D53539"/>
    <w:rsid w:val="00D53543"/>
    <w:rsid w:val="00D53A28"/>
    <w:rsid w:val="00D53CDE"/>
    <w:rsid w:val="00D53E9C"/>
    <w:rsid w:val="00D53F72"/>
    <w:rsid w:val="00D541AE"/>
    <w:rsid w:val="00D542BC"/>
    <w:rsid w:val="00D5432A"/>
    <w:rsid w:val="00D543EF"/>
    <w:rsid w:val="00D544C8"/>
    <w:rsid w:val="00D5452D"/>
    <w:rsid w:val="00D54787"/>
    <w:rsid w:val="00D549D5"/>
    <w:rsid w:val="00D54D4D"/>
    <w:rsid w:val="00D55016"/>
    <w:rsid w:val="00D55140"/>
    <w:rsid w:val="00D55228"/>
    <w:rsid w:val="00D5538B"/>
    <w:rsid w:val="00D5597B"/>
    <w:rsid w:val="00D55D35"/>
    <w:rsid w:val="00D55D76"/>
    <w:rsid w:val="00D55DCC"/>
    <w:rsid w:val="00D56121"/>
    <w:rsid w:val="00D5629E"/>
    <w:rsid w:val="00D562B7"/>
    <w:rsid w:val="00D565A2"/>
    <w:rsid w:val="00D567D0"/>
    <w:rsid w:val="00D570AB"/>
    <w:rsid w:val="00D5727B"/>
    <w:rsid w:val="00D572D4"/>
    <w:rsid w:val="00D576D9"/>
    <w:rsid w:val="00D5778D"/>
    <w:rsid w:val="00D601E3"/>
    <w:rsid w:val="00D6030D"/>
    <w:rsid w:val="00D603C6"/>
    <w:rsid w:val="00D60439"/>
    <w:rsid w:val="00D605D2"/>
    <w:rsid w:val="00D608C1"/>
    <w:rsid w:val="00D60A72"/>
    <w:rsid w:val="00D60BAB"/>
    <w:rsid w:val="00D60C27"/>
    <w:rsid w:val="00D60CC4"/>
    <w:rsid w:val="00D610BD"/>
    <w:rsid w:val="00D614D2"/>
    <w:rsid w:val="00D6157A"/>
    <w:rsid w:val="00D617CE"/>
    <w:rsid w:val="00D6181C"/>
    <w:rsid w:val="00D61BD5"/>
    <w:rsid w:val="00D61BE1"/>
    <w:rsid w:val="00D6218E"/>
    <w:rsid w:val="00D621BA"/>
    <w:rsid w:val="00D6223B"/>
    <w:rsid w:val="00D6238D"/>
    <w:rsid w:val="00D626FC"/>
    <w:rsid w:val="00D62707"/>
    <w:rsid w:val="00D62B96"/>
    <w:rsid w:val="00D62D13"/>
    <w:rsid w:val="00D63175"/>
    <w:rsid w:val="00D6353B"/>
    <w:rsid w:val="00D63620"/>
    <w:rsid w:val="00D636A1"/>
    <w:rsid w:val="00D63754"/>
    <w:rsid w:val="00D6382B"/>
    <w:rsid w:val="00D64079"/>
    <w:rsid w:val="00D6427B"/>
    <w:rsid w:val="00D6429C"/>
    <w:rsid w:val="00D642D3"/>
    <w:rsid w:val="00D64559"/>
    <w:rsid w:val="00D64902"/>
    <w:rsid w:val="00D64C3D"/>
    <w:rsid w:val="00D64D17"/>
    <w:rsid w:val="00D64FB2"/>
    <w:rsid w:val="00D650A1"/>
    <w:rsid w:val="00D65266"/>
    <w:rsid w:val="00D65531"/>
    <w:rsid w:val="00D656E2"/>
    <w:rsid w:val="00D65725"/>
    <w:rsid w:val="00D65748"/>
    <w:rsid w:val="00D65767"/>
    <w:rsid w:val="00D65783"/>
    <w:rsid w:val="00D657B3"/>
    <w:rsid w:val="00D65DBB"/>
    <w:rsid w:val="00D65E6A"/>
    <w:rsid w:val="00D660A6"/>
    <w:rsid w:val="00D66528"/>
    <w:rsid w:val="00D666F3"/>
    <w:rsid w:val="00D66B37"/>
    <w:rsid w:val="00D66F60"/>
    <w:rsid w:val="00D66FD8"/>
    <w:rsid w:val="00D67079"/>
    <w:rsid w:val="00D6707E"/>
    <w:rsid w:val="00D6727F"/>
    <w:rsid w:val="00D67529"/>
    <w:rsid w:val="00D675A4"/>
    <w:rsid w:val="00D67B47"/>
    <w:rsid w:val="00D67BB3"/>
    <w:rsid w:val="00D67BCB"/>
    <w:rsid w:val="00D67DA4"/>
    <w:rsid w:val="00D67F91"/>
    <w:rsid w:val="00D67FA9"/>
    <w:rsid w:val="00D7000A"/>
    <w:rsid w:val="00D702B6"/>
    <w:rsid w:val="00D70451"/>
    <w:rsid w:val="00D7060D"/>
    <w:rsid w:val="00D706AE"/>
    <w:rsid w:val="00D7087B"/>
    <w:rsid w:val="00D708F1"/>
    <w:rsid w:val="00D70AF8"/>
    <w:rsid w:val="00D70B3F"/>
    <w:rsid w:val="00D70C01"/>
    <w:rsid w:val="00D70FAC"/>
    <w:rsid w:val="00D712BB"/>
    <w:rsid w:val="00D717F3"/>
    <w:rsid w:val="00D718F6"/>
    <w:rsid w:val="00D71E5A"/>
    <w:rsid w:val="00D7203B"/>
    <w:rsid w:val="00D7237D"/>
    <w:rsid w:val="00D7239A"/>
    <w:rsid w:val="00D728C6"/>
    <w:rsid w:val="00D7296E"/>
    <w:rsid w:val="00D7297B"/>
    <w:rsid w:val="00D729AC"/>
    <w:rsid w:val="00D72B16"/>
    <w:rsid w:val="00D72CFF"/>
    <w:rsid w:val="00D72E0C"/>
    <w:rsid w:val="00D732CA"/>
    <w:rsid w:val="00D736A9"/>
    <w:rsid w:val="00D73737"/>
    <w:rsid w:val="00D737C0"/>
    <w:rsid w:val="00D73A59"/>
    <w:rsid w:val="00D73D23"/>
    <w:rsid w:val="00D73E68"/>
    <w:rsid w:val="00D73ED1"/>
    <w:rsid w:val="00D7407A"/>
    <w:rsid w:val="00D742A1"/>
    <w:rsid w:val="00D74398"/>
    <w:rsid w:val="00D743E8"/>
    <w:rsid w:val="00D7442C"/>
    <w:rsid w:val="00D7462A"/>
    <w:rsid w:val="00D74BA5"/>
    <w:rsid w:val="00D74C30"/>
    <w:rsid w:val="00D74CA0"/>
    <w:rsid w:val="00D755E9"/>
    <w:rsid w:val="00D7568E"/>
    <w:rsid w:val="00D759E2"/>
    <w:rsid w:val="00D75C0B"/>
    <w:rsid w:val="00D75CD3"/>
    <w:rsid w:val="00D76124"/>
    <w:rsid w:val="00D762DF"/>
    <w:rsid w:val="00D763B0"/>
    <w:rsid w:val="00D767EC"/>
    <w:rsid w:val="00D76824"/>
    <w:rsid w:val="00D7684A"/>
    <w:rsid w:val="00D76AF1"/>
    <w:rsid w:val="00D76B70"/>
    <w:rsid w:val="00D76D2F"/>
    <w:rsid w:val="00D773BF"/>
    <w:rsid w:val="00D7745E"/>
    <w:rsid w:val="00D776BB"/>
    <w:rsid w:val="00D777A9"/>
    <w:rsid w:val="00D779CE"/>
    <w:rsid w:val="00D779D7"/>
    <w:rsid w:val="00D77CCE"/>
    <w:rsid w:val="00D77FCA"/>
    <w:rsid w:val="00D80054"/>
    <w:rsid w:val="00D801F9"/>
    <w:rsid w:val="00D8021D"/>
    <w:rsid w:val="00D8039A"/>
    <w:rsid w:val="00D8048B"/>
    <w:rsid w:val="00D806D8"/>
    <w:rsid w:val="00D80761"/>
    <w:rsid w:val="00D808AF"/>
    <w:rsid w:val="00D809D9"/>
    <w:rsid w:val="00D80A07"/>
    <w:rsid w:val="00D80A51"/>
    <w:rsid w:val="00D80B7C"/>
    <w:rsid w:val="00D80E5E"/>
    <w:rsid w:val="00D810F9"/>
    <w:rsid w:val="00D811FC"/>
    <w:rsid w:val="00D8139B"/>
    <w:rsid w:val="00D81441"/>
    <w:rsid w:val="00D815F5"/>
    <w:rsid w:val="00D8178E"/>
    <w:rsid w:val="00D819A5"/>
    <w:rsid w:val="00D81A6D"/>
    <w:rsid w:val="00D81BEF"/>
    <w:rsid w:val="00D82062"/>
    <w:rsid w:val="00D8208D"/>
    <w:rsid w:val="00D820FC"/>
    <w:rsid w:val="00D823F7"/>
    <w:rsid w:val="00D82670"/>
    <w:rsid w:val="00D82903"/>
    <w:rsid w:val="00D8292E"/>
    <w:rsid w:val="00D82AFD"/>
    <w:rsid w:val="00D82BB8"/>
    <w:rsid w:val="00D82BD2"/>
    <w:rsid w:val="00D82CA4"/>
    <w:rsid w:val="00D82D75"/>
    <w:rsid w:val="00D83588"/>
    <w:rsid w:val="00D8360A"/>
    <w:rsid w:val="00D8362A"/>
    <w:rsid w:val="00D8405B"/>
    <w:rsid w:val="00D840B3"/>
    <w:rsid w:val="00D84721"/>
    <w:rsid w:val="00D84A05"/>
    <w:rsid w:val="00D84A75"/>
    <w:rsid w:val="00D84BF4"/>
    <w:rsid w:val="00D84C22"/>
    <w:rsid w:val="00D84C93"/>
    <w:rsid w:val="00D84D4A"/>
    <w:rsid w:val="00D84FE8"/>
    <w:rsid w:val="00D84FF0"/>
    <w:rsid w:val="00D85052"/>
    <w:rsid w:val="00D85385"/>
    <w:rsid w:val="00D857CD"/>
    <w:rsid w:val="00D858D4"/>
    <w:rsid w:val="00D85CCC"/>
    <w:rsid w:val="00D85DFC"/>
    <w:rsid w:val="00D86037"/>
    <w:rsid w:val="00D8627C"/>
    <w:rsid w:val="00D8632E"/>
    <w:rsid w:val="00D867E6"/>
    <w:rsid w:val="00D868A4"/>
    <w:rsid w:val="00D86AE5"/>
    <w:rsid w:val="00D86C13"/>
    <w:rsid w:val="00D86C3D"/>
    <w:rsid w:val="00D86F89"/>
    <w:rsid w:val="00D87182"/>
    <w:rsid w:val="00D872C5"/>
    <w:rsid w:val="00D873FA"/>
    <w:rsid w:val="00D875F9"/>
    <w:rsid w:val="00D87750"/>
    <w:rsid w:val="00D87851"/>
    <w:rsid w:val="00D8789F"/>
    <w:rsid w:val="00D90102"/>
    <w:rsid w:val="00D9036A"/>
    <w:rsid w:val="00D9088B"/>
    <w:rsid w:val="00D90AF2"/>
    <w:rsid w:val="00D90CA7"/>
    <w:rsid w:val="00D91732"/>
    <w:rsid w:val="00D91AEE"/>
    <w:rsid w:val="00D91E18"/>
    <w:rsid w:val="00D91E1F"/>
    <w:rsid w:val="00D91FF9"/>
    <w:rsid w:val="00D92087"/>
    <w:rsid w:val="00D9225B"/>
    <w:rsid w:val="00D9251D"/>
    <w:rsid w:val="00D92735"/>
    <w:rsid w:val="00D9295A"/>
    <w:rsid w:val="00D92AF6"/>
    <w:rsid w:val="00D92D62"/>
    <w:rsid w:val="00D92DF2"/>
    <w:rsid w:val="00D930CE"/>
    <w:rsid w:val="00D935AC"/>
    <w:rsid w:val="00D93710"/>
    <w:rsid w:val="00D93751"/>
    <w:rsid w:val="00D93BA6"/>
    <w:rsid w:val="00D93DE1"/>
    <w:rsid w:val="00D93F4A"/>
    <w:rsid w:val="00D94332"/>
    <w:rsid w:val="00D9488C"/>
    <w:rsid w:val="00D94B22"/>
    <w:rsid w:val="00D95009"/>
    <w:rsid w:val="00D95100"/>
    <w:rsid w:val="00D95407"/>
    <w:rsid w:val="00D9546A"/>
    <w:rsid w:val="00D958A7"/>
    <w:rsid w:val="00D95A0A"/>
    <w:rsid w:val="00D95C08"/>
    <w:rsid w:val="00D95C0A"/>
    <w:rsid w:val="00D95C4C"/>
    <w:rsid w:val="00D95D9C"/>
    <w:rsid w:val="00D95F47"/>
    <w:rsid w:val="00D96015"/>
    <w:rsid w:val="00D9623A"/>
    <w:rsid w:val="00D962E1"/>
    <w:rsid w:val="00D9630D"/>
    <w:rsid w:val="00D963E2"/>
    <w:rsid w:val="00D96678"/>
    <w:rsid w:val="00D9670D"/>
    <w:rsid w:val="00D96824"/>
    <w:rsid w:val="00D96BDF"/>
    <w:rsid w:val="00D96E91"/>
    <w:rsid w:val="00D971B6"/>
    <w:rsid w:val="00D971BE"/>
    <w:rsid w:val="00D971C2"/>
    <w:rsid w:val="00D9724F"/>
    <w:rsid w:val="00D974A3"/>
    <w:rsid w:val="00D9783B"/>
    <w:rsid w:val="00D9797F"/>
    <w:rsid w:val="00D979B9"/>
    <w:rsid w:val="00D97E18"/>
    <w:rsid w:val="00D97E80"/>
    <w:rsid w:val="00DA001C"/>
    <w:rsid w:val="00DA0340"/>
    <w:rsid w:val="00DA05BF"/>
    <w:rsid w:val="00DA0BD4"/>
    <w:rsid w:val="00DA0E52"/>
    <w:rsid w:val="00DA0E98"/>
    <w:rsid w:val="00DA0F78"/>
    <w:rsid w:val="00DA18E2"/>
    <w:rsid w:val="00DA18F5"/>
    <w:rsid w:val="00DA1956"/>
    <w:rsid w:val="00DA1B1F"/>
    <w:rsid w:val="00DA1C02"/>
    <w:rsid w:val="00DA1C94"/>
    <w:rsid w:val="00DA1E3D"/>
    <w:rsid w:val="00DA1F48"/>
    <w:rsid w:val="00DA25AA"/>
    <w:rsid w:val="00DA2891"/>
    <w:rsid w:val="00DA2B95"/>
    <w:rsid w:val="00DA31EC"/>
    <w:rsid w:val="00DA358A"/>
    <w:rsid w:val="00DA383B"/>
    <w:rsid w:val="00DA3BE8"/>
    <w:rsid w:val="00DA3D57"/>
    <w:rsid w:val="00DA3E41"/>
    <w:rsid w:val="00DA3E7B"/>
    <w:rsid w:val="00DA3F2D"/>
    <w:rsid w:val="00DA42EA"/>
    <w:rsid w:val="00DA4336"/>
    <w:rsid w:val="00DA43E8"/>
    <w:rsid w:val="00DA483F"/>
    <w:rsid w:val="00DA4C6E"/>
    <w:rsid w:val="00DA4C87"/>
    <w:rsid w:val="00DA50CC"/>
    <w:rsid w:val="00DA51CE"/>
    <w:rsid w:val="00DA5631"/>
    <w:rsid w:val="00DA56A9"/>
    <w:rsid w:val="00DA58CF"/>
    <w:rsid w:val="00DA5A4B"/>
    <w:rsid w:val="00DA5A4F"/>
    <w:rsid w:val="00DA5D23"/>
    <w:rsid w:val="00DA5DF2"/>
    <w:rsid w:val="00DA5DF8"/>
    <w:rsid w:val="00DA62B7"/>
    <w:rsid w:val="00DA6330"/>
    <w:rsid w:val="00DA64D4"/>
    <w:rsid w:val="00DA6581"/>
    <w:rsid w:val="00DA688C"/>
    <w:rsid w:val="00DA69ED"/>
    <w:rsid w:val="00DA6B4F"/>
    <w:rsid w:val="00DA6DA4"/>
    <w:rsid w:val="00DA6DC3"/>
    <w:rsid w:val="00DA6F31"/>
    <w:rsid w:val="00DA6FE4"/>
    <w:rsid w:val="00DA726F"/>
    <w:rsid w:val="00DA7530"/>
    <w:rsid w:val="00DA7876"/>
    <w:rsid w:val="00DA7985"/>
    <w:rsid w:val="00DA7CE1"/>
    <w:rsid w:val="00DB0131"/>
    <w:rsid w:val="00DB03D0"/>
    <w:rsid w:val="00DB03E3"/>
    <w:rsid w:val="00DB0517"/>
    <w:rsid w:val="00DB0563"/>
    <w:rsid w:val="00DB05AC"/>
    <w:rsid w:val="00DB0747"/>
    <w:rsid w:val="00DB096E"/>
    <w:rsid w:val="00DB09E3"/>
    <w:rsid w:val="00DB09F9"/>
    <w:rsid w:val="00DB0A6D"/>
    <w:rsid w:val="00DB0B88"/>
    <w:rsid w:val="00DB0D4E"/>
    <w:rsid w:val="00DB0DA3"/>
    <w:rsid w:val="00DB1117"/>
    <w:rsid w:val="00DB1389"/>
    <w:rsid w:val="00DB14E3"/>
    <w:rsid w:val="00DB176D"/>
    <w:rsid w:val="00DB18D2"/>
    <w:rsid w:val="00DB19BF"/>
    <w:rsid w:val="00DB2389"/>
    <w:rsid w:val="00DB262E"/>
    <w:rsid w:val="00DB2959"/>
    <w:rsid w:val="00DB2A98"/>
    <w:rsid w:val="00DB2C28"/>
    <w:rsid w:val="00DB2CD3"/>
    <w:rsid w:val="00DB2E81"/>
    <w:rsid w:val="00DB2EE7"/>
    <w:rsid w:val="00DB2EF0"/>
    <w:rsid w:val="00DB2EF8"/>
    <w:rsid w:val="00DB3194"/>
    <w:rsid w:val="00DB39C1"/>
    <w:rsid w:val="00DB3A98"/>
    <w:rsid w:val="00DB3CFE"/>
    <w:rsid w:val="00DB3DE0"/>
    <w:rsid w:val="00DB3EBF"/>
    <w:rsid w:val="00DB3FA0"/>
    <w:rsid w:val="00DB40E2"/>
    <w:rsid w:val="00DB4160"/>
    <w:rsid w:val="00DB4391"/>
    <w:rsid w:val="00DB43CD"/>
    <w:rsid w:val="00DB47D7"/>
    <w:rsid w:val="00DB4BBF"/>
    <w:rsid w:val="00DB4D9F"/>
    <w:rsid w:val="00DB50D1"/>
    <w:rsid w:val="00DB5880"/>
    <w:rsid w:val="00DB59DE"/>
    <w:rsid w:val="00DB5BAB"/>
    <w:rsid w:val="00DB5BBE"/>
    <w:rsid w:val="00DB5CDF"/>
    <w:rsid w:val="00DB628F"/>
    <w:rsid w:val="00DB62AE"/>
    <w:rsid w:val="00DB64F4"/>
    <w:rsid w:val="00DB6615"/>
    <w:rsid w:val="00DB68C7"/>
    <w:rsid w:val="00DB69D2"/>
    <w:rsid w:val="00DB6D67"/>
    <w:rsid w:val="00DB706D"/>
    <w:rsid w:val="00DB7084"/>
    <w:rsid w:val="00DB725F"/>
    <w:rsid w:val="00DB799B"/>
    <w:rsid w:val="00DB79FB"/>
    <w:rsid w:val="00DB7B7E"/>
    <w:rsid w:val="00DB7BC5"/>
    <w:rsid w:val="00DB7DF5"/>
    <w:rsid w:val="00DB7E54"/>
    <w:rsid w:val="00DB7FCC"/>
    <w:rsid w:val="00DC02C4"/>
    <w:rsid w:val="00DC069E"/>
    <w:rsid w:val="00DC06E8"/>
    <w:rsid w:val="00DC071B"/>
    <w:rsid w:val="00DC09A7"/>
    <w:rsid w:val="00DC0A0D"/>
    <w:rsid w:val="00DC0BB6"/>
    <w:rsid w:val="00DC1300"/>
    <w:rsid w:val="00DC15A9"/>
    <w:rsid w:val="00DC16F7"/>
    <w:rsid w:val="00DC17E0"/>
    <w:rsid w:val="00DC1ED4"/>
    <w:rsid w:val="00DC1F7F"/>
    <w:rsid w:val="00DC2960"/>
    <w:rsid w:val="00DC2A3E"/>
    <w:rsid w:val="00DC2A6D"/>
    <w:rsid w:val="00DC2B59"/>
    <w:rsid w:val="00DC2BBE"/>
    <w:rsid w:val="00DC2C96"/>
    <w:rsid w:val="00DC2DF4"/>
    <w:rsid w:val="00DC3099"/>
    <w:rsid w:val="00DC379E"/>
    <w:rsid w:val="00DC3D9A"/>
    <w:rsid w:val="00DC4297"/>
    <w:rsid w:val="00DC4432"/>
    <w:rsid w:val="00DC4511"/>
    <w:rsid w:val="00DC45F8"/>
    <w:rsid w:val="00DC483B"/>
    <w:rsid w:val="00DC49BB"/>
    <w:rsid w:val="00DC4B9C"/>
    <w:rsid w:val="00DC4FF1"/>
    <w:rsid w:val="00DC5000"/>
    <w:rsid w:val="00DC5017"/>
    <w:rsid w:val="00DC5140"/>
    <w:rsid w:val="00DC52CF"/>
    <w:rsid w:val="00DC554F"/>
    <w:rsid w:val="00DC5EB6"/>
    <w:rsid w:val="00DC6214"/>
    <w:rsid w:val="00DC6373"/>
    <w:rsid w:val="00DC63E2"/>
    <w:rsid w:val="00DC6530"/>
    <w:rsid w:val="00DC66ED"/>
    <w:rsid w:val="00DC67C6"/>
    <w:rsid w:val="00DC6A79"/>
    <w:rsid w:val="00DC6AFA"/>
    <w:rsid w:val="00DC6D48"/>
    <w:rsid w:val="00DC6DCF"/>
    <w:rsid w:val="00DC6E83"/>
    <w:rsid w:val="00DC6E8C"/>
    <w:rsid w:val="00DC7128"/>
    <w:rsid w:val="00DC7516"/>
    <w:rsid w:val="00DC7BB6"/>
    <w:rsid w:val="00DC7C46"/>
    <w:rsid w:val="00DD057F"/>
    <w:rsid w:val="00DD05FD"/>
    <w:rsid w:val="00DD076F"/>
    <w:rsid w:val="00DD0773"/>
    <w:rsid w:val="00DD0C8A"/>
    <w:rsid w:val="00DD1356"/>
    <w:rsid w:val="00DD1379"/>
    <w:rsid w:val="00DD189E"/>
    <w:rsid w:val="00DD1A91"/>
    <w:rsid w:val="00DD1ADA"/>
    <w:rsid w:val="00DD1BC4"/>
    <w:rsid w:val="00DD1BFE"/>
    <w:rsid w:val="00DD1C11"/>
    <w:rsid w:val="00DD2054"/>
    <w:rsid w:val="00DD22F9"/>
    <w:rsid w:val="00DD2781"/>
    <w:rsid w:val="00DD27A2"/>
    <w:rsid w:val="00DD2AD7"/>
    <w:rsid w:val="00DD2B7D"/>
    <w:rsid w:val="00DD2C71"/>
    <w:rsid w:val="00DD2D58"/>
    <w:rsid w:val="00DD2FB1"/>
    <w:rsid w:val="00DD303F"/>
    <w:rsid w:val="00DD31D1"/>
    <w:rsid w:val="00DD31FA"/>
    <w:rsid w:val="00DD3643"/>
    <w:rsid w:val="00DD39D0"/>
    <w:rsid w:val="00DD3B4C"/>
    <w:rsid w:val="00DD3B85"/>
    <w:rsid w:val="00DD3F35"/>
    <w:rsid w:val="00DD40F8"/>
    <w:rsid w:val="00DD4586"/>
    <w:rsid w:val="00DD45BE"/>
    <w:rsid w:val="00DD46EC"/>
    <w:rsid w:val="00DD488E"/>
    <w:rsid w:val="00DD48B2"/>
    <w:rsid w:val="00DD4935"/>
    <w:rsid w:val="00DD4997"/>
    <w:rsid w:val="00DD4A5D"/>
    <w:rsid w:val="00DD4E18"/>
    <w:rsid w:val="00DD5073"/>
    <w:rsid w:val="00DD50E0"/>
    <w:rsid w:val="00DD5372"/>
    <w:rsid w:val="00DD54E5"/>
    <w:rsid w:val="00DD552E"/>
    <w:rsid w:val="00DD55E4"/>
    <w:rsid w:val="00DD59E7"/>
    <w:rsid w:val="00DD5EB2"/>
    <w:rsid w:val="00DD6090"/>
    <w:rsid w:val="00DD6432"/>
    <w:rsid w:val="00DD64EF"/>
    <w:rsid w:val="00DD6A0D"/>
    <w:rsid w:val="00DD6C8B"/>
    <w:rsid w:val="00DD6D77"/>
    <w:rsid w:val="00DD6E16"/>
    <w:rsid w:val="00DD7190"/>
    <w:rsid w:val="00DD72BF"/>
    <w:rsid w:val="00DD73AF"/>
    <w:rsid w:val="00DD7538"/>
    <w:rsid w:val="00DD7562"/>
    <w:rsid w:val="00DD7730"/>
    <w:rsid w:val="00DD7735"/>
    <w:rsid w:val="00DD794E"/>
    <w:rsid w:val="00DD7CCD"/>
    <w:rsid w:val="00DD7E47"/>
    <w:rsid w:val="00DE0417"/>
    <w:rsid w:val="00DE0838"/>
    <w:rsid w:val="00DE1091"/>
    <w:rsid w:val="00DE13C7"/>
    <w:rsid w:val="00DE1473"/>
    <w:rsid w:val="00DE17CF"/>
    <w:rsid w:val="00DE1B7F"/>
    <w:rsid w:val="00DE1D25"/>
    <w:rsid w:val="00DE1EB5"/>
    <w:rsid w:val="00DE1FFD"/>
    <w:rsid w:val="00DE20B5"/>
    <w:rsid w:val="00DE227A"/>
    <w:rsid w:val="00DE2957"/>
    <w:rsid w:val="00DE2C2D"/>
    <w:rsid w:val="00DE2CA6"/>
    <w:rsid w:val="00DE2D36"/>
    <w:rsid w:val="00DE2EDE"/>
    <w:rsid w:val="00DE2FB4"/>
    <w:rsid w:val="00DE31A4"/>
    <w:rsid w:val="00DE3388"/>
    <w:rsid w:val="00DE35B2"/>
    <w:rsid w:val="00DE3710"/>
    <w:rsid w:val="00DE3A35"/>
    <w:rsid w:val="00DE3BEE"/>
    <w:rsid w:val="00DE3EF8"/>
    <w:rsid w:val="00DE3F35"/>
    <w:rsid w:val="00DE4039"/>
    <w:rsid w:val="00DE440A"/>
    <w:rsid w:val="00DE4551"/>
    <w:rsid w:val="00DE45EE"/>
    <w:rsid w:val="00DE4712"/>
    <w:rsid w:val="00DE474F"/>
    <w:rsid w:val="00DE4761"/>
    <w:rsid w:val="00DE49AF"/>
    <w:rsid w:val="00DE4A63"/>
    <w:rsid w:val="00DE5029"/>
    <w:rsid w:val="00DE5179"/>
    <w:rsid w:val="00DE5191"/>
    <w:rsid w:val="00DE51E1"/>
    <w:rsid w:val="00DE5525"/>
    <w:rsid w:val="00DE5A70"/>
    <w:rsid w:val="00DE5D98"/>
    <w:rsid w:val="00DE5DE3"/>
    <w:rsid w:val="00DE6044"/>
    <w:rsid w:val="00DE606D"/>
    <w:rsid w:val="00DE618A"/>
    <w:rsid w:val="00DE6253"/>
    <w:rsid w:val="00DE62E1"/>
    <w:rsid w:val="00DE6728"/>
    <w:rsid w:val="00DE6764"/>
    <w:rsid w:val="00DE6A70"/>
    <w:rsid w:val="00DE6E8E"/>
    <w:rsid w:val="00DE7030"/>
    <w:rsid w:val="00DE712F"/>
    <w:rsid w:val="00DE7245"/>
    <w:rsid w:val="00DE7276"/>
    <w:rsid w:val="00DE72CB"/>
    <w:rsid w:val="00DE73EA"/>
    <w:rsid w:val="00DE7575"/>
    <w:rsid w:val="00DE7771"/>
    <w:rsid w:val="00DE79DC"/>
    <w:rsid w:val="00DE7B1A"/>
    <w:rsid w:val="00DE7BF6"/>
    <w:rsid w:val="00DE7DC0"/>
    <w:rsid w:val="00DE7FBD"/>
    <w:rsid w:val="00DF005F"/>
    <w:rsid w:val="00DF0310"/>
    <w:rsid w:val="00DF03AA"/>
    <w:rsid w:val="00DF03CC"/>
    <w:rsid w:val="00DF0464"/>
    <w:rsid w:val="00DF0548"/>
    <w:rsid w:val="00DF07F6"/>
    <w:rsid w:val="00DF0816"/>
    <w:rsid w:val="00DF0B15"/>
    <w:rsid w:val="00DF0B2A"/>
    <w:rsid w:val="00DF0E9D"/>
    <w:rsid w:val="00DF1037"/>
    <w:rsid w:val="00DF108E"/>
    <w:rsid w:val="00DF1343"/>
    <w:rsid w:val="00DF152F"/>
    <w:rsid w:val="00DF155A"/>
    <w:rsid w:val="00DF18A3"/>
    <w:rsid w:val="00DF1A72"/>
    <w:rsid w:val="00DF1C39"/>
    <w:rsid w:val="00DF1CD6"/>
    <w:rsid w:val="00DF1E78"/>
    <w:rsid w:val="00DF2192"/>
    <w:rsid w:val="00DF2517"/>
    <w:rsid w:val="00DF2C37"/>
    <w:rsid w:val="00DF2DC4"/>
    <w:rsid w:val="00DF2ED4"/>
    <w:rsid w:val="00DF2EF4"/>
    <w:rsid w:val="00DF3124"/>
    <w:rsid w:val="00DF3205"/>
    <w:rsid w:val="00DF3228"/>
    <w:rsid w:val="00DF3636"/>
    <w:rsid w:val="00DF4204"/>
    <w:rsid w:val="00DF4249"/>
    <w:rsid w:val="00DF43FA"/>
    <w:rsid w:val="00DF4617"/>
    <w:rsid w:val="00DF46D1"/>
    <w:rsid w:val="00DF4A88"/>
    <w:rsid w:val="00DF4B1E"/>
    <w:rsid w:val="00DF4B59"/>
    <w:rsid w:val="00DF4DF1"/>
    <w:rsid w:val="00DF4EE2"/>
    <w:rsid w:val="00DF4F0A"/>
    <w:rsid w:val="00DF5231"/>
    <w:rsid w:val="00DF578D"/>
    <w:rsid w:val="00DF5AAA"/>
    <w:rsid w:val="00DF5B4C"/>
    <w:rsid w:val="00DF5BD4"/>
    <w:rsid w:val="00DF5C0A"/>
    <w:rsid w:val="00DF5E8A"/>
    <w:rsid w:val="00DF5F67"/>
    <w:rsid w:val="00DF61F3"/>
    <w:rsid w:val="00DF6923"/>
    <w:rsid w:val="00DF70DE"/>
    <w:rsid w:val="00DF72D7"/>
    <w:rsid w:val="00DF73E0"/>
    <w:rsid w:val="00DF774B"/>
    <w:rsid w:val="00DF77D2"/>
    <w:rsid w:val="00DF7BDC"/>
    <w:rsid w:val="00DF7F12"/>
    <w:rsid w:val="00E000BA"/>
    <w:rsid w:val="00E003DB"/>
    <w:rsid w:val="00E00569"/>
    <w:rsid w:val="00E00682"/>
    <w:rsid w:val="00E006EE"/>
    <w:rsid w:val="00E0087C"/>
    <w:rsid w:val="00E008B0"/>
    <w:rsid w:val="00E01623"/>
    <w:rsid w:val="00E018B8"/>
    <w:rsid w:val="00E01B64"/>
    <w:rsid w:val="00E01DC2"/>
    <w:rsid w:val="00E0217D"/>
    <w:rsid w:val="00E02457"/>
    <w:rsid w:val="00E028BE"/>
    <w:rsid w:val="00E0299E"/>
    <w:rsid w:val="00E02AD2"/>
    <w:rsid w:val="00E02B85"/>
    <w:rsid w:val="00E02CB7"/>
    <w:rsid w:val="00E02E24"/>
    <w:rsid w:val="00E03012"/>
    <w:rsid w:val="00E031AE"/>
    <w:rsid w:val="00E0388F"/>
    <w:rsid w:val="00E038E0"/>
    <w:rsid w:val="00E0390D"/>
    <w:rsid w:val="00E03C53"/>
    <w:rsid w:val="00E03C78"/>
    <w:rsid w:val="00E03F06"/>
    <w:rsid w:val="00E03F07"/>
    <w:rsid w:val="00E040DA"/>
    <w:rsid w:val="00E0415E"/>
    <w:rsid w:val="00E042DC"/>
    <w:rsid w:val="00E0431E"/>
    <w:rsid w:val="00E0456F"/>
    <w:rsid w:val="00E046A0"/>
    <w:rsid w:val="00E04A2D"/>
    <w:rsid w:val="00E04DC9"/>
    <w:rsid w:val="00E04F6A"/>
    <w:rsid w:val="00E05057"/>
    <w:rsid w:val="00E0524A"/>
    <w:rsid w:val="00E05369"/>
    <w:rsid w:val="00E053C3"/>
    <w:rsid w:val="00E05408"/>
    <w:rsid w:val="00E05427"/>
    <w:rsid w:val="00E05774"/>
    <w:rsid w:val="00E05858"/>
    <w:rsid w:val="00E05A6D"/>
    <w:rsid w:val="00E05CF4"/>
    <w:rsid w:val="00E05F32"/>
    <w:rsid w:val="00E05F57"/>
    <w:rsid w:val="00E060B4"/>
    <w:rsid w:val="00E06168"/>
    <w:rsid w:val="00E06286"/>
    <w:rsid w:val="00E0630E"/>
    <w:rsid w:val="00E067FC"/>
    <w:rsid w:val="00E06E63"/>
    <w:rsid w:val="00E071E6"/>
    <w:rsid w:val="00E0764E"/>
    <w:rsid w:val="00E076B0"/>
    <w:rsid w:val="00E0785A"/>
    <w:rsid w:val="00E0795B"/>
    <w:rsid w:val="00E1009D"/>
    <w:rsid w:val="00E105F2"/>
    <w:rsid w:val="00E105FB"/>
    <w:rsid w:val="00E10833"/>
    <w:rsid w:val="00E10850"/>
    <w:rsid w:val="00E10B41"/>
    <w:rsid w:val="00E10DB6"/>
    <w:rsid w:val="00E10E95"/>
    <w:rsid w:val="00E10EA0"/>
    <w:rsid w:val="00E1109A"/>
    <w:rsid w:val="00E11238"/>
    <w:rsid w:val="00E112A7"/>
    <w:rsid w:val="00E1136B"/>
    <w:rsid w:val="00E113A5"/>
    <w:rsid w:val="00E11566"/>
    <w:rsid w:val="00E116D0"/>
    <w:rsid w:val="00E117A2"/>
    <w:rsid w:val="00E117CC"/>
    <w:rsid w:val="00E11908"/>
    <w:rsid w:val="00E11ABD"/>
    <w:rsid w:val="00E11F0F"/>
    <w:rsid w:val="00E11F83"/>
    <w:rsid w:val="00E11F87"/>
    <w:rsid w:val="00E12292"/>
    <w:rsid w:val="00E124C5"/>
    <w:rsid w:val="00E124D9"/>
    <w:rsid w:val="00E12691"/>
    <w:rsid w:val="00E1270E"/>
    <w:rsid w:val="00E1296D"/>
    <w:rsid w:val="00E12A8D"/>
    <w:rsid w:val="00E12C67"/>
    <w:rsid w:val="00E12C69"/>
    <w:rsid w:val="00E12D58"/>
    <w:rsid w:val="00E12EAE"/>
    <w:rsid w:val="00E130DD"/>
    <w:rsid w:val="00E13340"/>
    <w:rsid w:val="00E133C9"/>
    <w:rsid w:val="00E13416"/>
    <w:rsid w:val="00E1345B"/>
    <w:rsid w:val="00E135B2"/>
    <w:rsid w:val="00E135E3"/>
    <w:rsid w:val="00E136EA"/>
    <w:rsid w:val="00E1394C"/>
    <w:rsid w:val="00E13B5C"/>
    <w:rsid w:val="00E13C9F"/>
    <w:rsid w:val="00E13CAF"/>
    <w:rsid w:val="00E13CCC"/>
    <w:rsid w:val="00E13CEF"/>
    <w:rsid w:val="00E13E7B"/>
    <w:rsid w:val="00E14196"/>
    <w:rsid w:val="00E1425E"/>
    <w:rsid w:val="00E142ED"/>
    <w:rsid w:val="00E14330"/>
    <w:rsid w:val="00E144FB"/>
    <w:rsid w:val="00E145E6"/>
    <w:rsid w:val="00E147F1"/>
    <w:rsid w:val="00E153D6"/>
    <w:rsid w:val="00E154D7"/>
    <w:rsid w:val="00E15D54"/>
    <w:rsid w:val="00E15E0F"/>
    <w:rsid w:val="00E15E60"/>
    <w:rsid w:val="00E15FE9"/>
    <w:rsid w:val="00E162A7"/>
    <w:rsid w:val="00E1645A"/>
    <w:rsid w:val="00E16716"/>
    <w:rsid w:val="00E1672F"/>
    <w:rsid w:val="00E1676D"/>
    <w:rsid w:val="00E16875"/>
    <w:rsid w:val="00E16B78"/>
    <w:rsid w:val="00E16E2E"/>
    <w:rsid w:val="00E1711F"/>
    <w:rsid w:val="00E1713C"/>
    <w:rsid w:val="00E17690"/>
    <w:rsid w:val="00E1775A"/>
    <w:rsid w:val="00E177AF"/>
    <w:rsid w:val="00E1785D"/>
    <w:rsid w:val="00E1786C"/>
    <w:rsid w:val="00E179B2"/>
    <w:rsid w:val="00E17A50"/>
    <w:rsid w:val="00E17B5E"/>
    <w:rsid w:val="00E17C5C"/>
    <w:rsid w:val="00E17DD2"/>
    <w:rsid w:val="00E17EAC"/>
    <w:rsid w:val="00E207CF"/>
    <w:rsid w:val="00E20849"/>
    <w:rsid w:val="00E20BFC"/>
    <w:rsid w:val="00E20C0D"/>
    <w:rsid w:val="00E20C9F"/>
    <w:rsid w:val="00E21005"/>
    <w:rsid w:val="00E210A7"/>
    <w:rsid w:val="00E212D7"/>
    <w:rsid w:val="00E21462"/>
    <w:rsid w:val="00E215A1"/>
    <w:rsid w:val="00E2183C"/>
    <w:rsid w:val="00E21A2E"/>
    <w:rsid w:val="00E21A7E"/>
    <w:rsid w:val="00E21AD6"/>
    <w:rsid w:val="00E21D89"/>
    <w:rsid w:val="00E21E18"/>
    <w:rsid w:val="00E225A7"/>
    <w:rsid w:val="00E22730"/>
    <w:rsid w:val="00E22846"/>
    <w:rsid w:val="00E22A53"/>
    <w:rsid w:val="00E23044"/>
    <w:rsid w:val="00E230C2"/>
    <w:rsid w:val="00E23399"/>
    <w:rsid w:val="00E2375F"/>
    <w:rsid w:val="00E23784"/>
    <w:rsid w:val="00E2395E"/>
    <w:rsid w:val="00E23D35"/>
    <w:rsid w:val="00E23D8A"/>
    <w:rsid w:val="00E23DE9"/>
    <w:rsid w:val="00E23FC0"/>
    <w:rsid w:val="00E2416C"/>
    <w:rsid w:val="00E241D9"/>
    <w:rsid w:val="00E242F2"/>
    <w:rsid w:val="00E24573"/>
    <w:rsid w:val="00E2460E"/>
    <w:rsid w:val="00E24622"/>
    <w:rsid w:val="00E24637"/>
    <w:rsid w:val="00E24756"/>
    <w:rsid w:val="00E248A3"/>
    <w:rsid w:val="00E249ED"/>
    <w:rsid w:val="00E24B0E"/>
    <w:rsid w:val="00E24B8F"/>
    <w:rsid w:val="00E24E5D"/>
    <w:rsid w:val="00E24E6F"/>
    <w:rsid w:val="00E24F8F"/>
    <w:rsid w:val="00E2501A"/>
    <w:rsid w:val="00E250E1"/>
    <w:rsid w:val="00E254B7"/>
    <w:rsid w:val="00E25627"/>
    <w:rsid w:val="00E25C2C"/>
    <w:rsid w:val="00E25C5D"/>
    <w:rsid w:val="00E25CF4"/>
    <w:rsid w:val="00E25FD4"/>
    <w:rsid w:val="00E262CA"/>
    <w:rsid w:val="00E26447"/>
    <w:rsid w:val="00E268C5"/>
    <w:rsid w:val="00E26A4E"/>
    <w:rsid w:val="00E26B3A"/>
    <w:rsid w:val="00E27059"/>
    <w:rsid w:val="00E271A8"/>
    <w:rsid w:val="00E2732F"/>
    <w:rsid w:val="00E27518"/>
    <w:rsid w:val="00E2755C"/>
    <w:rsid w:val="00E279EA"/>
    <w:rsid w:val="00E27C82"/>
    <w:rsid w:val="00E27CE2"/>
    <w:rsid w:val="00E27D15"/>
    <w:rsid w:val="00E27E15"/>
    <w:rsid w:val="00E27FB0"/>
    <w:rsid w:val="00E300D6"/>
    <w:rsid w:val="00E30297"/>
    <w:rsid w:val="00E30343"/>
    <w:rsid w:val="00E3098C"/>
    <w:rsid w:val="00E30CF7"/>
    <w:rsid w:val="00E30E65"/>
    <w:rsid w:val="00E30FD2"/>
    <w:rsid w:val="00E311CC"/>
    <w:rsid w:val="00E3120D"/>
    <w:rsid w:val="00E31215"/>
    <w:rsid w:val="00E31655"/>
    <w:rsid w:val="00E31772"/>
    <w:rsid w:val="00E31A1E"/>
    <w:rsid w:val="00E31A7C"/>
    <w:rsid w:val="00E31CD5"/>
    <w:rsid w:val="00E31CDC"/>
    <w:rsid w:val="00E32240"/>
    <w:rsid w:val="00E325B0"/>
    <w:rsid w:val="00E32792"/>
    <w:rsid w:val="00E329C0"/>
    <w:rsid w:val="00E32ACC"/>
    <w:rsid w:val="00E32C7A"/>
    <w:rsid w:val="00E32DE2"/>
    <w:rsid w:val="00E32EF5"/>
    <w:rsid w:val="00E32F9D"/>
    <w:rsid w:val="00E335B3"/>
    <w:rsid w:val="00E33624"/>
    <w:rsid w:val="00E33824"/>
    <w:rsid w:val="00E33868"/>
    <w:rsid w:val="00E33B6D"/>
    <w:rsid w:val="00E33C9D"/>
    <w:rsid w:val="00E34228"/>
    <w:rsid w:val="00E34DAE"/>
    <w:rsid w:val="00E358E7"/>
    <w:rsid w:val="00E35A25"/>
    <w:rsid w:val="00E35BDC"/>
    <w:rsid w:val="00E35C08"/>
    <w:rsid w:val="00E35CCA"/>
    <w:rsid w:val="00E35E14"/>
    <w:rsid w:val="00E36337"/>
    <w:rsid w:val="00E36944"/>
    <w:rsid w:val="00E36970"/>
    <w:rsid w:val="00E36C89"/>
    <w:rsid w:val="00E36D55"/>
    <w:rsid w:val="00E36E68"/>
    <w:rsid w:val="00E36F5A"/>
    <w:rsid w:val="00E36F8D"/>
    <w:rsid w:val="00E37372"/>
    <w:rsid w:val="00E3737A"/>
    <w:rsid w:val="00E3738A"/>
    <w:rsid w:val="00E37813"/>
    <w:rsid w:val="00E378BA"/>
    <w:rsid w:val="00E37932"/>
    <w:rsid w:val="00E37CDE"/>
    <w:rsid w:val="00E37D4E"/>
    <w:rsid w:val="00E37E52"/>
    <w:rsid w:val="00E37F41"/>
    <w:rsid w:val="00E40162"/>
    <w:rsid w:val="00E402AF"/>
    <w:rsid w:val="00E403FD"/>
    <w:rsid w:val="00E404DF"/>
    <w:rsid w:val="00E4075D"/>
    <w:rsid w:val="00E40959"/>
    <w:rsid w:val="00E40BDD"/>
    <w:rsid w:val="00E41895"/>
    <w:rsid w:val="00E419E8"/>
    <w:rsid w:val="00E41AE3"/>
    <w:rsid w:val="00E41C7E"/>
    <w:rsid w:val="00E41C86"/>
    <w:rsid w:val="00E41E0F"/>
    <w:rsid w:val="00E41EA6"/>
    <w:rsid w:val="00E41EAD"/>
    <w:rsid w:val="00E41F83"/>
    <w:rsid w:val="00E42349"/>
    <w:rsid w:val="00E424BF"/>
    <w:rsid w:val="00E42784"/>
    <w:rsid w:val="00E42827"/>
    <w:rsid w:val="00E42B50"/>
    <w:rsid w:val="00E42B5A"/>
    <w:rsid w:val="00E42BE0"/>
    <w:rsid w:val="00E42CC9"/>
    <w:rsid w:val="00E42E80"/>
    <w:rsid w:val="00E4320E"/>
    <w:rsid w:val="00E4327F"/>
    <w:rsid w:val="00E433EB"/>
    <w:rsid w:val="00E437E4"/>
    <w:rsid w:val="00E439B2"/>
    <w:rsid w:val="00E439F9"/>
    <w:rsid w:val="00E43C1D"/>
    <w:rsid w:val="00E43C57"/>
    <w:rsid w:val="00E43D86"/>
    <w:rsid w:val="00E43E4C"/>
    <w:rsid w:val="00E44037"/>
    <w:rsid w:val="00E445E2"/>
    <w:rsid w:val="00E44755"/>
    <w:rsid w:val="00E44A98"/>
    <w:rsid w:val="00E44B71"/>
    <w:rsid w:val="00E44B7F"/>
    <w:rsid w:val="00E44B95"/>
    <w:rsid w:val="00E44F14"/>
    <w:rsid w:val="00E45380"/>
    <w:rsid w:val="00E453EF"/>
    <w:rsid w:val="00E454BA"/>
    <w:rsid w:val="00E4570F"/>
    <w:rsid w:val="00E457BE"/>
    <w:rsid w:val="00E45EDE"/>
    <w:rsid w:val="00E45FF1"/>
    <w:rsid w:val="00E46085"/>
    <w:rsid w:val="00E4624F"/>
    <w:rsid w:val="00E46546"/>
    <w:rsid w:val="00E4654F"/>
    <w:rsid w:val="00E46761"/>
    <w:rsid w:val="00E46C21"/>
    <w:rsid w:val="00E46C7F"/>
    <w:rsid w:val="00E46F9E"/>
    <w:rsid w:val="00E46FED"/>
    <w:rsid w:val="00E4762F"/>
    <w:rsid w:val="00E478D7"/>
    <w:rsid w:val="00E47BB8"/>
    <w:rsid w:val="00E50153"/>
    <w:rsid w:val="00E50556"/>
    <w:rsid w:val="00E50A37"/>
    <w:rsid w:val="00E50B60"/>
    <w:rsid w:val="00E50BD5"/>
    <w:rsid w:val="00E50E58"/>
    <w:rsid w:val="00E51219"/>
    <w:rsid w:val="00E5136B"/>
    <w:rsid w:val="00E5187B"/>
    <w:rsid w:val="00E51913"/>
    <w:rsid w:val="00E51987"/>
    <w:rsid w:val="00E51A8F"/>
    <w:rsid w:val="00E51DDC"/>
    <w:rsid w:val="00E51F3D"/>
    <w:rsid w:val="00E5252B"/>
    <w:rsid w:val="00E52847"/>
    <w:rsid w:val="00E528BC"/>
    <w:rsid w:val="00E529A6"/>
    <w:rsid w:val="00E52AA3"/>
    <w:rsid w:val="00E52D8A"/>
    <w:rsid w:val="00E5367C"/>
    <w:rsid w:val="00E53714"/>
    <w:rsid w:val="00E53811"/>
    <w:rsid w:val="00E539C6"/>
    <w:rsid w:val="00E53A46"/>
    <w:rsid w:val="00E53B10"/>
    <w:rsid w:val="00E53BF9"/>
    <w:rsid w:val="00E53C39"/>
    <w:rsid w:val="00E53C6A"/>
    <w:rsid w:val="00E53D83"/>
    <w:rsid w:val="00E54195"/>
    <w:rsid w:val="00E5443B"/>
    <w:rsid w:val="00E545D0"/>
    <w:rsid w:val="00E547AB"/>
    <w:rsid w:val="00E54994"/>
    <w:rsid w:val="00E54C2F"/>
    <w:rsid w:val="00E54D36"/>
    <w:rsid w:val="00E54E4E"/>
    <w:rsid w:val="00E5501B"/>
    <w:rsid w:val="00E55097"/>
    <w:rsid w:val="00E551D4"/>
    <w:rsid w:val="00E551DE"/>
    <w:rsid w:val="00E5540A"/>
    <w:rsid w:val="00E5558A"/>
    <w:rsid w:val="00E5572F"/>
    <w:rsid w:val="00E5573B"/>
    <w:rsid w:val="00E55758"/>
    <w:rsid w:val="00E55800"/>
    <w:rsid w:val="00E55CFD"/>
    <w:rsid w:val="00E55D72"/>
    <w:rsid w:val="00E55F5A"/>
    <w:rsid w:val="00E55FC7"/>
    <w:rsid w:val="00E56055"/>
    <w:rsid w:val="00E5661E"/>
    <w:rsid w:val="00E566F6"/>
    <w:rsid w:val="00E57312"/>
    <w:rsid w:val="00E5739C"/>
    <w:rsid w:val="00E5745D"/>
    <w:rsid w:val="00E574FB"/>
    <w:rsid w:val="00E577D2"/>
    <w:rsid w:val="00E57ABC"/>
    <w:rsid w:val="00E57BCA"/>
    <w:rsid w:val="00E57D3E"/>
    <w:rsid w:val="00E60157"/>
    <w:rsid w:val="00E6018B"/>
    <w:rsid w:val="00E601C6"/>
    <w:rsid w:val="00E60244"/>
    <w:rsid w:val="00E60523"/>
    <w:rsid w:val="00E60642"/>
    <w:rsid w:val="00E607D8"/>
    <w:rsid w:val="00E609B0"/>
    <w:rsid w:val="00E610CD"/>
    <w:rsid w:val="00E611A1"/>
    <w:rsid w:val="00E611E6"/>
    <w:rsid w:val="00E616CF"/>
    <w:rsid w:val="00E61A3D"/>
    <w:rsid w:val="00E61D56"/>
    <w:rsid w:val="00E61D92"/>
    <w:rsid w:val="00E61E6E"/>
    <w:rsid w:val="00E6212C"/>
    <w:rsid w:val="00E62142"/>
    <w:rsid w:val="00E6220E"/>
    <w:rsid w:val="00E62237"/>
    <w:rsid w:val="00E6256E"/>
    <w:rsid w:val="00E625EA"/>
    <w:rsid w:val="00E6286A"/>
    <w:rsid w:val="00E62DF9"/>
    <w:rsid w:val="00E62EAE"/>
    <w:rsid w:val="00E62EF9"/>
    <w:rsid w:val="00E62FDE"/>
    <w:rsid w:val="00E63512"/>
    <w:rsid w:val="00E635A3"/>
    <w:rsid w:val="00E63774"/>
    <w:rsid w:val="00E63895"/>
    <w:rsid w:val="00E638B6"/>
    <w:rsid w:val="00E63A4B"/>
    <w:rsid w:val="00E63B1B"/>
    <w:rsid w:val="00E63ECA"/>
    <w:rsid w:val="00E6407E"/>
    <w:rsid w:val="00E640D4"/>
    <w:rsid w:val="00E640E3"/>
    <w:rsid w:val="00E641A0"/>
    <w:rsid w:val="00E6420F"/>
    <w:rsid w:val="00E642F8"/>
    <w:rsid w:val="00E6456B"/>
    <w:rsid w:val="00E64574"/>
    <w:rsid w:val="00E648C3"/>
    <w:rsid w:val="00E648FE"/>
    <w:rsid w:val="00E64BF2"/>
    <w:rsid w:val="00E64D99"/>
    <w:rsid w:val="00E64E57"/>
    <w:rsid w:val="00E64FD6"/>
    <w:rsid w:val="00E6515C"/>
    <w:rsid w:val="00E651B8"/>
    <w:rsid w:val="00E652BA"/>
    <w:rsid w:val="00E65512"/>
    <w:rsid w:val="00E65611"/>
    <w:rsid w:val="00E65830"/>
    <w:rsid w:val="00E65974"/>
    <w:rsid w:val="00E65CEC"/>
    <w:rsid w:val="00E65E04"/>
    <w:rsid w:val="00E65E66"/>
    <w:rsid w:val="00E663C6"/>
    <w:rsid w:val="00E66612"/>
    <w:rsid w:val="00E6663F"/>
    <w:rsid w:val="00E6674F"/>
    <w:rsid w:val="00E668D7"/>
    <w:rsid w:val="00E668D8"/>
    <w:rsid w:val="00E66AD0"/>
    <w:rsid w:val="00E66B11"/>
    <w:rsid w:val="00E66F07"/>
    <w:rsid w:val="00E6702C"/>
    <w:rsid w:val="00E6740E"/>
    <w:rsid w:val="00E67712"/>
    <w:rsid w:val="00E677D0"/>
    <w:rsid w:val="00E6783F"/>
    <w:rsid w:val="00E67959"/>
    <w:rsid w:val="00E67AA4"/>
    <w:rsid w:val="00E67BF0"/>
    <w:rsid w:val="00E67E5F"/>
    <w:rsid w:val="00E70098"/>
    <w:rsid w:val="00E703B0"/>
    <w:rsid w:val="00E70731"/>
    <w:rsid w:val="00E70944"/>
    <w:rsid w:val="00E70C38"/>
    <w:rsid w:val="00E70F36"/>
    <w:rsid w:val="00E7109F"/>
    <w:rsid w:val="00E710E1"/>
    <w:rsid w:val="00E7151A"/>
    <w:rsid w:val="00E716C7"/>
    <w:rsid w:val="00E717DC"/>
    <w:rsid w:val="00E7193F"/>
    <w:rsid w:val="00E71B17"/>
    <w:rsid w:val="00E71D58"/>
    <w:rsid w:val="00E7203A"/>
    <w:rsid w:val="00E7218E"/>
    <w:rsid w:val="00E7229A"/>
    <w:rsid w:val="00E723B3"/>
    <w:rsid w:val="00E72466"/>
    <w:rsid w:val="00E7257E"/>
    <w:rsid w:val="00E725D8"/>
    <w:rsid w:val="00E7263D"/>
    <w:rsid w:val="00E726C4"/>
    <w:rsid w:val="00E7273E"/>
    <w:rsid w:val="00E72856"/>
    <w:rsid w:val="00E728D5"/>
    <w:rsid w:val="00E72932"/>
    <w:rsid w:val="00E72AB2"/>
    <w:rsid w:val="00E72B04"/>
    <w:rsid w:val="00E73083"/>
    <w:rsid w:val="00E730A8"/>
    <w:rsid w:val="00E7336F"/>
    <w:rsid w:val="00E736B5"/>
    <w:rsid w:val="00E736F1"/>
    <w:rsid w:val="00E73AC7"/>
    <w:rsid w:val="00E73B08"/>
    <w:rsid w:val="00E73B20"/>
    <w:rsid w:val="00E73B90"/>
    <w:rsid w:val="00E73BA0"/>
    <w:rsid w:val="00E73D68"/>
    <w:rsid w:val="00E73FC5"/>
    <w:rsid w:val="00E7410F"/>
    <w:rsid w:val="00E74670"/>
    <w:rsid w:val="00E74753"/>
    <w:rsid w:val="00E749DD"/>
    <w:rsid w:val="00E74B27"/>
    <w:rsid w:val="00E74B97"/>
    <w:rsid w:val="00E752FF"/>
    <w:rsid w:val="00E756D6"/>
    <w:rsid w:val="00E75A39"/>
    <w:rsid w:val="00E75DE7"/>
    <w:rsid w:val="00E763BE"/>
    <w:rsid w:val="00E76420"/>
    <w:rsid w:val="00E765B3"/>
    <w:rsid w:val="00E766AA"/>
    <w:rsid w:val="00E76723"/>
    <w:rsid w:val="00E768ED"/>
    <w:rsid w:val="00E768F9"/>
    <w:rsid w:val="00E76A11"/>
    <w:rsid w:val="00E76B06"/>
    <w:rsid w:val="00E76DD7"/>
    <w:rsid w:val="00E76FE2"/>
    <w:rsid w:val="00E771F1"/>
    <w:rsid w:val="00E7738A"/>
    <w:rsid w:val="00E7775D"/>
    <w:rsid w:val="00E77979"/>
    <w:rsid w:val="00E77A73"/>
    <w:rsid w:val="00E77F3B"/>
    <w:rsid w:val="00E800FF"/>
    <w:rsid w:val="00E80228"/>
    <w:rsid w:val="00E802CF"/>
    <w:rsid w:val="00E80420"/>
    <w:rsid w:val="00E80753"/>
    <w:rsid w:val="00E80856"/>
    <w:rsid w:val="00E80AFF"/>
    <w:rsid w:val="00E80C80"/>
    <w:rsid w:val="00E80D5C"/>
    <w:rsid w:val="00E80D8B"/>
    <w:rsid w:val="00E80E11"/>
    <w:rsid w:val="00E80E4C"/>
    <w:rsid w:val="00E80F2B"/>
    <w:rsid w:val="00E81234"/>
    <w:rsid w:val="00E81238"/>
    <w:rsid w:val="00E81397"/>
    <w:rsid w:val="00E813B2"/>
    <w:rsid w:val="00E81466"/>
    <w:rsid w:val="00E817D4"/>
    <w:rsid w:val="00E81B8E"/>
    <w:rsid w:val="00E81E0C"/>
    <w:rsid w:val="00E8243C"/>
    <w:rsid w:val="00E825FD"/>
    <w:rsid w:val="00E82920"/>
    <w:rsid w:val="00E82B31"/>
    <w:rsid w:val="00E82C34"/>
    <w:rsid w:val="00E82FB8"/>
    <w:rsid w:val="00E83223"/>
    <w:rsid w:val="00E832AD"/>
    <w:rsid w:val="00E83376"/>
    <w:rsid w:val="00E833B6"/>
    <w:rsid w:val="00E83995"/>
    <w:rsid w:val="00E839F9"/>
    <w:rsid w:val="00E83A72"/>
    <w:rsid w:val="00E83B5D"/>
    <w:rsid w:val="00E83BE1"/>
    <w:rsid w:val="00E83E6B"/>
    <w:rsid w:val="00E83EC1"/>
    <w:rsid w:val="00E8414F"/>
    <w:rsid w:val="00E84280"/>
    <w:rsid w:val="00E8429F"/>
    <w:rsid w:val="00E8436D"/>
    <w:rsid w:val="00E843AC"/>
    <w:rsid w:val="00E846F9"/>
    <w:rsid w:val="00E847B8"/>
    <w:rsid w:val="00E847B9"/>
    <w:rsid w:val="00E84935"/>
    <w:rsid w:val="00E84B94"/>
    <w:rsid w:val="00E84C9F"/>
    <w:rsid w:val="00E84E3B"/>
    <w:rsid w:val="00E84EF7"/>
    <w:rsid w:val="00E8516E"/>
    <w:rsid w:val="00E8517E"/>
    <w:rsid w:val="00E851BF"/>
    <w:rsid w:val="00E852F6"/>
    <w:rsid w:val="00E854D8"/>
    <w:rsid w:val="00E85975"/>
    <w:rsid w:val="00E85F99"/>
    <w:rsid w:val="00E86129"/>
    <w:rsid w:val="00E864AC"/>
    <w:rsid w:val="00E86718"/>
    <w:rsid w:val="00E8675E"/>
    <w:rsid w:val="00E86CDE"/>
    <w:rsid w:val="00E86D0E"/>
    <w:rsid w:val="00E86E0B"/>
    <w:rsid w:val="00E86FA1"/>
    <w:rsid w:val="00E870AD"/>
    <w:rsid w:val="00E874D0"/>
    <w:rsid w:val="00E87939"/>
    <w:rsid w:val="00E87962"/>
    <w:rsid w:val="00E87A45"/>
    <w:rsid w:val="00E87BD6"/>
    <w:rsid w:val="00E90321"/>
    <w:rsid w:val="00E903BF"/>
    <w:rsid w:val="00E90A0A"/>
    <w:rsid w:val="00E91099"/>
    <w:rsid w:val="00E915DF"/>
    <w:rsid w:val="00E91662"/>
    <w:rsid w:val="00E918CC"/>
    <w:rsid w:val="00E91AA8"/>
    <w:rsid w:val="00E91B4F"/>
    <w:rsid w:val="00E91DA3"/>
    <w:rsid w:val="00E92469"/>
    <w:rsid w:val="00E924E6"/>
    <w:rsid w:val="00E9285D"/>
    <w:rsid w:val="00E9288D"/>
    <w:rsid w:val="00E92A3D"/>
    <w:rsid w:val="00E92CD4"/>
    <w:rsid w:val="00E92E54"/>
    <w:rsid w:val="00E930CE"/>
    <w:rsid w:val="00E930D7"/>
    <w:rsid w:val="00E937B9"/>
    <w:rsid w:val="00E93E0A"/>
    <w:rsid w:val="00E94043"/>
    <w:rsid w:val="00E942FD"/>
    <w:rsid w:val="00E94A34"/>
    <w:rsid w:val="00E94D05"/>
    <w:rsid w:val="00E94EA2"/>
    <w:rsid w:val="00E953A7"/>
    <w:rsid w:val="00E95459"/>
    <w:rsid w:val="00E9549B"/>
    <w:rsid w:val="00E954EB"/>
    <w:rsid w:val="00E9571A"/>
    <w:rsid w:val="00E9578D"/>
    <w:rsid w:val="00E95830"/>
    <w:rsid w:val="00E95986"/>
    <w:rsid w:val="00E95D4E"/>
    <w:rsid w:val="00E95DA1"/>
    <w:rsid w:val="00E95E96"/>
    <w:rsid w:val="00E95F00"/>
    <w:rsid w:val="00E95F90"/>
    <w:rsid w:val="00E96396"/>
    <w:rsid w:val="00E9667C"/>
    <w:rsid w:val="00E96820"/>
    <w:rsid w:val="00E96855"/>
    <w:rsid w:val="00E96CBF"/>
    <w:rsid w:val="00E96D07"/>
    <w:rsid w:val="00E96E43"/>
    <w:rsid w:val="00E96F52"/>
    <w:rsid w:val="00E96F6A"/>
    <w:rsid w:val="00E974D1"/>
    <w:rsid w:val="00E97694"/>
    <w:rsid w:val="00E976B3"/>
    <w:rsid w:val="00E97847"/>
    <w:rsid w:val="00E9788A"/>
    <w:rsid w:val="00E97D36"/>
    <w:rsid w:val="00E97FEA"/>
    <w:rsid w:val="00EA0483"/>
    <w:rsid w:val="00EA0992"/>
    <w:rsid w:val="00EA0E5F"/>
    <w:rsid w:val="00EA0EC4"/>
    <w:rsid w:val="00EA0F2D"/>
    <w:rsid w:val="00EA0F48"/>
    <w:rsid w:val="00EA101E"/>
    <w:rsid w:val="00EA10E2"/>
    <w:rsid w:val="00EA10FE"/>
    <w:rsid w:val="00EA1119"/>
    <w:rsid w:val="00EA1260"/>
    <w:rsid w:val="00EA127E"/>
    <w:rsid w:val="00EA1302"/>
    <w:rsid w:val="00EA1391"/>
    <w:rsid w:val="00EA144D"/>
    <w:rsid w:val="00EA14D2"/>
    <w:rsid w:val="00EA15AF"/>
    <w:rsid w:val="00EA18D6"/>
    <w:rsid w:val="00EA18E4"/>
    <w:rsid w:val="00EA191A"/>
    <w:rsid w:val="00EA1927"/>
    <w:rsid w:val="00EA1AB7"/>
    <w:rsid w:val="00EA2099"/>
    <w:rsid w:val="00EA2368"/>
    <w:rsid w:val="00EA2396"/>
    <w:rsid w:val="00EA24B5"/>
    <w:rsid w:val="00EA25EB"/>
    <w:rsid w:val="00EA28C0"/>
    <w:rsid w:val="00EA297C"/>
    <w:rsid w:val="00EA29A3"/>
    <w:rsid w:val="00EA2A5E"/>
    <w:rsid w:val="00EA2E25"/>
    <w:rsid w:val="00EA3350"/>
    <w:rsid w:val="00EA3382"/>
    <w:rsid w:val="00EA3414"/>
    <w:rsid w:val="00EA356C"/>
    <w:rsid w:val="00EA3969"/>
    <w:rsid w:val="00EA3C31"/>
    <w:rsid w:val="00EA3C57"/>
    <w:rsid w:val="00EA3D44"/>
    <w:rsid w:val="00EA3EFC"/>
    <w:rsid w:val="00EA4066"/>
    <w:rsid w:val="00EA4197"/>
    <w:rsid w:val="00EA42F4"/>
    <w:rsid w:val="00EA46EC"/>
    <w:rsid w:val="00EA4ADE"/>
    <w:rsid w:val="00EA509B"/>
    <w:rsid w:val="00EA5167"/>
    <w:rsid w:val="00EA5338"/>
    <w:rsid w:val="00EA534D"/>
    <w:rsid w:val="00EA5390"/>
    <w:rsid w:val="00EA53E2"/>
    <w:rsid w:val="00EA57AF"/>
    <w:rsid w:val="00EA5E5E"/>
    <w:rsid w:val="00EA5ED5"/>
    <w:rsid w:val="00EA5FBB"/>
    <w:rsid w:val="00EA6019"/>
    <w:rsid w:val="00EA67DA"/>
    <w:rsid w:val="00EA689F"/>
    <w:rsid w:val="00EA6921"/>
    <w:rsid w:val="00EA698D"/>
    <w:rsid w:val="00EA6DEF"/>
    <w:rsid w:val="00EA6E11"/>
    <w:rsid w:val="00EA6E96"/>
    <w:rsid w:val="00EA7058"/>
    <w:rsid w:val="00EA70D6"/>
    <w:rsid w:val="00EA7252"/>
    <w:rsid w:val="00EA72C0"/>
    <w:rsid w:val="00EA7368"/>
    <w:rsid w:val="00EA744F"/>
    <w:rsid w:val="00EA74D8"/>
    <w:rsid w:val="00EA77A4"/>
    <w:rsid w:val="00EA782A"/>
    <w:rsid w:val="00EA7FD6"/>
    <w:rsid w:val="00EB0101"/>
    <w:rsid w:val="00EB01A1"/>
    <w:rsid w:val="00EB02E6"/>
    <w:rsid w:val="00EB0759"/>
    <w:rsid w:val="00EB0917"/>
    <w:rsid w:val="00EB0AF4"/>
    <w:rsid w:val="00EB0AFA"/>
    <w:rsid w:val="00EB0B42"/>
    <w:rsid w:val="00EB0C98"/>
    <w:rsid w:val="00EB0CFE"/>
    <w:rsid w:val="00EB0E97"/>
    <w:rsid w:val="00EB10DB"/>
    <w:rsid w:val="00EB1204"/>
    <w:rsid w:val="00EB12BB"/>
    <w:rsid w:val="00EB1415"/>
    <w:rsid w:val="00EB185A"/>
    <w:rsid w:val="00EB1935"/>
    <w:rsid w:val="00EB1C79"/>
    <w:rsid w:val="00EB1C92"/>
    <w:rsid w:val="00EB1D65"/>
    <w:rsid w:val="00EB208C"/>
    <w:rsid w:val="00EB212A"/>
    <w:rsid w:val="00EB2294"/>
    <w:rsid w:val="00EB22D0"/>
    <w:rsid w:val="00EB23B5"/>
    <w:rsid w:val="00EB256D"/>
    <w:rsid w:val="00EB2584"/>
    <w:rsid w:val="00EB28AA"/>
    <w:rsid w:val="00EB293F"/>
    <w:rsid w:val="00EB2A8D"/>
    <w:rsid w:val="00EB2E1F"/>
    <w:rsid w:val="00EB2FEC"/>
    <w:rsid w:val="00EB377A"/>
    <w:rsid w:val="00EB3A97"/>
    <w:rsid w:val="00EB3BFF"/>
    <w:rsid w:val="00EB3F4C"/>
    <w:rsid w:val="00EB43E3"/>
    <w:rsid w:val="00EB4430"/>
    <w:rsid w:val="00EB4497"/>
    <w:rsid w:val="00EB4504"/>
    <w:rsid w:val="00EB45D0"/>
    <w:rsid w:val="00EB4664"/>
    <w:rsid w:val="00EB47AE"/>
    <w:rsid w:val="00EB4ACE"/>
    <w:rsid w:val="00EB4B91"/>
    <w:rsid w:val="00EB4FA1"/>
    <w:rsid w:val="00EB52EC"/>
    <w:rsid w:val="00EB546C"/>
    <w:rsid w:val="00EB552E"/>
    <w:rsid w:val="00EB553F"/>
    <w:rsid w:val="00EB56A7"/>
    <w:rsid w:val="00EB571A"/>
    <w:rsid w:val="00EB57FC"/>
    <w:rsid w:val="00EB5858"/>
    <w:rsid w:val="00EB5877"/>
    <w:rsid w:val="00EB5A92"/>
    <w:rsid w:val="00EB5B38"/>
    <w:rsid w:val="00EB5D1F"/>
    <w:rsid w:val="00EB5F80"/>
    <w:rsid w:val="00EB5FB6"/>
    <w:rsid w:val="00EB6192"/>
    <w:rsid w:val="00EB6407"/>
    <w:rsid w:val="00EB64DC"/>
    <w:rsid w:val="00EB6754"/>
    <w:rsid w:val="00EB67B3"/>
    <w:rsid w:val="00EB682D"/>
    <w:rsid w:val="00EB6A51"/>
    <w:rsid w:val="00EB6C6B"/>
    <w:rsid w:val="00EB6D84"/>
    <w:rsid w:val="00EB6E6D"/>
    <w:rsid w:val="00EB7027"/>
    <w:rsid w:val="00EB728C"/>
    <w:rsid w:val="00EB7711"/>
    <w:rsid w:val="00EB7881"/>
    <w:rsid w:val="00EB78F2"/>
    <w:rsid w:val="00EB7AE2"/>
    <w:rsid w:val="00EB7C66"/>
    <w:rsid w:val="00EB7C84"/>
    <w:rsid w:val="00EC011C"/>
    <w:rsid w:val="00EC01E7"/>
    <w:rsid w:val="00EC02B8"/>
    <w:rsid w:val="00EC046B"/>
    <w:rsid w:val="00EC04F9"/>
    <w:rsid w:val="00EC0682"/>
    <w:rsid w:val="00EC073E"/>
    <w:rsid w:val="00EC0980"/>
    <w:rsid w:val="00EC098B"/>
    <w:rsid w:val="00EC0B52"/>
    <w:rsid w:val="00EC103D"/>
    <w:rsid w:val="00EC1097"/>
    <w:rsid w:val="00EC13D8"/>
    <w:rsid w:val="00EC13DE"/>
    <w:rsid w:val="00EC14F9"/>
    <w:rsid w:val="00EC15F1"/>
    <w:rsid w:val="00EC1910"/>
    <w:rsid w:val="00EC1A95"/>
    <w:rsid w:val="00EC1AAD"/>
    <w:rsid w:val="00EC1B04"/>
    <w:rsid w:val="00EC1B12"/>
    <w:rsid w:val="00EC1B35"/>
    <w:rsid w:val="00EC1B98"/>
    <w:rsid w:val="00EC1CE3"/>
    <w:rsid w:val="00EC1E56"/>
    <w:rsid w:val="00EC1F43"/>
    <w:rsid w:val="00EC1F83"/>
    <w:rsid w:val="00EC215B"/>
    <w:rsid w:val="00EC2442"/>
    <w:rsid w:val="00EC2559"/>
    <w:rsid w:val="00EC2860"/>
    <w:rsid w:val="00EC3064"/>
    <w:rsid w:val="00EC349B"/>
    <w:rsid w:val="00EC34C8"/>
    <w:rsid w:val="00EC35B2"/>
    <w:rsid w:val="00EC36CB"/>
    <w:rsid w:val="00EC4160"/>
    <w:rsid w:val="00EC41DC"/>
    <w:rsid w:val="00EC41E3"/>
    <w:rsid w:val="00EC4274"/>
    <w:rsid w:val="00EC430B"/>
    <w:rsid w:val="00EC442B"/>
    <w:rsid w:val="00EC4842"/>
    <w:rsid w:val="00EC48B0"/>
    <w:rsid w:val="00EC4956"/>
    <w:rsid w:val="00EC4ACC"/>
    <w:rsid w:val="00EC4B16"/>
    <w:rsid w:val="00EC4C85"/>
    <w:rsid w:val="00EC4CC3"/>
    <w:rsid w:val="00EC4FAB"/>
    <w:rsid w:val="00EC50A8"/>
    <w:rsid w:val="00EC532B"/>
    <w:rsid w:val="00EC55F2"/>
    <w:rsid w:val="00EC560B"/>
    <w:rsid w:val="00EC5995"/>
    <w:rsid w:val="00EC5ABA"/>
    <w:rsid w:val="00EC5ADE"/>
    <w:rsid w:val="00EC5D23"/>
    <w:rsid w:val="00EC5DB3"/>
    <w:rsid w:val="00EC63A6"/>
    <w:rsid w:val="00EC661E"/>
    <w:rsid w:val="00EC667F"/>
    <w:rsid w:val="00EC67F3"/>
    <w:rsid w:val="00EC6C14"/>
    <w:rsid w:val="00EC6E43"/>
    <w:rsid w:val="00EC73DB"/>
    <w:rsid w:val="00EC7563"/>
    <w:rsid w:val="00EC77D3"/>
    <w:rsid w:val="00EC7BDF"/>
    <w:rsid w:val="00EC7F12"/>
    <w:rsid w:val="00ED0214"/>
    <w:rsid w:val="00ED033D"/>
    <w:rsid w:val="00ED0406"/>
    <w:rsid w:val="00ED0785"/>
    <w:rsid w:val="00ED0A10"/>
    <w:rsid w:val="00ED0B4B"/>
    <w:rsid w:val="00ED0BED"/>
    <w:rsid w:val="00ED0D4C"/>
    <w:rsid w:val="00ED0F61"/>
    <w:rsid w:val="00ED1098"/>
    <w:rsid w:val="00ED114F"/>
    <w:rsid w:val="00ED155D"/>
    <w:rsid w:val="00ED15E9"/>
    <w:rsid w:val="00ED1626"/>
    <w:rsid w:val="00ED1714"/>
    <w:rsid w:val="00ED1D2C"/>
    <w:rsid w:val="00ED204E"/>
    <w:rsid w:val="00ED248C"/>
    <w:rsid w:val="00ED24A7"/>
    <w:rsid w:val="00ED291C"/>
    <w:rsid w:val="00ED2B7D"/>
    <w:rsid w:val="00ED2BF8"/>
    <w:rsid w:val="00ED2C20"/>
    <w:rsid w:val="00ED2CE9"/>
    <w:rsid w:val="00ED2F3B"/>
    <w:rsid w:val="00ED33DC"/>
    <w:rsid w:val="00ED34DA"/>
    <w:rsid w:val="00ED35EB"/>
    <w:rsid w:val="00ED372E"/>
    <w:rsid w:val="00ED3754"/>
    <w:rsid w:val="00ED387A"/>
    <w:rsid w:val="00ED3888"/>
    <w:rsid w:val="00ED3A2D"/>
    <w:rsid w:val="00ED3A4D"/>
    <w:rsid w:val="00ED3A8D"/>
    <w:rsid w:val="00ED45C3"/>
    <w:rsid w:val="00ED465B"/>
    <w:rsid w:val="00ED48BB"/>
    <w:rsid w:val="00ED48DE"/>
    <w:rsid w:val="00ED495F"/>
    <w:rsid w:val="00ED4A67"/>
    <w:rsid w:val="00ED4FE8"/>
    <w:rsid w:val="00ED505D"/>
    <w:rsid w:val="00ED5127"/>
    <w:rsid w:val="00ED5919"/>
    <w:rsid w:val="00ED5A2F"/>
    <w:rsid w:val="00ED5B48"/>
    <w:rsid w:val="00ED5C22"/>
    <w:rsid w:val="00ED5C7F"/>
    <w:rsid w:val="00ED5DC9"/>
    <w:rsid w:val="00ED60E9"/>
    <w:rsid w:val="00ED61CD"/>
    <w:rsid w:val="00ED64E2"/>
    <w:rsid w:val="00ED6A75"/>
    <w:rsid w:val="00ED6A90"/>
    <w:rsid w:val="00ED6A99"/>
    <w:rsid w:val="00ED6B6D"/>
    <w:rsid w:val="00ED6CA0"/>
    <w:rsid w:val="00ED6FC5"/>
    <w:rsid w:val="00ED7135"/>
    <w:rsid w:val="00ED717C"/>
    <w:rsid w:val="00ED73AF"/>
    <w:rsid w:val="00ED7471"/>
    <w:rsid w:val="00ED7660"/>
    <w:rsid w:val="00ED7778"/>
    <w:rsid w:val="00ED7889"/>
    <w:rsid w:val="00EE00E3"/>
    <w:rsid w:val="00EE0223"/>
    <w:rsid w:val="00EE026C"/>
    <w:rsid w:val="00EE0331"/>
    <w:rsid w:val="00EE062C"/>
    <w:rsid w:val="00EE06C6"/>
    <w:rsid w:val="00EE0AA1"/>
    <w:rsid w:val="00EE0AD3"/>
    <w:rsid w:val="00EE0B23"/>
    <w:rsid w:val="00EE0E73"/>
    <w:rsid w:val="00EE0FBD"/>
    <w:rsid w:val="00EE1251"/>
    <w:rsid w:val="00EE162E"/>
    <w:rsid w:val="00EE1638"/>
    <w:rsid w:val="00EE18CA"/>
    <w:rsid w:val="00EE190C"/>
    <w:rsid w:val="00EE1ABC"/>
    <w:rsid w:val="00EE2110"/>
    <w:rsid w:val="00EE21BF"/>
    <w:rsid w:val="00EE2485"/>
    <w:rsid w:val="00EE2676"/>
    <w:rsid w:val="00EE2780"/>
    <w:rsid w:val="00EE287B"/>
    <w:rsid w:val="00EE28FC"/>
    <w:rsid w:val="00EE29E6"/>
    <w:rsid w:val="00EE2B62"/>
    <w:rsid w:val="00EE2EAA"/>
    <w:rsid w:val="00EE306F"/>
    <w:rsid w:val="00EE3072"/>
    <w:rsid w:val="00EE31F8"/>
    <w:rsid w:val="00EE3391"/>
    <w:rsid w:val="00EE35C0"/>
    <w:rsid w:val="00EE36E2"/>
    <w:rsid w:val="00EE3783"/>
    <w:rsid w:val="00EE390F"/>
    <w:rsid w:val="00EE395F"/>
    <w:rsid w:val="00EE39CA"/>
    <w:rsid w:val="00EE39FB"/>
    <w:rsid w:val="00EE3C04"/>
    <w:rsid w:val="00EE3C55"/>
    <w:rsid w:val="00EE4346"/>
    <w:rsid w:val="00EE4435"/>
    <w:rsid w:val="00EE44F4"/>
    <w:rsid w:val="00EE45A2"/>
    <w:rsid w:val="00EE4763"/>
    <w:rsid w:val="00EE47E8"/>
    <w:rsid w:val="00EE4870"/>
    <w:rsid w:val="00EE4DC2"/>
    <w:rsid w:val="00EE504C"/>
    <w:rsid w:val="00EE5390"/>
    <w:rsid w:val="00EE55BE"/>
    <w:rsid w:val="00EE5C18"/>
    <w:rsid w:val="00EE5D96"/>
    <w:rsid w:val="00EE5FF1"/>
    <w:rsid w:val="00EE600B"/>
    <w:rsid w:val="00EE60DD"/>
    <w:rsid w:val="00EE6149"/>
    <w:rsid w:val="00EE64F2"/>
    <w:rsid w:val="00EE6941"/>
    <w:rsid w:val="00EE69BF"/>
    <w:rsid w:val="00EE6AF6"/>
    <w:rsid w:val="00EE6C29"/>
    <w:rsid w:val="00EE6E61"/>
    <w:rsid w:val="00EE717B"/>
    <w:rsid w:val="00EE73B7"/>
    <w:rsid w:val="00EE74BE"/>
    <w:rsid w:val="00EE74DF"/>
    <w:rsid w:val="00EE7734"/>
    <w:rsid w:val="00EE7957"/>
    <w:rsid w:val="00EE7977"/>
    <w:rsid w:val="00EE7B8B"/>
    <w:rsid w:val="00EE7BF9"/>
    <w:rsid w:val="00EE7C18"/>
    <w:rsid w:val="00EE7CDC"/>
    <w:rsid w:val="00EF035E"/>
    <w:rsid w:val="00EF0690"/>
    <w:rsid w:val="00EF08FA"/>
    <w:rsid w:val="00EF0CEE"/>
    <w:rsid w:val="00EF0EA6"/>
    <w:rsid w:val="00EF0EBB"/>
    <w:rsid w:val="00EF10C4"/>
    <w:rsid w:val="00EF1651"/>
    <w:rsid w:val="00EF1BD2"/>
    <w:rsid w:val="00EF1BF0"/>
    <w:rsid w:val="00EF1E45"/>
    <w:rsid w:val="00EF1EEA"/>
    <w:rsid w:val="00EF1FA8"/>
    <w:rsid w:val="00EF1FBC"/>
    <w:rsid w:val="00EF2227"/>
    <w:rsid w:val="00EF229D"/>
    <w:rsid w:val="00EF2312"/>
    <w:rsid w:val="00EF301C"/>
    <w:rsid w:val="00EF3039"/>
    <w:rsid w:val="00EF3104"/>
    <w:rsid w:val="00EF3140"/>
    <w:rsid w:val="00EF3354"/>
    <w:rsid w:val="00EF33CE"/>
    <w:rsid w:val="00EF3582"/>
    <w:rsid w:val="00EF3ADF"/>
    <w:rsid w:val="00EF3C08"/>
    <w:rsid w:val="00EF3C53"/>
    <w:rsid w:val="00EF3CB5"/>
    <w:rsid w:val="00EF3ECC"/>
    <w:rsid w:val="00EF3F20"/>
    <w:rsid w:val="00EF3F9B"/>
    <w:rsid w:val="00EF4181"/>
    <w:rsid w:val="00EF41C3"/>
    <w:rsid w:val="00EF427B"/>
    <w:rsid w:val="00EF47B2"/>
    <w:rsid w:val="00EF4822"/>
    <w:rsid w:val="00EF48F2"/>
    <w:rsid w:val="00EF49D8"/>
    <w:rsid w:val="00EF49D9"/>
    <w:rsid w:val="00EF4AAF"/>
    <w:rsid w:val="00EF4CF2"/>
    <w:rsid w:val="00EF4E32"/>
    <w:rsid w:val="00EF50F9"/>
    <w:rsid w:val="00EF54DB"/>
    <w:rsid w:val="00EF59B1"/>
    <w:rsid w:val="00EF5C42"/>
    <w:rsid w:val="00EF5C56"/>
    <w:rsid w:val="00EF5CBD"/>
    <w:rsid w:val="00EF636B"/>
    <w:rsid w:val="00EF6CEB"/>
    <w:rsid w:val="00EF6E22"/>
    <w:rsid w:val="00EF6E94"/>
    <w:rsid w:val="00EF71B9"/>
    <w:rsid w:val="00EF7221"/>
    <w:rsid w:val="00EF74F6"/>
    <w:rsid w:val="00EF7567"/>
    <w:rsid w:val="00EF758D"/>
    <w:rsid w:val="00EF79E1"/>
    <w:rsid w:val="00F0004F"/>
    <w:rsid w:val="00F001AA"/>
    <w:rsid w:val="00F003E0"/>
    <w:rsid w:val="00F00483"/>
    <w:rsid w:val="00F00932"/>
    <w:rsid w:val="00F00D67"/>
    <w:rsid w:val="00F00DE0"/>
    <w:rsid w:val="00F00FDF"/>
    <w:rsid w:val="00F00FFA"/>
    <w:rsid w:val="00F011FB"/>
    <w:rsid w:val="00F01380"/>
    <w:rsid w:val="00F01448"/>
    <w:rsid w:val="00F0144D"/>
    <w:rsid w:val="00F016FB"/>
    <w:rsid w:val="00F0189F"/>
    <w:rsid w:val="00F01E65"/>
    <w:rsid w:val="00F01FBF"/>
    <w:rsid w:val="00F026D5"/>
    <w:rsid w:val="00F029EB"/>
    <w:rsid w:val="00F02B91"/>
    <w:rsid w:val="00F02CA0"/>
    <w:rsid w:val="00F02E32"/>
    <w:rsid w:val="00F03552"/>
    <w:rsid w:val="00F03722"/>
    <w:rsid w:val="00F03802"/>
    <w:rsid w:val="00F038ED"/>
    <w:rsid w:val="00F03B3E"/>
    <w:rsid w:val="00F03C4D"/>
    <w:rsid w:val="00F03DD8"/>
    <w:rsid w:val="00F0472D"/>
    <w:rsid w:val="00F048FF"/>
    <w:rsid w:val="00F04977"/>
    <w:rsid w:val="00F04A87"/>
    <w:rsid w:val="00F04BC3"/>
    <w:rsid w:val="00F050D3"/>
    <w:rsid w:val="00F05100"/>
    <w:rsid w:val="00F05287"/>
    <w:rsid w:val="00F0554F"/>
    <w:rsid w:val="00F058AD"/>
    <w:rsid w:val="00F058B3"/>
    <w:rsid w:val="00F059D1"/>
    <w:rsid w:val="00F05B43"/>
    <w:rsid w:val="00F0633D"/>
    <w:rsid w:val="00F06504"/>
    <w:rsid w:val="00F0654B"/>
    <w:rsid w:val="00F066EF"/>
    <w:rsid w:val="00F06919"/>
    <w:rsid w:val="00F06F12"/>
    <w:rsid w:val="00F06F99"/>
    <w:rsid w:val="00F0707A"/>
    <w:rsid w:val="00F072A3"/>
    <w:rsid w:val="00F073F8"/>
    <w:rsid w:val="00F07529"/>
    <w:rsid w:val="00F07624"/>
    <w:rsid w:val="00F07A9D"/>
    <w:rsid w:val="00F07EC3"/>
    <w:rsid w:val="00F1008C"/>
    <w:rsid w:val="00F1015B"/>
    <w:rsid w:val="00F101B8"/>
    <w:rsid w:val="00F1040B"/>
    <w:rsid w:val="00F10729"/>
    <w:rsid w:val="00F10BDF"/>
    <w:rsid w:val="00F10CCF"/>
    <w:rsid w:val="00F10D3A"/>
    <w:rsid w:val="00F10ECB"/>
    <w:rsid w:val="00F11143"/>
    <w:rsid w:val="00F11237"/>
    <w:rsid w:val="00F113AC"/>
    <w:rsid w:val="00F11599"/>
    <w:rsid w:val="00F117BC"/>
    <w:rsid w:val="00F119D7"/>
    <w:rsid w:val="00F119DF"/>
    <w:rsid w:val="00F11A5E"/>
    <w:rsid w:val="00F11CE8"/>
    <w:rsid w:val="00F11FD2"/>
    <w:rsid w:val="00F11FED"/>
    <w:rsid w:val="00F12156"/>
    <w:rsid w:val="00F12427"/>
    <w:rsid w:val="00F12549"/>
    <w:rsid w:val="00F125C2"/>
    <w:rsid w:val="00F1265B"/>
    <w:rsid w:val="00F12689"/>
    <w:rsid w:val="00F12711"/>
    <w:rsid w:val="00F12720"/>
    <w:rsid w:val="00F127C0"/>
    <w:rsid w:val="00F1286C"/>
    <w:rsid w:val="00F12963"/>
    <w:rsid w:val="00F12A62"/>
    <w:rsid w:val="00F12F95"/>
    <w:rsid w:val="00F13127"/>
    <w:rsid w:val="00F131CA"/>
    <w:rsid w:val="00F1323D"/>
    <w:rsid w:val="00F1370A"/>
    <w:rsid w:val="00F1378C"/>
    <w:rsid w:val="00F13859"/>
    <w:rsid w:val="00F13D31"/>
    <w:rsid w:val="00F13D8E"/>
    <w:rsid w:val="00F13FC2"/>
    <w:rsid w:val="00F14016"/>
    <w:rsid w:val="00F14098"/>
    <w:rsid w:val="00F14355"/>
    <w:rsid w:val="00F1442D"/>
    <w:rsid w:val="00F14483"/>
    <w:rsid w:val="00F14496"/>
    <w:rsid w:val="00F1480B"/>
    <w:rsid w:val="00F149DA"/>
    <w:rsid w:val="00F1526E"/>
    <w:rsid w:val="00F152F3"/>
    <w:rsid w:val="00F1561D"/>
    <w:rsid w:val="00F15893"/>
    <w:rsid w:val="00F15F73"/>
    <w:rsid w:val="00F16187"/>
    <w:rsid w:val="00F16487"/>
    <w:rsid w:val="00F16825"/>
    <w:rsid w:val="00F16A42"/>
    <w:rsid w:val="00F16B39"/>
    <w:rsid w:val="00F16BFC"/>
    <w:rsid w:val="00F16D9D"/>
    <w:rsid w:val="00F16F75"/>
    <w:rsid w:val="00F17186"/>
    <w:rsid w:val="00F17242"/>
    <w:rsid w:val="00F173B9"/>
    <w:rsid w:val="00F17457"/>
    <w:rsid w:val="00F175A6"/>
    <w:rsid w:val="00F17655"/>
    <w:rsid w:val="00F1793F"/>
    <w:rsid w:val="00F179CE"/>
    <w:rsid w:val="00F20120"/>
    <w:rsid w:val="00F20212"/>
    <w:rsid w:val="00F2028B"/>
    <w:rsid w:val="00F20383"/>
    <w:rsid w:val="00F205FD"/>
    <w:rsid w:val="00F20719"/>
    <w:rsid w:val="00F20A36"/>
    <w:rsid w:val="00F20A73"/>
    <w:rsid w:val="00F2116F"/>
    <w:rsid w:val="00F21266"/>
    <w:rsid w:val="00F213DF"/>
    <w:rsid w:val="00F213FE"/>
    <w:rsid w:val="00F215CC"/>
    <w:rsid w:val="00F217C9"/>
    <w:rsid w:val="00F2181A"/>
    <w:rsid w:val="00F2197A"/>
    <w:rsid w:val="00F21D2F"/>
    <w:rsid w:val="00F21EB4"/>
    <w:rsid w:val="00F21EE3"/>
    <w:rsid w:val="00F21FFB"/>
    <w:rsid w:val="00F2224F"/>
    <w:rsid w:val="00F2249B"/>
    <w:rsid w:val="00F2265B"/>
    <w:rsid w:val="00F22700"/>
    <w:rsid w:val="00F22799"/>
    <w:rsid w:val="00F22BEC"/>
    <w:rsid w:val="00F22C15"/>
    <w:rsid w:val="00F2315C"/>
    <w:rsid w:val="00F23435"/>
    <w:rsid w:val="00F23704"/>
    <w:rsid w:val="00F23856"/>
    <w:rsid w:val="00F23A39"/>
    <w:rsid w:val="00F23DC7"/>
    <w:rsid w:val="00F240F0"/>
    <w:rsid w:val="00F242CF"/>
    <w:rsid w:val="00F242E5"/>
    <w:rsid w:val="00F2455B"/>
    <w:rsid w:val="00F24700"/>
    <w:rsid w:val="00F24771"/>
    <w:rsid w:val="00F2485E"/>
    <w:rsid w:val="00F24A47"/>
    <w:rsid w:val="00F24CC8"/>
    <w:rsid w:val="00F24E3A"/>
    <w:rsid w:val="00F24EDD"/>
    <w:rsid w:val="00F24FF8"/>
    <w:rsid w:val="00F25032"/>
    <w:rsid w:val="00F2530F"/>
    <w:rsid w:val="00F25B39"/>
    <w:rsid w:val="00F25D19"/>
    <w:rsid w:val="00F25E5D"/>
    <w:rsid w:val="00F25EAE"/>
    <w:rsid w:val="00F25F6A"/>
    <w:rsid w:val="00F26550"/>
    <w:rsid w:val="00F26583"/>
    <w:rsid w:val="00F26D75"/>
    <w:rsid w:val="00F26F5D"/>
    <w:rsid w:val="00F27032"/>
    <w:rsid w:val="00F2709E"/>
    <w:rsid w:val="00F270EE"/>
    <w:rsid w:val="00F27119"/>
    <w:rsid w:val="00F2714A"/>
    <w:rsid w:val="00F2731E"/>
    <w:rsid w:val="00F27554"/>
    <w:rsid w:val="00F27777"/>
    <w:rsid w:val="00F277E8"/>
    <w:rsid w:val="00F27892"/>
    <w:rsid w:val="00F27944"/>
    <w:rsid w:val="00F27A35"/>
    <w:rsid w:val="00F27B48"/>
    <w:rsid w:val="00F27BE5"/>
    <w:rsid w:val="00F30140"/>
    <w:rsid w:val="00F302F8"/>
    <w:rsid w:val="00F307C0"/>
    <w:rsid w:val="00F3093C"/>
    <w:rsid w:val="00F309C4"/>
    <w:rsid w:val="00F3107D"/>
    <w:rsid w:val="00F311E6"/>
    <w:rsid w:val="00F3139B"/>
    <w:rsid w:val="00F3142A"/>
    <w:rsid w:val="00F3143C"/>
    <w:rsid w:val="00F31474"/>
    <w:rsid w:val="00F31967"/>
    <w:rsid w:val="00F319B1"/>
    <w:rsid w:val="00F31A70"/>
    <w:rsid w:val="00F31A89"/>
    <w:rsid w:val="00F31BED"/>
    <w:rsid w:val="00F31BFC"/>
    <w:rsid w:val="00F31DD1"/>
    <w:rsid w:val="00F3208B"/>
    <w:rsid w:val="00F3258C"/>
    <w:rsid w:val="00F325B4"/>
    <w:rsid w:val="00F325D3"/>
    <w:rsid w:val="00F3279B"/>
    <w:rsid w:val="00F32D4D"/>
    <w:rsid w:val="00F32D5F"/>
    <w:rsid w:val="00F32D72"/>
    <w:rsid w:val="00F33093"/>
    <w:rsid w:val="00F33132"/>
    <w:rsid w:val="00F3318A"/>
    <w:rsid w:val="00F33713"/>
    <w:rsid w:val="00F33910"/>
    <w:rsid w:val="00F33A42"/>
    <w:rsid w:val="00F33AFB"/>
    <w:rsid w:val="00F33DEF"/>
    <w:rsid w:val="00F33E52"/>
    <w:rsid w:val="00F342B8"/>
    <w:rsid w:val="00F34497"/>
    <w:rsid w:val="00F34587"/>
    <w:rsid w:val="00F3467A"/>
    <w:rsid w:val="00F350B7"/>
    <w:rsid w:val="00F354A4"/>
    <w:rsid w:val="00F35892"/>
    <w:rsid w:val="00F35AB6"/>
    <w:rsid w:val="00F35D24"/>
    <w:rsid w:val="00F35E99"/>
    <w:rsid w:val="00F36346"/>
    <w:rsid w:val="00F3651A"/>
    <w:rsid w:val="00F368FF"/>
    <w:rsid w:val="00F3692B"/>
    <w:rsid w:val="00F36A36"/>
    <w:rsid w:val="00F36B24"/>
    <w:rsid w:val="00F36BC9"/>
    <w:rsid w:val="00F36CC9"/>
    <w:rsid w:val="00F3746C"/>
    <w:rsid w:val="00F376A1"/>
    <w:rsid w:val="00F3790D"/>
    <w:rsid w:val="00F3794E"/>
    <w:rsid w:val="00F37A6A"/>
    <w:rsid w:val="00F37AA8"/>
    <w:rsid w:val="00F37B54"/>
    <w:rsid w:val="00F37C8F"/>
    <w:rsid w:val="00F37D7D"/>
    <w:rsid w:val="00F400B1"/>
    <w:rsid w:val="00F401D5"/>
    <w:rsid w:val="00F40483"/>
    <w:rsid w:val="00F4090F"/>
    <w:rsid w:val="00F40BFB"/>
    <w:rsid w:val="00F411C1"/>
    <w:rsid w:val="00F411D0"/>
    <w:rsid w:val="00F415C5"/>
    <w:rsid w:val="00F41779"/>
    <w:rsid w:val="00F4188A"/>
    <w:rsid w:val="00F41ABB"/>
    <w:rsid w:val="00F41C18"/>
    <w:rsid w:val="00F41C9D"/>
    <w:rsid w:val="00F41DE6"/>
    <w:rsid w:val="00F41E53"/>
    <w:rsid w:val="00F42232"/>
    <w:rsid w:val="00F425BE"/>
    <w:rsid w:val="00F425DB"/>
    <w:rsid w:val="00F427D5"/>
    <w:rsid w:val="00F4297B"/>
    <w:rsid w:val="00F42CD6"/>
    <w:rsid w:val="00F42DF3"/>
    <w:rsid w:val="00F42EC9"/>
    <w:rsid w:val="00F42F56"/>
    <w:rsid w:val="00F42FA8"/>
    <w:rsid w:val="00F431E9"/>
    <w:rsid w:val="00F4325C"/>
    <w:rsid w:val="00F43420"/>
    <w:rsid w:val="00F436F2"/>
    <w:rsid w:val="00F4377C"/>
    <w:rsid w:val="00F43797"/>
    <w:rsid w:val="00F437C4"/>
    <w:rsid w:val="00F437D7"/>
    <w:rsid w:val="00F4384C"/>
    <w:rsid w:val="00F43911"/>
    <w:rsid w:val="00F43AA0"/>
    <w:rsid w:val="00F44095"/>
    <w:rsid w:val="00F44104"/>
    <w:rsid w:val="00F442EB"/>
    <w:rsid w:val="00F44792"/>
    <w:rsid w:val="00F447F4"/>
    <w:rsid w:val="00F44F66"/>
    <w:rsid w:val="00F4516A"/>
    <w:rsid w:val="00F45252"/>
    <w:rsid w:val="00F452A8"/>
    <w:rsid w:val="00F45449"/>
    <w:rsid w:val="00F4594F"/>
    <w:rsid w:val="00F45A5E"/>
    <w:rsid w:val="00F45B8F"/>
    <w:rsid w:val="00F45C02"/>
    <w:rsid w:val="00F45EC2"/>
    <w:rsid w:val="00F46063"/>
    <w:rsid w:val="00F4616B"/>
    <w:rsid w:val="00F46CF9"/>
    <w:rsid w:val="00F4726A"/>
    <w:rsid w:val="00F47449"/>
    <w:rsid w:val="00F475E5"/>
    <w:rsid w:val="00F4780A"/>
    <w:rsid w:val="00F478C7"/>
    <w:rsid w:val="00F4795C"/>
    <w:rsid w:val="00F4798D"/>
    <w:rsid w:val="00F479EA"/>
    <w:rsid w:val="00F47CF2"/>
    <w:rsid w:val="00F47DC7"/>
    <w:rsid w:val="00F47E8C"/>
    <w:rsid w:val="00F501C4"/>
    <w:rsid w:val="00F504C8"/>
    <w:rsid w:val="00F50758"/>
    <w:rsid w:val="00F507E9"/>
    <w:rsid w:val="00F5080F"/>
    <w:rsid w:val="00F5092C"/>
    <w:rsid w:val="00F50970"/>
    <w:rsid w:val="00F50AE4"/>
    <w:rsid w:val="00F50B69"/>
    <w:rsid w:val="00F50CA9"/>
    <w:rsid w:val="00F50CF7"/>
    <w:rsid w:val="00F50E44"/>
    <w:rsid w:val="00F51850"/>
    <w:rsid w:val="00F51869"/>
    <w:rsid w:val="00F519C9"/>
    <w:rsid w:val="00F51AC4"/>
    <w:rsid w:val="00F51B6F"/>
    <w:rsid w:val="00F51C00"/>
    <w:rsid w:val="00F51D66"/>
    <w:rsid w:val="00F51F77"/>
    <w:rsid w:val="00F51FBB"/>
    <w:rsid w:val="00F521B6"/>
    <w:rsid w:val="00F52215"/>
    <w:rsid w:val="00F5221C"/>
    <w:rsid w:val="00F52302"/>
    <w:rsid w:val="00F52315"/>
    <w:rsid w:val="00F52316"/>
    <w:rsid w:val="00F523CA"/>
    <w:rsid w:val="00F525C5"/>
    <w:rsid w:val="00F525D6"/>
    <w:rsid w:val="00F52889"/>
    <w:rsid w:val="00F52BDA"/>
    <w:rsid w:val="00F52C98"/>
    <w:rsid w:val="00F531CA"/>
    <w:rsid w:val="00F531F5"/>
    <w:rsid w:val="00F532C5"/>
    <w:rsid w:val="00F53429"/>
    <w:rsid w:val="00F53588"/>
    <w:rsid w:val="00F536EB"/>
    <w:rsid w:val="00F5374A"/>
    <w:rsid w:val="00F53865"/>
    <w:rsid w:val="00F538FB"/>
    <w:rsid w:val="00F53950"/>
    <w:rsid w:val="00F53A09"/>
    <w:rsid w:val="00F53CD0"/>
    <w:rsid w:val="00F53D27"/>
    <w:rsid w:val="00F53E49"/>
    <w:rsid w:val="00F53F0A"/>
    <w:rsid w:val="00F53F23"/>
    <w:rsid w:val="00F54176"/>
    <w:rsid w:val="00F541E0"/>
    <w:rsid w:val="00F5421E"/>
    <w:rsid w:val="00F54665"/>
    <w:rsid w:val="00F54A1E"/>
    <w:rsid w:val="00F54A24"/>
    <w:rsid w:val="00F54B40"/>
    <w:rsid w:val="00F54E03"/>
    <w:rsid w:val="00F54E66"/>
    <w:rsid w:val="00F54F1D"/>
    <w:rsid w:val="00F54F4A"/>
    <w:rsid w:val="00F555FE"/>
    <w:rsid w:val="00F55845"/>
    <w:rsid w:val="00F5607B"/>
    <w:rsid w:val="00F5637B"/>
    <w:rsid w:val="00F564FC"/>
    <w:rsid w:val="00F56605"/>
    <w:rsid w:val="00F56719"/>
    <w:rsid w:val="00F5693D"/>
    <w:rsid w:val="00F570DE"/>
    <w:rsid w:val="00F5711C"/>
    <w:rsid w:val="00F5748C"/>
    <w:rsid w:val="00F5750E"/>
    <w:rsid w:val="00F5757A"/>
    <w:rsid w:val="00F575B3"/>
    <w:rsid w:val="00F576D9"/>
    <w:rsid w:val="00F5781A"/>
    <w:rsid w:val="00F57A62"/>
    <w:rsid w:val="00F57ADE"/>
    <w:rsid w:val="00F57CD6"/>
    <w:rsid w:val="00F57D89"/>
    <w:rsid w:val="00F57DD8"/>
    <w:rsid w:val="00F57F18"/>
    <w:rsid w:val="00F57F81"/>
    <w:rsid w:val="00F606C5"/>
    <w:rsid w:val="00F606E1"/>
    <w:rsid w:val="00F6084A"/>
    <w:rsid w:val="00F60851"/>
    <w:rsid w:val="00F60D21"/>
    <w:rsid w:val="00F60DBA"/>
    <w:rsid w:val="00F610FD"/>
    <w:rsid w:val="00F612C1"/>
    <w:rsid w:val="00F615C3"/>
    <w:rsid w:val="00F615F3"/>
    <w:rsid w:val="00F61BBD"/>
    <w:rsid w:val="00F61CEB"/>
    <w:rsid w:val="00F61E31"/>
    <w:rsid w:val="00F61E62"/>
    <w:rsid w:val="00F62802"/>
    <w:rsid w:val="00F63059"/>
    <w:rsid w:val="00F63279"/>
    <w:rsid w:val="00F635C1"/>
    <w:rsid w:val="00F6376B"/>
    <w:rsid w:val="00F63C8B"/>
    <w:rsid w:val="00F63ED0"/>
    <w:rsid w:val="00F63EF9"/>
    <w:rsid w:val="00F63F6D"/>
    <w:rsid w:val="00F6403E"/>
    <w:rsid w:val="00F640BE"/>
    <w:rsid w:val="00F641F8"/>
    <w:rsid w:val="00F6437B"/>
    <w:rsid w:val="00F64652"/>
    <w:rsid w:val="00F64795"/>
    <w:rsid w:val="00F64807"/>
    <w:rsid w:val="00F64836"/>
    <w:rsid w:val="00F648D4"/>
    <w:rsid w:val="00F64937"/>
    <w:rsid w:val="00F64A5A"/>
    <w:rsid w:val="00F64A98"/>
    <w:rsid w:val="00F64B02"/>
    <w:rsid w:val="00F64B7E"/>
    <w:rsid w:val="00F64BB6"/>
    <w:rsid w:val="00F64BC3"/>
    <w:rsid w:val="00F64E0A"/>
    <w:rsid w:val="00F6515F"/>
    <w:rsid w:val="00F653B1"/>
    <w:rsid w:val="00F653BF"/>
    <w:rsid w:val="00F65443"/>
    <w:rsid w:val="00F655DB"/>
    <w:rsid w:val="00F657A3"/>
    <w:rsid w:val="00F658A7"/>
    <w:rsid w:val="00F65B85"/>
    <w:rsid w:val="00F65D5F"/>
    <w:rsid w:val="00F6614D"/>
    <w:rsid w:val="00F66363"/>
    <w:rsid w:val="00F6667D"/>
    <w:rsid w:val="00F66E6D"/>
    <w:rsid w:val="00F67056"/>
    <w:rsid w:val="00F670F7"/>
    <w:rsid w:val="00F6716F"/>
    <w:rsid w:val="00F671F5"/>
    <w:rsid w:val="00F6740E"/>
    <w:rsid w:val="00F67467"/>
    <w:rsid w:val="00F67671"/>
    <w:rsid w:val="00F676EA"/>
    <w:rsid w:val="00F67C00"/>
    <w:rsid w:val="00F70432"/>
    <w:rsid w:val="00F706DB"/>
    <w:rsid w:val="00F70E27"/>
    <w:rsid w:val="00F70EE8"/>
    <w:rsid w:val="00F70F2D"/>
    <w:rsid w:val="00F70FA0"/>
    <w:rsid w:val="00F7148E"/>
    <w:rsid w:val="00F718E2"/>
    <w:rsid w:val="00F7194A"/>
    <w:rsid w:val="00F71959"/>
    <w:rsid w:val="00F719E6"/>
    <w:rsid w:val="00F71A26"/>
    <w:rsid w:val="00F71B94"/>
    <w:rsid w:val="00F71E83"/>
    <w:rsid w:val="00F72012"/>
    <w:rsid w:val="00F72122"/>
    <w:rsid w:val="00F721D2"/>
    <w:rsid w:val="00F7281B"/>
    <w:rsid w:val="00F72A7A"/>
    <w:rsid w:val="00F72D0F"/>
    <w:rsid w:val="00F72E4E"/>
    <w:rsid w:val="00F72F02"/>
    <w:rsid w:val="00F730F4"/>
    <w:rsid w:val="00F73340"/>
    <w:rsid w:val="00F733F7"/>
    <w:rsid w:val="00F73625"/>
    <w:rsid w:val="00F736F2"/>
    <w:rsid w:val="00F73DBD"/>
    <w:rsid w:val="00F73E0B"/>
    <w:rsid w:val="00F73F7E"/>
    <w:rsid w:val="00F74297"/>
    <w:rsid w:val="00F7453D"/>
    <w:rsid w:val="00F7475C"/>
    <w:rsid w:val="00F7489A"/>
    <w:rsid w:val="00F7493A"/>
    <w:rsid w:val="00F7494C"/>
    <w:rsid w:val="00F74A67"/>
    <w:rsid w:val="00F74B9E"/>
    <w:rsid w:val="00F74E1F"/>
    <w:rsid w:val="00F7506B"/>
    <w:rsid w:val="00F75086"/>
    <w:rsid w:val="00F75472"/>
    <w:rsid w:val="00F75510"/>
    <w:rsid w:val="00F75A28"/>
    <w:rsid w:val="00F75DAC"/>
    <w:rsid w:val="00F75FC5"/>
    <w:rsid w:val="00F76472"/>
    <w:rsid w:val="00F766BD"/>
    <w:rsid w:val="00F7681E"/>
    <w:rsid w:val="00F76A12"/>
    <w:rsid w:val="00F76A2C"/>
    <w:rsid w:val="00F76A76"/>
    <w:rsid w:val="00F76A89"/>
    <w:rsid w:val="00F76FAA"/>
    <w:rsid w:val="00F770C3"/>
    <w:rsid w:val="00F772C8"/>
    <w:rsid w:val="00F773A0"/>
    <w:rsid w:val="00F77438"/>
    <w:rsid w:val="00F7751F"/>
    <w:rsid w:val="00F7757C"/>
    <w:rsid w:val="00F7782B"/>
    <w:rsid w:val="00F77870"/>
    <w:rsid w:val="00F778BF"/>
    <w:rsid w:val="00F779CB"/>
    <w:rsid w:val="00F77A1A"/>
    <w:rsid w:val="00F77C24"/>
    <w:rsid w:val="00F77C85"/>
    <w:rsid w:val="00F77D0D"/>
    <w:rsid w:val="00F77D4B"/>
    <w:rsid w:val="00F77EA0"/>
    <w:rsid w:val="00F77F42"/>
    <w:rsid w:val="00F803A6"/>
    <w:rsid w:val="00F804EB"/>
    <w:rsid w:val="00F80560"/>
    <w:rsid w:val="00F80678"/>
    <w:rsid w:val="00F80B6A"/>
    <w:rsid w:val="00F80CE3"/>
    <w:rsid w:val="00F80EBC"/>
    <w:rsid w:val="00F80EE7"/>
    <w:rsid w:val="00F8137D"/>
    <w:rsid w:val="00F817EC"/>
    <w:rsid w:val="00F81856"/>
    <w:rsid w:val="00F81989"/>
    <w:rsid w:val="00F81C3D"/>
    <w:rsid w:val="00F81D6B"/>
    <w:rsid w:val="00F81D74"/>
    <w:rsid w:val="00F81DA8"/>
    <w:rsid w:val="00F81E19"/>
    <w:rsid w:val="00F81FBB"/>
    <w:rsid w:val="00F81FD1"/>
    <w:rsid w:val="00F820FA"/>
    <w:rsid w:val="00F8223A"/>
    <w:rsid w:val="00F82406"/>
    <w:rsid w:val="00F82696"/>
    <w:rsid w:val="00F8276D"/>
    <w:rsid w:val="00F82C7C"/>
    <w:rsid w:val="00F82E4B"/>
    <w:rsid w:val="00F830A7"/>
    <w:rsid w:val="00F8322A"/>
    <w:rsid w:val="00F832AC"/>
    <w:rsid w:val="00F8392A"/>
    <w:rsid w:val="00F83A9F"/>
    <w:rsid w:val="00F83DFB"/>
    <w:rsid w:val="00F83EE7"/>
    <w:rsid w:val="00F84190"/>
    <w:rsid w:val="00F842EF"/>
    <w:rsid w:val="00F8431E"/>
    <w:rsid w:val="00F84421"/>
    <w:rsid w:val="00F8476B"/>
    <w:rsid w:val="00F848BD"/>
    <w:rsid w:val="00F84A17"/>
    <w:rsid w:val="00F84B58"/>
    <w:rsid w:val="00F84DD2"/>
    <w:rsid w:val="00F84E72"/>
    <w:rsid w:val="00F851B9"/>
    <w:rsid w:val="00F851BC"/>
    <w:rsid w:val="00F85568"/>
    <w:rsid w:val="00F85838"/>
    <w:rsid w:val="00F85B5E"/>
    <w:rsid w:val="00F85CE6"/>
    <w:rsid w:val="00F85EF7"/>
    <w:rsid w:val="00F862F5"/>
    <w:rsid w:val="00F862F6"/>
    <w:rsid w:val="00F8672C"/>
    <w:rsid w:val="00F867A9"/>
    <w:rsid w:val="00F8690D"/>
    <w:rsid w:val="00F86AB9"/>
    <w:rsid w:val="00F873AD"/>
    <w:rsid w:val="00F873D4"/>
    <w:rsid w:val="00F874C9"/>
    <w:rsid w:val="00F876AA"/>
    <w:rsid w:val="00F876BE"/>
    <w:rsid w:val="00F877F2"/>
    <w:rsid w:val="00F87927"/>
    <w:rsid w:val="00F87CC3"/>
    <w:rsid w:val="00F9027C"/>
    <w:rsid w:val="00F905F4"/>
    <w:rsid w:val="00F90D08"/>
    <w:rsid w:val="00F90F9B"/>
    <w:rsid w:val="00F90FAE"/>
    <w:rsid w:val="00F913B2"/>
    <w:rsid w:val="00F91453"/>
    <w:rsid w:val="00F9146C"/>
    <w:rsid w:val="00F91638"/>
    <w:rsid w:val="00F9186A"/>
    <w:rsid w:val="00F91B7A"/>
    <w:rsid w:val="00F91FB1"/>
    <w:rsid w:val="00F92126"/>
    <w:rsid w:val="00F9213E"/>
    <w:rsid w:val="00F921F1"/>
    <w:rsid w:val="00F92299"/>
    <w:rsid w:val="00F92363"/>
    <w:rsid w:val="00F92383"/>
    <w:rsid w:val="00F925BB"/>
    <w:rsid w:val="00F926DD"/>
    <w:rsid w:val="00F927B4"/>
    <w:rsid w:val="00F92B76"/>
    <w:rsid w:val="00F92D72"/>
    <w:rsid w:val="00F93161"/>
    <w:rsid w:val="00F93642"/>
    <w:rsid w:val="00F939BD"/>
    <w:rsid w:val="00F939CD"/>
    <w:rsid w:val="00F9418F"/>
    <w:rsid w:val="00F941D9"/>
    <w:rsid w:val="00F9425D"/>
    <w:rsid w:val="00F94385"/>
    <w:rsid w:val="00F94698"/>
    <w:rsid w:val="00F94706"/>
    <w:rsid w:val="00F94798"/>
    <w:rsid w:val="00F949C8"/>
    <w:rsid w:val="00F94A3D"/>
    <w:rsid w:val="00F94AF1"/>
    <w:rsid w:val="00F94B95"/>
    <w:rsid w:val="00F94C25"/>
    <w:rsid w:val="00F94E88"/>
    <w:rsid w:val="00F95332"/>
    <w:rsid w:val="00F9553C"/>
    <w:rsid w:val="00F9553E"/>
    <w:rsid w:val="00F95620"/>
    <w:rsid w:val="00F9567E"/>
    <w:rsid w:val="00F956F5"/>
    <w:rsid w:val="00F9584D"/>
    <w:rsid w:val="00F959BA"/>
    <w:rsid w:val="00F95A29"/>
    <w:rsid w:val="00F95A2B"/>
    <w:rsid w:val="00F95C39"/>
    <w:rsid w:val="00F95D5E"/>
    <w:rsid w:val="00F95F7D"/>
    <w:rsid w:val="00F9600F"/>
    <w:rsid w:val="00F96370"/>
    <w:rsid w:val="00F96A33"/>
    <w:rsid w:val="00F96CBD"/>
    <w:rsid w:val="00F97065"/>
    <w:rsid w:val="00F9708B"/>
    <w:rsid w:val="00F97357"/>
    <w:rsid w:val="00F973C7"/>
    <w:rsid w:val="00F973EB"/>
    <w:rsid w:val="00F974B0"/>
    <w:rsid w:val="00F97923"/>
    <w:rsid w:val="00F97A73"/>
    <w:rsid w:val="00F97AB4"/>
    <w:rsid w:val="00FA0043"/>
    <w:rsid w:val="00FA00E0"/>
    <w:rsid w:val="00FA01FD"/>
    <w:rsid w:val="00FA04C5"/>
    <w:rsid w:val="00FA06E9"/>
    <w:rsid w:val="00FA07CD"/>
    <w:rsid w:val="00FA08FD"/>
    <w:rsid w:val="00FA0AB3"/>
    <w:rsid w:val="00FA0C84"/>
    <w:rsid w:val="00FA0E96"/>
    <w:rsid w:val="00FA0EAF"/>
    <w:rsid w:val="00FA157D"/>
    <w:rsid w:val="00FA172D"/>
    <w:rsid w:val="00FA209E"/>
    <w:rsid w:val="00FA21D1"/>
    <w:rsid w:val="00FA21FB"/>
    <w:rsid w:val="00FA2869"/>
    <w:rsid w:val="00FA28D2"/>
    <w:rsid w:val="00FA290B"/>
    <w:rsid w:val="00FA2A75"/>
    <w:rsid w:val="00FA2D9B"/>
    <w:rsid w:val="00FA306C"/>
    <w:rsid w:val="00FA312E"/>
    <w:rsid w:val="00FA3362"/>
    <w:rsid w:val="00FA3389"/>
    <w:rsid w:val="00FA36F0"/>
    <w:rsid w:val="00FA375A"/>
    <w:rsid w:val="00FA39A2"/>
    <w:rsid w:val="00FA3C27"/>
    <w:rsid w:val="00FA3C7E"/>
    <w:rsid w:val="00FA3CB9"/>
    <w:rsid w:val="00FA3E6F"/>
    <w:rsid w:val="00FA40F0"/>
    <w:rsid w:val="00FA41AE"/>
    <w:rsid w:val="00FA43F4"/>
    <w:rsid w:val="00FA44EE"/>
    <w:rsid w:val="00FA4BB1"/>
    <w:rsid w:val="00FA4DAA"/>
    <w:rsid w:val="00FA4F9E"/>
    <w:rsid w:val="00FA5088"/>
    <w:rsid w:val="00FA52EA"/>
    <w:rsid w:val="00FA53C5"/>
    <w:rsid w:val="00FA5844"/>
    <w:rsid w:val="00FA5909"/>
    <w:rsid w:val="00FA5C6A"/>
    <w:rsid w:val="00FA604D"/>
    <w:rsid w:val="00FA6080"/>
    <w:rsid w:val="00FA617E"/>
    <w:rsid w:val="00FA6468"/>
    <w:rsid w:val="00FA64E0"/>
    <w:rsid w:val="00FA660D"/>
    <w:rsid w:val="00FA661C"/>
    <w:rsid w:val="00FA6855"/>
    <w:rsid w:val="00FA688B"/>
    <w:rsid w:val="00FA689D"/>
    <w:rsid w:val="00FA6AA7"/>
    <w:rsid w:val="00FA6BA8"/>
    <w:rsid w:val="00FA6D73"/>
    <w:rsid w:val="00FA6FC7"/>
    <w:rsid w:val="00FA70B3"/>
    <w:rsid w:val="00FA738A"/>
    <w:rsid w:val="00FA7573"/>
    <w:rsid w:val="00FA76F5"/>
    <w:rsid w:val="00FA775E"/>
    <w:rsid w:val="00FA7CA2"/>
    <w:rsid w:val="00FA7EB1"/>
    <w:rsid w:val="00FB01B3"/>
    <w:rsid w:val="00FB0383"/>
    <w:rsid w:val="00FB06F2"/>
    <w:rsid w:val="00FB0732"/>
    <w:rsid w:val="00FB08E5"/>
    <w:rsid w:val="00FB08FF"/>
    <w:rsid w:val="00FB09D6"/>
    <w:rsid w:val="00FB0AC2"/>
    <w:rsid w:val="00FB0AD0"/>
    <w:rsid w:val="00FB0B7A"/>
    <w:rsid w:val="00FB0E2D"/>
    <w:rsid w:val="00FB0E84"/>
    <w:rsid w:val="00FB11EB"/>
    <w:rsid w:val="00FB164C"/>
    <w:rsid w:val="00FB188B"/>
    <w:rsid w:val="00FB1A8C"/>
    <w:rsid w:val="00FB1D8B"/>
    <w:rsid w:val="00FB1F0E"/>
    <w:rsid w:val="00FB2138"/>
    <w:rsid w:val="00FB222B"/>
    <w:rsid w:val="00FB24C4"/>
    <w:rsid w:val="00FB2C54"/>
    <w:rsid w:val="00FB3001"/>
    <w:rsid w:val="00FB3139"/>
    <w:rsid w:val="00FB31AC"/>
    <w:rsid w:val="00FB31F3"/>
    <w:rsid w:val="00FB334F"/>
    <w:rsid w:val="00FB338C"/>
    <w:rsid w:val="00FB3654"/>
    <w:rsid w:val="00FB3689"/>
    <w:rsid w:val="00FB3E98"/>
    <w:rsid w:val="00FB4035"/>
    <w:rsid w:val="00FB413A"/>
    <w:rsid w:val="00FB41EA"/>
    <w:rsid w:val="00FB443B"/>
    <w:rsid w:val="00FB46D5"/>
    <w:rsid w:val="00FB4893"/>
    <w:rsid w:val="00FB4A41"/>
    <w:rsid w:val="00FB4A45"/>
    <w:rsid w:val="00FB4CE3"/>
    <w:rsid w:val="00FB4FB3"/>
    <w:rsid w:val="00FB50B1"/>
    <w:rsid w:val="00FB5101"/>
    <w:rsid w:val="00FB5124"/>
    <w:rsid w:val="00FB5266"/>
    <w:rsid w:val="00FB537C"/>
    <w:rsid w:val="00FB5490"/>
    <w:rsid w:val="00FB5550"/>
    <w:rsid w:val="00FB5768"/>
    <w:rsid w:val="00FB57E7"/>
    <w:rsid w:val="00FB5843"/>
    <w:rsid w:val="00FB58BC"/>
    <w:rsid w:val="00FB5950"/>
    <w:rsid w:val="00FB5C7D"/>
    <w:rsid w:val="00FB5D9A"/>
    <w:rsid w:val="00FB5E21"/>
    <w:rsid w:val="00FB65F0"/>
    <w:rsid w:val="00FB6754"/>
    <w:rsid w:val="00FB6758"/>
    <w:rsid w:val="00FB6E48"/>
    <w:rsid w:val="00FB744A"/>
    <w:rsid w:val="00FB75C2"/>
    <w:rsid w:val="00FB760F"/>
    <w:rsid w:val="00FB7B00"/>
    <w:rsid w:val="00FB7B73"/>
    <w:rsid w:val="00FB7EB0"/>
    <w:rsid w:val="00FC0445"/>
    <w:rsid w:val="00FC0517"/>
    <w:rsid w:val="00FC060D"/>
    <w:rsid w:val="00FC06A3"/>
    <w:rsid w:val="00FC0829"/>
    <w:rsid w:val="00FC0920"/>
    <w:rsid w:val="00FC0985"/>
    <w:rsid w:val="00FC0B45"/>
    <w:rsid w:val="00FC0D18"/>
    <w:rsid w:val="00FC116C"/>
    <w:rsid w:val="00FC1261"/>
    <w:rsid w:val="00FC14E4"/>
    <w:rsid w:val="00FC171A"/>
    <w:rsid w:val="00FC1F24"/>
    <w:rsid w:val="00FC1FAA"/>
    <w:rsid w:val="00FC2466"/>
    <w:rsid w:val="00FC2942"/>
    <w:rsid w:val="00FC2F72"/>
    <w:rsid w:val="00FC2FC9"/>
    <w:rsid w:val="00FC321C"/>
    <w:rsid w:val="00FC332C"/>
    <w:rsid w:val="00FC33E8"/>
    <w:rsid w:val="00FC351F"/>
    <w:rsid w:val="00FC3982"/>
    <w:rsid w:val="00FC3B63"/>
    <w:rsid w:val="00FC3DD8"/>
    <w:rsid w:val="00FC4483"/>
    <w:rsid w:val="00FC49DD"/>
    <w:rsid w:val="00FC4B24"/>
    <w:rsid w:val="00FC4CD7"/>
    <w:rsid w:val="00FC4D07"/>
    <w:rsid w:val="00FC4F23"/>
    <w:rsid w:val="00FC5151"/>
    <w:rsid w:val="00FC51F4"/>
    <w:rsid w:val="00FC52E6"/>
    <w:rsid w:val="00FC53F0"/>
    <w:rsid w:val="00FC55CE"/>
    <w:rsid w:val="00FC56CB"/>
    <w:rsid w:val="00FC5BDA"/>
    <w:rsid w:val="00FC5D6E"/>
    <w:rsid w:val="00FC5F52"/>
    <w:rsid w:val="00FC6698"/>
    <w:rsid w:val="00FC6BCD"/>
    <w:rsid w:val="00FC6ED6"/>
    <w:rsid w:val="00FC7256"/>
    <w:rsid w:val="00FC7430"/>
    <w:rsid w:val="00FC7649"/>
    <w:rsid w:val="00FC783B"/>
    <w:rsid w:val="00FC787D"/>
    <w:rsid w:val="00FC7B71"/>
    <w:rsid w:val="00FC7CB2"/>
    <w:rsid w:val="00FC7D26"/>
    <w:rsid w:val="00FC7E49"/>
    <w:rsid w:val="00FC7ED9"/>
    <w:rsid w:val="00FC7F2D"/>
    <w:rsid w:val="00FD0345"/>
    <w:rsid w:val="00FD06E3"/>
    <w:rsid w:val="00FD07B5"/>
    <w:rsid w:val="00FD0EEB"/>
    <w:rsid w:val="00FD10AA"/>
    <w:rsid w:val="00FD11E4"/>
    <w:rsid w:val="00FD14C7"/>
    <w:rsid w:val="00FD1905"/>
    <w:rsid w:val="00FD194F"/>
    <w:rsid w:val="00FD1D5C"/>
    <w:rsid w:val="00FD1D99"/>
    <w:rsid w:val="00FD1DF6"/>
    <w:rsid w:val="00FD1E17"/>
    <w:rsid w:val="00FD1E75"/>
    <w:rsid w:val="00FD2025"/>
    <w:rsid w:val="00FD2140"/>
    <w:rsid w:val="00FD2274"/>
    <w:rsid w:val="00FD2603"/>
    <w:rsid w:val="00FD2654"/>
    <w:rsid w:val="00FD27D5"/>
    <w:rsid w:val="00FD280D"/>
    <w:rsid w:val="00FD2C83"/>
    <w:rsid w:val="00FD2EDC"/>
    <w:rsid w:val="00FD32E6"/>
    <w:rsid w:val="00FD33FE"/>
    <w:rsid w:val="00FD342A"/>
    <w:rsid w:val="00FD3541"/>
    <w:rsid w:val="00FD3C3B"/>
    <w:rsid w:val="00FD3C6A"/>
    <w:rsid w:val="00FD3C85"/>
    <w:rsid w:val="00FD3CE8"/>
    <w:rsid w:val="00FD42D9"/>
    <w:rsid w:val="00FD45D6"/>
    <w:rsid w:val="00FD4601"/>
    <w:rsid w:val="00FD46D6"/>
    <w:rsid w:val="00FD4C6F"/>
    <w:rsid w:val="00FD4EE9"/>
    <w:rsid w:val="00FD511E"/>
    <w:rsid w:val="00FD5147"/>
    <w:rsid w:val="00FD51FD"/>
    <w:rsid w:val="00FD5591"/>
    <w:rsid w:val="00FD55C8"/>
    <w:rsid w:val="00FD5850"/>
    <w:rsid w:val="00FD58D6"/>
    <w:rsid w:val="00FD5995"/>
    <w:rsid w:val="00FD59D1"/>
    <w:rsid w:val="00FD5BF9"/>
    <w:rsid w:val="00FD5F27"/>
    <w:rsid w:val="00FD5F9F"/>
    <w:rsid w:val="00FD6048"/>
    <w:rsid w:val="00FD655C"/>
    <w:rsid w:val="00FD65E9"/>
    <w:rsid w:val="00FD67BA"/>
    <w:rsid w:val="00FD696A"/>
    <w:rsid w:val="00FD6976"/>
    <w:rsid w:val="00FD6B62"/>
    <w:rsid w:val="00FD6ED1"/>
    <w:rsid w:val="00FD6F0A"/>
    <w:rsid w:val="00FD6FCA"/>
    <w:rsid w:val="00FD71A9"/>
    <w:rsid w:val="00FD737A"/>
    <w:rsid w:val="00FD73A4"/>
    <w:rsid w:val="00FD75CC"/>
    <w:rsid w:val="00FD766E"/>
    <w:rsid w:val="00FD7BD7"/>
    <w:rsid w:val="00FD7C5C"/>
    <w:rsid w:val="00FD7EBA"/>
    <w:rsid w:val="00FD7F63"/>
    <w:rsid w:val="00FD7FD2"/>
    <w:rsid w:val="00FE0256"/>
    <w:rsid w:val="00FE05BD"/>
    <w:rsid w:val="00FE07A0"/>
    <w:rsid w:val="00FE0B0B"/>
    <w:rsid w:val="00FE0BC4"/>
    <w:rsid w:val="00FE0E47"/>
    <w:rsid w:val="00FE11E4"/>
    <w:rsid w:val="00FE126A"/>
    <w:rsid w:val="00FE12CA"/>
    <w:rsid w:val="00FE13D6"/>
    <w:rsid w:val="00FE152D"/>
    <w:rsid w:val="00FE1648"/>
    <w:rsid w:val="00FE168B"/>
    <w:rsid w:val="00FE168E"/>
    <w:rsid w:val="00FE1837"/>
    <w:rsid w:val="00FE1CE7"/>
    <w:rsid w:val="00FE1D6B"/>
    <w:rsid w:val="00FE1DC0"/>
    <w:rsid w:val="00FE1E30"/>
    <w:rsid w:val="00FE1FF9"/>
    <w:rsid w:val="00FE2943"/>
    <w:rsid w:val="00FE2A4A"/>
    <w:rsid w:val="00FE2E39"/>
    <w:rsid w:val="00FE31DD"/>
    <w:rsid w:val="00FE35EC"/>
    <w:rsid w:val="00FE3A32"/>
    <w:rsid w:val="00FE3CAB"/>
    <w:rsid w:val="00FE3F69"/>
    <w:rsid w:val="00FE4089"/>
    <w:rsid w:val="00FE418E"/>
    <w:rsid w:val="00FE43E8"/>
    <w:rsid w:val="00FE4400"/>
    <w:rsid w:val="00FE44D6"/>
    <w:rsid w:val="00FE4711"/>
    <w:rsid w:val="00FE4B27"/>
    <w:rsid w:val="00FE4F7C"/>
    <w:rsid w:val="00FE51EB"/>
    <w:rsid w:val="00FE52E1"/>
    <w:rsid w:val="00FE55A5"/>
    <w:rsid w:val="00FE55D2"/>
    <w:rsid w:val="00FE5807"/>
    <w:rsid w:val="00FE59F0"/>
    <w:rsid w:val="00FE5C03"/>
    <w:rsid w:val="00FE5DE6"/>
    <w:rsid w:val="00FE5EC5"/>
    <w:rsid w:val="00FE63E1"/>
    <w:rsid w:val="00FE649C"/>
    <w:rsid w:val="00FE64C8"/>
    <w:rsid w:val="00FE65FF"/>
    <w:rsid w:val="00FE6B0C"/>
    <w:rsid w:val="00FE6C1C"/>
    <w:rsid w:val="00FE6D72"/>
    <w:rsid w:val="00FE7200"/>
    <w:rsid w:val="00FE7211"/>
    <w:rsid w:val="00FE74C2"/>
    <w:rsid w:val="00FE791A"/>
    <w:rsid w:val="00FE79A0"/>
    <w:rsid w:val="00FE7AD5"/>
    <w:rsid w:val="00FE7D3A"/>
    <w:rsid w:val="00FE7E8A"/>
    <w:rsid w:val="00FE7E9A"/>
    <w:rsid w:val="00FF0776"/>
    <w:rsid w:val="00FF08F5"/>
    <w:rsid w:val="00FF0A45"/>
    <w:rsid w:val="00FF0B10"/>
    <w:rsid w:val="00FF0C9F"/>
    <w:rsid w:val="00FF0DF3"/>
    <w:rsid w:val="00FF0E6B"/>
    <w:rsid w:val="00FF0E88"/>
    <w:rsid w:val="00FF12A8"/>
    <w:rsid w:val="00FF1450"/>
    <w:rsid w:val="00FF15DF"/>
    <w:rsid w:val="00FF1650"/>
    <w:rsid w:val="00FF16EB"/>
    <w:rsid w:val="00FF194D"/>
    <w:rsid w:val="00FF1B2A"/>
    <w:rsid w:val="00FF1CD0"/>
    <w:rsid w:val="00FF22F4"/>
    <w:rsid w:val="00FF23E3"/>
    <w:rsid w:val="00FF25EB"/>
    <w:rsid w:val="00FF2699"/>
    <w:rsid w:val="00FF2A2B"/>
    <w:rsid w:val="00FF2C33"/>
    <w:rsid w:val="00FF2EE1"/>
    <w:rsid w:val="00FF30AF"/>
    <w:rsid w:val="00FF3226"/>
    <w:rsid w:val="00FF385B"/>
    <w:rsid w:val="00FF39C7"/>
    <w:rsid w:val="00FF3D8C"/>
    <w:rsid w:val="00FF3F6F"/>
    <w:rsid w:val="00FF4209"/>
    <w:rsid w:val="00FF43D0"/>
    <w:rsid w:val="00FF49B5"/>
    <w:rsid w:val="00FF4DD9"/>
    <w:rsid w:val="00FF50A3"/>
    <w:rsid w:val="00FF5139"/>
    <w:rsid w:val="00FF57B4"/>
    <w:rsid w:val="00FF5A8F"/>
    <w:rsid w:val="00FF5B24"/>
    <w:rsid w:val="00FF5C6D"/>
    <w:rsid w:val="00FF621A"/>
    <w:rsid w:val="00FF6445"/>
    <w:rsid w:val="00FF6575"/>
    <w:rsid w:val="00FF65B2"/>
    <w:rsid w:val="00FF6659"/>
    <w:rsid w:val="00FF6676"/>
    <w:rsid w:val="00FF6907"/>
    <w:rsid w:val="00FF6E06"/>
    <w:rsid w:val="00FF6F79"/>
    <w:rsid w:val="00FF782C"/>
    <w:rsid w:val="00FF787F"/>
    <w:rsid w:val="00FF7B7C"/>
    <w:rsid w:val="00FF7D5E"/>
    <w:rsid w:val="010838AA"/>
    <w:rsid w:val="010CFCCE"/>
    <w:rsid w:val="012BA3FC"/>
    <w:rsid w:val="018B240E"/>
    <w:rsid w:val="01F9208D"/>
    <w:rsid w:val="01FC4B3E"/>
    <w:rsid w:val="028F578F"/>
    <w:rsid w:val="0293866F"/>
    <w:rsid w:val="02AEBD5F"/>
    <w:rsid w:val="02D44E7E"/>
    <w:rsid w:val="0306E264"/>
    <w:rsid w:val="035D150C"/>
    <w:rsid w:val="04268356"/>
    <w:rsid w:val="04689308"/>
    <w:rsid w:val="0546879D"/>
    <w:rsid w:val="05586877"/>
    <w:rsid w:val="059DA34A"/>
    <w:rsid w:val="05B717DE"/>
    <w:rsid w:val="05C564BA"/>
    <w:rsid w:val="05FC687D"/>
    <w:rsid w:val="060A28D8"/>
    <w:rsid w:val="068BA908"/>
    <w:rsid w:val="06CB019C"/>
    <w:rsid w:val="06E9B96D"/>
    <w:rsid w:val="06F19E8A"/>
    <w:rsid w:val="07184A86"/>
    <w:rsid w:val="0721E93F"/>
    <w:rsid w:val="072E91C8"/>
    <w:rsid w:val="07B910CD"/>
    <w:rsid w:val="07B991F0"/>
    <w:rsid w:val="07D699E0"/>
    <w:rsid w:val="080F7BB5"/>
    <w:rsid w:val="087AD253"/>
    <w:rsid w:val="08CEAB51"/>
    <w:rsid w:val="08FDFF3D"/>
    <w:rsid w:val="092087BF"/>
    <w:rsid w:val="0943CD6B"/>
    <w:rsid w:val="0999D7F3"/>
    <w:rsid w:val="0A5C791C"/>
    <w:rsid w:val="0AABC0F1"/>
    <w:rsid w:val="0AE6B16F"/>
    <w:rsid w:val="0AF60078"/>
    <w:rsid w:val="0B04285E"/>
    <w:rsid w:val="0B0BCB85"/>
    <w:rsid w:val="0B0F715F"/>
    <w:rsid w:val="0B15FF7F"/>
    <w:rsid w:val="0B22F68C"/>
    <w:rsid w:val="0B3FF93A"/>
    <w:rsid w:val="0B4AFBE0"/>
    <w:rsid w:val="0B7136D9"/>
    <w:rsid w:val="0C466262"/>
    <w:rsid w:val="0C95A3BC"/>
    <w:rsid w:val="0CCF8031"/>
    <w:rsid w:val="0D299F8F"/>
    <w:rsid w:val="0D8C00FD"/>
    <w:rsid w:val="0D9FDEBD"/>
    <w:rsid w:val="0E1AA9A0"/>
    <w:rsid w:val="0E4A5896"/>
    <w:rsid w:val="0E9425F5"/>
    <w:rsid w:val="0ED0CF89"/>
    <w:rsid w:val="0F454BE6"/>
    <w:rsid w:val="0F4A41B6"/>
    <w:rsid w:val="0F600FA4"/>
    <w:rsid w:val="0F7E9A9C"/>
    <w:rsid w:val="0F8EAB55"/>
    <w:rsid w:val="0FBE956A"/>
    <w:rsid w:val="0FC105AC"/>
    <w:rsid w:val="0FC16BBE"/>
    <w:rsid w:val="1008F1F3"/>
    <w:rsid w:val="100A4392"/>
    <w:rsid w:val="1061C58E"/>
    <w:rsid w:val="1091D865"/>
    <w:rsid w:val="1092FFDF"/>
    <w:rsid w:val="10E8D49E"/>
    <w:rsid w:val="117583DE"/>
    <w:rsid w:val="11A3C163"/>
    <w:rsid w:val="11ACB467"/>
    <w:rsid w:val="1205BDBA"/>
    <w:rsid w:val="12114018"/>
    <w:rsid w:val="12570448"/>
    <w:rsid w:val="128075F5"/>
    <w:rsid w:val="12B07F94"/>
    <w:rsid w:val="12D78317"/>
    <w:rsid w:val="12DAEB85"/>
    <w:rsid w:val="12E327CD"/>
    <w:rsid w:val="12FC1D59"/>
    <w:rsid w:val="13216026"/>
    <w:rsid w:val="13D6CB79"/>
    <w:rsid w:val="144AE1C1"/>
    <w:rsid w:val="14C20BC9"/>
    <w:rsid w:val="14E9F909"/>
    <w:rsid w:val="15271B81"/>
    <w:rsid w:val="153D45C9"/>
    <w:rsid w:val="1551DF85"/>
    <w:rsid w:val="15D3C9F5"/>
    <w:rsid w:val="15F3D53F"/>
    <w:rsid w:val="1610C208"/>
    <w:rsid w:val="16474680"/>
    <w:rsid w:val="16675D47"/>
    <w:rsid w:val="1687DAB7"/>
    <w:rsid w:val="16DA37F2"/>
    <w:rsid w:val="16E6A8C9"/>
    <w:rsid w:val="1720B3ED"/>
    <w:rsid w:val="17261C23"/>
    <w:rsid w:val="1765FD4B"/>
    <w:rsid w:val="177C29FF"/>
    <w:rsid w:val="177F8E96"/>
    <w:rsid w:val="17ACA894"/>
    <w:rsid w:val="181A1511"/>
    <w:rsid w:val="18285A90"/>
    <w:rsid w:val="1882F8C9"/>
    <w:rsid w:val="18875538"/>
    <w:rsid w:val="18AEE3D7"/>
    <w:rsid w:val="18DC142A"/>
    <w:rsid w:val="193A00A5"/>
    <w:rsid w:val="1A4894E6"/>
    <w:rsid w:val="1A50B442"/>
    <w:rsid w:val="1A6C7BA6"/>
    <w:rsid w:val="1A8359F3"/>
    <w:rsid w:val="1AB332D9"/>
    <w:rsid w:val="1AC1E98D"/>
    <w:rsid w:val="1AD8A877"/>
    <w:rsid w:val="1AF2A500"/>
    <w:rsid w:val="1B31F719"/>
    <w:rsid w:val="1B6D6CEB"/>
    <w:rsid w:val="1B76770D"/>
    <w:rsid w:val="1BB9B9E8"/>
    <w:rsid w:val="1BC32B66"/>
    <w:rsid w:val="1BDA59D7"/>
    <w:rsid w:val="1C1BD448"/>
    <w:rsid w:val="1C6344C2"/>
    <w:rsid w:val="1C685751"/>
    <w:rsid w:val="1C7F7B3E"/>
    <w:rsid w:val="1C9C7F97"/>
    <w:rsid w:val="1CAEEFD9"/>
    <w:rsid w:val="1CD6F94A"/>
    <w:rsid w:val="1D1F19C5"/>
    <w:rsid w:val="1DF8784B"/>
    <w:rsid w:val="1E072042"/>
    <w:rsid w:val="1E1D5347"/>
    <w:rsid w:val="1E8C81E0"/>
    <w:rsid w:val="1EB7C9E3"/>
    <w:rsid w:val="1ED383B5"/>
    <w:rsid w:val="1F26E6E0"/>
    <w:rsid w:val="1F6ABA83"/>
    <w:rsid w:val="1F8FA300"/>
    <w:rsid w:val="1FE4B7FB"/>
    <w:rsid w:val="1FFE4F97"/>
    <w:rsid w:val="2042C8A3"/>
    <w:rsid w:val="20821D15"/>
    <w:rsid w:val="20879772"/>
    <w:rsid w:val="20A86C23"/>
    <w:rsid w:val="20F0C6AE"/>
    <w:rsid w:val="21026727"/>
    <w:rsid w:val="21046DC6"/>
    <w:rsid w:val="2117799D"/>
    <w:rsid w:val="21B25119"/>
    <w:rsid w:val="21DE0C3D"/>
    <w:rsid w:val="221080DC"/>
    <w:rsid w:val="223C1D12"/>
    <w:rsid w:val="224153E2"/>
    <w:rsid w:val="225FA7EE"/>
    <w:rsid w:val="2270424A"/>
    <w:rsid w:val="22D0EC5E"/>
    <w:rsid w:val="22E2C1ED"/>
    <w:rsid w:val="231E1F25"/>
    <w:rsid w:val="2405DD02"/>
    <w:rsid w:val="24483D61"/>
    <w:rsid w:val="2465D67B"/>
    <w:rsid w:val="247A4AD4"/>
    <w:rsid w:val="24B4433A"/>
    <w:rsid w:val="24F7B494"/>
    <w:rsid w:val="2515ACFF"/>
    <w:rsid w:val="25247268"/>
    <w:rsid w:val="259B3839"/>
    <w:rsid w:val="25BF357B"/>
    <w:rsid w:val="26095F36"/>
    <w:rsid w:val="263BAD79"/>
    <w:rsid w:val="266A2891"/>
    <w:rsid w:val="26CB2341"/>
    <w:rsid w:val="26F26608"/>
    <w:rsid w:val="270C9AB5"/>
    <w:rsid w:val="2778F9E7"/>
    <w:rsid w:val="278E5CDD"/>
    <w:rsid w:val="28188729"/>
    <w:rsid w:val="285F2010"/>
    <w:rsid w:val="2866BA9C"/>
    <w:rsid w:val="28F5D9F4"/>
    <w:rsid w:val="2927AC27"/>
    <w:rsid w:val="2940466B"/>
    <w:rsid w:val="296B288E"/>
    <w:rsid w:val="2990B6B5"/>
    <w:rsid w:val="29C0F80B"/>
    <w:rsid w:val="2A333F15"/>
    <w:rsid w:val="2A968865"/>
    <w:rsid w:val="2AEF161D"/>
    <w:rsid w:val="2AF5F315"/>
    <w:rsid w:val="2B634D84"/>
    <w:rsid w:val="2B705722"/>
    <w:rsid w:val="2B879ED2"/>
    <w:rsid w:val="2C4B3A82"/>
    <w:rsid w:val="2C6BBE5C"/>
    <w:rsid w:val="2C861F46"/>
    <w:rsid w:val="2C955827"/>
    <w:rsid w:val="2CBF807A"/>
    <w:rsid w:val="2D8D6D1B"/>
    <w:rsid w:val="2DC0A9E8"/>
    <w:rsid w:val="2DEC04A9"/>
    <w:rsid w:val="2E2EFE74"/>
    <w:rsid w:val="2F01299A"/>
    <w:rsid w:val="2F7E9CE9"/>
    <w:rsid w:val="2F953590"/>
    <w:rsid w:val="2FDE7DAF"/>
    <w:rsid w:val="2FE2C3C9"/>
    <w:rsid w:val="2FFB2F13"/>
    <w:rsid w:val="305F12A9"/>
    <w:rsid w:val="30B112C1"/>
    <w:rsid w:val="310F063D"/>
    <w:rsid w:val="312E267E"/>
    <w:rsid w:val="31735DA4"/>
    <w:rsid w:val="3196352B"/>
    <w:rsid w:val="31A133FA"/>
    <w:rsid w:val="31DDEE1E"/>
    <w:rsid w:val="31FAF9FE"/>
    <w:rsid w:val="32DFD39E"/>
    <w:rsid w:val="32F036C6"/>
    <w:rsid w:val="333A1878"/>
    <w:rsid w:val="33C0BDC9"/>
    <w:rsid w:val="34A159FE"/>
    <w:rsid w:val="34DC2EBB"/>
    <w:rsid w:val="3564E5AD"/>
    <w:rsid w:val="358F8A21"/>
    <w:rsid w:val="35A73324"/>
    <w:rsid w:val="35CD730B"/>
    <w:rsid w:val="361DD8B5"/>
    <w:rsid w:val="36B4D5B4"/>
    <w:rsid w:val="36D4D2FC"/>
    <w:rsid w:val="36DAB0F4"/>
    <w:rsid w:val="36F0B128"/>
    <w:rsid w:val="3703BCFF"/>
    <w:rsid w:val="371EEFA8"/>
    <w:rsid w:val="37C414CD"/>
    <w:rsid w:val="38246BDB"/>
    <w:rsid w:val="389ED9F7"/>
    <w:rsid w:val="38FA35C1"/>
    <w:rsid w:val="397C9BBB"/>
    <w:rsid w:val="398767E3"/>
    <w:rsid w:val="399A8975"/>
    <w:rsid w:val="39CBA66D"/>
    <w:rsid w:val="39E70376"/>
    <w:rsid w:val="39FB6283"/>
    <w:rsid w:val="3AA9DE1D"/>
    <w:rsid w:val="3AD0CC68"/>
    <w:rsid w:val="3B00B2E6"/>
    <w:rsid w:val="3B2592A1"/>
    <w:rsid w:val="3B54DF08"/>
    <w:rsid w:val="3BF3705B"/>
    <w:rsid w:val="3C577C97"/>
    <w:rsid w:val="3C95480C"/>
    <w:rsid w:val="3CF04D77"/>
    <w:rsid w:val="3D2625A1"/>
    <w:rsid w:val="3D9D27E5"/>
    <w:rsid w:val="3DC48B69"/>
    <w:rsid w:val="3DC53CA3"/>
    <w:rsid w:val="3E0C7972"/>
    <w:rsid w:val="3E41701E"/>
    <w:rsid w:val="3E687953"/>
    <w:rsid w:val="3E771613"/>
    <w:rsid w:val="3EE72E37"/>
    <w:rsid w:val="3F9900A6"/>
    <w:rsid w:val="3FF777A3"/>
    <w:rsid w:val="40143F70"/>
    <w:rsid w:val="402BB925"/>
    <w:rsid w:val="411591B1"/>
    <w:rsid w:val="413F111D"/>
    <w:rsid w:val="4152852F"/>
    <w:rsid w:val="41581640"/>
    <w:rsid w:val="41AD319F"/>
    <w:rsid w:val="42920BEF"/>
    <w:rsid w:val="42B65D4E"/>
    <w:rsid w:val="42BB269E"/>
    <w:rsid w:val="42C6F347"/>
    <w:rsid w:val="42D1D058"/>
    <w:rsid w:val="42F23BBA"/>
    <w:rsid w:val="430644AB"/>
    <w:rsid w:val="43A503CD"/>
    <w:rsid w:val="440D03EF"/>
    <w:rsid w:val="445B3AC9"/>
    <w:rsid w:val="449D7D92"/>
    <w:rsid w:val="44C6D630"/>
    <w:rsid w:val="4505833C"/>
    <w:rsid w:val="4511098D"/>
    <w:rsid w:val="4556007C"/>
    <w:rsid w:val="45580F0F"/>
    <w:rsid w:val="456D141F"/>
    <w:rsid w:val="4578BF50"/>
    <w:rsid w:val="45861688"/>
    <w:rsid w:val="45D73EF4"/>
    <w:rsid w:val="464EDDF5"/>
    <w:rsid w:val="46852316"/>
    <w:rsid w:val="4691E831"/>
    <w:rsid w:val="46AFD9DE"/>
    <w:rsid w:val="46CB995F"/>
    <w:rsid w:val="474DAC91"/>
    <w:rsid w:val="47A0DA4A"/>
    <w:rsid w:val="47B031CD"/>
    <w:rsid w:val="47B8ACA3"/>
    <w:rsid w:val="47D55C86"/>
    <w:rsid w:val="48035627"/>
    <w:rsid w:val="48D22634"/>
    <w:rsid w:val="48F36419"/>
    <w:rsid w:val="48FFB62C"/>
    <w:rsid w:val="49188748"/>
    <w:rsid w:val="4987EFF6"/>
    <w:rsid w:val="49B6E1C3"/>
    <w:rsid w:val="49CA8905"/>
    <w:rsid w:val="4A01CCFF"/>
    <w:rsid w:val="4A8FECB5"/>
    <w:rsid w:val="4AFE944F"/>
    <w:rsid w:val="4B091020"/>
    <w:rsid w:val="4B1CD759"/>
    <w:rsid w:val="4B1E1435"/>
    <w:rsid w:val="4B2441A4"/>
    <w:rsid w:val="4B7B26E6"/>
    <w:rsid w:val="4BAC7F45"/>
    <w:rsid w:val="4C11CB6B"/>
    <w:rsid w:val="4CC2C27E"/>
    <w:rsid w:val="4CCAC6C9"/>
    <w:rsid w:val="4CD07180"/>
    <w:rsid w:val="4D5A4F28"/>
    <w:rsid w:val="4E05083F"/>
    <w:rsid w:val="4E8B2BBA"/>
    <w:rsid w:val="4EE154A7"/>
    <w:rsid w:val="4F56D9D3"/>
    <w:rsid w:val="4F66A1AC"/>
    <w:rsid w:val="4F680272"/>
    <w:rsid w:val="4FEB44ED"/>
    <w:rsid w:val="501D2214"/>
    <w:rsid w:val="5098BDBB"/>
    <w:rsid w:val="50A6F5AA"/>
    <w:rsid w:val="50DDCA8F"/>
    <w:rsid w:val="50FA97BA"/>
    <w:rsid w:val="51407890"/>
    <w:rsid w:val="51585FEF"/>
    <w:rsid w:val="51618727"/>
    <w:rsid w:val="516973B2"/>
    <w:rsid w:val="5181CB21"/>
    <w:rsid w:val="51870316"/>
    <w:rsid w:val="526AD263"/>
    <w:rsid w:val="52EC80E8"/>
    <w:rsid w:val="533C29B7"/>
    <w:rsid w:val="536532F4"/>
    <w:rsid w:val="53A839E2"/>
    <w:rsid w:val="53E091E7"/>
    <w:rsid w:val="54131FC5"/>
    <w:rsid w:val="543F52FE"/>
    <w:rsid w:val="547B3D56"/>
    <w:rsid w:val="549EBCE5"/>
    <w:rsid w:val="54AD4C5B"/>
    <w:rsid w:val="54B5F0DB"/>
    <w:rsid w:val="54EFB299"/>
    <w:rsid w:val="5590BA6B"/>
    <w:rsid w:val="559821B6"/>
    <w:rsid w:val="559C2D75"/>
    <w:rsid w:val="56206D9C"/>
    <w:rsid w:val="5694BFED"/>
    <w:rsid w:val="56CA4FD3"/>
    <w:rsid w:val="56E6DBCC"/>
    <w:rsid w:val="5748CF07"/>
    <w:rsid w:val="5818192B"/>
    <w:rsid w:val="5826503B"/>
    <w:rsid w:val="5912C421"/>
    <w:rsid w:val="592AF05F"/>
    <w:rsid w:val="5934C3CF"/>
    <w:rsid w:val="5949E1A6"/>
    <w:rsid w:val="59DBD147"/>
    <w:rsid w:val="5A0371F4"/>
    <w:rsid w:val="5A046E13"/>
    <w:rsid w:val="5A1FC556"/>
    <w:rsid w:val="5A3FE3E5"/>
    <w:rsid w:val="5A561BBC"/>
    <w:rsid w:val="5A5DE7CA"/>
    <w:rsid w:val="5B4EAE64"/>
    <w:rsid w:val="5B58328F"/>
    <w:rsid w:val="5BBE8A14"/>
    <w:rsid w:val="5C2114AE"/>
    <w:rsid w:val="5C552C3B"/>
    <w:rsid w:val="5C82A5F7"/>
    <w:rsid w:val="5CE3955A"/>
    <w:rsid w:val="5D24D1C0"/>
    <w:rsid w:val="5D288C49"/>
    <w:rsid w:val="5D357102"/>
    <w:rsid w:val="5D3C9FFC"/>
    <w:rsid w:val="5DAC0C84"/>
    <w:rsid w:val="5DD8834A"/>
    <w:rsid w:val="5DE5CCAA"/>
    <w:rsid w:val="5E049EF5"/>
    <w:rsid w:val="5E0766D2"/>
    <w:rsid w:val="5E2510A8"/>
    <w:rsid w:val="5E67D1F0"/>
    <w:rsid w:val="5F71CC05"/>
    <w:rsid w:val="5FBA3858"/>
    <w:rsid w:val="5FFEE462"/>
    <w:rsid w:val="6014A72D"/>
    <w:rsid w:val="601B64FA"/>
    <w:rsid w:val="6054C5BE"/>
    <w:rsid w:val="60C9B3CE"/>
    <w:rsid w:val="60CB518D"/>
    <w:rsid w:val="60F2241A"/>
    <w:rsid w:val="60F373CD"/>
    <w:rsid w:val="60FE90BB"/>
    <w:rsid w:val="61159091"/>
    <w:rsid w:val="61BF54B7"/>
    <w:rsid w:val="62698D34"/>
    <w:rsid w:val="6362034C"/>
    <w:rsid w:val="63801FCB"/>
    <w:rsid w:val="63D680B2"/>
    <w:rsid w:val="643E644A"/>
    <w:rsid w:val="649BA510"/>
    <w:rsid w:val="64A31332"/>
    <w:rsid w:val="64FAF998"/>
    <w:rsid w:val="652A1E0C"/>
    <w:rsid w:val="652FACB7"/>
    <w:rsid w:val="655B3037"/>
    <w:rsid w:val="659054B8"/>
    <w:rsid w:val="65B55685"/>
    <w:rsid w:val="66294806"/>
    <w:rsid w:val="66AC0DD5"/>
    <w:rsid w:val="66CB23BE"/>
    <w:rsid w:val="6733BC67"/>
    <w:rsid w:val="677363FD"/>
    <w:rsid w:val="67A4C8F6"/>
    <w:rsid w:val="6839781E"/>
    <w:rsid w:val="689C9627"/>
    <w:rsid w:val="6921C5A9"/>
    <w:rsid w:val="698440BD"/>
    <w:rsid w:val="69F09350"/>
    <w:rsid w:val="6A4EABDB"/>
    <w:rsid w:val="6AED31F7"/>
    <w:rsid w:val="6B4FADDC"/>
    <w:rsid w:val="6B54E39D"/>
    <w:rsid w:val="6B8BD80C"/>
    <w:rsid w:val="6BCD0B2F"/>
    <w:rsid w:val="6BF3D149"/>
    <w:rsid w:val="6C36EFC2"/>
    <w:rsid w:val="6C4DD487"/>
    <w:rsid w:val="6C603A31"/>
    <w:rsid w:val="6C7CB0FA"/>
    <w:rsid w:val="6C7EC4CF"/>
    <w:rsid w:val="6C84ABA0"/>
    <w:rsid w:val="6CE43A3D"/>
    <w:rsid w:val="6D17D9AF"/>
    <w:rsid w:val="6D447948"/>
    <w:rsid w:val="6D7E8796"/>
    <w:rsid w:val="6E03B9B4"/>
    <w:rsid w:val="6EACDA21"/>
    <w:rsid w:val="6EBD5738"/>
    <w:rsid w:val="6F1C5BF2"/>
    <w:rsid w:val="6F3C6FA3"/>
    <w:rsid w:val="6F491AE6"/>
    <w:rsid w:val="6FEB66D8"/>
    <w:rsid w:val="70005DF7"/>
    <w:rsid w:val="700DEC36"/>
    <w:rsid w:val="702FB959"/>
    <w:rsid w:val="704F2C1F"/>
    <w:rsid w:val="716AC02A"/>
    <w:rsid w:val="71E4322D"/>
    <w:rsid w:val="725738E8"/>
    <w:rsid w:val="7260EB12"/>
    <w:rsid w:val="726BB3A0"/>
    <w:rsid w:val="72B5531C"/>
    <w:rsid w:val="72DF94EB"/>
    <w:rsid w:val="7325488E"/>
    <w:rsid w:val="7362774C"/>
    <w:rsid w:val="737C6B26"/>
    <w:rsid w:val="73B74751"/>
    <w:rsid w:val="73ED7D0D"/>
    <w:rsid w:val="74A1FC45"/>
    <w:rsid w:val="74F074C1"/>
    <w:rsid w:val="74F420A9"/>
    <w:rsid w:val="7509A64B"/>
    <w:rsid w:val="7514ECD5"/>
    <w:rsid w:val="7545822F"/>
    <w:rsid w:val="75592137"/>
    <w:rsid w:val="7564FF39"/>
    <w:rsid w:val="75A22965"/>
    <w:rsid w:val="761108B6"/>
    <w:rsid w:val="76509C7F"/>
    <w:rsid w:val="7798C330"/>
    <w:rsid w:val="779C9A5F"/>
    <w:rsid w:val="781CD921"/>
    <w:rsid w:val="784DA6A2"/>
    <w:rsid w:val="787455C8"/>
    <w:rsid w:val="78800E4B"/>
    <w:rsid w:val="7880A0DA"/>
    <w:rsid w:val="79254CDB"/>
    <w:rsid w:val="793A50F0"/>
    <w:rsid w:val="79743EBE"/>
    <w:rsid w:val="797E00AE"/>
    <w:rsid w:val="798A4A3F"/>
    <w:rsid w:val="79DDC7DF"/>
    <w:rsid w:val="79E73C5D"/>
    <w:rsid w:val="79FE1379"/>
    <w:rsid w:val="7A323F99"/>
    <w:rsid w:val="7A596C35"/>
    <w:rsid w:val="7A6A7DF6"/>
    <w:rsid w:val="7A93BB13"/>
    <w:rsid w:val="7ABB3F44"/>
    <w:rsid w:val="7B00405B"/>
    <w:rsid w:val="7C3A8241"/>
    <w:rsid w:val="7C903300"/>
    <w:rsid w:val="7CB98FA7"/>
    <w:rsid w:val="7CE45782"/>
    <w:rsid w:val="7D67D8B3"/>
    <w:rsid w:val="7D7DE500"/>
    <w:rsid w:val="7D998B2F"/>
    <w:rsid w:val="7DBF3C77"/>
    <w:rsid w:val="7E0B7B13"/>
    <w:rsid w:val="7E587042"/>
    <w:rsid w:val="7E98FF5E"/>
    <w:rsid w:val="7EA2E522"/>
    <w:rsid w:val="7EB8F7AA"/>
    <w:rsid w:val="7F4C0B9B"/>
    <w:rsid w:val="7F594362"/>
    <w:rsid w:val="7FBC2B19"/>
    <w:rsid w:val="7FD706E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64420A1"/>
  <w14:defaultImageDpi w14:val="330"/>
  <w15:docId w15:val="{17C3722E-0F08-45B8-B986-109347BE3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SimSun"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0" w:qFormat="1"/>
    <w:lsdException w:name="Book Title" w:uiPriority="33" w:qFormat="1"/>
    <w:lsdException w:name="Bibliography" w:semiHidden="1" w:uiPriority="0"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pPr>
      <w:spacing w:after="240"/>
    </w:pPr>
    <w:rPr>
      <w:rFonts w:ascii="Times New Roman" w:hAnsi="Times New Roman"/>
      <w:color w:val="000000"/>
      <w:sz w:val="22"/>
      <w:lang w:val="en-GB" w:eastAsia="zh-CN"/>
    </w:rPr>
  </w:style>
  <w:style w:type="paragraph" w:styleId="Heading1">
    <w:name w:val="heading 1"/>
    <w:aliases w:val="Para (1),Heading 1 Char1 Char,Heading 1 Char Char Char,Para (1) Char Char Char,Para (1) Char1 Char,Heading 1 Char1,Heading 1 Char Char,Para (1) Char Char,Para (1) Char1,Heading 1 Char1 Char Char,Heading 1 Char,Heading 1 Char1 Char Char Char"/>
    <w:basedOn w:val="Normal"/>
    <w:next w:val="Normal"/>
    <w:autoRedefine/>
    <w:uiPriority w:val="9"/>
    <w:qFormat/>
    <w:rsid w:val="00751ECE"/>
    <w:pPr>
      <w:keepNext/>
      <w:spacing w:before="120"/>
      <w:ind w:left="709" w:hanging="720"/>
      <w:outlineLvl w:val="0"/>
    </w:pPr>
    <w:rPr>
      <w:b/>
      <w:bCs/>
      <w:sz w:val="28"/>
      <w:lang w:val="en-US" w:eastAsia="en-US"/>
    </w:rPr>
  </w:style>
  <w:style w:type="paragraph" w:styleId="Heading2">
    <w:name w:val="heading 2"/>
    <w:aliases w:val="SubPara (a),Heading 2 Char1 Char,SubPara (a) Char1 Char,Heading 2 Char3 Char Char,Heading 2 Char Char2 Char Char,Heading 2 Char1 Char Char1 Char Char,SubPara (a) Char Char Char1 Char Char,Heading 2 Char Char Char Char1 Char Char,Heading 2 C..."/>
    <w:basedOn w:val="Heading1"/>
    <w:next w:val="Normal"/>
    <w:autoRedefine/>
    <w:uiPriority w:val="9"/>
    <w:qFormat/>
    <w:rsid w:val="00F12549"/>
    <w:pPr>
      <w:widowControl w:val="0"/>
      <w:numPr>
        <w:ilvl w:val="1"/>
      </w:numPr>
      <w:adjustRightInd w:val="0"/>
      <w:spacing w:before="240"/>
      <w:ind w:left="720" w:right="-51" w:hanging="720"/>
      <w:outlineLvl w:val="1"/>
    </w:pPr>
    <w:rPr>
      <w:rFonts w:eastAsiaTheme="minorEastAsia"/>
      <w:snapToGrid w:val="0"/>
      <w:color w:val="auto"/>
      <w:sz w:val="22"/>
      <w:szCs w:val="22"/>
      <w:lang w:eastAsia="fr-FR"/>
    </w:rPr>
  </w:style>
  <w:style w:type="paragraph" w:styleId="Heading3">
    <w:name w:val="heading 3"/>
    <w:aliases w:val="Heading 3 Char1 Char,Heading 3 Char Char Char,Char Char Char Char,Char Char1 Char,Sec,Heading 3 Char Char,Heading 3 Char2,Heading 3 Char Char1,H3"/>
    <w:basedOn w:val="Heading2"/>
    <w:next w:val="Normal"/>
    <w:link w:val="Heading3Char"/>
    <w:autoRedefine/>
    <w:uiPriority w:val="9"/>
    <w:qFormat/>
    <w:rsid w:val="004E25C2"/>
    <w:pPr>
      <w:keepLines/>
      <w:spacing w:before="120"/>
      <w:outlineLvl w:val="2"/>
    </w:pPr>
    <w:rPr>
      <w:i/>
      <w:lang w:eastAsia="ja-JP"/>
    </w:rPr>
  </w:style>
  <w:style w:type="paragraph" w:styleId="Heading4">
    <w:name w:val="heading 4"/>
    <w:aliases w:val="MainPara"/>
    <w:basedOn w:val="Heading3"/>
    <w:next w:val="Normal"/>
    <w:link w:val="Heading4Char2"/>
    <w:autoRedefine/>
    <w:uiPriority w:val="9"/>
    <w:qFormat/>
    <w:rsid w:val="00651E26"/>
    <w:pPr>
      <w:keepLines w:val="0"/>
      <w:adjustRightInd/>
      <w:spacing w:before="0" w:line="276" w:lineRule="auto"/>
      <w:ind w:right="0"/>
      <w:outlineLvl w:val="3"/>
    </w:pPr>
    <w:rPr>
      <w:i w:val="0"/>
    </w:rPr>
  </w:style>
  <w:style w:type="paragraph" w:styleId="Heading5">
    <w:name w:val="heading 5"/>
    <w:aliases w:val="Subpara 2"/>
    <w:basedOn w:val="Heading1"/>
    <w:next w:val="Normal"/>
    <w:link w:val="Heading5Char1"/>
    <w:autoRedefine/>
    <w:uiPriority w:val="9"/>
    <w:qFormat/>
    <w:rsid w:val="00BB3EB4"/>
    <w:pPr>
      <w:widowControl w:val="0"/>
      <w:ind w:left="1702" w:firstLine="0"/>
      <w:outlineLvl w:val="4"/>
    </w:pPr>
    <w:rPr>
      <w:i/>
      <w:sz w:val="20"/>
    </w:rPr>
  </w:style>
  <w:style w:type="paragraph" w:styleId="Heading6">
    <w:name w:val="heading 6"/>
    <w:aliases w:val="Subpara 3"/>
    <w:basedOn w:val="Normal"/>
    <w:next w:val="Normal"/>
    <w:link w:val="Heading6Char1"/>
    <w:autoRedefine/>
    <w:qFormat/>
    <w:rsid w:val="00543531"/>
    <w:pPr>
      <w:keepNext/>
      <w:tabs>
        <w:tab w:val="left" w:pos="230"/>
        <w:tab w:val="left" w:pos="900"/>
      </w:tabs>
      <w:spacing w:before="240"/>
      <w:outlineLvl w:val="5"/>
    </w:pPr>
  </w:style>
  <w:style w:type="paragraph" w:styleId="Heading7">
    <w:name w:val="heading 7"/>
    <w:aliases w:val="Subpara 4"/>
    <w:basedOn w:val="Normal"/>
    <w:next w:val="Normal"/>
    <w:link w:val="Heading7Char1"/>
    <w:qFormat/>
    <w:pPr>
      <w:keepNext/>
      <w:numPr>
        <w:ilvl w:val="6"/>
        <w:numId w:val="6"/>
      </w:numPr>
      <w:spacing w:before="48"/>
      <w:jc w:val="center"/>
      <w:outlineLvl w:val="6"/>
    </w:pPr>
    <w:rPr>
      <w:b/>
    </w:rPr>
  </w:style>
  <w:style w:type="paragraph" w:styleId="Heading8">
    <w:name w:val="heading 8"/>
    <w:aliases w:val="Subpara 5"/>
    <w:basedOn w:val="Normal"/>
    <w:next w:val="Normal"/>
    <w:link w:val="Heading8Char1"/>
    <w:qFormat/>
    <w:pPr>
      <w:keepNext/>
      <w:numPr>
        <w:ilvl w:val="7"/>
        <w:numId w:val="6"/>
      </w:numPr>
      <w:tabs>
        <w:tab w:val="left" w:pos="2160"/>
        <w:tab w:val="left" w:pos="2880"/>
        <w:tab w:val="left" w:pos="3600"/>
        <w:tab w:val="left" w:pos="6480"/>
        <w:tab w:val="left" w:pos="7290"/>
        <w:tab w:val="left" w:pos="7920"/>
        <w:tab w:val="left" w:pos="8640"/>
      </w:tabs>
      <w:spacing w:line="240" w:lineRule="exact"/>
      <w:outlineLvl w:val="7"/>
    </w:pPr>
    <w:rPr>
      <w:b/>
    </w:rPr>
  </w:style>
  <w:style w:type="paragraph" w:styleId="Heading9">
    <w:name w:val="heading 9"/>
    <w:aliases w:val="Subpara 6"/>
    <w:basedOn w:val="Normal"/>
    <w:next w:val="Normal"/>
    <w:link w:val="Heading9Char1"/>
    <w:qFormat/>
    <w:pPr>
      <w:keepNext/>
      <w:numPr>
        <w:ilvl w:val="8"/>
        <w:numId w:val="6"/>
      </w:numPr>
      <w:spacing w:line="240" w:lineRule="atLeast"/>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Char2">
    <w:name w:val="Char Char2"/>
    <w:locked/>
    <w:rPr>
      <w:b/>
      <w:noProof w:val="0"/>
      <w:color w:val="000000"/>
      <w:sz w:val="28"/>
      <w:lang w:val="en-GB" w:eastAsia="zh-CN" w:bidi="ar-SA"/>
    </w:rPr>
  </w:style>
  <w:style w:type="character" w:customStyle="1" w:styleId="SubParaaCharChar">
    <w:name w:val="SubPara (a) Char Char"/>
    <w:rPr>
      <w:b/>
      <w:noProof w:val="0"/>
      <w:snapToGrid w:val="0"/>
      <w:color w:val="000000"/>
      <w:sz w:val="24"/>
      <w:szCs w:val="24"/>
      <w:lang w:val="en-GB" w:eastAsia="zh-CN" w:bidi="ar-SA"/>
    </w:rPr>
  </w:style>
  <w:style w:type="paragraph" w:styleId="BodyText">
    <w:name w:val="Body Text"/>
    <w:aliases w:val=" Char Char,Char Char,Body Text Char Char Char Char Char,Body Text Char Char Char Char, Char Char Char Char Char Char Char Char Char Char Char Char Char Char Char Char Char Char Char Char Char Char Char Char Char Char Char Char Char Char Char"/>
    <w:basedOn w:val="Normal"/>
    <w:link w:val="BodyTextChar1"/>
    <w:pPr>
      <w:spacing w:line="240" w:lineRule="atLeast"/>
    </w:pPr>
  </w:style>
  <w:style w:type="character" w:customStyle="1" w:styleId="BodyTextChar1">
    <w:name w:val="Body Text Char1"/>
    <w:aliases w:val=" Char Char Char1,Char Char Char1,Body Text Char Char Char Char Char Char1,Body Text Char Char Char Char Char2"/>
    <w:link w:val="BodyText"/>
    <w:rsid w:val="009A5785"/>
    <w:rPr>
      <w:rFonts w:ascii="Times New Roman" w:hAnsi="Times New Roman"/>
      <w:color w:val="000000"/>
      <w:sz w:val="22"/>
      <w:lang w:val="en-GB" w:eastAsia="zh-CN"/>
    </w:rPr>
  </w:style>
  <w:style w:type="paragraph" w:styleId="Footer">
    <w:name w:val="footer"/>
    <w:basedOn w:val="Normal"/>
    <w:link w:val="FooterChar1"/>
    <w:uiPriority w:val="99"/>
    <w:pPr>
      <w:tabs>
        <w:tab w:val="center" w:pos="4320"/>
        <w:tab w:val="right" w:pos="8640"/>
      </w:tabs>
    </w:pPr>
  </w:style>
  <w:style w:type="character" w:styleId="PageNumber">
    <w:name w:val="page number"/>
    <w:basedOn w:val="DefaultParagraphFont"/>
  </w:style>
  <w:style w:type="paragraph" w:styleId="Header">
    <w:name w:val="header"/>
    <w:aliases w:val="EthylHeader"/>
    <w:basedOn w:val="Normal"/>
    <w:link w:val="HeaderChar1"/>
    <w:uiPriority w:val="99"/>
    <w:pPr>
      <w:tabs>
        <w:tab w:val="center" w:pos="4320"/>
        <w:tab w:val="right" w:pos="8640"/>
      </w:tabs>
    </w:pPr>
  </w:style>
  <w:style w:type="character" w:customStyle="1" w:styleId="HeaderChar1">
    <w:name w:val="Header Char1"/>
    <w:aliases w:val="EthylHeader Char1"/>
    <w:link w:val="Header"/>
    <w:rsid w:val="00942E2A"/>
    <w:rPr>
      <w:rFonts w:ascii="Times New Roman" w:hAnsi="Times New Roman"/>
      <w:color w:val="000000"/>
      <w:sz w:val="22"/>
      <w:lang w:val="en-GB" w:eastAsia="zh-CN"/>
    </w:rPr>
  </w:style>
  <w:style w:type="paragraph" w:customStyle="1" w:styleId="ChapterHeading">
    <w:name w:val="Chapter Heading"/>
    <w:basedOn w:val="Heading1"/>
    <w:pPr>
      <w:keepNext w:val="0"/>
      <w:keepLines/>
      <w:ind w:left="2520" w:hanging="1440"/>
    </w:pPr>
    <w:rPr>
      <w:sz w:val="32"/>
    </w:rPr>
  </w:style>
  <w:style w:type="paragraph" w:customStyle="1" w:styleId="Bullet">
    <w:name w:val="Bullet"/>
    <w:basedOn w:val="Normal"/>
    <w:pPr>
      <w:numPr>
        <w:numId w:val="1"/>
      </w:numPr>
      <w:tabs>
        <w:tab w:val="left" w:pos="1531"/>
      </w:tabs>
      <w:spacing w:before="60" w:after="60"/>
    </w:pPr>
  </w:style>
  <w:style w:type="character" w:styleId="FootnoteReference">
    <w:name w:val="footnote reference"/>
    <w:aliases w:val="Footnote text,16 Point,Superscript 6 Point,number,Footnote reference number,Footnote symbol,note TESI,-E Fußnotenzeichen,SUPERS,stylish,ftref,Footnote Reference Superscript,-E Fuﬂnotenzeichen,-E Fuûnotenzeichen,EN Footnote Reference"/>
    <w:uiPriority w:val="99"/>
    <w:qFormat/>
    <w:rsid w:val="009249A0"/>
    <w:rPr>
      <w:sz w:val="18"/>
      <w:szCs w:val="18"/>
      <w:vertAlign w:val="superscript"/>
    </w:rPr>
  </w:style>
  <w:style w:type="paragraph" w:styleId="ListBullet">
    <w:name w:val="List Bullet"/>
    <w:basedOn w:val="Normal"/>
    <w:pPr>
      <w:widowControl w:val="0"/>
      <w:ind w:left="425" w:hanging="425"/>
    </w:pPr>
    <w:rPr>
      <w:color w:val="auto"/>
    </w:rPr>
  </w:style>
  <w:style w:type="paragraph" w:styleId="ListNumber">
    <w:name w:val="List Number"/>
    <w:basedOn w:val="Normal"/>
    <w:pPr>
      <w:widowControl w:val="0"/>
      <w:spacing w:before="120"/>
      <w:ind w:left="1512" w:hanging="432"/>
    </w:pPr>
    <w:rPr>
      <w:color w:val="auto"/>
    </w:rPr>
  </w:style>
  <w:style w:type="paragraph" w:styleId="FootnoteText">
    <w:name w:val="footnote text"/>
    <w:aliases w:val="Geneva 9,Font: Geneva 9,Boston 10,f,Fußnotentextf,-E Fußnotentext,Fußnotentext Ursprung,-E Fußnotentext1,-E Fußnotentext2,-E Fußnotentext3,Fußnotentext Char1,Fußnotentext Char Char,Fußnotentext Char1 Char Char"/>
    <w:basedOn w:val="Normal"/>
    <w:link w:val="FootnoteTextChar2"/>
    <w:uiPriority w:val="99"/>
    <w:rsid w:val="00C07743"/>
    <w:pPr>
      <w:widowControl w:val="0"/>
      <w:spacing w:after="120"/>
    </w:pPr>
    <w:rPr>
      <w:color w:val="auto"/>
      <w:sz w:val="18"/>
      <w:szCs w:val="18"/>
    </w:rPr>
  </w:style>
  <w:style w:type="paragraph" w:styleId="BodyTextIndent">
    <w:name w:val="Body Text Indent"/>
    <w:basedOn w:val="Normal"/>
    <w:link w:val="BodyTextIndentChar2"/>
    <w:pPr>
      <w:spacing w:line="240" w:lineRule="atLeast"/>
      <w:ind w:left="2127" w:hanging="993"/>
    </w:pPr>
  </w:style>
  <w:style w:type="character" w:styleId="LineNumber">
    <w:name w:val="line number"/>
    <w:basedOn w:val="DefaultParagraphFont"/>
    <w:uiPriority w:val="99"/>
  </w:style>
  <w:style w:type="paragraph" w:customStyle="1" w:styleId="SummaryShading">
    <w:name w:val="Summary Shading"/>
    <w:basedOn w:val="Normal"/>
    <w:pPr>
      <w:shd w:val="pct5" w:color="808080" w:fill="auto"/>
      <w:spacing w:before="120" w:after="120"/>
      <w:jc w:val="both"/>
    </w:pPr>
    <w:rPr>
      <w:rFonts w:ascii="Garamond" w:hAnsi="Garamond"/>
      <w:color w:val="auto"/>
    </w:rPr>
  </w:style>
  <w:style w:type="paragraph" w:customStyle="1" w:styleId="MainText">
    <w:name w:val="Main Text"/>
    <w:pPr>
      <w:widowControl w:val="0"/>
      <w:spacing w:line="240" w:lineRule="exact"/>
      <w:ind w:left="567" w:hanging="567"/>
    </w:pPr>
    <w:rPr>
      <w:color w:val="000000"/>
      <w:lang w:eastAsia="zh-CN"/>
    </w:rPr>
  </w:style>
  <w:style w:type="paragraph" w:customStyle="1" w:styleId="Paragraph">
    <w:name w:val="Paragraph"/>
    <w:basedOn w:val="Normal"/>
    <w:pPr>
      <w:spacing w:before="120" w:after="120"/>
      <w:jc w:val="both"/>
    </w:pPr>
    <w:rPr>
      <w:rFonts w:ascii="Garamond" w:hAnsi="Garamond"/>
      <w:lang w:val="de-DE"/>
    </w:rPr>
  </w:style>
  <w:style w:type="paragraph" w:customStyle="1" w:styleId="DotPoints">
    <w:name w:val="Dot Points"/>
    <w:basedOn w:val="Normal"/>
    <w:pPr>
      <w:spacing w:after="60"/>
      <w:ind w:left="709" w:right="284" w:hanging="284"/>
      <w:jc w:val="both"/>
    </w:pPr>
    <w:rPr>
      <w:rFonts w:ascii="Garamond" w:hAnsi="Garamond"/>
      <w:color w:val="auto"/>
    </w:rPr>
  </w:style>
  <w:style w:type="paragraph" w:customStyle="1" w:styleId="Style1">
    <w:name w:val="Style1"/>
    <w:basedOn w:val="Normal"/>
    <w:link w:val="Style1Char"/>
    <w:qFormat/>
    <w:pPr>
      <w:spacing w:before="120" w:after="120" w:line="360" w:lineRule="auto"/>
    </w:pPr>
    <w:rPr>
      <w:rFonts w:ascii="Garamond" w:hAnsi="Garamond"/>
      <w:color w:val="auto"/>
      <w:lang w:val="en-AU"/>
    </w:rPr>
  </w:style>
  <w:style w:type="character" w:customStyle="1" w:styleId="Style1Char">
    <w:name w:val="Style1 Char"/>
    <w:link w:val="Style1"/>
    <w:rsid w:val="005B1FC8"/>
    <w:rPr>
      <w:rFonts w:ascii="Garamond" w:hAnsi="Garamond"/>
      <w:sz w:val="22"/>
      <w:lang w:eastAsia="zh-CN"/>
    </w:rPr>
  </w:style>
  <w:style w:type="paragraph" w:customStyle="1" w:styleId="TableColumnHeading">
    <w:name w:val="Table Column Heading"/>
    <w:basedOn w:val="Normal"/>
    <w:pPr>
      <w:spacing w:before="80" w:after="120"/>
      <w:jc w:val="center"/>
    </w:pPr>
    <w:rPr>
      <w:rFonts w:ascii="Arial Narrow" w:hAnsi="Arial Narrow"/>
      <w:b/>
      <w:color w:val="auto"/>
      <w:sz w:val="20"/>
    </w:rPr>
  </w:style>
  <w:style w:type="paragraph" w:customStyle="1" w:styleId="TableDetails">
    <w:name w:val="Table Details"/>
    <w:basedOn w:val="Normal"/>
    <w:pPr>
      <w:spacing w:before="60" w:after="60"/>
      <w:ind w:left="113" w:right="113"/>
      <w:jc w:val="both"/>
    </w:pPr>
    <w:rPr>
      <w:rFonts w:ascii="Arial Narrow" w:hAnsi="Arial Narrow"/>
      <w:color w:val="auto"/>
      <w:sz w:val="20"/>
    </w:rPr>
  </w:style>
  <w:style w:type="paragraph" w:customStyle="1" w:styleId="TableHeading">
    <w:name w:val="Table Heading"/>
    <w:basedOn w:val="Normal"/>
    <w:pPr>
      <w:spacing w:before="120" w:after="120"/>
      <w:ind w:left="1134" w:hanging="1134"/>
      <w:jc w:val="both"/>
    </w:pPr>
    <w:rPr>
      <w:rFonts w:ascii="Arial" w:hAnsi="Arial"/>
      <w:b/>
      <w:color w:val="auto"/>
      <w:sz w:val="20"/>
    </w:rPr>
  </w:style>
  <w:style w:type="paragraph" w:customStyle="1" w:styleId="References">
    <w:name w:val="References"/>
    <w:basedOn w:val="Normal"/>
    <w:pPr>
      <w:keepLines/>
      <w:spacing w:before="60" w:after="60"/>
      <w:ind w:left="1134" w:hanging="1134"/>
      <w:jc w:val="both"/>
    </w:pPr>
    <w:rPr>
      <w:rFonts w:ascii="Garamond" w:hAnsi="Garamond"/>
      <w:color w:val="auto"/>
      <w:sz w:val="20"/>
    </w:rPr>
  </w:style>
  <w:style w:type="character" w:styleId="Hyperlink">
    <w:name w:val="Hyperlink"/>
    <w:uiPriority w:val="99"/>
    <w:rPr>
      <w:color w:val="0000FF"/>
      <w:u w:val="single"/>
    </w:rPr>
  </w:style>
  <w:style w:type="paragraph" w:styleId="Caption">
    <w:name w:val="caption"/>
    <w:aliases w:val="Légende figure"/>
    <w:basedOn w:val="Normal"/>
    <w:next w:val="Normal"/>
    <w:qFormat/>
    <w:pPr>
      <w:spacing w:line="240" w:lineRule="atLeast"/>
      <w:ind w:left="1077"/>
    </w:pPr>
    <w:rPr>
      <w:i/>
    </w:rPr>
  </w:style>
  <w:style w:type="character" w:styleId="CommentReference">
    <w:name w:val="annotation reference"/>
    <w:uiPriority w:val="99"/>
    <w:rPr>
      <w:sz w:val="16"/>
    </w:rPr>
  </w:style>
  <w:style w:type="paragraph" w:styleId="CommentText">
    <w:name w:val="annotation text"/>
    <w:basedOn w:val="Normal"/>
    <w:link w:val="CommentTextChar2"/>
    <w:uiPriority w:val="99"/>
    <w:pPr>
      <w:widowControl w:val="0"/>
    </w:pPr>
    <w:rPr>
      <w:rFonts w:ascii="Arial" w:hAnsi="Arial"/>
      <w:color w:val="auto"/>
      <w:sz w:val="20"/>
    </w:rPr>
  </w:style>
  <w:style w:type="character" w:customStyle="1" w:styleId="CharChar1">
    <w:name w:val="Char Char1"/>
    <w:rPr>
      <w:rFonts w:ascii="Arial" w:hAnsi="Arial"/>
      <w:noProof w:val="0"/>
      <w:lang w:val="en-GB" w:eastAsia="zh-CN" w:bidi="ar-SA"/>
    </w:rPr>
  </w:style>
  <w:style w:type="paragraph" w:styleId="TOC1">
    <w:name w:val="toc 1"/>
    <w:basedOn w:val="Normal"/>
    <w:next w:val="Normal"/>
    <w:autoRedefine/>
    <w:uiPriority w:val="39"/>
    <w:qFormat/>
    <w:rsid w:val="00004CD5"/>
    <w:pPr>
      <w:tabs>
        <w:tab w:val="left" w:pos="440"/>
        <w:tab w:val="left" w:pos="1740"/>
        <w:tab w:val="right" w:leader="dot" w:pos="9016"/>
      </w:tabs>
      <w:spacing w:before="60" w:after="120"/>
      <w:ind w:left="360" w:hanging="360"/>
    </w:pPr>
    <w:rPr>
      <w:b/>
      <w:bCs/>
      <w:caps/>
      <w:noProof/>
      <w:sz w:val="24"/>
      <w:szCs w:val="18"/>
    </w:rPr>
  </w:style>
  <w:style w:type="paragraph" w:styleId="TOC2">
    <w:name w:val="toc 2"/>
    <w:basedOn w:val="Normal"/>
    <w:next w:val="Normal"/>
    <w:autoRedefine/>
    <w:uiPriority w:val="39"/>
    <w:qFormat/>
    <w:rsid w:val="008479C1"/>
    <w:pPr>
      <w:tabs>
        <w:tab w:val="left" w:pos="1260"/>
        <w:tab w:val="right" w:leader="dot" w:pos="9016"/>
      </w:tabs>
      <w:spacing w:after="60"/>
      <w:ind w:left="900" w:hanging="540"/>
    </w:pPr>
    <w:rPr>
      <w:b/>
      <w:bCs/>
      <w:noProof/>
      <w:sz w:val="20"/>
    </w:rPr>
  </w:style>
  <w:style w:type="paragraph" w:styleId="TOC3">
    <w:name w:val="toc 3"/>
    <w:basedOn w:val="Normal"/>
    <w:next w:val="Normal"/>
    <w:autoRedefine/>
    <w:uiPriority w:val="39"/>
    <w:qFormat/>
    <w:rsid w:val="00E846F9"/>
    <w:pPr>
      <w:tabs>
        <w:tab w:val="left" w:pos="1260"/>
        <w:tab w:val="right" w:leader="dot" w:pos="9016"/>
      </w:tabs>
      <w:spacing w:after="40"/>
      <w:ind w:left="1267" w:hanging="720"/>
    </w:pPr>
    <w:rPr>
      <w:b/>
      <w:noProof/>
      <w:sz w:val="20"/>
    </w:rPr>
  </w:style>
  <w:style w:type="paragraph" w:styleId="TOC4">
    <w:name w:val="toc 4"/>
    <w:basedOn w:val="Normal"/>
    <w:next w:val="Normal"/>
    <w:autoRedefine/>
    <w:uiPriority w:val="39"/>
    <w:rsid w:val="001F325F"/>
    <w:pPr>
      <w:tabs>
        <w:tab w:val="left" w:pos="1800"/>
        <w:tab w:val="right" w:leader="dot" w:pos="9016"/>
      </w:tabs>
      <w:spacing w:after="20"/>
      <w:ind w:left="720"/>
    </w:pPr>
    <w:rPr>
      <w:i/>
      <w:iCs/>
      <w:noProof/>
      <w:snapToGrid w:val="0"/>
      <w:sz w:val="20"/>
    </w:rPr>
  </w:style>
  <w:style w:type="paragraph" w:styleId="TOC5">
    <w:name w:val="toc 5"/>
    <w:basedOn w:val="Normal"/>
    <w:next w:val="Normal"/>
    <w:autoRedefine/>
    <w:uiPriority w:val="39"/>
    <w:pPr>
      <w:spacing w:after="0"/>
      <w:ind w:left="660"/>
    </w:pPr>
    <w:rPr>
      <w:rFonts w:asciiTheme="minorHAnsi" w:hAnsiTheme="minorHAnsi" w:cstheme="minorHAnsi"/>
      <w:sz w:val="20"/>
    </w:rPr>
  </w:style>
  <w:style w:type="paragraph" w:styleId="TOC6">
    <w:name w:val="toc 6"/>
    <w:basedOn w:val="Normal"/>
    <w:next w:val="Normal"/>
    <w:autoRedefine/>
    <w:uiPriority w:val="39"/>
    <w:pPr>
      <w:spacing w:after="0"/>
      <w:ind w:left="880"/>
    </w:pPr>
    <w:rPr>
      <w:rFonts w:asciiTheme="minorHAnsi" w:hAnsiTheme="minorHAnsi" w:cstheme="minorHAnsi"/>
      <w:sz w:val="20"/>
    </w:rPr>
  </w:style>
  <w:style w:type="paragraph" w:styleId="TOC7">
    <w:name w:val="toc 7"/>
    <w:basedOn w:val="Normal"/>
    <w:next w:val="Normal"/>
    <w:autoRedefine/>
    <w:uiPriority w:val="39"/>
    <w:pPr>
      <w:spacing w:after="0"/>
      <w:ind w:left="1100"/>
    </w:pPr>
    <w:rPr>
      <w:rFonts w:asciiTheme="minorHAnsi" w:hAnsiTheme="minorHAnsi" w:cstheme="minorHAnsi"/>
      <w:sz w:val="20"/>
    </w:rPr>
  </w:style>
  <w:style w:type="paragraph" w:styleId="TOC8">
    <w:name w:val="toc 8"/>
    <w:basedOn w:val="Normal"/>
    <w:next w:val="Normal"/>
    <w:autoRedefine/>
    <w:uiPriority w:val="39"/>
    <w:pPr>
      <w:spacing w:after="0"/>
      <w:ind w:left="1320"/>
    </w:pPr>
    <w:rPr>
      <w:rFonts w:asciiTheme="minorHAnsi" w:hAnsiTheme="minorHAnsi" w:cstheme="minorHAnsi"/>
      <w:sz w:val="20"/>
    </w:rPr>
  </w:style>
  <w:style w:type="paragraph" w:styleId="TOC9">
    <w:name w:val="toc 9"/>
    <w:basedOn w:val="Normal"/>
    <w:next w:val="Normal"/>
    <w:autoRedefine/>
    <w:uiPriority w:val="39"/>
    <w:pPr>
      <w:spacing w:after="0"/>
      <w:ind w:left="1540"/>
    </w:pPr>
    <w:rPr>
      <w:rFonts w:asciiTheme="minorHAnsi" w:hAnsiTheme="minorHAnsi" w:cstheme="minorHAnsi"/>
      <w:sz w:val="20"/>
    </w:rPr>
  </w:style>
  <w:style w:type="paragraph" w:customStyle="1" w:styleId="Table-Labels">
    <w:name w:val="Table-Labels"/>
    <w:basedOn w:val="Normal"/>
    <w:next w:val="Normal"/>
    <w:pPr>
      <w:keepNext/>
      <w:keepLines/>
      <w:spacing w:after="60"/>
      <w:ind w:left="2160" w:hanging="1080"/>
    </w:pPr>
    <w:rPr>
      <w:i/>
    </w:rPr>
  </w:style>
  <w:style w:type="paragraph" w:styleId="DocumentMap">
    <w:name w:val="Document Map"/>
    <w:basedOn w:val="Normal"/>
    <w:link w:val="DocumentMapChar1"/>
    <w:semiHidden/>
    <w:pPr>
      <w:shd w:val="clear" w:color="auto" w:fill="000080"/>
    </w:pPr>
    <w:rPr>
      <w:rFonts w:ascii="Tahoma" w:hAnsi="Tahoma"/>
    </w:rPr>
  </w:style>
  <w:style w:type="paragraph" w:customStyle="1" w:styleId="Table">
    <w:name w:val="Table"/>
    <w:basedOn w:val="Normal"/>
    <w:pPr>
      <w:keepLines/>
      <w:spacing w:after="0"/>
      <w:ind w:left="72" w:right="72"/>
    </w:pPr>
    <w:rPr>
      <w:snapToGrid w:val="0"/>
      <w:sz w:val="20"/>
    </w:rPr>
  </w:style>
  <w:style w:type="paragraph" w:customStyle="1" w:styleId="Tabel">
    <w:name w:val="Tabel"/>
    <w:basedOn w:val="Normal"/>
    <w:pPr>
      <w:spacing w:after="120"/>
    </w:pPr>
  </w:style>
  <w:style w:type="paragraph" w:styleId="BlockText">
    <w:name w:val="Block Text"/>
    <w:basedOn w:val="Normal"/>
    <w:pPr>
      <w:spacing w:before="120" w:after="120"/>
      <w:ind w:left="450" w:right="566"/>
      <w:jc w:val="both"/>
    </w:pPr>
    <w:rPr>
      <w:rFonts w:ascii="Garamond" w:hAnsi="Garamond"/>
      <w:i/>
      <w:color w:val="auto"/>
    </w:rPr>
  </w:style>
  <w:style w:type="paragraph" w:customStyle="1" w:styleId="Document">
    <w:name w:val="Document"/>
    <w:basedOn w:val="Normal"/>
    <w:pPr>
      <w:spacing w:after="0"/>
      <w:jc w:val="center"/>
    </w:pPr>
    <w:rPr>
      <w:rFonts w:ascii="CG Times" w:hAnsi="CG Times"/>
    </w:rPr>
  </w:style>
  <w:style w:type="paragraph" w:customStyle="1" w:styleId="Bibliogrphy">
    <w:name w:val="Bibliogrphy"/>
    <w:basedOn w:val="Normal"/>
    <w:pPr>
      <w:spacing w:after="0"/>
      <w:ind w:left="720" w:firstLine="720"/>
    </w:pPr>
    <w:rPr>
      <w:rFonts w:ascii="CG Times" w:hAnsi="CG Times"/>
    </w:rPr>
  </w:style>
  <w:style w:type="paragraph" w:customStyle="1" w:styleId="TechInit">
    <w:name w:val="Tech Init"/>
    <w:basedOn w:val="Normal"/>
    <w:pPr>
      <w:spacing w:after="0"/>
    </w:pPr>
    <w:rPr>
      <w:rFonts w:ascii="CG Times" w:hAnsi="CG Times"/>
    </w:rPr>
  </w:style>
  <w:style w:type="paragraph" w:customStyle="1" w:styleId="Technical">
    <w:name w:val="Technical"/>
    <w:basedOn w:val="Normal"/>
    <w:pPr>
      <w:spacing w:after="0"/>
    </w:pPr>
    <w:rPr>
      <w:rFonts w:ascii="CG Times" w:hAnsi="CG Times"/>
    </w:rPr>
  </w:style>
  <w:style w:type="paragraph" w:customStyle="1" w:styleId="Pleading">
    <w:name w:val="Pleading"/>
    <w:basedOn w:val="Normal"/>
    <w:pPr>
      <w:tabs>
        <w:tab w:val="right" w:pos="288"/>
      </w:tabs>
      <w:spacing w:after="0"/>
    </w:pPr>
    <w:rPr>
      <w:rFonts w:ascii="CG Times" w:hAnsi="CG Times"/>
    </w:rPr>
  </w:style>
  <w:style w:type="paragraph" w:customStyle="1" w:styleId="BulletList">
    <w:name w:val="Bullet List"/>
    <w:basedOn w:val="Normal"/>
    <w:pPr>
      <w:spacing w:after="0"/>
      <w:ind w:left="720"/>
    </w:pPr>
    <w:rPr>
      <w:rFonts w:ascii="Roman" w:hAnsi="Roman"/>
      <w:color w:val="auto"/>
      <w:lang w:val="it-IT"/>
    </w:rPr>
  </w:style>
  <w:style w:type="character" w:styleId="FollowedHyperlink">
    <w:name w:val="FollowedHyperlink"/>
    <w:uiPriority w:val="99"/>
    <w:rPr>
      <w:color w:val="800080"/>
      <w:u w:val="single"/>
    </w:rPr>
  </w:style>
  <w:style w:type="paragraph" w:styleId="Title">
    <w:name w:val="Title"/>
    <w:basedOn w:val="Normal"/>
    <w:link w:val="TitleChar1"/>
    <w:qFormat/>
    <w:pPr>
      <w:spacing w:line="240" w:lineRule="atLeast"/>
      <w:jc w:val="center"/>
    </w:pPr>
    <w:rPr>
      <w:b/>
      <w:sz w:val="32"/>
    </w:rPr>
  </w:style>
  <w:style w:type="character" w:customStyle="1" w:styleId="TitleChar1">
    <w:name w:val="Title Char1"/>
    <w:link w:val="Title"/>
    <w:rsid w:val="00942E2A"/>
    <w:rPr>
      <w:rFonts w:ascii="Times New Roman" w:hAnsi="Times New Roman"/>
      <w:b/>
      <w:color w:val="000000"/>
      <w:sz w:val="32"/>
      <w:lang w:val="en-GB" w:eastAsia="zh-CN"/>
    </w:rPr>
  </w:style>
  <w:style w:type="paragraph" w:customStyle="1" w:styleId="Outline">
    <w:name w:val="Outline"/>
    <w:basedOn w:val="Normal"/>
    <w:pPr>
      <w:spacing w:before="240" w:after="0"/>
    </w:pPr>
    <w:rPr>
      <w:color w:val="auto"/>
      <w:kern w:val="28"/>
    </w:rPr>
  </w:style>
  <w:style w:type="paragraph" w:customStyle="1" w:styleId="Body">
    <w:name w:val="Body"/>
    <w:pPr>
      <w:widowControl w:val="0"/>
    </w:pPr>
    <w:rPr>
      <w:rFonts w:ascii="Times New Roman" w:hAnsi="Times New Roman"/>
      <w:sz w:val="24"/>
      <w:lang w:val="en-GB" w:eastAsia="zh-CN"/>
    </w:rPr>
  </w:style>
  <w:style w:type="character" w:styleId="EndnoteReference">
    <w:name w:val="endnote reference"/>
    <w:semiHidden/>
    <w:rPr>
      <w:vertAlign w:val="superscript"/>
    </w:rPr>
  </w:style>
  <w:style w:type="paragraph" w:customStyle="1" w:styleId="DefaultText">
    <w:name w:val="Default Text"/>
    <w:basedOn w:val="Normal"/>
    <w:pPr>
      <w:autoSpaceDE w:val="0"/>
      <w:autoSpaceDN w:val="0"/>
      <w:adjustRightInd w:val="0"/>
      <w:spacing w:after="0"/>
    </w:pPr>
    <w:rPr>
      <w:color w:val="auto"/>
    </w:rPr>
  </w:style>
  <w:style w:type="paragraph" w:customStyle="1" w:styleId="MSNormal">
    <w:name w:val="MSNormal"/>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pPr>
    <w:rPr>
      <w:rFonts w:ascii="Chicago" w:hAnsi="Chicago"/>
      <w:color w:val="auto"/>
    </w:rPr>
  </w:style>
  <w:style w:type="paragraph" w:styleId="PlainText">
    <w:name w:val="Plain Text"/>
    <w:aliases w:val=" Char,Char"/>
    <w:basedOn w:val="Normal"/>
    <w:link w:val="PlainTextChar1"/>
    <w:pPr>
      <w:spacing w:after="0"/>
    </w:pPr>
    <w:rPr>
      <w:rFonts w:ascii="Courier" w:eastAsia="Times" w:hAnsi="Courier"/>
      <w:color w:val="auto"/>
    </w:rPr>
  </w:style>
  <w:style w:type="paragraph" w:customStyle="1" w:styleId="Reference">
    <w:name w:val="Reference"/>
    <w:basedOn w:val="Normal"/>
    <w:pPr>
      <w:spacing w:after="60"/>
      <w:ind w:left="284"/>
    </w:pPr>
    <w:rPr>
      <w:color w:val="auto"/>
    </w:rPr>
  </w:style>
  <w:style w:type="paragraph" w:customStyle="1" w:styleId="Figures">
    <w:name w:val="Figures"/>
    <w:basedOn w:val="Normal"/>
    <w:pPr>
      <w:tabs>
        <w:tab w:val="center" w:pos="4680"/>
      </w:tabs>
      <w:suppressAutoHyphens/>
      <w:overflowPunct w:val="0"/>
      <w:autoSpaceDE w:val="0"/>
      <w:autoSpaceDN w:val="0"/>
      <w:adjustRightInd w:val="0"/>
      <w:spacing w:before="240" w:after="120"/>
      <w:jc w:val="both"/>
      <w:textAlignment w:val="baseline"/>
    </w:pPr>
    <w:rPr>
      <w:b/>
      <w:color w:val="auto"/>
    </w:rPr>
  </w:style>
  <w:style w:type="paragraph" w:styleId="BodyTextIndent2">
    <w:name w:val="Body Text Indent 2"/>
    <w:basedOn w:val="Normal"/>
    <w:link w:val="BodyTextIndent2Char1"/>
    <w:pPr>
      <w:widowControl w:val="0"/>
      <w:spacing w:after="0"/>
      <w:ind w:firstLine="720"/>
      <w:jc w:val="both"/>
    </w:pPr>
    <w:rPr>
      <w:snapToGrid w:val="0"/>
      <w:color w:val="auto"/>
    </w:rPr>
  </w:style>
  <w:style w:type="paragraph" w:styleId="BodyTextIndent3">
    <w:name w:val="Body Text Indent 3"/>
    <w:basedOn w:val="Normal"/>
    <w:link w:val="BodyTextIndent3Char1"/>
    <w:pPr>
      <w:widowControl w:val="0"/>
      <w:spacing w:after="0"/>
      <w:ind w:firstLine="720"/>
      <w:jc w:val="both"/>
    </w:pPr>
    <w:rPr>
      <w:snapToGrid w:val="0"/>
      <w:color w:val="FF0000"/>
    </w:rPr>
  </w:style>
  <w:style w:type="paragraph" w:styleId="BodyText2">
    <w:name w:val="Body Text 2"/>
    <w:basedOn w:val="Normal"/>
    <w:link w:val="BodyText2Char1"/>
    <w:pPr>
      <w:spacing w:after="0"/>
      <w:jc w:val="center"/>
    </w:pPr>
    <w:rPr>
      <w:color w:val="auto"/>
      <w:sz w:val="48"/>
    </w:rPr>
  </w:style>
  <w:style w:type="paragraph" w:styleId="BodyText3">
    <w:name w:val="Body Text 3"/>
    <w:basedOn w:val="Normal"/>
    <w:link w:val="BodyText3Char1"/>
    <w:pPr>
      <w:spacing w:after="0"/>
      <w:jc w:val="center"/>
    </w:pPr>
    <w:rPr>
      <w:color w:val="auto"/>
      <w:sz w:val="36"/>
    </w:rPr>
  </w:style>
  <w:style w:type="paragraph" w:customStyle="1" w:styleId="DefinitionL">
    <w:name w:val="Definition L"/>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pPr>
    <w:rPr>
      <w:rFonts w:ascii="Times New Roman" w:hAnsi="Times New Roman"/>
      <w:snapToGrid w:val="0"/>
      <w:sz w:val="24"/>
      <w:lang w:eastAsia="zh-CN"/>
    </w:rPr>
  </w:style>
  <w:style w:type="paragraph" w:customStyle="1" w:styleId="Tableheading0">
    <w:name w:val="Table heading"/>
    <w:basedOn w:val="Normal"/>
    <w:pPr>
      <w:keepNext/>
      <w:spacing w:before="120"/>
      <w:ind w:left="1984" w:hanging="907"/>
    </w:pPr>
    <w:rPr>
      <w:i/>
      <w:color w:val="auto"/>
    </w:rPr>
  </w:style>
  <w:style w:type="paragraph" w:customStyle="1" w:styleId="Figure">
    <w:name w:val="Figure"/>
    <w:basedOn w:val="Normal"/>
    <w:pPr>
      <w:widowControl w:val="0"/>
      <w:spacing w:line="-240" w:lineRule="auto"/>
      <w:ind w:left="1077"/>
    </w:pPr>
    <w:rPr>
      <w:rFonts w:ascii="Arial" w:hAnsi="Arial"/>
      <w:b/>
      <w:color w:val="auto"/>
    </w:rPr>
  </w:style>
  <w:style w:type="paragraph" w:styleId="Index1">
    <w:name w:val="index 1"/>
    <w:basedOn w:val="Normal"/>
    <w:next w:val="Normal"/>
    <w:autoRedefine/>
    <w:semiHidden/>
    <w:pPr>
      <w:ind w:left="240" w:hanging="240"/>
    </w:pPr>
    <w:rPr>
      <w:color w:val="auto"/>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olor w:val="auto"/>
    </w:rPr>
  </w:style>
  <w:style w:type="paragraph" w:customStyle="1" w:styleId="xl25">
    <w:name w:val="xl25"/>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b/>
      <w:color w:val="auto"/>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b/>
      <w:color w:val="auto"/>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olor w:val="auto"/>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olor w:val="auto"/>
    </w:rPr>
  </w:style>
  <w:style w:type="paragraph" w:customStyle="1" w:styleId="xl29">
    <w:name w:val="xl2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olor w:val="auto"/>
    </w:rPr>
  </w:style>
  <w:style w:type="paragraph" w:customStyle="1" w:styleId="xl30">
    <w:name w:val="xl30"/>
    <w:basedOn w:val="Normal"/>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olor w:val="auto"/>
    </w:rPr>
  </w:style>
  <w:style w:type="paragraph" w:customStyle="1" w:styleId="xl31">
    <w:name w:val="xl3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eastAsia="Arial Unicode MS" w:hAnsi="Arial"/>
      <w:color w:val="auto"/>
    </w:rPr>
  </w:style>
  <w:style w:type="paragraph" w:customStyle="1" w:styleId="xl32">
    <w:name w:val="xl32"/>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b/>
      <w:color w:val="auto"/>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b/>
      <w:color w:val="auto"/>
    </w:rPr>
  </w:style>
  <w:style w:type="character" w:styleId="Strong">
    <w:name w:val="Strong"/>
    <w:uiPriority w:val="22"/>
    <w:qFormat/>
    <w:rPr>
      <w:b/>
    </w:rPr>
  </w:style>
  <w:style w:type="paragraph" w:styleId="BalloonText">
    <w:name w:val="Balloon Text"/>
    <w:basedOn w:val="Normal"/>
    <w:uiPriority w:val="99"/>
    <w:rPr>
      <w:rFonts w:ascii="Tahoma" w:hAnsi="Tahoma"/>
      <w:sz w:val="16"/>
    </w:rPr>
  </w:style>
  <w:style w:type="paragraph" w:styleId="NormalWeb">
    <w:name w:val="Normal (Web)"/>
    <w:basedOn w:val="Normal"/>
    <w:uiPriority w:val="99"/>
    <w:pPr>
      <w:spacing w:before="100" w:after="100"/>
    </w:pPr>
    <w:rPr>
      <w:color w:val="auto"/>
      <w:lang w:val="en-US"/>
    </w:rPr>
  </w:style>
  <w:style w:type="paragraph" w:customStyle="1" w:styleId="Thesisheading1">
    <w:name w:val="Thesisheading1"/>
    <w:basedOn w:val="BodyTextIndent2"/>
    <w:pPr>
      <w:widowControl/>
      <w:numPr>
        <w:numId w:val="2"/>
      </w:numPr>
      <w:spacing w:line="360" w:lineRule="auto"/>
    </w:pPr>
    <w:rPr>
      <w:rFonts w:ascii="Arial" w:hAnsi="Arial"/>
      <w:b/>
      <w:caps/>
      <w:snapToGrid/>
      <w:sz w:val="32"/>
    </w:rPr>
  </w:style>
  <w:style w:type="paragraph" w:customStyle="1" w:styleId="Thesisheading4">
    <w:name w:val="Thesisheading4"/>
    <w:basedOn w:val="Heading3"/>
    <w:pPr>
      <w:numPr>
        <w:ilvl w:val="2"/>
        <w:numId w:val="2"/>
      </w:numPr>
      <w:tabs>
        <w:tab w:val="clear" w:pos="720"/>
        <w:tab w:val="num" w:pos="2880"/>
      </w:tabs>
      <w:spacing w:line="360" w:lineRule="auto"/>
      <w:ind w:left="2880" w:hanging="360"/>
    </w:pPr>
    <w:rPr>
      <w:rFonts w:ascii="Arial" w:hAnsi="Arial"/>
      <w:b w:val="0"/>
      <w:snapToGrid/>
    </w:rPr>
  </w:style>
  <w:style w:type="paragraph" w:customStyle="1" w:styleId="font5">
    <w:name w:val="font5"/>
    <w:basedOn w:val="Normal"/>
    <w:pPr>
      <w:spacing w:before="100" w:after="100"/>
    </w:pPr>
    <w:rPr>
      <w:rFonts w:ascii="Arial" w:eastAsia="Arial Unicode MS" w:hAnsi="Arial"/>
      <w:color w:val="00FF00"/>
      <w:sz w:val="20"/>
      <w:lang w:val="en-AU"/>
    </w:rPr>
  </w:style>
  <w:style w:type="paragraph" w:customStyle="1" w:styleId="xl34">
    <w:name w:val="xl34"/>
    <w:basedOn w:val="Normal"/>
    <w:pPr>
      <w:pBdr>
        <w:left w:val="single" w:sz="4" w:space="0" w:color="auto"/>
        <w:bottom w:val="single" w:sz="4" w:space="0" w:color="auto"/>
        <w:right w:val="single" w:sz="4" w:space="0" w:color="auto"/>
      </w:pBdr>
      <w:spacing w:before="100" w:after="100"/>
      <w:textAlignment w:val="top"/>
    </w:pPr>
    <w:rPr>
      <w:rFonts w:ascii="Arial" w:eastAsia="Arial Unicode MS" w:hAnsi="Arial"/>
      <w:color w:val="auto"/>
      <w:lang w:val="en-AU"/>
    </w:rPr>
  </w:style>
  <w:style w:type="paragraph" w:customStyle="1" w:styleId="xl35">
    <w:name w:val="xl35"/>
    <w:basedOn w:val="Normal"/>
    <w:pPr>
      <w:pBdr>
        <w:left w:val="single" w:sz="4" w:space="0" w:color="auto"/>
        <w:bottom w:val="single" w:sz="4" w:space="0" w:color="auto"/>
        <w:right w:val="single" w:sz="4" w:space="0" w:color="auto"/>
      </w:pBdr>
      <w:spacing w:before="100" w:after="100"/>
      <w:textAlignment w:val="top"/>
    </w:pPr>
    <w:rPr>
      <w:rFonts w:ascii="Arial" w:eastAsia="Arial Unicode MS" w:hAnsi="Arial"/>
      <w:color w:val="auto"/>
      <w:lang w:val="en-AU"/>
    </w:rPr>
  </w:style>
  <w:style w:type="paragraph" w:customStyle="1" w:styleId="xl36">
    <w:name w:val="xl36"/>
    <w:basedOn w:val="Normal"/>
    <w:pPr>
      <w:pBdr>
        <w:top w:val="single" w:sz="4" w:space="0" w:color="auto"/>
        <w:left w:val="single" w:sz="4" w:space="0" w:color="auto"/>
        <w:bottom w:val="single" w:sz="4" w:space="0" w:color="auto"/>
        <w:right w:val="single" w:sz="4" w:space="0" w:color="auto"/>
      </w:pBdr>
      <w:spacing w:before="100" w:after="100"/>
      <w:textAlignment w:val="top"/>
    </w:pPr>
    <w:rPr>
      <w:rFonts w:ascii="Arial" w:eastAsia="Arial Unicode MS" w:hAnsi="Arial"/>
      <w:color w:val="auto"/>
      <w:lang w:val="en-AU"/>
    </w:rPr>
  </w:style>
  <w:style w:type="paragraph" w:customStyle="1" w:styleId="xl37">
    <w:name w:val="xl37"/>
    <w:basedOn w:val="Normal"/>
    <w:pPr>
      <w:pBdr>
        <w:top w:val="single" w:sz="4" w:space="0" w:color="auto"/>
        <w:left w:val="single" w:sz="4" w:space="0" w:color="auto"/>
        <w:bottom w:val="single" w:sz="4" w:space="0" w:color="auto"/>
        <w:right w:val="single" w:sz="4" w:space="0" w:color="auto"/>
      </w:pBdr>
      <w:spacing w:before="100" w:after="100"/>
      <w:textAlignment w:val="top"/>
    </w:pPr>
    <w:rPr>
      <w:rFonts w:ascii="Arial" w:eastAsia="Arial Unicode MS" w:hAnsi="Arial"/>
      <w:color w:val="auto"/>
      <w:lang w:val="en-AU"/>
    </w:rPr>
  </w:style>
  <w:style w:type="paragraph" w:customStyle="1" w:styleId="xl38">
    <w:name w:val="xl38"/>
    <w:basedOn w:val="Normal"/>
    <w:pPr>
      <w:pBdr>
        <w:top w:val="single" w:sz="4" w:space="0" w:color="auto"/>
        <w:left w:val="single" w:sz="4" w:space="0" w:color="auto"/>
        <w:bottom w:val="single" w:sz="4" w:space="0" w:color="auto"/>
        <w:right w:val="single" w:sz="4" w:space="0" w:color="auto"/>
      </w:pBdr>
      <w:spacing w:before="100" w:after="100"/>
      <w:textAlignment w:val="top"/>
    </w:pPr>
    <w:rPr>
      <w:rFonts w:ascii="Arial" w:eastAsia="Arial Unicode MS" w:hAnsi="Arial"/>
      <w:color w:val="auto"/>
      <w:lang w:val="en-AU"/>
    </w:rPr>
  </w:style>
  <w:style w:type="paragraph" w:customStyle="1" w:styleId="xl39">
    <w:name w:val="xl39"/>
    <w:basedOn w:val="Normal"/>
    <w:pPr>
      <w:pBdr>
        <w:top w:val="single" w:sz="4" w:space="0" w:color="auto"/>
        <w:left w:val="single" w:sz="4" w:space="0" w:color="auto"/>
        <w:bottom w:val="single" w:sz="4" w:space="0" w:color="auto"/>
        <w:right w:val="single" w:sz="4" w:space="0" w:color="auto"/>
      </w:pBdr>
      <w:shd w:val="clear" w:color="auto" w:fill="FFFFFF"/>
      <w:spacing w:before="100" w:after="100"/>
      <w:jc w:val="both"/>
      <w:textAlignment w:val="top"/>
    </w:pPr>
    <w:rPr>
      <w:rFonts w:ascii="Arial" w:eastAsia="Arial Unicode MS" w:hAnsi="Arial"/>
      <w:color w:val="auto"/>
      <w:lang w:val="en-AU"/>
    </w:rPr>
  </w:style>
  <w:style w:type="paragraph" w:customStyle="1" w:styleId="xl40">
    <w:name w:val="xl40"/>
    <w:basedOn w:val="Normal"/>
    <w:pPr>
      <w:pBdr>
        <w:top w:val="single" w:sz="4" w:space="0" w:color="auto"/>
        <w:left w:val="single" w:sz="4" w:space="0" w:color="auto"/>
        <w:bottom w:val="single" w:sz="4" w:space="0" w:color="auto"/>
        <w:right w:val="single" w:sz="4" w:space="0" w:color="auto"/>
      </w:pBdr>
      <w:shd w:val="clear" w:color="auto" w:fill="FFFFFF"/>
      <w:spacing w:before="100" w:after="100"/>
      <w:textAlignment w:val="top"/>
    </w:pPr>
    <w:rPr>
      <w:rFonts w:ascii="Arial" w:eastAsia="Arial Unicode MS" w:hAnsi="Arial"/>
      <w:color w:val="auto"/>
      <w:lang w:val="en-AU"/>
    </w:rPr>
  </w:style>
  <w:style w:type="paragraph" w:customStyle="1" w:styleId="xl41">
    <w:name w:val="xl41"/>
    <w:basedOn w:val="Normal"/>
    <w:pPr>
      <w:spacing w:before="100" w:after="100"/>
    </w:pPr>
    <w:rPr>
      <w:rFonts w:ascii="Arial" w:eastAsia="Arial Unicode MS" w:hAnsi="Arial"/>
      <w:color w:val="auto"/>
      <w:lang w:val="en-AU"/>
    </w:rPr>
  </w:style>
  <w:style w:type="paragraph" w:customStyle="1" w:styleId="xl42">
    <w:name w:val="xl42"/>
    <w:basedOn w:val="Normal"/>
    <w:pPr>
      <w:pBdr>
        <w:top w:val="single" w:sz="4" w:space="0" w:color="auto"/>
        <w:left w:val="single" w:sz="4" w:space="0" w:color="000000"/>
        <w:right w:val="single" w:sz="4" w:space="0" w:color="auto"/>
      </w:pBdr>
      <w:spacing w:before="100" w:after="100"/>
      <w:textAlignment w:val="top"/>
    </w:pPr>
    <w:rPr>
      <w:rFonts w:ascii="Arial" w:eastAsia="Arial Unicode MS" w:hAnsi="Arial"/>
      <w:color w:val="auto"/>
      <w:lang w:val="en-AU"/>
    </w:rPr>
  </w:style>
  <w:style w:type="paragraph" w:customStyle="1" w:styleId="xl43">
    <w:name w:val="xl43"/>
    <w:basedOn w:val="Normal"/>
    <w:pPr>
      <w:spacing w:before="100" w:after="100"/>
      <w:jc w:val="center"/>
    </w:pPr>
    <w:rPr>
      <w:rFonts w:ascii="Arial" w:eastAsia="Arial Unicode MS" w:hAnsi="Arial"/>
      <w:color w:val="auto"/>
      <w:lang w:val="en-AU"/>
    </w:rPr>
  </w:style>
  <w:style w:type="paragraph" w:customStyle="1" w:styleId="xl44">
    <w:name w:val="xl44"/>
    <w:basedOn w:val="Normal"/>
    <w:pPr>
      <w:spacing w:before="100" w:after="100"/>
      <w:textAlignment w:val="top"/>
    </w:pPr>
    <w:rPr>
      <w:rFonts w:ascii="Arial" w:eastAsia="Arial Unicode MS" w:hAnsi="Arial"/>
      <w:color w:val="auto"/>
      <w:lang w:val="en-AU"/>
    </w:rPr>
  </w:style>
  <w:style w:type="paragraph" w:customStyle="1" w:styleId="xl45">
    <w:name w:val="xl45"/>
    <w:basedOn w:val="Normal"/>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46">
    <w:name w:val="xl46"/>
    <w:basedOn w:val="Normal"/>
    <w:pPr>
      <w:pBdr>
        <w:top w:val="single" w:sz="4" w:space="0" w:color="auto"/>
        <w:left w:val="single" w:sz="4" w:space="0" w:color="auto"/>
        <w:bottom w:val="single" w:sz="4" w:space="0" w:color="auto"/>
        <w:right w:val="single" w:sz="4" w:space="0" w:color="auto"/>
      </w:pBdr>
      <w:shd w:val="clear" w:color="auto" w:fill="FFFFFF"/>
      <w:spacing w:before="100" w:after="100"/>
      <w:textAlignment w:val="top"/>
    </w:pPr>
    <w:rPr>
      <w:rFonts w:ascii="Arial" w:eastAsia="Arial Unicode MS" w:hAnsi="Arial"/>
      <w:color w:val="auto"/>
      <w:lang w:val="en-AU"/>
    </w:rPr>
  </w:style>
  <w:style w:type="paragraph" w:customStyle="1" w:styleId="xl47">
    <w:name w:val="xl47"/>
    <w:basedOn w:val="Normal"/>
    <w:pPr>
      <w:pBdr>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48">
    <w:name w:val="xl48"/>
    <w:basedOn w:val="Normal"/>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49">
    <w:name w:val="xl49"/>
    <w:basedOn w:val="Normal"/>
    <w:pPr>
      <w:pBdr>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50">
    <w:name w:val="xl50"/>
    <w:basedOn w:val="Normal"/>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51">
    <w:name w:val="xl51"/>
    <w:basedOn w:val="Normal"/>
    <w:pPr>
      <w:pBdr>
        <w:top w:val="single" w:sz="4" w:space="0" w:color="auto"/>
        <w:left w:val="single" w:sz="4" w:space="0" w:color="auto"/>
        <w:bottom w:val="single" w:sz="4" w:space="0" w:color="auto"/>
        <w:right w:val="single" w:sz="4" w:space="0" w:color="auto"/>
      </w:pBdr>
      <w:shd w:val="clear" w:color="auto" w:fill="FFFFFF"/>
      <w:spacing w:before="100" w:after="100"/>
      <w:jc w:val="center"/>
      <w:textAlignment w:val="top"/>
    </w:pPr>
    <w:rPr>
      <w:rFonts w:ascii="Arial" w:eastAsia="Arial Unicode MS" w:hAnsi="Arial"/>
      <w:color w:val="auto"/>
      <w:lang w:val="en-AU"/>
    </w:rPr>
  </w:style>
  <w:style w:type="paragraph" w:customStyle="1" w:styleId="xl52">
    <w:name w:val="xl52"/>
    <w:basedOn w:val="Normal"/>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53">
    <w:name w:val="xl53"/>
    <w:basedOn w:val="Normal"/>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54">
    <w:name w:val="xl54"/>
    <w:basedOn w:val="Normal"/>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55">
    <w:name w:val="xl55"/>
    <w:basedOn w:val="Normal"/>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56">
    <w:name w:val="xl56"/>
    <w:basedOn w:val="Normal"/>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Default">
    <w:name w:val="Default"/>
    <w:pPr>
      <w:autoSpaceDE w:val="0"/>
      <w:autoSpaceDN w:val="0"/>
      <w:adjustRightInd w:val="0"/>
    </w:pPr>
    <w:rPr>
      <w:rFonts w:ascii="Times New Roman" w:hAnsi="Times New Roman"/>
      <w:color w:val="000000"/>
      <w:sz w:val="24"/>
    </w:rPr>
  </w:style>
  <w:style w:type="paragraph" w:styleId="ListNumber5">
    <w:name w:val="List Number 5"/>
    <w:basedOn w:val="Normal"/>
    <w:pPr>
      <w:numPr>
        <w:numId w:val="3"/>
      </w:numPr>
      <w:tabs>
        <w:tab w:val="clear" w:pos="1492"/>
        <w:tab w:val="num" w:pos="1800"/>
      </w:tabs>
      <w:spacing w:after="0"/>
      <w:ind w:left="1800"/>
    </w:pPr>
    <w:rPr>
      <w:color w:val="auto"/>
      <w:lang w:val="en-US"/>
    </w:rPr>
  </w:style>
  <w:style w:type="paragraph" w:customStyle="1" w:styleId="Sectionheading">
    <w:name w:val="Section heading"/>
    <w:basedOn w:val="Heading2"/>
    <w:pPr>
      <w:spacing w:before="120"/>
      <w:ind w:left="1080" w:hanging="1080"/>
    </w:pPr>
    <w:rPr>
      <w:snapToGrid/>
    </w:rPr>
  </w:style>
  <w:style w:type="paragraph" w:customStyle="1" w:styleId="Sectionsub-heading">
    <w:name w:val="Section sub-heading"/>
    <w:basedOn w:val="Heading3"/>
    <w:pPr>
      <w:spacing w:before="60"/>
      <w:ind w:left="2126" w:hanging="1049"/>
    </w:pPr>
    <w:rPr>
      <w:snapToGrid/>
    </w:rPr>
  </w:style>
  <w:style w:type="paragraph" w:customStyle="1" w:styleId="MainTextIndent">
    <w:name w:val="Main Text Indent"/>
    <w:basedOn w:val="MainText"/>
    <w:pPr>
      <w:tabs>
        <w:tab w:val="left" w:pos="567"/>
      </w:tabs>
      <w:ind w:left="993" w:hanging="993"/>
    </w:pPr>
  </w:style>
  <w:style w:type="paragraph" w:customStyle="1" w:styleId="MainTextDoubleIndent">
    <w:name w:val="Main Text Double Indent"/>
    <w:basedOn w:val="MainTextIndent"/>
    <w:pPr>
      <w:tabs>
        <w:tab w:val="left" w:pos="993"/>
      </w:tabs>
      <w:ind w:left="1418" w:hanging="1418"/>
    </w:pPr>
  </w:style>
  <w:style w:type="paragraph" w:customStyle="1" w:styleId="HeadingSub">
    <w:name w:val="Heading: Sub"/>
    <w:basedOn w:val="MainText"/>
    <w:rPr>
      <w:rFonts w:ascii="Futura" w:hAnsi="Futura"/>
    </w:rPr>
  </w:style>
  <w:style w:type="paragraph" w:customStyle="1" w:styleId="MainTextNon-indent">
    <w:name w:val="Main Text Non-indent"/>
    <w:basedOn w:val="MainText"/>
    <w:pPr>
      <w:ind w:left="0" w:firstLine="0"/>
    </w:pPr>
  </w:style>
  <w:style w:type="paragraph" w:customStyle="1" w:styleId="HeadingSection">
    <w:name w:val="Heading: Section"/>
    <w:basedOn w:val="Normal"/>
    <w:pPr>
      <w:widowControl w:val="0"/>
      <w:tabs>
        <w:tab w:val="left" w:pos="3969"/>
      </w:tabs>
      <w:spacing w:line="360" w:lineRule="exact"/>
      <w:ind w:left="1701" w:hanging="1701"/>
    </w:pPr>
    <w:rPr>
      <w:rFonts w:ascii="Arial" w:hAnsi="Arial"/>
    </w:rPr>
  </w:style>
  <w:style w:type="paragraph" w:customStyle="1" w:styleId="GCDCB12">
    <w:name w:val="GCD_CB12"/>
    <w:basedOn w:val="Normal"/>
    <w:next w:val="Normal"/>
    <w:pPr>
      <w:jc w:val="center"/>
    </w:pPr>
    <w:rPr>
      <w:b/>
      <w:color w:val="auto"/>
    </w:rPr>
  </w:style>
  <w:style w:type="paragraph" w:customStyle="1" w:styleId="Closeup">
    <w:name w:val="Closeup"/>
    <w:basedOn w:val="Normal"/>
    <w:pPr>
      <w:spacing w:after="0"/>
    </w:pPr>
    <w:rPr>
      <w:color w:val="auto"/>
      <w:lang w:eastAsia="ja-JP"/>
    </w:rPr>
  </w:style>
  <w:style w:type="paragraph" w:customStyle="1" w:styleId="ScreenFormat-1">
    <w:name w:val="ScreenFormat-1"/>
    <w:basedOn w:val="Normal"/>
    <w:pPr>
      <w:spacing w:before="120" w:after="120"/>
    </w:pPr>
    <w:rPr>
      <w:color w:val="auto"/>
      <w:sz w:val="32"/>
      <w:lang w:eastAsia="ja-JP"/>
    </w:rPr>
  </w:style>
  <w:style w:type="paragraph" w:customStyle="1" w:styleId="TableText">
    <w:name w:val="TableText"/>
    <w:basedOn w:val="BodyText"/>
    <w:pPr>
      <w:keepLines/>
      <w:spacing w:after="0" w:line="240" w:lineRule="auto"/>
    </w:pPr>
    <w:rPr>
      <w:rFonts w:eastAsia="Times"/>
      <w:color w:val="auto"/>
      <w:sz w:val="20"/>
      <w:lang w:val="en-US" w:eastAsia="ja-JP"/>
    </w:rPr>
  </w:style>
  <w:style w:type="paragraph" w:customStyle="1" w:styleId="Equation">
    <w:name w:val="Equation"/>
    <w:basedOn w:val="BodyText"/>
    <w:pPr>
      <w:keepLines/>
      <w:tabs>
        <w:tab w:val="right" w:pos="9639"/>
      </w:tabs>
      <w:spacing w:after="0" w:line="240" w:lineRule="auto"/>
      <w:ind w:left="567"/>
    </w:pPr>
    <w:rPr>
      <w:rFonts w:eastAsia="Times"/>
      <w:color w:val="auto"/>
      <w:lang w:val="en-US" w:eastAsia="ja-JP"/>
    </w:rPr>
  </w:style>
  <w:style w:type="paragraph" w:customStyle="1" w:styleId="Note">
    <w:name w:val="Note"/>
    <w:basedOn w:val="BodyText"/>
    <w:pPr>
      <w:keepLines/>
      <w:pBdr>
        <w:top w:val="single" w:sz="2" w:space="1" w:color="808080"/>
        <w:left w:val="single" w:sz="2" w:space="4" w:color="808080"/>
        <w:bottom w:val="single" w:sz="2" w:space="1" w:color="808080"/>
        <w:right w:val="single" w:sz="2" w:space="4" w:color="808080"/>
      </w:pBdr>
      <w:spacing w:after="0" w:line="240" w:lineRule="auto"/>
    </w:pPr>
    <w:rPr>
      <w:rFonts w:eastAsia="Times"/>
      <w:i/>
      <w:color w:val="auto"/>
      <w:lang w:val="en-US" w:eastAsia="ja-JP"/>
    </w:rPr>
  </w:style>
  <w:style w:type="paragraph" w:customStyle="1" w:styleId="AR4Listbullet1">
    <w:name w:val="AR4 List bullet 1"/>
    <w:basedOn w:val="Normal"/>
    <w:pPr>
      <w:numPr>
        <w:numId w:val="4"/>
      </w:numPr>
      <w:spacing w:after="0"/>
    </w:pPr>
    <w:rPr>
      <w:rFonts w:ascii="Times" w:eastAsia="Times" w:hAnsi="Times"/>
      <w:color w:val="auto"/>
      <w:lang w:val="en-US" w:eastAsia="ja-JP"/>
    </w:rPr>
  </w:style>
  <w:style w:type="paragraph" w:customStyle="1" w:styleId="OurCaption">
    <w:name w:val="OurCaption"/>
    <w:basedOn w:val="Normal"/>
    <w:pPr>
      <w:spacing w:after="0"/>
      <w:ind w:right="12"/>
    </w:pPr>
    <w:rPr>
      <w:rFonts w:eastAsia="Times"/>
      <w:color w:val="auto"/>
      <w:sz w:val="20"/>
      <w:lang w:eastAsia="ja-JP"/>
    </w:rPr>
  </w:style>
  <w:style w:type="paragraph" w:customStyle="1" w:styleId="Paralevel1">
    <w:name w:val="Para level1"/>
    <w:basedOn w:val="Normal"/>
    <w:autoRedefine/>
    <w:pPr>
      <w:tabs>
        <w:tab w:val="left" w:pos="2070"/>
      </w:tabs>
      <w:suppressAutoHyphens/>
    </w:pPr>
    <w:rPr>
      <w:color w:val="auto"/>
      <w:sz w:val="20"/>
    </w:rPr>
  </w:style>
  <w:style w:type="paragraph" w:customStyle="1" w:styleId="CH4">
    <w:name w:val="CH4"/>
    <w:basedOn w:val="Normal"/>
    <w:autoRedefine/>
    <w:pPr>
      <w:keepNext/>
      <w:keepLines/>
      <w:numPr>
        <w:numId w:val="5"/>
      </w:numPr>
      <w:tabs>
        <w:tab w:val="clear" w:pos="0"/>
        <w:tab w:val="num" w:pos="360"/>
      </w:tabs>
      <w:spacing w:before="120"/>
      <w:ind w:left="0"/>
    </w:pPr>
    <w:rPr>
      <w:b/>
      <w:color w:val="auto"/>
      <w:sz w:val="20"/>
    </w:rPr>
  </w:style>
  <w:style w:type="character" w:customStyle="1" w:styleId="Para1Car">
    <w:name w:val="Para (1) Car"/>
    <w:aliases w:val="Heading 1 Char1 Char Car,Heading 1 Char Char Char Car,Para (1) Char Char Char Car,Para (1) Char1 Char Car,Heading 1 Char1 Car,Heading 1 Char Char Car,Para (1) Char Char Car,Para (1) Char1 Car,Heading 1 Char1 Char Char Car,Heading 1 Char Car"/>
    <w:rPr>
      <w:rFonts w:ascii="Arial" w:eastAsia="MS Mincho" w:hAnsi="Arial" w:cs="Arial"/>
      <w:b/>
      <w:bCs/>
      <w:noProof w:val="0"/>
      <w:kern w:val="32"/>
      <w:sz w:val="32"/>
      <w:szCs w:val="32"/>
      <w:lang w:val="en-US" w:eastAsia="ja-JP" w:bidi="ar-SA"/>
    </w:rPr>
  </w:style>
  <w:style w:type="paragraph" w:customStyle="1" w:styleId="Titulo3">
    <w:name w:val="Titulo 3"/>
    <w:basedOn w:val="Normal"/>
    <w:pPr>
      <w:widowControl w:val="0"/>
      <w:spacing w:after="0"/>
      <w:ind w:left="1185"/>
      <w:jc w:val="both"/>
    </w:pPr>
    <w:rPr>
      <w:rFonts w:eastAsia="MS Mincho"/>
      <w:b/>
      <w:i/>
      <w:color w:val="auto"/>
      <w:kern w:val="2"/>
      <w:lang w:val="en-US" w:eastAsia="ja-JP"/>
    </w:rPr>
  </w:style>
  <w:style w:type="paragraph" w:customStyle="1" w:styleId="Style2">
    <w:name w:val="Style2"/>
    <w:basedOn w:val="Normal"/>
    <w:link w:val="Style2Char"/>
    <w:qFormat/>
    <w:pPr>
      <w:spacing w:after="0"/>
    </w:pPr>
    <w:rPr>
      <w:color w:val="auto"/>
      <w:lang w:eastAsia="en-GB"/>
    </w:rPr>
  </w:style>
  <w:style w:type="character" w:customStyle="1" w:styleId="Style2Char">
    <w:name w:val="Style2 Char"/>
    <w:link w:val="Style2"/>
    <w:rsid w:val="005B1FC8"/>
    <w:rPr>
      <w:rFonts w:ascii="Times New Roman" w:hAnsi="Times New Roman"/>
      <w:sz w:val="22"/>
      <w:lang w:val="en-GB" w:eastAsia="en-GB"/>
    </w:rPr>
  </w:style>
  <w:style w:type="paragraph" w:customStyle="1" w:styleId="TEXTO">
    <w:name w:val="TEXTO"/>
    <w:pPr>
      <w:autoSpaceDE w:val="0"/>
      <w:autoSpaceDN w:val="0"/>
      <w:adjustRightInd w:val="0"/>
      <w:jc w:val="both"/>
    </w:pPr>
    <w:rPr>
      <w:rFonts w:ascii="Galliard" w:hAnsi="Galliard"/>
      <w:color w:val="000000"/>
      <w:sz w:val="22"/>
      <w:szCs w:val="22"/>
    </w:rPr>
  </w:style>
  <w:style w:type="paragraph" w:customStyle="1" w:styleId="font6">
    <w:name w:val="font6"/>
    <w:basedOn w:val="Normal"/>
    <w:pPr>
      <w:spacing w:before="100" w:beforeAutospacing="1" w:after="100" w:afterAutospacing="1"/>
    </w:pPr>
    <w:rPr>
      <w:rFonts w:ascii="Arial" w:eastAsia="Arial Unicode MS" w:hAnsi="Arial" w:cs="Arial"/>
      <w:color w:val="auto"/>
      <w:sz w:val="20"/>
      <w:lang w:eastAsia="en-US"/>
    </w:rPr>
  </w:style>
  <w:style w:type="paragraph" w:customStyle="1" w:styleId="font7">
    <w:name w:val="font7"/>
    <w:basedOn w:val="Normal"/>
    <w:pPr>
      <w:spacing w:before="100" w:beforeAutospacing="1" w:after="100" w:afterAutospacing="1"/>
    </w:pPr>
    <w:rPr>
      <w:rFonts w:ascii="Arial" w:eastAsia="Arial Unicode MS" w:hAnsi="Arial" w:cs="Arial"/>
      <w:color w:val="FF0000"/>
      <w:sz w:val="20"/>
      <w:lang w:eastAsia="en-US"/>
    </w:rPr>
  </w:style>
  <w:style w:type="paragraph" w:customStyle="1" w:styleId="font8">
    <w:name w:val="font8"/>
    <w:basedOn w:val="Normal"/>
    <w:pPr>
      <w:spacing w:before="100" w:beforeAutospacing="1" w:after="100" w:afterAutospacing="1"/>
    </w:pPr>
    <w:rPr>
      <w:rFonts w:ascii="Arial" w:eastAsia="Arial Unicode MS" w:hAnsi="Arial" w:cs="Arial"/>
      <w:color w:val="0000FF"/>
      <w:sz w:val="20"/>
      <w:lang w:eastAsia="en-US"/>
    </w:rPr>
  </w:style>
  <w:style w:type="paragraph" w:customStyle="1" w:styleId="Normaalweb">
    <w:name w:val="Normaal (web)"/>
    <w:basedOn w:val="Normal"/>
    <w:pPr>
      <w:spacing w:before="100" w:beforeAutospacing="1" w:after="100" w:afterAutospacing="1"/>
    </w:pPr>
    <w:rPr>
      <w:szCs w:val="24"/>
      <w:lang w:val="fr-FR" w:eastAsia="fr-FR"/>
    </w:rPr>
  </w:style>
  <w:style w:type="character" w:customStyle="1" w:styleId="epaltsans1">
    <w:name w:val="epaltsans1"/>
    <w:rPr>
      <w:rFonts w:ascii="Arial" w:hAnsi="Arial" w:cs="Arial" w:hint="default"/>
      <w:sz w:val="16"/>
      <w:szCs w:val="16"/>
    </w:rPr>
  </w:style>
  <w:style w:type="paragraph" w:styleId="List">
    <w:name w:val="List"/>
    <w:basedOn w:val="Normal"/>
    <w:semiHidden/>
    <w:pPr>
      <w:spacing w:after="0"/>
      <w:ind w:left="360" w:hanging="360"/>
    </w:pPr>
    <w:rPr>
      <w:color w:val="auto"/>
      <w:szCs w:val="24"/>
      <w:lang w:val="en-US" w:eastAsia="en-US"/>
    </w:rPr>
  </w:style>
  <w:style w:type="character" w:customStyle="1" w:styleId="w">
    <w:name w:val="w"/>
    <w:basedOn w:val="DefaultParagraphFont"/>
  </w:style>
  <w:style w:type="paragraph" w:customStyle="1" w:styleId="BodyTextLetterBullets">
    <w:name w:val="Body Text + Letter Bullets"/>
    <w:basedOn w:val="BodyText"/>
    <w:pPr>
      <w:tabs>
        <w:tab w:val="num" w:pos="360"/>
      </w:tabs>
      <w:spacing w:before="120" w:after="0" w:line="288" w:lineRule="auto"/>
    </w:pPr>
    <w:rPr>
      <w:color w:val="auto"/>
      <w:szCs w:val="22"/>
      <w:lang w:val="en-US" w:eastAsia="en-US"/>
    </w:rPr>
  </w:style>
  <w:style w:type="paragraph" w:customStyle="1" w:styleId="BodyTextSmallBullets">
    <w:name w:val="Body Text + Small Bullets"/>
    <w:basedOn w:val="BodyText"/>
    <w:pPr>
      <w:tabs>
        <w:tab w:val="num" w:pos="360"/>
      </w:tabs>
      <w:spacing w:after="0" w:line="288" w:lineRule="auto"/>
    </w:pPr>
    <w:rPr>
      <w:color w:val="auto"/>
      <w:szCs w:val="22"/>
      <w:lang w:val="en-AU" w:eastAsia="en-US"/>
    </w:rPr>
  </w:style>
  <w:style w:type="paragraph" w:customStyle="1" w:styleId="BodyTextbullet">
    <w:name w:val="Body Text + bullet"/>
    <w:basedOn w:val="BodyText"/>
    <w:pPr>
      <w:tabs>
        <w:tab w:val="num" w:pos="360"/>
      </w:tabs>
      <w:spacing w:after="0" w:line="288" w:lineRule="auto"/>
    </w:pPr>
    <w:rPr>
      <w:color w:val="auto"/>
      <w:szCs w:val="22"/>
      <w:lang w:val="en-AU" w:eastAsia="en-US"/>
    </w:rPr>
  </w:style>
  <w:style w:type="paragraph" w:customStyle="1" w:styleId="Head1">
    <w:name w:val="Head 1"/>
    <w:basedOn w:val="Normal"/>
    <w:pPr>
      <w:tabs>
        <w:tab w:val="left" w:pos="340"/>
        <w:tab w:val="num" w:pos="720"/>
        <w:tab w:val="left" w:pos="2775"/>
        <w:tab w:val="left" w:pos="6300"/>
      </w:tabs>
      <w:autoSpaceDE w:val="0"/>
      <w:autoSpaceDN w:val="0"/>
      <w:adjustRightInd w:val="0"/>
      <w:spacing w:after="0"/>
      <w:ind w:left="340" w:hanging="340"/>
    </w:pPr>
    <w:rPr>
      <w:rFonts w:eastAsia="MS Mincho"/>
      <w:b/>
      <w:bCs/>
      <w:color w:val="auto"/>
      <w:szCs w:val="24"/>
      <w:lang w:val="en-US" w:eastAsia="en-US"/>
    </w:rPr>
  </w:style>
  <w:style w:type="paragraph" w:customStyle="1" w:styleId="xl57">
    <w:name w:val="xl57"/>
    <w:basedOn w:val="Normal"/>
    <w:pPr>
      <w:shd w:val="clear" w:color="auto" w:fill="FFFFFF"/>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58">
    <w:name w:val="xl58"/>
    <w:basedOn w:val="Normal"/>
    <w:pPr>
      <w:pBdr>
        <w:left w:val="single" w:sz="4" w:space="0" w:color="auto"/>
        <w:right w:val="single" w:sz="4" w:space="0" w:color="auto"/>
      </w:pBdr>
      <w:shd w:val="clear" w:color="auto" w:fill="FFFFFF"/>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59">
    <w:name w:val="xl59"/>
    <w:basedOn w:val="Normal"/>
    <w:pPr>
      <w:shd w:val="clear" w:color="auto" w:fill="FFFFFF"/>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60">
    <w:name w:val="xl60"/>
    <w:basedOn w:val="Normal"/>
    <w:pPr>
      <w:pBdr>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61">
    <w:name w:val="xl61"/>
    <w:basedOn w:val="Normal"/>
    <w:pPr>
      <w:pBdr>
        <w:top w:val="single" w:sz="4" w:space="0" w:color="auto"/>
        <w:bottom w:val="single" w:sz="4" w:space="0" w:color="auto"/>
      </w:pBdr>
      <w:shd w:val="clear" w:color="auto" w:fill="FFFFFF"/>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62">
    <w:name w:val="xl62"/>
    <w:basedOn w:val="Normal"/>
    <w:pPr>
      <w:pBdr>
        <w:top w:val="single" w:sz="4" w:space="0" w:color="auto"/>
        <w:bottom w:val="single" w:sz="4" w:space="0" w:color="auto"/>
      </w:pBdr>
      <w:shd w:val="clear" w:color="auto" w:fill="FFFFFF"/>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63">
    <w:name w:val="xl63"/>
    <w:basedOn w:val="Normal"/>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64">
    <w:name w:val="xl64"/>
    <w:basedOn w:val="Normal"/>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65">
    <w:name w:val="xl65"/>
    <w:basedOn w:val="Normal"/>
    <w:pPr>
      <w:pBdr>
        <w:top w:val="single" w:sz="4" w:space="0" w:color="auto"/>
      </w:pBdr>
      <w:shd w:val="clear" w:color="auto" w:fill="FFFFFF"/>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66">
    <w:name w:val="xl66"/>
    <w:basedOn w:val="Normal"/>
    <w:pPr>
      <w:pBdr>
        <w:top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67">
    <w:name w:val="xl67"/>
    <w:basedOn w:val="Normal"/>
    <w:pPr>
      <w:pBdr>
        <w:top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68">
    <w:name w:val="xl68"/>
    <w:basedOn w:val="Normal"/>
    <w:pPr>
      <w:pBdr>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69">
    <w:name w:val="xl69"/>
    <w:basedOn w:val="Normal"/>
    <w:pPr>
      <w:pBdr>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70">
    <w:name w:val="xl70"/>
    <w:basedOn w:val="Normal"/>
    <w:pPr>
      <w:pBdr>
        <w:top w:val="single" w:sz="4" w:space="0" w:color="auto"/>
        <w:left w:val="single" w:sz="4" w:space="0" w:color="auto"/>
        <w:right w:val="single" w:sz="4"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71">
    <w:name w:val="xl71"/>
    <w:basedOn w:val="Normal"/>
    <w:pPr>
      <w:pBdr>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72">
    <w:name w:val="xl72"/>
    <w:basedOn w:val="Normal"/>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73">
    <w:name w:val="xl73"/>
    <w:basedOn w:val="Normal"/>
    <w:pPr>
      <w:pBdr>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74">
    <w:name w:val="xl74"/>
    <w:basedOn w:val="Normal"/>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75">
    <w:name w:val="xl75"/>
    <w:basedOn w:val="Normal"/>
    <w:pPr>
      <w:pBdr>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76">
    <w:name w:val="xl76"/>
    <w:basedOn w:val="Normal"/>
    <w:pPr>
      <w:pBdr>
        <w:left w:val="single" w:sz="4" w:space="0" w:color="auto"/>
      </w:pBdr>
      <w:shd w:val="clear" w:color="auto" w:fill="FFFFFF"/>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77">
    <w:name w:val="xl77"/>
    <w:basedOn w:val="Normal"/>
    <w:pPr>
      <w:pBdr>
        <w:right w:val="single" w:sz="4" w:space="0" w:color="auto"/>
      </w:pBdr>
      <w:shd w:val="clear" w:color="auto" w:fill="FFFFFF"/>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78">
    <w:name w:val="xl78"/>
    <w:basedOn w:val="Normal"/>
    <w:pPr>
      <w:pBdr>
        <w:left w:val="single" w:sz="4" w:space="0" w:color="auto"/>
        <w:right w:val="single" w:sz="4" w:space="0" w:color="auto"/>
      </w:pBdr>
      <w:shd w:val="clear" w:color="auto" w:fill="FFFFFF"/>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79">
    <w:name w:val="xl79"/>
    <w:basedOn w:val="Normal"/>
    <w:pPr>
      <w:pBdr>
        <w:left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80">
    <w:name w:val="xl80"/>
    <w:basedOn w:val="Normal"/>
    <w:pPr>
      <w:pBdr>
        <w:right w:val="single" w:sz="4" w:space="0" w:color="auto"/>
      </w:pBdr>
      <w:shd w:val="clear" w:color="auto" w:fill="FFFFFF"/>
      <w:spacing w:before="100" w:beforeAutospacing="1" w:after="100" w:afterAutospacing="1"/>
    </w:pPr>
    <w:rPr>
      <w:rFonts w:ascii="Arial Unicode MS" w:hAnsi="Arial Unicode MS" w:cs="ArialUnicodeMS"/>
      <w:b/>
      <w:bCs/>
      <w:color w:val="auto"/>
      <w:sz w:val="12"/>
      <w:szCs w:val="12"/>
      <w:lang w:val="en-AU" w:eastAsia="en-US"/>
    </w:rPr>
  </w:style>
  <w:style w:type="paragraph" w:customStyle="1" w:styleId="xl81">
    <w:name w:val="xl81"/>
    <w:basedOn w:val="Normal"/>
    <w:pPr>
      <w:pBdr>
        <w:left w:val="single" w:sz="4" w:space="0" w:color="auto"/>
        <w:bottom w:val="single" w:sz="4" w:space="0" w:color="auto"/>
      </w:pBdr>
      <w:shd w:val="clear" w:color="auto" w:fill="FFFFFF"/>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82">
    <w:name w:val="xl82"/>
    <w:basedOn w:val="Normal"/>
    <w:pPr>
      <w:pBdr>
        <w:bottom w:val="single" w:sz="4" w:space="0" w:color="auto"/>
        <w:right w:val="single" w:sz="4" w:space="0" w:color="auto"/>
      </w:pBdr>
      <w:shd w:val="clear" w:color="auto" w:fill="FFFFFF"/>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83">
    <w:name w:val="xl83"/>
    <w:basedOn w:val="Normal"/>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84">
    <w:name w:val="xl84"/>
    <w:basedOn w:val="Normal"/>
    <w:pPr>
      <w:pBdr>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b/>
      <w:bCs/>
      <w:color w:val="auto"/>
      <w:sz w:val="12"/>
      <w:szCs w:val="12"/>
      <w:lang w:val="en-AU" w:eastAsia="en-US"/>
    </w:rPr>
  </w:style>
  <w:style w:type="paragraph" w:customStyle="1" w:styleId="xl85">
    <w:name w:val="xl85"/>
    <w:basedOn w:val="Normal"/>
    <w:pPr>
      <w:pBdr>
        <w:left w:val="single" w:sz="4" w:space="0" w:color="auto"/>
        <w:bottom w:val="single" w:sz="4" w:space="0" w:color="auto"/>
        <w:right w:val="single" w:sz="4"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86">
    <w:name w:val="xl8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87">
    <w:name w:val="xl87"/>
    <w:basedOn w:val="Normal"/>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88">
    <w:name w:val="xl88"/>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89">
    <w:name w:val="xl89"/>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90">
    <w:name w:val="xl90"/>
    <w:basedOn w:val="Normal"/>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91">
    <w:name w:val="xl91"/>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92">
    <w:name w:val="xl92"/>
    <w:basedOn w:val="Normal"/>
    <w:pPr>
      <w:pBdr>
        <w:top w:val="single" w:sz="4" w:space="0" w:color="auto"/>
        <w:left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93">
    <w:name w:val="xl93"/>
    <w:basedOn w:val="Normal"/>
    <w:pPr>
      <w:pBdr>
        <w:left w:val="single" w:sz="4" w:space="0" w:color="auto"/>
        <w:bottom w:val="single" w:sz="4" w:space="0" w:color="auto"/>
        <w:right w:val="single" w:sz="4"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94">
    <w:name w:val="xl94"/>
    <w:basedOn w:val="Normal"/>
    <w:pPr>
      <w:pBdr>
        <w:top w:val="single" w:sz="4" w:space="0" w:color="auto"/>
        <w:bottom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95">
    <w:name w:val="xl95"/>
    <w:basedOn w:val="Normal"/>
    <w:pPr>
      <w:pBdr>
        <w:top w:val="single" w:sz="4" w:space="0" w:color="auto"/>
        <w:left w:val="single" w:sz="4" w:space="0" w:color="auto"/>
        <w:bottom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96">
    <w:name w:val="xl96"/>
    <w:basedOn w:val="Normal"/>
    <w:pPr>
      <w:pBdr>
        <w:top w:val="single" w:sz="4" w:space="0" w:color="auto"/>
        <w:bottom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97">
    <w:name w:val="xl97"/>
    <w:basedOn w:val="Normal"/>
    <w:pPr>
      <w:pBdr>
        <w:top w:val="single" w:sz="4" w:space="0" w:color="auto"/>
        <w:bottom w:val="single" w:sz="4" w:space="0" w:color="auto"/>
      </w:pBdr>
      <w:spacing w:before="100" w:beforeAutospacing="1" w:after="100" w:afterAutospacing="1"/>
    </w:pPr>
    <w:rPr>
      <w:rFonts w:ascii="Arial Unicode MS" w:hAnsi="Arial Unicode MS" w:cs="ArialUnicodeMS"/>
      <w:color w:val="auto"/>
      <w:szCs w:val="24"/>
      <w:lang w:val="en-AU" w:eastAsia="en-US"/>
    </w:rPr>
  </w:style>
  <w:style w:type="paragraph" w:customStyle="1" w:styleId="xl98">
    <w:name w:val="xl98"/>
    <w:basedOn w:val="Normal"/>
    <w:pPr>
      <w:pBdr>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99">
    <w:name w:val="xl99"/>
    <w:basedOn w:val="Normal"/>
    <w:pPr>
      <w:pBdr>
        <w:top w:val="single" w:sz="4" w:space="0" w:color="auto"/>
        <w:left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100">
    <w:name w:val="xl100"/>
    <w:basedOn w:val="Normal"/>
    <w:pPr>
      <w:pBdr>
        <w:top w:val="single" w:sz="4" w:space="0" w:color="auto"/>
        <w:bottom w:val="single" w:sz="4" w:space="0" w:color="auto"/>
        <w:right w:val="single" w:sz="4" w:space="0" w:color="auto"/>
      </w:pBdr>
      <w:spacing w:before="100" w:beforeAutospacing="1" w:after="100" w:afterAutospacing="1"/>
    </w:pPr>
    <w:rPr>
      <w:rFonts w:ascii="Arial Unicode MS" w:hAnsi="Arial Unicode MS" w:cs="ArialUnicodeMS"/>
      <w:color w:val="auto"/>
      <w:szCs w:val="24"/>
      <w:lang w:val="en-AU" w:eastAsia="en-US"/>
    </w:rPr>
  </w:style>
  <w:style w:type="paragraph" w:customStyle="1" w:styleId="xl101">
    <w:name w:val="xl101"/>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102">
    <w:name w:val="xl102"/>
    <w:basedOn w:val="Normal"/>
    <w:pPr>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03">
    <w:name w:val="xl103"/>
    <w:basedOn w:val="Normal"/>
    <w:pPr>
      <w:pBdr>
        <w:top w:val="single" w:sz="4" w:space="0" w:color="auto"/>
        <w:lef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04">
    <w:name w:val="xl10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hAnsi="Arial Unicode MS" w:cs="ArialUnicodeMS"/>
      <w:b/>
      <w:bCs/>
      <w:color w:val="auto"/>
      <w:sz w:val="12"/>
      <w:szCs w:val="12"/>
      <w:lang w:val="en-AU" w:eastAsia="en-US"/>
    </w:rPr>
  </w:style>
  <w:style w:type="paragraph" w:customStyle="1" w:styleId="xl105">
    <w:name w:val="xl105"/>
    <w:basedOn w:val="Normal"/>
    <w:pPr>
      <w:pBdr>
        <w:top w:val="single" w:sz="4" w:space="0" w:color="auto"/>
        <w:bottom w:val="single" w:sz="4" w:space="0" w:color="auto"/>
      </w:pBdr>
      <w:spacing w:before="100" w:beforeAutospacing="1" w:after="100" w:afterAutospacing="1"/>
    </w:pPr>
    <w:rPr>
      <w:rFonts w:ascii="Arial Unicode MS" w:hAnsi="Arial Unicode MS" w:cs="ArialUnicodeMS"/>
      <w:b/>
      <w:bCs/>
      <w:color w:val="auto"/>
      <w:sz w:val="12"/>
      <w:szCs w:val="12"/>
      <w:lang w:val="en-AU" w:eastAsia="en-US"/>
    </w:rPr>
  </w:style>
  <w:style w:type="paragraph" w:customStyle="1" w:styleId="xl106">
    <w:name w:val="xl106"/>
    <w:basedOn w:val="Normal"/>
    <w:pPr>
      <w:pBdr>
        <w:top w:val="single" w:sz="4" w:space="0" w:color="auto"/>
        <w:left w:val="single" w:sz="4" w:space="0" w:color="auto"/>
        <w:right w:val="single" w:sz="4"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107">
    <w:name w:val="xl107"/>
    <w:basedOn w:val="Normal"/>
    <w:pPr>
      <w:pBdr>
        <w:top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08">
    <w:name w:val="xl108"/>
    <w:basedOn w:val="Normal"/>
    <w:pPr>
      <w:pBdr>
        <w:left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09">
    <w:name w:val="xl109"/>
    <w:basedOn w:val="Normal"/>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110">
    <w:name w:val="xl110"/>
    <w:basedOn w:val="Normal"/>
    <w:pPr>
      <w:pBdr>
        <w:top w:val="single" w:sz="4" w:space="0" w:color="auto"/>
        <w:bottom w:val="single" w:sz="4" w:space="0" w:color="auto"/>
      </w:pBdr>
      <w:spacing w:before="100" w:beforeAutospacing="1" w:after="100" w:afterAutospacing="1"/>
      <w:jc w:val="center"/>
    </w:pPr>
    <w:rPr>
      <w:rFonts w:ascii="Arial Unicode MS" w:hAnsi="Arial Unicode MS" w:cs="ArialUnicodeMS"/>
      <w:color w:val="auto"/>
      <w:szCs w:val="24"/>
      <w:lang w:val="en-AU" w:eastAsia="en-US"/>
    </w:rPr>
  </w:style>
  <w:style w:type="paragraph" w:customStyle="1" w:styleId="xl111">
    <w:name w:val="xl111"/>
    <w:basedOn w:val="Normal"/>
    <w:pPr>
      <w:pBdr>
        <w:top w:val="single" w:sz="4" w:space="0" w:color="auto"/>
        <w:bottom w:val="single" w:sz="4" w:space="0" w:color="auto"/>
        <w:right w:val="single" w:sz="4" w:space="0" w:color="auto"/>
      </w:pBdr>
      <w:spacing w:before="100" w:beforeAutospacing="1" w:after="100" w:afterAutospacing="1"/>
      <w:jc w:val="center"/>
    </w:pPr>
    <w:rPr>
      <w:rFonts w:ascii="Arial Unicode MS" w:hAnsi="Arial Unicode MS" w:cs="ArialUnicodeMS"/>
      <w:color w:val="auto"/>
      <w:szCs w:val="24"/>
      <w:lang w:val="en-AU" w:eastAsia="en-US"/>
    </w:rPr>
  </w:style>
  <w:style w:type="paragraph" w:customStyle="1" w:styleId="xl112">
    <w:name w:val="xl112"/>
    <w:basedOn w:val="Normal"/>
    <w:pPr>
      <w:pBdr>
        <w:top w:val="single" w:sz="4" w:space="0" w:color="auto"/>
        <w:left w:val="single" w:sz="4" w:space="0" w:color="auto"/>
        <w:bottom w:val="single" w:sz="4" w:space="0" w:color="auto"/>
      </w:pBdr>
      <w:spacing w:before="100" w:beforeAutospacing="1" w:after="100" w:afterAutospacing="1"/>
    </w:pPr>
    <w:rPr>
      <w:rFonts w:ascii="Arial Unicode MS" w:hAnsi="Arial Unicode MS" w:cs="ArialUnicodeMS"/>
      <w:b/>
      <w:bCs/>
      <w:color w:val="auto"/>
      <w:sz w:val="12"/>
      <w:szCs w:val="12"/>
      <w:lang w:val="en-AU" w:eastAsia="en-US"/>
    </w:rPr>
  </w:style>
  <w:style w:type="paragraph" w:customStyle="1" w:styleId="xl113">
    <w:name w:val="xl113"/>
    <w:basedOn w:val="Normal"/>
    <w:pPr>
      <w:pBdr>
        <w:top w:val="single" w:sz="4" w:space="0" w:color="auto"/>
        <w:bottom w:val="single" w:sz="4"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114">
    <w:name w:val="xl114"/>
    <w:basedOn w:val="Normal"/>
    <w:pPr>
      <w:pBdr>
        <w:right w:val="single" w:sz="4"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115">
    <w:name w:val="xl115"/>
    <w:basedOn w:val="Normal"/>
    <w:pPr>
      <w:pBdr>
        <w:lef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16">
    <w:name w:val="xl116"/>
    <w:basedOn w:val="Normal"/>
    <w:pP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17">
    <w:name w:val="xl117"/>
    <w:basedOn w:val="Normal"/>
    <w:pPr>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18">
    <w:name w:val="xl118"/>
    <w:basedOn w:val="Normal"/>
    <w:pPr>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19">
    <w:name w:val="xl119"/>
    <w:basedOn w:val="Normal"/>
    <w:pP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20">
    <w:name w:val="xl120"/>
    <w:basedOn w:val="Normal"/>
    <w:pPr>
      <w:pBdr>
        <w:top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21">
    <w:name w:val="xl121"/>
    <w:basedOn w:val="Normal"/>
    <w:pPr>
      <w:pBdr>
        <w:top w:val="single" w:sz="4" w:space="0" w:color="auto"/>
        <w:lef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22">
    <w:name w:val="xl122"/>
    <w:basedOn w:val="Normal"/>
    <w:pPr>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23">
    <w:name w:val="xl123"/>
    <w:basedOn w:val="Normal"/>
    <w:pPr>
      <w:pBdr>
        <w:bottom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24">
    <w:name w:val="xl124"/>
    <w:basedOn w:val="Normal"/>
    <w:pPr>
      <w:pBdr>
        <w:left w:val="single" w:sz="4" w:space="0" w:color="auto"/>
        <w:bottom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25">
    <w:name w:val="xl125"/>
    <w:basedOn w:val="Normal"/>
    <w:pPr>
      <w:pBdr>
        <w:bottom w:val="single" w:sz="4" w:space="0" w:color="auto"/>
        <w:right w:val="single" w:sz="4"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126">
    <w:name w:val="xl126"/>
    <w:basedOn w:val="Normal"/>
    <w:pPr>
      <w:pBdr>
        <w:top w:val="single" w:sz="4" w:space="0" w:color="auto"/>
        <w:left w:val="single" w:sz="4" w:space="0" w:color="auto"/>
        <w:bottom w:val="single" w:sz="8" w:space="0" w:color="auto"/>
      </w:pBdr>
      <w:spacing w:before="100" w:beforeAutospacing="1" w:after="100" w:afterAutospacing="1"/>
      <w:jc w:val="center"/>
    </w:pPr>
    <w:rPr>
      <w:rFonts w:ascii="Arial" w:hAnsi="Arial" w:cs="Arial"/>
      <w:b/>
      <w:bCs/>
      <w:color w:val="auto"/>
      <w:sz w:val="12"/>
      <w:szCs w:val="12"/>
      <w:lang w:val="en-AU" w:eastAsia="en-US"/>
    </w:rPr>
  </w:style>
  <w:style w:type="paragraph" w:customStyle="1" w:styleId="xl127">
    <w:name w:val="xl127"/>
    <w:basedOn w:val="Normal"/>
    <w:pPr>
      <w:pBdr>
        <w:top w:val="single" w:sz="4" w:space="0" w:color="auto"/>
        <w:bottom w:val="single" w:sz="8" w:space="0" w:color="auto"/>
      </w:pBdr>
      <w:spacing w:before="100" w:beforeAutospacing="1" w:after="100" w:afterAutospacing="1"/>
      <w:jc w:val="center"/>
    </w:pPr>
    <w:rPr>
      <w:rFonts w:ascii="Arial" w:hAnsi="Arial" w:cs="Arial"/>
      <w:b/>
      <w:bCs/>
      <w:color w:val="auto"/>
      <w:sz w:val="12"/>
      <w:szCs w:val="12"/>
      <w:lang w:val="en-AU" w:eastAsia="en-US"/>
    </w:rPr>
  </w:style>
  <w:style w:type="paragraph" w:customStyle="1" w:styleId="xl128">
    <w:name w:val="xl128"/>
    <w:basedOn w:val="Normal"/>
    <w:pPr>
      <w:pBdr>
        <w:top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auto"/>
      <w:sz w:val="12"/>
      <w:szCs w:val="12"/>
      <w:lang w:val="en-AU" w:eastAsia="en-US"/>
    </w:rPr>
  </w:style>
  <w:style w:type="paragraph" w:customStyle="1" w:styleId="xl129">
    <w:name w:val="xl129"/>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30">
    <w:name w:val="xl130"/>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131">
    <w:name w:val="xl131"/>
    <w:basedOn w:val="Normal"/>
    <w:pPr>
      <w:pBdr>
        <w:top w:val="single" w:sz="4" w:space="0" w:color="auto"/>
        <w:bottom w:val="single" w:sz="8" w:space="0" w:color="auto"/>
      </w:pBdr>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132">
    <w:name w:val="xl132"/>
    <w:basedOn w:val="Normal"/>
    <w:pPr>
      <w:pBdr>
        <w:top w:val="single" w:sz="4" w:space="0" w:color="auto"/>
        <w:bottom w:val="single" w:sz="8"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133">
    <w:name w:val="xl133"/>
    <w:basedOn w:val="Normal"/>
    <w:pPr>
      <w:pBdr>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134">
    <w:name w:val="xl134"/>
    <w:basedOn w:val="Normal"/>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Unicode MS" w:hAnsi="Arial Unicode MS" w:cs="ArialUnicodeMS"/>
      <w:color w:val="auto"/>
      <w:sz w:val="12"/>
      <w:szCs w:val="12"/>
      <w:lang w:val="en-AU" w:eastAsia="en-US"/>
    </w:rPr>
  </w:style>
  <w:style w:type="paragraph" w:customStyle="1" w:styleId="xl135">
    <w:name w:val="xl135"/>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s="ArialUnicodeMS"/>
      <w:color w:val="auto"/>
      <w:szCs w:val="24"/>
      <w:lang w:val="en-AU" w:eastAsia="en-US"/>
    </w:rPr>
  </w:style>
  <w:style w:type="paragraph" w:customStyle="1" w:styleId="xl136">
    <w:name w:val="xl136"/>
    <w:basedOn w:val="Normal"/>
    <w:pPr>
      <w:pBdr>
        <w:top w:val="single" w:sz="4" w:space="0" w:color="auto"/>
        <w:bottom w:val="single" w:sz="4" w:space="0" w:color="auto"/>
      </w:pBdr>
      <w:spacing w:before="100" w:beforeAutospacing="1" w:after="100" w:afterAutospacing="1"/>
    </w:pPr>
    <w:rPr>
      <w:rFonts w:ascii="Arial Unicode MS" w:hAnsi="Arial Unicode MS" w:cs="ArialUnicodeMS"/>
      <w:color w:val="auto"/>
      <w:szCs w:val="24"/>
      <w:lang w:val="en-AU" w:eastAsia="en-US"/>
    </w:rPr>
  </w:style>
  <w:style w:type="paragraph" w:customStyle="1" w:styleId="xl137">
    <w:name w:val="xl137"/>
    <w:basedOn w:val="Normal"/>
    <w:pPr>
      <w:pBdr>
        <w:top w:val="single" w:sz="4" w:space="0" w:color="auto"/>
        <w:bottom w:val="single" w:sz="4" w:space="0" w:color="auto"/>
        <w:right w:val="single" w:sz="4" w:space="0" w:color="auto"/>
      </w:pBdr>
      <w:spacing w:before="100" w:beforeAutospacing="1" w:after="100" w:afterAutospacing="1"/>
    </w:pPr>
    <w:rPr>
      <w:rFonts w:ascii="Arial Unicode MS" w:hAnsi="Arial Unicode MS" w:cs="ArialUnicodeMS"/>
      <w:color w:val="auto"/>
      <w:szCs w:val="24"/>
      <w:lang w:val="en-AU" w:eastAsia="en-US"/>
    </w:rPr>
  </w:style>
  <w:style w:type="paragraph" w:customStyle="1" w:styleId="xl138">
    <w:name w:val="xl138"/>
    <w:basedOn w:val="Normal"/>
    <w:pPr>
      <w:pBdr>
        <w:top w:val="single" w:sz="4" w:space="0" w:color="auto"/>
        <w:bottom w:val="single" w:sz="4" w:space="0" w:color="auto"/>
      </w:pBdr>
      <w:spacing w:before="100" w:beforeAutospacing="1" w:after="100" w:afterAutospacing="1"/>
    </w:pPr>
    <w:rPr>
      <w:rFonts w:ascii="Arial" w:hAnsi="Arial" w:cs="Arial"/>
      <w:b/>
      <w:bCs/>
      <w:color w:val="auto"/>
      <w:sz w:val="12"/>
      <w:szCs w:val="12"/>
      <w:lang w:val="en-AU" w:eastAsia="en-US"/>
    </w:rPr>
  </w:style>
  <w:style w:type="paragraph" w:customStyle="1" w:styleId="Anxhead">
    <w:name w:val="Anx head"/>
    <w:basedOn w:val="Normal"/>
    <w:pPr>
      <w:spacing w:after="0"/>
    </w:pPr>
    <w:rPr>
      <w:b/>
      <w:bCs/>
      <w:color w:val="auto"/>
      <w:sz w:val="28"/>
      <w:szCs w:val="28"/>
      <w:lang w:eastAsia="en-US"/>
    </w:rPr>
  </w:style>
  <w:style w:type="paragraph" w:customStyle="1" w:styleId="Anxtitle">
    <w:name w:val="Anx title"/>
    <w:basedOn w:val="Normal"/>
    <w:pPr>
      <w:spacing w:after="0"/>
      <w:ind w:left="1247"/>
    </w:pPr>
    <w:rPr>
      <w:b/>
      <w:bCs/>
      <w:color w:val="auto"/>
      <w:sz w:val="28"/>
      <w:szCs w:val="28"/>
      <w:lang w:eastAsia="en-US"/>
    </w:rPr>
  </w:style>
  <w:style w:type="paragraph" w:customStyle="1" w:styleId="Style10ptAfter6pt1">
    <w:name w:val="Style 10 pt After:  6 pt1"/>
    <w:basedOn w:val="Normal"/>
    <w:autoRedefine/>
    <w:pPr>
      <w:spacing w:after="120"/>
    </w:pPr>
    <w:rPr>
      <w:rFonts w:ascii="Arial" w:hAnsi="Arial"/>
      <w:color w:val="auto"/>
      <w:sz w:val="18"/>
      <w:lang w:eastAsia="en-US"/>
    </w:rPr>
  </w:style>
  <w:style w:type="paragraph" w:customStyle="1" w:styleId="StyleHeading311ptBold">
    <w:name w:val="Style Heading 3 + 11 pt Bold"/>
    <w:basedOn w:val="Heading3"/>
    <w:rPr>
      <w:b w:val="0"/>
      <w:bCs w:val="0"/>
      <w:iCs/>
    </w:rPr>
  </w:style>
  <w:style w:type="paragraph" w:customStyle="1" w:styleId="Subtitle1">
    <w:name w:val="Subtitle1"/>
    <w:basedOn w:val="Heading2"/>
    <w:pPr>
      <w:spacing w:after="0"/>
      <w:ind w:left="1247"/>
    </w:pPr>
    <w:rPr>
      <w:snapToGrid/>
      <w:szCs w:val="24"/>
    </w:rPr>
  </w:style>
  <w:style w:type="character" w:customStyle="1" w:styleId="maintextbldleft1">
    <w:name w:val="maintextbldleft1"/>
    <w:rPr>
      <w:rFonts w:ascii="Arial" w:hAnsi="Arial" w:cs="Arial" w:hint="default"/>
      <w:b/>
      <w:bCs/>
      <w:strike w:val="0"/>
      <w:dstrike w:val="0"/>
      <w:color w:val="000000"/>
      <w:sz w:val="18"/>
      <w:szCs w:val="18"/>
      <w:u w:val="none"/>
      <w:effect w:val="none"/>
    </w:rPr>
  </w:style>
  <w:style w:type="character" w:customStyle="1" w:styleId="maintextleft1">
    <w:name w:val="maintextleft1"/>
    <w:rPr>
      <w:rFonts w:ascii="Arial" w:hAnsi="Arial" w:cs="Arial" w:hint="default"/>
      <w:strike w:val="0"/>
      <w:dstrike w:val="0"/>
      <w:color w:val="000000"/>
      <w:sz w:val="18"/>
      <w:szCs w:val="18"/>
      <w:u w:val="none"/>
      <w:effect w:val="none"/>
    </w:rPr>
  </w:style>
  <w:style w:type="character" w:customStyle="1" w:styleId="Heading4Char">
    <w:name w:val="Heading 4 Char"/>
    <w:aliases w:val="MainPara Char"/>
    <w:autoRedefine/>
    <w:uiPriority w:val="9"/>
    <w:rsid w:val="00F02E32"/>
    <w:rPr>
      <w:snapToGrid w:val="0"/>
      <w:color w:val="000000"/>
      <w:sz w:val="22"/>
      <w:lang w:val="en-GB" w:eastAsia="zh-CN"/>
    </w:rPr>
  </w:style>
  <w:style w:type="paragraph" w:customStyle="1" w:styleId="StyleHeading311ptBold1">
    <w:name w:val="Style Heading 3 + 11 pt Bold1"/>
    <w:basedOn w:val="Heading3"/>
    <w:rPr>
      <w:b w:val="0"/>
      <w:bCs w:val="0"/>
      <w:iCs/>
    </w:rPr>
  </w:style>
  <w:style w:type="paragraph" w:customStyle="1" w:styleId="ANNEXES">
    <w:name w:val="ANNEXES"/>
    <w:basedOn w:val="Normal"/>
    <w:pPr>
      <w:tabs>
        <w:tab w:val="left" w:pos="1080"/>
      </w:tabs>
      <w:spacing w:before="100" w:beforeAutospacing="1" w:after="100" w:afterAutospacing="1"/>
    </w:pPr>
    <w:rPr>
      <w:b/>
      <w:sz w:val="28"/>
    </w:rPr>
  </w:style>
  <w:style w:type="paragraph" w:customStyle="1" w:styleId="Executivesummary">
    <w:name w:val="Executive summary"/>
    <w:basedOn w:val="TOC1"/>
    <w:rPr>
      <w:b w:val="0"/>
    </w:rPr>
  </w:style>
  <w:style w:type="paragraph" w:customStyle="1" w:styleId="Execlevel2">
    <w:name w:val="Exec level2"/>
    <w:basedOn w:val="Anxhead"/>
    <w:rPr>
      <w:sz w:val="24"/>
    </w:rPr>
  </w:style>
  <w:style w:type="character" w:customStyle="1" w:styleId="AnxheadChar">
    <w:name w:val="Anx head Char"/>
    <w:rPr>
      <w:b/>
      <w:bCs/>
      <w:noProof w:val="0"/>
      <w:sz w:val="28"/>
      <w:szCs w:val="28"/>
      <w:lang w:val="en-GB" w:eastAsia="en-US" w:bidi="ar-SA"/>
    </w:rPr>
  </w:style>
  <w:style w:type="character" w:customStyle="1" w:styleId="Execlevel2Char">
    <w:name w:val="Exec level2 Char"/>
    <w:rPr>
      <w:b/>
      <w:bCs/>
      <w:noProof w:val="0"/>
      <w:sz w:val="24"/>
      <w:szCs w:val="28"/>
      <w:lang w:val="en-GB" w:eastAsia="en-US" w:bidi="ar-SA"/>
    </w:rPr>
  </w:style>
  <w:style w:type="character" w:customStyle="1" w:styleId="a">
    <w:name w:val="_"/>
    <w:basedOn w:val="DefaultParagraphFont"/>
  </w:style>
  <w:style w:type="paragraph" w:styleId="CommentSubject">
    <w:name w:val="annotation subject"/>
    <w:basedOn w:val="CommentText"/>
    <w:next w:val="CommentText"/>
    <w:uiPriority w:val="99"/>
    <w:pPr>
      <w:widowControl/>
      <w:spacing w:after="0"/>
    </w:pPr>
    <w:rPr>
      <w:rFonts w:ascii="Times New Roman" w:hAnsi="Times New Roman"/>
      <w:b/>
      <w:lang w:val="en-US"/>
    </w:rPr>
  </w:style>
  <w:style w:type="paragraph" w:customStyle="1" w:styleId="Indentedbullet">
    <w:name w:val="Indented bullet"/>
    <w:basedOn w:val="Indentedbodytext"/>
    <w:pPr>
      <w:tabs>
        <w:tab w:val="num" w:pos="1440"/>
      </w:tabs>
      <w:ind w:left="1434" w:hanging="357"/>
    </w:pPr>
  </w:style>
  <w:style w:type="paragraph" w:customStyle="1" w:styleId="Indentedbodytext">
    <w:name w:val="Indented body text"/>
    <w:basedOn w:val="Normal"/>
    <w:autoRedefine/>
    <w:pPr>
      <w:spacing w:after="120"/>
    </w:pPr>
    <w:rPr>
      <w:lang w:eastAsia="en-US"/>
    </w:rPr>
  </w:style>
  <w:style w:type="paragraph" w:customStyle="1" w:styleId="Smallnumberedbullet">
    <w:name w:val="Small numbered bullet"/>
    <w:basedOn w:val="Smallbullet"/>
    <w:pPr>
      <w:numPr>
        <w:numId w:val="0"/>
      </w:numPr>
      <w:ind w:left="539" w:hanging="539"/>
    </w:pPr>
  </w:style>
  <w:style w:type="paragraph" w:customStyle="1" w:styleId="Smallbullet">
    <w:name w:val="Small bullet"/>
    <w:basedOn w:val="BodyTextSmallBullets"/>
    <w:autoRedefine/>
    <w:pPr>
      <w:numPr>
        <w:numId w:val="8"/>
      </w:numPr>
      <w:tabs>
        <w:tab w:val="num" w:pos="426"/>
      </w:tabs>
      <w:spacing w:after="240" w:line="240" w:lineRule="auto"/>
      <w:ind w:left="425" w:hanging="425"/>
    </w:pPr>
  </w:style>
  <w:style w:type="paragraph" w:customStyle="1" w:styleId="BodyText1">
    <w:name w:val="Body Text1"/>
    <w:basedOn w:val="Normal"/>
    <w:rPr>
      <w:lang w:eastAsia="en-US"/>
    </w:rPr>
  </w:style>
  <w:style w:type="paragraph" w:customStyle="1" w:styleId="Heading311ptBold">
    <w:name w:val="Heading 3 + 11 pt Bold"/>
    <w:basedOn w:val="Heading3"/>
    <w:pPr>
      <w:numPr>
        <w:ilvl w:val="2"/>
        <w:numId w:val="7"/>
      </w:numPr>
      <w:tabs>
        <w:tab w:val="num" w:pos="1800"/>
      </w:tabs>
      <w:ind w:left="0" w:firstLine="0"/>
    </w:pPr>
    <w:rPr>
      <w:b w:val="0"/>
    </w:rPr>
  </w:style>
  <w:style w:type="paragraph" w:customStyle="1" w:styleId="Table5">
    <w:name w:val="Table 5"/>
    <w:basedOn w:val="Normal"/>
    <w:pPr>
      <w:spacing w:after="0" w:line="240" w:lineRule="exact"/>
      <w:ind w:left="567" w:hanging="567"/>
    </w:pPr>
    <w:rPr>
      <w:sz w:val="18"/>
      <w:lang w:eastAsia="ja-JP"/>
    </w:rPr>
  </w:style>
  <w:style w:type="paragraph" w:customStyle="1" w:styleId="ColorfulList-Accent11">
    <w:name w:val="Colorful List - Accent 11"/>
    <w:basedOn w:val="Normal"/>
    <w:qFormat/>
    <w:pPr>
      <w:spacing w:after="0"/>
      <w:ind w:left="720"/>
    </w:pPr>
    <w:rPr>
      <w:rFonts w:eastAsia="MS Mincho"/>
      <w:color w:val="auto"/>
      <w:szCs w:val="24"/>
      <w:lang w:val="en-US" w:eastAsia="ja-JP"/>
    </w:rPr>
  </w:style>
  <w:style w:type="character" w:customStyle="1" w:styleId="mw-headline">
    <w:name w:val="mw-headline"/>
    <w:basedOn w:val="DefaultParagraphFont"/>
  </w:style>
  <w:style w:type="paragraph" w:customStyle="1" w:styleId="ColorfulList-Accent12">
    <w:name w:val="Colorful List - Accent 12"/>
    <w:basedOn w:val="Normal"/>
    <w:qFormat/>
    <w:pPr>
      <w:spacing w:after="0"/>
    </w:pPr>
    <w:rPr>
      <w:rFonts w:ascii="Cambria" w:eastAsia="Cambria" w:hAnsi="Cambria"/>
      <w:color w:val="auto"/>
      <w:sz w:val="24"/>
      <w:lang w:val="en-US"/>
    </w:rPr>
  </w:style>
  <w:style w:type="paragraph" w:customStyle="1" w:styleId="Subtitle0">
    <w:name w:val="Subtitle0"/>
    <w:basedOn w:val="Normal"/>
    <w:link w:val="SubtitleChar1"/>
    <w:qFormat/>
    <w:pPr>
      <w:spacing w:after="0"/>
      <w:jc w:val="center"/>
    </w:pPr>
    <w:rPr>
      <w:rFonts w:eastAsia="MS Mincho"/>
      <w:b/>
      <w:color w:val="auto"/>
      <w:lang w:val="en-US"/>
    </w:rPr>
  </w:style>
  <w:style w:type="paragraph" w:styleId="Revision">
    <w:name w:val="Revision"/>
    <w:hidden/>
    <w:uiPriority w:val="99"/>
    <w:semiHidden/>
    <w:rPr>
      <w:rFonts w:ascii="Times New Roman" w:eastAsia="MS Mincho" w:hAnsi="Times New Roman"/>
      <w:sz w:val="24"/>
      <w:szCs w:val="24"/>
    </w:rPr>
  </w:style>
  <w:style w:type="paragraph" w:customStyle="1" w:styleId="StyleHeading3Heading3Char1CharHeading3CharCharCharChar">
    <w:name w:val="Style Heading 3Heading 3 Char1 CharHeading 3 Char Char CharChar ..."/>
    <w:basedOn w:val="Heading3"/>
    <w:rPr>
      <w:iCs/>
    </w:rPr>
  </w:style>
  <w:style w:type="paragraph" w:customStyle="1" w:styleId="ParaQPS">
    <w:name w:val="Para QPS"/>
    <w:basedOn w:val="Normal"/>
    <w:qFormat/>
    <w:pPr>
      <w:spacing w:before="120" w:after="120"/>
      <w:ind w:left="1134"/>
      <w:jc w:val="both"/>
    </w:pPr>
    <w:rPr>
      <w:rFonts w:cs="Cambria"/>
      <w:iCs/>
      <w:color w:val="auto"/>
      <w:szCs w:val="24"/>
      <w:lang w:val="en-US" w:eastAsia="en-US" w:bidi="en-US"/>
    </w:rPr>
  </w:style>
  <w:style w:type="paragraph" w:customStyle="1" w:styleId="ParaQPSItalicindent">
    <w:name w:val="Para QPS Italic indent"/>
    <w:basedOn w:val="ParaQPS"/>
    <w:rPr>
      <w:i/>
      <w:iCs w:val="0"/>
    </w:rPr>
  </w:style>
  <w:style w:type="paragraph" w:customStyle="1" w:styleId="ListParagraph1">
    <w:name w:val="List Paragraph1"/>
    <w:aliases w:val="Bullets"/>
    <w:basedOn w:val="Normal"/>
    <w:pPr>
      <w:numPr>
        <w:numId w:val="18"/>
      </w:numPr>
      <w:spacing w:before="60" w:after="60"/>
      <w:jc w:val="both"/>
    </w:pPr>
    <w:rPr>
      <w:rFonts w:ascii="Arial" w:hAnsi="Arial" w:cs="Arial"/>
      <w:color w:val="auto"/>
      <w:szCs w:val="22"/>
      <w:lang w:eastAsia="en-GB" w:bidi="en-US"/>
    </w:rPr>
  </w:style>
  <w:style w:type="paragraph" w:styleId="Bibliography">
    <w:name w:val="Bibliography"/>
    <w:basedOn w:val="Normal"/>
    <w:next w:val="Normal"/>
    <w:pPr>
      <w:spacing w:before="120" w:after="120"/>
      <w:ind w:left="1134"/>
      <w:jc w:val="both"/>
    </w:pPr>
    <w:rPr>
      <w:rFonts w:ascii="Calibri" w:hAnsi="Calibri"/>
      <w:color w:val="auto"/>
      <w:szCs w:val="22"/>
      <w:lang w:bidi="en-US"/>
    </w:rPr>
  </w:style>
  <w:style w:type="paragraph" w:customStyle="1" w:styleId="Footnote">
    <w:name w:val="Footnote"/>
    <w:basedOn w:val="FootnoteText"/>
    <w:pPr>
      <w:widowControl/>
      <w:spacing w:after="0"/>
    </w:pPr>
    <w:rPr>
      <w:szCs w:val="22"/>
      <w:lang w:bidi="en-US"/>
    </w:rPr>
  </w:style>
  <w:style w:type="paragraph" w:customStyle="1" w:styleId="TableforUNEPreport">
    <w:name w:val="Table for UNEP report"/>
    <w:basedOn w:val="Caption"/>
    <w:pPr>
      <w:keepNext/>
      <w:spacing w:after="200" w:line="240" w:lineRule="auto"/>
      <w:ind w:left="0"/>
      <w:jc w:val="both"/>
    </w:pPr>
    <w:rPr>
      <w:rFonts w:ascii="Calibri" w:eastAsia="Calibri" w:hAnsi="Calibri"/>
      <w:b/>
      <w:bCs/>
      <w:i w:val="0"/>
      <w:color w:val="auto"/>
      <w:szCs w:val="18"/>
      <w:lang w:eastAsia="en-GB" w:bidi="en-US"/>
    </w:rPr>
  </w:style>
  <w:style w:type="character" w:customStyle="1" w:styleId="FooterChar">
    <w:name w:val="Footer Char"/>
    <w:uiPriority w:val="99"/>
    <w:rPr>
      <w:rFonts w:eastAsia="SimSun" w:cs="Times New Roman"/>
      <w:noProof w:val="0"/>
      <w:sz w:val="22"/>
      <w:lang w:val="x-none" w:eastAsia="zh-CN"/>
    </w:rPr>
  </w:style>
  <w:style w:type="character" w:customStyle="1" w:styleId="BodyText2Char">
    <w:name w:val="Body Text 2 Char"/>
    <w:rPr>
      <w:rFonts w:ascii="Times New Roman" w:hAnsi="Times New Roman" w:cs="Times New Roman"/>
      <w:b/>
      <w:bCs/>
      <w:sz w:val="24"/>
    </w:rPr>
  </w:style>
  <w:style w:type="paragraph" w:customStyle="1" w:styleId="TitleQPSReport">
    <w:name w:val="Title QPS Report"/>
    <w:basedOn w:val="Normal"/>
    <w:pPr>
      <w:spacing w:before="120" w:after="120"/>
      <w:jc w:val="center"/>
    </w:pPr>
    <w:rPr>
      <w:b/>
      <w:bCs/>
      <w:color w:val="auto"/>
      <w:sz w:val="28"/>
      <w:lang w:bidi="en-US"/>
    </w:rPr>
  </w:style>
  <w:style w:type="paragraph" w:customStyle="1" w:styleId="Bulletdash">
    <w:name w:val="Bullet dash"/>
    <w:basedOn w:val="Normal"/>
    <w:qFormat/>
    <w:pPr>
      <w:numPr>
        <w:numId w:val="19"/>
      </w:numPr>
      <w:spacing w:before="120" w:after="120"/>
      <w:jc w:val="both"/>
    </w:pPr>
    <w:rPr>
      <w:color w:val="auto"/>
      <w:szCs w:val="22"/>
      <w:lang w:bidi="en-US"/>
    </w:rPr>
  </w:style>
  <w:style w:type="paragraph" w:customStyle="1" w:styleId="Paraleft">
    <w:name w:val="Para left"/>
    <w:basedOn w:val="Normal"/>
    <w:qFormat/>
    <w:pPr>
      <w:keepNext/>
      <w:spacing w:before="120" w:after="120"/>
      <w:ind w:left="1134"/>
    </w:pPr>
    <w:rPr>
      <w:b/>
      <w:bCs/>
      <w:color w:val="auto"/>
      <w:szCs w:val="22"/>
      <w:lang w:eastAsia="ja-JP" w:bidi="en-US"/>
    </w:rPr>
  </w:style>
  <w:style w:type="paragraph" w:customStyle="1" w:styleId="TableandFiguretitles">
    <w:name w:val="Table and Figure titles"/>
    <w:basedOn w:val="Caption"/>
    <w:qFormat/>
    <w:pPr>
      <w:keepNext/>
      <w:spacing w:after="200" w:line="240" w:lineRule="auto"/>
      <w:ind w:left="1134"/>
      <w:jc w:val="both"/>
    </w:pPr>
    <w:rPr>
      <w:b/>
      <w:bCs/>
      <w:i w:val="0"/>
      <w:color w:val="auto"/>
      <w:szCs w:val="22"/>
      <w:lang w:bidi="en-US"/>
    </w:rPr>
  </w:style>
  <w:style w:type="paragraph" w:styleId="TableofFigures">
    <w:name w:val="table of figures"/>
    <w:basedOn w:val="Normal"/>
    <w:next w:val="Normal"/>
    <w:semiHidden/>
    <w:unhideWhenUsed/>
    <w:pPr>
      <w:spacing w:before="120" w:after="120"/>
      <w:ind w:left="1757" w:right="624" w:hanging="1077"/>
      <w:jc w:val="both"/>
    </w:pPr>
    <w:rPr>
      <w:b/>
      <w:caps/>
      <w:color w:val="auto"/>
      <w:szCs w:val="22"/>
      <w:lang w:bidi="en-US"/>
    </w:rPr>
  </w:style>
  <w:style w:type="paragraph" w:customStyle="1" w:styleId="StyleParaQPSItalic">
    <w:name w:val="Style Para QPS + Italic"/>
    <w:basedOn w:val="ParaQPS"/>
    <w:rPr>
      <w:i/>
    </w:rPr>
  </w:style>
  <w:style w:type="paragraph" w:customStyle="1" w:styleId="StyleLeft017cm">
    <w:name w:val="Style Left:  0.17 cm"/>
    <w:basedOn w:val="Normal"/>
    <w:pPr>
      <w:spacing w:before="120" w:after="120"/>
      <w:ind w:left="97"/>
      <w:jc w:val="both"/>
    </w:pPr>
    <w:rPr>
      <w:color w:val="auto"/>
      <w:lang w:bidi="en-US"/>
    </w:rPr>
  </w:style>
  <w:style w:type="paragraph" w:customStyle="1" w:styleId="StyleParaQPS11ptItalic">
    <w:name w:val="Style Para QPS + 11 pt Italic"/>
    <w:basedOn w:val="ParaQPS"/>
    <w:rPr>
      <w:i/>
    </w:rPr>
  </w:style>
  <w:style w:type="paragraph" w:customStyle="1" w:styleId="Bulletnumbered">
    <w:name w:val="Bullet numbered"/>
    <w:basedOn w:val="ParaQPS"/>
    <w:qFormat/>
    <w:pPr>
      <w:numPr>
        <w:numId w:val="21"/>
      </w:numPr>
    </w:pPr>
  </w:style>
  <w:style w:type="paragraph" w:customStyle="1" w:styleId="Annexheader">
    <w:name w:val="Annex header"/>
    <w:basedOn w:val="Header"/>
    <w:pPr>
      <w:tabs>
        <w:tab w:val="clear" w:pos="4320"/>
        <w:tab w:val="clear" w:pos="8640"/>
        <w:tab w:val="center" w:pos="4153"/>
        <w:tab w:val="right" w:pos="8306"/>
      </w:tabs>
      <w:spacing w:after="0" w:line="360" w:lineRule="auto"/>
      <w:ind w:firstLine="720"/>
      <w:jc w:val="center"/>
    </w:pPr>
    <w:rPr>
      <w:rFonts w:ascii="Times New Roman Bold" w:hAnsi="Times New Roman Bold"/>
      <w:b/>
      <w:caps/>
      <w:color w:val="auto"/>
      <w:szCs w:val="24"/>
      <w:lang w:val="en-AU" w:eastAsia="en-US"/>
    </w:rPr>
  </w:style>
  <w:style w:type="paragraph" w:customStyle="1" w:styleId="Execlevel3">
    <w:name w:val="Exec level3"/>
    <w:basedOn w:val="Normal"/>
    <w:pPr>
      <w:tabs>
        <w:tab w:val="left" w:pos="1080"/>
      </w:tabs>
      <w:spacing w:after="0"/>
    </w:pPr>
    <w:rPr>
      <w:b/>
      <w:i/>
    </w:rPr>
  </w:style>
  <w:style w:type="paragraph" w:customStyle="1" w:styleId="0Heading0CharChar1Char">
    <w:name w:val="0 Heading 0 Char Char1 Char"/>
    <w:rPr>
      <w:rFonts w:ascii="Times New Roman" w:hAnsi="Times New Roman"/>
      <w:color w:val="000000"/>
      <w:sz w:val="24"/>
      <w:lang w:val="en-GB"/>
    </w:rPr>
  </w:style>
  <w:style w:type="character" w:customStyle="1" w:styleId="0Heading0CharChar1CharChar">
    <w:name w:val="0 Heading 0 Char Char1 Char Char"/>
    <w:rPr>
      <w:noProof w:val="0"/>
      <w:color w:val="000000"/>
      <w:sz w:val="24"/>
      <w:lang w:val="en-GB" w:eastAsia="en-US" w:bidi="ar-SA"/>
    </w:rPr>
  </w:style>
  <w:style w:type="character" w:customStyle="1" w:styleId="HeaderChar">
    <w:name w:val="Header Char"/>
    <w:aliases w:val="EthylHeader Char"/>
    <w:uiPriority w:val="99"/>
    <w:rPr>
      <w:noProof w:val="0"/>
      <w:color w:val="000000"/>
      <w:sz w:val="24"/>
      <w:lang w:val="en-GB" w:eastAsia="zh-CN"/>
    </w:rPr>
  </w:style>
  <w:style w:type="paragraph" w:customStyle="1" w:styleId="Alt2-LevelLegal1">
    <w:name w:val="Alt 2-Level Legal1"/>
    <w:basedOn w:val="Normal"/>
    <w:next w:val="Normal"/>
    <w:pPr>
      <w:numPr>
        <w:numId w:val="23"/>
      </w:numPr>
      <w:jc w:val="center"/>
      <w:outlineLvl w:val="0"/>
    </w:pPr>
    <w:rPr>
      <w:b/>
      <w:color w:val="auto"/>
      <w:szCs w:val="24"/>
    </w:rPr>
  </w:style>
  <w:style w:type="paragraph" w:customStyle="1" w:styleId="Alt2-LevelLegal2">
    <w:name w:val="Alt 2-Level Legal2"/>
    <w:basedOn w:val="Normal"/>
    <w:pPr>
      <w:numPr>
        <w:ilvl w:val="1"/>
        <w:numId w:val="23"/>
      </w:numPr>
      <w:outlineLvl w:val="1"/>
    </w:pPr>
    <w:rPr>
      <w:b/>
      <w:bCs/>
      <w:szCs w:val="24"/>
    </w:rPr>
  </w:style>
  <w:style w:type="paragraph" w:customStyle="1" w:styleId="Alt2-LevelLegal3">
    <w:name w:val="Alt 2-Level Legal3"/>
    <w:basedOn w:val="Normal"/>
    <w:pPr>
      <w:numPr>
        <w:ilvl w:val="2"/>
        <w:numId w:val="23"/>
      </w:numPr>
      <w:outlineLvl w:val="2"/>
    </w:pPr>
    <w:rPr>
      <w:b/>
      <w:szCs w:val="24"/>
    </w:rPr>
  </w:style>
  <w:style w:type="paragraph" w:customStyle="1" w:styleId="Alt2-LevelLegal4">
    <w:name w:val="Alt 2-Level Legal4"/>
    <w:basedOn w:val="Normal"/>
    <w:pPr>
      <w:numPr>
        <w:ilvl w:val="3"/>
        <w:numId w:val="23"/>
      </w:numPr>
      <w:outlineLvl w:val="3"/>
    </w:pPr>
    <w:rPr>
      <w:szCs w:val="24"/>
    </w:rPr>
  </w:style>
  <w:style w:type="paragraph" w:customStyle="1" w:styleId="Alt2-LevelLegal5">
    <w:name w:val="Alt 2-Level Legal5"/>
    <w:basedOn w:val="Normal"/>
    <w:pPr>
      <w:numPr>
        <w:ilvl w:val="4"/>
        <w:numId w:val="23"/>
      </w:numPr>
      <w:ind w:right="720"/>
      <w:jc w:val="both"/>
      <w:outlineLvl w:val="4"/>
    </w:pPr>
    <w:rPr>
      <w:szCs w:val="24"/>
    </w:rPr>
  </w:style>
  <w:style w:type="paragraph" w:customStyle="1" w:styleId="Alt2-LevelLegal6">
    <w:name w:val="Alt 2-Level Legal6"/>
    <w:basedOn w:val="Normal"/>
    <w:pPr>
      <w:tabs>
        <w:tab w:val="num" w:pos="1440"/>
      </w:tabs>
      <w:ind w:left="1440" w:hanging="720"/>
      <w:jc w:val="both"/>
      <w:outlineLvl w:val="5"/>
    </w:pPr>
    <w:rPr>
      <w:szCs w:val="24"/>
    </w:rPr>
  </w:style>
  <w:style w:type="paragraph" w:customStyle="1" w:styleId="Alt2-LevelLegal7">
    <w:name w:val="Alt 2-Level Legal7"/>
    <w:basedOn w:val="Normal"/>
    <w:pPr>
      <w:tabs>
        <w:tab w:val="num" w:pos="3600"/>
      </w:tabs>
      <w:ind w:left="1440" w:hanging="720"/>
      <w:outlineLvl w:val="6"/>
    </w:pPr>
    <w:rPr>
      <w:szCs w:val="24"/>
    </w:rPr>
  </w:style>
  <w:style w:type="character" w:styleId="Emphasis">
    <w:name w:val="Emphasis"/>
    <w:uiPriority w:val="20"/>
    <w:qFormat/>
    <w:rPr>
      <w:b/>
      <w:bCs/>
      <w:i/>
      <w:iCs/>
      <w:spacing w:val="10"/>
      <w:bdr w:val="none" w:sz="0" w:space="0" w:color="auto"/>
      <w:shd w:val="clear" w:color="auto" w:fill="auto"/>
    </w:rPr>
  </w:style>
  <w:style w:type="paragraph" w:customStyle="1" w:styleId="NoteLevel21">
    <w:name w:val="Note Level 21"/>
    <w:basedOn w:val="Normal"/>
    <w:qFormat/>
    <w:locked/>
    <w:pPr>
      <w:spacing w:after="0"/>
    </w:pPr>
    <w:rPr>
      <w:rFonts w:ascii="Arial" w:eastAsia="Calibri" w:hAnsi="Arial" w:cs="Consolas"/>
      <w:color w:val="auto"/>
      <w:szCs w:val="22"/>
      <w:lang w:eastAsia="en-US"/>
    </w:rPr>
  </w:style>
  <w:style w:type="paragraph" w:styleId="Quote">
    <w:name w:val="Quote"/>
    <w:basedOn w:val="Normal"/>
    <w:next w:val="Normal"/>
    <w:qFormat/>
    <w:locked/>
    <w:pPr>
      <w:spacing w:before="200" w:after="0"/>
      <w:ind w:left="360" w:right="360"/>
    </w:pPr>
    <w:rPr>
      <w:rFonts w:ascii="Arial" w:eastAsia="Calibri" w:hAnsi="Arial" w:cs="Consolas"/>
      <w:i/>
      <w:iCs/>
      <w:color w:val="auto"/>
      <w:szCs w:val="22"/>
      <w:lang w:eastAsia="en-US"/>
    </w:rPr>
  </w:style>
  <w:style w:type="paragraph" w:styleId="IntenseQuote">
    <w:name w:val="Intense Quote"/>
    <w:basedOn w:val="Normal"/>
    <w:next w:val="Normal"/>
    <w:qFormat/>
    <w:locked/>
    <w:pPr>
      <w:pBdr>
        <w:bottom w:val="single" w:sz="4" w:space="1" w:color="auto"/>
      </w:pBdr>
      <w:spacing w:before="200" w:after="280"/>
      <w:ind w:left="1008" w:right="1152"/>
      <w:jc w:val="both"/>
    </w:pPr>
    <w:rPr>
      <w:rFonts w:ascii="Arial" w:eastAsia="Calibri" w:hAnsi="Arial" w:cs="Consolas"/>
      <w:b/>
      <w:bCs/>
      <w:i/>
      <w:iCs/>
      <w:color w:val="auto"/>
      <w:szCs w:val="22"/>
      <w:lang w:eastAsia="en-US"/>
    </w:rPr>
  </w:style>
  <w:style w:type="character" w:styleId="SubtleEmphasis">
    <w:name w:val="Subtle Emphasis"/>
    <w:uiPriority w:val="19"/>
    <w:qFormat/>
    <w:locked/>
    <w:rPr>
      <w:i/>
      <w:iCs/>
    </w:rPr>
  </w:style>
  <w:style w:type="character" w:styleId="IntenseEmphasis">
    <w:name w:val="Intense Emphasis"/>
    <w:qFormat/>
    <w:locked/>
    <w:rPr>
      <w:b/>
      <w:bCs/>
    </w:rPr>
  </w:style>
  <w:style w:type="character" w:styleId="SubtleReference">
    <w:name w:val="Subtle Reference"/>
    <w:uiPriority w:val="31"/>
    <w:qFormat/>
    <w:locked/>
    <w:rPr>
      <w:smallCaps/>
    </w:rPr>
  </w:style>
  <w:style w:type="character" w:styleId="IntenseReference">
    <w:name w:val="Intense Reference"/>
    <w:qFormat/>
    <w:locked/>
    <w:rPr>
      <w:smallCaps/>
      <w:spacing w:val="5"/>
      <w:u w:val="single"/>
    </w:rPr>
  </w:style>
  <w:style w:type="character" w:styleId="BookTitle">
    <w:name w:val="Book Title"/>
    <w:uiPriority w:val="33"/>
    <w:qFormat/>
    <w:locked/>
    <w:rPr>
      <w:i/>
      <w:iCs/>
      <w:smallCaps/>
      <w:spacing w:val="5"/>
    </w:rPr>
  </w:style>
  <w:style w:type="paragraph" w:styleId="TOCHeading">
    <w:name w:val="TOC Heading"/>
    <w:basedOn w:val="Heading1"/>
    <w:next w:val="Normal"/>
    <w:uiPriority w:val="39"/>
    <w:qFormat/>
    <w:locked/>
    <w:pPr>
      <w:keepLines/>
      <w:spacing w:before="0"/>
      <w:ind w:left="0" w:firstLine="0"/>
      <w:outlineLvl w:val="9"/>
    </w:pPr>
    <w:rPr>
      <w:rFonts w:ascii="Arial" w:hAnsi="Arial"/>
      <w:bCs w:val="0"/>
      <w:color w:val="auto"/>
      <w:sz w:val="32"/>
      <w:szCs w:val="28"/>
    </w:rPr>
  </w:style>
  <w:style w:type="character" w:customStyle="1" w:styleId="PlainTextChar">
    <w:name w:val="Plain Text Char"/>
    <w:rPr>
      <w:rFonts w:ascii="Consolas" w:hAnsi="Consolas" w:cs="Consolas"/>
      <w:noProof w:val="0"/>
      <w:sz w:val="21"/>
      <w:szCs w:val="21"/>
      <w:lang w:val="en-US" w:eastAsia="en-US"/>
    </w:rPr>
  </w:style>
  <w:style w:type="character" w:customStyle="1" w:styleId="BodyTextIndent3Char">
    <w:name w:val="Body Text Indent 3 Char"/>
    <w:rPr>
      <w:rFonts w:ascii="Times New Roman" w:eastAsia="MS Mincho" w:hAnsi="Times New Roman" w:cs="Times New Roman"/>
      <w:noProof w:val="0"/>
      <w:snapToGrid w:val="0"/>
      <w:color w:val="FF0000"/>
      <w:sz w:val="24"/>
      <w:lang w:eastAsia="zh-CN"/>
    </w:rPr>
  </w:style>
  <w:style w:type="character" w:customStyle="1" w:styleId="Para1">
    <w:name w:val="Para (1) (文字)"/>
    <w:aliases w:val="Heading 1 Char1 Char (文字),Heading 1 Char Char Char (文字),Para (1) Char Char Char (文字),Para (1) Char1 Char (文字),Heading 1 Char1 (文字),Heading 1 Char Char (文字),Para (1) Char Char (文字),Para (1) Char1 (文字),Heading 1 Char1 Char Char (文字)"/>
    <w:rPr>
      <w:rFonts w:ascii="Arial" w:eastAsia="MS Mincho" w:hAnsi="Arial" w:cs="Arial"/>
      <w:b/>
      <w:bCs/>
      <w:noProof w:val="0"/>
      <w:kern w:val="32"/>
      <w:sz w:val="32"/>
      <w:szCs w:val="32"/>
      <w:lang w:val="en-US" w:eastAsia="ja-JP" w:bidi="ar-SA"/>
    </w:rPr>
  </w:style>
  <w:style w:type="paragraph" w:customStyle="1" w:styleId="a0">
    <w:name w:val="吹き出し"/>
    <w:basedOn w:val="Normal"/>
    <w:semiHidden/>
    <w:pPr>
      <w:spacing w:after="0"/>
    </w:pPr>
    <w:rPr>
      <w:rFonts w:ascii="Tahoma" w:eastAsia="MS Mincho" w:hAnsi="Tahoma" w:cs="Consolas"/>
      <w:color w:val="auto"/>
      <w:sz w:val="16"/>
      <w:szCs w:val="16"/>
      <w:lang w:val="en-US" w:eastAsia="en-US"/>
    </w:rPr>
  </w:style>
  <w:style w:type="character" w:customStyle="1" w:styleId="SubParaa">
    <w:name w:val="SubPara (a) (文字) (文字)"/>
    <w:rPr>
      <w:rFonts w:ascii="Arial" w:eastAsia="MS Mincho" w:hAnsi="Arial" w:cs="Arial"/>
      <w:b/>
      <w:bCs/>
      <w:i/>
      <w:iCs/>
      <w:noProof w:val="0"/>
      <w:kern w:val="2"/>
      <w:sz w:val="28"/>
      <w:szCs w:val="28"/>
      <w:lang w:val="en-US" w:eastAsia="ja-JP" w:bidi="ar-SA"/>
    </w:rPr>
  </w:style>
  <w:style w:type="character" w:customStyle="1" w:styleId="1">
    <w:name w:val="(文字) (文字)1"/>
    <w:rPr>
      <w:rFonts w:eastAsia="SimSun"/>
      <w:noProof w:val="0"/>
      <w:sz w:val="24"/>
      <w:szCs w:val="24"/>
      <w:lang w:val="en-US" w:eastAsia="zh-CN" w:bidi="ar-SA"/>
    </w:rPr>
  </w:style>
  <w:style w:type="paragraph" w:customStyle="1" w:styleId="a1">
    <w:name w:val="コメント内容"/>
    <w:basedOn w:val="CommentText"/>
    <w:next w:val="CommentText"/>
    <w:pPr>
      <w:widowControl/>
      <w:spacing w:after="0"/>
    </w:pPr>
    <w:rPr>
      <w:rFonts w:ascii="Times New Roman" w:eastAsia="MS Mincho" w:hAnsi="Times New Roman"/>
      <w:b/>
      <w:bCs/>
      <w:lang w:val="en-US" w:eastAsia="en-US"/>
    </w:rPr>
  </w:style>
  <w:style w:type="character" w:customStyle="1" w:styleId="a2">
    <w:name w:val="(文字) (文字)"/>
    <w:rPr>
      <w:rFonts w:eastAsia="SimSun"/>
      <w:b/>
      <w:bCs/>
      <w:noProof w:val="0"/>
      <w:sz w:val="24"/>
      <w:szCs w:val="24"/>
      <w:lang w:val="en-US" w:eastAsia="en-US" w:bidi="ar-SA"/>
    </w:rPr>
  </w:style>
  <w:style w:type="character" w:customStyle="1" w:styleId="CarCar19">
    <w:name w:val="Car Car19"/>
    <w:locked/>
    <w:rPr>
      <w:rFonts w:eastAsia="MS Mincho"/>
      <w:noProof w:val="0"/>
      <w:color w:val="000000"/>
      <w:sz w:val="24"/>
      <w:szCs w:val="24"/>
      <w:lang w:val="en-GB" w:eastAsia="zh-CN" w:bidi="ar-SA"/>
    </w:rPr>
  </w:style>
  <w:style w:type="paragraph" w:customStyle="1" w:styleId="Decisionparagraphs">
    <w:name w:val="Decision paragraphs"/>
    <w:basedOn w:val="Normal"/>
    <w:autoRedefine/>
    <w:pPr>
      <w:spacing w:after="0"/>
    </w:pPr>
    <w:rPr>
      <w:i/>
      <w:color w:val="auto"/>
      <w:lang w:eastAsia="en-US"/>
    </w:rPr>
  </w:style>
  <w:style w:type="paragraph" w:customStyle="1" w:styleId="Style3">
    <w:name w:val="Style3"/>
    <w:basedOn w:val="Heading1"/>
    <w:pPr>
      <w:tabs>
        <w:tab w:val="left" w:pos="0"/>
        <w:tab w:val="left" w:pos="720"/>
        <w:tab w:val="num" w:pos="1492"/>
      </w:tabs>
      <w:spacing w:before="0" w:after="0"/>
    </w:pPr>
    <w:rPr>
      <w:szCs w:val="28"/>
    </w:rPr>
  </w:style>
  <w:style w:type="paragraph" w:customStyle="1" w:styleId="Style4">
    <w:name w:val="Style4"/>
    <w:basedOn w:val="Heading2"/>
    <w:qFormat/>
    <w:pPr>
      <w:spacing w:after="0"/>
    </w:pPr>
    <w:rPr>
      <w:snapToGrid/>
    </w:rPr>
  </w:style>
  <w:style w:type="paragraph" w:customStyle="1" w:styleId="Style5">
    <w:name w:val="Style5"/>
    <w:basedOn w:val="Heading311ptBold"/>
    <w:autoRedefine/>
    <w:pPr>
      <w:numPr>
        <w:ilvl w:val="0"/>
        <w:numId w:val="0"/>
      </w:numPr>
      <w:tabs>
        <w:tab w:val="clear" w:pos="1800"/>
        <w:tab w:val="left" w:pos="720"/>
        <w:tab w:val="center" w:pos="1440"/>
      </w:tabs>
      <w:spacing w:before="0" w:after="0"/>
    </w:pPr>
    <w:rPr>
      <w:b/>
      <w:snapToGrid/>
    </w:rPr>
  </w:style>
  <w:style w:type="paragraph" w:customStyle="1" w:styleId="Style6">
    <w:name w:val="Style6"/>
    <w:basedOn w:val="Heading311ptBold"/>
    <w:next w:val="Style5"/>
    <w:pPr>
      <w:numPr>
        <w:ilvl w:val="0"/>
        <w:numId w:val="0"/>
      </w:numPr>
      <w:tabs>
        <w:tab w:val="clear" w:pos="1800"/>
        <w:tab w:val="left" w:pos="720"/>
        <w:tab w:val="center" w:pos="1440"/>
      </w:tabs>
      <w:spacing w:before="0" w:after="0"/>
    </w:pPr>
    <w:rPr>
      <w:b/>
      <w:snapToGrid/>
    </w:rPr>
  </w:style>
  <w:style w:type="paragraph" w:customStyle="1" w:styleId="Style7">
    <w:name w:val="Style7"/>
    <w:basedOn w:val="Heading311ptBold"/>
    <w:pPr>
      <w:numPr>
        <w:ilvl w:val="0"/>
        <w:numId w:val="0"/>
      </w:numPr>
      <w:tabs>
        <w:tab w:val="clear" w:pos="1800"/>
        <w:tab w:val="left" w:pos="720"/>
        <w:tab w:val="center" w:pos="1440"/>
      </w:tabs>
      <w:spacing w:before="0" w:after="0"/>
      <w:ind w:left="720" w:hanging="720"/>
    </w:pPr>
    <w:rPr>
      <w:b/>
      <w:snapToGrid/>
    </w:rPr>
  </w:style>
  <w:style w:type="paragraph" w:customStyle="1" w:styleId="StyleHeading2SubParaaHeading2Char1CharSubParaaChar1">
    <w:name w:val="Style Heading 2SubPara (a)Heading 2 Char1 CharSubPara (a) Char1 ..."/>
    <w:basedOn w:val="Heading2"/>
    <w:autoRedefine/>
    <w:pPr>
      <w:spacing w:after="0"/>
    </w:pPr>
    <w:rPr>
      <w:bCs w:val="0"/>
      <w:snapToGrid/>
      <w:szCs w:val="20"/>
    </w:rPr>
  </w:style>
  <w:style w:type="paragraph" w:customStyle="1" w:styleId="StyleStyleHeading2SubParaaHeading2Char1CharSubParaaCha">
    <w:name w:val="Style Style Heading 2SubPara (a)Heading 2 Char1 CharSubPara (a) Cha..."/>
    <w:basedOn w:val="StyleHeading2SubParaaHeading2Char1CharSubParaaChar1"/>
  </w:style>
  <w:style w:type="paragraph" w:customStyle="1" w:styleId="StyleHeading4Left0Firstline0">
    <w:name w:val="Style Heading 4 + Left:  0&quot; First line:  0&quot;"/>
    <w:basedOn w:val="Heading4"/>
    <w:autoRedefine/>
    <w:pPr>
      <w:spacing w:after="0"/>
    </w:pPr>
    <w:rPr>
      <w:b w:val="0"/>
      <w:bCs w:val="0"/>
      <w:snapToGrid/>
      <w:szCs w:val="20"/>
    </w:rPr>
  </w:style>
  <w:style w:type="paragraph" w:styleId="ListBullet2">
    <w:name w:val="List Bullet 2"/>
    <w:basedOn w:val="Normal"/>
    <w:semiHidden/>
    <w:pPr>
      <w:tabs>
        <w:tab w:val="num" w:pos="643"/>
      </w:tabs>
      <w:spacing w:after="0"/>
      <w:ind w:left="643" w:hanging="360"/>
    </w:pPr>
    <w:rPr>
      <w:color w:val="auto"/>
      <w:szCs w:val="24"/>
      <w:lang w:eastAsia="en-GB"/>
    </w:rPr>
  </w:style>
  <w:style w:type="paragraph" w:styleId="ListBullet3">
    <w:name w:val="List Bullet 3"/>
    <w:basedOn w:val="Normal"/>
    <w:semiHidden/>
    <w:pPr>
      <w:tabs>
        <w:tab w:val="num" w:pos="926"/>
      </w:tabs>
      <w:spacing w:after="0"/>
      <w:ind w:left="926" w:hanging="360"/>
    </w:pPr>
    <w:rPr>
      <w:color w:val="auto"/>
      <w:szCs w:val="24"/>
      <w:lang w:eastAsia="en-GB"/>
    </w:rPr>
  </w:style>
  <w:style w:type="paragraph" w:styleId="ListBullet4">
    <w:name w:val="List Bullet 4"/>
    <w:basedOn w:val="Normal"/>
    <w:semiHidden/>
    <w:pPr>
      <w:tabs>
        <w:tab w:val="num" w:pos="1209"/>
      </w:tabs>
      <w:spacing w:after="0"/>
      <w:ind w:left="1209" w:hanging="360"/>
    </w:pPr>
    <w:rPr>
      <w:color w:val="auto"/>
      <w:szCs w:val="24"/>
      <w:lang w:eastAsia="en-GB"/>
    </w:rPr>
  </w:style>
  <w:style w:type="paragraph" w:customStyle="1" w:styleId="ECMSHeading1">
    <w:name w:val="ECMS Heading 1"/>
    <w:basedOn w:val="Heading1"/>
    <w:pPr>
      <w:spacing w:after="1080"/>
      <w:ind w:left="0" w:firstLine="0"/>
    </w:pPr>
    <w:rPr>
      <w:rFonts w:ascii="Garamond" w:hAnsi="Garamond" w:cs="Arial"/>
      <w:bCs w:val="0"/>
      <w:color w:val="auto"/>
      <w:sz w:val="48"/>
      <w:szCs w:val="18"/>
      <w:lang w:eastAsia="en-GB"/>
    </w:rPr>
  </w:style>
  <w:style w:type="paragraph" w:customStyle="1" w:styleId="ECMStableheader">
    <w:name w:val="ECMS table header"/>
    <w:basedOn w:val="Normal"/>
    <w:pPr>
      <w:spacing w:after="0"/>
      <w:ind w:left="1320" w:hanging="1320"/>
    </w:pPr>
    <w:rPr>
      <w:b/>
      <w:color w:val="auto"/>
      <w:szCs w:val="24"/>
      <w:lang w:eastAsia="en-GB"/>
    </w:rPr>
  </w:style>
  <w:style w:type="paragraph" w:customStyle="1" w:styleId="Paralevel3">
    <w:name w:val="Para level3"/>
    <w:basedOn w:val="Normal"/>
    <w:autoRedefine/>
    <w:pPr>
      <w:numPr>
        <w:numId w:val="26"/>
      </w:numPr>
      <w:tabs>
        <w:tab w:val="clear" w:pos="2892"/>
        <w:tab w:val="num" w:pos="360"/>
      </w:tabs>
      <w:suppressAutoHyphens/>
      <w:spacing w:after="120"/>
      <w:ind w:left="0" w:firstLine="0"/>
    </w:pPr>
    <w:rPr>
      <w:color w:val="auto"/>
      <w:sz w:val="20"/>
      <w:lang w:eastAsia="en-US"/>
    </w:rPr>
  </w:style>
  <w:style w:type="character" w:customStyle="1" w:styleId="ANNEXESChar">
    <w:name w:val="ANNEXES Char"/>
    <w:rPr>
      <w:b/>
      <w:noProof w:val="0"/>
      <w:color w:val="000000"/>
      <w:sz w:val="28"/>
      <w:lang w:val="en-GB" w:eastAsia="zh-CN" w:bidi="ar-SA"/>
    </w:rPr>
  </w:style>
  <w:style w:type="character" w:customStyle="1" w:styleId="BodyTextChar">
    <w:name w:val="Body Text Char"/>
    <w:aliases w:val=" Char Char Char,Char Char Char,Body Text Char Char Char Char Char Char,Body Text Char Char Char Char Char1,Char Char3 Char,Body Text Char Char,Char Char Char2"/>
    <w:rPr>
      <w:rFonts w:ascii="Times New Roman" w:hAnsi="Times New Roman"/>
      <w:noProof w:val="0"/>
      <w:color w:val="000000"/>
      <w:lang w:val="en-GB" w:eastAsia="zh-CN"/>
    </w:rPr>
  </w:style>
  <w:style w:type="character" w:customStyle="1" w:styleId="BodyTextIndentChar">
    <w:name w:val="Body Text Indent Char"/>
    <w:rPr>
      <w:rFonts w:ascii="Times New Roman" w:hAnsi="Times New Roman"/>
      <w:noProof w:val="0"/>
      <w:color w:val="000000"/>
      <w:lang w:val="en-GB" w:eastAsia="zh-CN"/>
    </w:rPr>
  </w:style>
  <w:style w:type="paragraph" w:customStyle="1" w:styleId="ColorfulShading-Accent31">
    <w:name w:val="Colorful Shading - Accent 31"/>
    <w:basedOn w:val="Normal"/>
    <w:qFormat/>
    <w:pPr>
      <w:spacing w:after="0"/>
    </w:pPr>
    <w:rPr>
      <w:rFonts w:ascii="Cambria" w:eastAsia="Cambria" w:hAnsi="Cambria"/>
      <w:color w:val="auto"/>
      <w:sz w:val="24"/>
      <w:lang w:val="en-US"/>
    </w:rPr>
  </w:style>
  <w:style w:type="paragraph" w:customStyle="1" w:styleId="summarylevel3">
    <w:name w:val="summary level3"/>
    <w:basedOn w:val="Heading3"/>
    <w:next w:val="Normal"/>
    <w:pPr>
      <w:keepLines w:val="0"/>
      <w:suppressLineNumbers/>
      <w:tabs>
        <w:tab w:val="left" w:pos="851"/>
      </w:tabs>
      <w:spacing w:before="100"/>
    </w:pPr>
    <w:rPr>
      <w:rFonts w:ascii="Times New Roman Bold" w:hAnsi="Times New Roman Bold"/>
      <w:snapToGrid/>
      <w:lang w:val="en-AU"/>
    </w:rPr>
  </w:style>
  <w:style w:type="paragraph" w:customStyle="1" w:styleId="intro">
    <w:name w:val="intro"/>
    <w:basedOn w:val="Normal"/>
    <w:pPr>
      <w:spacing w:before="100" w:after="100"/>
    </w:pPr>
    <w:rPr>
      <w:color w:val="auto"/>
      <w:sz w:val="24"/>
      <w:lang w:val="en-US" w:eastAsia="ja-JP"/>
    </w:rPr>
  </w:style>
  <w:style w:type="paragraph" w:customStyle="1" w:styleId="BodyTextLeft">
    <w:name w:val="Body Text Left"/>
    <w:basedOn w:val="Normal"/>
    <w:pPr>
      <w:widowControl w:val="0"/>
    </w:pPr>
    <w:rPr>
      <w:rFonts w:eastAsia="MS Mincho"/>
      <w:color w:val="auto"/>
      <w:kern w:val="2"/>
      <w:sz w:val="24"/>
      <w:lang w:eastAsia="ja-JP"/>
    </w:rPr>
  </w:style>
  <w:style w:type="paragraph" w:customStyle="1" w:styleId="bullet0">
    <w:name w:val="bullet"/>
    <w:basedOn w:val="Normal"/>
    <w:autoRedefine/>
    <w:pPr>
      <w:spacing w:after="0"/>
      <w:ind w:left="1080"/>
    </w:pPr>
    <w:rPr>
      <w:color w:val="auto"/>
      <w:sz w:val="24"/>
    </w:rPr>
  </w:style>
  <w:style w:type="paragraph" w:customStyle="1" w:styleId="ExecSumHeading">
    <w:name w:val="Exec Sum Heading"/>
    <w:basedOn w:val="Heading1"/>
    <w:pPr>
      <w:widowControl w:val="0"/>
      <w:tabs>
        <w:tab w:val="left" w:pos="851"/>
      </w:tabs>
      <w:spacing w:before="240"/>
    </w:pPr>
    <w:rPr>
      <w:rFonts w:ascii="Times New Roman Bold" w:eastAsia="MS Mincho" w:hAnsi="Times New Roman Bold"/>
      <w:color w:val="auto"/>
      <w:kern w:val="32"/>
      <w:sz w:val="30"/>
    </w:rPr>
  </w:style>
  <w:style w:type="character" w:customStyle="1" w:styleId="text">
    <w:name w:val="text"/>
    <w:basedOn w:val="DefaultParagraphFont"/>
  </w:style>
  <w:style w:type="paragraph" w:customStyle="1" w:styleId="StyleHeading1Para1Heading1Char1CharHeading1CharCharC">
    <w:name w:val="Style Heading 1Para (1)Heading 1 Char1 CharHeading 1 Char Char C..."/>
    <w:basedOn w:val="Heading1"/>
    <w:pPr>
      <w:tabs>
        <w:tab w:val="left" w:pos="851"/>
      </w:tabs>
      <w:spacing w:before="240" w:after="60"/>
    </w:pPr>
    <w:rPr>
      <w:rFonts w:ascii="Times New Roman Bold" w:hAnsi="Times New Roman Bold"/>
      <w:kern w:val="32"/>
      <w:sz w:val="30"/>
    </w:rPr>
  </w:style>
  <w:style w:type="character" w:customStyle="1" w:styleId="StyleHeading1Para1Heading1Char1CharHeading1CharCharCChar">
    <w:name w:val="Style Heading 1Para (1)Heading 1 Char1 CharHeading 1 Char Char C... Char"/>
    <w:rPr>
      <w:rFonts w:cs="Arial"/>
      <w:b/>
      <w:bCs/>
      <w:noProof w:val="0"/>
      <w:color w:val="000000"/>
      <w:kern w:val="32"/>
      <w:sz w:val="28"/>
      <w:szCs w:val="32"/>
      <w:lang w:val="en-US" w:eastAsia="en-US" w:bidi="ar-SA"/>
    </w:rPr>
  </w:style>
  <w:style w:type="paragraph" w:customStyle="1" w:styleId="StyleBodyTextLeftAfter0pt">
    <w:name w:val="Style Body Text Left + After:  0 pt"/>
    <w:basedOn w:val="BodyTextLeft"/>
    <w:rPr>
      <w:lang w:eastAsia="zh-CN"/>
    </w:rPr>
  </w:style>
  <w:style w:type="paragraph" w:customStyle="1" w:styleId="StyleBodyTextIndent2Firstline0cm">
    <w:name w:val="Style Body Text Indent 2 + First line:  0 cm"/>
    <w:basedOn w:val="BodyTextIndent2"/>
    <w:pPr>
      <w:spacing w:after="240"/>
      <w:ind w:firstLine="0"/>
    </w:pPr>
  </w:style>
  <w:style w:type="paragraph" w:customStyle="1" w:styleId="StyleBodyTextIndent2Firstline0cm1">
    <w:name w:val="Style Body Text Indent 2 + First line:  0 cm1"/>
    <w:basedOn w:val="BodyTextIndent2"/>
    <w:pPr>
      <w:spacing w:after="240"/>
      <w:ind w:firstLine="0"/>
    </w:pPr>
  </w:style>
  <w:style w:type="paragraph" w:customStyle="1" w:styleId="NormalBold">
    <w:name w:val="Normal + Bold"/>
    <w:aliases w:val="Italic,Centered"/>
    <w:basedOn w:val="Execlevel3"/>
    <w:pPr>
      <w:spacing w:after="240"/>
      <w:jc w:val="center"/>
    </w:pPr>
  </w:style>
  <w:style w:type="paragraph" w:styleId="List5">
    <w:name w:val="List 5"/>
    <w:basedOn w:val="Normal"/>
    <w:semiHidden/>
    <w:pPr>
      <w:tabs>
        <w:tab w:val="left" w:pos="4680"/>
        <w:tab w:val="right" w:pos="9360"/>
      </w:tabs>
      <w:spacing w:before="220" w:after="0" w:line="220" w:lineRule="exact"/>
      <w:ind w:left="1800" w:hanging="360"/>
      <w:jc w:val="both"/>
    </w:pPr>
    <w:rPr>
      <w:rFonts w:ascii="Arial" w:hAnsi="Arial"/>
      <w:color w:val="auto"/>
      <w:lang w:val="en-US"/>
    </w:rPr>
  </w:style>
  <w:style w:type="paragraph" w:customStyle="1" w:styleId="enclosures">
    <w:name w:val="enclosures"/>
    <w:basedOn w:val="Normal"/>
    <w:next w:val="Normal"/>
    <w:rsid w:val="00255612"/>
    <w:pPr>
      <w:tabs>
        <w:tab w:val="left" w:pos="720"/>
        <w:tab w:val="right" w:pos="9360"/>
      </w:tabs>
      <w:spacing w:after="0"/>
    </w:pPr>
    <w:rPr>
      <w:rFonts w:ascii="Helvetica" w:hAnsi="Helvetica"/>
      <w:color w:val="auto"/>
      <w:lang w:val="en-US"/>
    </w:rPr>
  </w:style>
  <w:style w:type="character" w:customStyle="1" w:styleId="CommentTextChar1">
    <w:name w:val="Comment Text Char1"/>
    <w:uiPriority w:val="99"/>
    <w:rPr>
      <w:rFonts w:cs="Times New Roman"/>
      <w:noProof w:val="0"/>
      <w:sz w:val="24"/>
      <w:lang w:val="en-US" w:eastAsia="ja-JP"/>
    </w:rPr>
  </w:style>
  <w:style w:type="character" w:customStyle="1" w:styleId="CommentTextChar">
    <w:name w:val="Comment Text Char"/>
    <w:uiPriority w:val="99"/>
    <w:rPr>
      <w:rFonts w:ascii="Times New Roman" w:hAnsi="Times New Roman" w:cs="Times New Roman"/>
      <w:noProof w:val="0"/>
      <w:sz w:val="24"/>
      <w:lang w:val="x-none" w:eastAsia="ja-JP"/>
    </w:rPr>
  </w:style>
  <w:style w:type="character" w:customStyle="1" w:styleId="BalloonTextChar">
    <w:name w:val="Balloon Text Char"/>
    <w:uiPriority w:val="99"/>
    <w:rPr>
      <w:rFonts w:ascii="Tahoma" w:hAnsi="Tahoma" w:cs="MS Mincho"/>
      <w:sz w:val="16"/>
    </w:rPr>
  </w:style>
  <w:style w:type="character" w:customStyle="1" w:styleId="CommentSubjectChar">
    <w:name w:val="Comment Subject Char"/>
    <w:uiPriority w:val="99"/>
    <w:rPr>
      <w:rFonts w:eastAsia="Times New Roman" w:cs="Times New Roman"/>
      <w:b/>
      <w:bCs/>
      <w:noProof w:val="0"/>
      <w:sz w:val="24"/>
      <w:lang w:val="en-US" w:eastAsia="ja-JP"/>
    </w:rPr>
  </w:style>
  <w:style w:type="character" w:customStyle="1" w:styleId="Heading5Char">
    <w:name w:val="Heading 5 Char"/>
    <w:aliases w:val="Subpara 2 Char"/>
    <w:uiPriority w:val="9"/>
    <w:rPr>
      <w:rFonts w:ascii="Cambria" w:eastAsia="Times New Roman" w:hAnsi="Cambria" w:cs="Times New Roman"/>
      <w:color w:val="243F60"/>
    </w:rPr>
  </w:style>
  <w:style w:type="character" w:customStyle="1" w:styleId="Heading6Char">
    <w:name w:val="Heading 6 Char"/>
    <w:aliases w:val="Subpara 3 Char"/>
    <w:rPr>
      <w:rFonts w:ascii="Cambria" w:eastAsia="Times New Roman" w:hAnsi="Cambria" w:cs="Times New Roman"/>
      <w:i/>
      <w:iCs/>
      <w:color w:val="243F60"/>
    </w:rPr>
  </w:style>
  <w:style w:type="character" w:customStyle="1" w:styleId="Heading7Char">
    <w:name w:val="Heading 7 Char"/>
    <w:aliases w:val="Subpara 4 Char"/>
    <w:rPr>
      <w:rFonts w:ascii="Cambria" w:eastAsia="Times New Roman" w:hAnsi="Cambria" w:cs="Times New Roman"/>
      <w:i/>
      <w:iCs/>
      <w:color w:val="404040"/>
    </w:rPr>
  </w:style>
  <w:style w:type="character" w:customStyle="1" w:styleId="Heading8Char">
    <w:name w:val="Heading 8 Char"/>
    <w:aliases w:val="Subpara 5 Char"/>
    <w:rPr>
      <w:rFonts w:ascii="Cambria" w:eastAsia="Times New Roman" w:hAnsi="Cambria" w:cs="Times New Roman"/>
      <w:color w:val="404040"/>
      <w:sz w:val="20"/>
      <w:szCs w:val="20"/>
    </w:rPr>
  </w:style>
  <w:style w:type="character" w:customStyle="1" w:styleId="Heading9Char">
    <w:name w:val="Heading 9 Char"/>
    <w:aliases w:val="Subpara 6 Char"/>
    <w:rPr>
      <w:rFonts w:ascii="Cambria" w:eastAsia="Times New Roman" w:hAnsi="Cambria" w:cs="Times New Roman"/>
      <w:i/>
      <w:iCs/>
      <w:color w:val="404040"/>
      <w:sz w:val="20"/>
      <w:szCs w:val="20"/>
    </w:rPr>
  </w:style>
  <w:style w:type="paragraph" w:customStyle="1" w:styleId="Paraindent">
    <w:name w:val="Para indent"/>
    <w:basedOn w:val="Normal"/>
    <w:qFormat/>
    <w:pPr>
      <w:widowControl w:val="0"/>
      <w:spacing w:before="120" w:after="120"/>
      <w:ind w:left="709" w:right="720"/>
      <w:jc w:val="both"/>
    </w:pPr>
    <w:rPr>
      <w:i/>
      <w:sz w:val="20"/>
    </w:rPr>
  </w:style>
  <w:style w:type="paragraph" w:customStyle="1" w:styleId="BulletsinTable">
    <w:name w:val="Bullets in Table"/>
    <w:basedOn w:val="ListParagraph1"/>
    <w:qFormat/>
    <w:pPr>
      <w:numPr>
        <w:numId w:val="9"/>
      </w:numPr>
      <w:autoSpaceDE w:val="0"/>
      <w:autoSpaceDN w:val="0"/>
      <w:adjustRightInd w:val="0"/>
      <w:ind w:left="720" w:right="720"/>
      <w:jc w:val="left"/>
    </w:pPr>
    <w:rPr>
      <w:rFonts w:ascii="Times New Roman" w:eastAsia="Times New Roman" w:hAnsi="Times New Roman"/>
      <w:i/>
      <w:color w:val="000000"/>
      <w:sz w:val="20"/>
      <w:lang w:val="en"/>
    </w:rPr>
  </w:style>
  <w:style w:type="paragraph" w:customStyle="1" w:styleId="Annex">
    <w:name w:val="Annex"/>
    <w:basedOn w:val="Caption"/>
    <w:qFormat/>
    <w:pPr>
      <w:spacing w:before="100" w:after="100" w:line="240" w:lineRule="auto"/>
      <w:ind w:left="426" w:right="720"/>
    </w:pPr>
    <w:rPr>
      <w:b/>
      <w:caps/>
      <w:color w:val="auto"/>
      <w:sz w:val="20"/>
    </w:rPr>
  </w:style>
  <w:style w:type="paragraph" w:customStyle="1" w:styleId="Tableandfigureheadings">
    <w:name w:val="Table and figure headings"/>
    <w:basedOn w:val="TableofFigures"/>
    <w:qFormat/>
    <w:pPr>
      <w:keepNext/>
      <w:ind w:left="0" w:right="720" w:firstLine="0"/>
      <w:jc w:val="left"/>
    </w:pPr>
    <w:rPr>
      <w:rFonts w:eastAsia="Times New Roman"/>
      <w:i/>
      <w:caps w:val="0"/>
      <w:sz w:val="24"/>
    </w:rPr>
  </w:style>
  <w:style w:type="paragraph" w:customStyle="1" w:styleId="Bulletsnumbered">
    <w:name w:val="Bullets numbered"/>
    <w:basedOn w:val="Paraindent"/>
    <w:qFormat/>
    <w:pPr>
      <w:tabs>
        <w:tab w:val="num" w:pos="720"/>
      </w:tabs>
      <w:ind w:left="1560" w:hanging="720"/>
    </w:pPr>
  </w:style>
  <w:style w:type="paragraph" w:customStyle="1" w:styleId="Style">
    <w:name w:val="Style"/>
    <w:pPr>
      <w:widowControl w:val="0"/>
      <w:numPr>
        <w:numId w:val="29"/>
      </w:numPr>
      <w:tabs>
        <w:tab w:val="clear" w:pos="720"/>
      </w:tabs>
      <w:autoSpaceDE w:val="0"/>
      <w:autoSpaceDN w:val="0"/>
      <w:adjustRightInd w:val="0"/>
      <w:ind w:left="0" w:firstLine="0"/>
    </w:pPr>
    <w:rPr>
      <w:rFonts w:ascii="Arial" w:hAnsi="Arial"/>
      <w:sz w:val="24"/>
      <w:lang w:val="en-GB" w:eastAsia="ko-KR"/>
    </w:rPr>
  </w:style>
  <w:style w:type="paragraph" w:customStyle="1" w:styleId="Chapternumber">
    <w:name w:val="Chapter number"/>
    <w:basedOn w:val="Normal"/>
    <w:pPr>
      <w:widowControl w:val="0"/>
      <w:suppressAutoHyphens/>
      <w:autoSpaceDE w:val="0"/>
      <w:autoSpaceDN w:val="0"/>
      <w:adjustRightInd w:val="0"/>
      <w:spacing w:before="100" w:after="567" w:line="640" w:lineRule="atLeast"/>
      <w:ind w:right="720"/>
      <w:textAlignment w:val="center"/>
    </w:pPr>
    <w:rPr>
      <w:rFonts w:ascii="FrutigerLTStd-Light" w:hAnsi="FrutigerLTStd-Light"/>
      <w:i/>
      <w:sz w:val="60"/>
    </w:rPr>
  </w:style>
  <w:style w:type="paragraph" w:customStyle="1" w:styleId="Tabletext0">
    <w:name w:val="Table text"/>
    <w:basedOn w:val="Normal"/>
    <w:pPr>
      <w:widowControl w:val="0"/>
      <w:suppressAutoHyphens/>
      <w:autoSpaceDE w:val="0"/>
      <w:autoSpaceDN w:val="0"/>
      <w:adjustRightInd w:val="0"/>
      <w:spacing w:before="100" w:after="113" w:line="288" w:lineRule="auto"/>
      <w:ind w:right="720"/>
      <w:textAlignment w:val="center"/>
    </w:pPr>
    <w:rPr>
      <w:rFonts w:ascii="FrutigerLTStd-Light" w:hAnsi="FrutigerLTStd-Light"/>
      <w:i/>
      <w:sz w:val="24"/>
    </w:rPr>
  </w:style>
  <w:style w:type="paragraph" w:customStyle="1" w:styleId="Bodycopynoindent">
    <w:name w:val="Body copy (no indent)"/>
    <w:basedOn w:val="Normal"/>
    <w:pPr>
      <w:widowControl w:val="0"/>
      <w:suppressAutoHyphens/>
      <w:autoSpaceDE w:val="0"/>
      <w:autoSpaceDN w:val="0"/>
      <w:adjustRightInd w:val="0"/>
      <w:spacing w:before="100" w:after="280" w:line="320" w:lineRule="atLeast"/>
      <w:ind w:right="720"/>
      <w:textAlignment w:val="center"/>
    </w:pPr>
    <w:rPr>
      <w:rFonts w:ascii="FrutigerLTStd-Light" w:hAnsi="FrutigerLTStd-Light"/>
      <w:i/>
      <w:sz w:val="24"/>
    </w:rPr>
  </w:style>
  <w:style w:type="paragraph" w:customStyle="1" w:styleId="Bullettext">
    <w:name w:val="Bullet text"/>
    <w:basedOn w:val="Normal"/>
    <w:next w:val="Normal"/>
    <w:pPr>
      <w:widowControl w:val="0"/>
      <w:tabs>
        <w:tab w:val="num" w:pos="851"/>
      </w:tabs>
      <w:suppressAutoHyphens/>
      <w:autoSpaceDE w:val="0"/>
      <w:autoSpaceDN w:val="0"/>
      <w:adjustRightInd w:val="0"/>
      <w:spacing w:before="100" w:after="113" w:line="320" w:lineRule="atLeast"/>
      <w:ind w:left="851" w:right="720" w:hanging="284"/>
      <w:textAlignment w:val="center"/>
    </w:pPr>
    <w:rPr>
      <w:rFonts w:ascii="FrutigerLTStd-Light" w:hAnsi="FrutigerLTStd-Light"/>
      <w:i/>
      <w:sz w:val="24"/>
    </w:rPr>
  </w:style>
  <w:style w:type="paragraph" w:customStyle="1" w:styleId="Bullettextlastline">
    <w:name w:val="Bullet text last line"/>
    <w:basedOn w:val="Normal"/>
    <w:pPr>
      <w:widowControl w:val="0"/>
      <w:tabs>
        <w:tab w:val="num" w:pos="851"/>
      </w:tabs>
      <w:suppressAutoHyphens/>
      <w:autoSpaceDE w:val="0"/>
      <w:autoSpaceDN w:val="0"/>
      <w:adjustRightInd w:val="0"/>
      <w:spacing w:before="100" w:after="280" w:line="320" w:lineRule="atLeast"/>
      <w:ind w:left="851" w:right="720" w:hanging="284"/>
      <w:textAlignment w:val="center"/>
    </w:pPr>
    <w:rPr>
      <w:rFonts w:ascii="FrutigerLTStd-Light" w:hAnsi="FrutigerLTStd-Light"/>
      <w:i/>
      <w:sz w:val="24"/>
    </w:rPr>
  </w:style>
  <w:style w:type="paragraph" w:customStyle="1" w:styleId="Section2numbered">
    <w:name w:val="Section 2 numbered"/>
    <w:pPr>
      <w:tabs>
        <w:tab w:val="num" w:pos="1492"/>
      </w:tabs>
      <w:spacing w:after="227"/>
      <w:ind w:left="1492" w:hanging="360"/>
    </w:pPr>
    <w:rPr>
      <w:rFonts w:ascii="FrutigerLTStd-Light" w:hAnsi="FrutigerLTStd-Light"/>
      <w:color w:val="000000"/>
      <w:sz w:val="24"/>
      <w:lang w:val="en-GB" w:eastAsia="ko-KR"/>
    </w:rPr>
  </w:style>
  <w:style w:type="character" w:customStyle="1" w:styleId="Boldtext">
    <w:name w:val="Bold text"/>
    <w:rPr>
      <w:rFonts w:ascii="FrutigerLTStd-Bold" w:hAnsi="FrutigerLTStd-Bold" w:cs="Verdana"/>
      <w:b/>
      <w:bCs/>
    </w:rPr>
  </w:style>
  <w:style w:type="paragraph" w:customStyle="1" w:styleId="Section3numbered">
    <w:name w:val="Section 3 numbered"/>
    <w:pPr>
      <w:numPr>
        <w:numId w:val="30"/>
      </w:numPr>
      <w:tabs>
        <w:tab w:val="clear" w:pos="720"/>
        <w:tab w:val="num" w:pos="680"/>
      </w:tabs>
      <w:spacing w:after="227"/>
      <w:ind w:left="680" w:hanging="680"/>
    </w:pPr>
    <w:rPr>
      <w:rFonts w:ascii="FrutigerLTStd-Light" w:hAnsi="FrutigerLTStd-Light"/>
      <w:color w:val="000000"/>
      <w:sz w:val="24"/>
      <w:lang w:val="en-GB" w:eastAsia="ko-KR"/>
    </w:rPr>
  </w:style>
  <w:style w:type="paragraph" w:customStyle="1" w:styleId="Section6numbered">
    <w:name w:val="Section 6 numbered"/>
    <w:pPr>
      <w:tabs>
        <w:tab w:val="num" w:pos="0"/>
      </w:tabs>
      <w:spacing w:after="227"/>
      <w:ind w:left="578"/>
    </w:pPr>
    <w:rPr>
      <w:rFonts w:ascii="FrutigerLTStd-Light" w:hAnsi="FrutigerLTStd-Light"/>
      <w:color w:val="000000"/>
      <w:sz w:val="24"/>
      <w:lang w:val="en-GB" w:eastAsia="ko-KR"/>
    </w:rPr>
  </w:style>
  <w:style w:type="paragraph" w:customStyle="1" w:styleId="BasicParagraph">
    <w:name w:val="[Basic Paragraph]"/>
    <w:basedOn w:val="Normal"/>
    <w:pPr>
      <w:widowControl w:val="0"/>
      <w:numPr>
        <w:numId w:val="31"/>
      </w:numPr>
      <w:tabs>
        <w:tab w:val="clear" w:pos="720"/>
      </w:tabs>
      <w:autoSpaceDE w:val="0"/>
      <w:autoSpaceDN w:val="0"/>
      <w:adjustRightInd w:val="0"/>
      <w:spacing w:before="100" w:after="0" w:line="288" w:lineRule="auto"/>
      <w:ind w:left="0" w:right="720" w:firstLine="0"/>
      <w:textAlignment w:val="center"/>
    </w:pPr>
    <w:rPr>
      <w:rFonts w:ascii="Times-Roman" w:hAnsi="Times-Roman"/>
      <w:i/>
      <w:sz w:val="24"/>
      <w:lang w:val="en-US"/>
    </w:rPr>
  </w:style>
  <w:style w:type="character" w:customStyle="1" w:styleId="t1">
    <w:name w:val="t1"/>
    <w:basedOn w:val="DefaultParagraphFont"/>
  </w:style>
  <w:style w:type="paragraph" w:customStyle="1" w:styleId="Bulletstechnologytable">
    <w:name w:val="Bullets technology table"/>
    <w:basedOn w:val="BulletsinTable"/>
    <w:qFormat/>
    <w:pPr>
      <w:ind w:left="175" w:hanging="142"/>
    </w:pPr>
  </w:style>
  <w:style w:type="paragraph" w:customStyle="1" w:styleId="Recommendationsnumbered">
    <w:name w:val="Recommendations numbered"/>
    <w:basedOn w:val="Bulletsnumbered"/>
    <w:qFormat/>
    <w:pPr>
      <w:ind w:left="1134" w:hanging="425"/>
    </w:pPr>
  </w:style>
  <w:style w:type="paragraph" w:customStyle="1" w:styleId="wbtbullet1">
    <w:name w:val="wbtbullet1"/>
    <w:basedOn w:val="Normal"/>
    <w:pPr>
      <w:spacing w:before="100" w:after="0"/>
      <w:ind w:right="720"/>
      <w:jc w:val="both"/>
    </w:pPr>
    <w:rPr>
      <w:rFonts w:ascii="Verdana" w:hAnsi="Verdana"/>
      <w:i/>
      <w:color w:val="auto"/>
      <w:sz w:val="16"/>
    </w:rPr>
  </w:style>
  <w:style w:type="paragraph" w:customStyle="1" w:styleId="Box">
    <w:name w:val="Box"/>
    <w:basedOn w:val="BodyText"/>
    <w:qFormat/>
    <w:pPr>
      <w:numPr>
        <w:ilvl w:val="1"/>
        <w:numId w:val="7"/>
      </w:numPr>
      <w:pBdr>
        <w:top w:val="single" w:sz="4" w:space="1" w:color="auto"/>
        <w:left w:val="single" w:sz="4" w:space="4" w:color="auto"/>
        <w:bottom w:val="single" w:sz="4" w:space="1" w:color="auto"/>
        <w:right w:val="single" w:sz="4" w:space="4" w:color="auto"/>
      </w:pBdr>
      <w:spacing w:before="100" w:after="0" w:line="240" w:lineRule="auto"/>
      <w:ind w:right="720"/>
    </w:pPr>
    <w:rPr>
      <w:rFonts w:ascii="Calibri" w:hAnsi="Calibri"/>
      <w:i/>
      <w:color w:val="auto"/>
      <w:spacing w:val="-2"/>
      <w:sz w:val="18"/>
      <w:lang w:val="en-US"/>
    </w:rPr>
  </w:style>
  <w:style w:type="character" w:customStyle="1" w:styleId="content1">
    <w:name w:val="content1"/>
    <w:rPr>
      <w:rFonts w:ascii="Trebuchet MS" w:hAnsi="Trebuchet MS" w:hint="default"/>
      <w:color w:val="292929"/>
      <w:sz w:val="18"/>
      <w:szCs w:val="18"/>
    </w:rPr>
  </w:style>
  <w:style w:type="character" w:customStyle="1" w:styleId="smbody1">
    <w:name w:val="smbody1"/>
    <w:rPr>
      <w:rFonts w:ascii="Verdana" w:hAnsi="Verdana" w:hint="default"/>
      <w:color w:val="333333"/>
      <w:sz w:val="15"/>
      <w:szCs w:val="15"/>
    </w:rPr>
  </w:style>
  <w:style w:type="paragraph" w:customStyle="1" w:styleId="Text0">
    <w:name w:val="Text"/>
    <w:basedOn w:val="Normal"/>
    <w:pPr>
      <w:spacing w:before="100" w:after="0"/>
      <w:ind w:right="720"/>
      <w:jc w:val="both"/>
    </w:pPr>
    <w:rPr>
      <w:rFonts w:ascii="Arial" w:hAnsi="Arial"/>
      <w:i/>
      <w:color w:val="auto"/>
      <w:sz w:val="18"/>
      <w:lang w:val="en-US"/>
    </w:rPr>
  </w:style>
  <w:style w:type="paragraph" w:customStyle="1" w:styleId="SimonUberschrift">
    <w:name w:val="Simon Uberschrift"/>
    <w:basedOn w:val="Heading3"/>
    <w:next w:val="Heading1"/>
    <w:pPr>
      <w:keepLines w:val="0"/>
      <w:numPr>
        <w:ilvl w:val="2"/>
        <w:numId w:val="1"/>
      </w:numPr>
      <w:tabs>
        <w:tab w:val="num" w:pos="1800"/>
      </w:tabs>
      <w:spacing w:before="240"/>
      <w:ind w:left="1440" w:firstLine="0"/>
    </w:pPr>
    <w:rPr>
      <w:b w:val="0"/>
      <w:i w:val="0"/>
      <w:snapToGrid/>
    </w:rPr>
  </w:style>
  <w:style w:type="character" w:customStyle="1" w:styleId="TitleChar">
    <w:name w:val="Title Char"/>
    <w:rPr>
      <w:rFonts w:ascii="Arial" w:eastAsia="Times New Roman" w:hAnsi="Arial" w:cs="Arial"/>
      <w:b/>
      <w:bCs/>
      <w:kern w:val="28"/>
      <w:sz w:val="28"/>
      <w:szCs w:val="32"/>
      <w:lang w:eastAsia="en-US"/>
    </w:rPr>
  </w:style>
  <w:style w:type="paragraph" w:customStyle="1" w:styleId="xl22">
    <w:name w:val="xl22"/>
    <w:basedOn w:val="Normal"/>
    <w:pPr>
      <w:pBdr>
        <w:top w:val="single" w:sz="4" w:space="0" w:color="auto"/>
        <w:left w:val="single" w:sz="4" w:space="0" w:color="auto"/>
        <w:bottom w:val="single" w:sz="4" w:space="0" w:color="auto"/>
        <w:right w:val="single" w:sz="4" w:space="0" w:color="auto"/>
      </w:pBdr>
      <w:spacing w:before="100" w:after="100"/>
      <w:ind w:right="720"/>
      <w:jc w:val="both"/>
      <w:textAlignment w:val="top"/>
    </w:pPr>
    <w:rPr>
      <w:rFonts w:ascii="Arial" w:eastAsia="Arial Unicode MS" w:hAnsi="Arial"/>
      <w:i/>
      <w:color w:val="auto"/>
      <w:sz w:val="18"/>
      <w:lang w:val="en-US"/>
    </w:rPr>
  </w:style>
  <w:style w:type="paragraph" w:customStyle="1" w:styleId="xl23">
    <w:name w:val="xl23"/>
    <w:basedOn w:val="Normal"/>
    <w:pPr>
      <w:pBdr>
        <w:top w:val="single" w:sz="4" w:space="0" w:color="auto"/>
        <w:left w:val="single" w:sz="4" w:space="0" w:color="auto"/>
        <w:bottom w:val="single" w:sz="4" w:space="0" w:color="auto"/>
        <w:right w:val="single" w:sz="4" w:space="0" w:color="auto"/>
      </w:pBdr>
      <w:spacing w:before="100" w:after="100"/>
      <w:ind w:right="720"/>
      <w:jc w:val="both"/>
      <w:textAlignment w:val="top"/>
    </w:pPr>
    <w:rPr>
      <w:rFonts w:ascii="Arial" w:eastAsia="Arial Unicode MS" w:hAnsi="Arial"/>
      <w:i/>
      <w:color w:val="auto"/>
      <w:sz w:val="18"/>
      <w:lang w:val="en-US"/>
    </w:rPr>
  </w:style>
  <w:style w:type="character" w:customStyle="1" w:styleId="BodyText3Char">
    <w:name w:val="Body Text 3 Char"/>
    <w:rPr>
      <w:rFonts w:ascii="Arial" w:eastAsia="Times New Roman" w:hAnsi="Arial" w:cs="Times New Roman"/>
      <w:sz w:val="16"/>
      <w:szCs w:val="16"/>
      <w:lang w:eastAsia="en-US"/>
    </w:rPr>
  </w:style>
  <w:style w:type="paragraph" w:customStyle="1" w:styleId="TablesinAnnexlandscape">
    <w:name w:val="Tables in Annex landscape"/>
    <w:basedOn w:val="Table"/>
    <w:qFormat/>
    <w:pPr>
      <w:keepLines w:val="0"/>
      <w:spacing w:before="120" w:after="120"/>
      <w:ind w:left="709" w:right="720"/>
    </w:pPr>
    <w:rPr>
      <w:b/>
      <w:i/>
      <w:snapToGrid/>
    </w:rPr>
  </w:style>
  <w:style w:type="paragraph" w:customStyle="1" w:styleId="Tablefootnote">
    <w:name w:val="Table footnote"/>
    <w:basedOn w:val="Normal"/>
    <w:qFormat/>
    <w:pPr>
      <w:tabs>
        <w:tab w:val="left" w:pos="3000"/>
      </w:tabs>
      <w:spacing w:before="100" w:after="0"/>
      <w:ind w:left="709" w:right="720"/>
    </w:pPr>
    <w:rPr>
      <w:i/>
      <w:color w:val="auto"/>
      <w:sz w:val="18"/>
    </w:rPr>
  </w:style>
  <w:style w:type="paragraph" w:customStyle="1" w:styleId="TableinfrontwithmeandKJ">
    <w:name w:val="Table in front with me and KJ"/>
    <w:basedOn w:val="Normal"/>
    <w:qFormat/>
    <w:pPr>
      <w:spacing w:before="60" w:after="60"/>
      <w:ind w:right="720"/>
    </w:pPr>
    <w:rPr>
      <w:i/>
      <w:color w:val="auto"/>
      <w:sz w:val="18"/>
    </w:rPr>
  </w:style>
  <w:style w:type="paragraph" w:customStyle="1" w:styleId="ParaindentItalicsubheader">
    <w:name w:val="Para indent Italic subheader"/>
    <w:basedOn w:val="Paraindent"/>
    <w:qFormat/>
    <w:rPr>
      <w:i w:val="0"/>
    </w:rPr>
  </w:style>
  <w:style w:type="paragraph" w:customStyle="1" w:styleId="Paratextintable">
    <w:name w:val="Para text in table"/>
    <w:basedOn w:val="Normal"/>
    <w:qFormat/>
    <w:pPr>
      <w:spacing w:before="120" w:after="120"/>
      <w:ind w:right="720"/>
    </w:pPr>
    <w:rPr>
      <w:color w:val="auto"/>
      <w:sz w:val="18"/>
      <w:lang w:val="en-US"/>
    </w:rPr>
  </w:style>
  <w:style w:type="paragraph" w:customStyle="1" w:styleId="Bulletsnumberedintable">
    <w:name w:val="Bullets numbered in table"/>
    <w:basedOn w:val="ListParagraph1"/>
    <w:qFormat/>
    <w:pPr>
      <w:numPr>
        <w:numId w:val="10"/>
      </w:numPr>
      <w:spacing w:before="100" w:after="0"/>
      <w:ind w:right="720"/>
      <w:jc w:val="left"/>
    </w:pPr>
    <w:rPr>
      <w:rFonts w:ascii="Times New Roman" w:eastAsia="Times New Roman" w:hAnsi="Times New Roman"/>
      <w:i/>
      <w:sz w:val="18"/>
      <w:lang w:val="en-US"/>
    </w:rPr>
  </w:style>
  <w:style w:type="paragraph" w:customStyle="1" w:styleId="Paranumbered">
    <w:name w:val="Para numbered"/>
    <w:basedOn w:val="ListParagraph1"/>
    <w:qFormat/>
    <w:pPr>
      <w:numPr>
        <w:numId w:val="11"/>
      </w:numPr>
      <w:spacing w:before="120" w:after="120"/>
      <w:ind w:left="709" w:right="720" w:hanging="709"/>
      <w:jc w:val="left"/>
    </w:pPr>
    <w:rPr>
      <w:rFonts w:ascii="Times New Roman" w:eastAsia="Times New Roman" w:hAnsi="Times New Roman"/>
      <w:i/>
      <w:sz w:val="18"/>
      <w:lang w:val="en-US"/>
    </w:rPr>
  </w:style>
  <w:style w:type="paragraph" w:customStyle="1" w:styleId="Bulletsubindent">
    <w:name w:val="Bullet sub indent"/>
    <w:basedOn w:val="ListParagraph1"/>
    <w:qFormat/>
    <w:pPr>
      <w:numPr>
        <w:numId w:val="0"/>
      </w:numPr>
      <w:autoSpaceDE w:val="0"/>
      <w:autoSpaceDN w:val="0"/>
      <w:adjustRightInd w:val="0"/>
      <w:ind w:left="1985" w:right="720" w:hanging="360"/>
      <w:jc w:val="left"/>
    </w:pPr>
    <w:rPr>
      <w:rFonts w:ascii="Times New Roman" w:eastAsia="Times New Roman" w:hAnsi="Times New Roman"/>
      <w:i/>
      <w:color w:val="000000"/>
      <w:lang w:val="en"/>
    </w:rPr>
  </w:style>
  <w:style w:type="paragraph" w:customStyle="1" w:styleId="TableandFigureVol1">
    <w:name w:val="Table and Figure Vol 1"/>
    <w:basedOn w:val="Caption"/>
    <w:qFormat/>
    <w:pPr>
      <w:keepNext/>
      <w:spacing w:before="100" w:after="120" w:line="240" w:lineRule="auto"/>
      <w:ind w:left="709" w:right="720"/>
      <w:jc w:val="both"/>
    </w:pPr>
    <w:rPr>
      <w:rFonts w:ascii="Calibri" w:hAnsi="Calibri"/>
      <w:b/>
      <w:color w:val="auto"/>
      <w:sz w:val="20"/>
    </w:rPr>
  </w:style>
  <w:style w:type="paragraph" w:customStyle="1" w:styleId="GEFChar">
    <w:name w:val="GEF Char"/>
    <w:basedOn w:val="Normal"/>
    <w:pPr>
      <w:numPr>
        <w:numId w:val="33"/>
      </w:numPr>
      <w:spacing w:before="180" w:after="0" w:line="250" w:lineRule="exact"/>
      <w:ind w:left="0" w:right="720" w:firstLine="0"/>
      <w:jc w:val="both"/>
    </w:pPr>
    <w:rPr>
      <w:i/>
      <w:color w:val="auto"/>
      <w:sz w:val="20"/>
    </w:rPr>
  </w:style>
  <w:style w:type="character" w:customStyle="1" w:styleId="ft">
    <w:name w:val="ft"/>
  </w:style>
  <w:style w:type="character" w:customStyle="1" w:styleId="googqs-tidbit-0">
    <w:name w:val="goog_qs-tidbit-0"/>
    <w:basedOn w:val="DefaultParagraphFont"/>
  </w:style>
  <w:style w:type="character" w:customStyle="1" w:styleId="style81">
    <w:name w:val="style81"/>
    <w:rPr>
      <w:rFonts w:ascii="Verdana" w:hAnsi="Verdana" w:hint="default"/>
      <w:color w:val="008000"/>
      <w:sz w:val="27"/>
      <w:szCs w:val="27"/>
    </w:rPr>
  </w:style>
  <w:style w:type="character" w:customStyle="1" w:styleId="A6">
    <w:name w:val="A6"/>
    <w:uiPriority w:val="99"/>
    <w:rPr>
      <w:rFonts w:cs="Georgia"/>
      <w:color w:val="000000"/>
      <w:sz w:val="20"/>
      <w:szCs w:val="20"/>
    </w:rPr>
  </w:style>
  <w:style w:type="character" w:customStyle="1" w:styleId="googqs-tidbit1">
    <w:name w:val="goog_qs-tidbit1"/>
    <w:rPr>
      <w:vanish w:val="0"/>
      <w:webHidden w:val="0"/>
      <w:specVanish w:val="0"/>
    </w:rPr>
  </w:style>
  <w:style w:type="paragraph" w:customStyle="1" w:styleId="bodytext0">
    <w:name w:val="bodytext"/>
    <w:basedOn w:val="Normal"/>
    <w:pPr>
      <w:spacing w:before="100" w:after="100"/>
      <w:ind w:right="720"/>
    </w:pPr>
    <w:rPr>
      <w:i/>
      <w:color w:val="auto"/>
      <w:sz w:val="24"/>
    </w:rPr>
  </w:style>
  <w:style w:type="paragraph" w:customStyle="1" w:styleId="MeetingInfo">
    <w:name w:val="MeetingInfo"/>
    <w:basedOn w:val="Normal"/>
    <w:pPr>
      <w:pBdr>
        <w:top w:val="single" w:sz="12" w:space="6" w:color="auto"/>
        <w:left w:val="single" w:sz="12" w:space="6" w:color="auto"/>
        <w:bottom w:val="single" w:sz="12" w:space="6" w:color="auto"/>
        <w:right w:val="single" w:sz="12" w:space="6" w:color="auto"/>
      </w:pBdr>
      <w:spacing w:before="120" w:after="120"/>
      <w:ind w:right="720"/>
      <w:jc w:val="center"/>
    </w:pPr>
    <w:rPr>
      <w:b/>
      <w:i/>
      <w:noProof/>
      <w:color w:val="auto"/>
      <w:sz w:val="28"/>
    </w:rPr>
  </w:style>
  <w:style w:type="paragraph" w:customStyle="1" w:styleId="BlankLine">
    <w:name w:val="BlankLine"/>
    <w:basedOn w:val="Normal"/>
    <w:next w:val="Normal"/>
    <w:pPr>
      <w:numPr>
        <w:numId w:val="13"/>
      </w:numPr>
      <w:spacing w:before="100" w:after="0"/>
      <w:ind w:right="720"/>
    </w:pPr>
    <w:rPr>
      <w:i/>
      <w:noProof/>
      <w:color w:val="auto"/>
      <w:sz w:val="18"/>
    </w:rPr>
  </w:style>
  <w:style w:type="character" w:customStyle="1" w:styleId="Bold">
    <w:name w:val="Bold"/>
    <w:rPr>
      <w:b/>
    </w:rPr>
  </w:style>
  <w:style w:type="character" w:customStyle="1" w:styleId="BoldItalic">
    <w:name w:val="Bold Italic"/>
    <w:rPr>
      <w:b/>
      <w:i/>
    </w:rPr>
  </w:style>
  <w:style w:type="character" w:customStyle="1" w:styleId="BoldItalicUnderline">
    <w:name w:val="Bold Italic Underline"/>
    <w:rPr>
      <w:b/>
      <w:i/>
      <w:u w:val="single"/>
    </w:rPr>
  </w:style>
  <w:style w:type="character" w:customStyle="1" w:styleId="BoldUnderline">
    <w:name w:val="Bold Underline"/>
    <w:rPr>
      <w:b/>
      <w:u w:val="single"/>
    </w:rPr>
  </w:style>
  <w:style w:type="paragraph" w:customStyle="1" w:styleId="BoxText">
    <w:name w:val="Box Text"/>
    <w:basedOn w:val="BoxNewPara"/>
    <w:pPr>
      <w:tabs>
        <w:tab w:val="clear" w:pos="425"/>
        <w:tab w:val="left" w:pos="426"/>
      </w:tabs>
    </w:pPr>
  </w:style>
  <w:style w:type="paragraph" w:customStyle="1" w:styleId="BoxNewPara">
    <w:name w:val="Box NewPara"/>
    <w:basedOn w:val="Normal"/>
    <w:next w:val="Normal"/>
    <w:pPr>
      <w:pBdr>
        <w:left w:val="single" w:sz="6" w:space="1" w:color="auto"/>
        <w:right w:val="single" w:sz="6" w:space="1" w:color="auto"/>
      </w:pBdr>
      <w:shd w:val="pct10" w:color="auto" w:fill="auto"/>
      <w:tabs>
        <w:tab w:val="left" w:pos="425"/>
        <w:tab w:val="num" w:pos="720"/>
      </w:tabs>
      <w:spacing w:before="100" w:after="0"/>
      <w:ind w:left="720" w:right="720" w:hanging="360"/>
      <w:jc w:val="both"/>
    </w:pPr>
    <w:rPr>
      <w:i/>
      <w:noProof/>
      <w:color w:val="auto"/>
      <w:sz w:val="20"/>
    </w:rPr>
  </w:style>
  <w:style w:type="paragraph" w:customStyle="1" w:styleId="FigureCaption">
    <w:name w:val="Figure Caption"/>
    <w:basedOn w:val="Normal"/>
    <w:pPr>
      <w:spacing w:before="120" w:after="0"/>
      <w:ind w:right="720"/>
    </w:pPr>
    <w:rPr>
      <w:noProof/>
      <w:color w:val="auto"/>
      <w:sz w:val="18"/>
    </w:rPr>
  </w:style>
  <w:style w:type="paragraph" w:customStyle="1" w:styleId="BoxNote">
    <w:name w:val="Box Note"/>
    <w:basedOn w:val="Normal"/>
    <w:next w:val="Normal"/>
    <w:pPr>
      <w:pBdr>
        <w:left w:val="single" w:sz="6" w:space="1" w:color="auto"/>
        <w:right w:val="single" w:sz="6" w:space="1" w:color="auto"/>
      </w:pBdr>
      <w:shd w:val="pct10" w:color="auto" w:fill="auto"/>
      <w:suppressAutoHyphens/>
      <w:spacing w:before="100" w:after="0"/>
      <w:ind w:right="720"/>
      <w:jc w:val="both"/>
    </w:pPr>
    <w:rPr>
      <w:noProof/>
      <w:color w:val="auto"/>
      <w:sz w:val="20"/>
    </w:rPr>
  </w:style>
  <w:style w:type="paragraph" w:customStyle="1" w:styleId="NewPara">
    <w:name w:val="NewPara"/>
    <w:basedOn w:val="Normal"/>
    <w:next w:val="Normal"/>
    <w:pPr>
      <w:numPr>
        <w:numId w:val="35"/>
      </w:numPr>
      <w:tabs>
        <w:tab w:val="clear" w:pos="720"/>
        <w:tab w:val="left" w:pos="709"/>
      </w:tabs>
      <w:spacing w:before="160" w:after="20"/>
      <w:ind w:left="0" w:right="720" w:firstLine="0"/>
    </w:pPr>
    <w:rPr>
      <w:i/>
      <w:noProof/>
      <w:color w:val="auto"/>
      <w:sz w:val="18"/>
    </w:rPr>
  </w:style>
  <w:style w:type="paragraph" w:customStyle="1" w:styleId="BoxParaTitle">
    <w:name w:val="Box ParaTitle"/>
    <w:basedOn w:val="BoxNote"/>
    <w:rPr>
      <w:b/>
      <w:i/>
    </w:rPr>
  </w:style>
  <w:style w:type="paragraph" w:customStyle="1" w:styleId="BoxRandList1">
    <w:name w:val="Box RandList 1"/>
    <w:basedOn w:val="Normal"/>
    <w:pPr>
      <w:numPr>
        <w:numId w:val="15"/>
      </w:numPr>
      <w:pBdr>
        <w:left w:val="single" w:sz="6" w:space="10" w:color="auto"/>
        <w:right w:val="single" w:sz="6" w:space="10" w:color="auto"/>
      </w:pBdr>
      <w:shd w:val="pct10" w:color="auto" w:fill="auto"/>
      <w:tabs>
        <w:tab w:val="left" w:pos="437"/>
      </w:tabs>
      <w:spacing w:before="100" w:after="0" w:line="360" w:lineRule="auto"/>
      <w:ind w:left="437" w:right="181" w:hanging="256"/>
      <w:jc w:val="both"/>
    </w:pPr>
    <w:rPr>
      <w:i/>
      <w:noProof/>
      <w:color w:val="auto"/>
      <w:sz w:val="20"/>
    </w:rPr>
  </w:style>
  <w:style w:type="paragraph" w:customStyle="1" w:styleId="RandListLev1">
    <w:name w:val="Rand List Lev1"/>
    <w:basedOn w:val="Normal"/>
    <w:pPr>
      <w:numPr>
        <w:numId w:val="12"/>
      </w:numPr>
      <w:tabs>
        <w:tab w:val="left" w:pos="754"/>
      </w:tabs>
      <w:spacing w:before="100" w:after="0"/>
      <w:ind w:left="754" w:right="720" w:hanging="357"/>
    </w:pPr>
    <w:rPr>
      <w:i/>
      <w:noProof/>
      <w:color w:val="auto"/>
      <w:sz w:val="18"/>
    </w:rPr>
  </w:style>
  <w:style w:type="paragraph" w:customStyle="1" w:styleId="BoxRandList2">
    <w:name w:val="Box RandList 2"/>
    <w:basedOn w:val="BoxRandList1"/>
    <w:pPr>
      <w:pBdr>
        <w:left w:val="single" w:sz="6" w:space="20" w:color="auto"/>
        <w:right w:val="single" w:sz="6" w:space="20" w:color="auto"/>
      </w:pBdr>
      <w:tabs>
        <w:tab w:val="left" w:pos="635"/>
      </w:tabs>
      <w:ind w:left="635" w:right="380" w:hanging="255"/>
    </w:pPr>
  </w:style>
  <w:style w:type="paragraph" w:customStyle="1" w:styleId="BoxRandList3">
    <w:name w:val="Box RandList 3"/>
    <w:basedOn w:val="BoxRandList2"/>
    <w:pPr>
      <w:pBdr>
        <w:left w:val="single" w:sz="6" w:space="29" w:color="auto"/>
        <w:right w:val="single" w:sz="6" w:space="30" w:color="auto"/>
      </w:pBdr>
      <w:tabs>
        <w:tab w:val="left" w:pos="816"/>
      </w:tabs>
      <w:ind w:left="816" w:right="584"/>
    </w:pPr>
  </w:style>
  <w:style w:type="paragraph" w:customStyle="1" w:styleId="BoxSeqList1">
    <w:name w:val="Box SeqList 1"/>
    <w:basedOn w:val="Normal"/>
    <w:pPr>
      <w:numPr>
        <w:numId w:val="36"/>
      </w:numPr>
      <w:pBdr>
        <w:left w:val="single" w:sz="6" w:space="8" w:color="auto"/>
        <w:right w:val="single" w:sz="6" w:space="10" w:color="auto"/>
      </w:pBdr>
      <w:shd w:val="pct10" w:color="auto" w:fill="auto"/>
      <w:tabs>
        <w:tab w:val="num" w:pos="567"/>
      </w:tabs>
      <w:spacing w:before="100" w:after="0" w:line="360" w:lineRule="auto"/>
      <w:ind w:left="567" w:right="181" w:hanging="425"/>
      <w:jc w:val="both"/>
    </w:pPr>
    <w:rPr>
      <w:i/>
      <w:noProof/>
      <w:color w:val="auto"/>
      <w:sz w:val="20"/>
    </w:rPr>
  </w:style>
  <w:style w:type="paragraph" w:customStyle="1" w:styleId="BoxSeqList3">
    <w:name w:val="Box SeqList 3"/>
    <w:basedOn w:val="BoxSeqList2"/>
    <w:pPr>
      <w:numPr>
        <w:ilvl w:val="0"/>
        <w:numId w:val="34"/>
      </w:numPr>
      <w:pBdr>
        <w:left w:val="single" w:sz="6" w:space="30" w:color="auto"/>
        <w:right w:val="single" w:sz="6" w:space="30" w:color="auto"/>
      </w:pBdr>
      <w:tabs>
        <w:tab w:val="clear" w:pos="720"/>
        <w:tab w:val="num" w:pos="1009"/>
      </w:tabs>
      <w:ind w:left="1009" w:right="584" w:hanging="425"/>
    </w:pPr>
  </w:style>
  <w:style w:type="paragraph" w:customStyle="1" w:styleId="BoxSeqList2">
    <w:name w:val="Box SeqList 2"/>
    <w:basedOn w:val="BoxSeqList1"/>
    <w:pPr>
      <w:numPr>
        <w:ilvl w:val="2"/>
        <w:numId w:val="14"/>
      </w:numPr>
      <w:pBdr>
        <w:left w:val="single" w:sz="6" w:space="20" w:color="auto"/>
      </w:pBdr>
      <w:tabs>
        <w:tab w:val="clear" w:pos="2160"/>
      </w:tabs>
      <w:ind w:hanging="360"/>
    </w:pPr>
  </w:style>
  <w:style w:type="paragraph" w:customStyle="1" w:styleId="TableTitle">
    <w:name w:val="Table Title"/>
    <w:basedOn w:val="Normal"/>
    <w:pPr>
      <w:keepNext/>
      <w:spacing w:before="120" w:after="0"/>
      <w:ind w:right="720"/>
    </w:pPr>
    <w:rPr>
      <w:b/>
      <w:i/>
      <w:noProof/>
      <w:color w:val="auto"/>
      <w:sz w:val="18"/>
    </w:rPr>
  </w:style>
  <w:style w:type="paragraph" w:customStyle="1" w:styleId="TableEntry">
    <w:name w:val="TableEntry"/>
    <w:basedOn w:val="Normal"/>
    <w:pPr>
      <w:numPr>
        <w:ilvl w:val="1"/>
        <w:numId w:val="35"/>
      </w:numPr>
      <w:spacing w:before="80" w:after="0"/>
      <w:ind w:left="0" w:right="720" w:firstLine="0"/>
    </w:pPr>
    <w:rPr>
      <w:i/>
      <w:noProof/>
      <w:color w:val="auto"/>
      <w:sz w:val="18"/>
    </w:rPr>
  </w:style>
  <w:style w:type="paragraph" w:customStyle="1" w:styleId="BoxTitle">
    <w:name w:val="Box Title"/>
    <w:basedOn w:val="Normal"/>
    <w:next w:val="BoxText"/>
    <w:pPr>
      <w:numPr>
        <w:ilvl w:val="3"/>
        <w:numId w:val="35"/>
      </w:numPr>
      <w:pBdr>
        <w:top w:val="single" w:sz="6" w:space="7" w:color="auto"/>
        <w:left w:val="single" w:sz="6" w:space="7" w:color="auto"/>
        <w:right w:val="single" w:sz="6" w:space="7" w:color="auto"/>
      </w:pBdr>
      <w:shd w:val="pct10" w:color="auto" w:fill="auto"/>
      <w:spacing w:before="120" w:after="0" w:line="360" w:lineRule="auto"/>
      <w:ind w:left="119" w:right="119" w:firstLine="0"/>
      <w:jc w:val="center"/>
    </w:pPr>
    <w:rPr>
      <w:b/>
      <w:noProof/>
      <w:color w:val="auto"/>
      <w:sz w:val="20"/>
    </w:rPr>
  </w:style>
  <w:style w:type="character" w:customStyle="1" w:styleId="Chart">
    <w:name w:val="Chart"/>
    <w:basedOn w:val="DefaultParagraphFont"/>
  </w:style>
  <w:style w:type="paragraph" w:customStyle="1" w:styleId="RandListLev2">
    <w:name w:val="Rand List Lev2"/>
    <w:basedOn w:val="RandListLev1"/>
    <w:pPr>
      <w:tabs>
        <w:tab w:val="clear" w:pos="754"/>
        <w:tab w:val="left" w:pos="1134"/>
      </w:tabs>
      <w:ind w:left="1134"/>
    </w:pPr>
  </w:style>
  <w:style w:type="paragraph" w:customStyle="1" w:styleId="RandListLev3">
    <w:name w:val="Rand List Lev3"/>
    <w:basedOn w:val="RandListLev2"/>
    <w:pPr>
      <w:tabs>
        <w:tab w:val="clear" w:pos="1134"/>
        <w:tab w:val="left" w:pos="1559"/>
      </w:tabs>
      <w:ind w:left="1559"/>
    </w:pPr>
  </w:style>
  <w:style w:type="paragraph" w:customStyle="1" w:styleId="RandListLev4">
    <w:name w:val="Rand List Lev4"/>
    <w:basedOn w:val="RandListLev3"/>
    <w:pPr>
      <w:tabs>
        <w:tab w:val="clear" w:pos="1559"/>
        <w:tab w:val="left" w:pos="1984"/>
      </w:tabs>
      <w:ind w:left="1984"/>
    </w:pPr>
  </w:style>
  <w:style w:type="paragraph" w:customStyle="1" w:styleId="DefListHeader">
    <w:name w:val="Def List Header"/>
    <w:basedOn w:val="Normal"/>
    <w:next w:val="Normal"/>
    <w:pPr>
      <w:keepNext/>
      <w:tabs>
        <w:tab w:val="left" w:pos="2835"/>
      </w:tabs>
      <w:spacing w:before="120" w:after="0"/>
      <w:ind w:right="720"/>
    </w:pPr>
    <w:rPr>
      <w:b/>
      <w:i/>
      <w:caps/>
      <w:noProof/>
      <w:color w:val="auto"/>
      <w:sz w:val="28"/>
    </w:rPr>
  </w:style>
  <w:style w:type="paragraph" w:customStyle="1" w:styleId="DefinitionList">
    <w:name w:val="Definition List"/>
    <w:basedOn w:val="Normal"/>
    <w:next w:val="Normal"/>
    <w:pPr>
      <w:tabs>
        <w:tab w:val="left" w:pos="2835"/>
      </w:tabs>
      <w:spacing w:before="120" w:after="0"/>
      <w:ind w:left="2835" w:right="720" w:hanging="2835"/>
    </w:pPr>
    <w:rPr>
      <w:i/>
      <w:noProof/>
      <w:color w:val="auto"/>
      <w:sz w:val="18"/>
    </w:rPr>
  </w:style>
  <w:style w:type="paragraph" w:customStyle="1" w:styleId="DocTitle">
    <w:name w:val="DocTitle"/>
    <w:basedOn w:val="Normal"/>
    <w:next w:val="MeetingInfo"/>
    <w:pPr>
      <w:spacing w:before="120" w:after="480"/>
      <w:ind w:right="720"/>
      <w:jc w:val="center"/>
    </w:pPr>
    <w:rPr>
      <w:i/>
      <w:smallCaps/>
      <w:noProof/>
      <w:color w:val="808080"/>
      <w:sz w:val="56"/>
    </w:rPr>
  </w:style>
  <w:style w:type="paragraph" w:customStyle="1" w:styleId="EndBox">
    <w:name w:val="EndBox"/>
    <w:basedOn w:val="Normal"/>
    <w:next w:val="Normal"/>
    <w:pPr>
      <w:pBdr>
        <w:left w:val="single" w:sz="6" w:space="1" w:color="auto"/>
        <w:bottom w:val="single" w:sz="6" w:space="1" w:color="auto"/>
        <w:right w:val="single" w:sz="6" w:space="1" w:color="auto"/>
      </w:pBdr>
      <w:shd w:val="pct10" w:color="auto" w:fill="auto"/>
      <w:spacing w:before="100" w:after="0"/>
      <w:ind w:right="720"/>
    </w:pPr>
    <w:rPr>
      <w:i/>
      <w:noProof/>
      <w:color w:val="auto"/>
      <w:sz w:val="18"/>
    </w:rPr>
  </w:style>
  <w:style w:type="paragraph" w:customStyle="1" w:styleId="FigInfo-P">
    <w:name w:val="FigInfo-P"/>
    <w:basedOn w:val="Normal"/>
    <w:pPr>
      <w:spacing w:before="120" w:after="0"/>
      <w:ind w:right="720"/>
    </w:pPr>
    <w:rPr>
      <w:i/>
      <w:noProof/>
      <w:color w:val="auto"/>
      <w:sz w:val="18"/>
    </w:rPr>
  </w:style>
  <w:style w:type="paragraph" w:customStyle="1" w:styleId="FigureTitle">
    <w:name w:val="Figure Title"/>
    <w:basedOn w:val="Normal"/>
    <w:pPr>
      <w:keepNext/>
      <w:spacing w:before="120" w:after="0"/>
      <w:ind w:right="720"/>
    </w:pPr>
    <w:rPr>
      <w:b/>
      <w:noProof/>
      <w:color w:val="auto"/>
      <w:sz w:val="18"/>
    </w:rPr>
  </w:style>
  <w:style w:type="character" w:customStyle="1" w:styleId="Graph">
    <w:name w:val="Graph"/>
    <w:basedOn w:val="DefaultParagraphFont"/>
  </w:style>
  <w:style w:type="character" w:customStyle="1" w:styleId="Image">
    <w:name w:val="Image"/>
    <w:basedOn w:val="DefaultParagraphFont"/>
  </w:style>
  <w:style w:type="character" w:customStyle="1" w:styleId="ItalicUnderline">
    <w:name w:val="Italic Underline"/>
    <w:rPr>
      <w:i/>
      <w:u w:val="single"/>
    </w:rPr>
  </w:style>
  <w:style w:type="paragraph" w:customStyle="1" w:styleId="ListHeader">
    <w:name w:val="List Header"/>
    <w:basedOn w:val="Normal"/>
    <w:pPr>
      <w:keepNext/>
      <w:spacing w:before="120" w:after="0"/>
      <w:ind w:right="720"/>
    </w:pPr>
    <w:rPr>
      <w:i/>
      <w:noProof/>
      <w:color w:val="auto"/>
      <w:sz w:val="18"/>
    </w:rPr>
  </w:style>
  <w:style w:type="paragraph" w:customStyle="1" w:styleId="MeetInfo">
    <w:name w:val="MeetInfo"/>
    <w:basedOn w:val="Normal"/>
    <w:next w:val="Normal"/>
    <w:pPr>
      <w:tabs>
        <w:tab w:val="left" w:pos="426"/>
      </w:tabs>
      <w:spacing w:before="60" w:after="0"/>
      <w:ind w:right="720"/>
    </w:pPr>
    <w:rPr>
      <w:i/>
      <w:noProof/>
      <w:color w:val="auto"/>
      <w:sz w:val="18"/>
    </w:rPr>
  </w:style>
  <w:style w:type="paragraph" w:customStyle="1" w:styleId="SpacePara">
    <w:name w:val="SpacePara"/>
    <w:basedOn w:val="Normal"/>
    <w:next w:val="DocTitle"/>
    <w:pPr>
      <w:spacing w:before="100" w:after="0" w:line="480" w:lineRule="auto"/>
      <w:ind w:right="720"/>
    </w:pPr>
    <w:rPr>
      <w:i/>
      <w:noProof/>
      <w:color w:val="auto"/>
      <w:sz w:val="18"/>
    </w:rPr>
  </w:style>
  <w:style w:type="character" w:customStyle="1" w:styleId="NroPara">
    <w:name w:val="NroPara"/>
    <w:basedOn w:val="DefaultParagraphFont"/>
  </w:style>
  <w:style w:type="character" w:customStyle="1" w:styleId="NumBox">
    <w:name w:val="NumBox"/>
    <w:basedOn w:val="DefaultParagraphFont"/>
  </w:style>
  <w:style w:type="character" w:customStyle="1" w:styleId="NumFigure">
    <w:name w:val="NumFigure"/>
    <w:basedOn w:val="DefaultParagraphFont"/>
  </w:style>
  <w:style w:type="character" w:customStyle="1" w:styleId="NumTable">
    <w:name w:val="NumTable"/>
    <w:basedOn w:val="DefaultParagraphFont"/>
  </w:style>
  <w:style w:type="paragraph" w:customStyle="1" w:styleId="PgBrk">
    <w:name w:val="PgBrk"/>
    <w:basedOn w:val="Normal"/>
    <w:next w:val="Heading1"/>
    <w:pPr>
      <w:pageBreakBefore/>
      <w:spacing w:before="120" w:after="0" w:line="14" w:lineRule="exact"/>
      <w:ind w:right="720"/>
    </w:pPr>
    <w:rPr>
      <w:i/>
      <w:noProof/>
      <w:color w:val="auto"/>
      <w:sz w:val="18"/>
    </w:rPr>
  </w:style>
  <w:style w:type="paragraph" w:customStyle="1" w:styleId="StartBack">
    <w:name w:val="StartBack"/>
    <w:basedOn w:val="SpacePara"/>
    <w:next w:val="Normal"/>
  </w:style>
  <w:style w:type="paragraph" w:customStyle="1" w:styleId="StartBody">
    <w:name w:val="StartBody"/>
    <w:basedOn w:val="SpacePara"/>
    <w:next w:val="Normal"/>
  </w:style>
  <w:style w:type="paragraph" w:customStyle="1" w:styleId="TBL-COLMNhd">
    <w:name w:val="TBL-COLMNhd"/>
    <w:basedOn w:val="Normal"/>
    <w:pPr>
      <w:tabs>
        <w:tab w:val="left" w:pos="-720"/>
      </w:tabs>
      <w:suppressAutoHyphens/>
      <w:spacing w:before="60" w:after="20"/>
      <w:ind w:right="720"/>
      <w:jc w:val="center"/>
    </w:pPr>
    <w:rPr>
      <w:b/>
      <w:i/>
      <w:noProof/>
      <w:color w:val="auto"/>
      <w:sz w:val="18"/>
    </w:rPr>
  </w:style>
  <w:style w:type="character" w:customStyle="1" w:styleId="Term">
    <w:name w:val="Term"/>
    <w:rPr>
      <w:b/>
    </w:rPr>
  </w:style>
  <w:style w:type="character" w:customStyle="1" w:styleId="TermHeading">
    <w:name w:val="Term Heading"/>
    <w:rPr>
      <w:b/>
    </w:rPr>
  </w:style>
  <w:style w:type="paragraph" w:customStyle="1" w:styleId="TOCRef">
    <w:name w:val="TOCRef"/>
    <w:basedOn w:val="Normal"/>
    <w:next w:val="TOC1"/>
    <w:pPr>
      <w:spacing w:before="120" w:after="0" w:line="200" w:lineRule="exact"/>
      <w:ind w:right="720"/>
      <w:jc w:val="right"/>
    </w:pPr>
    <w:rPr>
      <w:i/>
      <w:noProof/>
      <w:color w:val="auto"/>
      <w:sz w:val="18"/>
    </w:rPr>
  </w:style>
  <w:style w:type="paragraph" w:customStyle="1" w:styleId="TOCTitle">
    <w:name w:val="TOCTitle"/>
    <w:basedOn w:val="Normal"/>
    <w:next w:val="TOCRef"/>
    <w:pPr>
      <w:pBdr>
        <w:top w:val="single" w:sz="6" w:space="5" w:color="auto"/>
        <w:bottom w:val="single" w:sz="6" w:space="5" w:color="auto"/>
      </w:pBdr>
      <w:spacing w:before="600" w:after="600" w:line="360" w:lineRule="auto"/>
      <w:ind w:left="-170" w:right="-170"/>
      <w:jc w:val="center"/>
    </w:pPr>
    <w:rPr>
      <w:b/>
      <w:i/>
      <w:noProof/>
      <w:color w:val="auto"/>
      <w:sz w:val="28"/>
    </w:rPr>
  </w:style>
  <w:style w:type="character" w:customStyle="1" w:styleId="Underline">
    <w:name w:val="Underline"/>
    <w:rPr>
      <w:u w:val="single"/>
    </w:rPr>
  </w:style>
  <w:style w:type="character" w:customStyle="1" w:styleId="XReference">
    <w:name w:val="XReference"/>
    <w:rPr>
      <w:color w:val="0000FF"/>
    </w:rPr>
  </w:style>
  <w:style w:type="paragraph" w:customStyle="1" w:styleId="Format1">
    <w:name w:val="Format1"/>
    <w:basedOn w:val="Normal"/>
    <w:pPr>
      <w:spacing w:before="60" w:after="0"/>
      <w:ind w:right="720"/>
    </w:pPr>
    <w:rPr>
      <w:rFonts w:ascii="Courier New" w:hAnsi="Courier New"/>
      <w:i/>
      <w:noProof/>
      <w:color w:val="auto"/>
      <w:sz w:val="18"/>
    </w:rPr>
  </w:style>
  <w:style w:type="paragraph" w:customStyle="1" w:styleId="Format2">
    <w:name w:val="Format2"/>
    <w:basedOn w:val="Normal"/>
    <w:pPr>
      <w:spacing w:before="60" w:after="0"/>
      <w:ind w:right="720"/>
    </w:pPr>
    <w:rPr>
      <w:rFonts w:ascii="Courier New" w:hAnsi="Courier New"/>
      <w:i/>
      <w:noProof/>
      <w:color w:val="auto"/>
      <w:sz w:val="16"/>
    </w:rPr>
  </w:style>
  <w:style w:type="paragraph" w:customStyle="1" w:styleId="RightJust">
    <w:name w:val="RightJust"/>
    <w:basedOn w:val="Normal"/>
    <w:pPr>
      <w:spacing w:before="120" w:after="0"/>
      <w:ind w:right="720"/>
      <w:jc w:val="right"/>
    </w:pPr>
    <w:rPr>
      <w:i/>
      <w:noProof/>
      <w:color w:val="auto"/>
      <w:sz w:val="18"/>
    </w:rPr>
  </w:style>
  <w:style w:type="paragraph" w:customStyle="1" w:styleId="BlockQuote">
    <w:name w:val="BlockQuote"/>
    <w:basedOn w:val="Normal"/>
    <w:pPr>
      <w:spacing w:before="60" w:after="0"/>
      <w:ind w:left="284" w:right="284"/>
    </w:pPr>
    <w:rPr>
      <w:noProof/>
      <w:color w:val="auto"/>
      <w:sz w:val="18"/>
    </w:rPr>
  </w:style>
  <w:style w:type="paragraph" w:customStyle="1" w:styleId="BoxBlankLine">
    <w:name w:val="Box BlankLine"/>
    <w:basedOn w:val="BlankLine"/>
    <w:next w:val="Normal"/>
    <w:pPr>
      <w:pBdr>
        <w:left w:val="single" w:sz="6" w:space="1" w:color="auto"/>
        <w:right w:val="single" w:sz="6" w:space="1" w:color="auto"/>
      </w:pBdr>
      <w:shd w:val="pct10" w:color="auto" w:fill="auto"/>
      <w:jc w:val="both"/>
    </w:pPr>
    <w:rPr>
      <w:sz w:val="20"/>
    </w:rPr>
  </w:style>
  <w:style w:type="paragraph" w:customStyle="1" w:styleId="BoxFigCaption">
    <w:name w:val="Box FigCaption"/>
    <w:basedOn w:val="Normal"/>
    <w:pPr>
      <w:shd w:val="pct10" w:color="auto" w:fill="auto"/>
      <w:spacing w:before="100" w:after="0"/>
      <w:ind w:right="720"/>
      <w:jc w:val="both"/>
    </w:pPr>
    <w:rPr>
      <w:noProof/>
      <w:color w:val="auto"/>
      <w:sz w:val="20"/>
    </w:rPr>
  </w:style>
  <w:style w:type="paragraph" w:customStyle="1" w:styleId="BoxTableTitle">
    <w:name w:val="Box Table Title"/>
    <w:basedOn w:val="Normal"/>
    <w:pPr>
      <w:keepNext/>
      <w:pBdr>
        <w:left w:val="single" w:sz="6" w:space="1" w:color="auto"/>
        <w:right w:val="single" w:sz="6" w:space="1" w:color="auto"/>
      </w:pBdr>
      <w:shd w:val="pct10" w:color="auto" w:fill="auto"/>
      <w:spacing w:before="120" w:after="0"/>
      <w:ind w:right="720"/>
      <w:jc w:val="both"/>
    </w:pPr>
    <w:rPr>
      <w:b/>
      <w:i/>
      <w:noProof/>
      <w:color w:val="auto"/>
      <w:sz w:val="20"/>
    </w:rPr>
  </w:style>
  <w:style w:type="paragraph" w:customStyle="1" w:styleId="BoxTblEntry">
    <w:name w:val="Box TblEntry"/>
    <w:basedOn w:val="Normal"/>
    <w:pPr>
      <w:shd w:val="pct10" w:color="auto" w:fill="auto"/>
      <w:spacing w:before="120" w:after="0"/>
      <w:ind w:right="720"/>
      <w:jc w:val="both"/>
    </w:pPr>
    <w:rPr>
      <w:i/>
      <w:noProof/>
      <w:color w:val="auto"/>
      <w:sz w:val="20"/>
    </w:rPr>
  </w:style>
  <w:style w:type="character" w:customStyle="1" w:styleId="BoxFigInfo-C">
    <w:name w:val="BoxFigInfo-C"/>
    <w:basedOn w:val="DefaultParagraphFont"/>
  </w:style>
  <w:style w:type="paragraph" w:customStyle="1" w:styleId="BoxFigInfo-P">
    <w:name w:val="BoxFigInfo-P"/>
    <w:basedOn w:val="BoxText"/>
  </w:style>
  <w:style w:type="paragraph" w:customStyle="1" w:styleId="BoxFigTitle">
    <w:name w:val="BoxFigTitle"/>
    <w:basedOn w:val="BoxFigCaption"/>
    <w:pPr>
      <w:keepNext/>
    </w:pPr>
    <w:rPr>
      <w:b/>
      <w:i/>
    </w:rPr>
  </w:style>
  <w:style w:type="paragraph" w:customStyle="1" w:styleId="BoxTblColHd">
    <w:name w:val="BoxTblColHd"/>
    <w:basedOn w:val="BoxTblEntry"/>
    <w:rPr>
      <w:b/>
    </w:rPr>
  </w:style>
  <w:style w:type="paragraph" w:customStyle="1" w:styleId="DashListLev1">
    <w:name w:val="Dash List Lev1"/>
    <w:basedOn w:val="Normal"/>
    <w:pPr>
      <w:tabs>
        <w:tab w:val="num" w:pos="720"/>
      </w:tabs>
      <w:spacing w:before="100" w:after="0"/>
      <w:ind w:left="720" w:right="720" w:hanging="360"/>
    </w:pPr>
    <w:rPr>
      <w:i/>
      <w:noProof/>
      <w:color w:val="auto"/>
      <w:sz w:val="18"/>
    </w:rPr>
  </w:style>
  <w:style w:type="paragraph" w:customStyle="1" w:styleId="DashListLev2">
    <w:name w:val="Dash List Lev2"/>
    <w:basedOn w:val="DashListLev1"/>
    <w:pPr>
      <w:numPr>
        <w:numId w:val="17"/>
      </w:numPr>
      <w:tabs>
        <w:tab w:val="num" w:pos="2892"/>
      </w:tabs>
      <w:ind w:left="981" w:hanging="357"/>
    </w:pPr>
  </w:style>
  <w:style w:type="paragraph" w:customStyle="1" w:styleId="DashListLev3">
    <w:name w:val="Dash List Lev3"/>
    <w:basedOn w:val="DashListLev2"/>
    <w:pPr>
      <w:numPr>
        <w:numId w:val="16"/>
      </w:numPr>
      <w:ind w:left="1208" w:hanging="357"/>
    </w:pPr>
  </w:style>
  <w:style w:type="paragraph" w:customStyle="1" w:styleId="DashListLev4">
    <w:name w:val="Dash List Lev4"/>
    <w:basedOn w:val="DashListLev3"/>
    <w:pPr>
      <w:numPr>
        <w:numId w:val="38"/>
      </w:numPr>
      <w:ind w:left="1434" w:hanging="357"/>
    </w:pPr>
  </w:style>
  <w:style w:type="paragraph" w:styleId="EndnoteText">
    <w:name w:val="endnote text"/>
    <w:basedOn w:val="Normal"/>
    <w:link w:val="EndnoteTextChar1"/>
    <w:semiHidden/>
    <w:pPr>
      <w:numPr>
        <w:numId w:val="37"/>
      </w:numPr>
      <w:spacing w:before="120" w:after="0"/>
      <w:ind w:left="0" w:right="720" w:firstLine="0"/>
    </w:pPr>
    <w:rPr>
      <w:i/>
      <w:noProof/>
      <w:color w:val="auto"/>
      <w:sz w:val="18"/>
    </w:rPr>
  </w:style>
  <w:style w:type="character" w:customStyle="1" w:styleId="EndnoteTextChar">
    <w:name w:val="Endnote Text Char"/>
    <w:uiPriority w:val="99"/>
    <w:semiHidden/>
    <w:rPr>
      <w:rFonts w:ascii="Times New Roman" w:eastAsia="Times New Roman" w:hAnsi="Times New Roman" w:cs="Times New Roman"/>
      <w:noProof/>
      <w:szCs w:val="20"/>
    </w:rPr>
  </w:style>
  <w:style w:type="character" w:customStyle="1" w:styleId="FigInfo-C">
    <w:name w:val="FigInfo-C"/>
    <w:basedOn w:val="DefaultParagraphFont"/>
  </w:style>
  <w:style w:type="paragraph" w:customStyle="1" w:styleId="ParaNote">
    <w:name w:val="Para Note"/>
    <w:basedOn w:val="Note"/>
    <w:pPr>
      <w:keepLines w:val="0"/>
      <w:pBdr>
        <w:top w:val="single" w:sz="6" w:space="3" w:color="auto" w:shadow="1"/>
        <w:left w:val="single" w:sz="6" w:space="3" w:color="auto" w:shadow="1"/>
        <w:bottom w:val="single" w:sz="6" w:space="3" w:color="auto" w:shadow="1"/>
        <w:right w:val="single" w:sz="6" w:space="3" w:color="auto" w:shadow="1"/>
      </w:pBdr>
      <w:shd w:val="pct20" w:color="auto" w:fill="auto"/>
      <w:suppressAutoHyphens/>
      <w:spacing w:before="120"/>
      <w:ind w:right="720"/>
    </w:pPr>
    <w:rPr>
      <w:rFonts w:eastAsia="Times New Roman"/>
      <w:b/>
      <w:noProof/>
      <w:sz w:val="18"/>
    </w:rPr>
  </w:style>
  <w:style w:type="character" w:customStyle="1" w:styleId="Picture">
    <w:name w:val="Picture"/>
    <w:basedOn w:val="DefaultParagraphFont"/>
  </w:style>
  <w:style w:type="paragraph" w:customStyle="1" w:styleId="PlainList1">
    <w:name w:val="PlainList 1"/>
    <w:basedOn w:val="Normal"/>
    <w:pPr>
      <w:spacing w:before="100" w:after="0"/>
      <w:ind w:right="720"/>
    </w:pPr>
    <w:rPr>
      <w:i/>
      <w:noProof/>
      <w:color w:val="auto"/>
      <w:sz w:val="18"/>
    </w:rPr>
  </w:style>
  <w:style w:type="paragraph" w:customStyle="1" w:styleId="PlainList2">
    <w:name w:val="PlainList 2"/>
    <w:basedOn w:val="PlainList1"/>
    <w:pPr>
      <w:ind w:left="567"/>
    </w:pPr>
  </w:style>
  <w:style w:type="paragraph" w:customStyle="1" w:styleId="PlainList3">
    <w:name w:val="PlainList 3"/>
    <w:basedOn w:val="PlainList2"/>
    <w:pPr>
      <w:ind w:left="1134"/>
    </w:pPr>
  </w:style>
  <w:style w:type="paragraph" w:customStyle="1" w:styleId="PlainList4">
    <w:name w:val="PlainList 4"/>
    <w:basedOn w:val="PlainList3"/>
    <w:pPr>
      <w:ind w:left="1701"/>
    </w:pPr>
  </w:style>
  <w:style w:type="character" w:customStyle="1" w:styleId="Quote1">
    <w:name w:val="Quote1"/>
    <w:rPr>
      <w:rFonts w:ascii="Times New Roman" w:hAnsi="Times New Roman"/>
      <w:i/>
      <w:sz w:val="20"/>
    </w:rPr>
  </w:style>
  <w:style w:type="character" w:customStyle="1" w:styleId="NroSeq">
    <w:name w:val="NroSeq"/>
    <w:rPr>
      <w:color w:val="0000FF"/>
    </w:rPr>
  </w:style>
  <w:style w:type="character" w:customStyle="1" w:styleId="NroTOC">
    <w:name w:val="NroTOC"/>
    <w:rPr>
      <w:color w:val="auto"/>
      <w:sz w:val="22"/>
      <w:u w:val="none"/>
      <w:vertAlign w:val="baseline"/>
    </w:rPr>
  </w:style>
  <w:style w:type="paragraph" w:customStyle="1" w:styleId="PrelimNote">
    <w:name w:val="PrelimNote"/>
    <w:basedOn w:val="Normal"/>
    <w:next w:val="Normal"/>
    <w:pPr>
      <w:spacing w:before="120" w:after="0"/>
      <w:ind w:left="709" w:right="709"/>
    </w:pPr>
    <w:rPr>
      <w:i/>
      <w:noProof/>
      <w:color w:val="auto"/>
      <w:sz w:val="18"/>
    </w:rPr>
  </w:style>
  <w:style w:type="paragraph" w:customStyle="1" w:styleId="CentredJust">
    <w:name w:val="CentredJust"/>
    <w:basedOn w:val="Normal"/>
    <w:pPr>
      <w:spacing w:before="120" w:after="0"/>
      <w:ind w:right="720"/>
      <w:jc w:val="center"/>
    </w:pPr>
    <w:rPr>
      <w:i/>
      <w:noProof/>
      <w:color w:val="auto"/>
      <w:sz w:val="18"/>
    </w:rPr>
  </w:style>
  <w:style w:type="character" w:customStyle="1" w:styleId="Subscript">
    <w:name w:val="Subscript"/>
    <w:rPr>
      <w:noProof w:val="0"/>
      <w:vertAlign w:val="subscript"/>
      <w:lang w:val="en-GB"/>
    </w:rPr>
  </w:style>
  <w:style w:type="character" w:customStyle="1" w:styleId="Superscript">
    <w:name w:val="Superscript"/>
    <w:rPr>
      <w:noProof w:val="0"/>
      <w:vertAlign w:val="superscript"/>
      <w:lang w:val="en-GB"/>
    </w:rPr>
  </w:style>
  <w:style w:type="paragraph" w:customStyle="1" w:styleId="ListDel">
    <w:name w:val="ListDel"/>
    <w:basedOn w:val="Normal"/>
    <w:next w:val="Country"/>
    <w:pPr>
      <w:spacing w:before="120" w:after="0"/>
      <w:ind w:right="720"/>
      <w:jc w:val="center"/>
    </w:pPr>
    <w:rPr>
      <w:b/>
      <w:i/>
      <w:noProof/>
      <w:color w:val="auto"/>
      <w:sz w:val="18"/>
    </w:rPr>
  </w:style>
  <w:style w:type="paragraph" w:customStyle="1" w:styleId="Country">
    <w:name w:val="Country"/>
    <w:basedOn w:val="Normal"/>
    <w:next w:val="Role"/>
    <w:pPr>
      <w:keepNext/>
      <w:spacing w:before="120" w:after="0"/>
      <w:ind w:right="720"/>
    </w:pPr>
    <w:rPr>
      <w:b/>
      <w:i/>
      <w:caps/>
      <w:noProof/>
      <w:color w:val="auto"/>
      <w:sz w:val="18"/>
    </w:rPr>
  </w:style>
  <w:style w:type="paragraph" w:customStyle="1" w:styleId="Role">
    <w:name w:val="Role"/>
    <w:basedOn w:val="Normal"/>
    <w:next w:val="Name"/>
    <w:pPr>
      <w:keepNext/>
      <w:spacing w:before="120" w:after="0"/>
      <w:ind w:right="720"/>
    </w:pPr>
    <w:rPr>
      <w:i/>
      <w:noProof/>
      <w:color w:val="auto"/>
      <w:sz w:val="18"/>
    </w:rPr>
  </w:style>
  <w:style w:type="paragraph" w:customStyle="1" w:styleId="Name">
    <w:name w:val="Name"/>
    <w:basedOn w:val="Normal"/>
    <w:pPr>
      <w:keepLines/>
      <w:spacing w:before="120" w:after="0"/>
      <w:ind w:left="284" w:right="720"/>
    </w:pPr>
    <w:rPr>
      <w:i/>
      <w:noProof/>
      <w:color w:val="auto"/>
      <w:sz w:val="18"/>
    </w:rPr>
  </w:style>
  <w:style w:type="paragraph" w:customStyle="1" w:styleId="ColumnBreak">
    <w:name w:val="ColumnBreak"/>
    <w:basedOn w:val="Normal"/>
    <w:next w:val="Normal"/>
    <w:pPr>
      <w:spacing w:before="100" w:after="0" w:line="10" w:lineRule="exact"/>
      <w:ind w:right="720"/>
    </w:pPr>
    <w:rPr>
      <w:rFonts w:ascii="Courier New" w:hAnsi="Courier New"/>
      <w:i/>
      <w:noProof/>
      <w:color w:val="auto"/>
      <w:sz w:val="18"/>
    </w:rPr>
  </w:style>
  <w:style w:type="paragraph" w:customStyle="1" w:styleId="ContBrk">
    <w:name w:val="ContBrk"/>
    <w:basedOn w:val="Normal"/>
    <w:next w:val="Normal"/>
    <w:pPr>
      <w:spacing w:before="120" w:after="0" w:line="360" w:lineRule="auto"/>
      <w:ind w:right="720"/>
    </w:pPr>
    <w:rPr>
      <w:rFonts w:ascii="Courier New" w:hAnsi="Courier New"/>
      <w:i/>
      <w:noProof/>
      <w:color w:val="auto"/>
      <w:sz w:val="18"/>
    </w:rPr>
  </w:style>
  <w:style w:type="paragraph" w:customStyle="1" w:styleId="SectionBreak">
    <w:name w:val="SectionBreak"/>
    <w:basedOn w:val="Normal"/>
    <w:next w:val="Heading1"/>
    <w:pPr>
      <w:spacing w:before="100" w:after="0" w:line="10" w:lineRule="exact"/>
      <w:ind w:right="720"/>
    </w:pPr>
    <w:rPr>
      <w:rFonts w:ascii="Courier New" w:hAnsi="Courier New"/>
      <w:i/>
      <w:noProof/>
      <w:color w:val="auto"/>
      <w:sz w:val="18"/>
    </w:rPr>
  </w:style>
  <w:style w:type="paragraph" w:customStyle="1" w:styleId="HeadingAnnex">
    <w:name w:val="Heading Annex"/>
    <w:basedOn w:val="Normal"/>
    <w:next w:val="Normal"/>
    <w:pPr>
      <w:keepNext/>
      <w:pBdr>
        <w:top w:val="single" w:sz="6" w:space="1" w:color="auto"/>
        <w:bottom w:val="single" w:sz="6" w:space="1" w:color="auto"/>
      </w:pBdr>
      <w:spacing w:before="240" w:after="0"/>
      <w:ind w:left="709" w:right="720" w:hanging="709"/>
      <w:jc w:val="center"/>
    </w:pPr>
    <w:rPr>
      <w:rFonts w:ascii="Times New Roman Bold" w:hAnsi="Times New Roman Bold"/>
      <w:b/>
      <w:i/>
      <w:caps/>
      <w:noProof/>
      <w:color w:val="auto"/>
      <w:sz w:val="24"/>
    </w:rPr>
  </w:style>
  <w:style w:type="paragraph" w:customStyle="1" w:styleId="SeqListLev1">
    <w:name w:val="Seq List Lev1"/>
    <w:basedOn w:val="Normal"/>
    <w:pPr>
      <w:numPr>
        <w:ilvl w:val="1"/>
        <w:numId w:val="13"/>
      </w:numPr>
      <w:spacing w:before="100" w:after="0"/>
      <w:ind w:right="720"/>
    </w:pPr>
    <w:rPr>
      <w:i/>
      <w:noProof/>
      <w:color w:val="auto"/>
      <w:sz w:val="18"/>
    </w:rPr>
  </w:style>
  <w:style w:type="paragraph" w:customStyle="1" w:styleId="SeqListLev2">
    <w:name w:val="Seq List Lev2"/>
    <w:basedOn w:val="SeqListLev1"/>
    <w:pPr>
      <w:numPr>
        <w:ilvl w:val="2"/>
      </w:numPr>
    </w:pPr>
  </w:style>
  <w:style w:type="paragraph" w:customStyle="1" w:styleId="SeqListLev3">
    <w:name w:val="Seq List Lev3"/>
    <w:basedOn w:val="SeqListLev2"/>
    <w:pPr>
      <w:numPr>
        <w:ilvl w:val="3"/>
      </w:numPr>
    </w:pPr>
  </w:style>
  <w:style w:type="paragraph" w:customStyle="1" w:styleId="SeqListLev4">
    <w:name w:val="Seq List Lev4"/>
    <w:basedOn w:val="SeqListLev3"/>
    <w:pPr>
      <w:numPr>
        <w:ilvl w:val="0"/>
        <w:numId w:val="0"/>
      </w:numPr>
      <w:tabs>
        <w:tab w:val="num" w:pos="567"/>
        <w:tab w:val="num" w:pos="1440"/>
        <w:tab w:val="num" w:pos="2126"/>
      </w:tabs>
      <w:ind w:left="2126" w:hanging="425"/>
    </w:pPr>
  </w:style>
  <w:style w:type="paragraph" w:customStyle="1" w:styleId="CarCar">
    <w:name w:val="Car Car"/>
    <w:basedOn w:val="Normal"/>
    <w:pPr>
      <w:numPr>
        <w:ilvl w:val="2"/>
        <w:numId w:val="35"/>
      </w:numPr>
      <w:tabs>
        <w:tab w:val="num" w:pos="805"/>
      </w:tabs>
      <w:spacing w:before="100" w:after="160" w:line="240" w:lineRule="exact"/>
      <w:ind w:left="0" w:right="720" w:firstLine="0"/>
    </w:pPr>
    <w:rPr>
      <w:rFonts w:ascii="Tahoma" w:eastAsia="MS Mincho" w:hAnsi="Tahoma"/>
      <w:i/>
      <w:color w:val="auto"/>
      <w:sz w:val="20"/>
      <w:lang w:val="en-US"/>
    </w:rPr>
  </w:style>
  <w:style w:type="paragraph" w:customStyle="1" w:styleId="ListParagraph13">
    <w:name w:val="List Paragraph13"/>
    <w:basedOn w:val="Normal"/>
    <w:qFormat/>
    <w:pPr>
      <w:spacing w:before="100" w:after="100"/>
      <w:ind w:left="720" w:right="720"/>
    </w:pPr>
    <w:rPr>
      <w:rFonts w:eastAsia="Calibri"/>
      <w:i/>
      <w:color w:val="auto"/>
      <w:sz w:val="24"/>
    </w:rPr>
  </w:style>
  <w:style w:type="paragraph" w:customStyle="1" w:styleId="CharChar">
    <w:name w:val="(文字) (文字) Char (文字) (文字) Char"/>
    <w:basedOn w:val="Normal"/>
    <w:pPr>
      <w:tabs>
        <w:tab w:val="num" w:pos="2160"/>
      </w:tabs>
      <w:spacing w:before="100" w:after="160" w:line="240" w:lineRule="exact"/>
      <w:ind w:right="720"/>
    </w:pPr>
    <w:rPr>
      <w:rFonts w:ascii="Tahoma" w:eastAsia="MS Mincho" w:hAnsi="Tahoma"/>
      <w:i/>
      <w:color w:val="auto"/>
      <w:sz w:val="20"/>
      <w:lang w:val="en-US"/>
    </w:rPr>
  </w:style>
  <w:style w:type="paragraph" w:customStyle="1" w:styleId="IPPBullet2">
    <w:name w:val="IPP Bullet2"/>
    <w:basedOn w:val="IPPNormal"/>
    <w:next w:val="IPPBullet1"/>
    <w:qFormat/>
    <w:pPr>
      <w:numPr>
        <w:numId w:val="0"/>
      </w:numPr>
      <w:tabs>
        <w:tab w:val="left" w:pos="567"/>
      </w:tabs>
      <w:spacing w:after="60"/>
      <w:ind w:left="720" w:hanging="360"/>
    </w:pPr>
  </w:style>
  <w:style w:type="paragraph" w:customStyle="1" w:styleId="IPPNormal">
    <w:name w:val="IPP Normal"/>
    <w:basedOn w:val="Normal"/>
    <w:qFormat/>
    <w:pPr>
      <w:numPr>
        <w:numId w:val="39"/>
      </w:numPr>
      <w:spacing w:before="100" w:after="180"/>
      <w:ind w:left="0" w:right="720" w:firstLine="0"/>
      <w:jc w:val="both"/>
    </w:pPr>
    <w:rPr>
      <w:rFonts w:eastAsia="Times"/>
      <w:i/>
      <w:color w:val="auto"/>
      <w:sz w:val="18"/>
    </w:rPr>
  </w:style>
  <w:style w:type="paragraph" w:customStyle="1" w:styleId="IPPBullet1">
    <w:name w:val="IPP Bullet1"/>
    <w:basedOn w:val="Normal"/>
    <w:qFormat/>
    <w:pPr>
      <w:numPr>
        <w:numId w:val="22"/>
      </w:numPr>
      <w:spacing w:before="100" w:after="60"/>
      <w:ind w:right="720"/>
      <w:jc w:val="both"/>
    </w:pPr>
    <w:rPr>
      <w:rFonts w:eastAsia="Times"/>
      <w:i/>
      <w:color w:val="auto"/>
      <w:sz w:val="18"/>
    </w:rPr>
  </w:style>
  <w:style w:type="paragraph" w:customStyle="1" w:styleId="IPPTitle16ptIndent">
    <w:name w:val="IPP Title16pt Indent"/>
    <w:basedOn w:val="Normal"/>
    <w:qFormat/>
    <w:pPr>
      <w:spacing w:before="100" w:after="720"/>
      <w:ind w:left="1701" w:right="1701"/>
      <w:jc w:val="center"/>
    </w:pPr>
    <w:rPr>
      <w:rFonts w:ascii="Arial" w:hAnsi="Arial"/>
      <w:b/>
      <w:i/>
      <w:color w:val="auto"/>
      <w:sz w:val="32"/>
    </w:rPr>
  </w:style>
  <w:style w:type="paragraph" w:customStyle="1" w:styleId="IPPHeadSection">
    <w:name w:val="IPP HeadSection"/>
    <w:basedOn w:val="Normal"/>
    <w:next w:val="Normal"/>
    <w:qFormat/>
    <w:pPr>
      <w:keepNext/>
      <w:numPr>
        <w:numId w:val="41"/>
      </w:numPr>
      <w:tabs>
        <w:tab w:val="left" w:pos="851"/>
      </w:tabs>
      <w:spacing w:before="360" w:after="120"/>
      <w:ind w:left="851" w:right="720" w:hanging="851"/>
      <w:jc w:val="both"/>
      <w:outlineLvl w:val="0"/>
    </w:pPr>
    <w:rPr>
      <w:rFonts w:eastAsia="Times"/>
      <w:b/>
      <w:i/>
      <w:caps/>
      <w:color w:val="auto"/>
      <w:sz w:val="24"/>
    </w:rPr>
  </w:style>
  <w:style w:type="paragraph" w:customStyle="1" w:styleId="IPPHeading1">
    <w:name w:val="IPP Heading1"/>
    <w:basedOn w:val="IPPNormal"/>
    <w:next w:val="IPPNormal"/>
    <w:qFormat/>
    <w:pPr>
      <w:keepNext/>
      <w:tabs>
        <w:tab w:val="left" w:pos="567"/>
      </w:tabs>
      <w:spacing w:before="240" w:after="120"/>
      <w:ind w:left="567" w:hanging="567"/>
      <w:jc w:val="left"/>
      <w:outlineLvl w:val="1"/>
    </w:pPr>
    <w:rPr>
      <w:b/>
      <w:sz w:val="24"/>
    </w:rPr>
  </w:style>
  <w:style w:type="paragraph" w:customStyle="1" w:styleId="IPPSubhead">
    <w:name w:val="IPP Subhead"/>
    <w:basedOn w:val="Normal"/>
    <w:qFormat/>
    <w:pPr>
      <w:keepNext/>
      <w:spacing w:before="100" w:after="0"/>
      <w:ind w:left="567" w:right="720" w:hanging="567"/>
    </w:pPr>
    <w:rPr>
      <w:b/>
      <w:i/>
      <w:color w:val="auto"/>
      <w:sz w:val="18"/>
    </w:rPr>
  </w:style>
  <w:style w:type="paragraph" w:customStyle="1" w:styleId="IPPBullet1Last">
    <w:name w:val="IPP Bullet1Last"/>
    <w:basedOn w:val="IPPNormal"/>
    <w:next w:val="IPPBullet1"/>
    <w:qFormat/>
    <w:pPr>
      <w:numPr>
        <w:numId w:val="20"/>
      </w:numPr>
      <w:tabs>
        <w:tab w:val="num" w:pos="360"/>
      </w:tabs>
      <w:ind w:left="360"/>
    </w:pPr>
    <w:rPr>
      <w:lang w:val="en-US"/>
    </w:rPr>
  </w:style>
  <w:style w:type="paragraph" w:customStyle="1" w:styleId="IPPTitle16pt">
    <w:name w:val="IPP Title16pt"/>
    <w:basedOn w:val="Normal"/>
    <w:qFormat/>
    <w:pPr>
      <w:spacing w:before="100" w:after="720"/>
      <w:ind w:left="1701" w:right="1701"/>
      <w:jc w:val="center"/>
    </w:pPr>
    <w:rPr>
      <w:rFonts w:ascii="Arial" w:hAnsi="Arial"/>
      <w:b/>
      <w:i/>
      <w:color w:val="auto"/>
      <w:sz w:val="32"/>
    </w:rPr>
  </w:style>
  <w:style w:type="paragraph" w:customStyle="1" w:styleId="IPPTitle18pt">
    <w:name w:val="IPP Title18pt"/>
    <w:basedOn w:val="Normal"/>
    <w:qFormat/>
    <w:pPr>
      <w:spacing w:before="100" w:after="360"/>
      <w:ind w:right="720"/>
      <w:jc w:val="center"/>
    </w:pPr>
    <w:rPr>
      <w:rFonts w:ascii="Arial" w:hAnsi="Arial"/>
      <w:b/>
      <w:i/>
      <w:color w:val="auto"/>
      <w:sz w:val="36"/>
    </w:rPr>
  </w:style>
  <w:style w:type="paragraph" w:customStyle="1" w:styleId="IPPAnnexHead">
    <w:name w:val="IPP AnnexHead"/>
    <w:basedOn w:val="IPPNormal"/>
    <w:next w:val="IPPNormal"/>
    <w:qFormat/>
    <w:pPr>
      <w:keepNext/>
      <w:numPr>
        <w:numId w:val="42"/>
      </w:numPr>
      <w:tabs>
        <w:tab w:val="left" w:pos="567"/>
      </w:tabs>
      <w:spacing w:before="120"/>
      <w:ind w:left="0" w:firstLine="0"/>
      <w:jc w:val="left"/>
      <w:outlineLvl w:val="1"/>
    </w:pPr>
    <w:rPr>
      <w:b/>
      <w:sz w:val="24"/>
    </w:rPr>
  </w:style>
  <w:style w:type="paragraph" w:customStyle="1" w:styleId="IPPNormalCloseSpace">
    <w:name w:val="IPP NormalCloseSpace"/>
    <w:basedOn w:val="Normal"/>
    <w:qFormat/>
    <w:pPr>
      <w:keepNext/>
      <w:numPr>
        <w:numId w:val="40"/>
      </w:numPr>
      <w:spacing w:before="100" w:after="60"/>
      <w:ind w:left="0" w:right="720" w:firstLine="0"/>
      <w:jc w:val="both"/>
    </w:pPr>
    <w:rPr>
      <w:i/>
      <w:color w:val="auto"/>
      <w:sz w:val="18"/>
    </w:rPr>
  </w:style>
  <w:style w:type="paragraph" w:customStyle="1" w:styleId="IPPHeading2">
    <w:name w:val="IPP Heading2"/>
    <w:basedOn w:val="IPPNormal"/>
    <w:next w:val="IPPNormal"/>
    <w:qFormat/>
    <w:pPr>
      <w:keepNext/>
      <w:tabs>
        <w:tab w:val="left" w:pos="567"/>
      </w:tabs>
      <w:spacing w:before="120" w:after="120"/>
      <w:ind w:left="567" w:hanging="567"/>
      <w:jc w:val="left"/>
      <w:outlineLvl w:val="2"/>
    </w:pPr>
    <w:rPr>
      <w:b/>
      <w:sz w:val="24"/>
    </w:rPr>
  </w:style>
  <w:style w:type="paragraph" w:customStyle="1" w:styleId="IPPReferences">
    <w:name w:val="IPP References"/>
    <w:basedOn w:val="IPPNormal"/>
    <w:qFormat/>
    <w:pPr>
      <w:spacing w:after="60"/>
      <w:ind w:left="567" w:hanging="567"/>
    </w:pPr>
  </w:style>
  <w:style w:type="paragraph" w:customStyle="1" w:styleId="IPPArial">
    <w:name w:val="IPP Arial"/>
    <w:basedOn w:val="IPPNormal"/>
    <w:qFormat/>
    <w:pPr>
      <w:spacing w:after="0"/>
    </w:pPr>
    <w:rPr>
      <w:rFonts w:ascii="Arial" w:hAnsi="Arial"/>
    </w:rPr>
  </w:style>
  <w:style w:type="paragraph" w:customStyle="1" w:styleId="IPPArialTable">
    <w:name w:val="IPP Arial Table"/>
    <w:basedOn w:val="IPPArial"/>
    <w:qFormat/>
    <w:pPr>
      <w:spacing w:before="60" w:after="60"/>
      <w:jc w:val="left"/>
    </w:pPr>
  </w:style>
  <w:style w:type="paragraph" w:customStyle="1" w:styleId="IPPSubheadSpace">
    <w:name w:val="IPP Subhead Space"/>
    <w:basedOn w:val="IPPSubhead"/>
    <w:qFormat/>
    <w:pPr>
      <w:tabs>
        <w:tab w:val="left" w:pos="567"/>
      </w:tabs>
      <w:spacing w:before="60" w:after="60"/>
    </w:pPr>
  </w:style>
  <w:style w:type="paragraph" w:customStyle="1" w:styleId="IPPNumberedList">
    <w:name w:val="IPP NumberedList"/>
    <w:basedOn w:val="IPPBullet1"/>
    <w:qFormat/>
    <w:pPr>
      <w:numPr>
        <w:numId w:val="0"/>
      </w:numPr>
      <w:ind w:left="720" w:hanging="360"/>
    </w:pPr>
  </w:style>
  <w:style w:type="paragraph" w:customStyle="1" w:styleId="IPPNumberedListLast0">
    <w:name w:val="IPP NumberedListLast"/>
    <w:basedOn w:val="IPPNumberedList"/>
    <w:qFormat/>
    <w:pPr>
      <w:spacing w:after="180"/>
    </w:pPr>
  </w:style>
  <w:style w:type="paragraph" w:customStyle="1" w:styleId="IPPHdg1Num">
    <w:name w:val="IPP Hdg1Num"/>
    <w:basedOn w:val="IPPNormal"/>
    <w:next w:val="IPPNormal"/>
    <w:qFormat/>
    <w:pPr>
      <w:keepNext/>
      <w:tabs>
        <w:tab w:val="num" w:pos="0"/>
        <w:tab w:val="left" w:pos="567"/>
      </w:tabs>
      <w:spacing w:before="240" w:after="120"/>
      <w:ind w:hanging="482"/>
      <w:outlineLvl w:val="1"/>
    </w:pPr>
    <w:rPr>
      <w:b/>
      <w:sz w:val="24"/>
    </w:rPr>
  </w:style>
  <w:style w:type="paragraph" w:customStyle="1" w:styleId="IPPNumberedList0">
    <w:name w:val="IPPNumberedList"/>
    <w:basedOn w:val="IPPBullet1"/>
    <w:qFormat/>
    <w:pPr>
      <w:numPr>
        <w:numId w:val="0"/>
      </w:numPr>
      <w:tabs>
        <w:tab w:val="num" w:pos="720"/>
      </w:tabs>
      <w:ind w:left="720" w:hanging="360"/>
    </w:pPr>
  </w:style>
  <w:style w:type="paragraph" w:customStyle="1" w:styleId="IPPLetterList">
    <w:name w:val="IPP LetterList"/>
    <w:basedOn w:val="IPPBullet2"/>
    <w:qFormat/>
    <w:pPr>
      <w:numPr>
        <w:numId w:val="24"/>
      </w:numPr>
      <w:jc w:val="left"/>
    </w:pPr>
  </w:style>
  <w:style w:type="paragraph" w:customStyle="1" w:styleId="IPPSubheadSpace3">
    <w:name w:val="IPP Subhead Space3"/>
    <w:basedOn w:val="IPPSubhead"/>
    <w:qFormat/>
    <w:pPr>
      <w:spacing w:before="60" w:after="60"/>
    </w:pPr>
  </w:style>
  <w:style w:type="paragraph" w:customStyle="1" w:styleId="font1">
    <w:name w:val="font1"/>
    <w:basedOn w:val="Normal"/>
    <w:pPr>
      <w:spacing w:before="100" w:after="100"/>
      <w:ind w:right="720"/>
    </w:pPr>
    <w:rPr>
      <w:rFonts w:ascii="Arial" w:hAnsi="Arial"/>
      <w:i/>
      <w:color w:val="auto"/>
      <w:sz w:val="20"/>
      <w:lang w:val="en-US"/>
    </w:rPr>
  </w:style>
  <w:style w:type="paragraph" w:customStyle="1" w:styleId="Contents">
    <w:name w:val="Contents"/>
    <w:pPr>
      <w:tabs>
        <w:tab w:val="left" w:pos="-1440"/>
        <w:tab w:val="left" w:pos="-720"/>
        <w:tab w:val="left" w:pos="0"/>
        <w:tab w:val="left" w:pos="835"/>
        <w:tab w:val="left" w:pos="1392"/>
      </w:tabs>
      <w:suppressAutoHyphens/>
      <w:jc w:val="both"/>
    </w:pPr>
    <w:rPr>
      <w:rFonts w:ascii="Courier" w:hAnsi="Courier"/>
      <w:spacing w:val="-3"/>
      <w:sz w:val="24"/>
      <w:lang w:val="en-GB" w:eastAsia="ko-KR"/>
    </w:rPr>
  </w:style>
  <w:style w:type="paragraph" w:customStyle="1" w:styleId="IPPQuote">
    <w:name w:val="IPP Quote"/>
    <w:basedOn w:val="IPPNormal"/>
    <w:qFormat/>
    <w:pPr>
      <w:ind w:left="851" w:right="851"/>
    </w:pPr>
    <w:rPr>
      <w:sz w:val="19"/>
    </w:rPr>
  </w:style>
  <w:style w:type="character" w:customStyle="1" w:styleId="NewParaChar">
    <w:name w:val="NewPara Char"/>
    <w:rPr>
      <w:rFonts w:ascii="Times New Roman" w:eastAsia="Times New Roman" w:hAnsi="Times New Roman" w:cs="Times New Roman"/>
      <w:noProof/>
      <w:szCs w:val="20"/>
    </w:rPr>
  </w:style>
  <w:style w:type="paragraph" w:customStyle="1" w:styleId="IPPHeading1Appendix">
    <w:name w:val="IPP Heading1 Appendix"/>
    <w:basedOn w:val="IPPHeading1"/>
    <w:qFormat/>
    <w:pPr>
      <w:ind w:left="720" w:hanging="360"/>
      <w:outlineLvl w:val="9"/>
    </w:pPr>
  </w:style>
  <w:style w:type="paragraph" w:customStyle="1" w:styleId="IPPHeadSectionAppendix">
    <w:name w:val="IPP HeadSection Appendix"/>
    <w:basedOn w:val="IPPHeadSection"/>
    <w:qFormat/>
    <w:pPr>
      <w:ind w:left="720" w:hanging="360"/>
      <w:outlineLvl w:val="9"/>
    </w:pPr>
  </w:style>
  <w:style w:type="paragraph" w:customStyle="1" w:styleId="IPPHeading2Appendix">
    <w:name w:val="IPP Heading2 Appendix"/>
    <w:basedOn w:val="IPPHeading2"/>
    <w:qFormat/>
    <w:pPr>
      <w:tabs>
        <w:tab w:val="left" w:pos="851"/>
        <w:tab w:val="left" w:pos="1134"/>
      </w:tabs>
      <w:ind w:left="720" w:hanging="360"/>
      <w:outlineLvl w:val="9"/>
    </w:pPr>
  </w:style>
  <w:style w:type="paragraph" w:customStyle="1" w:styleId="IPPAnnexHeadAppendix">
    <w:name w:val="IPP AnnexHead Appendix"/>
    <w:basedOn w:val="IPPAnnexHead"/>
    <w:qFormat/>
    <w:pPr>
      <w:numPr>
        <w:numId w:val="25"/>
      </w:numPr>
      <w:tabs>
        <w:tab w:val="clear" w:pos="567"/>
        <w:tab w:val="num" w:pos="1440"/>
      </w:tabs>
      <w:ind w:left="1440"/>
      <w:outlineLvl w:val="9"/>
    </w:pPr>
  </w:style>
  <w:style w:type="paragraph" w:customStyle="1" w:styleId="IPPIndent">
    <w:name w:val="IPP Indent"/>
    <w:basedOn w:val="Normal"/>
    <w:qFormat/>
    <w:pPr>
      <w:tabs>
        <w:tab w:val="left" w:pos="2835"/>
      </w:tabs>
      <w:spacing w:before="100" w:after="180"/>
      <w:ind w:left="567" w:right="720"/>
      <w:jc w:val="both"/>
    </w:pPr>
    <w:rPr>
      <w:rFonts w:eastAsia="Times"/>
      <w:i/>
      <w:color w:val="auto"/>
      <w:sz w:val="18"/>
    </w:rPr>
  </w:style>
  <w:style w:type="paragraph" w:customStyle="1" w:styleId="FooterLandscape">
    <w:name w:val="FooterLandscape"/>
    <w:basedOn w:val="Footer"/>
    <w:qFormat/>
    <w:pPr>
      <w:tabs>
        <w:tab w:val="clear" w:pos="4320"/>
        <w:tab w:val="clear" w:pos="8640"/>
        <w:tab w:val="right" w:pos="13892"/>
      </w:tabs>
      <w:spacing w:before="100" w:after="0"/>
      <w:ind w:right="720"/>
    </w:pPr>
    <w:rPr>
      <w:rFonts w:ascii="Arial" w:eastAsia="Times" w:hAnsi="Arial"/>
      <w:i/>
      <w:color w:val="auto"/>
      <w:sz w:val="18"/>
    </w:rPr>
  </w:style>
  <w:style w:type="paragraph" w:customStyle="1" w:styleId="IPPNumberClose">
    <w:name w:val="IPP NumberClose"/>
    <w:basedOn w:val="IPPNumber"/>
    <w:qFormat/>
    <w:pPr>
      <w:keepNext/>
      <w:spacing w:after="60"/>
    </w:pPr>
  </w:style>
  <w:style w:type="paragraph" w:customStyle="1" w:styleId="IPPNumber">
    <w:name w:val="IPP Number"/>
    <w:basedOn w:val="IPPNormal"/>
    <w:qFormat/>
    <w:pPr>
      <w:numPr>
        <w:numId w:val="0"/>
      </w:numPr>
      <w:tabs>
        <w:tab w:val="num" w:pos="720"/>
        <w:tab w:val="num" w:pos="2892"/>
      </w:tabs>
      <w:ind w:left="2892" w:hanging="579"/>
    </w:pPr>
  </w:style>
  <w:style w:type="paragraph" w:customStyle="1" w:styleId="IPPNumberedListLast">
    <w:name w:val="IPPNumberedListLast"/>
    <w:basedOn w:val="IPPNumberedList0"/>
    <w:qFormat/>
    <w:pPr>
      <w:numPr>
        <w:numId w:val="43"/>
      </w:numPr>
      <w:tabs>
        <w:tab w:val="num" w:pos="680"/>
      </w:tabs>
      <w:spacing w:after="180"/>
      <w:ind w:left="680" w:hanging="680"/>
    </w:pPr>
  </w:style>
  <w:style w:type="paragraph" w:customStyle="1" w:styleId="Comments">
    <w:name w:val="Comments"/>
    <w:basedOn w:val="Normal"/>
    <w:pPr>
      <w:spacing w:before="100" w:after="0"/>
      <w:ind w:left="284" w:right="720" w:hanging="284"/>
      <w:jc w:val="both"/>
    </w:pPr>
    <w:rPr>
      <w:i/>
      <w:color w:val="auto"/>
      <w:sz w:val="18"/>
    </w:rPr>
  </w:style>
  <w:style w:type="paragraph" w:customStyle="1" w:styleId="Indent1">
    <w:name w:val="Indent 1"/>
    <w:basedOn w:val="Normal"/>
    <w:qFormat/>
    <w:pPr>
      <w:spacing w:before="100" w:after="60"/>
      <w:ind w:left="567" w:right="720"/>
    </w:pPr>
    <w:rPr>
      <w:rFonts w:ascii="Georgia" w:eastAsia="Times" w:hAnsi="Georgia"/>
      <w:i/>
      <w:color w:val="auto"/>
      <w:sz w:val="18"/>
      <w:lang w:val="en-AU"/>
    </w:rPr>
  </w:style>
  <w:style w:type="paragraph" w:customStyle="1" w:styleId="Subhead">
    <w:name w:val="Subhead"/>
    <w:basedOn w:val="Normal"/>
    <w:qFormat/>
    <w:pPr>
      <w:keepNext/>
      <w:spacing w:before="120" w:after="60"/>
      <w:ind w:right="720"/>
    </w:pPr>
    <w:rPr>
      <w:rFonts w:ascii="Georgia" w:eastAsia="Times" w:hAnsi="Georgia"/>
      <w:b/>
      <w:i/>
      <w:color w:val="auto"/>
      <w:sz w:val="19"/>
      <w:lang w:val="en-AU"/>
    </w:rPr>
  </w:style>
  <w:style w:type="paragraph" w:customStyle="1" w:styleId="IPPNumberSubhead">
    <w:name w:val="IPP NumberSubhead"/>
    <w:basedOn w:val="IPPNumber"/>
    <w:qFormat/>
    <w:pPr>
      <w:keepNext/>
      <w:numPr>
        <w:numId w:val="44"/>
      </w:numPr>
      <w:tabs>
        <w:tab w:val="num" w:pos="567"/>
      </w:tabs>
      <w:spacing w:after="60"/>
      <w:ind w:firstLine="0"/>
    </w:pPr>
    <w:rPr>
      <w:b/>
    </w:rPr>
  </w:style>
  <w:style w:type="paragraph" w:customStyle="1" w:styleId="IPPSubheadNumber">
    <w:name w:val="IPP SubheadNumber"/>
    <w:basedOn w:val="IPPSubhead"/>
    <w:qFormat/>
    <w:pPr>
      <w:numPr>
        <w:numId w:val="27"/>
      </w:numPr>
      <w:tabs>
        <w:tab w:val="num" w:pos="720"/>
      </w:tabs>
      <w:ind w:left="720"/>
    </w:pPr>
  </w:style>
  <w:style w:type="paragraph" w:customStyle="1" w:styleId="IPPLetterListIndent">
    <w:name w:val="IPP LetterList Indent"/>
    <w:basedOn w:val="IPPLetterList"/>
    <w:qFormat/>
    <w:pPr>
      <w:numPr>
        <w:numId w:val="28"/>
      </w:numPr>
      <w:tabs>
        <w:tab w:val="clear" w:pos="567"/>
        <w:tab w:val="num" w:pos="720"/>
      </w:tabs>
      <w:ind w:left="720"/>
    </w:pPr>
  </w:style>
  <w:style w:type="paragraph" w:customStyle="1" w:styleId="IPPSubheadSpaceAfter">
    <w:name w:val="IPP Subhead SpaceAfter"/>
    <w:basedOn w:val="IPPSubhead"/>
    <w:qFormat/>
    <w:pPr>
      <w:spacing w:after="60"/>
    </w:pPr>
  </w:style>
  <w:style w:type="paragraph" w:customStyle="1" w:styleId="IPPArialFootnote">
    <w:name w:val="IPP Arial Footnote"/>
    <w:basedOn w:val="IPPArialTable"/>
    <w:qFormat/>
    <w:pPr>
      <w:tabs>
        <w:tab w:val="left" w:pos="567"/>
      </w:tabs>
      <w:ind w:left="567" w:hanging="567"/>
    </w:pPr>
    <w:rPr>
      <w:sz w:val="16"/>
    </w:rPr>
  </w:style>
  <w:style w:type="paragraph" w:customStyle="1" w:styleId="IPPContentsHead">
    <w:name w:val="IPP ContentsHead"/>
    <w:basedOn w:val="IPPSubhead"/>
    <w:next w:val="IPPNormal"/>
    <w:qFormat/>
    <w:pPr>
      <w:spacing w:after="240"/>
    </w:pPr>
    <w:rPr>
      <w:sz w:val="24"/>
    </w:rPr>
  </w:style>
  <w:style w:type="paragraph" w:customStyle="1" w:styleId="IPPNumberedListArial">
    <w:name w:val="IPP NumberedListArial"/>
    <w:basedOn w:val="IPPNumberedList"/>
    <w:qFormat/>
    <w:pPr>
      <w:numPr>
        <w:numId w:val="45"/>
      </w:numPr>
      <w:tabs>
        <w:tab w:val="num" w:pos="567"/>
      </w:tabs>
      <w:ind w:left="567" w:hanging="567"/>
    </w:pPr>
    <w:rPr>
      <w:rFonts w:ascii="Arial" w:hAnsi="Arial"/>
    </w:rPr>
  </w:style>
  <w:style w:type="paragraph" w:customStyle="1" w:styleId="IPPIndentClose">
    <w:name w:val="IPP Indent Close"/>
    <w:basedOn w:val="IPPNormal"/>
    <w:qFormat/>
    <w:pPr>
      <w:numPr>
        <w:numId w:val="46"/>
      </w:numPr>
      <w:tabs>
        <w:tab w:val="left" w:pos="2835"/>
      </w:tabs>
      <w:spacing w:after="60"/>
      <w:ind w:left="567" w:firstLine="0"/>
    </w:pPr>
  </w:style>
  <w:style w:type="paragraph" w:customStyle="1" w:styleId="IPPHdg2Num">
    <w:name w:val="IPP Hdg2Num"/>
    <w:basedOn w:val="IPPNormal"/>
    <w:next w:val="IPPNormal"/>
    <w:qFormat/>
    <w:pPr>
      <w:keepNext/>
      <w:tabs>
        <w:tab w:val="left" w:pos="567"/>
        <w:tab w:val="num" w:pos="680"/>
      </w:tabs>
      <w:spacing w:before="120" w:after="120"/>
      <w:ind w:left="680" w:hanging="680"/>
      <w:outlineLvl w:val="2"/>
    </w:pPr>
    <w:rPr>
      <w:b/>
      <w:sz w:val="24"/>
    </w:rPr>
  </w:style>
  <w:style w:type="character" w:customStyle="1" w:styleId="FollowedHyperlink1">
    <w:name w:val="FollowedHyperlink1"/>
    <w:rPr>
      <w:color w:val="800080"/>
      <w:u w:val="single"/>
    </w:rPr>
  </w:style>
  <w:style w:type="character" w:customStyle="1" w:styleId="txt">
    <w:name w:val="txt"/>
    <w:basedOn w:val="DefaultParagraphFont"/>
  </w:style>
  <w:style w:type="character" w:customStyle="1" w:styleId="highlight">
    <w:name w:val="highlight"/>
    <w:rPr>
      <w:rFonts w:cs="Times New Roman"/>
    </w:rPr>
  </w:style>
  <w:style w:type="paragraph" w:styleId="HTMLPreformatted">
    <w:name w:val="HTML Preformatted"/>
    <w:basedOn w:val="Normal"/>
    <w:link w:val="HTMLPreformattedChar1"/>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i/>
      <w:color w:val="auto"/>
      <w:sz w:val="20"/>
    </w:rPr>
  </w:style>
  <w:style w:type="character" w:customStyle="1" w:styleId="txtboldonly">
    <w:name w:val="txtboldonly"/>
    <w:basedOn w:val="DefaultParagraphFont"/>
  </w:style>
  <w:style w:type="paragraph" w:styleId="BodyTextFirstIndent2">
    <w:name w:val="Body Text First Indent 2"/>
    <w:basedOn w:val="BodyTextIndent"/>
    <w:link w:val="BodyTextFirstIndent2Char1"/>
    <w:semiHidden/>
    <w:pPr>
      <w:spacing w:after="120" w:line="240" w:lineRule="auto"/>
      <w:ind w:left="283" w:firstLine="210"/>
    </w:pPr>
    <w:rPr>
      <w:i/>
      <w:color w:val="auto"/>
      <w:sz w:val="24"/>
      <w:lang w:val="en-US"/>
    </w:rPr>
  </w:style>
  <w:style w:type="character" w:customStyle="1" w:styleId="pagination">
    <w:name w:val="pagination"/>
    <w:basedOn w:val="DefaultParagraphFont"/>
  </w:style>
  <w:style w:type="character" w:customStyle="1" w:styleId="CarCar5">
    <w:name w:val="Car Car5"/>
    <w:rPr>
      <w:rFonts w:cs="Consolas"/>
      <w:noProof w:val="0"/>
      <w:szCs w:val="24"/>
      <w:u w:val="single"/>
      <w:lang w:val="en-US" w:eastAsia="ja-JP" w:bidi="he-IL"/>
    </w:rPr>
  </w:style>
  <w:style w:type="character" w:customStyle="1" w:styleId="CarCar4">
    <w:name w:val="Car Car4"/>
    <w:rPr>
      <w:rFonts w:eastAsia="MS Mincho" w:cs="Arial"/>
      <w:b/>
      <w:bCs/>
      <w:iCs/>
      <w:noProof w:val="0"/>
      <w:kern w:val="32"/>
      <w:sz w:val="24"/>
      <w:szCs w:val="24"/>
      <w:lang w:val="en-US" w:eastAsia="ja-JP" w:bidi="ar-SA"/>
    </w:rPr>
  </w:style>
  <w:style w:type="character" w:customStyle="1" w:styleId="CarCar3">
    <w:name w:val="Car Car3"/>
    <w:locked/>
    <w:rPr>
      <w:rFonts w:eastAsia="MS Mincho" w:cs="Arial"/>
      <w:b/>
      <w:bCs/>
      <w:i/>
      <w:iCs/>
      <w:noProof w:val="0"/>
      <w:kern w:val="32"/>
      <w:sz w:val="24"/>
      <w:szCs w:val="26"/>
      <w:lang w:val="it-IT" w:eastAsia="ja-JP" w:bidi="ar-SA"/>
    </w:rPr>
  </w:style>
  <w:style w:type="paragraph" w:customStyle="1" w:styleId="CM7">
    <w:name w:val="CM7"/>
    <w:basedOn w:val="Normal"/>
    <w:next w:val="Normal"/>
    <w:pPr>
      <w:autoSpaceDE w:val="0"/>
      <w:autoSpaceDN w:val="0"/>
      <w:adjustRightInd w:val="0"/>
      <w:spacing w:after="0" w:line="198" w:lineRule="atLeast"/>
    </w:pPr>
    <w:rPr>
      <w:rFonts w:ascii="OJFKL G+ Melior" w:eastAsia="Calibri" w:hAnsi="OJFKL G+ Melior"/>
      <w:i/>
      <w:color w:val="auto"/>
      <w:sz w:val="18"/>
      <w:lang w:val="fr-FR"/>
    </w:rPr>
  </w:style>
  <w:style w:type="paragraph" w:customStyle="1" w:styleId="mainheader">
    <w:name w:val="mainheader"/>
    <w:basedOn w:val="Normal"/>
    <w:pPr>
      <w:spacing w:before="100" w:after="100"/>
    </w:pPr>
    <w:rPr>
      <w:rFonts w:eastAsia="MS Mincho"/>
      <w:i/>
      <w:color w:val="auto"/>
      <w:sz w:val="18"/>
      <w:lang w:val="fr-FR" w:eastAsia="ja-JP"/>
    </w:rPr>
  </w:style>
  <w:style w:type="character" w:customStyle="1" w:styleId="surname">
    <w:name w:val="surname"/>
    <w:basedOn w:val="DefaultParagraphFont"/>
  </w:style>
  <w:style w:type="character" w:customStyle="1" w:styleId="CarCar8">
    <w:name w:val="Car Car8"/>
    <w:locked/>
    <w:rPr>
      <w:rFonts w:eastAsia="MS Mincho"/>
      <w:noProof w:val="0"/>
      <w:sz w:val="24"/>
      <w:szCs w:val="24"/>
      <w:lang w:val="fr-FR" w:eastAsia="ja-JP" w:bidi="ar-SA"/>
    </w:rPr>
  </w:style>
  <w:style w:type="character" w:customStyle="1" w:styleId="name0">
    <w:name w:val="name"/>
    <w:basedOn w:val="DefaultParagraphFont"/>
  </w:style>
  <w:style w:type="character" w:customStyle="1" w:styleId="forenames">
    <w:name w:val="forenames"/>
    <w:basedOn w:val="DefaultParagraphFont"/>
  </w:style>
  <w:style w:type="character" w:customStyle="1" w:styleId="txtsmall">
    <w:name w:val="txtsmall"/>
    <w:basedOn w:val="DefaultParagraphFont"/>
  </w:style>
  <w:style w:type="character" w:customStyle="1" w:styleId="mw-formatted-date">
    <w:name w:val="mw-formatted-date"/>
    <w:basedOn w:val="DefaultParagraphFont"/>
  </w:style>
  <w:style w:type="paragraph" w:customStyle="1" w:styleId="MediumGrid1-Accent22">
    <w:name w:val="Medium Grid 1 - Accent 22"/>
    <w:basedOn w:val="Normal"/>
    <w:qFormat/>
    <w:pPr>
      <w:spacing w:after="200" w:line="276" w:lineRule="auto"/>
      <w:ind w:left="720"/>
    </w:pPr>
    <w:rPr>
      <w:rFonts w:ascii="Calibri" w:eastAsia="Calibri" w:hAnsi="Calibri"/>
      <w:i/>
      <w:color w:val="auto"/>
    </w:rPr>
  </w:style>
  <w:style w:type="character" w:customStyle="1" w:styleId="CharChar3">
    <w:name w:val="Char Char3"/>
    <w:rPr>
      <w:sz w:val="22"/>
      <w:szCs w:val="22"/>
    </w:rPr>
  </w:style>
  <w:style w:type="character" w:customStyle="1" w:styleId="fm-citation-ids-label1">
    <w:name w:val="fm-citation-ids-label1"/>
    <w:rPr>
      <w:color w:val="333333"/>
    </w:rPr>
  </w:style>
  <w:style w:type="character" w:customStyle="1" w:styleId="citation-abbreviation2">
    <w:name w:val="citation-abbreviation2"/>
    <w:basedOn w:val="DefaultParagraphFont"/>
  </w:style>
  <w:style w:type="character" w:customStyle="1" w:styleId="citation-publication-date">
    <w:name w:val="citation-publication-date"/>
    <w:basedOn w:val="DefaultParagraphFont"/>
  </w:style>
  <w:style w:type="character" w:customStyle="1" w:styleId="citation-volume">
    <w:name w:val="citation-volume"/>
    <w:basedOn w:val="DefaultParagraphFont"/>
  </w:style>
  <w:style w:type="character" w:customStyle="1" w:styleId="citation-issue">
    <w:name w:val="citation-issue"/>
    <w:basedOn w:val="DefaultParagraphFont"/>
  </w:style>
  <w:style w:type="character" w:customStyle="1" w:styleId="citation-flpages">
    <w:name w:val="citation-flpages"/>
    <w:basedOn w:val="DefaultParagraphFont"/>
  </w:style>
  <w:style w:type="paragraph" w:customStyle="1" w:styleId="citation">
    <w:name w:val="citation"/>
    <w:basedOn w:val="Normal"/>
    <w:pPr>
      <w:spacing w:before="100" w:after="100"/>
    </w:pPr>
    <w:rPr>
      <w:i/>
      <w:color w:val="auto"/>
      <w:sz w:val="18"/>
    </w:rPr>
  </w:style>
  <w:style w:type="paragraph" w:customStyle="1" w:styleId="authlist">
    <w:name w:val="auth_list"/>
    <w:basedOn w:val="Normal"/>
    <w:pPr>
      <w:spacing w:before="100" w:after="100"/>
    </w:pPr>
    <w:rPr>
      <w:i/>
      <w:color w:val="auto"/>
      <w:sz w:val="18"/>
    </w:rPr>
  </w:style>
  <w:style w:type="paragraph" w:customStyle="1" w:styleId="MDthesisHeading2">
    <w:name w:val="MD thesis Heading 2"/>
    <w:basedOn w:val="Heading2"/>
    <w:next w:val="Normal"/>
    <w:autoRedefine/>
    <w:pPr>
      <w:tabs>
        <w:tab w:val="left" w:pos="709"/>
      </w:tabs>
      <w:spacing w:before="120" w:line="360" w:lineRule="auto"/>
      <w:ind w:left="709" w:firstLine="720"/>
    </w:pPr>
    <w:rPr>
      <w:b w:val="0"/>
      <w:i/>
      <w:snapToGrid/>
    </w:rPr>
  </w:style>
  <w:style w:type="paragraph" w:customStyle="1" w:styleId="title1">
    <w:name w:val="title1"/>
    <w:basedOn w:val="Normal"/>
    <w:pPr>
      <w:spacing w:after="0"/>
    </w:pPr>
    <w:rPr>
      <w:i/>
      <w:color w:val="auto"/>
      <w:sz w:val="29"/>
    </w:rPr>
  </w:style>
  <w:style w:type="paragraph" w:customStyle="1" w:styleId="rprtbody1">
    <w:name w:val="rprtbody1"/>
    <w:basedOn w:val="Normal"/>
    <w:pPr>
      <w:spacing w:before="34" w:after="34"/>
    </w:pPr>
    <w:rPr>
      <w:i/>
      <w:color w:val="auto"/>
      <w:sz w:val="28"/>
    </w:rPr>
  </w:style>
  <w:style w:type="paragraph" w:customStyle="1" w:styleId="aux1">
    <w:name w:val="aux1"/>
    <w:basedOn w:val="Normal"/>
    <w:pPr>
      <w:spacing w:after="0" w:line="320" w:lineRule="atLeast"/>
    </w:pPr>
    <w:rPr>
      <w:i/>
      <w:color w:val="auto"/>
      <w:sz w:val="18"/>
    </w:rPr>
  </w:style>
  <w:style w:type="character" w:customStyle="1" w:styleId="src1">
    <w:name w:val="src1"/>
    <w:rPr>
      <w:vanish w:val="0"/>
      <w:webHidden w:val="0"/>
      <w:specVanish w:val="0"/>
    </w:rPr>
  </w:style>
  <w:style w:type="character" w:customStyle="1" w:styleId="jrnl">
    <w:name w:val="jrnl"/>
    <w:basedOn w:val="DefaultParagraphFont"/>
  </w:style>
  <w:style w:type="character" w:customStyle="1" w:styleId="prevauthlinks1">
    <w:name w:val="prevauthlinks1"/>
    <w:rPr>
      <w:color w:val="C0C0C0"/>
      <w:u w:val="single"/>
    </w:rPr>
  </w:style>
  <w:style w:type="character" w:customStyle="1" w:styleId="nbapihighlight">
    <w:name w:val="nbapihighlight"/>
    <w:basedOn w:val="DefaultParagraphFont"/>
  </w:style>
  <w:style w:type="character" w:customStyle="1" w:styleId="bf">
    <w:name w:val="bf"/>
    <w:basedOn w:val="DefaultParagraphFont"/>
  </w:style>
  <w:style w:type="character" w:customStyle="1" w:styleId="it">
    <w:name w:val="it"/>
    <w:basedOn w:val="DefaultParagraphFont"/>
  </w:style>
  <w:style w:type="paragraph" w:customStyle="1" w:styleId="ptdocpara">
    <w:name w:val="ptdocpara"/>
    <w:basedOn w:val="Normal"/>
    <w:pPr>
      <w:spacing w:before="100" w:after="100"/>
    </w:pPr>
    <w:rPr>
      <w:i/>
      <w:color w:val="auto"/>
      <w:sz w:val="18"/>
    </w:rPr>
  </w:style>
  <w:style w:type="character" w:customStyle="1" w:styleId="ptdocpublication">
    <w:name w:val="ptdocpublication"/>
    <w:basedOn w:val="DefaultParagraphFont"/>
  </w:style>
  <w:style w:type="character" w:customStyle="1" w:styleId="ptdocissuevolume">
    <w:name w:val="ptdocissuevolume"/>
    <w:basedOn w:val="DefaultParagraphFont"/>
  </w:style>
  <w:style w:type="character" w:customStyle="1" w:styleId="ptdocissuedate">
    <w:name w:val="ptdocissuedate"/>
    <w:basedOn w:val="DefaultParagraphFont"/>
  </w:style>
  <w:style w:type="character" w:customStyle="1" w:styleId="ptdocissuepage">
    <w:name w:val="ptdocissuepage"/>
    <w:basedOn w:val="DefaultParagraphFont"/>
  </w:style>
  <w:style w:type="paragraph" w:customStyle="1" w:styleId="Referencetext121">
    <w:name w:val="סגנון Reference text + ‏12 נק מודגש1"/>
    <w:basedOn w:val="Normal"/>
    <w:autoRedefine/>
    <w:pPr>
      <w:spacing w:after="0" w:line="480" w:lineRule="auto"/>
      <w:jc w:val="both"/>
    </w:pPr>
    <w:rPr>
      <w:i/>
      <w:color w:val="auto"/>
      <w:sz w:val="18"/>
    </w:rPr>
  </w:style>
  <w:style w:type="paragraph" w:customStyle="1" w:styleId="10">
    <w:name w:val="סגנון כותרת 1 +"/>
    <w:basedOn w:val="Heading1"/>
    <w:pPr>
      <w:spacing w:before="240" w:after="60"/>
    </w:pPr>
    <w:rPr>
      <w:rFonts w:ascii="Arial" w:hAnsi="Arial"/>
      <w:i/>
      <w:color w:val="auto"/>
      <w:kern w:val="32"/>
      <w:sz w:val="32"/>
    </w:rPr>
  </w:style>
  <w:style w:type="paragraph" w:customStyle="1" w:styleId="14">
    <w:name w:val="אותיות גדולות 14"/>
    <w:basedOn w:val="10"/>
    <w:rPr>
      <w:b w:val="0"/>
    </w:rPr>
  </w:style>
  <w:style w:type="paragraph" w:customStyle="1" w:styleId="a3">
    <w:name w:val="טקסט מרכזי"/>
    <w:basedOn w:val="Normal"/>
    <w:pPr>
      <w:spacing w:after="0" w:line="480" w:lineRule="auto"/>
      <w:jc w:val="both"/>
    </w:pPr>
    <w:rPr>
      <w:rFonts w:ascii="Arial" w:hAnsi="Arial"/>
      <w:i/>
      <w:color w:val="auto"/>
      <w:sz w:val="18"/>
    </w:rPr>
  </w:style>
  <w:style w:type="character" w:customStyle="1" w:styleId="search1">
    <w:name w:val="search1"/>
    <w:rPr>
      <w:color w:val="228622"/>
    </w:rPr>
  </w:style>
  <w:style w:type="character" w:customStyle="1" w:styleId="style221">
    <w:name w:val="style221"/>
    <w:rPr>
      <w:color w:val="006633"/>
    </w:rPr>
  </w:style>
  <w:style w:type="character" w:customStyle="1" w:styleId="medium-normal1">
    <w:name w:val="medium-normal1"/>
    <w:rPr>
      <w:rFonts w:ascii="Arial" w:hAnsi="Arial" w:cs="Arial" w:hint="default"/>
      <w:b w:val="0"/>
      <w:bCs w:val="0"/>
      <w:i w:val="0"/>
      <w:iCs w:val="0"/>
      <w:sz w:val="20"/>
      <w:szCs w:val="20"/>
    </w:rPr>
  </w:style>
  <w:style w:type="character" w:styleId="HTMLVariable">
    <w:name w:val="HTML Variable"/>
    <w:rPr>
      <w:rFonts w:ascii="Verdana" w:hAnsi="Verdana" w:hint="default"/>
      <w:i w:val="0"/>
      <w:iCs w:val="0"/>
      <w:color w:val="000000"/>
      <w:sz w:val="20"/>
      <w:szCs w:val="20"/>
    </w:rPr>
  </w:style>
  <w:style w:type="paragraph" w:customStyle="1" w:styleId="last">
    <w:name w:val="last"/>
    <w:basedOn w:val="Normal"/>
    <w:pPr>
      <w:spacing w:before="100" w:after="100"/>
    </w:pPr>
    <w:rPr>
      <w:rFonts w:eastAsia="Calibri"/>
      <w:i/>
      <w:color w:val="auto"/>
      <w:sz w:val="18"/>
    </w:rPr>
  </w:style>
  <w:style w:type="paragraph" w:customStyle="1" w:styleId="firstlast">
    <w:name w:val="first last"/>
    <w:basedOn w:val="Normal"/>
    <w:pPr>
      <w:spacing w:before="100" w:after="100"/>
    </w:pPr>
    <w:rPr>
      <w:rFonts w:eastAsia="Calibri"/>
      <w:i/>
      <w:color w:val="auto"/>
      <w:sz w:val="18"/>
    </w:rPr>
  </w:style>
  <w:style w:type="character" w:customStyle="1" w:styleId="databold1">
    <w:name w:val="data_bold1"/>
    <w:rPr>
      <w:b/>
      <w:bCs/>
    </w:rPr>
  </w:style>
  <w:style w:type="paragraph" w:customStyle="1" w:styleId="normaltext">
    <w:name w:val="normaltext"/>
    <w:basedOn w:val="Normal"/>
    <w:pPr>
      <w:spacing w:before="120" w:after="60"/>
    </w:pPr>
    <w:rPr>
      <w:rFonts w:ascii="Arial" w:hAnsi="Arial"/>
      <w:i/>
      <w:sz w:val="20"/>
    </w:rPr>
  </w:style>
  <w:style w:type="paragraph" w:customStyle="1" w:styleId="heading10">
    <w:name w:val="heading1"/>
    <w:basedOn w:val="Normal"/>
    <w:next w:val="Normal"/>
    <w:pPr>
      <w:keepNext/>
      <w:keepLines/>
      <w:tabs>
        <w:tab w:val="left" w:pos="454"/>
      </w:tabs>
      <w:suppressAutoHyphens/>
      <w:overflowPunct w:val="0"/>
      <w:autoSpaceDE w:val="0"/>
      <w:autoSpaceDN w:val="0"/>
      <w:adjustRightInd w:val="0"/>
      <w:spacing w:before="600" w:after="320" w:line="240" w:lineRule="atLeast"/>
      <w:textAlignment w:val="baseline"/>
    </w:pPr>
    <w:rPr>
      <w:rFonts w:ascii="Times" w:hAnsi="Times"/>
      <w:b/>
      <w:i/>
      <w:color w:val="auto"/>
      <w:sz w:val="18"/>
    </w:rPr>
  </w:style>
  <w:style w:type="character" w:customStyle="1" w:styleId="heading1Carattere">
    <w:name w:val="heading1 Carattere"/>
    <w:rPr>
      <w:rFonts w:ascii="Times" w:hAnsi="Times"/>
      <w:b/>
      <w:noProof w:val="0"/>
      <w:sz w:val="24"/>
      <w:lang w:val="en-US" w:eastAsia="de-DE" w:bidi="ar-SA"/>
    </w:rPr>
  </w:style>
  <w:style w:type="paragraph" w:customStyle="1" w:styleId="literaturelist">
    <w:name w:val="literature list"/>
    <w:basedOn w:val="Normal"/>
    <w:pPr>
      <w:tabs>
        <w:tab w:val="num" w:pos="720"/>
        <w:tab w:val="left" w:pos="5760"/>
      </w:tabs>
      <w:spacing w:after="0" w:line="480" w:lineRule="auto"/>
      <w:ind w:left="720" w:right="170" w:hanging="360"/>
      <w:jc w:val="both"/>
      <w:outlineLvl w:val="0"/>
    </w:pPr>
    <w:rPr>
      <w:i/>
      <w:noProof/>
      <w:color w:val="auto"/>
      <w:sz w:val="18"/>
    </w:rPr>
  </w:style>
  <w:style w:type="character" w:customStyle="1" w:styleId="body1">
    <w:name w:val="body1"/>
    <w:rPr>
      <w:rFonts w:ascii="Verdana" w:hAnsi="Verdana" w:hint="default"/>
      <w:sz w:val="20"/>
      <w:szCs w:val="20"/>
    </w:rPr>
  </w:style>
  <w:style w:type="character" w:customStyle="1" w:styleId="bodybold1">
    <w:name w:val="bodybold1"/>
    <w:rPr>
      <w:rFonts w:ascii="Verdana" w:hAnsi="Verdana" w:hint="default"/>
      <w:b/>
      <w:bCs/>
      <w:sz w:val="20"/>
      <w:szCs w:val="20"/>
    </w:rPr>
  </w:style>
  <w:style w:type="paragraph" w:customStyle="1" w:styleId="CM1">
    <w:name w:val="CM1"/>
    <w:basedOn w:val="Default"/>
    <w:next w:val="Default"/>
    <w:pPr>
      <w:widowControl w:val="0"/>
    </w:pPr>
    <w:rPr>
      <w:color w:val="auto"/>
    </w:rPr>
  </w:style>
  <w:style w:type="paragraph" w:customStyle="1" w:styleId="CM2">
    <w:name w:val="CM2"/>
    <w:basedOn w:val="Default"/>
    <w:next w:val="Default"/>
    <w:pPr>
      <w:widowControl w:val="0"/>
      <w:spacing w:line="553" w:lineRule="atLeast"/>
    </w:pPr>
    <w:rPr>
      <w:color w:val="auto"/>
    </w:rPr>
  </w:style>
  <w:style w:type="paragraph" w:customStyle="1" w:styleId="CM27">
    <w:name w:val="CM27"/>
    <w:basedOn w:val="Default"/>
    <w:next w:val="Default"/>
    <w:pPr>
      <w:widowControl w:val="0"/>
      <w:spacing w:after="78"/>
    </w:pPr>
    <w:rPr>
      <w:color w:val="auto"/>
    </w:rPr>
  </w:style>
  <w:style w:type="paragraph" w:customStyle="1" w:styleId="CM3">
    <w:name w:val="CM3"/>
    <w:basedOn w:val="Default"/>
    <w:next w:val="Default"/>
    <w:pPr>
      <w:widowControl w:val="0"/>
      <w:numPr>
        <w:numId w:val="32"/>
      </w:numPr>
      <w:tabs>
        <w:tab w:val="clear" w:pos="720"/>
        <w:tab w:val="num" w:pos="680"/>
      </w:tabs>
      <w:spacing w:line="551" w:lineRule="atLeast"/>
      <w:ind w:left="0" w:firstLine="0"/>
    </w:pPr>
    <w:rPr>
      <w:color w:val="auto"/>
    </w:rPr>
  </w:style>
  <w:style w:type="paragraph" w:customStyle="1" w:styleId="CM28">
    <w:name w:val="CM28"/>
    <w:basedOn w:val="Default"/>
    <w:next w:val="Default"/>
    <w:pPr>
      <w:widowControl w:val="0"/>
      <w:spacing w:after="412"/>
    </w:pPr>
    <w:rPr>
      <w:color w:val="auto"/>
    </w:rPr>
  </w:style>
  <w:style w:type="paragraph" w:customStyle="1" w:styleId="CM30">
    <w:name w:val="CM30"/>
    <w:basedOn w:val="Default"/>
    <w:next w:val="Default"/>
    <w:pPr>
      <w:widowControl w:val="0"/>
      <w:spacing w:after="75"/>
    </w:pPr>
    <w:rPr>
      <w:color w:val="auto"/>
    </w:rPr>
  </w:style>
  <w:style w:type="paragraph" w:customStyle="1" w:styleId="CM10">
    <w:name w:val="CM10"/>
    <w:basedOn w:val="Default"/>
    <w:next w:val="Default"/>
    <w:pPr>
      <w:widowControl w:val="0"/>
      <w:spacing w:line="556" w:lineRule="atLeast"/>
    </w:pPr>
    <w:rPr>
      <w:color w:val="auto"/>
    </w:rPr>
  </w:style>
  <w:style w:type="paragraph" w:customStyle="1" w:styleId="CM32">
    <w:name w:val="CM32"/>
    <w:basedOn w:val="Default"/>
    <w:next w:val="Default"/>
    <w:pPr>
      <w:widowControl w:val="0"/>
      <w:spacing w:after="725"/>
    </w:pPr>
    <w:rPr>
      <w:color w:val="auto"/>
    </w:rPr>
  </w:style>
  <w:style w:type="paragraph" w:customStyle="1" w:styleId="CM33">
    <w:name w:val="CM33"/>
    <w:basedOn w:val="Default"/>
    <w:next w:val="Default"/>
    <w:pPr>
      <w:widowControl w:val="0"/>
      <w:numPr>
        <w:numId w:val="47"/>
      </w:numPr>
      <w:spacing w:after="538"/>
      <w:ind w:left="0" w:firstLine="0"/>
    </w:pPr>
    <w:rPr>
      <w:color w:val="auto"/>
    </w:rPr>
  </w:style>
  <w:style w:type="paragraph" w:customStyle="1" w:styleId="CM16">
    <w:name w:val="CM16"/>
    <w:basedOn w:val="Default"/>
    <w:next w:val="Default"/>
    <w:pPr>
      <w:widowControl w:val="0"/>
      <w:spacing w:line="553" w:lineRule="atLeast"/>
    </w:pPr>
    <w:rPr>
      <w:color w:val="auto"/>
    </w:rPr>
  </w:style>
  <w:style w:type="paragraph" w:customStyle="1" w:styleId="CM19">
    <w:name w:val="CM19"/>
    <w:basedOn w:val="Default"/>
    <w:next w:val="Default"/>
    <w:pPr>
      <w:widowControl w:val="0"/>
      <w:spacing w:line="268" w:lineRule="atLeast"/>
    </w:pPr>
    <w:rPr>
      <w:color w:val="auto"/>
    </w:rPr>
  </w:style>
  <w:style w:type="character" w:customStyle="1" w:styleId="ZchnZchn16">
    <w:name w:val="Zchn Zchn16"/>
    <w:rPr>
      <w:rFonts w:ascii="Arial" w:hAnsi="Arial" w:cs="Arial"/>
      <w:b/>
      <w:bCs/>
      <w:noProof w:val="0"/>
      <w:kern w:val="32"/>
      <w:sz w:val="32"/>
      <w:szCs w:val="32"/>
      <w:lang w:val="en-US" w:eastAsia="en-US" w:bidi="ar-SA"/>
    </w:rPr>
  </w:style>
  <w:style w:type="character" w:customStyle="1" w:styleId="ZchnZchn1">
    <w:name w:val="Zchn Zchn1"/>
    <w:rPr>
      <w:rFonts w:ascii="Cambria" w:hAnsi="Cambria"/>
      <w:b/>
      <w:bCs/>
      <w:noProof w:val="0"/>
      <w:kern w:val="28"/>
      <w:sz w:val="32"/>
      <w:szCs w:val="32"/>
      <w:lang w:val="ca-ES" w:eastAsia="en-US" w:bidi="ar-SA"/>
    </w:rPr>
  </w:style>
  <w:style w:type="paragraph" w:styleId="NoSpacing">
    <w:name w:val="No Spacing"/>
    <w:uiPriority w:val="1"/>
    <w:qFormat/>
    <w:rPr>
      <w:rFonts w:ascii="Times New Roman" w:hAnsi="Times New Roman"/>
      <w:sz w:val="24"/>
      <w:lang w:eastAsia="ko-KR"/>
    </w:rPr>
  </w:style>
  <w:style w:type="character" w:customStyle="1" w:styleId="ZchnZchn">
    <w:name w:val="Zchn Zchn"/>
    <w:rPr>
      <w:rFonts w:ascii="Calibri" w:hAnsi="Calibri"/>
      <w:noProof w:val="0"/>
      <w:lang w:val="ca-ES" w:eastAsia="en-US" w:bidi="ar-SA"/>
    </w:rPr>
  </w:style>
  <w:style w:type="paragraph" w:customStyle="1" w:styleId="references0">
    <w:name w:val="references"/>
    <w:basedOn w:val="Normal"/>
    <w:pPr>
      <w:spacing w:before="60" w:after="60"/>
      <w:ind w:left="1134" w:hanging="1134"/>
      <w:jc w:val="both"/>
    </w:pPr>
    <w:rPr>
      <w:rFonts w:ascii="Garamond" w:hAnsi="Garamond"/>
      <w:i/>
      <w:color w:val="auto"/>
      <w:sz w:val="20"/>
    </w:rPr>
  </w:style>
  <w:style w:type="paragraph" w:customStyle="1" w:styleId="refs">
    <w:name w:val="refs"/>
    <w:basedOn w:val="Normal"/>
    <w:pPr>
      <w:spacing w:before="100" w:after="100"/>
    </w:pPr>
    <w:rPr>
      <w:i/>
      <w:color w:val="auto"/>
      <w:sz w:val="18"/>
    </w:rPr>
  </w:style>
  <w:style w:type="character" w:customStyle="1" w:styleId="ital">
    <w:name w:val="ital"/>
    <w:basedOn w:val="DefaultParagraphFont"/>
  </w:style>
  <w:style w:type="paragraph" w:customStyle="1" w:styleId="Literaturverzeichnis">
    <w:name w:val="Literaturverzeichnis"/>
    <w:basedOn w:val="Normal"/>
    <w:next w:val="Normal"/>
    <w:unhideWhenUsed/>
    <w:pPr>
      <w:spacing w:after="200" w:line="276" w:lineRule="auto"/>
    </w:pPr>
    <w:rPr>
      <w:rFonts w:ascii="Calibri" w:hAnsi="Calibri"/>
      <w:i/>
      <w:color w:val="auto"/>
      <w:lang w:val="de-DE"/>
    </w:rPr>
  </w:style>
  <w:style w:type="character" w:customStyle="1" w:styleId="databold">
    <w:name w:val="data_bold"/>
    <w:basedOn w:val="DefaultParagraphFont"/>
  </w:style>
  <w:style w:type="character" w:customStyle="1" w:styleId="cmpparsedlocationcmpparsedstyle">
    <w:name w:val="cmp_parsed_location cmp_parsed_style"/>
    <w:basedOn w:val="DefaultParagraphFont"/>
  </w:style>
  <w:style w:type="paragraph" w:customStyle="1" w:styleId="MediumGrid1-Accent21">
    <w:name w:val="Medium Grid 1 - Accent 21"/>
    <w:basedOn w:val="Normal"/>
    <w:qFormat/>
    <w:pPr>
      <w:spacing w:after="200" w:line="276" w:lineRule="auto"/>
      <w:ind w:left="720"/>
    </w:pPr>
    <w:rPr>
      <w:rFonts w:ascii="Calibri" w:eastAsia="Calibri" w:hAnsi="Calibri"/>
      <w:b/>
      <w:i/>
      <w:color w:val="auto"/>
    </w:rPr>
  </w:style>
  <w:style w:type="paragraph" w:customStyle="1" w:styleId="ReferencesNIPIndia">
    <w:name w:val="References NIP India"/>
    <w:basedOn w:val="Normal"/>
    <w:qFormat/>
    <w:pPr>
      <w:spacing w:before="20" w:after="20"/>
      <w:ind w:left="709" w:right="720" w:hanging="709"/>
    </w:pPr>
    <w:rPr>
      <w:b/>
      <w:i/>
      <w:color w:val="auto"/>
      <w:sz w:val="18"/>
      <w:lang w:val="en-CA"/>
    </w:rPr>
  </w:style>
  <w:style w:type="character" w:customStyle="1" w:styleId="FootnoteTextChar">
    <w:name w:val="Footnote Text Char"/>
    <w:aliases w:val="Geneva 9 Char,Font: Geneva 9 Char,Boston 10 Char,f Char,Fußnotentextf Char,Texto de nota de rodapé Char,Footnote Text Char1,Fußnotentextf Char1,-E Fußnotentext Char,Fußnotentext Ursprung Char,-E Fußnotentext1 Char"/>
    <w:uiPriority w:val="99"/>
    <w:rPr>
      <w:sz w:val="20"/>
      <w:szCs w:val="20"/>
    </w:rPr>
  </w:style>
  <w:style w:type="character" w:customStyle="1" w:styleId="BodyTextIndent2Char">
    <w:name w:val="Body Text Indent 2 Char"/>
    <w:basedOn w:val="DefaultParagraphFont"/>
    <w:semiHidden/>
  </w:style>
  <w:style w:type="paragraph" w:customStyle="1" w:styleId="Textedebulles">
    <w:name w:val="Texte de bulles"/>
    <w:basedOn w:val="Normal"/>
    <w:semiHidden/>
    <w:pPr>
      <w:spacing w:before="100" w:after="0"/>
      <w:ind w:right="720"/>
      <w:jc w:val="both"/>
    </w:pPr>
    <w:rPr>
      <w:rFonts w:ascii="Tahoma" w:hAnsi="Tahoma"/>
      <w:color w:val="auto"/>
      <w:sz w:val="16"/>
    </w:rPr>
  </w:style>
  <w:style w:type="character" w:customStyle="1" w:styleId="CarCar2">
    <w:name w:val="Car Car2"/>
    <w:semiHidden/>
    <w:locked/>
    <w:rPr>
      <w:rFonts w:cs="MS Gothic"/>
      <w:noProof w:val="0"/>
      <w:lang w:val="en-US" w:eastAsia="ja-JP" w:bidi="he-IL"/>
    </w:rPr>
  </w:style>
  <w:style w:type="character" w:customStyle="1" w:styleId="CarCar1">
    <w:name w:val="Car Car1"/>
    <w:semiHidden/>
    <w:locked/>
    <w:rPr>
      <w:rFonts w:cs="MS Gothic"/>
      <w:noProof w:val="0"/>
      <w:lang w:val="en-US" w:eastAsia="ja-JP" w:bidi="he-IL"/>
    </w:rPr>
  </w:style>
  <w:style w:type="character" w:customStyle="1" w:styleId="CharChar4">
    <w:name w:val="Char Char4"/>
    <w:semiHidden/>
    <w:rPr>
      <w:sz w:val="22"/>
      <w:szCs w:val="22"/>
    </w:rPr>
  </w:style>
  <w:style w:type="character" w:customStyle="1" w:styleId="ZchnZchn15">
    <w:name w:val="Zchn Zchn15"/>
    <w:semiHidden/>
    <w:rPr>
      <w:rFonts w:ascii="Arial" w:hAnsi="Arial" w:cs="Arial"/>
      <w:b/>
      <w:bCs/>
      <w:i/>
      <w:iCs/>
      <w:noProof w:val="0"/>
      <w:sz w:val="28"/>
      <w:szCs w:val="28"/>
      <w:lang w:val="en-US" w:eastAsia="en-US" w:bidi="ar-SA"/>
    </w:rPr>
  </w:style>
  <w:style w:type="character" w:customStyle="1" w:styleId="ZchnZchn14">
    <w:name w:val="Zchn Zchn14"/>
    <w:semiHidden/>
    <w:rPr>
      <w:rFonts w:ascii="Arial" w:hAnsi="Arial" w:cs="Arial"/>
      <w:b/>
      <w:bCs/>
      <w:noProof w:val="0"/>
      <w:sz w:val="26"/>
      <w:szCs w:val="26"/>
      <w:lang w:val="en-US" w:eastAsia="en-US" w:bidi="ar-SA"/>
    </w:rPr>
  </w:style>
  <w:style w:type="character" w:customStyle="1" w:styleId="ZchnZchn13">
    <w:name w:val="Zchn Zchn13"/>
    <w:semiHidden/>
    <w:rPr>
      <w:rFonts w:ascii="Arial" w:hAnsi="Arial" w:cs="Arial"/>
      <w:b/>
      <w:bCs/>
      <w:noProof w:val="0"/>
      <w:sz w:val="24"/>
      <w:szCs w:val="24"/>
      <w:lang w:val="de-DE" w:eastAsia="de-DE" w:bidi="ar-SA"/>
    </w:rPr>
  </w:style>
  <w:style w:type="character" w:customStyle="1" w:styleId="ZchnZchn12">
    <w:name w:val="Zchn Zchn12"/>
    <w:semiHidden/>
    <w:rPr>
      <w:rFonts w:ascii="Arial" w:hAnsi="Arial" w:cs="Arial"/>
      <w:b/>
      <w:bCs/>
      <w:noProof w:val="0"/>
      <w:sz w:val="24"/>
      <w:szCs w:val="24"/>
      <w:lang w:val="de-DE" w:eastAsia="de-DE" w:bidi="ar-SA"/>
    </w:rPr>
  </w:style>
  <w:style w:type="character" w:customStyle="1" w:styleId="ZchnZchn11">
    <w:name w:val="Zchn Zchn11"/>
    <w:semiHidden/>
    <w:rPr>
      <w:rFonts w:ascii="Arial" w:hAnsi="Arial" w:cs="Arial"/>
      <w:b/>
      <w:bCs/>
      <w:noProof w:val="0"/>
      <w:lang w:val="de-DE" w:eastAsia="de-DE" w:bidi="ar-SA"/>
    </w:rPr>
  </w:style>
  <w:style w:type="character" w:customStyle="1" w:styleId="ZchnZchn10">
    <w:name w:val="Zchn Zchn10"/>
    <w:semiHidden/>
    <w:rPr>
      <w:rFonts w:ascii="Arial" w:hAnsi="Arial" w:cs="Arial"/>
      <w:b/>
      <w:bCs/>
      <w:noProof w:val="0"/>
      <w:sz w:val="28"/>
      <w:szCs w:val="28"/>
      <w:lang w:val="de-DE" w:eastAsia="de-DE" w:bidi="ar-SA"/>
    </w:rPr>
  </w:style>
  <w:style w:type="character" w:customStyle="1" w:styleId="ZchnZchn9">
    <w:name w:val="Zchn Zchn9"/>
    <w:semiHidden/>
    <w:rPr>
      <w:rFonts w:ascii="Arial" w:hAnsi="Arial" w:cs="Arial"/>
      <w:b/>
      <w:bCs/>
      <w:noProof w:val="0"/>
      <w:lang w:val="de-DE" w:eastAsia="de-DE" w:bidi="ar-SA"/>
    </w:rPr>
  </w:style>
  <w:style w:type="character" w:customStyle="1" w:styleId="ZchnZchn8">
    <w:name w:val="Zchn Zchn8"/>
    <w:semiHidden/>
    <w:rPr>
      <w:rFonts w:ascii="Arial" w:hAnsi="Arial" w:cs="Arial"/>
      <w:noProof w:val="0"/>
      <w:sz w:val="24"/>
      <w:szCs w:val="24"/>
      <w:lang w:val="de-DE" w:eastAsia="de-DE" w:bidi="ar-SA"/>
    </w:rPr>
  </w:style>
  <w:style w:type="character" w:customStyle="1" w:styleId="CharCharZchn">
    <w:name w:val="Char Char Zchn"/>
    <w:aliases w:val="Body Text Char Char Char Char Char Zchn,Body Text Char Char Char Char Zchn Zchn"/>
    <w:semiHidden/>
    <w:locked/>
    <w:rPr>
      <w:rFonts w:eastAsia="MS Mincho"/>
      <w:noProof w:val="0"/>
      <w:color w:val="000000"/>
      <w:sz w:val="24"/>
      <w:lang w:val="en-GB" w:eastAsia="zh-CN" w:bidi="ar-SA"/>
    </w:rPr>
  </w:style>
  <w:style w:type="character" w:customStyle="1" w:styleId="ZchnZchn4">
    <w:name w:val="Zchn Zchn4"/>
    <w:semiHidden/>
    <w:rPr>
      <w:noProof w:val="0"/>
      <w:sz w:val="24"/>
      <w:szCs w:val="24"/>
      <w:lang w:val="en-US" w:eastAsia="en-US" w:bidi="ar-SA"/>
    </w:rPr>
  </w:style>
  <w:style w:type="character" w:customStyle="1" w:styleId="ZchnZchn7">
    <w:name w:val="Zchn Zchn7"/>
    <w:semiHidden/>
    <w:rPr>
      <w:noProof w:val="0"/>
      <w:sz w:val="24"/>
      <w:szCs w:val="24"/>
      <w:lang w:val="en-US" w:eastAsia="en-US" w:bidi="ar-SA"/>
    </w:rPr>
  </w:style>
  <w:style w:type="character" w:customStyle="1" w:styleId="ZchnZchn6">
    <w:name w:val="Zchn Zchn6"/>
    <w:semiHidden/>
    <w:rPr>
      <w:rFonts w:ascii="Courier New" w:hAnsi="Courier New" w:cs="MS Gothic"/>
      <w:noProof w:val="0"/>
      <w:lang w:val="de-DE" w:eastAsia="de-DE" w:bidi="ar-SA"/>
    </w:rPr>
  </w:style>
  <w:style w:type="character" w:customStyle="1" w:styleId="ZchnZchn5">
    <w:name w:val="Zchn Zchn5"/>
    <w:semiHidden/>
    <w:rPr>
      <w:rFonts w:ascii="Arial" w:hAnsi="Arial" w:cs="Arial"/>
      <w:noProof w:val="0"/>
      <w:sz w:val="24"/>
      <w:szCs w:val="24"/>
      <w:lang w:val="de-DE" w:eastAsia="de-DE" w:bidi="ar-SA"/>
    </w:rPr>
  </w:style>
  <w:style w:type="character" w:customStyle="1" w:styleId="ZchnZchn3">
    <w:name w:val="Zchn Zchn3"/>
    <w:semiHidden/>
    <w:rPr>
      <w:rFonts w:ascii="Arial" w:hAnsi="Arial" w:cs="Arial"/>
      <w:noProof w:val="0"/>
      <w:sz w:val="24"/>
      <w:szCs w:val="24"/>
      <w:lang w:val="de-DE" w:eastAsia="de-DE" w:bidi="ar-SA"/>
    </w:rPr>
  </w:style>
  <w:style w:type="paragraph" w:customStyle="1" w:styleId="11">
    <w:name w:val="コメント内容1"/>
    <w:basedOn w:val="CommentText"/>
    <w:next w:val="CommentText"/>
    <w:semiHidden/>
    <w:pPr>
      <w:spacing w:after="0"/>
    </w:pPr>
    <w:rPr>
      <w:rFonts w:ascii="Century" w:eastAsia="MS Mincho" w:hAnsi="Century"/>
      <w:b/>
      <w:bCs/>
      <w:kern w:val="2"/>
      <w:sz w:val="24"/>
      <w:szCs w:val="24"/>
      <w:lang w:val="en-US" w:eastAsia="ja-JP"/>
    </w:rPr>
  </w:style>
  <w:style w:type="paragraph" w:customStyle="1" w:styleId="12">
    <w:name w:val="吹き出し1"/>
    <w:basedOn w:val="Normal"/>
    <w:semiHidden/>
    <w:pPr>
      <w:widowControl w:val="0"/>
      <w:spacing w:after="0"/>
      <w:jc w:val="both"/>
    </w:pPr>
    <w:rPr>
      <w:rFonts w:ascii="Arial" w:eastAsia="MS Gothic" w:hAnsi="Arial"/>
      <w:color w:val="auto"/>
      <w:kern w:val="2"/>
      <w:sz w:val="18"/>
      <w:szCs w:val="18"/>
      <w:lang w:val="en-US" w:eastAsia="ja-JP"/>
    </w:rPr>
  </w:style>
  <w:style w:type="paragraph" w:customStyle="1" w:styleId="a4">
    <w:name w:val="批注框文本"/>
    <w:basedOn w:val="Normal"/>
    <w:semiHidden/>
    <w:pPr>
      <w:widowControl w:val="0"/>
      <w:spacing w:after="0"/>
      <w:jc w:val="both"/>
    </w:pPr>
    <w:rPr>
      <w:rFonts w:eastAsia="MS Mincho"/>
      <w:color w:val="auto"/>
      <w:kern w:val="2"/>
      <w:sz w:val="18"/>
      <w:szCs w:val="18"/>
      <w:lang w:val="en-US" w:eastAsia="ja-JP"/>
    </w:rPr>
  </w:style>
  <w:style w:type="paragraph" w:customStyle="1" w:styleId="a5">
    <w:name w:val="批注主题"/>
    <w:basedOn w:val="CommentText"/>
    <w:next w:val="CommentText"/>
    <w:semiHidden/>
    <w:pPr>
      <w:spacing w:after="0"/>
    </w:pPr>
    <w:rPr>
      <w:rFonts w:ascii="Century" w:eastAsia="MS Mincho" w:hAnsi="Century"/>
      <w:b/>
      <w:bCs/>
      <w:kern w:val="2"/>
      <w:sz w:val="24"/>
      <w:szCs w:val="24"/>
      <w:lang w:val="en-US" w:eastAsia="ja-JP"/>
    </w:rPr>
  </w:style>
  <w:style w:type="paragraph" w:customStyle="1" w:styleId="Textodeglobo1">
    <w:name w:val="Texto de globo1"/>
    <w:basedOn w:val="Normal"/>
    <w:semiHidden/>
    <w:pPr>
      <w:widowControl w:val="0"/>
      <w:spacing w:after="0"/>
      <w:jc w:val="both"/>
    </w:pPr>
    <w:rPr>
      <w:rFonts w:ascii="Tahoma" w:eastAsia="MS Mincho" w:hAnsi="Tahoma" w:cs="Times New Roman Bold"/>
      <w:color w:val="auto"/>
      <w:kern w:val="2"/>
      <w:sz w:val="16"/>
      <w:szCs w:val="16"/>
      <w:lang w:val="en-US" w:eastAsia="ja-JP"/>
    </w:rPr>
  </w:style>
  <w:style w:type="paragraph" w:customStyle="1" w:styleId="a7">
    <w:name w:val="スタイル"/>
    <w:pPr>
      <w:widowControl w:val="0"/>
      <w:autoSpaceDE w:val="0"/>
      <w:autoSpaceDN w:val="0"/>
      <w:adjustRightInd w:val="0"/>
    </w:pPr>
    <w:rPr>
      <w:rFonts w:ascii="Times New Roman" w:eastAsia="MS Mincho" w:hAnsi="Times New Roman"/>
      <w:sz w:val="24"/>
      <w:szCs w:val="24"/>
      <w:lang w:eastAsia="ja-JP"/>
    </w:rPr>
  </w:style>
  <w:style w:type="paragraph" w:customStyle="1" w:styleId="BodyText13">
    <w:name w:val="Body Text13"/>
    <w:basedOn w:val="Normal"/>
    <w:rPr>
      <w:szCs w:val="24"/>
    </w:rPr>
  </w:style>
  <w:style w:type="paragraph" w:customStyle="1" w:styleId="Tableandfigureheaders">
    <w:name w:val="Table and figure headers"/>
    <w:basedOn w:val="Caption"/>
    <w:autoRedefine/>
    <w:rsid w:val="00DA0F78"/>
    <w:pPr>
      <w:keepNext/>
      <w:spacing w:after="200" w:line="240" w:lineRule="auto"/>
      <w:ind w:left="1417" w:hanging="992"/>
      <w:jc w:val="both"/>
    </w:pPr>
    <w:rPr>
      <w:b/>
      <w:bCs/>
      <w:color w:val="auto"/>
      <w:sz w:val="24"/>
      <w:szCs w:val="24"/>
      <w:lang w:eastAsia="en-US"/>
    </w:rPr>
  </w:style>
  <w:style w:type="paragraph" w:customStyle="1" w:styleId="Tableandfigfooter">
    <w:name w:val="Table and fig footer"/>
    <w:basedOn w:val="Paraindent"/>
    <w:pPr>
      <w:spacing w:before="0" w:after="0"/>
      <w:ind w:left="425" w:right="0"/>
    </w:pPr>
    <w:rPr>
      <w:rFonts w:ascii="Calibri" w:hAnsi="Calibri"/>
      <w:i w:val="0"/>
      <w:noProof/>
      <w:color w:val="auto"/>
      <w:sz w:val="18"/>
      <w:szCs w:val="22"/>
      <w:lang w:eastAsia="en-GB"/>
    </w:rPr>
  </w:style>
  <w:style w:type="character" w:customStyle="1" w:styleId="CharChar23">
    <w:name w:val="Char Char23"/>
    <w:locked/>
    <w:rPr>
      <w:b/>
      <w:bCs w:val="0"/>
      <w:noProof w:val="0"/>
      <w:color w:val="000000"/>
      <w:sz w:val="28"/>
      <w:lang w:val="en-GB" w:eastAsia="zh-CN" w:bidi="ar-SA"/>
    </w:rPr>
  </w:style>
  <w:style w:type="character" w:customStyle="1" w:styleId="CharChar13">
    <w:name w:val="Char Char13"/>
    <w:rPr>
      <w:rFonts w:ascii="Arial" w:hAnsi="Arial" w:cs="Arial" w:hint="default"/>
      <w:noProof w:val="0"/>
      <w:lang w:val="en-GB" w:eastAsia="zh-CN" w:bidi="ar-SA"/>
    </w:rPr>
  </w:style>
  <w:style w:type="character" w:customStyle="1" w:styleId="120">
    <w:name w:val="(文字) (文字)12"/>
    <w:rPr>
      <w:rFonts w:ascii="SimSun" w:eastAsia="SimSun" w:hint="eastAsia"/>
      <w:noProof w:val="0"/>
      <w:sz w:val="24"/>
      <w:szCs w:val="24"/>
      <w:lang w:val="en-US" w:eastAsia="zh-CN" w:bidi="ar-SA"/>
    </w:rPr>
  </w:style>
  <w:style w:type="character" w:customStyle="1" w:styleId="3">
    <w:name w:val="(文字) (文字)3"/>
    <w:rPr>
      <w:rFonts w:ascii="SimSun" w:eastAsia="SimSun" w:hint="eastAsia"/>
      <w:b/>
      <w:bCs/>
      <w:noProof w:val="0"/>
      <w:sz w:val="24"/>
      <w:szCs w:val="24"/>
      <w:lang w:val="en-US" w:eastAsia="en-US" w:bidi="ar-SA"/>
    </w:rPr>
  </w:style>
  <w:style w:type="character" w:customStyle="1" w:styleId="CarCar193">
    <w:name w:val="Car Car193"/>
    <w:locked/>
    <w:rPr>
      <w:rFonts w:ascii="MS Mincho" w:eastAsia="MS Mincho" w:hint="eastAsia"/>
      <w:noProof w:val="0"/>
      <w:color w:val="000000"/>
      <w:sz w:val="24"/>
      <w:szCs w:val="24"/>
      <w:lang w:val="en-GB" w:eastAsia="zh-CN" w:bidi="ar-SA"/>
    </w:rPr>
  </w:style>
  <w:style w:type="character" w:customStyle="1" w:styleId="Heading1Char3">
    <w:name w:val="Heading 1 Char3"/>
    <w:aliases w:val="Para (1) Char2,Heading 1 Char1 Char Char2,Heading 1 Char Char Char Char1,Para (1) Char Char Char Char1,Para (1) Char1 Char Char1,Heading 1 Char1 Char2,Heading 1 Char Char Char2,Para (1) Char Char Char2,Para (1) Char1 Char2"/>
    <w:rsid w:val="00F95F7D"/>
    <w:rPr>
      <w:sz w:val="28"/>
      <w:lang w:eastAsia="en-US"/>
    </w:rPr>
  </w:style>
  <w:style w:type="character" w:customStyle="1" w:styleId="Heading3Char1">
    <w:name w:val="Heading 3 Char1"/>
    <w:aliases w:val="Heading 3 Char1 Char Char,Heading 3 Char Char Char Char,Char Char Char Char Char,Char Char1 Char Char,Heading 3 Char1 Char Char1,Heading 3 Char Char Char Char1,Char Char Char Char Char1,Char Char1 Char Char1,Heading 3 Char1 Char Char11"/>
    <w:qFormat/>
    <w:rsid w:val="0021302E"/>
    <w:rPr>
      <w:b w:val="0"/>
      <w:bCs w:val="0"/>
      <w:i/>
      <w:iCs w:val="0"/>
      <w:noProof w:val="0"/>
      <w:color w:val="000000"/>
      <w:sz w:val="24"/>
      <w:lang w:val="en-GB" w:eastAsia="en-US"/>
    </w:rPr>
  </w:style>
  <w:style w:type="character" w:customStyle="1" w:styleId="Heading4Char1">
    <w:name w:val="Heading 4 Char1"/>
    <w:rPr>
      <w:b/>
      <w:bCs w:val="0"/>
      <w:i/>
      <w:iCs w:val="0"/>
      <w:noProof w:val="0"/>
      <w:snapToGrid w:val="0"/>
      <w:color w:val="000000"/>
      <w:sz w:val="24"/>
      <w:lang w:val="en-GB" w:eastAsia="zh-CN"/>
    </w:rPr>
  </w:style>
  <w:style w:type="character" w:customStyle="1" w:styleId="Heading311ptBoldChar">
    <w:name w:val="Heading 3 + 11 pt Bold Char"/>
    <w:rPr>
      <w:b/>
      <w:sz w:val="24"/>
    </w:rPr>
  </w:style>
  <w:style w:type="character" w:customStyle="1" w:styleId="A20">
    <w:name w:val="A2"/>
    <w:uiPriority w:val="99"/>
    <w:rPr>
      <w:b/>
      <w:bCs w:val="0"/>
      <w:color w:val="000000"/>
      <w:sz w:val="12"/>
    </w:rPr>
  </w:style>
  <w:style w:type="character" w:customStyle="1" w:styleId="StyleHeading4Left0Firstline0Char">
    <w:name w:val="Style Heading 4 + Left:  0&quot; First line:  0&quot; Char"/>
    <w:rPr>
      <w:b/>
      <w:bCs w:val="0"/>
      <w:i/>
      <w:iCs w:val="0"/>
      <w:noProof w:val="0"/>
      <w:snapToGrid w:val="0"/>
      <w:color w:val="000000"/>
      <w:sz w:val="24"/>
      <w:lang w:val="en-GB" w:eastAsia="zh-CN"/>
    </w:rPr>
  </w:style>
  <w:style w:type="character" w:customStyle="1" w:styleId="ECMStableheaderChar">
    <w:name w:val="ECMS table header Char"/>
    <w:rPr>
      <w:b/>
      <w:bCs w:val="0"/>
      <w:noProof w:val="0"/>
      <w:sz w:val="24"/>
      <w:lang w:val="en-GB" w:eastAsia="en-GB"/>
    </w:rPr>
  </w:style>
  <w:style w:type="character" w:customStyle="1" w:styleId="maintext1">
    <w:name w:val="maintext1"/>
    <w:rPr>
      <w:rFonts w:ascii="Verdana" w:hAnsi="Verdana" w:hint="default"/>
      <w:sz w:val="20"/>
    </w:rPr>
  </w:style>
  <w:style w:type="character" w:customStyle="1" w:styleId="CharChar43">
    <w:name w:val="Char Char43"/>
    <w:aliases w:val="Heading 3 Char3,Heading 3 Char1 Char2,Heading 3 Char Char Char2,Char Char Char Char2,Char Char1 Char2,Heading 3 Char2 Char1,H3 Char"/>
    <w:locked/>
    <w:rPr>
      <w:noProof w:val="0"/>
      <w:sz w:val="24"/>
      <w:lang w:val="en-US" w:eastAsia="en-AU"/>
    </w:rPr>
  </w:style>
  <w:style w:type="character" w:customStyle="1" w:styleId="apple-style-span">
    <w:name w:val="apple-style-span"/>
    <w:rPr>
      <w:rFonts w:ascii="Times New Roman" w:hAnsi="Times New Roman" w:cs="Times New Roman" w:hint="default"/>
    </w:rPr>
  </w:style>
  <w:style w:type="character" w:customStyle="1" w:styleId="CharChar5">
    <w:name w:val="Char Char5"/>
    <w:locked/>
    <w:rPr>
      <w:rFonts w:ascii="Tahoma" w:hAnsi="Tahoma" w:cs="Times New Roman Bold" w:hint="default"/>
      <w:noProof w:val="0"/>
      <w:sz w:val="16"/>
      <w:lang w:val="en-US" w:eastAsia="en-US"/>
    </w:rPr>
  </w:style>
  <w:style w:type="character" w:customStyle="1" w:styleId="apple-converted-space">
    <w:name w:val="apple-converted-space"/>
    <w:rPr>
      <w:rFonts w:ascii="Times New Roman" w:hAnsi="Times New Roman" w:cs="Times New Roman" w:hint="default"/>
    </w:rPr>
  </w:style>
  <w:style w:type="character" w:customStyle="1" w:styleId="CharChar33">
    <w:name w:val="Char Char33"/>
    <w:locked/>
    <w:rPr>
      <w:noProof w:val="0"/>
      <w:color w:val="000000"/>
      <w:sz w:val="24"/>
      <w:lang w:val="en-GB" w:eastAsia="en-US"/>
    </w:rPr>
  </w:style>
  <w:style w:type="paragraph" w:customStyle="1" w:styleId="listparagraphcxspmiddle">
    <w:name w:val="listparagraphcxspmiddle"/>
    <w:basedOn w:val="Normal"/>
    <w:pPr>
      <w:spacing w:before="100" w:after="100"/>
    </w:pPr>
    <w:rPr>
      <w:color w:val="auto"/>
      <w:lang w:val="en-US"/>
    </w:rPr>
  </w:style>
  <w:style w:type="paragraph" w:customStyle="1" w:styleId="StyleBodyText1After6pt">
    <w:name w:val="Style Body Text1 + After:  6 pt"/>
    <w:basedOn w:val="BodyText13"/>
    <w:rPr>
      <w:szCs w:val="20"/>
    </w:rPr>
  </w:style>
  <w:style w:type="character" w:customStyle="1" w:styleId="DocumentMapChar">
    <w:name w:val="Document Map Char"/>
    <w:semiHidden/>
    <w:rPr>
      <w:rFonts w:ascii="Times New Roman" w:hAnsi="Times New Roman" w:cs="Times New Roman"/>
      <w:color w:val="000000"/>
      <w:sz w:val="0"/>
      <w:szCs w:val="0"/>
    </w:rPr>
  </w:style>
  <w:style w:type="character" w:customStyle="1" w:styleId="SubtitleChar">
    <w:name w:val="Subtitle Char"/>
    <w:rPr>
      <w:rFonts w:ascii="Cambria" w:eastAsia="Times New Roman" w:hAnsi="Cambria" w:cs="Times New Roman"/>
      <w:color w:val="000000"/>
      <w:sz w:val="24"/>
      <w:szCs w:val="24"/>
    </w:rPr>
  </w:style>
  <w:style w:type="character" w:customStyle="1" w:styleId="QuoteChar">
    <w:name w:val="Quote Char"/>
    <w:rPr>
      <w:rFonts w:ascii="Times New Roman" w:hAnsi="Times New Roman"/>
      <w:i/>
      <w:iCs/>
      <w:color w:val="000000"/>
      <w:sz w:val="24"/>
      <w:szCs w:val="24"/>
    </w:rPr>
  </w:style>
  <w:style w:type="character" w:customStyle="1" w:styleId="IntenseQuoteChar">
    <w:name w:val="Intense Quote Char"/>
    <w:rPr>
      <w:rFonts w:ascii="Times New Roman" w:hAnsi="Times New Roman"/>
      <w:b/>
      <w:bCs/>
      <w:i/>
      <w:iCs/>
      <w:color w:val="4F81BD"/>
      <w:sz w:val="24"/>
      <w:szCs w:val="24"/>
    </w:rPr>
  </w:style>
  <w:style w:type="character" w:customStyle="1" w:styleId="A00">
    <w:name w:val="A0"/>
    <w:rPr>
      <w:rFonts w:cs="Arial Unicode MS"/>
      <w:color w:val="000000"/>
      <w:sz w:val="22"/>
      <w:szCs w:val="22"/>
    </w:rPr>
  </w:style>
  <w:style w:type="character" w:customStyle="1" w:styleId="HTMLPreformattedChar">
    <w:name w:val="HTML Preformatted Char"/>
    <w:rPr>
      <w:rFonts w:ascii="Courier New" w:eastAsia="Times New Roman" w:hAnsi="Courier New" w:cs="Times"/>
    </w:rPr>
  </w:style>
  <w:style w:type="character" w:customStyle="1" w:styleId="srch-url21">
    <w:name w:val="srch-url21"/>
    <w:rPr>
      <w:color w:val="5E4606"/>
      <w:u w:val="single"/>
    </w:rPr>
  </w:style>
  <w:style w:type="character" w:customStyle="1" w:styleId="Titre2Car">
    <w:name w:val="Titre 2 Car"/>
    <w:aliases w:val="SubPara (a) Car,Heading 2 Char1 Char Car,SubPara (a) Char1 Char Car,Heading 2 Char3 Char Char Car,Heading 2 Char Char2 Char Char Car,Heading 2 Char1 Char Char1 Char Char Car,SubPara (a) Char Char Char1 Char Char Car,Heading 2 C.. Car"/>
    <w:locked/>
    <w:rPr>
      <w:rFonts w:ascii="Cambria" w:hAnsi="Cambria" w:cs="Times New Roman"/>
      <w:b/>
      <w:bCs/>
      <w:i/>
      <w:iCs/>
      <w:noProof w:val="0"/>
      <w:sz w:val="28"/>
      <w:szCs w:val="28"/>
      <w:lang w:val="en-AU" w:eastAsia="en-AU"/>
    </w:rPr>
  </w:style>
  <w:style w:type="character" w:customStyle="1" w:styleId="Titre3Car">
    <w:name w:val="Titre 3 Car"/>
    <w:aliases w:val="Heading 3 Char1 Char Car,Heading 3 Char Char Char Car,Char Char Char Char Car,Char Char1 Char Car,Sec Car"/>
    <w:locked/>
    <w:rPr>
      <w:rFonts w:cs="Times New Roman"/>
      <w:b/>
      <w:i/>
      <w:iCs/>
      <w:noProof w:val="0"/>
      <w:color w:val="000000"/>
      <w:sz w:val="24"/>
      <w:szCs w:val="24"/>
      <w:lang w:val="en-GB" w:eastAsia="en-US"/>
    </w:rPr>
  </w:style>
  <w:style w:type="character" w:customStyle="1" w:styleId="Titre4Car">
    <w:name w:val="Titre 4 Car"/>
    <w:aliases w:val="MainPara Car"/>
    <w:locked/>
    <w:rPr>
      <w:rFonts w:cs="Times New Roman"/>
      <w:bCs/>
      <w:i/>
      <w:noProof w:val="0"/>
      <w:sz w:val="28"/>
      <w:szCs w:val="28"/>
      <w:lang w:val="en-AU" w:eastAsia="en-AU"/>
    </w:rPr>
  </w:style>
  <w:style w:type="character" w:customStyle="1" w:styleId="Titre5Car">
    <w:name w:val="Titre 5 Car"/>
    <w:aliases w:val="Subpara 2 Car"/>
    <w:locked/>
    <w:rPr>
      <w:rFonts w:ascii="Calibri" w:hAnsi="Calibri" w:cs="Arial"/>
      <w:b/>
      <w:bCs/>
      <w:i/>
      <w:iCs/>
      <w:noProof w:val="0"/>
      <w:sz w:val="26"/>
      <w:szCs w:val="26"/>
      <w:lang w:val="en-AU" w:eastAsia="en-AU"/>
    </w:rPr>
  </w:style>
  <w:style w:type="character" w:customStyle="1" w:styleId="Titre6Car">
    <w:name w:val="Titre 6 Car"/>
    <w:locked/>
    <w:rPr>
      <w:rFonts w:ascii="Calibri" w:hAnsi="Calibri" w:cs="Arial"/>
      <w:b/>
      <w:bCs/>
      <w:noProof w:val="0"/>
      <w:lang w:val="en-AU" w:eastAsia="en-AU"/>
    </w:rPr>
  </w:style>
  <w:style w:type="character" w:customStyle="1" w:styleId="Titre7Car">
    <w:name w:val="Titre 7 Car"/>
    <w:aliases w:val="Subpara 4 Car"/>
    <w:locked/>
    <w:rPr>
      <w:rFonts w:ascii="Calibri" w:hAnsi="Calibri" w:cs="Arial"/>
      <w:noProof w:val="0"/>
      <w:sz w:val="24"/>
      <w:szCs w:val="24"/>
      <w:lang w:val="en-AU" w:eastAsia="en-AU"/>
    </w:rPr>
  </w:style>
  <w:style w:type="character" w:customStyle="1" w:styleId="Titre8Car">
    <w:name w:val="Titre 8 Car"/>
    <w:aliases w:val="Subpara 5 Car"/>
    <w:locked/>
    <w:rPr>
      <w:rFonts w:ascii="Calibri" w:hAnsi="Calibri" w:cs="Arial"/>
      <w:i/>
      <w:iCs/>
      <w:noProof w:val="0"/>
      <w:sz w:val="24"/>
      <w:szCs w:val="24"/>
      <w:lang w:val="en-AU" w:eastAsia="en-AU"/>
    </w:rPr>
  </w:style>
  <w:style w:type="character" w:customStyle="1" w:styleId="Titre9Car">
    <w:name w:val="Titre 9 Car"/>
    <w:aliases w:val="Subpara 6 Car"/>
    <w:locked/>
    <w:rPr>
      <w:rFonts w:ascii="Cambria" w:hAnsi="Cambria" w:cs="Times New Roman"/>
      <w:noProof w:val="0"/>
      <w:lang w:val="en-AU" w:eastAsia="en-AU"/>
    </w:rPr>
  </w:style>
  <w:style w:type="character" w:customStyle="1" w:styleId="TextedebullesCar">
    <w:name w:val="Texte de bulles Car"/>
    <w:semiHidden/>
    <w:locked/>
    <w:rPr>
      <w:rFonts w:cs="Times New Roman"/>
      <w:noProof w:val="0"/>
      <w:sz w:val="2"/>
      <w:lang w:val="en-AU" w:eastAsia="en-AU"/>
    </w:rPr>
  </w:style>
  <w:style w:type="character" w:customStyle="1" w:styleId="CorpsdetexteCar">
    <w:name w:val="Corps de texte Car"/>
    <w:aliases w:val="Char Char Car,Body Text Char Char Char Char Char Car,Body Text Char Char Char Char Car,Body Text Char Car, Char Char Car"/>
    <w:locked/>
    <w:rPr>
      <w:rFonts w:cs="Times New Roman"/>
      <w:noProof w:val="0"/>
      <w:sz w:val="24"/>
      <w:szCs w:val="24"/>
      <w:lang w:val="en-AU" w:eastAsia="en-AU"/>
    </w:rPr>
  </w:style>
  <w:style w:type="paragraph" w:customStyle="1" w:styleId="PrformatHTML">
    <w:name w:val="Préformaté HTML"/>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MS Mincho" w:hAnsi="Courier New"/>
      <w:color w:val="auto"/>
      <w:sz w:val="20"/>
      <w:lang w:val="en-US"/>
    </w:rPr>
  </w:style>
  <w:style w:type="character" w:customStyle="1" w:styleId="PrformatHTMLCar">
    <w:name w:val="Préformaté HTML Car"/>
    <w:semiHidden/>
    <w:locked/>
    <w:rPr>
      <w:rFonts w:ascii="Courier New" w:hAnsi="Courier New" w:cs="Chicago"/>
      <w:noProof w:val="0"/>
      <w:sz w:val="20"/>
      <w:szCs w:val="20"/>
      <w:lang w:val="en-AU" w:eastAsia="en-AU"/>
    </w:rPr>
  </w:style>
  <w:style w:type="character" w:customStyle="1" w:styleId="RetraitcorpsdetexteCar">
    <w:name w:val="Retrait corps de texte Car"/>
    <w:locked/>
    <w:rPr>
      <w:rFonts w:cs="Times New Roman"/>
      <w:noProof w:val="0"/>
      <w:sz w:val="24"/>
      <w:szCs w:val="24"/>
      <w:lang w:val="en-AU" w:eastAsia="en-AU"/>
    </w:rPr>
  </w:style>
  <w:style w:type="character" w:customStyle="1" w:styleId="Retraitcorpset1religCar">
    <w:name w:val="Retrait corps et 1re lig. Car"/>
    <w:semiHidden/>
    <w:locked/>
    <w:rPr>
      <w:rFonts w:cs="Times New Roman"/>
      <w:noProof w:val="0"/>
      <w:sz w:val="24"/>
      <w:szCs w:val="24"/>
      <w:lang w:val="en-AU" w:eastAsia="en-AU"/>
    </w:rPr>
  </w:style>
  <w:style w:type="character" w:customStyle="1" w:styleId="CommentaireCar">
    <w:name w:val="Commentaire Car"/>
    <w:locked/>
    <w:rPr>
      <w:rFonts w:eastAsia="Times New Roman"/>
      <w:noProof w:val="0"/>
      <w:lang w:val="en-AU" w:eastAsia="en-AU"/>
    </w:rPr>
  </w:style>
  <w:style w:type="paragraph" w:customStyle="1" w:styleId="Objetducommentaire">
    <w:name w:val="Objet du commentaire"/>
    <w:basedOn w:val="CommentText"/>
    <w:next w:val="CommentText"/>
    <w:semiHidden/>
    <w:pPr>
      <w:widowControl/>
      <w:spacing w:after="0"/>
    </w:pPr>
    <w:rPr>
      <w:rFonts w:ascii="Times New Roman" w:hAnsi="Times New Roman"/>
      <w:b/>
      <w:lang w:val="en-AU"/>
    </w:rPr>
  </w:style>
  <w:style w:type="character" w:customStyle="1" w:styleId="ObjetducommentaireCar">
    <w:name w:val="Objet du commentaire Car"/>
    <w:locked/>
    <w:rPr>
      <w:rFonts w:eastAsia="Times New Roman" w:cs="Times New Roman"/>
      <w:b/>
      <w:noProof w:val="0"/>
      <w:lang w:val="en-AU" w:eastAsia="en-AU"/>
    </w:rPr>
  </w:style>
  <w:style w:type="paragraph" w:customStyle="1" w:styleId="En-ttedetabledesmatires">
    <w:name w:val="En-tête de table des matières"/>
    <w:basedOn w:val="Heading1"/>
    <w:next w:val="Normal"/>
    <w:qFormat/>
    <w:pPr>
      <w:keepLines/>
      <w:spacing w:before="480" w:after="0" w:line="276" w:lineRule="auto"/>
      <w:ind w:left="0" w:firstLine="0"/>
      <w:outlineLvl w:val="9"/>
    </w:pPr>
    <w:rPr>
      <w:rFonts w:ascii="Cambria" w:eastAsia="MS Mincho" w:hAnsi="Cambria"/>
      <w:color w:val="808080"/>
      <w:lang w:val="fr-FR"/>
    </w:rPr>
  </w:style>
  <w:style w:type="paragraph" w:customStyle="1" w:styleId="Paragraphedeliste">
    <w:name w:val="Paragraphe de liste"/>
    <w:basedOn w:val="Normal"/>
    <w:qFormat/>
    <w:pPr>
      <w:spacing w:after="0"/>
    </w:pPr>
    <w:rPr>
      <w:rFonts w:eastAsia="MS Mincho"/>
      <w:color w:val="auto"/>
      <w:sz w:val="24"/>
      <w:lang w:val="en-AU"/>
    </w:rPr>
  </w:style>
  <w:style w:type="character" w:customStyle="1" w:styleId="bold0">
    <w:name w:val="bold"/>
    <w:rPr>
      <w:rFonts w:cs="Times New Roman"/>
    </w:rPr>
  </w:style>
  <w:style w:type="paragraph" w:customStyle="1" w:styleId="first">
    <w:name w:val="first"/>
    <w:basedOn w:val="Normal"/>
    <w:pPr>
      <w:spacing w:before="100" w:after="100"/>
    </w:pPr>
    <w:rPr>
      <w:rFonts w:eastAsia="MS Mincho"/>
      <w:color w:val="auto"/>
      <w:sz w:val="24"/>
      <w:lang w:val="fr-FR"/>
    </w:rPr>
  </w:style>
  <w:style w:type="character" w:customStyle="1" w:styleId="En-tteCar">
    <w:name w:val="En-tête Car"/>
    <w:locked/>
    <w:rPr>
      <w:rFonts w:cs="Times New Roman"/>
      <w:noProof w:val="0"/>
      <w:sz w:val="24"/>
      <w:szCs w:val="24"/>
      <w:lang w:val="en-AU" w:eastAsia="en-AU"/>
    </w:rPr>
  </w:style>
  <w:style w:type="character" w:customStyle="1" w:styleId="PieddepageCar">
    <w:name w:val="Pied de page Car"/>
    <w:locked/>
    <w:rPr>
      <w:rFonts w:cs="Times New Roman"/>
      <w:noProof w:val="0"/>
      <w:sz w:val="24"/>
      <w:szCs w:val="24"/>
      <w:lang w:val="en-AU" w:eastAsia="en-AU"/>
    </w:rPr>
  </w:style>
  <w:style w:type="character" w:customStyle="1" w:styleId="TitreCar">
    <w:name w:val="Titre Car"/>
    <w:locked/>
    <w:rPr>
      <w:rFonts w:ascii="Cambria" w:hAnsi="Cambria" w:cs="Times New Roman"/>
      <w:b/>
      <w:bCs/>
      <w:noProof w:val="0"/>
      <w:kern w:val="28"/>
      <w:sz w:val="32"/>
      <w:szCs w:val="32"/>
      <w:lang w:val="en-AU" w:eastAsia="en-AU"/>
    </w:rPr>
  </w:style>
  <w:style w:type="paragraph" w:customStyle="1" w:styleId="Sansinterligne">
    <w:name w:val="Sans interligne"/>
    <w:qFormat/>
    <w:rPr>
      <w:rFonts w:ascii="Times New Roman" w:eastAsia="MS Mincho" w:hAnsi="Times New Roman"/>
      <w:noProof/>
      <w:sz w:val="24"/>
      <w:lang w:val="nl-NL" w:eastAsia="nl-NL"/>
    </w:rPr>
  </w:style>
  <w:style w:type="character" w:customStyle="1" w:styleId="ExplorateurdedocumentsCar">
    <w:name w:val="Explorateur de documents Car"/>
    <w:semiHidden/>
    <w:locked/>
    <w:rPr>
      <w:rFonts w:ascii="Tahoma" w:hAnsi="Tahoma" w:cs="Times New Roman Bold"/>
      <w:noProof w:val="0"/>
      <w:sz w:val="16"/>
      <w:szCs w:val="16"/>
      <w:lang w:val="en-AU" w:eastAsia="en-AU"/>
    </w:rPr>
  </w:style>
  <w:style w:type="character" w:customStyle="1" w:styleId="hit">
    <w:name w:val="hit"/>
    <w:rPr>
      <w:rFonts w:cs="Times New Roman"/>
    </w:rPr>
  </w:style>
  <w:style w:type="character" w:customStyle="1" w:styleId="NotedebasdepageCar">
    <w:name w:val="Note de bas de page Car"/>
    <w:locked/>
    <w:rPr>
      <w:rFonts w:cs="Times New Roman"/>
      <w:noProof w:val="0"/>
      <w:sz w:val="24"/>
      <w:szCs w:val="24"/>
      <w:lang w:val="en-AU" w:eastAsia="en-AU"/>
    </w:rPr>
  </w:style>
  <w:style w:type="paragraph" w:customStyle="1" w:styleId="Rvision">
    <w:name w:val="Révision"/>
    <w:hidden/>
    <w:semiHidden/>
    <w:rPr>
      <w:rFonts w:ascii="Times New Roman" w:eastAsia="MS Mincho" w:hAnsi="Times New Roman"/>
      <w:sz w:val="24"/>
      <w:lang w:val="en-AU" w:eastAsia="nl-NL"/>
    </w:rPr>
  </w:style>
  <w:style w:type="paragraph" w:customStyle="1" w:styleId="Ref">
    <w:name w:val="Ref"/>
    <w:basedOn w:val="Footnote"/>
    <w:pPr>
      <w:autoSpaceDE w:val="0"/>
      <w:autoSpaceDN w:val="0"/>
      <w:adjustRightInd w:val="0"/>
    </w:pPr>
    <w:rPr>
      <w:rFonts w:ascii="Calibri" w:eastAsia="MS Mincho" w:hAnsi="Calibri"/>
    </w:rPr>
  </w:style>
  <w:style w:type="character" w:customStyle="1" w:styleId="SansinterligneCar">
    <w:name w:val="Sans interligne Car"/>
    <w:rPr>
      <w:sz w:val="24"/>
      <w:szCs w:val="24"/>
      <w:lang w:bidi="ar-SA"/>
    </w:rPr>
  </w:style>
  <w:style w:type="paragraph" w:customStyle="1" w:styleId="Hea">
    <w:name w:val="Hea"/>
    <w:pPr>
      <w:autoSpaceDE w:val="0"/>
      <w:autoSpaceDN w:val="0"/>
    </w:pPr>
    <w:rPr>
      <w:rFonts w:ascii="Times New Roman" w:hAnsi="Times New Roman"/>
      <w:sz w:val="24"/>
      <w:lang w:eastAsia="nl-NL"/>
    </w:rPr>
  </w:style>
  <w:style w:type="paragraph" w:customStyle="1" w:styleId="PageImage">
    <w:name w:val="PageImage"/>
    <w:pPr>
      <w:autoSpaceDE w:val="0"/>
      <w:autoSpaceDN w:val="0"/>
      <w:spacing w:before="240"/>
      <w:jc w:val="center"/>
    </w:pPr>
    <w:rPr>
      <w:rFonts w:ascii="Times New Roman" w:hAnsi="Times New Roman"/>
      <w:lang w:val="en-AU" w:eastAsia="nl-NL"/>
    </w:rPr>
  </w:style>
  <w:style w:type="paragraph" w:customStyle="1" w:styleId="Italicindent">
    <w:name w:val="Italic indent"/>
    <w:pPr>
      <w:autoSpaceDE w:val="0"/>
      <w:autoSpaceDN w:val="0"/>
      <w:spacing w:after="200" w:line="276" w:lineRule="auto"/>
      <w:ind w:left="1701" w:right="662"/>
    </w:pPr>
    <w:rPr>
      <w:rFonts w:ascii="Calibri" w:hAnsi="Calibri"/>
      <w:i/>
      <w:color w:val="000000"/>
      <w:lang w:val="en-GB" w:eastAsia="nl-NL"/>
    </w:rPr>
  </w:style>
  <w:style w:type="paragraph" w:customStyle="1" w:styleId="a8">
    <w:name w:val="("/>
    <w:pPr>
      <w:autoSpaceDE w:val="0"/>
      <w:autoSpaceDN w:val="0"/>
      <w:spacing w:after="160" w:line="240" w:lineRule="exact"/>
    </w:pPr>
    <w:rPr>
      <w:rFonts w:ascii="Times New Roman" w:hAnsi="Times New Roman"/>
      <w:lang w:eastAsia="nl-NL"/>
    </w:rPr>
  </w:style>
  <w:style w:type="character" w:customStyle="1" w:styleId="style61">
    <w:name w:val="style61"/>
    <w:rPr>
      <w:rFonts w:ascii="Verdana" w:hAnsi="Verdana" w:cs="Arial Narrow"/>
      <w:b/>
      <w:bCs/>
      <w:color w:val="808080"/>
      <w:sz w:val="24"/>
      <w:szCs w:val="24"/>
    </w:rPr>
  </w:style>
  <w:style w:type="paragraph" w:customStyle="1" w:styleId="Rvision1">
    <w:name w:val="Révision1"/>
    <w:hidden/>
    <w:semiHidden/>
    <w:rPr>
      <w:rFonts w:ascii="Times New Roman" w:eastAsia="MS Mincho" w:hAnsi="Times New Roman"/>
      <w:sz w:val="24"/>
      <w:szCs w:val="24"/>
    </w:rPr>
  </w:style>
  <w:style w:type="paragraph" w:customStyle="1" w:styleId="Bibliographie1">
    <w:name w:val="Bibliographie1"/>
    <w:basedOn w:val="Normal"/>
    <w:next w:val="Normal"/>
    <w:pPr>
      <w:spacing w:before="120" w:after="120"/>
      <w:ind w:left="1134"/>
      <w:jc w:val="both"/>
    </w:pPr>
    <w:rPr>
      <w:rFonts w:ascii="Calibri" w:hAnsi="Calibri"/>
      <w:color w:val="auto"/>
      <w:szCs w:val="22"/>
    </w:rPr>
  </w:style>
  <w:style w:type="paragraph" w:customStyle="1" w:styleId="Sansinterligne1">
    <w:name w:val="Sans interligne1"/>
    <w:basedOn w:val="Normal"/>
    <w:locked/>
    <w:pPr>
      <w:spacing w:after="0"/>
    </w:pPr>
    <w:rPr>
      <w:rFonts w:ascii="Arial" w:hAnsi="Arial" w:cs="Century"/>
      <w:color w:val="auto"/>
      <w:szCs w:val="22"/>
      <w:lang w:eastAsia="en-US"/>
    </w:rPr>
  </w:style>
  <w:style w:type="paragraph" w:customStyle="1" w:styleId="Citation1">
    <w:name w:val="Citation1"/>
    <w:basedOn w:val="Normal"/>
    <w:next w:val="Normal"/>
    <w:locked/>
    <w:pPr>
      <w:spacing w:before="200" w:after="0"/>
      <w:ind w:left="360" w:right="360"/>
    </w:pPr>
    <w:rPr>
      <w:i/>
      <w:iCs/>
      <w:sz w:val="24"/>
      <w:szCs w:val="24"/>
      <w:lang w:val="en-US" w:eastAsia="en-US"/>
    </w:rPr>
  </w:style>
  <w:style w:type="paragraph" w:customStyle="1" w:styleId="Citationintense1">
    <w:name w:val="Citation intense1"/>
    <w:basedOn w:val="Normal"/>
    <w:next w:val="Normal"/>
    <w:locked/>
    <w:pPr>
      <w:pBdr>
        <w:bottom w:val="single" w:sz="4" w:space="1" w:color="auto"/>
      </w:pBdr>
      <w:spacing w:before="200" w:after="280"/>
      <w:ind w:left="1008" w:right="1152"/>
      <w:jc w:val="both"/>
    </w:pPr>
    <w:rPr>
      <w:b/>
      <w:bCs/>
      <w:i/>
      <w:iCs/>
      <w:color w:val="4F81BD"/>
      <w:sz w:val="24"/>
      <w:szCs w:val="24"/>
      <w:lang w:val="en-US" w:eastAsia="en-US"/>
    </w:rPr>
  </w:style>
  <w:style w:type="character" w:customStyle="1" w:styleId="Emphaseple1">
    <w:name w:val="Emphase pâle1"/>
    <w:locked/>
    <w:rPr>
      <w:i/>
    </w:rPr>
  </w:style>
  <w:style w:type="character" w:customStyle="1" w:styleId="Emphaseintense1">
    <w:name w:val="Emphase intense1"/>
    <w:locked/>
    <w:rPr>
      <w:b/>
    </w:rPr>
  </w:style>
  <w:style w:type="character" w:customStyle="1" w:styleId="Rfrenceple1">
    <w:name w:val="Référence pâle1"/>
    <w:locked/>
    <w:rPr>
      <w:smallCaps/>
    </w:rPr>
  </w:style>
  <w:style w:type="character" w:customStyle="1" w:styleId="Rfrenceintense1">
    <w:name w:val="Référence intense1"/>
    <w:locked/>
    <w:rPr>
      <w:smallCaps/>
      <w:spacing w:val="5"/>
      <w:u w:val="single"/>
    </w:rPr>
  </w:style>
  <w:style w:type="character" w:customStyle="1" w:styleId="Titredulivre1">
    <w:name w:val="Titre du livre1"/>
    <w:locked/>
    <w:rPr>
      <w:i/>
      <w:smallCaps/>
      <w:spacing w:val="5"/>
    </w:rPr>
  </w:style>
  <w:style w:type="paragraph" w:customStyle="1" w:styleId="En-ttedetabledesmatires1">
    <w:name w:val="En-tête de table des matières1"/>
    <w:basedOn w:val="Heading1"/>
    <w:next w:val="Normal"/>
    <w:locked/>
    <w:pPr>
      <w:keepLines/>
      <w:tabs>
        <w:tab w:val="left" w:pos="851"/>
      </w:tabs>
      <w:spacing w:before="0"/>
      <w:ind w:left="1100" w:hanging="660"/>
      <w:outlineLvl w:val="9"/>
    </w:pPr>
    <w:rPr>
      <w:rFonts w:ascii="Arial" w:hAnsi="Arial"/>
      <w:bCs w:val="0"/>
      <w:color w:val="auto"/>
      <w:sz w:val="32"/>
      <w:szCs w:val="28"/>
      <w:lang w:val="nb-NO"/>
    </w:rPr>
  </w:style>
  <w:style w:type="paragraph" w:customStyle="1" w:styleId="BodyText11">
    <w:name w:val="Body Text11"/>
    <w:basedOn w:val="Normal"/>
    <w:pPr>
      <w:spacing w:after="0"/>
    </w:pPr>
  </w:style>
  <w:style w:type="paragraph" w:customStyle="1" w:styleId="paraindentFootnoteQPS">
    <w:name w:val="para indent Footnote QPS"/>
    <w:basedOn w:val="FootnoteText"/>
    <w:pPr>
      <w:widowControl/>
      <w:spacing w:after="0"/>
      <w:ind w:left="426" w:hanging="284"/>
    </w:pPr>
    <w:rPr>
      <w:rFonts w:ascii="Calibri" w:hAnsi="Calibri"/>
      <w:color w:val="000000"/>
      <w:sz w:val="16"/>
      <w:lang w:val="en-NZ" w:eastAsia="en-US"/>
    </w:rPr>
  </w:style>
  <w:style w:type="paragraph" w:customStyle="1" w:styleId="Paragraphedeliste1">
    <w:name w:val="Paragraphe de liste1"/>
    <w:basedOn w:val="Normal"/>
    <w:pPr>
      <w:ind w:left="720"/>
      <w:contextualSpacing/>
    </w:pPr>
  </w:style>
  <w:style w:type="paragraph" w:customStyle="1" w:styleId="yiv587168716msonormal">
    <w:name w:val="yiv587168716msonormal"/>
    <w:basedOn w:val="Normal"/>
    <w:pPr>
      <w:spacing w:before="100" w:beforeAutospacing="1" w:after="100" w:afterAutospacing="1"/>
    </w:pPr>
    <w:rPr>
      <w:color w:val="auto"/>
      <w:sz w:val="24"/>
      <w:szCs w:val="24"/>
      <w:lang w:val="en-AU" w:eastAsia="en-AU"/>
    </w:rPr>
  </w:style>
  <w:style w:type="paragraph" w:customStyle="1" w:styleId="Paragraphedeliste11">
    <w:name w:val="Paragraphe de liste11"/>
    <w:basedOn w:val="Normal"/>
    <w:pPr>
      <w:ind w:left="720"/>
      <w:contextualSpacing/>
    </w:pPr>
  </w:style>
  <w:style w:type="character" w:customStyle="1" w:styleId="st1">
    <w:name w:val="st1"/>
  </w:style>
  <w:style w:type="character" w:customStyle="1" w:styleId="Heading1Char21">
    <w:name w:val="Heading 1 Char21"/>
    <w:aliases w:val="Para (1) Char3,Heading 1 Char1 Char Char11,Heading 1 Char Char Char Char2,Para (1) Char Char Char Char2,Para (1) Char1 Char Char2,Heading 1 Char1 Char11,Heading 1 Char Char Char11,Para (1) Char Char Char11,Para (1) Char1 Char11"/>
    <w:rPr>
      <w:b/>
      <w:bCs/>
      <w:noProof w:val="0"/>
      <w:color w:val="000000"/>
      <w:sz w:val="28"/>
      <w:szCs w:val="28"/>
      <w:lang w:val="en-GB"/>
    </w:rPr>
  </w:style>
  <w:style w:type="character" w:customStyle="1" w:styleId="CharChar8">
    <w:name w:val="Char Char8"/>
    <w:locked/>
    <w:rPr>
      <w:rFonts w:ascii="Times New Roman" w:hAnsi="Times New Roman"/>
      <w:noProof w:val="0"/>
      <w:sz w:val="24"/>
      <w:lang w:eastAsia="ja-JP"/>
    </w:rPr>
  </w:style>
  <w:style w:type="character" w:customStyle="1" w:styleId="CharChar10">
    <w:name w:val="Char Char10"/>
    <w:semiHidden/>
    <w:locked/>
    <w:rPr>
      <w:rFonts w:ascii="Times New Roman" w:hAnsi="Times New Roman"/>
      <w:noProof w:val="0"/>
      <w:color w:val="000000"/>
      <w:sz w:val="20"/>
      <w:lang w:val="en-GB" w:eastAsia="zh-CN"/>
    </w:rPr>
  </w:style>
  <w:style w:type="character" w:styleId="HTMLCite">
    <w:name w:val="HTML Cite"/>
    <w:uiPriority w:val="99"/>
    <w:rPr>
      <w:rFonts w:cs="Times New Roman"/>
      <w:i/>
      <w:iCs/>
    </w:rPr>
  </w:style>
  <w:style w:type="character" w:customStyle="1" w:styleId="st">
    <w:name w:val="st"/>
  </w:style>
  <w:style w:type="paragraph" w:customStyle="1" w:styleId="TitleofManuscript">
    <w:name w:val="Title of Manuscript"/>
    <w:basedOn w:val="Normal"/>
    <w:pPr>
      <w:spacing w:after="0"/>
    </w:pPr>
    <w:rPr>
      <w:b/>
      <w:bCs/>
      <w:spacing w:val="-4"/>
      <w:sz w:val="32"/>
      <w:szCs w:val="32"/>
      <w:lang w:val="en-CA" w:eastAsia="en-CA"/>
    </w:rPr>
  </w:style>
  <w:style w:type="character" w:customStyle="1" w:styleId="author2">
    <w:name w:val="author2"/>
    <w:rPr>
      <w:rFonts w:cs="Times New Roman"/>
    </w:rPr>
  </w:style>
  <w:style w:type="character" w:customStyle="1" w:styleId="al-hide">
    <w:name w:val="al-hide"/>
    <w:rPr>
      <w:rFonts w:cs="Times New Roman"/>
    </w:rPr>
  </w:style>
  <w:style w:type="character" w:customStyle="1" w:styleId="al-vis">
    <w:name w:val="al-vis"/>
    <w:rPr>
      <w:rFonts w:cs="Times New Roman"/>
    </w:rPr>
  </w:style>
  <w:style w:type="character" w:customStyle="1" w:styleId="container2">
    <w:name w:val="container2"/>
    <w:rPr>
      <w:rFonts w:cs="Times New Roman"/>
    </w:rPr>
  </w:style>
  <w:style w:type="character" w:customStyle="1" w:styleId="year">
    <w:name w:val="year"/>
    <w:rPr>
      <w:rFonts w:cs="Times New Roman"/>
    </w:rPr>
  </w:style>
  <w:style w:type="character" w:customStyle="1" w:styleId="Para10">
    <w:name w:val="Para (1) ("/>
    <w:rPr>
      <w:b/>
      <w:bCs/>
      <w:noProof w:val="0"/>
      <w:kern w:val="32"/>
      <w:sz w:val="32"/>
      <w:szCs w:val="32"/>
      <w:lang w:val="en-US"/>
    </w:rPr>
  </w:style>
  <w:style w:type="paragraph" w:customStyle="1" w:styleId="a9">
    <w:name w:val="文字)"/>
    <w:pPr>
      <w:widowControl w:val="0"/>
      <w:autoSpaceDE w:val="0"/>
      <w:autoSpaceDN w:val="0"/>
    </w:pPr>
    <w:rPr>
      <w:rFonts w:ascii="Times New Roman" w:hAnsi="Times New Roman"/>
      <w:b/>
      <w:spacing w:val="-1"/>
      <w:kern w:val="32"/>
      <w:position w:val="-1"/>
      <w:sz w:val="32"/>
    </w:rPr>
  </w:style>
  <w:style w:type="character" w:customStyle="1" w:styleId="SubParaa0">
    <w:name w:val="SubPara (a) ("/>
    <w:rPr>
      <w:b/>
      <w:bCs/>
      <w:i/>
      <w:iCs/>
      <w:noProof w:val="0"/>
      <w:kern w:val="2"/>
      <w:sz w:val="28"/>
      <w:szCs w:val="28"/>
      <w:lang w:val="en-US"/>
    </w:rPr>
  </w:style>
  <w:style w:type="character" w:customStyle="1" w:styleId="5">
    <w:name w:val="(5"/>
    <w:rPr>
      <w:b/>
      <w:bCs/>
      <w:noProof w:val="0"/>
      <w:sz w:val="24"/>
      <w:szCs w:val="24"/>
      <w:lang w:val="en-US"/>
    </w:rPr>
  </w:style>
  <w:style w:type="paragraph" w:customStyle="1" w:styleId="ListParagraph11">
    <w:name w:val="List Paragraph11"/>
    <w:basedOn w:val="Normal"/>
    <w:pPr>
      <w:autoSpaceDE w:val="0"/>
      <w:autoSpaceDN w:val="0"/>
      <w:spacing w:before="100" w:after="100"/>
      <w:ind w:left="720" w:right="720"/>
    </w:pPr>
    <w:rPr>
      <w:i/>
      <w:color w:val="auto"/>
      <w:sz w:val="24"/>
    </w:rPr>
  </w:style>
  <w:style w:type="paragraph" w:customStyle="1" w:styleId="4">
    <w:name w:val="(4"/>
    <w:basedOn w:val="Normal"/>
    <w:pPr>
      <w:tabs>
        <w:tab w:val="num" w:pos="2160"/>
      </w:tabs>
      <w:autoSpaceDE w:val="0"/>
      <w:autoSpaceDN w:val="0"/>
      <w:spacing w:before="100" w:after="160" w:line="240" w:lineRule="exact"/>
      <w:ind w:left="2160" w:right="720" w:hanging="360"/>
    </w:pPr>
    <w:rPr>
      <w:i/>
      <w:color w:val="auto"/>
      <w:sz w:val="20"/>
      <w:lang w:val="en-US"/>
    </w:rPr>
  </w:style>
  <w:style w:type="character" w:customStyle="1" w:styleId="BodyTextIndentChar1">
    <w:name w:val="Body Text Indent Char1"/>
    <w:semiHidden/>
    <w:rPr>
      <w:rFonts w:ascii="Times New Roman" w:hAnsi="Times New Roman" w:cs="Times New Roman"/>
      <w:sz w:val="20"/>
      <w:szCs w:val="20"/>
    </w:rPr>
  </w:style>
  <w:style w:type="character" w:customStyle="1" w:styleId="BodyTextFirstIndent2Char">
    <w:name w:val="Body Text First Indent 2 Char"/>
    <w:semiHidden/>
    <w:rPr>
      <w:rFonts w:ascii="Times New Roman" w:hAnsi="Times New Roman" w:cs="Times New Roman"/>
      <w:sz w:val="20"/>
      <w:szCs w:val="20"/>
    </w:rPr>
  </w:style>
  <w:style w:type="character" w:customStyle="1" w:styleId="CarCar52">
    <w:name w:val="Car Car52"/>
    <w:rPr>
      <w:noProof w:val="0"/>
      <w:sz w:val="24"/>
      <w:szCs w:val="24"/>
      <w:u w:val="single"/>
      <w:lang w:val="en-US"/>
    </w:rPr>
  </w:style>
  <w:style w:type="character" w:customStyle="1" w:styleId="CarCar42">
    <w:name w:val="Car Car42"/>
    <w:rPr>
      <w:b/>
      <w:bCs/>
      <w:noProof w:val="0"/>
      <w:kern w:val="32"/>
      <w:sz w:val="24"/>
      <w:szCs w:val="24"/>
      <w:lang w:val="en-US"/>
    </w:rPr>
  </w:style>
  <w:style w:type="character" w:customStyle="1" w:styleId="CarCar32">
    <w:name w:val="Car Car32"/>
    <w:rPr>
      <w:b/>
      <w:bCs/>
      <w:i/>
      <w:iCs/>
      <w:noProof w:val="0"/>
      <w:kern w:val="32"/>
      <w:sz w:val="26"/>
      <w:szCs w:val="26"/>
      <w:lang w:val="it-IT"/>
    </w:rPr>
  </w:style>
  <w:style w:type="character" w:customStyle="1" w:styleId="CarCar6">
    <w:name w:val="Car Car6"/>
    <w:rPr>
      <w:noProof w:val="0"/>
      <w:sz w:val="24"/>
      <w:szCs w:val="24"/>
      <w:lang w:val="fr-FR"/>
    </w:rPr>
  </w:style>
  <w:style w:type="character" w:customStyle="1" w:styleId="ZchnZchn162">
    <w:name w:val="Zchn Zchn162"/>
    <w:rPr>
      <w:rFonts w:ascii="Arial" w:hAnsi="Arial" w:cs="Arial"/>
      <w:b/>
      <w:bCs/>
      <w:noProof w:val="0"/>
      <w:kern w:val="32"/>
      <w:sz w:val="32"/>
      <w:szCs w:val="32"/>
      <w:lang w:val="en-US"/>
    </w:rPr>
  </w:style>
  <w:style w:type="character" w:customStyle="1" w:styleId="ZchnZchn19">
    <w:name w:val="Zchn Zchn19"/>
    <w:rPr>
      <w:rFonts w:ascii="Cambria" w:hAnsi="Cambria" w:cs="MS Mincho"/>
      <w:b/>
      <w:bCs/>
      <w:noProof w:val="0"/>
      <w:kern w:val="28"/>
      <w:sz w:val="32"/>
      <w:szCs w:val="32"/>
      <w:lang w:val="ca-ES"/>
    </w:rPr>
  </w:style>
  <w:style w:type="character" w:customStyle="1" w:styleId="ZchnZchn18">
    <w:name w:val="Zchn Zchn18"/>
    <w:rPr>
      <w:rFonts w:ascii="Calibri" w:hAnsi="Calibri" w:cs="Calibri"/>
      <w:noProof w:val="0"/>
      <w:lang w:val="ca-ES"/>
    </w:rPr>
  </w:style>
  <w:style w:type="character" w:customStyle="1" w:styleId="CarCar22">
    <w:name w:val="Car Car22"/>
    <w:rPr>
      <w:noProof w:val="0"/>
      <w:lang w:val="en-US"/>
    </w:rPr>
  </w:style>
  <w:style w:type="character" w:customStyle="1" w:styleId="CarCar12">
    <w:name w:val="Car Car12"/>
    <w:rPr>
      <w:noProof w:val="0"/>
      <w:lang w:val="en-US"/>
    </w:rPr>
  </w:style>
  <w:style w:type="character" w:customStyle="1" w:styleId="ZchnZchn152">
    <w:name w:val="Zchn Zchn152"/>
    <w:rPr>
      <w:rFonts w:ascii="Arial" w:hAnsi="Arial" w:cs="Arial"/>
      <w:b/>
      <w:bCs/>
      <w:i/>
      <w:iCs/>
      <w:noProof w:val="0"/>
      <w:sz w:val="28"/>
      <w:szCs w:val="28"/>
      <w:lang w:val="en-US"/>
    </w:rPr>
  </w:style>
  <w:style w:type="character" w:customStyle="1" w:styleId="ZchnZchn142">
    <w:name w:val="Zchn Zchn142"/>
    <w:rPr>
      <w:rFonts w:ascii="Arial" w:hAnsi="Arial" w:cs="Arial"/>
      <w:b/>
      <w:bCs/>
      <w:noProof w:val="0"/>
      <w:sz w:val="26"/>
      <w:szCs w:val="26"/>
      <w:lang w:val="en-US"/>
    </w:rPr>
  </w:style>
  <w:style w:type="character" w:customStyle="1" w:styleId="ZchnZchn132">
    <w:name w:val="Zchn Zchn132"/>
    <w:rPr>
      <w:rFonts w:ascii="Arial" w:hAnsi="Arial" w:cs="Arial"/>
      <w:b/>
      <w:bCs/>
      <w:noProof w:val="0"/>
      <w:sz w:val="24"/>
      <w:szCs w:val="24"/>
      <w:lang w:val="de-DE"/>
    </w:rPr>
  </w:style>
  <w:style w:type="character" w:customStyle="1" w:styleId="ZchnZchn122">
    <w:name w:val="Zchn Zchn122"/>
    <w:rPr>
      <w:rFonts w:ascii="Arial" w:hAnsi="Arial" w:cs="Arial"/>
      <w:b/>
      <w:bCs/>
      <w:noProof w:val="0"/>
      <w:sz w:val="24"/>
      <w:szCs w:val="24"/>
      <w:lang w:val="de-DE"/>
    </w:rPr>
  </w:style>
  <w:style w:type="character" w:customStyle="1" w:styleId="ZchnZchn112">
    <w:name w:val="Zchn Zchn112"/>
    <w:rPr>
      <w:rFonts w:ascii="Arial" w:hAnsi="Arial" w:cs="Arial"/>
      <w:b/>
      <w:bCs/>
      <w:noProof w:val="0"/>
      <w:lang w:val="de-DE"/>
    </w:rPr>
  </w:style>
  <w:style w:type="character" w:customStyle="1" w:styleId="ZchnZchn102">
    <w:name w:val="Zchn Zchn102"/>
    <w:rPr>
      <w:rFonts w:ascii="Arial" w:hAnsi="Arial" w:cs="Arial"/>
      <w:b/>
      <w:bCs/>
      <w:noProof w:val="0"/>
      <w:sz w:val="28"/>
      <w:szCs w:val="28"/>
      <w:lang w:val="de-DE"/>
    </w:rPr>
  </w:style>
  <w:style w:type="character" w:customStyle="1" w:styleId="ZchnZchn92">
    <w:name w:val="Zchn Zchn92"/>
    <w:rPr>
      <w:rFonts w:ascii="Arial" w:hAnsi="Arial" w:cs="Arial"/>
      <w:b/>
      <w:bCs/>
      <w:noProof w:val="0"/>
      <w:lang w:val="de-DE"/>
    </w:rPr>
  </w:style>
  <w:style w:type="character" w:customStyle="1" w:styleId="ZchnZchn82">
    <w:name w:val="Zchn Zchn82"/>
    <w:rPr>
      <w:rFonts w:ascii="Arial" w:hAnsi="Arial" w:cs="Arial"/>
      <w:noProof w:val="0"/>
      <w:sz w:val="24"/>
      <w:szCs w:val="24"/>
      <w:lang w:val="de-DE"/>
    </w:rPr>
  </w:style>
  <w:style w:type="character" w:customStyle="1" w:styleId="ZchnZchn42">
    <w:name w:val="Zchn Zchn42"/>
    <w:rPr>
      <w:noProof w:val="0"/>
      <w:sz w:val="24"/>
      <w:szCs w:val="24"/>
      <w:lang w:val="en-US"/>
    </w:rPr>
  </w:style>
  <w:style w:type="character" w:customStyle="1" w:styleId="ZchnZchn72">
    <w:name w:val="Zchn Zchn72"/>
    <w:rPr>
      <w:noProof w:val="0"/>
      <w:sz w:val="24"/>
      <w:szCs w:val="24"/>
      <w:lang w:val="en-US"/>
    </w:rPr>
  </w:style>
  <w:style w:type="character" w:customStyle="1" w:styleId="ZchnZchn62">
    <w:name w:val="Zchn Zchn62"/>
    <w:rPr>
      <w:rFonts w:ascii="Courier New" w:hAnsi="Courier New" w:cs="FrutigerLTStd-Light"/>
      <w:noProof w:val="0"/>
      <w:lang w:val="de-DE"/>
    </w:rPr>
  </w:style>
  <w:style w:type="character" w:customStyle="1" w:styleId="ZchnZchn52">
    <w:name w:val="Zchn Zchn52"/>
    <w:rPr>
      <w:rFonts w:ascii="Arial" w:hAnsi="Arial" w:cs="Arial"/>
      <w:noProof w:val="0"/>
      <w:sz w:val="24"/>
      <w:szCs w:val="24"/>
      <w:lang w:val="de-DE"/>
    </w:rPr>
  </w:style>
  <w:style w:type="character" w:customStyle="1" w:styleId="ZchnZchn32">
    <w:name w:val="Zchn Zchn32"/>
    <w:rPr>
      <w:rFonts w:ascii="Arial" w:hAnsi="Arial" w:cs="Arial"/>
      <w:noProof w:val="0"/>
      <w:sz w:val="24"/>
      <w:szCs w:val="24"/>
      <w:lang w:val="de-DE"/>
    </w:rPr>
  </w:style>
  <w:style w:type="character" w:customStyle="1" w:styleId="CharChar21">
    <w:name w:val="Char Char21"/>
    <w:rPr>
      <w:b/>
      <w:bCs/>
      <w:noProof w:val="0"/>
      <w:color w:val="000000"/>
      <w:sz w:val="28"/>
      <w:szCs w:val="28"/>
      <w:lang w:val="en-GB"/>
    </w:rPr>
  </w:style>
  <w:style w:type="character" w:customStyle="1" w:styleId="CharChar11">
    <w:name w:val="Char Char11"/>
    <w:rPr>
      <w:rFonts w:ascii="Arial" w:hAnsi="Arial" w:cs="Arial"/>
      <w:noProof w:val="0"/>
      <w:lang w:val="en-GB"/>
    </w:rPr>
  </w:style>
  <w:style w:type="character" w:customStyle="1" w:styleId="30">
    <w:name w:val="(3"/>
    <w:rPr>
      <w:noProof w:val="0"/>
      <w:sz w:val="24"/>
      <w:szCs w:val="24"/>
      <w:lang w:val="en-US"/>
    </w:rPr>
  </w:style>
  <w:style w:type="character" w:customStyle="1" w:styleId="2">
    <w:name w:val="(2"/>
    <w:rPr>
      <w:b/>
      <w:bCs/>
      <w:noProof w:val="0"/>
      <w:sz w:val="24"/>
      <w:szCs w:val="24"/>
      <w:lang w:val="en-US"/>
    </w:rPr>
  </w:style>
  <w:style w:type="character" w:customStyle="1" w:styleId="CarCar191">
    <w:name w:val="Car Car191"/>
    <w:rPr>
      <w:noProof w:val="0"/>
      <w:color w:val="000000"/>
      <w:sz w:val="24"/>
      <w:szCs w:val="24"/>
      <w:lang w:val="en-GB"/>
    </w:rPr>
  </w:style>
  <w:style w:type="character" w:customStyle="1" w:styleId="CharChar41">
    <w:name w:val="Char Char41"/>
    <w:rPr>
      <w:noProof w:val="0"/>
      <w:sz w:val="24"/>
      <w:szCs w:val="24"/>
      <w:lang w:val="en-US"/>
    </w:rPr>
  </w:style>
  <w:style w:type="character" w:customStyle="1" w:styleId="CharChar31">
    <w:name w:val="Char Char31"/>
    <w:rPr>
      <w:noProof w:val="0"/>
      <w:color w:val="000000"/>
      <w:sz w:val="24"/>
      <w:szCs w:val="24"/>
      <w:lang w:val="en-GB"/>
    </w:rPr>
  </w:style>
  <w:style w:type="paragraph" w:customStyle="1" w:styleId="13">
    <w:name w:val="(1"/>
    <w:pPr>
      <w:autoSpaceDE w:val="0"/>
      <w:autoSpaceDN w:val="0"/>
      <w:spacing w:after="160" w:line="240" w:lineRule="exact"/>
    </w:pPr>
    <w:rPr>
      <w:rFonts w:ascii="Times New Roman" w:hAnsi="Times New Roman"/>
      <w:sz w:val="24"/>
    </w:rPr>
  </w:style>
  <w:style w:type="character" w:customStyle="1" w:styleId="scopustermhighlight">
    <w:name w:val="scopustermhighlight"/>
    <w:rPr>
      <w:rFonts w:ascii="Times New Roman" w:hAnsi="Times New Roman" w:cs="Times New Roman"/>
    </w:rPr>
  </w:style>
  <w:style w:type="paragraph" w:customStyle="1" w:styleId="marginb3">
    <w:name w:val="marginb3"/>
    <w:basedOn w:val="Normal"/>
    <w:pPr>
      <w:autoSpaceDE w:val="0"/>
      <w:autoSpaceDN w:val="0"/>
      <w:spacing w:before="100" w:after="100"/>
      <w:jc w:val="both"/>
    </w:pPr>
    <w:rPr>
      <w:color w:val="auto"/>
      <w:sz w:val="24"/>
      <w:lang w:val="fr-FR"/>
    </w:rPr>
  </w:style>
  <w:style w:type="character" w:customStyle="1" w:styleId="region">
    <w:name w:val="region"/>
    <w:rPr>
      <w:rFonts w:ascii="Times New Roman" w:hAnsi="Times New Roman" w:cs="Times New Roman"/>
    </w:rPr>
  </w:style>
  <w:style w:type="character" w:customStyle="1" w:styleId="documenttype">
    <w:name w:val="documenttype"/>
    <w:rPr>
      <w:rFonts w:ascii="Times New Roman" w:hAnsi="Times New Roman" w:cs="Times New Roman"/>
    </w:rPr>
  </w:style>
  <w:style w:type="paragraph" w:customStyle="1" w:styleId="HTOCReport">
    <w:name w:val="HTOC Report"/>
    <w:basedOn w:val="Normal"/>
    <w:pPr>
      <w:spacing w:after="0"/>
    </w:pPr>
    <w:rPr>
      <w:rFonts w:ascii="Times" w:hAnsi="Times"/>
      <w:color w:val="auto"/>
      <w:lang w:eastAsia="ja-JP"/>
    </w:rPr>
  </w:style>
  <w:style w:type="character" w:customStyle="1" w:styleId="authorname">
    <w:name w:val="authorname"/>
    <w:basedOn w:val="DefaultParagraphFont"/>
  </w:style>
  <w:style w:type="character" w:customStyle="1" w:styleId="nlmx">
    <w:name w:val="nlm_x"/>
    <w:basedOn w:val="DefaultParagraphFont"/>
  </w:style>
  <w:style w:type="paragraph" w:customStyle="1" w:styleId="MediumGrid21">
    <w:name w:val="Medium Grid 21"/>
    <w:qFormat/>
    <w:pPr>
      <w:jc w:val="both"/>
    </w:pPr>
    <w:rPr>
      <w:rFonts w:ascii="Times New Roman" w:eastAsia="MS Mincho" w:hAnsi="Times New Roman"/>
      <w:sz w:val="24"/>
      <w:lang w:val="en-AU"/>
    </w:rPr>
  </w:style>
  <w:style w:type="paragraph" w:styleId="ListParagraph">
    <w:name w:val="List Paragraph"/>
    <w:basedOn w:val="Normal"/>
    <w:link w:val="ListParagraphChar"/>
    <w:uiPriority w:val="34"/>
    <w:qFormat/>
    <w:rsid w:val="00F50E44"/>
    <w:pPr>
      <w:widowControl w:val="0"/>
      <w:numPr>
        <w:numId w:val="68"/>
      </w:numPr>
    </w:pPr>
    <w:rPr>
      <w:color w:val="auto"/>
      <w:kern w:val="2"/>
      <w:szCs w:val="22"/>
      <w:lang w:val="en-AU"/>
    </w:rPr>
  </w:style>
  <w:style w:type="character" w:customStyle="1" w:styleId="articletypelabel">
    <w:name w:val="articletypelabel"/>
    <w:basedOn w:val="DefaultParagraphFont"/>
    <w:rsid w:val="00CA5E9C"/>
  </w:style>
  <w:style w:type="paragraph" w:customStyle="1" w:styleId="Refs0">
    <w:name w:val="Refs"/>
    <w:basedOn w:val="BodyText"/>
    <w:rsid w:val="00CA5E9C"/>
    <w:pPr>
      <w:spacing w:before="120" w:after="0" w:line="264" w:lineRule="auto"/>
      <w:ind w:left="567" w:hanging="567"/>
    </w:pPr>
    <w:rPr>
      <w:rFonts w:ascii="Arial" w:eastAsia="Calibri" w:hAnsi="Arial"/>
      <w:color w:val="auto"/>
      <w:sz w:val="20"/>
      <w:lang w:val="en-AU" w:eastAsia="en-NZ"/>
    </w:rPr>
  </w:style>
  <w:style w:type="character" w:customStyle="1" w:styleId="slug-pub-date3">
    <w:name w:val="slug-pub-date3"/>
    <w:basedOn w:val="DefaultParagraphFont"/>
    <w:rsid w:val="00CA5E9C"/>
  </w:style>
  <w:style w:type="character" w:customStyle="1" w:styleId="slug-vol">
    <w:name w:val="slug-vol"/>
    <w:basedOn w:val="DefaultParagraphFont"/>
    <w:rsid w:val="00CA5E9C"/>
  </w:style>
  <w:style w:type="character" w:customStyle="1" w:styleId="slug-issue">
    <w:name w:val="slug-issue"/>
    <w:basedOn w:val="DefaultParagraphFont"/>
    <w:rsid w:val="00CA5E9C"/>
  </w:style>
  <w:style w:type="character" w:customStyle="1" w:styleId="slug-pages3">
    <w:name w:val="slug-pages3"/>
    <w:basedOn w:val="DefaultParagraphFont"/>
    <w:rsid w:val="00CA5E9C"/>
  </w:style>
  <w:style w:type="table" w:styleId="TableGrid">
    <w:name w:val="Table Grid"/>
    <w:basedOn w:val="TableNormal"/>
    <w:uiPriority w:val="39"/>
    <w:rsid w:val="005B1FC8"/>
    <w:rPr>
      <w:rFonts w:ascii="Cambria" w:eastAsia="Cambria" w:hAnsi="Cambria"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1">
    <w:name w:val="Table Text"/>
    <w:basedOn w:val="Normal"/>
    <w:qFormat/>
    <w:rsid w:val="00841BDE"/>
    <w:pPr>
      <w:spacing w:after="0"/>
    </w:pPr>
    <w:rPr>
      <w:kern w:val="2"/>
      <w:sz w:val="24"/>
      <w:szCs w:val="24"/>
      <w:lang w:val="en-US" w:eastAsia="en-US"/>
    </w:rPr>
  </w:style>
  <w:style w:type="paragraph" w:customStyle="1" w:styleId="TableHeadings">
    <w:name w:val="Table Headings"/>
    <w:basedOn w:val="TableText1"/>
    <w:qFormat/>
    <w:rsid w:val="00841BDE"/>
    <w:pPr>
      <w:jc w:val="center"/>
    </w:pPr>
    <w:rPr>
      <w:rFonts w:ascii="Times New Roman Bold"/>
      <w:b/>
    </w:rPr>
  </w:style>
  <w:style w:type="paragraph" w:customStyle="1" w:styleId="Tablenote">
    <w:name w:val="Table note"/>
    <w:basedOn w:val="Normal"/>
    <w:qFormat/>
    <w:rsid w:val="00841BDE"/>
    <w:pPr>
      <w:spacing w:after="0"/>
      <w:ind w:left="720" w:hanging="720"/>
      <w:contextualSpacing/>
    </w:pPr>
    <w:rPr>
      <w:rFonts w:eastAsia="MS Mincho"/>
      <w:snapToGrid w:val="0"/>
      <w:color w:val="auto"/>
      <w:kern w:val="2"/>
      <w:sz w:val="20"/>
      <w:szCs w:val="18"/>
      <w:lang w:val="en-US" w:eastAsia="en-US"/>
    </w:rPr>
  </w:style>
  <w:style w:type="table" w:styleId="LightShading">
    <w:name w:val="Light Shading"/>
    <w:basedOn w:val="TableNormal"/>
    <w:uiPriority w:val="60"/>
    <w:rsid w:val="00A66F2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List">
    <w:name w:val="Light List"/>
    <w:basedOn w:val="TableNormal"/>
    <w:uiPriority w:val="61"/>
    <w:rsid w:val="00CB66F5"/>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gp486">
    <w:name w:val="gp486"/>
    <w:basedOn w:val="DefaultParagraphFont"/>
    <w:rsid w:val="00C915BD"/>
  </w:style>
  <w:style w:type="table" w:styleId="MediumShading1-Accent5">
    <w:name w:val="Medium Shading 1 Accent 5"/>
    <w:basedOn w:val="TableNormal"/>
    <w:uiPriority w:val="63"/>
    <w:rsid w:val="00CF01A0"/>
    <w:rPr>
      <w:rFonts w:ascii="Cambria" w:eastAsia="MS Mincho" w:hAnsi="Cambria" w:cs="Arial"/>
      <w:sz w:val="24"/>
      <w:szCs w:val="24"/>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F01A0"/>
    <w:rPr>
      <w:rFonts w:ascii="Cambria" w:eastAsia="MS Mincho" w:hAnsi="Cambria" w:cs="Arial"/>
      <w:sz w:val="24"/>
      <w:szCs w:val="24"/>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F01A0"/>
    <w:rPr>
      <w:rFonts w:ascii="Cambria" w:eastAsia="MS Mincho" w:hAnsi="Cambria" w:cs="Arial"/>
      <w:sz w:val="24"/>
      <w:szCs w:val="24"/>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F01A0"/>
    <w:rPr>
      <w:rFonts w:ascii="Cambria" w:eastAsia="MS Mincho" w:hAnsi="Cambria" w:cs="Arial"/>
      <w:sz w:val="24"/>
      <w:szCs w:val="24"/>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p4">
    <w:name w:val="p4"/>
    <w:basedOn w:val="Normal"/>
    <w:rsid w:val="00F73340"/>
    <w:pPr>
      <w:spacing w:before="100" w:beforeAutospacing="1" w:after="100" w:afterAutospacing="1"/>
    </w:pPr>
    <w:rPr>
      <w:color w:val="auto"/>
      <w:sz w:val="24"/>
      <w:szCs w:val="24"/>
      <w:lang w:val="de-DE" w:eastAsia="de-DE"/>
    </w:rPr>
  </w:style>
  <w:style w:type="character" w:customStyle="1" w:styleId="s1">
    <w:name w:val="s1"/>
    <w:basedOn w:val="DefaultParagraphFont"/>
    <w:rsid w:val="00F73340"/>
  </w:style>
  <w:style w:type="paragraph" w:customStyle="1" w:styleId="p5">
    <w:name w:val="p5"/>
    <w:basedOn w:val="Normal"/>
    <w:rsid w:val="00F73340"/>
    <w:pPr>
      <w:spacing w:before="100" w:beforeAutospacing="1" w:after="100" w:afterAutospacing="1"/>
    </w:pPr>
    <w:rPr>
      <w:color w:val="auto"/>
      <w:sz w:val="24"/>
      <w:szCs w:val="24"/>
      <w:lang w:val="de-DE" w:eastAsia="de-DE"/>
    </w:rPr>
  </w:style>
  <w:style w:type="character" w:customStyle="1" w:styleId="cmpparsedlocation">
    <w:name w:val="cmp_parsed_location"/>
    <w:basedOn w:val="DefaultParagraphFont"/>
    <w:rsid w:val="00F73340"/>
  </w:style>
  <w:style w:type="paragraph" w:customStyle="1" w:styleId="Style8">
    <w:name w:val="Style8"/>
    <w:basedOn w:val="Heading4"/>
    <w:autoRedefine/>
    <w:qFormat/>
    <w:rsid w:val="007C3005"/>
    <w:pPr>
      <w:ind w:left="1571"/>
    </w:pPr>
    <w:rPr>
      <w:i/>
    </w:rPr>
  </w:style>
  <w:style w:type="paragraph" w:customStyle="1" w:styleId="Style9">
    <w:name w:val="Style9"/>
    <w:basedOn w:val="Heading4"/>
    <w:next w:val="StyleHeading4Left0Firstline0"/>
    <w:autoRedefine/>
    <w:qFormat/>
    <w:rsid w:val="007C3005"/>
    <w:pPr>
      <w:ind w:left="1571"/>
    </w:pPr>
    <w:rPr>
      <w:i/>
    </w:rPr>
  </w:style>
  <w:style w:type="table" w:customStyle="1" w:styleId="TableGridLight1">
    <w:name w:val="Table Grid Light1"/>
    <w:basedOn w:val="TableNormal"/>
    <w:uiPriority w:val="40"/>
    <w:rsid w:val="00FA5909"/>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CorpoA">
    <w:name w:val="Corpo A"/>
    <w:rsid w:val="00E5745D"/>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eastAsia="de-DE"/>
    </w:rPr>
  </w:style>
  <w:style w:type="character" w:customStyle="1" w:styleId="title-text">
    <w:name w:val="title-text"/>
    <w:basedOn w:val="DefaultParagraphFont"/>
    <w:rsid w:val="009474D5"/>
  </w:style>
  <w:style w:type="character" w:customStyle="1" w:styleId="author-ref">
    <w:name w:val="author-ref"/>
    <w:basedOn w:val="DefaultParagraphFont"/>
    <w:rsid w:val="009474D5"/>
  </w:style>
  <w:style w:type="paragraph" w:customStyle="1" w:styleId="ListParagraph12">
    <w:name w:val="List Paragraph12"/>
    <w:basedOn w:val="Normal"/>
    <w:qFormat/>
    <w:rsid w:val="009A5785"/>
    <w:pPr>
      <w:spacing w:before="100" w:after="100"/>
      <w:ind w:left="720" w:right="720"/>
    </w:pPr>
    <w:rPr>
      <w:rFonts w:eastAsia="Calibri"/>
      <w:i/>
      <w:color w:val="auto"/>
      <w:sz w:val="24"/>
    </w:rPr>
  </w:style>
  <w:style w:type="paragraph" w:customStyle="1" w:styleId="Pa5">
    <w:name w:val="Pa5"/>
    <w:basedOn w:val="Default"/>
    <w:next w:val="Default"/>
    <w:uiPriority w:val="99"/>
    <w:rsid w:val="009A5785"/>
    <w:pPr>
      <w:spacing w:line="161" w:lineRule="atLeast"/>
    </w:pPr>
    <w:rPr>
      <w:rFonts w:ascii="Open Sans" w:hAnsi="Open Sans"/>
      <w:color w:val="auto"/>
      <w:szCs w:val="24"/>
      <w:lang w:val="en-GB"/>
    </w:rPr>
  </w:style>
  <w:style w:type="character" w:customStyle="1" w:styleId="CarCar7">
    <w:name w:val="Car Car7"/>
    <w:locked/>
    <w:rsid w:val="00347ACE"/>
    <w:rPr>
      <w:rFonts w:eastAsia="MS Mincho"/>
      <w:noProof w:val="0"/>
      <w:sz w:val="24"/>
      <w:szCs w:val="24"/>
      <w:lang w:val="fr-FR" w:eastAsia="ja-JP" w:bidi="ar-SA"/>
    </w:rPr>
  </w:style>
  <w:style w:type="paragraph" w:customStyle="1" w:styleId="BodyText12">
    <w:name w:val="Body Text12"/>
    <w:basedOn w:val="Normal"/>
    <w:rsid w:val="00347ACE"/>
    <w:rPr>
      <w:szCs w:val="24"/>
    </w:rPr>
  </w:style>
  <w:style w:type="character" w:customStyle="1" w:styleId="CharChar22">
    <w:name w:val="Char Char22"/>
    <w:locked/>
    <w:rsid w:val="00347ACE"/>
    <w:rPr>
      <w:b/>
      <w:bCs w:val="0"/>
      <w:noProof w:val="0"/>
      <w:color w:val="000000"/>
      <w:sz w:val="28"/>
      <w:lang w:val="en-GB" w:eastAsia="zh-CN" w:bidi="ar-SA"/>
    </w:rPr>
  </w:style>
  <w:style w:type="character" w:customStyle="1" w:styleId="CharChar12">
    <w:name w:val="Char Char12"/>
    <w:rsid w:val="00347ACE"/>
    <w:rPr>
      <w:rFonts w:ascii="Arial" w:hAnsi="Arial" w:cs="Arial" w:hint="default"/>
      <w:noProof w:val="0"/>
      <w:lang w:val="en-GB" w:eastAsia="zh-CN" w:bidi="ar-SA"/>
    </w:rPr>
  </w:style>
  <w:style w:type="character" w:customStyle="1" w:styleId="110">
    <w:name w:val="(文字) (文字)11"/>
    <w:rsid w:val="00347ACE"/>
    <w:rPr>
      <w:rFonts w:ascii="SimSun" w:eastAsia="SimSun" w:hint="eastAsia"/>
      <w:noProof w:val="0"/>
      <w:sz w:val="24"/>
      <w:szCs w:val="24"/>
      <w:lang w:val="en-US" w:eastAsia="zh-CN" w:bidi="ar-SA"/>
    </w:rPr>
  </w:style>
  <w:style w:type="character" w:customStyle="1" w:styleId="20">
    <w:name w:val="(文字) (文字)2"/>
    <w:rsid w:val="00347ACE"/>
    <w:rPr>
      <w:rFonts w:ascii="SimSun" w:eastAsia="SimSun" w:hint="eastAsia"/>
      <w:b/>
      <w:bCs/>
      <w:noProof w:val="0"/>
      <w:sz w:val="24"/>
      <w:szCs w:val="24"/>
      <w:lang w:val="en-US" w:eastAsia="en-US" w:bidi="ar-SA"/>
    </w:rPr>
  </w:style>
  <w:style w:type="character" w:customStyle="1" w:styleId="CarCar192">
    <w:name w:val="Car Car192"/>
    <w:locked/>
    <w:rsid w:val="00347ACE"/>
    <w:rPr>
      <w:rFonts w:ascii="MS Mincho" w:eastAsia="MS Mincho" w:hint="eastAsia"/>
      <w:noProof w:val="0"/>
      <w:color w:val="000000"/>
      <w:sz w:val="24"/>
      <w:szCs w:val="24"/>
      <w:lang w:val="en-GB" w:eastAsia="zh-CN" w:bidi="ar-SA"/>
    </w:rPr>
  </w:style>
  <w:style w:type="character" w:customStyle="1" w:styleId="CharChar42">
    <w:name w:val="Char Char42"/>
    <w:locked/>
    <w:rsid w:val="00347ACE"/>
    <w:rPr>
      <w:noProof w:val="0"/>
      <w:sz w:val="24"/>
      <w:lang w:val="en-US" w:eastAsia="en-AU"/>
    </w:rPr>
  </w:style>
  <w:style w:type="character" w:customStyle="1" w:styleId="CharChar32">
    <w:name w:val="Char Char32"/>
    <w:locked/>
    <w:rsid w:val="00347ACE"/>
    <w:rPr>
      <w:noProof w:val="0"/>
      <w:color w:val="000000"/>
      <w:sz w:val="24"/>
      <w:lang w:val="en-GB" w:eastAsia="en-US"/>
    </w:rPr>
  </w:style>
  <w:style w:type="character" w:customStyle="1" w:styleId="CarCar51">
    <w:name w:val="Car Car51"/>
    <w:rsid w:val="00347ACE"/>
    <w:rPr>
      <w:noProof w:val="0"/>
      <w:sz w:val="24"/>
      <w:szCs w:val="24"/>
      <w:u w:val="single"/>
      <w:lang w:val="en-US"/>
    </w:rPr>
  </w:style>
  <w:style w:type="character" w:customStyle="1" w:styleId="CarCar41">
    <w:name w:val="Car Car41"/>
    <w:rsid w:val="00347ACE"/>
    <w:rPr>
      <w:b/>
      <w:bCs/>
      <w:noProof w:val="0"/>
      <w:kern w:val="32"/>
      <w:sz w:val="24"/>
      <w:szCs w:val="24"/>
      <w:lang w:val="en-US"/>
    </w:rPr>
  </w:style>
  <w:style w:type="character" w:customStyle="1" w:styleId="CarCar31">
    <w:name w:val="Car Car31"/>
    <w:rsid w:val="00347ACE"/>
    <w:rPr>
      <w:b/>
      <w:bCs/>
      <w:i/>
      <w:iCs/>
      <w:noProof w:val="0"/>
      <w:kern w:val="32"/>
      <w:sz w:val="26"/>
      <w:szCs w:val="26"/>
      <w:lang w:val="it-IT"/>
    </w:rPr>
  </w:style>
  <w:style w:type="character" w:customStyle="1" w:styleId="ZchnZchn161">
    <w:name w:val="Zchn Zchn161"/>
    <w:rsid w:val="00347ACE"/>
    <w:rPr>
      <w:rFonts w:ascii="Arial" w:hAnsi="Arial" w:cs="Arial"/>
      <w:b/>
      <w:bCs/>
      <w:noProof w:val="0"/>
      <w:kern w:val="32"/>
      <w:sz w:val="32"/>
      <w:szCs w:val="32"/>
      <w:lang w:val="en-US"/>
    </w:rPr>
  </w:style>
  <w:style w:type="character" w:customStyle="1" w:styleId="ZchnZchn17">
    <w:name w:val="Zchn Zchn17"/>
    <w:rsid w:val="00347ACE"/>
    <w:rPr>
      <w:rFonts w:ascii="Cambria" w:hAnsi="Cambria" w:cs="MS Mincho"/>
      <w:b/>
      <w:bCs/>
      <w:noProof w:val="0"/>
      <w:kern w:val="28"/>
      <w:sz w:val="32"/>
      <w:szCs w:val="32"/>
      <w:lang w:val="ca-ES"/>
    </w:rPr>
  </w:style>
  <w:style w:type="character" w:customStyle="1" w:styleId="ZchnZchn2">
    <w:name w:val="Zchn Zchn2"/>
    <w:rsid w:val="00347ACE"/>
    <w:rPr>
      <w:rFonts w:ascii="Calibri" w:hAnsi="Calibri" w:cs="Calibri"/>
      <w:noProof w:val="0"/>
      <w:lang w:val="ca-ES"/>
    </w:rPr>
  </w:style>
  <w:style w:type="character" w:customStyle="1" w:styleId="CarCar21">
    <w:name w:val="Car Car21"/>
    <w:rsid w:val="00347ACE"/>
    <w:rPr>
      <w:noProof w:val="0"/>
      <w:lang w:val="en-US"/>
    </w:rPr>
  </w:style>
  <w:style w:type="character" w:customStyle="1" w:styleId="CarCar11">
    <w:name w:val="Car Car11"/>
    <w:rsid w:val="00347ACE"/>
    <w:rPr>
      <w:noProof w:val="0"/>
      <w:lang w:val="en-US"/>
    </w:rPr>
  </w:style>
  <w:style w:type="character" w:customStyle="1" w:styleId="ZchnZchn151">
    <w:name w:val="Zchn Zchn151"/>
    <w:rsid w:val="00347ACE"/>
    <w:rPr>
      <w:rFonts w:ascii="Arial" w:hAnsi="Arial" w:cs="Arial"/>
      <w:b/>
      <w:bCs/>
      <w:i/>
      <w:iCs/>
      <w:noProof w:val="0"/>
      <w:sz w:val="28"/>
      <w:szCs w:val="28"/>
      <w:lang w:val="en-US"/>
    </w:rPr>
  </w:style>
  <w:style w:type="character" w:customStyle="1" w:styleId="ZchnZchn141">
    <w:name w:val="Zchn Zchn141"/>
    <w:rsid w:val="00347ACE"/>
    <w:rPr>
      <w:rFonts w:ascii="Arial" w:hAnsi="Arial" w:cs="Arial"/>
      <w:b/>
      <w:bCs/>
      <w:noProof w:val="0"/>
      <w:sz w:val="26"/>
      <w:szCs w:val="26"/>
      <w:lang w:val="en-US"/>
    </w:rPr>
  </w:style>
  <w:style w:type="character" w:customStyle="1" w:styleId="ZchnZchn131">
    <w:name w:val="Zchn Zchn131"/>
    <w:rsid w:val="00347ACE"/>
    <w:rPr>
      <w:rFonts w:ascii="Arial" w:hAnsi="Arial" w:cs="Arial"/>
      <w:b/>
      <w:bCs/>
      <w:noProof w:val="0"/>
      <w:sz w:val="24"/>
      <w:szCs w:val="24"/>
      <w:lang w:val="de-DE"/>
    </w:rPr>
  </w:style>
  <w:style w:type="character" w:customStyle="1" w:styleId="ZchnZchn121">
    <w:name w:val="Zchn Zchn121"/>
    <w:rsid w:val="00347ACE"/>
    <w:rPr>
      <w:rFonts w:ascii="Arial" w:hAnsi="Arial" w:cs="Arial"/>
      <w:b/>
      <w:bCs/>
      <w:noProof w:val="0"/>
      <w:sz w:val="24"/>
      <w:szCs w:val="24"/>
      <w:lang w:val="de-DE"/>
    </w:rPr>
  </w:style>
  <w:style w:type="character" w:customStyle="1" w:styleId="ZchnZchn111">
    <w:name w:val="Zchn Zchn111"/>
    <w:rsid w:val="00347ACE"/>
    <w:rPr>
      <w:rFonts w:ascii="Arial" w:hAnsi="Arial" w:cs="Arial"/>
      <w:b/>
      <w:bCs/>
      <w:noProof w:val="0"/>
      <w:lang w:val="de-DE"/>
    </w:rPr>
  </w:style>
  <w:style w:type="character" w:customStyle="1" w:styleId="ZchnZchn101">
    <w:name w:val="Zchn Zchn101"/>
    <w:rsid w:val="00347ACE"/>
    <w:rPr>
      <w:rFonts w:ascii="Arial" w:hAnsi="Arial" w:cs="Arial"/>
      <w:b/>
      <w:bCs/>
      <w:noProof w:val="0"/>
      <w:sz w:val="28"/>
      <w:szCs w:val="28"/>
      <w:lang w:val="de-DE"/>
    </w:rPr>
  </w:style>
  <w:style w:type="character" w:customStyle="1" w:styleId="ZchnZchn91">
    <w:name w:val="Zchn Zchn91"/>
    <w:rsid w:val="00347ACE"/>
    <w:rPr>
      <w:rFonts w:ascii="Arial" w:hAnsi="Arial" w:cs="Arial"/>
      <w:b/>
      <w:bCs/>
      <w:noProof w:val="0"/>
      <w:lang w:val="de-DE"/>
    </w:rPr>
  </w:style>
  <w:style w:type="character" w:customStyle="1" w:styleId="ZchnZchn81">
    <w:name w:val="Zchn Zchn81"/>
    <w:rsid w:val="00347ACE"/>
    <w:rPr>
      <w:rFonts w:ascii="Arial" w:hAnsi="Arial" w:cs="Arial"/>
      <w:noProof w:val="0"/>
      <w:sz w:val="24"/>
      <w:szCs w:val="24"/>
      <w:lang w:val="de-DE"/>
    </w:rPr>
  </w:style>
  <w:style w:type="character" w:customStyle="1" w:styleId="ZchnZchn41">
    <w:name w:val="Zchn Zchn41"/>
    <w:rsid w:val="00347ACE"/>
    <w:rPr>
      <w:noProof w:val="0"/>
      <w:sz w:val="24"/>
      <w:szCs w:val="24"/>
      <w:lang w:val="en-US"/>
    </w:rPr>
  </w:style>
  <w:style w:type="character" w:customStyle="1" w:styleId="ZchnZchn71">
    <w:name w:val="Zchn Zchn71"/>
    <w:rsid w:val="00347ACE"/>
    <w:rPr>
      <w:noProof w:val="0"/>
      <w:sz w:val="24"/>
      <w:szCs w:val="24"/>
      <w:lang w:val="en-US"/>
    </w:rPr>
  </w:style>
  <w:style w:type="character" w:customStyle="1" w:styleId="ZchnZchn61">
    <w:name w:val="Zchn Zchn61"/>
    <w:rsid w:val="00347ACE"/>
    <w:rPr>
      <w:rFonts w:ascii="Courier New" w:hAnsi="Courier New" w:cs="FrutigerLTStd-Light"/>
      <w:noProof w:val="0"/>
      <w:lang w:val="de-DE"/>
    </w:rPr>
  </w:style>
  <w:style w:type="character" w:customStyle="1" w:styleId="ZchnZchn51">
    <w:name w:val="Zchn Zchn51"/>
    <w:rsid w:val="00347ACE"/>
    <w:rPr>
      <w:rFonts w:ascii="Arial" w:hAnsi="Arial" w:cs="Arial"/>
      <w:noProof w:val="0"/>
      <w:sz w:val="24"/>
      <w:szCs w:val="24"/>
      <w:lang w:val="de-DE"/>
    </w:rPr>
  </w:style>
  <w:style w:type="character" w:customStyle="1" w:styleId="ZchnZchn31">
    <w:name w:val="Zchn Zchn31"/>
    <w:rsid w:val="00347ACE"/>
    <w:rPr>
      <w:rFonts w:ascii="Arial" w:hAnsi="Arial" w:cs="Arial"/>
      <w:noProof w:val="0"/>
      <w:sz w:val="24"/>
      <w:szCs w:val="24"/>
      <w:lang w:val="de-DE"/>
    </w:rPr>
  </w:style>
  <w:style w:type="paragraph" w:customStyle="1" w:styleId="Style10">
    <w:name w:val="Style10"/>
    <w:basedOn w:val="Heading4"/>
    <w:autoRedefine/>
    <w:qFormat/>
    <w:rsid w:val="008867C9"/>
    <w:rPr>
      <w:i/>
    </w:rPr>
  </w:style>
  <w:style w:type="paragraph" w:customStyle="1" w:styleId="Style11">
    <w:name w:val="Style11"/>
    <w:basedOn w:val="Heading4"/>
    <w:autoRedefine/>
    <w:qFormat/>
    <w:rsid w:val="008867C9"/>
    <w:rPr>
      <w:i/>
    </w:rPr>
  </w:style>
  <w:style w:type="paragraph" w:customStyle="1" w:styleId="Style12">
    <w:name w:val="Style12"/>
    <w:basedOn w:val="Heading2"/>
    <w:autoRedefine/>
    <w:qFormat/>
    <w:rsid w:val="007739E3"/>
    <w:rPr>
      <w:b w:val="0"/>
    </w:rPr>
  </w:style>
  <w:style w:type="paragraph" w:customStyle="1" w:styleId="Style13">
    <w:name w:val="Style13"/>
    <w:basedOn w:val="Heading3"/>
    <w:autoRedefine/>
    <w:qFormat/>
    <w:rsid w:val="00B528D8"/>
    <w:rPr>
      <w:i w:val="0"/>
    </w:rPr>
  </w:style>
  <w:style w:type="table" w:customStyle="1" w:styleId="PlainTable21">
    <w:name w:val="Plain Table 21"/>
    <w:basedOn w:val="TableNormal"/>
    <w:uiPriority w:val="99"/>
    <w:rsid w:val="00983E1A"/>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Style14">
    <w:name w:val="Style14"/>
    <w:basedOn w:val="Heading3"/>
    <w:autoRedefine/>
    <w:qFormat/>
    <w:rsid w:val="00812504"/>
    <w:rPr>
      <w:b w:val="0"/>
    </w:rPr>
  </w:style>
  <w:style w:type="paragraph" w:customStyle="1" w:styleId="Normal-pool">
    <w:name w:val="Normal-pool"/>
    <w:link w:val="Normal-poolChar"/>
    <w:rsid w:val="000D574D"/>
    <w:pPr>
      <w:tabs>
        <w:tab w:val="left" w:pos="1247"/>
        <w:tab w:val="left" w:pos="1814"/>
        <w:tab w:val="left" w:pos="2381"/>
        <w:tab w:val="left" w:pos="2948"/>
        <w:tab w:val="left" w:pos="3515"/>
      </w:tabs>
    </w:pPr>
    <w:rPr>
      <w:rFonts w:ascii="Times New Roman" w:hAnsi="Times New Roman"/>
      <w:lang w:val="en-GB"/>
    </w:rPr>
  </w:style>
  <w:style w:type="character" w:customStyle="1" w:styleId="Normal-poolChar">
    <w:name w:val="Normal-pool Char"/>
    <w:link w:val="Normal-pool"/>
    <w:locked/>
    <w:rsid w:val="000D574D"/>
    <w:rPr>
      <w:rFonts w:ascii="Times New Roman" w:hAnsi="Times New Roman"/>
      <w:lang w:val="en-GB"/>
    </w:rPr>
  </w:style>
  <w:style w:type="paragraph" w:customStyle="1" w:styleId="gmail-story-body-text">
    <w:name w:val="gmail-story-body-text"/>
    <w:basedOn w:val="Normal"/>
    <w:rsid w:val="00F3279B"/>
    <w:pPr>
      <w:spacing w:before="100" w:beforeAutospacing="1" w:after="100" w:afterAutospacing="1"/>
    </w:pPr>
    <w:rPr>
      <w:color w:val="auto"/>
      <w:sz w:val="24"/>
      <w:szCs w:val="24"/>
      <w:lang w:val="en-US" w:eastAsia="en-US"/>
    </w:rPr>
  </w:style>
  <w:style w:type="table" w:customStyle="1" w:styleId="GridTable6Colorful1">
    <w:name w:val="Grid Table 6 Colorful1"/>
    <w:basedOn w:val="TableNormal"/>
    <w:uiPriority w:val="51"/>
    <w:rsid w:val="00743638"/>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tyleteap">
    <w:name w:val="Style teap"/>
    <w:basedOn w:val="Normal"/>
    <w:next w:val="Normal"/>
    <w:qFormat/>
    <w:rsid w:val="0050379E"/>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pPr>
    <w:rPr>
      <w:rFonts w:eastAsia="Cambria" w:cs="Arial"/>
      <w:b/>
      <w:sz w:val="20"/>
      <w:szCs w:val="22"/>
    </w:rPr>
  </w:style>
  <w:style w:type="character" w:customStyle="1" w:styleId="UnresolvedMention1">
    <w:name w:val="Unresolved Mention1"/>
    <w:basedOn w:val="DefaultParagraphFont"/>
    <w:uiPriority w:val="99"/>
    <w:semiHidden/>
    <w:unhideWhenUsed/>
    <w:rsid w:val="00DC5017"/>
    <w:rPr>
      <w:color w:val="605E5C"/>
      <w:shd w:val="clear" w:color="auto" w:fill="E1DFDD"/>
    </w:rPr>
  </w:style>
  <w:style w:type="paragraph" w:customStyle="1" w:styleId="ydpb8bb3f9byiv0558144047gmail-m-8596969085819215027ydp7e407c7bmsonormal">
    <w:name w:val="ydpb8bb3f9byiv0558144047gmail-m-8596969085819215027ydp7e407c7bmsonormal"/>
    <w:basedOn w:val="Normal"/>
    <w:rsid w:val="00770E7F"/>
    <w:pPr>
      <w:spacing w:before="100" w:beforeAutospacing="1" w:after="100" w:afterAutospacing="1"/>
    </w:pPr>
    <w:rPr>
      <w:color w:val="auto"/>
      <w:sz w:val="24"/>
      <w:szCs w:val="24"/>
      <w:lang w:val="en-US" w:eastAsia="en-US"/>
    </w:rPr>
  </w:style>
  <w:style w:type="paragraph" w:customStyle="1" w:styleId="m3889175210138280041msonormal">
    <w:name w:val="m_3889175210138280041msonormal"/>
    <w:basedOn w:val="Normal"/>
    <w:rsid w:val="00DB0517"/>
    <w:pPr>
      <w:spacing w:before="100" w:beforeAutospacing="1" w:after="100" w:afterAutospacing="1"/>
    </w:pPr>
    <w:rPr>
      <w:color w:val="auto"/>
      <w:sz w:val="24"/>
      <w:szCs w:val="24"/>
      <w:lang w:eastAsia="en-GB"/>
    </w:rPr>
  </w:style>
  <w:style w:type="paragraph" w:customStyle="1" w:styleId="m3889175210138280041msolistparagraph">
    <w:name w:val="m_3889175210138280041msolistparagraph"/>
    <w:basedOn w:val="Normal"/>
    <w:rsid w:val="00DB0517"/>
    <w:pPr>
      <w:spacing w:before="100" w:beforeAutospacing="1" w:after="100" w:afterAutospacing="1"/>
    </w:pPr>
    <w:rPr>
      <w:color w:val="auto"/>
      <w:sz w:val="24"/>
      <w:szCs w:val="24"/>
      <w:lang w:eastAsia="en-GB"/>
    </w:rPr>
  </w:style>
  <w:style w:type="character" w:customStyle="1" w:styleId="UnresolvedMention2">
    <w:name w:val="Unresolved Mention2"/>
    <w:basedOn w:val="DefaultParagraphFont"/>
    <w:uiPriority w:val="99"/>
    <w:semiHidden/>
    <w:unhideWhenUsed/>
    <w:rsid w:val="00B821BF"/>
    <w:rPr>
      <w:color w:val="605E5C"/>
      <w:shd w:val="clear" w:color="auto" w:fill="E1DFDD"/>
    </w:rPr>
  </w:style>
  <w:style w:type="character" w:customStyle="1" w:styleId="ListParagraphChar">
    <w:name w:val="List Paragraph Char"/>
    <w:link w:val="ListParagraph"/>
    <w:uiPriority w:val="34"/>
    <w:locked/>
    <w:rsid w:val="00F50E44"/>
    <w:rPr>
      <w:rFonts w:ascii="Times New Roman" w:hAnsi="Times New Roman"/>
      <w:kern w:val="2"/>
      <w:sz w:val="22"/>
      <w:szCs w:val="22"/>
      <w:lang w:val="en-AU" w:eastAsia="zh-CN"/>
    </w:rPr>
  </w:style>
  <w:style w:type="character" w:customStyle="1" w:styleId="A10">
    <w:name w:val="A1"/>
    <w:uiPriority w:val="99"/>
    <w:rsid w:val="00696CB5"/>
    <w:rPr>
      <w:color w:val="000000"/>
      <w:sz w:val="20"/>
      <w:szCs w:val="20"/>
    </w:rPr>
  </w:style>
  <w:style w:type="character" w:customStyle="1" w:styleId="publication-meta-journal">
    <w:name w:val="publication-meta-journal"/>
    <w:basedOn w:val="DefaultParagraphFont"/>
    <w:rsid w:val="00696CB5"/>
  </w:style>
  <w:style w:type="character" w:customStyle="1" w:styleId="publication-meta-date">
    <w:name w:val="publication-meta-date"/>
    <w:basedOn w:val="DefaultParagraphFont"/>
    <w:rsid w:val="00696CB5"/>
  </w:style>
  <w:style w:type="character" w:customStyle="1" w:styleId="author">
    <w:name w:val="author"/>
    <w:basedOn w:val="DefaultParagraphFont"/>
    <w:rsid w:val="00696CB5"/>
  </w:style>
  <w:style w:type="character" w:customStyle="1" w:styleId="pubyear">
    <w:name w:val="pubyear"/>
    <w:basedOn w:val="DefaultParagraphFont"/>
    <w:rsid w:val="00696CB5"/>
  </w:style>
  <w:style w:type="character" w:customStyle="1" w:styleId="articletitle">
    <w:name w:val="articletitle"/>
    <w:basedOn w:val="DefaultParagraphFont"/>
    <w:rsid w:val="00696CB5"/>
  </w:style>
  <w:style w:type="character" w:customStyle="1" w:styleId="journaltitle">
    <w:name w:val="journaltitle"/>
    <w:basedOn w:val="DefaultParagraphFont"/>
    <w:rsid w:val="00696CB5"/>
  </w:style>
  <w:style w:type="character" w:customStyle="1" w:styleId="vol">
    <w:name w:val="vol"/>
    <w:basedOn w:val="DefaultParagraphFont"/>
    <w:rsid w:val="00696CB5"/>
  </w:style>
  <w:style w:type="character" w:customStyle="1" w:styleId="pagefirst">
    <w:name w:val="pagefirst"/>
    <w:basedOn w:val="DefaultParagraphFont"/>
    <w:rsid w:val="00696CB5"/>
  </w:style>
  <w:style w:type="character" w:customStyle="1" w:styleId="pagelast">
    <w:name w:val="pagelast"/>
    <w:basedOn w:val="DefaultParagraphFont"/>
    <w:rsid w:val="00696CB5"/>
  </w:style>
  <w:style w:type="character" w:customStyle="1" w:styleId="groupname">
    <w:name w:val="groupname"/>
    <w:basedOn w:val="DefaultParagraphFont"/>
    <w:rsid w:val="00696CB5"/>
  </w:style>
  <w:style w:type="character" w:customStyle="1" w:styleId="othertitle">
    <w:name w:val="othertitle"/>
    <w:basedOn w:val="DefaultParagraphFont"/>
    <w:rsid w:val="00696CB5"/>
  </w:style>
  <w:style w:type="character" w:customStyle="1" w:styleId="articlecitationyear">
    <w:name w:val="articlecitation_year"/>
    <w:basedOn w:val="DefaultParagraphFont"/>
    <w:rsid w:val="00696CB5"/>
  </w:style>
  <w:style w:type="character" w:customStyle="1" w:styleId="articlecitationvolume">
    <w:name w:val="articlecitation_volume"/>
    <w:basedOn w:val="DefaultParagraphFont"/>
    <w:rsid w:val="00696CB5"/>
  </w:style>
  <w:style w:type="character" w:customStyle="1" w:styleId="articlecitationpages">
    <w:name w:val="articlecitation_pages"/>
    <w:basedOn w:val="DefaultParagraphFont"/>
    <w:rsid w:val="00696CB5"/>
  </w:style>
  <w:style w:type="paragraph" w:customStyle="1" w:styleId="m-1744333680576380837msolistparagraph">
    <w:name w:val="m_-1744333680576380837msolistparagraph"/>
    <w:basedOn w:val="Normal"/>
    <w:rsid w:val="00696CB5"/>
    <w:pPr>
      <w:spacing w:before="100" w:beforeAutospacing="1" w:after="100" w:afterAutospacing="1"/>
    </w:pPr>
    <w:rPr>
      <w:color w:val="auto"/>
      <w:sz w:val="24"/>
      <w:szCs w:val="24"/>
      <w:lang w:val="fr-FR" w:eastAsia="fr-FR"/>
    </w:rPr>
  </w:style>
  <w:style w:type="character" w:customStyle="1" w:styleId="cmpparseddate">
    <w:name w:val="cmp_parsed_date"/>
    <w:basedOn w:val="DefaultParagraphFont"/>
    <w:rsid w:val="00696CB5"/>
  </w:style>
  <w:style w:type="character" w:customStyle="1" w:styleId="epub-sectionitem">
    <w:name w:val="epub-section__item"/>
    <w:basedOn w:val="DefaultParagraphFont"/>
    <w:rsid w:val="00696CB5"/>
  </w:style>
  <w:style w:type="character" w:customStyle="1" w:styleId="authors">
    <w:name w:val="authors"/>
    <w:basedOn w:val="DefaultParagraphFont"/>
    <w:rsid w:val="00696CB5"/>
  </w:style>
  <w:style w:type="character" w:customStyle="1" w:styleId="Tarih1">
    <w:name w:val="Tarih1"/>
    <w:basedOn w:val="DefaultParagraphFont"/>
    <w:rsid w:val="00696CB5"/>
  </w:style>
  <w:style w:type="character" w:customStyle="1" w:styleId="arttitle">
    <w:name w:val="art_title"/>
    <w:basedOn w:val="DefaultParagraphFont"/>
    <w:rsid w:val="00696CB5"/>
  </w:style>
  <w:style w:type="character" w:customStyle="1" w:styleId="serialtitle">
    <w:name w:val="serial_title"/>
    <w:basedOn w:val="DefaultParagraphFont"/>
    <w:rsid w:val="00696CB5"/>
  </w:style>
  <w:style w:type="character" w:customStyle="1" w:styleId="volumeissue">
    <w:name w:val="volume_issue"/>
    <w:basedOn w:val="DefaultParagraphFont"/>
    <w:rsid w:val="00696CB5"/>
  </w:style>
  <w:style w:type="character" w:customStyle="1" w:styleId="pagerange">
    <w:name w:val="page_range"/>
    <w:basedOn w:val="DefaultParagraphFont"/>
    <w:rsid w:val="00696CB5"/>
  </w:style>
  <w:style w:type="character" w:customStyle="1" w:styleId="doilink">
    <w:name w:val="doi_link"/>
    <w:basedOn w:val="DefaultParagraphFont"/>
    <w:rsid w:val="00696CB5"/>
  </w:style>
  <w:style w:type="paragraph" w:styleId="List2">
    <w:name w:val="List 2"/>
    <w:basedOn w:val="Normal"/>
    <w:semiHidden/>
    <w:rsid w:val="00696CB5"/>
    <w:pPr>
      <w:spacing w:after="0"/>
      <w:ind w:left="720" w:hanging="360"/>
    </w:pPr>
    <w:rPr>
      <w:color w:val="auto"/>
      <w:lang w:val="en-US" w:eastAsia="fr-FR"/>
    </w:rPr>
  </w:style>
  <w:style w:type="character" w:customStyle="1" w:styleId="Sidetall">
    <w:name w:val="Sidetall"/>
    <w:rsid w:val="00696CB5"/>
    <w:rPr>
      <w:sz w:val="20"/>
    </w:rPr>
  </w:style>
  <w:style w:type="character" w:customStyle="1" w:styleId="Standardskriftforavsnitt">
    <w:name w:val="Standardskrift for avsnitt"/>
    <w:rsid w:val="00696CB5"/>
    <w:rPr>
      <w:sz w:val="20"/>
    </w:rPr>
  </w:style>
  <w:style w:type="paragraph" w:customStyle="1" w:styleId="INNH1">
    <w:name w:val="INNH 1"/>
    <w:basedOn w:val="Normal"/>
    <w:next w:val="Normal"/>
    <w:rsid w:val="00696CB5"/>
    <w:pPr>
      <w:widowControl w:val="0"/>
      <w:spacing w:after="0"/>
    </w:pPr>
    <w:rPr>
      <w:rFonts w:ascii="Courier" w:hAnsi="Courier"/>
      <w:color w:val="auto"/>
      <w:lang w:val="nb-NO" w:eastAsia="fr-FR"/>
    </w:rPr>
  </w:style>
  <w:style w:type="paragraph" w:customStyle="1" w:styleId="INNH2">
    <w:name w:val="INNH 2"/>
    <w:basedOn w:val="Normal"/>
    <w:next w:val="Normal"/>
    <w:rsid w:val="00696CB5"/>
    <w:pPr>
      <w:widowControl w:val="0"/>
      <w:spacing w:after="0"/>
      <w:ind w:left="240"/>
    </w:pPr>
    <w:rPr>
      <w:rFonts w:ascii="Courier" w:hAnsi="Courier"/>
      <w:color w:val="auto"/>
      <w:lang w:val="nb-NO" w:eastAsia="fr-FR"/>
    </w:rPr>
  </w:style>
  <w:style w:type="paragraph" w:customStyle="1" w:styleId="INNH3">
    <w:name w:val="INNH 3"/>
    <w:basedOn w:val="Normal"/>
    <w:next w:val="Normal"/>
    <w:rsid w:val="00696CB5"/>
    <w:pPr>
      <w:widowControl w:val="0"/>
      <w:spacing w:after="0"/>
      <w:ind w:left="480"/>
    </w:pPr>
    <w:rPr>
      <w:rFonts w:ascii="Courier" w:hAnsi="Courier"/>
      <w:color w:val="auto"/>
      <w:lang w:val="nb-NO" w:eastAsia="fr-FR"/>
    </w:rPr>
  </w:style>
  <w:style w:type="paragraph" w:customStyle="1" w:styleId="Overskrift1">
    <w:name w:val="Overskrift 1"/>
    <w:basedOn w:val="Normal"/>
    <w:next w:val="Normal"/>
    <w:rsid w:val="00696CB5"/>
    <w:pPr>
      <w:keepNext/>
      <w:widowControl w:val="0"/>
      <w:spacing w:before="240" w:after="60"/>
    </w:pPr>
    <w:rPr>
      <w:b/>
      <w:color w:val="auto"/>
      <w:kern w:val="28"/>
      <w:sz w:val="28"/>
      <w:lang w:val="nb-NO" w:eastAsia="fr-FR"/>
    </w:rPr>
  </w:style>
  <w:style w:type="paragraph" w:customStyle="1" w:styleId="Overskrift2">
    <w:name w:val="Overskrift 2"/>
    <w:basedOn w:val="Normal"/>
    <w:next w:val="Normal"/>
    <w:rsid w:val="00696CB5"/>
    <w:pPr>
      <w:keepNext/>
      <w:widowControl w:val="0"/>
      <w:spacing w:before="240" w:after="60"/>
    </w:pPr>
    <w:rPr>
      <w:b/>
      <w:color w:val="auto"/>
      <w:lang w:val="nb-NO" w:eastAsia="fr-FR"/>
    </w:rPr>
  </w:style>
  <w:style w:type="paragraph" w:customStyle="1" w:styleId="Overskrift3">
    <w:name w:val="Overskrift 3"/>
    <w:basedOn w:val="Normal"/>
    <w:next w:val="Normal"/>
    <w:rsid w:val="00696CB5"/>
    <w:pPr>
      <w:keepNext/>
      <w:widowControl w:val="0"/>
      <w:spacing w:before="240" w:after="60"/>
    </w:pPr>
    <w:rPr>
      <w:color w:val="auto"/>
      <w:lang w:val="nb-NO" w:eastAsia="fr-FR"/>
    </w:rPr>
  </w:style>
  <w:style w:type="paragraph" w:customStyle="1" w:styleId="Topptekst">
    <w:name w:val="Topptekst"/>
    <w:basedOn w:val="Normal"/>
    <w:rsid w:val="00696CB5"/>
    <w:pPr>
      <w:widowControl w:val="0"/>
      <w:tabs>
        <w:tab w:val="center" w:pos="4536"/>
        <w:tab w:val="right" w:pos="9072"/>
      </w:tabs>
      <w:spacing w:after="0"/>
    </w:pPr>
    <w:rPr>
      <w:rFonts w:ascii="Courier" w:hAnsi="Courier"/>
      <w:color w:val="auto"/>
      <w:lang w:val="nb-NO" w:eastAsia="fr-FR"/>
    </w:rPr>
  </w:style>
  <w:style w:type="paragraph" w:customStyle="1" w:styleId="BodyText21">
    <w:name w:val="Body Text 21"/>
    <w:basedOn w:val="Normal"/>
    <w:rsid w:val="00696CB5"/>
    <w:pPr>
      <w:widowControl w:val="0"/>
      <w:spacing w:after="0"/>
      <w:ind w:left="540" w:hanging="540"/>
    </w:pPr>
    <w:rPr>
      <w:color w:val="auto"/>
      <w:lang w:val="en-US" w:eastAsia="fr-FR"/>
    </w:rPr>
  </w:style>
  <w:style w:type="paragraph" w:customStyle="1" w:styleId="linah">
    <w:name w:val="linah"/>
    <w:basedOn w:val="Normal"/>
    <w:rsid w:val="00696CB5"/>
    <w:pPr>
      <w:keepNext/>
      <w:spacing w:after="0" w:line="264" w:lineRule="exact"/>
      <w:jc w:val="both"/>
    </w:pPr>
    <w:rPr>
      <w:rFonts w:ascii="CG Times (W1)" w:hAnsi="CG Times (W1)"/>
      <w:color w:val="auto"/>
      <w:lang w:eastAsia="fr-FR"/>
    </w:rPr>
  </w:style>
  <w:style w:type="paragraph" w:customStyle="1" w:styleId="bullets">
    <w:name w:val="bullets"/>
    <w:rsid w:val="00696CB5"/>
    <w:pPr>
      <w:widowControl w:val="0"/>
      <w:tabs>
        <w:tab w:val="left" w:pos="510"/>
        <w:tab w:val="left" w:pos="794"/>
      </w:tabs>
      <w:spacing w:before="120" w:line="220" w:lineRule="exact"/>
      <w:ind w:left="518" w:right="288" w:hanging="230"/>
    </w:pPr>
    <w:rPr>
      <w:rFonts w:ascii="Arial" w:hAnsi="Arial"/>
      <w:sz w:val="22"/>
      <w:lang w:eastAsia="fr-FR"/>
    </w:rPr>
  </w:style>
  <w:style w:type="paragraph" w:customStyle="1" w:styleId="BodyTextIndent21">
    <w:name w:val="Body Text Indent 21"/>
    <w:basedOn w:val="Normal"/>
    <w:rsid w:val="00696CB5"/>
    <w:pPr>
      <w:spacing w:after="0"/>
      <w:ind w:left="1440" w:hanging="1440"/>
      <w:jc w:val="both"/>
    </w:pPr>
    <w:rPr>
      <w:sz w:val="20"/>
      <w:lang w:eastAsia="fr-FR"/>
    </w:rPr>
  </w:style>
  <w:style w:type="paragraph" w:customStyle="1" w:styleId="indent5">
    <w:name w:val="indent5"/>
    <w:basedOn w:val="Heading4"/>
    <w:rsid w:val="00696CB5"/>
    <w:pPr>
      <w:widowControl/>
      <w:tabs>
        <w:tab w:val="left" w:pos="900"/>
      </w:tabs>
      <w:spacing w:before="120" w:after="120" w:line="240" w:lineRule="auto"/>
      <w:ind w:left="902" w:hanging="902"/>
      <w:outlineLvl w:val="9"/>
    </w:pPr>
    <w:rPr>
      <w:rFonts w:eastAsia="Times New Roman"/>
      <w:snapToGrid/>
      <w:szCs w:val="20"/>
      <w:u w:val="single"/>
      <w:lang w:eastAsia="fr-FR"/>
    </w:rPr>
  </w:style>
  <w:style w:type="character" w:customStyle="1" w:styleId="hiddenPUBS">
    <w:name w:val="hidden PUBS"/>
    <w:aliases w:val="shown in FERRET"/>
    <w:rsid w:val="00696CB5"/>
    <w:rPr>
      <w:rFonts w:ascii="Helvetica" w:hAnsi="Helvetica"/>
      <w:vanish/>
      <w:sz w:val="20"/>
    </w:rPr>
  </w:style>
  <w:style w:type="character" w:customStyle="1" w:styleId="EquationCaption">
    <w:name w:val="_Equation Caption"/>
    <w:rsid w:val="00696CB5"/>
  </w:style>
  <w:style w:type="paragraph" w:styleId="Index3">
    <w:name w:val="index 3"/>
    <w:basedOn w:val="Normal"/>
    <w:next w:val="Normal"/>
    <w:autoRedefine/>
    <w:semiHidden/>
    <w:rsid w:val="00696CB5"/>
    <w:pPr>
      <w:spacing w:after="0"/>
      <w:ind w:left="720" w:hanging="240"/>
    </w:pPr>
    <w:rPr>
      <w:color w:val="auto"/>
      <w:lang w:val="en-US" w:eastAsia="fr-FR"/>
    </w:rPr>
  </w:style>
  <w:style w:type="paragraph" w:styleId="ListNumber2">
    <w:name w:val="List Number 2"/>
    <w:basedOn w:val="Normal"/>
    <w:semiHidden/>
    <w:rsid w:val="00696CB5"/>
    <w:pPr>
      <w:tabs>
        <w:tab w:val="num" w:pos="720"/>
        <w:tab w:val="left" w:pos="4680"/>
        <w:tab w:val="right" w:pos="9360"/>
      </w:tabs>
      <w:spacing w:after="0"/>
      <w:ind w:left="720" w:hanging="360"/>
      <w:jc w:val="both"/>
    </w:pPr>
    <w:rPr>
      <w:rFonts w:ascii="Garamond" w:hAnsi="Garamond"/>
      <w:color w:val="auto"/>
      <w:sz w:val="18"/>
      <w:lang w:val="en-US" w:eastAsia="fr-FR"/>
    </w:rPr>
  </w:style>
  <w:style w:type="paragraph" w:customStyle="1" w:styleId="Step">
    <w:name w:val="Step"/>
    <w:basedOn w:val="Heading3"/>
    <w:rsid w:val="00696CB5"/>
    <w:pPr>
      <w:keepLines w:val="0"/>
      <w:widowControl/>
      <w:tabs>
        <w:tab w:val="left" w:pos="900"/>
        <w:tab w:val="left" w:pos="1134"/>
        <w:tab w:val="left" w:pos="1843"/>
        <w:tab w:val="left" w:pos="3686"/>
        <w:tab w:val="left" w:pos="4395"/>
        <w:tab w:val="left" w:pos="4962"/>
        <w:tab w:val="left" w:pos="5812"/>
        <w:tab w:val="left" w:pos="6521"/>
      </w:tabs>
      <w:adjustRightInd/>
      <w:ind w:left="907" w:right="0" w:hanging="907"/>
      <w:outlineLvl w:val="9"/>
    </w:pPr>
    <w:rPr>
      <w:rFonts w:eastAsia="Times New Roman"/>
      <w:b w:val="0"/>
      <w:i w:val="0"/>
      <w:snapToGrid/>
      <w:sz w:val="24"/>
      <w:szCs w:val="20"/>
      <w:lang w:eastAsia="fr-FR"/>
    </w:rPr>
  </w:style>
  <w:style w:type="paragraph" w:customStyle="1" w:styleId="lgendetableau">
    <w:name w:val="légende tableau"/>
    <w:basedOn w:val="BodyTextIndent2"/>
    <w:autoRedefine/>
    <w:rsid w:val="00696CB5"/>
    <w:pPr>
      <w:widowControl/>
      <w:spacing w:after="240"/>
      <w:ind w:left="1077" w:hanging="1077"/>
      <w:jc w:val="left"/>
    </w:pPr>
    <w:rPr>
      <w:b/>
      <w:i/>
      <w:snapToGrid/>
      <w:lang w:eastAsia="fr-FR"/>
    </w:rPr>
  </w:style>
  <w:style w:type="character" w:customStyle="1" w:styleId="defaultbold">
    <w:name w:val="default bold"/>
    <w:rsid w:val="00696CB5"/>
    <w:rPr>
      <w:rFonts w:ascii="Helvetica" w:hAnsi="Helvetica"/>
      <w:b/>
      <w:sz w:val="22"/>
    </w:rPr>
  </w:style>
  <w:style w:type="character" w:customStyle="1" w:styleId="defaultitalic">
    <w:name w:val="default italic"/>
    <w:rsid w:val="00696CB5"/>
    <w:rPr>
      <w:rFonts w:ascii="Helvetica" w:hAnsi="Helvetica"/>
      <w:i/>
      <w:sz w:val="22"/>
    </w:rPr>
  </w:style>
  <w:style w:type="character" w:customStyle="1" w:styleId="defaultunderscored">
    <w:name w:val="default underscored"/>
    <w:rsid w:val="00696CB5"/>
    <w:rPr>
      <w:rFonts w:ascii="Helvetica" w:hAnsi="Helvetica"/>
      <w:sz w:val="22"/>
      <w:u w:val="single"/>
    </w:rPr>
  </w:style>
  <w:style w:type="character" w:customStyle="1" w:styleId="fontforJMCinletterhead">
    <w:name w:val="font for JMC in letterhead"/>
    <w:rsid w:val="00696CB5"/>
    <w:rPr>
      <w:rFonts w:ascii="Helvetica" w:hAnsi="Helvetica"/>
      <w:b/>
      <w:sz w:val="36"/>
    </w:rPr>
  </w:style>
  <w:style w:type="character" w:customStyle="1" w:styleId="fontforaddressinletterhd">
    <w:name w:val="font for address in letterhd"/>
    <w:rsid w:val="00696CB5"/>
    <w:rPr>
      <w:rFonts w:ascii="Helvetica" w:hAnsi="Helvetica"/>
      <w:b/>
      <w:sz w:val="20"/>
    </w:rPr>
  </w:style>
  <w:style w:type="character" w:customStyle="1" w:styleId="fontforlinesinletterhead">
    <w:name w:val="font for lines in letterhead"/>
    <w:rsid w:val="00696CB5"/>
    <w:rPr>
      <w:rFonts w:ascii="Helvetica" w:hAnsi="Helvetica"/>
      <w:b/>
      <w:sz w:val="36"/>
      <w:u w:val="single"/>
    </w:rPr>
  </w:style>
  <w:style w:type="character" w:customStyle="1" w:styleId="fontforphonefaxinltrhd">
    <w:name w:val="font for phone/fax in ltrhd"/>
    <w:rsid w:val="00696CB5"/>
    <w:rPr>
      <w:rFonts w:ascii="Helvetica" w:hAnsi="Helvetica"/>
      <w:b/>
      <w:sz w:val="16"/>
    </w:rPr>
  </w:style>
  <w:style w:type="paragraph" w:customStyle="1" w:styleId="abstractsummaryparagraph">
    <w:name w:val="abstract/summary paragraph"/>
    <w:rsid w:val="00696CB5"/>
    <w:pPr>
      <w:widowControl w:val="0"/>
      <w:spacing w:before="120"/>
      <w:jc w:val="both"/>
    </w:pPr>
    <w:rPr>
      <w:rFonts w:ascii="Helvetica" w:hAnsi="Helvetica"/>
      <w:lang w:eastAsia="ko-KR"/>
    </w:rPr>
  </w:style>
  <w:style w:type="paragraph" w:customStyle="1" w:styleId="abstract">
    <w:name w:val="abstract"/>
    <w:rsid w:val="00696CB5"/>
    <w:pPr>
      <w:widowControl w:val="0"/>
      <w:tabs>
        <w:tab w:val="left" w:pos="907"/>
      </w:tabs>
      <w:spacing w:before="480" w:after="240"/>
      <w:ind w:left="850" w:right="850"/>
      <w:jc w:val="both"/>
    </w:pPr>
    <w:rPr>
      <w:rFonts w:ascii="Helvetica" w:hAnsi="Helvetica"/>
      <w:sz w:val="22"/>
      <w:lang w:eastAsia="ko-KR"/>
    </w:rPr>
  </w:style>
  <w:style w:type="paragraph" w:customStyle="1" w:styleId="offset">
    <w:name w:val="offset"/>
    <w:aliases w:val="centered paragraph"/>
    <w:rsid w:val="00696CB5"/>
    <w:pPr>
      <w:widowControl w:val="0"/>
      <w:spacing w:before="120"/>
      <w:ind w:left="567" w:right="567"/>
      <w:jc w:val="both"/>
    </w:pPr>
    <w:rPr>
      <w:rFonts w:ascii="Helvetica" w:hAnsi="Helvetica"/>
      <w:sz w:val="22"/>
      <w:lang w:eastAsia="ko-KR"/>
    </w:rPr>
  </w:style>
  <w:style w:type="paragraph" w:customStyle="1" w:styleId="heading">
    <w:name w:val="heading"/>
    <w:rsid w:val="00696CB5"/>
    <w:pPr>
      <w:keepLines/>
      <w:widowControl w:val="0"/>
      <w:tabs>
        <w:tab w:val="right" w:pos="9360"/>
      </w:tabs>
      <w:spacing w:line="200" w:lineRule="exact"/>
    </w:pPr>
    <w:rPr>
      <w:rFonts w:ascii="Helvetica" w:hAnsi="Helvetica"/>
      <w:lang w:eastAsia="ko-KR"/>
    </w:rPr>
  </w:style>
  <w:style w:type="paragraph" w:customStyle="1" w:styleId="left-handside-by-sidepara">
    <w:name w:val="left-hand side-by-side para"/>
    <w:rsid w:val="00696CB5"/>
    <w:pPr>
      <w:widowControl w:val="0"/>
      <w:tabs>
        <w:tab w:val="right" w:pos="4536"/>
      </w:tabs>
      <w:spacing w:before="240"/>
      <w:ind w:right="4896"/>
      <w:jc w:val="both"/>
    </w:pPr>
    <w:rPr>
      <w:rFonts w:ascii="Helvetica" w:hAnsi="Helvetica"/>
      <w:sz w:val="22"/>
      <w:lang w:eastAsia="ko-KR"/>
    </w:rPr>
  </w:style>
  <w:style w:type="paragraph" w:customStyle="1" w:styleId="right-handside-by-sidepara">
    <w:name w:val="right-hand side-by-side para"/>
    <w:rsid w:val="00696CB5"/>
    <w:pPr>
      <w:widowControl w:val="0"/>
      <w:tabs>
        <w:tab w:val="right" w:pos="9360"/>
      </w:tabs>
      <w:ind w:left="4896"/>
      <w:jc w:val="both"/>
    </w:pPr>
    <w:rPr>
      <w:rFonts w:ascii="Helvetica" w:hAnsi="Helvetica"/>
      <w:sz w:val="22"/>
      <w:lang w:eastAsia="ko-KR"/>
    </w:rPr>
  </w:style>
  <w:style w:type="paragraph" w:customStyle="1" w:styleId="PE">
    <w:name w:val="PE"/>
    <w:rsid w:val="00696CB5"/>
    <w:pPr>
      <w:keepLines/>
      <w:widowControl w:val="0"/>
      <w:tabs>
        <w:tab w:val="right" w:pos="454"/>
        <w:tab w:val="left" w:pos="567"/>
      </w:tabs>
      <w:spacing w:line="220" w:lineRule="exact"/>
      <w:ind w:left="567" w:right="567" w:hanging="567"/>
    </w:pPr>
    <w:rPr>
      <w:rFonts w:ascii="Helvetica" w:hAnsi="Helvetica"/>
      <w:sz w:val="22"/>
      <w:lang w:eastAsia="ko-KR"/>
    </w:rPr>
  </w:style>
  <w:style w:type="paragraph" w:customStyle="1" w:styleId="outlineparagraphlevel1">
    <w:name w:val="outline paragraph level 1"/>
    <w:rsid w:val="00696CB5"/>
    <w:pPr>
      <w:keepLines/>
      <w:widowControl w:val="0"/>
      <w:tabs>
        <w:tab w:val="left" w:pos="567"/>
        <w:tab w:val="right" w:pos="9360"/>
      </w:tabs>
      <w:spacing w:before="240"/>
      <w:ind w:left="567" w:hanging="567"/>
      <w:jc w:val="both"/>
    </w:pPr>
    <w:rPr>
      <w:rFonts w:ascii="Helvetica" w:hAnsi="Helvetica"/>
      <w:b/>
      <w:sz w:val="22"/>
      <w:lang w:eastAsia="ko-KR"/>
    </w:rPr>
  </w:style>
  <w:style w:type="paragraph" w:customStyle="1" w:styleId="outlineparagraphlevel2">
    <w:name w:val="outline paragraph level 2"/>
    <w:rsid w:val="00696CB5"/>
    <w:pPr>
      <w:keepLines/>
      <w:widowControl w:val="0"/>
      <w:tabs>
        <w:tab w:val="left" w:pos="1134"/>
        <w:tab w:val="right" w:pos="9360"/>
      </w:tabs>
      <w:spacing w:before="240"/>
      <w:ind w:left="1134" w:hanging="567"/>
      <w:jc w:val="both"/>
    </w:pPr>
    <w:rPr>
      <w:rFonts w:ascii="Helvetica" w:hAnsi="Helvetica"/>
      <w:sz w:val="22"/>
      <w:lang w:eastAsia="ko-KR"/>
    </w:rPr>
  </w:style>
  <w:style w:type="paragraph" w:customStyle="1" w:styleId="outlineparagraphlevel3">
    <w:name w:val="outline paragraph level 3"/>
    <w:rsid w:val="00696CB5"/>
    <w:pPr>
      <w:keepLines/>
      <w:widowControl w:val="0"/>
      <w:tabs>
        <w:tab w:val="left" w:pos="1701"/>
        <w:tab w:val="right" w:pos="9360"/>
      </w:tabs>
      <w:ind w:left="1701" w:hanging="567"/>
      <w:jc w:val="both"/>
    </w:pPr>
    <w:rPr>
      <w:rFonts w:ascii="Helvetica" w:hAnsi="Helvetica"/>
      <w:sz w:val="22"/>
      <w:lang w:eastAsia="ko-KR"/>
    </w:rPr>
  </w:style>
  <w:style w:type="paragraph" w:styleId="Index2">
    <w:name w:val="index 2"/>
    <w:basedOn w:val="Normal"/>
    <w:next w:val="Normal"/>
    <w:autoRedefine/>
    <w:semiHidden/>
    <w:rsid w:val="00696CB5"/>
    <w:pPr>
      <w:keepLines/>
      <w:spacing w:after="0" w:line="220" w:lineRule="exact"/>
      <w:ind w:left="567" w:hanging="113"/>
    </w:pPr>
    <w:rPr>
      <w:rFonts w:ascii="Arial" w:hAnsi="Arial"/>
      <w:color w:val="auto"/>
      <w:lang w:val="en-US" w:eastAsia="fr-FR"/>
    </w:rPr>
  </w:style>
  <w:style w:type="paragraph" w:customStyle="1" w:styleId="RightPar">
    <w:name w:val="Right Par"/>
    <w:basedOn w:val="Normal"/>
    <w:rsid w:val="00696CB5"/>
    <w:pPr>
      <w:spacing w:after="0"/>
      <w:ind w:left="5760" w:firstLine="720"/>
    </w:pPr>
    <w:rPr>
      <w:rFonts w:ascii="CG Times" w:hAnsi="CG Times"/>
      <w:lang w:val="en-US" w:eastAsia="fr-FR"/>
    </w:rPr>
  </w:style>
  <w:style w:type="paragraph" w:customStyle="1" w:styleId="DocInit">
    <w:name w:val="Doc Init"/>
    <w:basedOn w:val="Normal"/>
    <w:rsid w:val="00696CB5"/>
    <w:pPr>
      <w:spacing w:after="0"/>
    </w:pPr>
    <w:rPr>
      <w:rFonts w:ascii="CG Times" w:hAnsi="CG Times"/>
      <w:lang w:val="en-US" w:eastAsia="fr-FR"/>
    </w:rPr>
  </w:style>
  <w:style w:type="character" w:customStyle="1" w:styleId="emailstyle39">
    <w:name w:val="emailstyle39"/>
    <w:rsid w:val="00696CB5"/>
    <w:rPr>
      <w:rFonts w:ascii="Arial" w:hAnsi="Arial" w:cs="Arial"/>
      <w:color w:val="003300"/>
      <w:sz w:val="20"/>
    </w:rPr>
  </w:style>
  <w:style w:type="paragraph" w:styleId="BodyTextFirstIndent">
    <w:name w:val="Body Text First Indent"/>
    <w:basedOn w:val="BodyText"/>
    <w:link w:val="BodyTextFirstIndentChar"/>
    <w:semiHidden/>
    <w:rsid w:val="00696CB5"/>
    <w:pPr>
      <w:tabs>
        <w:tab w:val="left" w:pos="4680"/>
        <w:tab w:val="right" w:pos="9360"/>
      </w:tabs>
      <w:spacing w:before="220" w:after="120" w:line="220" w:lineRule="exact"/>
      <w:ind w:firstLine="210"/>
      <w:jc w:val="both"/>
    </w:pPr>
    <w:rPr>
      <w:rFonts w:ascii="Arial" w:hAnsi="Arial"/>
      <w:color w:val="auto"/>
      <w:lang w:val="en-US" w:eastAsia="fr-FR"/>
    </w:rPr>
  </w:style>
  <w:style w:type="character" w:customStyle="1" w:styleId="BodyTextFirstIndentChar">
    <w:name w:val="Body Text First Indent Char"/>
    <w:basedOn w:val="BodyTextChar1"/>
    <w:link w:val="BodyTextFirstIndent"/>
    <w:semiHidden/>
    <w:rsid w:val="00696CB5"/>
    <w:rPr>
      <w:rFonts w:ascii="Arial" w:hAnsi="Arial"/>
      <w:color w:val="000000"/>
      <w:sz w:val="22"/>
      <w:lang w:val="en-GB" w:eastAsia="fr-FR"/>
    </w:rPr>
  </w:style>
  <w:style w:type="paragraph" w:styleId="Closing">
    <w:name w:val="Closing"/>
    <w:basedOn w:val="Normal"/>
    <w:link w:val="ClosingChar"/>
    <w:semiHidden/>
    <w:rsid w:val="00696CB5"/>
    <w:pPr>
      <w:tabs>
        <w:tab w:val="left" w:pos="4680"/>
        <w:tab w:val="right" w:pos="9360"/>
      </w:tabs>
      <w:spacing w:before="220" w:after="0" w:line="220" w:lineRule="exact"/>
      <w:ind w:left="4320"/>
      <w:jc w:val="both"/>
    </w:pPr>
    <w:rPr>
      <w:rFonts w:ascii="Arial" w:hAnsi="Arial"/>
      <w:color w:val="auto"/>
      <w:lang w:val="en-US" w:eastAsia="fr-FR"/>
    </w:rPr>
  </w:style>
  <w:style w:type="character" w:customStyle="1" w:styleId="ClosingChar">
    <w:name w:val="Closing Char"/>
    <w:basedOn w:val="DefaultParagraphFont"/>
    <w:link w:val="Closing"/>
    <w:semiHidden/>
    <w:rsid w:val="00696CB5"/>
    <w:rPr>
      <w:rFonts w:ascii="Arial" w:hAnsi="Arial"/>
      <w:sz w:val="22"/>
      <w:lang w:eastAsia="fr-FR"/>
    </w:rPr>
  </w:style>
  <w:style w:type="paragraph" w:styleId="Date">
    <w:name w:val="Date"/>
    <w:basedOn w:val="Normal"/>
    <w:next w:val="Normal"/>
    <w:link w:val="DateChar"/>
    <w:semiHidden/>
    <w:rsid w:val="00696CB5"/>
    <w:pPr>
      <w:tabs>
        <w:tab w:val="left" w:pos="4680"/>
        <w:tab w:val="right" w:pos="9360"/>
      </w:tabs>
      <w:spacing w:before="220" w:after="0" w:line="220" w:lineRule="exact"/>
      <w:jc w:val="both"/>
    </w:pPr>
    <w:rPr>
      <w:rFonts w:ascii="Arial" w:hAnsi="Arial"/>
      <w:color w:val="auto"/>
      <w:lang w:val="en-US" w:eastAsia="fr-FR"/>
    </w:rPr>
  </w:style>
  <w:style w:type="character" w:customStyle="1" w:styleId="DateChar">
    <w:name w:val="Date Char"/>
    <w:basedOn w:val="DefaultParagraphFont"/>
    <w:link w:val="Date"/>
    <w:semiHidden/>
    <w:rsid w:val="00696CB5"/>
    <w:rPr>
      <w:rFonts w:ascii="Arial" w:hAnsi="Arial"/>
      <w:sz w:val="22"/>
      <w:lang w:eastAsia="fr-FR"/>
    </w:rPr>
  </w:style>
  <w:style w:type="paragraph" w:styleId="E-mailSignature">
    <w:name w:val="E-mail Signature"/>
    <w:basedOn w:val="Normal"/>
    <w:link w:val="E-mailSignatureChar"/>
    <w:rsid w:val="00696CB5"/>
    <w:pPr>
      <w:tabs>
        <w:tab w:val="left" w:pos="4680"/>
        <w:tab w:val="right" w:pos="9360"/>
      </w:tabs>
      <w:spacing w:before="220" w:after="0" w:line="220" w:lineRule="exact"/>
      <w:jc w:val="both"/>
    </w:pPr>
    <w:rPr>
      <w:rFonts w:ascii="Arial" w:hAnsi="Arial"/>
      <w:color w:val="auto"/>
      <w:lang w:val="en-US" w:eastAsia="fr-FR"/>
    </w:rPr>
  </w:style>
  <w:style w:type="character" w:customStyle="1" w:styleId="E-mailSignatureChar">
    <w:name w:val="E-mail Signature Char"/>
    <w:basedOn w:val="DefaultParagraphFont"/>
    <w:link w:val="E-mailSignature"/>
    <w:rsid w:val="00696CB5"/>
    <w:rPr>
      <w:rFonts w:ascii="Arial" w:hAnsi="Arial"/>
      <w:sz w:val="22"/>
      <w:lang w:eastAsia="fr-FR"/>
    </w:rPr>
  </w:style>
  <w:style w:type="paragraph" w:styleId="EnvelopeAddress">
    <w:name w:val="envelope address"/>
    <w:basedOn w:val="Normal"/>
    <w:semiHidden/>
    <w:rsid w:val="00696CB5"/>
    <w:pPr>
      <w:framePr w:w="7920" w:h="1980" w:hRule="exact" w:hSpace="180" w:wrap="auto" w:hAnchor="page" w:xAlign="center" w:yAlign="bottom"/>
      <w:tabs>
        <w:tab w:val="left" w:pos="4680"/>
        <w:tab w:val="right" w:pos="9360"/>
      </w:tabs>
      <w:spacing w:before="220" w:after="0" w:line="220" w:lineRule="exact"/>
      <w:ind w:left="2880"/>
      <w:jc w:val="both"/>
    </w:pPr>
    <w:rPr>
      <w:rFonts w:ascii="Arial" w:hAnsi="Arial"/>
      <w:color w:val="auto"/>
      <w:lang w:val="en-US" w:eastAsia="fr-FR"/>
    </w:rPr>
  </w:style>
  <w:style w:type="paragraph" w:styleId="EnvelopeReturn">
    <w:name w:val="envelope return"/>
    <w:basedOn w:val="Normal"/>
    <w:semiHidden/>
    <w:rsid w:val="00696CB5"/>
    <w:pPr>
      <w:tabs>
        <w:tab w:val="left" w:pos="4680"/>
        <w:tab w:val="right" w:pos="9360"/>
      </w:tabs>
      <w:spacing w:before="220" w:after="0" w:line="220" w:lineRule="exact"/>
      <w:jc w:val="both"/>
    </w:pPr>
    <w:rPr>
      <w:rFonts w:ascii="Arial" w:hAnsi="Arial"/>
      <w:color w:val="auto"/>
      <w:sz w:val="20"/>
      <w:lang w:val="en-US" w:eastAsia="fr-FR"/>
    </w:rPr>
  </w:style>
  <w:style w:type="paragraph" w:styleId="HTMLAddress">
    <w:name w:val="HTML Address"/>
    <w:basedOn w:val="Normal"/>
    <w:link w:val="HTMLAddressChar"/>
    <w:rsid w:val="00696CB5"/>
    <w:pPr>
      <w:tabs>
        <w:tab w:val="left" w:pos="4680"/>
        <w:tab w:val="right" w:pos="9360"/>
      </w:tabs>
      <w:spacing w:before="220" w:after="0" w:line="220" w:lineRule="exact"/>
      <w:jc w:val="both"/>
    </w:pPr>
    <w:rPr>
      <w:rFonts w:ascii="Arial" w:hAnsi="Arial"/>
      <w:i/>
      <w:color w:val="auto"/>
      <w:lang w:val="en-US" w:eastAsia="fr-FR"/>
    </w:rPr>
  </w:style>
  <w:style w:type="character" w:customStyle="1" w:styleId="HTMLAddressChar">
    <w:name w:val="HTML Address Char"/>
    <w:basedOn w:val="DefaultParagraphFont"/>
    <w:link w:val="HTMLAddress"/>
    <w:rsid w:val="00696CB5"/>
    <w:rPr>
      <w:rFonts w:ascii="Arial" w:hAnsi="Arial"/>
      <w:i/>
      <w:sz w:val="22"/>
      <w:lang w:eastAsia="fr-FR"/>
    </w:rPr>
  </w:style>
  <w:style w:type="paragraph" w:styleId="Index4">
    <w:name w:val="index 4"/>
    <w:basedOn w:val="Normal"/>
    <w:next w:val="Normal"/>
    <w:autoRedefine/>
    <w:semiHidden/>
    <w:rsid w:val="00696CB5"/>
    <w:pPr>
      <w:spacing w:before="220" w:after="0" w:line="220" w:lineRule="exact"/>
      <w:ind w:left="880" w:hanging="220"/>
      <w:jc w:val="both"/>
    </w:pPr>
    <w:rPr>
      <w:rFonts w:ascii="Arial" w:hAnsi="Arial"/>
      <w:color w:val="auto"/>
      <w:lang w:val="en-US" w:eastAsia="fr-FR"/>
    </w:rPr>
  </w:style>
  <w:style w:type="paragraph" w:styleId="Index5">
    <w:name w:val="index 5"/>
    <w:basedOn w:val="Normal"/>
    <w:next w:val="Normal"/>
    <w:autoRedefine/>
    <w:semiHidden/>
    <w:rsid w:val="00696CB5"/>
    <w:pPr>
      <w:spacing w:before="220" w:after="0" w:line="220" w:lineRule="exact"/>
      <w:ind w:left="1100" w:hanging="220"/>
      <w:jc w:val="both"/>
    </w:pPr>
    <w:rPr>
      <w:rFonts w:ascii="Arial" w:hAnsi="Arial"/>
      <w:color w:val="auto"/>
      <w:lang w:val="en-US" w:eastAsia="fr-FR"/>
    </w:rPr>
  </w:style>
  <w:style w:type="paragraph" w:styleId="Index6">
    <w:name w:val="index 6"/>
    <w:basedOn w:val="Normal"/>
    <w:next w:val="Normal"/>
    <w:autoRedefine/>
    <w:semiHidden/>
    <w:rsid w:val="00696CB5"/>
    <w:pPr>
      <w:spacing w:before="220" w:after="0" w:line="220" w:lineRule="exact"/>
      <w:ind w:left="1320" w:hanging="220"/>
      <w:jc w:val="both"/>
    </w:pPr>
    <w:rPr>
      <w:rFonts w:ascii="Arial" w:hAnsi="Arial"/>
      <w:color w:val="auto"/>
      <w:lang w:val="en-US" w:eastAsia="fr-FR"/>
    </w:rPr>
  </w:style>
  <w:style w:type="paragraph" w:styleId="Index7">
    <w:name w:val="index 7"/>
    <w:basedOn w:val="Normal"/>
    <w:next w:val="Normal"/>
    <w:autoRedefine/>
    <w:semiHidden/>
    <w:rsid w:val="00696CB5"/>
    <w:pPr>
      <w:spacing w:before="220" w:after="0" w:line="220" w:lineRule="exact"/>
      <w:ind w:left="1540" w:hanging="220"/>
      <w:jc w:val="both"/>
    </w:pPr>
    <w:rPr>
      <w:rFonts w:ascii="Arial" w:hAnsi="Arial"/>
      <w:color w:val="auto"/>
      <w:lang w:val="en-US" w:eastAsia="fr-FR"/>
    </w:rPr>
  </w:style>
  <w:style w:type="paragraph" w:styleId="Index8">
    <w:name w:val="index 8"/>
    <w:basedOn w:val="Normal"/>
    <w:next w:val="Normal"/>
    <w:autoRedefine/>
    <w:semiHidden/>
    <w:rsid w:val="00696CB5"/>
    <w:pPr>
      <w:spacing w:before="220" w:after="0" w:line="220" w:lineRule="exact"/>
      <w:ind w:left="1760" w:hanging="220"/>
      <w:jc w:val="both"/>
    </w:pPr>
    <w:rPr>
      <w:rFonts w:ascii="Arial" w:hAnsi="Arial"/>
      <w:color w:val="auto"/>
      <w:lang w:val="en-US" w:eastAsia="fr-FR"/>
    </w:rPr>
  </w:style>
  <w:style w:type="paragraph" w:styleId="Index9">
    <w:name w:val="index 9"/>
    <w:basedOn w:val="Normal"/>
    <w:next w:val="Normal"/>
    <w:autoRedefine/>
    <w:semiHidden/>
    <w:rsid w:val="00696CB5"/>
    <w:pPr>
      <w:spacing w:before="220" w:after="0" w:line="220" w:lineRule="exact"/>
      <w:ind w:left="1980" w:hanging="220"/>
      <w:jc w:val="both"/>
    </w:pPr>
    <w:rPr>
      <w:rFonts w:ascii="Arial" w:hAnsi="Arial"/>
      <w:color w:val="auto"/>
      <w:lang w:val="en-US" w:eastAsia="fr-FR"/>
    </w:rPr>
  </w:style>
  <w:style w:type="paragraph" w:styleId="IndexHeading">
    <w:name w:val="index heading"/>
    <w:basedOn w:val="Normal"/>
    <w:next w:val="Index1"/>
    <w:semiHidden/>
    <w:rsid w:val="00696CB5"/>
    <w:pPr>
      <w:tabs>
        <w:tab w:val="left" w:pos="4680"/>
        <w:tab w:val="right" w:pos="9360"/>
      </w:tabs>
      <w:spacing w:before="220" w:after="0" w:line="220" w:lineRule="exact"/>
      <w:jc w:val="both"/>
    </w:pPr>
    <w:rPr>
      <w:rFonts w:ascii="Arial" w:hAnsi="Arial"/>
      <w:b/>
      <w:color w:val="auto"/>
      <w:lang w:val="en-US" w:eastAsia="fr-FR"/>
    </w:rPr>
  </w:style>
  <w:style w:type="paragraph" w:styleId="List3">
    <w:name w:val="List 3"/>
    <w:basedOn w:val="Normal"/>
    <w:semiHidden/>
    <w:rsid w:val="00696CB5"/>
    <w:pPr>
      <w:tabs>
        <w:tab w:val="left" w:pos="4680"/>
        <w:tab w:val="right" w:pos="9360"/>
      </w:tabs>
      <w:spacing w:before="220" w:after="0" w:line="220" w:lineRule="exact"/>
      <w:ind w:left="1080" w:hanging="360"/>
      <w:jc w:val="both"/>
    </w:pPr>
    <w:rPr>
      <w:rFonts w:ascii="Arial" w:hAnsi="Arial"/>
      <w:color w:val="auto"/>
      <w:lang w:val="en-US" w:eastAsia="fr-FR"/>
    </w:rPr>
  </w:style>
  <w:style w:type="paragraph" w:styleId="List4">
    <w:name w:val="List 4"/>
    <w:basedOn w:val="Normal"/>
    <w:semiHidden/>
    <w:rsid w:val="00696CB5"/>
    <w:pPr>
      <w:tabs>
        <w:tab w:val="left" w:pos="4680"/>
        <w:tab w:val="right" w:pos="9360"/>
      </w:tabs>
      <w:spacing w:before="220" w:after="0" w:line="220" w:lineRule="exact"/>
      <w:ind w:left="1440" w:hanging="360"/>
      <w:jc w:val="both"/>
    </w:pPr>
    <w:rPr>
      <w:rFonts w:ascii="Arial" w:hAnsi="Arial"/>
      <w:color w:val="auto"/>
      <w:lang w:val="en-US" w:eastAsia="fr-FR"/>
    </w:rPr>
  </w:style>
  <w:style w:type="paragraph" w:styleId="ListBullet5">
    <w:name w:val="List Bullet 5"/>
    <w:basedOn w:val="Normal"/>
    <w:autoRedefine/>
    <w:semiHidden/>
    <w:rsid w:val="00696CB5"/>
    <w:pPr>
      <w:tabs>
        <w:tab w:val="num" w:pos="1800"/>
        <w:tab w:val="left" w:pos="4680"/>
        <w:tab w:val="right" w:pos="9360"/>
      </w:tabs>
      <w:spacing w:before="220" w:after="0" w:line="220" w:lineRule="exact"/>
      <w:ind w:left="1800" w:hanging="360"/>
      <w:jc w:val="both"/>
    </w:pPr>
    <w:rPr>
      <w:rFonts w:ascii="Arial" w:hAnsi="Arial"/>
      <w:color w:val="auto"/>
      <w:lang w:val="en-US" w:eastAsia="fr-FR"/>
    </w:rPr>
  </w:style>
  <w:style w:type="paragraph" w:styleId="ListContinue">
    <w:name w:val="List Continue"/>
    <w:basedOn w:val="Normal"/>
    <w:semiHidden/>
    <w:rsid w:val="00696CB5"/>
    <w:pPr>
      <w:tabs>
        <w:tab w:val="left" w:pos="4680"/>
        <w:tab w:val="right" w:pos="9360"/>
      </w:tabs>
      <w:spacing w:before="220" w:after="120" w:line="220" w:lineRule="exact"/>
      <w:ind w:left="360"/>
      <w:jc w:val="both"/>
    </w:pPr>
    <w:rPr>
      <w:rFonts w:ascii="Arial" w:hAnsi="Arial"/>
      <w:color w:val="auto"/>
      <w:lang w:val="en-US" w:eastAsia="fr-FR"/>
    </w:rPr>
  </w:style>
  <w:style w:type="paragraph" w:styleId="ListContinue2">
    <w:name w:val="List Continue 2"/>
    <w:basedOn w:val="Normal"/>
    <w:semiHidden/>
    <w:rsid w:val="00696CB5"/>
    <w:pPr>
      <w:tabs>
        <w:tab w:val="left" w:pos="4680"/>
        <w:tab w:val="right" w:pos="9360"/>
      </w:tabs>
      <w:spacing w:before="220" w:after="120" w:line="220" w:lineRule="exact"/>
      <w:ind w:left="720"/>
      <w:jc w:val="both"/>
    </w:pPr>
    <w:rPr>
      <w:rFonts w:ascii="Arial" w:hAnsi="Arial"/>
      <w:color w:val="auto"/>
      <w:lang w:val="en-US" w:eastAsia="fr-FR"/>
    </w:rPr>
  </w:style>
  <w:style w:type="paragraph" w:styleId="ListContinue3">
    <w:name w:val="List Continue 3"/>
    <w:basedOn w:val="Normal"/>
    <w:semiHidden/>
    <w:rsid w:val="00696CB5"/>
    <w:pPr>
      <w:tabs>
        <w:tab w:val="left" w:pos="4680"/>
        <w:tab w:val="right" w:pos="9360"/>
      </w:tabs>
      <w:spacing w:before="220" w:after="120" w:line="220" w:lineRule="exact"/>
      <w:ind w:left="1080"/>
      <w:jc w:val="both"/>
    </w:pPr>
    <w:rPr>
      <w:rFonts w:ascii="Arial" w:hAnsi="Arial"/>
      <w:color w:val="auto"/>
      <w:lang w:val="en-US" w:eastAsia="fr-FR"/>
    </w:rPr>
  </w:style>
  <w:style w:type="paragraph" w:styleId="ListContinue4">
    <w:name w:val="List Continue 4"/>
    <w:basedOn w:val="Normal"/>
    <w:semiHidden/>
    <w:rsid w:val="00696CB5"/>
    <w:pPr>
      <w:tabs>
        <w:tab w:val="left" w:pos="4680"/>
        <w:tab w:val="right" w:pos="9360"/>
      </w:tabs>
      <w:spacing w:before="220" w:after="120" w:line="220" w:lineRule="exact"/>
      <w:ind w:left="1440"/>
      <w:jc w:val="both"/>
    </w:pPr>
    <w:rPr>
      <w:rFonts w:ascii="Arial" w:hAnsi="Arial"/>
      <w:color w:val="auto"/>
      <w:lang w:val="en-US" w:eastAsia="fr-FR"/>
    </w:rPr>
  </w:style>
  <w:style w:type="paragraph" w:styleId="ListContinue5">
    <w:name w:val="List Continue 5"/>
    <w:basedOn w:val="Normal"/>
    <w:semiHidden/>
    <w:rsid w:val="00696CB5"/>
    <w:pPr>
      <w:tabs>
        <w:tab w:val="left" w:pos="4680"/>
        <w:tab w:val="right" w:pos="9360"/>
      </w:tabs>
      <w:spacing w:before="220" w:after="120" w:line="220" w:lineRule="exact"/>
      <w:ind w:left="1800"/>
      <w:jc w:val="both"/>
    </w:pPr>
    <w:rPr>
      <w:rFonts w:ascii="Arial" w:hAnsi="Arial"/>
      <w:color w:val="auto"/>
      <w:lang w:val="en-US" w:eastAsia="fr-FR"/>
    </w:rPr>
  </w:style>
  <w:style w:type="paragraph" w:styleId="ListNumber3">
    <w:name w:val="List Number 3"/>
    <w:basedOn w:val="Normal"/>
    <w:semiHidden/>
    <w:rsid w:val="00696CB5"/>
    <w:pPr>
      <w:tabs>
        <w:tab w:val="num" w:pos="1080"/>
        <w:tab w:val="left" w:pos="4680"/>
        <w:tab w:val="right" w:pos="9360"/>
      </w:tabs>
      <w:spacing w:before="220" w:after="0" w:line="220" w:lineRule="exact"/>
      <w:ind w:left="1080" w:hanging="360"/>
      <w:jc w:val="both"/>
    </w:pPr>
    <w:rPr>
      <w:rFonts w:ascii="Arial" w:hAnsi="Arial"/>
      <w:color w:val="auto"/>
      <w:lang w:val="en-US" w:eastAsia="fr-FR"/>
    </w:rPr>
  </w:style>
  <w:style w:type="paragraph" w:styleId="ListNumber4">
    <w:name w:val="List Number 4"/>
    <w:basedOn w:val="Normal"/>
    <w:semiHidden/>
    <w:rsid w:val="00696CB5"/>
    <w:pPr>
      <w:tabs>
        <w:tab w:val="num" w:pos="1440"/>
        <w:tab w:val="left" w:pos="4680"/>
        <w:tab w:val="right" w:pos="9360"/>
      </w:tabs>
      <w:spacing w:before="220" w:after="0" w:line="220" w:lineRule="exact"/>
      <w:ind w:left="1440" w:hanging="360"/>
      <w:jc w:val="both"/>
    </w:pPr>
    <w:rPr>
      <w:rFonts w:ascii="Arial" w:hAnsi="Arial"/>
      <w:color w:val="auto"/>
      <w:lang w:val="en-US" w:eastAsia="fr-FR"/>
    </w:rPr>
  </w:style>
  <w:style w:type="paragraph" w:styleId="MacroText">
    <w:name w:val="macro"/>
    <w:link w:val="MacroTextChar"/>
    <w:semiHidden/>
    <w:rsid w:val="00696CB5"/>
    <w:pPr>
      <w:tabs>
        <w:tab w:val="left" w:pos="480"/>
        <w:tab w:val="left" w:pos="960"/>
        <w:tab w:val="left" w:pos="1440"/>
        <w:tab w:val="left" w:pos="1920"/>
        <w:tab w:val="left" w:pos="2400"/>
        <w:tab w:val="left" w:pos="2880"/>
        <w:tab w:val="left" w:pos="3360"/>
        <w:tab w:val="left" w:pos="3840"/>
        <w:tab w:val="left" w:pos="4320"/>
      </w:tabs>
      <w:spacing w:before="220" w:line="220" w:lineRule="exact"/>
      <w:jc w:val="both"/>
    </w:pPr>
    <w:rPr>
      <w:rFonts w:ascii="Courier New" w:hAnsi="Courier New"/>
      <w:lang w:eastAsia="ko-KR"/>
    </w:rPr>
  </w:style>
  <w:style w:type="character" w:customStyle="1" w:styleId="MacroTextChar">
    <w:name w:val="Macro Text Char"/>
    <w:basedOn w:val="DefaultParagraphFont"/>
    <w:link w:val="MacroText"/>
    <w:semiHidden/>
    <w:rsid w:val="00696CB5"/>
    <w:rPr>
      <w:rFonts w:ascii="Courier New" w:hAnsi="Courier New"/>
      <w:lang w:eastAsia="ko-KR"/>
    </w:rPr>
  </w:style>
  <w:style w:type="paragraph" w:styleId="MessageHeader">
    <w:name w:val="Message Header"/>
    <w:basedOn w:val="Normal"/>
    <w:link w:val="MessageHeaderChar"/>
    <w:semiHidden/>
    <w:rsid w:val="00696CB5"/>
    <w:pPr>
      <w:pBdr>
        <w:top w:val="single" w:sz="6" w:space="1" w:color="auto"/>
        <w:left w:val="single" w:sz="6" w:space="1" w:color="auto"/>
        <w:bottom w:val="single" w:sz="6" w:space="1" w:color="auto"/>
        <w:right w:val="single" w:sz="6" w:space="1" w:color="auto"/>
      </w:pBdr>
      <w:shd w:val="pct20" w:color="auto" w:fill="auto"/>
      <w:tabs>
        <w:tab w:val="left" w:pos="4680"/>
        <w:tab w:val="right" w:pos="9360"/>
      </w:tabs>
      <w:spacing w:before="220" w:after="0" w:line="220" w:lineRule="exact"/>
      <w:ind w:left="1080" w:hanging="1080"/>
      <w:jc w:val="both"/>
    </w:pPr>
    <w:rPr>
      <w:rFonts w:ascii="Arial" w:hAnsi="Arial"/>
      <w:color w:val="auto"/>
      <w:lang w:val="en-US" w:eastAsia="fr-FR"/>
    </w:rPr>
  </w:style>
  <w:style w:type="character" w:customStyle="1" w:styleId="MessageHeaderChar">
    <w:name w:val="Message Header Char"/>
    <w:basedOn w:val="DefaultParagraphFont"/>
    <w:link w:val="MessageHeader"/>
    <w:semiHidden/>
    <w:rsid w:val="00696CB5"/>
    <w:rPr>
      <w:rFonts w:ascii="Arial" w:hAnsi="Arial"/>
      <w:sz w:val="22"/>
      <w:shd w:val="pct20" w:color="auto" w:fill="auto"/>
      <w:lang w:eastAsia="fr-FR"/>
    </w:rPr>
  </w:style>
  <w:style w:type="paragraph" w:styleId="NormalIndent">
    <w:name w:val="Normal Indent"/>
    <w:basedOn w:val="Normal"/>
    <w:semiHidden/>
    <w:rsid w:val="00696CB5"/>
    <w:pPr>
      <w:tabs>
        <w:tab w:val="left" w:pos="4680"/>
        <w:tab w:val="right" w:pos="9360"/>
      </w:tabs>
      <w:spacing w:before="220" w:after="0" w:line="220" w:lineRule="exact"/>
      <w:ind w:left="720"/>
      <w:jc w:val="both"/>
    </w:pPr>
    <w:rPr>
      <w:rFonts w:ascii="Arial" w:hAnsi="Arial"/>
      <w:color w:val="auto"/>
      <w:lang w:val="en-US" w:eastAsia="fr-FR"/>
    </w:rPr>
  </w:style>
  <w:style w:type="paragraph" w:styleId="NoteHeading">
    <w:name w:val="Note Heading"/>
    <w:basedOn w:val="Normal"/>
    <w:next w:val="Normal"/>
    <w:link w:val="NoteHeadingChar"/>
    <w:semiHidden/>
    <w:rsid w:val="00696CB5"/>
    <w:pPr>
      <w:tabs>
        <w:tab w:val="left" w:pos="4680"/>
        <w:tab w:val="right" w:pos="9360"/>
      </w:tabs>
      <w:spacing w:before="220" w:after="0" w:line="220" w:lineRule="exact"/>
      <w:jc w:val="both"/>
    </w:pPr>
    <w:rPr>
      <w:rFonts w:ascii="Arial" w:hAnsi="Arial"/>
      <w:color w:val="auto"/>
      <w:lang w:val="en-US" w:eastAsia="fr-FR"/>
    </w:rPr>
  </w:style>
  <w:style w:type="character" w:customStyle="1" w:styleId="NoteHeadingChar">
    <w:name w:val="Note Heading Char"/>
    <w:basedOn w:val="DefaultParagraphFont"/>
    <w:link w:val="NoteHeading"/>
    <w:semiHidden/>
    <w:rsid w:val="00696CB5"/>
    <w:rPr>
      <w:rFonts w:ascii="Arial" w:hAnsi="Arial"/>
      <w:sz w:val="22"/>
      <w:lang w:eastAsia="fr-FR"/>
    </w:rPr>
  </w:style>
  <w:style w:type="paragraph" w:styleId="Salutation">
    <w:name w:val="Salutation"/>
    <w:basedOn w:val="Normal"/>
    <w:next w:val="Normal"/>
    <w:link w:val="SalutationChar"/>
    <w:semiHidden/>
    <w:rsid w:val="00696CB5"/>
    <w:pPr>
      <w:tabs>
        <w:tab w:val="left" w:pos="4680"/>
        <w:tab w:val="right" w:pos="9360"/>
      </w:tabs>
      <w:spacing w:before="220" w:after="0" w:line="220" w:lineRule="exact"/>
      <w:jc w:val="both"/>
    </w:pPr>
    <w:rPr>
      <w:rFonts w:ascii="Arial" w:hAnsi="Arial"/>
      <w:color w:val="auto"/>
      <w:lang w:val="en-US" w:eastAsia="fr-FR"/>
    </w:rPr>
  </w:style>
  <w:style w:type="character" w:customStyle="1" w:styleId="SalutationChar">
    <w:name w:val="Salutation Char"/>
    <w:basedOn w:val="DefaultParagraphFont"/>
    <w:link w:val="Salutation"/>
    <w:semiHidden/>
    <w:rsid w:val="00696CB5"/>
    <w:rPr>
      <w:rFonts w:ascii="Arial" w:hAnsi="Arial"/>
      <w:sz w:val="22"/>
      <w:lang w:eastAsia="fr-FR"/>
    </w:rPr>
  </w:style>
  <w:style w:type="paragraph" w:styleId="Signature">
    <w:name w:val="Signature"/>
    <w:basedOn w:val="Normal"/>
    <w:link w:val="SignatureChar"/>
    <w:semiHidden/>
    <w:rsid w:val="00696CB5"/>
    <w:pPr>
      <w:tabs>
        <w:tab w:val="left" w:pos="4680"/>
        <w:tab w:val="right" w:pos="9360"/>
      </w:tabs>
      <w:spacing w:before="220" w:after="0" w:line="220" w:lineRule="exact"/>
      <w:ind w:left="4320"/>
      <w:jc w:val="both"/>
    </w:pPr>
    <w:rPr>
      <w:rFonts w:ascii="Arial" w:hAnsi="Arial"/>
      <w:color w:val="auto"/>
      <w:lang w:val="en-US" w:eastAsia="fr-FR"/>
    </w:rPr>
  </w:style>
  <w:style w:type="character" w:customStyle="1" w:styleId="SignatureChar">
    <w:name w:val="Signature Char"/>
    <w:basedOn w:val="DefaultParagraphFont"/>
    <w:link w:val="Signature"/>
    <w:semiHidden/>
    <w:rsid w:val="00696CB5"/>
    <w:rPr>
      <w:rFonts w:ascii="Arial" w:hAnsi="Arial"/>
      <w:sz w:val="22"/>
      <w:lang w:eastAsia="fr-FR"/>
    </w:rPr>
  </w:style>
  <w:style w:type="paragraph" w:styleId="TableofAuthorities">
    <w:name w:val="table of authorities"/>
    <w:basedOn w:val="Normal"/>
    <w:next w:val="Normal"/>
    <w:semiHidden/>
    <w:rsid w:val="00696CB5"/>
    <w:pPr>
      <w:spacing w:before="220" w:after="0" w:line="220" w:lineRule="exact"/>
      <w:ind w:left="220" w:hanging="220"/>
      <w:jc w:val="both"/>
    </w:pPr>
    <w:rPr>
      <w:rFonts w:ascii="Arial" w:hAnsi="Arial"/>
      <w:color w:val="auto"/>
      <w:lang w:val="en-US" w:eastAsia="fr-FR"/>
    </w:rPr>
  </w:style>
  <w:style w:type="paragraph" w:styleId="TOAHeading">
    <w:name w:val="toa heading"/>
    <w:basedOn w:val="Normal"/>
    <w:next w:val="Normal"/>
    <w:semiHidden/>
    <w:rsid w:val="00696CB5"/>
    <w:pPr>
      <w:tabs>
        <w:tab w:val="left" w:pos="4680"/>
        <w:tab w:val="right" w:pos="9360"/>
      </w:tabs>
      <w:spacing w:before="120" w:after="0" w:line="220" w:lineRule="exact"/>
      <w:jc w:val="both"/>
    </w:pPr>
    <w:rPr>
      <w:rFonts w:ascii="Arial" w:hAnsi="Arial"/>
      <w:b/>
      <w:color w:val="auto"/>
      <w:lang w:val="en-US" w:eastAsia="fr-FR"/>
    </w:rPr>
  </w:style>
  <w:style w:type="paragraph" w:customStyle="1" w:styleId="repub">
    <w:name w:val="repub"/>
    <w:basedOn w:val="Normal"/>
    <w:rsid w:val="00696CB5"/>
    <w:pPr>
      <w:tabs>
        <w:tab w:val="left" w:pos="4680"/>
        <w:tab w:val="right" w:pos="9360"/>
      </w:tabs>
      <w:spacing w:before="60" w:after="0" w:line="220" w:lineRule="exact"/>
      <w:ind w:left="567"/>
    </w:pPr>
    <w:rPr>
      <w:rFonts w:ascii="Arial" w:hAnsi="Arial"/>
      <w:color w:val="auto"/>
      <w:lang w:val="en-US" w:eastAsia="fr-FR"/>
    </w:rPr>
  </w:style>
  <w:style w:type="character" w:customStyle="1" w:styleId="italic1">
    <w:name w:val="italic1"/>
    <w:rsid w:val="00696CB5"/>
    <w:rPr>
      <w:i/>
      <w:iCs/>
      <w:sz w:val="24"/>
      <w:szCs w:val="24"/>
    </w:rPr>
  </w:style>
  <w:style w:type="paragraph" w:customStyle="1" w:styleId="steph-normal">
    <w:name w:val="steph-normal"/>
    <w:basedOn w:val="BodyText"/>
    <w:rsid w:val="00696CB5"/>
    <w:pPr>
      <w:spacing w:after="0" w:line="240" w:lineRule="auto"/>
      <w:jc w:val="both"/>
    </w:pPr>
    <w:rPr>
      <w:rFonts w:ascii="Arial" w:hAnsi="Arial"/>
      <w:color w:val="auto"/>
      <w:lang w:val="fr-FR" w:eastAsia="fr-FR"/>
    </w:rPr>
  </w:style>
  <w:style w:type="paragraph" w:customStyle="1" w:styleId="Formatvorlage1">
    <w:name w:val="Formatvorlage1"/>
    <w:basedOn w:val="Normal"/>
    <w:rsid w:val="00696CB5"/>
    <w:pPr>
      <w:tabs>
        <w:tab w:val="left" w:pos="567"/>
        <w:tab w:val="left" w:leader="dot" w:pos="9072"/>
      </w:tabs>
      <w:spacing w:after="0" w:line="240" w:lineRule="exact"/>
      <w:ind w:left="567" w:hanging="567"/>
    </w:pPr>
    <w:rPr>
      <w:rFonts w:ascii="Arial" w:hAnsi="Arial"/>
      <w:color w:val="auto"/>
      <w:lang w:val="de-DE" w:eastAsia="fr-FR"/>
    </w:rPr>
  </w:style>
  <w:style w:type="paragraph" w:customStyle="1" w:styleId="Formatvorlage2">
    <w:name w:val="Formatvorlage2"/>
    <w:basedOn w:val="Normal"/>
    <w:rsid w:val="00696CB5"/>
    <w:pPr>
      <w:tabs>
        <w:tab w:val="left" w:pos="1134"/>
        <w:tab w:val="left" w:leader="dot" w:pos="9072"/>
      </w:tabs>
      <w:spacing w:after="0" w:line="240" w:lineRule="exact"/>
      <w:ind w:left="1134" w:hanging="567"/>
    </w:pPr>
    <w:rPr>
      <w:rFonts w:ascii="Arial" w:hAnsi="Arial"/>
      <w:color w:val="auto"/>
      <w:lang w:val="de-DE" w:eastAsia="fr-FR"/>
    </w:rPr>
  </w:style>
  <w:style w:type="paragraph" w:customStyle="1" w:styleId="Formatvorlage3">
    <w:name w:val="Formatvorlage3"/>
    <w:basedOn w:val="Normal"/>
    <w:rsid w:val="00696CB5"/>
    <w:pPr>
      <w:tabs>
        <w:tab w:val="left" w:pos="1843"/>
        <w:tab w:val="left" w:leader="dot" w:pos="9072"/>
      </w:tabs>
      <w:spacing w:after="0" w:line="240" w:lineRule="exact"/>
      <w:ind w:left="1843" w:hanging="709"/>
    </w:pPr>
    <w:rPr>
      <w:rFonts w:ascii="Arial" w:hAnsi="Arial"/>
      <w:color w:val="auto"/>
      <w:lang w:val="de-DE" w:eastAsia="fr-FR"/>
    </w:rPr>
  </w:style>
  <w:style w:type="paragraph" w:customStyle="1" w:styleId="engBegriff">
    <w:name w:val="eng.Begriff"/>
    <w:autoRedefine/>
    <w:rsid w:val="00696CB5"/>
    <w:pPr>
      <w:spacing w:before="60"/>
    </w:pPr>
    <w:rPr>
      <w:rFonts w:ascii="Arial" w:hAnsi="Arial"/>
      <w:i/>
      <w:lang w:val="en-GB" w:eastAsia="ko-KR"/>
    </w:rPr>
  </w:style>
  <w:style w:type="paragraph" w:customStyle="1" w:styleId="Bildunterschrift">
    <w:name w:val="Bildunterschrift"/>
    <w:basedOn w:val="Normal"/>
    <w:rsid w:val="00696CB5"/>
    <w:pPr>
      <w:spacing w:after="0"/>
    </w:pPr>
    <w:rPr>
      <w:rFonts w:ascii="Arial" w:hAnsi="Arial"/>
      <w:b/>
      <w:color w:val="auto"/>
      <w:sz w:val="20"/>
      <w:lang w:val="de-DE" w:eastAsia="fr-FR"/>
    </w:rPr>
  </w:style>
  <w:style w:type="paragraph" w:customStyle="1" w:styleId="hervorheben">
    <w:name w:val="hervorheben"/>
    <w:basedOn w:val="Normal"/>
    <w:autoRedefine/>
    <w:rsid w:val="00696CB5"/>
    <w:pPr>
      <w:spacing w:after="0"/>
      <w:jc w:val="center"/>
    </w:pPr>
    <w:rPr>
      <w:rFonts w:ascii="Arial" w:hAnsi="Arial"/>
      <w:b/>
      <w:color w:val="auto"/>
      <w:sz w:val="40"/>
      <w:lang w:eastAsia="fr-FR"/>
    </w:rPr>
  </w:style>
  <w:style w:type="paragraph" w:customStyle="1" w:styleId="Gleichung">
    <w:name w:val="Gleichung"/>
    <w:basedOn w:val="Normal"/>
    <w:autoRedefine/>
    <w:rsid w:val="00696CB5"/>
    <w:pPr>
      <w:tabs>
        <w:tab w:val="left" w:pos="1701"/>
      </w:tabs>
      <w:spacing w:after="0"/>
    </w:pPr>
    <w:rPr>
      <w:rFonts w:ascii="Arial" w:hAnsi="Arial"/>
      <w:color w:val="auto"/>
      <w:sz w:val="20"/>
      <w:lang w:val="de-DE" w:eastAsia="fr-FR"/>
    </w:rPr>
  </w:style>
  <w:style w:type="character" w:customStyle="1" w:styleId="hervorhebenZchn">
    <w:name w:val="hervorheben Zchn"/>
    <w:rsid w:val="00696CB5"/>
    <w:rPr>
      <w:rFonts w:ascii="Arial" w:hAnsi="Arial"/>
      <w:b/>
      <w:noProof w:val="0"/>
      <w:sz w:val="40"/>
      <w:szCs w:val="40"/>
      <w:lang w:val="en-GB" w:eastAsia="de-DE" w:bidi="ar-SA"/>
    </w:rPr>
  </w:style>
  <w:style w:type="character" w:customStyle="1" w:styleId="engBegriffZchn">
    <w:name w:val="eng.Begriff Zchn"/>
    <w:rsid w:val="00696CB5"/>
    <w:rPr>
      <w:rFonts w:ascii="Arial" w:hAnsi="Arial" w:cs="Arial"/>
      <w:i/>
      <w:noProof w:val="0"/>
      <w:lang w:val="en-GB" w:eastAsia="de-DE" w:bidi="ar-SA"/>
    </w:rPr>
  </w:style>
  <w:style w:type="paragraph" w:customStyle="1" w:styleId="FormatvorlagehervorhebenKursiv">
    <w:name w:val="Formatvorlage hervorheben + Kursiv"/>
    <w:basedOn w:val="hervorheben"/>
    <w:rsid w:val="00696CB5"/>
    <w:rPr>
      <w:i/>
    </w:rPr>
  </w:style>
  <w:style w:type="paragraph" w:customStyle="1" w:styleId="hervorhebenKursiv">
    <w:name w:val="hervorheben + Kursiv"/>
    <w:basedOn w:val="hervorheben"/>
    <w:rsid w:val="00696CB5"/>
    <w:rPr>
      <w:i/>
    </w:rPr>
  </w:style>
  <w:style w:type="paragraph" w:customStyle="1" w:styleId="FormatvorlageLinksDoppelteeinfarbigeLinienAutomatisch05ptZeil">
    <w:name w:val="Formatvorlage Links: (Doppelte einfarbige Linien Automatisch  05 pt Zeil..."/>
    <w:basedOn w:val="Normal"/>
    <w:rsid w:val="00696CB5"/>
    <w:pPr>
      <w:pBdr>
        <w:left w:val="double" w:sz="4" w:space="4" w:color="auto"/>
      </w:pBdr>
      <w:spacing w:after="0"/>
    </w:pPr>
    <w:rPr>
      <w:rFonts w:ascii="Arial" w:hAnsi="Arial"/>
      <w:color w:val="auto"/>
      <w:sz w:val="20"/>
      <w:lang w:val="de-DE" w:eastAsia="fr-FR"/>
    </w:rPr>
  </w:style>
  <w:style w:type="paragraph" w:customStyle="1" w:styleId="Engl-2berschrift">
    <w:name w:val="Engl-2.Überschrift"/>
    <w:basedOn w:val="Normal"/>
    <w:autoRedefine/>
    <w:rsid w:val="00696CB5"/>
    <w:pPr>
      <w:spacing w:after="0"/>
      <w:ind w:left="709" w:hanging="709"/>
    </w:pPr>
    <w:rPr>
      <w:rFonts w:ascii="Courier New" w:hAnsi="Courier New"/>
      <w:b/>
      <w:color w:val="auto"/>
      <w:sz w:val="20"/>
      <w:lang w:val="de-DE" w:eastAsia="fr-FR"/>
    </w:rPr>
  </w:style>
  <w:style w:type="paragraph" w:customStyle="1" w:styleId="berschrifteng">
    <w:name w:val="Überschrift eng"/>
    <w:basedOn w:val="Normal"/>
    <w:autoRedefine/>
    <w:rsid w:val="00696CB5"/>
    <w:pPr>
      <w:spacing w:after="0"/>
      <w:ind w:firstLine="709"/>
    </w:pPr>
    <w:rPr>
      <w:rFonts w:ascii="Courier New" w:hAnsi="Courier New"/>
      <w:b/>
      <w:color w:val="auto"/>
      <w:sz w:val="20"/>
      <w:lang w:eastAsia="fr-FR"/>
    </w:rPr>
  </w:style>
  <w:style w:type="character" w:customStyle="1" w:styleId="verborgen">
    <w:name w:val="verborgen"/>
    <w:rsid w:val="00696CB5"/>
    <w:rPr>
      <w:vanish/>
      <w:color w:val="008000"/>
    </w:rPr>
  </w:style>
  <w:style w:type="paragraph" w:customStyle="1" w:styleId="FormatvorlageberschriftengErsteZeile125cm">
    <w:name w:val="Formatvorlage Überschrift eng + Erste Zeile:  125 cm"/>
    <w:basedOn w:val="berschrifteng"/>
    <w:rsid w:val="00696CB5"/>
  </w:style>
  <w:style w:type="character" w:customStyle="1" w:styleId="FuzeileZchn">
    <w:name w:val="Fußzeile Zchn"/>
    <w:rsid w:val="00696CB5"/>
    <w:rPr>
      <w:rFonts w:ascii="Arial" w:hAnsi="Arial"/>
      <w:i/>
      <w:noProof w:val="0"/>
      <w:lang w:val="de-DE" w:eastAsia="de-DE" w:bidi="ar-SA"/>
    </w:rPr>
  </w:style>
  <w:style w:type="paragraph" w:customStyle="1" w:styleId="Sprechblasentext1">
    <w:name w:val="Sprechblasentext1"/>
    <w:basedOn w:val="Normal"/>
    <w:semiHidden/>
    <w:rsid w:val="00696CB5"/>
    <w:pPr>
      <w:spacing w:after="0"/>
    </w:pPr>
    <w:rPr>
      <w:rFonts w:ascii="Tahoma" w:hAnsi="Tahoma"/>
      <w:color w:val="auto"/>
      <w:sz w:val="16"/>
      <w:lang w:val="de-DE" w:eastAsia="fr-FR"/>
    </w:rPr>
  </w:style>
  <w:style w:type="paragraph" w:customStyle="1" w:styleId="Titelgroundfett">
    <w:name w:val="Titelgroßundfett"/>
    <w:basedOn w:val="Title"/>
    <w:rsid w:val="00696CB5"/>
    <w:pPr>
      <w:spacing w:before="240" w:after="60" w:line="240" w:lineRule="auto"/>
      <w:outlineLvl w:val="0"/>
    </w:pPr>
    <w:rPr>
      <w:rFonts w:ascii="Arial" w:hAnsi="Arial"/>
      <w:color w:val="auto"/>
      <w:kern w:val="28"/>
      <w:sz w:val="40"/>
      <w:lang w:eastAsia="fr-FR"/>
    </w:rPr>
  </w:style>
  <w:style w:type="character" w:customStyle="1" w:styleId="TitelZchn">
    <w:name w:val="Titel Zchn"/>
    <w:rsid w:val="00696CB5"/>
    <w:rPr>
      <w:rFonts w:ascii="Arial" w:hAnsi="Arial" w:cs="Arial"/>
      <w:b/>
      <w:bCs/>
      <w:noProof w:val="0"/>
      <w:kern w:val="28"/>
      <w:sz w:val="32"/>
      <w:szCs w:val="32"/>
      <w:lang w:val="de-DE" w:eastAsia="de-DE" w:bidi="ar-SA"/>
    </w:rPr>
  </w:style>
  <w:style w:type="character" w:customStyle="1" w:styleId="TitelgroundfettZchn">
    <w:name w:val="Titelgroßundfett Zchn"/>
    <w:rsid w:val="00696CB5"/>
    <w:rPr>
      <w:rFonts w:ascii="Arial" w:hAnsi="Arial" w:cs="Arial"/>
      <w:b/>
      <w:bCs/>
      <w:noProof w:val="0"/>
      <w:kern w:val="28"/>
      <w:sz w:val="40"/>
      <w:szCs w:val="32"/>
      <w:lang w:val="en-GB" w:eastAsia="de-DE" w:bidi="ar-SA"/>
    </w:rPr>
  </w:style>
  <w:style w:type="paragraph" w:customStyle="1" w:styleId="12pt">
    <w:name w:val="12pt"/>
    <w:basedOn w:val="Normal"/>
    <w:rsid w:val="00696CB5"/>
    <w:pPr>
      <w:autoSpaceDE w:val="0"/>
      <w:autoSpaceDN w:val="0"/>
      <w:adjustRightInd w:val="0"/>
      <w:spacing w:after="0"/>
    </w:pPr>
    <w:rPr>
      <w:rFonts w:ascii="Arial" w:hAnsi="Arial"/>
      <w:color w:val="auto"/>
      <w:lang w:val="de-DE" w:eastAsia="fr-FR"/>
    </w:rPr>
  </w:style>
  <w:style w:type="paragraph" w:customStyle="1" w:styleId="ExecSumTitle">
    <w:name w:val="ExecSumTitle"/>
    <w:basedOn w:val="BodyText"/>
    <w:rsid w:val="00696CB5"/>
    <w:pPr>
      <w:widowControl w:val="0"/>
      <w:spacing w:before="240" w:after="120" w:line="240" w:lineRule="auto"/>
      <w:jc w:val="both"/>
    </w:pPr>
    <w:rPr>
      <w:i/>
      <w:color w:val="auto"/>
      <w:lang w:eastAsia="fr-FR"/>
    </w:rPr>
  </w:style>
  <w:style w:type="paragraph" w:customStyle="1" w:styleId="Kommentarthema1">
    <w:name w:val="Kommentarthema1"/>
    <w:basedOn w:val="CommentText"/>
    <w:next w:val="CommentText"/>
    <w:semiHidden/>
    <w:rsid w:val="00696CB5"/>
    <w:pPr>
      <w:widowControl/>
      <w:spacing w:after="0"/>
    </w:pPr>
    <w:rPr>
      <w:rFonts w:ascii="Times New Roman" w:hAnsi="Times New Roman"/>
      <w:b/>
      <w:bCs/>
      <w:lang w:val="en-US" w:eastAsia="en-US"/>
    </w:rPr>
  </w:style>
  <w:style w:type="paragraph" w:customStyle="1" w:styleId="Revision1">
    <w:name w:val="Revision1"/>
    <w:hidden/>
    <w:rsid w:val="00696CB5"/>
    <w:rPr>
      <w:rFonts w:ascii="Times New Roman" w:hAnsi="Times New Roman"/>
      <w:sz w:val="24"/>
      <w:szCs w:val="24"/>
    </w:rPr>
  </w:style>
  <w:style w:type="paragraph" w:customStyle="1" w:styleId="NoSpacing1">
    <w:name w:val="No Spacing1"/>
    <w:qFormat/>
    <w:rsid w:val="00696CB5"/>
    <w:rPr>
      <w:rFonts w:ascii="Calibri" w:eastAsia="Calibri" w:hAnsi="Calibri"/>
      <w:sz w:val="22"/>
      <w:szCs w:val="22"/>
      <w:lang w:val="cs-CZ"/>
    </w:rPr>
  </w:style>
  <w:style w:type="paragraph" w:customStyle="1" w:styleId="ColorfulShading-Accent11">
    <w:name w:val="Colorful Shading - Accent 11"/>
    <w:hidden/>
    <w:semiHidden/>
    <w:rsid w:val="00696CB5"/>
    <w:rPr>
      <w:rFonts w:ascii="Times New Roman" w:hAnsi="Times New Roman"/>
      <w:sz w:val="24"/>
      <w:szCs w:val="24"/>
    </w:rPr>
  </w:style>
  <w:style w:type="paragraph" w:customStyle="1" w:styleId="StyleHeading311ptAfter12pt">
    <w:name w:val="Style Heading 3 + 11 pt After:  12 pt"/>
    <w:basedOn w:val="Heading3"/>
    <w:rsid w:val="00696CB5"/>
    <w:pPr>
      <w:keepLines w:val="0"/>
      <w:widowControl/>
      <w:tabs>
        <w:tab w:val="left" w:pos="851"/>
        <w:tab w:val="left" w:pos="900"/>
      </w:tabs>
      <w:adjustRightInd/>
      <w:ind w:left="907" w:right="0" w:hanging="907"/>
    </w:pPr>
    <w:rPr>
      <w:rFonts w:eastAsia="Times New Roman"/>
      <w:b w:val="0"/>
      <w:i w:val="0"/>
      <w:snapToGrid/>
      <w:sz w:val="24"/>
      <w:szCs w:val="20"/>
      <w:lang w:eastAsia="fr-FR"/>
    </w:rPr>
  </w:style>
  <w:style w:type="paragraph" w:customStyle="1" w:styleId="StylereferencesTimesNewRoman">
    <w:name w:val="Style references + Times New Roman"/>
    <w:basedOn w:val="references0"/>
    <w:rsid w:val="00696CB5"/>
    <w:pPr>
      <w:widowControl w:val="0"/>
      <w:tabs>
        <w:tab w:val="left" w:pos="1134"/>
      </w:tabs>
      <w:spacing w:before="120" w:after="0"/>
      <w:ind w:left="567" w:hanging="567"/>
    </w:pPr>
    <w:rPr>
      <w:rFonts w:ascii="Times New Roman" w:hAnsi="Times New Roman"/>
      <w:i w:val="0"/>
      <w:lang w:val="en-US" w:eastAsia="fr-FR"/>
    </w:rPr>
  </w:style>
  <w:style w:type="character" w:customStyle="1" w:styleId="referencesChar">
    <w:name w:val="references Char"/>
    <w:rsid w:val="00696CB5"/>
    <w:rPr>
      <w:rFonts w:ascii="Helvetica" w:hAnsi="Helvetica"/>
      <w:noProof w:val="0"/>
      <w:sz w:val="22"/>
      <w:lang w:val="en-US" w:eastAsia="fr-FR" w:bidi="ar-SA"/>
    </w:rPr>
  </w:style>
  <w:style w:type="character" w:customStyle="1" w:styleId="StylereferencesTimesNewRomanChar">
    <w:name w:val="Style references + Times New Roman Char"/>
    <w:rsid w:val="00696CB5"/>
    <w:rPr>
      <w:rFonts w:ascii="Helvetica" w:hAnsi="Helvetica"/>
      <w:noProof w:val="0"/>
      <w:sz w:val="22"/>
      <w:lang w:val="en-US" w:eastAsia="fr-FR" w:bidi="ar-SA"/>
    </w:rPr>
  </w:style>
  <w:style w:type="paragraph" w:customStyle="1" w:styleId="StyleHeading311pt">
    <w:name w:val="Style Heading 3 + 11 pt"/>
    <w:basedOn w:val="Heading3"/>
    <w:rsid w:val="00696CB5"/>
    <w:pPr>
      <w:keepLines w:val="0"/>
      <w:widowControl/>
      <w:tabs>
        <w:tab w:val="left" w:pos="851"/>
        <w:tab w:val="left" w:pos="900"/>
      </w:tabs>
      <w:adjustRightInd/>
      <w:ind w:left="907" w:right="0" w:hanging="907"/>
    </w:pPr>
    <w:rPr>
      <w:rFonts w:eastAsia="Times New Roman"/>
      <w:b w:val="0"/>
      <w:i w:val="0"/>
      <w:snapToGrid/>
      <w:sz w:val="24"/>
      <w:szCs w:val="20"/>
      <w:lang w:eastAsia="fr-FR"/>
    </w:rPr>
  </w:style>
  <w:style w:type="character" w:customStyle="1" w:styleId="StyleHeading311ptChar">
    <w:name w:val="Style Heading 3 + 11 pt Char"/>
    <w:rsid w:val="00696CB5"/>
    <w:rPr>
      <w:noProof w:val="0"/>
      <w:sz w:val="22"/>
      <w:lang w:val="en-US" w:eastAsia="fr-FR" w:bidi="ar-SA"/>
    </w:rPr>
  </w:style>
  <w:style w:type="paragraph" w:customStyle="1" w:styleId="StyleHeading3After12pt">
    <w:name w:val="Style Heading 3 + After:  12 pt"/>
    <w:basedOn w:val="Heading3"/>
    <w:rsid w:val="00696CB5"/>
    <w:pPr>
      <w:keepLines w:val="0"/>
      <w:widowControl/>
      <w:tabs>
        <w:tab w:val="left" w:pos="567"/>
        <w:tab w:val="left" w:pos="900"/>
      </w:tabs>
      <w:adjustRightInd/>
      <w:ind w:left="907" w:right="0" w:hanging="907"/>
    </w:pPr>
    <w:rPr>
      <w:rFonts w:eastAsia="Times New Roman"/>
      <w:b w:val="0"/>
      <w:i w:val="0"/>
      <w:snapToGrid/>
      <w:sz w:val="24"/>
      <w:szCs w:val="20"/>
      <w:lang w:eastAsia="fr-FR"/>
    </w:rPr>
  </w:style>
  <w:style w:type="paragraph" w:customStyle="1" w:styleId="StyleStyleHeading311ptAfter12ptBefore0pt">
    <w:name w:val="Style Style Heading 3 + 11 pt After:  12 pt + Before:  0 pt"/>
    <w:basedOn w:val="StyleHeading311ptAfter12pt"/>
    <w:rsid w:val="00696CB5"/>
    <w:pPr>
      <w:spacing w:before="0"/>
    </w:pPr>
  </w:style>
  <w:style w:type="paragraph" w:customStyle="1" w:styleId="StyleHeading1Para1Heading1Char1CharHeading1CharCharC1">
    <w:name w:val="Style Heading 1Para (1)Heading 1 Char1 CharHeading 1 Char Char C...1"/>
    <w:basedOn w:val="Heading1"/>
    <w:rsid w:val="00696CB5"/>
    <w:pPr>
      <w:tabs>
        <w:tab w:val="left" w:pos="851"/>
      </w:tabs>
      <w:spacing w:before="0"/>
      <w:ind w:left="0" w:firstLine="0"/>
    </w:pPr>
    <w:rPr>
      <w:bCs w:val="0"/>
      <w:color w:val="auto"/>
      <w:lang w:eastAsia="fr-FR"/>
    </w:rPr>
  </w:style>
  <w:style w:type="paragraph" w:customStyle="1" w:styleId="StyleHeading4After12pt">
    <w:name w:val="Style Heading 4 + After:  12 pt"/>
    <w:basedOn w:val="Heading4"/>
    <w:rsid w:val="00696CB5"/>
    <w:pPr>
      <w:widowControl/>
      <w:tabs>
        <w:tab w:val="left" w:pos="900"/>
      </w:tabs>
      <w:spacing w:before="120" w:line="240" w:lineRule="auto"/>
      <w:ind w:left="902" w:hanging="902"/>
    </w:pPr>
    <w:rPr>
      <w:rFonts w:eastAsia="Times New Roman"/>
      <w:b w:val="0"/>
      <w:i/>
      <w:iCs/>
      <w:snapToGrid/>
      <w:szCs w:val="20"/>
      <w:lang w:eastAsia="fr-FR"/>
    </w:rPr>
  </w:style>
  <w:style w:type="paragraph" w:customStyle="1" w:styleId="StyleHeading4After12pt1">
    <w:name w:val="Style Heading 4 + After:  12 pt1"/>
    <w:basedOn w:val="Heading4"/>
    <w:rsid w:val="00696CB5"/>
    <w:pPr>
      <w:widowControl/>
      <w:tabs>
        <w:tab w:val="left" w:pos="900"/>
      </w:tabs>
      <w:spacing w:before="120" w:line="240" w:lineRule="auto"/>
      <w:ind w:left="902" w:hanging="902"/>
    </w:pPr>
    <w:rPr>
      <w:rFonts w:eastAsia="Times New Roman"/>
      <w:b w:val="0"/>
      <w:i/>
      <w:iCs/>
      <w:snapToGrid/>
      <w:szCs w:val="20"/>
      <w:lang w:eastAsia="fr-FR"/>
    </w:rPr>
  </w:style>
  <w:style w:type="character" w:customStyle="1" w:styleId="StyleHeading4After12pt1Char">
    <w:name w:val="Style Heading 4 + After:  12 pt1 Char"/>
    <w:rsid w:val="00696CB5"/>
    <w:rPr>
      <w:i/>
      <w:iCs/>
      <w:noProof w:val="0"/>
      <w:sz w:val="22"/>
      <w:lang w:val="en-GB" w:eastAsia="fr-FR" w:bidi="ar-SA"/>
    </w:rPr>
  </w:style>
  <w:style w:type="paragraph" w:customStyle="1" w:styleId="StyleHeading4Left0cmHanging152cmAfter12pt">
    <w:name w:val="Style Heading 4 + Left:  0 cm Hanging:  1.52 cm After:  12 pt"/>
    <w:basedOn w:val="Heading4"/>
    <w:rsid w:val="00696CB5"/>
    <w:pPr>
      <w:widowControl/>
      <w:tabs>
        <w:tab w:val="left" w:pos="900"/>
      </w:tabs>
      <w:spacing w:before="120" w:line="240" w:lineRule="auto"/>
      <w:ind w:left="864" w:hanging="864"/>
    </w:pPr>
    <w:rPr>
      <w:rFonts w:eastAsia="Times New Roman"/>
      <w:b w:val="0"/>
      <w:i/>
      <w:iCs/>
      <w:snapToGrid/>
      <w:szCs w:val="20"/>
      <w:lang w:eastAsia="fr-FR"/>
    </w:rPr>
  </w:style>
  <w:style w:type="paragraph" w:customStyle="1" w:styleId="TitlePageHeadings">
    <w:name w:val="TitlePageHeadings"/>
    <w:basedOn w:val="Heading1"/>
    <w:rsid w:val="00696CB5"/>
    <w:pPr>
      <w:tabs>
        <w:tab w:val="left" w:pos="851"/>
      </w:tabs>
      <w:autoSpaceDE w:val="0"/>
      <w:autoSpaceDN w:val="0"/>
      <w:adjustRightInd w:val="0"/>
      <w:spacing w:before="0" w:after="0"/>
      <w:ind w:left="0" w:firstLine="0"/>
      <w:jc w:val="right"/>
    </w:pPr>
    <w:rPr>
      <w:bCs w:val="0"/>
      <w:color w:val="auto"/>
      <w:szCs w:val="24"/>
    </w:rPr>
  </w:style>
  <w:style w:type="paragraph" w:customStyle="1" w:styleId="ToDoList">
    <w:name w:val="ToDoList"/>
    <w:basedOn w:val="Normal"/>
    <w:rsid w:val="00696CB5"/>
    <w:pPr>
      <w:numPr>
        <w:numId w:val="48"/>
      </w:numPr>
      <w:spacing w:before="240"/>
    </w:pPr>
    <w:rPr>
      <w:color w:val="auto"/>
      <w:lang w:val="en-US" w:eastAsia="fr-FR"/>
    </w:rPr>
  </w:style>
  <w:style w:type="character" w:customStyle="1" w:styleId="referencesChar1">
    <w:name w:val="references Char1"/>
    <w:rsid w:val="00696CB5"/>
    <w:rPr>
      <w:rFonts w:ascii="Helvetica" w:hAnsi="Helvetica"/>
      <w:noProof w:val="0"/>
      <w:sz w:val="22"/>
      <w:lang w:val="en-US"/>
    </w:rPr>
  </w:style>
  <w:style w:type="paragraph" w:customStyle="1" w:styleId="15">
    <w:name w:val="Θέμα σχολίου1"/>
    <w:basedOn w:val="CommentText"/>
    <w:next w:val="CommentText"/>
    <w:rsid w:val="00696CB5"/>
    <w:pPr>
      <w:widowControl/>
      <w:spacing w:after="0"/>
    </w:pPr>
    <w:rPr>
      <w:rFonts w:ascii="Times New Roman" w:hAnsi="Times New Roman"/>
      <w:b/>
      <w:lang w:val="en-US" w:eastAsia="fr-FR"/>
    </w:rPr>
  </w:style>
  <w:style w:type="paragraph" w:customStyle="1" w:styleId="16">
    <w:name w:val="Λίστα1"/>
    <w:basedOn w:val="Normal"/>
    <w:rsid w:val="00696CB5"/>
    <w:pPr>
      <w:tabs>
        <w:tab w:val="left" w:pos="810"/>
      </w:tabs>
      <w:spacing w:before="120" w:after="120"/>
      <w:ind w:left="810" w:hanging="360"/>
    </w:pPr>
    <w:rPr>
      <w:color w:val="auto"/>
      <w:lang w:val="en-US" w:eastAsia="fr-FR"/>
    </w:rPr>
  </w:style>
  <w:style w:type="paragraph" w:customStyle="1" w:styleId="Bulletlevel22006GL">
    <w:name w:val="Bullet level 2 2006GL"/>
    <w:basedOn w:val="Normal"/>
    <w:rsid w:val="00696CB5"/>
    <w:pPr>
      <w:tabs>
        <w:tab w:val="left" w:pos="1916"/>
      </w:tabs>
      <w:spacing w:after="0"/>
      <w:ind w:left="1916" w:hanging="476"/>
    </w:pPr>
    <w:rPr>
      <w:lang w:val="en-US" w:eastAsia="fr-FR"/>
    </w:rPr>
  </w:style>
  <w:style w:type="paragraph" w:customStyle="1" w:styleId="StylereferencesTimesNewRoman1">
    <w:name w:val="Style references + Times New Roman1"/>
    <w:basedOn w:val="references0"/>
    <w:rsid w:val="00696CB5"/>
    <w:pPr>
      <w:keepLines/>
      <w:widowControl w:val="0"/>
      <w:tabs>
        <w:tab w:val="left" w:pos="1134"/>
      </w:tabs>
      <w:spacing w:before="120" w:after="0" w:line="220" w:lineRule="exact"/>
      <w:jc w:val="left"/>
    </w:pPr>
    <w:rPr>
      <w:rFonts w:ascii="Times New Roman" w:hAnsi="Times New Roman"/>
      <w:i w:val="0"/>
      <w:sz w:val="22"/>
      <w:lang w:val="en-US" w:eastAsia="fr-FR"/>
    </w:rPr>
  </w:style>
  <w:style w:type="character" w:customStyle="1" w:styleId="StylereferencesTimesNewRoman1Char">
    <w:name w:val="Style references + Times New Roman1 Char"/>
    <w:rsid w:val="00696CB5"/>
    <w:rPr>
      <w:rFonts w:ascii="Helvetica" w:hAnsi="Helvetica"/>
      <w:noProof w:val="0"/>
      <w:sz w:val="22"/>
      <w:lang w:val="en-US"/>
    </w:rPr>
  </w:style>
  <w:style w:type="paragraph" w:customStyle="1" w:styleId="StyleStylereferencesTimesNewRoman1Italic">
    <w:name w:val="Style Style references + Times New Roman1 + Italic"/>
    <w:basedOn w:val="StylereferencesTimesNewRoman1"/>
    <w:rsid w:val="00696CB5"/>
    <w:rPr>
      <w:i/>
    </w:rPr>
  </w:style>
  <w:style w:type="character" w:customStyle="1" w:styleId="StyleStylereferencesTimesNewRoman1ItalicChar">
    <w:name w:val="Style Style references + Times New Roman1 + Italic Char"/>
    <w:rsid w:val="00696CB5"/>
    <w:rPr>
      <w:rFonts w:ascii="Helvetica" w:hAnsi="Helvetica"/>
      <w:i/>
      <w:noProof w:val="0"/>
      <w:sz w:val="22"/>
      <w:lang w:val="en-US"/>
    </w:rPr>
  </w:style>
  <w:style w:type="paragraph" w:customStyle="1" w:styleId="StyleBodyTextCharCharBodyTextCharCharCharCharCharChar">
    <w:name w:val="Style Body TextChar CharBody Text Char Char Char Char Char Char ..."/>
    <w:basedOn w:val="BodyText"/>
    <w:rsid w:val="00696CB5"/>
    <w:pPr>
      <w:keepLines/>
      <w:widowControl w:val="0"/>
      <w:spacing w:line="240" w:lineRule="auto"/>
    </w:pPr>
    <w:rPr>
      <w:color w:val="auto"/>
      <w:lang w:val="en-US" w:eastAsia="fr-FR"/>
    </w:rPr>
  </w:style>
  <w:style w:type="paragraph" w:customStyle="1" w:styleId="StyleHeading3CharHeading3Char1Heading3CharCharCharChar">
    <w:name w:val="Style Heading 3CharHeading 3 Char1Heading 3 Char CharChar Char ..."/>
    <w:basedOn w:val="Heading3"/>
    <w:rsid w:val="00696CB5"/>
    <w:pPr>
      <w:keepLines w:val="0"/>
      <w:widowControl/>
      <w:tabs>
        <w:tab w:val="left" w:pos="900"/>
      </w:tabs>
      <w:adjustRightInd/>
      <w:spacing w:after="120"/>
      <w:ind w:left="907" w:right="0" w:hanging="907"/>
      <w:outlineLvl w:val="9"/>
    </w:pPr>
    <w:rPr>
      <w:rFonts w:eastAsia="Times New Roman"/>
      <w:b w:val="0"/>
      <w:i w:val="0"/>
      <w:snapToGrid/>
      <w:sz w:val="24"/>
      <w:szCs w:val="20"/>
      <w:lang w:eastAsia="fr-FR"/>
    </w:rPr>
  </w:style>
  <w:style w:type="character" w:customStyle="1" w:styleId="Sous-titreCar">
    <w:name w:val="Sous-titre Car"/>
    <w:rsid w:val="00696CB5"/>
    <w:rPr>
      <w:rFonts w:ascii="Arial" w:hAnsi="Arial"/>
      <w:b/>
      <w:sz w:val="22"/>
    </w:rPr>
  </w:style>
  <w:style w:type="paragraph" w:customStyle="1" w:styleId="Bullet2006GL">
    <w:name w:val="Bullet 2006GL"/>
    <w:basedOn w:val="BodyText2006GL"/>
    <w:rsid w:val="00696CB5"/>
    <w:pPr>
      <w:tabs>
        <w:tab w:val="left" w:pos="360"/>
      </w:tabs>
      <w:ind w:left="357" w:hanging="357"/>
    </w:pPr>
  </w:style>
  <w:style w:type="paragraph" w:customStyle="1" w:styleId="BodyText2006GL">
    <w:name w:val="Body Text 2006GL"/>
    <w:basedOn w:val="Normal"/>
    <w:rsid w:val="00696CB5"/>
    <w:pPr>
      <w:spacing w:after="120"/>
      <w:jc w:val="both"/>
    </w:pPr>
    <w:rPr>
      <w:color w:val="auto"/>
      <w:sz w:val="20"/>
      <w:lang w:eastAsia="fr-FR"/>
    </w:rPr>
  </w:style>
  <w:style w:type="paragraph" w:customStyle="1" w:styleId="TabletextBullet2006GL">
    <w:name w:val="Table text Bullet 2006GL"/>
    <w:basedOn w:val="BodyText2006GL"/>
    <w:rsid w:val="00696CB5"/>
    <w:pPr>
      <w:keepNext/>
      <w:tabs>
        <w:tab w:val="left" w:pos="360"/>
      </w:tabs>
      <w:spacing w:before="40" w:after="40"/>
      <w:ind w:left="341" w:right="57" w:hanging="284"/>
    </w:pPr>
    <w:rPr>
      <w:sz w:val="18"/>
    </w:rPr>
  </w:style>
  <w:style w:type="paragraph" w:customStyle="1" w:styleId="AnnexSubhead3IPCCGP">
    <w:name w:val="Annex Subhead 3 IPCC GP"/>
    <w:basedOn w:val="Normal"/>
    <w:rsid w:val="00696CB5"/>
    <w:pPr>
      <w:keepNext/>
      <w:keepLines/>
      <w:tabs>
        <w:tab w:val="left" w:pos="851"/>
        <w:tab w:val="left" w:pos="1440"/>
      </w:tabs>
      <w:spacing w:before="240"/>
      <w:ind w:left="1440" w:hanging="360"/>
      <w:jc w:val="both"/>
    </w:pPr>
    <w:rPr>
      <w:b/>
      <w:color w:val="auto"/>
      <w:spacing w:val="30"/>
      <w:lang w:eastAsia="fr-FR"/>
    </w:rPr>
  </w:style>
  <w:style w:type="paragraph" w:customStyle="1" w:styleId="BulletIPCCGP">
    <w:name w:val="Bullet IPCC GP"/>
    <w:basedOn w:val="Normal"/>
    <w:rsid w:val="00696CB5"/>
    <w:pPr>
      <w:tabs>
        <w:tab w:val="left" w:pos="360"/>
      </w:tabs>
      <w:spacing w:after="120"/>
      <w:ind w:left="340" w:hanging="340"/>
      <w:jc w:val="both"/>
    </w:pPr>
    <w:rPr>
      <w:color w:val="auto"/>
      <w:sz w:val="20"/>
      <w:lang w:eastAsia="fr-FR"/>
    </w:rPr>
  </w:style>
  <w:style w:type="paragraph" w:customStyle="1" w:styleId="BulletIPCCGPnextlevel">
    <w:name w:val="Bullet IPCC GP next level"/>
    <w:basedOn w:val="BulletIPCCGP"/>
    <w:rsid w:val="00696CB5"/>
    <w:pPr>
      <w:tabs>
        <w:tab w:val="left" w:pos="432"/>
      </w:tabs>
      <w:ind w:left="432" w:hanging="432"/>
    </w:pPr>
    <w:rPr>
      <w:color w:val="000000"/>
    </w:rPr>
  </w:style>
  <w:style w:type="paragraph" w:customStyle="1" w:styleId="EquatTITLE2006GL">
    <w:name w:val="EquatTITLE 2006GL"/>
    <w:basedOn w:val="Equtxt2006GL"/>
    <w:rsid w:val="00696CB5"/>
    <w:rPr>
      <w:b/>
      <w:smallCaps/>
    </w:rPr>
  </w:style>
  <w:style w:type="paragraph" w:customStyle="1" w:styleId="Equtxt2006GL">
    <w:name w:val="Equtxt 2006GL"/>
    <w:basedOn w:val="BodyText2006GL"/>
    <w:rsid w:val="00696CB5"/>
    <w:pPr>
      <w:keepNext/>
      <w:keepLines/>
      <w:pBdr>
        <w:top w:val="single" w:sz="12" w:space="5" w:color="auto"/>
        <w:left w:val="single" w:sz="12" w:space="5" w:color="auto"/>
        <w:bottom w:val="single" w:sz="12" w:space="5" w:color="auto"/>
        <w:right w:val="single" w:sz="12" w:space="5" w:color="auto"/>
      </w:pBdr>
      <w:spacing w:before="40" w:after="40"/>
      <w:ind w:left="562" w:right="562"/>
      <w:jc w:val="center"/>
    </w:pPr>
  </w:style>
  <w:style w:type="paragraph" w:customStyle="1" w:styleId="Equationdefinition2006GL">
    <w:name w:val="Equation definition 2006GL"/>
    <w:basedOn w:val="BodyText2006GL"/>
    <w:rsid w:val="00696CB5"/>
    <w:pPr>
      <w:ind w:left="924" w:hanging="357"/>
    </w:pPr>
  </w:style>
  <w:style w:type="paragraph" w:customStyle="1" w:styleId="NormalIPCCGP">
    <w:name w:val="Normal IPCC GP"/>
    <w:basedOn w:val="Normal"/>
    <w:rsid w:val="00696CB5"/>
    <w:pPr>
      <w:spacing w:after="120"/>
    </w:pPr>
    <w:rPr>
      <w:color w:val="auto"/>
      <w:sz w:val="20"/>
      <w:lang w:eastAsia="fr-FR"/>
    </w:rPr>
  </w:style>
  <w:style w:type="paragraph" w:customStyle="1" w:styleId="spip">
    <w:name w:val="spip"/>
    <w:basedOn w:val="Normal"/>
    <w:rsid w:val="00696CB5"/>
    <w:pPr>
      <w:spacing w:before="100" w:after="100"/>
    </w:pPr>
    <w:rPr>
      <w:color w:val="auto"/>
      <w:lang w:val="fr-FR" w:eastAsia="fr-FR"/>
    </w:rPr>
  </w:style>
  <w:style w:type="paragraph" w:customStyle="1" w:styleId="StyleStyleHeading311ptAfter12ptBefore0ptLeft">
    <w:name w:val="Style Style Heading 3 + 11 pt After:  12 pt + Before:  0 pt + Left"/>
    <w:basedOn w:val="Heading2"/>
    <w:rsid w:val="00696CB5"/>
    <w:pPr>
      <w:widowControl/>
      <w:tabs>
        <w:tab w:val="left" w:pos="851"/>
        <w:tab w:val="left" w:pos="900"/>
      </w:tabs>
      <w:adjustRightInd/>
      <w:spacing w:after="120"/>
      <w:ind w:left="902" w:right="0" w:hanging="902"/>
      <w:outlineLvl w:val="9"/>
    </w:pPr>
    <w:rPr>
      <w:b w:val="0"/>
      <w:i/>
      <w:snapToGrid/>
      <w:lang w:val="en-GB"/>
    </w:rPr>
  </w:style>
  <w:style w:type="character" w:customStyle="1" w:styleId="TOC3Char">
    <w:name w:val="TOC 3 Char"/>
    <w:rsid w:val="00696CB5"/>
    <w:rPr>
      <w:i/>
      <w:noProof w:val="0"/>
      <w:lang w:val="en-US"/>
    </w:rPr>
  </w:style>
  <w:style w:type="paragraph" w:customStyle="1" w:styleId="ecxmsonormal">
    <w:name w:val="ecxmsonormal"/>
    <w:basedOn w:val="Normal"/>
    <w:rsid w:val="00696CB5"/>
    <w:pPr>
      <w:spacing w:after="0"/>
    </w:pPr>
    <w:rPr>
      <w:color w:val="auto"/>
      <w:lang w:val="pt-BR" w:eastAsia="fr-FR"/>
    </w:rPr>
  </w:style>
  <w:style w:type="paragraph" w:customStyle="1" w:styleId="14TableHeading">
    <w:name w:val="14. Table Heading"/>
    <w:basedOn w:val="Normal"/>
    <w:qFormat/>
    <w:rsid w:val="00696CB5"/>
    <w:pPr>
      <w:spacing w:after="0"/>
      <w:ind w:left="720" w:hanging="360"/>
      <w:jc w:val="center"/>
    </w:pPr>
    <w:rPr>
      <w:rFonts w:ascii="AGaramond" w:eastAsia="Calibri" w:hAnsi="AGaramond"/>
      <w:b/>
      <w:color w:val="auto"/>
      <w:sz w:val="20"/>
      <w:lang w:val="en-US" w:eastAsia="fr-FR"/>
    </w:rPr>
  </w:style>
  <w:style w:type="paragraph" w:customStyle="1" w:styleId="16TableText">
    <w:name w:val="16. Table Text"/>
    <w:basedOn w:val="Normal"/>
    <w:qFormat/>
    <w:rsid w:val="00696CB5"/>
    <w:pPr>
      <w:spacing w:after="0"/>
      <w:ind w:left="720" w:hanging="360"/>
      <w:jc w:val="center"/>
    </w:pPr>
    <w:rPr>
      <w:rFonts w:ascii="Garamond" w:eastAsia="Calibri" w:hAnsi="Garamond"/>
      <w:color w:val="auto"/>
      <w:sz w:val="21"/>
      <w:lang w:val="en-US" w:eastAsia="fr-FR"/>
    </w:rPr>
  </w:style>
  <w:style w:type="paragraph" w:customStyle="1" w:styleId="06BodyMaintext">
    <w:name w:val="06. Body [Main text]"/>
    <w:basedOn w:val="Normal"/>
    <w:qFormat/>
    <w:rsid w:val="00696CB5"/>
    <w:pPr>
      <w:widowControl w:val="0"/>
      <w:autoSpaceDE w:val="0"/>
      <w:autoSpaceDN w:val="0"/>
      <w:adjustRightInd w:val="0"/>
      <w:spacing w:after="0" w:line="288" w:lineRule="auto"/>
      <w:ind w:firstLine="446"/>
      <w:jc w:val="both"/>
      <w:textAlignment w:val="center"/>
    </w:pPr>
    <w:rPr>
      <w:rFonts w:ascii="Garamond" w:eastAsia="Calibri" w:hAnsi="Garamond"/>
      <w:sz w:val="21"/>
      <w:lang w:val="en-US" w:eastAsia="fr-FR"/>
    </w:rPr>
  </w:style>
  <w:style w:type="character" w:customStyle="1" w:styleId="IntenseEmphasis1">
    <w:name w:val="Intense Emphasis1"/>
    <w:qFormat/>
    <w:rsid w:val="00696CB5"/>
    <w:rPr>
      <w:i/>
      <w:iCs/>
      <w:color w:val="008080"/>
    </w:rPr>
  </w:style>
  <w:style w:type="paragraph" w:customStyle="1" w:styleId="FarbigeListe-Akzent11">
    <w:name w:val="Farbige Liste - Akzent 11"/>
    <w:basedOn w:val="Normal"/>
    <w:qFormat/>
    <w:rsid w:val="00696CB5"/>
    <w:pPr>
      <w:autoSpaceDE w:val="0"/>
      <w:autoSpaceDN w:val="0"/>
      <w:spacing w:after="200" w:line="276" w:lineRule="auto"/>
    </w:pPr>
    <w:rPr>
      <w:rFonts w:ascii="Cambria" w:hAnsi="Cambria"/>
      <w:color w:val="auto"/>
      <w:lang w:val="de-DE" w:eastAsia="fr-FR"/>
    </w:rPr>
  </w:style>
  <w:style w:type="character" w:customStyle="1" w:styleId="Corpsdetexte2Car">
    <w:name w:val="Corps de texte 2 Car"/>
    <w:semiHidden/>
    <w:rsid w:val="00696CB5"/>
    <w:rPr>
      <w:rFonts w:ascii="Times New Roman" w:eastAsia="Times New Roman" w:hAnsi="Times New Roman" w:cs="Times New Roman"/>
      <w:noProof w:val="0"/>
      <w:sz w:val="24"/>
      <w:szCs w:val="20"/>
      <w:lang w:val="en-US" w:eastAsia="fr-FR"/>
    </w:rPr>
  </w:style>
  <w:style w:type="character" w:customStyle="1" w:styleId="Retraitcorpsdetexte2Car">
    <w:name w:val="Retrait corps de texte 2 Car"/>
    <w:semiHidden/>
    <w:rsid w:val="00696CB5"/>
    <w:rPr>
      <w:rFonts w:ascii="Times New Roman" w:eastAsia="Times New Roman" w:hAnsi="Times New Roman" w:cs="Times New Roman"/>
      <w:noProof w:val="0"/>
      <w:sz w:val="24"/>
      <w:szCs w:val="20"/>
      <w:lang w:val="en-US" w:eastAsia="fr-FR"/>
    </w:rPr>
  </w:style>
  <w:style w:type="paragraph" w:customStyle="1" w:styleId="FarbigeListe-Akzent12">
    <w:name w:val="Farbige Liste - Akzent 12"/>
    <w:basedOn w:val="Normal"/>
    <w:qFormat/>
    <w:rsid w:val="00696CB5"/>
    <w:pPr>
      <w:autoSpaceDE w:val="0"/>
      <w:autoSpaceDN w:val="0"/>
      <w:spacing w:after="200" w:line="276" w:lineRule="auto"/>
      <w:ind w:left="720"/>
    </w:pPr>
    <w:rPr>
      <w:rFonts w:ascii="Cambria" w:hAnsi="Cambria"/>
      <w:color w:val="auto"/>
      <w:lang w:val="de-DE" w:eastAsia="fr-FR"/>
    </w:rPr>
  </w:style>
  <w:style w:type="character" w:customStyle="1" w:styleId="BodyText2Char1">
    <w:name w:val="Body Text 2 Char1"/>
    <w:link w:val="BodyText2"/>
    <w:rsid w:val="00696CB5"/>
    <w:rPr>
      <w:rFonts w:ascii="Times New Roman" w:hAnsi="Times New Roman"/>
      <w:sz w:val="48"/>
      <w:lang w:val="en-GB" w:eastAsia="zh-CN"/>
    </w:rPr>
  </w:style>
  <w:style w:type="paragraph" w:customStyle="1" w:styleId="21">
    <w:name w:val="Θέμα σχολίου2"/>
    <w:basedOn w:val="CommentText"/>
    <w:next w:val="CommentText"/>
    <w:rsid w:val="00696CB5"/>
    <w:pPr>
      <w:widowControl/>
      <w:spacing w:after="0"/>
    </w:pPr>
    <w:rPr>
      <w:rFonts w:ascii="Times New Roman" w:hAnsi="Times New Roman"/>
      <w:b/>
      <w:lang w:val="en-US" w:eastAsia="fr-FR"/>
    </w:rPr>
  </w:style>
  <w:style w:type="paragraph" w:customStyle="1" w:styleId="22">
    <w:name w:val="Λίστα2"/>
    <w:basedOn w:val="Normal"/>
    <w:rsid w:val="00696CB5"/>
    <w:pPr>
      <w:tabs>
        <w:tab w:val="left" w:pos="810"/>
      </w:tabs>
      <w:spacing w:before="120" w:after="120"/>
      <w:ind w:left="810" w:hanging="360"/>
    </w:pPr>
    <w:rPr>
      <w:color w:val="auto"/>
      <w:lang w:val="en-US" w:eastAsia="fr-FR"/>
    </w:rPr>
  </w:style>
  <w:style w:type="character" w:customStyle="1" w:styleId="Heading6Char1">
    <w:name w:val="Heading 6 Char1"/>
    <w:aliases w:val="Subpara 3 Char1"/>
    <w:link w:val="Heading6"/>
    <w:rsid w:val="00543531"/>
    <w:rPr>
      <w:rFonts w:ascii="Times New Roman" w:hAnsi="Times New Roman"/>
      <w:color w:val="000000"/>
      <w:sz w:val="22"/>
      <w:lang w:val="en-GB" w:eastAsia="zh-CN"/>
    </w:rPr>
  </w:style>
  <w:style w:type="character" w:styleId="PlaceholderText">
    <w:name w:val="Placeholder Text"/>
    <w:basedOn w:val="DefaultParagraphFont"/>
    <w:uiPriority w:val="99"/>
    <w:semiHidden/>
    <w:rsid w:val="00696CB5"/>
    <w:rPr>
      <w:color w:val="808080"/>
    </w:rPr>
  </w:style>
  <w:style w:type="paragraph" w:customStyle="1" w:styleId="Overskrift11">
    <w:name w:val="Overskrift 11"/>
    <w:basedOn w:val="Normal"/>
    <w:next w:val="Normal"/>
    <w:rsid w:val="00696CB5"/>
    <w:pPr>
      <w:keepNext/>
      <w:widowControl w:val="0"/>
      <w:spacing w:before="240" w:after="60"/>
    </w:pPr>
    <w:rPr>
      <w:b/>
      <w:color w:val="auto"/>
      <w:kern w:val="28"/>
      <w:sz w:val="28"/>
      <w:lang w:val="nb-NO" w:eastAsia="fr-FR"/>
    </w:rPr>
  </w:style>
  <w:style w:type="paragraph" w:customStyle="1" w:styleId="Overskrift21">
    <w:name w:val="Overskrift 21"/>
    <w:basedOn w:val="Normal"/>
    <w:next w:val="Normal"/>
    <w:rsid w:val="00696CB5"/>
    <w:pPr>
      <w:keepNext/>
      <w:widowControl w:val="0"/>
      <w:spacing w:before="240" w:after="60"/>
    </w:pPr>
    <w:rPr>
      <w:b/>
      <w:color w:val="auto"/>
      <w:lang w:val="nb-NO" w:eastAsia="fr-FR"/>
    </w:rPr>
  </w:style>
  <w:style w:type="paragraph" w:customStyle="1" w:styleId="Overskrift31">
    <w:name w:val="Overskrift 31"/>
    <w:basedOn w:val="Normal"/>
    <w:next w:val="Normal"/>
    <w:rsid w:val="00696CB5"/>
    <w:pPr>
      <w:keepNext/>
      <w:widowControl w:val="0"/>
      <w:spacing w:before="240" w:after="60"/>
    </w:pPr>
    <w:rPr>
      <w:color w:val="auto"/>
      <w:lang w:val="nb-NO" w:eastAsia="fr-FR"/>
    </w:rPr>
  </w:style>
  <w:style w:type="paragraph" w:customStyle="1" w:styleId="List1">
    <w:name w:val="List1"/>
    <w:basedOn w:val="Normal"/>
    <w:autoRedefine/>
    <w:rsid w:val="00696CB5"/>
    <w:pPr>
      <w:numPr>
        <w:numId w:val="49"/>
      </w:numPr>
      <w:spacing w:before="120" w:after="120"/>
    </w:pPr>
    <w:rPr>
      <w:color w:val="auto"/>
      <w:lang w:val="en-US" w:eastAsia="fr-FR"/>
    </w:rPr>
  </w:style>
  <w:style w:type="character" w:customStyle="1" w:styleId="nrTitle04Carattere">
    <w:name w:val="nr Title 04 Carattere"/>
    <w:link w:val="nrTitle04"/>
    <w:rsid w:val="00696CB5"/>
    <w:rPr>
      <w:i/>
      <w:sz w:val="24"/>
      <w:lang w:eastAsia="fr-FR"/>
    </w:rPr>
  </w:style>
  <w:style w:type="paragraph" w:customStyle="1" w:styleId="nrTitle04">
    <w:name w:val="nr Title 04"/>
    <w:basedOn w:val="Heading1"/>
    <w:link w:val="nrTitle04Carattere"/>
    <w:rsid w:val="00696CB5"/>
    <w:pPr>
      <w:keepNext w:val="0"/>
      <w:tabs>
        <w:tab w:val="left" w:pos="1080"/>
      </w:tabs>
      <w:spacing w:before="60" w:after="60"/>
      <w:ind w:left="0" w:firstLine="0"/>
      <w:outlineLvl w:val="3"/>
    </w:pPr>
    <w:rPr>
      <w:rFonts w:ascii="Times" w:hAnsi="Times"/>
      <w:b w:val="0"/>
      <w:i/>
      <w:color w:val="auto"/>
      <w:sz w:val="24"/>
      <w:lang w:eastAsia="fr-FR"/>
    </w:rPr>
  </w:style>
  <w:style w:type="paragraph" w:customStyle="1" w:styleId="CabealhoeRodap">
    <w:name w:val="Cabeçalho e Rodapé"/>
    <w:rsid w:val="00696CB5"/>
    <w:pPr>
      <w:tabs>
        <w:tab w:val="right" w:pos="9020"/>
      </w:tabs>
    </w:pPr>
    <w:rPr>
      <w:rFonts w:ascii="Helvetica Neue" w:eastAsia="Arial Unicode MS" w:hAnsi="Helvetica Neue" w:cs="Arial Unicode MS"/>
      <w:color w:val="000000"/>
      <w:sz w:val="24"/>
      <w:szCs w:val="24"/>
      <w:lang w:val="de-DE" w:eastAsia="de-DE"/>
    </w:rPr>
  </w:style>
  <w:style w:type="paragraph" w:customStyle="1" w:styleId="TtuloA">
    <w:name w:val="Título A"/>
    <w:next w:val="CorpoA"/>
    <w:rsid w:val="00696CB5"/>
    <w:pPr>
      <w:keepNext/>
      <w:keepLines/>
      <w:spacing w:before="480" w:after="200" w:line="276" w:lineRule="auto"/>
      <w:outlineLvl w:val="0"/>
    </w:pPr>
    <w:rPr>
      <w:rFonts w:ascii="Calibri" w:eastAsia="Arial Unicode MS" w:hAnsi="Calibri" w:cs="Arial Unicode MS"/>
      <w:b/>
      <w:bCs/>
      <w:color w:val="365F91"/>
      <w:sz w:val="28"/>
      <w:szCs w:val="28"/>
      <w:u w:color="365F91"/>
      <w:lang w:val="it-IT" w:eastAsia="de-DE"/>
    </w:rPr>
  </w:style>
  <w:style w:type="character" w:customStyle="1" w:styleId="Nenhum">
    <w:name w:val="Nenhum"/>
    <w:autoRedefine/>
    <w:rsid w:val="00696CB5"/>
  </w:style>
  <w:style w:type="character" w:customStyle="1" w:styleId="Hyperlink0">
    <w:name w:val="Hyperlink.0"/>
    <w:autoRedefine/>
    <w:rsid w:val="00696CB5"/>
    <w:rPr>
      <w:color w:val="0000FF"/>
      <w:u w:val="single" w:color="0000FF"/>
      <w:lang w:val="en-US"/>
    </w:rPr>
  </w:style>
  <w:style w:type="numbering" w:customStyle="1" w:styleId="Marcadores">
    <w:name w:val="Marcadores"/>
    <w:rsid w:val="00696CB5"/>
  </w:style>
  <w:style w:type="paragraph" w:customStyle="1" w:styleId="Padro">
    <w:name w:val="Padrão"/>
    <w:autoRedefine/>
    <w:rsid w:val="00696CB5"/>
    <w:rPr>
      <w:rFonts w:ascii="Helvetica" w:eastAsia="Helvetica" w:hAnsi="Helvetica" w:cs="Helvetica"/>
      <w:color w:val="000000"/>
      <w:sz w:val="22"/>
      <w:szCs w:val="22"/>
      <w:u w:color="000000"/>
      <w:lang w:val="da-DK" w:eastAsia="de-DE"/>
    </w:rPr>
  </w:style>
  <w:style w:type="character" w:customStyle="1" w:styleId="Hyperlink1">
    <w:name w:val="Hyperlink.1"/>
    <w:autoRedefine/>
    <w:rsid w:val="00696CB5"/>
    <w:rPr>
      <w:color w:val="0000FF"/>
      <w:u w:val="single" w:color="0000FF"/>
    </w:rPr>
  </w:style>
  <w:style w:type="character" w:customStyle="1" w:styleId="Hyperlink2">
    <w:name w:val="Hyperlink.2"/>
    <w:autoRedefine/>
    <w:rsid w:val="00696CB5"/>
    <w:rPr>
      <w:color w:val="0000FF"/>
      <w:u w:val="single" w:color="0000FF"/>
      <w:lang w:val="it-IT"/>
    </w:rPr>
  </w:style>
  <w:style w:type="character" w:customStyle="1" w:styleId="Hyperlink3">
    <w:name w:val="Hyperlink.3"/>
    <w:rsid w:val="00696CB5"/>
    <w:rPr>
      <w:lang w:val="en-US"/>
    </w:rPr>
  </w:style>
  <w:style w:type="character" w:customStyle="1" w:styleId="Hyperlink4">
    <w:name w:val="Hyperlink.4"/>
    <w:rsid w:val="00696CB5"/>
    <w:rPr>
      <w:color w:val="0000FF"/>
      <w:u w:val="single" w:color="0000FF"/>
      <w:lang w:val="en-US"/>
    </w:rPr>
  </w:style>
  <w:style w:type="character" w:customStyle="1" w:styleId="Hyperlink5">
    <w:name w:val="Hyperlink.5"/>
    <w:rsid w:val="00696CB5"/>
    <w:rPr>
      <w:color w:val="0000FF"/>
      <w:u w:val="single" w:color="0000FF"/>
      <w:lang w:val="da-DK"/>
    </w:rPr>
  </w:style>
  <w:style w:type="character" w:customStyle="1" w:styleId="NichtaufgelsteErwhnung1">
    <w:name w:val="Nicht aufgelöste Erwähnung1"/>
    <w:uiPriority w:val="99"/>
    <w:semiHidden/>
    <w:unhideWhenUsed/>
    <w:rsid w:val="00696CB5"/>
    <w:rPr>
      <w:color w:val="808080"/>
      <w:shd w:val="clear" w:color="auto" w:fill="E6E6E6"/>
    </w:rPr>
  </w:style>
  <w:style w:type="paragraph" w:customStyle="1" w:styleId="inbox-inbox-corpoa">
    <w:name w:val="inbox-inbox-corpoa"/>
    <w:basedOn w:val="Normal"/>
    <w:rsid w:val="00696CB5"/>
    <w:pPr>
      <w:spacing w:before="100" w:beforeAutospacing="1" w:after="100" w:afterAutospacing="1"/>
      <w:jc w:val="both"/>
    </w:pPr>
    <w:rPr>
      <w:rFonts w:eastAsiaTheme="minorHAnsi"/>
      <w:color w:val="auto"/>
      <w:szCs w:val="24"/>
      <w:u w:color="000000"/>
      <w:lang w:eastAsia="en-GB"/>
    </w:rPr>
  </w:style>
  <w:style w:type="character" w:customStyle="1" w:styleId="inbox-inbox-nenhum">
    <w:name w:val="inbox-inbox-nenhum"/>
    <w:basedOn w:val="DefaultParagraphFont"/>
    <w:rsid w:val="00696CB5"/>
  </w:style>
  <w:style w:type="character" w:customStyle="1" w:styleId="shorttext">
    <w:name w:val="short_text"/>
    <w:basedOn w:val="DefaultParagraphFont"/>
    <w:rsid w:val="00696CB5"/>
  </w:style>
  <w:style w:type="character" w:customStyle="1" w:styleId="reference-accessdate">
    <w:name w:val="reference-accessdate"/>
    <w:basedOn w:val="DefaultParagraphFont"/>
    <w:rsid w:val="00696CB5"/>
  </w:style>
  <w:style w:type="character" w:customStyle="1" w:styleId="nowrap">
    <w:name w:val="nowrap"/>
    <w:basedOn w:val="DefaultParagraphFont"/>
    <w:rsid w:val="00696CB5"/>
  </w:style>
  <w:style w:type="numbering" w:customStyle="1" w:styleId="EstiloImportado1">
    <w:name w:val="Estilo Importado 1"/>
    <w:rsid w:val="00696CB5"/>
    <w:pPr>
      <w:numPr>
        <w:numId w:val="50"/>
      </w:numPr>
    </w:pPr>
  </w:style>
  <w:style w:type="paragraph" w:customStyle="1" w:styleId="Bibliography1">
    <w:name w:val="Bibliography1"/>
    <w:basedOn w:val="Normal"/>
    <w:rsid w:val="00696CB5"/>
    <w:pPr>
      <w:numPr>
        <w:numId w:val="51"/>
      </w:numPr>
      <w:tabs>
        <w:tab w:val="clear" w:pos="360"/>
        <w:tab w:val="left" w:pos="660"/>
      </w:tabs>
      <w:spacing w:line="230" w:lineRule="atLeast"/>
      <w:ind w:left="660" w:hanging="660"/>
      <w:jc w:val="both"/>
    </w:pPr>
    <w:rPr>
      <w:rFonts w:ascii="Arial" w:eastAsia="MS Mincho" w:hAnsi="Arial"/>
      <w:color w:val="auto"/>
      <w:sz w:val="20"/>
      <w:u w:color="000000"/>
      <w:lang w:eastAsia="ja-JP"/>
    </w:rPr>
  </w:style>
  <w:style w:type="paragraph" w:customStyle="1" w:styleId="Sprechblasentext">
    <w:name w:val="Sprechblasentext"/>
    <w:basedOn w:val="Normal"/>
    <w:semiHidden/>
    <w:rsid w:val="00696CB5"/>
    <w:pPr>
      <w:spacing w:after="0"/>
    </w:pPr>
    <w:rPr>
      <w:rFonts w:ascii="Tahoma" w:hAnsi="Tahoma"/>
      <w:color w:val="auto"/>
      <w:sz w:val="16"/>
      <w:lang w:val="de-DE" w:eastAsia="fr-FR"/>
    </w:rPr>
  </w:style>
  <w:style w:type="paragraph" w:customStyle="1" w:styleId="FarbigeListe-Akzent1">
    <w:name w:val="Farbige Liste - Akzent 1"/>
    <w:basedOn w:val="Normal"/>
    <w:qFormat/>
    <w:rsid w:val="00696CB5"/>
    <w:pPr>
      <w:autoSpaceDE w:val="0"/>
      <w:autoSpaceDN w:val="0"/>
      <w:spacing w:after="200" w:line="276" w:lineRule="auto"/>
      <w:ind w:left="720"/>
    </w:pPr>
    <w:rPr>
      <w:rFonts w:ascii="Cambria" w:hAnsi="Cambria"/>
      <w:color w:val="auto"/>
      <w:sz w:val="24"/>
      <w:lang w:val="de-DE" w:eastAsia="fr-FR"/>
    </w:rPr>
  </w:style>
  <w:style w:type="paragraph" w:customStyle="1" w:styleId="m-784260629552474858msolistparagraph">
    <w:name w:val="m_-784260629552474858msolistparagraph"/>
    <w:basedOn w:val="Normal"/>
    <w:rsid w:val="00696CB5"/>
    <w:pPr>
      <w:spacing w:before="100" w:beforeAutospacing="1" w:after="100" w:afterAutospacing="1"/>
    </w:pPr>
    <w:rPr>
      <w:color w:val="auto"/>
      <w:sz w:val="24"/>
      <w:szCs w:val="24"/>
      <w:lang w:val="en-US" w:eastAsia="en-US"/>
    </w:rPr>
  </w:style>
  <w:style w:type="paragraph" w:customStyle="1" w:styleId="BBTitle">
    <w:name w:val="BB_Title"/>
    <w:basedOn w:val="Normal"/>
    <w:rsid w:val="00696CB5"/>
    <w:pPr>
      <w:keepNext/>
      <w:keepLines/>
      <w:suppressAutoHyphens/>
      <w:spacing w:before="320"/>
      <w:ind w:left="1247" w:right="567"/>
    </w:pPr>
    <w:rPr>
      <w:b/>
      <w:color w:val="auto"/>
      <w:sz w:val="28"/>
      <w:szCs w:val="28"/>
      <w:lang w:eastAsia="en-US"/>
    </w:rPr>
  </w:style>
  <w:style w:type="numbering" w:customStyle="1" w:styleId="Normallist">
    <w:name w:val="Normal_list"/>
    <w:basedOn w:val="NoList"/>
    <w:rsid w:val="00696CB5"/>
    <w:pPr>
      <w:numPr>
        <w:numId w:val="52"/>
      </w:numPr>
    </w:pPr>
  </w:style>
  <w:style w:type="paragraph" w:customStyle="1" w:styleId="NormalNonumber">
    <w:name w:val="Normal_No_number"/>
    <w:basedOn w:val="Normal"/>
    <w:link w:val="NormalNonumberChar"/>
    <w:uiPriority w:val="99"/>
    <w:qFormat/>
    <w:rsid w:val="00696CB5"/>
    <w:pPr>
      <w:spacing w:after="120"/>
      <w:ind w:left="1247"/>
    </w:pPr>
    <w:rPr>
      <w:color w:val="auto"/>
      <w:sz w:val="20"/>
      <w:lang w:eastAsia="en-US"/>
    </w:rPr>
  </w:style>
  <w:style w:type="paragraph" w:customStyle="1" w:styleId="Normalnumber">
    <w:name w:val="Normal_number"/>
    <w:basedOn w:val="Normal"/>
    <w:link w:val="NormalnumberChar"/>
    <w:rsid w:val="00696CB5"/>
    <w:pPr>
      <w:spacing w:after="120"/>
    </w:pPr>
    <w:rPr>
      <w:color w:val="auto"/>
      <w:sz w:val="20"/>
      <w:lang w:eastAsia="en-US"/>
    </w:rPr>
  </w:style>
  <w:style w:type="character" w:customStyle="1" w:styleId="NormalNonumberChar">
    <w:name w:val="Normal_No_number Char"/>
    <w:link w:val="NormalNonumber"/>
    <w:locked/>
    <w:rsid w:val="00696CB5"/>
    <w:rPr>
      <w:rFonts w:ascii="Times New Roman" w:hAnsi="Times New Roman"/>
      <w:lang w:val="en-GB"/>
    </w:rPr>
  </w:style>
  <w:style w:type="character" w:customStyle="1" w:styleId="NormalnumberChar">
    <w:name w:val="Normal_number Char"/>
    <w:link w:val="Normalnumber"/>
    <w:locked/>
    <w:rsid w:val="00696CB5"/>
    <w:rPr>
      <w:rFonts w:ascii="Times New Roman" w:hAnsi="Times New Roman"/>
      <w:lang w:val="en-GB"/>
    </w:rPr>
  </w:style>
  <w:style w:type="paragraph" w:customStyle="1" w:styleId="CH2">
    <w:name w:val="CH2"/>
    <w:basedOn w:val="Normal"/>
    <w:next w:val="Normalnumber"/>
    <w:link w:val="CH2Char"/>
    <w:rsid w:val="00696CB5"/>
    <w:pPr>
      <w:keepNext/>
      <w:keepLines/>
      <w:tabs>
        <w:tab w:val="right" w:pos="851"/>
        <w:tab w:val="left" w:pos="1247"/>
        <w:tab w:val="left" w:pos="1814"/>
        <w:tab w:val="left" w:pos="2381"/>
        <w:tab w:val="left" w:pos="2948"/>
        <w:tab w:val="left" w:pos="3515"/>
      </w:tabs>
      <w:suppressAutoHyphens/>
      <w:spacing w:before="80" w:after="120"/>
      <w:ind w:left="1247" w:right="284" w:hanging="1247"/>
    </w:pPr>
    <w:rPr>
      <w:b/>
      <w:color w:val="auto"/>
      <w:sz w:val="24"/>
      <w:szCs w:val="24"/>
      <w:lang w:eastAsia="en-US"/>
    </w:rPr>
  </w:style>
  <w:style w:type="paragraph" w:customStyle="1" w:styleId="Normalpool">
    <w:name w:val="Normal_pool"/>
    <w:link w:val="NormalpoolChar"/>
    <w:rsid w:val="00696CB5"/>
    <w:pPr>
      <w:tabs>
        <w:tab w:val="left" w:pos="1253"/>
        <w:tab w:val="left" w:pos="1814"/>
        <w:tab w:val="left" w:pos="2376"/>
        <w:tab w:val="left" w:pos="2952"/>
        <w:tab w:val="left" w:pos="3514"/>
      </w:tabs>
    </w:pPr>
    <w:rPr>
      <w:rFonts w:ascii="Times New Roman" w:hAnsi="Times New Roman"/>
      <w:lang w:val="en-GB"/>
    </w:rPr>
  </w:style>
  <w:style w:type="character" w:customStyle="1" w:styleId="NormalpoolChar">
    <w:name w:val="Normal_pool Char"/>
    <w:link w:val="Normalpool"/>
    <w:locked/>
    <w:rsid w:val="00696CB5"/>
    <w:rPr>
      <w:rFonts w:ascii="Times New Roman" w:hAnsi="Times New Roman"/>
      <w:lang w:val="en-GB"/>
    </w:rPr>
  </w:style>
  <w:style w:type="character" w:customStyle="1" w:styleId="CH2Char">
    <w:name w:val="CH2 Char"/>
    <w:link w:val="CH2"/>
    <w:locked/>
    <w:rsid w:val="00696CB5"/>
    <w:rPr>
      <w:rFonts w:ascii="Times New Roman" w:hAnsi="Times New Roman"/>
      <w:b/>
      <w:sz w:val="24"/>
      <w:szCs w:val="24"/>
      <w:lang w:val="en-GB"/>
    </w:rPr>
  </w:style>
  <w:style w:type="paragraph" w:customStyle="1" w:styleId="AATitle">
    <w:name w:val="AA_Title"/>
    <w:basedOn w:val="Normalpool"/>
    <w:rsid w:val="00696CB5"/>
    <w:pPr>
      <w:keepNext/>
      <w:keepLines/>
      <w:tabs>
        <w:tab w:val="clear" w:pos="1253"/>
        <w:tab w:val="clear" w:pos="2376"/>
        <w:tab w:val="clear" w:pos="2952"/>
        <w:tab w:val="clear" w:pos="3514"/>
        <w:tab w:val="left" w:pos="1247"/>
        <w:tab w:val="left" w:pos="2381"/>
        <w:tab w:val="left" w:pos="2948"/>
        <w:tab w:val="left" w:pos="3515"/>
        <w:tab w:val="left" w:pos="4082"/>
      </w:tabs>
      <w:suppressAutoHyphens/>
      <w:ind w:right="5103"/>
    </w:pPr>
    <w:rPr>
      <w:b/>
    </w:rPr>
  </w:style>
  <w:style w:type="character" w:customStyle="1" w:styleId="FooterChar1">
    <w:name w:val="Footer Char1"/>
    <w:link w:val="Footer"/>
    <w:uiPriority w:val="99"/>
    <w:rsid w:val="00696CB5"/>
    <w:rPr>
      <w:rFonts w:ascii="Times New Roman" w:hAnsi="Times New Roman"/>
      <w:color w:val="000000"/>
      <w:sz w:val="22"/>
      <w:lang w:val="en-GB" w:eastAsia="zh-CN"/>
    </w:rPr>
  </w:style>
  <w:style w:type="character" w:customStyle="1" w:styleId="Date1">
    <w:name w:val="Date1"/>
    <w:basedOn w:val="DefaultParagraphFont"/>
    <w:rsid w:val="00696CB5"/>
  </w:style>
  <w:style w:type="character" w:customStyle="1" w:styleId="Title10">
    <w:name w:val="Title1"/>
    <w:basedOn w:val="DefaultParagraphFont"/>
    <w:rsid w:val="00696CB5"/>
  </w:style>
  <w:style w:type="character" w:customStyle="1" w:styleId="publication">
    <w:name w:val="publication"/>
    <w:basedOn w:val="DefaultParagraphFont"/>
    <w:rsid w:val="00696CB5"/>
  </w:style>
  <w:style w:type="character" w:customStyle="1" w:styleId="UnresolvedMention21">
    <w:name w:val="Unresolved Mention21"/>
    <w:basedOn w:val="DefaultParagraphFont"/>
    <w:uiPriority w:val="99"/>
    <w:semiHidden/>
    <w:unhideWhenUsed/>
    <w:rsid w:val="00696CB5"/>
    <w:rPr>
      <w:color w:val="605E5C"/>
      <w:shd w:val="clear" w:color="auto" w:fill="E1DFDD"/>
    </w:rPr>
  </w:style>
  <w:style w:type="character" w:customStyle="1" w:styleId="UnresolvedMention3">
    <w:name w:val="Unresolved Mention3"/>
    <w:basedOn w:val="DefaultParagraphFont"/>
    <w:uiPriority w:val="99"/>
    <w:semiHidden/>
    <w:unhideWhenUsed/>
    <w:rsid w:val="00696CB5"/>
    <w:rPr>
      <w:color w:val="605E5C"/>
      <w:shd w:val="clear" w:color="auto" w:fill="E1DFDD"/>
    </w:rPr>
  </w:style>
  <w:style w:type="paragraph" w:customStyle="1" w:styleId="Sprechblasentext2">
    <w:name w:val="Sprechblasentext2"/>
    <w:basedOn w:val="Normal"/>
    <w:semiHidden/>
    <w:rsid w:val="00696CB5"/>
    <w:pPr>
      <w:spacing w:after="0"/>
    </w:pPr>
    <w:rPr>
      <w:rFonts w:ascii="Tahoma" w:hAnsi="Tahoma"/>
      <w:color w:val="auto"/>
      <w:sz w:val="16"/>
      <w:lang w:val="de-DE" w:eastAsia="fr-FR"/>
    </w:rPr>
  </w:style>
  <w:style w:type="paragraph" w:customStyle="1" w:styleId="FarbigeListe-Akzent13">
    <w:name w:val="Farbige Liste - Akzent 13"/>
    <w:basedOn w:val="Normal"/>
    <w:qFormat/>
    <w:rsid w:val="00696CB5"/>
    <w:pPr>
      <w:autoSpaceDE w:val="0"/>
      <w:autoSpaceDN w:val="0"/>
      <w:spacing w:after="200" w:line="276" w:lineRule="auto"/>
      <w:ind w:left="720"/>
    </w:pPr>
    <w:rPr>
      <w:rFonts w:ascii="Cambria" w:hAnsi="Cambria"/>
      <w:color w:val="auto"/>
      <w:sz w:val="24"/>
      <w:lang w:val="de-DE" w:eastAsia="fr-FR"/>
    </w:rPr>
  </w:style>
  <w:style w:type="character" w:customStyle="1" w:styleId="NichtaufgelsteErwhnung2">
    <w:name w:val="Nicht aufgelöste Erwähnung2"/>
    <w:basedOn w:val="DefaultParagraphFont"/>
    <w:uiPriority w:val="99"/>
    <w:semiHidden/>
    <w:unhideWhenUsed/>
    <w:rsid w:val="00696CB5"/>
    <w:rPr>
      <w:color w:val="605E5C"/>
      <w:shd w:val="clear" w:color="auto" w:fill="E1DFDD"/>
    </w:rPr>
  </w:style>
  <w:style w:type="character" w:customStyle="1" w:styleId="tlid-translation">
    <w:name w:val="tlid-translation"/>
    <w:basedOn w:val="DefaultParagraphFont"/>
    <w:rsid w:val="00696CB5"/>
  </w:style>
  <w:style w:type="paragraph" w:customStyle="1" w:styleId="Sprechblasentext11">
    <w:name w:val="Sprechblasentext11"/>
    <w:basedOn w:val="Normal"/>
    <w:semiHidden/>
    <w:rsid w:val="00696CB5"/>
    <w:pPr>
      <w:spacing w:after="0"/>
    </w:pPr>
    <w:rPr>
      <w:rFonts w:ascii="Tahoma" w:hAnsi="Tahoma" w:cs="Roman"/>
      <w:color w:val="auto"/>
      <w:sz w:val="16"/>
      <w:szCs w:val="16"/>
      <w:lang w:val="en-US" w:eastAsia="en-US"/>
    </w:rPr>
  </w:style>
  <w:style w:type="paragraph" w:customStyle="1" w:styleId="FarbigeListe-Akzent121">
    <w:name w:val="Farbige Liste - Akzent 121"/>
    <w:basedOn w:val="Normal"/>
    <w:qFormat/>
    <w:rsid w:val="00696CB5"/>
    <w:pPr>
      <w:autoSpaceDE w:val="0"/>
      <w:autoSpaceDN w:val="0"/>
      <w:spacing w:after="200" w:line="276" w:lineRule="auto"/>
      <w:ind w:left="720"/>
    </w:pPr>
    <w:rPr>
      <w:rFonts w:ascii="Cambria" w:hAnsi="Cambria"/>
      <w:color w:val="auto"/>
      <w:lang w:val="de-DE" w:eastAsia="fr-FR"/>
    </w:rPr>
  </w:style>
  <w:style w:type="table" w:styleId="LightList-Accent1">
    <w:name w:val="Light List Accent 1"/>
    <w:basedOn w:val="TableNormal"/>
    <w:uiPriority w:val="61"/>
    <w:rsid w:val="00696CB5"/>
    <w:rPr>
      <w:rFonts w:asciiTheme="minorHAnsi" w:eastAsiaTheme="minorHAnsi" w:hAnsiTheme="minorHAnsi" w:cstheme="minorBidi"/>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MediumShading2-Accent1">
    <w:name w:val="Medium Shading 2 Accent 1"/>
    <w:basedOn w:val="TableNormal"/>
    <w:uiPriority w:val="64"/>
    <w:rsid w:val="00696CB5"/>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
    <w:name w:val="Medium Shading 1"/>
    <w:basedOn w:val="TableNormal"/>
    <w:uiPriority w:val="63"/>
    <w:rsid w:val="00696CB5"/>
    <w:rPr>
      <w:rFonts w:asciiTheme="minorHAnsi" w:eastAsiaTheme="minorHAnsi" w:hAnsiTheme="minorHAnsi"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696CB5"/>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ColorfulGrid-Accent5">
    <w:name w:val="Colorful Grid Accent 5"/>
    <w:basedOn w:val="TableNormal"/>
    <w:uiPriority w:val="73"/>
    <w:rsid w:val="00696CB5"/>
    <w:rPr>
      <w:rFonts w:asciiTheme="minorHAnsi" w:eastAsiaTheme="minorHAnsi"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1">
    <w:name w:val="Medium Grid 1 Accent 1"/>
    <w:basedOn w:val="TableNormal"/>
    <w:uiPriority w:val="67"/>
    <w:rsid w:val="00696CB5"/>
    <w:rPr>
      <w:rFonts w:asciiTheme="minorHAnsi" w:eastAsiaTheme="minorHAnsi" w:hAnsiTheme="minorHAnsi" w:cstheme="minorBidi"/>
      <w:sz w:val="22"/>
      <w:szCs w:val="22"/>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1">
    <w:name w:val="Colorful Grid Accent 1"/>
    <w:basedOn w:val="TableNormal"/>
    <w:uiPriority w:val="73"/>
    <w:rsid w:val="00696CB5"/>
    <w:rPr>
      <w:rFonts w:asciiTheme="minorHAnsi" w:eastAsiaTheme="minorHAnsi"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Shading-Accent1">
    <w:name w:val="Colorful Shading Accent 1"/>
    <w:basedOn w:val="TableNormal"/>
    <w:uiPriority w:val="71"/>
    <w:rsid w:val="00696CB5"/>
    <w:rPr>
      <w:rFonts w:asciiTheme="minorHAnsi" w:eastAsiaTheme="minorHAnsi" w:hAnsiTheme="minorHAnsi" w:cstheme="minorBidi"/>
      <w:color w:val="000000" w:themeColor="text1"/>
      <w:sz w:val="22"/>
      <w:szCs w:val="22"/>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
    <w:name w:val="Colorful Shading"/>
    <w:basedOn w:val="TableNormal"/>
    <w:uiPriority w:val="71"/>
    <w:rsid w:val="00696CB5"/>
    <w:rPr>
      <w:rFonts w:asciiTheme="minorHAnsi" w:eastAsiaTheme="minorHAnsi" w:hAnsiTheme="minorHAnsi" w:cstheme="minorBidi"/>
      <w:color w:val="000000" w:themeColor="text1"/>
      <w:sz w:val="22"/>
      <w:szCs w:val="22"/>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696CB5"/>
    <w:rPr>
      <w:rFonts w:asciiTheme="minorHAnsi" w:eastAsiaTheme="minorHAnsi" w:hAnsiTheme="minorHAnsi" w:cstheme="minorBidi"/>
      <w:color w:val="000000" w:themeColor="text1"/>
      <w:sz w:val="22"/>
      <w:szCs w:val="22"/>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96CB5"/>
    <w:rPr>
      <w:rFonts w:asciiTheme="minorHAnsi" w:eastAsiaTheme="minorHAnsi" w:hAnsiTheme="minorHAnsi" w:cstheme="minorBidi"/>
      <w:color w:val="000000" w:themeColor="text1"/>
      <w:sz w:val="22"/>
      <w:szCs w:val="22"/>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customStyle="1" w:styleId="SubParaaChar1">
    <w:name w:val="SubPara (a) Char1"/>
    <w:aliases w:val="Heading 2 Char1 Char Char1,Heading 2 Char Char Char Char1,SubPara (a) Char Char Char Char1,Heading 2 Char3 Char Char Char Char1,Heading 2 Char Char2 Char Char Char Char1,Heading 2 Char1 Char Char1 Char Char Char Char1"/>
    <w:basedOn w:val="DefaultParagraphFont"/>
    <w:locked/>
    <w:rsid w:val="00696CB5"/>
    <w:rPr>
      <w:lang w:eastAsia="fr-FR"/>
    </w:rPr>
  </w:style>
  <w:style w:type="character" w:customStyle="1" w:styleId="UnresolvedMention4">
    <w:name w:val="Unresolved Mention4"/>
    <w:basedOn w:val="DefaultParagraphFont"/>
    <w:uiPriority w:val="99"/>
    <w:semiHidden/>
    <w:unhideWhenUsed/>
    <w:rsid w:val="00696CB5"/>
    <w:rPr>
      <w:color w:val="605E5C"/>
      <w:shd w:val="clear" w:color="auto" w:fill="E1DFDD"/>
    </w:rPr>
  </w:style>
  <w:style w:type="character" w:customStyle="1" w:styleId="UnresolvedMention5">
    <w:name w:val="Unresolved Mention5"/>
    <w:basedOn w:val="DefaultParagraphFont"/>
    <w:uiPriority w:val="99"/>
    <w:unhideWhenUsed/>
    <w:rsid w:val="00C86F2A"/>
    <w:rPr>
      <w:color w:val="808080"/>
      <w:shd w:val="clear" w:color="auto" w:fill="E6E6E6"/>
    </w:rPr>
  </w:style>
  <w:style w:type="character" w:customStyle="1" w:styleId="TitleChar2">
    <w:name w:val="Title Char2"/>
    <w:rsid w:val="00052224"/>
    <w:rPr>
      <w:rFonts w:ascii="Times New Roman" w:hAnsi="Times New Roman"/>
      <w:b/>
      <w:color w:val="000000"/>
      <w:sz w:val="32"/>
      <w:lang w:val="en-GB" w:eastAsia="zh-CN"/>
    </w:rPr>
  </w:style>
  <w:style w:type="character" w:customStyle="1" w:styleId="CommentTextChar2">
    <w:name w:val="Comment Text Char2"/>
    <w:basedOn w:val="DefaultParagraphFont"/>
    <w:link w:val="CommentText"/>
    <w:uiPriority w:val="99"/>
    <w:rsid w:val="00052224"/>
    <w:rPr>
      <w:rFonts w:ascii="Arial" w:hAnsi="Arial"/>
      <w:lang w:val="en-GB" w:eastAsia="zh-CN"/>
    </w:rPr>
  </w:style>
  <w:style w:type="character" w:customStyle="1" w:styleId="Heading3Char">
    <w:name w:val="Heading 3 Char"/>
    <w:aliases w:val="Heading 3 Char1 Char Char2,Heading 3 Char Char Char Char2,Char Char Char Char Char2,Char Char1 Char Char2,Sec Char,Heading 3 Char Char Char1,Heading 3 Char2 Char,Heading 3 Char Char1 Char,H3 Char1"/>
    <w:link w:val="Heading3"/>
    <w:uiPriority w:val="9"/>
    <w:rsid w:val="004E25C2"/>
    <w:rPr>
      <w:rFonts w:ascii="Times New Roman" w:eastAsiaTheme="minorEastAsia" w:hAnsi="Times New Roman"/>
      <w:b/>
      <w:bCs/>
      <w:i/>
      <w:snapToGrid w:val="0"/>
      <w:sz w:val="22"/>
      <w:szCs w:val="22"/>
      <w:lang w:eastAsia="ja-JP"/>
    </w:rPr>
  </w:style>
  <w:style w:type="character" w:customStyle="1" w:styleId="Heading4Char2">
    <w:name w:val="Heading 4 Char2"/>
    <w:aliases w:val="MainPara Char1"/>
    <w:link w:val="Heading4"/>
    <w:rsid w:val="00052224"/>
    <w:rPr>
      <w:rFonts w:ascii="Times New Roman" w:eastAsiaTheme="minorEastAsia" w:hAnsi="Times New Roman"/>
      <w:b/>
      <w:snapToGrid w:val="0"/>
      <w:sz w:val="22"/>
      <w:szCs w:val="22"/>
      <w:lang w:eastAsia="ja-JP"/>
    </w:rPr>
  </w:style>
  <w:style w:type="character" w:customStyle="1" w:styleId="FootnoteTextChar2">
    <w:name w:val="Footnote Text Char2"/>
    <w:aliases w:val="Geneva 9 Char1,Font: Geneva 9 Char1,Boston 10 Char1,f Char1,Fußnotentextf Char2,-E Fußnotentext Char1,Fußnotentext Ursprung Char1,-E Fußnotentext1 Char1,-E Fußnotentext2 Char,-E Fußnotentext3 Char,Fußnotentext Char1 Char"/>
    <w:link w:val="FootnoteText"/>
    <w:uiPriority w:val="99"/>
    <w:locked/>
    <w:rsid w:val="00C07743"/>
    <w:rPr>
      <w:rFonts w:ascii="Times New Roman" w:hAnsi="Times New Roman"/>
      <w:sz w:val="18"/>
      <w:szCs w:val="18"/>
      <w:lang w:val="en-GB" w:eastAsia="zh-CN"/>
    </w:rPr>
  </w:style>
  <w:style w:type="character" w:customStyle="1" w:styleId="Heading5Char1">
    <w:name w:val="Heading 5 Char1"/>
    <w:aliases w:val="Subpara 2 Char1"/>
    <w:basedOn w:val="DefaultParagraphFont"/>
    <w:link w:val="Heading5"/>
    <w:rsid w:val="00052224"/>
    <w:rPr>
      <w:rFonts w:ascii="Times New Roman" w:hAnsi="Times New Roman"/>
      <w:b/>
      <w:i/>
      <w:color w:val="000000"/>
      <w:lang w:val="en-GB" w:eastAsia="zh-CN"/>
    </w:rPr>
  </w:style>
  <w:style w:type="character" w:customStyle="1" w:styleId="Heading7Char1">
    <w:name w:val="Heading 7 Char1"/>
    <w:aliases w:val="Subpara 4 Char1"/>
    <w:basedOn w:val="DefaultParagraphFont"/>
    <w:link w:val="Heading7"/>
    <w:rsid w:val="00052224"/>
    <w:rPr>
      <w:rFonts w:ascii="Times New Roman" w:hAnsi="Times New Roman"/>
      <w:b/>
      <w:color w:val="000000"/>
      <w:sz w:val="22"/>
      <w:lang w:val="en-GB" w:eastAsia="zh-CN"/>
    </w:rPr>
  </w:style>
  <w:style w:type="character" w:customStyle="1" w:styleId="Heading8Char1">
    <w:name w:val="Heading 8 Char1"/>
    <w:aliases w:val="Subpara 5 Char1"/>
    <w:basedOn w:val="DefaultParagraphFont"/>
    <w:link w:val="Heading8"/>
    <w:rsid w:val="00052224"/>
    <w:rPr>
      <w:rFonts w:ascii="Times New Roman" w:hAnsi="Times New Roman"/>
      <w:b/>
      <w:color w:val="000000"/>
      <w:sz w:val="22"/>
      <w:lang w:val="en-GB" w:eastAsia="zh-CN"/>
    </w:rPr>
  </w:style>
  <w:style w:type="character" w:customStyle="1" w:styleId="Heading9Char1">
    <w:name w:val="Heading 9 Char1"/>
    <w:aliases w:val="Subpara 6 Char1"/>
    <w:basedOn w:val="DefaultParagraphFont"/>
    <w:link w:val="Heading9"/>
    <w:rsid w:val="00052224"/>
    <w:rPr>
      <w:rFonts w:ascii="Times New Roman" w:hAnsi="Times New Roman"/>
      <w:b/>
      <w:color w:val="000000"/>
      <w:sz w:val="28"/>
      <w:lang w:val="en-GB" w:eastAsia="zh-CN"/>
    </w:rPr>
  </w:style>
  <w:style w:type="character" w:customStyle="1" w:styleId="BodyText3Char1">
    <w:name w:val="Body Text 3 Char1"/>
    <w:basedOn w:val="DefaultParagraphFont"/>
    <w:link w:val="BodyText3"/>
    <w:rsid w:val="00052224"/>
    <w:rPr>
      <w:rFonts w:ascii="Times New Roman" w:hAnsi="Times New Roman"/>
      <w:sz w:val="36"/>
      <w:lang w:val="en-GB" w:eastAsia="zh-CN"/>
    </w:rPr>
  </w:style>
  <w:style w:type="character" w:customStyle="1" w:styleId="BodyTextIndent2Char1">
    <w:name w:val="Body Text Indent 2 Char1"/>
    <w:basedOn w:val="DefaultParagraphFont"/>
    <w:link w:val="BodyTextIndent2"/>
    <w:rsid w:val="00052224"/>
    <w:rPr>
      <w:rFonts w:ascii="Times New Roman" w:hAnsi="Times New Roman"/>
      <w:snapToGrid w:val="0"/>
      <w:sz w:val="22"/>
      <w:lang w:val="en-GB" w:eastAsia="zh-CN"/>
    </w:rPr>
  </w:style>
  <w:style w:type="character" w:customStyle="1" w:styleId="BodyTextIndent3Char1">
    <w:name w:val="Body Text Indent 3 Char1"/>
    <w:basedOn w:val="DefaultParagraphFont"/>
    <w:link w:val="BodyTextIndent3"/>
    <w:rsid w:val="00052224"/>
    <w:rPr>
      <w:rFonts w:ascii="Times New Roman" w:hAnsi="Times New Roman"/>
      <w:snapToGrid w:val="0"/>
      <w:color w:val="FF0000"/>
      <w:sz w:val="22"/>
      <w:lang w:val="en-GB" w:eastAsia="zh-CN"/>
    </w:rPr>
  </w:style>
  <w:style w:type="character" w:customStyle="1" w:styleId="BodyTextIndentChar2">
    <w:name w:val="Body Text Indent Char2"/>
    <w:basedOn w:val="DefaultParagraphFont"/>
    <w:link w:val="BodyTextIndent"/>
    <w:rsid w:val="00052224"/>
    <w:rPr>
      <w:rFonts w:ascii="Times New Roman" w:hAnsi="Times New Roman"/>
      <w:color w:val="000000"/>
      <w:sz w:val="22"/>
      <w:lang w:val="en-GB" w:eastAsia="zh-CN"/>
    </w:rPr>
  </w:style>
  <w:style w:type="character" w:customStyle="1" w:styleId="DocumentMapChar1">
    <w:name w:val="Document Map Char1"/>
    <w:basedOn w:val="DefaultParagraphFont"/>
    <w:link w:val="DocumentMap"/>
    <w:semiHidden/>
    <w:rsid w:val="00052224"/>
    <w:rPr>
      <w:rFonts w:ascii="Tahoma" w:hAnsi="Tahoma"/>
      <w:color w:val="000000"/>
      <w:sz w:val="22"/>
      <w:shd w:val="clear" w:color="auto" w:fill="000080"/>
      <w:lang w:val="en-GB" w:eastAsia="zh-CN"/>
    </w:rPr>
  </w:style>
  <w:style w:type="character" w:customStyle="1" w:styleId="EndnoteTextChar1">
    <w:name w:val="Endnote Text Char1"/>
    <w:basedOn w:val="DefaultParagraphFont"/>
    <w:link w:val="EndnoteText"/>
    <w:semiHidden/>
    <w:rsid w:val="00052224"/>
    <w:rPr>
      <w:rFonts w:ascii="Times New Roman" w:hAnsi="Times New Roman"/>
      <w:i/>
      <w:noProof/>
      <w:sz w:val="18"/>
      <w:lang w:val="en-GB" w:eastAsia="zh-CN"/>
    </w:rPr>
  </w:style>
  <w:style w:type="character" w:customStyle="1" w:styleId="BodyTextFirstIndent2Char1">
    <w:name w:val="Body Text First Indent 2 Char1"/>
    <w:basedOn w:val="BodyTextIndentChar2"/>
    <w:link w:val="BodyTextFirstIndent2"/>
    <w:semiHidden/>
    <w:rsid w:val="00052224"/>
    <w:rPr>
      <w:rFonts w:ascii="Times New Roman" w:hAnsi="Times New Roman"/>
      <w:i/>
      <w:color w:val="000000"/>
      <w:sz w:val="24"/>
      <w:lang w:val="en-GB" w:eastAsia="zh-CN"/>
    </w:rPr>
  </w:style>
  <w:style w:type="character" w:customStyle="1" w:styleId="HTMLPreformattedChar1">
    <w:name w:val="HTML Preformatted Char1"/>
    <w:basedOn w:val="DefaultParagraphFont"/>
    <w:link w:val="HTMLPreformatted"/>
    <w:rsid w:val="00052224"/>
    <w:rPr>
      <w:rFonts w:ascii="Courier New" w:hAnsi="Courier New"/>
      <w:i/>
      <w:lang w:val="en-GB" w:eastAsia="zh-CN"/>
    </w:rPr>
  </w:style>
  <w:style w:type="character" w:customStyle="1" w:styleId="PlainTextChar1">
    <w:name w:val="Plain Text Char1"/>
    <w:aliases w:val=" Char Char1,Char Char6"/>
    <w:basedOn w:val="DefaultParagraphFont"/>
    <w:link w:val="PlainText"/>
    <w:rsid w:val="00052224"/>
    <w:rPr>
      <w:rFonts w:ascii="Courier" w:eastAsia="Times" w:hAnsi="Courier"/>
      <w:sz w:val="22"/>
      <w:lang w:val="en-GB" w:eastAsia="zh-CN"/>
    </w:rPr>
  </w:style>
  <w:style w:type="character" w:customStyle="1" w:styleId="SubtitleChar1">
    <w:name w:val="Subtitle Char1"/>
    <w:basedOn w:val="DefaultParagraphFont"/>
    <w:link w:val="Subtitle0"/>
    <w:rsid w:val="00052224"/>
    <w:rPr>
      <w:rFonts w:ascii="Times New Roman" w:eastAsia="MS Mincho" w:hAnsi="Times New Roman"/>
      <w:b/>
      <w:sz w:val="22"/>
      <w:lang w:eastAsia="zh-CN"/>
    </w:rPr>
  </w:style>
  <w:style w:type="character" w:customStyle="1" w:styleId="bumpedfont15">
    <w:name w:val="bumpedfont15"/>
    <w:basedOn w:val="DefaultParagraphFont"/>
    <w:rsid w:val="0060235A"/>
  </w:style>
  <w:style w:type="paragraph" w:customStyle="1" w:styleId="xxxmsonormal">
    <w:name w:val="x_x_xmsonormal"/>
    <w:basedOn w:val="Normal"/>
    <w:rsid w:val="0060235A"/>
    <w:pPr>
      <w:spacing w:after="0"/>
    </w:pPr>
    <w:rPr>
      <w:rFonts w:ascii="Calibri" w:eastAsiaTheme="minorEastAsia" w:hAnsi="Calibri" w:cs="Calibri"/>
      <w:color w:val="auto"/>
      <w:szCs w:val="22"/>
      <w:lang w:val="en-US" w:eastAsia="en-US"/>
    </w:rPr>
  </w:style>
  <w:style w:type="paragraph" w:customStyle="1" w:styleId="xxxmsolistparagraph">
    <w:name w:val="x_x_xmsolistparagraph"/>
    <w:basedOn w:val="Normal"/>
    <w:rsid w:val="0060235A"/>
    <w:pPr>
      <w:spacing w:after="0"/>
    </w:pPr>
    <w:rPr>
      <w:rFonts w:ascii="Calibri" w:eastAsiaTheme="minorEastAsia" w:hAnsi="Calibri" w:cs="Calibri"/>
      <w:color w:val="auto"/>
      <w:szCs w:val="22"/>
      <w:lang w:val="en-US" w:eastAsia="en-US"/>
    </w:rPr>
  </w:style>
  <w:style w:type="paragraph" w:customStyle="1" w:styleId="xmsonormal">
    <w:name w:val="x_msonormal"/>
    <w:basedOn w:val="Normal"/>
    <w:rsid w:val="0060235A"/>
    <w:pPr>
      <w:spacing w:before="100" w:beforeAutospacing="1" w:after="100" w:afterAutospacing="1"/>
    </w:pPr>
    <w:rPr>
      <w:color w:val="auto"/>
      <w:sz w:val="24"/>
      <w:szCs w:val="24"/>
      <w:lang w:val="en-US" w:eastAsia="en-US"/>
    </w:rPr>
  </w:style>
  <w:style w:type="paragraph" w:customStyle="1" w:styleId="BodyChar">
    <w:name w:val="Body Char"/>
    <w:link w:val="BodyCharChar"/>
    <w:rsid w:val="007F7C84"/>
    <w:pPr>
      <w:tabs>
        <w:tab w:val="left" w:pos="567"/>
      </w:tabs>
      <w:jc w:val="both"/>
    </w:pPr>
    <w:rPr>
      <w:color w:val="000000"/>
      <w:sz w:val="22"/>
      <w:szCs w:val="22"/>
      <w:lang w:val="ru-RU"/>
    </w:rPr>
  </w:style>
  <w:style w:type="character" w:customStyle="1" w:styleId="BodyCharChar">
    <w:name w:val="Body Char Char"/>
    <w:link w:val="BodyChar"/>
    <w:rsid w:val="007F7C84"/>
    <w:rPr>
      <w:color w:val="000000"/>
      <w:sz w:val="22"/>
      <w:szCs w:val="22"/>
      <w:lang w:val="ru-RU"/>
    </w:rPr>
  </w:style>
  <w:style w:type="paragraph" w:customStyle="1" w:styleId="Style16">
    <w:name w:val="Style16"/>
    <w:basedOn w:val="Heading2"/>
    <w:qFormat/>
    <w:rsid w:val="007F7C84"/>
    <w:pPr>
      <w:numPr>
        <w:numId w:val="53"/>
      </w:numPr>
    </w:pPr>
  </w:style>
  <w:style w:type="paragraph" w:customStyle="1" w:styleId="Style17">
    <w:name w:val="Style17"/>
    <w:basedOn w:val="Heading2"/>
    <w:autoRedefine/>
    <w:qFormat/>
    <w:rsid w:val="004C7778"/>
    <w:pPr>
      <w:ind w:left="1440"/>
    </w:pPr>
    <w:rPr>
      <w:szCs w:val="24"/>
    </w:rPr>
  </w:style>
  <w:style w:type="paragraph" w:customStyle="1" w:styleId="Style18">
    <w:name w:val="Style18"/>
    <w:basedOn w:val="Heading2"/>
    <w:autoRedefine/>
    <w:qFormat/>
    <w:rsid w:val="004C7778"/>
    <w:pPr>
      <w:ind w:left="1440"/>
    </w:pPr>
    <w:rPr>
      <w:szCs w:val="24"/>
    </w:rPr>
  </w:style>
  <w:style w:type="character" w:customStyle="1" w:styleId="UnresolvedMention6">
    <w:name w:val="Unresolved Mention6"/>
    <w:basedOn w:val="DefaultParagraphFont"/>
    <w:uiPriority w:val="99"/>
    <w:unhideWhenUsed/>
    <w:rsid w:val="00D34257"/>
    <w:rPr>
      <w:color w:val="605E5C"/>
      <w:shd w:val="clear" w:color="auto" w:fill="E1DFDD"/>
    </w:rPr>
  </w:style>
  <w:style w:type="character" w:customStyle="1" w:styleId="apple-tab-span">
    <w:name w:val="apple-tab-span"/>
    <w:basedOn w:val="DefaultParagraphFont"/>
    <w:rsid w:val="00CA0424"/>
  </w:style>
  <w:style w:type="paragraph" w:customStyle="1" w:styleId="style15">
    <w:name w:val="style15"/>
    <w:basedOn w:val="Normal"/>
    <w:rsid w:val="00556019"/>
    <w:pPr>
      <w:spacing w:before="100" w:beforeAutospacing="1" w:after="100" w:afterAutospacing="1"/>
    </w:pPr>
    <w:rPr>
      <w:rFonts w:ascii="Calibri" w:eastAsiaTheme="minorHAnsi" w:hAnsi="Calibri" w:cs="Calibri"/>
      <w:color w:val="auto"/>
      <w:szCs w:val="22"/>
      <w:lang w:val="en-US" w:eastAsia="en-US"/>
    </w:rPr>
  </w:style>
  <w:style w:type="character" w:customStyle="1" w:styleId="heading2char">
    <w:name w:val="heading2char"/>
    <w:basedOn w:val="DefaultParagraphFont"/>
    <w:rsid w:val="00ED48BB"/>
  </w:style>
  <w:style w:type="character" w:styleId="UnresolvedMention">
    <w:name w:val="Unresolved Mention"/>
    <w:basedOn w:val="DefaultParagraphFont"/>
    <w:uiPriority w:val="99"/>
    <w:rsid w:val="005C2F71"/>
    <w:rPr>
      <w:color w:val="605E5C"/>
      <w:shd w:val="clear" w:color="auto" w:fill="E1DFDD"/>
    </w:rPr>
  </w:style>
  <w:style w:type="paragraph" w:customStyle="1" w:styleId="FigureandTableTitle">
    <w:name w:val="Figure and Table Title"/>
    <w:basedOn w:val="Normal"/>
    <w:qFormat/>
    <w:rsid w:val="00A55593"/>
    <w:pPr>
      <w:keepNext/>
      <w:tabs>
        <w:tab w:val="left" w:pos="1276"/>
      </w:tabs>
      <w:ind w:left="1276" w:hanging="1276"/>
    </w:pPr>
    <w:rPr>
      <w:b/>
      <w:bCs/>
      <w:lang w:val="en-AU"/>
    </w:rPr>
  </w:style>
  <w:style w:type="paragraph" w:customStyle="1" w:styleId="AppendixHeading">
    <w:name w:val="Appendix Heading"/>
    <w:basedOn w:val="Heading1"/>
    <w:qFormat/>
    <w:rsid w:val="00225058"/>
    <w:pPr>
      <w:tabs>
        <w:tab w:val="left" w:pos="1560"/>
      </w:tabs>
      <w:ind w:left="1560" w:hanging="1571"/>
    </w:pPr>
  </w:style>
  <w:style w:type="character" w:customStyle="1" w:styleId="mwe-math-mathml-inline">
    <w:name w:val="mwe-math-mathml-inline"/>
    <w:basedOn w:val="DefaultParagraphFont"/>
    <w:rsid w:val="00C76A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8283">
      <w:bodyDiv w:val="1"/>
      <w:marLeft w:val="0"/>
      <w:marRight w:val="0"/>
      <w:marTop w:val="0"/>
      <w:marBottom w:val="0"/>
      <w:divBdr>
        <w:top w:val="none" w:sz="0" w:space="0" w:color="auto"/>
        <w:left w:val="none" w:sz="0" w:space="0" w:color="auto"/>
        <w:bottom w:val="none" w:sz="0" w:space="0" w:color="auto"/>
        <w:right w:val="none" w:sz="0" w:space="0" w:color="auto"/>
      </w:divBdr>
    </w:div>
    <w:div w:id="59601936">
      <w:bodyDiv w:val="1"/>
      <w:marLeft w:val="0"/>
      <w:marRight w:val="0"/>
      <w:marTop w:val="0"/>
      <w:marBottom w:val="0"/>
      <w:divBdr>
        <w:top w:val="none" w:sz="0" w:space="0" w:color="auto"/>
        <w:left w:val="none" w:sz="0" w:space="0" w:color="auto"/>
        <w:bottom w:val="none" w:sz="0" w:space="0" w:color="auto"/>
        <w:right w:val="none" w:sz="0" w:space="0" w:color="auto"/>
      </w:divBdr>
      <w:divsChild>
        <w:div w:id="2081710497">
          <w:marLeft w:val="0"/>
          <w:marRight w:val="0"/>
          <w:marTop w:val="0"/>
          <w:marBottom w:val="0"/>
          <w:divBdr>
            <w:top w:val="none" w:sz="0" w:space="0" w:color="auto"/>
            <w:left w:val="none" w:sz="0" w:space="0" w:color="auto"/>
            <w:bottom w:val="none" w:sz="0" w:space="0" w:color="auto"/>
            <w:right w:val="none" w:sz="0" w:space="0" w:color="auto"/>
          </w:divBdr>
        </w:div>
      </w:divsChild>
    </w:div>
    <w:div w:id="75521186">
      <w:bodyDiv w:val="1"/>
      <w:marLeft w:val="0"/>
      <w:marRight w:val="0"/>
      <w:marTop w:val="0"/>
      <w:marBottom w:val="0"/>
      <w:divBdr>
        <w:top w:val="none" w:sz="0" w:space="0" w:color="auto"/>
        <w:left w:val="none" w:sz="0" w:space="0" w:color="auto"/>
        <w:bottom w:val="none" w:sz="0" w:space="0" w:color="auto"/>
        <w:right w:val="none" w:sz="0" w:space="0" w:color="auto"/>
      </w:divBdr>
    </w:div>
    <w:div w:id="106510808">
      <w:bodyDiv w:val="1"/>
      <w:marLeft w:val="0"/>
      <w:marRight w:val="0"/>
      <w:marTop w:val="0"/>
      <w:marBottom w:val="0"/>
      <w:divBdr>
        <w:top w:val="none" w:sz="0" w:space="0" w:color="auto"/>
        <w:left w:val="none" w:sz="0" w:space="0" w:color="auto"/>
        <w:bottom w:val="none" w:sz="0" w:space="0" w:color="auto"/>
        <w:right w:val="none" w:sz="0" w:space="0" w:color="auto"/>
      </w:divBdr>
    </w:div>
    <w:div w:id="154225845">
      <w:bodyDiv w:val="1"/>
      <w:marLeft w:val="0"/>
      <w:marRight w:val="0"/>
      <w:marTop w:val="0"/>
      <w:marBottom w:val="0"/>
      <w:divBdr>
        <w:top w:val="none" w:sz="0" w:space="0" w:color="auto"/>
        <w:left w:val="none" w:sz="0" w:space="0" w:color="auto"/>
        <w:bottom w:val="none" w:sz="0" w:space="0" w:color="auto"/>
        <w:right w:val="none" w:sz="0" w:space="0" w:color="auto"/>
      </w:divBdr>
      <w:divsChild>
        <w:div w:id="1222867329">
          <w:marLeft w:val="0"/>
          <w:marRight w:val="0"/>
          <w:marTop w:val="0"/>
          <w:marBottom w:val="0"/>
          <w:divBdr>
            <w:top w:val="none" w:sz="0" w:space="0" w:color="auto"/>
            <w:left w:val="none" w:sz="0" w:space="0" w:color="auto"/>
            <w:bottom w:val="none" w:sz="0" w:space="0" w:color="auto"/>
            <w:right w:val="none" w:sz="0" w:space="0" w:color="auto"/>
          </w:divBdr>
          <w:divsChild>
            <w:div w:id="1907035165">
              <w:marLeft w:val="0"/>
              <w:marRight w:val="0"/>
              <w:marTop w:val="0"/>
              <w:marBottom w:val="0"/>
              <w:divBdr>
                <w:top w:val="none" w:sz="0" w:space="0" w:color="auto"/>
                <w:left w:val="none" w:sz="0" w:space="0" w:color="auto"/>
                <w:bottom w:val="none" w:sz="0" w:space="0" w:color="auto"/>
                <w:right w:val="none" w:sz="0" w:space="0" w:color="auto"/>
              </w:divBdr>
              <w:divsChild>
                <w:div w:id="20885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27334">
      <w:bodyDiv w:val="1"/>
      <w:marLeft w:val="0"/>
      <w:marRight w:val="0"/>
      <w:marTop w:val="0"/>
      <w:marBottom w:val="0"/>
      <w:divBdr>
        <w:top w:val="none" w:sz="0" w:space="0" w:color="auto"/>
        <w:left w:val="none" w:sz="0" w:space="0" w:color="auto"/>
        <w:bottom w:val="none" w:sz="0" w:space="0" w:color="auto"/>
        <w:right w:val="none" w:sz="0" w:space="0" w:color="auto"/>
      </w:divBdr>
      <w:divsChild>
        <w:div w:id="103499294">
          <w:marLeft w:val="0"/>
          <w:marRight w:val="0"/>
          <w:marTop w:val="0"/>
          <w:marBottom w:val="0"/>
          <w:divBdr>
            <w:top w:val="none" w:sz="0" w:space="0" w:color="auto"/>
            <w:left w:val="none" w:sz="0" w:space="0" w:color="auto"/>
            <w:bottom w:val="none" w:sz="0" w:space="0" w:color="auto"/>
            <w:right w:val="none" w:sz="0" w:space="0" w:color="auto"/>
          </w:divBdr>
          <w:divsChild>
            <w:div w:id="990256961">
              <w:marLeft w:val="0"/>
              <w:marRight w:val="0"/>
              <w:marTop w:val="0"/>
              <w:marBottom w:val="0"/>
              <w:divBdr>
                <w:top w:val="none" w:sz="0" w:space="0" w:color="auto"/>
                <w:left w:val="none" w:sz="0" w:space="0" w:color="auto"/>
                <w:bottom w:val="none" w:sz="0" w:space="0" w:color="auto"/>
                <w:right w:val="none" w:sz="0" w:space="0" w:color="auto"/>
              </w:divBdr>
              <w:divsChild>
                <w:div w:id="28843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121746">
      <w:bodyDiv w:val="1"/>
      <w:marLeft w:val="0"/>
      <w:marRight w:val="0"/>
      <w:marTop w:val="0"/>
      <w:marBottom w:val="0"/>
      <w:divBdr>
        <w:top w:val="none" w:sz="0" w:space="0" w:color="auto"/>
        <w:left w:val="none" w:sz="0" w:space="0" w:color="auto"/>
        <w:bottom w:val="none" w:sz="0" w:space="0" w:color="auto"/>
        <w:right w:val="none" w:sz="0" w:space="0" w:color="auto"/>
      </w:divBdr>
      <w:divsChild>
        <w:div w:id="604194367">
          <w:marLeft w:val="0"/>
          <w:marRight w:val="0"/>
          <w:marTop w:val="0"/>
          <w:marBottom w:val="0"/>
          <w:divBdr>
            <w:top w:val="none" w:sz="0" w:space="0" w:color="auto"/>
            <w:left w:val="none" w:sz="0" w:space="0" w:color="auto"/>
            <w:bottom w:val="none" w:sz="0" w:space="0" w:color="auto"/>
            <w:right w:val="none" w:sz="0" w:space="0" w:color="auto"/>
          </w:divBdr>
          <w:divsChild>
            <w:div w:id="172842655">
              <w:marLeft w:val="0"/>
              <w:marRight w:val="0"/>
              <w:marTop w:val="0"/>
              <w:marBottom w:val="0"/>
              <w:divBdr>
                <w:top w:val="none" w:sz="0" w:space="0" w:color="auto"/>
                <w:left w:val="none" w:sz="0" w:space="0" w:color="auto"/>
                <w:bottom w:val="none" w:sz="0" w:space="0" w:color="auto"/>
                <w:right w:val="none" w:sz="0" w:space="0" w:color="auto"/>
              </w:divBdr>
              <w:divsChild>
                <w:div w:id="821822324">
                  <w:marLeft w:val="0"/>
                  <w:marRight w:val="0"/>
                  <w:marTop w:val="0"/>
                  <w:marBottom w:val="0"/>
                  <w:divBdr>
                    <w:top w:val="none" w:sz="0" w:space="0" w:color="auto"/>
                    <w:left w:val="none" w:sz="0" w:space="0" w:color="auto"/>
                    <w:bottom w:val="none" w:sz="0" w:space="0" w:color="auto"/>
                    <w:right w:val="none" w:sz="0" w:space="0" w:color="auto"/>
                  </w:divBdr>
                  <w:divsChild>
                    <w:div w:id="902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351858">
      <w:bodyDiv w:val="1"/>
      <w:marLeft w:val="0"/>
      <w:marRight w:val="0"/>
      <w:marTop w:val="0"/>
      <w:marBottom w:val="0"/>
      <w:divBdr>
        <w:top w:val="none" w:sz="0" w:space="0" w:color="auto"/>
        <w:left w:val="none" w:sz="0" w:space="0" w:color="auto"/>
        <w:bottom w:val="none" w:sz="0" w:space="0" w:color="auto"/>
        <w:right w:val="none" w:sz="0" w:space="0" w:color="auto"/>
      </w:divBdr>
    </w:div>
    <w:div w:id="327830110">
      <w:bodyDiv w:val="1"/>
      <w:marLeft w:val="0"/>
      <w:marRight w:val="0"/>
      <w:marTop w:val="0"/>
      <w:marBottom w:val="0"/>
      <w:divBdr>
        <w:top w:val="none" w:sz="0" w:space="0" w:color="auto"/>
        <w:left w:val="none" w:sz="0" w:space="0" w:color="auto"/>
        <w:bottom w:val="none" w:sz="0" w:space="0" w:color="auto"/>
        <w:right w:val="none" w:sz="0" w:space="0" w:color="auto"/>
      </w:divBdr>
    </w:div>
    <w:div w:id="362364592">
      <w:bodyDiv w:val="1"/>
      <w:marLeft w:val="0"/>
      <w:marRight w:val="0"/>
      <w:marTop w:val="0"/>
      <w:marBottom w:val="0"/>
      <w:divBdr>
        <w:top w:val="none" w:sz="0" w:space="0" w:color="auto"/>
        <w:left w:val="none" w:sz="0" w:space="0" w:color="auto"/>
        <w:bottom w:val="none" w:sz="0" w:space="0" w:color="auto"/>
        <w:right w:val="none" w:sz="0" w:space="0" w:color="auto"/>
      </w:divBdr>
    </w:div>
    <w:div w:id="380981183">
      <w:bodyDiv w:val="1"/>
      <w:marLeft w:val="0"/>
      <w:marRight w:val="0"/>
      <w:marTop w:val="0"/>
      <w:marBottom w:val="0"/>
      <w:divBdr>
        <w:top w:val="none" w:sz="0" w:space="0" w:color="auto"/>
        <w:left w:val="none" w:sz="0" w:space="0" w:color="auto"/>
        <w:bottom w:val="none" w:sz="0" w:space="0" w:color="auto"/>
        <w:right w:val="none" w:sz="0" w:space="0" w:color="auto"/>
      </w:divBdr>
      <w:divsChild>
        <w:div w:id="492600139">
          <w:marLeft w:val="0"/>
          <w:marRight w:val="0"/>
          <w:marTop w:val="0"/>
          <w:marBottom w:val="0"/>
          <w:divBdr>
            <w:top w:val="none" w:sz="0" w:space="0" w:color="auto"/>
            <w:left w:val="none" w:sz="0" w:space="0" w:color="auto"/>
            <w:bottom w:val="none" w:sz="0" w:space="0" w:color="auto"/>
            <w:right w:val="none" w:sz="0" w:space="0" w:color="auto"/>
          </w:divBdr>
          <w:divsChild>
            <w:div w:id="549272394">
              <w:marLeft w:val="0"/>
              <w:marRight w:val="0"/>
              <w:marTop w:val="0"/>
              <w:marBottom w:val="0"/>
              <w:divBdr>
                <w:top w:val="none" w:sz="0" w:space="0" w:color="auto"/>
                <w:left w:val="none" w:sz="0" w:space="0" w:color="auto"/>
                <w:bottom w:val="none" w:sz="0" w:space="0" w:color="auto"/>
                <w:right w:val="none" w:sz="0" w:space="0" w:color="auto"/>
              </w:divBdr>
              <w:divsChild>
                <w:div w:id="41015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051901">
      <w:bodyDiv w:val="1"/>
      <w:marLeft w:val="0"/>
      <w:marRight w:val="0"/>
      <w:marTop w:val="0"/>
      <w:marBottom w:val="0"/>
      <w:divBdr>
        <w:top w:val="none" w:sz="0" w:space="0" w:color="auto"/>
        <w:left w:val="none" w:sz="0" w:space="0" w:color="auto"/>
        <w:bottom w:val="none" w:sz="0" w:space="0" w:color="auto"/>
        <w:right w:val="none" w:sz="0" w:space="0" w:color="auto"/>
      </w:divBdr>
    </w:div>
    <w:div w:id="464079812">
      <w:bodyDiv w:val="1"/>
      <w:marLeft w:val="0"/>
      <w:marRight w:val="0"/>
      <w:marTop w:val="0"/>
      <w:marBottom w:val="0"/>
      <w:divBdr>
        <w:top w:val="none" w:sz="0" w:space="0" w:color="auto"/>
        <w:left w:val="none" w:sz="0" w:space="0" w:color="auto"/>
        <w:bottom w:val="none" w:sz="0" w:space="0" w:color="auto"/>
        <w:right w:val="none" w:sz="0" w:space="0" w:color="auto"/>
      </w:divBdr>
    </w:div>
    <w:div w:id="464154842">
      <w:bodyDiv w:val="1"/>
      <w:marLeft w:val="0"/>
      <w:marRight w:val="0"/>
      <w:marTop w:val="0"/>
      <w:marBottom w:val="0"/>
      <w:divBdr>
        <w:top w:val="none" w:sz="0" w:space="0" w:color="auto"/>
        <w:left w:val="none" w:sz="0" w:space="0" w:color="auto"/>
        <w:bottom w:val="none" w:sz="0" w:space="0" w:color="auto"/>
        <w:right w:val="none" w:sz="0" w:space="0" w:color="auto"/>
      </w:divBdr>
      <w:divsChild>
        <w:div w:id="1965773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9950027">
              <w:marLeft w:val="0"/>
              <w:marRight w:val="0"/>
              <w:marTop w:val="0"/>
              <w:marBottom w:val="0"/>
              <w:divBdr>
                <w:top w:val="none" w:sz="0" w:space="0" w:color="auto"/>
                <w:left w:val="none" w:sz="0" w:space="0" w:color="auto"/>
                <w:bottom w:val="none" w:sz="0" w:space="0" w:color="auto"/>
                <w:right w:val="none" w:sz="0" w:space="0" w:color="auto"/>
              </w:divBdr>
              <w:divsChild>
                <w:div w:id="51754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204654">
      <w:bodyDiv w:val="1"/>
      <w:marLeft w:val="0"/>
      <w:marRight w:val="0"/>
      <w:marTop w:val="0"/>
      <w:marBottom w:val="0"/>
      <w:divBdr>
        <w:top w:val="none" w:sz="0" w:space="0" w:color="auto"/>
        <w:left w:val="none" w:sz="0" w:space="0" w:color="auto"/>
        <w:bottom w:val="none" w:sz="0" w:space="0" w:color="auto"/>
        <w:right w:val="none" w:sz="0" w:space="0" w:color="auto"/>
      </w:divBdr>
    </w:div>
    <w:div w:id="637687794">
      <w:bodyDiv w:val="1"/>
      <w:marLeft w:val="0"/>
      <w:marRight w:val="0"/>
      <w:marTop w:val="0"/>
      <w:marBottom w:val="0"/>
      <w:divBdr>
        <w:top w:val="none" w:sz="0" w:space="0" w:color="auto"/>
        <w:left w:val="none" w:sz="0" w:space="0" w:color="auto"/>
        <w:bottom w:val="none" w:sz="0" w:space="0" w:color="auto"/>
        <w:right w:val="none" w:sz="0" w:space="0" w:color="auto"/>
      </w:divBdr>
    </w:div>
    <w:div w:id="637733892">
      <w:bodyDiv w:val="1"/>
      <w:marLeft w:val="0"/>
      <w:marRight w:val="0"/>
      <w:marTop w:val="0"/>
      <w:marBottom w:val="0"/>
      <w:divBdr>
        <w:top w:val="none" w:sz="0" w:space="0" w:color="auto"/>
        <w:left w:val="none" w:sz="0" w:space="0" w:color="auto"/>
        <w:bottom w:val="none" w:sz="0" w:space="0" w:color="auto"/>
        <w:right w:val="none" w:sz="0" w:space="0" w:color="auto"/>
      </w:divBdr>
      <w:divsChild>
        <w:div w:id="822237832">
          <w:marLeft w:val="360"/>
          <w:marRight w:val="0"/>
          <w:marTop w:val="200"/>
          <w:marBottom w:val="0"/>
          <w:divBdr>
            <w:top w:val="none" w:sz="0" w:space="0" w:color="auto"/>
            <w:left w:val="none" w:sz="0" w:space="0" w:color="auto"/>
            <w:bottom w:val="none" w:sz="0" w:space="0" w:color="auto"/>
            <w:right w:val="none" w:sz="0" w:space="0" w:color="auto"/>
          </w:divBdr>
        </w:div>
      </w:divsChild>
    </w:div>
    <w:div w:id="688680925">
      <w:bodyDiv w:val="1"/>
      <w:marLeft w:val="0"/>
      <w:marRight w:val="0"/>
      <w:marTop w:val="0"/>
      <w:marBottom w:val="0"/>
      <w:divBdr>
        <w:top w:val="none" w:sz="0" w:space="0" w:color="auto"/>
        <w:left w:val="none" w:sz="0" w:space="0" w:color="auto"/>
        <w:bottom w:val="none" w:sz="0" w:space="0" w:color="auto"/>
        <w:right w:val="none" w:sz="0" w:space="0" w:color="auto"/>
      </w:divBdr>
    </w:div>
    <w:div w:id="723144602">
      <w:bodyDiv w:val="1"/>
      <w:marLeft w:val="0"/>
      <w:marRight w:val="0"/>
      <w:marTop w:val="0"/>
      <w:marBottom w:val="0"/>
      <w:divBdr>
        <w:top w:val="none" w:sz="0" w:space="0" w:color="auto"/>
        <w:left w:val="none" w:sz="0" w:space="0" w:color="auto"/>
        <w:bottom w:val="none" w:sz="0" w:space="0" w:color="auto"/>
        <w:right w:val="none" w:sz="0" w:space="0" w:color="auto"/>
      </w:divBdr>
      <w:divsChild>
        <w:div w:id="208736077">
          <w:marLeft w:val="0"/>
          <w:marRight w:val="0"/>
          <w:marTop w:val="0"/>
          <w:marBottom w:val="0"/>
          <w:divBdr>
            <w:top w:val="none" w:sz="0" w:space="0" w:color="auto"/>
            <w:left w:val="none" w:sz="0" w:space="0" w:color="auto"/>
            <w:bottom w:val="none" w:sz="0" w:space="0" w:color="auto"/>
            <w:right w:val="none" w:sz="0" w:space="0" w:color="auto"/>
          </w:divBdr>
          <w:divsChild>
            <w:div w:id="783227836">
              <w:marLeft w:val="0"/>
              <w:marRight w:val="0"/>
              <w:marTop w:val="0"/>
              <w:marBottom w:val="0"/>
              <w:divBdr>
                <w:top w:val="none" w:sz="0" w:space="0" w:color="auto"/>
                <w:left w:val="none" w:sz="0" w:space="0" w:color="auto"/>
                <w:bottom w:val="none" w:sz="0" w:space="0" w:color="auto"/>
                <w:right w:val="none" w:sz="0" w:space="0" w:color="auto"/>
              </w:divBdr>
              <w:divsChild>
                <w:div w:id="1772897359">
                  <w:marLeft w:val="0"/>
                  <w:marRight w:val="0"/>
                  <w:marTop w:val="0"/>
                  <w:marBottom w:val="0"/>
                  <w:divBdr>
                    <w:top w:val="none" w:sz="0" w:space="0" w:color="auto"/>
                    <w:left w:val="none" w:sz="0" w:space="0" w:color="auto"/>
                    <w:bottom w:val="none" w:sz="0" w:space="0" w:color="auto"/>
                    <w:right w:val="none" w:sz="0" w:space="0" w:color="auto"/>
                  </w:divBdr>
                </w:div>
              </w:divsChild>
            </w:div>
            <w:div w:id="1168710107">
              <w:marLeft w:val="0"/>
              <w:marRight w:val="0"/>
              <w:marTop w:val="0"/>
              <w:marBottom w:val="0"/>
              <w:divBdr>
                <w:top w:val="none" w:sz="0" w:space="0" w:color="auto"/>
                <w:left w:val="none" w:sz="0" w:space="0" w:color="auto"/>
                <w:bottom w:val="none" w:sz="0" w:space="0" w:color="auto"/>
                <w:right w:val="none" w:sz="0" w:space="0" w:color="auto"/>
              </w:divBdr>
              <w:divsChild>
                <w:div w:id="1471244514">
                  <w:marLeft w:val="0"/>
                  <w:marRight w:val="0"/>
                  <w:marTop w:val="0"/>
                  <w:marBottom w:val="0"/>
                  <w:divBdr>
                    <w:top w:val="none" w:sz="0" w:space="0" w:color="auto"/>
                    <w:left w:val="none" w:sz="0" w:space="0" w:color="auto"/>
                    <w:bottom w:val="none" w:sz="0" w:space="0" w:color="auto"/>
                    <w:right w:val="none" w:sz="0" w:space="0" w:color="auto"/>
                  </w:divBdr>
                </w:div>
              </w:divsChild>
            </w:div>
            <w:div w:id="1198589501">
              <w:marLeft w:val="0"/>
              <w:marRight w:val="0"/>
              <w:marTop w:val="0"/>
              <w:marBottom w:val="0"/>
              <w:divBdr>
                <w:top w:val="none" w:sz="0" w:space="0" w:color="auto"/>
                <w:left w:val="none" w:sz="0" w:space="0" w:color="auto"/>
                <w:bottom w:val="none" w:sz="0" w:space="0" w:color="auto"/>
                <w:right w:val="none" w:sz="0" w:space="0" w:color="auto"/>
              </w:divBdr>
              <w:divsChild>
                <w:div w:id="168397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96475">
          <w:marLeft w:val="0"/>
          <w:marRight w:val="0"/>
          <w:marTop w:val="0"/>
          <w:marBottom w:val="0"/>
          <w:divBdr>
            <w:top w:val="none" w:sz="0" w:space="0" w:color="auto"/>
            <w:left w:val="none" w:sz="0" w:space="0" w:color="auto"/>
            <w:bottom w:val="none" w:sz="0" w:space="0" w:color="auto"/>
            <w:right w:val="none" w:sz="0" w:space="0" w:color="auto"/>
          </w:divBdr>
          <w:divsChild>
            <w:div w:id="616302351">
              <w:marLeft w:val="0"/>
              <w:marRight w:val="0"/>
              <w:marTop w:val="0"/>
              <w:marBottom w:val="0"/>
              <w:divBdr>
                <w:top w:val="none" w:sz="0" w:space="0" w:color="auto"/>
                <w:left w:val="none" w:sz="0" w:space="0" w:color="auto"/>
                <w:bottom w:val="none" w:sz="0" w:space="0" w:color="auto"/>
                <w:right w:val="none" w:sz="0" w:space="0" w:color="auto"/>
              </w:divBdr>
              <w:divsChild>
                <w:div w:id="32802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484642">
      <w:bodyDiv w:val="1"/>
      <w:marLeft w:val="0"/>
      <w:marRight w:val="0"/>
      <w:marTop w:val="0"/>
      <w:marBottom w:val="0"/>
      <w:divBdr>
        <w:top w:val="none" w:sz="0" w:space="0" w:color="auto"/>
        <w:left w:val="none" w:sz="0" w:space="0" w:color="auto"/>
        <w:bottom w:val="none" w:sz="0" w:space="0" w:color="auto"/>
        <w:right w:val="none" w:sz="0" w:space="0" w:color="auto"/>
      </w:divBdr>
    </w:div>
    <w:div w:id="755133503">
      <w:bodyDiv w:val="1"/>
      <w:marLeft w:val="0"/>
      <w:marRight w:val="0"/>
      <w:marTop w:val="0"/>
      <w:marBottom w:val="0"/>
      <w:divBdr>
        <w:top w:val="none" w:sz="0" w:space="0" w:color="auto"/>
        <w:left w:val="none" w:sz="0" w:space="0" w:color="auto"/>
        <w:bottom w:val="none" w:sz="0" w:space="0" w:color="auto"/>
        <w:right w:val="none" w:sz="0" w:space="0" w:color="auto"/>
      </w:divBdr>
      <w:divsChild>
        <w:div w:id="732629547">
          <w:marLeft w:val="0"/>
          <w:marRight w:val="0"/>
          <w:marTop w:val="0"/>
          <w:marBottom w:val="0"/>
          <w:divBdr>
            <w:top w:val="none" w:sz="0" w:space="0" w:color="auto"/>
            <w:left w:val="none" w:sz="0" w:space="0" w:color="auto"/>
            <w:bottom w:val="none" w:sz="0" w:space="0" w:color="auto"/>
            <w:right w:val="none" w:sz="0" w:space="0" w:color="auto"/>
          </w:divBdr>
          <w:divsChild>
            <w:div w:id="1225798704">
              <w:marLeft w:val="0"/>
              <w:marRight w:val="0"/>
              <w:marTop w:val="0"/>
              <w:marBottom w:val="0"/>
              <w:divBdr>
                <w:top w:val="none" w:sz="0" w:space="0" w:color="auto"/>
                <w:left w:val="none" w:sz="0" w:space="0" w:color="auto"/>
                <w:bottom w:val="none" w:sz="0" w:space="0" w:color="auto"/>
                <w:right w:val="none" w:sz="0" w:space="0" w:color="auto"/>
              </w:divBdr>
              <w:divsChild>
                <w:div w:id="45849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239296">
      <w:bodyDiv w:val="1"/>
      <w:marLeft w:val="0"/>
      <w:marRight w:val="0"/>
      <w:marTop w:val="0"/>
      <w:marBottom w:val="0"/>
      <w:divBdr>
        <w:top w:val="none" w:sz="0" w:space="0" w:color="auto"/>
        <w:left w:val="none" w:sz="0" w:space="0" w:color="auto"/>
        <w:bottom w:val="none" w:sz="0" w:space="0" w:color="auto"/>
        <w:right w:val="none" w:sz="0" w:space="0" w:color="auto"/>
      </w:divBdr>
    </w:div>
    <w:div w:id="778987698">
      <w:bodyDiv w:val="1"/>
      <w:marLeft w:val="0"/>
      <w:marRight w:val="0"/>
      <w:marTop w:val="0"/>
      <w:marBottom w:val="0"/>
      <w:divBdr>
        <w:top w:val="none" w:sz="0" w:space="0" w:color="auto"/>
        <w:left w:val="none" w:sz="0" w:space="0" w:color="auto"/>
        <w:bottom w:val="none" w:sz="0" w:space="0" w:color="auto"/>
        <w:right w:val="none" w:sz="0" w:space="0" w:color="auto"/>
      </w:divBdr>
    </w:div>
    <w:div w:id="797990150">
      <w:bodyDiv w:val="1"/>
      <w:marLeft w:val="0"/>
      <w:marRight w:val="0"/>
      <w:marTop w:val="0"/>
      <w:marBottom w:val="0"/>
      <w:divBdr>
        <w:top w:val="none" w:sz="0" w:space="0" w:color="auto"/>
        <w:left w:val="none" w:sz="0" w:space="0" w:color="auto"/>
        <w:bottom w:val="none" w:sz="0" w:space="0" w:color="auto"/>
        <w:right w:val="none" w:sz="0" w:space="0" w:color="auto"/>
      </w:divBdr>
      <w:divsChild>
        <w:div w:id="49157576">
          <w:marLeft w:val="0"/>
          <w:marRight w:val="0"/>
          <w:marTop w:val="0"/>
          <w:marBottom w:val="0"/>
          <w:divBdr>
            <w:top w:val="none" w:sz="0" w:space="0" w:color="auto"/>
            <w:left w:val="none" w:sz="0" w:space="0" w:color="auto"/>
            <w:bottom w:val="none" w:sz="0" w:space="0" w:color="auto"/>
            <w:right w:val="none" w:sz="0" w:space="0" w:color="auto"/>
          </w:divBdr>
          <w:divsChild>
            <w:div w:id="618608512">
              <w:marLeft w:val="0"/>
              <w:marRight w:val="0"/>
              <w:marTop w:val="0"/>
              <w:marBottom w:val="0"/>
              <w:divBdr>
                <w:top w:val="none" w:sz="0" w:space="0" w:color="auto"/>
                <w:left w:val="none" w:sz="0" w:space="0" w:color="auto"/>
                <w:bottom w:val="none" w:sz="0" w:space="0" w:color="auto"/>
                <w:right w:val="none" w:sz="0" w:space="0" w:color="auto"/>
              </w:divBdr>
              <w:divsChild>
                <w:div w:id="644893052">
                  <w:marLeft w:val="0"/>
                  <w:marRight w:val="0"/>
                  <w:marTop w:val="0"/>
                  <w:marBottom w:val="0"/>
                  <w:divBdr>
                    <w:top w:val="none" w:sz="0" w:space="0" w:color="auto"/>
                    <w:left w:val="none" w:sz="0" w:space="0" w:color="auto"/>
                    <w:bottom w:val="none" w:sz="0" w:space="0" w:color="auto"/>
                    <w:right w:val="none" w:sz="0" w:space="0" w:color="auto"/>
                  </w:divBdr>
                </w:div>
              </w:divsChild>
            </w:div>
            <w:div w:id="1199120002">
              <w:marLeft w:val="0"/>
              <w:marRight w:val="0"/>
              <w:marTop w:val="0"/>
              <w:marBottom w:val="0"/>
              <w:divBdr>
                <w:top w:val="none" w:sz="0" w:space="0" w:color="auto"/>
                <w:left w:val="none" w:sz="0" w:space="0" w:color="auto"/>
                <w:bottom w:val="none" w:sz="0" w:space="0" w:color="auto"/>
                <w:right w:val="none" w:sz="0" w:space="0" w:color="auto"/>
              </w:divBdr>
              <w:divsChild>
                <w:div w:id="79483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5819">
      <w:bodyDiv w:val="1"/>
      <w:marLeft w:val="0"/>
      <w:marRight w:val="0"/>
      <w:marTop w:val="0"/>
      <w:marBottom w:val="0"/>
      <w:divBdr>
        <w:top w:val="none" w:sz="0" w:space="0" w:color="auto"/>
        <w:left w:val="none" w:sz="0" w:space="0" w:color="auto"/>
        <w:bottom w:val="none" w:sz="0" w:space="0" w:color="auto"/>
        <w:right w:val="none" w:sz="0" w:space="0" w:color="auto"/>
      </w:divBdr>
    </w:div>
    <w:div w:id="834610340">
      <w:bodyDiv w:val="1"/>
      <w:marLeft w:val="0"/>
      <w:marRight w:val="0"/>
      <w:marTop w:val="0"/>
      <w:marBottom w:val="0"/>
      <w:divBdr>
        <w:top w:val="none" w:sz="0" w:space="0" w:color="auto"/>
        <w:left w:val="none" w:sz="0" w:space="0" w:color="auto"/>
        <w:bottom w:val="none" w:sz="0" w:space="0" w:color="auto"/>
        <w:right w:val="none" w:sz="0" w:space="0" w:color="auto"/>
      </w:divBdr>
    </w:div>
    <w:div w:id="838154132">
      <w:bodyDiv w:val="1"/>
      <w:marLeft w:val="0"/>
      <w:marRight w:val="0"/>
      <w:marTop w:val="0"/>
      <w:marBottom w:val="0"/>
      <w:divBdr>
        <w:top w:val="none" w:sz="0" w:space="0" w:color="auto"/>
        <w:left w:val="none" w:sz="0" w:space="0" w:color="auto"/>
        <w:bottom w:val="none" w:sz="0" w:space="0" w:color="auto"/>
        <w:right w:val="none" w:sz="0" w:space="0" w:color="auto"/>
      </w:divBdr>
    </w:div>
    <w:div w:id="843520273">
      <w:bodyDiv w:val="1"/>
      <w:marLeft w:val="0"/>
      <w:marRight w:val="0"/>
      <w:marTop w:val="0"/>
      <w:marBottom w:val="0"/>
      <w:divBdr>
        <w:top w:val="none" w:sz="0" w:space="0" w:color="auto"/>
        <w:left w:val="none" w:sz="0" w:space="0" w:color="auto"/>
        <w:bottom w:val="none" w:sz="0" w:space="0" w:color="auto"/>
        <w:right w:val="none" w:sz="0" w:space="0" w:color="auto"/>
      </w:divBdr>
    </w:div>
    <w:div w:id="857542094">
      <w:bodyDiv w:val="1"/>
      <w:marLeft w:val="0"/>
      <w:marRight w:val="0"/>
      <w:marTop w:val="0"/>
      <w:marBottom w:val="0"/>
      <w:divBdr>
        <w:top w:val="none" w:sz="0" w:space="0" w:color="auto"/>
        <w:left w:val="none" w:sz="0" w:space="0" w:color="auto"/>
        <w:bottom w:val="none" w:sz="0" w:space="0" w:color="auto"/>
        <w:right w:val="none" w:sz="0" w:space="0" w:color="auto"/>
      </w:divBdr>
    </w:div>
    <w:div w:id="894390911">
      <w:bodyDiv w:val="1"/>
      <w:marLeft w:val="0"/>
      <w:marRight w:val="0"/>
      <w:marTop w:val="0"/>
      <w:marBottom w:val="0"/>
      <w:divBdr>
        <w:top w:val="none" w:sz="0" w:space="0" w:color="auto"/>
        <w:left w:val="none" w:sz="0" w:space="0" w:color="auto"/>
        <w:bottom w:val="none" w:sz="0" w:space="0" w:color="auto"/>
        <w:right w:val="none" w:sz="0" w:space="0" w:color="auto"/>
      </w:divBdr>
    </w:div>
    <w:div w:id="996422110">
      <w:bodyDiv w:val="1"/>
      <w:marLeft w:val="0"/>
      <w:marRight w:val="0"/>
      <w:marTop w:val="0"/>
      <w:marBottom w:val="0"/>
      <w:divBdr>
        <w:top w:val="none" w:sz="0" w:space="0" w:color="auto"/>
        <w:left w:val="none" w:sz="0" w:space="0" w:color="auto"/>
        <w:bottom w:val="none" w:sz="0" w:space="0" w:color="auto"/>
        <w:right w:val="none" w:sz="0" w:space="0" w:color="auto"/>
      </w:divBdr>
    </w:div>
    <w:div w:id="1006521102">
      <w:bodyDiv w:val="1"/>
      <w:marLeft w:val="0"/>
      <w:marRight w:val="0"/>
      <w:marTop w:val="0"/>
      <w:marBottom w:val="0"/>
      <w:divBdr>
        <w:top w:val="none" w:sz="0" w:space="0" w:color="auto"/>
        <w:left w:val="none" w:sz="0" w:space="0" w:color="auto"/>
        <w:bottom w:val="none" w:sz="0" w:space="0" w:color="auto"/>
        <w:right w:val="none" w:sz="0" w:space="0" w:color="auto"/>
      </w:divBdr>
    </w:div>
    <w:div w:id="1066418339">
      <w:bodyDiv w:val="1"/>
      <w:marLeft w:val="0"/>
      <w:marRight w:val="0"/>
      <w:marTop w:val="0"/>
      <w:marBottom w:val="0"/>
      <w:divBdr>
        <w:top w:val="none" w:sz="0" w:space="0" w:color="auto"/>
        <w:left w:val="none" w:sz="0" w:space="0" w:color="auto"/>
        <w:bottom w:val="none" w:sz="0" w:space="0" w:color="auto"/>
        <w:right w:val="none" w:sz="0" w:space="0" w:color="auto"/>
      </w:divBdr>
      <w:divsChild>
        <w:div w:id="1382054131">
          <w:marLeft w:val="0"/>
          <w:marRight w:val="0"/>
          <w:marTop w:val="0"/>
          <w:marBottom w:val="0"/>
          <w:divBdr>
            <w:top w:val="none" w:sz="0" w:space="0" w:color="auto"/>
            <w:left w:val="none" w:sz="0" w:space="0" w:color="auto"/>
            <w:bottom w:val="none" w:sz="0" w:space="0" w:color="auto"/>
            <w:right w:val="none" w:sz="0" w:space="0" w:color="auto"/>
          </w:divBdr>
          <w:divsChild>
            <w:div w:id="197395351">
              <w:marLeft w:val="0"/>
              <w:marRight w:val="0"/>
              <w:marTop w:val="0"/>
              <w:marBottom w:val="0"/>
              <w:divBdr>
                <w:top w:val="none" w:sz="0" w:space="0" w:color="auto"/>
                <w:left w:val="none" w:sz="0" w:space="0" w:color="auto"/>
                <w:bottom w:val="none" w:sz="0" w:space="0" w:color="auto"/>
                <w:right w:val="none" w:sz="0" w:space="0" w:color="auto"/>
              </w:divBdr>
              <w:divsChild>
                <w:div w:id="1183594954">
                  <w:marLeft w:val="0"/>
                  <w:marRight w:val="0"/>
                  <w:marTop w:val="0"/>
                  <w:marBottom w:val="0"/>
                  <w:divBdr>
                    <w:top w:val="none" w:sz="0" w:space="0" w:color="auto"/>
                    <w:left w:val="none" w:sz="0" w:space="0" w:color="auto"/>
                    <w:bottom w:val="none" w:sz="0" w:space="0" w:color="auto"/>
                    <w:right w:val="none" w:sz="0" w:space="0" w:color="auto"/>
                  </w:divBdr>
                  <w:divsChild>
                    <w:div w:id="156587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846954">
      <w:bodyDiv w:val="1"/>
      <w:marLeft w:val="0"/>
      <w:marRight w:val="0"/>
      <w:marTop w:val="0"/>
      <w:marBottom w:val="0"/>
      <w:divBdr>
        <w:top w:val="none" w:sz="0" w:space="0" w:color="auto"/>
        <w:left w:val="none" w:sz="0" w:space="0" w:color="auto"/>
        <w:bottom w:val="none" w:sz="0" w:space="0" w:color="auto"/>
        <w:right w:val="none" w:sz="0" w:space="0" w:color="auto"/>
      </w:divBdr>
    </w:div>
    <w:div w:id="1074741419">
      <w:bodyDiv w:val="1"/>
      <w:marLeft w:val="0"/>
      <w:marRight w:val="0"/>
      <w:marTop w:val="0"/>
      <w:marBottom w:val="0"/>
      <w:divBdr>
        <w:top w:val="none" w:sz="0" w:space="0" w:color="auto"/>
        <w:left w:val="none" w:sz="0" w:space="0" w:color="auto"/>
        <w:bottom w:val="none" w:sz="0" w:space="0" w:color="auto"/>
        <w:right w:val="none" w:sz="0" w:space="0" w:color="auto"/>
      </w:divBdr>
    </w:div>
    <w:div w:id="1095783277">
      <w:bodyDiv w:val="1"/>
      <w:marLeft w:val="0"/>
      <w:marRight w:val="0"/>
      <w:marTop w:val="0"/>
      <w:marBottom w:val="0"/>
      <w:divBdr>
        <w:top w:val="none" w:sz="0" w:space="0" w:color="auto"/>
        <w:left w:val="none" w:sz="0" w:space="0" w:color="auto"/>
        <w:bottom w:val="none" w:sz="0" w:space="0" w:color="auto"/>
        <w:right w:val="none" w:sz="0" w:space="0" w:color="auto"/>
      </w:divBdr>
    </w:div>
    <w:div w:id="1117680849">
      <w:bodyDiv w:val="1"/>
      <w:marLeft w:val="0"/>
      <w:marRight w:val="0"/>
      <w:marTop w:val="0"/>
      <w:marBottom w:val="0"/>
      <w:divBdr>
        <w:top w:val="none" w:sz="0" w:space="0" w:color="auto"/>
        <w:left w:val="none" w:sz="0" w:space="0" w:color="auto"/>
        <w:bottom w:val="none" w:sz="0" w:space="0" w:color="auto"/>
        <w:right w:val="none" w:sz="0" w:space="0" w:color="auto"/>
      </w:divBdr>
      <w:divsChild>
        <w:div w:id="1848248769">
          <w:marLeft w:val="0"/>
          <w:marRight w:val="0"/>
          <w:marTop w:val="0"/>
          <w:marBottom w:val="0"/>
          <w:divBdr>
            <w:top w:val="none" w:sz="0" w:space="0" w:color="auto"/>
            <w:left w:val="none" w:sz="0" w:space="0" w:color="auto"/>
            <w:bottom w:val="none" w:sz="0" w:space="0" w:color="auto"/>
            <w:right w:val="none" w:sz="0" w:space="0" w:color="auto"/>
          </w:divBdr>
          <w:divsChild>
            <w:div w:id="1498497185">
              <w:marLeft w:val="0"/>
              <w:marRight w:val="0"/>
              <w:marTop w:val="0"/>
              <w:marBottom w:val="0"/>
              <w:divBdr>
                <w:top w:val="none" w:sz="0" w:space="0" w:color="auto"/>
                <w:left w:val="none" w:sz="0" w:space="0" w:color="auto"/>
                <w:bottom w:val="none" w:sz="0" w:space="0" w:color="auto"/>
                <w:right w:val="none" w:sz="0" w:space="0" w:color="auto"/>
              </w:divBdr>
              <w:divsChild>
                <w:div w:id="104498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7388">
      <w:bodyDiv w:val="1"/>
      <w:marLeft w:val="0"/>
      <w:marRight w:val="0"/>
      <w:marTop w:val="0"/>
      <w:marBottom w:val="0"/>
      <w:divBdr>
        <w:top w:val="none" w:sz="0" w:space="0" w:color="auto"/>
        <w:left w:val="none" w:sz="0" w:space="0" w:color="auto"/>
        <w:bottom w:val="none" w:sz="0" w:space="0" w:color="auto"/>
        <w:right w:val="none" w:sz="0" w:space="0" w:color="auto"/>
      </w:divBdr>
    </w:div>
    <w:div w:id="1129207107">
      <w:bodyDiv w:val="1"/>
      <w:marLeft w:val="0"/>
      <w:marRight w:val="0"/>
      <w:marTop w:val="0"/>
      <w:marBottom w:val="0"/>
      <w:divBdr>
        <w:top w:val="none" w:sz="0" w:space="0" w:color="auto"/>
        <w:left w:val="none" w:sz="0" w:space="0" w:color="auto"/>
        <w:bottom w:val="none" w:sz="0" w:space="0" w:color="auto"/>
        <w:right w:val="none" w:sz="0" w:space="0" w:color="auto"/>
      </w:divBdr>
    </w:div>
    <w:div w:id="1171024417">
      <w:bodyDiv w:val="1"/>
      <w:marLeft w:val="0"/>
      <w:marRight w:val="0"/>
      <w:marTop w:val="0"/>
      <w:marBottom w:val="0"/>
      <w:divBdr>
        <w:top w:val="none" w:sz="0" w:space="0" w:color="auto"/>
        <w:left w:val="none" w:sz="0" w:space="0" w:color="auto"/>
        <w:bottom w:val="none" w:sz="0" w:space="0" w:color="auto"/>
        <w:right w:val="none" w:sz="0" w:space="0" w:color="auto"/>
      </w:divBdr>
      <w:divsChild>
        <w:div w:id="1960145359">
          <w:marLeft w:val="0"/>
          <w:marRight w:val="0"/>
          <w:marTop w:val="0"/>
          <w:marBottom w:val="0"/>
          <w:divBdr>
            <w:top w:val="none" w:sz="0" w:space="0" w:color="auto"/>
            <w:left w:val="none" w:sz="0" w:space="0" w:color="auto"/>
            <w:bottom w:val="none" w:sz="0" w:space="0" w:color="auto"/>
            <w:right w:val="none" w:sz="0" w:space="0" w:color="auto"/>
          </w:divBdr>
          <w:divsChild>
            <w:div w:id="778112127">
              <w:marLeft w:val="0"/>
              <w:marRight w:val="0"/>
              <w:marTop w:val="0"/>
              <w:marBottom w:val="0"/>
              <w:divBdr>
                <w:top w:val="none" w:sz="0" w:space="0" w:color="auto"/>
                <w:left w:val="none" w:sz="0" w:space="0" w:color="auto"/>
                <w:bottom w:val="none" w:sz="0" w:space="0" w:color="auto"/>
                <w:right w:val="none" w:sz="0" w:space="0" w:color="auto"/>
              </w:divBdr>
              <w:divsChild>
                <w:div w:id="91248741">
                  <w:marLeft w:val="0"/>
                  <w:marRight w:val="0"/>
                  <w:marTop w:val="0"/>
                  <w:marBottom w:val="0"/>
                  <w:divBdr>
                    <w:top w:val="none" w:sz="0" w:space="0" w:color="auto"/>
                    <w:left w:val="none" w:sz="0" w:space="0" w:color="auto"/>
                    <w:bottom w:val="none" w:sz="0" w:space="0" w:color="auto"/>
                    <w:right w:val="none" w:sz="0" w:space="0" w:color="auto"/>
                  </w:divBdr>
                  <w:divsChild>
                    <w:div w:id="1032076199">
                      <w:marLeft w:val="0"/>
                      <w:marRight w:val="0"/>
                      <w:marTop w:val="0"/>
                      <w:marBottom w:val="0"/>
                      <w:divBdr>
                        <w:top w:val="none" w:sz="0" w:space="0" w:color="auto"/>
                        <w:left w:val="none" w:sz="0" w:space="0" w:color="auto"/>
                        <w:bottom w:val="none" w:sz="0" w:space="0" w:color="auto"/>
                        <w:right w:val="none" w:sz="0" w:space="0" w:color="auto"/>
                      </w:divBdr>
                    </w:div>
                  </w:divsChild>
                </w:div>
                <w:div w:id="1307737959">
                  <w:marLeft w:val="0"/>
                  <w:marRight w:val="0"/>
                  <w:marTop w:val="0"/>
                  <w:marBottom w:val="0"/>
                  <w:divBdr>
                    <w:top w:val="none" w:sz="0" w:space="0" w:color="auto"/>
                    <w:left w:val="none" w:sz="0" w:space="0" w:color="auto"/>
                    <w:bottom w:val="none" w:sz="0" w:space="0" w:color="auto"/>
                    <w:right w:val="none" w:sz="0" w:space="0" w:color="auto"/>
                  </w:divBdr>
                  <w:divsChild>
                    <w:div w:id="1603370021">
                      <w:marLeft w:val="0"/>
                      <w:marRight w:val="0"/>
                      <w:marTop w:val="0"/>
                      <w:marBottom w:val="0"/>
                      <w:divBdr>
                        <w:top w:val="none" w:sz="0" w:space="0" w:color="auto"/>
                        <w:left w:val="none" w:sz="0" w:space="0" w:color="auto"/>
                        <w:bottom w:val="none" w:sz="0" w:space="0" w:color="auto"/>
                        <w:right w:val="none" w:sz="0" w:space="0" w:color="auto"/>
                      </w:divBdr>
                    </w:div>
                  </w:divsChild>
                </w:div>
                <w:div w:id="1643189615">
                  <w:marLeft w:val="0"/>
                  <w:marRight w:val="0"/>
                  <w:marTop w:val="0"/>
                  <w:marBottom w:val="0"/>
                  <w:divBdr>
                    <w:top w:val="none" w:sz="0" w:space="0" w:color="auto"/>
                    <w:left w:val="none" w:sz="0" w:space="0" w:color="auto"/>
                    <w:bottom w:val="none" w:sz="0" w:space="0" w:color="auto"/>
                    <w:right w:val="none" w:sz="0" w:space="0" w:color="auto"/>
                  </w:divBdr>
                  <w:divsChild>
                    <w:div w:id="103634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656519">
      <w:bodyDiv w:val="1"/>
      <w:marLeft w:val="0"/>
      <w:marRight w:val="0"/>
      <w:marTop w:val="0"/>
      <w:marBottom w:val="0"/>
      <w:divBdr>
        <w:top w:val="none" w:sz="0" w:space="0" w:color="auto"/>
        <w:left w:val="none" w:sz="0" w:space="0" w:color="auto"/>
        <w:bottom w:val="none" w:sz="0" w:space="0" w:color="auto"/>
        <w:right w:val="none" w:sz="0" w:space="0" w:color="auto"/>
      </w:divBdr>
    </w:div>
    <w:div w:id="1238973960">
      <w:bodyDiv w:val="1"/>
      <w:marLeft w:val="0"/>
      <w:marRight w:val="0"/>
      <w:marTop w:val="0"/>
      <w:marBottom w:val="0"/>
      <w:divBdr>
        <w:top w:val="none" w:sz="0" w:space="0" w:color="auto"/>
        <w:left w:val="none" w:sz="0" w:space="0" w:color="auto"/>
        <w:bottom w:val="none" w:sz="0" w:space="0" w:color="auto"/>
        <w:right w:val="none" w:sz="0" w:space="0" w:color="auto"/>
      </w:divBdr>
    </w:div>
    <w:div w:id="1282112238">
      <w:bodyDiv w:val="1"/>
      <w:marLeft w:val="0"/>
      <w:marRight w:val="0"/>
      <w:marTop w:val="0"/>
      <w:marBottom w:val="0"/>
      <w:divBdr>
        <w:top w:val="none" w:sz="0" w:space="0" w:color="auto"/>
        <w:left w:val="none" w:sz="0" w:space="0" w:color="auto"/>
        <w:bottom w:val="none" w:sz="0" w:space="0" w:color="auto"/>
        <w:right w:val="none" w:sz="0" w:space="0" w:color="auto"/>
      </w:divBdr>
    </w:div>
    <w:div w:id="1283540857">
      <w:bodyDiv w:val="1"/>
      <w:marLeft w:val="0"/>
      <w:marRight w:val="0"/>
      <w:marTop w:val="0"/>
      <w:marBottom w:val="0"/>
      <w:divBdr>
        <w:top w:val="none" w:sz="0" w:space="0" w:color="auto"/>
        <w:left w:val="none" w:sz="0" w:space="0" w:color="auto"/>
        <w:bottom w:val="none" w:sz="0" w:space="0" w:color="auto"/>
        <w:right w:val="none" w:sz="0" w:space="0" w:color="auto"/>
      </w:divBdr>
    </w:div>
    <w:div w:id="1291477858">
      <w:bodyDiv w:val="1"/>
      <w:marLeft w:val="0"/>
      <w:marRight w:val="0"/>
      <w:marTop w:val="0"/>
      <w:marBottom w:val="0"/>
      <w:divBdr>
        <w:top w:val="none" w:sz="0" w:space="0" w:color="auto"/>
        <w:left w:val="none" w:sz="0" w:space="0" w:color="auto"/>
        <w:bottom w:val="none" w:sz="0" w:space="0" w:color="auto"/>
        <w:right w:val="none" w:sz="0" w:space="0" w:color="auto"/>
      </w:divBdr>
      <w:divsChild>
        <w:div w:id="3750874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3384979">
              <w:marLeft w:val="0"/>
              <w:marRight w:val="0"/>
              <w:marTop w:val="0"/>
              <w:marBottom w:val="0"/>
              <w:divBdr>
                <w:top w:val="none" w:sz="0" w:space="0" w:color="auto"/>
                <w:left w:val="none" w:sz="0" w:space="0" w:color="auto"/>
                <w:bottom w:val="none" w:sz="0" w:space="0" w:color="auto"/>
                <w:right w:val="none" w:sz="0" w:space="0" w:color="auto"/>
              </w:divBdr>
              <w:divsChild>
                <w:div w:id="197382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110589">
      <w:bodyDiv w:val="1"/>
      <w:marLeft w:val="0"/>
      <w:marRight w:val="0"/>
      <w:marTop w:val="0"/>
      <w:marBottom w:val="0"/>
      <w:divBdr>
        <w:top w:val="none" w:sz="0" w:space="0" w:color="auto"/>
        <w:left w:val="none" w:sz="0" w:space="0" w:color="auto"/>
        <w:bottom w:val="none" w:sz="0" w:space="0" w:color="auto"/>
        <w:right w:val="none" w:sz="0" w:space="0" w:color="auto"/>
      </w:divBdr>
      <w:divsChild>
        <w:div w:id="1777362533">
          <w:marLeft w:val="0"/>
          <w:marRight w:val="0"/>
          <w:marTop w:val="0"/>
          <w:marBottom w:val="0"/>
          <w:divBdr>
            <w:top w:val="none" w:sz="0" w:space="0" w:color="auto"/>
            <w:left w:val="none" w:sz="0" w:space="0" w:color="auto"/>
            <w:bottom w:val="none" w:sz="0" w:space="0" w:color="auto"/>
            <w:right w:val="none" w:sz="0" w:space="0" w:color="auto"/>
          </w:divBdr>
        </w:div>
      </w:divsChild>
    </w:div>
    <w:div w:id="1329938530">
      <w:bodyDiv w:val="1"/>
      <w:marLeft w:val="0"/>
      <w:marRight w:val="0"/>
      <w:marTop w:val="0"/>
      <w:marBottom w:val="0"/>
      <w:divBdr>
        <w:top w:val="none" w:sz="0" w:space="0" w:color="auto"/>
        <w:left w:val="none" w:sz="0" w:space="0" w:color="auto"/>
        <w:bottom w:val="none" w:sz="0" w:space="0" w:color="auto"/>
        <w:right w:val="none" w:sz="0" w:space="0" w:color="auto"/>
      </w:divBdr>
    </w:div>
    <w:div w:id="1354191237">
      <w:bodyDiv w:val="1"/>
      <w:marLeft w:val="0"/>
      <w:marRight w:val="0"/>
      <w:marTop w:val="0"/>
      <w:marBottom w:val="0"/>
      <w:divBdr>
        <w:top w:val="none" w:sz="0" w:space="0" w:color="auto"/>
        <w:left w:val="none" w:sz="0" w:space="0" w:color="auto"/>
        <w:bottom w:val="none" w:sz="0" w:space="0" w:color="auto"/>
        <w:right w:val="none" w:sz="0" w:space="0" w:color="auto"/>
      </w:divBdr>
      <w:divsChild>
        <w:div w:id="450443566">
          <w:marLeft w:val="0"/>
          <w:marRight w:val="0"/>
          <w:marTop w:val="0"/>
          <w:marBottom w:val="0"/>
          <w:divBdr>
            <w:top w:val="none" w:sz="0" w:space="0" w:color="auto"/>
            <w:left w:val="none" w:sz="0" w:space="0" w:color="auto"/>
            <w:bottom w:val="none" w:sz="0" w:space="0" w:color="auto"/>
            <w:right w:val="none" w:sz="0" w:space="0" w:color="auto"/>
          </w:divBdr>
        </w:div>
        <w:div w:id="723680402">
          <w:marLeft w:val="0"/>
          <w:marRight w:val="0"/>
          <w:marTop w:val="0"/>
          <w:marBottom w:val="0"/>
          <w:divBdr>
            <w:top w:val="none" w:sz="0" w:space="0" w:color="auto"/>
            <w:left w:val="none" w:sz="0" w:space="0" w:color="auto"/>
            <w:bottom w:val="none" w:sz="0" w:space="0" w:color="auto"/>
            <w:right w:val="none" w:sz="0" w:space="0" w:color="auto"/>
          </w:divBdr>
        </w:div>
        <w:div w:id="959606977">
          <w:marLeft w:val="0"/>
          <w:marRight w:val="0"/>
          <w:marTop w:val="0"/>
          <w:marBottom w:val="0"/>
          <w:divBdr>
            <w:top w:val="none" w:sz="0" w:space="0" w:color="auto"/>
            <w:left w:val="none" w:sz="0" w:space="0" w:color="auto"/>
            <w:bottom w:val="none" w:sz="0" w:space="0" w:color="auto"/>
            <w:right w:val="none" w:sz="0" w:space="0" w:color="auto"/>
          </w:divBdr>
        </w:div>
        <w:div w:id="1362586136">
          <w:marLeft w:val="0"/>
          <w:marRight w:val="0"/>
          <w:marTop w:val="0"/>
          <w:marBottom w:val="0"/>
          <w:divBdr>
            <w:top w:val="none" w:sz="0" w:space="0" w:color="auto"/>
            <w:left w:val="none" w:sz="0" w:space="0" w:color="auto"/>
            <w:bottom w:val="none" w:sz="0" w:space="0" w:color="auto"/>
            <w:right w:val="none" w:sz="0" w:space="0" w:color="auto"/>
          </w:divBdr>
        </w:div>
        <w:div w:id="1813601087">
          <w:marLeft w:val="0"/>
          <w:marRight w:val="0"/>
          <w:marTop w:val="0"/>
          <w:marBottom w:val="0"/>
          <w:divBdr>
            <w:top w:val="none" w:sz="0" w:space="0" w:color="auto"/>
            <w:left w:val="none" w:sz="0" w:space="0" w:color="auto"/>
            <w:bottom w:val="none" w:sz="0" w:space="0" w:color="auto"/>
            <w:right w:val="none" w:sz="0" w:space="0" w:color="auto"/>
          </w:divBdr>
        </w:div>
      </w:divsChild>
    </w:div>
    <w:div w:id="1367825310">
      <w:bodyDiv w:val="1"/>
      <w:marLeft w:val="0"/>
      <w:marRight w:val="0"/>
      <w:marTop w:val="0"/>
      <w:marBottom w:val="0"/>
      <w:divBdr>
        <w:top w:val="none" w:sz="0" w:space="0" w:color="auto"/>
        <w:left w:val="none" w:sz="0" w:space="0" w:color="auto"/>
        <w:bottom w:val="none" w:sz="0" w:space="0" w:color="auto"/>
        <w:right w:val="none" w:sz="0" w:space="0" w:color="auto"/>
      </w:divBdr>
      <w:divsChild>
        <w:div w:id="1449474294">
          <w:marLeft w:val="0"/>
          <w:marRight w:val="0"/>
          <w:marTop w:val="0"/>
          <w:marBottom w:val="0"/>
          <w:divBdr>
            <w:top w:val="none" w:sz="0" w:space="0" w:color="auto"/>
            <w:left w:val="none" w:sz="0" w:space="0" w:color="auto"/>
            <w:bottom w:val="none" w:sz="0" w:space="0" w:color="auto"/>
            <w:right w:val="none" w:sz="0" w:space="0" w:color="auto"/>
          </w:divBdr>
          <w:divsChild>
            <w:div w:id="1535382318">
              <w:marLeft w:val="0"/>
              <w:marRight w:val="0"/>
              <w:marTop w:val="0"/>
              <w:marBottom w:val="0"/>
              <w:divBdr>
                <w:top w:val="none" w:sz="0" w:space="0" w:color="auto"/>
                <w:left w:val="none" w:sz="0" w:space="0" w:color="auto"/>
                <w:bottom w:val="none" w:sz="0" w:space="0" w:color="auto"/>
                <w:right w:val="none" w:sz="0" w:space="0" w:color="auto"/>
              </w:divBdr>
              <w:divsChild>
                <w:div w:id="1474254553">
                  <w:marLeft w:val="0"/>
                  <w:marRight w:val="0"/>
                  <w:marTop w:val="0"/>
                  <w:marBottom w:val="0"/>
                  <w:divBdr>
                    <w:top w:val="none" w:sz="0" w:space="0" w:color="auto"/>
                    <w:left w:val="none" w:sz="0" w:space="0" w:color="auto"/>
                    <w:bottom w:val="none" w:sz="0" w:space="0" w:color="auto"/>
                    <w:right w:val="none" w:sz="0" w:space="0" w:color="auto"/>
                  </w:divBdr>
                  <w:divsChild>
                    <w:div w:id="208051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765464">
      <w:bodyDiv w:val="1"/>
      <w:marLeft w:val="0"/>
      <w:marRight w:val="0"/>
      <w:marTop w:val="0"/>
      <w:marBottom w:val="0"/>
      <w:divBdr>
        <w:top w:val="none" w:sz="0" w:space="0" w:color="auto"/>
        <w:left w:val="none" w:sz="0" w:space="0" w:color="auto"/>
        <w:bottom w:val="none" w:sz="0" w:space="0" w:color="auto"/>
        <w:right w:val="none" w:sz="0" w:space="0" w:color="auto"/>
      </w:divBdr>
      <w:divsChild>
        <w:div w:id="2086494620">
          <w:marLeft w:val="0"/>
          <w:marRight w:val="0"/>
          <w:marTop w:val="0"/>
          <w:marBottom w:val="0"/>
          <w:divBdr>
            <w:top w:val="none" w:sz="0" w:space="0" w:color="auto"/>
            <w:left w:val="none" w:sz="0" w:space="0" w:color="auto"/>
            <w:bottom w:val="none" w:sz="0" w:space="0" w:color="auto"/>
            <w:right w:val="none" w:sz="0" w:space="0" w:color="auto"/>
          </w:divBdr>
          <w:divsChild>
            <w:div w:id="1170488891">
              <w:marLeft w:val="0"/>
              <w:marRight w:val="0"/>
              <w:marTop w:val="0"/>
              <w:marBottom w:val="0"/>
              <w:divBdr>
                <w:top w:val="none" w:sz="0" w:space="0" w:color="auto"/>
                <w:left w:val="none" w:sz="0" w:space="0" w:color="auto"/>
                <w:bottom w:val="none" w:sz="0" w:space="0" w:color="auto"/>
                <w:right w:val="none" w:sz="0" w:space="0" w:color="auto"/>
              </w:divBdr>
              <w:divsChild>
                <w:div w:id="164353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852959">
      <w:bodyDiv w:val="1"/>
      <w:marLeft w:val="0"/>
      <w:marRight w:val="0"/>
      <w:marTop w:val="0"/>
      <w:marBottom w:val="0"/>
      <w:divBdr>
        <w:top w:val="none" w:sz="0" w:space="0" w:color="auto"/>
        <w:left w:val="none" w:sz="0" w:space="0" w:color="auto"/>
        <w:bottom w:val="none" w:sz="0" w:space="0" w:color="auto"/>
        <w:right w:val="none" w:sz="0" w:space="0" w:color="auto"/>
      </w:divBdr>
      <w:divsChild>
        <w:div w:id="539829089">
          <w:marLeft w:val="0"/>
          <w:marRight w:val="0"/>
          <w:marTop w:val="0"/>
          <w:marBottom w:val="0"/>
          <w:divBdr>
            <w:top w:val="none" w:sz="0" w:space="0" w:color="auto"/>
            <w:left w:val="none" w:sz="0" w:space="0" w:color="auto"/>
            <w:bottom w:val="none" w:sz="0" w:space="0" w:color="auto"/>
            <w:right w:val="none" w:sz="0" w:space="0" w:color="auto"/>
          </w:divBdr>
          <w:divsChild>
            <w:div w:id="911621989">
              <w:marLeft w:val="0"/>
              <w:marRight w:val="0"/>
              <w:marTop w:val="0"/>
              <w:marBottom w:val="0"/>
              <w:divBdr>
                <w:top w:val="none" w:sz="0" w:space="0" w:color="auto"/>
                <w:left w:val="none" w:sz="0" w:space="0" w:color="auto"/>
                <w:bottom w:val="none" w:sz="0" w:space="0" w:color="auto"/>
                <w:right w:val="none" w:sz="0" w:space="0" w:color="auto"/>
              </w:divBdr>
              <w:divsChild>
                <w:div w:id="318121050">
                  <w:marLeft w:val="0"/>
                  <w:marRight w:val="0"/>
                  <w:marTop w:val="0"/>
                  <w:marBottom w:val="0"/>
                  <w:divBdr>
                    <w:top w:val="none" w:sz="0" w:space="0" w:color="auto"/>
                    <w:left w:val="none" w:sz="0" w:space="0" w:color="auto"/>
                    <w:bottom w:val="none" w:sz="0" w:space="0" w:color="auto"/>
                    <w:right w:val="none" w:sz="0" w:space="0" w:color="auto"/>
                  </w:divBdr>
                  <w:divsChild>
                    <w:div w:id="50490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745407">
      <w:bodyDiv w:val="1"/>
      <w:marLeft w:val="0"/>
      <w:marRight w:val="0"/>
      <w:marTop w:val="0"/>
      <w:marBottom w:val="0"/>
      <w:divBdr>
        <w:top w:val="none" w:sz="0" w:space="0" w:color="auto"/>
        <w:left w:val="none" w:sz="0" w:space="0" w:color="auto"/>
        <w:bottom w:val="none" w:sz="0" w:space="0" w:color="auto"/>
        <w:right w:val="none" w:sz="0" w:space="0" w:color="auto"/>
      </w:divBdr>
      <w:divsChild>
        <w:div w:id="1502815420">
          <w:marLeft w:val="0"/>
          <w:marRight w:val="0"/>
          <w:marTop w:val="0"/>
          <w:marBottom w:val="0"/>
          <w:divBdr>
            <w:top w:val="none" w:sz="0" w:space="0" w:color="auto"/>
            <w:left w:val="none" w:sz="0" w:space="0" w:color="auto"/>
            <w:bottom w:val="none" w:sz="0" w:space="0" w:color="auto"/>
            <w:right w:val="none" w:sz="0" w:space="0" w:color="auto"/>
          </w:divBdr>
          <w:divsChild>
            <w:div w:id="1277756408">
              <w:marLeft w:val="0"/>
              <w:marRight w:val="0"/>
              <w:marTop w:val="0"/>
              <w:marBottom w:val="0"/>
              <w:divBdr>
                <w:top w:val="none" w:sz="0" w:space="0" w:color="auto"/>
                <w:left w:val="none" w:sz="0" w:space="0" w:color="auto"/>
                <w:bottom w:val="none" w:sz="0" w:space="0" w:color="auto"/>
                <w:right w:val="none" w:sz="0" w:space="0" w:color="auto"/>
              </w:divBdr>
              <w:divsChild>
                <w:div w:id="91478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900988">
      <w:bodyDiv w:val="1"/>
      <w:marLeft w:val="0"/>
      <w:marRight w:val="0"/>
      <w:marTop w:val="0"/>
      <w:marBottom w:val="0"/>
      <w:divBdr>
        <w:top w:val="none" w:sz="0" w:space="0" w:color="auto"/>
        <w:left w:val="none" w:sz="0" w:space="0" w:color="auto"/>
        <w:bottom w:val="none" w:sz="0" w:space="0" w:color="auto"/>
        <w:right w:val="none" w:sz="0" w:space="0" w:color="auto"/>
      </w:divBdr>
    </w:div>
    <w:div w:id="1556315137">
      <w:bodyDiv w:val="1"/>
      <w:marLeft w:val="0"/>
      <w:marRight w:val="0"/>
      <w:marTop w:val="0"/>
      <w:marBottom w:val="0"/>
      <w:divBdr>
        <w:top w:val="none" w:sz="0" w:space="0" w:color="auto"/>
        <w:left w:val="none" w:sz="0" w:space="0" w:color="auto"/>
        <w:bottom w:val="none" w:sz="0" w:space="0" w:color="auto"/>
        <w:right w:val="none" w:sz="0" w:space="0" w:color="auto"/>
      </w:divBdr>
      <w:divsChild>
        <w:div w:id="140317062">
          <w:marLeft w:val="0"/>
          <w:marRight w:val="0"/>
          <w:marTop w:val="0"/>
          <w:marBottom w:val="0"/>
          <w:divBdr>
            <w:top w:val="none" w:sz="0" w:space="0" w:color="auto"/>
            <w:left w:val="none" w:sz="0" w:space="0" w:color="auto"/>
            <w:bottom w:val="none" w:sz="0" w:space="0" w:color="auto"/>
            <w:right w:val="none" w:sz="0" w:space="0" w:color="auto"/>
          </w:divBdr>
        </w:div>
      </w:divsChild>
    </w:div>
    <w:div w:id="1561139322">
      <w:bodyDiv w:val="1"/>
      <w:marLeft w:val="0"/>
      <w:marRight w:val="0"/>
      <w:marTop w:val="0"/>
      <w:marBottom w:val="0"/>
      <w:divBdr>
        <w:top w:val="none" w:sz="0" w:space="0" w:color="auto"/>
        <w:left w:val="none" w:sz="0" w:space="0" w:color="auto"/>
        <w:bottom w:val="none" w:sz="0" w:space="0" w:color="auto"/>
        <w:right w:val="none" w:sz="0" w:space="0" w:color="auto"/>
      </w:divBdr>
    </w:div>
    <w:div w:id="1659190514">
      <w:bodyDiv w:val="1"/>
      <w:marLeft w:val="0"/>
      <w:marRight w:val="0"/>
      <w:marTop w:val="0"/>
      <w:marBottom w:val="0"/>
      <w:divBdr>
        <w:top w:val="none" w:sz="0" w:space="0" w:color="auto"/>
        <w:left w:val="none" w:sz="0" w:space="0" w:color="auto"/>
        <w:bottom w:val="none" w:sz="0" w:space="0" w:color="auto"/>
        <w:right w:val="none" w:sz="0" w:space="0" w:color="auto"/>
      </w:divBdr>
    </w:div>
    <w:div w:id="1762683679">
      <w:bodyDiv w:val="1"/>
      <w:marLeft w:val="0"/>
      <w:marRight w:val="0"/>
      <w:marTop w:val="0"/>
      <w:marBottom w:val="0"/>
      <w:divBdr>
        <w:top w:val="none" w:sz="0" w:space="0" w:color="auto"/>
        <w:left w:val="none" w:sz="0" w:space="0" w:color="auto"/>
        <w:bottom w:val="none" w:sz="0" w:space="0" w:color="auto"/>
        <w:right w:val="none" w:sz="0" w:space="0" w:color="auto"/>
      </w:divBdr>
    </w:div>
    <w:div w:id="1778522602">
      <w:bodyDiv w:val="1"/>
      <w:marLeft w:val="0"/>
      <w:marRight w:val="0"/>
      <w:marTop w:val="0"/>
      <w:marBottom w:val="0"/>
      <w:divBdr>
        <w:top w:val="none" w:sz="0" w:space="0" w:color="auto"/>
        <w:left w:val="none" w:sz="0" w:space="0" w:color="auto"/>
        <w:bottom w:val="none" w:sz="0" w:space="0" w:color="auto"/>
        <w:right w:val="none" w:sz="0" w:space="0" w:color="auto"/>
      </w:divBdr>
      <w:divsChild>
        <w:div w:id="1877765724">
          <w:marLeft w:val="0"/>
          <w:marRight w:val="0"/>
          <w:marTop w:val="0"/>
          <w:marBottom w:val="0"/>
          <w:divBdr>
            <w:top w:val="none" w:sz="0" w:space="0" w:color="auto"/>
            <w:left w:val="none" w:sz="0" w:space="0" w:color="auto"/>
            <w:bottom w:val="none" w:sz="0" w:space="0" w:color="auto"/>
            <w:right w:val="none" w:sz="0" w:space="0" w:color="auto"/>
          </w:divBdr>
          <w:divsChild>
            <w:div w:id="1812479624">
              <w:marLeft w:val="0"/>
              <w:marRight w:val="0"/>
              <w:marTop w:val="0"/>
              <w:marBottom w:val="0"/>
              <w:divBdr>
                <w:top w:val="none" w:sz="0" w:space="0" w:color="auto"/>
                <w:left w:val="none" w:sz="0" w:space="0" w:color="auto"/>
                <w:bottom w:val="none" w:sz="0" w:space="0" w:color="auto"/>
                <w:right w:val="none" w:sz="0" w:space="0" w:color="auto"/>
              </w:divBdr>
              <w:divsChild>
                <w:div w:id="182446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414110">
      <w:bodyDiv w:val="1"/>
      <w:marLeft w:val="0"/>
      <w:marRight w:val="0"/>
      <w:marTop w:val="0"/>
      <w:marBottom w:val="0"/>
      <w:divBdr>
        <w:top w:val="none" w:sz="0" w:space="0" w:color="auto"/>
        <w:left w:val="none" w:sz="0" w:space="0" w:color="auto"/>
        <w:bottom w:val="none" w:sz="0" w:space="0" w:color="auto"/>
        <w:right w:val="none" w:sz="0" w:space="0" w:color="auto"/>
      </w:divBdr>
      <w:divsChild>
        <w:div w:id="697702157">
          <w:marLeft w:val="0"/>
          <w:marRight w:val="0"/>
          <w:marTop w:val="0"/>
          <w:marBottom w:val="0"/>
          <w:divBdr>
            <w:top w:val="none" w:sz="0" w:space="0" w:color="auto"/>
            <w:left w:val="none" w:sz="0" w:space="0" w:color="auto"/>
            <w:bottom w:val="none" w:sz="0" w:space="0" w:color="auto"/>
            <w:right w:val="none" w:sz="0" w:space="0" w:color="auto"/>
          </w:divBdr>
          <w:divsChild>
            <w:div w:id="1234198409">
              <w:marLeft w:val="0"/>
              <w:marRight w:val="0"/>
              <w:marTop w:val="0"/>
              <w:marBottom w:val="0"/>
              <w:divBdr>
                <w:top w:val="none" w:sz="0" w:space="0" w:color="auto"/>
                <w:left w:val="none" w:sz="0" w:space="0" w:color="auto"/>
                <w:bottom w:val="none" w:sz="0" w:space="0" w:color="auto"/>
                <w:right w:val="none" w:sz="0" w:space="0" w:color="auto"/>
              </w:divBdr>
              <w:divsChild>
                <w:div w:id="192062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3850">
      <w:bodyDiv w:val="1"/>
      <w:marLeft w:val="0"/>
      <w:marRight w:val="0"/>
      <w:marTop w:val="0"/>
      <w:marBottom w:val="0"/>
      <w:divBdr>
        <w:top w:val="none" w:sz="0" w:space="0" w:color="auto"/>
        <w:left w:val="none" w:sz="0" w:space="0" w:color="auto"/>
        <w:bottom w:val="none" w:sz="0" w:space="0" w:color="auto"/>
        <w:right w:val="none" w:sz="0" w:space="0" w:color="auto"/>
      </w:divBdr>
    </w:div>
    <w:div w:id="1922639632">
      <w:bodyDiv w:val="1"/>
      <w:marLeft w:val="0"/>
      <w:marRight w:val="0"/>
      <w:marTop w:val="0"/>
      <w:marBottom w:val="0"/>
      <w:divBdr>
        <w:top w:val="none" w:sz="0" w:space="0" w:color="auto"/>
        <w:left w:val="none" w:sz="0" w:space="0" w:color="auto"/>
        <w:bottom w:val="none" w:sz="0" w:space="0" w:color="auto"/>
        <w:right w:val="none" w:sz="0" w:space="0" w:color="auto"/>
      </w:divBdr>
      <w:divsChild>
        <w:div w:id="679114940">
          <w:marLeft w:val="2160"/>
          <w:marRight w:val="0"/>
          <w:marTop w:val="120"/>
          <w:marBottom w:val="120"/>
          <w:divBdr>
            <w:top w:val="none" w:sz="0" w:space="0" w:color="auto"/>
            <w:left w:val="none" w:sz="0" w:space="0" w:color="auto"/>
            <w:bottom w:val="none" w:sz="0" w:space="0" w:color="auto"/>
            <w:right w:val="none" w:sz="0" w:space="0" w:color="auto"/>
          </w:divBdr>
        </w:div>
      </w:divsChild>
    </w:div>
    <w:div w:id="1926105908">
      <w:bodyDiv w:val="1"/>
      <w:marLeft w:val="0"/>
      <w:marRight w:val="0"/>
      <w:marTop w:val="0"/>
      <w:marBottom w:val="0"/>
      <w:divBdr>
        <w:top w:val="none" w:sz="0" w:space="0" w:color="auto"/>
        <w:left w:val="none" w:sz="0" w:space="0" w:color="auto"/>
        <w:bottom w:val="none" w:sz="0" w:space="0" w:color="auto"/>
        <w:right w:val="none" w:sz="0" w:space="0" w:color="auto"/>
      </w:divBdr>
    </w:div>
    <w:div w:id="1948544097">
      <w:bodyDiv w:val="1"/>
      <w:marLeft w:val="0"/>
      <w:marRight w:val="0"/>
      <w:marTop w:val="0"/>
      <w:marBottom w:val="0"/>
      <w:divBdr>
        <w:top w:val="none" w:sz="0" w:space="0" w:color="auto"/>
        <w:left w:val="none" w:sz="0" w:space="0" w:color="auto"/>
        <w:bottom w:val="none" w:sz="0" w:space="0" w:color="auto"/>
        <w:right w:val="none" w:sz="0" w:space="0" w:color="auto"/>
      </w:divBdr>
      <w:divsChild>
        <w:div w:id="754858988">
          <w:marLeft w:val="360"/>
          <w:marRight w:val="0"/>
          <w:marTop w:val="200"/>
          <w:marBottom w:val="0"/>
          <w:divBdr>
            <w:top w:val="none" w:sz="0" w:space="0" w:color="auto"/>
            <w:left w:val="none" w:sz="0" w:space="0" w:color="auto"/>
            <w:bottom w:val="none" w:sz="0" w:space="0" w:color="auto"/>
            <w:right w:val="none" w:sz="0" w:space="0" w:color="auto"/>
          </w:divBdr>
        </w:div>
      </w:divsChild>
    </w:div>
    <w:div w:id="1953315084">
      <w:bodyDiv w:val="1"/>
      <w:marLeft w:val="0"/>
      <w:marRight w:val="0"/>
      <w:marTop w:val="0"/>
      <w:marBottom w:val="0"/>
      <w:divBdr>
        <w:top w:val="none" w:sz="0" w:space="0" w:color="auto"/>
        <w:left w:val="none" w:sz="0" w:space="0" w:color="auto"/>
        <w:bottom w:val="none" w:sz="0" w:space="0" w:color="auto"/>
        <w:right w:val="none" w:sz="0" w:space="0" w:color="auto"/>
      </w:divBdr>
      <w:divsChild>
        <w:div w:id="155539262">
          <w:marLeft w:val="0"/>
          <w:marRight w:val="0"/>
          <w:marTop w:val="0"/>
          <w:marBottom w:val="0"/>
          <w:divBdr>
            <w:top w:val="none" w:sz="0" w:space="0" w:color="auto"/>
            <w:left w:val="none" w:sz="0" w:space="0" w:color="auto"/>
            <w:bottom w:val="none" w:sz="0" w:space="0" w:color="auto"/>
            <w:right w:val="none" w:sz="0" w:space="0" w:color="auto"/>
          </w:divBdr>
          <w:divsChild>
            <w:div w:id="711731246">
              <w:marLeft w:val="0"/>
              <w:marRight w:val="0"/>
              <w:marTop w:val="0"/>
              <w:marBottom w:val="0"/>
              <w:divBdr>
                <w:top w:val="none" w:sz="0" w:space="0" w:color="auto"/>
                <w:left w:val="none" w:sz="0" w:space="0" w:color="auto"/>
                <w:bottom w:val="none" w:sz="0" w:space="0" w:color="auto"/>
                <w:right w:val="none" w:sz="0" w:space="0" w:color="auto"/>
              </w:divBdr>
              <w:divsChild>
                <w:div w:id="797727982">
                  <w:marLeft w:val="0"/>
                  <w:marRight w:val="0"/>
                  <w:marTop w:val="0"/>
                  <w:marBottom w:val="0"/>
                  <w:divBdr>
                    <w:top w:val="none" w:sz="0" w:space="0" w:color="auto"/>
                    <w:left w:val="none" w:sz="0" w:space="0" w:color="auto"/>
                    <w:bottom w:val="none" w:sz="0" w:space="0" w:color="auto"/>
                    <w:right w:val="none" w:sz="0" w:space="0" w:color="auto"/>
                  </w:divBdr>
                  <w:divsChild>
                    <w:div w:id="66886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988906">
      <w:bodyDiv w:val="1"/>
      <w:marLeft w:val="0"/>
      <w:marRight w:val="0"/>
      <w:marTop w:val="0"/>
      <w:marBottom w:val="0"/>
      <w:divBdr>
        <w:top w:val="none" w:sz="0" w:space="0" w:color="auto"/>
        <w:left w:val="none" w:sz="0" w:space="0" w:color="auto"/>
        <w:bottom w:val="none" w:sz="0" w:space="0" w:color="auto"/>
        <w:right w:val="none" w:sz="0" w:space="0" w:color="auto"/>
      </w:divBdr>
    </w:div>
    <w:div w:id="2045904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6.xml"/><Relationship Id="rId42" Type="http://schemas.openxmlformats.org/officeDocument/2006/relationships/image" Target="media/image10.png"/><Relationship Id="rId47" Type="http://schemas.openxmlformats.org/officeDocument/2006/relationships/image" Target="media/image15.png"/><Relationship Id="rId63" Type="http://schemas.openxmlformats.org/officeDocument/2006/relationships/image" Target="media/image31.png"/><Relationship Id="rId68" Type="http://schemas.openxmlformats.org/officeDocument/2006/relationships/image" Target="media/image36.png"/><Relationship Id="rId84" Type="http://schemas.openxmlformats.org/officeDocument/2006/relationships/image" Target="media/image52.png"/><Relationship Id="rId89" Type="http://schemas.openxmlformats.org/officeDocument/2006/relationships/image" Target="media/image57.png"/><Relationship Id="rId16" Type="http://schemas.openxmlformats.org/officeDocument/2006/relationships/header" Target="header3.xml"/><Relationship Id="rId11" Type="http://schemas.openxmlformats.org/officeDocument/2006/relationships/image" Target="media/image1.png"/><Relationship Id="rId32" Type="http://schemas.openxmlformats.org/officeDocument/2006/relationships/header" Target="header15.xml"/><Relationship Id="rId37" Type="http://schemas.openxmlformats.org/officeDocument/2006/relationships/chart" Target="charts/chart1.xml"/><Relationship Id="rId53" Type="http://schemas.openxmlformats.org/officeDocument/2006/relationships/image" Target="media/image21.png"/><Relationship Id="rId58" Type="http://schemas.openxmlformats.org/officeDocument/2006/relationships/image" Target="media/image26.png"/><Relationship Id="rId74" Type="http://schemas.openxmlformats.org/officeDocument/2006/relationships/image" Target="media/image42.png"/><Relationship Id="rId79" Type="http://schemas.openxmlformats.org/officeDocument/2006/relationships/image" Target="media/image47.png"/><Relationship Id="rId5" Type="http://schemas.openxmlformats.org/officeDocument/2006/relationships/numbering" Target="numbering.xml"/><Relationship Id="rId90" Type="http://schemas.openxmlformats.org/officeDocument/2006/relationships/image" Target="media/image58.png"/><Relationship Id="rId95" Type="http://schemas.openxmlformats.org/officeDocument/2006/relationships/image" Target="media/image63.png"/><Relationship Id="rId22" Type="http://schemas.openxmlformats.org/officeDocument/2006/relationships/header" Target="header7.xml"/><Relationship Id="rId27" Type="http://schemas.openxmlformats.org/officeDocument/2006/relationships/header" Target="header11.xml"/><Relationship Id="rId43" Type="http://schemas.openxmlformats.org/officeDocument/2006/relationships/image" Target="media/image11.png"/><Relationship Id="rId48" Type="http://schemas.openxmlformats.org/officeDocument/2006/relationships/image" Target="media/image16.png"/><Relationship Id="rId64" Type="http://schemas.openxmlformats.org/officeDocument/2006/relationships/image" Target="media/image32.png"/><Relationship Id="rId69" Type="http://schemas.openxmlformats.org/officeDocument/2006/relationships/image" Target="media/image37.png"/><Relationship Id="rId80" Type="http://schemas.openxmlformats.org/officeDocument/2006/relationships/image" Target="media/image48.png"/><Relationship Id="rId85" Type="http://schemas.openxmlformats.org/officeDocument/2006/relationships/image" Target="media/image53.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image" Target="media/image2.png"/><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emf"/><Relationship Id="rId67" Type="http://schemas.openxmlformats.org/officeDocument/2006/relationships/image" Target="media/image35.png"/><Relationship Id="rId20" Type="http://schemas.openxmlformats.org/officeDocument/2006/relationships/footer" Target="footer4.xm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image" Target="media/image43.png"/><Relationship Id="rId83" Type="http://schemas.openxmlformats.org/officeDocument/2006/relationships/image" Target="media/image51.png"/><Relationship Id="rId88" Type="http://schemas.openxmlformats.org/officeDocument/2006/relationships/image" Target="media/image56.png"/><Relationship Id="rId91" Type="http://schemas.openxmlformats.org/officeDocument/2006/relationships/image" Target="media/image59.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image" Target="media/image5.pn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footer" Target="footer6.xm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8.emf"/><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image" Target="media/image6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7.png"/><Relationship Id="rId34" Type="http://schemas.openxmlformats.org/officeDocument/2006/relationships/image" Target="media/image3.png"/><Relationship Id="rId50" Type="http://schemas.openxmlformats.org/officeDocument/2006/relationships/image" Target="media/image18.png"/><Relationship Id="rId55" Type="http://schemas.openxmlformats.org/officeDocument/2006/relationships/image" Target="media/image23.jpg"/><Relationship Id="rId76" Type="http://schemas.openxmlformats.org/officeDocument/2006/relationships/image" Target="media/image44.png"/><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9.png"/><Relationship Id="rId92" Type="http://schemas.openxmlformats.org/officeDocument/2006/relationships/image" Target="media/image60.png"/><Relationship Id="rId2" Type="http://schemas.openxmlformats.org/officeDocument/2006/relationships/customXml" Target="../customXml/item2.xml"/><Relationship Id="rId29" Type="http://schemas.openxmlformats.org/officeDocument/2006/relationships/header" Target="header13.xml"/><Relationship Id="rId24" Type="http://schemas.openxmlformats.org/officeDocument/2006/relationships/footer" Target="footer5.xml"/><Relationship Id="rId40" Type="http://schemas.openxmlformats.org/officeDocument/2006/relationships/image" Target="media/image8.png"/><Relationship Id="rId45" Type="http://schemas.openxmlformats.org/officeDocument/2006/relationships/image" Target="media/image13.png"/><Relationship Id="rId66" Type="http://schemas.openxmlformats.org/officeDocument/2006/relationships/image" Target="media/image34.png"/><Relationship Id="rId87" Type="http://schemas.openxmlformats.org/officeDocument/2006/relationships/image" Target="media/image55.png"/><Relationship Id="rId61" Type="http://schemas.openxmlformats.org/officeDocument/2006/relationships/image" Target="media/image29.png"/><Relationship Id="rId82" Type="http://schemas.openxmlformats.org/officeDocument/2006/relationships/image" Target="media/image50.png"/><Relationship Id="rId19" Type="http://schemas.openxmlformats.org/officeDocument/2006/relationships/header" Target="header5.xml"/><Relationship Id="rId14" Type="http://schemas.openxmlformats.org/officeDocument/2006/relationships/footer" Target="footer1.xml"/><Relationship Id="rId30" Type="http://schemas.openxmlformats.org/officeDocument/2006/relationships/header" Target="header14.xml"/><Relationship Id="rId35" Type="http://schemas.openxmlformats.org/officeDocument/2006/relationships/image" Target="media/image4.png"/><Relationship Id="rId56" Type="http://schemas.openxmlformats.org/officeDocument/2006/relationships/image" Target="media/image24.jpg"/><Relationship Id="rId77" Type="http://schemas.openxmlformats.org/officeDocument/2006/relationships/image" Target="media/image45.png"/><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image" Target="media/image40.png"/><Relationship Id="rId93" Type="http://schemas.openxmlformats.org/officeDocument/2006/relationships/image" Target="media/image61.png"/></Relationships>
</file>

<file path=word/_rels/footnotes.xml.rels><?xml version="1.0" encoding="UTF-8" standalone="yes"?>
<Relationships xmlns="http://schemas.openxmlformats.org/package/2006/relationships"><Relationship Id="rId8" Type="http://schemas.openxmlformats.org/officeDocument/2006/relationships/hyperlink" Target="https://doi.org/10.1038/s41586-021-03277-w" TargetMode="External"/><Relationship Id="rId13" Type="http://schemas.openxmlformats.org/officeDocument/2006/relationships/hyperlink" Target="https://ozone.unep.org/system/files/documents/TEAP-TF-DecXXX-3-unexpected_CFC11_emissions-september2019.pdf" TargetMode="External"/><Relationship Id="rId18" Type="http://schemas.openxmlformats.org/officeDocument/2006/relationships/hyperlink" Target="https://cen.acs.org/articles/93/i29/Chinese-Court-Sides-Honeywell.html" TargetMode="External"/><Relationship Id="rId26" Type="http://schemas.openxmlformats.org/officeDocument/2006/relationships/hyperlink" Target="https://www.regulations.gov/document/EERE-2014-BT-STD-0048-0098" TargetMode="External"/><Relationship Id="rId3" Type="http://schemas.openxmlformats.org/officeDocument/2006/relationships/hyperlink" Target="https://ozone.unep.org/system/files/documents/TEAP-TF-DecXXX-3-unexpected_CFC11_emissions-september2019.pdf" TargetMode="External"/><Relationship Id="rId21" Type="http://schemas.openxmlformats.org/officeDocument/2006/relationships/hyperlink" Target="https://www.recycling-magazine.com/2020/08/18/ral-gz-729-standard-for-demanufacturing-cfc-blown-foam-products/" TargetMode="External"/><Relationship Id="rId7" Type="http://schemas.openxmlformats.org/officeDocument/2006/relationships/hyperlink" Target="https://eia-international.org/report/tip-iceberg-implications-illegal-cfc-production-use/" TargetMode="External"/><Relationship Id="rId12" Type="http://schemas.openxmlformats.org/officeDocument/2006/relationships/hyperlink" Target="https://ozone.unep.org/system/files/documents/TEAP-TF-DecXXX-3-unexpected_CFC11_emissions-september2019.pdf" TargetMode="External"/><Relationship Id="rId17" Type="http://schemas.openxmlformats.org/officeDocument/2006/relationships/hyperlink" Target="https://www.fluorineproducts-honeywell.com/blowingagents/press-releases/honeywell-files-lawsuit-against-mek-chemical-corporation-for-patent-infringement/" TargetMode="External"/><Relationship Id="rId25" Type="http://schemas.openxmlformats.org/officeDocument/2006/relationships/hyperlink" Target="https://ozone.unep.org/sites/default/files/2019-04/TEAP-DecXXIX4-TF-Addendum-to-May2018-Report_September2018.pdf" TargetMode="External"/><Relationship Id="rId2" Type="http://schemas.openxmlformats.org/officeDocument/2006/relationships/hyperlink" Target="https://doi.org/10.1038/s41586-021-03277-w" TargetMode="External"/><Relationship Id="rId16" Type="http://schemas.openxmlformats.org/officeDocument/2006/relationships/hyperlink" Target="https://www.alibaba.com/product-detail/Direct-factory-Dichlorofluoroethane-Hcfc-Refrigerant-141b_60622055923.html?spm=a2700.7724857.normalList.21.19567508vByNqX" TargetMode="External"/><Relationship Id="rId20" Type="http://schemas.openxmlformats.org/officeDocument/2006/relationships/hyperlink" Target="https://www.ipcc.ch/report/safeguarding-the-ozone-layer-and-the-global-climate-system/" TargetMode="External"/><Relationship Id="rId1" Type="http://schemas.openxmlformats.org/officeDocument/2006/relationships/hyperlink" Target="https://doi.org/10.1038/s41586-021-03260-5" TargetMode="External"/><Relationship Id="rId6" Type="http://schemas.openxmlformats.org/officeDocument/2006/relationships/hyperlink" Target="https://eia-international.org/report/blowing-it/" TargetMode="External"/><Relationship Id="rId11" Type="http://schemas.openxmlformats.org/officeDocument/2006/relationships/hyperlink" Target="https://ozone.unep.org/system/files/documents/TEAP-TF-DecXXX-3-unexpected_CFC11_emissions-september2019.pdf" TargetMode="External"/><Relationship Id="rId24" Type="http://schemas.openxmlformats.org/officeDocument/2006/relationships/hyperlink" Target="https://ozone.unep.org/sites/default/files/2019-04/TEAP-DecXXIX4-TF-Report-April2018.pdf" TargetMode="External"/><Relationship Id="rId5" Type="http://schemas.openxmlformats.org/officeDocument/2006/relationships/hyperlink" Target="https://ozone.unep.org/system/files/documents/TEAP-TF-DecXXX-3-unexpected_CFC11_emissions-september2019.pdf" TargetMode="External"/><Relationship Id="rId15" Type="http://schemas.openxmlformats.org/officeDocument/2006/relationships/hyperlink" Target="https://ec.europa.eu/clima/sites/clima/files/ozone/docs/ods_f-gas_destruction_report_en.pdf" TargetMode="External"/><Relationship Id="rId23" Type="http://schemas.openxmlformats.org/officeDocument/2006/relationships/hyperlink" Target="https://doi.org/10.1038/d41586-020-00883-y" TargetMode="External"/><Relationship Id="rId10" Type="http://schemas.openxmlformats.org/officeDocument/2006/relationships/hyperlink" Target="https://ozone.unep.org/system/files/documents/TEAP-TF-DecXXX-3-unexpected_CFC11_emissions-september2019.pdf" TargetMode="External"/><Relationship Id="rId19" Type="http://schemas.openxmlformats.org/officeDocument/2006/relationships/hyperlink" Target="https://www.aceee.org/files/proceedings/1994/data/papers/SS94_Panel4_Paper28.pdf" TargetMode="External"/><Relationship Id="rId4" Type="http://schemas.openxmlformats.org/officeDocument/2006/relationships/hyperlink" Target="https://ozone.unep.org/system/files/documents/TEAP-TF-DecXXX-3-unexpected_CFC11_emissions-september2019.pdf" TargetMode="External"/><Relationship Id="rId9" Type="http://schemas.openxmlformats.org/officeDocument/2006/relationships/hyperlink" Target="https://doi.org/10.1038/s41586-021-03260-5" TargetMode="External"/><Relationship Id="rId14" Type="http://schemas.openxmlformats.org/officeDocument/2006/relationships/hyperlink" Target="https://ozone.unep.org/system/files/documents/TEAP-TF-DecXXX-3-unexpected_CFC11_emissions-september2019.pdf" TargetMode="External"/><Relationship Id="rId22" Type="http://schemas.openxmlformats.org/officeDocument/2006/relationships/hyperlink" Target="https://ozone.unep.org/sites/default/files/2019-05/teap-october-2009-decisionXX-7-task-force-phase2-report.pdf" TargetMode="External"/><Relationship Id="rId27" Type="http://schemas.openxmlformats.org/officeDocument/2006/relationships/hyperlink" Target="https://www.regulations.gov/document/EERE-2014-BT-STD-0048-0098"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helen\Documents\CFC-11%202020\Global%20oams%20Input%20Lifetime%20SheetMay%201%202020%20with%20new%20sales%20numbers%20from%20Christin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AFEAS Cumulative</a:t>
            </a:r>
            <a:r>
              <a:rPr lang="en-US" baseline="0"/>
              <a:t> CFC-11 Sales into Closed Cell Foams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spPr>
            <a:ln w="28575" cap="rnd">
              <a:solidFill>
                <a:schemeClr val="accent1"/>
              </a:solidFill>
              <a:round/>
            </a:ln>
            <a:effectLst/>
          </c:spPr>
          <c:marker>
            <c:symbol val="none"/>
          </c:marker>
          <c:cat>
            <c:strRef>
              <c:f>'AFEAS DATA'!$A$6:$A$78</c:f>
              <c:strCache>
                <c:ptCount val="73"/>
                <c:pt idx="0">
                  <c:v>1931</c:v>
                </c:pt>
                <c:pt idx="1">
                  <c:v>1932</c:v>
                </c:pt>
                <c:pt idx="2">
                  <c:v>1933</c:v>
                </c:pt>
                <c:pt idx="3">
                  <c:v>1934</c:v>
                </c:pt>
                <c:pt idx="4">
                  <c:v>1935</c:v>
                </c:pt>
                <c:pt idx="5">
                  <c:v>1936</c:v>
                </c:pt>
                <c:pt idx="6">
                  <c:v>1937</c:v>
                </c:pt>
                <c:pt idx="7">
                  <c:v>1938</c:v>
                </c:pt>
                <c:pt idx="8">
                  <c:v>1939</c:v>
                </c:pt>
                <c:pt idx="9">
                  <c:v>1940</c:v>
                </c:pt>
                <c:pt idx="10">
                  <c:v>1941</c:v>
                </c:pt>
                <c:pt idx="11">
                  <c:v>1942</c:v>
                </c:pt>
                <c:pt idx="12">
                  <c:v>1943</c:v>
                </c:pt>
                <c:pt idx="13">
                  <c:v>1944</c:v>
                </c:pt>
                <c:pt idx="14">
                  <c:v>1945</c:v>
                </c:pt>
                <c:pt idx="15">
                  <c:v>1946</c:v>
                </c:pt>
                <c:pt idx="16">
                  <c:v>1947</c:v>
                </c:pt>
                <c:pt idx="17">
                  <c:v>1948</c:v>
                </c:pt>
                <c:pt idx="18">
                  <c:v>1949</c:v>
                </c:pt>
                <c:pt idx="19">
                  <c:v>1950</c:v>
                </c:pt>
                <c:pt idx="20">
                  <c:v>1951</c:v>
                </c:pt>
                <c:pt idx="21">
                  <c:v>1952</c:v>
                </c:pt>
                <c:pt idx="22">
                  <c:v>1953</c:v>
                </c:pt>
                <c:pt idx="23">
                  <c:v>1954</c:v>
                </c:pt>
                <c:pt idx="24">
                  <c:v>1955</c:v>
                </c:pt>
                <c:pt idx="25">
                  <c:v>1956</c:v>
                </c:pt>
                <c:pt idx="26">
                  <c:v>1957</c:v>
                </c:pt>
                <c:pt idx="27">
                  <c:v>1958</c:v>
                </c:pt>
                <c:pt idx="28">
                  <c:v>1959</c:v>
                </c:pt>
                <c:pt idx="29">
                  <c:v>1960</c:v>
                </c:pt>
                <c:pt idx="30">
                  <c:v>1961</c:v>
                </c:pt>
                <c:pt idx="31">
                  <c:v>1962</c:v>
                </c:pt>
                <c:pt idx="32">
                  <c:v>1963</c:v>
                </c:pt>
                <c:pt idx="33">
                  <c:v>1964</c:v>
                </c:pt>
                <c:pt idx="34">
                  <c:v>1965</c:v>
                </c:pt>
                <c:pt idx="35">
                  <c:v>1966</c:v>
                </c:pt>
                <c:pt idx="36">
                  <c:v>1967</c:v>
                </c:pt>
                <c:pt idx="37">
                  <c:v>1968</c:v>
                </c:pt>
                <c:pt idx="38">
                  <c:v>1969</c:v>
                </c:pt>
                <c:pt idx="39">
                  <c:v>1970</c:v>
                </c:pt>
                <c:pt idx="40">
                  <c:v>1971</c:v>
                </c:pt>
                <c:pt idx="41">
                  <c:v>1972</c:v>
                </c:pt>
                <c:pt idx="42">
                  <c:v>1973</c:v>
                </c:pt>
                <c:pt idx="43">
                  <c:v>1974</c:v>
                </c:pt>
                <c:pt idx="44">
                  <c:v>1975</c:v>
                </c:pt>
                <c:pt idx="45">
                  <c:v>1976</c:v>
                </c:pt>
                <c:pt idx="46">
                  <c:v>1977</c:v>
                </c:pt>
                <c:pt idx="47">
                  <c:v>1978</c:v>
                </c:pt>
                <c:pt idx="48">
                  <c:v>1979</c:v>
                </c:pt>
                <c:pt idx="49">
                  <c:v>1980</c:v>
                </c:pt>
                <c:pt idx="50">
                  <c:v>1981</c:v>
                </c:pt>
                <c:pt idx="51">
                  <c:v>1982</c:v>
                </c:pt>
                <c:pt idx="52">
                  <c:v>1983</c:v>
                </c:pt>
                <c:pt idx="53">
                  <c:v>1984</c:v>
                </c:pt>
                <c:pt idx="54">
                  <c:v>1985</c:v>
                </c:pt>
                <c:pt idx="55">
                  <c:v>1986</c:v>
                </c:pt>
                <c:pt idx="56">
                  <c:v>1987</c:v>
                </c:pt>
                <c:pt idx="57">
                  <c:v>1988</c:v>
                </c:pt>
                <c:pt idx="58">
                  <c:v>1989</c:v>
                </c:pt>
                <c:pt idx="59">
                  <c:v>1990</c:v>
                </c:pt>
                <c:pt idx="60">
                  <c:v>1991</c:v>
                </c:pt>
                <c:pt idx="61">
                  <c:v>1992</c:v>
                </c:pt>
                <c:pt idx="62">
                  <c:v>1993</c:v>
                </c:pt>
                <c:pt idx="63">
                  <c:v>1994</c:v>
                </c:pt>
                <c:pt idx="64">
                  <c:v>1995</c:v>
                </c:pt>
                <c:pt idx="65">
                  <c:v>1996</c:v>
                </c:pt>
                <c:pt idx="66">
                  <c:v>1997</c:v>
                </c:pt>
                <c:pt idx="67">
                  <c:v>1998</c:v>
                </c:pt>
                <c:pt idx="68">
                  <c:v>1999</c:v>
                </c:pt>
                <c:pt idx="69">
                  <c:v>2000</c:v>
                </c:pt>
                <c:pt idx="70">
                  <c:v>2001</c:v>
                </c:pt>
                <c:pt idx="71">
                  <c:v>2002</c:v>
                </c:pt>
                <c:pt idx="72">
                  <c:v>2003</c:v>
                </c:pt>
              </c:strCache>
            </c:strRef>
          </c:cat>
          <c:val>
            <c:numRef>
              <c:f>'AFEAS DATA'!$P$6:$P$78</c:f>
              <c:numCache>
                <c:formatCode>0</c:formatCode>
                <c:ptCount val="7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9.2722000000000013E-2</c:v>
                </c:pt>
                <c:pt idx="20">
                  <c:v>0.21972999999999998</c:v>
                </c:pt>
                <c:pt idx="21">
                  <c:v>0.40959799999999996</c:v>
                </c:pt>
                <c:pt idx="22">
                  <c:v>0.65154599999999996</c:v>
                </c:pt>
                <c:pt idx="23">
                  <c:v>0.94429999999999992</c:v>
                </c:pt>
                <c:pt idx="24">
                  <c:v>1.311982</c:v>
                </c:pt>
                <c:pt idx="25">
                  <c:v>1.7666599999999999</c:v>
                </c:pt>
                <c:pt idx="26">
                  <c:v>2.3563351336898393</c:v>
                </c:pt>
                <c:pt idx="27">
                  <c:v>2.9913673917543555</c:v>
                </c:pt>
                <c:pt idx="28">
                  <c:v>3.9439209631829266</c:v>
                </c:pt>
                <c:pt idx="29">
                  <c:v>6.0304574595332916</c:v>
                </c:pt>
                <c:pt idx="30">
                  <c:v>8.7973771894657737</c:v>
                </c:pt>
                <c:pt idx="31">
                  <c:v>14.467310406655088</c:v>
                </c:pt>
                <c:pt idx="32">
                  <c:v>22.722695919537927</c:v>
                </c:pt>
                <c:pt idx="33">
                  <c:v>33.881091182910737</c:v>
                </c:pt>
                <c:pt idx="34">
                  <c:v>47.307445688080605</c:v>
                </c:pt>
                <c:pt idx="35">
                  <c:v>64.135738386697525</c:v>
                </c:pt>
                <c:pt idx="36">
                  <c:v>83.867101248707741</c:v>
                </c:pt>
                <c:pt idx="37">
                  <c:v>109.26837942557175</c:v>
                </c:pt>
                <c:pt idx="38">
                  <c:v>140.92916397671996</c:v>
                </c:pt>
                <c:pt idx="39">
                  <c:v>175.08467026243426</c:v>
                </c:pt>
                <c:pt idx="40">
                  <c:v>217.63174885602268</c:v>
                </c:pt>
                <c:pt idx="41">
                  <c:v>269.34140739260806</c:v>
                </c:pt>
                <c:pt idx="42">
                  <c:v>331.39289907659975</c:v>
                </c:pt>
                <c:pt idx="43">
                  <c:v>393.30840146894423</c:v>
                </c:pt>
                <c:pt idx="44">
                  <c:v>448.7828618964428</c:v>
                </c:pt>
                <c:pt idx="45">
                  <c:v>500.85586189644278</c:v>
                </c:pt>
                <c:pt idx="46">
                  <c:v>566.08286189644275</c:v>
                </c:pt>
                <c:pt idx="47">
                  <c:v>632.17186189644281</c:v>
                </c:pt>
                <c:pt idx="48">
                  <c:v>712.27686189644282</c:v>
                </c:pt>
                <c:pt idx="49">
                  <c:v>796.32786189644287</c:v>
                </c:pt>
                <c:pt idx="50">
                  <c:v>894.03186189644282</c:v>
                </c:pt>
                <c:pt idx="51">
                  <c:v>988.96886189644283</c:v>
                </c:pt>
                <c:pt idx="52">
                  <c:v>1086.9538618964427</c:v>
                </c:pt>
                <c:pt idx="53">
                  <c:v>1197.5918618964427</c:v>
                </c:pt>
                <c:pt idx="54">
                  <c:v>1314.9348618964427</c:v>
                </c:pt>
                <c:pt idx="55">
                  <c:v>1444.5528618964427</c:v>
                </c:pt>
                <c:pt idx="56">
                  <c:v>1604.6378618964427</c:v>
                </c:pt>
                <c:pt idx="57">
                  <c:v>1770.6198618964427</c:v>
                </c:pt>
                <c:pt idx="58">
                  <c:v>1934.8388618964427</c:v>
                </c:pt>
                <c:pt idx="59">
                  <c:v>2079.2768618964428</c:v>
                </c:pt>
                <c:pt idx="60">
                  <c:v>2227.3108618964429</c:v>
                </c:pt>
                <c:pt idx="61">
                  <c:v>2365.2518618964427</c:v>
                </c:pt>
                <c:pt idx="62">
                  <c:v>2472.0438618964426</c:v>
                </c:pt>
                <c:pt idx="63">
                  <c:v>2507.1528618964426</c:v>
                </c:pt>
                <c:pt idx="64">
                  <c:v>2521.4118618964426</c:v>
                </c:pt>
                <c:pt idx="65">
                  <c:v>2525.5978618964427</c:v>
                </c:pt>
                <c:pt idx="66">
                  <c:v>2532.4158618964429</c:v>
                </c:pt>
                <c:pt idx="67">
                  <c:v>2539.192861896443</c:v>
                </c:pt>
                <c:pt idx="68">
                  <c:v>2547.0168618964431</c:v>
                </c:pt>
                <c:pt idx="69">
                  <c:v>2553.1378618964432</c:v>
                </c:pt>
                <c:pt idx="70">
                  <c:v>2558.2048618964432</c:v>
                </c:pt>
                <c:pt idx="71">
                  <c:v>2562.8518618964431</c:v>
                </c:pt>
                <c:pt idx="72">
                  <c:v>2564.5838618964431</c:v>
                </c:pt>
              </c:numCache>
            </c:numRef>
          </c:val>
          <c:smooth val="0"/>
          <c:extLst>
            <c:ext xmlns:c16="http://schemas.microsoft.com/office/drawing/2014/chart" uri="{C3380CC4-5D6E-409C-BE32-E72D297353CC}">
              <c16:uniqueId val="{00000000-D66F-498D-A825-4BF33542AD36}"/>
            </c:ext>
          </c:extLst>
        </c:ser>
        <c:dLbls>
          <c:showLegendKey val="0"/>
          <c:showVal val="0"/>
          <c:showCatName val="0"/>
          <c:showSerName val="0"/>
          <c:showPercent val="0"/>
          <c:showBubbleSize val="0"/>
        </c:dLbls>
        <c:smooth val="0"/>
        <c:axId val="1332201647"/>
        <c:axId val="1332199983"/>
      </c:lineChart>
      <c:catAx>
        <c:axId val="1332201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2199983"/>
        <c:crosses val="autoZero"/>
        <c:auto val="1"/>
        <c:lblAlgn val="ctr"/>
        <c:lblOffset val="100"/>
        <c:noMultiLvlLbl val="0"/>
      </c:catAx>
      <c:valAx>
        <c:axId val="13321999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CFC-11 kilotonnes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2201647"/>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124E473F8C21546BBEFEAAE37A18C79" ma:contentTypeVersion="13" ma:contentTypeDescription="Create a new document." ma:contentTypeScope="" ma:versionID="cb9abb0715247e21782dd2ea3767835e">
  <xsd:schema xmlns:xsd="http://www.w3.org/2001/XMLSchema" xmlns:xs="http://www.w3.org/2001/XMLSchema" xmlns:p="http://schemas.microsoft.com/office/2006/metadata/properties" xmlns:ns2="9332b9e1-f5c1-4f67-b5c7-c1e928e16127" xmlns:ns3="7882167c-b1fa-4e55-b4a5-6145aa31e8d9" targetNamespace="http://schemas.microsoft.com/office/2006/metadata/properties" ma:root="true" ma:fieldsID="cf3b54add037f1f8eb5edc4c7c490ac8" ns2:_="" ns3:_="">
    <xsd:import namespace="9332b9e1-f5c1-4f67-b5c7-c1e928e16127"/>
    <xsd:import namespace="7882167c-b1fa-4e55-b4a5-6145aa31e8d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32b9e1-f5c1-4f67-b5c7-c1e928e16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82167c-b1fa-4e55-b4a5-6145aa31e8d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7F6A5F-8E26-4928-8F5C-9C77A9EAC13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05E015D-FAAF-4759-8259-0361BC81DA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32b9e1-f5c1-4f67-b5c7-c1e928e16127"/>
    <ds:schemaRef ds:uri="7882167c-b1fa-4e55-b4a5-6145aa31e8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62D882-B90F-4F76-A89C-2762FF285872}">
  <ds:schemaRefs>
    <ds:schemaRef ds:uri="http://schemas.microsoft.com/sharepoint/v3/contenttype/forms"/>
  </ds:schemaRefs>
</ds:datastoreItem>
</file>

<file path=customXml/itemProps4.xml><?xml version="1.0" encoding="utf-8"?>
<ds:datastoreItem xmlns:ds="http://schemas.openxmlformats.org/officeDocument/2006/customXml" ds:itemID="{D2E5749A-FBF5-4480-BC5E-6CA876CB4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121</Pages>
  <Words>34069</Words>
  <Characters>194199</Characters>
  <Application>Microsoft Office Word</Application>
  <DocSecurity>0</DocSecurity>
  <Lines>1618</Lines>
  <Paragraphs>455</Paragraphs>
  <ScaleCrop>false</ScaleCrop>
  <HeadingPairs>
    <vt:vector size="2" baseType="variant">
      <vt:variant>
        <vt:lpstr>Title</vt:lpstr>
      </vt:variant>
      <vt:variant>
        <vt:i4>1</vt:i4>
      </vt:variant>
    </vt:vector>
  </HeadingPairs>
  <TitlesOfParts>
    <vt:vector size="1" baseType="lpstr">
      <vt:lpstr>TEAP May 2020: Progress Report (Volume 1) - Advance</vt:lpstr>
    </vt:vector>
  </TitlesOfParts>
  <Company>HP</Company>
  <LinksUpToDate>false</LinksUpToDate>
  <CharactersWithSpaces>227813</CharactersWithSpaces>
  <SharedDoc>false</SharedDoc>
  <HLinks>
    <vt:vector size="582" baseType="variant">
      <vt:variant>
        <vt:i4>1572917</vt:i4>
      </vt:variant>
      <vt:variant>
        <vt:i4>416</vt:i4>
      </vt:variant>
      <vt:variant>
        <vt:i4>0</vt:i4>
      </vt:variant>
      <vt:variant>
        <vt:i4>5</vt:i4>
      </vt:variant>
      <vt:variant>
        <vt:lpwstr/>
      </vt:variant>
      <vt:variant>
        <vt:lpwstr>_Toc73034669</vt:lpwstr>
      </vt:variant>
      <vt:variant>
        <vt:i4>1638453</vt:i4>
      </vt:variant>
      <vt:variant>
        <vt:i4>410</vt:i4>
      </vt:variant>
      <vt:variant>
        <vt:i4>0</vt:i4>
      </vt:variant>
      <vt:variant>
        <vt:i4>5</vt:i4>
      </vt:variant>
      <vt:variant>
        <vt:lpwstr/>
      </vt:variant>
      <vt:variant>
        <vt:lpwstr>_Toc73034668</vt:lpwstr>
      </vt:variant>
      <vt:variant>
        <vt:i4>1441845</vt:i4>
      </vt:variant>
      <vt:variant>
        <vt:i4>404</vt:i4>
      </vt:variant>
      <vt:variant>
        <vt:i4>0</vt:i4>
      </vt:variant>
      <vt:variant>
        <vt:i4>5</vt:i4>
      </vt:variant>
      <vt:variant>
        <vt:lpwstr/>
      </vt:variant>
      <vt:variant>
        <vt:lpwstr>_Toc73034667</vt:lpwstr>
      </vt:variant>
      <vt:variant>
        <vt:i4>1507381</vt:i4>
      </vt:variant>
      <vt:variant>
        <vt:i4>398</vt:i4>
      </vt:variant>
      <vt:variant>
        <vt:i4>0</vt:i4>
      </vt:variant>
      <vt:variant>
        <vt:i4>5</vt:i4>
      </vt:variant>
      <vt:variant>
        <vt:lpwstr/>
      </vt:variant>
      <vt:variant>
        <vt:lpwstr>_Toc73034666</vt:lpwstr>
      </vt:variant>
      <vt:variant>
        <vt:i4>1310773</vt:i4>
      </vt:variant>
      <vt:variant>
        <vt:i4>392</vt:i4>
      </vt:variant>
      <vt:variant>
        <vt:i4>0</vt:i4>
      </vt:variant>
      <vt:variant>
        <vt:i4>5</vt:i4>
      </vt:variant>
      <vt:variant>
        <vt:lpwstr/>
      </vt:variant>
      <vt:variant>
        <vt:lpwstr>_Toc73034665</vt:lpwstr>
      </vt:variant>
      <vt:variant>
        <vt:i4>1376309</vt:i4>
      </vt:variant>
      <vt:variant>
        <vt:i4>386</vt:i4>
      </vt:variant>
      <vt:variant>
        <vt:i4>0</vt:i4>
      </vt:variant>
      <vt:variant>
        <vt:i4>5</vt:i4>
      </vt:variant>
      <vt:variant>
        <vt:lpwstr/>
      </vt:variant>
      <vt:variant>
        <vt:lpwstr>_Toc73034664</vt:lpwstr>
      </vt:variant>
      <vt:variant>
        <vt:i4>1179701</vt:i4>
      </vt:variant>
      <vt:variant>
        <vt:i4>380</vt:i4>
      </vt:variant>
      <vt:variant>
        <vt:i4>0</vt:i4>
      </vt:variant>
      <vt:variant>
        <vt:i4>5</vt:i4>
      </vt:variant>
      <vt:variant>
        <vt:lpwstr/>
      </vt:variant>
      <vt:variant>
        <vt:lpwstr>_Toc73034663</vt:lpwstr>
      </vt:variant>
      <vt:variant>
        <vt:i4>1245237</vt:i4>
      </vt:variant>
      <vt:variant>
        <vt:i4>374</vt:i4>
      </vt:variant>
      <vt:variant>
        <vt:i4>0</vt:i4>
      </vt:variant>
      <vt:variant>
        <vt:i4>5</vt:i4>
      </vt:variant>
      <vt:variant>
        <vt:lpwstr/>
      </vt:variant>
      <vt:variant>
        <vt:lpwstr>_Toc73034662</vt:lpwstr>
      </vt:variant>
      <vt:variant>
        <vt:i4>1048629</vt:i4>
      </vt:variant>
      <vt:variant>
        <vt:i4>368</vt:i4>
      </vt:variant>
      <vt:variant>
        <vt:i4>0</vt:i4>
      </vt:variant>
      <vt:variant>
        <vt:i4>5</vt:i4>
      </vt:variant>
      <vt:variant>
        <vt:lpwstr/>
      </vt:variant>
      <vt:variant>
        <vt:lpwstr>_Toc73034661</vt:lpwstr>
      </vt:variant>
      <vt:variant>
        <vt:i4>1114165</vt:i4>
      </vt:variant>
      <vt:variant>
        <vt:i4>362</vt:i4>
      </vt:variant>
      <vt:variant>
        <vt:i4>0</vt:i4>
      </vt:variant>
      <vt:variant>
        <vt:i4>5</vt:i4>
      </vt:variant>
      <vt:variant>
        <vt:lpwstr/>
      </vt:variant>
      <vt:variant>
        <vt:lpwstr>_Toc73034660</vt:lpwstr>
      </vt:variant>
      <vt:variant>
        <vt:i4>1572918</vt:i4>
      </vt:variant>
      <vt:variant>
        <vt:i4>356</vt:i4>
      </vt:variant>
      <vt:variant>
        <vt:i4>0</vt:i4>
      </vt:variant>
      <vt:variant>
        <vt:i4>5</vt:i4>
      </vt:variant>
      <vt:variant>
        <vt:lpwstr/>
      </vt:variant>
      <vt:variant>
        <vt:lpwstr>_Toc73034659</vt:lpwstr>
      </vt:variant>
      <vt:variant>
        <vt:i4>1638454</vt:i4>
      </vt:variant>
      <vt:variant>
        <vt:i4>350</vt:i4>
      </vt:variant>
      <vt:variant>
        <vt:i4>0</vt:i4>
      </vt:variant>
      <vt:variant>
        <vt:i4>5</vt:i4>
      </vt:variant>
      <vt:variant>
        <vt:lpwstr/>
      </vt:variant>
      <vt:variant>
        <vt:lpwstr>_Toc73034658</vt:lpwstr>
      </vt:variant>
      <vt:variant>
        <vt:i4>1441846</vt:i4>
      </vt:variant>
      <vt:variant>
        <vt:i4>344</vt:i4>
      </vt:variant>
      <vt:variant>
        <vt:i4>0</vt:i4>
      </vt:variant>
      <vt:variant>
        <vt:i4>5</vt:i4>
      </vt:variant>
      <vt:variant>
        <vt:lpwstr/>
      </vt:variant>
      <vt:variant>
        <vt:lpwstr>_Toc73034657</vt:lpwstr>
      </vt:variant>
      <vt:variant>
        <vt:i4>1507382</vt:i4>
      </vt:variant>
      <vt:variant>
        <vt:i4>338</vt:i4>
      </vt:variant>
      <vt:variant>
        <vt:i4>0</vt:i4>
      </vt:variant>
      <vt:variant>
        <vt:i4>5</vt:i4>
      </vt:variant>
      <vt:variant>
        <vt:lpwstr/>
      </vt:variant>
      <vt:variant>
        <vt:lpwstr>_Toc73034656</vt:lpwstr>
      </vt:variant>
      <vt:variant>
        <vt:i4>1310774</vt:i4>
      </vt:variant>
      <vt:variant>
        <vt:i4>332</vt:i4>
      </vt:variant>
      <vt:variant>
        <vt:i4>0</vt:i4>
      </vt:variant>
      <vt:variant>
        <vt:i4>5</vt:i4>
      </vt:variant>
      <vt:variant>
        <vt:lpwstr/>
      </vt:variant>
      <vt:variant>
        <vt:lpwstr>_Toc73034655</vt:lpwstr>
      </vt:variant>
      <vt:variant>
        <vt:i4>1376310</vt:i4>
      </vt:variant>
      <vt:variant>
        <vt:i4>326</vt:i4>
      </vt:variant>
      <vt:variant>
        <vt:i4>0</vt:i4>
      </vt:variant>
      <vt:variant>
        <vt:i4>5</vt:i4>
      </vt:variant>
      <vt:variant>
        <vt:lpwstr/>
      </vt:variant>
      <vt:variant>
        <vt:lpwstr>_Toc73034654</vt:lpwstr>
      </vt:variant>
      <vt:variant>
        <vt:i4>1179702</vt:i4>
      </vt:variant>
      <vt:variant>
        <vt:i4>320</vt:i4>
      </vt:variant>
      <vt:variant>
        <vt:i4>0</vt:i4>
      </vt:variant>
      <vt:variant>
        <vt:i4>5</vt:i4>
      </vt:variant>
      <vt:variant>
        <vt:lpwstr/>
      </vt:variant>
      <vt:variant>
        <vt:lpwstr>_Toc73034653</vt:lpwstr>
      </vt:variant>
      <vt:variant>
        <vt:i4>1245238</vt:i4>
      </vt:variant>
      <vt:variant>
        <vt:i4>314</vt:i4>
      </vt:variant>
      <vt:variant>
        <vt:i4>0</vt:i4>
      </vt:variant>
      <vt:variant>
        <vt:i4>5</vt:i4>
      </vt:variant>
      <vt:variant>
        <vt:lpwstr/>
      </vt:variant>
      <vt:variant>
        <vt:lpwstr>_Toc73034652</vt:lpwstr>
      </vt:variant>
      <vt:variant>
        <vt:i4>1048630</vt:i4>
      </vt:variant>
      <vt:variant>
        <vt:i4>308</vt:i4>
      </vt:variant>
      <vt:variant>
        <vt:i4>0</vt:i4>
      </vt:variant>
      <vt:variant>
        <vt:i4>5</vt:i4>
      </vt:variant>
      <vt:variant>
        <vt:lpwstr/>
      </vt:variant>
      <vt:variant>
        <vt:lpwstr>_Toc73034651</vt:lpwstr>
      </vt:variant>
      <vt:variant>
        <vt:i4>1114166</vt:i4>
      </vt:variant>
      <vt:variant>
        <vt:i4>302</vt:i4>
      </vt:variant>
      <vt:variant>
        <vt:i4>0</vt:i4>
      </vt:variant>
      <vt:variant>
        <vt:i4>5</vt:i4>
      </vt:variant>
      <vt:variant>
        <vt:lpwstr/>
      </vt:variant>
      <vt:variant>
        <vt:lpwstr>_Toc73034650</vt:lpwstr>
      </vt:variant>
      <vt:variant>
        <vt:i4>1572919</vt:i4>
      </vt:variant>
      <vt:variant>
        <vt:i4>296</vt:i4>
      </vt:variant>
      <vt:variant>
        <vt:i4>0</vt:i4>
      </vt:variant>
      <vt:variant>
        <vt:i4>5</vt:i4>
      </vt:variant>
      <vt:variant>
        <vt:lpwstr/>
      </vt:variant>
      <vt:variant>
        <vt:lpwstr>_Toc73034649</vt:lpwstr>
      </vt:variant>
      <vt:variant>
        <vt:i4>1638455</vt:i4>
      </vt:variant>
      <vt:variant>
        <vt:i4>290</vt:i4>
      </vt:variant>
      <vt:variant>
        <vt:i4>0</vt:i4>
      </vt:variant>
      <vt:variant>
        <vt:i4>5</vt:i4>
      </vt:variant>
      <vt:variant>
        <vt:lpwstr/>
      </vt:variant>
      <vt:variant>
        <vt:lpwstr>_Toc73034648</vt:lpwstr>
      </vt:variant>
      <vt:variant>
        <vt:i4>1441847</vt:i4>
      </vt:variant>
      <vt:variant>
        <vt:i4>284</vt:i4>
      </vt:variant>
      <vt:variant>
        <vt:i4>0</vt:i4>
      </vt:variant>
      <vt:variant>
        <vt:i4>5</vt:i4>
      </vt:variant>
      <vt:variant>
        <vt:lpwstr/>
      </vt:variant>
      <vt:variant>
        <vt:lpwstr>_Toc73034647</vt:lpwstr>
      </vt:variant>
      <vt:variant>
        <vt:i4>1507383</vt:i4>
      </vt:variant>
      <vt:variant>
        <vt:i4>278</vt:i4>
      </vt:variant>
      <vt:variant>
        <vt:i4>0</vt:i4>
      </vt:variant>
      <vt:variant>
        <vt:i4>5</vt:i4>
      </vt:variant>
      <vt:variant>
        <vt:lpwstr/>
      </vt:variant>
      <vt:variant>
        <vt:lpwstr>_Toc73034646</vt:lpwstr>
      </vt:variant>
      <vt:variant>
        <vt:i4>1310775</vt:i4>
      </vt:variant>
      <vt:variant>
        <vt:i4>272</vt:i4>
      </vt:variant>
      <vt:variant>
        <vt:i4>0</vt:i4>
      </vt:variant>
      <vt:variant>
        <vt:i4>5</vt:i4>
      </vt:variant>
      <vt:variant>
        <vt:lpwstr/>
      </vt:variant>
      <vt:variant>
        <vt:lpwstr>_Toc73034645</vt:lpwstr>
      </vt:variant>
      <vt:variant>
        <vt:i4>1376311</vt:i4>
      </vt:variant>
      <vt:variant>
        <vt:i4>266</vt:i4>
      </vt:variant>
      <vt:variant>
        <vt:i4>0</vt:i4>
      </vt:variant>
      <vt:variant>
        <vt:i4>5</vt:i4>
      </vt:variant>
      <vt:variant>
        <vt:lpwstr/>
      </vt:variant>
      <vt:variant>
        <vt:lpwstr>_Toc73034644</vt:lpwstr>
      </vt:variant>
      <vt:variant>
        <vt:i4>1179703</vt:i4>
      </vt:variant>
      <vt:variant>
        <vt:i4>260</vt:i4>
      </vt:variant>
      <vt:variant>
        <vt:i4>0</vt:i4>
      </vt:variant>
      <vt:variant>
        <vt:i4>5</vt:i4>
      </vt:variant>
      <vt:variant>
        <vt:lpwstr/>
      </vt:variant>
      <vt:variant>
        <vt:lpwstr>_Toc73034643</vt:lpwstr>
      </vt:variant>
      <vt:variant>
        <vt:i4>1245239</vt:i4>
      </vt:variant>
      <vt:variant>
        <vt:i4>254</vt:i4>
      </vt:variant>
      <vt:variant>
        <vt:i4>0</vt:i4>
      </vt:variant>
      <vt:variant>
        <vt:i4>5</vt:i4>
      </vt:variant>
      <vt:variant>
        <vt:lpwstr/>
      </vt:variant>
      <vt:variant>
        <vt:lpwstr>_Toc73034642</vt:lpwstr>
      </vt:variant>
      <vt:variant>
        <vt:i4>1048631</vt:i4>
      </vt:variant>
      <vt:variant>
        <vt:i4>248</vt:i4>
      </vt:variant>
      <vt:variant>
        <vt:i4>0</vt:i4>
      </vt:variant>
      <vt:variant>
        <vt:i4>5</vt:i4>
      </vt:variant>
      <vt:variant>
        <vt:lpwstr/>
      </vt:variant>
      <vt:variant>
        <vt:lpwstr>_Toc73034641</vt:lpwstr>
      </vt:variant>
      <vt:variant>
        <vt:i4>1114167</vt:i4>
      </vt:variant>
      <vt:variant>
        <vt:i4>242</vt:i4>
      </vt:variant>
      <vt:variant>
        <vt:i4>0</vt:i4>
      </vt:variant>
      <vt:variant>
        <vt:i4>5</vt:i4>
      </vt:variant>
      <vt:variant>
        <vt:lpwstr/>
      </vt:variant>
      <vt:variant>
        <vt:lpwstr>_Toc73034640</vt:lpwstr>
      </vt:variant>
      <vt:variant>
        <vt:i4>1572912</vt:i4>
      </vt:variant>
      <vt:variant>
        <vt:i4>236</vt:i4>
      </vt:variant>
      <vt:variant>
        <vt:i4>0</vt:i4>
      </vt:variant>
      <vt:variant>
        <vt:i4>5</vt:i4>
      </vt:variant>
      <vt:variant>
        <vt:lpwstr/>
      </vt:variant>
      <vt:variant>
        <vt:lpwstr>_Toc73034639</vt:lpwstr>
      </vt:variant>
      <vt:variant>
        <vt:i4>1638448</vt:i4>
      </vt:variant>
      <vt:variant>
        <vt:i4>230</vt:i4>
      </vt:variant>
      <vt:variant>
        <vt:i4>0</vt:i4>
      </vt:variant>
      <vt:variant>
        <vt:i4>5</vt:i4>
      </vt:variant>
      <vt:variant>
        <vt:lpwstr/>
      </vt:variant>
      <vt:variant>
        <vt:lpwstr>_Toc73034638</vt:lpwstr>
      </vt:variant>
      <vt:variant>
        <vt:i4>1441840</vt:i4>
      </vt:variant>
      <vt:variant>
        <vt:i4>224</vt:i4>
      </vt:variant>
      <vt:variant>
        <vt:i4>0</vt:i4>
      </vt:variant>
      <vt:variant>
        <vt:i4>5</vt:i4>
      </vt:variant>
      <vt:variant>
        <vt:lpwstr/>
      </vt:variant>
      <vt:variant>
        <vt:lpwstr>_Toc73034637</vt:lpwstr>
      </vt:variant>
      <vt:variant>
        <vt:i4>1507376</vt:i4>
      </vt:variant>
      <vt:variant>
        <vt:i4>218</vt:i4>
      </vt:variant>
      <vt:variant>
        <vt:i4>0</vt:i4>
      </vt:variant>
      <vt:variant>
        <vt:i4>5</vt:i4>
      </vt:variant>
      <vt:variant>
        <vt:lpwstr/>
      </vt:variant>
      <vt:variant>
        <vt:lpwstr>_Toc73034636</vt:lpwstr>
      </vt:variant>
      <vt:variant>
        <vt:i4>1310768</vt:i4>
      </vt:variant>
      <vt:variant>
        <vt:i4>212</vt:i4>
      </vt:variant>
      <vt:variant>
        <vt:i4>0</vt:i4>
      </vt:variant>
      <vt:variant>
        <vt:i4>5</vt:i4>
      </vt:variant>
      <vt:variant>
        <vt:lpwstr/>
      </vt:variant>
      <vt:variant>
        <vt:lpwstr>_Toc73034635</vt:lpwstr>
      </vt:variant>
      <vt:variant>
        <vt:i4>1376304</vt:i4>
      </vt:variant>
      <vt:variant>
        <vt:i4>206</vt:i4>
      </vt:variant>
      <vt:variant>
        <vt:i4>0</vt:i4>
      </vt:variant>
      <vt:variant>
        <vt:i4>5</vt:i4>
      </vt:variant>
      <vt:variant>
        <vt:lpwstr/>
      </vt:variant>
      <vt:variant>
        <vt:lpwstr>_Toc73034634</vt:lpwstr>
      </vt:variant>
      <vt:variant>
        <vt:i4>1179696</vt:i4>
      </vt:variant>
      <vt:variant>
        <vt:i4>200</vt:i4>
      </vt:variant>
      <vt:variant>
        <vt:i4>0</vt:i4>
      </vt:variant>
      <vt:variant>
        <vt:i4>5</vt:i4>
      </vt:variant>
      <vt:variant>
        <vt:lpwstr/>
      </vt:variant>
      <vt:variant>
        <vt:lpwstr>_Toc73034633</vt:lpwstr>
      </vt:variant>
      <vt:variant>
        <vt:i4>1245232</vt:i4>
      </vt:variant>
      <vt:variant>
        <vt:i4>194</vt:i4>
      </vt:variant>
      <vt:variant>
        <vt:i4>0</vt:i4>
      </vt:variant>
      <vt:variant>
        <vt:i4>5</vt:i4>
      </vt:variant>
      <vt:variant>
        <vt:lpwstr/>
      </vt:variant>
      <vt:variant>
        <vt:lpwstr>_Toc73034632</vt:lpwstr>
      </vt:variant>
      <vt:variant>
        <vt:i4>1048624</vt:i4>
      </vt:variant>
      <vt:variant>
        <vt:i4>188</vt:i4>
      </vt:variant>
      <vt:variant>
        <vt:i4>0</vt:i4>
      </vt:variant>
      <vt:variant>
        <vt:i4>5</vt:i4>
      </vt:variant>
      <vt:variant>
        <vt:lpwstr/>
      </vt:variant>
      <vt:variant>
        <vt:lpwstr>_Toc73034631</vt:lpwstr>
      </vt:variant>
      <vt:variant>
        <vt:i4>1114160</vt:i4>
      </vt:variant>
      <vt:variant>
        <vt:i4>182</vt:i4>
      </vt:variant>
      <vt:variant>
        <vt:i4>0</vt:i4>
      </vt:variant>
      <vt:variant>
        <vt:i4>5</vt:i4>
      </vt:variant>
      <vt:variant>
        <vt:lpwstr/>
      </vt:variant>
      <vt:variant>
        <vt:lpwstr>_Toc73034630</vt:lpwstr>
      </vt:variant>
      <vt:variant>
        <vt:i4>1572913</vt:i4>
      </vt:variant>
      <vt:variant>
        <vt:i4>176</vt:i4>
      </vt:variant>
      <vt:variant>
        <vt:i4>0</vt:i4>
      </vt:variant>
      <vt:variant>
        <vt:i4>5</vt:i4>
      </vt:variant>
      <vt:variant>
        <vt:lpwstr/>
      </vt:variant>
      <vt:variant>
        <vt:lpwstr>_Toc73034629</vt:lpwstr>
      </vt:variant>
      <vt:variant>
        <vt:i4>1638449</vt:i4>
      </vt:variant>
      <vt:variant>
        <vt:i4>170</vt:i4>
      </vt:variant>
      <vt:variant>
        <vt:i4>0</vt:i4>
      </vt:variant>
      <vt:variant>
        <vt:i4>5</vt:i4>
      </vt:variant>
      <vt:variant>
        <vt:lpwstr/>
      </vt:variant>
      <vt:variant>
        <vt:lpwstr>_Toc73034628</vt:lpwstr>
      </vt:variant>
      <vt:variant>
        <vt:i4>1441841</vt:i4>
      </vt:variant>
      <vt:variant>
        <vt:i4>164</vt:i4>
      </vt:variant>
      <vt:variant>
        <vt:i4>0</vt:i4>
      </vt:variant>
      <vt:variant>
        <vt:i4>5</vt:i4>
      </vt:variant>
      <vt:variant>
        <vt:lpwstr/>
      </vt:variant>
      <vt:variant>
        <vt:lpwstr>_Toc73034627</vt:lpwstr>
      </vt:variant>
      <vt:variant>
        <vt:i4>1507377</vt:i4>
      </vt:variant>
      <vt:variant>
        <vt:i4>158</vt:i4>
      </vt:variant>
      <vt:variant>
        <vt:i4>0</vt:i4>
      </vt:variant>
      <vt:variant>
        <vt:i4>5</vt:i4>
      </vt:variant>
      <vt:variant>
        <vt:lpwstr/>
      </vt:variant>
      <vt:variant>
        <vt:lpwstr>_Toc73034626</vt:lpwstr>
      </vt:variant>
      <vt:variant>
        <vt:i4>1310769</vt:i4>
      </vt:variant>
      <vt:variant>
        <vt:i4>152</vt:i4>
      </vt:variant>
      <vt:variant>
        <vt:i4>0</vt:i4>
      </vt:variant>
      <vt:variant>
        <vt:i4>5</vt:i4>
      </vt:variant>
      <vt:variant>
        <vt:lpwstr/>
      </vt:variant>
      <vt:variant>
        <vt:lpwstr>_Toc73034625</vt:lpwstr>
      </vt:variant>
      <vt:variant>
        <vt:i4>1376305</vt:i4>
      </vt:variant>
      <vt:variant>
        <vt:i4>146</vt:i4>
      </vt:variant>
      <vt:variant>
        <vt:i4>0</vt:i4>
      </vt:variant>
      <vt:variant>
        <vt:i4>5</vt:i4>
      </vt:variant>
      <vt:variant>
        <vt:lpwstr/>
      </vt:variant>
      <vt:variant>
        <vt:lpwstr>_Toc73034624</vt:lpwstr>
      </vt:variant>
      <vt:variant>
        <vt:i4>1179697</vt:i4>
      </vt:variant>
      <vt:variant>
        <vt:i4>140</vt:i4>
      </vt:variant>
      <vt:variant>
        <vt:i4>0</vt:i4>
      </vt:variant>
      <vt:variant>
        <vt:i4>5</vt:i4>
      </vt:variant>
      <vt:variant>
        <vt:lpwstr/>
      </vt:variant>
      <vt:variant>
        <vt:lpwstr>_Toc73034623</vt:lpwstr>
      </vt:variant>
      <vt:variant>
        <vt:i4>1245233</vt:i4>
      </vt:variant>
      <vt:variant>
        <vt:i4>134</vt:i4>
      </vt:variant>
      <vt:variant>
        <vt:i4>0</vt:i4>
      </vt:variant>
      <vt:variant>
        <vt:i4>5</vt:i4>
      </vt:variant>
      <vt:variant>
        <vt:lpwstr/>
      </vt:variant>
      <vt:variant>
        <vt:lpwstr>_Toc73034622</vt:lpwstr>
      </vt:variant>
      <vt:variant>
        <vt:i4>1048625</vt:i4>
      </vt:variant>
      <vt:variant>
        <vt:i4>128</vt:i4>
      </vt:variant>
      <vt:variant>
        <vt:i4>0</vt:i4>
      </vt:variant>
      <vt:variant>
        <vt:i4>5</vt:i4>
      </vt:variant>
      <vt:variant>
        <vt:lpwstr/>
      </vt:variant>
      <vt:variant>
        <vt:lpwstr>_Toc73034621</vt:lpwstr>
      </vt:variant>
      <vt:variant>
        <vt:i4>1114161</vt:i4>
      </vt:variant>
      <vt:variant>
        <vt:i4>122</vt:i4>
      </vt:variant>
      <vt:variant>
        <vt:i4>0</vt:i4>
      </vt:variant>
      <vt:variant>
        <vt:i4>5</vt:i4>
      </vt:variant>
      <vt:variant>
        <vt:lpwstr/>
      </vt:variant>
      <vt:variant>
        <vt:lpwstr>_Toc73034620</vt:lpwstr>
      </vt:variant>
      <vt:variant>
        <vt:i4>1572914</vt:i4>
      </vt:variant>
      <vt:variant>
        <vt:i4>116</vt:i4>
      </vt:variant>
      <vt:variant>
        <vt:i4>0</vt:i4>
      </vt:variant>
      <vt:variant>
        <vt:i4>5</vt:i4>
      </vt:variant>
      <vt:variant>
        <vt:lpwstr/>
      </vt:variant>
      <vt:variant>
        <vt:lpwstr>_Toc73034619</vt:lpwstr>
      </vt:variant>
      <vt:variant>
        <vt:i4>1638450</vt:i4>
      </vt:variant>
      <vt:variant>
        <vt:i4>110</vt:i4>
      </vt:variant>
      <vt:variant>
        <vt:i4>0</vt:i4>
      </vt:variant>
      <vt:variant>
        <vt:i4>5</vt:i4>
      </vt:variant>
      <vt:variant>
        <vt:lpwstr/>
      </vt:variant>
      <vt:variant>
        <vt:lpwstr>_Toc73034618</vt:lpwstr>
      </vt:variant>
      <vt:variant>
        <vt:i4>1441842</vt:i4>
      </vt:variant>
      <vt:variant>
        <vt:i4>104</vt:i4>
      </vt:variant>
      <vt:variant>
        <vt:i4>0</vt:i4>
      </vt:variant>
      <vt:variant>
        <vt:i4>5</vt:i4>
      </vt:variant>
      <vt:variant>
        <vt:lpwstr/>
      </vt:variant>
      <vt:variant>
        <vt:lpwstr>_Toc73034617</vt:lpwstr>
      </vt:variant>
      <vt:variant>
        <vt:i4>1507378</vt:i4>
      </vt:variant>
      <vt:variant>
        <vt:i4>98</vt:i4>
      </vt:variant>
      <vt:variant>
        <vt:i4>0</vt:i4>
      </vt:variant>
      <vt:variant>
        <vt:i4>5</vt:i4>
      </vt:variant>
      <vt:variant>
        <vt:lpwstr/>
      </vt:variant>
      <vt:variant>
        <vt:lpwstr>_Toc73034616</vt:lpwstr>
      </vt:variant>
      <vt:variant>
        <vt:i4>1310770</vt:i4>
      </vt:variant>
      <vt:variant>
        <vt:i4>92</vt:i4>
      </vt:variant>
      <vt:variant>
        <vt:i4>0</vt:i4>
      </vt:variant>
      <vt:variant>
        <vt:i4>5</vt:i4>
      </vt:variant>
      <vt:variant>
        <vt:lpwstr/>
      </vt:variant>
      <vt:variant>
        <vt:lpwstr>_Toc73034615</vt:lpwstr>
      </vt:variant>
      <vt:variant>
        <vt:i4>1376306</vt:i4>
      </vt:variant>
      <vt:variant>
        <vt:i4>86</vt:i4>
      </vt:variant>
      <vt:variant>
        <vt:i4>0</vt:i4>
      </vt:variant>
      <vt:variant>
        <vt:i4>5</vt:i4>
      </vt:variant>
      <vt:variant>
        <vt:lpwstr/>
      </vt:variant>
      <vt:variant>
        <vt:lpwstr>_Toc73034614</vt:lpwstr>
      </vt:variant>
      <vt:variant>
        <vt:i4>1179698</vt:i4>
      </vt:variant>
      <vt:variant>
        <vt:i4>80</vt:i4>
      </vt:variant>
      <vt:variant>
        <vt:i4>0</vt:i4>
      </vt:variant>
      <vt:variant>
        <vt:i4>5</vt:i4>
      </vt:variant>
      <vt:variant>
        <vt:lpwstr/>
      </vt:variant>
      <vt:variant>
        <vt:lpwstr>_Toc73034613</vt:lpwstr>
      </vt:variant>
      <vt:variant>
        <vt:i4>1245234</vt:i4>
      </vt:variant>
      <vt:variant>
        <vt:i4>74</vt:i4>
      </vt:variant>
      <vt:variant>
        <vt:i4>0</vt:i4>
      </vt:variant>
      <vt:variant>
        <vt:i4>5</vt:i4>
      </vt:variant>
      <vt:variant>
        <vt:lpwstr/>
      </vt:variant>
      <vt:variant>
        <vt:lpwstr>_Toc73034612</vt:lpwstr>
      </vt:variant>
      <vt:variant>
        <vt:i4>1048626</vt:i4>
      </vt:variant>
      <vt:variant>
        <vt:i4>68</vt:i4>
      </vt:variant>
      <vt:variant>
        <vt:i4>0</vt:i4>
      </vt:variant>
      <vt:variant>
        <vt:i4>5</vt:i4>
      </vt:variant>
      <vt:variant>
        <vt:lpwstr/>
      </vt:variant>
      <vt:variant>
        <vt:lpwstr>_Toc73034611</vt:lpwstr>
      </vt:variant>
      <vt:variant>
        <vt:i4>1114162</vt:i4>
      </vt:variant>
      <vt:variant>
        <vt:i4>62</vt:i4>
      </vt:variant>
      <vt:variant>
        <vt:i4>0</vt:i4>
      </vt:variant>
      <vt:variant>
        <vt:i4>5</vt:i4>
      </vt:variant>
      <vt:variant>
        <vt:lpwstr/>
      </vt:variant>
      <vt:variant>
        <vt:lpwstr>_Toc73034610</vt:lpwstr>
      </vt:variant>
      <vt:variant>
        <vt:i4>1572915</vt:i4>
      </vt:variant>
      <vt:variant>
        <vt:i4>56</vt:i4>
      </vt:variant>
      <vt:variant>
        <vt:i4>0</vt:i4>
      </vt:variant>
      <vt:variant>
        <vt:i4>5</vt:i4>
      </vt:variant>
      <vt:variant>
        <vt:lpwstr/>
      </vt:variant>
      <vt:variant>
        <vt:lpwstr>_Toc73034609</vt:lpwstr>
      </vt:variant>
      <vt:variant>
        <vt:i4>1638451</vt:i4>
      </vt:variant>
      <vt:variant>
        <vt:i4>50</vt:i4>
      </vt:variant>
      <vt:variant>
        <vt:i4>0</vt:i4>
      </vt:variant>
      <vt:variant>
        <vt:i4>5</vt:i4>
      </vt:variant>
      <vt:variant>
        <vt:lpwstr/>
      </vt:variant>
      <vt:variant>
        <vt:lpwstr>_Toc73034608</vt:lpwstr>
      </vt:variant>
      <vt:variant>
        <vt:i4>1441843</vt:i4>
      </vt:variant>
      <vt:variant>
        <vt:i4>44</vt:i4>
      </vt:variant>
      <vt:variant>
        <vt:i4>0</vt:i4>
      </vt:variant>
      <vt:variant>
        <vt:i4>5</vt:i4>
      </vt:variant>
      <vt:variant>
        <vt:lpwstr/>
      </vt:variant>
      <vt:variant>
        <vt:lpwstr>_Toc73034607</vt:lpwstr>
      </vt:variant>
      <vt:variant>
        <vt:i4>1507379</vt:i4>
      </vt:variant>
      <vt:variant>
        <vt:i4>38</vt:i4>
      </vt:variant>
      <vt:variant>
        <vt:i4>0</vt:i4>
      </vt:variant>
      <vt:variant>
        <vt:i4>5</vt:i4>
      </vt:variant>
      <vt:variant>
        <vt:lpwstr/>
      </vt:variant>
      <vt:variant>
        <vt:lpwstr>_Toc73034606</vt:lpwstr>
      </vt:variant>
      <vt:variant>
        <vt:i4>1310771</vt:i4>
      </vt:variant>
      <vt:variant>
        <vt:i4>32</vt:i4>
      </vt:variant>
      <vt:variant>
        <vt:i4>0</vt:i4>
      </vt:variant>
      <vt:variant>
        <vt:i4>5</vt:i4>
      </vt:variant>
      <vt:variant>
        <vt:lpwstr/>
      </vt:variant>
      <vt:variant>
        <vt:lpwstr>_Toc73034605</vt:lpwstr>
      </vt:variant>
      <vt:variant>
        <vt:i4>1376307</vt:i4>
      </vt:variant>
      <vt:variant>
        <vt:i4>26</vt:i4>
      </vt:variant>
      <vt:variant>
        <vt:i4>0</vt:i4>
      </vt:variant>
      <vt:variant>
        <vt:i4>5</vt:i4>
      </vt:variant>
      <vt:variant>
        <vt:lpwstr/>
      </vt:variant>
      <vt:variant>
        <vt:lpwstr>_Toc73034604</vt:lpwstr>
      </vt:variant>
      <vt:variant>
        <vt:i4>1179699</vt:i4>
      </vt:variant>
      <vt:variant>
        <vt:i4>20</vt:i4>
      </vt:variant>
      <vt:variant>
        <vt:i4>0</vt:i4>
      </vt:variant>
      <vt:variant>
        <vt:i4>5</vt:i4>
      </vt:variant>
      <vt:variant>
        <vt:lpwstr/>
      </vt:variant>
      <vt:variant>
        <vt:lpwstr>_Toc73034603</vt:lpwstr>
      </vt:variant>
      <vt:variant>
        <vt:i4>1245235</vt:i4>
      </vt:variant>
      <vt:variant>
        <vt:i4>14</vt:i4>
      </vt:variant>
      <vt:variant>
        <vt:i4>0</vt:i4>
      </vt:variant>
      <vt:variant>
        <vt:i4>5</vt:i4>
      </vt:variant>
      <vt:variant>
        <vt:lpwstr/>
      </vt:variant>
      <vt:variant>
        <vt:lpwstr>_Toc73034602</vt:lpwstr>
      </vt:variant>
      <vt:variant>
        <vt:i4>1048627</vt:i4>
      </vt:variant>
      <vt:variant>
        <vt:i4>8</vt:i4>
      </vt:variant>
      <vt:variant>
        <vt:i4>0</vt:i4>
      </vt:variant>
      <vt:variant>
        <vt:i4>5</vt:i4>
      </vt:variant>
      <vt:variant>
        <vt:lpwstr/>
      </vt:variant>
      <vt:variant>
        <vt:lpwstr>_Toc73034601</vt:lpwstr>
      </vt:variant>
      <vt:variant>
        <vt:i4>1114163</vt:i4>
      </vt:variant>
      <vt:variant>
        <vt:i4>2</vt:i4>
      </vt:variant>
      <vt:variant>
        <vt:i4>0</vt:i4>
      </vt:variant>
      <vt:variant>
        <vt:i4>5</vt:i4>
      </vt:variant>
      <vt:variant>
        <vt:lpwstr/>
      </vt:variant>
      <vt:variant>
        <vt:lpwstr>_Toc73034600</vt:lpwstr>
      </vt:variant>
      <vt:variant>
        <vt:i4>7471167</vt:i4>
      </vt:variant>
      <vt:variant>
        <vt:i4>117</vt:i4>
      </vt:variant>
      <vt:variant>
        <vt:i4>0</vt:i4>
      </vt:variant>
      <vt:variant>
        <vt:i4>5</vt:i4>
      </vt:variant>
      <vt:variant>
        <vt:lpwstr>https://www.regulations.gov/document/EERE-2014-BT-STD-0048-0098</vt:lpwstr>
      </vt:variant>
      <vt:variant>
        <vt:lpwstr/>
      </vt:variant>
      <vt:variant>
        <vt:i4>7471167</vt:i4>
      </vt:variant>
      <vt:variant>
        <vt:i4>114</vt:i4>
      </vt:variant>
      <vt:variant>
        <vt:i4>0</vt:i4>
      </vt:variant>
      <vt:variant>
        <vt:i4>5</vt:i4>
      </vt:variant>
      <vt:variant>
        <vt:lpwstr>https://www.regulations.gov/document/EERE-2014-BT-STD-0048-0098</vt:lpwstr>
      </vt:variant>
      <vt:variant>
        <vt:lpwstr/>
      </vt:variant>
      <vt:variant>
        <vt:i4>113</vt:i4>
      </vt:variant>
      <vt:variant>
        <vt:i4>105</vt:i4>
      </vt:variant>
      <vt:variant>
        <vt:i4>0</vt:i4>
      </vt:variant>
      <vt:variant>
        <vt:i4>5</vt:i4>
      </vt:variant>
      <vt:variant>
        <vt:lpwstr>https://ozone.unep.org/sites/default/files/2019-04/TEAP-DecXXIX4-TF-Addendum-to-May2018-Report_September2018.pdf</vt:lpwstr>
      </vt:variant>
      <vt:variant>
        <vt:lpwstr/>
      </vt:variant>
      <vt:variant>
        <vt:i4>1507395</vt:i4>
      </vt:variant>
      <vt:variant>
        <vt:i4>102</vt:i4>
      </vt:variant>
      <vt:variant>
        <vt:i4>0</vt:i4>
      </vt:variant>
      <vt:variant>
        <vt:i4>5</vt:i4>
      </vt:variant>
      <vt:variant>
        <vt:lpwstr>https://ozone.unep.org/sites/default/files/2019-04/TEAP-DecXXIX4-TF-Report-April2018.pdf</vt:lpwstr>
      </vt:variant>
      <vt:variant>
        <vt:lpwstr/>
      </vt:variant>
      <vt:variant>
        <vt:i4>6619176</vt:i4>
      </vt:variant>
      <vt:variant>
        <vt:i4>87</vt:i4>
      </vt:variant>
      <vt:variant>
        <vt:i4>0</vt:i4>
      </vt:variant>
      <vt:variant>
        <vt:i4>5</vt:i4>
      </vt:variant>
      <vt:variant>
        <vt:lpwstr>https://doi.org/10.1038/d41586-020-00883-y</vt:lpwstr>
      </vt:variant>
      <vt:variant>
        <vt:lpwstr/>
      </vt:variant>
      <vt:variant>
        <vt:i4>7602298</vt:i4>
      </vt:variant>
      <vt:variant>
        <vt:i4>81</vt:i4>
      </vt:variant>
      <vt:variant>
        <vt:i4>0</vt:i4>
      </vt:variant>
      <vt:variant>
        <vt:i4>5</vt:i4>
      </vt:variant>
      <vt:variant>
        <vt:lpwstr>https://ozone.unep.org/sites/default/files/2019-05/teap-october-2009-decisionXX-7-task-force-phase2-report.pdf</vt:lpwstr>
      </vt:variant>
      <vt:variant>
        <vt:lpwstr/>
      </vt:variant>
      <vt:variant>
        <vt:i4>3670141</vt:i4>
      </vt:variant>
      <vt:variant>
        <vt:i4>78</vt:i4>
      </vt:variant>
      <vt:variant>
        <vt:i4>0</vt:i4>
      </vt:variant>
      <vt:variant>
        <vt:i4>5</vt:i4>
      </vt:variant>
      <vt:variant>
        <vt:lpwstr>https://www.recycling-magazine.com/2020/08/18/ral-gz-729-standard-for-demanufacturing-cfc-blown-foam-products/</vt:lpwstr>
      </vt:variant>
      <vt:variant>
        <vt:lpwstr/>
      </vt:variant>
      <vt:variant>
        <vt:i4>2621477</vt:i4>
      </vt:variant>
      <vt:variant>
        <vt:i4>75</vt:i4>
      </vt:variant>
      <vt:variant>
        <vt:i4>0</vt:i4>
      </vt:variant>
      <vt:variant>
        <vt:i4>5</vt:i4>
      </vt:variant>
      <vt:variant>
        <vt:lpwstr>https://www.ipcc.ch/report/safeguarding-the-ozone-layer-and-the-global-climate-system/</vt:lpwstr>
      </vt:variant>
      <vt:variant>
        <vt:lpwstr/>
      </vt:variant>
      <vt:variant>
        <vt:i4>7798847</vt:i4>
      </vt:variant>
      <vt:variant>
        <vt:i4>72</vt:i4>
      </vt:variant>
      <vt:variant>
        <vt:i4>0</vt:i4>
      </vt:variant>
      <vt:variant>
        <vt:i4>5</vt:i4>
      </vt:variant>
      <vt:variant>
        <vt:lpwstr>https://www.aceee.org/files/proceedings/1994/data/papers/SS94_Panel4_Paper28.pdf</vt:lpwstr>
      </vt:variant>
      <vt:variant>
        <vt:lpwstr/>
      </vt:variant>
      <vt:variant>
        <vt:i4>2818167</vt:i4>
      </vt:variant>
      <vt:variant>
        <vt:i4>69</vt:i4>
      </vt:variant>
      <vt:variant>
        <vt:i4>0</vt:i4>
      </vt:variant>
      <vt:variant>
        <vt:i4>5</vt:i4>
      </vt:variant>
      <vt:variant>
        <vt:lpwstr>https://cen.acs.org/articles/93/i29/Chinese-Court-Sides-Honeywell.html</vt:lpwstr>
      </vt:variant>
      <vt:variant>
        <vt:lpwstr/>
      </vt:variant>
      <vt:variant>
        <vt:i4>458820</vt:i4>
      </vt:variant>
      <vt:variant>
        <vt:i4>66</vt:i4>
      </vt:variant>
      <vt:variant>
        <vt:i4>0</vt:i4>
      </vt:variant>
      <vt:variant>
        <vt:i4>5</vt:i4>
      </vt:variant>
      <vt:variant>
        <vt:lpwstr>https://www.fluorineproducts-honeywell.com/blowingagents/press-releases/honeywell-files-lawsuit-against-mek-chemical-corporation-for-patent-infringement/</vt:lpwstr>
      </vt:variant>
      <vt:variant>
        <vt:lpwstr/>
      </vt:variant>
      <vt:variant>
        <vt:i4>1441904</vt:i4>
      </vt:variant>
      <vt:variant>
        <vt:i4>63</vt:i4>
      </vt:variant>
      <vt:variant>
        <vt:i4>0</vt:i4>
      </vt:variant>
      <vt:variant>
        <vt:i4>5</vt:i4>
      </vt:variant>
      <vt:variant>
        <vt:lpwstr>https://www.alibaba.com/product-detail/Direct-factory-Dichlorofluoroethane-Hcfc-Refrigerant-141b_60622055923.html?spm=a2700.7724857.normalList.21.19567508vByNqX</vt:lpwstr>
      </vt:variant>
      <vt:variant>
        <vt:lpwstr/>
      </vt:variant>
      <vt:variant>
        <vt:i4>5701699</vt:i4>
      </vt:variant>
      <vt:variant>
        <vt:i4>57</vt:i4>
      </vt:variant>
      <vt:variant>
        <vt:i4>0</vt:i4>
      </vt:variant>
      <vt:variant>
        <vt:i4>5</vt:i4>
      </vt:variant>
      <vt:variant>
        <vt:lpwstr>https://ec.europa.eu/clima/sites/clima/files/ozone/docs/ods_f-gas_destruction_report_en.pdf</vt:lpwstr>
      </vt:variant>
      <vt:variant>
        <vt:lpwstr/>
      </vt:variant>
      <vt:variant>
        <vt:i4>4128823</vt:i4>
      </vt:variant>
      <vt:variant>
        <vt:i4>54</vt:i4>
      </vt:variant>
      <vt:variant>
        <vt:i4>0</vt:i4>
      </vt:variant>
      <vt:variant>
        <vt:i4>5</vt:i4>
      </vt:variant>
      <vt:variant>
        <vt:lpwstr>https://ozone.unep.org/system/files/documents/TEAP-TF-DecXXX-3-unexpected_CFC11_emissions-september2019.pdf</vt:lpwstr>
      </vt:variant>
      <vt:variant>
        <vt:lpwstr/>
      </vt:variant>
      <vt:variant>
        <vt:i4>4128823</vt:i4>
      </vt:variant>
      <vt:variant>
        <vt:i4>48</vt:i4>
      </vt:variant>
      <vt:variant>
        <vt:i4>0</vt:i4>
      </vt:variant>
      <vt:variant>
        <vt:i4>5</vt:i4>
      </vt:variant>
      <vt:variant>
        <vt:lpwstr>https://ozone.unep.org/system/files/documents/TEAP-TF-DecXXX-3-unexpected_CFC11_emissions-september2019.pdf</vt:lpwstr>
      </vt:variant>
      <vt:variant>
        <vt:lpwstr/>
      </vt:variant>
      <vt:variant>
        <vt:i4>4128823</vt:i4>
      </vt:variant>
      <vt:variant>
        <vt:i4>45</vt:i4>
      </vt:variant>
      <vt:variant>
        <vt:i4>0</vt:i4>
      </vt:variant>
      <vt:variant>
        <vt:i4>5</vt:i4>
      </vt:variant>
      <vt:variant>
        <vt:lpwstr>https://ozone.unep.org/system/files/documents/TEAP-TF-DecXXX-3-unexpected_CFC11_emissions-september2019.pdf</vt:lpwstr>
      </vt:variant>
      <vt:variant>
        <vt:lpwstr/>
      </vt:variant>
      <vt:variant>
        <vt:i4>4128823</vt:i4>
      </vt:variant>
      <vt:variant>
        <vt:i4>39</vt:i4>
      </vt:variant>
      <vt:variant>
        <vt:i4>0</vt:i4>
      </vt:variant>
      <vt:variant>
        <vt:i4>5</vt:i4>
      </vt:variant>
      <vt:variant>
        <vt:lpwstr>https://ozone.unep.org/system/files/documents/TEAP-TF-DecXXX-3-unexpected_CFC11_emissions-september2019.pdf</vt:lpwstr>
      </vt:variant>
      <vt:variant>
        <vt:lpwstr/>
      </vt:variant>
      <vt:variant>
        <vt:i4>4128823</vt:i4>
      </vt:variant>
      <vt:variant>
        <vt:i4>36</vt:i4>
      </vt:variant>
      <vt:variant>
        <vt:i4>0</vt:i4>
      </vt:variant>
      <vt:variant>
        <vt:i4>5</vt:i4>
      </vt:variant>
      <vt:variant>
        <vt:lpwstr>https://ozone.unep.org/system/files/documents/TEAP-TF-DecXXX-3-unexpected_CFC11_emissions-september2019.pdf</vt:lpwstr>
      </vt:variant>
      <vt:variant>
        <vt:lpwstr/>
      </vt:variant>
      <vt:variant>
        <vt:i4>2162738</vt:i4>
      </vt:variant>
      <vt:variant>
        <vt:i4>24</vt:i4>
      </vt:variant>
      <vt:variant>
        <vt:i4>0</vt:i4>
      </vt:variant>
      <vt:variant>
        <vt:i4>5</vt:i4>
      </vt:variant>
      <vt:variant>
        <vt:lpwstr>https://doi.org/10.1038/s41586-021-03260-5</vt:lpwstr>
      </vt:variant>
      <vt:variant>
        <vt:lpwstr/>
      </vt:variant>
      <vt:variant>
        <vt:i4>6553651</vt:i4>
      </vt:variant>
      <vt:variant>
        <vt:i4>21</vt:i4>
      </vt:variant>
      <vt:variant>
        <vt:i4>0</vt:i4>
      </vt:variant>
      <vt:variant>
        <vt:i4>5</vt:i4>
      </vt:variant>
      <vt:variant>
        <vt:lpwstr>https://doi.org/10.1038/s41586-021-03277-w</vt:lpwstr>
      </vt:variant>
      <vt:variant>
        <vt:lpwstr/>
      </vt:variant>
      <vt:variant>
        <vt:i4>1704007</vt:i4>
      </vt:variant>
      <vt:variant>
        <vt:i4>18</vt:i4>
      </vt:variant>
      <vt:variant>
        <vt:i4>0</vt:i4>
      </vt:variant>
      <vt:variant>
        <vt:i4>5</vt:i4>
      </vt:variant>
      <vt:variant>
        <vt:lpwstr>https://eia-international.org/report/tip-iceberg-implications-illegal-cfc-production-use/</vt:lpwstr>
      </vt:variant>
      <vt:variant>
        <vt:lpwstr/>
      </vt:variant>
      <vt:variant>
        <vt:i4>131162</vt:i4>
      </vt:variant>
      <vt:variant>
        <vt:i4>15</vt:i4>
      </vt:variant>
      <vt:variant>
        <vt:i4>0</vt:i4>
      </vt:variant>
      <vt:variant>
        <vt:i4>5</vt:i4>
      </vt:variant>
      <vt:variant>
        <vt:lpwstr>https://eia-international.org/report/blowing-it/</vt:lpwstr>
      </vt:variant>
      <vt:variant>
        <vt:lpwstr/>
      </vt:variant>
      <vt:variant>
        <vt:i4>4128823</vt:i4>
      </vt:variant>
      <vt:variant>
        <vt:i4>12</vt:i4>
      </vt:variant>
      <vt:variant>
        <vt:i4>0</vt:i4>
      </vt:variant>
      <vt:variant>
        <vt:i4>5</vt:i4>
      </vt:variant>
      <vt:variant>
        <vt:lpwstr>https://ozone.unep.org/system/files/documents/TEAP-TF-DecXXX-3-unexpected_CFC11_emissions-september2019.pdf</vt:lpwstr>
      </vt:variant>
      <vt:variant>
        <vt:lpwstr/>
      </vt:variant>
      <vt:variant>
        <vt:i4>4128823</vt:i4>
      </vt:variant>
      <vt:variant>
        <vt:i4>9</vt:i4>
      </vt:variant>
      <vt:variant>
        <vt:i4>0</vt:i4>
      </vt:variant>
      <vt:variant>
        <vt:i4>5</vt:i4>
      </vt:variant>
      <vt:variant>
        <vt:lpwstr>https://ozone.unep.org/system/files/documents/TEAP-TF-DecXXX-3-unexpected_CFC11_emissions-september2019.pdf</vt:lpwstr>
      </vt:variant>
      <vt:variant>
        <vt:lpwstr/>
      </vt:variant>
      <vt:variant>
        <vt:i4>4128823</vt:i4>
      </vt:variant>
      <vt:variant>
        <vt:i4>6</vt:i4>
      </vt:variant>
      <vt:variant>
        <vt:i4>0</vt:i4>
      </vt:variant>
      <vt:variant>
        <vt:i4>5</vt:i4>
      </vt:variant>
      <vt:variant>
        <vt:lpwstr>https://ozone.unep.org/system/files/documents/TEAP-TF-DecXXX-3-unexpected_CFC11_emissions-september2019.pdf</vt:lpwstr>
      </vt:variant>
      <vt:variant>
        <vt:lpwstr/>
      </vt:variant>
      <vt:variant>
        <vt:i4>6553651</vt:i4>
      </vt:variant>
      <vt:variant>
        <vt:i4>3</vt:i4>
      </vt:variant>
      <vt:variant>
        <vt:i4>0</vt:i4>
      </vt:variant>
      <vt:variant>
        <vt:i4>5</vt:i4>
      </vt:variant>
      <vt:variant>
        <vt:lpwstr>https://doi.org/10.1038/s41586-021-03277-w</vt:lpwstr>
      </vt:variant>
      <vt:variant>
        <vt:lpwstr/>
      </vt:variant>
      <vt:variant>
        <vt:i4>2162738</vt:i4>
      </vt:variant>
      <vt:variant>
        <vt:i4>0</vt:i4>
      </vt:variant>
      <vt:variant>
        <vt:i4>0</vt:i4>
      </vt:variant>
      <vt:variant>
        <vt:i4>5</vt:i4>
      </vt:variant>
      <vt:variant>
        <vt:lpwstr>https://doi.org/10.1038/s41586-021-03260-5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TEAP May 2020: Progress Report (Volume 1) - Advance</dc:title>
  <dc:subject/>
  <dc:creator>Walter Brunner</dc:creator>
  <cp:keywords/>
  <dc:description/>
  <cp:lastModifiedBy>Martha Mulumba</cp:lastModifiedBy>
  <cp:revision>5</cp:revision>
  <cp:lastPrinted>2019-05-31T18:37:00Z</cp:lastPrinted>
  <dcterms:created xsi:type="dcterms:W3CDTF">2021-06-06T01:23:00Z</dcterms:created>
  <dcterms:modified xsi:type="dcterms:W3CDTF">2021-07-14T07:11:00Z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0x0101002124E473F8C21546BBEFEAAE37A18C79</vt:lpwstr>
  </property>
</Properties>
</file>