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E77D6A" w14:textId="77777777" w:rsidR="00F5098B" w:rsidRPr="00F5098B" w:rsidRDefault="00F5098B" w:rsidP="00F5098B">
      <w:pPr>
        <w:pStyle w:val="NormalWeb"/>
        <w:rPr>
          <w:rFonts w:ascii="Calibri" w:hAnsi="Calibri"/>
          <w:b/>
        </w:rPr>
      </w:pPr>
      <w:bookmarkStart w:id="0" w:name="_GoBack"/>
      <w:bookmarkEnd w:id="0"/>
      <w:r w:rsidRPr="00F5098B">
        <w:rPr>
          <w:rFonts w:ascii="Calibri" w:hAnsi="Calibri"/>
          <w:b/>
        </w:rPr>
        <w:t>Amendment Text:</w:t>
      </w:r>
    </w:p>
    <w:p w14:paraId="0CC30E0C" w14:textId="77777777" w:rsidR="00F5098B" w:rsidRPr="00F5098B" w:rsidRDefault="00F5098B" w:rsidP="00F5098B">
      <w:pPr>
        <w:pStyle w:val="NormalWeb"/>
        <w:ind w:left="720"/>
        <w:rPr>
          <w:rFonts w:ascii="Calibri" w:hAnsi="Calibri"/>
        </w:rPr>
      </w:pPr>
      <w:r w:rsidRPr="00F5098B">
        <w:rPr>
          <w:rFonts w:ascii="Calibri" w:hAnsi="Calibri"/>
          <w:i/>
        </w:rPr>
        <w:t>To be added as paragraph 7 of Article 2J</w:t>
      </w:r>
      <w:r w:rsidRPr="00F5098B">
        <w:rPr>
          <w:rFonts w:ascii="Calibri" w:hAnsi="Calibri"/>
        </w:rPr>
        <w:t>:</w:t>
      </w:r>
    </w:p>
    <w:p w14:paraId="31FEA13A" w14:textId="77777777" w:rsidR="00F5098B" w:rsidRPr="00F5098B" w:rsidRDefault="00F5098B" w:rsidP="00F5098B">
      <w:pPr>
        <w:pStyle w:val="NormalWeb"/>
        <w:ind w:left="720"/>
        <w:rPr>
          <w:rFonts w:ascii="Calibri" w:hAnsi="Calibri"/>
        </w:rPr>
      </w:pPr>
      <w:r w:rsidRPr="00F5098B">
        <w:rPr>
          <w:rFonts w:ascii="Calibri" w:hAnsi="Calibri"/>
        </w:rPr>
        <w:t xml:space="preserve">“Paragraphs 1-4 of this Article will apply to calculated levels of production and consumption save to the extent that a high ambient temperature exemption applies based on criteria decided by the Parties.” </w:t>
      </w:r>
    </w:p>
    <w:p w14:paraId="1D7215B1" w14:textId="77777777" w:rsidR="000D3170" w:rsidRDefault="000D3170" w:rsidP="006018AF">
      <w:pPr>
        <w:pStyle w:val="Body"/>
        <w:ind w:firstLine="360"/>
        <w:rPr>
          <w:sz w:val="24"/>
          <w:szCs w:val="24"/>
        </w:rPr>
      </w:pPr>
    </w:p>
    <w:p w14:paraId="1B792FA3" w14:textId="77128B2C" w:rsidR="00835195" w:rsidRPr="000605EE" w:rsidRDefault="00B823DC" w:rsidP="006018AF">
      <w:pPr>
        <w:pStyle w:val="Body"/>
        <w:ind w:firstLine="360"/>
        <w:rPr>
          <w:sz w:val="24"/>
          <w:szCs w:val="24"/>
        </w:rPr>
      </w:pPr>
      <w:r w:rsidRPr="000605EE">
        <w:rPr>
          <w:sz w:val="24"/>
          <w:szCs w:val="24"/>
        </w:rPr>
        <w:t>High Ambient Temperature</w:t>
      </w:r>
    </w:p>
    <w:p w14:paraId="13254766" w14:textId="1AEDBBAF" w:rsidR="00835195" w:rsidRPr="000605EE" w:rsidRDefault="00B823DC" w:rsidP="008609CE">
      <w:pPr>
        <w:pStyle w:val="ListParagraph"/>
        <w:numPr>
          <w:ilvl w:val="0"/>
          <w:numId w:val="3"/>
        </w:numPr>
        <w:tabs>
          <w:tab w:val="clear" w:pos="1080"/>
          <w:tab w:val="num" w:pos="1020"/>
        </w:tabs>
        <w:ind w:left="1020" w:hanging="660"/>
        <w:rPr>
          <w:sz w:val="24"/>
          <w:szCs w:val="24"/>
        </w:rPr>
      </w:pPr>
      <w:r w:rsidRPr="000605EE">
        <w:rPr>
          <w:sz w:val="24"/>
          <w:szCs w:val="24"/>
        </w:rPr>
        <w:t xml:space="preserve">A new exemption </w:t>
      </w:r>
      <w:r w:rsidR="00ED7958">
        <w:rPr>
          <w:sz w:val="24"/>
          <w:szCs w:val="24"/>
        </w:rPr>
        <w:t>as described</w:t>
      </w:r>
      <w:r w:rsidR="00066F55">
        <w:rPr>
          <w:sz w:val="24"/>
          <w:szCs w:val="24"/>
        </w:rPr>
        <w:t xml:space="preserve"> </w:t>
      </w:r>
      <w:r w:rsidRPr="000605EE">
        <w:rPr>
          <w:sz w:val="24"/>
          <w:szCs w:val="24"/>
        </w:rPr>
        <w:t xml:space="preserve">shall be available to Parties with high ambient temperature conditions where suitable alternatives do not exist for </w:t>
      </w:r>
      <w:r w:rsidR="009041B1" w:rsidRPr="000605EE">
        <w:rPr>
          <w:sz w:val="24"/>
          <w:szCs w:val="24"/>
        </w:rPr>
        <w:t>the specific sub-sector of use</w:t>
      </w:r>
      <w:r w:rsidRPr="000605EE">
        <w:rPr>
          <w:sz w:val="24"/>
          <w:szCs w:val="24"/>
        </w:rPr>
        <w:t>.</w:t>
      </w:r>
    </w:p>
    <w:p w14:paraId="1830DCF6" w14:textId="57EE0459" w:rsidR="00835195" w:rsidRPr="000605EE" w:rsidRDefault="00B823DC">
      <w:pPr>
        <w:pStyle w:val="ListParagraph"/>
        <w:numPr>
          <w:ilvl w:val="0"/>
          <w:numId w:val="3"/>
        </w:numPr>
        <w:tabs>
          <w:tab w:val="clear" w:pos="1080"/>
          <w:tab w:val="num" w:pos="1020"/>
        </w:tabs>
        <w:ind w:left="1020" w:hanging="660"/>
        <w:rPr>
          <w:sz w:val="24"/>
          <w:szCs w:val="24"/>
        </w:rPr>
      </w:pPr>
      <w:r w:rsidRPr="000605EE">
        <w:rPr>
          <w:sz w:val="24"/>
          <w:szCs w:val="24"/>
        </w:rPr>
        <w:t>The exemption shall be distinguished and separate from the essential use and the critical use exemptions under the Montreal Protocol.</w:t>
      </w:r>
    </w:p>
    <w:p w14:paraId="41AE8D06" w14:textId="0D49381B" w:rsidR="00EB0E75" w:rsidRDefault="00B823DC" w:rsidP="00B77DB1">
      <w:pPr>
        <w:pStyle w:val="ListParagraph"/>
        <w:numPr>
          <w:ilvl w:val="0"/>
          <w:numId w:val="3"/>
        </w:numPr>
        <w:tabs>
          <w:tab w:val="clear" w:pos="1080"/>
          <w:tab w:val="num" w:pos="1020"/>
        </w:tabs>
        <w:ind w:left="1020" w:hanging="660"/>
        <w:rPr>
          <w:sz w:val="24"/>
          <w:szCs w:val="24"/>
        </w:rPr>
      </w:pPr>
      <w:r w:rsidRPr="00F15C12">
        <w:rPr>
          <w:sz w:val="24"/>
          <w:szCs w:val="24"/>
        </w:rPr>
        <w:t xml:space="preserve">The exemption shall take effect and be available at the commencement of </w:t>
      </w:r>
      <w:r w:rsidR="000D3170">
        <w:rPr>
          <w:sz w:val="24"/>
          <w:szCs w:val="24"/>
        </w:rPr>
        <w:t xml:space="preserve">the </w:t>
      </w:r>
      <w:proofErr w:type="spellStart"/>
      <w:r w:rsidRPr="00F15C12">
        <w:rPr>
          <w:sz w:val="24"/>
          <w:szCs w:val="24"/>
        </w:rPr>
        <w:t>HFC</w:t>
      </w:r>
      <w:proofErr w:type="spellEnd"/>
      <w:r w:rsidRPr="00F15C12">
        <w:rPr>
          <w:sz w:val="24"/>
          <w:szCs w:val="24"/>
        </w:rPr>
        <w:t xml:space="preserve"> freeze or other initial control obligation and shall ha</w:t>
      </w:r>
      <w:r w:rsidR="009041B1" w:rsidRPr="00F15C12">
        <w:rPr>
          <w:sz w:val="24"/>
          <w:szCs w:val="24"/>
        </w:rPr>
        <w:t xml:space="preserve">ve an initial duration of </w:t>
      </w:r>
      <w:r w:rsidR="001235D4">
        <w:rPr>
          <w:sz w:val="24"/>
          <w:szCs w:val="24"/>
        </w:rPr>
        <w:t>4</w:t>
      </w:r>
      <w:r w:rsidRPr="00F15C12">
        <w:rPr>
          <w:sz w:val="24"/>
          <w:szCs w:val="24"/>
        </w:rPr>
        <w:t xml:space="preserve"> years</w:t>
      </w:r>
      <w:r w:rsidR="00EB0E75">
        <w:rPr>
          <w:sz w:val="24"/>
          <w:szCs w:val="24"/>
        </w:rPr>
        <w:t>.</w:t>
      </w:r>
    </w:p>
    <w:p w14:paraId="13E5B3EA" w14:textId="3E083ACA" w:rsidR="00F15C12" w:rsidRPr="000D3170" w:rsidRDefault="000D3170" w:rsidP="000D3170">
      <w:pPr>
        <w:pStyle w:val="ListParagraph"/>
        <w:numPr>
          <w:ilvl w:val="0"/>
          <w:numId w:val="3"/>
        </w:numPr>
        <w:tabs>
          <w:tab w:val="clear" w:pos="1080"/>
          <w:tab w:val="num" w:pos="1020"/>
        </w:tabs>
        <w:ind w:left="1020" w:hanging="660"/>
        <w:rPr>
          <w:sz w:val="24"/>
          <w:szCs w:val="24"/>
        </w:rPr>
      </w:pPr>
      <w:r w:rsidRPr="000D3170">
        <w:rPr>
          <w:sz w:val="24"/>
          <w:szCs w:val="24"/>
        </w:rPr>
        <w:t>The exemption applies for</w:t>
      </w:r>
      <w:r w:rsidR="00F15C12" w:rsidRPr="00B77DB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sub-sectors </w:t>
      </w:r>
      <w:r w:rsidRPr="00B77DB1">
        <w:rPr>
          <w:sz w:val="24"/>
          <w:szCs w:val="24"/>
        </w:rPr>
        <w:t>contained in Annex [X] in</w:t>
      </w:r>
      <w:r>
        <w:rPr>
          <w:sz w:val="24"/>
          <w:szCs w:val="24"/>
        </w:rPr>
        <w:t xml:space="preserve"> Parties</w:t>
      </w:r>
      <w:r w:rsidRPr="00B77DB1">
        <w:rPr>
          <w:sz w:val="24"/>
          <w:szCs w:val="24"/>
        </w:rPr>
        <w:t xml:space="preserve">: (1) </w:t>
      </w:r>
      <w:r>
        <w:rPr>
          <w:sz w:val="24"/>
          <w:szCs w:val="24"/>
        </w:rPr>
        <w:t xml:space="preserve">with an average of at least two </w:t>
      </w:r>
      <w:r w:rsidRPr="00506672">
        <w:rPr>
          <w:sz w:val="24"/>
          <w:szCs w:val="24"/>
        </w:rPr>
        <w:t xml:space="preserve">months per year over 10 consecutive years with a peak monthly average temperature above </w:t>
      </w:r>
      <w:r>
        <w:rPr>
          <w:sz w:val="24"/>
          <w:szCs w:val="24"/>
        </w:rPr>
        <w:t>35</w:t>
      </w:r>
      <w:r w:rsidRPr="00506672">
        <w:rPr>
          <w:sz w:val="24"/>
          <w:szCs w:val="24"/>
        </w:rPr>
        <w:t xml:space="preserve"> degrees Celsius</w:t>
      </w:r>
      <w:r>
        <w:rPr>
          <w:rStyle w:val="FootnoteReference"/>
          <w:sz w:val="24"/>
          <w:szCs w:val="24"/>
        </w:rPr>
        <w:footnoteReference w:id="2"/>
      </w:r>
      <w:r w:rsidRPr="00B77DB1">
        <w:rPr>
          <w:sz w:val="24"/>
          <w:szCs w:val="24"/>
        </w:rPr>
        <w:t xml:space="preserve">; and (2) </w:t>
      </w:r>
      <w:r w:rsidR="009852D2">
        <w:rPr>
          <w:sz w:val="24"/>
          <w:szCs w:val="24"/>
        </w:rPr>
        <w:t xml:space="preserve">that </w:t>
      </w:r>
      <w:r w:rsidRPr="00B77DB1">
        <w:rPr>
          <w:sz w:val="24"/>
          <w:szCs w:val="24"/>
        </w:rPr>
        <w:t xml:space="preserve">have </w:t>
      </w:r>
      <w:r>
        <w:rPr>
          <w:sz w:val="24"/>
          <w:szCs w:val="24"/>
        </w:rPr>
        <w:t>formally notified</w:t>
      </w:r>
      <w:r w:rsidRPr="00B77DB1">
        <w:rPr>
          <w:sz w:val="24"/>
          <w:szCs w:val="24"/>
        </w:rPr>
        <w:t xml:space="preserve"> use of this exemption by notifying the Secretariat no later than </w:t>
      </w:r>
      <w:r>
        <w:rPr>
          <w:sz w:val="24"/>
          <w:szCs w:val="24"/>
        </w:rPr>
        <w:t xml:space="preserve">one year </w:t>
      </w:r>
      <w:proofErr w:type="gramStart"/>
      <w:r>
        <w:rPr>
          <w:sz w:val="24"/>
          <w:szCs w:val="24"/>
        </w:rPr>
        <w:t>before</w:t>
      </w:r>
      <w:proofErr w:type="gramEnd"/>
      <w:r>
        <w:rPr>
          <w:sz w:val="24"/>
          <w:szCs w:val="24"/>
        </w:rPr>
        <w:t xml:space="preserve"> the </w:t>
      </w:r>
      <w:proofErr w:type="spellStart"/>
      <w:r>
        <w:rPr>
          <w:sz w:val="24"/>
          <w:szCs w:val="24"/>
        </w:rPr>
        <w:t>HFC</w:t>
      </w:r>
      <w:proofErr w:type="spellEnd"/>
      <w:r>
        <w:rPr>
          <w:sz w:val="24"/>
          <w:szCs w:val="24"/>
        </w:rPr>
        <w:t xml:space="preserve"> freeze or other initial control obligation</w:t>
      </w:r>
      <w:r w:rsidRPr="00B77DB1">
        <w:rPr>
          <w:sz w:val="24"/>
          <w:szCs w:val="24"/>
        </w:rPr>
        <w:t xml:space="preserve">, and every </w:t>
      </w:r>
      <w:r w:rsidR="001235D4">
        <w:rPr>
          <w:sz w:val="24"/>
          <w:szCs w:val="24"/>
        </w:rPr>
        <w:t>4</w:t>
      </w:r>
      <w:r w:rsidRPr="00B77DB1">
        <w:rPr>
          <w:sz w:val="24"/>
          <w:szCs w:val="24"/>
        </w:rPr>
        <w:t xml:space="preserve"> years thereafter should it wish to extend the exemption</w:t>
      </w:r>
      <w:r w:rsidR="00D256AE">
        <w:rPr>
          <w:sz w:val="24"/>
          <w:szCs w:val="24"/>
        </w:rPr>
        <w:t>.</w:t>
      </w:r>
    </w:p>
    <w:p w14:paraId="150DF338" w14:textId="3318CAEF" w:rsidR="00484229" w:rsidRPr="00E573C8" w:rsidRDefault="00484229" w:rsidP="00484229">
      <w:pPr>
        <w:pStyle w:val="NormalWeb"/>
        <w:numPr>
          <w:ilvl w:val="0"/>
          <w:numId w:val="3"/>
        </w:numPr>
        <w:shd w:val="clear" w:color="auto" w:fill="FFFFFF"/>
        <w:spacing w:after="160"/>
        <w:rPr>
          <w:rFonts w:ascii="Calibri" w:hAnsi="Calibri"/>
        </w:rPr>
      </w:pPr>
      <w:r w:rsidRPr="00E573C8">
        <w:rPr>
          <w:rFonts w:ascii="Calibri" w:hAnsi="Calibri"/>
        </w:rPr>
        <w:t xml:space="preserve">Any party </w:t>
      </w:r>
      <w:r>
        <w:rPr>
          <w:rFonts w:ascii="Calibri" w:hAnsi="Calibri"/>
        </w:rPr>
        <w:t xml:space="preserve">operating under </w:t>
      </w:r>
      <w:r w:rsidRPr="00E573C8">
        <w:rPr>
          <w:rFonts w:ascii="Calibri" w:hAnsi="Calibri"/>
        </w:rPr>
        <w:t xml:space="preserve">the high ambient temperature exemption shall report separately production and consumption data </w:t>
      </w:r>
      <w:r>
        <w:rPr>
          <w:rFonts w:ascii="Calibri" w:hAnsi="Calibri"/>
        </w:rPr>
        <w:t xml:space="preserve">for </w:t>
      </w:r>
      <w:r w:rsidRPr="00E573C8">
        <w:rPr>
          <w:rFonts w:ascii="Calibri" w:hAnsi="Calibri"/>
        </w:rPr>
        <w:t xml:space="preserve">the </w:t>
      </w:r>
      <w:r>
        <w:rPr>
          <w:rFonts w:ascii="Calibri" w:hAnsi="Calibri"/>
        </w:rPr>
        <w:t>sub-</w:t>
      </w:r>
      <w:r w:rsidRPr="00E573C8">
        <w:rPr>
          <w:rFonts w:ascii="Calibri" w:hAnsi="Calibri"/>
        </w:rPr>
        <w:t xml:space="preserve">sectors </w:t>
      </w:r>
      <w:r>
        <w:rPr>
          <w:rFonts w:ascii="Calibri" w:hAnsi="Calibri"/>
        </w:rPr>
        <w:t>to which a high ambient temperature exemption applies</w:t>
      </w:r>
      <w:r w:rsidR="00B16E6E">
        <w:rPr>
          <w:rFonts w:ascii="Calibri" w:hAnsi="Calibri"/>
        </w:rPr>
        <w:t>.</w:t>
      </w:r>
    </w:p>
    <w:p w14:paraId="0367BC24" w14:textId="544462FA" w:rsidR="000D3170" w:rsidRDefault="000D3170" w:rsidP="000D3170">
      <w:pPr>
        <w:pStyle w:val="ListParagraph"/>
        <w:numPr>
          <w:ilvl w:val="0"/>
          <w:numId w:val="3"/>
        </w:numPr>
        <w:tabs>
          <w:tab w:val="clear" w:pos="1080"/>
          <w:tab w:val="num" w:pos="1020"/>
        </w:tabs>
        <w:ind w:left="1020" w:hanging="660"/>
        <w:rPr>
          <w:sz w:val="24"/>
          <w:szCs w:val="24"/>
        </w:rPr>
      </w:pPr>
      <w:r w:rsidRPr="00E573C8">
        <w:rPr>
          <w:sz w:val="24"/>
          <w:szCs w:val="24"/>
        </w:rPr>
        <w:t>Any transfer of production and consumption allowances for the high ambient temperature exemption shall be reported to the Secretariat under Article 7</w:t>
      </w:r>
      <w:r w:rsidR="00B16E6E">
        <w:rPr>
          <w:sz w:val="24"/>
          <w:szCs w:val="24"/>
        </w:rPr>
        <w:t>.</w:t>
      </w:r>
    </w:p>
    <w:p w14:paraId="5D1F8843" w14:textId="755096DD" w:rsidR="00835195" w:rsidRPr="00F15C12" w:rsidRDefault="00B823DC" w:rsidP="008143ED">
      <w:pPr>
        <w:pStyle w:val="ListParagraph"/>
        <w:numPr>
          <w:ilvl w:val="0"/>
          <w:numId w:val="3"/>
        </w:numPr>
        <w:tabs>
          <w:tab w:val="clear" w:pos="1080"/>
          <w:tab w:val="num" w:pos="1020"/>
        </w:tabs>
        <w:ind w:left="1020" w:hanging="660"/>
        <w:rPr>
          <w:sz w:val="24"/>
          <w:szCs w:val="24"/>
        </w:rPr>
      </w:pPr>
      <w:r w:rsidRPr="00F15C12">
        <w:rPr>
          <w:sz w:val="24"/>
          <w:szCs w:val="24"/>
        </w:rPr>
        <w:t>The Technology and Economic Assessment Panel (</w:t>
      </w:r>
      <w:proofErr w:type="spellStart"/>
      <w:r w:rsidRPr="00F15C12">
        <w:rPr>
          <w:sz w:val="24"/>
          <w:szCs w:val="24"/>
        </w:rPr>
        <w:t>TEAP</w:t>
      </w:r>
      <w:proofErr w:type="spellEnd"/>
      <w:r w:rsidRPr="00F15C12">
        <w:rPr>
          <w:sz w:val="24"/>
          <w:szCs w:val="24"/>
        </w:rPr>
        <w:t xml:space="preserve">) and a </w:t>
      </w:r>
      <w:proofErr w:type="spellStart"/>
      <w:r w:rsidRPr="00F15C12">
        <w:rPr>
          <w:sz w:val="24"/>
          <w:szCs w:val="24"/>
        </w:rPr>
        <w:t>TEAP</w:t>
      </w:r>
      <w:proofErr w:type="spellEnd"/>
      <w:r w:rsidRPr="00F15C12">
        <w:rPr>
          <w:sz w:val="24"/>
          <w:szCs w:val="24"/>
        </w:rPr>
        <w:t xml:space="preserve"> subsidiary body </w:t>
      </w:r>
      <w:r w:rsidR="0062486D" w:rsidRPr="00F15C12">
        <w:rPr>
          <w:sz w:val="24"/>
          <w:szCs w:val="24"/>
        </w:rPr>
        <w:t>that includes outside expertise on high ambient temperatures</w:t>
      </w:r>
      <w:r w:rsidRPr="00F15C12">
        <w:rPr>
          <w:sz w:val="24"/>
          <w:szCs w:val="24"/>
        </w:rPr>
        <w:t xml:space="preserve"> shall assess the suitability of </w:t>
      </w:r>
      <w:proofErr w:type="spellStart"/>
      <w:r w:rsidRPr="00F15C12">
        <w:rPr>
          <w:sz w:val="24"/>
          <w:szCs w:val="24"/>
        </w:rPr>
        <w:t>HFC</w:t>
      </w:r>
      <w:proofErr w:type="spellEnd"/>
      <w:r w:rsidRPr="00F15C12">
        <w:rPr>
          <w:sz w:val="24"/>
          <w:szCs w:val="24"/>
        </w:rPr>
        <w:t xml:space="preserve"> alternatives for use </w:t>
      </w:r>
      <w:r w:rsidR="008609CE" w:rsidRPr="00F15C12">
        <w:rPr>
          <w:sz w:val="24"/>
          <w:szCs w:val="24"/>
        </w:rPr>
        <w:t>where suitable alternatives do not exist</w:t>
      </w:r>
      <w:r w:rsidRPr="00F15C12">
        <w:rPr>
          <w:sz w:val="24"/>
          <w:szCs w:val="24"/>
        </w:rPr>
        <w:t xml:space="preserve"> based on criteria agreed by the Parties</w:t>
      </w:r>
      <w:r w:rsidR="00B92797">
        <w:rPr>
          <w:sz w:val="24"/>
          <w:szCs w:val="24"/>
        </w:rPr>
        <w:t xml:space="preserve"> </w:t>
      </w:r>
      <w:r w:rsidR="00C80F43">
        <w:rPr>
          <w:sz w:val="24"/>
          <w:szCs w:val="24"/>
        </w:rPr>
        <w:t xml:space="preserve">and </w:t>
      </w:r>
      <w:r w:rsidR="00B92797">
        <w:rPr>
          <w:sz w:val="24"/>
          <w:szCs w:val="24"/>
        </w:rPr>
        <w:t xml:space="preserve">can recommend to add or remove sub-sectors </w:t>
      </w:r>
      <w:r w:rsidR="00B92797">
        <w:rPr>
          <w:sz w:val="24"/>
          <w:szCs w:val="24"/>
        </w:rPr>
        <w:lastRenderedPageBreak/>
        <w:t>to Annex [X],</w:t>
      </w:r>
      <w:r w:rsidRPr="00F15C12">
        <w:rPr>
          <w:sz w:val="24"/>
          <w:szCs w:val="24"/>
        </w:rPr>
        <w:t xml:space="preserve"> that shall include, but not be limited to, the criteria listed in paragraph 1(a) of Decision XXVI/9,</w:t>
      </w:r>
      <w:r w:rsidRPr="000605EE">
        <w:rPr>
          <w:rFonts w:eastAsia="Times New Roman"/>
          <w:sz w:val="24"/>
          <w:szCs w:val="24"/>
          <w:vertAlign w:val="superscript"/>
        </w:rPr>
        <w:footnoteReference w:id="3"/>
      </w:r>
      <w:r w:rsidR="000D3170">
        <w:rPr>
          <w:sz w:val="24"/>
          <w:szCs w:val="24"/>
        </w:rPr>
        <w:t xml:space="preserve"> </w:t>
      </w:r>
      <w:r w:rsidRPr="00F15C12">
        <w:rPr>
          <w:sz w:val="24"/>
          <w:szCs w:val="24"/>
        </w:rPr>
        <w:t>and report this information to the Meeting of the Parties.</w:t>
      </w:r>
    </w:p>
    <w:p w14:paraId="1DBB4D3B" w14:textId="103B96B1" w:rsidR="00835195" w:rsidRPr="000605EE" w:rsidRDefault="00B823DC" w:rsidP="009041B1">
      <w:pPr>
        <w:pStyle w:val="ListParagraph"/>
        <w:numPr>
          <w:ilvl w:val="0"/>
          <w:numId w:val="3"/>
        </w:numPr>
        <w:tabs>
          <w:tab w:val="clear" w:pos="1080"/>
          <w:tab w:val="num" w:pos="1020"/>
        </w:tabs>
        <w:ind w:left="1020" w:hanging="660"/>
        <w:rPr>
          <w:sz w:val="24"/>
          <w:szCs w:val="24"/>
        </w:rPr>
      </w:pPr>
      <w:r w:rsidRPr="000605EE">
        <w:rPr>
          <w:sz w:val="24"/>
          <w:szCs w:val="24"/>
        </w:rPr>
        <w:t xml:space="preserve">The assessment shall take place periodically starting </w:t>
      </w:r>
      <w:r w:rsidR="001235D4">
        <w:rPr>
          <w:sz w:val="24"/>
          <w:szCs w:val="24"/>
        </w:rPr>
        <w:t>4</w:t>
      </w:r>
      <w:r w:rsidRPr="000605EE">
        <w:rPr>
          <w:sz w:val="24"/>
          <w:szCs w:val="24"/>
        </w:rPr>
        <w:t xml:space="preserve"> years from the date of the commencement of any </w:t>
      </w:r>
      <w:proofErr w:type="spellStart"/>
      <w:r w:rsidRPr="000605EE">
        <w:rPr>
          <w:sz w:val="24"/>
          <w:szCs w:val="24"/>
        </w:rPr>
        <w:t>HFC</w:t>
      </w:r>
      <w:proofErr w:type="spellEnd"/>
      <w:r w:rsidRPr="000605EE">
        <w:rPr>
          <w:sz w:val="24"/>
          <w:szCs w:val="24"/>
        </w:rPr>
        <w:t xml:space="preserve"> freeze or other initial control obligation</w:t>
      </w:r>
      <w:r w:rsidR="009041B1" w:rsidRPr="000605EE">
        <w:rPr>
          <w:sz w:val="24"/>
          <w:szCs w:val="24"/>
        </w:rPr>
        <w:t xml:space="preserve"> and every</w:t>
      </w:r>
      <w:r w:rsidR="001235D4">
        <w:rPr>
          <w:sz w:val="24"/>
          <w:szCs w:val="24"/>
        </w:rPr>
        <w:t xml:space="preserve"> 4</w:t>
      </w:r>
      <w:r w:rsidRPr="000605EE">
        <w:rPr>
          <w:sz w:val="24"/>
          <w:szCs w:val="24"/>
        </w:rPr>
        <w:t xml:space="preserve"> years thereafter.</w:t>
      </w:r>
    </w:p>
    <w:p w14:paraId="59D7247A" w14:textId="5CC42981" w:rsidR="00E573C8" w:rsidRDefault="00B823DC" w:rsidP="00930D80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0605EE">
        <w:rPr>
          <w:sz w:val="24"/>
          <w:szCs w:val="24"/>
        </w:rPr>
        <w:t xml:space="preserve">The Parties shall review, no later than the year following receipt of the </w:t>
      </w:r>
      <w:proofErr w:type="spellStart"/>
      <w:r w:rsidRPr="000605EE">
        <w:rPr>
          <w:sz w:val="24"/>
          <w:szCs w:val="24"/>
        </w:rPr>
        <w:t>TEAP</w:t>
      </w:r>
      <w:proofErr w:type="spellEnd"/>
      <w:r w:rsidRPr="000605EE">
        <w:rPr>
          <w:sz w:val="24"/>
          <w:szCs w:val="24"/>
        </w:rPr>
        <w:t xml:space="preserve"> report on suitability of alternatives, the need for an extension of this exemption for specific sub-sectors for a further period</w:t>
      </w:r>
      <w:r w:rsidR="009041B1" w:rsidRPr="000605EE">
        <w:rPr>
          <w:sz w:val="24"/>
          <w:szCs w:val="24"/>
        </w:rPr>
        <w:t>(s)</w:t>
      </w:r>
      <w:r w:rsidRPr="000605EE">
        <w:rPr>
          <w:sz w:val="24"/>
          <w:szCs w:val="24"/>
        </w:rPr>
        <w:t xml:space="preserve"> of up to </w:t>
      </w:r>
      <w:r w:rsidR="001235D4">
        <w:rPr>
          <w:sz w:val="24"/>
          <w:szCs w:val="24"/>
        </w:rPr>
        <w:t>4</w:t>
      </w:r>
      <w:r w:rsidRPr="000605EE">
        <w:rPr>
          <w:sz w:val="24"/>
          <w:szCs w:val="24"/>
        </w:rPr>
        <w:t xml:space="preserve"> years, and periodically thereafter.  </w:t>
      </w:r>
      <w:r w:rsidR="00632B34">
        <w:rPr>
          <w:sz w:val="24"/>
          <w:szCs w:val="24"/>
        </w:rPr>
        <w:t xml:space="preserve">The Parties shall develop an expedited process to ensure the renewal of the exemption </w:t>
      </w:r>
      <w:r w:rsidR="00D256AE">
        <w:rPr>
          <w:sz w:val="24"/>
          <w:szCs w:val="24"/>
        </w:rPr>
        <w:t>i</w:t>
      </w:r>
      <w:r w:rsidR="00B77DB1">
        <w:rPr>
          <w:sz w:val="24"/>
          <w:szCs w:val="24"/>
        </w:rPr>
        <w:t>n</w:t>
      </w:r>
      <w:r w:rsidR="00632B34">
        <w:rPr>
          <w:sz w:val="24"/>
          <w:szCs w:val="24"/>
        </w:rPr>
        <w:t xml:space="preserve"> a timely manner where there are no feasible alternatives, taking</w:t>
      </w:r>
      <w:r w:rsidR="000D3170">
        <w:rPr>
          <w:sz w:val="24"/>
          <w:szCs w:val="24"/>
        </w:rPr>
        <w:t xml:space="preserve"> into</w:t>
      </w:r>
      <w:r w:rsidR="00A8414F">
        <w:rPr>
          <w:sz w:val="24"/>
          <w:szCs w:val="24"/>
        </w:rPr>
        <w:t xml:space="preserve"> </w:t>
      </w:r>
      <w:r w:rsidR="00632B34">
        <w:rPr>
          <w:sz w:val="24"/>
          <w:szCs w:val="24"/>
        </w:rPr>
        <w:t xml:space="preserve">account the recommendation of the </w:t>
      </w:r>
      <w:proofErr w:type="spellStart"/>
      <w:r w:rsidR="00632B34">
        <w:rPr>
          <w:sz w:val="24"/>
          <w:szCs w:val="24"/>
        </w:rPr>
        <w:t>TEAP</w:t>
      </w:r>
      <w:proofErr w:type="spellEnd"/>
      <w:r w:rsidR="00632B34">
        <w:rPr>
          <w:sz w:val="24"/>
          <w:szCs w:val="24"/>
        </w:rPr>
        <w:t xml:space="preserve"> and its subsidiary body</w:t>
      </w:r>
      <w:r w:rsidR="001235D4">
        <w:rPr>
          <w:sz w:val="24"/>
          <w:szCs w:val="24"/>
        </w:rPr>
        <w:t>.</w:t>
      </w:r>
      <w:r w:rsidR="007200E4" w:rsidRPr="000605EE">
        <w:rPr>
          <w:sz w:val="24"/>
          <w:szCs w:val="24"/>
        </w:rPr>
        <w:t xml:space="preserve"> </w:t>
      </w:r>
      <w:r w:rsidR="0066567C">
        <w:rPr>
          <w:sz w:val="24"/>
          <w:szCs w:val="24"/>
        </w:rPr>
        <w:t xml:space="preserve"> </w:t>
      </w:r>
    </w:p>
    <w:p w14:paraId="0BF0271C" w14:textId="7197EB1B" w:rsidR="000D3170" w:rsidRPr="00903808" w:rsidRDefault="000D3170" w:rsidP="000D3170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903808">
        <w:rPr>
          <w:sz w:val="24"/>
          <w:szCs w:val="24"/>
        </w:rPr>
        <w:t>Amounts of Annex F substances that are subject to the HAT exemption are not eligible for funding under the Multilateral Fund while they are exempted for</w:t>
      </w:r>
      <w:r w:rsidR="00903808" w:rsidRPr="00903808">
        <w:rPr>
          <w:sz w:val="24"/>
          <w:szCs w:val="24"/>
        </w:rPr>
        <w:t xml:space="preserve"> that Party</w:t>
      </w:r>
      <w:r w:rsidR="00D256AE" w:rsidRPr="00903808">
        <w:rPr>
          <w:sz w:val="24"/>
          <w:szCs w:val="24"/>
        </w:rPr>
        <w:t>.</w:t>
      </w:r>
    </w:p>
    <w:p w14:paraId="5E700B56" w14:textId="733E1D89" w:rsidR="00835195" w:rsidRPr="000D3170" w:rsidRDefault="000D3170" w:rsidP="00D256AE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0D3170">
        <w:rPr>
          <w:sz w:val="24"/>
          <w:szCs w:val="24"/>
        </w:rPr>
        <w:t>That the Implementation Committee and Meeting of the Parties should, for</w:t>
      </w:r>
      <w:r w:rsidR="00123463">
        <w:rPr>
          <w:sz w:val="24"/>
          <w:szCs w:val="24"/>
        </w:rPr>
        <w:t xml:space="preserve"> </w:t>
      </w:r>
      <w:r w:rsidR="00C44BFD">
        <w:rPr>
          <w:sz w:val="24"/>
          <w:szCs w:val="24"/>
        </w:rPr>
        <w:t>2025</w:t>
      </w:r>
      <w:r w:rsidRPr="000D3170">
        <w:rPr>
          <w:sz w:val="24"/>
          <w:szCs w:val="24"/>
        </w:rPr>
        <w:t xml:space="preserve"> and 202</w:t>
      </w:r>
      <w:r w:rsidR="00C44BFD">
        <w:rPr>
          <w:sz w:val="24"/>
          <w:szCs w:val="24"/>
        </w:rPr>
        <w:t>6</w:t>
      </w:r>
      <w:r w:rsidRPr="000D3170">
        <w:rPr>
          <w:sz w:val="24"/>
          <w:szCs w:val="24"/>
        </w:rPr>
        <w:t xml:space="preserve">, defer the consideration of the </w:t>
      </w:r>
      <w:proofErr w:type="spellStart"/>
      <w:r w:rsidRPr="000D3170">
        <w:rPr>
          <w:sz w:val="24"/>
          <w:szCs w:val="24"/>
        </w:rPr>
        <w:t>HCFC</w:t>
      </w:r>
      <w:proofErr w:type="spellEnd"/>
      <w:r w:rsidRPr="000D3170">
        <w:rPr>
          <w:sz w:val="24"/>
          <w:szCs w:val="24"/>
        </w:rPr>
        <w:t xml:space="preserve"> compliance status of any party operating under a high ambient temperature exemption in cases where it has exceeded its allowable consumption or production levels due to its HCFC-22 consumption or production for the sub-sectors listed in Annex [X], on the condition that the Parties concerned follow the </w:t>
      </w:r>
      <w:proofErr w:type="spellStart"/>
      <w:r w:rsidRPr="000D3170">
        <w:rPr>
          <w:sz w:val="24"/>
          <w:szCs w:val="24"/>
        </w:rPr>
        <w:t>phaseout</w:t>
      </w:r>
      <w:proofErr w:type="spellEnd"/>
      <w:r w:rsidRPr="000D3170">
        <w:rPr>
          <w:sz w:val="24"/>
          <w:szCs w:val="24"/>
        </w:rPr>
        <w:t xml:space="preserve"> schedule for consumption and production of </w:t>
      </w:r>
      <w:proofErr w:type="spellStart"/>
      <w:r w:rsidRPr="000D3170">
        <w:rPr>
          <w:sz w:val="24"/>
          <w:szCs w:val="24"/>
        </w:rPr>
        <w:t>HCFCs</w:t>
      </w:r>
      <w:proofErr w:type="spellEnd"/>
      <w:r w:rsidRPr="000D3170">
        <w:rPr>
          <w:sz w:val="24"/>
          <w:szCs w:val="24"/>
        </w:rPr>
        <w:t xml:space="preserve"> for other sectors, and the Party has formally requested a deferral through the Secretariat</w:t>
      </w:r>
      <w:r w:rsidR="00295049" w:rsidRPr="000D3170">
        <w:rPr>
          <w:rFonts w:cs="Times New Roman"/>
          <w:color w:val="auto"/>
          <w:sz w:val="24"/>
          <w:szCs w:val="24"/>
          <w:bdr w:val="none" w:sz="0" w:space="0" w:color="auto"/>
        </w:rPr>
        <w:t>.</w:t>
      </w:r>
    </w:p>
    <w:p w14:paraId="5BC66C1F" w14:textId="64C1E7D3" w:rsidR="009737B1" w:rsidRPr="009737B1" w:rsidRDefault="009737B1" w:rsidP="009737B1">
      <w:pPr>
        <w:pStyle w:val="ListParagraph"/>
        <w:numPr>
          <w:ilvl w:val="0"/>
          <w:numId w:val="3"/>
        </w:numPr>
        <w:tabs>
          <w:tab w:val="clear" w:pos="1080"/>
          <w:tab w:val="num" w:pos="1020"/>
        </w:tabs>
        <w:ind w:left="1020" w:hanging="660"/>
        <w:rPr>
          <w:sz w:val="24"/>
          <w:szCs w:val="24"/>
        </w:rPr>
      </w:pPr>
      <w:r w:rsidRPr="009737B1">
        <w:rPr>
          <w:sz w:val="24"/>
          <w:szCs w:val="24"/>
        </w:rPr>
        <w:t xml:space="preserve">Parties </w:t>
      </w:r>
      <w:r w:rsidR="00F5098B">
        <w:rPr>
          <w:sz w:val="24"/>
          <w:szCs w:val="24"/>
        </w:rPr>
        <w:t>should consider no later than 202</w:t>
      </w:r>
      <w:r w:rsidR="00111FFC">
        <w:rPr>
          <w:sz w:val="24"/>
          <w:szCs w:val="24"/>
        </w:rPr>
        <w:t>6</w:t>
      </w:r>
      <w:r>
        <w:rPr>
          <w:sz w:val="24"/>
          <w:szCs w:val="24"/>
        </w:rPr>
        <w:t xml:space="preserve"> whether to </w:t>
      </w:r>
      <w:r w:rsidR="00F5098B">
        <w:rPr>
          <w:sz w:val="24"/>
          <w:szCs w:val="24"/>
        </w:rPr>
        <w:t>extend the compliance deferral in paragraph XI for an additional period of two years, and may consider further deferrals thereafter</w:t>
      </w:r>
      <w:r w:rsidR="009852D2">
        <w:rPr>
          <w:sz w:val="24"/>
          <w:szCs w:val="24"/>
        </w:rPr>
        <w:t>, if appropriate,</w:t>
      </w:r>
      <w:r w:rsidR="00F5098B">
        <w:rPr>
          <w:sz w:val="24"/>
          <w:szCs w:val="24"/>
        </w:rPr>
        <w:t xml:space="preserve"> for countries operating under the high ambient temperature exemption</w:t>
      </w:r>
      <w:r>
        <w:rPr>
          <w:sz w:val="24"/>
          <w:szCs w:val="24"/>
        </w:rPr>
        <w:t xml:space="preserve">.  </w:t>
      </w:r>
    </w:p>
    <w:p w14:paraId="17243CEC" w14:textId="77777777" w:rsidR="00A63545" w:rsidRPr="00394EA9" w:rsidRDefault="00A63545" w:rsidP="00A63545">
      <w:pPr>
        <w:pStyle w:val="NormalWeb"/>
        <w:shd w:val="clear" w:color="auto" w:fill="FFFFFF"/>
        <w:spacing w:after="160"/>
        <w:ind w:left="360"/>
        <w:rPr>
          <w:rFonts w:ascii="Calibri" w:hAnsi="Calibri"/>
          <w:b/>
        </w:rPr>
      </w:pPr>
      <w:r w:rsidRPr="00394EA9">
        <w:rPr>
          <w:rFonts w:ascii="Calibri" w:hAnsi="Calibri"/>
          <w:b/>
        </w:rPr>
        <w:t>Annex [X]: List of Exempted Equipment for High Ambient Temperatures</w:t>
      </w:r>
    </w:p>
    <w:p w14:paraId="6441E45C" w14:textId="5269CCA9" w:rsidR="00A63545" w:rsidRPr="00394EA9" w:rsidRDefault="00A63545" w:rsidP="00A63545">
      <w:pPr>
        <w:pStyle w:val="NormalWeb"/>
        <w:numPr>
          <w:ilvl w:val="0"/>
          <w:numId w:val="7"/>
        </w:numPr>
        <w:shd w:val="clear" w:color="auto" w:fill="FFFFFF"/>
        <w:spacing w:after="160"/>
        <w:rPr>
          <w:rFonts w:ascii="Calibri" w:hAnsi="Calibri"/>
        </w:rPr>
      </w:pPr>
      <w:r w:rsidRPr="00394EA9">
        <w:rPr>
          <w:rFonts w:ascii="Calibri" w:hAnsi="Calibri"/>
        </w:rPr>
        <w:t>Multi-split air conditioners for commercial and residential</w:t>
      </w:r>
    </w:p>
    <w:p w14:paraId="4EE287F3" w14:textId="77777777" w:rsidR="00A63545" w:rsidRPr="00394EA9" w:rsidRDefault="00A63545" w:rsidP="00A63545">
      <w:pPr>
        <w:pStyle w:val="NormalWeb"/>
        <w:numPr>
          <w:ilvl w:val="0"/>
          <w:numId w:val="7"/>
        </w:numPr>
        <w:shd w:val="clear" w:color="auto" w:fill="FFFFFF"/>
        <w:spacing w:after="160"/>
        <w:rPr>
          <w:rFonts w:ascii="Calibri" w:hAnsi="Calibri"/>
        </w:rPr>
      </w:pPr>
      <w:r w:rsidRPr="00394EA9">
        <w:rPr>
          <w:rFonts w:ascii="Calibri" w:hAnsi="Calibri"/>
        </w:rPr>
        <w:t>Split ducted air conditioners (residential and commercial)</w:t>
      </w:r>
    </w:p>
    <w:p w14:paraId="63866239" w14:textId="77777777" w:rsidR="00A63545" w:rsidRPr="00394EA9" w:rsidRDefault="00A63545" w:rsidP="00C77523">
      <w:pPr>
        <w:pStyle w:val="NormalWeb"/>
        <w:numPr>
          <w:ilvl w:val="0"/>
          <w:numId w:val="7"/>
        </w:numPr>
        <w:shd w:val="clear" w:color="auto" w:fill="FFFFFF"/>
        <w:spacing w:after="160"/>
        <w:rPr>
          <w:rFonts w:ascii="Calibri" w:hAnsi="Calibri"/>
        </w:rPr>
      </w:pPr>
      <w:r w:rsidRPr="00C07743">
        <w:rPr>
          <w:rFonts w:ascii="Calibri" w:hAnsi="Calibri"/>
        </w:rPr>
        <w:t>Ducted commercial packaged (self-contained) air conditioners</w:t>
      </w:r>
    </w:p>
    <w:sectPr w:rsidR="00A63545" w:rsidRPr="00394EA9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34B81" w14:textId="77777777" w:rsidR="00784952" w:rsidRDefault="00784952">
      <w:r>
        <w:separator/>
      </w:r>
    </w:p>
  </w:endnote>
  <w:endnote w:type="continuationSeparator" w:id="0">
    <w:p w14:paraId="462D1535" w14:textId="77777777" w:rsidR="00784952" w:rsidRDefault="00784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482D53" w14:textId="77777777" w:rsidR="00784952" w:rsidRDefault="00784952">
      <w:r>
        <w:separator/>
      </w:r>
    </w:p>
  </w:footnote>
  <w:footnote w:type="continuationSeparator" w:id="0">
    <w:p w14:paraId="54EF408B" w14:textId="77777777" w:rsidR="00784952" w:rsidRDefault="00784952">
      <w:r>
        <w:continuationSeparator/>
      </w:r>
    </w:p>
  </w:footnote>
  <w:footnote w:type="continuationNotice" w:id="1">
    <w:p w14:paraId="0A7F312F" w14:textId="77777777" w:rsidR="00784952" w:rsidRDefault="00784952"/>
  </w:footnote>
  <w:footnote w:id="2">
    <w:p w14:paraId="57EB4C7F" w14:textId="77777777" w:rsidR="000D3170" w:rsidRDefault="000D3170" w:rsidP="000D3170">
      <w:pPr>
        <w:pStyle w:val="FootnoteText"/>
      </w:pPr>
      <w:r>
        <w:rPr>
          <w:rStyle w:val="FootnoteReference"/>
        </w:rPr>
        <w:footnoteRef/>
      </w:r>
      <w:r>
        <w:t xml:space="preserve"> S</w:t>
      </w:r>
      <w:r w:rsidRPr="00506672">
        <w:t>pa</w:t>
      </w:r>
      <w:r>
        <w:t xml:space="preserve">tially weighted average </w:t>
      </w:r>
      <w:r w:rsidRPr="00506672">
        <w:t>temperatures deriv</w:t>
      </w:r>
      <w:r>
        <w:t xml:space="preserve">ing the daily highest </w:t>
      </w:r>
      <w:r w:rsidRPr="00506672">
        <w:t>temperature</w:t>
      </w:r>
      <w:r>
        <w:t>s (using</w:t>
      </w:r>
      <w:r w:rsidRPr="00506672">
        <w:t xml:space="preserve"> the Centre for Environmental D</w:t>
      </w:r>
      <w:r>
        <w:t xml:space="preserve">ata Archival: </w:t>
      </w:r>
      <w:r w:rsidR="00D50A8E">
        <w:fldChar w:fldCharType="begin"/>
      </w:r>
      <w:r w:rsidR="00D50A8E">
        <w:instrText xml:space="preserve"> HYPERLINK "http://browse.ceda.ac.uk/browse/badc/cru/data/cru_cy/cru_cy_3.22/data/tmx" \t "_blank" </w:instrText>
      </w:r>
      <w:r w:rsidR="00D50A8E">
        <w:fldChar w:fldCharType="separate"/>
      </w:r>
      <w:r w:rsidRPr="00506672">
        <w:rPr>
          <w:rStyle w:val="Hyperlink"/>
        </w:rPr>
        <w:t>http://browse.ceda.ac.uk/browse/badc/cru/data/cru_cy/cru_cy_3.22/data/tmx</w:t>
      </w:r>
      <w:r w:rsidR="00D50A8E">
        <w:rPr>
          <w:rStyle w:val="Hyperlink"/>
        </w:rPr>
        <w:fldChar w:fldCharType="end"/>
      </w:r>
    </w:p>
  </w:footnote>
  <w:footnote w:id="3">
    <w:p w14:paraId="4BD2ECDB" w14:textId="62E37467" w:rsidR="00835195" w:rsidRDefault="00B823DC">
      <w:pPr>
        <w:pStyle w:val="FootnoteText"/>
      </w:pPr>
      <w:r>
        <w:rPr>
          <w:sz w:val="24"/>
          <w:szCs w:val="24"/>
          <w:vertAlign w:val="superscript"/>
        </w:rPr>
        <w:footnoteRef/>
      </w:r>
      <w:r>
        <w:t xml:space="preserve"> </w:t>
      </w:r>
      <w:proofErr w:type="gramStart"/>
      <w:r>
        <w:t>inse</w:t>
      </w:r>
      <w:r w:rsidR="004743DB">
        <w:t>rt</w:t>
      </w:r>
      <w:proofErr w:type="gramEnd"/>
      <w:r w:rsidR="004743DB">
        <w:t xml:space="preserve"> criteria from XXVI/9 </w:t>
      </w:r>
      <w:proofErr w:type="spellStart"/>
      <w:r w:rsidR="004743DB">
        <w:t>para</w:t>
      </w:r>
      <w:proofErr w:type="spellEnd"/>
      <w:r w:rsidR="004743DB">
        <w:t xml:space="preserve"> </w:t>
      </w:r>
      <w:r>
        <w:t>(1)</w:t>
      </w:r>
      <w:r w:rsidR="004743DB">
        <w:t>(a)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82B40"/>
    <w:multiLevelType w:val="multilevel"/>
    <w:tmpl w:val="BEF6627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position w:val="0"/>
        <w:sz w:val="24"/>
        <w:szCs w:val="24"/>
        <w:rtl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  <w:rtl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position w:val="0"/>
        <w:sz w:val="24"/>
        <w:szCs w:val="24"/>
        <w:rtl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  <w:rtl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  <w:rtl w:val="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position w:val="0"/>
        <w:sz w:val="24"/>
        <w:szCs w:val="24"/>
        <w:rtl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  <w:rtl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  <w:rtl w:val="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position w:val="0"/>
        <w:sz w:val="24"/>
        <w:szCs w:val="24"/>
        <w:rtl w:val="0"/>
      </w:rPr>
    </w:lvl>
  </w:abstractNum>
  <w:abstractNum w:abstractNumId="1">
    <w:nsid w:val="08F66E63"/>
    <w:multiLevelType w:val="hybridMultilevel"/>
    <w:tmpl w:val="288029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B5EDF"/>
    <w:multiLevelType w:val="hybridMultilevel"/>
    <w:tmpl w:val="D8AAA5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721837"/>
    <w:multiLevelType w:val="multilevel"/>
    <w:tmpl w:val="38B28F8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  <w:position w:val="0"/>
        <w:sz w:val="24"/>
        <w:szCs w:val="24"/>
        <w:rtl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  <w:rtl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position w:val="0"/>
        <w:sz w:val="24"/>
        <w:szCs w:val="24"/>
        <w:rtl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  <w:rtl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  <w:rtl w:val="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position w:val="0"/>
        <w:sz w:val="24"/>
        <w:szCs w:val="24"/>
        <w:rtl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  <w:rtl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  <w:rtl w:val="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position w:val="0"/>
        <w:sz w:val="24"/>
        <w:szCs w:val="24"/>
        <w:rtl w:val="0"/>
      </w:rPr>
    </w:lvl>
  </w:abstractNum>
  <w:abstractNum w:abstractNumId="4">
    <w:nsid w:val="386A6DEC"/>
    <w:multiLevelType w:val="multilevel"/>
    <w:tmpl w:val="727C72E4"/>
    <w:lvl w:ilvl="0">
      <w:start w:val="1"/>
      <w:numFmt w:val="upperRoman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5">
    <w:nsid w:val="72364E13"/>
    <w:multiLevelType w:val="hybridMultilevel"/>
    <w:tmpl w:val="03E25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5B29FB"/>
    <w:multiLevelType w:val="multilevel"/>
    <w:tmpl w:val="62780766"/>
    <w:styleLink w:val="List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position w:val="0"/>
        <w:sz w:val="24"/>
        <w:szCs w:val="24"/>
        <w:rtl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  <w:rtl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position w:val="0"/>
        <w:sz w:val="24"/>
        <w:szCs w:val="24"/>
        <w:rtl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  <w:rtl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  <w:rtl w:val="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position w:val="0"/>
        <w:sz w:val="24"/>
        <w:szCs w:val="24"/>
        <w:rtl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  <w:rtl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  <w:rtl w:val="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position w:val="0"/>
        <w:sz w:val="24"/>
        <w:szCs w:val="24"/>
        <w:rtl w:val="0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195"/>
    <w:rsid w:val="000605EE"/>
    <w:rsid w:val="00066F55"/>
    <w:rsid w:val="00081238"/>
    <w:rsid w:val="000A5F59"/>
    <w:rsid w:val="000D3170"/>
    <w:rsid w:val="001042B9"/>
    <w:rsid w:val="00111FFC"/>
    <w:rsid w:val="00123463"/>
    <w:rsid w:val="001235D4"/>
    <w:rsid w:val="00140E99"/>
    <w:rsid w:val="0014400F"/>
    <w:rsid w:val="001444CA"/>
    <w:rsid w:val="00192873"/>
    <w:rsid w:val="00214DC5"/>
    <w:rsid w:val="0028307E"/>
    <w:rsid w:val="00286AF6"/>
    <w:rsid w:val="00295049"/>
    <w:rsid w:val="002A7DC8"/>
    <w:rsid w:val="002E19CC"/>
    <w:rsid w:val="00394EA9"/>
    <w:rsid w:val="003B0216"/>
    <w:rsid w:val="00417967"/>
    <w:rsid w:val="00456A48"/>
    <w:rsid w:val="004743DB"/>
    <w:rsid w:val="00484229"/>
    <w:rsid w:val="00506672"/>
    <w:rsid w:val="00512632"/>
    <w:rsid w:val="006018AF"/>
    <w:rsid w:val="00613BD4"/>
    <w:rsid w:val="00613BE4"/>
    <w:rsid w:val="0062486D"/>
    <w:rsid w:val="00632B34"/>
    <w:rsid w:val="0066567C"/>
    <w:rsid w:val="006C01AC"/>
    <w:rsid w:val="006C0BC9"/>
    <w:rsid w:val="006E14F4"/>
    <w:rsid w:val="007200E4"/>
    <w:rsid w:val="00784952"/>
    <w:rsid w:val="00784E8E"/>
    <w:rsid w:val="00831DF8"/>
    <w:rsid w:val="00835195"/>
    <w:rsid w:val="008609CE"/>
    <w:rsid w:val="008E63F1"/>
    <w:rsid w:val="00903808"/>
    <w:rsid w:val="009041B1"/>
    <w:rsid w:val="00916B36"/>
    <w:rsid w:val="00930D80"/>
    <w:rsid w:val="009737B1"/>
    <w:rsid w:val="009852D2"/>
    <w:rsid w:val="009A1C35"/>
    <w:rsid w:val="009B4D90"/>
    <w:rsid w:val="009F5B20"/>
    <w:rsid w:val="00A138DB"/>
    <w:rsid w:val="00A544A8"/>
    <w:rsid w:val="00A63545"/>
    <w:rsid w:val="00A659E1"/>
    <w:rsid w:val="00A80A5F"/>
    <w:rsid w:val="00A8414F"/>
    <w:rsid w:val="00B16E6E"/>
    <w:rsid w:val="00B623B0"/>
    <w:rsid w:val="00B673B2"/>
    <w:rsid w:val="00B77DB1"/>
    <w:rsid w:val="00B823DC"/>
    <w:rsid w:val="00B92797"/>
    <w:rsid w:val="00BB32C9"/>
    <w:rsid w:val="00BF6608"/>
    <w:rsid w:val="00C07743"/>
    <w:rsid w:val="00C44BFD"/>
    <w:rsid w:val="00C67790"/>
    <w:rsid w:val="00C80F43"/>
    <w:rsid w:val="00C94E62"/>
    <w:rsid w:val="00CB4304"/>
    <w:rsid w:val="00CB66E8"/>
    <w:rsid w:val="00CD6F9A"/>
    <w:rsid w:val="00D256AE"/>
    <w:rsid w:val="00D50A8E"/>
    <w:rsid w:val="00D76C8C"/>
    <w:rsid w:val="00E1105F"/>
    <w:rsid w:val="00E26396"/>
    <w:rsid w:val="00E573C8"/>
    <w:rsid w:val="00E91C22"/>
    <w:rsid w:val="00EB0E75"/>
    <w:rsid w:val="00EC066E"/>
    <w:rsid w:val="00EC1D3F"/>
    <w:rsid w:val="00ED7958"/>
    <w:rsid w:val="00F15C12"/>
    <w:rsid w:val="00F5098B"/>
    <w:rsid w:val="00F74F83"/>
    <w:rsid w:val="00F919C3"/>
    <w:rsid w:val="00FC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23A0E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ListParagraph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0">
    <w:name w:val="List 0"/>
    <w:basedOn w:val="ImportedStyle1"/>
    <w:pPr>
      <w:numPr>
        <w:numId w:val="3"/>
      </w:numPr>
    </w:pPr>
  </w:style>
  <w:style w:type="numbering" w:customStyle="1" w:styleId="ImportedStyle1">
    <w:name w:val="Imported Style 1"/>
  </w:style>
  <w:style w:type="paragraph" w:styleId="FootnoteText">
    <w:name w:val="footnote text"/>
    <w:rPr>
      <w:rFonts w:ascii="Calibri" w:eastAsia="Calibri" w:hAnsi="Calibri" w:cs="Calibri"/>
      <w:color w:val="000000"/>
      <w:u w:color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2E19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19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19C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19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19C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19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9C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D6F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6F9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6F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6F9A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A544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Theme="minorHAnsi"/>
      <w:bdr w:val="none" w:sz="0" w:space="0" w:color="auto"/>
    </w:rPr>
  </w:style>
  <w:style w:type="paragraph" w:styleId="Revision">
    <w:name w:val="Revision"/>
    <w:hidden/>
    <w:uiPriority w:val="99"/>
    <w:semiHidden/>
    <w:rsid w:val="00B77DB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506672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ListParagraph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0">
    <w:name w:val="List 0"/>
    <w:basedOn w:val="ImportedStyle1"/>
    <w:pPr>
      <w:numPr>
        <w:numId w:val="3"/>
      </w:numPr>
    </w:pPr>
  </w:style>
  <w:style w:type="numbering" w:customStyle="1" w:styleId="ImportedStyle1">
    <w:name w:val="Imported Style 1"/>
  </w:style>
  <w:style w:type="paragraph" w:styleId="FootnoteText">
    <w:name w:val="footnote text"/>
    <w:rPr>
      <w:rFonts w:ascii="Calibri" w:eastAsia="Calibri" w:hAnsi="Calibri" w:cs="Calibri"/>
      <w:color w:val="000000"/>
      <w:u w:color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2E19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19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19C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19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19C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19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9C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D6F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6F9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6F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6F9A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A544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Theme="minorHAnsi"/>
      <w:bdr w:val="none" w:sz="0" w:space="0" w:color="auto"/>
    </w:rPr>
  </w:style>
  <w:style w:type="paragraph" w:styleId="Revision">
    <w:name w:val="Revision"/>
    <w:hidden/>
    <w:uiPriority w:val="99"/>
    <w:semiHidden/>
    <w:rsid w:val="00B77DB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5066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15000"/>
          </a:lnSpc>
          <a:spcBef>
            <a:spcPts val="100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3EB2BC83AA7E4E8B4C85BBF6A8766D" ma:contentTypeVersion="" ma:contentTypeDescription="Create a new document." ma:contentTypeScope="" ma:versionID="5d455431d7f39d51dcb521fd4f44660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CE2FA7-F0D9-4786-A8F7-A39306133A96}"/>
</file>

<file path=customXml/itemProps2.xml><?xml version="1.0" encoding="utf-8"?>
<ds:datastoreItem xmlns:ds="http://schemas.openxmlformats.org/officeDocument/2006/customXml" ds:itemID="{AA36400D-B509-43EF-A989-91E954150C74}"/>
</file>

<file path=customXml/itemProps3.xml><?xml version="1.0" encoding="utf-8"?>
<ds:datastoreItem xmlns:ds="http://schemas.openxmlformats.org/officeDocument/2006/customXml" ds:itemID="{4E87FC6F-10AF-A946-8B2F-E501C8A0D0C6}"/>
</file>

<file path=customXml/itemProps4.xml><?xml version="1.0" encoding="utf-8"?>
<ds:datastoreItem xmlns:ds="http://schemas.openxmlformats.org/officeDocument/2006/customXml" ds:itemID="{7A00FCA4-2F03-40C9-A857-7732E1C7346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597</Words>
  <Characters>3407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 S Department of State</Company>
  <LinksUpToDate>false</LinksUpToDate>
  <CharactersWithSpaces>3997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Clark, Andrew D</dc:creator>
  <cp:lastModifiedBy>meg seki</cp:lastModifiedBy>
  <cp:revision>2</cp:revision>
  <dcterms:created xsi:type="dcterms:W3CDTF">2016-04-06T20:06:00Z</dcterms:created>
  <dcterms:modified xsi:type="dcterms:W3CDTF">2016-04-06T20:06:00Z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0x0101007E3EB2BC83AA7E4E8B4C85BBF6A8766D</vt:lpwstr>
  </property>
</Properties>
</file>