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4036" w:type="pct"/>
        <w:tblLook w:val="04A0" w:firstRow="1" w:lastRow="0" w:firstColumn="1" w:lastColumn="0" w:noHBand="0" w:noVBand="1"/>
      </w:tblPr>
      <w:tblGrid>
        <w:gridCol w:w="1834"/>
        <w:gridCol w:w="3216"/>
        <w:gridCol w:w="2993"/>
        <w:gridCol w:w="3216"/>
      </w:tblGrid>
      <w:tr w:rsidR="00C92AF3" w:rsidRPr="0012141C" w:rsidTr="00C92AF3">
        <w:trPr>
          <w:trHeight w:val="256"/>
        </w:trPr>
        <w:tc>
          <w:tcPr>
            <w:tcW w:w="814" w:type="pct"/>
            <w:shd w:val="clear" w:color="auto" w:fill="C5E0B3" w:themeFill="accent6" w:themeFillTint="66"/>
          </w:tcPr>
          <w:p w:rsidR="00C92AF3" w:rsidRPr="0012141C" w:rsidRDefault="00C92AF3" w:rsidP="009F01AA">
            <w:pPr>
              <w:rPr>
                <w:b/>
              </w:rPr>
            </w:pPr>
          </w:p>
        </w:tc>
        <w:tc>
          <w:tcPr>
            <w:tcW w:w="1428" w:type="pct"/>
            <w:shd w:val="clear" w:color="auto" w:fill="BDD6EE" w:themeFill="accent1" w:themeFillTint="66"/>
          </w:tcPr>
          <w:p w:rsidR="00C92AF3" w:rsidRPr="0012141C" w:rsidRDefault="00C92AF3" w:rsidP="009F01AA">
            <w:pPr>
              <w:rPr>
                <w:b/>
                <w:i/>
              </w:rPr>
            </w:pPr>
            <w:r>
              <w:rPr>
                <w:b/>
                <w:i/>
              </w:rPr>
              <w:t>A5 Group 1</w:t>
            </w:r>
          </w:p>
        </w:tc>
        <w:tc>
          <w:tcPr>
            <w:tcW w:w="1329" w:type="pct"/>
            <w:shd w:val="clear" w:color="auto" w:fill="F4B083" w:themeFill="accent2" w:themeFillTint="99"/>
          </w:tcPr>
          <w:p w:rsidR="00C92AF3" w:rsidRPr="0012141C" w:rsidRDefault="00C92AF3" w:rsidP="009F01AA">
            <w:pPr>
              <w:rPr>
                <w:b/>
                <w:i/>
              </w:rPr>
            </w:pPr>
            <w:r w:rsidRPr="0012141C">
              <w:rPr>
                <w:b/>
                <w:i/>
              </w:rPr>
              <w:t>A5 Group 2</w:t>
            </w:r>
          </w:p>
        </w:tc>
        <w:tc>
          <w:tcPr>
            <w:tcW w:w="1428" w:type="pct"/>
            <w:shd w:val="clear" w:color="auto" w:fill="BDD6EE" w:themeFill="accent1" w:themeFillTint="66"/>
          </w:tcPr>
          <w:p w:rsidR="00C92AF3" w:rsidRPr="0012141C" w:rsidRDefault="00C92AF3" w:rsidP="009F01AA">
            <w:pPr>
              <w:rPr>
                <w:b/>
              </w:rPr>
            </w:pPr>
            <w:r>
              <w:rPr>
                <w:b/>
              </w:rPr>
              <w:t xml:space="preserve">A2 </w:t>
            </w:r>
          </w:p>
        </w:tc>
      </w:tr>
      <w:tr w:rsidR="00C92AF3" w:rsidTr="00C92AF3">
        <w:trPr>
          <w:trHeight w:val="256"/>
        </w:trPr>
        <w:tc>
          <w:tcPr>
            <w:tcW w:w="814" w:type="pct"/>
            <w:shd w:val="clear" w:color="auto" w:fill="C5E0B3" w:themeFill="accent6" w:themeFillTint="66"/>
          </w:tcPr>
          <w:p w:rsidR="00C92AF3" w:rsidRPr="0012141C" w:rsidRDefault="00C92AF3" w:rsidP="009F01AA">
            <w:pPr>
              <w:rPr>
                <w:b/>
              </w:rPr>
            </w:pPr>
            <w:r w:rsidRPr="0012141C">
              <w:rPr>
                <w:b/>
              </w:rPr>
              <w:t>Baseline</w:t>
            </w:r>
          </w:p>
        </w:tc>
        <w:tc>
          <w:tcPr>
            <w:tcW w:w="1428" w:type="pct"/>
            <w:shd w:val="clear" w:color="auto" w:fill="BDD6EE" w:themeFill="accent1" w:themeFillTint="66"/>
          </w:tcPr>
          <w:p w:rsidR="00C92AF3" w:rsidRDefault="00C92AF3" w:rsidP="009F01AA">
            <w:r>
              <w:t>2020-2022</w:t>
            </w:r>
          </w:p>
        </w:tc>
        <w:tc>
          <w:tcPr>
            <w:tcW w:w="1329" w:type="pct"/>
            <w:shd w:val="clear" w:color="auto" w:fill="F4B083" w:themeFill="accent2" w:themeFillTint="99"/>
          </w:tcPr>
          <w:p w:rsidR="00C92AF3" w:rsidRDefault="00C92AF3" w:rsidP="009F01AA">
            <w:r>
              <w:t>2024-2026</w:t>
            </w:r>
          </w:p>
        </w:tc>
        <w:tc>
          <w:tcPr>
            <w:tcW w:w="1428" w:type="pct"/>
            <w:shd w:val="clear" w:color="auto" w:fill="BDD6EE" w:themeFill="accent1" w:themeFillTint="66"/>
          </w:tcPr>
          <w:p w:rsidR="00C92AF3" w:rsidRDefault="00C92AF3" w:rsidP="009F01AA">
            <w:r>
              <w:t>2011-2013</w:t>
            </w:r>
          </w:p>
        </w:tc>
      </w:tr>
      <w:tr w:rsidR="00C92AF3" w:rsidTr="00C92AF3">
        <w:trPr>
          <w:trHeight w:val="512"/>
        </w:trPr>
        <w:tc>
          <w:tcPr>
            <w:tcW w:w="814" w:type="pct"/>
            <w:shd w:val="clear" w:color="auto" w:fill="C5E0B3" w:themeFill="accent6" w:themeFillTint="66"/>
          </w:tcPr>
          <w:p w:rsidR="00C92AF3" w:rsidRPr="0012141C" w:rsidRDefault="00C92AF3" w:rsidP="009F01AA">
            <w:pPr>
              <w:rPr>
                <w:b/>
              </w:rPr>
            </w:pPr>
            <w:r w:rsidRPr="0012141C">
              <w:rPr>
                <w:b/>
              </w:rPr>
              <w:t>Formula</w:t>
            </w:r>
          </w:p>
        </w:tc>
        <w:tc>
          <w:tcPr>
            <w:tcW w:w="1428" w:type="pct"/>
            <w:shd w:val="clear" w:color="auto" w:fill="BDD6EE" w:themeFill="accent1" w:themeFillTint="66"/>
          </w:tcPr>
          <w:p w:rsidR="00C92AF3" w:rsidRDefault="00C92AF3" w:rsidP="009F01AA">
            <w:r>
              <w:t>Average HFC consumption</w:t>
            </w:r>
          </w:p>
        </w:tc>
        <w:tc>
          <w:tcPr>
            <w:tcW w:w="1329" w:type="pct"/>
            <w:shd w:val="clear" w:color="auto" w:fill="F4B083" w:themeFill="accent2" w:themeFillTint="99"/>
          </w:tcPr>
          <w:p w:rsidR="00C92AF3" w:rsidRDefault="00C92AF3" w:rsidP="009F01AA">
            <w:r>
              <w:t>Average HFC consumption</w:t>
            </w:r>
          </w:p>
        </w:tc>
        <w:tc>
          <w:tcPr>
            <w:tcW w:w="1428" w:type="pct"/>
            <w:shd w:val="clear" w:color="auto" w:fill="BDD6EE" w:themeFill="accent1" w:themeFillTint="66"/>
          </w:tcPr>
          <w:p w:rsidR="00C92AF3" w:rsidRDefault="00C92AF3" w:rsidP="009F01AA">
            <w:r>
              <w:t>Average HFC consumption</w:t>
            </w:r>
          </w:p>
        </w:tc>
      </w:tr>
      <w:tr w:rsidR="00C92AF3" w:rsidTr="00C92AF3">
        <w:trPr>
          <w:trHeight w:val="256"/>
        </w:trPr>
        <w:tc>
          <w:tcPr>
            <w:tcW w:w="814" w:type="pct"/>
            <w:shd w:val="clear" w:color="auto" w:fill="C5E0B3" w:themeFill="accent6" w:themeFillTint="66"/>
          </w:tcPr>
          <w:p w:rsidR="00C92AF3" w:rsidRPr="0012141C" w:rsidRDefault="00C92AF3" w:rsidP="009F01AA">
            <w:pPr>
              <w:rPr>
                <w:b/>
              </w:rPr>
            </w:pPr>
            <w:r w:rsidRPr="0012141C">
              <w:rPr>
                <w:b/>
              </w:rPr>
              <w:t>HCFC</w:t>
            </w:r>
          </w:p>
        </w:tc>
        <w:tc>
          <w:tcPr>
            <w:tcW w:w="1428" w:type="pct"/>
            <w:shd w:val="clear" w:color="auto" w:fill="BDD6EE" w:themeFill="accent1" w:themeFillTint="66"/>
          </w:tcPr>
          <w:p w:rsidR="00C92AF3" w:rsidRDefault="00C92AF3" w:rsidP="009F01AA">
            <w:r>
              <w:t>65% baseline</w:t>
            </w:r>
          </w:p>
        </w:tc>
        <w:tc>
          <w:tcPr>
            <w:tcW w:w="1329" w:type="pct"/>
            <w:shd w:val="clear" w:color="auto" w:fill="F4B083" w:themeFill="accent2" w:themeFillTint="99"/>
          </w:tcPr>
          <w:p w:rsidR="00C92AF3" w:rsidRDefault="00C92AF3" w:rsidP="009F01AA">
            <w:r>
              <w:t>65% baseline</w:t>
            </w:r>
          </w:p>
        </w:tc>
        <w:tc>
          <w:tcPr>
            <w:tcW w:w="1428" w:type="pct"/>
            <w:shd w:val="clear" w:color="auto" w:fill="BDD6EE" w:themeFill="accent1" w:themeFillTint="66"/>
          </w:tcPr>
          <w:p w:rsidR="00C92AF3" w:rsidRDefault="00C92AF3" w:rsidP="009F01AA">
            <w:r>
              <w:t>15% baseline*</w:t>
            </w:r>
          </w:p>
        </w:tc>
      </w:tr>
      <w:tr w:rsidR="00C92AF3" w:rsidTr="00C92AF3">
        <w:trPr>
          <w:trHeight w:val="256"/>
        </w:trPr>
        <w:tc>
          <w:tcPr>
            <w:tcW w:w="814" w:type="pct"/>
            <w:shd w:val="clear" w:color="auto" w:fill="C5E0B3" w:themeFill="accent6" w:themeFillTint="66"/>
          </w:tcPr>
          <w:p w:rsidR="00C92AF3" w:rsidRPr="0012141C" w:rsidRDefault="00C92AF3" w:rsidP="009F01AA">
            <w:pPr>
              <w:rPr>
                <w:b/>
              </w:rPr>
            </w:pPr>
            <w:r w:rsidRPr="0012141C">
              <w:rPr>
                <w:b/>
              </w:rPr>
              <w:t>Freeze</w:t>
            </w:r>
          </w:p>
        </w:tc>
        <w:tc>
          <w:tcPr>
            <w:tcW w:w="1428" w:type="pct"/>
            <w:shd w:val="clear" w:color="auto" w:fill="BDD6EE" w:themeFill="accent1" w:themeFillTint="66"/>
          </w:tcPr>
          <w:p w:rsidR="00C92AF3" w:rsidRDefault="00C92AF3" w:rsidP="009F01AA">
            <w:r>
              <w:t>2024</w:t>
            </w:r>
          </w:p>
        </w:tc>
        <w:tc>
          <w:tcPr>
            <w:tcW w:w="1329" w:type="pct"/>
            <w:shd w:val="clear" w:color="auto" w:fill="F4B083" w:themeFill="accent2" w:themeFillTint="99"/>
          </w:tcPr>
          <w:p w:rsidR="00C92AF3" w:rsidRDefault="00C92AF3" w:rsidP="009F01AA">
            <w:r>
              <w:t xml:space="preserve">2028 </w:t>
            </w:r>
          </w:p>
        </w:tc>
        <w:tc>
          <w:tcPr>
            <w:tcW w:w="1428" w:type="pct"/>
            <w:shd w:val="clear" w:color="auto" w:fill="BDD6EE" w:themeFill="accent1" w:themeFillTint="66"/>
          </w:tcPr>
          <w:p w:rsidR="00C92AF3" w:rsidRDefault="00C92AF3" w:rsidP="009F01AA">
            <w:r>
              <w:t>-</w:t>
            </w:r>
          </w:p>
        </w:tc>
      </w:tr>
      <w:tr w:rsidR="00C92AF3" w:rsidTr="00C92AF3">
        <w:trPr>
          <w:trHeight w:val="243"/>
        </w:trPr>
        <w:tc>
          <w:tcPr>
            <w:tcW w:w="814" w:type="pct"/>
            <w:shd w:val="clear" w:color="auto" w:fill="C5E0B3" w:themeFill="accent6" w:themeFillTint="66"/>
          </w:tcPr>
          <w:p w:rsidR="00C92AF3" w:rsidRPr="0012141C" w:rsidRDefault="00C92AF3" w:rsidP="009F01AA">
            <w:pPr>
              <w:rPr>
                <w:b/>
              </w:rPr>
            </w:pPr>
            <w:r w:rsidRPr="0012141C">
              <w:rPr>
                <w:b/>
              </w:rPr>
              <w:t>1</w:t>
            </w:r>
            <w:r w:rsidRPr="0012141C">
              <w:rPr>
                <w:b/>
                <w:vertAlign w:val="superscript"/>
              </w:rPr>
              <w:t>st</w:t>
            </w:r>
            <w:r w:rsidRPr="0012141C">
              <w:rPr>
                <w:b/>
              </w:rPr>
              <w:t xml:space="preserve"> step</w:t>
            </w:r>
          </w:p>
        </w:tc>
        <w:tc>
          <w:tcPr>
            <w:tcW w:w="1428" w:type="pct"/>
            <w:shd w:val="clear" w:color="auto" w:fill="BDD6EE" w:themeFill="accent1" w:themeFillTint="66"/>
          </w:tcPr>
          <w:p w:rsidR="00C92AF3" w:rsidRDefault="00C92AF3" w:rsidP="009F01AA">
            <w:r>
              <w:t>2029 – 10%</w:t>
            </w:r>
          </w:p>
        </w:tc>
        <w:tc>
          <w:tcPr>
            <w:tcW w:w="1329" w:type="pct"/>
            <w:shd w:val="clear" w:color="auto" w:fill="F4B083" w:themeFill="accent2" w:themeFillTint="99"/>
          </w:tcPr>
          <w:p w:rsidR="00C92AF3" w:rsidRDefault="00C92AF3" w:rsidP="009F01AA">
            <w:r>
              <w:t>2032 – 10%</w:t>
            </w:r>
          </w:p>
        </w:tc>
        <w:tc>
          <w:tcPr>
            <w:tcW w:w="1428" w:type="pct"/>
            <w:shd w:val="clear" w:color="auto" w:fill="BDD6EE" w:themeFill="accent1" w:themeFillTint="66"/>
          </w:tcPr>
          <w:p w:rsidR="00C92AF3" w:rsidRDefault="00C92AF3" w:rsidP="009F01AA">
            <w:r>
              <w:t>2019 – 10%</w:t>
            </w:r>
          </w:p>
        </w:tc>
      </w:tr>
      <w:tr w:rsidR="00C92AF3" w:rsidTr="00C92AF3">
        <w:trPr>
          <w:trHeight w:val="256"/>
        </w:trPr>
        <w:tc>
          <w:tcPr>
            <w:tcW w:w="814" w:type="pct"/>
            <w:shd w:val="clear" w:color="auto" w:fill="C5E0B3" w:themeFill="accent6" w:themeFillTint="66"/>
          </w:tcPr>
          <w:p w:rsidR="00C92AF3" w:rsidRPr="0012141C" w:rsidRDefault="00C92AF3" w:rsidP="009F01AA">
            <w:pPr>
              <w:rPr>
                <w:b/>
              </w:rPr>
            </w:pPr>
            <w:r w:rsidRPr="0012141C">
              <w:rPr>
                <w:b/>
              </w:rPr>
              <w:t>2</w:t>
            </w:r>
            <w:r w:rsidRPr="0012141C">
              <w:rPr>
                <w:b/>
                <w:vertAlign w:val="superscript"/>
              </w:rPr>
              <w:t>nd</w:t>
            </w:r>
            <w:r w:rsidRPr="0012141C">
              <w:rPr>
                <w:b/>
              </w:rPr>
              <w:t xml:space="preserve"> step</w:t>
            </w:r>
          </w:p>
        </w:tc>
        <w:tc>
          <w:tcPr>
            <w:tcW w:w="1428" w:type="pct"/>
            <w:shd w:val="clear" w:color="auto" w:fill="BDD6EE" w:themeFill="accent1" w:themeFillTint="66"/>
          </w:tcPr>
          <w:p w:rsidR="00C92AF3" w:rsidRDefault="00C92AF3" w:rsidP="009F01AA">
            <w:r>
              <w:t>2035 – 30%</w:t>
            </w:r>
          </w:p>
        </w:tc>
        <w:tc>
          <w:tcPr>
            <w:tcW w:w="1329" w:type="pct"/>
            <w:shd w:val="clear" w:color="auto" w:fill="F4B083" w:themeFill="accent2" w:themeFillTint="99"/>
          </w:tcPr>
          <w:p w:rsidR="00C92AF3" w:rsidRDefault="00C92AF3" w:rsidP="009F01AA">
            <w:r>
              <w:t>2037 – 20%</w:t>
            </w:r>
          </w:p>
        </w:tc>
        <w:tc>
          <w:tcPr>
            <w:tcW w:w="1428" w:type="pct"/>
            <w:shd w:val="clear" w:color="auto" w:fill="BDD6EE" w:themeFill="accent1" w:themeFillTint="66"/>
          </w:tcPr>
          <w:p w:rsidR="00C92AF3" w:rsidRDefault="00C92AF3" w:rsidP="009F01AA">
            <w:r>
              <w:t>2024 – 40%</w:t>
            </w:r>
          </w:p>
        </w:tc>
      </w:tr>
      <w:tr w:rsidR="00C92AF3" w:rsidTr="00C92AF3">
        <w:trPr>
          <w:trHeight w:val="256"/>
        </w:trPr>
        <w:tc>
          <w:tcPr>
            <w:tcW w:w="814" w:type="pct"/>
            <w:shd w:val="clear" w:color="auto" w:fill="C5E0B3" w:themeFill="accent6" w:themeFillTint="66"/>
          </w:tcPr>
          <w:p w:rsidR="00C92AF3" w:rsidRPr="0012141C" w:rsidRDefault="00C92AF3" w:rsidP="009F01AA">
            <w:pPr>
              <w:rPr>
                <w:b/>
              </w:rPr>
            </w:pPr>
            <w:r w:rsidRPr="0012141C">
              <w:rPr>
                <w:b/>
              </w:rPr>
              <w:t>3</w:t>
            </w:r>
            <w:r w:rsidRPr="0012141C">
              <w:rPr>
                <w:b/>
                <w:vertAlign w:val="superscript"/>
              </w:rPr>
              <w:t>rd</w:t>
            </w:r>
            <w:r w:rsidRPr="0012141C">
              <w:rPr>
                <w:b/>
              </w:rPr>
              <w:t xml:space="preserve"> step</w:t>
            </w:r>
          </w:p>
        </w:tc>
        <w:tc>
          <w:tcPr>
            <w:tcW w:w="1428" w:type="pct"/>
            <w:shd w:val="clear" w:color="auto" w:fill="BDD6EE" w:themeFill="accent1" w:themeFillTint="66"/>
          </w:tcPr>
          <w:p w:rsidR="00C92AF3" w:rsidRDefault="00C92AF3" w:rsidP="009F01AA">
            <w:r>
              <w:t>2040 – 50%</w:t>
            </w:r>
          </w:p>
        </w:tc>
        <w:tc>
          <w:tcPr>
            <w:tcW w:w="1329" w:type="pct"/>
            <w:shd w:val="clear" w:color="auto" w:fill="F4B083" w:themeFill="accent2" w:themeFillTint="99"/>
          </w:tcPr>
          <w:p w:rsidR="00C92AF3" w:rsidRDefault="00C92AF3" w:rsidP="009F01AA">
            <w:r>
              <w:t>2042 – 30%</w:t>
            </w:r>
          </w:p>
        </w:tc>
        <w:tc>
          <w:tcPr>
            <w:tcW w:w="1428" w:type="pct"/>
            <w:shd w:val="clear" w:color="auto" w:fill="BDD6EE" w:themeFill="accent1" w:themeFillTint="66"/>
          </w:tcPr>
          <w:p w:rsidR="00C92AF3" w:rsidRDefault="00C92AF3" w:rsidP="009F01AA">
            <w:r>
              <w:t>2029 – 70%</w:t>
            </w:r>
          </w:p>
        </w:tc>
      </w:tr>
      <w:tr w:rsidR="00C92AF3" w:rsidTr="00C92AF3">
        <w:trPr>
          <w:trHeight w:val="256"/>
        </w:trPr>
        <w:tc>
          <w:tcPr>
            <w:tcW w:w="814" w:type="pct"/>
            <w:shd w:val="clear" w:color="auto" w:fill="C5E0B3" w:themeFill="accent6" w:themeFillTint="66"/>
          </w:tcPr>
          <w:p w:rsidR="00C92AF3" w:rsidRPr="0012141C" w:rsidRDefault="00C92AF3" w:rsidP="009F01AA">
            <w:pPr>
              <w:rPr>
                <w:b/>
              </w:rPr>
            </w:pPr>
            <w:r>
              <w:rPr>
                <w:b/>
              </w:rPr>
              <w:t>4</w:t>
            </w:r>
            <w:r w:rsidRPr="000D624A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step</w:t>
            </w:r>
          </w:p>
        </w:tc>
        <w:tc>
          <w:tcPr>
            <w:tcW w:w="1428" w:type="pct"/>
            <w:shd w:val="clear" w:color="auto" w:fill="BDD6EE" w:themeFill="accent1" w:themeFillTint="66"/>
          </w:tcPr>
          <w:p w:rsidR="00C92AF3" w:rsidRDefault="00C92AF3" w:rsidP="009F01AA"/>
        </w:tc>
        <w:tc>
          <w:tcPr>
            <w:tcW w:w="1329" w:type="pct"/>
            <w:shd w:val="clear" w:color="auto" w:fill="F4B083" w:themeFill="accent2" w:themeFillTint="99"/>
          </w:tcPr>
          <w:p w:rsidR="00C92AF3" w:rsidRDefault="00C92AF3" w:rsidP="009F01AA"/>
        </w:tc>
        <w:tc>
          <w:tcPr>
            <w:tcW w:w="1428" w:type="pct"/>
            <w:shd w:val="clear" w:color="auto" w:fill="BDD6EE" w:themeFill="accent1" w:themeFillTint="66"/>
          </w:tcPr>
          <w:p w:rsidR="00C92AF3" w:rsidRDefault="00C92AF3" w:rsidP="009F01AA">
            <w:r>
              <w:t>2034 – 80%</w:t>
            </w:r>
          </w:p>
        </w:tc>
      </w:tr>
      <w:tr w:rsidR="00C92AF3" w:rsidTr="00C92AF3">
        <w:trPr>
          <w:trHeight w:val="256"/>
        </w:trPr>
        <w:tc>
          <w:tcPr>
            <w:tcW w:w="814" w:type="pct"/>
            <w:shd w:val="clear" w:color="auto" w:fill="C5E0B3" w:themeFill="accent6" w:themeFillTint="66"/>
          </w:tcPr>
          <w:p w:rsidR="00C92AF3" w:rsidRPr="0012141C" w:rsidRDefault="00C92AF3" w:rsidP="009F01AA">
            <w:pPr>
              <w:rPr>
                <w:b/>
              </w:rPr>
            </w:pPr>
            <w:r w:rsidRPr="0012141C">
              <w:rPr>
                <w:b/>
              </w:rPr>
              <w:t>Plateau</w:t>
            </w:r>
          </w:p>
        </w:tc>
        <w:tc>
          <w:tcPr>
            <w:tcW w:w="1428" w:type="pct"/>
            <w:shd w:val="clear" w:color="auto" w:fill="BDD6EE" w:themeFill="accent1" w:themeFillTint="66"/>
          </w:tcPr>
          <w:p w:rsidR="00C92AF3" w:rsidRDefault="00C92AF3" w:rsidP="009F01AA">
            <w:r>
              <w:t xml:space="preserve">2045 – </w:t>
            </w:r>
            <w:r w:rsidR="006E3EBC">
              <w:t>80</w:t>
            </w:r>
            <w:r>
              <w:t>%</w:t>
            </w:r>
          </w:p>
        </w:tc>
        <w:tc>
          <w:tcPr>
            <w:tcW w:w="1329" w:type="pct"/>
            <w:shd w:val="clear" w:color="auto" w:fill="F4B083" w:themeFill="accent2" w:themeFillTint="99"/>
          </w:tcPr>
          <w:p w:rsidR="00C92AF3" w:rsidRDefault="00C92AF3" w:rsidP="009F01AA">
            <w:r>
              <w:t>2047 – 85%</w:t>
            </w:r>
          </w:p>
        </w:tc>
        <w:tc>
          <w:tcPr>
            <w:tcW w:w="1428" w:type="pct"/>
            <w:shd w:val="clear" w:color="auto" w:fill="BDD6EE" w:themeFill="accent1" w:themeFillTint="66"/>
          </w:tcPr>
          <w:p w:rsidR="00C92AF3" w:rsidRDefault="00C92AF3" w:rsidP="009F01AA">
            <w:r>
              <w:t>2036 – 85%</w:t>
            </w:r>
          </w:p>
        </w:tc>
      </w:tr>
      <w:tr w:rsidR="00C92AF3" w:rsidTr="00C92AF3">
        <w:trPr>
          <w:trHeight w:val="256"/>
        </w:trPr>
        <w:tc>
          <w:tcPr>
            <w:tcW w:w="814" w:type="pct"/>
            <w:shd w:val="clear" w:color="auto" w:fill="C5E0B3" w:themeFill="accent6" w:themeFillTint="66"/>
          </w:tcPr>
          <w:p w:rsidR="00C92AF3" w:rsidRPr="0012141C" w:rsidRDefault="00C92AF3" w:rsidP="009F01AA">
            <w:pPr>
              <w:rPr>
                <w:b/>
              </w:rPr>
            </w:pPr>
          </w:p>
        </w:tc>
        <w:tc>
          <w:tcPr>
            <w:tcW w:w="1428" w:type="pct"/>
            <w:shd w:val="clear" w:color="auto" w:fill="BDD6EE" w:themeFill="accent1" w:themeFillTint="66"/>
          </w:tcPr>
          <w:p w:rsidR="00C92AF3" w:rsidRDefault="00C92AF3" w:rsidP="009F01AA"/>
        </w:tc>
        <w:tc>
          <w:tcPr>
            <w:tcW w:w="1329" w:type="pct"/>
            <w:shd w:val="clear" w:color="auto" w:fill="F4B083" w:themeFill="accent2" w:themeFillTint="99"/>
          </w:tcPr>
          <w:p w:rsidR="00C92AF3" w:rsidRDefault="00C92AF3" w:rsidP="009F01AA"/>
        </w:tc>
        <w:tc>
          <w:tcPr>
            <w:tcW w:w="1428" w:type="pct"/>
            <w:shd w:val="clear" w:color="auto" w:fill="BDD6EE" w:themeFill="accent1" w:themeFillTint="66"/>
          </w:tcPr>
          <w:p w:rsidR="00C92AF3" w:rsidRDefault="00C92AF3" w:rsidP="009F01AA"/>
        </w:tc>
      </w:tr>
      <w:tr w:rsidR="00C92AF3" w:rsidTr="00C92AF3">
        <w:trPr>
          <w:trHeight w:val="256"/>
        </w:trPr>
        <w:tc>
          <w:tcPr>
            <w:tcW w:w="814" w:type="pct"/>
            <w:shd w:val="clear" w:color="auto" w:fill="C5E0B3" w:themeFill="accent6" w:themeFillTint="66"/>
          </w:tcPr>
          <w:p w:rsidR="00C92AF3" w:rsidRDefault="00C92AF3" w:rsidP="009F01AA">
            <w:pPr>
              <w:rPr>
                <w:b/>
              </w:rPr>
            </w:pPr>
          </w:p>
        </w:tc>
        <w:tc>
          <w:tcPr>
            <w:tcW w:w="1428" w:type="pct"/>
            <w:shd w:val="clear" w:color="auto" w:fill="BDD6EE" w:themeFill="accent1" w:themeFillTint="66"/>
          </w:tcPr>
          <w:p w:rsidR="00C92AF3" w:rsidRDefault="00C92AF3" w:rsidP="009F01AA"/>
        </w:tc>
        <w:tc>
          <w:tcPr>
            <w:tcW w:w="1329" w:type="pct"/>
            <w:shd w:val="clear" w:color="auto" w:fill="F4B083" w:themeFill="accent2" w:themeFillTint="99"/>
          </w:tcPr>
          <w:p w:rsidR="00C92AF3" w:rsidRDefault="00C92AF3" w:rsidP="009F01AA"/>
        </w:tc>
        <w:tc>
          <w:tcPr>
            <w:tcW w:w="1428" w:type="pct"/>
            <w:shd w:val="clear" w:color="auto" w:fill="BDD6EE" w:themeFill="accent1" w:themeFillTint="66"/>
          </w:tcPr>
          <w:p w:rsidR="00C92AF3" w:rsidRDefault="00C92AF3" w:rsidP="009F01AA"/>
        </w:tc>
      </w:tr>
      <w:tr w:rsidR="00C92AF3" w:rsidTr="00C92AF3">
        <w:trPr>
          <w:trHeight w:val="243"/>
        </w:trPr>
        <w:tc>
          <w:tcPr>
            <w:tcW w:w="814" w:type="pct"/>
            <w:shd w:val="clear" w:color="auto" w:fill="C5E0B3" w:themeFill="accent6" w:themeFillTint="66"/>
          </w:tcPr>
          <w:p w:rsidR="00C92AF3" w:rsidRPr="0012141C" w:rsidRDefault="00C92AF3" w:rsidP="009F01AA">
            <w:pPr>
              <w:rPr>
                <w:b/>
              </w:rPr>
            </w:pPr>
          </w:p>
        </w:tc>
        <w:tc>
          <w:tcPr>
            <w:tcW w:w="1428" w:type="pct"/>
            <w:shd w:val="clear" w:color="auto" w:fill="BDD6EE" w:themeFill="accent1" w:themeFillTint="66"/>
          </w:tcPr>
          <w:p w:rsidR="00C92AF3" w:rsidRDefault="00C92AF3" w:rsidP="009F01AA"/>
        </w:tc>
        <w:tc>
          <w:tcPr>
            <w:tcW w:w="1329" w:type="pct"/>
            <w:shd w:val="clear" w:color="auto" w:fill="F4B083" w:themeFill="accent2" w:themeFillTint="99"/>
          </w:tcPr>
          <w:p w:rsidR="00C92AF3" w:rsidRDefault="00C92AF3" w:rsidP="009F01AA"/>
        </w:tc>
        <w:tc>
          <w:tcPr>
            <w:tcW w:w="1428" w:type="pct"/>
            <w:shd w:val="clear" w:color="auto" w:fill="BDD6EE" w:themeFill="accent1" w:themeFillTint="66"/>
          </w:tcPr>
          <w:p w:rsidR="00C92AF3" w:rsidRDefault="00C92AF3" w:rsidP="009F01AA"/>
        </w:tc>
      </w:tr>
    </w:tbl>
    <w:p w:rsidR="009159E5" w:rsidRDefault="000D624A" w:rsidP="00534DC3">
      <w:pPr>
        <w:spacing w:line="240" w:lineRule="auto"/>
      </w:pPr>
      <w:r>
        <w:t xml:space="preserve">* For Belarus, Russian Federation, Kazakhstan, Tajikistan, </w:t>
      </w:r>
      <w:r w:rsidR="00C92AF3">
        <w:t xml:space="preserve">Uzbekistan </w:t>
      </w:r>
      <w:r>
        <w:t xml:space="preserve">25% HCFC component of baseline and different initial </w:t>
      </w:r>
    </w:p>
    <w:p w:rsidR="00D41BB8" w:rsidRDefault="000D624A" w:rsidP="00534DC3">
      <w:pPr>
        <w:spacing w:line="240" w:lineRule="auto"/>
      </w:pPr>
      <w:r>
        <w:t>two steps (1) 5% reduction in 2020 and (2) 35% red</w:t>
      </w:r>
      <w:bookmarkStart w:id="0" w:name="_GoBack"/>
      <w:bookmarkEnd w:id="0"/>
      <w:r>
        <w:t>uction in 2025</w:t>
      </w:r>
    </w:p>
    <w:p w:rsidR="000D624A" w:rsidRDefault="000D624A" w:rsidP="000D624A">
      <w:r>
        <w:t>Notes:</w:t>
      </w:r>
    </w:p>
    <w:p w:rsidR="000D624A" w:rsidRDefault="000D624A" w:rsidP="000D624A">
      <w:pPr>
        <w:pStyle w:val="ListParagraph"/>
        <w:numPr>
          <w:ilvl w:val="0"/>
          <w:numId w:val="2"/>
        </w:numPr>
      </w:pPr>
      <w:r>
        <w:t>Group 1: Article 5 parties not part of Group 2</w:t>
      </w:r>
    </w:p>
    <w:p w:rsidR="000D624A" w:rsidRDefault="000D624A" w:rsidP="000D624A">
      <w:pPr>
        <w:pStyle w:val="ListParagraph"/>
        <w:numPr>
          <w:ilvl w:val="0"/>
          <w:numId w:val="2"/>
        </w:numPr>
      </w:pPr>
      <w:r>
        <w:t>Group 2: GCC, India, Iran, Iraq, Pakistan</w:t>
      </w:r>
    </w:p>
    <w:p w:rsidR="000D624A" w:rsidRDefault="000D624A" w:rsidP="000D624A">
      <w:pPr>
        <w:pStyle w:val="ListParagraph"/>
        <w:numPr>
          <w:ilvl w:val="0"/>
          <w:numId w:val="2"/>
        </w:numPr>
      </w:pPr>
      <w:r>
        <w:t>Technology review in 2022 and ev</w:t>
      </w:r>
      <w:r w:rsidR="00394A38">
        <w:t>ery 5 years</w:t>
      </w:r>
    </w:p>
    <w:p w:rsidR="009159E5" w:rsidRDefault="00C92AF3" w:rsidP="000D624A">
      <w:pPr>
        <w:pStyle w:val="ListParagraph"/>
        <w:numPr>
          <w:ilvl w:val="0"/>
          <w:numId w:val="2"/>
        </w:numPr>
      </w:pPr>
      <w:r>
        <w:t xml:space="preserve">Technology review 4-5 years before 2028 to consider the compliance deferral of 2 years from the freeze of 2028 of </w:t>
      </w:r>
    </w:p>
    <w:p w:rsidR="00C92AF3" w:rsidRDefault="00C92AF3" w:rsidP="009159E5">
      <w:pPr>
        <w:pStyle w:val="ListParagraph"/>
      </w:pPr>
      <w:r>
        <w:t xml:space="preserve">Article 5 Group 2 to address growth </w:t>
      </w:r>
      <w:r w:rsidR="00077C5A">
        <w:t xml:space="preserve">in relevant sectors </w:t>
      </w:r>
      <w:r>
        <w:t xml:space="preserve">above </w:t>
      </w:r>
      <w:r w:rsidR="00077C5A">
        <w:t>certain threshold</w:t>
      </w:r>
      <w:r>
        <w:t xml:space="preserve">. </w:t>
      </w:r>
    </w:p>
    <w:p w:rsidR="000D624A" w:rsidRDefault="000D624A" w:rsidP="000D624A"/>
    <w:sectPr w:rsidR="000D624A" w:rsidSect="000D624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9535BF"/>
    <w:multiLevelType w:val="hybridMultilevel"/>
    <w:tmpl w:val="25384E4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9264AF"/>
    <w:multiLevelType w:val="hybridMultilevel"/>
    <w:tmpl w:val="365CF7DC"/>
    <w:lvl w:ilvl="0" w:tplc="F740F518">
      <w:start w:val="203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24A"/>
    <w:rsid w:val="00077C5A"/>
    <w:rsid w:val="000D624A"/>
    <w:rsid w:val="00150B00"/>
    <w:rsid w:val="00237EE3"/>
    <w:rsid w:val="002979A1"/>
    <w:rsid w:val="002B78D8"/>
    <w:rsid w:val="00394A38"/>
    <w:rsid w:val="00534DC3"/>
    <w:rsid w:val="00651B36"/>
    <w:rsid w:val="006E3EBC"/>
    <w:rsid w:val="00810650"/>
    <w:rsid w:val="009159E5"/>
    <w:rsid w:val="00981E19"/>
    <w:rsid w:val="00AD569E"/>
    <w:rsid w:val="00C92AF3"/>
    <w:rsid w:val="00D41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4F2F9"/>
  <w15:chartTrackingRefBased/>
  <w15:docId w15:val="{3538FE82-D059-42C8-B58E-C0A57E787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D6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6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D62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7DBA443D6F2B44A01A9C4BEA3DADD7" ma:contentTypeVersion="" ma:contentTypeDescription="Create a new document." ma:contentTypeScope="" ma:versionID="8a3ec35f52c178e0373bdc861cc0c7a9">
  <xsd:schema xmlns:xsd="http://www.w3.org/2001/XMLSchema" xmlns:xs="http://www.w3.org/2001/XMLSchema" xmlns:p="http://schemas.microsoft.com/office/2006/metadata/properties" xmlns:ns2="EC44EB04-2DEE-4F78-A58D-DCABD4F16113" targetNamespace="http://schemas.microsoft.com/office/2006/metadata/properties" ma:root="true" ma:fieldsID="99ac928b3c6b0ac60932847f01353a3c" ns2:_="">
    <xsd:import namespace="EC44EB04-2DEE-4F78-A58D-DCABD4F16113"/>
    <xsd:element name="properties">
      <xsd:complexType>
        <xsd:sequence>
          <xsd:element name="documentManagement">
            <xsd:complexType>
              <xsd:all>
                <xsd:element ref="ns2:Document_x0020_Symbol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44EB04-2DEE-4F78-A58D-DCABD4F16113" elementFormDefault="qualified">
    <xsd:import namespace="http://schemas.microsoft.com/office/2006/documentManagement/types"/>
    <xsd:import namespace="http://schemas.microsoft.com/office/infopath/2007/PartnerControls"/>
    <xsd:element name="Document_x0020_Symbol" ma:index="8" ma:displayName="Document Symbol" ma:internalName="Document_x0020_Symbol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Symbol xmlns="EC44EB04-2DEE-4F78-A58D-DCABD4F16113">-</Document_x0020_Symbol>
  </documentManagement>
</p:properties>
</file>

<file path=customXml/itemProps1.xml><?xml version="1.0" encoding="utf-8"?>
<ds:datastoreItem xmlns:ds="http://schemas.openxmlformats.org/officeDocument/2006/customXml" ds:itemID="{0F5AEA70-4ADE-4BC5-8DE1-F1F3DA0C52D0}"/>
</file>

<file path=customXml/itemProps2.xml><?xml version="1.0" encoding="utf-8"?>
<ds:datastoreItem xmlns:ds="http://schemas.openxmlformats.org/officeDocument/2006/customXml" ds:itemID="{E75F69AB-01AA-474B-9380-20E59F15BDD3}"/>
</file>

<file path=customXml/itemProps3.xml><?xml version="1.0" encoding="utf-8"?>
<ds:datastoreItem xmlns:ds="http://schemas.openxmlformats.org/officeDocument/2006/customXml" ds:itemID="{894F1674-CFE4-4281-B69C-43D3AAB934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/>
  <dc:creator>Annie Gabriel</dc:creator>
  <cp:keywords/>
  <dc:description/>
  <cp:lastModifiedBy>UNep</cp:lastModifiedBy>
  <cp:revision>2</cp:revision>
  <dcterms:created xsi:type="dcterms:W3CDTF">2016-10-14T15:48:00Z</dcterms:created>
  <dcterms:modified xsi:type="dcterms:W3CDTF">2016-10-14T15:48:00Z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0x010100D47DBA443D6F2B44A01A9C4BEA3DADD7</vt:lpwstr>
  </property>
</Properties>
</file>