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195" w:rsidRPr="000605EE" w:rsidRDefault="00B823DC">
      <w:pPr>
        <w:pStyle w:val="Body"/>
        <w:rPr>
          <w:sz w:val="24"/>
          <w:szCs w:val="24"/>
        </w:rPr>
      </w:pPr>
      <w:bookmarkStart w:id="0" w:name="_GoBack"/>
      <w:bookmarkEnd w:id="0"/>
      <w:r w:rsidRPr="000605EE">
        <w:rPr>
          <w:sz w:val="24"/>
          <w:szCs w:val="24"/>
        </w:rPr>
        <w:t>High Ambient Temperature</w:t>
      </w:r>
    </w:p>
    <w:p w:rsidR="00835195" w:rsidRPr="000605EE" w:rsidRDefault="00B823DC" w:rsidP="008609CE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 xml:space="preserve">A new exemption shall be available to Parties with high ambient temperature conditions where suitable alternatives do not exist for </w:t>
      </w:r>
      <w:r w:rsidR="009041B1" w:rsidRPr="000605EE">
        <w:rPr>
          <w:sz w:val="24"/>
          <w:szCs w:val="24"/>
        </w:rPr>
        <w:t>the specific sub-sector of use</w:t>
      </w:r>
      <w:r w:rsidRPr="000605EE">
        <w:rPr>
          <w:sz w:val="24"/>
          <w:szCs w:val="24"/>
        </w:rPr>
        <w:t>.</w:t>
      </w:r>
    </w:p>
    <w:p w:rsidR="00835195" w:rsidRPr="000605EE" w:rsidRDefault="00B823DC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>The exemption shall be distinguished and separate from the essential use and the critical use exemptions under the Montreal Protocol.</w:t>
      </w:r>
    </w:p>
    <w:p w:rsidR="00835195" w:rsidRPr="000605EE" w:rsidRDefault="00B823DC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>The exemption shall take effect and be available at the commencement of any HFC freeze or other initial control obligation and shall ha</w:t>
      </w:r>
      <w:r w:rsidR="009041B1" w:rsidRPr="000605EE">
        <w:rPr>
          <w:sz w:val="24"/>
          <w:szCs w:val="24"/>
        </w:rPr>
        <w:t xml:space="preserve">ve an initial duration of </w:t>
      </w:r>
      <w:r w:rsidR="009041B1" w:rsidRPr="000605EE">
        <w:rPr>
          <w:rFonts w:hint="cs"/>
          <w:sz w:val="24"/>
          <w:szCs w:val="24"/>
          <w:rtl/>
        </w:rPr>
        <w:t>5</w:t>
      </w:r>
      <w:r w:rsidRPr="000605EE">
        <w:rPr>
          <w:sz w:val="24"/>
          <w:szCs w:val="24"/>
        </w:rPr>
        <w:t xml:space="preserve"> years.</w:t>
      </w:r>
    </w:p>
    <w:p w:rsidR="00835195" w:rsidRPr="000605EE" w:rsidRDefault="00B823DC" w:rsidP="007200E4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 xml:space="preserve">The Technology and Economic Assessment Panel (TEAP) and a TEAP subsidiary body </w:t>
      </w:r>
      <w:r w:rsidR="0062486D" w:rsidRPr="000605EE">
        <w:rPr>
          <w:sz w:val="24"/>
          <w:szCs w:val="24"/>
        </w:rPr>
        <w:t>that includes outside expertise on high ambient temperatures</w:t>
      </w:r>
      <w:r w:rsidRPr="000605EE">
        <w:rPr>
          <w:sz w:val="24"/>
          <w:szCs w:val="24"/>
        </w:rPr>
        <w:t xml:space="preserve"> shall assess the suitability of HFC alternatives for use in </w:t>
      </w:r>
      <w:r w:rsidR="008609CE" w:rsidRPr="000605EE">
        <w:rPr>
          <w:sz w:val="24"/>
          <w:szCs w:val="24"/>
        </w:rPr>
        <w:t>where suitable alternatives do not exist</w:t>
      </w:r>
      <w:r w:rsidRPr="000605EE">
        <w:rPr>
          <w:sz w:val="24"/>
          <w:szCs w:val="24"/>
        </w:rPr>
        <w:t xml:space="preserve"> based on criteria agreed by the Parties that shall include, but not be limited to, the criteria listed in paragraph 1(a) of Decision XXVI/9,</w:t>
      </w:r>
      <w:r w:rsidRPr="000605EE">
        <w:rPr>
          <w:rFonts w:eastAsia="Times New Roman"/>
          <w:sz w:val="24"/>
          <w:szCs w:val="24"/>
          <w:vertAlign w:val="superscript"/>
        </w:rPr>
        <w:footnoteReference w:id="2"/>
      </w:r>
      <w:r w:rsidRPr="000605EE">
        <w:rPr>
          <w:sz w:val="24"/>
          <w:szCs w:val="24"/>
        </w:rPr>
        <w:t xml:space="preserve"> and shall report this information to the Meeting of the Parties.</w:t>
      </w:r>
    </w:p>
    <w:p w:rsidR="00835195" w:rsidRPr="000605EE" w:rsidRDefault="00B823DC" w:rsidP="009041B1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 xml:space="preserve">The assessment shall take place periodically starting </w:t>
      </w:r>
      <w:proofErr w:type="gramStart"/>
      <w:r w:rsidR="009041B1" w:rsidRPr="000605EE">
        <w:rPr>
          <w:rFonts w:hint="cs"/>
          <w:sz w:val="24"/>
          <w:szCs w:val="24"/>
          <w:rtl/>
        </w:rPr>
        <w:t xml:space="preserve">5 </w:t>
      </w:r>
      <w:r w:rsidRPr="000605EE">
        <w:rPr>
          <w:sz w:val="24"/>
          <w:szCs w:val="24"/>
        </w:rPr>
        <w:t xml:space="preserve"> years</w:t>
      </w:r>
      <w:proofErr w:type="gramEnd"/>
      <w:r w:rsidRPr="000605EE">
        <w:rPr>
          <w:sz w:val="24"/>
          <w:szCs w:val="24"/>
        </w:rPr>
        <w:t xml:space="preserve"> from the date of the commencement of any HFC freeze or other initial control obligation</w:t>
      </w:r>
      <w:r w:rsidR="009041B1" w:rsidRPr="000605EE">
        <w:rPr>
          <w:sz w:val="24"/>
          <w:szCs w:val="24"/>
        </w:rPr>
        <w:t xml:space="preserve"> and every 5</w:t>
      </w:r>
      <w:r w:rsidRPr="000605EE">
        <w:rPr>
          <w:sz w:val="24"/>
          <w:szCs w:val="24"/>
        </w:rPr>
        <w:t xml:space="preserve"> years thereafter.</w:t>
      </w:r>
    </w:p>
    <w:p w:rsidR="00835195" w:rsidRPr="000605EE" w:rsidRDefault="00B823DC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>The Parties shall review, no later than the year following receipt of the TEAP report on suitability of alternatives, the need for an extension of this exemption for specific sub-sectors for a further period</w:t>
      </w:r>
      <w:r w:rsidR="009041B1" w:rsidRPr="000605EE">
        <w:rPr>
          <w:sz w:val="24"/>
          <w:szCs w:val="24"/>
        </w:rPr>
        <w:t>(s)</w:t>
      </w:r>
      <w:r w:rsidRPr="000605EE">
        <w:rPr>
          <w:sz w:val="24"/>
          <w:szCs w:val="24"/>
        </w:rPr>
        <w:t xml:space="preserve"> of up to 5 years, and periodically thereafter.  </w:t>
      </w:r>
      <w:r w:rsidR="007200E4" w:rsidRPr="000605EE">
        <w:rPr>
          <w:sz w:val="24"/>
          <w:szCs w:val="24"/>
        </w:rPr>
        <w:t xml:space="preserve">Notwithstanding the above, the exemption shall automatically be renewed for sectors and sub-sectors where </w:t>
      </w:r>
      <w:r w:rsidR="00192873" w:rsidRPr="000605EE">
        <w:rPr>
          <w:sz w:val="24"/>
          <w:szCs w:val="24"/>
        </w:rPr>
        <w:t xml:space="preserve">feasible </w:t>
      </w:r>
      <w:r w:rsidR="007200E4" w:rsidRPr="000605EE">
        <w:rPr>
          <w:sz w:val="24"/>
          <w:szCs w:val="24"/>
        </w:rPr>
        <w:t xml:space="preserve">alternatives do not exist. </w:t>
      </w:r>
    </w:p>
    <w:p w:rsidR="00835195" w:rsidRPr="000605EE" w:rsidRDefault="00B823DC" w:rsidP="00192873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>Parties</w:t>
      </w:r>
      <w:r w:rsidR="001042B9" w:rsidRPr="000605EE">
        <w:rPr>
          <w:sz w:val="24"/>
          <w:szCs w:val="24"/>
        </w:rPr>
        <w:t xml:space="preserve"> shall agree</w:t>
      </w:r>
      <w:r w:rsidR="00192873" w:rsidRPr="000605EE">
        <w:rPr>
          <w:sz w:val="24"/>
          <w:szCs w:val="24"/>
        </w:rPr>
        <w:t xml:space="preserve"> </w:t>
      </w:r>
      <w:r w:rsidR="004743DB">
        <w:rPr>
          <w:sz w:val="24"/>
          <w:szCs w:val="24"/>
        </w:rPr>
        <w:t xml:space="preserve">on </w:t>
      </w:r>
      <w:r w:rsidR="00192873" w:rsidRPr="000605EE">
        <w:rPr>
          <w:sz w:val="24"/>
          <w:szCs w:val="24"/>
        </w:rPr>
        <w:t>the criteria for</w:t>
      </w:r>
      <w:r w:rsidRPr="000605EE">
        <w:rPr>
          <w:sz w:val="24"/>
          <w:szCs w:val="24"/>
        </w:rPr>
        <w:t xml:space="preserve"> high ambient temperature conditions and formally request this exemption by notifying the Secretariat.</w:t>
      </w:r>
    </w:p>
    <w:p w:rsidR="00835195" w:rsidRPr="000605EE" w:rsidRDefault="00B823DC" w:rsidP="00B623B0">
      <w:pPr>
        <w:pStyle w:val="ListParagraph"/>
        <w:numPr>
          <w:ilvl w:val="0"/>
          <w:numId w:val="3"/>
        </w:numPr>
        <w:tabs>
          <w:tab w:val="clear" w:pos="1080"/>
          <w:tab w:val="num" w:pos="1020"/>
        </w:tabs>
        <w:ind w:left="1020" w:hanging="660"/>
        <w:rPr>
          <w:sz w:val="24"/>
          <w:szCs w:val="24"/>
        </w:rPr>
      </w:pPr>
      <w:r w:rsidRPr="000605EE">
        <w:rPr>
          <w:sz w:val="24"/>
          <w:szCs w:val="24"/>
        </w:rPr>
        <w:t xml:space="preserve">Parties with high ambient temperature conditions will also be eligible </w:t>
      </w:r>
      <w:r w:rsidR="00B623B0" w:rsidRPr="000605EE">
        <w:rPr>
          <w:sz w:val="24"/>
          <w:szCs w:val="24"/>
        </w:rPr>
        <w:t>during the exemption period(s)</w:t>
      </w:r>
      <w:r w:rsidRPr="000605EE">
        <w:rPr>
          <w:sz w:val="24"/>
          <w:szCs w:val="24"/>
        </w:rPr>
        <w:t xml:space="preserve"> to a deferral in consideration by the implementation of any noncompliance in the production and consumption of HCFCs.</w:t>
      </w:r>
    </w:p>
    <w:sectPr w:rsidR="00835195" w:rsidRPr="000605EE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1AC" w:rsidRDefault="006C01AC">
      <w:r>
        <w:separator/>
      </w:r>
    </w:p>
  </w:endnote>
  <w:endnote w:type="continuationSeparator" w:id="0">
    <w:p w:rsidR="006C01AC" w:rsidRDefault="006C0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95" w:rsidRDefault="00835195">
    <w:pPr>
      <w:pStyle w:val="Header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1AC" w:rsidRDefault="006C01AC">
      <w:r>
        <w:separator/>
      </w:r>
    </w:p>
  </w:footnote>
  <w:footnote w:type="continuationSeparator" w:id="0">
    <w:p w:rsidR="006C01AC" w:rsidRDefault="006C01AC">
      <w:r>
        <w:continuationSeparator/>
      </w:r>
    </w:p>
  </w:footnote>
  <w:footnote w:type="continuationNotice" w:id="1">
    <w:p w:rsidR="006C01AC" w:rsidRDefault="006C01AC"/>
  </w:footnote>
  <w:footnote w:id="2">
    <w:p w:rsidR="00835195" w:rsidRDefault="00B823DC">
      <w:pPr>
        <w:pStyle w:val="FootnoteText"/>
      </w:pPr>
      <w:r>
        <w:rPr>
          <w:sz w:val="24"/>
          <w:szCs w:val="24"/>
          <w:vertAlign w:val="superscript"/>
        </w:rPr>
        <w:footnoteRef/>
      </w:r>
      <w:r>
        <w:t xml:space="preserve"> [inse</w:t>
      </w:r>
      <w:r w:rsidR="004743DB">
        <w:t xml:space="preserve">rt criteria from XXVI/9 para </w:t>
      </w:r>
      <w:r>
        <w:t>(1)</w:t>
      </w:r>
      <w:r w:rsidR="004743DB">
        <w:t>(a)</w:t>
      </w:r>
      <w:r>
        <w:t>]</w:t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5195" w:rsidRDefault="00835195">
    <w:pPr>
      <w:pStyle w:val="HeaderFoot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82B40"/>
    <w:multiLevelType w:val="multilevel"/>
    <w:tmpl w:val="BEF6627A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  <w:rtl w:val="0"/>
      </w:rPr>
    </w:lvl>
  </w:abstractNum>
  <w:abstractNum w:abstractNumId="1">
    <w:nsid w:val="386A6DEC"/>
    <w:multiLevelType w:val="multilevel"/>
    <w:tmpl w:val="727C72E4"/>
    <w:lvl w:ilvl="0">
      <w:start w:val="1"/>
      <w:numFmt w:val="upperRoman"/>
      <w:lvlText w:val="%1."/>
      <w:lvlJc w:val="left"/>
      <w:rPr>
        <w:position w:val="0"/>
      </w:rPr>
    </w:lvl>
    <w:lvl w:ilvl="1">
      <w:start w:val="1"/>
      <w:numFmt w:val="lowerLetter"/>
      <w:lvlText w:val="%2."/>
      <w:lvlJc w:val="left"/>
      <w:rPr>
        <w:position w:val="0"/>
      </w:rPr>
    </w:lvl>
    <w:lvl w:ilvl="2">
      <w:start w:val="1"/>
      <w:numFmt w:val="lowerRoman"/>
      <w:lvlText w:val="%3."/>
      <w:lvlJc w:val="left"/>
      <w:rPr>
        <w:position w:val="0"/>
      </w:rPr>
    </w:lvl>
    <w:lvl w:ilvl="3">
      <w:start w:val="1"/>
      <w:numFmt w:val="decimal"/>
      <w:lvlText w:val="%4."/>
      <w:lvlJc w:val="left"/>
      <w:rPr>
        <w:position w:val="0"/>
      </w:rPr>
    </w:lvl>
    <w:lvl w:ilvl="4">
      <w:start w:val="1"/>
      <w:numFmt w:val="lowerLetter"/>
      <w:lvlText w:val="%5."/>
      <w:lvlJc w:val="left"/>
      <w:rPr>
        <w:position w:val="0"/>
      </w:rPr>
    </w:lvl>
    <w:lvl w:ilvl="5">
      <w:start w:val="1"/>
      <w:numFmt w:val="lowerRoman"/>
      <w:lvlText w:val="%6."/>
      <w:lvlJc w:val="left"/>
      <w:rPr>
        <w:position w:val="0"/>
      </w:rPr>
    </w:lvl>
    <w:lvl w:ilvl="6">
      <w:start w:val="1"/>
      <w:numFmt w:val="decimal"/>
      <w:lvlText w:val="%7."/>
      <w:lvlJc w:val="left"/>
      <w:rPr>
        <w:position w:val="0"/>
      </w:rPr>
    </w:lvl>
    <w:lvl w:ilvl="7">
      <w:start w:val="1"/>
      <w:numFmt w:val="lowerLetter"/>
      <w:lvlText w:val="%8."/>
      <w:lvlJc w:val="left"/>
      <w:rPr>
        <w:position w:val="0"/>
      </w:rPr>
    </w:lvl>
    <w:lvl w:ilvl="8">
      <w:start w:val="1"/>
      <w:numFmt w:val="lowerRoman"/>
      <w:lvlText w:val="%9."/>
      <w:lvlJc w:val="left"/>
      <w:rPr>
        <w:position w:val="0"/>
      </w:rPr>
    </w:lvl>
  </w:abstractNum>
  <w:abstractNum w:abstractNumId="2">
    <w:nsid w:val="7B5B29FB"/>
    <w:multiLevelType w:val="multilevel"/>
    <w:tmpl w:val="62780766"/>
    <w:styleLink w:val="List0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position w:val="0"/>
        <w:sz w:val="24"/>
        <w:szCs w:val="24"/>
        <w:rtl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position w:val="0"/>
        <w:sz w:val="24"/>
        <w:szCs w:val="24"/>
        <w:rtl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296"/>
      </w:pPr>
      <w:rPr>
        <w:position w:val="0"/>
        <w:sz w:val="24"/>
        <w:szCs w:val="24"/>
        <w:rtl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position w:val="0"/>
        <w:sz w:val="24"/>
        <w:szCs w:val="24"/>
        <w:rtl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position w:val="0"/>
        <w:sz w:val="24"/>
        <w:szCs w:val="24"/>
        <w:rtl w:val="0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296"/>
      </w:pPr>
      <w:rPr>
        <w:position w:val="0"/>
        <w:sz w:val="24"/>
        <w:szCs w:val="24"/>
        <w:rtl w:val="0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position w:val="0"/>
        <w:sz w:val="24"/>
        <w:szCs w:val="24"/>
        <w:rtl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position w:val="0"/>
        <w:sz w:val="24"/>
        <w:szCs w:val="24"/>
        <w:rtl w:val="0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296"/>
      </w:pPr>
      <w:rPr>
        <w:position w:val="0"/>
        <w:sz w:val="24"/>
        <w:szCs w:val="24"/>
        <w:rtl w:val="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835195"/>
    <w:rsid w:val="000605EE"/>
    <w:rsid w:val="001042B9"/>
    <w:rsid w:val="00192873"/>
    <w:rsid w:val="002A7DC8"/>
    <w:rsid w:val="002E19CC"/>
    <w:rsid w:val="004743DB"/>
    <w:rsid w:val="00613BD4"/>
    <w:rsid w:val="0062486D"/>
    <w:rsid w:val="006C01AC"/>
    <w:rsid w:val="006C0BC9"/>
    <w:rsid w:val="007200E4"/>
    <w:rsid w:val="00784E8E"/>
    <w:rsid w:val="00835195"/>
    <w:rsid w:val="008609CE"/>
    <w:rsid w:val="009041B1"/>
    <w:rsid w:val="009B4D90"/>
    <w:rsid w:val="00A138DB"/>
    <w:rsid w:val="00AA193D"/>
    <w:rsid w:val="00B623B0"/>
    <w:rsid w:val="00B673B2"/>
    <w:rsid w:val="00B823DC"/>
    <w:rsid w:val="00E26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paragraph" w:styleId="FootnoteText">
    <w:name w:val="footnote text"/>
    <w:rPr>
      <w:rFonts w:ascii="Calibri" w:eastAsia="Calibri" w:hAnsi="Calibri" w:cs="Calibri"/>
      <w:color w:val="000000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E1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9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9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9C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ListParagraph">
    <w:name w:val="List Paragraph"/>
    <w:pP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numbering" w:customStyle="1" w:styleId="List0">
    <w:name w:val="List 0"/>
    <w:basedOn w:val="ImportedStyle1"/>
    <w:pPr>
      <w:numPr>
        <w:numId w:val="3"/>
      </w:numPr>
    </w:pPr>
  </w:style>
  <w:style w:type="numbering" w:customStyle="1" w:styleId="ImportedStyle1">
    <w:name w:val="Imported Style 1"/>
  </w:style>
  <w:style w:type="paragraph" w:styleId="FootnoteText">
    <w:name w:val="footnote text"/>
    <w:rPr>
      <w:rFonts w:ascii="Calibri" w:eastAsia="Calibri" w:hAnsi="Calibri" w:cs="Calibri"/>
      <w:color w:val="000000"/>
      <w:u w:color="000000"/>
    </w:rPr>
  </w:style>
  <w:style w:type="character" w:styleId="CommentReference">
    <w:name w:val="annotation reference"/>
    <w:basedOn w:val="DefaultParagraphFont"/>
    <w:uiPriority w:val="99"/>
    <w:semiHidden/>
    <w:unhideWhenUsed/>
    <w:rsid w:val="002E19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19C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19CC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19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19CC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9C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A5028697DC3145AFD5BA725BF32397" ma:contentTypeVersion="" ma:contentTypeDescription="Create a new document." ma:contentTypeScope="" ma:versionID="44c068c95a9453bdce2b87fefc4612e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E304285-1390-4541-99EC-7FDB9DA09888}"/>
</file>

<file path=customXml/itemProps2.xml><?xml version="1.0" encoding="utf-8"?>
<ds:datastoreItem xmlns:ds="http://schemas.openxmlformats.org/officeDocument/2006/customXml" ds:itemID="{4A95FEBB-52EC-49B3-8165-5A1405B2811B}"/>
</file>

<file path=customXml/itemProps3.xml><?xml version="1.0" encoding="utf-8"?>
<ds:datastoreItem xmlns:ds="http://schemas.openxmlformats.org/officeDocument/2006/customXml" ds:itemID="{01E1A12D-A087-4B82-9D09-1BB2AC82B90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Macintosh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 S Department of State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Clark, Andrew D</dc:creator>
  <cp:lastModifiedBy>Ozone Secretariat</cp:lastModifiedBy>
  <cp:revision>2</cp:revision>
  <dcterms:created xsi:type="dcterms:W3CDTF">2015-11-05T11:30:00Z</dcterms:created>
  <dcterms:modified xsi:type="dcterms:W3CDTF">2015-11-05T11:30:00Z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0x01010092A5028697DC3145AFD5BA725BF32397</vt:lpwstr>
  </property>
</Properties>
</file>