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F97FA3" w:rsidRPr="00F97FA3" w14:paraId="29790C3E" w14:textId="77777777" w:rsidTr="00E334D0">
        <w:trPr>
          <w:trHeight w:val="850"/>
        </w:trPr>
        <w:tc>
          <w:tcPr>
            <w:tcW w:w="1559" w:type="dxa"/>
          </w:tcPr>
          <w:p w14:paraId="04DF0ECC" w14:textId="56805396" w:rsidR="00F97FA3" w:rsidRPr="00F97FA3" w:rsidRDefault="00F97FA3" w:rsidP="00F97FA3">
            <w:pPr>
              <w:tabs>
                <w:tab w:val="left" w:pos="4082"/>
              </w:tabs>
              <w:bidi/>
              <w:adjustRightInd w:val="0"/>
              <w:snapToGrid w:val="0"/>
              <w:spacing w:before="80" w:line="480" w:lineRule="exact"/>
              <w:jc w:val="both"/>
              <w:rPr>
                <w:rFonts w:ascii="Simplified Arabic" w:hAnsi="Simplified Arabic" w:hint="default"/>
                <w:b/>
                <w:bCs/>
                <w:caps/>
                <w:color w:val="000000"/>
                <w:sz w:val="44"/>
                <w:szCs w:val="44"/>
                <w:lang w:val="en-US" w:eastAsia="en-US"/>
              </w:rPr>
            </w:pPr>
            <w:r w:rsidRPr="00F97FA3">
              <w:rPr>
                <w:rFonts w:ascii="Simplified Arabic" w:hAnsi="Simplified Arabic"/>
                <w:b/>
                <w:bCs/>
                <w:caps/>
                <w:color w:val="000000"/>
                <w:sz w:val="44"/>
                <w:szCs w:val="44"/>
                <w:rtl/>
                <w:lang w:val="en-GB" w:eastAsia="en-US"/>
              </w:rPr>
              <w:t>الأ</w:t>
            </w:r>
            <w:r w:rsidR="00B3754B">
              <w:rPr>
                <w:rFonts w:ascii="Simplified Arabic" w:hAnsi="Simplified Arabic"/>
                <w:b/>
                <w:bCs/>
                <w:caps/>
                <w:color w:val="000000"/>
                <w:sz w:val="44"/>
                <w:szCs w:val="44"/>
                <w:rtl/>
                <w:lang w:val="en-GB" w:eastAsia="en-US"/>
              </w:rPr>
              <w:t>م</w:t>
            </w:r>
            <w:r w:rsidRPr="00F97FA3">
              <w:rPr>
                <w:rFonts w:ascii="Simplified Arabic" w:hAnsi="Simplified Arabic"/>
                <w:b/>
                <w:bCs/>
                <w:caps/>
                <w:color w:val="000000"/>
                <w:sz w:val="44"/>
                <w:szCs w:val="44"/>
                <w:rtl/>
                <w:lang w:val="en-GB" w:eastAsia="en-US"/>
              </w:rPr>
              <w:t>م</w:t>
            </w:r>
            <w:r w:rsidRPr="00F97FA3">
              <w:rPr>
                <w:rFonts w:ascii="Simplified Arabic" w:hAnsi="Simplified Arabic"/>
                <w:b/>
                <w:bCs/>
                <w:caps/>
                <w:color w:val="000000"/>
                <w:sz w:val="44"/>
                <w:szCs w:val="44"/>
                <w:rtl/>
                <w:lang w:val="en-GB" w:eastAsia="en-US"/>
              </w:rPr>
              <w:br/>
              <w:t>المتحدة</w:t>
            </w:r>
          </w:p>
        </w:tc>
        <w:tc>
          <w:tcPr>
            <w:tcW w:w="6520" w:type="dxa"/>
          </w:tcPr>
          <w:p w14:paraId="7C476D1E" w14:textId="77777777" w:rsidR="00F97FA3" w:rsidRPr="00F97FA3" w:rsidRDefault="00F97FA3" w:rsidP="00F97FA3">
            <w:pPr>
              <w:tabs>
                <w:tab w:val="left" w:pos="624"/>
                <w:tab w:val="left" w:pos="4082"/>
              </w:tabs>
              <w:bidi/>
              <w:rPr>
                <w:rFonts w:ascii="Simplified Arabic" w:eastAsia="Times New Roman" w:hAnsi="Simplified Arabic" w:hint="default"/>
                <w:sz w:val="24"/>
                <w:szCs w:val="20"/>
                <w:lang w:val="en-US" w:eastAsia="en-US"/>
              </w:rPr>
            </w:pPr>
            <w:r w:rsidRPr="00F97FA3">
              <w:rPr>
                <w:rFonts w:ascii="Simplified Arabic" w:eastAsia="Times New Roman" w:hAnsi="Simplified Arabic"/>
                <w:noProof/>
                <w:sz w:val="24"/>
                <w:szCs w:val="20"/>
                <w:lang w:val="en-US" w:eastAsia="en-US"/>
                <w14:ligatures w14:val="standardContextual"/>
              </w:rPr>
              <w:drawing>
                <wp:anchor distT="0" distB="0" distL="114300" distR="114300" simplePos="0" relativeHeight="251659264" behindDoc="1" locked="0" layoutInCell="1" allowOverlap="1" wp14:anchorId="4C215361" wp14:editId="78D3ED23">
                  <wp:simplePos x="0" y="0"/>
                  <wp:positionH relativeFrom="column">
                    <wp:posOffset>2865866</wp:posOffset>
                  </wp:positionH>
                  <wp:positionV relativeFrom="paragraph">
                    <wp:posOffset>8890</wp:posOffset>
                  </wp:positionV>
                  <wp:extent cx="1305763" cy="573559"/>
                  <wp:effectExtent l="0" t="0" r="8890" b="0"/>
                  <wp:wrapNone/>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5B320866" w14:textId="77777777" w:rsidR="00F97FA3" w:rsidRPr="00F97FA3" w:rsidRDefault="00F97FA3" w:rsidP="00F97FA3">
            <w:pPr>
              <w:tabs>
                <w:tab w:val="left" w:pos="624"/>
                <w:tab w:val="left" w:pos="4082"/>
              </w:tabs>
              <w:rPr>
                <w:rFonts w:eastAsia="Times New Roman" w:cs="Times New Roman" w:hint="default"/>
                <w:szCs w:val="20"/>
                <w:lang w:val="en-US" w:eastAsia="en-US"/>
              </w:rPr>
            </w:pPr>
          </w:p>
        </w:tc>
      </w:tr>
    </w:tbl>
    <w:p w14:paraId="23D7828A" w14:textId="77777777" w:rsidR="00F97FA3" w:rsidRPr="00F97FA3" w:rsidRDefault="00F97FA3" w:rsidP="00F97FA3">
      <w:pPr>
        <w:tabs>
          <w:tab w:val="clear" w:pos="1247"/>
          <w:tab w:val="clear" w:pos="1814"/>
          <w:tab w:val="clear" w:pos="2381"/>
          <w:tab w:val="clear" w:pos="2948"/>
          <w:tab w:val="clear" w:pos="3515"/>
        </w:tabs>
        <w:rPr>
          <w:rFonts w:cs="Times New Roman" w:hint="default"/>
          <w:sz w:val="2"/>
          <w:szCs w:val="2"/>
          <w:lang w:val="en-US" w:eastAsia="en-US"/>
        </w:rPr>
      </w:pPr>
    </w:p>
    <w:tbl>
      <w:tblPr>
        <w:bidiVisual/>
        <w:tblW w:w="9495" w:type="dxa"/>
        <w:tblLook w:val="0000" w:firstRow="0" w:lastRow="0" w:firstColumn="0" w:lastColumn="0" w:noHBand="0" w:noVBand="0"/>
      </w:tblPr>
      <w:tblGrid>
        <w:gridCol w:w="6377"/>
        <w:gridCol w:w="3118"/>
      </w:tblGrid>
      <w:tr w:rsidR="00F97FA3" w:rsidRPr="00F97FA3" w14:paraId="6DF77B4B" w14:textId="77777777" w:rsidTr="00E334D0">
        <w:trPr>
          <w:trHeight w:val="340"/>
        </w:trPr>
        <w:tc>
          <w:tcPr>
            <w:tcW w:w="3358" w:type="pct"/>
            <w:vAlign w:val="bottom"/>
          </w:tcPr>
          <w:p w14:paraId="1DB79DB5" w14:textId="77777777" w:rsidR="00F97FA3" w:rsidRPr="00F97FA3" w:rsidRDefault="00F97FA3" w:rsidP="00F97FA3">
            <w:pPr>
              <w:tabs>
                <w:tab w:val="left" w:pos="624"/>
                <w:tab w:val="left" w:pos="4082"/>
              </w:tabs>
              <w:bidi/>
              <w:rPr>
                <w:rFonts w:ascii="Simplified Arabic" w:eastAsia="Times New Roman" w:hAnsi="Simplified Arabic" w:hint="default"/>
                <w:szCs w:val="20"/>
                <w:lang w:val="en-US" w:eastAsia="en-US"/>
              </w:rPr>
            </w:pPr>
          </w:p>
        </w:tc>
        <w:tc>
          <w:tcPr>
            <w:tcW w:w="1642" w:type="pct"/>
            <w:noWrap/>
            <w:vAlign w:val="bottom"/>
          </w:tcPr>
          <w:p w14:paraId="2829FDB9" w14:textId="6EF2BD56" w:rsidR="00F97FA3" w:rsidRPr="00DA1119" w:rsidRDefault="00F97FA3" w:rsidP="00F97FA3">
            <w:pPr>
              <w:tabs>
                <w:tab w:val="clear" w:pos="1247"/>
                <w:tab w:val="clear" w:pos="1814"/>
                <w:tab w:val="clear" w:pos="2381"/>
                <w:tab w:val="clear" w:pos="2948"/>
                <w:tab w:val="clear" w:pos="3515"/>
                <w:tab w:val="left" w:pos="624"/>
                <w:tab w:val="right" w:pos="2920"/>
              </w:tabs>
              <w:rPr>
                <w:rFonts w:cs="Times New Roman" w:hint="default"/>
                <w:szCs w:val="20"/>
                <w:lang w:val="en-GB" w:eastAsia="en-US"/>
              </w:rPr>
            </w:pPr>
            <w:r w:rsidRPr="00F97FA3">
              <w:rPr>
                <w:rFonts w:cs="Times New Roman"/>
                <w:b/>
                <w:sz w:val="28"/>
                <w:szCs w:val="20"/>
                <w:lang w:val="en-GB" w:eastAsia="en-US"/>
              </w:rPr>
              <w:t>UNEP</w:t>
            </w:r>
            <w:r w:rsidRPr="00F97FA3">
              <w:rPr>
                <w:rFonts w:cs="Times New Roman"/>
                <w:bCs/>
                <w:szCs w:val="20"/>
                <w:lang w:val="en-GB" w:eastAsia="en-US"/>
              </w:rPr>
              <w:t>/OzL.Pro/ImpCom/7</w:t>
            </w:r>
            <w:r w:rsidR="000E10C8">
              <w:rPr>
                <w:rFonts w:cs="Times New Roman" w:hint="default"/>
                <w:bCs/>
                <w:szCs w:val="20"/>
                <w:lang w:val="en-GB" w:eastAsia="en-US"/>
              </w:rPr>
              <w:t>5</w:t>
            </w:r>
            <w:r w:rsidRPr="00F97FA3">
              <w:rPr>
                <w:rFonts w:cs="Times New Roman"/>
                <w:bCs/>
                <w:szCs w:val="20"/>
                <w:lang w:val="en-GB" w:eastAsia="en-US"/>
              </w:rPr>
              <w:t>/</w:t>
            </w:r>
            <w:r w:rsidR="00DA1119">
              <w:rPr>
                <w:rFonts w:cs="Times New Roman" w:hint="default"/>
                <w:bCs/>
                <w:szCs w:val="20"/>
                <w:lang w:val="en-GB" w:eastAsia="en-US"/>
              </w:rPr>
              <w:t>6</w:t>
            </w:r>
          </w:p>
        </w:tc>
      </w:tr>
    </w:tbl>
    <w:p w14:paraId="4A41EB53" w14:textId="77777777" w:rsidR="00F97FA3" w:rsidRPr="00F97FA3" w:rsidRDefault="00F97FA3" w:rsidP="00F97FA3">
      <w:pPr>
        <w:tabs>
          <w:tab w:val="clear" w:pos="1247"/>
          <w:tab w:val="clear" w:pos="1814"/>
          <w:tab w:val="clear" w:pos="2381"/>
          <w:tab w:val="clear" w:pos="2948"/>
          <w:tab w:val="clear" w:pos="3515"/>
        </w:tabs>
        <w:rPr>
          <w:rFonts w:cs="Times New Roman" w:hint="default"/>
          <w:sz w:val="2"/>
          <w:szCs w:val="2"/>
          <w:lang w:val="en-US" w:eastAsia="en-US"/>
        </w:rPr>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F97FA3" w:rsidRPr="00F97FA3" w14:paraId="31347AE1" w14:textId="77777777" w:rsidTr="00E334D0">
        <w:trPr>
          <w:trHeight w:val="2960"/>
        </w:trPr>
        <w:tc>
          <w:tcPr>
            <w:tcW w:w="5386" w:type="dxa"/>
          </w:tcPr>
          <w:p w14:paraId="5DEDAB63" w14:textId="77777777" w:rsidR="00F97FA3" w:rsidRPr="00F97FA3" w:rsidRDefault="00F97FA3" w:rsidP="00F97FA3">
            <w:pPr>
              <w:tabs>
                <w:tab w:val="clear" w:pos="1247"/>
                <w:tab w:val="clear" w:pos="1814"/>
                <w:tab w:val="clear" w:pos="2381"/>
                <w:tab w:val="clear" w:pos="2948"/>
                <w:tab w:val="clear" w:pos="3515"/>
              </w:tabs>
              <w:bidi/>
              <w:adjustRightInd w:val="0"/>
              <w:snapToGrid w:val="0"/>
              <w:spacing w:after="240" w:line="660" w:lineRule="exact"/>
              <w:ind w:right="1882"/>
              <w:jc w:val="both"/>
              <w:rPr>
                <w:rFonts w:ascii="Simplified Arabic" w:hAnsi="Simplified Arabic" w:hint="default"/>
                <w:b/>
                <w:bCs/>
                <w:sz w:val="42"/>
                <w:szCs w:val="42"/>
                <w:lang w:val="en-GB" w:eastAsia="en-US"/>
              </w:rPr>
            </w:pPr>
            <w:r w:rsidRPr="00F97FA3">
              <w:rPr>
                <w:rFonts w:ascii="Simplified Arabic" w:hAnsi="Simplified Arabic"/>
                <w:b/>
                <w:bCs/>
                <w:sz w:val="42"/>
                <w:szCs w:val="42"/>
                <w:rtl/>
                <w:lang w:val="en-GB" w:eastAsia="en-US"/>
              </w:rPr>
              <w:t>بروتوكول مونتريال بشأن المـواد المـسـتـنـفـدة لطـبقة الأوزون</w:t>
            </w:r>
          </w:p>
        </w:tc>
        <w:tc>
          <w:tcPr>
            <w:tcW w:w="992" w:type="dxa"/>
          </w:tcPr>
          <w:p w14:paraId="01D4E5D0" w14:textId="77777777" w:rsidR="00F97FA3" w:rsidRPr="00F97FA3" w:rsidRDefault="00F97FA3" w:rsidP="00F97FA3">
            <w:pPr>
              <w:tabs>
                <w:tab w:val="left" w:pos="624"/>
                <w:tab w:val="left" w:pos="4082"/>
              </w:tabs>
              <w:bidi/>
              <w:rPr>
                <w:rFonts w:ascii="Simplified Arabic" w:eastAsia="Times New Roman" w:hAnsi="Simplified Arabic" w:hint="default"/>
                <w:szCs w:val="20"/>
                <w:lang w:val="en-US" w:eastAsia="en-US"/>
              </w:rPr>
            </w:pPr>
          </w:p>
        </w:tc>
        <w:tc>
          <w:tcPr>
            <w:tcW w:w="3118" w:type="dxa"/>
          </w:tcPr>
          <w:p w14:paraId="5F80FECE" w14:textId="12C2E513" w:rsidR="00F97FA3" w:rsidRPr="00F97FA3" w:rsidRDefault="00F97FA3" w:rsidP="00F97FA3">
            <w:pPr>
              <w:tabs>
                <w:tab w:val="left" w:pos="4082"/>
              </w:tabs>
              <w:adjustRightInd w:val="0"/>
              <w:snapToGrid w:val="0"/>
              <w:spacing w:before="120" w:after="200"/>
              <w:rPr>
                <w:rFonts w:cs="Times New Roman" w:hint="default"/>
                <w:szCs w:val="20"/>
                <w:lang w:val="en-GB" w:eastAsia="en-US"/>
              </w:rPr>
            </w:pPr>
            <w:r w:rsidRPr="00F97FA3">
              <w:rPr>
                <w:rFonts w:cs="Times New Roman"/>
                <w:szCs w:val="20"/>
                <w:lang w:val="en-GB" w:eastAsia="en-US"/>
              </w:rPr>
              <w:t xml:space="preserve">Distr.: </w:t>
            </w:r>
            <w:r>
              <w:rPr>
                <w:rFonts w:cs="Times New Roman" w:hint="default"/>
                <w:szCs w:val="20"/>
                <w:lang w:val="en-GB" w:eastAsia="en-US"/>
              </w:rPr>
              <w:t>General</w:t>
            </w:r>
            <w:r w:rsidRPr="00F97FA3">
              <w:rPr>
                <w:rFonts w:cs="Times New Roman"/>
                <w:szCs w:val="20"/>
                <w:lang w:val="en-GB" w:eastAsia="en-US"/>
              </w:rPr>
              <w:br/>
            </w:r>
            <w:r w:rsidR="000E10C8">
              <w:rPr>
                <w:rFonts w:cs="Times New Roman" w:hint="default"/>
                <w:szCs w:val="20"/>
                <w:lang w:val="en-GB" w:eastAsia="en-US"/>
              </w:rPr>
              <w:t>1</w:t>
            </w:r>
            <w:r>
              <w:rPr>
                <w:rFonts w:cs="Times New Roman" w:hint="default"/>
                <w:szCs w:val="20"/>
                <w:lang w:val="en-GB" w:eastAsia="en-US"/>
              </w:rPr>
              <w:t>2</w:t>
            </w:r>
            <w:r w:rsidRPr="00F97FA3">
              <w:rPr>
                <w:rFonts w:cs="Times New Roman"/>
                <w:szCs w:val="20"/>
                <w:lang w:val="en-GB" w:eastAsia="en-US"/>
              </w:rPr>
              <w:t xml:space="preserve"> </w:t>
            </w:r>
            <w:r w:rsidR="000E10C8">
              <w:rPr>
                <w:rFonts w:cs="Times New Roman" w:hint="default"/>
                <w:szCs w:val="20"/>
                <w:lang w:val="en-GB" w:eastAsia="en-US"/>
              </w:rPr>
              <w:t>November</w:t>
            </w:r>
            <w:r w:rsidRPr="00F97FA3">
              <w:rPr>
                <w:rFonts w:cs="Times New Roman"/>
                <w:szCs w:val="20"/>
                <w:lang w:val="en-GB" w:eastAsia="en-US"/>
              </w:rPr>
              <w:t xml:space="preserve"> 2025</w:t>
            </w:r>
          </w:p>
          <w:p w14:paraId="72BBFF0D" w14:textId="158A3281" w:rsidR="00F97FA3" w:rsidRPr="00F97FA3" w:rsidRDefault="00F97FA3" w:rsidP="00F97FA3">
            <w:pPr>
              <w:tabs>
                <w:tab w:val="left" w:pos="4082"/>
              </w:tabs>
              <w:adjustRightInd w:val="0"/>
              <w:snapToGrid w:val="0"/>
              <w:spacing w:before="120"/>
              <w:rPr>
                <w:rFonts w:cs="Times New Roman" w:hint="default"/>
                <w:szCs w:val="20"/>
                <w:lang w:val="en-GB" w:eastAsia="en-US"/>
              </w:rPr>
            </w:pPr>
            <w:bookmarkStart w:id="0" w:name="DistributionLang"/>
            <w:r>
              <w:rPr>
                <w:rFonts w:cs="Times New Roman" w:hint="default"/>
                <w:szCs w:val="20"/>
                <w:lang w:val="en-GB" w:eastAsia="en-US"/>
              </w:rPr>
              <w:t>Arabic</w:t>
            </w:r>
            <w:r>
              <w:rPr>
                <w:rFonts w:cs="Times New Roman" w:hint="default"/>
                <w:szCs w:val="20"/>
                <w:lang w:val="en-GB" w:eastAsia="en-US"/>
              </w:rPr>
              <w:br/>
            </w:r>
            <w:r w:rsidRPr="00F97FA3">
              <w:rPr>
                <w:rFonts w:cs="Times New Roman"/>
                <w:szCs w:val="20"/>
                <w:lang w:val="en-GB" w:eastAsia="en-US"/>
              </w:rPr>
              <w:t>Original: English</w:t>
            </w:r>
            <w:bookmarkEnd w:id="0"/>
          </w:p>
        </w:tc>
      </w:tr>
    </w:tbl>
    <w:p w14:paraId="455AC59B" w14:textId="77777777" w:rsidR="00F97FA3" w:rsidRPr="00F97FA3" w:rsidRDefault="00F97FA3" w:rsidP="00F97FA3">
      <w:pPr>
        <w:tabs>
          <w:tab w:val="clear" w:pos="1247"/>
          <w:tab w:val="clear" w:pos="1814"/>
          <w:tab w:val="clear" w:pos="2381"/>
          <w:tab w:val="clear" w:pos="2948"/>
          <w:tab w:val="clear" w:pos="3515"/>
        </w:tabs>
        <w:rPr>
          <w:rFonts w:cs="Times New Roman" w:hint="default"/>
          <w:sz w:val="2"/>
          <w:szCs w:val="2"/>
          <w:lang w:val="en-US" w:eastAsia="en-US"/>
        </w:rPr>
      </w:pPr>
    </w:p>
    <w:tbl>
      <w:tblPr>
        <w:bidiVisual/>
        <w:tblW w:w="9496" w:type="dxa"/>
        <w:tblLayout w:type="fixed"/>
        <w:tblCellMar>
          <w:left w:w="0" w:type="dxa"/>
          <w:right w:w="0" w:type="dxa"/>
        </w:tblCellMar>
        <w:tblLook w:val="0000" w:firstRow="0" w:lastRow="0" w:firstColumn="0" w:lastColumn="0" w:noHBand="0" w:noVBand="0"/>
      </w:tblPr>
      <w:tblGrid>
        <w:gridCol w:w="4961"/>
        <w:gridCol w:w="4535"/>
      </w:tblGrid>
      <w:tr w:rsidR="00F97FA3" w:rsidRPr="00F97FA3" w14:paraId="7470CA71" w14:textId="77777777" w:rsidTr="00E334D0">
        <w:trPr>
          <w:trHeight w:val="57"/>
        </w:trPr>
        <w:tc>
          <w:tcPr>
            <w:tcW w:w="4961" w:type="dxa"/>
          </w:tcPr>
          <w:p w14:paraId="465BAA2B" w14:textId="77777777" w:rsidR="00F97FA3" w:rsidRPr="00F97FA3" w:rsidRDefault="00F97FA3" w:rsidP="00BE2205">
            <w:pPr>
              <w:tabs>
                <w:tab w:val="clear" w:pos="1247"/>
                <w:tab w:val="clear" w:pos="1814"/>
                <w:tab w:val="clear" w:pos="2381"/>
                <w:tab w:val="clear" w:pos="2948"/>
                <w:tab w:val="clear" w:pos="3515"/>
              </w:tabs>
              <w:bidi/>
              <w:spacing w:line="380" w:lineRule="exact"/>
              <w:ind w:left="11" w:right="424"/>
              <w:jc w:val="both"/>
              <w:rPr>
                <w:rFonts w:ascii="Calibri" w:hAnsi="Calibri" w:hint="default"/>
                <w:b/>
                <w:bCs/>
                <w:sz w:val="24"/>
                <w:szCs w:val="24"/>
                <w:rtl/>
                <w:lang w:val="ru-RU" w:eastAsia="en-US"/>
              </w:rPr>
            </w:pPr>
            <w:bookmarkStart w:id="1" w:name="CorNot1Text"/>
            <w:r w:rsidRPr="00F97FA3">
              <w:rPr>
                <w:rFonts w:ascii="Simplified Arabic" w:hAnsi="Simplified Arabic"/>
                <w:b/>
                <w:bCs/>
                <w:sz w:val="24"/>
                <w:szCs w:val="24"/>
                <w:rtl/>
                <w:lang w:val="ru-RU" w:eastAsia="en-US"/>
              </w:rPr>
              <w:t>لجنة التنفيذ بموجب إجراء عدم الامتثال لبروتوكول مونتريال</w:t>
            </w:r>
          </w:p>
          <w:p w14:paraId="459C0BD0" w14:textId="11AA990A" w:rsidR="00F97FA3" w:rsidRPr="00F97FA3" w:rsidRDefault="00F97FA3" w:rsidP="00F97FA3">
            <w:pPr>
              <w:tabs>
                <w:tab w:val="clear" w:pos="1247"/>
                <w:tab w:val="clear" w:pos="1814"/>
                <w:tab w:val="clear" w:pos="2381"/>
                <w:tab w:val="clear" w:pos="2948"/>
                <w:tab w:val="clear" w:pos="3515"/>
              </w:tabs>
              <w:bidi/>
              <w:spacing w:line="380" w:lineRule="exact"/>
              <w:ind w:left="11" w:right="1990"/>
              <w:jc w:val="both"/>
              <w:rPr>
                <w:rFonts w:ascii="Calibri" w:hAnsi="Calibri" w:hint="default"/>
                <w:b/>
                <w:bCs/>
                <w:sz w:val="24"/>
                <w:szCs w:val="24"/>
                <w:rtl/>
                <w:lang w:val="ru-RU" w:eastAsia="en-US"/>
              </w:rPr>
            </w:pPr>
            <w:r w:rsidRPr="00F97FA3">
              <w:rPr>
                <w:rFonts w:ascii="Simplified Arabic" w:hAnsi="Simplified Arabic"/>
                <w:b/>
                <w:bCs/>
                <w:sz w:val="24"/>
                <w:szCs w:val="24"/>
                <w:rtl/>
                <w:lang w:val="ru-RU" w:eastAsia="en-US"/>
              </w:rPr>
              <w:t xml:space="preserve">الاجتماع </w:t>
            </w:r>
            <w:r w:rsidR="000E10C8">
              <w:rPr>
                <w:rFonts w:ascii="Simplified Arabic" w:hAnsi="Simplified Arabic"/>
                <w:b/>
                <w:bCs/>
                <w:sz w:val="24"/>
                <w:szCs w:val="24"/>
                <w:rtl/>
                <w:lang w:val="ru-RU" w:eastAsia="en-US"/>
              </w:rPr>
              <w:t>الخامس</w:t>
            </w:r>
            <w:r w:rsidRPr="00F97FA3">
              <w:rPr>
                <w:rFonts w:ascii="Simplified Arabic" w:hAnsi="Simplified Arabic"/>
                <w:b/>
                <w:bCs/>
                <w:sz w:val="24"/>
                <w:szCs w:val="24"/>
                <w:rtl/>
                <w:lang w:val="ru-RU" w:eastAsia="en-US"/>
              </w:rPr>
              <w:t xml:space="preserve"> والسبعون</w:t>
            </w:r>
            <w:bookmarkEnd w:id="1"/>
          </w:p>
          <w:p w14:paraId="0E7DFC63" w14:textId="6EAA1CA7" w:rsidR="00F97FA3" w:rsidRPr="00F97FA3" w:rsidRDefault="000E10C8" w:rsidP="00BE2205">
            <w:pPr>
              <w:tabs>
                <w:tab w:val="clear" w:pos="1247"/>
                <w:tab w:val="clear" w:pos="1814"/>
                <w:tab w:val="clear" w:pos="2381"/>
                <w:tab w:val="clear" w:pos="2948"/>
                <w:tab w:val="clear" w:pos="3515"/>
              </w:tabs>
              <w:bidi/>
              <w:spacing w:after="360" w:line="360" w:lineRule="exact"/>
              <w:ind w:left="11" w:right="140"/>
              <w:jc w:val="both"/>
              <w:rPr>
                <w:rFonts w:ascii="Simplified Arabic" w:hAnsi="Simplified Arabic" w:hint="default"/>
                <w:sz w:val="24"/>
                <w:szCs w:val="24"/>
                <w:lang w:val="en-US" w:eastAsia="en-US"/>
              </w:rPr>
            </w:pPr>
            <w:bookmarkStart w:id="2" w:name="CorNot1VenueDate"/>
            <w:r>
              <w:rPr>
                <w:rFonts w:ascii="Simplified Arabic" w:hAnsi="Simplified Arabic"/>
                <w:sz w:val="24"/>
                <w:szCs w:val="24"/>
                <w:rtl/>
                <w:lang w:val="ru-RU" w:eastAsia="en-US"/>
              </w:rPr>
              <w:t>نيروبي</w:t>
            </w:r>
            <w:r w:rsidR="00F97FA3" w:rsidRPr="00F97FA3">
              <w:rPr>
                <w:rFonts w:ascii="Simplified Arabic" w:hAnsi="Simplified Arabic"/>
                <w:sz w:val="24"/>
                <w:szCs w:val="24"/>
                <w:rtl/>
                <w:lang w:val="ru-RU" w:eastAsia="en-US"/>
              </w:rPr>
              <w:t xml:space="preserve">، </w:t>
            </w:r>
            <w:r>
              <w:rPr>
                <w:rFonts w:ascii="Simplified Arabic" w:hAnsi="Simplified Arabic"/>
                <w:sz w:val="24"/>
                <w:szCs w:val="24"/>
                <w:rtl/>
                <w:lang w:val="ru-RU" w:eastAsia="en-US"/>
              </w:rPr>
              <w:t>31 تشرين الأول/أكتوبر</w:t>
            </w:r>
            <w:r w:rsidR="0075022F">
              <w:rPr>
                <w:rFonts w:ascii="Simplified Arabic" w:hAnsi="Simplified Arabic"/>
                <w:sz w:val="24"/>
                <w:szCs w:val="24"/>
                <w:rtl/>
                <w:lang w:val="ru-RU" w:eastAsia="en-US"/>
              </w:rPr>
              <w:t xml:space="preserve"> و1 تشرين الثاني/نوفمبر</w:t>
            </w:r>
            <w:r w:rsidR="00F97FA3" w:rsidRPr="00F97FA3">
              <w:rPr>
                <w:rFonts w:ascii="Simplified Arabic" w:hAnsi="Simplified Arabic"/>
                <w:sz w:val="24"/>
                <w:szCs w:val="24"/>
                <w:rtl/>
                <w:lang w:val="ru-RU" w:eastAsia="en-US"/>
              </w:rPr>
              <w:t xml:space="preserve"> </w:t>
            </w:r>
            <w:bookmarkEnd w:id="2"/>
            <w:r w:rsidR="00F97FA3" w:rsidRPr="00F97FA3">
              <w:rPr>
                <w:rFonts w:ascii="Simplified Arabic" w:hAnsi="Simplified Arabic"/>
                <w:sz w:val="24"/>
                <w:szCs w:val="24"/>
                <w:rtl/>
                <w:lang w:val="ru-RU" w:eastAsia="en-US"/>
              </w:rPr>
              <w:t>2025</w:t>
            </w:r>
          </w:p>
        </w:tc>
        <w:tc>
          <w:tcPr>
            <w:tcW w:w="4535" w:type="dxa"/>
          </w:tcPr>
          <w:p w14:paraId="124822EE" w14:textId="77777777" w:rsidR="00F97FA3" w:rsidRPr="00F97FA3" w:rsidRDefault="00F97FA3" w:rsidP="00F97FA3">
            <w:pPr>
              <w:tabs>
                <w:tab w:val="left" w:pos="624"/>
                <w:tab w:val="left" w:pos="4082"/>
              </w:tabs>
              <w:rPr>
                <w:rFonts w:eastAsia="Times New Roman" w:cs="Times New Roman" w:hint="default"/>
                <w:szCs w:val="20"/>
                <w:lang w:val="en-US" w:eastAsia="en-US"/>
              </w:rPr>
            </w:pPr>
          </w:p>
        </w:tc>
      </w:tr>
    </w:tbl>
    <w:p w14:paraId="242D803D" w14:textId="2FCA6A39" w:rsidR="00583CAB" w:rsidRPr="000B5AE8" w:rsidRDefault="00583CAB" w:rsidP="000B5AE8">
      <w:pPr>
        <w:pStyle w:val="BBTitle"/>
        <w:keepNext w:val="0"/>
        <w:keepLines w:val="0"/>
        <w:tabs>
          <w:tab w:val="clear" w:pos="624"/>
          <w:tab w:val="clear" w:pos="1247"/>
          <w:tab w:val="clear" w:pos="1871"/>
          <w:tab w:val="clear" w:pos="2495"/>
          <w:tab w:val="clear" w:pos="3119"/>
          <w:tab w:val="clear" w:pos="3742"/>
          <w:tab w:val="clear" w:pos="4366"/>
          <w:tab w:val="clear" w:pos="4990"/>
        </w:tabs>
        <w:bidi/>
        <w:spacing w:before="0" w:line="440" w:lineRule="exact"/>
        <w:ind w:left="1134" w:right="0"/>
        <w:jc w:val="both"/>
        <w:textDirection w:val="tbRlV"/>
        <w:rPr>
          <w:rFonts w:ascii="Simplified Arabic" w:hAnsi="Simplified Arabic" w:cs="Simplified Arabic"/>
          <w:bCs/>
          <w:sz w:val="30"/>
          <w:szCs w:val="30"/>
          <w:rtl/>
          <w:lang w:val="ar-SA" w:eastAsia="zh-TW" w:bidi="en-GB"/>
        </w:rPr>
      </w:pPr>
      <w:r w:rsidRPr="000B5AE8">
        <w:rPr>
          <w:rFonts w:ascii="Simplified Arabic" w:hAnsi="Simplified Arabic" w:cs="Simplified Arabic"/>
          <w:bCs/>
          <w:sz w:val="30"/>
          <w:szCs w:val="30"/>
          <w:rtl/>
        </w:rPr>
        <w:t xml:space="preserve">تقرير لجنة التنفيذ بموجب إجراء عدم الامتثال لبروتوكول مونتريال عن أعمال اجتماعها </w:t>
      </w:r>
      <w:r w:rsidR="0075022F" w:rsidRPr="000B5AE8">
        <w:rPr>
          <w:rFonts w:ascii="Simplified Arabic" w:hAnsi="Simplified Arabic" w:cs="Simplified Arabic" w:hint="cs"/>
          <w:bCs/>
          <w:sz w:val="30"/>
          <w:szCs w:val="30"/>
          <w:rtl/>
        </w:rPr>
        <w:t>الخامس</w:t>
      </w:r>
      <w:r w:rsidRPr="000B5AE8">
        <w:rPr>
          <w:rFonts w:ascii="Simplified Arabic" w:hAnsi="Simplified Arabic" w:cs="Simplified Arabic"/>
          <w:bCs/>
          <w:sz w:val="30"/>
          <w:szCs w:val="30"/>
          <w:rtl/>
        </w:rPr>
        <w:t xml:space="preserve"> والسبعين</w:t>
      </w:r>
    </w:p>
    <w:p w14:paraId="6B13E74F" w14:textId="5B6154FE" w:rsidR="00C41DA9" w:rsidRPr="000B5AE8" w:rsidRDefault="001E1AA5" w:rsidP="00CD1A23">
      <w:pPr>
        <w:pStyle w:val="CH1"/>
        <w:keepLines w:val="0"/>
        <w:tabs>
          <w:tab w:val="clear" w:pos="851"/>
          <w:tab w:val="clear" w:pos="1247"/>
          <w:tab w:val="clear" w:pos="1871"/>
          <w:tab w:val="clear" w:pos="2495"/>
          <w:tab w:val="clear" w:pos="3119"/>
          <w:tab w:val="clear" w:pos="3742"/>
          <w:tab w:val="clear" w:pos="4366"/>
          <w:tab w:val="clear" w:pos="4990"/>
        </w:tabs>
        <w:bidi/>
        <w:spacing w:before="0" w:after="110" w:line="360" w:lineRule="exact"/>
        <w:ind w:left="1134" w:right="0" w:hanging="850"/>
        <w:jc w:val="both"/>
        <w:textDirection w:val="tbRlV"/>
        <w:rPr>
          <w:rFonts w:ascii="Simplified Arabic" w:hAnsi="Simplified Arabic" w:cs="Simplified Arabic"/>
          <w:bCs/>
          <w:sz w:val="26"/>
          <w:szCs w:val="26"/>
          <w:rtl/>
          <w:lang w:val="ar-SA" w:eastAsia="zh-TW" w:bidi="en-GB"/>
        </w:rPr>
      </w:pPr>
      <w:r w:rsidRPr="000B5AE8">
        <w:rPr>
          <w:rFonts w:ascii="Simplified Arabic" w:hAnsi="Simplified Arabic" w:cs="Simplified Arabic"/>
          <w:bCs/>
          <w:sz w:val="26"/>
          <w:szCs w:val="26"/>
          <w:rtl/>
        </w:rPr>
        <w:t>أولا-</w:t>
      </w:r>
      <w:r w:rsidRPr="000B5AE8">
        <w:rPr>
          <w:rFonts w:ascii="Simplified Arabic" w:hAnsi="Simplified Arabic" w:cs="Simplified Arabic"/>
          <w:bCs/>
          <w:sz w:val="26"/>
          <w:szCs w:val="26"/>
          <w:rtl/>
        </w:rPr>
        <w:tab/>
        <w:t>افتتاح الاجتماع</w:t>
      </w:r>
    </w:p>
    <w:p w14:paraId="0FBF48A7" w14:textId="7371B05E" w:rsidR="00313FB1" w:rsidRPr="000B5AE8" w:rsidRDefault="00313FB1" w:rsidP="00CD1A23">
      <w:pPr>
        <w:pStyle w:val="Normalnumber"/>
        <w:numPr>
          <w:ilvl w:val="0"/>
          <w:numId w:val="18"/>
        </w:numPr>
        <w:tabs>
          <w:tab w:val="clear" w:pos="511"/>
          <w:tab w:val="clear" w:pos="1247"/>
          <w:tab w:val="clear" w:pos="1814"/>
          <w:tab w:val="clear" w:pos="2381"/>
          <w:tab w:val="clear" w:pos="2948"/>
          <w:tab w:val="clear" w:pos="3515"/>
          <w:tab w:val="left" w:pos="1843"/>
        </w:tabs>
        <w:bidi/>
        <w:spacing w:after="110" w:line="360" w:lineRule="exact"/>
        <w:ind w:left="1134"/>
        <w:jc w:val="both"/>
        <w:textDirection w:val="tbRlV"/>
        <w:rPr>
          <w:rFonts w:ascii="Simplified Arabic" w:hAnsi="Simplified Arabic" w:hint="default"/>
          <w:sz w:val="24"/>
          <w:szCs w:val="24"/>
          <w:rtl/>
          <w:lang w:bidi="en-GB"/>
        </w:rPr>
      </w:pPr>
      <w:r w:rsidRPr="000B5AE8">
        <w:rPr>
          <w:rFonts w:ascii="Simplified Arabic" w:hAnsi="Simplified Arabic" w:hint="default"/>
          <w:sz w:val="24"/>
          <w:szCs w:val="24"/>
          <w:rtl/>
        </w:rPr>
        <w:t xml:space="preserve">عُقد الاجتماع </w:t>
      </w:r>
      <w:r w:rsidR="00822DA8" w:rsidRPr="000B5AE8">
        <w:rPr>
          <w:rFonts w:ascii="Simplified Arabic" w:hAnsi="Simplified Arabic"/>
          <w:sz w:val="24"/>
          <w:szCs w:val="24"/>
          <w:rtl/>
        </w:rPr>
        <w:t>الخامس</w:t>
      </w:r>
      <w:r w:rsidRPr="000B5AE8">
        <w:rPr>
          <w:rFonts w:ascii="Simplified Arabic" w:hAnsi="Simplified Arabic" w:hint="default"/>
          <w:sz w:val="24"/>
          <w:szCs w:val="24"/>
          <w:rtl/>
        </w:rPr>
        <w:t xml:space="preserve"> والسبعون للجنة التنفيذ بموجب إجراء عدم الامتثال لبروتوكول مونتريال بشأن المواد المستنفدة لطبقة الأوزون، يومي </w:t>
      </w:r>
      <w:r w:rsidR="00746097" w:rsidRPr="000B5AE8">
        <w:rPr>
          <w:rFonts w:ascii="Simplified Arabic" w:hAnsi="Simplified Arabic"/>
          <w:sz w:val="24"/>
          <w:szCs w:val="24"/>
          <w:rtl/>
        </w:rPr>
        <w:t>31 تشرين الأول/أكتوبر</w:t>
      </w:r>
      <w:r w:rsidRPr="000B5AE8">
        <w:rPr>
          <w:rFonts w:ascii="Simplified Arabic" w:hAnsi="Simplified Arabic" w:hint="default"/>
          <w:sz w:val="24"/>
          <w:szCs w:val="24"/>
          <w:rtl/>
        </w:rPr>
        <w:t xml:space="preserve"> و</w:t>
      </w:r>
      <w:r w:rsidR="00746097" w:rsidRPr="000B5AE8">
        <w:rPr>
          <w:rFonts w:ascii="Simplified Arabic" w:hAnsi="Simplified Arabic"/>
          <w:sz w:val="24"/>
          <w:szCs w:val="24"/>
          <w:rtl/>
        </w:rPr>
        <w:t>1</w:t>
      </w:r>
      <w:r w:rsidRPr="000B5AE8">
        <w:rPr>
          <w:rFonts w:ascii="Simplified Arabic" w:hAnsi="Simplified Arabic" w:hint="default"/>
          <w:sz w:val="24"/>
          <w:szCs w:val="24"/>
          <w:rtl/>
        </w:rPr>
        <w:t xml:space="preserve"> </w:t>
      </w:r>
      <w:r w:rsidR="00746097" w:rsidRPr="000B5AE8">
        <w:rPr>
          <w:rFonts w:ascii="Simplified Arabic" w:hAnsi="Simplified Arabic"/>
          <w:sz w:val="24"/>
          <w:szCs w:val="24"/>
          <w:rtl/>
        </w:rPr>
        <w:t>تشرين الثاني/نوفمبر</w:t>
      </w:r>
      <w:r w:rsidRPr="000B5AE8">
        <w:rPr>
          <w:rFonts w:ascii="Simplified Arabic" w:hAnsi="Simplified Arabic" w:hint="default"/>
          <w:sz w:val="24"/>
          <w:szCs w:val="24"/>
          <w:rtl/>
        </w:rPr>
        <w:t xml:space="preserve"> 2025،</w:t>
      </w:r>
      <w:r w:rsidR="00283C6F" w:rsidRPr="000B5AE8">
        <w:rPr>
          <w:rFonts w:ascii="Simplified Arabic" w:hAnsi="Simplified Arabic"/>
          <w:sz w:val="24"/>
          <w:szCs w:val="24"/>
        </w:rPr>
        <w:t> </w:t>
      </w:r>
      <w:r w:rsidR="00283C6F" w:rsidRPr="000B5AE8">
        <w:rPr>
          <w:rFonts w:ascii="Simplified Arabic" w:hAnsi="Simplified Arabic"/>
          <w:sz w:val="24"/>
          <w:szCs w:val="24"/>
          <w:rtl/>
        </w:rPr>
        <w:t>في مقر برنامج الأمم المتحدة للبيئة في نيروبي</w:t>
      </w:r>
      <w:r w:rsidR="00112DB5" w:rsidRPr="000B5AE8">
        <w:rPr>
          <w:rFonts w:ascii="Simplified Arabic" w:hAnsi="Simplified Arabic"/>
          <w:sz w:val="24"/>
          <w:szCs w:val="24"/>
          <w:rtl/>
          <w:lang w:val="en-US"/>
        </w:rPr>
        <w:t>.</w:t>
      </w:r>
    </w:p>
    <w:p w14:paraId="3852E13F" w14:textId="725C2399" w:rsidR="00313FB1" w:rsidRPr="000B5AE8" w:rsidRDefault="00313FB1" w:rsidP="00CD1A23">
      <w:pPr>
        <w:pStyle w:val="Normalnumber"/>
        <w:numPr>
          <w:ilvl w:val="0"/>
          <w:numId w:val="18"/>
        </w:numPr>
        <w:tabs>
          <w:tab w:val="clear" w:pos="511"/>
          <w:tab w:val="clear" w:pos="1247"/>
          <w:tab w:val="clear" w:pos="1814"/>
          <w:tab w:val="clear" w:pos="2381"/>
          <w:tab w:val="clear" w:pos="2948"/>
          <w:tab w:val="clear" w:pos="3515"/>
          <w:tab w:val="left" w:pos="1843"/>
        </w:tabs>
        <w:bidi/>
        <w:spacing w:after="110" w:line="360" w:lineRule="exact"/>
        <w:ind w:left="1134"/>
        <w:jc w:val="both"/>
        <w:textDirection w:val="tbRlV"/>
        <w:rPr>
          <w:rFonts w:ascii="Simplified Arabic" w:hAnsi="Simplified Arabic" w:hint="default"/>
          <w:sz w:val="24"/>
          <w:szCs w:val="24"/>
          <w:rtl/>
          <w:lang w:val="ar-SA" w:eastAsia="zh-TW" w:bidi="en-GB"/>
        </w:rPr>
      </w:pPr>
      <w:r w:rsidRPr="000B5AE8">
        <w:rPr>
          <w:rFonts w:ascii="Simplified Arabic" w:hAnsi="Simplified Arabic" w:hint="default"/>
          <w:sz w:val="24"/>
          <w:szCs w:val="24"/>
          <w:rtl/>
        </w:rPr>
        <w:t xml:space="preserve">وافتتح رئيس اللجنة، السيد مارتين </w:t>
      </w:r>
      <w:proofErr w:type="spellStart"/>
      <w:r w:rsidRPr="000B5AE8">
        <w:rPr>
          <w:rFonts w:ascii="Simplified Arabic" w:hAnsi="Simplified Arabic" w:hint="default"/>
          <w:sz w:val="24"/>
          <w:szCs w:val="24"/>
          <w:rtl/>
        </w:rPr>
        <w:t>هيلدبراند</w:t>
      </w:r>
      <w:proofErr w:type="spellEnd"/>
      <w:r w:rsidRPr="000B5AE8">
        <w:rPr>
          <w:rFonts w:ascii="Simplified Arabic" w:hAnsi="Simplified Arabic" w:hint="default"/>
          <w:sz w:val="24"/>
          <w:szCs w:val="24"/>
          <w:rtl/>
        </w:rPr>
        <w:t xml:space="preserve"> (مملكة هولندا)، الاجتماع في الساعة 10:0</w:t>
      </w:r>
      <w:r w:rsidR="000F7664" w:rsidRPr="000B5AE8">
        <w:rPr>
          <w:rFonts w:ascii="Simplified Arabic" w:hAnsi="Simplified Arabic"/>
          <w:sz w:val="24"/>
          <w:szCs w:val="24"/>
          <w:rtl/>
        </w:rPr>
        <w:t>0</w:t>
      </w:r>
      <w:r w:rsidRPr="000B5AE8">
        <w:rPr>
          <w:rFonts w:ascii="Simplified Arabic" w:hAnsi="Simplified Arabic" w:hint="default"/>
          <w:sz w:val="24"/>
          <w:szCs w:val="24"/>
          <w:rtl/>
        </w:rPr>
        <w:t xml:space="preserve"> صباح يوم </w:t>
      </w:r>
      <w:r w:rsidR="005C22A9" w:rsidRPr="000B5AE8">
        <w:rPr>
          <w:rFonts w:ascii="Simplified Arabic" w:hAnsi="Simplified Arabic"/>
          <w:sz w:val="24"/>
          <w:szCs w:val="24"/>
          <w:rtl/>
        </w:rPr>
        <w:t>الجمعة</w:t>
      </w:r>
      <w:r w:rsidRPr="000B5AE8">
        <w:rPr>
          <w:rFonts w:ascii="Simplified Arabic" w:hAnsi="Simplified Arabic" w:hint="default"/>
          <w:sz w:val="24"/>
          <w:szCs w:val="24"/>
          <w:rtl/>
        </w:rPr>
        <w:t xml:space="preserve">، </w:t>
      </w:r>
      <w:r w:rsidR="005C22A9" w:rsidRPr="000B5AE8">
        <w:rPr>
          <w:rFonts w:ascii="Simplified Arabic" w:hAnsi="Simplified Arabic"/>
          <w:sz w:val="24"/>
          <w:szCs w:val="24"/>
          <w:rtl/>
        </w:rPr>
        <w:t>31 تشرين الأول/أكتوبر</w:t>
      </w:r>
      <w:r w:rsidRPr="000B5AE8">
        <w:rPr>
          <w:rFonts w:ascii="Simplified Arabic" w:hAnsi="Simplified Arabic" w:hint="default"/>
          <w:sz w:val="24"/>
          <w:szCs w:val="24"/>
          <w:rtl/>
        </w:rPr>
        <w:t xml:space="preserve"> 2025.</w:t>
      </w:r>
    </w:p>
    <w:p w14:paraId="260AD797" w14:textId="6F5BFB75" w:rsidR="000B2096" w:rsidRPr="000B5AE8" w:rsidRDefault="00313FB1" w:rsidP="00CD1A23">
      <w:pPr>
        <w:pStyle w:val="Normalnumber"/>
        <w:numPr>
          <w:ilvl w:val="0"/>
          <w:numId w:val="18"/>
        </w:numPr>
        <w:tabs>
          <w:tab w:val="clear" w:pos="511"/>
          <w:tab w:val="clear" w:pos="1247"/>
          <w:tab w:val="clear" w:pos="1814"/>
          <w:tab w:val="clear" w:pos="2381"/>
          <w:tab w:val="clear" w:pos="2948"/>
          <w:tab w:val="clear" w:pos="3515"/>
          <w:tab w:val="left" w:pos="1843"/>
        </w:tabs>
        <w:bidi/>
        <w:spacing w:after="110" w:line="360" w:lineRule="exact"/>
        <w:ind w:left="1134"/>
        <w:jc w:val="both"/>
        <w:textDirection w:val="tbRlV"/>
        <w:rPr>
          <w:rFonts w:ascii="Simplified Arabic" w:hAnsi="Simplified Arabic" w:hint="default"/>
          <w:sz w:val="24"/>
          <w:szCs w:val="24"/>
        </w:rPr>
      </w:pPr>
      <w:r w:rsidRPr="000B5AE8">
        <w:rPr>
          <w:rFonts w:ascii="Simplified Arabic" w:hAnsi="Simplified Arabic" w:hint="default"/>
          <w:sz w:val="24"/>
          <w:szCs w:val="24"/>
          <w:rtl/>
        </w:rPr>
        <w:t xml:space="preserve">ورحبت </w:t>
      </w:r>
      <w:proofErr w:type="spellStart"/>
      <w:r w:rsidRPr="000B5AE8">
        <w:rPr>
          <w:rFonts w:ascii="Simplified Arabic" w:hAnsi="Simplified Arabic" w:hint="default"/>
          <w:sz w:val="24"/>
          <w:szCs w:val="24"/>
          <w:rtl/>
        </w:rPr>
        <w:t>ميغومي</w:t>
      </w:r>
      <w:proofErr w:type="spellEnd"/>
      <w:r w:rsidRPr="000B5AE8">
        <w:rPr>
          <w:rFonts w:ascii="Simplified Arabic" w:hAnsi="Simplified Arabic" w:hint="default"/>
          <w:sz w:val="24"/>
          <w:szCs w:val="24"/>
          <w:rtl/>
        </w:rPr>
        <w:t xml:space="preserve"> سيكي، الأمينة التنفيذية لأمانة الأوزون، بأعضاء اللجنة، وممثلي أمانة الصندوق المتعدد الأطراف لتنفيذ بروتوكول مونتريال والوكالات المنفذة التابعة له. واستعرضت بإيجاز البنود التي ستنظر فيها اللجنة خلال الاجتماع، مشيرةً إلى أن العدد الكبير من البنود التي سيُنظر فيها أدى إلى تحديد موعد اجتماع لمدة يومين للمرة </w:t>
      </w:r>
      <w:r w:rsidR="00042088" w:rsidRPr="000B5AE8">
        <w:rPr>
          <w:rFonts w:ascii="Simplified Arabic" w:hAnsi="Simplified Arabic"/>
          <w:sz w:val="24"/>
          <w:szCs w:val="24"/>
          <w:rtl/>
        </w:rPr>
        <w:t xml:space="preserve">الثانية </w:t>
      </w:r>
      <w:r w:rsidR="00B61A79" w:rsidRPr="000B5AE8">
        <w:rPr>
          <w:rFonts w:ascii="Simplified Arabic" w:hAnsi="Simplified Arabic"/>
          <w:sz w:val="24"/>
          <w:szCs w:val="24"/>
          <w:rtl/>
        </w:rPr>
        <w:t xml:space="preserve">على التوالي. </w:t>
      </w:r>
      <w:r w:rsidR="00400419" w:rsidRPr="000B5AE8">
        <w:rPr>
          <w:rFonts w:ascii="Simplified Arabic" w:hAnsi="Simplified Arabic"/>
          <w:sz w:val="24"/>
          <w:szCs w:val="24"/>
          <w:rtl/>
        </w:rPr>
        <w:t>وأشارت إلى أن اللجنة ستضطر، كالعادة، إلى الاتفاق على التوصيات ومشاريع المقررات التي ستحال إلى الاجتماع السابع والثلاثين للأطراف، المقرر عقده في الأسبوع التالي، وذكّرت بأن تجميع مشاريع المقررات التي ستحيلها اللجنة سيشمل مشروع المقرر المتعلق بتنقيح خطوط الأساس لمركبات الكربون الهيدروفلورية التي وافقت عليها اللجنة بالفعل في اجتماعها الرابع والسبعين. وستستعرض اللجنة عدة حالات، بما في ذلك بعض الحالات التي سبق النظر فيها في الاجتماع الرابع والسبعين. ومن ذلك الحالات المتعلقة بالالتزام بثلاثة خطط عمل للعودة إلى الامتثال؛ وطلبات من ستة أطراف لتنقيح بياناتها الأساسية الخاصة بمركبات الكربون الهيدروفلورية، وفي حالتين من هذه الحالات، مركبات الكربون الهيدروكلورية فلورية أيضاً؛ وخمس حالات من حالات عدم الامتثال المحتمل، بما في ذلك طرف واحد كان قد قدم بالفعل خطة عمل للعودة إلى الامتثال وطرف آخر أشار بوضوح إلى أنه سيقدم خطة عمل من هذا القبيل قبل انعقاد الاجتماع السادس والسبعين للجنة؛ وأربع حالات لأطراف لم تبلغ عن إنشاء وتشغيل نظم ترخيص لمركبات الكربون الهيدروفلورية، بما في ذلك حالتان على المدى الطويل.</w:t>
      </w:r>
    </w:p>
    <w:p w14:paraId="33DC37CB" w14:textId="77CECED1" w:rsidR="002A0884" w:rsidRPr="000B5AE8" w:rsidRDefault="00B57AED" w:rsidP="00CD1A23">
      <w:pPr>
        <w:pStyle w:val="Normalnumber"/>
        <w:numPr>
          <w:ilvl w:val="0"/>
          <w:numId w:val="18"/>
        </w:numPr>
        <w:tabs>
          <w:tab w:val="clear" w:pos="511"/>
          <w:tab w:val="clear" w:pos="1247"/>
          <w:tab w:val="clear" w:pos="1814"/>
          <w:tab w:val="clear" w:pos="2381"/>
          <w:tab w:val="clear" w:pos="2948"/>
          <w:tab w:val="clear" w:pos="3515"/>
          <w:tab w:val="left" w:pos="1843"/>
        </w:tabs>
        <w:bidi/>
        <w:spacing w:after="110"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lastRenderedPageBreak/>
        <w:t>وستواصل اللجنة كذلك مناقشتها التي بدأتها في الاجتماع الرابع والسبعين بشأن المسائل المنهجية المتعلقة بالامتثال. وكان من المتوقع أن يقدم الرئيس عرضاً موجزاً في بداية الاجتماع غير الرسمي للأطراف بشأن تعزيز بروتوكول مونتريال، المقرر عقده في 2 تشرين الثاني/نوفمبر 2025، بما في ذلك المسائل الرئيسية التي أثيرت في مناقشات اللجنة. وقد تمكنت الأمانة من استعراض وتحليل وإدراج جميع المعلومات الواردة من الأطراف المعنية في وثائق ما قبل الدورة، باستثناء حالة واحدة. وتتعلق تلك الحالة بمالي، وقد أُرسلت المعلومات إلى أعضاء اللجنة عبر البريد الإلكتروني بعد الانتهاء من إعداد وثائق ما قبل الدورة. وقد مُنح الطرف مهلة حتى 29 تشرين الأول/أكتوبر 2025 لتقديم توضيح، ونظراً لعدم تقديمه لذلك التوضيح فقد أبلغت الأمانة اللجنة عن الحالة، وفقاً لإجراءات عدم الامتثال.</w:t>
      </w:r>
      <w:r w:rsidR="00C14E32" w:rsidRPr="000B5AE8">
        <w:rPr>
          <w:rFonts w:ascii="Simplified Arabic" w:hAnsi="Simplified Arabic" w:hint="default"/>
          <w:sz w:val="24"/>
          <w:szCs w:val="24"/>
        </w:rPr>
        <w:t xml:space="preserve"> </w:t>
      </w:r>
      <w:r w:rsidR="008629BD" w:rsidRPr="000B5AE8">
        <w:rPr>
          <w:rFonts w:ascii="Simplified Arabic" w:hAnsi="Simplified Arabic" w:hint="default"/>
          <w:sz w:val="24"/>
          <w:szCs w:val="24"/>
          <w:rtl/>
        </w:rPr>
        <w:t>وفي الختام، أكدت للأعضاء أن الأمانة متاحة، كما هو الحال دائماً، لمساعدة اللجنة في أعمالها، مع قيام أمانة الصندوق المتعدد الأطراف والوكالات المنفذة بتوفير أي معلومات إضافية مطلوبة.</w:t>
      </w:r>
    </w:p>
    <w:p w14:paraId="759DAD5E" w14:textId="1F08E8EB" w:rsidR="00C41DA9" w:rsidRPr="000B5AE8" w:rsidRDefault="001E1AA5" w:rsidP="00CD1A23">
      <w:pPr>
        <w:pStyle w:val="CH1"/>
        <w:keepLines w:val="0"/>
        <w:tabs>
          <w:tab w:val="clear" w:pos="851"/>
          <w:tab w:val="clear" w:pos="1247"/>
          <w:tab w:val="clear" w:pos="1871"/>
          <w:tab w:val="clear" w:pos="2495"/>
          <w:tab w:val="clear" w:pos="3119"/>
          <w:tab w:val="clear" w:pos="3742"/>
          <w:tab w:val="clear" w:pos="4366"/>
          <w:tab w:val="clear" w:pos="4990"/>
        </w:tabs>
        <w:bidi/>
        <w:spacing w:before="0" w:after="110" w:line="360" w:lineRule="exact"/>
        <w:ind w:left="1134" w:right="0" w:hanging="850"/>
        <w:jc w:val="both"/>
        <w:textDirection w:val="tbRlV"/>
        <w:rPr>
          <w:rFonts w:ascii="Simplified Arabic" w:hAnsi="Simplified Arabic" w:cs="Simplified Arabic"/>
          <w:bCs/>
          <w:sz w:val="26"/>
          <w:szCs w:val="26"/>
          <w:rtl/>
          <w:lang w:val="ar-SA" w:eastAsia="zh-TW" w:bidi="en-GB"/>
        </w:rPr>
      </w:pPr>
      <w:r w:rsidRPr="000B5AE8">
        <w:rPr>
          <w:rFonts w:ascii="Simplified Arabic" w:hAnsi="Simplified Arabic" w:cs="Simplified Arabic"/>
          <w:bCs/>
          <w:sz w:val="26"/>
          <w:szCs w:val="26"/>
          <w:rtl/>
        </w:rPr>
        <w:t>ثانيا</w:t>
      </w:r>
      <w:r w:rsidR="00B20A05" w:rsidRPr="000B5AE8">
        <w:rPr>
          <w:rFonts w:ascii="Simplified Arabic" w:hAnsi="Simplified Arabic" w:cs="Simplified Arabic" w:hint="cs"/>
          <w:bCs/>
          <w:sz w:val="26"/>
          <w:szCs w:val="26"/>
          <w:rtl/>
        </w:rPr>
        <w:t>ً</w:t>
      </w:r>
      <w:r w:rsidRPr="000B5AE8">
        <w:rPr>
          <w:rFonts w:ascii="Simplified Arabic" w:hAnsi="Simplified Arabic" w:cs="Simplified Arabic"/>
          <w:bCs/>
          <w:sz w:val="26"/>
          <w:szCs w:val="26"/>
          <w:rtl/>
        </w:rPr>
        <w:t>-</w:t>
      </w:r>
      <w:r w:rsidRPr="000B5AE8">
        <w:rPr>
          <w:rFonts w:ascii="Simplified Arabic" w:hAnsi="Simplified Arabic" w:cs="Simplified Arabic"/>
          <w:bCs/>
          <w:sz w:val="26"/>
          <w:szCs w:val="26"/>
          <w:rtl/>
        </w:rPr>
        <w:tab/>
        <w:t>إقرار جدول الأعمال وتنظيم الأعمال</w:t>
      </w:r>
    </w:p>
    <w:p w14:paraId="4C1504F8" w14:textId="0A50163A" w:rsidR="00313FB1" w:rsidRPr="000B5AE8" w:rsidRDefault="00313FB1" w:rsidP="00CD1A23">
      <w:pPr>
        <w:pStyle w:val="CH2"/>
        <w:keepLines w:val="0"/>
        <w:tabs>
          <w:tab w:val="clear" w:pos="851"/>
          <w:tab w:val="clear" w:pos="1247"/>
          <w:tab w:val="clear" w:pos="1871"/>
          <w:tab w:val="clear" w:pos="2495"/>
          <w:tab w:val="clear" w:pos="3119"/>
          <w:tab w:val="clear" w:pos="3742"/>
          <w:tab w:val="clear" w:pos="4366"/>
          <w:tab w:val="clear" w:pos="4990"/>
        </w:tabs>
        <w:bidi/>
        <w:spacing w:before="0" w:after="110" w:line="360" w:lineRule="exact"/>
        <w:ind w:left="1134" w:right="0" w:hanging="850"/>
        <w:jc w:val="both"/>
        <w:textDirection w:val="tbRlV"/>
        <w:rPr>
          <w:rFonts w:ascii="Simplified Arabic" w:hAnsi="Simplified Arabic" w:cs="Simplified Arabic"/>
          <w:bCs/>
          <w:rtl/>
          <w:lang w:val="ar-SA" w:eastAsia="zh-TW" w:bidi="en-GB"/>
        </w:rPr>
      </w:pPr>
      <w:r w:rsidRPr="000B5AE8">
        <w:rPr>
          <w:rFonts w:ascii="Simplified Arabic" w:hAnsi="Simplified Arabic" w:cs="Simplified Arabic"/>
          <w:bCs/>
          <w:rtl/>
        </w:rPr>
        <w:t>ألف-</w:t>
      </w:r>
      <w:r w:rsidRPr="000B5AE8">
        <w:rPr>
          <w:rFonts w:ascii="Simplified Arabic" w:hAnsi="Simplified Arabic" w:cs="Simplified Arabic"/>
          <w:bCs/>
          <w:rtl/>
        </w:rPr>
        <w:tab/>
        <w:t>الحضور</w:t>
      </w:r>
    </w:p>
    <w:p w14:paraId="3A50FB0A" w14:textId="77777777" w:rsidR="002A0884" w:rsidRPr="000B5AE8" w:rsidRDefault="00313FB1" w:rsidP="00CD1A23">
      <w:pPr>
        <w:pStyle w:val="Normalnumber"/>
        <w:numPr>
          <w:ilvl w:val="0"/>
          <w:numId w:val="18"/>
        </w:numPr>
        <w:tabs>
          <w:tab w:val="clear" w:pos="511"/>
          <w:tab w:val="clear" w:pos="1247"/>
          <w:tab w:val="clear" w:pos="1814"/>
          <w:tab w:val="clear" w:pos="2381"/>
          <w:tab w:val="clear" w:pos="2948"/>
          <w:tab w:val="clear" w:pos="3515"/>
          <w:tab w:val="left" w:pos="1843"/>
        </w:tabs>
        <w:bidi/>
        <w:spacing w:after="110" w:line="360" w:lineRule="exact"/>
        <w:ind w:left="1134"/>
        <w:jc w:val="both"/>
        <w:textDirection w:val="tbRlV"/>
        <w:rPr>
          <w:rFonts w:ascii="Simplified Arabic" w:hAnsi="Simplified Arabic" w:hint="default"/>
          <w:sz w:val="24"/>
          <w:szCs w:val="24"/>
          <w:rtl/>
        </w:rPr>
      </w:pPr>
      <w:r w:rsidRPr="000B5AE8">
        <w:rPr>
          <w:rFonts w:ascii="Simplified Arabic" w:hAnsi="Simplified Arabic" w:hint="default"/>
          <w:sz w:val="24"/>
          <w:szCs w:val="24"/>
          <w:rtl/>
        </w:rPr>
        <w:t>حضر الاجتماع ممثلو الدول التالية الأعضاء في اللجنة: إيران (جمهورية - الإسلامية)، وبنن، وتشيكيا، والجبل الأسود، والجمهورية الدومينيكية، وشيلي، وكينيا، والمملكة العربية السعودية، وهولندا</w:t>
      </w:r>
      <w:r w:rsidR="00FE3912" w:rsidRPr="000B5AE8">
        <w:rPr>
          <w:rFonts w:ascii="Simplified Arabic" w:hAnsi="Simplified Arabic"/>
          <w:sz w:val="24"/>
          <w:szCs w:val="24"/>
          <w:rtl/>
        </w:rPr>
        <w:t xml:space="preserve"> (مملكة -)</w:t>
      </w:r>
      <w:r w:rsidRPr="000B5AE8">
        <w:rPr>
          <w:rFonts w:ascii="Simplified Arabic" w:hAnsi="Simplified Arabic" w:hint="default"/>
          <w:sz w:val="24"/>
          <w:szCs w:val="24"/>
          <w:rtl/>
        </w:rPr>
        <w:t>، والولايات المتحدة الأمريكية.</w:t>
      </w:r>
    </w:p>
    <w:p w14:paraId="64A6A736" w14:textId="77777777" w:rsidR="002A0884" w:rsidRPr="000B5AE8" w:rsidRDefault="00313FB1" w:rsidP="00CD1A23">
      <w:pPr>
        <w:pStyle w:val="Normalnumber"/>
        <w:numPr>
          <w:ilvl w:val="0"/>
          <w:numId w:val="18"/>
        </w:numPr>
        <w:tabs>
          <w:tab w:val="clear" w:pos="511"/>
          <w:tab w:val="clear" w:pos="1247"/>
          <w:tab w:val="clear" w:pos="1814"/>
          <w:tab w:val="clear" w:pos="2381"/>
          <w:tab w:val="clear" w:pos="2948"/>
          <w:tab w:val="clear" w:pos="3515"/>
          <w:tab w:val="left" w:pos="1843"/>
        </w:tabs>
        <w:bidi/>
        <w:spacing w:after="110" w:line="360" w:lineRule="exact"/>
        <w:ind w:left="1134"/>
        <w:jc w:val="both"/>
        <w:textDirection w:val="tbRlV"/>
        <w:rPr>
          <w:rFonts w:ascii="Simplified Arabic" w:hAnsi="Simplified Arabic" w:hint="default"/>
          <w:sz w:val="24"/>
          <w:szCs w:val="24"/>
          <w:rtl/>
        </w:rPr>
      </w:pPr>
      <w:r w:rsidRPr="000B5AE8">
        <w:rPr>
          <w:rFonts w:ascii="Simplified Arabic" w:hAnsi="Simplified Arabic" w:hint="default"/>
          <w:sz w:val="24"/>
          <w:szCs w:val="24"/>
          <w:rtl/>
        </w:rPr>
        <w:t>وحضر الاجتماع أيضاً ممثلون عن أمانة الصندوق المتعدد الأطراف و</w:t>
      </w:r>
      <w:r w:rsidR="00DC41A1" w:rsidRPr="000B5AE8">
        <w:rPr>
          <w:rFonts w:ascii="Simplified Arabic" w:hAnsi="Simplified Arabic"/>
          <w:sz w:val="24"/>
          <w:szCs w:val="24"/>
          <w:rtl/>
        </w:rPr>
        <w:t xml:space="preserve">ممثلو </w:t>
      </w:r>
      <w:r w:rsidRPr="000B5AE8">
        <w:rPr>
          <w:rFonts w:ascii="Simplified Arabic" w:hAnsi="Simplified Arabic" w:hint="default"/>
          <w:sz w:val="24"/>
          <w:szCs w:val="24"/>
          <w:rtl/>
        </w:rPr>
        <w:t xml:space="preserve">الوكالات المنفذة </w:t>
      </w:r>
      <w:r w:rsidR="00D32C5A" w:rsidRPr="000B5AE8">
        <w:rPr>
          <w:rFonts w:ascii="Simplified Arabic" w:hAnsi="Simplified Arabic"/>
          <w:sz w:val="24"/>
          <w:szCs w:val="24"/>
          <w:rtl/>
        </w:rPr>
        <w:t xml:space="preserve">للصندوق </w:t>
      </w:r>
      <w:r w:rsidRPr="000B5AE8">
        <w:rPr>
          <w:rFonts w:ascii="Simplified Arabic" w:hAnsi="Simplified Arabic" w:hint="default"/>
          <w:sz w:val="24"/>
          <w:szCs w:val="24"/>
          <w:rtl/>
        </w:rPr>
        <w:t xml:space="preserve">التالية: برنامج الأمم المتحدة الإنمائي، </w:t>
      </w:r>
      <w:r w:rsidR="001D7663" w:rsidRPr="000B5AE8">
        <w:rPr>
          <w:rFonts w:ascii="Simplified Arabic" w:hAnsi="Simplified Arabic"/>
          <w:sz w:val="24"/>
          <w:szCs w:val="24"/>
          <w:rtl/>
        </w:rPr>
        <w:t xml:space="preserve">وبرنامج الأمم المتحدة للبيئة، </w:t>
      </w:r>
      <w:r w:rsidRPr="000B5AE8">
        <w:rPr>
          <w:rFonts w:ascii="Simplified Arabic" w:hAnsi="Simplified Arabic" w:hint="default"/>
          <w:sz w:val="24"/>
          <w:szCs w:val="24"/>
          <w:rtl/>
        </w:rPr>
        <w:t xml:space="preserve">ومنظمة الأمم المتحدة للتنمية الصناعية </w:t>
      </w:r>
      <w:r w:rsidR="00855EE1" w:rsidRPr="000B5AE8">
        <w:rPr>
          <w:rFonts w:ascii="Simplified Arabic" w:hAnsi="Simplified Arabic"/>
          <w:sz w:val="24"/>
          <w:szCs w:val="24"/>
          <w:rtl/>
        </w:rPr>
        <w:t xml:space="preserve">(اليونيدو) </w:t>
      </w:r>
      <w:r w:rsidRPr="000B5AE8">
        <w:rPr>
          <w:rFonts w:ascii="Simplified Arabic" w:hAnsi="Simplified Arabic" w:hint="default"/>
          <w:sz w:val="24"/>
          <w:szCs w:val="24"/>
          <w:rtl/>
        </w:rPr>
        <w:t>والبنك الدولي.</w:t>
      </w:r>
    </w:p>
    <w:p w14:paraId="3D8832AB" w14:textId="4FBB6F38" w:rsidR="00313FB1" w:rsidRPr="000B5AE8" w:rsidRDefault="00313FB1" w:rsidP="00CD1A23">
      <w:pPr>
        <w:pStyle w:val="Normalnumber"/>
        <w:numPr>
          <w:ilvl w:val="0"/>
          <w:numId w:val="18"/>
        </w:numPr>
        <w:tabs>
          <w:tab w:val="clear" w:pos="511"/>
          <w:tab w:val="clear" w:pos="1247"/>
          <w:tab w:val="clear" w:pos="1814"/>
          <w:tab w:val="clear" w:pos="2381"/>
          <w:tab w:val="clear" w:pos="2948"/>
          <w:tab w:val="clear" w:pos="3515"/>
          <w:tab w:val="left" w:pos="1843"/>
        </w:tabs>
        <w:bidi/>
        <w:spacing w:after="110" w:line="360" w:lineRule="exact"/>
        <w:ind w:left="1134"/>
        <w:jc w:val="both"/>
        <w:textDirection w:val="tbRlV"/>
        <w:rPr>
          <w:rFonts w:ascii="Simplified Arabic" w:hAnsi="Simplified Arabic" w:hint="default"/>
          <w:sz w:val="24"/>
          <w:szCs w:val="24"/>
          <w:rtl/>
          <w:lang w:bidi="en-GB"/>
        </w:rPr>
      </w:pPr>
      <w:r w:rsidRPr="000B5AE8">
        <w:rPr>
          <w:rFonts w:ascii="Simplified Arabic" w:hAnsi="Simplified Arabic" w:hint="default"/>
          <w:sz w:val="24"/>
          <w:szCs w:val="24"/>
          <w:rtl/>
        </w:rPr>
        <w:t>وترد في المرفق الثا</w:t>
      </w:r>
      <w:r w:rsidR="004403C5" w:rsidRPr="000B5AE8">
        <w:rPr>
          <w:rFonts w:ascii="Simplified Arabic" w:hAnsi="Simplified Arabic"/>
          <w:sz w:val="24"/>
          <w:szCs w:val="24"/>
          <w:rtl/>
        </w:rPr>
        <w:t>ني</w:t>
      </w:r>
      <w:r w:rsidRPr="000B5AE8">
        <w:rPr>
          <w:rFonts w:ascii="Simplified Arabic" w:hAnsi="Simplified Arabic" w:hint="default"/>
          <w:sz w:val="24"/>
          <w:szCs w:val="24"/>
          <w:rtl/>
        </w:rPr>
        <w:t xml:space="preserve"> لهذا التقرير قائمة المشاركين.</w:t>
      </w:r>
    </w:p>
    <w:p w14:paraId="29B8A9ED" w14:textId="0A876473" w:rsidR="00313FB1" w:rsidRPr="000B5AE8" w:rsidRDefault="000B07CD" w:rsidP="00CD1A23">
      <w:pPr>
        <w:pStyle w:val="CH2"/>
        <w:keepLines w:val="0"/>
        <w:tabs>
          <w:tab w:val="clear" w:pos="851"/>
          <w:tab w:val="clear" w:pos="1247"/>
          <w:tab w:val="clear" w:pos="1871"/>
          <w:tab w:val="clear" w:pos="2495"/>
          <w:tab w:val="clear" w:pos="3119"/>
          <w:tab w:val="clear" w:pos="3742"/>
          <w:tab w:val="clear" w:pos="4366"/>
          <w:tab w:val="clear" w:pos="4990"/>
        </w:tabs>
        <w:bidi/>
        <w:spacing w:before="0" w:after="110" w:line="360" w:lineRule="exact"/>
        <w:ind w:left="1134" w:right="0" w:hanging="850"/>
        <w:jc w:val="both"/>
        <w:textDirection w:val="tbRlV"/>
        <w:rPr>
          <w:rFonts w:ascii="Simplified Arabic" w:hAnsi="Simplified Arabic" w:cs="Simplified Arabic"/>
          <w:bCs/>
          <w:lang w:val="en-US" w:eastAsia="zh-TW" w:bidi="en-GB"/>
        </w:rPr>
      </w:pPr>
      <w:r w:rsidRPr="000B5AE8">
        <w:rPr>
          <w:rFonts w:ascii="Simplified Arabic" w:hAnsi="Simplified Arabic" w:cs="Simplified Arabic"/>
          <w:bCs/>
          <w:rtl/>
        </w:rPr>
        <w:t>باء-</w:t>
      </w:r>
      <w:r w:rsidRPr="000B5AE8">
        <w:rPr>
          <w:rFonts w:ascii="Simplified Arabic" w:hAnsi="Simplified Arabic" w:cs="Simplified Arabic"/>
          <w:bCs/>
          <w:rtl/>
        </w:rPr>
        <w:tab/>
        <w:t xml:space="preserve">إقرار جدول الأعمال </w:t>
      </w:r>
      <w:r w:rsidR="005E7F85" w:rsidRPr="000B5AE8">
        <w:rPr>
          <w:rFonts w:ascii="Simplified Arabic" w:hAnsi="Simplified Arabic" w:cs="Simplified Arabic" w:hint="cs"/>
          <w:bCs/>
          <w:rtl/>
        </w:rPr>
        <w:t>وتنظيم ال</w:t>
      </w:r>
      <w:r w:rsidR="001F2A14" w:rsidRPr="000B5AE8">
        <w:rPr>
          <w:rFonts w:ascii="Simplified Arabic" w:hAnsi="Simplified Arabic" w:cs="Simplified Arabic" w:hint="cs"/>
          <w:bCs/>
          <w:rtl/>
        </w:rPr>
        <w:t>أعمال</w:t>
      </w:r>
    </w:p>
    <w:p w14:paraId="2C5BB5D3" w14:textId="79DAF8A0" w:rsidR="00313FB1" w:rsidRPr="000B5AE8" w:rsidRDefault="00313FB1" w:rsidP="00CD1A23">
      <w:pPr>
        <w:pStyle w:val="Normalnumber"/>
        <w:numPr>
          <w:ilvl w:val="0"/>
          <w:numId w:val="18"/>
        </w:numPr>
        <w:tabs>
          <w:tab w:val="clear" w:pos="511"/>
          <w:tab w:val="clear" w:pos="1247"/>
          <w:tab w:val="clear" w:pos="1814"/>
          <w:tab w:val="clear" w:pos="2381"/>
          <w:tab w:val="clear" w:pos="2948"/>
          <w:tab w:val="clear" w:pos="3515"/>
          <w:tab w:val="left" w:pos="1843"/>
        </w:tabs>
        <w:bidi/>
        <w:spacing w:after="110" w:line="360" w:lineRule="exact"/>
        <w:ind w:left="1134"/>
        <w:jc w:val="both"/>
        <w:textDirection w:val="tbRlV"/>
        <w:rPr>
          <w:rFonts w:ascii="Simplified Arabic" w:hAnsi="Simplified Arabic" w:hint="default"/>
          <w:sz w:val="24"/>
          <w:szCs w:val="24"/>
          <w:rtl/>
          <w:lang w:bidi="en-GB"/>
        </w:rPr>
      </w:pPr>
      <w:r w:rsidRPr="000B5AE8">
        <w:rPr>
          <w:rFonts w:ascii="Simplified Arabic" w:hAnsi="Simplified Arabic" w:hint="default"/>
          <w:sz w:val="24"/>
          <w:szCs w:val="24"/>
          <w:rtl/>
        </w:rPr>
        <w:t xml:space="preserve">أقرت اللجنة جدول الأعمال التالي على أساس جدول الأعمال المؤقت </w:t>
      </w:r>
      <w:r w:rsidRPr="000B5AE8">
        <w:rPr>
          <w:rFonts w:cs="Times New Roman" w:hint="default"/>
          <w:w w:val="91"/>
          <w:sz w:val="21"/>
          <w:szCs w:val="21"/>
          <w:rtl/>
        </w:rPr>
        <w:t>(UNEP/OzL.Pro/ImpCom/7</w:t>
      </w:r>
      <w:r w:rsidR="005E7F85" w:rsidRPr="000B5AE8">
        <w:rPr>
          <w:rFonts w:cs="Times New Roman"/>
          <w:w w:val="91"/>
          <w:sz w:val="21"/>
          <w:szCs w:val="21"/>
          <w:rtl/>
        </w:rPr>
        <w:t>5</w:t>
      </w:r>
      <w:r w:rsidRPr="000B5AE8">
        <w:rPr>
          <w:rFonts w:cs="Times New Roman" w:hint="default"/>
          <w:w w:val="91"/>
          <w:sz w:val="21"/>
          <w:szCs w:val="21"/>
          <w:rtl/>
        </w:rPr>
        <w:t>/R.1)</w:t>
      </w:r>
      <w:r w:rsidRPr="000B5AE8">
        <w:rPr>
          <w:rFonts w:ascii="Simplified Arabic" w:hAnsi="Simplified Arabic" w:hint="default"/>
          <w:sz w:val="24"/>
          <w:szCs w:val="24"/>
          <w:rtl/>
        </w:rPr>
        <w:t>:</w:t>
      </w:r>
    </w:p>
    <w:p w14:paraId="4182D6AE" w14:textId="494085A5" w:rsidR="00DA1622" w:rsidRPr="000B5AE8" w:rsidRDefault="00DA1622" w:rsidP="00CD1A23">
      <w:pPr>
        <w:pStyle w:val="NormalNonumber"/>
        <w:numPr>
          <w:ilvl w:val="0"/>
          <w:numId w:val="20"/>
        </w:numPr>
        <w:tabs>
          <w:tab w:val="clear" w:pos="624"/>
          <w:tab w:val="clear" w:pos="1247"/>
          <w:tab w:val="clear" w:pos="1871"/>
          <w:tab w:val="clear" w:pos="2495"/>
          <w:tab w:val="clear" w:pos="3119"/>
          <w:tab w:val="clear" w:pos="3742"/>
          <w:tab w:val="clear" w:pos="4366"/>
          <w:tab w:val="clear" w:pos="4990"/>
          <w:tab w:val="left" w:pos="709"/>
        </w:tabs>
        <w:bidi/>
        <w:spacing w:after="110" w:line="360" w:lineRule="exact"/>
        <w:ind w:left="2552" w:hanging="709"/>
        <w:jc w:val="both"/>
        <w:textDirection w:val="tbRlV"/>
        <w:rPr>
          <w:rFonts w:ascii="Simplified Arabic" w:hAnsi="Simplified Arabic" w:cs="Simplified Arabic"/>
          <w:sz w:val="24"/>
          <w:szCs w:val="24"/>
          <w:lang w:val="ar-SA" w:eastAsia="zh-TW" w:bidi="en-GB"/>
        </w:rPr>
      </w:pPr>
      <w:r w:rsidRPr="000B5AE8">
        <w:rPr>
          <w:rFonts w:ascii="Simplified Arabic" w:hAnsi="Simplified Arabic" w:cs="Simplified Arabic"/>
          <w:sz w:val="24"/>
          <w:szCs w:val="24"/>
          <w:rtl/>
          <w:lang w:val="en-US" w:eastAsia="en-US"/>
        </w:rPr>
        <w:t>افتتاح الاجتماع.</w:t>
      </w:r>
    </w:p>
    <w:p w14:paraId="5372B337" w14:textId="77777777" w:rsidR="00DA1622" w:rsidRPr="000B5AE8" w:rsidRDefault="00DA1622" w:rsidP="00CD1A23">
      <w:pPr>
        <w:numPr>
          <w:ilvl w:val="0"/>
          <w:numId w:val="20"/>
        </w:numPr>
        <w:tabs>
          <w:tab w:val="clear" w:pos="1247"/>
          <w:tab w:val="clear" w:pos="1814"/>
          <w:tab w:val="clear" w:pos="2381"/>
          <w:tab w:val="clear" w:pos="2948"/>
          <w:tab w:val="clear" w:pos="3515"/>
          <w:tab w:val="left" w:pos="709"/>
        </w:tabs>
        <w:bidi/>
        <w:spacing w:after="110" w:line="360" w:lineRule="exact"/>
        <w:ind w:left="2552" w:hanging="709"/>
        <w:jc w:val="both"/>
        <w:textDirection w:val="tbRlV"/>
        <w:rPr>
          <w:rFonts w:ascii="Simplified Arabic" w:eastAsia="Times New Roman" w:hAnsi="Simplified Arabic" w:hint="default"/>
          <w:sz w:val="24"/>
          <w:szCs w:val="24"/>
          <w:lang w:val="ar-SA" w:eastAsia="zh-TW" w:bidi="en-GB"/>
        </w:rPr>
      </w:pPr>
      <w:r w:rsidRPr="000B5AE8">
        <w:rPr>
          <w:rFonts w:ascii="Simplified Arabic" w:eastAsia="Times New Roman" w:hAnsi="Simplified Arabic"/>
          <w:sz w:val="24"/>
          <w:szCs w:val="24"/>
          <w:rtl/>
          <w:lang w:val="en-US" w:eastAsia="en-US"/>
        </w:rPr>
        <w:t>إقرار جدول الأعمال وتنظيم الأعمال.</w:t>
      </w:r>
    </w:p>
    <w:p w14:paraId="7252354C" w14:textId="77777777" w:rsidR="00DA1622" w:rsidRPr="000B5AE8" w:rsidRDefault="00DA1622" w:rsidP="00CD1A23">
      <w:pPr>
        <w:numPr>
          <w:ilvl w:val="0"/>
          <w:numId w:val="20"/>
        </w:numPr>
        <w:tabs>
          <w:tab w:val="clear" w:pos="1247"/>
          <w:tab w:val="clear" w:pos="1814"/>
          <w:tab w:val="clear" w:pos="2381"/>
          <w:tab w:val="clear" w:pos="2948"/>
          <w:tab w:val="clear" w:pos="3515"/>
          <w:tab w:val="left" w:pos="709"/>
        </w:tabs>
        <w:bidi/>
        <w:spacing w:after="110" w:line="360" w:lineRule="exact"/>
        <w:ind w:left="2552" w:hanging="709"/>
        <w:jc w:val="both"/>
        <w:textDirection w:val="tbRlV"/>
        <w:rPr>
          <w:rFonts w:ascii="Simplified Arabic" w:eastAsia="Times New Roman" w:hAnsi="Simplified Arabic" w:hint="default"/>
          <w:sz w:val="24"/>
          <w:szCs w:val="24"/>
          <w:lang w:val="ar-SA" w:eastAsia="zh-TW" w:bidi="en-GB"/>
        </w:rPr>
      </w:pPr>
      <w:r w:rsidRPr="000B5AE8">
        <w:rPr>
          <w:rFonts w:ascii="Simplified Arabic" w:eastAsia="Times New Roman" w:hAnsi="Simplified Arabic"/>
          <w:sz w:val="24"/>
          <w:szCs w:val="24"/>
          <w:rtl/>
          <w:lang w:val="en-US" w:eastAsia="en-US"/>
        </w:rPr>
        <w:t>عرض تقدمه أمانة الأوزون بشأن البيانات والمعلومات المقدمة بموجب المادتين 7 و9 من بروتوكول مونتريال والمسائل ذات الصلة.</w:t>
      </w:r>
    </w:p>
    <w:p w14:paraId="56D38929" w14:textId="77777777" w:rsidR="00DA1622" w:rsidRPr="000B5AE8" w:rsidRDefault="00DA1622" w:rsidP="00CD1A23">
      <w:pPr>
        <w:numPr>
          <w:ilvl w:val="0"/>
          <w:numId w:val="20"/>
        </w:numPr>
        <w:tabs>
          <w:tab w:val="clear" w:pos="1247"/>
          <w:tab w:val="clear" w:pos="1814"/>
          <w:tab w:val="clear" w:pos="2381"/>
          <w:tab w:val="clear" w:pos="2948"/>
          <w:tab w:val="clear" w:pos="3515"/>
          <w:tab w:val="left" w:pos="709"/>
        </w:tabs>
        <w:bidi/>
        <w:spacing w:after="110" w:line="360" w:lineRule="exact"/>
        <w:ind w:left="2552" w:hanging="709"/>
        <w:jc w:val="both"/>
        <w:textDirection w:val="tbRlV"/>
        <w:rPr>
          <w:rFonts w:ascii="Simplified Arabic" w:eastAsia="Times New Roman" w:hAnsi="Simplified Arabic" w:hint="default"/>
          <w:w w:val="104"/>
          <w:sz w:val="24"/>
          <w:szCs w:val="24"/>
          <w:lang w:val="ar-SA" w:eastAsia="zh-TW" w:bidi="en-GB"/>
        </w:rPr>
      </w:pPr>
      <w:r w:rsidRPr="000B5AE8">
        <w:rPr>
          <w:rFonts w:ascii="Simplified Arabic" w:eastAsia="Times New Roman" w:hAnsi="Simplified Arabic"/>
          <w:w w:val="104"/>
          <w:sz w:val="24"/>
          <w:szCs w:val="24"/>
          <w:rtl/>
          <w:lang w:val="en-US" w:eastAsia="en-US"/>
        </w:rPr>
        <w:t>عرض تقدمه أمانة الصندوق المتعدد الأطراف لتنفيذ بروتوكول مونتريال بشأن المقررات ذات ‏الصلة الصادرة عن اللجنة التنفيذية للصندوق والأنشطة التي أنجزتها الوكالات المنفذة‏ من أجل تيسير امتثال الأطراف.</w:t>
      </w:r>
    </w:p>
    <w:p w14:paraId="0C41E11C" w14:textId="77777777" w:rsidR="00DA1622" w:rsidRPr="000B5AE8" w:rsidRDefault="00DA1622" w:rsidP="00CD1A23">
      <w:pPr>
        <w:numPr>
          <w:ilvl w:val="0"/>
          <w:numId w:val="20"/>
        </w:numPr>
        <w:tabs>
          <w:tab w:val="clear" w:pos="1247"/>
          <w:tab w:val="clear" w:pos="1814"/>
          <w:tab w:val="clear" w:pos="2381"/>
          <w:tab w:val="clear" w:pos="2948"/>
          <w:tab w:val="clear" w:pos="3515"/>
          <w:tab w:val="left" w:pos="709"/>
        </w:tabs>
        <w:bidi/>
        <w:spacing w:after="110" w:line="360" w:lineRule="exact"/>
        <w:ind w:left="2552" w:hanging="709"/>
        <w:jc w:val="both"/>
        <w:textDirection w:val="tbRlV"/>
        <w:rPr>
          <w:rFonts w:ascii="Simplified Arabic" w:eastAsia="Times New Roman" w:hAnsi="Simplified Arabic" w:hint="default"/>
          <w:w w:val="107"/>
          <w:sz w:val="24"/>
          <w:szCs w:val="24"/>
          <w:lang w:val="ar-SA" w:eastAsia="zh-TW" w:bidi="en-GB"/>
        </w:rPr>
      </w:pPr>
      <w:r w:rsidRPr="000B5AE8">
        <w:rPr>
          <w:rFonts w:ascii="Simplified Arabic" w:eastAsia="Times New Roman" w:hAnsi="Simplified Arabic"/>
          <w:w w:val="107"/>
          <w:sz w:val="24"/>
          <w:szCs w:val="24"/>
          <w:rtl/>
          <w:lang w:val="en-US" w:eastAsia="en-US"/>
        </w:rPr>
        <w:t>متابعة المقررات السابقة التي اتخذتها الأطراف وتوصيات لجنة التنفيذ بشأن المسائل المتعلقة بعدم الامتثال</w:t>
      </w:r>
      <w:r w:rsidRPr="000B5AE8">
        <w:rPr>
          <w:rFonts w:ascii="Simplified Arabic" w:eastAsia="Times New Roman" w:hAnsi="Simplified Arabic"/>
          <w:w w:val="107"/>
          <w:sz w:val="24"/>
          <w:szCs w:val="24"/>
          <w:lang w:val="en-US" w:eastAsia="en-US"/>
        </w:rPr>
        <w:t>:</w:t>
      </w:r>
    </w:p>
    <w:p w14:paraId="5665A246" w14:textId="77777777" w:rsidR="00DA1622" w:rsidRPr="000B5AE8" w:rsidRDefault="00DA1622" w:rsidP="00CD1A23">
      <w:pPr>
        <w:numPr>
          <w:ilvl w:val="0"/>
          <w:numId w:val="21"/>
        </w:numPr>
        <w:tabs>
          <w:tab w:val="clear" w:pos="1247"/>
          <w:tab w:val="clear" w:pos="1814"/>
          <w:tab w:val="clear" w:pos="2381"/>
          <w:tab w:val="clear" w:pos="2948"/>
          <w:tab w:val="clear" w:pos="3515"/>
          <w:tab w:val="left" w:pos="709"/>
        </w:tabs>
        <w:bidi/>
        <w:spacing w:after="110" w:line="360" w:lineRule="exact"/>
        <w:ind w:left="3261" w:hanging="709"/>
        <w:jc w:val="lowKashida"/>
        <w:textDirection w:val="tbRlV"/>
        <w:rPr>
          <w:rFonts w:ascii="Simplified Arabic" w:eastAsia="Times New Roman" w:hAnsi="Simplified Arabic" w:hint="default"/>
          <w:w w:val="104"/>
          <w:sz w:val="24"/>
          <w:szCs w:val="24"/>
          <w:lang w:val="ar-SA" w:eastAsia="zh-TW" w:bidi="en-GB"/>
        </w:rPr>
      </w:pPr>
      <w:r w:rsidRPr="000B5AE8">
        <w:rPr>
          <w:rFonts w:ascii="Simplified Arabic" w:eastAsia="Times New Roman" w:hAnsi="Simplified Arabic"/>
          <w:w w:val="104"/>
          <w:sz w:val="24"/>
          <w:szCs w:val="24"/>
          <w:rtl/>
          <w:lang w:val="en-US" w:eastAsia="en-US"/>
        </w:rPr>
        <w:t>الالتزامات المتعلقة بالإبلاغ عن البيانات بموجب المادة 7 (المقرر 36/13)</w:t>
      </w:r>
      <w:r w:rsidRPr="000B5AE8">
        <w:rPr>
          <w:rFonts w:ascii="Simplified Arabic" w:eastAsia="Times New Roman" w:hAnsi="Simplified Arabic"/>
          <w:w w:val="104"/>
          <w:sz w:val="24"/>
          <w:szCs w:val="24"/>
          <w:lang w:val="en-US" w:eastAsia="en-US"/>
        </w:rPr>
        <w:t>:</w:t>
      </w:r>
      <w:r w:rsidRPr="000B5AE8">
        <w:rPr>
          <w:rFonts w:ascii="Simplified Arabic" w:eastAsia="Times New Roman" w:hAnsi="Simplified Arabic"/>
          <w:w w:val="104"/>
          <w:sz w:val="24"/>
          <w:szCs w:val="24"/>
          <w:rtl/>
          <w:lang w:val="en-US" w:eastAsia="en-US"/>
        </w:rPr>
        <w:t xml:space="preserve"> كوت ديفوار (التوصية 74/1)؛</w:t>
      </w:r>
    </w:p>
    <w:p w14:paraId="140F2CA0" w14:textId="77777777" w:rsidR="00DA1622" w:rsidRPr="000B5AE8" w:rsidRDefault="00DA1622" w:rsidP="00CD1A23">
      <w:pPr>
        <w:numPr>
          <w:ilvl w:val="0"/>
          <w:numId w:val="21"/>
        </w:numPr>
        <w:tabs>
          <w:tab w:val="clear" w:pos="1247"/>
          <w:tab w:val="clear" w:pos="1814"/>
          <w:tab w:val="clear" w:pos="2381"/>
          <w:tab w:val="clear" w:pos="2948"/>
          <w:tab w:val="clear" w:pos="3515"/>
          <w:tab w:val="left" w:pos="709"/>
        </w:tabs>
        <w:bidi/>
        <w:spacing w:after="110" w:line="360" w:lineRule="exact"/>
        <w:ind w:left="3261" w:hanging="709"/>
        <w:jc w:val="both"/>
        <w:textDirection w:val="tbRlV"/>
        <w:rPr>
          <w:rFonts w:ascii="Simplified Arabic" w:eastAsia="Times New Roman" w:hAnsi="Simplified Arabic" w:hint="default"/>
          <w:sz w:val="24"/>
          <w:szCs w:val="24"/>
          <w:lang w:val="ar-SA" w:eastAsia="zh-TW" w:bidi="en-GB"/>
        </w:rPr>
      </w:pPr>
      <w:r w:rsidRPr="000B5AE8">
        <w:rPr>
          <w:rFonts w:ascii="Simplified Arabic" w:eastAsia="Times New Roman" w:hAnsi="Simplified Arabic"/>
          <w:sz w:val="24"/>
          <w:szCs w:val="24"/>
          <w:rtl/>
          <w:lang w:val="en-US" w:eastAsia="en-US"/>
        </w:rPr>
        <w:t>خطط العمل القائمة للعودة إلى الامتثال:</w:t>
      </w:r>
    </w:p>
    <w:p w14:paraId="252FBDC2" w14:textId="77777777" w:rsidR="00DA1622" w:rsidRPr="000B5AE8" w:rsidRDefault="00DA1622" w:rsidP="00CD1A23">
      <w:pPr>
        <w:numPr>
          <w:ilvl w:val="0"/>
          <w:numId w:val="22"/>
        </w:numPr>
        <w:tabs>
          <w:tab w:val="clear" w:pos="1247"/>
          <w:tab w:val="clear" w:pos="1814"/>
          <w:tab w:val="clear" w:pos="2381"/>
          <w:tab w:val="clear" w:pos="2948"/>
          <w:tab w:val="clear" w:pos="3515"/>
          <w:tab w:val="left" w:pos="709"/>
        </w:tabs>
        <w:bidi/>
        <w:spacing w:after="110" w:line="360" w:lineRule="exact"/>
        <w:ind w:left="3969" w:hanging="709"/>
        <w:jc w:val="both"/>
        <w:textDirection w:val="tbRlV"/>
        <w:rPr>
          <w:rFonts w:ascii="Simplified Arabic" w:eastAsia="Times New Roman" w:hAnsi="Simplified Arabic" w:hint="default"/>
          <w:sz w:val="24"/>
          <w:szCs w:val="24"/>
          <w:lang w:val="ar-SA" w:eastAsia="zh-TW" w:bidi="en-GB"/>
        </w:rPr>
      </w:pPr>
      <w:r w:rsidRPr="000B5AE8">
        <w:rPr>
          <w:rFonts w:ascii="Simplified Arabic" w:eastAsia="Times New Roman" w:hAnsi="Simplified Arabic"/>
          <w:sz w:val="24"/>
          <w:szCs w:val="24"/>
          <w:rtl/>
          <w:lang w:val="en-US" w:eastAsia="en-US"/>
        </w:rPr>
        <w:t>جمهورية كوريا الشعبية الديمقراطية (التوصية 74/2)؛</w:t>
      </w:r>
    </w:p>
    <w:p w14:paraId="338F87D4" w14:textId="77777777" w:rsidR="00DA1622" w:rsidRPr="000B5AE8" w:rsidRDefault="00DA1622" w:rsidP="00CD1A23">
      <w:pPr>
        <w:numPr>
          <w:ilvl w:val="0"/>
          <w:numId w:val="22"/>
        </w:numPr>
        <w:tabs>
          <w:tab w:val="clear" w:pos="1247"/>
          <w:tab w:val="clear" w:pos="1814"/>
          <w:tab w:val="clear" w:pos="2381"/>
          <w:tab w:val="clear" w:pos="2948"/>
          <w:tab w:val="clear" w:pos="3515"/>
          <w:tab w:val="left" w:pos="709"/>
        </w:tabs>
        <w:bidi/>
        <w:spacing w:after="110" w:line="360" w:lineRule="exact"/>
        <w:ind w:left="3969" w:hanging="709"/>
        <w:jc w:val="both"/>
        <w:textDirection w:val="tbRlV"/>
        <w:rPr>
          <w:rFonts w:ascii="Simplified Arabic" w:eastAsia="Times New Roman" w:hAnsi="Simplified Arabic" w:hint="default"/>
          <w:sz w:val="24"/>
          <w:szCs w:val="24"/>
          <w:lang w:val="ar-SA" w:eastAsia="zh-TW" w:bidi="en-GB"/>
        </w:rPr>
      </w:pPr>
      <w:r w:rsidRPr="000B5AE8">
        <w:rPr>
          <w:rFonts w:ascii="Simplified Arabic" w:eastAsia="Times New Roman" w:hAnsi="Simplified Arabic"/>
          <w:sz w:val="24"/>
          <w:szCs w:val="24"/>
          <w:rtl/>
          <w:lang w:val="en-US" w:eastAsia="en-US"/>
        </w:rPr>
        <w:t>كازاخستان (التوصية 74/3)؛</w:t>
      </w:r>
    </w:p>
    <w:p w14:paraId="245AAD61" w14:textId="77777777" w:rsidR="00DA1622" w:rsidRPr="000B5AE8" w:rsidRDefault="00DA1622" w:rsidP="00CD1A23">
      <w:pPr>
        <w:numPr>
          <w:ilvl w:val="0"/>
          <w:numId w:val="22"/>
        </w:numPr>
        <w:tabs>
          <w:tab w:val="clear" w:pos="1247"/>
          <w:tab w:val="clear" w:pos="1814"/>
          <w:tab w:val="clear" w:pos="2381"/>
          <w:tab w:val="clear" w:pos="2948"/>
          <w:tab w:val="clear" w:pos="3515"/>
          <w:tab w:val="left" w:pos="709"/>
        </w:tabs>
        <w:bidi/>
        <w:spacing w:after="110" w:line="360" w:lineRule="exact"/>
        <w:ind w:left="3969" w:hanging="709"/>
        <w:jc w:val="both"/>
        <w:textDirection w:val="tbRlV"/>
        <w:rPr>
          <w:rFonts w:ascii="Simplified Arabic" w:eastAsia="Times New Roman" w:hAnsi="Simplified Arabic" w:hint="default"/>
          <w:sz w:val="24"/>
          <w:szCs w:val="24"/>
          <w:lang w:val="ar-SA" w:eastAsia="zh-TW" w:bidi="en-GB"/>
        </w:rPr>
      </w:pPr>
      <w:r w:rsidRPr="000B5AE8">
        <w:rPr>
          <w:rFonts w:ascii="Simplified Arabic" w:eastAsia="Times New Roman" w:hAnsi="Simplified Arabic"/>
          <w:sz w:val="24"/>
          <w:szCs w:val="24"/>
          <w:rtl/>
          <w:lang w:val="en-US" w:eastAsia="en-US"/>
        </w:rPr>
        <w:t>ليبيا (التوصية 74/4).</w:t>
      </w:r>
    </w:p>
    <w:p w14:paraId="45BA2227" w14:textId="77777777" w:rsidR="00DA1622" w:rsidRPr="000B5AE8" w:rsidRDefault="00DA1622" w:rsidP="000B5AE8">
      <w:pPr>
        <w:pStyle w:val="NormalNonumber"/>
        <w:numPr>
          <w:ilvl w:val="0"/>
          <w:numId w:val="20"/>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lang w:val="en-US" w:eastAsia="en-US"/>
        </w:rPr>
      </w:pPr>
      <w:r w:rsidRPr="000B5AE8">
        <w:rPr>
          <w:rFonts w:ascii="Simplified Arabic" w:hAnsi="Simplified Arabic" w:cs="Simplified Arabic"/>
          <w:sz w:val="24"/>
          <w:szCs w:val="24"/>
          <w:rtl/>
          <w:lang w:val="en-US" w:eastAsia="en-US"/>
        </w:rPr>
        <w:lastRenderedPageBreak/>
        <w:t>النظر في مسائل عدم الامتثال المحتملة الأخرى الناشئة عن تقرير البيانات.</w:t>
      </w:r>
    </w:p>
    <w:p w14:paraId="10BD09B0" w14:textId="2568734C" w:rsidR="00DA1622" w:rsidRPr="000B5AE8" w:rsidRDefault="00DA1622" w:rsidP="000B5AE8">
      <w:pPr>
        <w:pStyle w:val="NormalNonumber"/>
        <w:numPr>
          <w:ilvl w:val="0"/>
          <w:numId w:val="20"/>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lang w:val="en-US" w:eastAsia="en-US"/>
        </w:rPr>
      </w:pPr>
      <w:r w:rsidRPr="000B5AE8">
        <w:rPr>
          <w:rFonts w:ascii="Simplified Arabic" w:hAnsi="Simplified Arabic" w:cs="Simplified Arabic"/>
          <w:sz w:val="24"/>
          <w:szCs w:val="24"/>
          <w:rtl/>
          <w:lang w:val="en-US" w:eastAsia="en-US"/>
        </w:rPr>
        <w:t>طلبات إدخال تغييرات على بيانات خط الأساس (المقرران 13/15 و15/19</w:t>
      </w:r>
      <w:r w:rsidRPr="000B5AE8">
        <w:rPr>
          <w:rFonts w:ascii="Simplified Arabic" w:hAnsi="Simplified Arabic" w:cs="Simplified Arabic"/>
          <w:sz w:val="24"/>
          <w:szCs w:val="24"/>
          <w:lang w:val="en-US" w:eastAsia="en-US"/>
        </w:rPr>
        <w:t>(</w:t>
      </w:r>
      <w:r w:rsidR="00CD1A23">
        <w:rPr>
          <w:rFonts w:ascii="Simplified Arabic" w:hAnsi="Simplified Arabic" w:cs="Simplified Arabic" w:hint="cs"/>
          <w:sz w:val="24"/>
          <w:szCs w:val="24"/>
          <w:rtl/>
          <w:lang w:val="en-US" w:eastAsia="en-US"/>
        </w:rPr>
        <w:t>:</w:t>
      </w:r>
    </w:p>
    <w:p w14:paraId="3F295E68" w14:textId="77777777" w:rsidR="00DA1622" w:rsidRPr="000B5AE8" w:rsidRDefault="00DA1622" w:rsidP="000B5AE8">
      <w:pPr>
        <w:numPr>
          <w:ilvl w:val="0"/>
          <w:numId w:val="23"/>
        </w:num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Times New Roman" w:hAnsi="Simplified Arabic" w:hint="default"/>
          <w:sz w:val="24"/>
          <w:szCs w:val="24"/>
          <w:lang w:val="ar-SA" w:eastAsia="zh-TW" w:bidi="en-GB"/>
        </w:rPr>
      </w:pPr>
      <w:r w:rsidRPr="000B5AE8">
        <w:rPr>
          <w:rFonts w:ascii="Simplified Arabic" w:eastAsia="Times New Roman" w:hAnsi="Simplified Arabic"/>
          <w:sz w:val="24"/>
          <w:szCs w:val="24"/>
          <w:rtl/>
          <w:lang w:val="en-US" w:eastAsia="en-US"/>
        </w:rPr>
        <w:t>أرمينيا (التوصية 74/11)؛</w:t>
      </w:r>
    </w:p>
    <w:p w14:paraId="3117A1D6" w14:textId="77777777" w:rsidR="00DA1622" w:rsidRPr="000B5AE8" w:rsidRDefault="00DA1622" w:rsidP="000B5AE8">
      <w:pPr>
        <w:numPr>
          <w:ilvl w:val="0"/>
          <w:numId w:val="23"/>
        </w:num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Times New Roman" w:hAnsi="Simplified Arabic" w:hint="default"/>
          <w:sz w:val="24"/>
          <w:szCs w:val="24"/>
          <w:lang w:val="ar-SA" w:eastAsia="zh-TW" w:bidi="en-GB"/>
        </w:rPr>
      </w:pPr>
      <w:r w:rsidRPr="000B5AE8">
        <w:rPr>
          <w:rFonts w:ascii="Simplified Arabic" w:eastAsia="Times New Roman" w:hAnsi="Simplified Arabic"/>
          <w:sz w:val="24"/>
          <w:szCs w:val="24"/>
          <w:rtl/>
          <w:lang w:val="en-US" w:eastAsia="en-US"/>
        </w:rPr>
        <w:t>غينيا (التوصية 74/13)؛</w:t>
      </w:r>
    </w:p>
    <w:p w14:paraId="72A8515A" w14:textId="77777777" w:rsidR="00DA1622" w:rsidRPr="000B5AE8" w:rsidRDefault="00DA1622" w:rsidP="000B5AE8">
      <w:pPr>
        <w:numPr>
          <w:ilvl w:val="0"/>
          <w:numId w:val="23"/>
        </w:num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Times New Roman" w:hAnsi="Simplified Arabic" w:hint="default"/>
          <w:sz w:val="24"/>
          <w:szCs w:val="24"/>
          <w:lang w:val="ar-SA" w:eastAsia="zh-TW" w:bidi="en-GB"/>
        </w:rPr>
      </w:pPr>
      <w:r w:rsidRPr="000B5AE8">
        <w:rPr>
          <w:rFonts w:ascii="Simplified Arabic" w:eastAsia="Times New Roman" w:hAnsi="Simplified Arabic"/>
          <w:sz w:val="24"/>
          <w:szCs w:val="24"/>
          <w:rtl/>
          <w:lang w:val="en-US" w:eastAsia="en-US"/>
        </w:rPr>
        <w:t>المغرب؛</w:t>
      </w:r>
    </w:p>
    <w:p w14:paraId="3E45D5E4" w14:textId="77777777" w:rsidR="00DA1622" w:rsidRPr="000B5AE8" w:rsidRDefault="00DA1622" w:rsidP="000B5AE8">
      <w:pPr>
        <w:numPr>
          <w:ilvl w:val="0"/>
          <w:numId w:val="23"/>
        </w:num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Times New Roman" w:hAnsi="Simplified Arabic" w:hint="default"/>
          <w:sz w:val="24"/>
          <w:szCs w:val="24"/>
          <w:lang w:val="ar-SA" w:eastAsia="zh-TW" w:bidi="en-GB"/>
        </w:rPr>
      </w:pPr>
      <w:r w:rsidRPr="000B5AE8">
        <w:rPr>
          <w:rFonts w:ascii="Simplified Arabic" w:eastAsia="Times New Roman" w:hAnsi="Simplified Arabic"/>
          <w:sz w:val="24"/>
          <w:szCs w:val="24"/>
          <w:rtl/>
          <w:lang w:val="en-US" w:eastAsia="en-US"/>
        </w:rPr>
        <w:t>البوسنة والهرسك؛</w:t>
      </w:r>
    </w:p>
    <w:p w14:paraId="182B70C2" w14:textId="77777777" w:rsidR="00DA1622" w:rsidRPr="000B5AE8" w:rsidRDefault="00DA1622" w:rsidP="000B5AE8">
      <w:pPr>
        <w:numPr>
          <w:ilvl w:val="0"/>
          <w:numId w:val="23"/>
        </w:num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Times New Roman" w:hAnsi="Simplified Arabic" w:hint="default"/>
          <w:sz w:val="24"/>
          <w:szCs w:val="24"/>
          <w:lang w:val="ar-SA" w:eastAsia="zh-TW" w:bidi="en-GB"/>
        </w:rPr>
      </w:pPr>
      <w:r w:rsidRPr="000B5AE8">
        <w:rPr>
          <w:rFonts w:ascii="Simplified Arabic" w:eastAsia="Times New Roman" w:hAnsi="Simplified Arabic"/>
          <w:sz w:val="24"/>
          <w:szCs w:val="24"/>
          <w:rtl/>
          <w:lang w:val="en-US" w:eastAsia="en-US"/>
        </w:rPr>
        <w:t>البرازيل؛</w:t>
      </w:r>
    </w:p>
    <w:p w14:paraId="55918FA7" w14:textId="77777777" w:rsidR="00DA1622" w:rsidRPr="000B5AE8" w:rsidRDefault="00DA1622" w:rsidP="000B5AE8">
      <w:pPr>
        <w:numPr>
          <w:ilvl w:val="0"/>
          <w:numId w:val="23"/>
        </w:num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Times New Roman" w:hAnsi="Simplified Arabic" w:hint="default"/>
          <w:sz w:val="24"/>
          <w:szCs w:val="24"/>
          <w:lang w:val="ar-SA" w:eastAsia="zh-TW" w:bidi="en-GB"/>
        </w:rPr>
      </w:pPr>
      <w:r w:rsidRPr="000B5AE8">
        <w:rPr>
          <w:rFonts w:ascii="Simplified Arabic" w:eastAsia="Times New Roman" w:hAnsi="Simplified Arabic"/>
          <w:sz w:val="24"/>
          <w:szCs w:val="24"/>
          <w:rtl/>
          <w:lang w:val="en-US" w:eastAsia="en-US"/>
        </w:rPr>
        <w:t>الصومال.</w:t>
      </w:r>
    </w:p>
    <w:p w14:paraId="4C40D6F4" w14:textId="77777777" w:rsidR="00DA1622" w:rsidRPr="000B5AE8" w:rsidRDefault="00DA1622" w:rsidP="000B5AE8">
      <w:pPr>
        <w:pStyle w:val="NormalNonumber"/>
        <w:numPr>
          <w:ilvl w:val="0"/>
          <w:numId w:val="20"/>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lowKashida"/>
        <w:textDirection w:val="tbRlV"/>
        <w:rPr>
          <w:rFonts w:ascii="Simplified Arabic" w:hAnsi="Simplified Arabic" w:cs="Simplified Arabic"/>
          <w:w w:val="107"/>
          <w:sz w:val="24"/>
          <w:szCs w:val="24"/>
          <w:lang w:val="en-US" w:eastAsia="en-US"/>
        </w:rPr>
      </w:pPr>
      <w:r w:rsidRPr="000B5AE8">
        <w:rPr>
          <w:rFonts w:ascii="Simplified Arabic" w:hAnsi="Simplified Arabic" w:cs="Simplified Arabic"/>
          <w:w w:val="107"/>
          <w:sz w:val="24"/>
          <w:szCs w:val="24"/>
          <w:rtl/>
          <w:lang w:val="en-US" w:eastAsia="en-US"/>
        </w:rPr>
        <w:t>إنشاء نظم الترخيص بموجب المادة 4 باء، الفقرة 2 مكرراً، من بروتوكول مونتريال (المقرر 36/15 والتوصية 74/14).</w:t>
      </w:r>
    </w:p>
    <w:p w14:paraId="6E832DF2" w14:textId="77777777" w:rsidR="00DA1622" w:rsidRPr="000B5AE8" w:rsidRDefault="00DA1622" w:rsidP="000B5AE8">
      <w:pPr>
        <w:pStyle w:val="NormalNonumber"/>
        <w:numPr>
          <w:ilvl w:val="0"/>
          <w:numId w:val="20"/>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lang w:val="en-US" w:eastAsia="en-US"/>
        </w:rPr>
      </w:pPr>
      <w:r w:rsidRPr="000B5AE8">
        <w:rPr>
          <w:rFonts w:ascii="Simplified Arabic" w:hAnsi="Simplified Arabic" w:cs="Simplified Arabic"/>
          <w:sz w:val="24"/>
          <w:szCs w:val="24"/>
          <w:rtl/>
          <w:lang w:val="en-US" w:eastAsia="en-US"/>
        </w:rPr>
        <w:t>المسائل المنهجية المتعلقة بالامتثال (المقرر 36/9).</w:t>
      </w:r>
    </w:p>
    <w:p w14:paraId="39869EEA" w14:textId="77777777" w:rsidR="00DA1622" w:rsidRPr="000B5AE8" w:rsidRDefault="00DA1622" w:rsidP="000B5AE8">
      <w:pPr>
        <w:pStyle w:val="NormalNonumber"/>
        <w:numPr>
          <w:ilvl w:val="0"/>
          <w:numId w:val="20"/>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lang w:val="en-US" w:eastAsia="en-US"/>
        </w:rPr>
      </w:pPr>
      <w:r w:rsidRPr="000B5AE8">
        <w:rPr>
          <w:rFonts w:ascii="Simplified Arabic" w:hAnsi="Simplified Arabic" w:cs="Simplified Arabic"/>
          <w:sz w:val="24"/>
          <w:szCs w:val="24"/>
          <w:rtl/>
          <w:lang w:val="en-US" w:eastAsia="en-US"/>
        </w:rPr>
        <w:t>مسائل أخرى.</w:t>
      </w:r>
    </w:p>
    <w:p w14:paraId="7C8B568A" w14:textId="77777777" w:rsidR="00DA1622" w:rsidRPr="000B5AE8" w:rsidRDefault="00DA1622" w:rsidP="000B5AE8">
      <w:pPr>
        <w:pStyle w:val="NormalNonumber"/>
        <w:numPr>
          <w:ilvl w:val="0"/>
          <w:numId w:val="20"/>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lang w:val="en-US" w:eastAsia="en-US"/>
        </w:rPr>
      </w:pPr>
      <w:r w:rsidRPr="000B5AE8">
        <w:rPr>
          <w:rFonts w:ascii="Simplified Arabic" w:hAnsi="Simplified Arabic" w:cs="Simplified Arabic"/>
          <w:sz w:val="24"/>
          <w:szCs w:val="24"/>
          <w:rtl/>
          <w:lang w:val="en-US" w:eastAsia="en-US"/>
        </w:rPr>
        <w:t>اعتماد توصيات الاجتماع وتقريره.</w:t>
      </w:r>
    </w:p>
    <w:p w14:paraId="0883DCAE" w14:textId="77777777" w:rsidR="00DA1622" w:rsidRPr="000B5AE8" w:rsidRDefault="00DA1622" w:rsidP="000B5AE8">
      <w:pPr>
        <w:pStyle w:val="NormalNonumber"/>
        <w:numPr>
          <w:ilvl w:val="0"/>
          <w:numId w:val="20"/>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lang w:val="en-US" w:eastAsia="en-US"/>
        </w:rPr>
      </w:pPr>
      <w:r w:rsidRPr="000B5AE8">
        <w:rPr>
          <w:rFonts w:ascii="Simplified Arabic" w:hAnsi="Simplified Arabic" w:cs="Simplified Arabic"/>
          <w:sz w:val="24"/>
          <w:szCs w:val="24"/>
          <w:rtl/>
          <w:lang w:val="en-US" w:eastAsia="en-US"/>
        </w:rPr>
        <w:t>اختتام الاجتماع.</w:t>
      </w:r>
    </w:p>
    <w:p w14:paraId="2A1E0564" w14:textId="3A221FAA" w:rsidR="00313FB1" w:rsidRPr="000B5AE8" w:rsidRDefault="004C39EE" w:rsidP="000B5AE8">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0B5AE8">
        <w:rPr>
          <w:rFonts w:ascii="Simplified Arabic" w:hAnsi="Simplified Arabic" w:hint="default"/>
          <w:sz w:val="24"/>
          <w:szCs w:val="24"/>
          <w:rtl/>
        </w:rPr>
        <w:t>ووافقت اللجنة على تناول بنود جدول الأعمال بالترتيب التسلسلي واتباع إجراءاتها المعتادة.</w:t>
      </w:r>
    </w:p>
    <w:p w14:paraId="3D10F01A" w14:textId="22BCCEBD" w:rsidR="00C41DA9" w:rsidRPr="000B5AE8" w:rsidRDefault="001E1AA5" w:rsidP="000B5AE8">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rtl/>
          <w:lang w:val="ar-SA" w:eastAsia="zh-TW" w:bidi="en-GB"/>
        </w:rPr>
      </w:pPr>
      <w:r w:rsidRPr="000B5AE8">
        <w:rPr>
          <w:rFonts w:ascii="Simplified Arabic" w:hAnsi="Simplified Arabic" w:cs="Simplified Arabic"/>
          <w:bCs/>
          <w:sz w:val="26"/>
          <w:szCs w:val="26"/>
          <w:rtl/>
        </w:rPr>
        <w:t>ثالثا</w:t>
      </w:r>
      <w:r w:rsidR="00E2137F" w:rsidRPr="000B5AE8">
        <w:rPr>
          <w:rFonts w:ascii="Simplified Arabic" w:hAnsi="Simplified Arabic" w:cs="Simplified Arabic" w:hint="cs"/>
          <w:bCs/>
          <w:sz w:val="26"/>
          <w:szCs w:val="26"/>
          <w:rtl/>
        </w:rPr>
        <w:t>ً</w:t>
      </w:r>
      <w:r w:rsidRPr="000B5AE8">
        <w:rPr>
          <w:rFonts w:ascii="Simplified Arabic" w:hAnsi="Simplified Arabic" w:cs="Simplified Arabic"/>
          <w:bCs/>
          <w:sz w:val="26"/>
          <w:szCs w:val="26"/>
          <w:rtl/>
        </w:rPr>
        <w:t>-</w:t>
      </w:r>
      <w:r w:rsidRPr="000B5AE8">
        <w:rPr>
          <w:rFonts w:ascii="Simplified Arabic" w:hAnsi="Simplified Arabic" w:cs="Simplified Arabic"/>
          <w:bCs/>
          <w:sz w:val="26"/>
          <w:szCs w:val="26"/>
          <w:rtl/>
        </w:rPr>
        <w:tab/>
        <w:t>عرض تقدمه أمانة الأوزون بشأن البيانات والمعلومات المقدمة بموجب المادتين 7 و9 من بروتوكول مونتريال والمسائل ذات الصلة</w:t>
      </w:r>
    </w:p>
    <w:p w14:paraId="37BAD9A2" w14:textId="77777777" w:rsidR="002A0884" w:rsidRPr="000B5AE8" w:rsidRDefault="006206DC" w:rsidP="00697D0C">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sz w:val="24"/>
          <w:szCs w:val="24"/>
          <w:rtl/>
        </w:rPr>
      </w:pPr>
      <w:r w:rsidRPr="000B5AE8">
        <w:rPr>
          <w:rFonts w:ascii="Simplified Arabic" w:hAnsi="Simplified Arabic"/>
          <w:sz w:val="24"/>
          <w:szCs w:val="24"/>
          <w:rtl/>
        </w:rPr>
        <w:t xml:space="preserve">قدم ممثل للأمانة عرضاً يوجز تقرير الأمانة عن المعلومات المقدمة من الأطراف وفقاً للمادتين 7 </w:t>
      </w:r>
      <w:r w:rsidR="002B69D1" w:rsidRPr="000B5AE8">
        <w:rPr>
          <w:rFonts w:ascii="Simplified Arabic" w:hAnsi="Simplified Arabic"/>
          <w:sz w:val="24"/>
          <w:szCs w:val="24"/>
          <w:rtl/>
        </w:rPr>
        <w:t>و9</w:t>
      </w:r>
      <w:r w:rsidRPr="000B5AE8">
        <w:rPr>
          <w:rFonts w:ascii="Simplified Arabic" w:hAnsi="Simplified Arabic"/>
          <w:sz w:val="24"/>
          <w:szCs w:val="24"/>
          <w:rtl/>
        </w:rPr>
        <w:t xml:space="preserve"> من بروتوكول مونتريال </w:t>
      </w:r>
      <w:r w:rsidRPr="00697D0C">
        <w:rPr>
          <w:rFonts w:cs="Times New Roman"/>
          <w:sz w:val="22"/>
          <w:szCs w:val="22"/>
        </w:rPr>
        <w:t>(UNEP/OzL.Pro.37/6–UNEP/OzL.Pro/ImpCom/75/2)</w:t>
      </w:r>
      <w:r w:rsidRPr="000B5AE8">
        <w:rPr>
          <w:rFonts w:ascii="Simplified Arabic" w:hAnsi="Simplified Arabic"/>
          <w:sz w:val="24"/>
          <w:szCs w:val="24"/>
          <w:rtl/>
        </w:rPr>
        <w:t xml:space="preserve"> وإضافته </w:t>
      </w:r>
      <w:r w:rsidRPr="00697D0C">
        <w:rPr>
          <w:rFonts w:cs="Times New Roman"/>
          <w:sz w:val="22"/>
          <w:szCs w:val="22"/>
        </w:rPr>
        <w:t>(UNEP/OzL.Pro.37/6/Add.1–UNEP/OzL.Pro/ImpCom/75/2/Add.1)</w:t>
      </w:r>
      <w:r w:rsidRPr="000B5AE8">
        <w:rPr>
          <w:rFonts w:ascii="Simplified Arabic" w:hAnsi="Simplified Arabic"/>
          <w:sz w:val="24"/>
          <w:szCs w:val="24"/>
          <w:rtl/>
        </w:rPr>
        <w:t>. وأوضح أنه لن يكرر المعلومات المُقدمة إلى اللجنة في اجتماعها الرابع والسبعين، ولن يُقدم سوى تحديثات ومعلومات جديدة.</w:t>
      </w:r>
    </w:p>
    <w:p w14:paraId="73C3D852" w14:textId="3206C994" w:rsidR="006206DC" w:rsidRPr="000B5AE8" w:rsidRDefault="006206DC" w:rsidP="00C55800">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وفيما يتعلق بالإبلاغ عن البيانات بموجب المادة 7، أبلغ ما مجموعه 185 طرفاً عن عام 2024، منها 135 طرفاً من الأطراف العاملة بموجب الفقرة 1 من المادة 5 من البروتوكول و50 طرفاً من الأطراف غير العاملة بموجب هذه الفقرة. واستخدم 120 طرفاً، من الأطراف ال</w:t>
      </w:r>
      <w:r w:rsidR="002B69D1" w:rsidRPr="000B5AE8">
        <w:rPr>
          <w:rFonts w:ascii="Simplified Arabic" w:hAnsi="Simplified Arabic"/>
          <w:sz w:val="24"/>
          <w:szCs w:val="24"/>
          <w:rtl/>
        </w:rPr>
        <w:t>ـ</w:t>
      </w:r>
      <w:r w:rsidRPr="000B5AE8">
        <w:rPr>
          <w:rFonts w:ascii="Simplified Arabic" w:hAnsi="Simplified Arabic"/>
          <w:sz w:val="24"/>
          <w:szCs w:val="24"/>
          <w:rtl/>
        </w:rPr>
        <w:t xml:space="preserve"> 185، نظام الإبلاغ الإلكتروني والتزم 170 طرفاً بالموعد النهائي المحدد في 30 أيلول/سبتمبر 2025. والأطراف الـ</w:t>
      </w:r>
      <w:r w:rsidR="00697D0C">
        <w:rPr>
          <w:rFonts w:ascii="Simplified Arabic" w:hAnsi="Simplified Arabic"/>
          <w:sz w:val="24"/>
          <w:szCs w:val="24"/>
          <w:rtl/>
        </w:rPr>
        <w:t xml:space="preserve"> </w:t>
      </w:r>
      <w:r w:rsidRPr="000B5AE8">
        <w:rPr>
          <w:rFonts w:ascii="Simplified Arabic" w:hAnsi="Simplified Arabic"/>
          <w:sz w:val="24"/>
          <w:szCs w:val="24"/>
          <w:rtl/>
        </w:rPr>
        <w:t>13 التي لم تفِ بعد بالتزاماتها بتقديم البيانات السنوية لعام 2024 هي أرمينيا، وآيسلندا، وبوروندي، وجزر البهاما، وجزر القمر، والجمهورية العربية السورية، وجمهورية مولدوفا، وسان تومي وبرينسيبي، وسورينام، وغينيا الاستوائية، وكابو فيردي، وميانمار، وهندوراس.</w:t>
      </w:r>
    </w:p>
    <w:p w14:paraId="3B4ECA16" w14:textId="2A26C132" w:rsidR="006206DC" w:rsidRPr="000B5AE8" w:rsidRDefault="006206DC" w:rsidP="00C55800">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 xml:space="preserve">وقدمت كوت ديفوار، التي أُدرجت في المقرر 36/13 باعتبارها لم تبلغ عن بيانات مركبات الكربون الهيدروفلورية لعام 2023، المعلومات منذ ذلك الحين. إضافةً إلى ذلك، قدمت بابوا غينيا الجديدة بيانات خط الأساس لمركبات الكربون الهيدروفلورية للأعوام 2020 و2021 و2022. ولم تبلغ أربعة أطراف من المجموعة </w:t>
      </w:r>
      <w:r w:rsidR="003B1329">
        <w:rPr>
          <w:rFonts w:ascii="Simplified Arabic" w:hAnsi="Simplified Arabic"/>
          <w:sz w:val="24"/>
          <w:szCs w:val="24"/>
          <w:rtl/>
        </w:rPr>
        <w:t>1</w:t>
      </w:r>
      <w:r w:rsidR="003B1329" w:rsidRPr="000B5AE8">
        <w:rPr>
          <w:rFonts w:ascii="Simplified Arabic" w:hAnsi="Simplified Arabic"/>
          <w:sz w:val="24"/>
          <w:szCs w:val="24"/>
          <w:rtl/>
        </w:rPr>
        <w:t xml:space="preserve"> </w:t>
      </w:r>
      <w:r w:rsidRPr="000B5AE8">
        <w:rPr>
          <w:rFonts w:ascii="Simplified Arabic" w:hAnsi="Simplified Arabic"/>
          <w:sz w:val="24"/>
          <w:szCs w:val="24"/>
          <w:rtl/>
        </w:rPr>
        <w:t>من الأطراف العاملة بالمادة 5، والتي صدقت مؤخراً على تعديل كيغالي للبروتوكول، عن بيانات مركبات الكربون الهيدروفلورية لسنواتها الأساسية، وكذلك لم تبلغ خمسة أطراف من المجموعة 2 من الأطراف العاملة بالمادة 5، والتي صدقت مؤخراً على تعديل كيغالي، عن بيانات مركبات الكربون الهيدروفلورية لعام 2024، وهو أحد الأعوام الأساسية لمركبات الكربون الهيدروفلورية.</w:t>
      </w:r>
    </w:p>
    <w:p w14:paraId="58AB710D" w14:textId="77777777" w:rsidR="006206DC" w:rsidRPr="000B5AE8" w:rsidRDefault="006206DC" w:rsidP="00C55800">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lastRenderedPageBreak/>
        <w:t>وقد حددت الأمانة ما مجموعه 16 طرفاً على أنها قد تكون في حالة عدم امتثال، حيث تجاوز استهلاكها أو إنتاجها المبلغ عنه الحد المحدد في البروتوكول، ولم يكن من الممكن أن يعزى الاستهلاك أو الإنتاج الزائد إلى الاستخدامات المسموح بها. وفي عدة حالات، لا يزال يُنتظر من الأطراف المعنية تقديم توضيح. وستواصل اللجنة النظر في حالات أخرى في إطار البندين 6 و7 من جدول الأعمال.</w:t>
      </w:r>
    </w:p>
    <w:p w14:paraId="12D2158F" w14:textId="77777777" w:rsidR="002A0884" w:rsidRPr="000B5AE8" w:rsidRDefault="006206DC" w:rsidP="00C55800">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وأبلغت أربعة أطراف عن إنتاج زائد في عام 2024 من المواد الخاضعة للرقابة يعزى إلى التخزين، عملاً بالمقررين 18/17 و22/20. وأَبلَغ الاتحاد الأوروبي وفرنسا وإسرائيل وإسبانيا أن تلك الحالات تتعلق بإنتاج غير مقصود لتلك المواد التي كان من المقرر تدميرها، باستثناء الإنتاج الزائد المبلغ عنه من بروميد الميثيل من قبل إسرائيل والذي كان مخصصاً للتصدير لاستخدامه كمادة أولية في السنوات المقبلة.</w:t>
      </w:r>
    </w:p>
    <w:p w14:paraId="2517B55A" w14:textId="163BE522" w:rsidR="006206DC" w:rsidRPr="000B5AE8" w:rsidRDefault="006206DC" w:rsidP="00CD1A23">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sz w:val="24"/>
          <w:szCs w:val="24"/>
        </w:rPr>
      </w:pPr>
      <w:r w:rsidRPr="000B5AE8">
        <w:rPr>
          <w:rFonts w:ascii="Simplified Arabic" w:hAnsi="Simplified Arabic"/>
          <w:sz w:val="24"/>
          <w:szCs w:val="24"/>
          <w:rtl/>
        </w:rPr>
        <w:t>وقد أبلغت جميع الأطراف الأربعة التي لا تزال تستخدم المواد الخاضعة للرقابة كعوامل معالجة، وهي الاتحاد الأوروبي وإسرائيل والصين والولايات المتحدة الأمريكية، عن البيانات المطلوبة لعام 2024، إلى جانب معلومات عن تقنيات الاحتواء المستخدمة. كذلك أبلغ الاتحاد الأوروبي والصين عن إنتاج أو استيراد مواد لاستخدامها كعوامل معالجة؛ وستراسل الأمانة إسرائيل والولايات المتحدة الأمريكية لطلب معلومات بشأن استخداماتهما لعوامل المعالجة.</w:t>
      </w:r>
      <w:bookmarkStart w:id="3" w:name="_Hlk212796971"/>
      <w:bookmarkEnd w:id="3"/>
    </w:p>
    <w:p w14:paraId="114D1340" w14:textId="77777777" w:rsidR="002A0884" w:rsidRPr="000B5AE8" w:rsidRDefault="006206DC" w:rsidP="00C55800">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وفيما يتعلق باستكمال استمارات البيانات فإنه فيما يخص المقررين 24/14 و29/18، فإن جميع الأطراف التي قدمت استمارات غير مستكملة خلال السنوات العشر الماضية عند الإبلاغ عن بيانات بموجب المادة 7 أكدت لاحقاً أنه كان ينبغي وضع صفر في جميع الخانات الفارغة في تلك الاستمارات.</w:t>
      </w:r>
    </w:p>
    <w:p w14:paraId="0625266C" w14:textId="2091B803" w:rsidR="006206DC" w:rsidRPr="000B5AE8" w:rsidRDefault="006206DC" w:rsidP="00CD1A23">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sz w:val="24"/>
          <w:szCs w:val="24"/>
        </w:rPr>
      </w:pPr>
      <w:r w:rsidRPr="000B5AE8">
        <w:rPr>
          <w:rFonts w:ascii="Simplified Arabic" w:hAnsi="Simplified Arabic"/>
          <w:sz w:val="24"/>
          <w:szCs w:val="24"/>
          <w:rtl/>
        </w:rPr>
        <w:t>وأخيراً، أشار إلى أنه، فيما يتعلق بالمقررين 13/15 و15/19، تلقت الأمانة طلبات من ستة أطراف لتنقيح بيانات خط الأساس لمركبات الكربون الهيدروفلورية؛ وستواصل اللجنة النظر في هذه المسألة في إطار البند 7 من جدول الأعمال.</w:t>
      </w:r>
    </w:p>
    <w:p w14:paraId="5A3FADA3" w14:textId="77777777" w:rsidR="006206DC" w:rsidRPr="000B5AE8" w:rsidRDefault="006206DC" w:rsidP="00697D0C">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sz w:val="24"/>
          <w:szCs w:val="24"/>
        </w:rPr>
      </w:pPr>
      <w:r w:rsidRPr="000B5AE8">
        <w:rPr>
          <w:rFonts w:ascii="Simplified Arabic" w:hAnsi="Simplified Arabic"/>
          <w:sz w:val="24"/>
          <w:szCs w:val="24"/>
          <w:rtl/>
        </w:rPr>
        <w:t xml:space="preserve">ورداً على أسئلة أعضاء اللجنة، أوضح أن بابوا غينيا الجديدة أبلغت عن بياناتها الأساسية عن السنتين اللتين كانت بياناتها عنهما غير متاحة، وأن الإمارات العربية المتحدة أبلغت عن بياناتها المتعلقة بمركبات الكربون الهيدروفلورية لعام 2024، وأن رومانيا أبلغت عن بياناتها بعد الانتهاء من إعداد الوثيقة </w:t>
      </w:r>
      <w:r w:rsidRPr="00697D0C">
        <w:rPr>
          <w:rFonts w:cs="Times New Roman"/>
          <w:sz w:val="22"/>
          <w:szCs w:val="22"/>
          <w:rtl/>
        </w:rPr>
        <w:t>UNEP/OzL.Pro.37/6/Add.1–UNEP/OzL.Pro/ImpCom/75/2/Add.1</w:t>
      </w:r>
      <w:r w:rsidRPr="000B5AE8">
        <w:rPr>
          <w:rFonts w:ascii="Simplified Arabic" w:hAnsi="Simplified Arabic"/>
          <w:sz w:val="24"/>
          <w:szCs w:val="24"/>
          <w:rtl/>
        </w:rPr>
        <w:t>. وسيجيب بشكل ثنائي على سؤال بشأن حجم الاستهلاك الذي تمثله الأطراف الثلاثة عشر التي لم تقدم بعد بيانات لعام 2024. وأوضح أن طاجيكستان ظهرت مرتين في قائمة البلدان التي أظهرت البيانات احتمال عدم امتثالها لأن هناك سطر يشير إلى بيانات عام 2023، والتي قدم الطرف توضيحاً بشأنها الآن، وسطر آخر يشير إلى بيانات عام 2024، التي لم يقدم الطرف توضيحاً بشأنها.</w:t>
      </w:r>
    </w:p>
    <w:p w14:paraId="57F52D17" w14:textId="77777777" w:rsidR="006206DC" w:rsidRPr="00CD1A23" w:rsidRDefault="006206DC" w:rsidP="00CD1A23">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w w:val="104"/>
          <w:sz w:val="24"/>
          <w:szCs w:val="24"/>
        </w:rPr>
      </w:pPr>
      <w:r w:rsidRPr="00CD1A23">
        <w:rPr>
          <w:rFonts w:ascii="Simplified Arabic" w:hAnsi="Simplified Arabic"/>
          <w:w w:val="104"/>
          <w:sz w:val="24"/>
          <w:szCs w:val="24"/>
          <w:rtl/>
        </w:rPr>
        <w:t>وعرض مشروعَ توصية ومقررٍ مقترحين بشأن الإبلاغ عن البيانات والمعلومات، موضحاً أنه يتضمن تعديلات طفيفة على الصياغة المستخدمة في السنوات السابقة. وفي السنوات السابقة، أحالت اللجنة مشروع المقرر مع وضع أقواس مربعة حول عدد الأطراف التي أبلغت عن البيانات، وهو ما مكن من تحديث العدد إذا ما أبلغت الأطراف خلال الاجتماع. ومع ذلك، فقد اقترح المستشارون القانونيون، سواء داخل الأمانة أو من عدد من الأطراف، أن هذا النهج غير مرغوب فيه، لأنه يوحي بإمكانية إعادة فتح مشروع المقرر للمناقشة خلال اجتماع الأطراف. لذلك، اقتُرح إحالة مشروع المقرر المقترح إلى الاجتماع السابع والثلاثين للأطراف دون أي أقواس مربعة، وتحديد عدد الأطراف المبلغة في موعد تختاره اللجنة؛ وكان التاريخ الوارد في النص المقترح هو 31 تشرين الأول/أكتوبر 2025، أي قبل يوم واحد من اعتماد اللجنة لتوصياتها.</w:t>
      </w:r>
    </w:p>
    <w:p w14:paraId="6A52A38B" w14:textId="77777777" w:rsidR="002A0884" w:rsidRPr="000B5AE8" w:rsidRDefault="006206DC" w:rsidP="00C55800">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 xml:space="preserve">وأضاف ممثل آخر للأمانة أن تحليل المسائل المنهجية المتعلقة بالامتثال، الذي سيخضع للمناقشة في إطار البند 9 من جدول الأعمال، قد حدد التأخر في الإبلاغ عن البيانات كأحد المسائل التي تسبب صعوبة في </w:t>
      </w:r>
      <w:r w:rsidRPr="000B5AE8">
        <w:rPr>
          <w:rFonts w:ascii="Simplified Arabic" w:hAnsi="Simplified Arabic"/>
          <w:sz w:val="24"/>
          <w:szCs w:val="24"/>
          <w:rtl/>
        </w:rPr>
        <w:lastRenderedPageBreak/>
        <w:t>تحديد حالة امتثال الأطراف. وقد جرى تسليط الضوء على هذه المسألة أيضا عندما أجرت الأمانة تحليلا للإدارة المركزية للمخاطر. واقترحت الأمانة أن يكون ذلك التاريخ هو 31 تشرين الأول/أكتوبر، لأن ذلك سيمكن اللجنة من إدراج الأرقام المحدثة من الإبلاغ عن البيانات عند استعراضها لمشاريع المقررات التي ستُرفق بمشاريع توصياتها في اليوم الثاني من اجتماعها، الموافق 1 تشرين الثاني/نوفمبر.</w:t>
      </w:r>
    </w:p>
    <w:p w14:paraId="12A4ABEC" w14:textId="77777777" w:rsidR="002A0884" w:rsidRPr="000B5AE8" w:rsidRDefault="006206DC" w:rsidP="00C55800">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واقترح أحد أعضاء اللجنة أن يتضمن مشروع المقرر سطراً إضافياً بشأن الإبلاغ الإلكتروني، بهدف تشجيع المزيد من الأطراف على استخدام نظام الإبلاغ الإلكتروني. وأيد أعضاء آخرون هذا المقترح.</w:t>
      </w:r>
    </w:p>
    <w:p w14:paraId="606A4F3A" w14:textId="7F58F464" w:rsidR="006206DC" w:rsidRPr="000B5AE8" w:rsidRDefault="006206DC" w:rsidP="00C55800">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ولذلك قررت اللجنة أن تحيل مشروع المقرر المتعلق بالإبلاغ عن البيانات والمعلومات الوارد في الفرع ألف من المرفق الأول لهذا التقرير إلى الاجتماع السابع والثلاثين للأطراف للنظر فيه.</w:t>
      </w:r>
      <w:bookmarkStart w:id="4" w:name="_Hlk213396948"/>
      <w:bookmarkEnd w:id="4"/>
    </w:p>
    <w:p w14:paraId="696E5E34" w14:textId="77777777" w:rsidR="006206DC" w:rsidRPr="000B5AE8" w:rsidRDefault="006206DC" w:rsidP="00C55800">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Times New Roman" w:hAnsi="Simplified Arabic" w:hint="default"/>
          <w:sz w:val="24"/>
          <w:szCs w:val="24"/>
          <w:lang w:val="ar-SA" w:eastAsia="zh-TW" w:bidi="en-GB"/>
        </w:rPr>
      </w:pPr>
      <w:r w:rsidRPr="000B5AE8">
        <w:rPr>
          <w:rFonts w:ascii="Simplified Arabic" w:eastAsia="Times New Roman" w:hAnsi="Simplified Arabic"/>
          <w:b/>
          <w:bCs/>
          <w:sz w:val="24"/>
          <w:szCs w:val="24"/>
          <w:rtl/>
        </w:rPr>
        <w:t>التوصية 75/1</w:t>
      </w:r>
    </w:p>
    <w:p w14:paraId="4A20E494" w14:textId="55B8634D" w:rsidR="006206DC" w:rsidRPr="00C55800" w:rsidRDefault="006206DC" w:rsidP="00C55800">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lowKashida"/>
        <w:textDirection w:val="tbRlV"/>
        <w:rPr>
          <w:rFonts w:ascii="Simplified Arabic" w:hAnsi="Simplified Arabic" w:cs="Simplified Arabic"/>
          <w:bCs/>
          <w:w w:val="104"/>
          <w:sz w:val="26"/>
          <w:szCs w:val="26"/>
          <w:rtl/>
        </w:rPr>
      </w:pPr>
      <w:r w:rsidRPr="00C55800">
        <w:rPr>
          <w:rFonts w:ascii="Simplified Arabic" w:hAnsi="Simplified Arabic" w:cs="Simplified Arabic"/>
          <w:bCs/>
          <w:w w:val="104"/>
          <w:sz w:val="26"/>
          <w:szCs w:val="26"/>
          <w:rtl/>
        </w:rPr>
        <w:t>رابعاً-</w:t>
      </w:r>
      <w:r w:rsidRPr="00C55800">
        <w:rPr>
          <w:rFonts w:ascii="Simplified Arabic" w:hAnsi="Simplified Arabic" w:cs="Simplified Arabic"/>
          <w:bCs/>
          <w:w w:val="104"/>
          <w:sz w:val="26"/>
          <w:szCs w:val="26"/>
          <w:rtl/>
        </w:rPr>
        <w:tab/>
      </w:r>
      <w:r w:rsidR="00AC3796" w:rsidRPr="00C55800">
        <w:rPr>
          <w:rFonts w:ascii="Simplified Arabic" w:hAnsi="Simplified Arabic" w:cs="Simplified Arabic"/>
          <w:bCs/>
          <w:w w:val="104"/>
          <w:sz w:val="26"/>
          <w:szCs w:val="26"/>
          <w:rtl/>
        </w:rPr>
        <w:t>عرض تقدمه أمانة الصندوق المتعدد الأطراف لتنفيذ بروتوكول مونتريال بشأن المقررات ذات ‏الصلة الصادرة عن اللجنة التنفيذية للصندوق والأنشطة التي أنجزتها الوكالات المنفذة‏ من أجل تيسير امتثال الأطراف</w:t>
      </w:r>
    </w:p>
    <w:p w14:paraId="6AEDECFC" w14:textId="77777777" w:rsidR="006206DC" w:rsidRPr="000B5AE8" w:rsidRDefault="006206DC" w:rsidP="00CD1A23">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sz w:val="24"/>
          <w:szCs w:val="24"/>
        </w:rPr>
      </w:pPr>
      <w:r w:rsidRPr="000B5AE8">
        <w:rPr>
          <w:rFonts w:ascii="Simplified Arabic" w:hAnsi="Simplified Arabic"/>
          <w:sz w:val="24"/>
          <w:szCs w:val="24"/>
          <w:rtl/>
        </w:rPr>
        <w:t xml:space="preserve">أبلغت تينا </w:t>
      </w:r>
      <w:proofErr w:type="spellStart"/>
      <w:r w:rsidRPr="000B5AE8">
        <w:rPr>
          <w:rFonts w:ascii="Simplified Arabic" w:hAnsi="Simplified Arabic"/>
          <w:sz w:val="24"/>
          <w:szCs w:val="24"/>
          <w:rtl/>
        </w:rPr>
        <w:t>بيرمبيلي</w:t>
      </w:r>
      <w:proofErr w:type="spellEnd"/>
      <w:r w:rsidRPr="000B5AE8">
        <w:rPr>
          <w:rFonts w:ascii="Simplified Arabic" w:hAnsi="Simplified Arabic"/>
          <w:sz w:val="24"/>
          <w:szCs w:val="24"/>
          <w:rtl/>
        </w:rPr>
        <w:t>، كبيرة موظفي أمانة الصندوق المتعدد الأطراف، اللجنة أن اللجنة التنفيذية للصندوق لم تعقد أي اجتماع منذ الاجتماع الرابع والسبعين للجنة التنفيذ، لذا فإن معظم المعلومات الواردة في عرضها ستكون مشابهة لتلك التي قدمت في الاجتماع السابق. ومع ذلك، فقد أرادت أن تسلط الضوء على بعض المسائل التي كانت مدرجة على جدول أعمال الاجتماع السابع والتسعين للجنة التنفيذية، المقرر عقده في الفترة من 1 إلى 5 كانون الأول/ديسمبر 2025.</w:t>
      </w:r>
    </w:p>
    <w:p w14:paraId="6AE4BEE7" w14:textId="77777777" w:rsidR="002A0884" w:rsidRPr="000B5AE8" w:rsidRDefault="006206DC" w:rsidP="00C55800">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ويسير التخلص التدريجي من استهلاك مركبات الكربون الهيدروكلورية فلورية على ما يرام، ووفقاً للبيانات المقدمة بموجب المادة 7، بلغ إجمالي استهلاك مركبات الكربون الهيدروكلورية فلورية للأطراف العاملة بالمادة 5 ما نسبته 35,9 في المائة من إجمالي خط الأساس لمركبات الكربون الهيدروكلورية فلورية. وهذا يعني أنه من المتوقع تحقيق هدف الاستهلاك لعام 2025 البالغ 32,5 في المائة من خط الأساس.</w:t>
      </w:r>
    </w:p>
    <w:p w14:paraId="352C5F5C" w14:textId="52643F7F" w:rsidR="006206DC" w:rsidRPr="000B5AE8" w:rsidRDefault="006206DC" w:rsidP="00C55800">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وفيما يتعلق بمركبات الكربون الهيدروكلورية فلورية، تركز العمل الحالي للصندوق المتعدد الأطراف ووكالاته المنفذة بشكل أساسي على التخلص التدريجي من مركب الكربون الهيدروكلوري فلوري-123 والكميات المتبقية من مركب الكربون الهيدروكلوري فلوري-22، من خلال خطط إدارة التخلص التدريجي من مركبات الكربون الهيدروكلورية فلورية. وستؤدي خطط إدارة التخلص التدريجي من مركبات الكربون الهيدروكلورية فلورية المعتمدة إلى التخلص التدريجي من 84,3 في المائة من نقطة البداية لاستهلاك مركبات الكربون الهيدروكلورية فلورية و82,9 في المائة من الاستهلاك الأساسي.</w:t>
      </w:r>
    </w:p>
    <w:p w14:paraId="02530C6A" w14:textId="49E1B6F0" w:rsidR="006206DC" w:rsidRPr="000B5AE8" w:rsidRDefault="006206DC" w:rsidP="00C55800">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ووفقاً لبيانات البرنامج القطري لعام 2024، فهناك ثلاثة قطاعات استهلكت أكبر كمية من مركبات الكربون الهيدروكلورية فلورية: صيانة أجهزة التبريد، وتصنيع أجهزة التبريد، والرغاو</w:t>
      </w:r>
      <w:r w:rsidR="00BC531D">
        <w:rPr>
          <w:rFonts w:ascii="Simplified Arabic" w:hAnsi="Simplified Arabic"/>
          <w:sz w:val="24"/>
          <w:szCs w:val="24"/>
          <w:rtl/>
        </w:rPr>
        <w:t>ى</w:t>
      </w:r>
      <w:r w:rsidRPr="000B5AE8">
        <w:rPr>
          <w:rFonts w:ascii="Simplified Arabic" w:hAnsi="Simplified Arabic"/>
          <w:sz w:val="24"/>
          <w:szCs w:val="24"/>
          <w:rtl/>
        </w:rPr>
        <w:t>. ومع انخفاض استهلاك مركبات الكربون الهيدروكلورية فلورية في التصنيع، ازدادت احتياجات الأطراف في مجال الصيانة. إن معظم قطاع تصنيع الرغاوي ونسبة كبيرة من قطاع تصنيع أجهزة التبريد وتكييف الهواء هي في طور التحول، وبشكل أساسي إلى استخدام تكنولوجيات منخفضة القدرة على إحداث الاحترار العالمي.</w:t>
      </w:r>
    </w:p>
    <w:p w14:paraId="470FF6A1" w14:textId="77777777" w:rsidR="006206DC" w:rsidRPr="000B5AE8" w:rsidRDefault="006206DC" w:rsidP="00C55800">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وهناك أيضاً بعض خطط التنفيذ لمركبات الكربون الهيدروفلورية بموجب تعديل كيغالي في مراحلها الأولى من التنفيذ. وتستهدف جميع الأطراف العاملة بموجب المادة 5 قطاع خدمات التبريد، لكن بعضها يواجه تحديات فيما يتعلق بتوافر بعض التقنيات البديلة في الأسواق المحلية.</w:t>
      </w:r>
    </w:p>
    <w:p w14:paraId="4A755A34" w14:textId="15099932" w:rsidR="006206DC"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lowKashida"/>
        <w:textDirection w:val="tbRlV"/>
        <w:rPr>
          <w:rFonts w:ascii="Simplified Arabic" w:hAnsi="Simplified Arabic" w:hint="default"/>
          <w:sz w:val="24"/>
          <w:szCs w:val="24"/>
        </w:rPr>
      </w:pPr>
      <w:r w:rsidRPr="000B5AE8">
        <w:rPr>
          <w:rFonts w:ascii="Simplified Arabic" w:hAnsi="Simplified Arabic"/>
          <w:sz w:val="24"/>
          <w:szCs w:val="24"/>
          <w:rtl/>
        </w:rPr>
        <w:lastRenderedPageBreak/>
        <w:t xml:space="preserve">وفيما يتعلق بمركبات الكربون الهيدروفلورية، أظهرت بيانات البرامج القطرية لعام 2024، التي قدمتها 119 طرفاً من الأطراف العاملة بموجب المادة 5، أن القطاعات التي سجلت أعلى مستويات استهلاك هي قطاعات مكافحة الحرائق وتصنيع أجهزة التبريد وصيانة أجهزة التبريد، وأن استهلاك مركب الكربون الهيدروفلوري-32 والمركبين </w:t>
      </w:r>
      <w:r w:rsidRPr="00497635">
        <w:rPr>
          <w:rFonts w:cs="Times New Roman"/>
          <w:sz w:val="22"/>
          <w:szCs w:val="22"/>
          <w:rtl/>
        </w:rPr>
        <w:t>HFC-134A</w:t>
      </w:r>
      <w:r w:rsidRPr="000B5AE8">
        <w:rPr>
          <w:rFonts w:ascii="Simplified Arabic" w:hAnsi="Simplified Arabic"/>
          <w:sz w:val="24"/>
          <w:szCs w:val="24"/>
          <w:rtl/>
        </w:rPr>
        <w:t xml:space="preserve"> و</w:t>
      </w:r>
      <w:r w:rsidRPr="00497635">
        <w:rPr>
          <w:rFonts w:cs="Times New Roman"/>
          <w:sz w:val="22"/>
          <w:szCs w:val="22"/>
          <w:rtl/>
        </w:rPr>
        <w:t>R410A</w:t>
      </w:r>
      <w:r w:rsidRPr="000B5AE8">
        <w:rPr>
          <w:rFonts w:ascii="Simplified Arabic" w:hAnsi="Simplified Arabic"/>
          <w:sz w:val="24"/>
          <w:szCs w:val="24"/>
          <w:rtl/>
        </w:rPr>
        <w:t xml:space="preserve"> ظل مرتفعاً نسبياً. ومن الملاحظات الرئيسية بشأن استهلاك مركبات الكربون الهيدروفلورية المبلغ عنه من خلال بيانات البرنامج القطري أن مركبات الكربون الهيدروفلورية أُبلغ عنها على أنها نقية أو في شكل مزائج، ولكن استهلاك مركبات الكربون الهيدروفلورية المبلغ عنه بموجب المادة 7 أُبلغ عنه على أنه نقي أو في شكل مزائج أو الاثنين معاً. لذلك كان من الصعب التوفيق بين البيانات المقدمة بموجب المادة 7 بشأن مركبات الكربون الهيدروفلورية والبيانات المبلغ عنها في إطار البرامج القطرية، مما أدى إلى عدد من المراجعات المتكررة بين أمانة الصندوق المتعدد الأطراف والوكالات المنفذة وبين الوكالات المنفذة والبلدان، خلال عملية استعراض المشروع. علاوةً على ذلك، وعملاً بالمقررين 92/4 و94/3 الصادرين عن اللجنة التنفيذية، فإن أمانة الصندوق تتابع تقديم الأطراف لمعلومات إضافية أو تقديرات عن استخدامات مركب الكربون الهيدروفلوري-23 أو تطبيقاته الأكثر احتمالاً المبلغ عنها في العمود </w:t>
      </w:r>
      <w:r w:rsidR="00CD1A23">
        <w:rPr>
          <w:rFonts w:ascii="Simplified Arabic" w:hAnsi="Simplified Arabic" w:hint="default"/>
          <w:sz w:val="24"/>
          <w:szCs w:val="24"/>
          <w:rtl/>
        </w:rPr>
        <w:t>”</w:t>
      </w:r>
      <w:r w:rsidRPr="000B5AE8">
        <w:rPr>
          <w:rFonts w:ascii="Simplified Arabic" w:hAnsi="Simplified Arabic"/>
          <w:sz w:val="24"/>
          <w:szCs w:val="24"/>
          <w:rtl/>
        </w:rPr>
        <w:t>أخرى</w:t>
      </w:r>
      <w:r w:rsidR="00CD1A23">
        <w:rPr>
          <w:rFonts w:ascii="Simplified Arabic" w:hAnsi="Simplified Arabic" w:hint="default"/>
          <w:sz w:val="24"/>
          <w:szCs w:val="24"/>
          <w:rtl/>
        </w:rPr>
        <w:t>“</w:t>
      </w:r>
      <w:r w:rsidRPr="000B5AE8">
        <w:rPr>
          <w:rFonts w:ascii="Simplified Arabic" w:hAnsi="Simplified Arabic"/>
          <w:sz w:val="24"/>
          <w:szCs w:val="24"/>
          <w:rtl/>
        </w:rPr>
        <w:t xml:space="preserve"> في استمارة الإبلاغ عن البيانات من البرامج القطرية.</w:t>
      </w:r>
    </w:p>
    <w:p w14:paraId="131253F6" w14:textId="77777777" w:rsidR="006206DC"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 xml:space="preserve">ومن المسائل الهامة قيد المناقشة من جانب اللجنة التنفيذية كيفية تعزيز الإبلاغ عن البيانات من البرامج القطرية. وقد أُدخل نظام الإبلاغ الإلكتروني عن البيانات في عام 2025، وهو يساعد في هذا الصدد. وعملت أمانة الصندوق، بمساعدة الوكالات المنفذة، ولا سيما عمل الأوزون وبرنامج مساعدات الامتثال التابع لبرنامج الأمم المتحدة للبيئة، مع البلدان لضمان قدرتها على تقديم تقاريرها عبر الإنترنت. ومن مزايا الإبلاغ الإلكتروني أن الأطراف يمكنها التحقق من الاتجاهات في بياناتها ومعرفة ما إذا كانت هناك أي اختلالات. وقد لوحظ انخفاض في عدد الأخطاء منذ بدء العمل به. وأشارت السيدة </w:t>
      </w:r>
      <w:proofErr w:type="spellStart"/>
      <w:r w:rsidRPr="000B5AE8">
        <w:rPr>
          <w:rFonts w:ascii="Simplified Arabic" w:hAnsi="Simplified Arabic"/>
          <w:sz w:val="24"/>
          <w:szCs w:val="24"/>
          <w:rtl/>
        </w:rPr>
        <w:t>بيرمبيلي</w:t>
      </w:r>
      <w:proofErr w:type="spellEnd"/>
      <w:r w:rsidRPr="000B5AE8">
        <w:rPr>
          <w:rFonts w:ascii="Simplified Arabic" w:hAnsi="Simplified Arabic"/>
          <w:sz w:val="24"/>
          <w:szCs w:val="24"/>
          <w:rtl/>
        </w:rPr>
        <w:t xml:space="preserve"> إلى أن عامي 2023 و2024 قد لا يبينان الاستهلاك الحالي لمركبات الكربون الهيدروفلورية، وأوضحت أن المناقشات مع الأطراف بشأن هذه المسألة جرت عند تقديم خطط التنفيذ لمركبات الكربون الهيدروفلورية بموجب تعديل كيغالي لهذه البلدان وعندما استعرضت اللجنة التنفيذية تلك الخطط.</w:t>
      </w:r>
    </w:p>
    <w:p w14:paraId="412BBA64" w14:textId="77777777" w:rsidR="006206DC"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lowKashida"/>
        <w:textDirection w:val="tbRlV"/>
        <w:rPr>
          <w:rFonts w:ascii="Simplified Arabic" w:hAnsi="Simplified Arabic" w:hint="default"/>
          <w:sz w:val="24"/>
          <w:szCs w:val="24"/>
        </w:rPr>
      </w:pPr>
      <w:r w:rsidRPr="000B5AE8">
        <w:rPr>
          <w:rFonts w:ascii="Simplified Arabic" w:hAnsi="Simplified Arabic"/>
          <w:sz w:val="24"/>
          <w:szCs w:val="24"/>
          <w:rtl/>
        </w:rPr>
        <w:t xml:space="preserve">وقدمت السيدة </w:t>
      </w:r>
      <w:proofErr w:type="spellStart"/>
      <w:r w:rsidRPr="000B5AE8">
        <w:rPr>
          <w:rFonts w:ascii="Simplified Arabic" w:hAnsi="Simplified Arabic"/>
          <w:sz w:val="24"/>
          <w:szCs w:val="24"/>
          <w:rtl/>
        </w:rPr>
        <w:t>بيرمبيلي</w:t>
      </w:r>
      <w:proofErr w:type="spellEnd"/>
      <w:r w:rsidRPr="000B5AE8">
        <w:rPr>
          <w:rFonts w:ascii="Simplified Arabic" w:hAnsi="Simplified Arabic"/>
          <w:sz w:val="24"/>
          <w:szCs w:val="24"/>
          <w:rtl/>
        </w:rPr>
        <w:t xml:space="preserve"> لمحة عامة عما ستنظر فيه اللجنة التنفيذية في اجتماعها السابع والتسعين، وقالت إن قيمة المشاريع، كما تم تقديمها، تبلغ أكثر من 110 ملايين دولار؛ وهناك عدد من المشاريع التي تنفذ بموجب المقرر 96/60 بشأن كفاءة الطاقة في مختلف تطبيقات التبريد وتكييف الهواء، عقب الموافقة مؤخراً على الإطار التشغيلي لكفاءة الطاقة؛ وسيستمر العمل على خطط إدارة التخلص التدريجي من مركبات الكربون الهيدروكلورية فلورية وخطط التنفيذ لمركبات الكربون الهيدروفلورية بموجب تعديل كيغالي؛ وستكون هناك مناقشة بشأن مراكز التميز ومراكز الاختبار؛ وستسهم ورقة عن إدارة المواد المبردة طيلة دورة حياتها في إثراء النقاش بشأن ما إذا كان ينبغي إنشاء نافذة تمويل ذات صلة؛ وتعمل اللجنة التنفيذية على تبسيط متطلبات الإبلاغ لتخفيف العبء على البلدان والوكالات المنفذة؛ وسيكون هناك عرض تقديمي بشأن إطار النتائج ومؤشرات أداء الصندوق المتعدد الأطراف.</w:t>
      </w:r>
    </w:p>
    <w:p w14:paraId="459A66BE" w14:textId="77777777" w:rsidR="006206DC"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 xml:space="preserve">وأخيراً، قدمت السيدة </w:t>
      </w:r>
      <w:proofErr w:type="spellStart"/>
      <w:r w:rsidRPr="000B5AE8">
        <w:rPr>
          <w:rFonts w:ascii="Simplified Arabic" w:hAnsi="Simplified Arabic"/>
          <w:sz w:val="24"/>
          <w:szCs w:val="24"/>
          <w:rtl/>
        </w:rPr>
        <w:t>بيرمبيلي</w:t>
      </w:r>
      <w:proofErr w:type="spellEnd"/>
      <w:r w:rsidRPr="000B5AE8">
        <w:rPr>
          <w:rFonts w:ascii="Simplified Arabic" w:hAnsi="Simplified Arabic"/>
          <w:sz w:val="24"/>
          <w:szCs w:val="24"/>
          <w:rtl/>
        </w:rPr>
        <w:t xml:space="preserve"> مزيداً من المعلومات عن مركز بيانات الإلكتروني للبرنامج القطري، الذي أُطلق في 1 كانون الثاني/يناير 2025 للإبلاغ عن البيانات لعام 2024. ويستخدم هذا النظام حالياً 123 بلداً، وقدمت 118 دولة رسمياً بيانات برامجها القطرية لعام 2024 عبر هذا النظام. وعلى الرغم من التحديات المتعلقة بسرية البيانات، أعربت السيدة </w:t>
      </w:r>
      <w:proofErr w:type="spellStart"/>
      <w:r w:rsidRPr="000B5AE8">
        <w:rPr>
          <w:rFonts w:ascii="Simplified Arabic" w:hAnsi="Simplified Arabic"/>
          <w:sz w:val="24"/>
          <w:szCs w:val="24"/>
          <w:rtl/>
        </w:rPr>
        <w:t>بيرمبيلي</w:t>
      </w:r>
      <w:proofErr w:type="spellEnd"/>
      <w:r w:rsidRPr="000B5AE8">
        <w:rPr>
          <w:rFonts w:ascii="Simplified Arabic" w:hAnsi="Simplified Arabic"/>
          <w:sz w:val="24"/>
          <w:szCs w:val="24"/>
          <w:rtl/>
        </w:rPr>
        <w:t xml:space="preserve"> عن ثقتها في أن مركز بيانات البرنامج القطري سيبدأ العمل قبل انعقاد الاجتماع السابع والتسعين للجنة التنفيذية.</w:t>
      </w:r>
    </w:p>
    <w:p w14:paraId="4F646DC0" w14:textId="77777777" w:rsidR="006206DC"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وأحاطت اللجنة علماً بالمعلومات المقدمة.</w:t>
      </w:r>
    </w:p>
    <w:p w14:paraId="5AD339B6" w14:textId="77777777" w:rsidR="006206DC" w:rsidRPr="00C55800" w:rsidRDefault="006206DC" w:rsidP="00EB48A7">
      <w:pPr>
        <w:pStyle w:val="CH1"/>
        <w:keepLines w:val="0"/>
        <w:tabs>
          <w:tab w:val="clear" w:pos="851"/>
          <w:tab w:val="clear" w:pos="1247"/>
          <w:tab w:val="clear" w:pos="1871"/>
          <w:tab w:val="clear" w:pos="2495"/>
          <w:tab w:val="clear" w:pos="3119"/>
          <w:tab w:val="clear" w:pos="3742"/>
          <w:tab w:val="clear" w:pos="4366"/>
          <w:tab w:val="clear" w:pos="4990"/>
        </w:tabs>
        <w:bidi/>
        <w:spacing w:before="0" w:after="140" w:line="360" w:lineRule="exact"/>
        <w:ind w:left="1134" w:right="0" w:hanging="850"/>
        <w:jc w:val="lowKashida"/>
        <w:textDirection w:val="tbRlV"/>
        <w:rPr>
          <w:rFonts w:ascii="Simplified Arabic" w:hAnsi="Simplified Arabic" w:cs="Simplified Arabic"/>
          <w:bCs/>
          <w:w w:val="107"/>
          <w:sz w:val="26"/>
          <w:szCs w:val="26"/>
        </w:rPr>
      </w:pPr>
      <w:r w:rsidRPr="00C55800">
        <w:rPr>
          <w:rFonts w:ascii="Simplified Arabic" w:hAnsi="Simplified Arabic" w:cs="Simplified Arabic"/>
          <w:bCs/>
          <w:w w:val="107"/>
          <w:sz w:val="26"/>
          <w:szCs w:val="26"/>
          <w:rtl/>
        </w:rPr>
        <w:lastRenderedPageBreak/>
        <w:t>خامساً-</w:t>
      </w:r>
      <w:r w:rsidRPr="00C55800">
        <w:rPr>
          <w:rFonts w:ascii="Simplified Arabic" w:hAnsi="Simplified Arabic" w:cs="Simplified Arabic"/>
          <w:bCs/>
          <w:w w:val="107"/>
          <w:sz w:val="26"/>
          <w:szCs w:val="26"/>
          <w:rtl/>
        </w:rPr>
        <w:tab/>
        <w:t>متابعة المقررات السابقة التي اتخذتها الأطراف وتوصيات لجنة التنفيذ بشأن المسائل المتعلقة بعدم الامتثال</w:t>
      </w:r>
    </w:p>
    <w:p w14:paraId="7459E896" w14:textId="77777777" w:rsidR="006206DC" w:rsidRPr="00497635"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lowKashida"/>
        <w:textDirection w:val="tbRlV"/>
        <w:rPr>
          <w:rFonts w:ascii="Simplified Arabic" w:hAnsi="Simplified Arabic" w:hint="default"/>
          <w:w w:val="109"/>
          <w:sz w:val="24"/>
          <w:szCs w:val="24"/>
        </w:rPr>
      </w:pPr>
      <w:r w:rsidRPr="00497635">
        <w:rPr>
          <w:rFonts w:ascii="Simplified Arabic" w:hAnsi="Simplified Arabic"/>
          <w:w w:val="109"/>
          <w:sz w:val="24"/>
          <w:szCs w:val="24"/>
          <w:rtl/>
        </w:rPr>
        <w:t xml:space="preserve">قدم ممثل للأمانة معلومات عن الحالات المتعلقة بالامتثال للالتزامات بموجب بروتوكول مونتريال </w:t>
      </w:r>
      <w:r w:rsidRPr="00497635">
        <w:rPr>
          <w:rFonts w:cs="Times New Roman"/>
          <w:w w:val="109"/>
          <w:sz w:val="22"/>
          <w:szCs w:val="22"/>
        </w:rPr>
        <w:t>(UNEP/OzL.Pro/ImpCom/75/R.3)</w:t>
      </w:r>
      <w:r w:rsidRPr="00497635">
        <w:rPr>
          <w:rFonts w:ascii="Simplified Arabic" w:hAnsi="Simplified Arabic"/>
          <w:w w:val="109"/>
          <w:sz w:val="24"/>
          <w:szCs w:val="24"/>
          <w:rtl/>
        </w:rPr>
        <w:t xml:space="preserve">، إلى جانب قائمة بمسائل الامتثال التي ستنظر فيها اللجنة في الاجتماع الحالي </w:t>
      </w:r>
      <w:r w:rsidRPr="00497635">
        <w:rPr>
          <w:rFonts w:cs="Times New Roman"/>
          <w:w w:val="109"/>
          <w:sz w:val="22"/>
          <w:szCs w:val="22"/>
        </w:rPr>
        <w:t>(UNEP/OzL.Pro/ImpCom/75/INF/R.1)</w:t>
      </w:r>
      <w:r w:rsidRPr="00497635">
        <w:rPr>
          <w:rFonts w:ascii="Simplified Arabic" w:hAnsi="Simplified Arabic"/>
          <w:w w:val="109"/>
          <w:sz w:val="24"/>
          <w:szCs w:val="24"/>
          <w:rtl/>
        </w:rPr>
        <w:t xml:space="preserve"> والمعلومات المقدمة من الأطراف </w:t>
      </w:r>
      <w:r w:rsidRPr="00497635">
        <w:rPr>
          <w:rFonts w:cs="Times New Roman"/>
          <w:w w:val="109"/>
          <w:sz w:val="22"/>
          <w:szCs w:val="22"/>
        </w:rPr>
        <w:t>(UNEP/OzL.Pro/ImpCom/75/INF/R.2)</w:t>
      </w:r>
      <w:r w:rsidRPr="00497635">
        <w:rPr>
          <w:rFonts w:ascii="Simplified Arabic" w:hAnsi="Simplified Arabic"/>
          <w:w w:val="109"/>
          <w:sz w:val="24"/>
          <w:szCs w:val="24"/>
          <w:rtl/>
        </w:rPr>
        <w:t>.</w:t>
      </w:r>
      <w:bookmarkStart w:id="5" w:name="_Hlk180703408"/>
      <w:bookmarkEnd w:id="5"/>
    </w:p>
    <w:p w14:paraId="383CAACB" w14:textId="77777777" w:rsidR="006206DC" w:rsidRPr="00762C03" w:rsidRDefault="006206DC" w:rsidP="00EB48A7">
      <w:pPr>
        <w:pStyle w:val="CH1"/>
        <w:keepLines w:val="0"/>
        <w:tabs>
          <w:tab w:val="clear" w:pos="851"/>
          <w:tab w:val="clear" w:pos="1247"/>
          <w:tab w:val="clear" w:pos="1871"/>
          <w:tab w:val="clear" w:pos="2495"/>
          <w:tab w:val="clear" w:pos="3119"/>
          <w:tab w:val="clear" w:pos="3742"/>
          <w:tab w:val="clear" w:pos="4366"/>
          <w:tab w:val="clear" w:pos="4990"/>
        </w:tabs>
        <w:bidi/>
        <w:spacing w:before="0" w:after="140" w:line="360" w:lineRule="exact"/>
        <w:ind w:left="1134" w:right="0" w:hanging="850"/>
        <w:jc w:val="both"/>
        <w:textDirection w:val="tbRlV"/>
        <w:rPr>
          <w:rFonts w:ascii="Simplified Arabic" w:hAnsi="Simplified Arabic" w:cs="Simplified Arabic"/>
          <w:bCs/>
          <w:sz w:val="24"/>
          <w:szCs w:val="24"/>
        </w:rPr>
      </w:pPr>
      <w:r w:rsidRPr="00762C03">
        <w:rPr>
          <w:rFonts w:ascii="Simplified Arabic" w:hAnsi="Simplified Arabic" w:cs="Simplified Arabic"/>
          <w:bCs/>
          <w:sz w:val="24"/>
          <w:szCs w:val="24"/>
          <w:rtl/>
        </w:rPr>
        <w:t>ألف-</w:t>
      </w:r>
      <w:r w:rsidRPr="00762C03">
        <w:rPr>
          <w:rFonts w:ascii="Simplified Arabic" w:hAnsi="Simplified Arabic" w:cs="Simplified Arabic"/>
          <w:bCs/>
          <w:sz w:val="24"/>
          <w:szCs w:val="24"/>
          <w:rtl/>
        </w:rPr>
        <w:tab/>
        <w:t>الالتزامات المتعلقة بالإبلاغ عن البيانات بموجب المادة 7 (المقرر 36/13)</w:t>
      </w:r>
      <w:r w:rsidRPr="00762C03">
        <w:rPr>
          <w:rFonts w:ascii="Simplified Arabic" w:hAnsi="Simplified Arabic" w:cs="Simplified Arabic"/>
          <w:bCs/>
          <w:sz w:val="24"/>
          <w:szCs w:val="24"/>
        </w:rPr>
        <w:t>:</w:t>
      </w:r>
      <w:r w:rsidRPr="00762C03">
        <w:rPr>
          <w:rFonts w:ascii="Simplified Arabic" w:hAnsi="Simplified Arabic" w:cs="Simplified Arabic"/>
          <w:bCs/>
          <w:sz w:val="24"/>
          <w:szCs w:val="24"/>
          <w:rtl/>
        </w:rPr>
        <w:t xml:space="preserve"> كوت ديفوار (التوصية 74/1)</w:t>
      </w:r>
    </w:p>
    <w:p w14:paraId="0A710198" w14:textId="54C040AF" w:rsidR="006206DC" w:rsidRPr="00EB48A7"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lowKashida"/>
        <w:textDirection w:val="tbRlV"/>
        <w:rPr>
          <w:rFonts w:ascii="Simplified Arabic" w:hAnsi="Simplified Arabic" w:hint="default"/>
          <w:w w:val="106"/>
          <w:sz w:val="24"/>
          <w:szCs w:val="24"/>
        </w:rPr>
      </w:pPr>
      <w:r w:rsidRPr="00EB48A7">
        <w:rPr>
          <w:rFonts w:ascii="Simplified Arabic" w:hAnsi="Simplified Arabic"/>
          <w:w w:val="106"/>
          <w:sz w:val="24"/>
          <w:szCs w:val="24"/>
          <w:rtl/>
        </w:rPr>
        <w:t>في المقرر 36/13، أشار الاجتماع السادس والثلاثون للأطراف</w:t>
      </w:r>
      <w:r w:rsidR="009E6CC2" w:rsidRPr="00EB48A7">
        <w:rPr>
          <w:rFonts w:ascii="Simplified Arabic" w:hAnsi="Simplified Arabic"/>
          <w:w w:val="106"/>
          <w:sz w:val="24"/>
          <w:szCs w:val="24"/>
          <w:rtl/>
        </w:rPr>
        <w:t xml:space="preserve"> إلى</w:t>
      </w:r>
      <w:r w:rsidRPr="00EB48A7">
        <w:rPr>
          <w:rFonts w:ascii="Simplified Arabic" w:hAnsi="Simplified Arabic"/>
          <w:w w:val="106"/>
          <w:sz w:val="24"/>
          <w:szCs w:val="24"/>
          <w:rtl/>
        </w:rPr>
        <w:t xml:space="preserve"> أن كوت ديفوار، وهي طرف صدق على تعديل كيغالي، قدمت بيانات عن المواد الأخرى الخاضعة للرقابة لعام 2023 ولكنها لم تقدم بيانات عن مركبات الكربون الهيدروفلورية. واعتمدت اللجنة في اجتماعها الرابع والسبعين التوصية 74/1، التي لاحظت فيها بقلق أن كوت ديفوار لم تقدم حتى الآن البيانات المطلوبة بموجب المادة 7 عن مركبات الكربون الهيدروفلورية لعام 2023 إلى الأمانة، ومن ثم فهي لا تزال في حالة عدم امتثال لالتزاماتها بالإبلاغ عن البيانات بموجب الفقرة 3 من المادة 7 من بروتوكول مونتريال. وفي التوصية نفسها، حثت اللجنة كوت ديفوار على إبلاغ الأمانة ببياناتها المتأخرة لعام 2023 عن مركبات الكربون الهيدروفلورية على سبيل الأولوية، ويفضل أن يكون ذلك في موعد لا يتجاوز 15أيلول/سبتمبر 2025، من أجل تمكين اللجنة، في اجتماعها الخامس والسبعين، من تقييم حالة امتثال الطرف لالتزاماته بالإبلاغ عن البيانات. وقد قدمت كوت ديفوار لاحقاً بياناتها بموجب المادة 7 عن مركبات الكربون الهيدروفلورية لعام 2023.</w:t>
      </w:r>
    </w:p>
    <w:p w14:paraId="2C56E183" w14:textId="77777777" w:rsidR="006206DC"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both"/>
        <w:textDirection w:val="tbRlV"/>
        <w:rPr>
          <w:rFonts w:ascii="Simplified Arabic" w:hAnsi="Simplified Arabic" w:hint="default"/>
          <w:sz w:val="24"/>
          <w:szCs w:val="24"/>
        </w:rPr>
      </w:pPr>
      <w:bookmarkStart w:id="6" w:name="_Hlk171449747"/>
      <w:r w:rsidRPr="000B5AE8">
        <w:rPr>
          <w:rFonts w:ascii="Simplified Arabic" w:hAnsi="Simplified Arabic"/>
          <w:sz w:val="24"/>
          <w:szCs w:val="24"/>
          <w:rtl/>
        </w:rPr>
        <w:t>بناءً على ذلك وافقت اللجنة على أن تشير مع التقدير إلى أن كوت ديفوار قد قدمت إلى الأمانة البيانات المتأخرة عن مواد المرفق واو لعام 2023 وفقاً لالتزاماتها بإبلاغ البيانات بموجب الفقرة 3 من المادة 7 من بروتوكول مونتريال وعلى النحو الذي حثت عليه الفقرة 7 من المقرر 36/13 والتوصية 74/1.</w:t>
      </w:r>
    </w:p>
    <w:bookmarkEnd w:id="6"/>
    <w:p w14:paraId="1C162866" w14:textId="77777777" w:rsidR="006206DC" w:rsidRPr="00762C03" w:rsidRDefault="006206DC" w:rsidP="00EB48A7">
      <w:pPr>
        <w:pStyle w:val="CH1"/>
        <w:keepLines w:val="0"/>
        <w:tabs>
          <w:tab w:val="clear" w:pos="851"/>
          <w:tab w:val="clear" w:pos="1247"/>
          <w:tab w:val="clear" w:pos="1871"/>
          <w:tab w:val="clear" w:pos="2495"/>
          <w:tab w:val="clear" w:pos="3119"/>
          <w:tab w:val="clear" w:pos="3742"/>
          <w:tab w:val="clear" w:pos="4366"/>
          <w:tab w:val="clear" w:pos="4990"/>
        </w:tabs>
        <w:bidi/>
        <w:spacing w:before="0" w:after="140" w:line="360" w:lineRule="exact"/>
        <w:ind w:left="1134" w:right="0" w:hanging="850"/>
        <w:jc w:val="both"/>
        <w:textDirection w:val="tbRlV"/>
        <w:rPr>
          <w:rFonts w:ascii="Simplified Arabic" w:hAnsi="Simplified Arabic" w:cs="Simplified Arabic"/>
          <w:bCs/>
          <w:sz w:val="24"/>
          <w:szCs w:val="24"/>
        </w:rPr>
      </w:pPr>
      <w:r w:rsidRPr="00762C03">
        <w:rPr>
          <w:rFonts w:ascii="Simplified Arabic" w:hAnsi="Simplified Arabic" w:cs="Simplified Arabic"/>
          <w:bCs/>
          <w:sz w:val="24"/>
          <w:szCs w:val="24"/>
          <w:rtl/>
        </w:rPr>
        <w:t>باء-</w:t>
      </w:r>
      <w:r w:rsidRPr="00762C03">
        <w:rPr>
          <w:rFonts w:ascii="Simplified Arabic" w:hAnsi="Simplified Arabic" w:cs="Simplified Arabic"/>
          <w:bCs/>
          <w:sz w:val="24"/>
          <w:szCs w:val="24"/>
          <w:rtl/>
        </w:rPr>
        <w:tab/>
        <w:t>خطط العمل القائمة للعودة إلى الامتثال</w:t>
      </w:r>
    </w:p>
    <w:p w14:paraId="19188150" w14:textId="77777777" w:rsidR="006206DC" w:rsidRPr="00762C03" w:rsidRDefault="006206DC" w:rsidP="00EB48A7">
      <w:pPr>
        <w:pStyle w:val="CH1"/>
        <w:keepLines w:val="0"/>
        <w:tabs>
          <w:tab w:val="clear" w:pos="851"/>
          <w:tab w:val="clear" w:pos="1247"/>
          <w:tab w:val="clear" w:pos="1871"/>
          <w:tab w:val="clear" w:pos="2495"/>
          <w:tab w:val="clear" w:pos="3119"/>
          <w:tab w:val="clear" w:pos="3742"/>
          <w:tab w:val="clear" w:pos="4366"/>
          <w:tab w:val="clear" w:pos="4990"/>
        </w:tabs>
        <w:bidi/>
        <w:spacing w:before="0" w:after="140" w:line="360" w:lineRule="exact"/>
        <w:ind w:left="1134" w:right="0" w:hanging="850"/>
        <w:jc w:val="both"/>
        <w:textDirection w:val="tbRlV"/>
        <w:rPr>
          <w:rFonts w:ascii="Simplified Arabic" w:hAnsi="Simplified Arabic" w:cs="Simplified Arabic"/>
          <w:bCs/>
          <w:sz w:val="24"/>
          <w:szCs w:val="24"/>
          <w:rtl/>
        </w:rPr>
      </w:pPr>
      <w:r w:rsidRPr="00762C03">
        <w:rPr>
          <w:rFonts w:ascii="Simplified Arabic" w:hAnsi="Simplified Arabic" w:cs="Simplified Arabic"/>
          <w:bCs/>
          <w:sz w:val="24"/>
          <w:szCs w:val="24"/>
          <w:rtl/>
        </w:rPr>
        <w:t>1-</w:t>
      </w:r>
      <w:r w:rsidRPr="00762C03">
        <w:rPr>
          <w:rFonts w:ascii="Simplified Arabic" w:hAnsi="Simplified Arabic" w:cs="Simplified Arabic"/>
          <w:bCs/>
          <w:sz w:val="24"/>
          <w:szCs w:val="24"/>
          <w:rtl/>
        </w:rPr>
        <w:tab/>
        <w:t>جمهورية كوريا الشعبية الديمقراطية (المقرران 32/6 و35/18)</w:t>
      </w:r>
    </w:p>
    <w:p w14:paraId="1D1E4619" w14:textId="2B92257A" w:rsidR="002A0884"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 xml:space="preserve">أشار ممثل الأمانة إلى أن الاجتماع الثاني والثلاثين للأطراف لاحظ مع التقدير في المقرر </w:t>
      </w:r>
      <w:r w:rsidR="00D25204">
        <w:rPr>
          <w:rFonts w:ascii="Simplified Arabic" w:hAnsi="Simplified Arabic"/>
          <w:sz w:val="24"/>
          <w:szCs w:val="24"/>
          <w:rtl/>
        </w:rPr>
        <w:t>32/6</w:t>
      </w:r>
      <w:r w:rsidRPr="000B5AE8">
        <w:rPr>
          <w:rFonts w:ascii="Simplified Arabic" w:hAnsi="Simplified Arabic"/>
          <w:sz w:val="24"/>
          <w:szCs w:val="24"/>
          <w:rtl/>
        </w:rPr>
        <w:t xml:space="preserve"> تقديم خطة عمل جمهورية كوريا الشعبية الديمقراطية للعودة إلى الامتثال لالتزاماتها السنوية بتخفيض استهلاك وإنتاج مركبات الكربون الهيدروكلورية فلورية حتى عام 2023. ودُعي الطرف أيضاً إلى وضع سياسات وطنية إضافية لتيسير التخلص التدريجي من مركبات الكربون الهيدروكلورية فلورية، بما في ذلك على سبيل المثال لا الحصر فرض حظر على الواردات أو على الإنتاج أو على المنشآت الجديدة، وإصدار شهادات لفنيي وشركات التبريد.</w:t>
      </w:r>
    </w:p>
    <w:p w14:paraId="51FBF9CD" w14:textId="77777777" w:rsidR="002A0884"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وأظهرت بيانات المادة 7 المتعلقة بمركبات الكربون الهيدروكلورية فلورية التي قدمها الطرف انخفاضاً مستمراً في مستويات الإنتاج والاستهلاك منذ عام 2020، والالتزام بخطة العمل لعامي 2020 و2022. وأظهرت بيانات عام 2021 مستويات إنتاج واستهلاك أعلى بقليل من التزامات الطرف، في حين أشارت بيانات عامي 2023 و2024 إلى أنه تجاوز التزاماته لكلا العامين، وبالتالي فإنه قد يكون غير ممتثل لتلك الالتزامات وتدابير الرقابة بموجب بروتوكول مونتريال.</w:t>
      </w:r>
    </w:p>
    <w:p w14:paraId="0978998B" w14:textId="2D73E3EE" w:rsidR="006206DC"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 xml:space="preserve">وفيما يتعلق بالانحراف في عام 2021، أبلغت الأمانة اللجنة في اجتماعيها الثاني والسبعين والثالث والسبعين، في عام 2024، أنه خلال تبادل آراء مباشر مع ممثلين اثنين لجمهورية كوريا الشعبية الديمقراطية في آذار/مارس 2024، أوضح الطرف أن الانحراف في عام 2021 كان بسبب خطأ في الحساب من جانبها. ولم </w:t>
      </w:r>
      <w:r w:rsidRPr="000B5AE8">
        <w:rPr>
          <w:rFonts w:ascii="Simplified Arabic" w:hAnsi="Simplified Arabic"/>
          <w:sz w:val="24"/>
          <w:szCs w:val="24"/>
          <w:rtl/>
        </w:rPr>
        <w:lastRenderedPageBreak/>
        <w:t>يقدم الطرف مزيداً من التوضيحات رداً على توصيات اللجنة، ولكن لا يزال بإمكانه طلب تصحيح بيانات مركبات الكربون الهيدروكلورية فلورية لعام 2021 بموجب الفقرة 3 من المقرر 6/5، مع إرفاق مذكرة توضيحية.</w:t>
      </w:r>
      <w:bookmarkStart w:id="7" w:name="_Hlk212817891"/>
      <w:bookmarkEnd w:id="7"/>
    </w:p>
    <w:p w14:paraId="1F276F85" w14:textId="77777777" w:rsidR="002A0884"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ولاحظ الاجتماع السادس والثلاثون للأطراف بقلق في قراره 36/16، عدم وفاء جمهورية كوريا الشعبية الديمقراطية بالتزاماتها لعام 2021. وأعرب الاجتماع عن قلقه البالغ إزاء غياب التواصل من جانب الطرف، على الرغم من الطلبات المتعددة التي قدمتها اللجنة في التوصيات 68/4 و69/4 و70/2 و72/3، ورسائل التذكير المتكررة من الأمانة. ولاحظ الاجتماع أيضاً أن الطرف قدم جميع بياناته المتأخرة بموجب المادة 7 لعام 2022، مؤكدا وفاءه بالالتزامات الواردة في خطة العمل للعودة إلى الامتثال في ذلك العام. وحث الاجتماع الطرف على تقديم تفسير للانحرافات لعام 2021، إلى جانب بيانات المادة 7 لعام 2023، على وجه السرعة وفي موعد أقصاه 31 آذار/مارس 2025، وتقديم خطة عمل منقحة، حسب الاقتضاء، لكي تنظر فيها اللجنة في اجتماعها الرابع والسبعين. وأخيراً، حث الطرف على تقديم تقرير مرحلي عن جهوده الرامية إلى وضع سياسات وطنية إضافية، ودعاه إلى إيفاد ممثل إلى الاجتماع الرابع والسبعين للجنة التنفيذ.</w:t>
      </w:r>
    </w:p>
    <w:p w14:paraId="0DA549F0" w14:textId="4AAB0D3B" w:rsidR="006206DC"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وفي ذلك الاجتماع، أدلى ممثل جمهورية كوريا الشعبية الديمقراطية ببيان بشأن الجهود التي تبذلها بلاده للوفاء بالتزاماتها بموجب البروتوكول. وتضمن البيان توضيحاً بأن الطرف بذل جهوداً لتنفيذ خطة عمله من خلال فرض حظر جزئي على استيراد مركبات الكربون الهيدروكلورية فلورية، واستكشاف إمكانية التخلص التدريجي من مركبات الكربون الهيدروكلورية فلورية، وإنشاء آليات اتصال وآليات مؤسسية تتعلق بحماية طبقة الأوزون، والقيام بأنشطة توعوية، ولكنه واجه تحديات مستمرة بسبب الغياب التام لأنشطة نقل التكنولوجيا والتعاون المالي وفقاً للمادتين 10 و10 ألف من البروتوكول، وهو ما اعتبره شرطاً أساسياً لتنفيذ خطة عمله.</w:t>
      </w:r>
      <w:bookmarkStart w:id="8" w:name="_Hlk212818016"/>
      <w:bookmarkStart w:id="9" w:name="_Hlk212818520"/>
      <w:bookmarkEnd w:id="8"/>
      <w:bookmarkEnd w:id="9"/>
    </w:p>
    <w:p w14:paraId="191232F6" w14:textId="77777777" w:rsidR="006206DC"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وعندما قدمت جمهورية كوريا الشعبية الديمقراطية خطة عملها للعودة إلى الامتثال في تشرين الأول/أكتوبر 2020، ذكرت أن تنفيذها سيتوقف على توفر المساعدة التقنية والمالية من الصندوق المتعدد الأطراف. وبعد ذلك، ذكر ممثل الطرف للجنة في اجتماعها الخامس والستين أن تحقيق أهدافه لعام 2021 سيعتمد على إنجاز بعض الأنشطة في إطار المرحلة الأولى من خطة إدارة التخلص التدريجي من مركبات الكربون الهيدروكلورية فلورية. وقد ذكر رئيس اللجنة في تقريره المقدم إلى الاجتماع الثاني والثلاثين للأطراف أن تنفيذ خطة عمل الطرف سيتوقف على توفر المساعدة التقنية والمالية من الصندوق المتعدد الأطراف.</w:t>
      </w:r>
      <w:bookmarkStart w:id="10" w:name="_Hlk212825939"/>
      <w:bookmarkEnd w:id="10"/>
    </w:p>
    <w:p w14:paraId="34B7A02F" w14:textId="77777777" w:rsidR="002A0884"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 xml:space="preserve">وذكّرت اللجنة الطرف، خلال اجتماعها الرابع والسبعين، بالتحذير الوارد في الفقرة 7 من المقرر 36/16، بأن عدم العودة إلى الامتثال قد يؤدي إلى اتخاذ تدابير تتفق مع البند جيم من القائمة الإرشادية لتدابير إجراء عدم الامتثال، بما في ذلك إمكانية اتخاذ إجراءات بموجب المادة 4 من بروتوكول مونتريال، مثل ضمان وقف توريد مركبات الكربون الهيدروكلورية فلورية، وهي المواد موضوع عدم الامتثال، بحيث لا تساهم الأطراف المصدرة في استمرار حالة عدم الامتثال. وأبلغت اللجنة الطرف بأنه إذا لم يرد على النحو المطلوب في التوصية 74/2، فإنها ستوصي الأطراف باتخاذ تدابير بموجب البند جيم من القائمة الإرشادية. وقد سبق أن حُذِّر الطرف بشكل مماثل في المقررين 32/6 </w:t>
      </w:r>
      <w:r w:rsidR="00ED4F74" w:rsidRPr="000B5AE8">
        <w:rPr>
          <w:rFonts w:ascii="Simplified Arabic" w:hAnsi="Simplified Arabic"/>
          <w:sz w:val="24"/>
          <w:szCs w:val="24"/>
          <w:rtl/>
        </w:rPr>
        <w:t>و35</w:t>
      </w:r>
      <w:r w:rsidRPr="000B5AE8">
        <w:rPr>
          <w:rFonts w:ascii="Simplified Arabic" w:hAnsi="Simplified Arabic"/>
          <w:sz w:val="24"/>
          <w:szCs w:val="24"/>
          <w:rtl/>
        </w:rPr>
        <w:t>/18. ومع ذلك، لم ترد أي معلومات إضافية من الطرف المعني حتى الآن.</w:t>
      </w:r>
    </w:p>
    <w:p w14:paraId="483CAE8A" w14:textId="46EE080C" w:rsidR="006206DC"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واتفق العديد من أعضاء اللجنة على أن هذه المسألة هي قضية طويلة الأمد ومعقدة. وأعربوا عن الرأي بأن جمهورية كوريا الشعبية الديمقراطية قد تلقت الآن ما يكفي من طلبات للحصول على معلومات، ودعوات للعودة إلى الامتثال، وتحذيرات. وأشاروا إلى أن الطرف لم يرد على عدة طلبات للحصول على معلومات بعد الاجتماع الرابع والسبعين للجنة، وأن التوصية 74/2 أشارت إلى أنه إذا لم يقدم الطرف الردود ذات الصلة على النحو المطلوب، فإن اللجنة ستوصي باتخاذ تدابير أكثر صرامة. وأضاف أحد الممثلين أنه إذا رغب الطرف في تصحيح بياناته لعام 2021، فإن الإجراء الصحيح للقيام بذلك هو تقديم طلب تصحيح إلى الأمانة، مصحوباً بمذكرة توضيحية، ولكن الطرف لم يفعل ذلك.</w:t>
      </w:r>
    </w:p>
    <w:p w14:paraId="5B00C2D7" w14:textId="77777777" w:rsidR="006206DC" w:rsidRPr="00EB48A7" w:rsidRDefault="006206DC" w:rsidP="00EB48A7">
      <w:pPr>
        <w:pStyle w:val="Normalnumber"/>
        <w:keepNext/>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w w:val="104"/>
          <w:sz w:val="24"/>
          <w:szCs w:val="24"/>
        </w:rPr>
      </w:pPr>
      <w:r w:rsidRPr="00EB48A7">
        <w:rPr>
          <w:rFonts w:ascii="Simplified Arabic" w:hAnsi="Simplified Arabic"/>
          <w:w w:val="104"/>
          <w:sz w:val="24"/>
          <w:szCs w:val="24"/>
          <w:rtl/>
        </w:rPr>
        <w:lastRenderedPageBreak/>
        <w:t>ولذلك قررت اللجنة أن تحيل مشروع المقرر المتعلق بجمهورية كوريا الشعبية الديمقراطية الوارد في الفرع باء من المرفق الأول لهذا التقرير إلى الاجتماع السابع والثلاثين للأطراف للنظر فيه.</w:t>
      </w:r>
    </w:p>
    <w:p w14:paraId="473FA2B9" w14:textId="77777777" w:rsidR="006206DC" w:rsidRPr="000B5AE8" w:rsidRDefault="006206DC" w:rsidP="00762C03">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DengXian" w:hAnsi="Simplified Arabic" w:hint="default"/>
          <w:b/>
          <w:bCs/>
          <w:sz w:val="24"/>
          <w:szCs w:val="24"/>
          <w:lang w:val="ar-SA" w:eastAsia="zh-TW" w:bidi="en-GB"/>
        </w:rPr>
      </w:pPr>
      <w:bookmarkStart w:id="11" w:name="_Hlk213397127"/>
      <w:r w:rsidRPr="000B5AE8">
        <w:rPr>
          <w:rFonts w:ascii="Simplified Arabic" w:eastAsia="DengXian" w:hAnsi="Simplified Arabic"/>
          <w:b/>
          <w:bCs/>
          <w:sz w:val="24"/>
          <w:szCs w:val="24"/>
          <w:rtl/>
        </w:rPr>
        <w:t>التوصية 75/2</w:t>
      </w:r>
    </w:p>
    <w:bookmarkEnd w:id="11"/>
    <w:p w14:paraId="6F526D45" w14:textId="77777777" w:rsidR="006206DC" w:rsidRPr="00762C03" w:rsidRDefault="006206DC" w:rsidP="00762C03">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tl/>
        </w:rPr>
      </w:pPr>
      <w:r w:rsidRPr="00762C03">
        <w:rPr>
          <w:rFonts w:ascii="Simplified Arabic" w:hAnsi="Simplified Arabic" w:cs="Simplified Arabic"/>
          <w:bCs/>
          <w:sz w:val="24"/>
          <w:szCs w:val="24"/>
          <w:rtl/>
        </w:rPr>
        <w:t>2-</w:t>
      </w:r>
      <w:r w:rsidRPr="00762C03">
        <w:rPr>
          <w:rFonts w:ascii="Simplified Arabic" w:hAnsi="Simplified Arabic" w:cs="Simplified Arabic"/>
          <w:bCs/>
          <w:sz w:val="24"/>
          <w:szCs w:val="24"/>
          <w:rtl/>
        </w:rPr>
        <w:tab/>
        <w:t>كازاخستان (التوصية 74/3)</w:t>
      </w:r>
    </w:p>
    <w:p w14:paraId="36FF1FAD" w14:textId="3D2D3BF3" w:rsidR="002A0884" w:rsidRPr="000B5AE8" w:rsidRDefault="006206DC" w:rsidP="00762C03">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bookmarkStart w:id="12" w:name="_Hlk171523251"/>
      <w:r w:rsidRPr="000B5AE8">
        <w:rPr>
          <w:rFonts w:ascii="Simplified Arabic" w:hAnsi="Simplified Arabic"/>
          <w:sz w:val="24"/>
          <w:szCs w:val="24"/>
          <w:rtl/>
        </w:rPr>
        <w:t xml:space="preserve">أشار ممثل الأمانة إلى أن الاجتماع التاسع والعشرين للأطراف قد لاحظ، في المقرر </w:t>
      </w:r>
      <w:r w:rsidR="00FB026C">
        <w:rPr>
          <w:rFonts w:ascii="Simplified Arabic" w:hAnsi="Simplified Arabic"/>
          <w:sz w:val="24"/>
          <w:szCs w:val="24"/>
          <w:rtl/>
        </w:rPr>
        <w:t>29/14</w:t>
      </w:r>
      <w:r w:rsidRPr="000B5AE8">
        <w:rPr>
          <w:rFonts w:ascii="Simplified Arabic" w:hAnsi="Simplified Arabic"/>
          <w:sz w:val="24"/>
          <w:szCs w:val="24"/>
          <w:rtl/>
        </w:rPr>
        <w:t xml:space="preserve"> بشأن عدم امتثال كازاخستان في عامي 2015 و2016 لأحكام بروتوكول مونتريال التي تنظم استهلاك المواد الخاضعة للرقابة في المرفق جيم، الفئة الأولى (مركبات الكربون الهيدروكلورية فلورية)، تقديم كازاخستان لخطة عمل منقحة لضمان عودة الطرف إلى الامتثال، مع التزامات حتى عام 2030 بالامتثال لتدابير الرقابة الواردة في البروتوكول، ووافق على مواصلة رصد التقدم الذي تحرزه كازاخستان عن كثب فيما يتعلق بتنفيذ خطة عملها المنقحة. وبحلول موعد انعقاد الاجتماع الرابع والسبعين، لم يكن الطرف قد قدم بيانات استهلاكه من مركبات الكربون الهيدروكلورية فلورية لعام 2024 وفقاً للمادة 7، وطلبت اللجنة، في توصيتها 74/3، من كازاخستان أن تقدم تلك البيانات إلى الأمانة في موعد أقصاه 15 أيلول/سبتمبر 2025 لتمكين اللجنة من تقييم حالة امتثال كازاخستان في اجتماعها الخامس والسبعين. وقد نفذ الطرف ما طلب منه، حيث أبلغ عن استهلاك 0,25 طن من مركبات الكربون الهيدروكلورية فلورية لعام 2024.</w:t>
      </w:r>
      <w:bookmarkEnd w:id="12"/>
    </w:p>
    <w:p w14:paraId="7AD5450A" w14:textId="0388ED2A" w:rsidR="006206DC" w:rsidRPr="000B5AE8" w:rsidRDefault="006206DC" w:rsidP="00762C03">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بناءً عليه، وافقت اللجنة على أن تحيط علماً مع التقدير بأن كازاخستان قدمت بياناتها بموجب المادة 7 لعام 2024، مما يؤكد أن الطرف قد التزم بالتعهد الوارد في خطة العمل للعودة إلى الامتثال لذلك العام، على النحو المبين في المقرر 29/14.</w:t>
      </w:r>
    </w:p>
    <w:p w14:paraId="62C68D50" w14:textId="77777777" w:rsidR="006206DC" w:rsidRPr="00762C03" w:rsidRDefault="006206DC" w:rsidP="00762C03">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tl/>
        </w:rPr>
      </w:pPr>
      <w:r w:rsidRPr="00762C03">
        <w:rPr>
          <w:rFonts w:ascii="Simplified Arabic" w:hAnsi="Simplified Arabic" w:cs="Simplified Arabic"/>
          <w:bCs/>
          <w:sz w:val="24"/>
          <w:szCs w:val="24"/>
          <w:rtl/>
        </w:rPr>
        <w:t>3-</w:t>
      </w:r>
      <w:r w:rsidRPr="00762C03">
        <w:rPr>
          <w:rFonts w:ascii="Simplified Arabic" w:hAnsi="Simplified Arabic" w:cs="Simplified Arabic"/>
          <w:bCs/>
          <w:sz w:val="24"/>
          <w:szCs w:val="24"/>
          <w:rtl/>
        </w:rPr>
        <w:tab/>
        <w:t>ليبيا (التوصية 74/4)</w:t>
      </w:r>
    </w:p>
    <w:p w14:paraId="7628197D" w14:textId="77777777" w:rsidR="006206DC" w:rsidRPr="000B5AE8" w:rsidRDefault="006206DC" w:rsidP="00762C03">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أشار ممثل الأمانة إلى أن الاجتماع السابع والعشرين للأطراف قد لاحظ، في المقرر 27/11 المتعلق بعدم امتثال ليبيا لبروتوكول مونتريال، أن ليبيا قد التزمت بفرض حظر على شراء معدات تكييف الهواء التي تحتوي على مركبات الكربون الهيدروكلورية فلورية في المستقبل القريب، وبالنظر في فرض حظر على استيراد هذه المعدات. وقد دعت اللجنة، في التوصية 74/4، ليبيا إلى تقديم معلومات عن معدات التبريد وتكييف الهواء التي تحتوي على مركبات الكربون الهيدروكلورية فلورية والموجودة بالفعل في المخزونات قبل دخول الحظر على الواردات والمشتريات حيز التنفيذ. كذلك طُلب من الطرف تقديم معلومات إضافية محدثة عن عدد الوزارات والمؤسسات العامة، وحالتها فيما يتعلق بتنفيذ الحظر على الشراء، ويفضل أن يكون ذلك في موعد أقصاه 15 أيلول/سبتمبر 2025، لكي تنظر فيها لجنة التنفيذ في اجتماعها الخامس والسبعين. وقد نفذ الطرف ما طُلب منه وقدم تقريراً مرحلياً عن امتثاله للحظر المفروض على استيراد وشراء معدات تكييف الهواء والتبريد التي تستخدم مركبات الكربون الهيدروكلورية فلورية.</w:t>
      </w:r>
    </w:p>
    <w:p w14:paraId="7B66D208" w14:textId="77777777" w:rsidR="006206DC" w:rsidRPr="000B5AE8" w:rsidRDefault="006206DC" w:rsidP="00762C03">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 xml:space="preserve">ووفقاً للتقرير المرحلي المذكور، لم تكن هناك مخزونات من معدات تكييف الهواء أو التبريد التي تستخدم مركبات الكربون الهيدروكلورية فلورية في المؤسسات الحكومية أو المؤسسات المملوكة للدولة؛ وأكدت عمليات التفتيش البيئي التي أجريت في عام 2025 في بنغازي ومصراتة وطرابلس أن الكميات المتوفرة من الوحدات التي تعمل بمركبات الكربون الهيدروكلورية فلورية في السوق التجارية كانت ضئيلة للغاية، حيث كانت البدائل أرخص ثمناً وتهيمن على المبيعات؛ ولم تصدر أي تراخيص استيراد جديدة للمعدات التي تستخدم مركبات الكربون الهيدروكلورية فلورية منذ اعتماد القرار 165 لعام 2025 من قبل وزير البيئة؛ وأظهرت البيانات الرسمية لعام 2024 أن الوحدات التي تحتوي على مركب الكربون الهيدروكلوري فلوري-22 المستوردة عبر ميناء مصراتة لم تمثل سوى 0,4 في المائة من إجمالي الواردات. علاوةً على ذلك، سيتم تنفيذ مشروع مسح وطني، تحت إشراف منظمة الأمم المتحدة للتنمية الصناعية (اليونيدو)، في الفترة من تشرين الأول/أكتوبر 2025 إلى أيلول/سبتمبر 2026، مع دعم لوجستي وبياناتي كامل من الحكومة؛ وتمتثل جميع الوزارات والمؤسسات للأمر التوجيهي الذي </w:t>
      </w:r>
      <w:r w:rsidRPr="000B5AE8">
        <w:rPr>
          <w:rFonts w:ascii="Simplified Arabic" w:hAnsi="Simplified Arabic"/>
          <w:sz w:val="24"/>
          <w:szCs w:val="24"/>
          <w:rtl/>
        </w:rPr>
        <w:lastRenderedPageBreak/>
        <w:t>يحظر تركيب وحدات جديدة تعمل بمركبات الكربون الهيدروكلورية فلورية، وهو أمر توجيهي ملزم قانوناً بموجب قانون حماية البيئة وتحسينها لعام 2003 ويُنفذ من خلال قواعد الشراء؛ واستخدمت المشتريات العامة معيار أقل سعر، حيث أن المعدات غير المحتوية على مركبات الكربون الهيدروكلورية فلورية أرخص ثمناً ومتاحة على نطاق واسع؛ ولم تخصص أي ميزانيات حديثة لشراء معدات رئيسية أو مرافق جديدة.</w:t>
      </w:r>
    </w:p>
    <w:p w14:paraId="32948667" w14:textId="77777777" w:rsidR="006206DC" w:rsidRPr="000B5AE8" w:rsidRDefault="006206DC" w:rsidP="00762C03">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وطلب أحد الأعضاء مزيداً من المعلومات عن المسح الذي ستجريه اليونيدو على الصعيد الوطني. وأوضح ممثل اليونيدو أن المسح هو جزء من مشروع بشأن إعداد قوائم جرد وطنية لأرصدة المواد الخاضعة للرقابة المستعملة أو غير المرغوب فيها وخطة لإدارة هذه الأرصدة. وقد تمت الموافقة على المشروع في إطار نافذة التمويل التابعة للصندوق المتعدد الأطراف المنشأة بموجب المقرر 91/66 الصادر عن اللجنة التنفيذية. ومن المقرر بالفعل إجراء المسح في الفترة من تشرين الأول/أكتوبر 2025 إلى أيلول/سبتمبر 2026، على أن تكون اليونيدو هي الوكالة المنفذة الرئيسية. وقد حددت اليونيدو وكالة متخصصة من مصر وتعاقدت معها من الباطن، وهي تساعد هذه الوكالة في الحصول على التأشيرات اللازمة وتعد لها الترتيبات اللوجستية اللازمة لإجراء المسح. ونظرا للوضع الصعب في البلد، فقد جرى تخصيص وقت كاف لإجراء هذا المسح.</w:t>
      </w:r>
    </w:p>
    <w:p w14:paraId="06F4DCE3" w14:textId="77777777" w:rsidR="006206DC" w:rsidRPr="000B5AE8" w:rsidRDefault="006206DC" w:rsidP="00762C03">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بناءً على ذلك قررت اللجنة أن تحيل مشروع المقرر المتعلق بليبيا الوارد في الفرع جيم من المرفق الأول لهذا التقرير إلى الاجتماع السابع والثلاثين للأطراف للنظر فيه.</w:t>
      </w:r>
    </w:p>
    <w:p w14:paraId="7ACA9E2B" w14:textId="77777777" w:rsidR="006206DC" w:rsidRPr="000B5AE8" w:rsidRDefault="006206DC" w:rsidP="00762C03">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DengXian" w:hAnsi="Simplified Arabic" w:hint="default"/>
          <w:b/>
          <w:bCs/>
          <w:sz w:val="24"/>
          <w:szCs w:val="24"/>
          <w:lang w:val="ar-SA" w:eastAsia="zh-TW" w:bidi="en-GB"/>
        </w:rPr>
      </w:pPr>
      <w:r w:rsidRPr="000B5AE8">
        <w:rPr>
          <w:rFonts w:ascii="Simplified Arabic" w:eastAsia="DengXian" w:hAnsi="Simplified Arabic"/>
          <w:b/>
          <w:bCs/>
          <w:sz w:val="24"/>
          <w:szCs w:val="24"/>
          <w:rtl/>
        </w:rPr>
        <w:t>التوصية 75/3</w:t>
      </w:r>
    </w:p>
    <w:p w14:paraId="4A22D02E" w14:textId="77777777" w:rsidR="006206DC" w:rsidRPr="00762C03" w:rsidRDefault="006206DC" w:rsidP="00762C03">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rPr>
      </w:pPr>
      <w:r w:rsidRPr="00762C03">
        <w:rPr>
          <w:rFonts w:ascii="Simplified Arabic" w:hAnsi="Simplified Arabic" w:cs="Simplified Arabic"/>
          <w:bCs/>
          <w:sz w:val="26"/>
          <w:szCs w:val="26"/>
          <w:rtl/>
        </w:rPr>
        <w:t>سادساً-</w:t>
      </w:r>
      <w:r w:rsidRPr="00762C03">
        <w:rPr>
          <w:rFonts w:ascii="Simplified Arabic" w:hAnsi="Simplified Arabic" w:cs="Simplified Arabic"/>
          <w:bCs/>
          <w:sz w:val="26"/>
          <w:szCs w:val="26"/>
          <w:rtl/>
        </w:rPr>
        <w:tab/>
        <w:t>النظر في مسائل عدم الامتثال المحتملة الأخرى الناشئة عن تقرير البيانات</w:t>
      </w:r>
    </w:p>
    <w:p w14:paraId="34995897" w14:textId="77777777" w:rsidR="006206DC" w:rsidRPr="00497635" w:rsidRDefault="006206DC" w:rsidP="00497635">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w w:val="109"/>
          <w:sz w:val="24"/>
          <w:szCs w:val="24"/>
        </w:rPr>
      </w:pPr>
      <w:r w:rsidRPr="00497635">
        <w:rPr>
          <w:rFonts w:ascii="Simplified Arabic" w:hAnsi="Simplified Arabic"/>
          <w:w w:val="109"/>
          <w:sz w:val="24"/>
          <w:szCs w:val="24"/>
          <w:rtl/>
        </w:rPr>
        <w:t xml:space="preserve">عرض ممثل الأمانة هذا البند فوجه الانتباه إلى تقرير الأمانة عن المعلومات المتعلقة بالحالات المتصلة بالامتثال للالتزامات بموجب بروتوكول مونتريال بشأن المواد المستنفدة لطبقة الأوزون </w:t>
      </w:r>
      <w:r w:rsidRPr="00497635">
        <w:rPr>
          <w:rFonts w:cs="Times New Roman"/>
          <w:w w:val="109"/>
          <w:sz w:val="22"/>
          <w:szCs w:val="22"/>
        </w:rPr>
        <w:t>(UNEP/OzL.Pro/ImpCom/75/R.3)</w:t>
      </w:r>
      <w:r w:rsidRPr="00497635">
        <w:rPr>
          <w:rFonts w:ascii="Simplified Arabic" w:hAnsi="Simplified Arabic"/>
          <w:w w:val="109"/>
          <w:sz w:val="24"/>
          <w:szCs w:val="24"/>
          <w:rtl/>
        </w:rPr>
        <w:t xml:space="preserve"> وإضافته </w:t>
      </w:r>
      <w:r w:rsidRPr="00497635">
        <w:rPr>
          <w:rFonts w:cs="Times New Roman"/>
          <w:w w:val="109"/>
          <w:sz w:val="22"/>
          <w:szCs w:val="22"/>
        </w:rPr>
        <w:t>(UNEP/OzL.Pro/ImpCom/75/R.3/Add.1)</w:t>
      </w:r>
      <w:r w:rsidRPr="00497635">
        <w:rPr>
          <w:rFonts w:ascii="Simplified Arabic" w:hAnsi="Simplified Arabic"/>
          <w:w w:val="109"/>
          <w:sz w:val="24"/>
          <w:szCs w:val="24"/>
          <w:rtl/>
        </w:rPr>
        <w:t xml:space="preserve">. وقد أرسلت معلومات إضافية عن مالي بالبريد الإلكتروني إلى الأعضاء، حيث </w:t>
      </w:r>
      <w:proofErr w:type="gramStart"/>
      <w:r w:rsidRPr="00497635">
        <w:rPr>
          <w:rFonts w:ascii="Simplified Arabic" w:hAnsi="Simplified Arabic"/>
          <w:w w:val="109"/>
          <w:sz w:val="24"/>
          <w:szCs w:val="24"/>
          <w:rtl/>
        </w:rPr>
        <w:t>أن</w:t>
      </w:r>
      <w:proofErr w:type="gramEnd"/>
      <w:r w:rsidRPr="00497635">
        <w:rPr>
          <w:rFonts w:ascii="Simplified Arabic" w:hAnsi="Simplified Arabic"/>
          <w:w w:val="109"/>
          <w:sz w:val="24"/>
          <w:szCs w:val="24"/>
          <w:rtl/>
        </w:rPr>
        <w:t xml:space="preserve"> مدة الثلاثة أشهر المذكورة في الفقرة 3 من إجراء عدم الامتثال لكي يرد الطرف على طلب الأمانة تقديم معلومات إضافية أو حل المشكلة عن طريق إجراءات إدارية أو اتصالات دبلوماسية قد انقضت قبل يومين فقط من انعقاد الاجتماع الحالي.</w:t>
      </w:r>
    </w:p>
    <w:p w14:paraId="79E87790" w14:textId="164D9FAB" w:rsidR="006206DC" w:rsidRPr="000B5AE8" w:rsidRDefault="006206DC" w:rsidP="000B5AE8">
      <w:pPr>
        <w:tabs>
          <w:tab w:val="clear" w:pos="1247"/>
          <w:tab w:val="clear" w:pos="1814"/>
          <w:tab w:val="clear" w:pos="2381"/>
          <w:tab w:val="clear" w:pos="2948"/>
          <w:tab w:val="clear" w:pos="3515"/>
        </w:tabs>
        <w:suppressAutoHyphens/>
        <w:bidi/>
        <w:spacing w:after="120" w:line="360" w:lineRule="exact"/>
        <w:ind w:left="1134"/>
        <w:jc w:val="both"/>
        <w:textDirection w:val="tbRlV"/>
        <w:rPr>
          <w:rFonts w:ascii="Simplified Arabic" w:eastAsia="Times New Roman" w:hAnsi="Simplified Arabic" w:hint="default"/>
          <w:b/>
          <w:sz w:val="24"/>
          <w:szCs w:val="24"/>
          <w:lang w:val="ar-SA" w:eastAsia="zh-TW" w:bidi="en-GB"/>
        </w:rPr>
      </w:pPr>
      <w:r w:rsidRPr="000B5AE8">
        <w:rPr>
          <w:rFonts w:ascii="Simplified Arabic" w:eastAsia="Times New Roman" w:hAnsi="Simplified Arabic"/>
          <w:b/>
          <w:bCs/>
          <w:sz w:val="24"/>
          <w:szCs w:val="24"/>
          <w:rtl/>
        </w:rPr>
        <w:t>إسرائيل</w:t>
      </w:r>
    </w:p>
    <w:p w14:paraId="663FBFED" w14:textId="07F188D5" w:rsidR="006206DC" w:rsidRPr="000B5AE8" w:rsidRDefault="00DB0BB3" w:rsidP="00B32A6F">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w:t>
      </w:r>
      <w:r w:rsidR="006206DC" w:rsidRPr="000B5AE8">
        <w:rPr>
          <w:rFonts w:ascii="Simplified Arabic" w:hAnsi="Simplified Arabic"/>
          <w:sz w:val="24"/>
          <w:szCs w:val="24"/>
          <w:rtl/>
        </w:rPr>
        <w:t>أبلغت إسرائيل عن بياناتها لعام 2024 في 30 أيلول/سبتمبر 2025. وقد أبلغت عن استهلاك 4,33 طن استنفادي من مركبات الكربون الهيدروكلورية فلورية لعام 2024، في حين أن الحد الأقصى المسموح به للطرف في ذلك العام كان 1,60 طن استنفادي. وقد أقرت إسرائيل عند تقديم بياناتها بأن استهلاكها تجاوز الحد المسموح به بموجب البروتوكول، وأوضحت أن هذا الاستهلاك الزائد يعزى إلى ظروف وطنية استثنائية، تتعلق في المقام الأول بصحة وسلامة السكان المدنيين في ظل النزاع المسلح المستمر والمطول والحاد. واستخدم قطاعا الدفاع والصحة مركبات الكربون الهيدروكلورية فلورية للحفاظ على العمليات الحيوية، حيث لم تكن هناك بدائل متاحة قابلة للتطبيق. وذكرت إسرائيل كذلك أن الزيادة مؤقتة وأنها تتوقع أن يكون الاستهلاك في عام 2025 ضمن الحدود المقررة. وذكرت إسرائيل أيضاً أنها تعكف على إعادة النظر في مدى استمرار الحاجة إلى الواردات الزائدة، وأن قطاع الدفاع سيطبق إجراءات شراء محدثة بهدف ضمان أن تستند عمليات الشراء الجديدة، حيثما أمكن، إلى المعدات التي تحتوي على المواد المبردة غير الخاضعة للرقابة فقط.</w:t>
      </w:r>
    </w:p>
    <w:p w14:paraId="36B2E79A" w14:textId="77777777" w:rsidR="006206DC" w:rsidRPr="000B5AE8" w:rsidRDefault="006206DC" w:rsidP="00B32A6F">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 xml:space="preserve">وفي وقت لاحق أعلن الطرف أيضاً أنه لا يزال متمسكاً بالتنفيذ التام لالتزاماته المتعلقة بالتخلص التدريجي من مركبات الكربون الهيدروكلورية فلورية في أقرب وقت ممكن، وأنه قد بدأ بالفعل العمل على وضع خطة عمل </w:t>
      </w:r>
      <w:r w:rsidRPr="000B5AE8">
        <w:rPr>
          <w:rFonts w:ascii="Simplified Arabic" w:hAnsi="Simplified Arabic"/>
          <w:sz w:val="24"/>
          <w:szCs w:val="24"/>
          <w:rtl/>
        </w:rPr>
        <w:lastRenderedPageBreak/>
        <w:t>للعودة إلى الامتثال. ولم يتمكن الطرف من الانتهاء من وضع الخطة في الوقت المناسب لتقديمها إلى اللجنة للنظر فيها في الاجتماع الحالي.</w:t>
      </w:r>
    </w:p>
    <w:p w14:paraId="086BC622" w14:textId="77777777" w:rsidR="006206DC" w:rsidRPr="000B5AE8" w:rsidRDefault="006206DC" w:rsidP="00B32A6F">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واقترح ممثل الأمانة دعوة ممثل عن إسرائيل لحضور الاجتماع السادس والسبعين للجنة، حيث من المتوقع أن تستعرض اللجنة خطة عمل إسرائيل.</w:t>
      </w:r>
    </w:p>
    <w:p w14:paraId="299CA8E5" w14:textId="77777777" w:rsidR="006206DC" w:rsidRPr="000B5AE8" w:rsidRDefault="006206DC" w:rsidP="00B32A6F">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ووافقت اللجنة على ما يلي:</w:t>
      </w:r>
    </w:p>
    <w:p w14:paraId="630FD3E4" w14:textId="77777777" w:rsidR="002A0884" w:rsidRPr="000B5AE8" w:rsidRDefault="006206DC" w:rsidP="00B32A6F">
      <w:pPr>
        <w:numPr>
          <w:ilvl w:val="0"/>
          <w:numId w:val="3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Times New Roman" w:hAnsi="Simplified Arabic" w:hint="default"/>
          <w:sz w:val="24"/>
          <w:szCs w:val="24"/>
          <w:rtl/>
        </w:rPr>
      </w:pPr>
      <w:r w:rsidRPr="000B5AE8">
        <w:rPr>
          <w:rFonts w:ascii="Simplified Arabic" w:eastAsia="Times New Roman" w:hAnsi="Simplified Arabic" w:hint="default"/>
          <w:sz w:val="24"/>
          <w:szCs w:val="24"/>
          <w:rtl/>
        </w:rPr>
        <w:t>أن تلاحظ الإقرار الذاتي المقدم من إسرائيل بموجب الفقرة 4 من إجراء عدم الامتثال والتوضيح المقدم بشأن استهلاك 4,33 طن استنفادي من مركبات الكربون الهيدروكلورية فلورية في عام 2024، وهو ما يتجاوز الحد المسموح به للطرف في ذلك العام والبالغ 1,6 طن استنفادي؛</w:t>
      </w:r>
    </w:p>
    <w:p w14:paraId="26167D0A" w14:textId="746F0B42" w:rsidR="006206DC" w:rsidRPr="000B5AE8" w:rsidRDefault="006206DC" w:rsidP="00B32A6F">
      <w:pPr>
        <w:numPr>
          <w:ilvl w:val="0"/>
          <w:numId w:val="3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Times New Roman" w:hAnsi="Simplified Arabic" w:hint="default"/>
          <w:sz w:val="24"/>
          <w:szCs w:val="24"/>
          <w:rtl/>
          <w:lang w:val="ar-SA" w:eastAsia="zh-TW" w:bidi="en-GB"/>
        </w:rPr>
      </w:pPr>
      <w:r w:rsidRPr="000B5AE8">
        <w:rPr>
          <w:rFonts w:ascii="Simplified Arabic" w:eastAsia="Times New Roman" w:hAnsi="Simplified Arabic" w:hint="default"/>
          <w:sz w:val="24"/>
          <w:szCs w:val="24"/>
          <w:rtl/>
        </w:rPr>
        <w:t>أن تلاحظ أيضاً أن الطرف قد أشار إلى أنه يعمل على وضع خطة عمل لضمان عودته إلى الامتثال لتدابير الرقابة المنصوص عليها في بروتوكول مونتريال بشأن مركبات الكربون الهيدروكلورية فلورية، ولكن ضيق الوقت المتاح لم يسمح بتقديم الخطة إلى اللجنة للنظر فيها في اجتماعها الخامس والسبعين؛</w:t>
      </w:r>
    </w:p>
    <w:p w14:paraId="47C7AEFE" w14:textId="77777777" w:rsidR="006206DC" w:rsidRPr="00B32A6F" w:rsidRDefault="006206DC" w:rsidP="00B32A6F">
      <w:pPr>
        <w:numPr>
          <w:ilvl w:val="0"/>
          <w:numId w:val="34"/>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eastAsia="Times New Roman" w:hAnsi="Simplified Arabic" w:hint="default"/>
          <w:w w:val="115"/>
          <w:sz w:val="24"/>
          <w:szCs w:val="24"/>
          <w:rtl/>
          <w:lang w:val="ar-SA" w:eastAsia="zh-TW" w:bidi="en-GB"/>
        </w:rPr>
      </w:pPr>
      <w:r w:rsidRPr="00B32A6F">
        <w:rPr>
          <w:rFonts w:ascii="Simplified Arabic" w:eastAsia="Times New Roman" w:hAnsi="Simplified Arabic" w:hint="default"/>
          <w:w w:val="115"/>
          <w:sz w:val="24"/>
          <w:szCs w:val="24"/>
          <w:rtl/>
        </w:rPr>
        <w:t>أن تطلب إلى إسرائيل أن تقدم خطة عملها على وجه السرعة وفي موعد أقصاه 31 آذار/مارس 2026 لكي تنظر فيها اللجنة في اجتماعها السادس والسبعين، وأن تدعو إسرائيل إلى إيفاد ممثل عنها إلى ذلك الاجتماع.</w:t>
      </w:r>
    </w:p>
    <w:p w14:paraId="52910F41" w14:textId="77777777" w:rsidR="006206DC" w:rsidRPr="000B5AE8" w:rsidRDefault="006206DC" w:rsidP="00B32A6F">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DengXian" w:hAnsi="Simplified Arabic" w:hint="default"/>
          <w:b/>
          <w:bCs/>
          <w:sz w:val="24"/>
          <w:szCs w:val="24"/>
          <w:lang w:val="ar-SA" w:eastAsia="zh-TW" w:bidi="en-GB"/>
        </w:rPr>
      </w:pPr>
      <w:r w:rsidRPr="000B5AE8">
        <w:rPr>
          <w:rFonts w:ascii="Simplified Arabic" w:eastAsia="DengXian" w:hAnsi="Simplified Arabic"/>
          <w:b/>
          <w:bCs/>
          <w:sz w:val="24"/>
          <w:szCs w:val="24"/>
          <w:rtl/>
        </w:rPr>
        <w:t>التوصية 75/4</w:t>
      </w:r>
    </w:p>
    <w:p w14:paraId="2203074F" w14:textId="3AF31F97" w:rsidR="006206DC" w:rsidRPr="000B5AE8" w:rsidRDefault="006206DC" w:rsidP="000B5AE8">
      <w:pPr>
        <w:tabs>
          <w:tab w:val="clear" w:pos="1247"/>
          <w:tab w:val="clear" w:pos="1814"/>
          <w:tab w:val="clear" w:pos="2381"/>
          <w:tab w:val="clear" w:pos="2948"/>
          <w:tab w:val="clear" w:pos="3515"/>
        </w:tabs>
        <w:suppressAutoHyphens/>
        <w:bidi/>
        <w:spacing w:after="120" w:line="360" w:lineRule="exact"/>
        <w:ind w:left="1134"/>
        <w:jc w:val="both"/>
        <w:textDirection w:val="tbRlV"/>
        <w:rPr>
          <w:rFonts w:ascii="Simplified Arabic" w:eastAsia="Times New Roman" w:hAnsi="Simplified Arabic" w:hint="default"/>
          <w:b/>
          <w:sz w:val="24"/>
          <w:szCs w:val="24"/>
          <w:lang w:val="ar-SA" w:eastAsia="zh-TW" w:bidi="en-GB"/>
        </w:rPr>
      </w:pPr>
      <w:r w:rsidRPr="000B5AE8">
        <w:rPr>
          <w:rFonts w:ascii="Simplified Arabic" w:eastAsia="Times New Roman" w:hAnsi="Simplified Arabic"/>
          <w:b/>
          <w:bCs/>
          <w:sz w:val="24"/>
          <w:szCs w:val="24"/>
          <w:rtl/>
        </w:rPr>
        <w:t>سانت فنسنت وجزر غرينادين</w:t>
      </w:r>
    </w:p>
    <w:p w14:paraId="693C1B3E" w14:textId="77777777" w:rsidR="006206DC" w:rsidRPr="000B5AE8" w:rsidRDefault="006206DC" w:rsidP="00B32A6F">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 xml:space="preserve">أبلغت سانت فنسنت وجزر غرينادين عن بياناتها لعام 2024 في 5 شباط/فبراير 2025. وقد أبلغت عن استهلاك 975 45 طن من مكافئ ثاني أكسيد الكربون من مركبات الكربون الهيدروفلورية لعام 2024، في حين أن خط الأساس هو 280 25 طن من مكافئ ثاني أكسيد الكربون. لذلك، وجهت الأمانة رسالة إلى الطرف في 25 تموز/يوليه 2025 لطلب توضيح. وأشار الطرف إلى أن الاستهلاك الزائد قد نشأ بسبب سلسلة من الظروف الاستثنائية التي أثرت على مستويات الاستهلاك في السنوات التي تلت سنوات الأساس. وشملت تلك العوامل تأثير ثوران بركان لا </w:t>
      </w:r>
      <w:proofErr w:type="spellStart"/>
      <w:r w:rsidRPr="000B5AE8">
        <w:rPr>
          <w:rFonts w:ascii="Simplified Arabic" w:hAnsi="Simplified Arabic"/>
          <w:sz w:val="24"/>
          <w:szCs w:val="24"/>
          <w:rtl/>
        </w:rPr>
        <w:t>سوفريير</w:t>
      </w:r>
      <w:proofErr w:type="spellEnd"/>
      <w:r w:rsidRPr="000B5AE8">
        <w:rPr>
          <w:rFonts w:ascii="Simplified Arabic" w:hAnsi="Simplified Arabic"/>
          <w:sz w:val="24"/>
          <w:szCs w:val="24"/>
          <w:rtl/>
        </w:rPr>
        <w:t xml:space="preserve"> في عام 2021، مباشرة بعد جائحة مرض فيروس كورونا (كوفيد-19)؛ وانكماش اقتصادي تلاه فترة من الانتعاش السريع تميزت بإعادة إعمار واستثمارات كبيرة؛ وتوسيع قدرات التبريد المنزلية والتجارية لمكافحة ارتفاع درجات الحرارة العالمية في ظل الجهود الوطنية للتعافي من ثوران البركان. علاوةً على ذلك، أوضح الطرف المبادرات التي خطط لها استعداداً لتنفيذ خطط التنفيذ لمركبات الكربون الهيدروفلورية بموجب تعديل كيغالي في البلاد، وأكد مجدداً التزامه بأهداف بروتوكول مونتريال وتعديل كيغالي للبروتوكول.</w:t>
      </w:r>
    </w:p>
    <w:p w14:paraId="41EE068B" w14:textId="77777777" w:rsidR="006206DC" w:rsidRPr="000B5AE8" w:rsidRDefault="006206DC" w:rsidP="00B32A6F">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إضافةً إلى ذلك، قدم الطرف خطة عمل مقترحة تتضمن عددًا من النقاط المرجعية للعودة إلى الامتثال في عام 2034. ووصف الطرف أيضاً السياسات التي يمكن أن ينفذها، مثل سن لوائح منقحة بحلول عام 2030 لتعزيز ومواصلة رصد وإنفاذ نظام الترخيص والحصص الذي يعمل به؛ وإدخال برامج تدريب واعتماد إلزامية بحلول عام 2030 بشأن الاستخدام الآمن للتكنولوجيات البديلة والتعامل معها، وذلك للفنيين الجدد والفنيين الحاليين الراغبين في التقدم في هيكل الاعتماد؛ وتنفيذ حظر على المعدات التي تعتمد على مركبات الكربون الهيدروفلورية ذات القدرة العالية على إحداث الاحترار العالمي بحلول عام 2035 أو وضع سياسة للحد التدريجي من واردات المعدات التي تعتمد على مركبات الكربون الهيدروفلورية ذات القدرة العالية على إحداث الاحترار العالمي؛ وإجراء تقييم شامل لاحتياجات السوق بحلول عام 2035 لتوجيه الاستراتيجية الوطنية من أجل الانتقال إلى البدائل المستدامة؛ وإجراء حملات توعية لأصحاب المصلحة بحلول عام 2035 بهدف زيادة الضغط على المستوردين وتجار التجزئة لتقديم خيارات موفرة للطاقة وذات قدرة منخفضة على إحداث الاحترار العالمي.</w:t>
      </w:r>
    </w:p>
    <w:p w14:paraId="637DE759" w14:textId="77777777" w:rsidR="006206DC" w:rsidRPr="000B5AE8" w:rsidRDefault="006206DC" w:rsidP="00B32A6F">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lastRenderedPageBreak/>
        <w:t>وأعرب بعض الأعضاء عن قلقهم من أن خطة العمل تغطي الفترة حتى عام 2035 وأن الطرف لن يعود إلى الامتثال قبل عام 2034. وطلبت اللجنة إلى الأمانة الاتصال بالطرف لطلب توضيح المسائل المثارة.</w:t>
      </w:r>
    </w:p>
    <w:p w14:paraId="70212DE7" w14:textId="77777777" w:rsidR="006206DC" w:rsidRPr="000B5AE8" w:rsidRDefault="006206DC" w:rsidP="00B32A6F">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وفي وقت لاحق، أفاد ممثل الأمانة بأنه تم تلقي رد من الطرف عبر البريد الإلكتروني، وأن الرسالة قد أحيلت إلى الأعضاء. وأشارت سانت فنسنت وجزر غرينادين في رسالتها إلى القطاعات التي أجرت فيها تقييماً سريعاً لصيانة أجهزة التبريد وتكييف الهواء قبل تقديم خطة العمل. وقد حدد هذا التقييم كمية كبيرة من المعدات التي تعمل بمركبات الكربون الهيدروفلورية والتي لا تزال قيد التشغيل، والتي من المتوقع أن تصل إلى نهاية عمرها الافتراضي بحلول عام 2035. وسيتيح الجدول الزمني الممتد حتى عام 2035 انتقال السوق إلى بدائل منخفضة القدرة على إحداث الاحترار العالمي. علاوةً على ذلك، في أعقاب الانكماش الاقتصادي العالمي الناجم عن جائحة كوفيد-19، شرعت البلاد في مسار للتنمية الاقتصادية، لا سيما في قطاعات التبريد وتكييف الهواء والزراعة المكثفة والسياحة. وقد أدى ذلك إلى إنشاء منتجع وفنادق ومرافق ميناء حديثة، وإعادة بناء المدارس والعيادات وغيرها من البنى التحتية الحكومية. إضافةً إلى ذلك، جاء في الرسالة أن سانت فنسنت وجزر غرينادين، بوصفها بلداً يستهلك كميات قليلة ودولة جزرية صغيرة نامية ذات فرص محدودة لتحقيق وفورات الحجم، تواجه تكاليف أعلى للوحدة الواحدة فيما يتعلق باستيراد التكنولوجيات الجديدة والانتقال إليها. وستتيح فترة انتقالية تمتد حتى عام 2035 استرداد الاستثمارات التي تم ضخها، مما يقلل إلى أدنى حد ممكن من الضغوط الاقتصادية على الحكومة والشركات الصغيرة والمستخدمين النهائيين.</w:t>
      </w:r>
    </w:p>
    <w:p w14:paraId="43EAD853" w14:textId="77777777" w:rsidR="006206DC" w:rsidRPr="000B5AE8" w:rsidRDefault="006206DC" w:rsidP="00B32A6F">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ورداً على سؤال من أحد الأعضاء، قال كبير موظفي أمانة الصندوق المتعدد الأطراف إن الطرف لم يقدم بعد خطط التنفيذ لمركبات الكربون الهيدروفلورية بموجب تعديل كيغالي، ولكن تمت الموافقة على تمويل لإعداد مثل هذه الخطة. وقال ممثل برنامج الأمم المتحدة للبيئة إن خطط التنفيذ لمركبات الكربون الهيدروفلورية بموجب تعديل كيغالي في البلد من المقرر تقديمها إلى اللجنة التنفيذية في اجتماعها الثامن والتسعين. ونظراً للإطار الزمني المتوخى في خطة العمل، اقترح أحد الأعضاء إمكانية أن تكون خطط التنفيذ لمركبات الكربون الهيدروفلورية بموجب تعديل كيغالي أكثر طموحاً.</w:t>
      </w:r>
    </w:p>
    <w:p w14:paraId="2379C717" w14:textId="77777777" w:rsidR="006206DC" w:rsidRPr="000B5AE8" w:rsidRDefault="006206DC" w:rsidP="00B32A6F">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واعتبر العديد من الأعضاء أن الإطار الزمني الذي تشمله خطة العمل طويل للغاية. واقترح أحدهم أن يُطلب من الطرف تقصير هذا الإطار بحيث ينتهي في عام 2029. واقترح عضو أن يُطلب من الطرف تنقيح خطة عمله، بينما اقترح عضو آخر أن ذلك لن يكون منطقياً إلا بعد تقديم خطط التنفيذ لمركبات الكربون الهيدروفلورية بموجب تعديل كيغالي لضمان توافق خطة العمل مع خطط التنفيذ لمركبات الكربون الهيدروفلورية بموجب تعديل كيغالي.</w:t>
      </w:r>
    </w:p>
    <w:p w14:paraId="11D77627" w14:textId="77777777" w:rsidR="006206DC" w:rsidRPr="000B5AE8" w:rsidRDefault="006206DC" w:rsidP="00B32A6F">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ولذلك قررت اللجنة أن تحيل مشروع المقرر المتعلق بسانت فنسنت وجزر غرينادين، على النحو الوارد في الفرع دال من المرفق الأول لهذا التقرير، إلى الاجتماع السابع والثلاثين للأطراف للنظر فيه.</w:t>
      </w:r>
    </w:p>
    <w:p w14:paraId="11DC83DF" w14:textId="77777777" w:rsidR="006206DC" w:rsidRPr="000B5AE8" w:rsidRDefault="006206DC" w:rsidP="00B32A6F">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DengXian" w:hAnsi="Simplified Arabic" w:hint="default"/>
          <w:b/>
          <w:bCs/>
          <w:sz w:val="24"/>
          <w:szCs w:val="24"/>
          <w:lang w:val="ar-SA" w:eastAsia="zh-TW" w:bidi="en-GB"/>
        </w:rPr>
      </w:pPr>
      <w:r w:rsidRPr="000B5AE8">
        <w:rPr>
          <w:rFonts w:ascii="Simplified Arabic" w:eastAsia="DengXian" w:hAnsi="Simplified Arabic"/>
          <w:b/>
          <w:bCs/>
          <w:sz w:val="24"/>
          <w:szCs w:val="24"/>
          <w:rtl/>
        </w:rPr>
        <w:t>التوصية 75/5</w:t>
      </w:r>
    </w:p>
    <w:p w14:paraId="53BBC359" w14:textId="1C0FADBD" w:rsidR="006206DC" w:rsidRPr="000B5AE8" w:rsidRDefault="006206DC" w:rsidP="000B5AE8">
      <w:pPr>
        <w:tabs>
          <w:tab w:val="clear" w:pos="1247"/>
          <w:tab w:val="clear" w:pos="1814"/>
          <w:tab w:val="clear" w:pos="2381"/>
          <w:tab w:val="clear" w:pos="2948"/>
          <w:tab w:val="clear" w:pos="3515"/>
        </w:tabs>
        <w:suppressAutoHyphens/>
        <w:bidi/>
        <w:spacing w:after="120" w:line="360" w:lineRule="exact"/>
        <w:ind w:left="1134"/>
        <w:jc w:val="both"/>
        <w:textDirection w:val="tbRlV"/>
        <w:rPr>
          <w:rFonts w:ascii="Simplified Arabic" w:eastAsia="Times New Roman" w:hAnsi="Simplified Arabic" w:hint="default"/>
          <w:b/>
          <w:sz w:val="24"/>
          <w:szCs w:val="24"/>
          <w:lang w:val="ar-SA" w:eastAsia="zh-TW" w:bidi="en-GB"/>
        </w:rPr>
      </w:pPr>
      <w:r w:rsidRPr="000B5AE8">
        <w:rPr>
          <w:rFonts w:ascii="Simplified Arabic" w:eastAsia="Times New Roman" w:hAnsi="Simplified Arabic"/>
          <w:b/>
          <w:bCs/>
          <w:sz w:val="24"/>
          <w:szCs w:val="24"/>
          <w:rtl/>
        </w:rPr>
        <w:t>طاجيكستان</w:t>
      </w:r>
    </w:p>
    <w:p w14:paraId="5D3F602A" w14:textId="77777777" w:rsidR="002A0884"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sz w:val="24"/>
          <w:szCs w:val="24"/>
          <w:rtl/>
        </w:rPr>
      </w:pPr>
      <w:r w:rsidRPr="000B5AE8">
        <w:rPr>
          <w:rFonts w:ascii="Simplified Arabic" w:hAnsi="Simplified Arabic"/>
          <w:sz w:val="24"/>
          <w:szCs w:val="24"/>
          <w:rtl/>
        </w:rPr>
        <w:t xml:space="preserve">أبلغت طاجيكستان عن بياناتها لعام 2023 في 28 تشرين الأول/أكتوبر 2024. وقد أبلغت عن استهلاك 613 457 طناً من مكافئ ثاني أكسيد الكربون من مركبات الكربون الهيدروفلورية لعام 2023، في حين أن خط الأساس لها هو 600 446 طن من مكافئ ثاني أكسيد الكربون. لذلك، وجهت الأمانة رسالة إلى الطرف في 25 تموز/يوليه 2025 لطلب توضيح للبيانات الخاصة بعام 2023. ورداً على ذلك، ذكرت طاجيكستان أن السبب الرئيسي لزيادة استهلاك مركبات الكربون الهيدروفلورية في عام 2023 هو التعديلات والإضافات التي أدخلت على التشريعات المتعلقة بحماية البيئة، ولا سيما حماية طبقة الأوزون. وأعربت طاجيكستان أيضاً عن استعدادها التام لوضع خطة عمل للعودة إلى الامتثال الكامل لالتزاماتها بموجب بروتوكول </w:t>
      </w:r>
      <w:r w:rsidRPr="000B5AE8">
        <w:rPr>
          <w:rFonts w:ascii="Simplified Arabic" w:hAnsi="Simplified Arabic"/>
          <w:sz w:val="24"/>
          <w:szCs w:val="24"/>
          <w:rtl/>
        </w:rPr>
        <w:lastRenderedPageBreak/>
        <w:t>مونتريال. وفي وقت لاحق، في 29 أيلول/سبتمبر 2025، أبلغت طاجيكستان عن استهلاك زائد من مركبات الكربون الهيدروفلورية لعام 2024 أيضاً، بمقدار 901 456 طن مكافئ ثاني أكسيد الكربون. وقد وجهت الأمانة رسالة إلى الطرف في 8 تشرين الأول/أكتوبر 2025، أشارت فيها إلى أنه يمكن أن تنظر أيضا في إدراج رد على البيانات المبلغ عنها لعام 2024 في خطة العمل قيد الإعداد. ولم تكن طاجيكستان قد قدمت خطة عمل للعودة إلى حالة الامتثال وقت إعداد إضافة تقرير الأمانة عن المعلومات المتعلقة بالحالات المتصلة بالامتثال للالتزامات بموجب بروتوكول مونتريال.</w:t>
      </w:r>
    </w:p>
    <w:p w14:paraId="3358DACB" w14:textId="7140C7D6" w:rsidR="006206DC"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وقد انقضت الأشهر الثلاثة المذكورة في الفقرة 3 من إجراء عدم الامتثال من حين أن راسلت الأمانة الطرف بشأن بيانات عام 2023، ولكنها لم تنقض بعد من حين أن راسلت الأمانة الطرف بشأن بيانات عام 2024.</w:t>
      </w:r>
    </w:p>
    <w:p w14:paraId="72CE648D" w14:textId="77777777" w:rsidR="006206DC"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sz w:val="24"/>
          <w:szCs w:val="24"/>
        </w:rPr>
      </w:pPr>
      <w:bookmarkStart w:id="13" w:name="_Hlk212847497"/>
      <w:r w:rsidRPr="000B5AE8">
        <w:rPr>
          <w:rFonts w:ascii="Simplified Arabic" w:hAnsi="Simplified Arabic"/>
          <w:sz w:val="24"/>
          <w:szCs w:val="24"/>
          <w:rtl/>
        </w:rPr>
        <w:t>بناءً على ذلك قررت اللجنة أن تحيل مشروع المقرر المتعلق بطاجيكستان الوارد في الفرع هاء من المرفق الأول لهذا التقرير إلى الاجتماع السابع والثلاثين للأطراف للنظر فيه.</w:t>
      </w:r>
    </w:p>
    <w:bookmarkEnd w:id="13"/>
    <w:p w14:paraId="72F46803" w14:textId="77777777" w:rsidR="006206DC" w:rsidRPr="000B5AE8" w:rsidRDefault="006206DC" w:rsidP="002619C1">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DengXian" w:hAnsi="Simplified Arabic" w:hint="default"/>
          <w:b/>
          <w:bCs/>
          <w:sz w:val="24"/>
          <w:szCs w:val="24"/>
          <w:lang w:val="ar-SA" w:eastAsia="zh-TW" w:bidi="en-GB"/>
        </w:rPr>
      </w:pPr>
      <w:r w:rsidRPr="000B5AE8">
        <w:rPr>
          <w:rFonts w:ascii="Simplified Arabic" w:eastAsia="DengXian" w:hAnsi="Simplified Arabic"/>
          <w:b/>
          <w:bCs/>
          <w:sz w:val="24"/>
          <w:szCs w:val="24"/>
          <w:rtl/>
        </w:rPr>
        <w:t>التوصية 75/6</w:t>
      </w:r>
    </w:p>
    <w:p w14:paraId="25471F6C" w14:textId="2088E2E2" w:rsidR="006206DC" w:rsidRPr="000B5AE8" w:rsidRDefault="006206DC" w:rsidP="000B5AE8">
      <w:pPr>
        <w:tabs>
          <w:tab w:val="clear" w:pos="1247"/>
          <w:tab w:val="clear" w:pos="1814"/>
          <w:tab w:val="clear" w:pos="2381"/>
          <w:tab w:val="clear" w:pos="2948"/>
          <w:tab w:val="clear" w:pos="3515"/>
        </w:tabs>
        <w:suppressAutoHyphens/>
        <w:bidi/>
        <w:spacing w:after="120" w:line="360" w:lineRule="exact"/>
        <w:ind w:left="1134"/>
        <w:jc w:val="both"/>
        <w:textDirection w:val="tbRlV"/>
        <w:rPr>
          <w:rFonts w:ascii="Simplified Arabic" w:eastAsia="Times New Roman" w:hAnsi="Simplified Arabic" w:hint="default"/>
          <w:b/>
          <w:sz w:val="24"/>
          <w:szCs w:val="24"/>
          <w:lang w:val="ar-SA" w:eastAsia="zh-TW" w:bidi="en-GB"/>
        </w:rPr>
      </w:pPr>
      <w:r w:rsidRPr="000B5AE8">
        <w:rPr>
          <w:rFonts w:ascii="Simplified Arabic" w:eastAsia="Times New Roman" w:hAnsi="Simplified Arabic"/>
          <w:b/>
          <w:bCs/>
          <w:sz w:val="24"/>
          <w:szCs w:val="24"/>
          <w:rtl/>
        </w:rPr>
        <w:t>زامبيا</w:t>
      </w:r>
    </w:p>
    <w:p w14:paraId="348D2E1A" w14:textId="77777777" w:rsidR="006206DC"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أبلغت زامبيا عن بياناتها لعام 2024 في 30 أيار/مايو 2025. وقد أبلغت عن استهلاك 837 166 1 طن من مكافئ ثاني أكسيد الكربون من مركبات الكربون الهيدروفلورية لعام 2024، في حين أن خط الأساس هو 513 699 طن من مكافئ ثاني أكسيد الكربون. وقد وجهت الأمانة رسالة إلى الطرف في 25 تموز/يوليه 2025 لطلب توضيح.</w:t>
      </w:r>
    </w:p>
    <w:p w14:paraId="6C9AB9EB" w14:textId="77777777" w:rsidR="002A0884"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وفي 8 تشرين الأول/أكتوبر 2025، أفادت زامبيا بأنها بصدد الرد رسمياً على استفسار الأمانة الذي طلبت فيه توضيحاً بشأن الحالة، وأن الاختلاف ناتج عن خطأ مطبعي، وأنها سترسل رسالة رسمية تطلب فيها تصحيح ذلك. ومع ذلك، عند إعداد إضافة تقرير الأمانة عن المعلومات المتعلقة بالحالات المتصلة بالامتثال للالتزامات بموجب بروتوكول مونتريال، لم تكن زامبيا قد قدمت إلى الأمانة الرسالة التي تطلب فيها التصحيح، وكانت قد انقضت مهلة الثلاثة أشهر المشار إليها في الفقرة 3 من إجراء عدم الامتثال.</w:t>
      </w:r>
    </w:p>
    <w:p w14:paraId="3D16DA87" w14:textId="63591C2C" w:rsidR="006206DC"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وفي وقت لاحق من الاجتماع، أبلغ ممثل الأمانة اللجنة أن زامبيا قدمت في 31 تشرين الأول/أكتوبر 2025 بيانات جديدة، لكن تلك البيانات لا تزال تظهر أن استهلاك مركبات الكربون الهيدروفلورية لعام 2024 يتجاوز خط الأساس، وهو الحد الأقصى المسموح به لعام 2024 بموجب البروتوكول.</w:t>
      </w:r>
    </w:p>
    <w:p w14:paraId="30CA3EDE" w14:textId="77777777" w:rsidR="006206DC"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بناءً على ذلك قررت اللجنة أن تحيل مشروع المقرر المتعلق بزامبيا الوارد في الفرع واو من المرفق الأول لهذا التقرير إلى الاجتماع السابع والثلاثين للأطراف للنظر فيه.</w:t>
      </w:r>
    </w:p>
    <w:p w14:paraId="59DA8B9C" w14:textId="77777777" w:rsidR="006206DC" w:rsidRPr="000B5AE8" w:rsidRDefault="006206DC" w:rsidP="002619C1">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DengXian" w:hAnsi="Simplified Arabic" w:hint="default"/>
          <w:b/>
          <w:bCs/>
          <w:sz w:val="24"/>
          <w:szCs w:val="24"/>
          <w:lang w:val="ar-SA" w:eastAsia="zh-TW" w:bidi="en-GB"/>
        </w:rPr>
      </w:pPr>
      <w:r w:rsidRPr="000B5AE8">
        <w:rPr>
          <w:rFonts w:ascii="Simplified Arabic" w:eastAsia="DengXian" w:hAnsi="Simplified Arabic"/>
          <w:b/>
          <w:bCs/>
          <w:sz w:val="24"/>
          <w:szCs w:val="24"/>
          <w:rtl/>
        </w:rPr>
        <w:t>التوصية 75/7</w:t>
      </w:r>
    </w:p>
    <w:p w14:paraId="302ACC05" w14:textId="3E74CCEC" w:rsidR="006206DC" w:rsidRPr="000B5AE8" w:rsidRDefault="006206DC" w:rsidP="000B5AE8">
      <w:pPr>
        <w:tabs>
          <w:tab w:val="clear" w:pos="1247"/>
          <w:tab w:val="clear" w:pos="1814"/>
          <w:tab w:val="clear" w:pos="2381"/>
          <w:tab w:val="clear" w:pos="2948"/>
          <w:tab w:val="clear" w:pos="3515"/>
        </w:tabs>
        <w:suppressAutoHyphens/>
        <w:bidi/>
        <w:spacing w:after="120" w:line="360" w:lineRule="exact"/>
        <w:ind w:left="1134"/>
        <w:jc w:val="both"/>
        <w:textDirection w:val="tbRlV"/>
        <w:rPr>
          <w:rFonts w:ascii="Simplified Arabic" w:eastAsia="Times New Roman" w:hAnsi="Simplified Arabic" w:hint="default"/>
          <w:b/>
          <w:sz w:val="24"/>
          <w:szCs w:val="24"/>
          <w:lang w:val="ar-SA" w:eastAsia="zh-TW" w:bidi="en-GB"/>
        </w:rPr>
      </w:pPr>
      <w:r w:rsidRPr="000B5AE8">
        <w:rPr>
          <w:rFonts w:ascii="Simplified Arabic" w:eastAsia="Times New Roman" w:hAnsi="Simplified Arabic"/>
          <w:b/>
          <w:bCs/>
          <w:sz w:val="24"/>
          <w:szCs w:val="24"/>
          <w:rtl/>
        </w:rPr>
        <w:t>مالي</w:t>
      </w:r>
    </w:p>
    <w:p w14:paraId="74E1A851" w14:textId="77777777" w:rsidR="006206DC"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sz w:val="24"/>
          <w:szCs w:val="24"/>
        </w:rPr>
      </w:pPr>
      <w:r w:rsidRPr="000B5AE8">
        <w:rPr>
          <w:rFonts w:ascii="Simplified Arabic" w:hAnsi="Simplified Arabic"/>
          <w:sz w:val="24"/>
          <w:szCs w:val="24"/>
          <w:rtl/>
        </w:rPr>
        <w:t xml:space="preserve">أبلغت مالي عن بياناتها لعام 2024 في 21 أيار/مايو 2025. وقد أبلغت عن استهلاك 126 773 1 طن من مكافئ ثاني أكسيد الكربون من مركبات الكربون الهيدروفلورية، في حين أن خط الأساس هو 935 399 طن من مكافئ ثاني أكسيد الكربون. وقد وجهت الأمانة رسالة إلى الطرف في 29 تموز/يوليه 2025 لطلب توضيح. وردت مالي في 9 تشرين الأول/أكتوبر 2025، قائلة إنها تفهم أن البيانات من عام 2020 إلى عام 2022، وهي سنوات الأساس لمركبات الكربون الهيدروفلورية، هي بيانات مؤقتة. فخلال تلك السنوات، تأثرت البلاد بجائحة كوفيد-19؛ ولم تكن مركبات الكربون الهيدروفلورية خاضعة لتراخيص الاستيراد، وكان التركيز منصباً على مركبات الكربون الهيدروكلورية فلورية. وكشفت دراسة استقصائية أجريت لإعداد خطط التنفيذ </w:t>
      </w:r>
      <w:r w:rsidRPr="000B5AE8">
        <w:rPr>
          <w:rFonts w:ascii="Simplified Arabic" w:hAnsi="Simplified Arabic"/>
          <w:sz w:val="24"/>
          <w:szCs w:val="24"/>
          <w:rtl/>
        </w:rPr>
        <w:lastRenderedPageBreak/>
        <w:t>لمركبات الكربون الهيدروفلورية بموجب تعديل كيغالي في البلد أن بيانات عام 2024 تبين الوضع الحالي. وعند إعداد إضافة تقرير الأمانة عن المعلومات المتعلقة بالحالات المتصلة بالامتثال للالتزامات بموجب بروتوكول مونتريال، لم تكن فترة الأشهر الثلاثة المذكورة في الفقرة 3 من إجراء عدم الامتثال قد انقضت، ولكنها انقضت في 29 تشرين الأول/أكتوبر 2025.</w:t>
      </w:r>
    </w:p>
    <w:p w14:paraId="100316BA" w14:textId="77777777" w:rsidR="006206DC"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وأشار أحد الأعضاء إلى أن اللجنة اتفقت في اجتماعها الرابع والسبعين على عدم اعتبار البيانات المصنفة على أنها بيانات مؤقتة التي تقدمها الأطراف على أنها بيانات مؤقتة. وأكد ممثل الأمانة أن مالي لم تبلغ سابقاً بأن بياناتها مؤقتة، لذا فهي ليست من الأطراف التي أُبلغت خطياً بالخلاصة التي توصل إليها أعضاء اللجنة في اجتماعها الرابع والسبعين بشأن هذه المسألة.</w:t>
      </w:r>
    </w:p>
    <w:p w14:paraId="618B953E" w14:textId="77777777" w:rsidR="006206DC"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وردا على أسئلة الأعضاء، ذكر ممثل الأمانة أن مالي ألمحت إلى أنها ستطلب تنقيح خط الأساس، ولكنها لم تطلب فعليا إجراء هذا التنقيح. لذلك طلبت اللجنة إلى الأمانة الاتصال بالطرف لطلب توضيح الوضع.</w:t>
      </w:r>
    </w:p>
    <w:p w14:paraId="42E943CA" w14:textId="77777777" w:rsidR="006206DC"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وفي وقت لاحق من الاجتماع، أبلغ ممثل الأمانة اللجنة أن مالي قد ردت، مؤكدةً رغبتها في تقديم طلب لتنقيح خط أساسها. وأكد أيضاً أن رسالة البريد الإلكتروني تعتبر اتصالا رسميا من الطرف، لكن الطرف لم يقدم بعد الوثائق المطلوبة بموجب المقرر 15/19 لتعضيد طلبه تنقيح خط الأساس.</w:t>
      </w:r>
    </w:p>
    <w:p w14:paraId="09DA752D" w14:textId="77777777" w:rsidR="006206DC"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بناءً على ذلك قررت اللجنة أن تحيل مشروع المقرر المتعلق بمالي الوارد في الفرع زاي من المرفق الأول لهذا التقرير إلى الاجتماع السابع والثلاثين للأطراف للنظر فيه.</w:t>
      </w:r>
      <w:bookmarkStart w:id="14" w:name="_Hlk213398725"/>
      <w:bookmarkEnd w:id="14"/>
    </w:p>
    <w:p w14:paraId="1CCDFC31" w14:textId="77777777" w:rsidR="006206DC" w:rsidRPr="000B5AE8" w:rsidRDefault="006206DC" w:rsidP="002619C1">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DengXian" w:hAnsi="Simplified Arabic" w:hint="default"/>
          <w:b/>
          <w:bCs/>
          <w:sz w:val="24"/>
          <w:szCs w:val="24"/>
          <w:lang w:val="ar-SA" w:eastAsia="zh-TW" w:bidi="en-GB"/>
        </w:rPr>
      </w:pPr>
      <w:r w:rsidRPr="000B5AE8">
        <w:rPr>
          <w:rFonts w:ascii="Simplified Arabic" w:eastAsia="DengXian" w:hAnsi="Simplified Arabic"/>
          <w:b/>
          <w:bCs/>
          <w:sz w:val="24"/>
          <w:szCs w:val="24"/>
          <w:rtl/>
        </w:rPr>
        <w:t>التوصية 75/8</w:t>
      </w:r>
    </w:p>
    <w:p w14:paraId="2550AA29" w14:textId="632F3EB2" w:rsidR="006206DC" w:rsidRPr="002619C1" w:rsidRDefault="006206DC" w:rsidP="002619C1">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rtl/>
        </w:rPr>
      </w:pPr>
      <w:r w:rsidRPr="002619C1">
        <w:rPr>
          <w:rFonts w:ascii="Simplified Arabic" w:hAnsi="Simplified Arabic" w:cs="Simplified Arabic"/>
          <w:bCs/>
          <w:sz w:val="26"/>
          <w:szCs w:val="26"/>
          <w:rtl/>
        </w:rPr>
        <w:t>سابعاً-</w:t>
      </w:r>
      <w:r w:rsidRPr="002619C1">
        <w:rPr>
          <w:rFonts w:ascii="Simplified Arabic" w:hAnsi="Simplified Arabic" w:cs="Simplified Arabic"/>
          <w:bCs/>
          <w:sz w:val="26"/>
          <w:szCs w:val="26"/>
          <w:rtl/>
        </w:rPr>
        <w:tab/>
        <w:t>طلبات إدخال تغييرات على بيانات خط الأساس (المقرران 13/15 و15/19</w:t>
      </w:r>
      <w:r w:rsidR="002619C1">
        <w:rPr>
          <w:rFonts w:ascii="Simplified Arabic" w:hAnsi="Simplified Arabic" w:cs="Simplified Arabic" w:hint="cs"/>
          <w:bCs/>
          <w:sz w:val="26"/>
          <w:szCs w:val="26"/>
          <w:rtl/>
        </w:rPr>
        <w:t>)</w:t>
      </w:r>
      <w:bookmarkStart w:id="15" w:name="_Hlk180851469"/>
      <w:bookmarkEnd w:id="15"/>
    </w:p>
    <w:p w14:paraId="229CAFE0" w14:textId="16224F71" w:rsidR="006206DC"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 xml:space="preserve">عرض ممثل للأمانة هذا البند فوجه الانتباه إلى تقرير الأمانة عن التغييرات المطلوبة في بيانات الأساس للأطراف </w:t>
      </w:r>
      <w:r w:rsidR="00497635" w:rsidRPr="00497635">
        <w:rPr>
          <w:rFonts w:cs="Times New Roman"/>
          <w:sz w:val="22"/>
          <w:szCs w:val="22"/>
          <w:rtl/>
        </w:rPr>
        <w:t>(</w:t>
      </w:r>
      <w:r w:rsidRPr="00497635">
        <w:rPr>
          <w:rFonts w:cs="Times New Roman"/>
          <w:sz w:val="22"/>
          <w:szCs w:val="22"/>
        </w:rPr>
        <w:t>UNEP/OzL.Pro/ImpCom/75/R.4</w:t>
      </w:r>
      <w:r w:rsidRPr="00497635">
        <w:rPr>
          <w:rFonts w:cs="Times New Roman"/>
          <w:sz w:val="22"/>
          <w:szCs w:val="22"/>
          <w:rtl/>
        </w:rPr>
        <w:t xml:space="preserve"> </w:t>
      </w:r>
      <w:r w:rsidRPr="00497635">
        <w:rPr>
          <w:rFonts w:ascii="Simplified Arabic" w:hAnsi="Simplified Arabic" w:hint="default"/>
          <w:sz w:val="24"/>
          <w:szCs w:val="24"/>
          <w:rtl/>
        </w:rPr>
        <w:t>و</w:t>
      </w:r>
      <w:r w:rsidRPr="00497635">
        <w:rPr>
          <w:rFonts w:cs="Times New Roman"/>
          <w:sz w:val="22"/>
          <w:szCs w:val="22"/>
        </w:rPr>
        <w:t>UNEP/OzL.Pro/ImpCom/75/R.4/Add.1</w:t>
      </w:r>
      <w:r w:rsidR="00497635" w:rsidRPr="00497635">
        <w:rPr>
          <w:rFonts w:cs="Times New Roman"/>
          <w:sz w:val="22"/>
          <w:szCs w:val="22"/>
          <w:rtl/>
        </w:rPr>
        <w:t>)</w:t>
      </w:r>
      <w:r w:rsidRPr="000B5AE8">
        <w:rPr>
          <w:rFonts w:ascii="Simplified Arabic" w:hAnsi="Simplified Arabic"/>
          <w:sz w:val="24"/>
          <w:szCs w:val="24"/>
          <w:rtl/>
        </w:rPr>
        <w:t xml:space="preserve">، وكذلك إلى مذكرة الأمانة بشأن المعلومات التي قدمتها الأطراف لكي تنظر فيها اللجنة في اجتماعها الخامس والسبعين </w:t>
      </w:r>
      <w:r w:rsidRPr="00497635">
        <w:rPr>
          <w:rFonts w:cs="Times New Roman"/>
          <w:sz w:val="22"/>
          <w:szCs w:val="22"/>
        </w:rPr>
        <w:t>(UNEP/OzL.Pro/ImpCom/75/INF/R.2)</w:t>
      </w:r>
      <w:r w:rsidRPr="000B5AE8">
        <w:rPr>
          <w:rFonts w:ascii="Simplified Arabic" w:hAnsi="Simplified Arabic"/>
          <w:sz w:val="24"/>
          <w:szCs w:val="24"/>
          <w:rtl/>
        </w:rPr>
        <w:t xml:space="preserve"> ومرفقاتها. وكان معروضاً على اللجنة ما مجموعه ستة طلبات مقدمة من الأطراف لتنقيح بيانات خط الأساس لمركبات الكربون الهيدروفلورية. وقد طلب اثنان منها أيضاً إجراء تنقيحات على بيانات الأساس لمركبات الكربون الهيدروكلورية فلورية. وذكّر الممثل اللجنة بالمنهجية المحددة في المقرر 15/19، التي تطلب من الأطراف تحديد السنة أو السنوات الأساسية التي يتعين تصحيحها أو تعديلها، وتقديم تفسيرات لأسباب عدم صحة بيانات خط الأساس الحالية ولماذا ينبغي اعتبار التغييرات المطلوبة صحيحة، بما في ذلك إجراءات جمع البيانات والتحقق منها والوثائق الداعمة مثل التراخيص ووثائق الشحن والجمارك وتقارير الدراسات الاستقصائية.</w:t>
      </w:r>
      <w:bookmarkStart w:id="16" w:name="_Hlk213398567"/>
      <w:bookmarkStart w:id="17" w:name="_Hlk212887504"/>
      <w:bookmarkEnd w:id="16"/>
      <w:bookmarkEnd w:id="17"/>
    </w:p>
    <w:p w14:paraId="7013FB10" w14:textId="77777777" w:rsidR="006206DC" w:rsidRPr="002619C1" w:rsidRDefault="006206DC" w:rsidP="002619C1">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tl/>
        </w:rPr>
      </w:pPr>
      <w:r w:rsidRPr="002619C1">
        <w:rPr>
          <w:rFonts w:ascii="Simplified Arabic" w:hAnsi="Simplified Arabic" w:cs="Simplified Arabic"/>
          <w:bCs/>
          <w:sz w:val="24"/>
          <w:szCs w:val="24"/>
          <w:rtl/>
        </w:rPr>
        <w:t>ألف-</w:t>
      </w:r>
      <w:r w:rsidRPr="002619C1">
        <w:rPr>
          <w:rFonts w:ascii="Simplified Arabic" w:hAnsi="Simplified Arabic" w:cs="Simplified Arabic"/>
          <w:bCs/>
          <w:sz w:val="24"/>
          <w:szCs w:val="24"/>
          <w:rtl/>
        </w:rPr>
        <w:tab/>
        <w:t>أرمينيا (التوصية 74/11)</w:t>
      </w:r>
    </w:p>
    <w:p w14:paraId="2A515B9E" w14:textId="77777777" w:rsidR="002A0884"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bookmarkStart w:id="18" w:name="_Hlk212903401"/>
      <w:r w:rsidRPr="000B5AE8">
        <w:rPr>
          <w:rFonts w:ascii="Simplified Arabic" w:hAnsi="Simplified Arabic"/>
          <w:sz w:val="24"/>
          <w:szCs w:val="24"/>
          <w:rtl/>
        </w:rPr>
        <w:t xml:space="preserve">طلبت أرمينيا تنقيح بيانات استهلاكها من مركبات الكربون الهيدروفلورية للأعوام 2020 و2021 و2022. وسيمثل خط الأساس المنقح زيادة قدرها 218 266 طناً من مكافئ ثاني أكسيد الكربون (56 في المائة) عن مستوى خط الأساس الأولي. وقد نوقش الطلب في الاجتماع الثاني والسبعين والثالث والسبعين والرابع والسبعين للجنة، حيث خلصت اللجنة إلى أن المعلومات التي قدمها الطرف دعماً لطلبه تنقيح بيانات خط الأساس لمركبات الكربون الهيدروفلورية لم تكن كافية لتلبية متطلبات المقرر 15/19. وقد حضرت ممثلة أرمينيا الاجتماع الثالث والسبعين، وأقرت بالمسائل المتعلقة بالثغرات القديمة في رقابة الطرف على المواد، ومحدودية توافر البيانات عن المزائج، والتحديات التي تواجه رصد المشتريات عبر الإنترنت. وأبلغت الممثلة أيضاً اللجنة بأن الطرف يعمل على </w:t>
      </w:r>
      <w:r w:rsidRPr="000B5AE8">
        <w:rPr>
          <w:rFonts w:ascii="Simplified Arabic" w:hAnsi="Simplified Arabic"/>
          <w:sz w:val="24"/>
          <w:szCs w:val="24"/>
          <w:rtl/>
        </w:rPr>
        <w:lastRenderedPageBreak/>
        <w:t>تحسين نظام الرصد لديه وتنسيق السلطات المختصة من أجل تحسين الإشراف على التجارة الداخلية والتصدي للتحديات المتعلقة بالواردات غير المبلغ عنها والمبيعات عبر الإنترنت.</w:t>
      </w:r>
      <w:bookmarkEnd w:id="18"/>
    </w:p>
    <w:p w14:paraId="0FD0F23A" w14:textId="77777777" w:rsidR="002A0884"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واستعرضت اللجنة في اجتماعها الرابع والسبعين الوثائق التي قدمتها أرمينيا سابقاً لدعم طلبها، بما في ذلك فواتير من أحد المستوردين تظهر ما مجموعه زهاء 33 طناً من الواردات في عام 2020. واعتبرت اللجنة أن ذلك غير كاف وأصدرت التوصية 74/11 التي طلبت فيها من أرمينيا تقديم المعلومات المتبقية اللازمة للوفاء بمتطلبات المقرر 15/19.</w:t>
      </w:r>
    </w:p>
    <w:p w14:paraId="5BCD3324" w14:textId="77777777" w:rsidR="002A0884"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وعقب الاجتماع، قدمت أرمينيا إلى الأمانة رسالة تشرح فيها الخطوات التي اتخذتها للحصول على معلومات إضافية، وفقا للتوصية 74/11، مع نسخ من المراسلات بين وزارة البيئة في أرمينيا واثنين من الشركات المشغلة للأسواق الإلكترونية. وأبلغت إحدى تلك الشركتين عن تسليم 7 أطنان من المواد إلى أرمينيا بين عامي 2020 و2025؛ كذلك التزمت الشركة بفرض حظر تام على تجارة المواد الخاضعة للرقابة على منصاتها. وتضمنت الرسالة التي أرسلتها أرمينيا حقيقة أن الشركة حصلت على تلك المعلومات باستخدام أدوات الذكاء الاصطناعي، ولكنها لم تكن تمثل ملخصًا شاملاً. ولم تقدم شركة أخرى أي بيانات، لكنها أبلغت الطرف بأنها اتخذت تدابير لمنع أي تسليم للمواد الخاضعة للرقابة إلى أرمينيا.</w:t>
      </w:r>
    </w:p>
    <w:p w14:paraId="46F66C77" w14:textId="64E38354" w:rsidR="002A0884"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sz w:val="24"/>
          <w:szCs w:val="24"/>
          <w:rtl/>
        </w:rPr>
      </w:pPr>
      <w:r w:rsidRPr="000B5AE8">
        <w:rPr>
          <w:rFonts w:ascii="Simplified Arabic" w:hAnsi="Simplified Arabic"/>
          <w:sz w:val="24"/>
          <w:szCs w:val="24"/>
          <w:rtl/>
        </w:rPr>
        <w:t xml:space="preserve">وأشار بعض أعضاء اللجنة إلى أن التوصية 74/11 تضمنت طلباً إلى أرمينيا بتقديم معلومات </w:t>
      </w:r>
      <w:r w:rsidR="00CD1A23">
        <w:rPr>
          <w:rFonts w:ascii="Simplified Arabic" w:hAnsi="Simplified Arabic" w:hint="default"/>
          <w:sz w:val="24"/>
          <w:szCs w:val="24"/>
          <w:rtl/>
        </w:rPr>
        <w:t>”</w:t>
      </w:r>
      <w:r w:rsidRPr="000B5AE8">
        <w:rPr>
          <w:rFonts w:ascii="Simplified Arabic" w:hAnsi="Simplified Arabic"/>
          <w:sz w:val="24"/>
          <w:szCs w:val="24"/>
          <w:rtl/>
        </w:rPr>
        <w:t>تدعم طلبها بشكل كبير</w:t>
      </w:r>
      <w:r w:rsidR="00CD1A23">
        <w:rPr>
          <w:rFonts w:ascii="Simplified Arabic" w:hAnsi="Simplified Arabic" w:hint="default"/>
          <w:sz w:val="24"/>
          <w:szCs w:val="24"/>
          <w:rtl/>
        </w:rPr>
        <w:t>“</w:t>
      </w:r>
      <w:r w:rsidRPr="000B5AE8">
        <w:rPr>
          <w:rFonts w:ascii="Simplified Arabic" w:hAnsi="Simplified Arabic"/>
          <w:sz w:val="24"/>
          <w:szCs w:val="24"/>
          <w:rtl/>
        </w:rPr>
        <w:t xml:space="preserve">، وقالوا إن الطرف لم يقدم هذه المعلومات؛ فالبيانات المقدمة كانت محدودة للغاية، ولم </w:t>
      </w:r>
      <w:r w:rsidR="008D74E2" w:rsidRPr="000B5AE8">
        <w:rPr>
          <w:rFonts w:ascii="Simplified Arabic" w:hAnsi="Simplified Arabic"/>
          <w:sz w:val="24"/>
          <w:szCs w:val="24"/>
          <w:rtl/>
        </w:rPr>
        <w:t>تغط</w:t>
      </w:r>
      <w:r w:rsidRPr="000B5AE8">
        <w:rPr>
          <w:rFonts w:ascii="Simplified Arabic" w:hAnsi="Simplified Arabic"/>
          <w:sz w:val="24"/>
          <w:szCs w:val="24"/>
          <w:rtl/>
        </w:rPr>
        <w:t xml:space="preserve"> سوى نسبة صغيرة من مستويات الاستهلاك المنقحة المطلوبة. وأعرب أعضاء آخرون عن رأي مفاده أن أرمينيا بذلت جهوداً حثيثة لجمع البيانات، وأشاروا إلى أن بعض البيانات لن تكون متاحة أبداً، ويرجع ذلك أساساً إلى الاتفاقات الدولية التي أبرمها الطرف، مما يعني أنها لا ترصد جميع التجارة عبر الحدود؛ وسألوا عن المعلومات الإضافية التي يمكن للجنة أن تتوقع بشكل معقول من أرمينيا تقديمها. وإدراكاً لهذه التحديات، أعرب أعضاء اللجنة عن تعاطفهم مع الوضع الذي تجد أرمينيا نفسها فيه، لكنهم قالوا مع ذلك إن الطرف لا يزال بحاجة إلى تقديم مزيد من المعلومات لتبرير المستويات الأساسية المنقحة التي يطلبها، بما يتماشى مع المنهجية المحددة في المقرر 15/19.</w:t>
      </w:r>
    </w:p>
    <w:p w14:paraId="3AB9967B" w14:textId="77777777" w:rsidR="002A0884"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وبدعوةٍ من اللجنة، حضر الاجتماع ممثلتان عن أرمينيا. ورداً على أسئلة أعضاء اللجنة، أوضحت إحدى الممثلتين أن البيانات الأساسية المنقحة التي طلبتها أرمينيا تستند إلى دراسة استقصائية لاستخدام مركبات الكربون الهيدروفلورية في البلد. وقد حسبت الدراسة الاستقصائية أرقام الاستهلاك لمختلف القطاعات الفرعية، بما في ذلك التجميع، حيث تُستورَد المعدات فارغة وتُعبأ بالمواد المبردة داخل البلد.</w:t>
      </w:r>
    </w:p>
    <w:p w14:paraId="239D149D" w14:textId="77777777" w:rsidR="002A0884" w:rsidRPr="000B5AE8"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sz w:val="24"/>
          <w:szCs w:val="24"/>
          <w:rtl/>
        </w:rPr>
      </w:pPr>
      <w:r w:rsidRPr="000B5AE8">
        <w:rPr>
          <w:rFonts w:ascii="Simplified Arabic" w:hAnsi="Simplified Arabic"/>
          <w:sz w:val="24"/>
          <w:szCs w:val="24"/>
          <w:rtl/>
        </w:rPr>
        <w:t>وأوضحت أن المشكلة الرئيسية في استخدام البيانات الجمركية هي أن أرمينيا، بصفتها عضواً في الاتحاد الاقتصادي للمنطقة الأوروبية الآسيوية ومنطقته الجمركية المشتركة، لا تراقب التجارة مع الأعضاء الآخرين في الاتحاد. وينبغي أن يظل أي نقل للمواد الخاضعة للرقابة داخل الأراضي الجمركية مصحوباً بتصريح صادر عن بلد المقصد، ولكن للأسف، كان إنفاذ هذا الشرط ضعيفاً. وقد جرى التخطيط لعقد اجتماع في المستقبل القريب مع عضوين آخرين في الاتحاد الاقتصادي للمنطقة الأوروبية الآسيوية، هما كازاخستان وقيرغيزستان، لمعالجة هذه المشكلة.</w:t>
      </w:r>
    </w:p>
    <w:p w14:paraId="50F4A226" w14:textId="7CCEC65F" w:rsidR="006206DC" w:rsidRPr="00EB48A7"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w w:val="104"/>
          <w:sz w:val="24"/>
          <w:szCs w:val="24"/>
        </w:rPr>
      </w:pPr>
      <w:r w:rsidRPr="00EB48A7">
        <w:rPr>
          <w:rFonts w:ascii="Simplified Arabic" w:hAnsi="Simplified Arabic"/>
          <w:w w:val="104"/>
          <w:sz w:val="24"/>
          <w:szCs w:val="24"/>
          <w:rtl/>
        </w:rPr>
        <w:t>والتحدي الآخر هو أن بعض المشتريات تمت عبر سوقين إلكترونيين، كلاهما مقره في الاتحاد الروسي؛ وكانت أرمينيا على اتصال بكلا السوقين، ورغم أن أحدهما لم يقدم سوى معلومات محدودة عن المبيعات والآخر لم يقدم أي معلومات، فقد حظر كلاهما شراء المواد الخاضعة للرقابة، اعتباراً من 18 أيلول/سبتمبر 2025 و30 أيلول/سبتمبر 2025، على التوالي. وقدرت الممثلة أن 90 في المائة من إجمالي المشتريات أُنجزت عبر هذين السوقين الإلكترونيين.</w:t>
      </w:r>
    </w:p>
    <w:p w14:paraId="33292BD0" w14:textId="77777777" w:rsidR="002A0884"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lastRenderedPageBreak/>
        <w:t>وبعد مغادرة ممثلتي أرمينيا الاجتماع، أعرب أعضاء اللجنة عن تعاطفهم مع الوضع الذي وجد الطرف نفسه فيه، لكنهم أعربوا عن قلقهم إزاء السابقة التي قد تنشأ عن الموافقة على طلبه، لا سيما فيما يخص الأطراف الأخرى التي هي أيضا أعضاء في مناطق جمركية مشتركة مثل الاتحاد الاقتصادي للمنطقة الأوروبية الآسيوية. ومن المفترض أن تلك الأطراف واجهت مشاكل مماثلة في رصد الواردات والصادرات، مما يجعل حساب أرقام الاستهلاك والإنتاج اللازمة لإثبات مستويات خط الأساس الخاصة بها أمراً بالغ الصعوبة.</w:t>
      </w:r>
    </w:p>
    <w:p w14:paraId="395F9191" w14:textId="5C2C864D" w:rsidR="006206DC"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وردا على الأسئلة، أبلغت ممثلة منظمة الأمم المتحدة للتنمية الصناعية، التي كانت الوكالة المنفذة الرئيسية العاملة مع أرمينيا، والأطراف الأخرى التي طلبت إجراء تغييرات في البيانات الأساسية، اللجنة أن الحاجة إلى تنقيح البيانات المقدمة بموجب المادة 7 عن سنوات خط الأساس قد ظهرت في الغالب نتيجةً لمقارنة البيانات المستمدة من الاستقصاءات بالبيانات المستمدة من الجمارك. وعندما استعرضت الأمانة نحو 100 نظام ترخيص، لاحظت أن تتبع المبيعات من الأسواق الإلكترونية قد ورد ذكره باعتباره أحد المشاكل الناشئة. وأضافت أن ذلك مدعوم بتقرير صدر مؤخراً عن وكالة التحقيقات البيئية، التي توصلت إلى استنتاجات مماثلة بشأن الأسواق الإلكترونية التي أصبحت مصدر قلق فيما يتعلق بالتجارة والتجارة غير المشروعة.</w:t>
      </w:r>
    </w:p>
    <w:p w14:paraId="26DBA140" w14:textId="77777777" w:rsidR="002A0884"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ووافق ممثل برنامج الأمم المتحدة للبيئة على أن التجارة الإلكترونية في المواد الخاضعة للرقابة أصبحت أكثر انتشاراً في جميع أنحاء العالم، وأن هذه المسألة أثيرت في المناقشات التي جرت في الشبكة الإقليمية لمسؤولي الأوزون في أوروبا ووسط آسيا، التي تضم أرمينيا. وكان ذلك مصدر قلق متزايد بسبب احتمالية تقويض نظم الترخيص والحصص. وكما ذكرت ممثلة أرمينيا، فإن بلدها يعتزم مناقشة سبل التعامل مع هذه المسألة. وتضمنت ميزانية منظمته لعام 2026 بنداً مخصصاً لتحليل المشكلة. واقترح أعضاء اللجنة أن من المفيد إثارة هذه المسألة في الاجتماع غير الرسمي للأطراف في بروتوكول مونتريال المقرر عقده في 2 تشرين الثاني/نوفمبر 2025.</w:t>
      </w:r>
    </w:p>
    <w:p w14:paraId="5E3D5EF9" w14:textId="4D829D5C" w:rsidR="006206DC"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ونظراً لأن الدراسة الاستقصائية لمستخدمي مركبات الكربون الهيدروفلورية في أرمينيا هي المصدر الوحيد فيما يبدو للبيانات التي يمكن استخدامها لدعم التغيير المقترح من قبل الطرف في بياناته الأساسية، سأل أحد أعضاء اللجنة عما إذا كانت هناك أي طريقة للتحقق بشكل مستقل من نتائج تلك الدراسة. ووافق عضو آخر على ذلك، مشيراً إلى أن الدراسات الاستقصائية المتعلقة بالمعدات المركبة والمواد الموجودة فيها وفي المخزونات قد تسفر عن أرقام تختلف كثيراً عن تعريف الاستهلاك الوارد في بروتوكول مونتريال، وهو الاستيراد زائد الإنتاج ناقصاً الصادرات. ويشكل هذا الأمر تحدياً صعباً، لكن اللجنة كان عليها أن تجد حلاً عملياً له من أجل الأطراف الأخرى التي قد تجد نفسها في وضع مماثل في المستقبل.</w:t>
      </w:r>
    </w:p>
    <w:p w14:paraId="090A768E" w14:textId="77777777" w:rsidR="002A0884"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وشرح ممثلو أمانة الصندوق المتعدد الأطراف والبنك الدولي وبرنامج الأمم المتحدة للبيئة تجارب منظماتهم في عمليات التحقق، على سبيل المثال من نظم الترخيص للاستيراد والتصدير. وعادةً ما يجري تعيين خبير مستقل؛ وكانوا يجرون مقابلات مع موظفي الجمارك ووحدات الأوزون الوطنية والمستوردين ويصدرون تقارير عن سير عمل نظام الترخيص، وعادة ما تكون مصحوبة باقتراحات للتحسين. وقد يستغرق هذا الإجراء ما يصل إلى عام من تاريخ اتخاذ القرار الأولي بخصوص التكليف بإعداد تقرير التحقق. وقد تستغرق تقارير التحقق الروتينية كجزء من خطط البلدان لإدارة التخلص التدريجي من مركبات الكربون الهيدروكلورية فلورية ما بين ستة وتسعة أشهر، اعتماداً على مدى تعقيد عملية التحقق من البيانات من مختلف المصادر.</w:t>
      </w:r>
    </w:p>
    <w:p w14:paraId="5F7F3B27" w14:textId="77777777" w:rsidR="002A0884" w:rsidRPr="00EB48A7" w:rsidRDefault="006206DC" w:rsidP="00EB48A7">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w w:val="107"/>
          <w:sz w:val="24"/>
          <w:szCs w:val="24"/>
          <w:rtl/>
        </w:rPr>
      </w:pPr>
      <w:r w:rsidRPr="00EB48A7">
        <w:rPr>
          <w:rFonts w:ascii="Simplified Arabic" w:hAnsi="Simplified Arabic"/>
          <w:w w:val="107"/>
          <w:sz w:val="24"/>
          <w:szCs w:val="24"/>
          <w:rtl/>
        </w:rPr>
        <w:t xml:space="preserve">وفي وقت لاحق، قدم أحد الأعضاء تقريراً عن المشاورات غير الرسمية التي أجرتها اللجنة، والتي ساعد فيها أعضاء أمانة الصندوق المتعدد الأطراف. وقد شجعت اللجنة التنفيذية، في الفقرة الفرعية (ج) من مقررها 96/22، البلدان التي ترغب في ذلك على إدراج سنوات الأساس عند التحقق من استهلاكها من مركبات الكربون الهيدروفلورية. وأوضح العضو أن أرمينيا يمكنها بذلك أن تضمن وجود تقرير مستقل عن بياناتها الأساسية. علاوةً على ذلك، ستُموَّل العملية من خلال الصندوق المتعدد الأطراف. ونظراً لأن </w:t>
      </w:r>
      <w:r w:rsidRPr="00EB48A7">
        <w:rPr>
          <w:rFonts w:ascii="Simplified Arabic" w:hAnsi="Simplified Arabic"/>
          <w:w w:val="107"/>
          <w:sz w:val="24"/>
          <w:szCs w:val="24"/>
          <w:rtl/>
        </w:rPr>
        <w:lastRenderedPageBreak/>
        <w:t>تقرير التحقق قد يكون جاهزاً في عام 2027، فإن أقرب موعد يمكن لأرمينيا أن تطلب فيه تنقيح خط أساسها سيكون في الاجتماع الثاني للجنة التنفيذ في عام 2027.</w:t>
      </w:r>
    </w:p>
    <w:p w14:paraId="2921F416" w14:textId="77777777" w:rsidR="002A0884"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وأوضح كبير موظفي أمانة الصندوق المتعدد الأطراف أن هناك خطط تنفيذ لمركبات الكربون الهيدروفلورية بموجب تعديل كيغالي معتمدة في أرمينيا، وأن طلب الشريحة الثانية من التمويل من المقرر تقديمه إلى اللجنة التنفيذية في عام 2027. وهذا يعني أن تمويل التحقق من الشريحة الأولى، الذي هو مطلوب للموافقة على الشريحة الثانية، سيتعين الموافقة عليه في الاجتماع الأول للجنة التنفيذية في عام 2026. وعلى هذا الأساس، يمكن أن يكون تقرير التحقق جاهزاً بحلول كانون الثاني/يناير 2027 لكي ينظر فيه الاجتماع الأول للجنة التنفيذية في عام 2027. لذلك ينبغي أن يكون تقرير التحقق متاحاً للجنة التنفيذ للنظر فيه في اجتماعها الثاني لعام 2027. وأشارت اللجنة إلى أن التحقق من خلال الصندوق المتعدد الأطراف ليس سوى أحد الخيارات المتاحة لأرمينيا وأنه يمكن للطرف المعني تحديد الخطوة التالية.</w:t>
      </w:r>
    </w:p>
    <w:p w14:paraId="3A7DAE48" w14:textId="77777777" w:rsidR="002A0884"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ورغم أن أحد الأعضاء قال إنه يود أن يشار في مشروع المقرر إلى أن البيانات الأساسية الحالية ستظل سارية خلال العامين التاليين، فقد أشار أعضاء آخرون إلى أن اللجنة لا تعرف بالضبط متى سيتم حل هذه المسألة.</w:t>
      </w:r>
    </w:p>
    <w:p w14:paraId="74BE7DF1" w14:textId="169DB035" w:rsidR="006206DC"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وردا على سؤال من أحد الأعضاء، أكد ممثل الأمانة أن أرمينيا لم تقدم بعد بياناتها لعام 2024. وأشار أعضاء آخرون إلى أن اللجنة لا يمكنها إصدار أي افتراضات بشأن حالة امتثال أرمينيا لعام 2024 إلى أن تتلقى تلك البيانات وتستعرضها.</w:t>
      </w:r>
    </w:p>
    <w:p w14:paraId="4AF2893A" w14:textId="77777777" w:rsidR="006206DC" w:rsidRPr="000B5AE8" w:rsidRDefault="006206DC" w:rsidP="002619C1">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وبناء على ذلك، وافقت اللجنة على ما يلي:</w:t>
      </w:r>
    </w:p>
    <w:p w14:paraId="7B8C6F69" w14:textId="77777777" w:rsidR="002A0884" w:rsidRPr="000B5AE8" w:rsidRDefault="006206DC" w:rsidP="002619C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tl/>
        </w:rPr>
      </w:pPr>
      <w:r w:rsidRPr="002619C1">
        <w:rPr>
          <w:rFonts w:ascii="Simplified Arabic" w:eastAsia="Times New Roman" w:hAnsi="Simplified Arabic" w:hint="default"/>
          <w:i/>
          <w:iCs/>
          <w:sz w:val="24"/>
          <w:szCs w:val="24"/>
          <w:rtl/>
        </w:rPr>
        <w:t>إذ تحيط علماً</w:t>
      </w:r>
      <w:r w:rsidRPr="000B5AE8">
        <w:rPr>
          <w:rFonts w:ascii="Simplified Arabic" w:eastAsia="Times New Roman" w:hAnsi="Simplified Arabic" w:hint="default"/>
          <w:sz w:val="24"/>
          <w:szCs w:val="24"/>
          <w:rtl/>
        </w:rPr>
        <w:t xml:space="preserve"> بطلب أرمينيا تنقيح بياناتها الحالية بشأن استهلاكها لسنوات خط الأساس 2020 و2021 و2022 فيما يخص المواد الخاضعة للرقابة المدرجة في المجموعة الأولى من المرفق واو (مركبات الكربون الهيدروفلورية)،</w:t>
      </w:r>
    </w:p>
    <w:p w14:paraId="38D0F032" w14:textId="77777777" w:rsidR="002A0884" w:rsidRPr="000B5AE8" w:rsidRDefault="006206DC" w:rsidP="002619C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tl/>
        </w:rPr>
      </w:pPr>
      <w:r w:rsidRPr="002619C1">
        <w:rPr>
          <w:rFonts w:ascii="Simplified Arabic" w:eastAsia="Times New Roman" w:hAnsi="Simplified Arabic" w:hint="default"/>
          <w:i/>
          <w:iCs/>
          <w:sz w:val="24"/>
          <w:szCs w:val="24"/>
          <w:rtl/>
        </w:rPr>
        <w:t>وإذ تشير</w:t>
      </w:r>
      <w:r w:rsidRPr="000B5AE8">
        <w:rPr>
          <w:rFonts w:ascii="Simplified Arabic" w:eastAsia="Times New Roman" w:hAnsi="Simplified Arabic" w:hint="default"/>
          <w:sz w:val="24"/>
          <w:szCs w:val="24"/>
          <w:rtl/>
        </w:rPr>
        <w:t xml:space="preserve"> إلى المقرر 15/19 الذي يحدد منهجية تقديم طلبات تنقيح بيانات خط الأساس،</w:t>
      </w:r>
    </w:p>
    <w:p w14:paraId="652A6F9C" w14:textId="77777777" w:rsidR="002A0884" w:rsidRPr="000B5AE8" w:rsidRDefault="006206DC" w:rsidP="002619C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tl/>
        </w:rPr>
      </w:pPr>
      <w:r w:rsidRPr="002619C1">
        <w:rPr>
          <w:rFonts w:ascii="Simplified Arabic" w:eastAsia="Times New Roman" w:hAnsi="Simplified Arabic" w:hint="default"/>
          <w:i/>
          <w:iCs/>
          <w:sz w:val="24"/>
          <w:szCs w:val="24"/>
          <w:rtl/>
        </w:rPr>
        <w:t>وإذ تلاحظ مع التقدير</w:t>
      </w:r>
      <w:r w:rsidRPr="000B5AE8">
        <w:rPr>
          <w:rFonts w:ascii="Simplified Arabic" w:eastAsia="Times New Roman" w:hAnsi="Simplified Arabic" w:hint="default"/>
          <w:sz w:val="24"/>
          <w:szCs w:val="24"/>
          <w:rtl/>
        </w:rPr>
        <w:t xml:space="preserve"> المعلومات التي قدمتها أرمينيا لدعم طلبها تنقيح بيانات خط الأساس الخاصة بها،</w:t>
      </w:r>
    </w:p>
    <w:p w14:paraId="6D26755E" w14:textId="77777777" w:rsidR="002A0884" w:rsidRPr="000B5AE8" w:rsidRDefault="006206DC" w:rsidP="002619C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tl/>
        </w:rPr>
      </w:pPr>
      <w:r w:rsidRPr="002619C1">
        <w:rPr>
          <w:rFonts w:ascii="Simplified Arabic" w:eastAsia="Times New Roman" w:hAnsi="Simplified Arabic" w:hint="default"/>
          <w:i/>
          <w:iCs/>
          <w:sz w:val="24"/>
          <w:szCs w:val="24"/>
          <w:rtl/>
        </w:rPr>
        <w:t>وإذ تلاحظ،</w:t>
      </w:r>
      <w:r w:rsidRPr="000B5AE8">
        <w:rPr>
          <w:rFonts w:ascii="Simplified Arabic" w:eastAsia="Times New Roman" w:hAnsi="Simplified Arabic" w:hint="default"/>
          <w:sz w:val="24"/>
          <w:szCs w:val="24"/>
          <w:rtl/>
        </w:rPr>
        <w:t xml:space="preserve"> مع ذلك، أن لجنة التنفيذ بموجب إجراء عدم الامتثال لبروتوكول مونتريال اعتبرت في اجتماعها الخامس والسبعين أن المعلومات المقدمة غير كافية لتمكينها من الموافقة على التغييرات التي طلبها الطرف،</w:t>
      </w:r>
    </w:p>
    <w:p w14:paraId="5BA2CB32" w14:textId="77777777" w:rsidR="002A0884" w:rsidRPr="002619C1" w:rsidRDefault="006206DC" w:rsidP="002619C1">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Times New Roman" w:hAnsi="Simplified Arabic" w:hint="default"/>
          <w:w w:val="104"/>
          <w:sz w:val="24"/>
          <w:szCs w:val="24"/>
          <w:rtl/>
        </w:rPr>
      </w:pPr>
      <w:r w:rsidRPr="002619C1">
        <w:rPr>
          <w:rFonts w:ascii="Simplified Arabic" w:eastAsia="Times New Roman" w:hAnsi="Simplified Arabic" w:hint="default"/>
          <w:w w:val="104"/>
          <w:sz w:val="24"/>
          <w:szCs w:val="24"/>
          <w:rtl/>
        </w:rPr>
        <w:t>1-</w:t>
      </w:r>
      <w:r w:rsidRPr="002619C1">
        <w:rPr>
          <w:rFonts w:ascii="Simplified Arabic" w:eastAsia="Times New Roman" w:hAnsi="Simplified Arabic" w:hint="default"/>
          <w:w w:val="104"/>
          <w:sz w:val="24"/>
          <w:szCs w:val="24"/>
          <w:rtl/>
        </w:rPr>
        <w:tab/>
        <w:t>تدعو أرمينيا إلى أن تـقــدم إلى الأمــانــة الــمــعــلــومــات الــمــتــأخــرة اللازمة للوفاء بمتطلبات المقرر 15/19 لكي تدعم بشكل كبير طلبها تنقيح بيانات خط الأساس لمركبات الكربون الهيدروفلورية، في أقرب وقت ممكن، ويفضل أن يكون ذلك في موعد أقصاه 31 آذار/مارس 2026، لكي تنظر فيها لجنة التنفيذ في اجتماعها السادس والسبعين؛ أو أن تطلب، وفقاً للفقرة الفرعية (ج) من المقرر 96/22 الصادر عن اللجنة التنفيذية، إدراج سنوات خط الأساس في عملية التحقق من استهلاك مركبات الكربون الهيدروفلورية؛</w:t>
      </w:r>
    </w:p>
    <w:p w14:paraId="36F0C631" w14:textId="77719660" w:rsidR="006206DC" w:rsidRPr="000B5AE8" w:rsidRDefault="006206DC" w:rsidP="002619C1">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Times New Roman" w:hAnsi="Simplified Arabic" w:hint="default"/>
          <w:sz w:val="24"/>
          <w:szCs w:val="24"/>
          <w:rtl/>
          <w:lang w:val="ar-SA" w:eastAsia="zh-TW" w:bidi="en-GB"/>
        </w:rPr>
      </w:pPr>
      <w:r w:rsidRPr="000B5AE8">
        <w:rPr>
          <w:rFonts w:ascii="Simplified Arabic" w:eastAsia="Times New Roman" w:hAnsi="Simplified Arabic" w:hint="default"/>
          <w:sz w:val="24"/>
          <w:szCs w:val="24"/>
          <w:rtl/>
        </w:rPr>
        <w:t>2-</w:t>
      </w:r>
      <w:r w:rsidRPr="000B5AE8">
        <w:rPr>
          <w:rFonts w:ascii="Simplified Arabic" w:eastAsia="Times New Roman" w:hAnsi="Simplified Arabic" w:hint="default"/>
          <w:sz w:val="24"/>
          <w:szCs w:val="24"/>
          <w:rtl/>
        </w:rPr>
        <w:tab/>
        <w:t>تدعو أرمينيا أيضا، في حالة طلب الطرف تقرير التحقق، إلى استعراض طلبها الحالي والإبقاء على طلبها الحالي أو تقديم طلب منقح لتغيير بيانات خط الأساس لمركبات الكربون الهيدروفلورية، استنادا إلى تقرير التحقق، لكي تنظر فيه لجنة التنفيذ.</w:t>
      </w:r>
    </w:p>
    <w:p w14:paraId="4DF014B3" w14:textId="77777777" w:rsidR="006206DC" w:rsidRPr="000B5AE8" w:rsidRDefault="006206DC" w:rsidP="002619C1">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Times New Roman" w:hAnsi="Simplified Arabic" w:hint="default"/>
          <w:sz w:val="24"/>
          <w:szCs w:val="24"/>
          <w:lang w:val="ar-SA" w:eastAsia="zh-TW" w:bidi="en-GB"/>
        </w:rPr>
      </w:pPr>
      <w:r w:rsidRPr="000B5AE8">
        <w:rPr>
          <w:rFonts w:ascii="Simplified Arabic" w:eastAsia="Times New Roman" w:hAnsi="Simplified Arabic" w:hint="default"/>
          <w:b/>
          <w:bCs/>
          <w:sz w:val="24"/>
          <w:szCs w:val="24"/>
          <w:rtl/>
        </w:rPr>
        <w:t>التوصية 75/9</w:t>
      </w:r>
    </w:p>
    <w:p w14:paraId="0E56FB23" w14:textId="51FAE686" w:rsidR="006206DC" w:rsidRPr="002619C1" w:rsidRDefault="006206DC" w:rsidP="005F49C4">
      <w:pPr>
        <w:keepNext/>
        <w:tabs>
          <w:tab w:val="clear" w:pos="1247"/>
          <w:tab w:val="clear" w:pos="1814"/>
          <w:tab w:val="clear" w:pos="2381"/>
          <w:tab w:val="clear" w:pos="2948"/>
          <w:tab w:val="clear" w:pos="3515"/>
        </w:tabs>
        <w:suppressAutoHyphens/>
        <w:bidi/>
        <w:spacing w:after="140" w:line="380" w:lineRule="exact"/>
        <w:ind w:left="1134" w:hanging="850"/>
        <w:jc w:val="both"/>
        <w:textDirection w:val="tbRlV"/>
        <w:rPr>
          <w:rFonts w:ascii="Simplified Arabic" w:eastAsia="Times New Roman" w:hAnsi="Simplified Arabic" w:hint="default"/>
          <w:b/>
          <w:bCs/>
          <w:sz w:val="24"/>
          <w:szCs w:val="24"/>
          <w:rtl/>
          <w:lang w:val="ar-SA" w:eastAsia="zh-TW" w:bidi="en-GB"/>
        </w:rPr>
      </w:pPr>
      <w:r w:rsidRPr="002619C1">
        <w:rPr>
          <w:rFonts w:ascii="Simplified Arabic" w:eastAsia="Times New Roman" w:hAnsi="Simplified Arabic" w:hint="default"/>
          <w:b/>
          <w:bCs/>
          <w:sz w:val="24"/>
          <w:szCs w:val="24"/>
          <w:rtl/>
        </w:rPr>
        <w:t>باء-</w:t>
      </w:r>
      <w:r w:rsidRPr="002619C1">
        <w:rPr>
          <w:rFonts w:ascii="Simplified Arabic" w:eastAsia="Times New Roman" w:hAnsi="Simplified Arabic" w:hint="default"/>
          <w:b/>
          <w:bCs/>
          <w:sz w:val="24"/>
          <w:szCs w:val="24"/>
          <w:rtl/>
        </w:rPr>
        <w:tab/>
        <w:t>غينيا (التوصية 74/13)</w:t>
      </w:r>
    </w:p>
    <w:p w14:paraId="12812161" w14:textId="77777777" w:rsidR="002A0884" w:rsidRPr="002619C1" w:rsidRDefault="006206DC" w:rsidP="005F49C4">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80" w:lineRule="exact"/>
        <w:ind w:left="1134"/>
        <w:jc w:val="lowKashida"/>
        <w:textDirection w:val="tbRlV"/>
        <w:rPr>
          <w:rFonts w:ascii="Simplified Arabic" w:hAnsi="Simplified Arabic" w:hint="default"/>
          <w:w w:val="104"/>
          <w:sz w:val="24"/>
          <w:szCs w:val="24"/>
          <w:rtl/>
        </w:rPr>
      </w:pPr>
      <w:bookmarkStart w:id="19" w:name="_Hlk212976778"/>
      <w:r w:rsidRPr="002619C1">
        <w:rPr>
          <w:rFonts w:ascii="Simplified Arabic" w:hAnsi="Simplified Arabic"/>
          <w:w w:val="104"/>
          <w:sz w:val="24"/>
          <w:szCs w:val="24"/>
          <w:rtl/>
        </w:rPr>
        <w:t xml:space="preserve">أشار ممثل الأمانة إلى أن غينيا قدمت طلبين لتغيير بيانات الأساس، أحدهما يتعلق بمركبات الكربون الهيدروفلورية والآخر يتعلق بمركبات الكربون الهيدروكلورية فلورية. وإذا تمت الموافقة على كلا </w:t>
      </w:r>
      <w:r w:rsidRPr="002619C1">
        <w:rPr>
          <w:rFonts w:ascii="Simplified Arabic" w:hAnsi="Simplified Arabic"/>
          <w:w w:val="104"/>
          <w:sz w:val="24"/>
          <w:szCs w:val="24"/>
          <w:rtl/>
        </w:rPr>
        <w:lastRenderedPageBreak/>
        <w:t>الطلبين، فإن خط الأساس الجديد لمركبات الكربون الهيدروفلورية سيكون 954 798 1 طن من مكافئ ثاني أكسيد الكربون. وقد استعرضت اللجنة طلب تنقيح بيانات خط الأساس لمركبات الكربون الهيدروفلورية في اجتماعها الرابع والسبعين وأصدرت التوصية 74/13، التي تطلب من الطرف تقديم مزيد من المعلومات لدعم هذا الطلب، وكذلك تقديم طلب لتنقيح بيانات خط الأساس لمركبات الكربون الهيدروكلورية فلورية على النحو المتفق عليه سابقاً والموثق في المقترح الخاص بالمرحلة الأولى من خطط التنفيذ لمركبات الكربون الهيدروفلورية بموجب تعديل كيغالي للفترة 2025-2029.</w:t>
      </w:r>
      <w:bookmarkEnd w:id="19"/>
    </w:p>
    <w:p w14:paraId="573C3C33" w14:textId="0B24B702" w:rsidR="006206DC" w:rsidRPr="00763D3B" w:rsidRDefault="006206DC" w:rsidP="005F49C4">
      <w:pPr>
        <w:keepNext/>
        <w:tabs>
          <w:tab w:val="clear" w:pos="1247"/>
          <w:tab w:val="clear" w:pos="1814"/>
          <w:tab w:val="clear" w:pos="2381"/>
          <w:tab w:val="clear" w:pos="2948"/>
          <w:tab w:val="clear" w:pos="3515"/>
        </w:tabs>
        <w:suppressAutoHyphens/>
        <w:bidi/>
        <w:spacing w:after="140" w:line="380" w:lineRule="exact"/>
        <w:ind w:left="1134" w:hanging="850"/>
        <w:jc w:val="both"/>
        <w:textDirection w:val="tbRlV"/>
        <w:rPr>
          <w:rFonts w:ascii="Simplified Arabic" w:eastAsia="Times New Roman" w:hAnsi="Simplified Arabic" w:hint="default"/>
          <w:b/>
          <w:bCs/>
          <w:sz w:val="24"/>
          <w:szCs w:val="24"/>
        </w:rPr>
      </w:pPr>
      <w:r w:rsidRPr="00763D3B">
        <w:rPr>
          <w:rFonts w:ascii="Simplified Arabic" w:eastAsia="Times New Roman" w:hAnsi="Simplified Arabic"/>
          <w:b/>
          <w:bCs/>
          <w:sz w:val="24"/>
          <w:szCs w:val="24"/>
          <w:rtl/>
        </w:rPr>
        <w:t>1-</w:t>
      </w:r>
      <w:r w:rsidRPr="00763D3B">
        <w:rPr>
          <w:rFonts w:ascii="Simplified Arabic" w:eastAsia="Times New Roman" w:hAnsi="Simplified Arabic"/>
          <w:b/>
          <w:bCs/>
          <w:sz w:val="24"/>
          <w:szCs w:val="24"/>
          <w:rtl/>
        </w:rPr>
        <w:tab/>
        <w:t>بيانات خط الأساس لمركبات الكربون الهيدروفلورية</w:t>
      </w:r>
    </w:p>
    <w:p w14:paraId="3CDE4BB7" w14:textId="77777777" w:rsidR="006206DC" w:rsidRPr="000B5AE8" w:rsidRDefault="006206DC" w:rsidP="005F49C4">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8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بناءً على طلب غينيا تنقيح بياناتها المتعلقة بمركبات الكربون الهيدروفلورية للأعوام الأساسية 2020 و2021 و2022، قدم الطرف إلى الأمانة وثائق من المستوردين بشأن واردات مركبات الكربون الهيدروفلورية للعامين 2021 و2022. وقد أشارت الشركات إلى أنه لم يكن بالإمكان تقديم بعض الفواتير بسبب الإرباك المرتبط بجائحة كوفيد-19. وذكر الطرف أيضا أن مكتبه الجمركي تعرض لحريق أدى إلى فقدان بعض الوثائق، بما في ذلك تراخيص الاستيراد والسجلات الجمركية. وقد استعرضت الأمانة المعلومات التي قدمتها غينيا وخلصت إلى أنها تدعم طلبها بزيادة بيانات خط الأساس لمركبات الكربون الهيدروفلورية.</w:t>
      </w:r>
    </w:p>
    <w:p w14:paraId="7933C47B" w14:textId="77777777" w:rsidR="002A0884" w:rsidRPr="000B5AE8" w:rsidRDefault="006206DC" w:rsidP="005F49C4">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8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ورداً على أسئلة أعضاء اللجنة، أوضح ممثلو الأمانة أنه على الرغم من أن غينيا لم تتمكن من تقديم جميع الفواتير ذات الصلة، فإنها قدمت تقارير من الشركات المستوردة، كما كان الحال بالنسبة لبعض بلدان جزر المحيط الهادئ، وهو ما ناقشته اللجنة في اجتماعها الرابع والسبعين. وقد حللت الأمانة المعلومات المقدمة، التي حددت عدد الأسطوانات المستوردة والمواد التي تحتوي عليها ووزنها بالكيلوغرامات، ووجدت أن الكميات تتطابق مع الكميات التي يطالب بها الطرف؛ لذلك توصلوا إلى استنتاج مفاده أن المعلومات كافية لإثبات صحة الطلب. وعلق أحد أعضاء اللجنة بأن من المفيد، في حالات مماثلة في المستقبل، أن تتمكن اللجنة من الاطلاع على أي تحليلات مماثلة تجريها الأمانة.</w:t>
      </w:r>
    </w:p>
    <w:p w14:paraId="5059C8B6" w14:textId="7EEA2FAC" w:rsidR="006206DC" w:rsidRPr="000B5AE8" w:rsidRDefault="006206DC" w:rsidP="005F49C4">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8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ومع ذلك، أعرب بعض أعضاء اللجنة عن رأيهم بأن هناك بعض التناقضات في الأرقام، وتساءلوا عن سبب معاملة غينيا بشكل مختلف عن أرمينيا، حيث توجد تناقضات أيضاً. وأشار أعضاء آخرون إلى الفجوة الأكبر بكثير في الأرقام الخاصة بأرمينيا مقارنةً بغينيا. وأبلغت الأمانة اللجنة أن الوثائق التي قدمتها غينيا تدعم طلبها بشكل تام.</w:t>
      </w:r>
    </w:p>
    <w:p w14:paraId="1F75C317" w14:textId="77777777" w:rsidR="006206DC" w:rsidRPr="000B5AE8" w:rsidRDefault="006206DC" w:rsidP="005F49C4">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80" w:lineRule="exact"/>
        <w:ind w:left="1134"/>
        <w:jc w:val="both"/>
        <w:textDirection w:val="tbRlV"/>
        <w:rPr>
          <w:rFonts w:ascii="Simplified Arabic" w:hAnsi="Simplified Arabic" w:hint="default"/>
          <w:sz w:val="24"/>
          <w:szCs w:val="24"/>
        </w:rPr>
      </w:pPr>
      <w:bookmarkStart w:id="20" w:name="_Hlk212851811"/>
      <w:bookmarkStart w:id="21" w:name="_Hlk212851399"/>
      <w:r w:rsidRPr="000B5AE8">
        <w:rPr>
          <w:rFonts w:ascii="Simplified Arabic" w:hAnsi="Simplified Arabic"/>
          <w:sz w:val="24"/>
          <w:szCs w:val="24"/>
          <w:rtl/>
        </w:rPr>
        <w:t>وبناء على ذلك، وافقت اللجنة على ما يلي:</w:t>
      </w:r>
    </w:p>
    <w:bookmarkEnd w:id="20"/>
    <w:p w14:paraId="03C9FC16" w14:textId="77777777" w:rsidR="006206DC" w:rsidRPr="000B5AE8" w:rsidRDefault="006206DC" w:rsidP="005F49C4">
      <w:pPr>
        <w:tabs>
          <w:tab w:val="clear" w:pos="1247"/>
          <w:tab w:val="clear" w:pos="1814"/>
          <w:tab w:val="clear" w:pos="2381"/>
          <w:tab w:val="clear" w:pos="2948"/>
          <w:tab w:val="clear" w:pos="3515"/>
        </w:tabs>
        <w:bidi/>
        <w:spacing w:after="140" w:line="380" w:lineRule="exact"/>
        <w:ind w:left="1134" w:firstLine="709"/>
        <w:jc w:val="both"/>
        <w:textDirection w:val="tbRlV"/>
        <w:rPr>
          <w:rFonts w:ascii="Simplified Arabic" w:eastAsia="Times New Roman" w:hAnsi="Simplified Arabic" w:hint="default"/>
          <w:sz w:val="24"/>
          <w:szCs w:val="24"/>
          <w:rtl/>
          <w:lang w:val="ar-SA" w:eastAsia="zh-TW" w:bidi="en-GB"/>
        </w:rPr>
      </w:pPr>
      <w:r w:rsidRPr="00763D3B">
        <w:rPr>
          <w:rFonts w:ascii="Simplified Arabic" w:eastAsia="Times New Roman" w:hAnsi="Simplified Arabic" w:hint="default"/>
          <w:i/>
          <w:iCs/>
          <w:sz w:val="24"/>
          <w:szCs w:val="24"/>
          <w:rtl/>
        </w:rPr>
        <w:t>إذ تلاحظ مع التقدير</w:t>
      </w:r>
      <w:r w:rsidRPr="000B5AE8">
        <w:rPr>
          <w:rFonts w:ascii="Simplified Arabic" w:eastAsia="Times New Roman" w:hAnsi="Simplified Arabic" w:hint="default"/>
          <w:sz w:val="24"/>
          <w:szCs w:val="24"/>
          <w:rtl/>
        </w:rPr>
        <w:t xml:space="preserve"> المعلومات المقدمة من غينيا دعماً لطلبها تنقيح بياناتها الحالية عن الاستهلاك لسنوات خط الأساس 2020 و2021 و2022 فيما يخص المواد الخاضعة للرقابة المدرجة في المجموعة الأولى من المرفق واو (مركبات الكربون الهيدروفلورية)،</w:t>
      </w:r>
    </w:p>
    <w:p w14:paraId="76D88A57" w14:textId="77777777" w:rsidR="006206DC" w:rsidRPr="000B5AE8" w:rsidRDefault="006206DC" w:rsidP="005F49C4">
      <w:pPr>
        <w:tabs>
          <w:tab w:val="clear" w:pos="1247"/>
          <w:tab w:val="clear" w:pos="1814"/>
          <w:tab w:val="clear" w:pos="2381"/>
          <w:tab w:val="clear" w:pos="2948"/>
          <w:tab w:val="clear" w:pos="3515"/>
        </w:tabs>
        <w:bidi/>
        <w:spacing w:after="140" w:line="380" w:lineRule="exact"/>
        <w:ind w:left="1134" w:firstLine="709"/>
        <w:jc w:val="both"/>
        <w:textDirection w:val="tbRlV"/>
        <w:rPr>
          <w:rFonts w:ascii="Simplified Arabic" w:eastAsia="Times New Roman" w:hAnsi="Simplified Arabic" w:hint="default"/>
          <w:sz w:val="24"/>
          <w:szCs w:val="24"/>
          <w:rtl/>
          <w:lang w:val="ar-SA" w:eastAsia="zh-TW" w:bidi="en-GB"/>
        </w:rPr>
      </w:pPr>
      <w:r w:rsidRPr="00763D3B">
        <w:rPr>
          <w:rFonts w:ascii="Simplified Arabic" w:eastAsia="Times New Roman" w:hAnsi="Simplified Arabic" w:hint="default"/>
          <w:i/>
          <w:iCs/>
          <w:sz w:val="24"/>
          <w:szCs w:val="24"/>
          <w:rtl/>
        </w:rPr>
        <w:t>وإذ تلاحظ</w:t>
      </w:r>
      <w:r w:rsidRPr="000B5AE8">
        <w:rPr>
          <w:rFonts w:ascii="Simplified Arabic" w:eastAsia="Times New Roman" w:hAnsi="Simplified Arabic" w:hint="default"/>
          <w:sz w:val="24"/>
          <w:szCs w:val="24"/>
          <w:rtl/>
        </w:rPr>
        <w:t xml:space="preserve"> أن المقرر 15/19 يحدد منهجية تقديم الطلبات الخاصة بتنقيح بيانات خط الأساس،</w:t>
      </w:r>
    </w:p>
    <w:p w14:paraId="6C402E34" w14:textId="77777777" w:rsidR="006206DC" w:rsidRPr="000B5AE8" w:rsidRDefault="006206DC" w:rsidP="005F49C4">
      <w:pPr>
        <w:tabs>
          <w:tab w:val="clear" w:pos="1247"/>
          <w:tab w:val="clear" w:pos="1814"/>
          <w:tab w:val="clear" w:pos="2381"/>
          <w:tab w:val="clear" w:pos="2948"/>
          <w:tab w:val="clear" w:pos="3515"/>
        </w:tabs>
        <w:bidi/>
        <w:spacing w:after="140" w:line="380" w:lineRule="exact"/>
        <w:ind w:left="1134" w:firstLine="709"/>
        <w:jc w:val="both"/>
        <w:textDirection w:val="tbRlV"/>
        <w:rPr>
          <w:rFonts w:ascii="Simplified Arabic" w:eastAsia="Times New Roman" w:hAnsi="Simplified Arabic" w:hint="default"/>
          <w:sz w:val="24"/>
          <w:szCs w:val="24"/>
          <w:rtl/>
          <w:lang w:val="ar-SA" w:eastAsia="zh-TW" w:bidi="en-GB"/>
        </w:rPr>
      </w:pPr>
      <w:r w:rsidRPr="00763D3B">
        <w:rPr>
          <w:rFonts w:ascii="Simplified Arabic" w:eastAsia="Times New Roman" w:hAnsi="Simplified Arabic" w:hint="default"/>
          <w:i/>
          <w:iCs/>
          <w:sz w:val="24"/>
          <w:szCs w:val="24"/>
          <w:rtl/>
        </w:rPr>
        <w:t>وإذ تلاحظ مع التقدير</w:t>
      </w:r>
      <w:r w:rsidRPr="000B5AE8">
        <w:rPr>
          <w:rFonts w:ascii="Simplified Arabic" w:eastAsia="Times New Roman" w:hAnsi="Simplified Arabic" w:hint="default"/>
          <w:sz w:val="24"/>
          <w:szCs w:val="24"/>
          <w:rtl/>
        </w:rPr>
        <w:t xml:space="preserve"> الجهود التي بذلتها غينيا للوفاء بمتطلبات المعلومات الواردة في المقرر 15/19،</w:t>
      </w:r>
    </w:p>
    <w:p w14:paraId="753971CE" w14:textId="77777777" w:rsidR="006206DC" w:rsidRPr="000B5AE8" w:rsidRDefault="006206DC" w:rsidP="005F49C4">
      <w:pPr>
        <w:tabs>
          <w:tab w:val="clear" w:pos="1247"/>
          <w:tab w:val="clear" w:pos="1814"/>
          <w:tab w:val="clear" w:pos="2381"/>
          <w:tab w:val="clear" w:pos="2948"/>
          <w:tab w:val="clear" w:pos="3515"/>
        </w:tabs>
        <w:bidi/>
        <w:spacing w:after="140" w:line="380" w:lineRule="exact"/>
        <w:ind w:left="1134" w:firstLine="709"/>
        <w:jc w:val="both"/>
        <w:textDirection w:val="tbRlV"/>
        <w:rPr>
          <w:rFonts w:ascii="Simplified Arabic" w:eastAsia="Times New Roman" w:hAnsi="Simplified Arabic" w:hint="default"/>
          <w:sz w:val="24"/>
          <w:szCs w:val="24"/>
          <w:rtl/>
          <w:lang w:val="ar-SA" w:eastAsia="zh-TW" w:bidi="en-GB"/>
        </w:rPr>
      </w:pPr>
      <w:r w:rsidRPr="000B5AE8">
        <w:rPr>
          <w:rFonts w:ascii="Simplified Arabic" w:eastAsia="Times New Roman" w:hAnsi="Simplified Arabic" w:hint="default"/>
          <w:sz w:val="24"/>
          <w:szCs w:val="24"/>
          <w:rtl/>
        </w:rPr>
        <w:t xml:space="preserve">تحيل إلى الاجتماع السابع والثلاثين للأطراف في بروتوكول مونتريال بشأن المواد المستنفدة لطبقة الأوزون مشروع المقرر الوارد في الفرع حاء من المرفق الأول لهذا التقرير للنظر فيه، وهو المشروع الذي سيوافق بموجبه الاجتماع السابع والثلاثون للأطراف على طلب غينيا تنقيح بيانات استهلاكها من مركبات الكربون الهيدروفلورية </w:t>
      </w:r>
      <w:r w:rsidRPr="000B5AE8">
        <w:rPr>
          <w:rFonts w:ascii="Simplified Arabic" w:eastAsia="Times New Roman" w:hAnsi="Simplified Arabic" w:hint="default"/>
          <w:sz w:val="24"/>
          <w:szCs w:val="24"/>
          <w:rtl/>
        </w:rPr>
        <w:lastRenderedPageBreak/>
        <w:t>لسنوات خط الأساس 2020 و2021 و2022 لتصبح 234 896 1 و541 728 1 و084 715 1 أطنان من مكافئ ثاني أكسيد الكربون، على التوالي.</w:t>
      </w:r>
      <w:bookmarkEnd w:id="21"/>
    </w:p>
    <w:p w14:paraId="37CFE1D9" w14:textId="77777777" w:rsidR="006206DC" w:rsidRPr="000B5AE8" w:rsidRDefault="006206DC" w:rsidP="00763D3B">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DengXian" w:hAnsi="Simplified Arabic" w:hint="default"/>
          <w:b/>
          <w:bCs/>
          <w:sz w:val="24"/>
          <w:szCs w:val="24"/>
          <w:lang w:val="ar-SA" w:eastAsia="zh-TW" w:bidi="en-GB"/>
        </w:rPr>
      </w:pPr>
      <w:r w:rsidRPr="000B5AE8">
        <w:rPr>
          <w:rFonts w:ascii="Simplified Arabic" w:eastAsia="DengXian" w:hAnsi="Simplified Arabic"/>
          <w:b/>
          <w:bCs/>
          <w:sz w:val="24"/>
          <w:szCs w:val="24"/>
          <w:rtl/>
        </w:rPr>
        <w:t>التوصية 75/10</w:t>
      </w:r>
    </w:p>
    <w:p w14:paraId="3D181EF8" w14:textId="1A8D7C54" w:rsidR="006206DC" w:rsidRPr="00763D3B" w:rsidRDefault="006206DC" w:rsidP="00763D3B">
      <w:pPr>
        <w:keepNext/>
        <w:tabs>
          <w:tab w:val="clear" w:pos="1247"/>
          <w:tab w:val="clear" w:pos="1814"/>
          <w:tab w:val="clear" w:pos="2381"/>
          <w:tab w:val="clear" w:pos="2948"/>
          <w:tab w:val="clear" w:pos="3515"/>
        </w:tabs>
        <w:suppressAutoHyphens/>
        <w:bidi/>
        <w:spacing w:after="120" w:line="360" w:lineRule="exact"/>
        <w:ind w:left="1134" w:hanging="850"/>
        <w:jc w:val="both"/>
        <w:textDirection w:val="tbRlV"/>
        <w:rPr>
          <w:rFonts w:ascii="Simplified Arabic" w:eastAsia="Times New Roman" w:hAnsi="Simplified Arabic" w:hint="default"/>
          <w:b/>
          <w:bCs/>
          <w:sz w:val="24"/>
          <w:szCs w:val="24"/>
        </w:rPr>
      </w:pPr>
      <w:r w:rsidRPr="00763D3B">
        <w:rPr>
          <w:rFonts w:ascii="Simplified Arabic" w:eastAsia="Times New Roman" w:hAnsi="Simplified Arabic"/>
          <w:b/>
          <w:bCs/>
          <w:sz w:val="24"/>
          <w:szCs w:val="24"/>
          <w:rtl/>
        </w:rPr>
        <w:t>2-</w:t>
      </w:r>
      <w:r w:rsidRPr="00763D3B">
        <w:rPr>
          <w:rFonts w:ascii="Simplified Arabic" w:eastAsia="Times New Roman" w:hAnsi="Simplified Arabic"/>
          <w:b/>
          <w:bCs/>
          <w:sz w:val="24"/>
          <w:szCs w:val="24"/>
          <w:rtl/>
        </w:rPr>
        <w:tab/>
        <w:t xml:space="preserve">بيانات </w:t>
      </w:r>
      <w:r w:rsidR="004877A9" w:rsidRPr="00763D3B">
        <w:rPr>
          <w:rFonts w:ascii="Simplified Arabic" w:eastAsia="Times New Roman" w:hAnsi="Simplified Arabic"/>
          <w:b/>
          <w:bCs/>
          <w:sz w:val="24"/>
          <w:szCs w:val="24"/>
          <w:rtl/>
        </w:rPr>
        <w:t xml:space="preserve">خط </w:t>
      </w:r>
      <w:r w:rsidRPr="00763D3B">
        <w:rPr>
          <w:rFonts w:ascii="Simplified Arabic" w:eastAsia="Times New Roman" w:hAnsi="Simplified Arabic"/>
          <w:b/>
          <w:bCs/>
          <w:sz w:val="24"/>
          <w:szCs w:val="24"/>
          <w:rtl/>
        </w:rPr>
        <w:t>الأساس لمركبات الكربون الهيدروكلورية فلورية</w:t>
      </w:r>
    </w:p>
    <w:p w14:paraId="6168E177" w14:textId="37FCC0DF" w:rsidR="006206DC" w:rsidRPr="000B5AE8" w:rsidRDefault="006206DC" w:rsidP="00EC3C6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بناء على طلب غينيا تغيير بياناتها الأساس</w:t>
      </w:r>
      <w:r w:rsidR="00A040FF" w:rsidRPr="000B5AE8">
        <w:rPr>
          <w:rFonts w:ascii="Simplified Arabic" w:hAnsi="Simplified Arabic"/>
          <w:sz w:val="24"/>
          <w:szCs w:val="24"/>
          <w:rtl/>
        </w:rPr>
        <w:t>ية</w:t>
      </w:r>
      <w:r w:rsidRPr="000B5AE8">
        <w:rPr>
          <w:rFonts w:ascii="Simplified Arabic" w:hAnsi="Simplified Arabic"/>
          <w:sz w:val="24"/>
          <w:szCs w:val="24"/>
          <w:rtl/>
        </w:rPr>
        <w:t xml:space="preserve"> لمركبات الكربون الهيدروكلورية فلورية، حللت الأمانة المعلومات المقدمة وخلصت إلى أنها تثبت الانخفاض الكبير في مستوى الاستهلاك الأساسي الذي طلبته غينيا.</w:t>
      </w:r>
    </w:p>
    <w:p w14:paraId="0F9E761D" w14:textId="77777777" w:rsidR="006206DC" w:rsidRPr="000B5AE8" w:rsidRDefault="006206DC" w:rsidP="00EC3C6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وبناء على ذلك، وافقت اللجنة على ما يلي:</w:t>
      </w:r>
    </w:p>
    <w:p w14:paraId="4D25EEE1" w14:textId="77777777" w:rsidR="006206DC" w:rsidRPr="005F49C4" w:rsidRDefault="006206DC" w:rsidP="005F49C4">
      <w:pPr>
        <w:tabs>
          <w:tab w:val="clear" w:pos="1247"/>
          <w:tab w:val="clear" w:pos="1814"/>
          <w:tab w:val="clear" w:pos="2381"/>
          <w:tab w:val="clear" w:pos="2948"/>
          <w:tab w:val="clear" w:pos="3515"/>
        </w:tabs>
        <w:bidi/>
        <w:spacing w:after="120" w:line="360" w:lineRule="exact"/>
        <w:ind w:left="1134" w:firstLine="709"/>
        <w:jc w:val="lowKashida"/>
        <w:textDirection w:val="tbRlV"/>
        <w:rPr>
          <w:rFonts w:ascii="Simplified Arabic" w:eastAsia="Times New Roman" w:hAnsi="Simplified Arabic" w:hint="default"/>
          <w:w w:val="107"/>
          <w:sz w:val="24"/>
          <w:szCs w:val="24"/>
          <w:rtl/>
          <w:lang w:val="ar-SA" w:eastAsia="zh-TW" w:bidi="en-GB"/>
        </w:rPr>
      </w:pPr>
      <w:r w:rsidRPr="005F49C4">
        <w:rPr>
          <w:rFonts w:ascii="Simplified Arabic" w:eastAsia="Times New Roman" w:hAnsi="Simplified Arabic" w:hint="default"/>
          <w:i/>
          <w:iCs/>
          <w:w w:val="107"/>
          <w:sz w:val="24"/>
          <w:szCs w:val="24"/>
          <w:rtl/>
        </w:rPr>
        <w:t>إذ تلاحظ مع التقدير</w:t>
      </w:r>
      <w:r w:rsidRPr="005F49C4">
        <w:rPr>
          <w:rFonts w:ascii="Simplified Arabic" w:eastAsia="Times New Roman" w:hAnsi="Simplified Arabic" w:hint="default"/>
          <w:w w:val="107"/>
          <w:sz w:val="24"/>
          <w:szCs w:val="24"/>
          <w:rtl/>
        </w:rPr>
        <w:t xml:space="preserve"> المعلومات المقدمة من غينيا دعماً لطلبها تنقيح بياناتها الحالية عن الاستهلاك لسنتي خط الأساس 2009 و2010 فيما يخص المواد الخاضعة للرقابة المدرجة في المجموعة الأولى من المرفق جيم (مركبات الكربون الهيدروكلورية فلورية)،</w:t>
      </w:r>
    </w:p>
    <w:p w14:paraId="434A1E5B" w14:textId="77777777" w:rsidR="006206DC" w:rsidRPr="000B5AE8" w:rsidRDefault="006206DC" w:rsidP="00EC3C69">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tl/>
          <w:lang w:val="ar-SA" w:eastAsia="zh-TW" w:bidi="en-GB"/>
        </w:rPr>
      </w:pPr>
      <w:r w:rsidRPr="00EC3C69">
        <w:rPr>
          <w:rFonts w:ascii="Simplified Arabic" w:eastAsia="Times New Roman" w:hAnsi="Simplified Arabic" w:hint="default"/>
          <w:i/>
          <w:iCs/>
          <w:sz w:val="24"/>
          <w:szCs w:val="24"/>
          <w:rtl/>
        </w:rPr>
        <w:t>وإذ تلاحظ</w:t>
      </w:r>
      <w:r w:rsidRPr="000B5AE8">
        <w:rPr>
          <w:rFonts w:ascii="Simplified Arabic" w:eastAsia="Times New Roman" w:hAnsi="Simplified Arabic" w:hint="default"/>
          <w:sz w:val="24"/>
          <w:szCs w:val="24"/>
          <w:rtl/>
        </w:rPr>
        <w:t xml:space="preserve"> أن المقرر 15/19 يحدد منهجية تقديم الطلبات الخاصة بتنقيح بيانات خط الأساس،</w:t>
      </w:r>
    </w:p>
    <w:p w14:paraId="0D7B6320" w14:textId="77777777" w:rsidR="006206DC" w:rsidRPr="000B5AE8" w:rsidRDefault="006206DC" w:rsidP="00EC3C69">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tl/>
          <w:lang w:val="ar-SA" w:eastAsia="zh-TW" w:bidi="en-GB"/>
        </w:rPr>
      </w:pPr>
      <w:r w:rsidRPr="00EC3C69">
        <w:rPr>
          <w:rFonts w:ascii="Simplified Arabic" w:eastAsia="Times New Roman" w:hAnsi="Simplified Arabic" w:hint="default"/>
          <w:i/>
          <w:iCs/>
          <w:sz w:val="24"/>
          <w:szCs w:val="24"/>
          <w:rtl/>
        </w:rPr>
        <w:t>وإذ تلاحظ مع التقدير</w:t>
      </w:r>
      <w:r w:rsidRPr="000B5AE8">
        <w:rPr>
          <w:rFonts w:ascii="Simplified Arabic" w:eastAsia="Times New Roman" w:hAnsi="Simplified Arabic" w:hint="default"/>
          <w:sz w:val="24"/>
          <w:szCs w:val="24"/>
          <w:rtl/>
        </w:rPr>
        <w:t xml:space="preserve"> الجهود التي بذلتها غينيا للوفاء بمتطلبات المعلومات الواردة في المقرر 15/19،</w:t>
      </w:r>
    </w:p>
    <w:p w14:paraId="519682D6" w14:textId="77777777" w:rsidR="006206DC" w:rsidRPr="000B5AE8" w:rsidRDefault="006206DC" w:rsidP="00EC3C69">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tl/>
          <w:lang w:val="ar-SA" w:eastAsia="zh-TW" w:bidi="en-GB"/>
        </w:rPr>
      </w:pPr>
      <w:r w:rsidRPr="000B5AE8">
        <w:rPr>
          <w:rFonts w:ascii="Simplified Arabic" w:eastAsia="Times New Roman" w:hAnsi="Simplified Arabic" w:hint="default"/>
          <w:sz w:val="24"/>
          <w:szCs w:val="24"/>
          <w:rtl/>
        </w:rPr>
        <w:t>تحيل إلى الاجتماع السابع والثلاثين للأطراف في بروتوكول مونتريال بشأن المواد المستنفدة لطبقة الأوزون مشروع المقرر الوارد في الفرع حاء من المرفق الأول لهذا التقرير للنظر فيه، وهو المشروع الذي سيوافق بموجبه الاجتماع السابع والثلاثون للأطراف على طلب غينيا تنقيح بيانات استهلاكها من مركبات الكربون الهيدروكلورية فلورية لسنتَي الأساس 2009 و2010 إلى 1,03 طن استنفادي (756,50 33 طن من مكافئ ثاني أكسيد الكربون) و0,75 طن استنفادي ( 706,50 24 طن من مكافئ ثاني أكسيد الكربون) على التوالي.</w:t>
      </w:r>
    </w:p>
    <w:p w14:paraId="16263F22" w14:textId="77777777" w:rsidR="006206DC" w:rsidRPr="000B5AE8" w:rsidRDefault="006206DC" w:rsidP="00EC3C69">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DengXian" w:hAnsi="Simplified Arabic" w:hint="default"/>
          <w:b/>
          <w:bCs/>
          <w:sz w:val="24"/>
          <w:szCs w:val="24"/>
        </w:rPr>
      </w:pPr>
      <w:r w:rsidRPr="000B5AE8">
        <w:rPr>
          <w:rFonts w:ascii="Simplified Arabic" w:eastAsia="DengXian" w:hAnsi="Simplified Arabic"/>
          <w:b/>
          <w:bCs/>
          <w:sz w:val="24"/>
          <w:szCs w:val="24"/>
          <w:rtl/>
        </w:rPr>
        <w:t>التوصية 75/11</w:t>
      </w:r>
    </w:p>
    <w:p w14:paraId="5450CAB3" w14:textId="40E7699F" w:rsidR="006206DC" w:rsidRPr="00EC3C69" w:rsidRDefault="006206DC" w:rsidP="00EC3C69">
      <w:pPr>
        <w:keepNext/>
        <w:tabs>
          <w:tab w:val="clear" w:pos="1247"/>
          <w:tab w:val="clear" w:pos="1814"/>
          <w:tab w:val="clear" w:pos="2381"/>
          <w:tab w:val="clear" w:pos="2948"/>
          <w:tab w:val="clear" w:pos="3515"/>
        </w:tabs>
        <w:suppressAutoHyphens/>
        <w:bidi/>
        <w:spacing w:after="120" w:line="360" w:lineRule="exact"/>
        <w:ind w:left="1134" w:hanging="850"/>
        <w:jc w:val="both"/>
        <w:textDirection w:val="tbRlV"/>
        <w:rPr>
          <w:rFonts w:ascii="Simplified Arabic" w:eastAsia="Times New Roman" w:hAnsi="Simplified Arabic" w:hint="default"/>
          <w:b/>
          <w:bCs/>
          <w:sz w:val="24"/>
          <w:szCs w:val="24"/>
          <w:lang w:val="ar-SA" w:eastAsia="zh-TW" w:bidi="en-GB"/>
        </w:rPr>
      </w:pPr>
      <w:r w:rsidRPr="00EC3C69">
        <w:rPr>
          <w:rFonts w:ascii="Simplified Arabic" w:eastAsia="Times New Roman" w:hAnsi="Simplified Arabic"/>
          <w:b/>
          <w:bCs/>
          <w:sz w:val="24"/>
          <w:szCs w:val="24"/>
          <w:rtl/>
        </w:rPr>
        <w:t>جيم-</w:t>
      </w:r>
      <w:r w:rsidRPr="00EC3C69">
        <w:rPr>
          <w:rFonts w:ascii="Simplified Arabic" w:eastAsia="Times New Roman" w:hAnsi="Simplified Arabic"/>
          <w:b/>
          <w:bCs/>
          <w:sz w:val="24"/>
          <w:szCs w:val="24"/>
          <w:rtl/>
        </w:rPr>
        <w:tab/>
        <w:t>المغرب</w:t>
      </w:r>
    </w:p>
    <w:p w14:paraId="39BA5914" w14:textId="77777777" w:rsidR="002A0884" w:rsidRPr="005F49C4" w:rsidRDefault="006206DC" w:rsidP="005F49C4">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w w:val="107"/>
          <w:sz w:val="24"/>
          <w:szCs w:val="24"/>
          <w:rtl/>
        </w:rPr>
      </w:pPr>
      <w:r w:rsidRPr="005F49C4">
        <w:rPr>
          <w:rFonts w:ascii="Simplified Arabic" w:hAnsi="Simplified Arabic"/>
          <w:w w:val="107"/>
          <w:sz w:val="24"/>
          <w:szCs w:val="24"/>
          <w:rtl/>
        </w:rPr>
        <w:t>طلب المغرب تنقيح بيانات استهلاكه من مركبات الكربون الهيدروفلورية لسنوات الأساس 2020 و2021 و2022. وسيمثل خط الأساس المنقح زيادة قدرها 244 889 طناً من مكافئ ثاني أكسيد الكربون (42 في المائة) عن مستوى خط الأساس الأولي. وتمشيا مع المقرر 15/19، أوضح المغرب أن البيانات الأساسية المستخدمة في إبلاغه عن البيانات بموجب المادة 7 تستند إلى تقدير مستمد من دراسة استقصائية أجريت في إطار مشروع الأنشطة التمكينية للتصديق على تعديل كيغالي وإلى بيانات الاستيراد التي أبلغتها بها البلدان المصدرة إلى المغرب الأمانة. وفقًا للرموز الجمركية للنظام المنسق لتوصيف السلع وترميزها المخصصة لمزائج مركبات الكربون الهيدروفلورية، التي أُدخلت في عام 2021، صُنفت المواد حسب مجموعة المنتجات، مما لم يسمح بتتبع المواد الفردية. علاوةً على ذلك، لم تشمل بيانات عام 2022 مزائج مركبات الكربون الهيدروفلورية، ولم يتم تعديل النظام الجمركي إلا في عام 2023 لتصنيف المزائج بشكل فردي. وكان الطرف قد قدم فواتير للواردات والصادرات تؤكد البيانات المنقحة؛ والمرحلة الأولى المقترحة من خطط التنفيذ لمركبات الكربون الهيدروفلورية بموجب تعديل كيغالي؛ ونسخة عام 2022 من ملخص التعريفات الجمركية للواردات؛ وعينات من الاستبيانات المستخدمة في الدراسة الاستقصائية من أجل تحديد استهلاك الطرف من مركبات الكربون الهيدروفلورية ومزائجها بين عامي 2019 و2023.</w:t>
      </w:r>
    </w:p>
    <w:p w14:paraId="6CBE34A7" w14:textId="52058B35" w:rsidR="006206DC" w:rsidRPr="000B5AE8" w:rsidRDefault="006206DC" w:rsidP="005F49C4">
      <w:pPr>
        <w:pStyle w:val="Normalnumber"/>
        <w:keepNext/>
        <w:numPr>
          <w:ilvl w:val="0"/>
          <w:numId w:val="18"/>
        </w:numPr>
        <w:tabs>
          <w:tab w:val="clear" w:pos="511"/>
          <w:tab w:val="clear" w:pos="1247"/>
          <w:tab w:val="clear" w:pos="1814"/>
          <w:tab w:val="clear" w:pos="2381"/>
          <w:tab w:val="clear" w:pos="2948"/>
          <w:tab w:val="clear" w:pos="3515"/>
          <w:tab w:val="left" w:pos="1843"/>
        </w:tabs>
        <w:bidi/>
        <w:spacing w:after="140" w:line="380" w:lineRule="exact"/>
        <w:ind w:left="1134"/>
        <w:jc w:val="both"/>
        <w:textDirection w:val="tbRlV"/>
        <w:rPr>
          <w:rFonts w:ascii="Simplified Arabic" w:hAnsi="Simplified Arabic" w:hint="default"/>
          <w:sz w:val="24"/>
          <w:szCs w:val="24"/>
        </w:rPr>
      </w:pPr>
      <w:bookmarkStart w:id="22" w:name="_Hlk212851970"/>
      <w:r w:rsidRPr="000B5AE8">
        <w:rPr>
          <w:rFonts w:ascii="Simplified Arabic" w:hAnsi="Simplified Arabic"/>
          <w:sz w:val="24"/>
          <w:szCs w:val="24"/>
          <w:rtl/>
        </w:rPr>
        <w:lastRenderedPageBreak/>
        <w:t>وبناء على ذلك، وافقت اللجنة على ما يلي:</w:t>
      </w:r>
    </w:p>
    <w:bookmarkEnd w:id="22"/>
    <w:p w14:paraId="57F6D12B" w14:textId="77777777" w:rsidR="006206DC" w:rsidRPr="000B5AE8" w:rsidRDefault="006206DC" w:rsidP="005F49C4">
      <w:pPr>
        <w:tabs>
          <w:tab w:val="clear" w:pos="1247"/>
          <w:tab w:val="clear" w:pos="1814"/>
          <w:tab w:val="clear" w:pos="2381"/>
          <w:tab w:val="clear" w:pos="2948"/>
          <w:tab w:val="clear" w:pos="3515"/>
        </w:tabs>
        <w:bidi/>
        <w:spacing w:after="140" w:line="380" w:lineRule="exact"/>
        <w:ind w:left="1134" w:firstLine="709"/>
        <w:jc w:val="both"/>
        <w:textDirection w:val="tbRlV"/>
        <w:rPr>
          <w:rFonts w:ascii="Simplified Arabic" w:eastAsia="Times New Roman" w:hAnsi="Simplified Arabic" w:hint="default"/>
          <w:sz w:val="24"/>
          <w:szCs w:val="24"/>
          <w:rtl/>
          <w:lang w:val="ar-SA" w:eastAsia="zh-TW" w:bidi="en-GB"/>
        </w:rPr>
      </w:pPr>
      <w:r w:rsidRPr="00A3304B">
        <w:rPr>
          <w:rFonts w:ascii="Simplified Arabic" w:eastAsia="Times New Roman" w:hAnsi="Simplified Arabic" w:hint="default"/>
          <w:i/>
          <w:iCs/>
          <w:sz w:val="24"/>
          <w:szCs w:val="24"/>
          <w:rtl/>
        </w:rPr>
        <w:t>إذ تلاحظ مع التقدير</w:t>
      </w:r>
      <w:r w:rsidRPr="000B5AE8">
        <w:rPr>
          <w:rFonts w:ascii="Simplified Arabic" w:eastAsia="Times New Roman" w:hAnsi="Simplified Arabic" w:hint="default"/>
          <w:sz w:val="24"/>
          <w:szCs w:val="24"/>
          <w:rtl/>
        </w:rPr>
        <w:t xml:space="preserve"> المعلومات المقدمة من المغرب دعماً لطلبه تنقيح بياناته الحالية عن الاستهلاك لسنوات خط الأساس 2020 و2021 و2022 فيما يخص المواد الخاضعة للرقابة المدرجة في المجموعة الأولى من المرفق واو (مركبات الكربون الهيدروفلورية)،</w:t>
      </w:r>
    </w:p>
    <w:p w14:paraId="32C34B0B" w14:textId="77777777" w:rsidR="006206DC" w:rsidRPr="000B5AE8" w:rsidRDefault="006206DC" w:rsidP="005F49C4">
      <w:pPr>
        <w:tabs>
          <w:tab w:val="clear" w:pos="1247"/>
          <w:tab w:val="clear" w:pos="1814"/>
          <w:tab w:val="clear" w:pos="2381"/>
          <w:tab w:val="clear" w:pos="2948"/>
          <w:tab w:val="clear" w:pos="3515"/>
        </w:tabs>
        <w:bidi/>
        <w:spacing w:after="140" w:line="380" w:lineRule="exact"/>
        <w:ind w:left="1134" w:firstLine="709"/>
        <w:jc w:val="both"/>
        <w:textDirection w:val="tbRlV"/>
        <w:rPr>
          <w:rFonts w:ascii="Simplified Arabic" w:eastAsia="Times New Roman" w:hAnsi="Simplified Arabic" w:hint="default"/>
          <w:sz w:val="24"/>
          <w:szCs w:val="24"/>
          <w:rtl/>
          <w:lang w:val="ar-SA" w:eastAsia="zh-TW" w:bidi="en-GB"/>
        </w:rPr>
      </w:pPr>
      <w:r w:rsidRPr="00A3304B">
        <w:rPr>
          <w:rFonts w:ascii="Simplified Arabic" w:eastAsia="Times New Roman" w:hAnsi="Simplified Arabic" w:hint="default"/>
          <w:i/>
          <w:iCs/>
          <w:sz w:val="24"/>
          <w:szCs w:val="24"/>
          <w:rtl/>
        </w:rPr>
        <w:t>وإذ تلاحظ</w:t>
      </w:r>
      <w:r w:rsidRPr="000B5AE8">
        <w:rPr>
          <w:rFonts w:ascii="Simplified Arabic" w:eastAsia="Times New Roman" w:hAnsi="Simplified Arabic" w:hint="default"/>
          <w:sz w:val="24"/>
          <w:szCs w:val="24"/>
          <w:rtl/>
        </w:rPr>
        <w:t xml:space="preserve"> أن المقرر 15/19 يحدد منهجية تقديم الطلبات الخاصة بتنقيح بيانات خط الأساس،</w:t>
      </w:r>
    </w:p>
    <w:p w14:paraId="0922B878" w14:textId="77777777" w:rsidR="006206DC" w:rsidRPr="000B5AE8" w:rsidRDefault="006206DC" w:rsidP="005F49C4">
      <w:pPr>
        <w:tabs>
          <w:tab w:val="clear" w:pos="1247"/>
          <w:tab w:val="clear" w:pos="1814"/>
          <w:tab w:val="clear" w:pos="2381"/>
          <w:tab w:val="clear" w:pos="2948"/>
          <w:tab w:val="clear" w:pos="3515"/>
        </w:tabs>
        <w:bidi/>
        <w:spacing w:after="140" w:line="380" w:lineRule="exact"/>
        <w:ind w:left="1134" w:firstLine="709"/>
        <w:jc w:val="both"/>
        <w:textDirection w:val="tbRlV"/>
        <w:rPr>
          <w:rFonts w:ascii="Simplified Arabic" w:eastAsia="Times New Roman" w:hAnsi="Simplified Arabic" w:hint="default"/>
          <w:sz w:val="24"/>
          <w:szCs w:val="24"/>
          <w:rtl/>
          <w:lang w:val="ar-SA" w:eastAsia="zh-TW" w:bidi="en-GB"/>
        </w:rPr>
      </w:pPr>
      <w:r w:rsidRPr="00A3304B">
        <w:rPr>
          <w:rFonts w:ascii="Simplified Arabic" w:eastAsia="Times New Roman" w:hAnsi="Simplified Arabic" w:hint="default"/>
          <w:i/>
          <w:iCs/>
          <w:sz w:val="24"/>
          <w:szCs w:val="24"/>
          <w:rtl/>
        </w:rPr>
        <w:t>وإذ تلاحظ مع التقدير</w:t>
      </w:r>
      <w:r w:rsidRPr="000B5AE8">
        <w:rPr>
          <w:rFonts w:ascii="Simplified Arabic" w:eastAsia="Times New Roman" w:hAnsi="Simplified Arabic" w:hint="default"/>
          <w:sz w:val="24"/>
          <w:szCs w:val="24"/>
          <w:rtl/>
        </w:rPr>
        <w:t xml:space="preserve"> الجهود التي بذلها المغرب للوفاء بمتطلبات المعلومات الواردة في المقرر 15/19،</w:t>
      </w:r>
    </w:p>
    <w:p w14:paraId="140B9469" w14:textId="77777777" w:rsidR="006206DC" w:rsidRPr="000B5AE8" w:rsidRDefault="006206DC" w:rsidP="005F49C4">
      <w:pPr>
        <w:tabs>
          <w:tab w:val="clear" w:pos="1247"/>
          <w:tab w:val="clear" w:pos="1814"/>
          <w:tab w:val="clear" w:pos="2381"/>
          <w:tab w:val="clear" w:pos="2948"/>
          <w:tab w:val="clear" w:pos="3515"/>
        </w:tabs>
        <w:bidi/>
        <w:spacing w:after="140" w:line="380" w:lineRule="exact"/>
        <w:ind w:left="1134" w:firstLine="709"/>
        <w:jc w:val="both"/>
        <w:textDirection w:val="tbRlV"/>
        <w:rPr>
          <w:rFonts w:ascii="Simplified Arabic" w:eastAsia="Times New Roman" w:hAnsi="Simplified Arabic" w:hint="default"/>
          <w:sz w:val="24"/>
          <w:szCs w:val="24"/>
          <w:rtl/>
          <w:lang w:val="ar-SA" w:eastAsia="zh-TW" w:bidi="en-GB"/>
        </w:rPr>
      </w:pPr>
      <w:r w:rsidRPr="000B5AE8">
        <w:rPr>
          <w:rFonts w:ascii="Simplified Arabic" w:eastAsia="Times New Roman" w:hAnsi="Simplified Arabic" w:hint="default"/>
          <w:sz w:val="24"/>
          <w:szCs w:val="24"/>
          <w:rtl/>
        </w:rPr>
        <w:t>تحيل إلى الاجتماع السابع والثلاثين للأطراف في بروتوكول مونتريال بشأن المواد المستنفدة لطبقة الأوزون مشروع المقرر الوارد في الفرع حاء من المرفق الأول لهذا التقرير للنظر فيه، وهو المشروع الذي سيوافق بموجبه الاجتماع السابع والثلاثون للأطراف على طلب المغرب تنقيح بيانات استهلاكه من مركبات الكربون الهيدروفلورية لسنوات خط الأساس 2020 و2021 و2022 لتصبح 515 602 2 و604 648 1 و487 169 2 أطنان من مكافئ ثاني أكسيد الكربون، على التوالي.</w:t>
      </w:r>
    </w:p>
    <w:p w14:paraId="1B493832" w14:textId="77777777" w:rsidR="006206DC" w:rsidRPr="000B5AE8" w:rsidRDefault="006206DC" w:rsidP="005F49C4">
      <w:pPr>
        <w:tabs>
          <w:tab w:val="clear" w:pos="1247"/>
          <w:tab w:val="clear" w:pos="1814"/>
          <w:tab w:val="clear" w:pos="2381"/>
          <w:tab w:val="clear" w:pos="2948"/>
          <w:tab w:val="clear" w:pos="3515"/>
        </w:tabs>
        <w:bidi/>
        <w:spacing w:before="240" w:after="140" w:line="380" w:lineRule="exact"/>
        <w:ind w:left="1134"/>
        <w:jc w:val="right"/>
        <w:textDirection w:val="tbRlV"/>
        <w:rPr>
          <w:rFonts w:ascii="Simplified Arabic" w:eastAsia="DengXian" w:hAnsi="Simplified Arabic" w:hint="default"/>
          <w:b/>
          <w:bCs/>
          <w:sz w:val="24"/>
          <w:szCs w:val="24"/>
          <w:lang w:val="ar-SA" w:eastAsia="zh-TW" w:bidi="en-GB"/>
        </w:rPr>
      </w:pPr>
      <w:r w:rsidRPr="000B5AE8">
        <w:rPr>
          <w:rFonts w:ascii="Simplified Arabic" w:eastAsia="DengXian" w:hAnsi="Simplified Arabic"/>
          <w:b/>
          <w:bCs/>
          <w:sz w:val="24"/>
          <w:szCs w:val="24"/>
          <w:rtl/>
        </w:rPr>
        <w:t>التوصية 75/12</w:t>
      </w:r>
    </w:p>
    <w:p w14:paraId="62FD848B" w14:textId="08CBE111" w:rsidR="006206DC" w:rsidRPr="00A3304B" w:rsidRDefault="006206DC" w:rsidP="005F49C4">
      <w:pPr>
        <w:keepNext/>
        <w:tabs>
          <w:tab w:val="clear" w:pos="1247"/>
          <w:tab w:val="clear" w:pos="1814"/>
          <w:tab w:val="clear" w:pos="2381"/>
          <w:tab w:val="clear" w:pos="2948"/>
          <w:tab w:val="clear" w:pos="3515"/>
        </w:tabs>
        <w:suppressAutoHyphens/>
        <w:bidi/>
        <w:spacing w:after="140" w:line="380" w:lineRule="exact"/>
        <w:ind w:left="1134" w:hanging="850"/>
        <w:jc w:val="both"/>
        <w:textDirection w:val="tbRlV"/>
        <w:rPr>
          <w:rFonts w:ascii="Simplified Arabic" w:eastAsia="Times New Roman" w:hAnsi="Simplified Arabic" w:hint="default"/>
          <w:b/>
          <w:bCs/>
          <w:sz w:val="24"/>
          <w:szCs w:val="24"/>
          <w:lang w:val="ar-SA" w:eastAsia="zh-TW" w:bidi="en-GB"/>
        </w:rPr>
      </w:pPr>
      <w:r w:rsidRPr="00A3304B">
        <w:rPr>
          <w:rFonts w:ascii="Simplified Arabic" w:eastAsia="Times New Roman" w:hAnsi="Simplified Arabic"/>
          <w:b/>
          <w:bCs/>
          <w:sz w:val="24"/>
          <w:szCs w:val="24"/>
          <w:rtl/>
        </w:rPr>
        <w:t>دال-</w:t>
      </w:r>
      <w:r w:rsidRPr="00A3304B">
        <w:rPr>
          <w:rFonts w:ascii="Simplified Arabic" w:eastAsia="Times New Roman" w:hAnsi="Simplified Arabic"/>
          <w:b/>
          <w:bCs/>
          <w:sz w:val="24"/>
          <w:szCs w:val="24"/>
          <w:rtl/>
        </w:rPr>
        <w:tab/>
        <w:t>البوسنة والهرسك</w:t>
      </w:r>
    </w:p>
    <w:p w14:paraId="32D2B30C" w14:textId="77777777" w:rsidR="006206DC" w:rsidRPr="000B5AE8" w:rsidRDefault="006206DC" w:rsidP="005F49C4">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8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قدمت البوسنة والهرسك طلبين: أحدهما لتنقيح بيانات استهلاكها من مركبات الكربون الهيدروكلورية فلورية لعام الأساس 2009، والآخر لتنقيح بيانات استهلاكها من مركبات الكربون الهيدروفلورية لعام الأساس 2022.</w:t>
      </w:r>
    </w:p>
    <w:p w14:paraId="582B9213" w14:textId="1085F6A9" w:rsidR="006206DC" w:rsidRPr="00A3304B" w:rsidRDefault="006206DC" w:rsidP="005F49C4">
      <w:pPr>
        <w:keepNext/>
        <w:tabs>
          <w:tab w:val="clear" w:pos="1247"/>
          <w:tab w:val="clear" w:pos="1814"/>
          <w:tab w:val="clear" w:pos="2381"/>
          <w:tab w:val="clear" w:pos="2948"/>
          <w:tab w:val="clear" w:pos="3515"/>
        </w:tabs>
        <w:suppressAutoHyphens/>
        <w:bidi/>
        <w:spacing w:after="140" w:line="380" w:lineRule="exact"/>
        <w:ind w:left="1134" w:hanging="850"/>
        <w:jc w:val="both"/>
        <w:textDirection w:val="tbRlV"/>
        <w:rPr>
          <w:rFonts w:ascii="Simplified Arabic" w:eastAsia="Times New Roman" w:hAnsi="Simplified Arabic" w:hint="default"/>
          <w:b/>
          <w:bCs/>
          <w:sz w:val="24"/>
          <w:szCs w:val="24"/>
          <w:lang w:val="ar-SA" w:eastAsia="zh-TW" w:bidi="en-GB"/>
        </w:rPr>
      </w:pPr>
      <w:r w:rsidRPr="00A3304B">
        <w:rPr>
          <w:rFonts w:ascii="Simplified Arabic" w:eastAsia="Times New Roman" w:hAnsi="Simplified Arabic"/>
          <w:b/>
          <w:bCs/>
          <w:sz w:val="24"/>
          <w:szCs w:val="24"/>
          <w:rtl/>
        </w:rPr>
        <w:t>1-</w:t>
      </w:r>
      <w:r w:rsidRPr="00A3304B">
        <w:rPr>
          <w:rFonts w:ascii="Simplified Arabic" w:eastAsia="Times New Roman" w:hAnsi="Simplified Arabic"/>
          <w:b/>
          <w:bCs/>
          <w:sz w:val="24"/>
          <w:szCs w:val="24"/>
          <w:rtl/>
        </w:rPr>
        <w:tab/>
        <w:t>بيانات الأساس لمركبات الكربون الهيدروكلورية فلورية</w:t>
      </w:r>
    </w:p>
    <w:p w14:paraId="1A8FBE05" w14:textId="77777777" w:rsidR="006206DC" w:rsidRPr="000B5AE8" w:rsidRDefault="006206DC" w:rsidP="005F49C4">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8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طلبت البوسنة والهرسك تنقيح بيانات استهلاكها من مركبات الكربون الهيدروكلورية فلورية لعام الأساس 2009. ويمثل خط الأساس المنقح زيادة قدرها 0,18 طن استنفادي (3 في المائة) و154 6 طن من مكافئ ثاني أكسيد الكربون (5,5 في المائة) عن الاستهلاك الأولي لعام 2009. ووفقا للمقرر 15/19، أوضحت البوسنة والهرسك أن هناك خطأ في تقرير عن تصدير قامت به إحدى الشركات في عام 2009. وأوضح الطرف أن الشركة لم تنفذ سوى عملية تصدير واحدة من تلك الكمية، وأن ذلك تم في عام 2010، وهو ما تم تأكيده من خلال المراسلات مع وحدة الأوزون الوطنية في صربيا، ووثائق الجمارك، وبيان موقّع من الشركة.</w:t>
      </w:r>
    </w:p>
    <w:p w14:paraId="17797480" w14:textId="77777777" w:rsidR="006206DC" w:rsidRPr="000B5AE8" w:rsidRDefault="006206DC" w:rsidP="005F49C4">
      <w:pPr>
        <w:pStyle w:val="Normalnumber"/>
        <w:numPr>
          <w:ilvl w:val="0"/>
          <w:numId w:val="18"/>
        </w:numPr>
        <w:tabs>
          <w:tab w:val="clear" w:pos="511"/>
          <w:tab w:val="clear" w:pos="1247"/>
          <w:tab w:val="clear" w:pos="1814"/>
          <w:tab w:val="clear" w:pos="2381"/>
          <w:tab w:val="clear" w:pos="2948"/>
          <w:tab w:val="clear" w:pos="3515"/>
          <w:tab w:val="left" w:pos="1843"/>
        </w:tabs>
        <w:bidi/>
        <w:spacing w:after="140" w:line="380" w:lineRule="exact"/>
        <w:ind w:left="1134"/>
        <w:jc w:val="both"/>
        <w:textDirection w:val="tbRlV"/>
        <w:rPr>
          <w:rFonts w:ascii="Simplified Arabic" w:hAnsi="Simplified Arabic" w:hint="default"/>
          <w:sz w:val="24"/>
          <w:szCs w:val="24"/>
        </w:rPr>
      </w:pPr>
      <w:bookmarkStart w:id="23" w:name="_Hlk212852120"/>
      <w:r w:rsidRPr="000B5AE8">
        <w:rPr>
          <w:rFonts w:ascii="Simplified Arabic" w:hAnsi="Simplified Arabic"/>
          <w:sz w:val="24"/>
          <w:szCs w:val="24"/>
          <w:rtl/>
        </w:rPr>
        <w:t>وبناء على ذلك، وافقت اللجنة على ما يلي:</w:t>
      </w:r>
    </w:p>
    <w:bookmarkEnd w:id="23"/>
    <w:p w14:paraId="29770C32" w14:textId="77777777" w:rsidR="006206DC" w:rsidRPr="000B5AE8" w:rsidRDefault="006206DC" w:rsidP="005F49C4">
      <w:pPr>
        <w:tabs>
          <w:tab w:val="clear" w:pos="1247"/>
          <w:tab w:val="clear" w:pos="1814"/>
          <w:tab w:val="clear" w:pos="2381"/>
          <w:tab w:val="clear" w:pos="2948"/>
          <w:tab w:val="clear" w:pos="3515"/>
        </w:tabs>
        <w:bidi/>
        <w:spacing w:after="140" w:line="380" w:lineRule="exact"/>
        <w:ind w:left="1134" w:firstLine="709"/>
        <w:jc w:val="lowKashida"/>
        <w:textDirection w:val="tbRlV"/>
        <w:rPr>
          <w:rFonts w:ascii="Simplified Arabic" w:eastAsia="Times New Roman" w:hAnsi="Simplified Arabic" w:hint="default"/>
          <w:sz w:val="24"/>
          <w:szCs w:val="24"/>
          <w:rtl/>
          <w:lang w:val="ar-SA" w:eastAsia="zh-TW" w:bidi="en-GB"/>
        </w:rPr>
      </w:pPr>
      <w:r w:rsidRPr="00A3304B">
        <w:rPr>
          <w:rFonts w:ascii="Simplified Arabic" w:eastAsia="Times New Roman" w:hAnsi="Simplified Arabic" w:hint="default"/>
          <w:i/>
          <w:iCs/>
          <w:sz w:val="24"/>
          <w:szCs w:val="24"/>
          <w:rtl/>
        </w:rPr>
        <w:t>إذ تلاحظ مع التقدير</w:t>
      </w:r>
      <w:r w:rsidRPr="000B5AE8">
        <w:rPr>
          <w:rFonts w:ascii="Simplified Arabic" w:eastAsia="Times New Roman" w:hAnsi="Simplified Arabic" w:hint="default"/>
          <w:sz w:val="24"/>
          <w:szCs w:val="24"/>
          <w:rtl/>
        </w:rPr>
        <w:t xml:space="preserve"> المعلومات المقدمة من البوسنة والهرسك دعماً لطلبها تنقيح بياناتها الحالية عن الاستهلاك لسنة خط الأساس 2009 فيما يخص المواد الخاضعة للرقابة المدرجة في المجموعة الأولى من المرفق جيم (مركبات الكربون الهيدروكلورية فلورية)،</w:t>
      </w:r>
    </w:p>
    <w:p w14:paraId="571BAEC2" w14:textId="77777777" w:rsidR="006206DC" w:rsidRPr="000B5AE8" w:rsidRDefault="006206DC" w:rsidP="005F49C4">
      <w:pPr>
        <w:tabs>
          <w:tab w:val="clear" w:pos="1247"/>
          <w:tab w:val="clear" w:pos="1814"/>
          <w:tab w:val="clear" w:pos="2381"/>
          <w:tab w:val="clear" w:pos="2948"/>
          <w:tab w:val="clear" w:pos="3515"/>
        </w:tabs>
        <w:bidi/>
        <w:spacing w:after="140" w:line="380" w:lineRule="exact"/>
        <w:ind w:left="1134" w:firstLine="709"/>
        <w:jc w:val="both"/>
        <w:textDirection w:val="tbRlV"/>
        <w:rPr>
          <w:rFonts w:ascii="Simplified Arabic" w:eastAsia="Times New Roman" w:hAnsi="Simplified Arabic" w:hint="default"/>
          <w:sz w:val="24"/>
          <w:szCs w:val="24"/>
          <w:rtl/>
          <w:lang w:val="ar-SA" w:eastAsia="zh-TW" w:bidi="en-GB"/>
        </w:rPr>
      </w:pPr>
      <w:r w:rsidRPr="00A3304B">
        <w:rPr>
          <w:rFonts w:ascii="Simplified Arabic" w:eastAsia="Times New Roman" w:hAnsi="Simplified Arabic" w:hint="default"/>
          <w:i/>
          <w:iCs/>
          <w:sz w:val="24"/>
          <w:szCs w:val="24"/>
          <w:rtl/>
        </w:rPr>
        <w:t>وإذ تلاحظ</w:t>
      </w:r>
      <w:r w:rsidRPr="000B5AE8">
        <w:rPr>
          <w:rFonts w:ascii="Simplified Arabic" w:eastAsia="Times New Roman" w:hAnsi="Simplified Arabic" w:hint="default"/>
          <w:sz w:val="24"/>
          <w:szCs w:val="24"/>
          <w:rtl/>
        </w:rPr>
        <w:t xml:space="preserve"> أن المقرر 15/19 يحدد منهجية تقديم الطلبات الخاصة بتنقيح بيانات خط الأساس،</w:t>
      </w:r>
    </w:p>
    <w:p w14:paraId="5C0C2516" w14:textId="77777777" w:rsidR="006206DC" w:rsidRPr="000B5AE8" w:rsidRDefault="006206DC" w:rsidP="005F49C4">
      <w:pPr>
        <w:tabs>
          <w:tab w:val="clear" w:pos="1247"/>
          <w:tab w:val="clear" w:pos="1814"/>
          <w:tab w:val="clear" w:pos="2381"/>
          <w:tab w:val="clear" w:pos="2948"/>
          <w:tab w:val="clear" w:pos="3515"/>
        </w:tabs>
        <w:bidi/>
        <w:spacing w:after="140" w:line="380" w:lineRule="exact"/>
        <w:ind w:left="1134" w:firstLine="709"/>
        <w:jc w:val="lowKashida"/>
        <w:textDirection w:val="tbRlV"/>
        <w:rPr>
          <w:rFonts w:ascii="Simplified Arabic" w:eastAsia="Times New Roman" w:hAnsi="Simplified Arabic" w:hint="default"/>
          <w:sz w:val="24"/>
          <w:szCs w:val="24"/>
          <w:rtl/>
          <w:lang w:val="ar-SA" w:eastAsia="zh-TW" w:bidi="en-GB"/>
        </w:rPr>
      </w:pPr>
      <w:r w:rsidRPr="00A3304B">
        <w:rPr>
          <w:rFonts w:ascii="Simplified Arabic" w:eastAsia="Times New Roman" w:hAnsi="Simplified Arabic" w:hint="default"/>
          <w:i/>
          <w:iCs/>
          <w:sz w:val="24"/>
          <w:szCs w:val="24"/>
          <w:rtl/>
        </w:rPr>
        <w:t>وإذ تلاحظ مع التقدير</w:t>
      </w:r>
      <w:r w:rsidRPr="000B5AE8">
        <w:rPr>
          <w:rFonts w:ascii="Simplified Arabic" w:eastAsia="Times New Roman" w:hAnsi="Simplified Arabic" w:hint="default"/>
          <w:sz w:val="24"/>
          <w:szCs w:val="24"/>
          <w:rtl/>
        </w:rPr>
        <w:t xml:space="preserve"> الجهود التي بذلتها البوسنة والهرسك للوفاء بمتطلبات المعلومات الواردة في المقرر 15/19،</w:t>
      </w:r>
    </w:p>
    <w:p w14:paraId="58F7AA50" w14:textId="320EEA93" w:rsidR="006206DC" w:rsidRPr="000B5AE8" w:rsidRDefault="006206DC" w:rsidP="005F49C4">
      <w:pPr>
        <w:tabs>
          <w:tab w:val="clear" w:pos="1247"/>
          <w:tab w:val="clear" w:pos="1814"/>
          <w:tab w:val="clear" w:pos="2381"/>
          <w:tab w:val="clear" w:pos="2948"/>
          <w:tab w:val="clear" w:pos="3515"/>
        </w:tabs>
        <w:bidi/>
        <w:spacing w:after="140" w:line="380" w:lineRule="exact"/>
        <w:ind w:left="1134" w:firstLine="709"/>
        <w:jc w:val="both"/>
        <w:textDirection w:val="tbRlV"/>
        <w:rPr>
          <w:rFonts w:ascii="Simplified Arabic" w:eastAsia="Times New Roman" w:hAnsi="Simplified Arabic" w:hint="default"/>
          <w:sz w:val="24"/>
          <w:szCs w:val="24"/>
          <w:rtl/>
          <w:lang w:val="ar-SA" w:eastAsia="zh-TW" w:bidi="en-GB"/>
        </w:rPr>
      </w:pPr>
      <w:r w:rsidRPr="000B5AE8">
        <w:rPr>
          <w:rFonts w:ascii="Simplified Arabic" w:eastAsia="Times New Roman" w:hAnsi="Simplified Arabic" w:hint="default"/>
          <w:sz w:val="24"/>
          <w:szCs w:val="24"/>
          <w:rtl/>
        </w:rPr>
        <w:t xml:space="preserve">تحيل إلى الاجتماع السابع والثلاثين للأطراف في بروتوكول مونتريال بشأن المواد المستنفدة لطبقة الأوزون مشروع المقرر الوارد في الفرع حاء من المرفق الأول لهذا التقرير للنظر فيه، وهو المشروع الذي سيوافق بموجبه الاجتماع السابع والثلاثون للأطراف على طلب البوسنة والهرسك تنقيح بيانات استهلاكها من مركبات الكربون </w:t>
      </w:r>
      <w:r w:rsidRPr="000B5AE8">
        <w:rPr>
          <w:rFonts w:ascii="Simplified Arabic" w:eastAsia="Times New Roman" w:hAnsi="Simplified Arabic" w:hint="default"/>
          <w:sz w:val="24"/>
          <w:szCs w:val="24"/>
          <w:rtl/>
        </w:rPr>
        <w:lastRenderedPageBreak/>
        <w:t>الهيدروكلورية فلورية لسنة الأساس 2009 لتصبح 5,96 طن استنفادي (</w:t>
      </w:r>
      <w:r w:rsidR="00934696">
        <w:rPr>
          <w:rFonts w:ascii="Simplified Arabic" w:eastAsia="Times New Roman" w:hAnsi="Simplified Arabic"/>
          <w:sz w:val="24"/>
          <w:szCs w:val="24"/>
          <w:rtl/>
        </w:rPr>
        <w:t xml:space="preserve">966,60 117 </w:t>
      </w:r>
      <w:r w:rsidRPr="000B5AE8">
        <w:rPr>
          <w:rFonts w:ascii="Simplified Arabic" w:eastAsia="Times New Roman" w:hAnsi="Simplified Arabic" w:hint="default"/>
          <w:sz w:val="24"/>
          <w:szCs w:val="24"/>
          <w:rtl/>
        </w:rPr>
        <w:t>طن من مكافئ ثاني أكسيد الكربون).</w:t>
      </w:r>
    </w:p>
    <w:p w14:paraId="304D996D" w14:textId="77777777" w:rsidR="006206DC" w:rsidRPr="000B5AE8" w:rsidRDefault="006206DC" w:rsidP="00A3304B">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DengXian" w:hAnsi="Simplified Arabic" w:hint="default"/>
          <w:b/>
          <w:bCs/>
          <w:sz w:val="24"/>
          <w:szCs w:val="24"/>
          <w:lang w:val="ar-SA" w:eastAsia="zh-TW" w:bidi="en-GB"/>
        </w:rPr>
      </w:pPr>
      <w:r w:rsidRPr="000B5AE8">
        <w:rPr>
          <w:rFonts w:ascii="Simplified Arabic" w:eastAsia="DengXian" w:hAnsi="Simplified Arabic"/>
          <w:b/>
          <w:bCs/>
          <w:sz w:val="24"/>
          <w:szCs w:val="24"/>
          <w:rtl/>
        </w:rPr>
        <w:t>التوصية 75/13</w:t>
      </w:r>
    </w:p>
    <w:p w14:paraId="2C03C6B0" w14:textId="7E546EAF" w:rsidR="006206DC" w:rsidRPr="00A3304B" w:rsidRDefault="006206DC" w:rsidP="00A3304B">
      <w:pPr>
        <w:keepNext/>
        <w:tabs>
          <w:tab w:val="clear" w:pos="1247"/>
          <w:tab w:val="clear" w:pos="1814"/>
          <w:tab w:val="clear" w:pos="2381"/>
          <w:tab w:val="clear" w:pos="2948"/>
          <w:tab w:val="clear" w:pos="3515"/>
        </w:tabs>
        <w:suppressAutoHyphens/>
        <w:bidi/>
        <w:spacing w:after="120" w:line="360" w:lineRule="exact"/>
        <w:ind w:left="1134" w:hanging="850"/>
        <w:jc w:val="both"/>
        <w:textDirection w:val="tbRlV"/>
        <w:rPr>
          <w:rFonts w:ascii="Simplified Arabic" w:eastAsia="Times New Roman" w:hAnsi="Simplified Arabic" w:hint="default"/>
          <w:b/>
          <w:bCs/>
          <w:sz w:val="24"/>
          <w:szCs w:val="24"/>
        </w:rPr>
      </w:pPr>
      <w:r w:rsidRPr="00A3304B">
        <w:rPr>
          <w:rFonts w:ascii="Simplified Arabic" w:eastAsia="Times New Roman" w:hAnsi="Simplified Arabic"/>
          <w:b/>
          <w:bCs/>
          <w:sz w:val="24"/>
          <w:szCs w:val="24"/>
          <w:rtl/>
        </w:rPr>
        <w:t>2-</w:t>
      </w:r>
      <w:r w:rsidRPr="00A3304B">
        <w:rPr>
          <w:rFonts w:ascii="Simplified Arabic" w:eastAsia="Times New Roman" w:hAnsi="Simplified Arabic"/>
          <w:b/>
          <w:bCs/>
          <w:sz w:val="24"/>
          <w:szCs w:val="24"/>
          <w:rtl/>
        </w:rPr>
        <w:tab/>
        <w:t>بيانات خط الأساس لمركبات الكربون الهيدروفلورية</w:t>
      </w:r>
    </w:p>
    <w:p w14:paraId="27EA0A7B" w14:textId="77777777" w:rsidR="006206DC" w:rsidRPr="000B5AE8" w:rsidRDefault="006206DC" w:rsidP="00A3304B">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طلبت البوسنة والهرسك تنقيح بيانات استهلاكها من مركبات الكربون الهيدروفلورية لعام الأساس 2022. ويمثل خط الأساس المنقح زيادة قدرها 763 61 طن مكافئ ثاني أكسيد الكربون (4,6 في المائة) عن بيانات الاستهلاك الأولية لعام 2022. ووفقاً للقرار 15/19، أوضحت البوسنة والهرسك أن عملية استيراد نفذتها إحدى الشركات في عام 2022 قد سُجلت خطأً تحت عام 2023 بسبب التأخر في التخليص الجمركي، وأن موظفاً جمركياً استخدم رموزاً جمركية غير صحيحة في حالة تخص شركة أخرى. وقدم الطرف وثائق تثبت عدم صحة تسجيل واردات عام 2022، بما في ذلك قائمة طرود من الصين لعام 2022؛ ومذكرة من الصين لعام 2022 بموجب اتفاقية عقد نقل البضائع الدولي الطرقي؛ وتقرير رسمي من مستورد لعام 2022؛ وقائمة الطرود من الصين للاستيراد المزعوم في عام 2023؛ ومعلومات من الجهة المستوردة لعام 2023؛ وتقرير جمركي من النظام الإلكتروني يوضح واردات الشركة في عام 2022.</w:t>
      </w:r>
    </w:p>
    <w:p w14:paraId="58A0E188" w14:textId="77777777" w:rsidR="006206DC" w:rsidRPr="000B5AE8" w:rsidRDefault="006206DC" w:rsidP="00A3304B">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وبناء على ذلك، وافقت اللجنة على ما يلي:</w:t>
      </w:r>
    </w:p>
    <w:p w14:paraId="2EF8F7DF" w14:textId="77777777" w:rsidR="006206DC" w:rsidRPr="000B5AE8" w:rsidRDefault="006206DC" w:rsidP="005F49C4">
      <w:pPr>
        <w:tabs>
          <w:tab w:val="clear" w:pos="1247"/>
          <w:tab w:val="clear" w:pos="1814"/>
          <w:tab w:val="clear" w:pos="2381"/>
          <w:tab w:val="clear" w:pos="2948"/>
          <w:tab w:val="clear" w:pos="3515"/>
        </w:tabs>
        <w:bidi/>
        <w:spacing w:after="120" w:line="360" w:lineRule="exact"/>
        <w:ind w:left="1134" w:firstLine="709"/>
        <w:jc w:val="lowKashida"/>
        <w:textDirection w:val="tbRlV"/>
        <w:rPr>
          <w:rFonts w:ascii="Simplified Arabic" w:eastAsia="Times New Roman" w:hAnsi="Simplified Arabic" w:hint="default"/>
          <w:sz w:val="24"/>
          <w:szCs w:val="24"/>
        </w:rPr>
      </w:pPr>
      <w:r w:rsidRPr="00A3304B">
        <w:rPr>
          <w:rFonts w:ascii="Simplified Arabic" w:eastAsia="Times New Roman" w:hAnsi="Simplified Arabic"/>
          <w:i/>
          <w:iCs/>
          <w:sz w:val="24"/>
          <w:szCs w:val="24"/>
          <w:rtl/>
        </w:rPr>
        <w:t>إذ تلاحظ مع التقدير</w:t>
      </w:r>
      <w:r w:rsidRPr="000B5AE8">
        <w:rPr>
          <w:rFonts w:ascii="Simplified Arabic" w:eastAsia="Times New Roman" w:hAnsi="Simplified Arabic"/>
          <w:sz w:val="24"/>
          <w:szCs w:val="24"/>
          <w:rtl/>
        </w:rPr>
        <w:t xml:space="preserve"> المعلومات المقدمة من البوسنة والهرسك دعماً لطلبها تنقيح بياناتها الحالية عن الاستهلاك لسنة خط الأساس 2022 فيما يخص المواد الخاضعة للرقابة المدرجة في المجموعة الأولى من المرفق واو (مركبات الكربون الهيدروفلورية)،</w:t>
      </w:r>
    </w:p>
    <w:p w14:paraId="2049FB35" w14:textId="77777777" w:rsidR="006206DC" w:rsidRPr="000B5AE8" w:rsidRDefault="006206DC" w:rsidP="00A3304B">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Pr>
      </w:pPr>
      <w:r w:rsidRPr="00A3304B">
        <w:rPr>
          <w:rFonts w:ascii="Simplified Arabic" w:eastAsia="Times New Roman" w:hAnsi="Simplified Arabic"/>
          <w:i/>
          <w:iCs/>
          <w:sz w:val="24"/>
          <w:szCs w:val="24"/>
          <w:rtl/>
        </w:rPr>
        <w:t>وإذ تلاحظ</w:t>
      </w:r>
      <w:r w:rsidRPr="000B5AE8">
        <w:rPr>
          <w:rFonts w:ascii="Simplified Arabic" w:eastAsia="Times New Roman" w:hAnsi="Simplified Arabic"/>
          <w:sz w:val="24"/>
          <w:szCs w:val="24"/>
          <w:rtl/>
        </w:rPr>
        <w:t xml:space="preserve"> أن المقرر 15/19 يحدد منهجية تقديم الطلبات الخاصة بتنقيح بيانات خط الأساس،</w:t>
      </w:r>
    </w:p>
    <w:p w14:paraId="5136E7E2" w14:textId="77777777" w:rsidR="006206DC" w:rsidRPr="000B5AE8" w:rsidRDefault="006206DC" w:rsidP="00A3304B">
      <w:pPr>
        <w:tabs>
          <w:tab w:val="clear" w:pos="1247"/>
          <w:tab w:val="clear" w:pos="1814"/>
          <w:tab w:val="clear" w:pos="2381"/>
          <w:tab w:val="clear" w:pos="2948"/>
          <w:tab w:val="clear" w:pos="3515"/>
        </w:tabs>
        <w:bidi/>
        <w:spacing w:after="120" w:line="360" w:lineRule="exact"/>
        <w:ind w:left="1134" w:firstLine="709"/>
        <w:jc w:val="lowKashida"/>
        <w:textDirection w:val="tbRlV"/>
        <w:rPr>
          <w:rFonts w:ascii="Simplified Arabic" w:eastAsia="Times New Roman" w:hAnsi="Simplified Arabic" w:hint="default"/>
          <w:sz w:val="24"/>
          <w:szCs w:val="24"/>
        </w:rPr>
      </w:pPr>
      <w:r w:rsidRPr="00A3304B">
        <w:rPr>
          <w:rFonts w:ascii="Simplified Arabic" w:eastAsia="Times New Roman" w:hAnsi="Simplified Arabic"/>
          <w:i/>
          <w:iCs/>
          <w:sz w:val="24"/>
          <w:szCs w:val="24"/>
          <w:rtl/>
        </w:rPr>
        <w:t>وإذ تلاحظ مع التقدير</w:t>
      </w:r>
      <w:r w:rsidRPr="000B5AE8">
        <w:rPr>
          <w:rFonts w:ascii="Simplified Arabic" w:eastAsia="Times New Roman" w:hAnsi="Simplified Arabic"/>
          <w:sz w:val="24"/>
          <w:szCs w:val="24"/>
          <w:rtl/>
        </w:rPr>
        <w:t xml:space="preserve"> الجهود التي بذلتها البوسنة والهرسك للوفاء بمتطلبات المعلومات الواردة في المقرر 15/19،</w:t>
      </w:r>
    </w:p>
    <w:p w14:paraId="426ABBD1" w14:textId="77777777" w:rsidR="006206DC" w:rsidRPr="000B5AE8" w:rsidRDefault="006206DC" w:rsidP="00A3304B">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Pr>
      </w:pPr>
      <w:r w:rsidRPr="000B5AE8">
        <w:rPr>
          <w:rFonts w:ascii="Simplified Arabic" w:eastAsia="Times New Roman" w:hAnsi="Simplified Arabic"/>
          <w:sz w:val="24"/>
          <w:szCs w:val="24"/>
          <w:rtl/>
        </w:rPr>
        <w:t>تحيل إلى الاجتماع السابع والثلاثين للأطراف في بروتوكول مونتريال بشأن المواد المستنفدة لطبقة الأوزون مشروع المقرر الوارد في الفرع حاء من المرفق الأول لهذا التقرير للنظر فيه، وهو المشروع الذي سيوافق بموجبه الاجتماع السابع والثلاثون للأطراف على طلب البوسنة والهرسك تنقيح بيانات استهلاكها من مركبات الكربون الهيدروفلورية لسنة الأساس 2022 لتصبح 682 402 1 طن من مكافئ ثاني أكسيد الكربون.</w:t>
      </w:r>
    </w:p>
    <w:p w14:paraId="13B41E4A" w14:textId="77777777" w:rsidR="006206DC" w:rsidRPr="000B5AE8" w:rsidRDefault="006206DC" w:rsidP="00A3304B">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DengXian" w:hAnsi="Simplified Arabic" w:hint="default"/>
          <w:b/>
          <w:bCs/>
          <w:sz w:val="24"/>
          <w:szCs w:val="24"/>
        </w:rPr>
      </w:pPr>
      <w:r w:rsidRPr="000B5AE8">
        <w:rPr>
          <w:rFonts w:ascii="Simplified Arabic" w:eastAsia="DengXian" w:hAnsi="Simplified Arabic"/>
          <w:b/>
          <w:bCs/>
          <w:sz w:val="24"/>
          <w:szCs w:val="24"/>
          <w:rtl/>
        </w:rPr>
        <w:t>التوصية 75/14</w:t>
      </w:r>
    </w:p>
    <w:p w14:paraId="7FFABCCB" w14:textId="08271FBF" w:rsidR="006206DC" w:rsidRPr="00A3304B" w:rsidRDefault="006206DC" w:rsidP="00A3304B">
      <w:pPr>
        <w:keepNext/>
        <w:tabs>
          <w:tab w:val="clear" w:pos="1247"/>
          <w:tab w:val="clear" w:pos="1814"/>
          <w:tab w:val="clear" w:pos="2381"/>
          <w:tab w:val="clear" w:pos="2948"/>
          <w:tab w:val="clear" w:pos="3515"/>
        </w:tabs>
        <w:suppressAutoHyphens/>
        <w:bidi/>
        <w:spacing w:after="120" w:line="360" w:lineRule="exact"/>
        <w:ind w:left="1134" w:hanging="850"/>
        <w:jc w:val="both"/>
        <w:textDirection w:val="tbRlV"/>
        <w:rPr>
          <w:rFonts w:ascii="Simplified Arabic" w:eastAsia="Times New Roman" w:hAnsi="Simplified Arabic" w:hint="default"/>
          <w:b/>
          <w:bCs/>
          <w:sz w:val="24"/>
          <w:szCs w:val="24"/>
          <w:lang w:val="ar-SA" w:eastAsia="zh-TW" w:bidi="en-GB"/>
        </w:rPr>
      </w:pPr>
      <w:r w:rsidRPr="00A3304B">
        <w:rPr>
          <w:rFonts w:ascii="Simplified Arabic" w:eastAsia="Times New Roman" w:hAnsi="Simplified Arabic"/>
          <w:b/>
          <w:bCs/>
          <w:sz w:val="24"/>
          <w:szCs w:val="24"/>
          <w:rtl/>
        </w:rPr>
        <w:t>هاء-</w:t>
      </w:r>
      <w:r w:rsidRPr="00A3304B">
        <w:rPr>
          <w:rFonts w:ascii="Simplified Arabic" w:eastAsia="Times New Roman" w:hAnsi="Simplified Arabic"/>
          <w:b/>
          <w:bCs/>
          <w:sz w:val="24"/>
          <w:szCs w:val="24"/>
          <w:rtl/>
        </w:rPr>
        <w:tab/>
        <w:t>البرازيل</w:t>
      </w:r>
    </w:p>
    <w:p w14:paraId="5129B5A0" w14:textId="77777777" w:rsidR="006206DC" w:rsidRPr="000B5AE8" w:rsidRDefault="006206DC" w:rsidP="00A3304B">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 xml:space="preserve">طلبت البرازيل تنقيح بيانات استهلاكها من مركبات الكربون الهيدروفلورية لعام الأساس 2022. ويمثل خط الأساس المنقح انخفاضاً قدره 564 340 10 طن من مكافئ ثاني أكسيد الكربون (12 في المائة) عن بيانات الاستهلاك الأولية لعام 2022. ووفقاً للقرار 15/19، أوضحت البرازيل أنه بعد تقديم بيانات عام 2022، أُلغيت أو انتهت صلاحية العديد من تراخيص التصدير لأنها لم تُستخدم خلال الفترة المحددة البالغة 180 يوماً. وقد أدى ذلك إلى انخفاض القيم المبلغ عنها في البداية. وأوضح الطرف أيضًا أن دورة الاستيراد لعام 2022 قد اكتملت بالكامل وأن جميع البيانات المتعلقة بتراخيص الاستيراد قد جرى استعراضها على النحو الواجب من قبل الوكالة الوطنية المسؤولة عن إدارة نظام تراخيص الاستيراد ووزارة البيئة وتغير المناخ. وتضمنت المنهجية المستخدمة في جمع الأرقام الجديدة والتحقق من دقتها تحليلاً شاملاً لجميع تراخيص الاستيراد الصادرة والمكتملة في عام 2022. </w:t>
      </w:r>
      <w:r w:rsidRPr="000B5AE8">
        <w:rPr>
          <w:rFonts w:ascii="Simplified Arabic" w:hAnsi="Simplified Arabic"/>
          <w:sz w:val="24"/>
          <w:szCs w:val="24"/>
          <w:rtl/>
        </w:rPr>
        <w:lastRenderedPageBreak/>
        <w:t>وقدم الطرف وثائق تدعم طلبه، بما في ذلك سجلات النظام الإلكتروني الذي تستخدمه البرازيل والذي يحتوي على معلومات عن جميع التراخيص التي قدمها الطرف.</w:t>
      </w:r>
    </w:p>
    <w:p w14:paraId="48299AF5" w14:textId="77777777" w:rsidR="006206DC" w:rsidRPr="000B5AE8" w:rsidRDefault="006206DC" w:rsidP="00A3304B">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bookmarkStart w:id="24" w:name="_Hlk212852324"/>
      <w:r w:rsidRPr="000B5AE8">
        <w:rPr>
          <w:rFonts w:ascii="Simplified Arabic" w:hAnsi="Simplified Arabic"/>
          <w:sz w:val="24"/>
          <w:szCs w:val="24"/>
          <w:rtl/>
        </w:rPr>
        <w:t>وبناء على ذلك، وافقت اللجنة على ما يلي:</w:t>
      </w:r>
    </w:p>
    <w:bookmarkEnd w:id="24"/>
    <w:p w14:paraId="7F2A8F0D" w14:textId="77777777" w:rsidR="006206DC" w:rsidRPr="000B5AE8" w:rsidRDefault="006206DC" w:rsidP="00A3304B">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Pr>
      </w:pPr>
      <w:r w:rsidRPr="00A3304B">
        <w:rPr>
          <w:rFonts w:ascii="Simplified Arabic" w:eastAsia="Times New Roman" w:hAnsi="Simplified Arabic"/>
          <w:i/>
          <w:iCs/>
          <w:sz w:val="24"/>
          <w:szCs w:val="24"/>
          <w:rtl/>
        </w:rPr>
        <w:t>إذ تلاحظ مع التقدير</w:t>
      </w:r>
      <w:r w:rsidRPr="000B5AE8">
        <w:rPr>
          <w:rFonts w:ascii="Simplified Arabic" w:eastAsia="Times New Roman" w:hAnsi="Simplified Arabic"/>
          <w:sz w:val="24"/>
          <w:szCs w:val="24"/>
          <w:rtl/>
        </w:rPr>
        <w:t xml:space="preserve"> المعلومات المقدمة من البرازيل دعماً لطلبها تنقيح بياناتها الحالية عن الاستهلاك لسنة خط الأساس 2022 فيما يخص المواد الخاضعة للرقابة المدرجة في المجموعة الأولى من المرفق واو (مركبات الكربون الهيدروفلورية)،</w:t>
      </w:r>
    </w:p>
    <w:p w14:paraId="1EBEF510" w14:textId="77777777" w:rsidR="006206DC" w:rsidRPr="000B5AE8" w:rsidRDefault="006206DC" w:rsidP="00A3304B">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Pr>
      </w:pPr>
      <w:r w:rsidRPr="00A3304B">
        <w:rPr>
          <w:rFonts w:ascii="Simplified Arabic" w:eastAsia="Times New Roman" w:hAnsi="Simplified Arabic"/>
          <w:i/>
          <w:iCs/>
          <w:sz w:val="24"/>
          <w:szCs w:val="24"/>
          <w:rtl/>
        </w:rPr>
        <w:t>وإذ تلاحظ</w:t>
      </w:r>
      <w:r w:rsidRPr="000B5AE8">
        <w:rPr>
          <w:rFonts w:ascii="Simplified Arabic" w:eastAsia="Times New Roman" w:hAnsi="Simplified Arabic"/>
          <w:sz w:val="24"/>
          <w:szCs w:val="24"/>
          <w:rtl/>
        </w:rPr>
        <w:t xml:space="preserve"> أن المقرر 15/19 يحدد منهجية تقديم الطلبات الخاصة بتنقيح بيانات خط الأساس،</w:t>
      </w:r>
    </w:p>
    <w:p w14:paraId="1ECC2CB9" w14:textId="77777777" w:rsidR="006206DC" w:rsidRPr="000B5AE8" w:rsidRDefault="006206DC" w:rsidP="00A3304B">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Pr>
      </w:pPr>
      <w:r w:rsidRPr="00A3304B">
        <w:rPr>
          <w:rFonts w:ascii="Simplified Arabic" w:eastAsia="Times New Roman" w:hAnsi="Simplified Arabic"/>
          <w:i/>
          <w:iCs/>
          <w:sz w:val="24"/>
          <w:szCs w:val="24"/>
          <w:rtl/>
        </w:rPr>
        <w:t>وإذ تلاحظ مع التقدير</w:t>
      </w:r>
      <w:r w:rsidRPr="000B5AE8">
        <w:rPr>
          <w:rFonts w:ascii="Simplified Arabic" w:eastAsia="Times New Roman" w:hAnsi="Simplified Arabic"/>
          <w:sz w:val="24"/>
          <w:szCs w:val="24"/>
          <w:rtl/>
        </w:rPr>
        <w:t xml:space="preserve"> الجهود التي بذلتها البرازيل للوفاء بمتطلبات المعلومات الواردة في المقرر 15/19،</w:t>
      </w:r>
    </w:p>
    <w:p w14:paraId="19DC7ABE" w14:textId="77777777" w:rsidR="006206DC" w:rsidRPr="000B5AE8" w:rsidRDefault="006206DC" w:rsidP="00A3304B">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Pr>
      </w:pPr>
      <w:r w:rsidRPr="000B5AE8">
        <w:rPr>
          <w:rFonts w:ascii="Simplified Arabic" w:eastAsia="Times New Roman" w:hAnsi="Simplified Arabic"/>
          <w:sz w:val="24"/>
          <w:szCs w:val="24"/>
          <w:rtl/>
        </w:rPr>
        <w:t>تحيل إلى الاجتماع السابع والثلاثين للأطراف في بروتوكول مونتريال بشأن المواد المستنفدة لطبقة الأوزون مشروع المقرر الوارد في الفرع حاء من المرفق الأول لهذا التقرير للنظر فيه، وهو المشروع الذي سيوافق بموجبه الاجتماع السابع والثلاثون للأطراف على طلب البرازيل تنقيح بيانات استهلاكها من مركبات الكربون الهيدروفلورية لسنة الأساس 2022 لتصبح 087 416 79 طن من مكافئ ثاني أكسيد الكربون.</w:t>
      </w:r>
    </w:p>
    <w:p w14:paraId="3A5D9414" w14:textId="77777777" w:rsidR="006206DC" w:rsidRPr="000B5AE8" w:rsidRDefault="006206DC" w:rsidP="00A3304B">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DengXian" w:hAnsi="Simplified Arabic" w:hint="default"/>
          <w:b/>
          <w:bCs/>
          <w:sz w:val="24"/>
          <w:szCs w:val="24"/>
          <w:lang w:val="ar-SA" w:eastAsia="zh-TW" w:bidi="en-GB"/>
        </w:rPr>
      </w:pPr>
      <w:r w:rsidRPr="000B5AE8">
        <w:rPr>
          <w:rFonts w:ascii="Simplified Arabic" w:eastAsia="DengXian" w:hAnsi="Simplified Arabic"/>
          <w:b/>
          <w:bCs/>
          <w:sz w:val="24"/>
          <w:szCs w:val="24"/>
          <w:rtl/>
        </w:rPr>
        <w:t>التوصية 75/15</w:t>
      </w:r>
    </w:p>
    <w:p w14:paraId="3306A0ED" w14:textId="5FF992B7" w:rsidR="006206DC" w:rsidRPr="00A3304B" w:rsidRDefault="006206DC" w:rsidP="00A3304B">
      <w:pPr>
        <w:keepNext/>
        <w:tabs>
          <w:tab w:val="clear" w:pos="1247"/>
          <w:tab w:val="clear" w:pos="1814"/>
          <w:tab w:val="clear" w:pos="2381"/>
          <w:tab w:val="clear" w:pos="2948"/>
          <w:tab w:val="clear" w:pos="3515"/>
        </w:tabs>
        <w:suppressAutoHyphens/>
        <w:bidi/>
        <w:spacing w:after="120" w:line="360" w:lineRule="exact"/>
        <w:ind w:left="1134" w:hanging="850"/>
        <w:jc w:val="both"/>
        <w:textDirection w:val="tbRlV"/>
        <w:rPr>
          <w:rFonts w:ascii="Simplified Arabic" w:eastAsia="Times New Roman" w:hAnsi="Simplified Arabic" w:hint="default"/>
          <w:b/>
          <w:bCs/>
          <w:sz w:val="24"/>
          <w:szCs w:val="24"/>
          <w:lang w:val="ar-SA" w:eastAsia="zh-TW" w:bidi="en-GB"/>
        </w:rPr>
      </w:pPr>
      <w:r w:rsidRPr="00A3304B">
        <w:rPr>
          <w:rFonts w:ascii="Simplified Arabic" w:eastAsia="Times New Roman" w:hAnsi="Simplified Arabic"/>
          <w:b/>
          <w:bCs/>
          <w:sz w:val="24"/>
          <w:szCs w:val="24"/>
          <w:rtl/>
        </w:rPr>
        <w:t>واو-</w:t>
      </w:r>
      <w:r w:rsidRPr="00A3304B">
        <w:rPr>
          <w:rFonts w:ascii="Simplified Arabic" w:eastAsia="Times New Roman" w:hAnsi="Simplified Arabic"/>
          <w:b/>
          <w:bCs/>
          <w:sz w:val="24"/>
          <w:szCs w:val="24"/>
          <w:rtl/>
        </w:rPr>
        <w:tab/>
        <w:t>الصومال</w:t>
      </w:r>
    </w:p>
    <w:p w14:paraId="20587FE3" w14:textId="77777777" w:rsidR="006206DC" w:rsidRPr="000B5AE8" w:rsidRDefault="006206DC" w:rsidP="00A3304B">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طلبت الصومال تنقيح بيانات استهلاكها من مركبات الكربون الهيدروفلورية لعام الأساس 2022. ويمثل خط الأساس المنقح زيادة قدرها 824 600 طن مكافئ ثاني أكسيد الكربون (172 في المائة) عن بيانات الاستهلاك الأولية لعام 2022. ووفقاً للقرار 15/19، أوضحت الصومال أن البيانات الأساسية الأولية لمركبات الكربون الهيدروفلورية أظهرت مستويات استهلاك أقل بكثير من السنوات السابقة، على الرغم من الزيادة المطردة في كمية معدات التبريد وتكييف الهواء المستخدمة. وقد جُمعت البيانات المحدثة من خلال نهج شامل ومنهجي للتحقق استُخدم لتقييم استهلاك البلد وإدارته لمركبات الكربون الهيدروفلورية. وضمنت العملية جمع بيانات موثوقة باستخدام أدوات موحدة لضمان الاتساق والدقة. ولم تقدم الطرف سوى تقرير التحقق المذكور آنفاً لدعم طلبه.</w:t>
      </w:r>
    </w:p>
    <w:p w14:paraId="7E2EEE7E" w14:textId="77777777" w:rsidR="006206DC" w:rsidRPr="000B5AE8" w:rsidRDefault="006206DC" w:rsidP="00A3304B">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وبناء على ذلك، وافقت اللجنة على ما يلي:</w:t>
      </w:r>
    </w:p>
    <w:p w14:paraId="69805F77" w14:textId="77777777" w:rsidR="006206DC" w:rsidRPr="000B5AE8" w:rsidRDefault="006206DC" w:rsidP="00A3304B">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Pr>
      </w:pPr>
      <w:r w:rsidRPr="00A3304B">
        <w:rPr>
          <w:rFonts w:ascii="Simplified Arabic" w:eastAsia="Times New Roman" w:hAnsi="Simplified Arabic"/>
          <w:i/>
          <w:iCs/>
          <w:sz w:val="24"/>
          <w:szCs w:val="24"/>
          <w:rtl/>
        </w:rPr>
        <w:t>إذ تحيط علماً</w:t>
      </w:r>
      <w:r w:rsidRPr="000B5AE8">
        <w:rPr>
          <w:rFonts w:ascii="Simplified Arabic" w:eastAsia="Times New Roman" w:hAnsi="Simplified Arabic"/>
          <w:sz w:val="24"/>
          <w:szCs w:val="24"/>
          <w:rtl/>
        </w:rPr>
        <w:t xml:space="preserve"> بطلب الصومال تنقيح بياناتها الحالية بشأن استهلاكها لسنة خط الأساس 2022 فيما يخص المواد الخاضعة للرقابة المدرجة في المجموعة الأولى من المرفق واو (مركبات الكربون الهيدروفلورية)،</w:t>
      </w:r>
    </w:p>
    <w:p w14:paraId="7CDB56A2" w14:textId="77777777" w:rsidR="006206DC" w:rsidRPr="000B5AE8" w:rsidRDefault="006206DC" w:rsidP="00A3304B">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Pr>
      </w:pPr>
      <w:r w:rsidRPr="00A3304B">
        <w:rPr>
          <w:rFonts w:ascii="Simplified Arabic" w:eastAsia="Times New Roman" w:hAnsi="Simplified Arabic"/>
          <w:i/>
          <w:iCs/>
          <w:sz w:val="24"/>
          <w:szCs w:val="24"/>
          <w:rtl/>
        </w:rPr>
        <w:t>وإذ تشير</w:t>
      </w:r>
      <w:r w:rsidRPr="000B5AE8">
        <w:rPr>
          <w:rFonts w:ascii="Simplified Arabic" w:eastAsia="Times New Roman" w:hAnsi="Simplified Arabic"/>
          <w:sz w:val="24"/>
          <w:szCs w:val="24"/>
          <w:rtl/>
        </w:rPr>
        <w:t xml:space="preserve"> إلى المقرر 15/19 الذي يحدد منهجية تقديم طلبات تنقيح بيانات خط الأساس،</w:t>
      </w:r>
    </w:p>
    <w:p w14:paraId="05976F1B" w14:textId="77777777" w:rsidR="006206DC" w:rsidRPr="00A3304B" w:rsidRDefault="006206DC" w:rsidP="00A3304B">
      <w:pPr>
        <w:tabs>
          <w:tab w:val="clear" w:pos="1247"/>
          <w:tab w:val="clear" w:pos="1814"/>
          <w:tab w:val="clear" w:pos="2381"/>
          <w:tab w:val="clear" w:pos="2948"/>
          <w:tab w:val="clear" w:pos="3515"/>
        </w:tabs>
        <w:bidi/>
        <w:spacing w:after="120" w:line="360" w:lineRule="exact"/>
        <w:ind w:left="1134" w:firstLine="709"/>
        <w:jc w:val="lowKashida"/>
        <w:textDirection w:val="tbRlV"/>
        <w:rPr>
          <w:rFonts w:ascii="Simplified Arabic" w:eastAsia="Times New Roman" w:hAnsi="Simplified Arabic" w:hint="default"/>
          <w:w w:val="107"/>
          <w:sz w:val="24"/>
          <w:szCs w:val="24"/>
        </w:rPr>
      </w:pPr>
      <w:r w:rsidRPr="00A3304B">
        <w:rPr>
          <w:rFonts w:ascii="Simplified Arabic" w:eastAsia="Times New Roman" w:hAnsi="Simplified Arabic"/>
          <w:i/>
          <w:iCs/>
          <w:w w:val="107"/>
          <w:sz w:val="24"/>
          <w:szCs w:val="24"/>
          <w:rtl/>
        </w:rPr>
        <w:t>وإذ تلاحظ مع التقدير</w:t>
      </w:r>
      <w:r w:rsidRPr="00A3304B">
        <w:rPr>
          <w:rFonts w:ascii="Simplified Arabic" w:eastAsia="Times New Roman" w:hAnsi="Simplified Arabic"/>
          <w:w w:val="107"/>
          <w:sz w:val="24"/>
          <w:szCs w:val="24"/>
          <w:rtl/>
        </w:rPr>
        <w:t xml:space="preserve"> المعلومات التي قدمتها الصومال لدعم طلبها تنقيح بيانات خط الأساس الخاصة بها،</w:t>
      </w:r>
    </w:p>
    <w:p w14:paraId="1D8E01CD" w14:textId="77777777" w:rsidR="006206DC" w:rsidRPr="000B5AE8" w:rsidRDefault="006206DC" w:rsidP="00A3304B">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Times New Roman" w:hAnsi="Simplified Arabic" w:hint="default"/>
          <w:sz w:val="24"/>
          <w:szCs w:val="24"/>
        </w:rPr>
      </w:pPr>
      <w:r w:rsidRPr="00A3304B">
        <w:rPr>
          <w:rFonts w:ascii="Simplified Arabic" w:eastAsia="Times New Roman" w:hAnsi="Simplified Arabic"/>
          <w:i/>
          <w:iCs/>
          <w:sz w:val="24"/>
          <w:szCs w:val="24"/>
          <w:rtl/>
        </w:rPr>
        <w:t>وإذ تلاحظ،</w:t>
      </w:r>
      <w:r w:rsidRPr="000B5AE8">
        <w:rPr>
          <w:rFonts w:ascii="Simplified Arabic" w:eastAsia="Times New Roman" w:hAnsi="Simplified Arabic"/>
          <w:sz w:val="24"/>
          <w:szCs w:val="24"/>
          <w:rtl/>
        </w:rPr>
        <w:t xml:space="preserve"> مع ذلك، أن لجنة التنفيذ بموجب إجراء عدم الامتثال لبروتوكول مونتريال اعتبرت أن المعلومات المقدمة غير كافية لتمكينها من الموافقة على التغييرات التي طلبها الطرف،</w:t>
      </w:r>
    </w:p>
    <w:p w14:paraId="6BE7E8A4" w14:textId="406A4A5B" w:rsidR="006206DC" w:rsidRPr="000B5AE8" w:rsidRDefault="006206DC" w:rsidP="00A3304B">
      <w:pPr>
        <w:numPr>
          <w:ilvl w:val="0"/>
          <w:numId w:val="3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Times New Roman" w:hAnsi="Simplified Arabic" w:hint="default"/>
          <w:sz w:val="24"/>
          <w:szCs w:val="24"/>
          <w:rtl/>
          <w:lang w:val="ar-SA" w:eastAsia="zh-TW" w:bidi="en-GB"/>
        </w:rPr>
      </w:pPr>
      <w:r w:rsidRPr="000B5AE8">
        <w:rPr>
          <w:rFonts w:ascii="Simplified Arabic" w:eastAsia="Times New Roman" w:hAnsi="Simplified Arabic" w:hint="default"/>
          <w:sz w:val="24"/>
          <w:szCs w:val="24"/>
          <w:rtl/>
        </w:rPr>
        <w:t>تطلب إلى الصومال أن تـقــدم إلى أمــانــة الأوزون الــمــعــلــومــات الــمــتــأخــرة اللازمة للوفاء بمتطلبات المقرر 15/19 لكي تدعم بشكل كبير طلبها تنقيح بيانات خط الأساس لمركبات الكربون الهيدروفلورية، في أقرب وقت ممكن، ويفضل أن يكون ذلك في موعد أقصاه 31 آذار/مارس 2026، لكي تنظر فيها لجنة التنفيذ في اجتماعها السادس والسبعين؛</w:t>
      </w:r>
    </w:p>
    <w:p w14:paraId="3AD4CD3F" w14:textId="16E251EE" w:rsidR="006206DC" w:rsidRPr="000B5AE8" w:rsidRDefault="006206DC" w:rsidP="00A3304B">
      <w:pPr>
        <w:numPr>
          <w:ilvl w:val="0"/>
          <w:numId w:val="3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Times New Roman" w:hAnsi="Simplified Arabic" w:hint="default"/>
          <w:sz w:val="24"/>
          <w:szCs w:val="24"/>
          <w:rtl/>
          <w:lang w:val="ar-SA" w:eastAsia="zh-TW" w:bidi="en-GB"/>
        </w:rPr>
      </w:pPr>
      <w:r w:rsidRPr="000B5AE8">
        <w:rPr>
          <w:rFonts w:ascii="Simplified Arabic" w:eastAsia="Times New Roman" w:hAnsi="Simplified Arabic" w:hint="default"/>
          <w:sz w:val="24"/>
          <w:szCs w:val="24"/>
          <w:rtl/>
        </w:rPr>
        <w:lastRenderedPageBreak/>
        <w:t>تطلب أيضاً إلى الصومال، في حال سرية المعلومات المطلوبة لدعم طلبها تنقيح بيانات خط الأساس الخاصة بها، أن تقدم هذه المعلومات إلى الأمانة، وفقا للفقرة 2 من المقرر 1/11، التي ستكفل التعامل مع البيانات بسرية مهنية، وأن تعتبر سرية عند إبلاغ لجنة التنفيذ بها.</w:t>
      </w:r>
    </w:p>
    <w:p w14:paraId="10D2B27F" w14:textId="77777777" w:rsidR="006206DC" w:rsidRPr="000B5AE8" w:rsidRDefault="006206DC" w:rsidP="00A3304B">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DengXian" w:hAnsi="Simplified Arabic" w:hint="default"/>
          <w:b/>
          <w:bCs/>
          <w:sz w:val="24"/>
          <w:szCs w:val="24"/>
          <w:lang w:val="ar-SA" w:eastAsia="zh-TW" w:bidi="en-GB"/>
        </w:rPr>
      </w:pPr>
      <w:r w:rsidRPr="000B5AE8">
        <w:rPr>
          <w:rFonts w:ascii="Simplified Arabic" w:eastAsia="DengXian" w:hAnsi="Simplified Arabic"/>
          <w:b/>
          <w:bCs/>
          <w:sz w:val="24"/>
          <w:szCs w:val="24"/>
          <w:rtl/>
        </w:rPr>
        <w:t>التوصية 75/16</w:t>
      </w:r>
    </w:p>
    <w:p w14:paraId="7E1665FC" w14:textId="047E5665" w:rsidR="006206DC" w:rsidRPr="00A3304B" w:rsidRDefault="006206DC" w:rsidP="00A3304B">
      <w:pPr>
        <w:keepNext/>
        <w:tabs>
          <w:tab w:val="clear" w:pos="1247"/>
          <w:tab w:val="clear" w:pos="1814"/>
          <w:tab w:val="clear" w:pos="2381"/>
          <w:tab w:val="clear" w:pos="2948"/>
          <w:tab w:val="clear" w:pos="3515"/>
        </w:tabs>
        <w:suppressAutoHyphens/>
        <w:bidi/>
        <w:spacing w:after="120" w:line="360" w:lineRule="exact"/>
        <w:ind w:left="1134" w:hanging="850"/>
        <w:jc w:val="both"/>
        <w:textDirection w:val="tbRlV"/>
        <w:rPr>
          <w:rFonts w:ascii="Simplified Arabic" w:eastAsia="Times New Roman" w:hAnsi="Simplified Arabic" w:hint="default"/>
          <w:b/>
          <w:bCs/>
          <w:sz w:val="26"/>
          <w:szCs w:val="26"/>
          <w:lang w:val="ar-SA" w:eastAsia="zh-TW" w:bidi="en-GB"/>
        </w:rPr>
      </w:pPr>
      <w:r w:rsidRPr="00A3304B">
        <w:rPr>
          <w:rFonts w:ascii="Simplified Arabic" w:eastAsia="Times New Roman" w:hAnsi="Simplified Arabic" w:hint="default"/>
          <w:b/>
          <w:bCs/>
          <w:sz w:val="26"/>
          <w:szCs w:val="26"/>
          <w:rtl/>
        </w:rPr>
        <w:t>ثامناً</w:t>
      </w:r>
      <w:r w:rsidRPr="00A3304B">
        <w:rPr>
          <w:rFonts w:ascii="Simplified Arabic" w:eastAsia="Times New Roman" w:hAnsi="Simplified Arabic" w:hint="default"/>
          <w:b/>
          <w:bCs/>
          <w:sz w:val="26"/>
          <w:szCs w:val="26"/>
        </w:rPr>
        <w:t>-</w:t>
      </w:r>
      <w:r w:rsidRPr="00A3304B">
        <w:rPr>
          <w:rFonts w:ascii="Simplified Arabic" w:eastAsia="Times New Roman" w:hAnsi="Simplified Arabic" w:hint="default"/>
          <w:b/>
          <w:bCs/>
          <w:sz w:val="26"/>
          <w:szCs w:val="26"/>
          <w:rtl/>
        </w:rPr>
        <w:tab/>
        <w:t>إنشاء نظم الترخيص بموجب المادة 4 باء، الفقرة 2 مكرراً، من بروتوكول مونتريال (المقرر 36/15 والتوصية 74/14)</w:t>
      </w:r>
    </w:p>
    <w:p w14:paraId="7A2FF903" w14:textId="77777777" w:rsidR="002A0884" w:rsidRPr="00497635" w:rsidRDefault="006206DC" w:rsidP="00497635">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w w:val="104"/>
          <w:sz w:val="24"/>
          <w:szCs w:val="24"/>
          <w:rtl/>
        </w:rPr>
      </w:pPr>
      <w:r w:rsidRPr="00497635">
        <w:rPr>
          <w:rFonts w:ascii="Simplified Arabic" w:hAnsi="Simplified Arabic"/>
          <w:w w:val="104"/>
          <w:sz w:val="24"/>
          <w:szCs w:val="24"/>
          <w:rtl/>
        </w:rPr>
        <w:t xml:space="preserve">عند تقديم هذا البند، وجه الرئيس الانتباه إلى تقرير الأمانة عن حالة نظم الترخيص الخاصة بمركبات الكربون الهيدروفلورية </w:t>
      </w:r>
      <w:r w:rsidRPr="00497635">
        <w:rPr>
          <w:rFonts w:cs="Times New Roman"/>
          <w:w w:val="104"/>
          <w:sz w:val="22"/>
          <w:szCs w:val="22"/>
        </w:rPr>
        <w:t>(UNEP/OzL.Pro/ImpCom/75/R.5)</w:t>
      </w:r>
      <w:r w:rsidRPr="00497635">
        <w:rPr>
          <w:rFonts w:ascii="Simplified Arabic" w:hAnsi="Simplified Arabic"/>
          <w:w w:val="104"/>
          <w:sz w:val="24"/>
          <w:szCs w:val="24"/>
          <w:rtl/>
        </w:rPr>
        <w:t>. وأبلغ ممثل الأمانة اللجنة أنه منذ إصدار الوثيقة في 29 آب/أغسطس 2025، صدّقت خمسة أطراف أخرى في بروتوكول مونتريال على تعديل كيغالي. وحتى 30 تشرين الأول/أكتوبر، أبلغت 160 طرفا، من أصل 169 طرفا صادقت على تعديل كيغالي، الأمانة بإنشاء وتشغيل نظم الترخيص الخاصة بها. وشملت الأطراف الـ 160 عدد 42 طرفاً غير عاملة بالمادة 5 و118 طرفاً عاملة بالمادة 5. وهناك 4 أطراف أخرى لم تصدق بعد على تعديل كيغالي ولكنها أبلغت عن إنشاء وتشغيل نظم الترخيص الخاصة بها.</w:t>
      </w:r>
    </w:p>
    <w:p w14:paraId="66F24FAB" w14:textId="1B5A81BD" w:rsidR="006206DC" w:rsidRPr="000B5AE8" w:rsidRDefault="006206DC" w:rsidP="00E8404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وبالتالي، فإن ما مجموعه 9 من أصل 169 طرفاً صدقت على تعديل كيغالي لم تبلغ بعد عن إنشاء وتشغيل نظم الترخيص الخاصة بها. وفيما يخص الأطراف الأربعة من تلك الأطراف التسعة، وهي أنغولا وجيبوتي وسان مارينو وعمان، فقد انقضى الموعد النهائي للإبلاغ. أما فيما يخص الأطراف الخمسة الأخرى، وهي باكستان، وبروني دار السلام، وجمهورية أفريقيا الوسطى، وسانت كيتس ونيفس، والمملكة العربية السعودية، فإن المواعيد النهائية للإبلاغ لم تحن بعد.</w:t>
      </w:r>
    </w:p>
    <w:p w14:paraId="78E7508C" w14:textId="77777777" w:rsidR="006206DC" w:rsidRPr="00AC2114" w:rsidRDefault="006206DC" w:rsidP="00AC2114">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w w:val="104"/>
          <w:sz w:val="24"/>
          <w:szCs w:val="24"/>
        </w:rPr>
      </w:pPr>
      <w:r w:rsidRPr="00AC2114">
        <w:rPr>
          <w:rFonts w:ascii="Simplified Arabic" w:hAnsi="Simplified Arabic"/>
          <w:w w:val="104"/>
          <w:sz w:val="24"/>
          <w:szCs w:val="24"/>
          <w:rtl/>
        </w:rPr>
        <w:t>وفيما يتعلق بمتابعة المقرر 36/15، بشأن حالة إنشاء نظم الترخيص بموجب الفقرة 2 مكرراً من المادة 4 باء من بروتوكول مونتريال، والتوصية 74/14، أفاد طرف مدرج في مرفق المقرر، وهو كينيا، عن إنشاء وتشغيل نظام الترخيص لمركبات الكربون الهيدروفلورية الخاص به. وقدم الطرف طواعية نسخة من لوائحه الجديدة. وأبلغت أنغولا الأمانة بأنها تعمل على إنشاء نظام الترخيص الخاص بها وستقدم المعلومات بحلول أيلول/سبتمبر 2025. ومع ذلك، لم تتلق الأمانة بعد أي معلومات محدثة. ولم ترد سان مارينو على رسائل البريد الإلكتروني بغرض المتابعة التي أرسلتها الأمانة في آب/أغسطس وتشرين الأول/أكتوبر 2025 بشأن التوصية 74/14. وأبلغت الإمارات العربية المتحدة عن إنشاء وتشغيل نظام الترخيص الخاص بها، وأبلغت جيبوتي الأمانة أنها أعدت مشروع مرسوم بشأن مراقبة مركبات الكربون الهيدروفلورية وأن المرسوم قيد الاستعراض ومن المتوقع أن يُعرض لاعتماده في بداية ولاية الحكومة المقبلة في أيلول/سبتمبر إلى تشرين الأول/أكتوبر 2025. ولم تتلق الأمانة أي معلومات جديدة.</w:t>
      </w:r>
    </w:p>
    <w:p w14:paraId="5D0A0D9C" w14:textId="77777777" w:rsidR="006206DC" w:rsidRPr="000B5AE8" w:rsidRDefault="006206DC" w:rsidP="00E8404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ورداً على اقتراح أحد الأعضاء بأن تشجع اللجنة الأطراف التي لم تصدق بعد على تعديل كيغالي على التصديق عليه، أعرب عضو آخر عن رأي مفاده أن من الأفضل إدراج هذا النص في مقرر يعتمد في الاجتماع السابع والثلاثين للأطراف.</w:t>
      </w:r>
    </w:p>
    <w:p w14:paraId="0E8C8295" w14:textId="77777777" w:rsidR="002A0884" w:rsidRPr="000B5AE8" w:rsidRDefault="006206DC" w:rsidP="00E8404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واعتبر ممثلٌ أن الموعد النهائي المقترح في 31 آذار/مارس 2026 لتقديم معلومات إلى الأمانة بشأن إنشاء وتشغيل نظم الترخيص هو موعد معقول. ونظراً لطول فترة عدم رد أنغولا وسان مارينو، اقترح أحد الأعضاء، وأيده عضو آخر، دعوة ممثلين إلى الاجتماع السادس والسبعين لتقديم المعلومات حضورياً.</w:t>
      </w:r>
    </w:p>
    <w:p w14:paraId="4FB24ECD" w14:textId="77777777" w:rsidR="002A0884" w:rsidRPr="000B5AE8" w:rsidRDefault="006206DC" w:rsidP="00AC2114">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sz w:val="24"/>
          <w:szCs w:val="24"/>
          <w:rtl/>
        </w:rPr>
      </w:pPr>
      <w:r w:rsidRPr="000B5AE8">
        <w:rPr>
          <w:rFonts w:ascii="Simplified Arabic" w:hAnsi="Simplified Arabic"/>
          <w:sz w:val="24"/>
          <w:szCs w:val="24"/>
          <w:rtl/>
        </w:rPr>
        <w:t xml:space="preserve">وفي وقت لاحق من الاجتماع، أبلغ ممثل الأمانة اللجنة أن أنغولا قدمت معلومات إضافية أوضحت أن الطرف لديه بالفعل نظام ترخيص لـمركبات الكربون الهيدروفلورية ساري المفعول. وقد تم تطويره استناداً إلى نظام </w:t>
      </w:r>
      <w:r w:rsidRPr="000B5AE8">
        <w:rPr>
          <w:rFonts w:ascii="Simplified Arabic" w:hAnsi="Simplified Arabic"/>
          <w:sz w:val="24"/>
          <w:szCs w:val="24"/>
          <w:rtl/>
        </w:rPr>
        <w:lastRenderedPageBreak/>
        <w:t>ترخيص مركبات الكربون الهيدروكلورية فلورية السابق، على الرغم من أنه يواجه تحديات جديدة، لا سيما فيما يتعلق بالمزائج. واتفق أعضاء اللجنة على أنه نظراً لعدم اتفاقهم على موعد نهائي لتقديم المعلومات عن نظم الترخيص، بخلاف ما عليه الحال فيما يخص الإبلاغ عن البيانات، فإن من المناسب حذف الإشارات إلى أنغولا في مشروع المقرر.</w:t>
      </w:r>
    </w:p>
    <w:p w14:paraId="3C9D03B3" w14:textId="3F7A3E3C" w:rsidR="006206DC" w:rsidRPr="000B5AE8" w:rsidRDefault="006206DC" w:rsidP="00E8404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ووافقت اللجنة على ما يلي:</w:t>
      </w:r>
    </w:p>
    <w:p w14:paraId="6EA3B182" w14:textId="77777777" w:rsidR="006206DC" w:rsidRPr="000B5AE8" w:rsidRDefault="006206DC" w:rsidP="00E84049">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Times New Roman" w:hAnsi="Simplified Arabic" w:hint="default"/>
          <w:sz w:val="24"/>
          <w:szCs w:val="24"/>
          <w:rtl/>
          <w:lang w:val="ar-SA" w:eastAsia="zh-TW" w:bidi="en-GB"/>
        </w:rPr>
      </w:pPr>
      <w:r w:rsidRPr="000B5AE8">
        <w:rPr>
          <w:rFonts w:ascii="Simplified Arabic" w:eastAsia="Times New Roman" w:hAnsi="Simplified Arabic" w:hint="default"/>
          <w:sz w:val="24"/>
          <w:szCs w:val="24"/>
          <w:rtl/>
        </w:rPr>
        <w:t>(أ)</w:t>
      </w:r>
      <w:r w:rsidRPr="000B5AE8">
        <w:rPr>
          <w:rFonts w:ascii="Simplified Arabic" w:eastAsia="Times New Roman" w:hAnsi="Simplified Arabic"/>
          <w:sz w:val="24"/>
          <w:szCs w:val="24"/>
          <w:rtl/>
        </w:rPr>
        <w:tab/>
      </w:r>
      <w:r w:rsidRPr="000B5AE8">
        <w:rPr>
          <w:rFonts w:ascii="Simplified Arabic" w:eastAsia="Times New Roman" w:hAnsi="Simplified Arabic" w:hint="default"/>
          <w:sz w:val="24"/>
          <w:szCs w:val="24"/>
          <w:rtl/>
        </w:rPr>
        <w:t>أن تحيط علماً مع التقدير بالإبلاغ عن حالة نظم الترخيص لمركبات الكربون الهيدروفلورية بموجب الفقرة 2 مكرراً من المادة 4 باء من بروتوكول مونتريال؛</w:t>
      </w:r>
    </w:p>
    <w:p w14:paraId="18DDC403" w14:textId="77777777" w:rsidR="006206DC" w:rsidRPr="000B5AE8" w:rsidRDefault="006206DC" w:rsidP="00E84049">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Times New Roman" w:hAnsi="Simplified Arabic" w:hint="default"/>
          <w:sz w:val="24"/>
          <w:szCs w:val="24"/>
          <w:rtl/>
          <w:lang w:val="ar-SA" w:eastAsia="zh-TW" w:bidi="en-GB"/>
        </w:rPr>
      </w:pPr>
      <w:r w:rsidRPr="000B5AE8">
        <w:rPr>
          <w:rFonts w:ascii="Simplified Arabic" w:eastAsia="Times New Roman" w:hAnsi="Simplified Arabic" w:hint="default"/>
          <w:sz w:val="24"/>
          <w:szCs w:val="24"/>
          <w:rtl/>
        </w:rPr>
        <w:t>(ب)</w:t>
      </w:r>
      <w:r w:rsidRPr="000B5AE8">
        <w:rPr>
          <w:rFonts w:ascii="Simplified Arabic" w:eastAsia="Times New Roman" w:hAnsi="Simplified Arabic" w:hint="default"/>
          <w:sz w:val="24"/>
          <w:szCs w:val="24"/>
          <w:rtl/>
        </w:rPr>
        <w:tab/>
        <w:t>أن تحيل إلى الاجتماع السابع والثلاثين للأطراف في بروتوكول مونتريال مشروع المقرر الوارد في الفرع طاء من المرفق الأول لهذا التقرير للنظر فيه، وهو المشروع الذي يسجل، ضمن جملة أمور، عدد الأطراف في بروتوكول مونتريال التي صدقت على تعديل كيغالي والتي أبلغت الأمانة عن إنشاء وتشغيل نظم لترخيص استيراد وتصدير مواد المرفق واو الخاضعة للرقابة، وفقاً للفقرة 3 من المادة 4 باء من بروتوكول مونتريال؛</w:t>
      </w:r>
    </w:p>
    <w:p w14:paraId="0EB55D44" w14:textId="77777777" w:rsidR="006206DC" w:rsidRPr="000B5AE8" w:rsidRDefault="006206DC" w:rsidP="00E84049">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Times New Roman" w:hAnsi="Simplified Arabic" w:hint="default"/>
          <w:sz w:val="24"/>
          <w:szCs w:val="24"/>
          <w:rtl/>
          <w:lang w:val="ar-SA" w:eastAsia="zh-TW" w:bidi="en-GB"/>
        </w:rPr>
      </w:pPr>
      <w:r w:rsidRPr="000B5AE8">
        <w:rPr>
          <w:rFonts w:ascii="Simplified Arabic" w:eastAsia="Times New Roman" w:hAnsi="Simplified Arabic" w:hint="default"/>
          <w:sz w:val="24"/>
          <w:szCs w:val="24"/>
          <w:rtl/>
        </w:rPr>
        <w:t>(ج)</w:t>
      </w:r>
      <w:r w:rsidRPr="000B5AE8">
        <w:rPr>
          <w:rFonts w:ascii="Simplified Arabic" w:eastAsia="Times New Roman" w:hAnsi="Simplified Arabic" w:hint="default"/>
          <w:sz w:val="24"/>
          <w:szCs w:val="24"/>
          <w:rtl/>
        </w:rPr>
        <w:tab/>
        <w:t>أن تحث الأطراف الثلاثة المدرجة في مشروع المقرر الوارد في الفرع طاء من المرفق الأول لهذا التقرير على تقديم معلومات إلى الأمانة بشأن إنشاء وتشغيل نظم الترخيص الخاصة بها على وجه الاستعجال وذلك في موعد أقصاه 31 آذار/مارس 2026؛</w:t>
      </w:r>
    </w:p>
    <w:p w14:paraId="5EC7B9B1" w14:textId="77777777" w:rsidR="006206DC" w:rsidRPr="000B5AE8" w:rsidRDefault="006206DC" w:rsidP="00E84049">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Times New Roman" w:hAnsi="Simplified Arabic" w:hint="default"/>
          <w:sz w:val="24"/>
          <w:szCs w:val="24"/>
          <w:rtl/>
          <w:lang w:val="ar-SA" w:eastAsia="zh-TW" w:bidi="en-GB"/>
        </w:rPr>
      </w:pPr>
      <w:r w:rsidRPr="000B5AE8">
        <w:rPr>
          <w:rFonts w:ascii="Simplified Arabic" w:eastAsia="Times New Roman" w:hAnsi="Simplified Arabic" w:hint="default"/>
          <w:sz w:val="24"/>
          <w:szCs w:val="24"/>
          <w:rtl/>
        </w:rPr>
        <w:t>(د)</w:t>
      </w:r>
      <w:r w:rsidRPr="000B5AE8">
        <w:rPr>
          <w:rFonts w:ascii="Simplified Arabic" w:eastAsia="Times New Roman" w:hAnsi="Simplified Arabic" w:hint="default"/>
          <w:sz w:val="24"/>
          <w:szCs w:val="24"/>
          <w:rtl/>
        </w:rPr>
        <w:tab/>
        <w:t>أن تواصل الاستعراض الدوري لحالة إنشاء نظم الترخيص هذه من جانب جميع الأطراف في بروتوكول مونتريال التي صدقت على تعديل كيغالي وأن تنظر في أي توصيات مناسبة تقدم إلى الأطراف وفقاً للفقرة 4 من المادة 4 باء من البروتوكول.</w:t>
      </w:r>
    </w:p>
    <w:p w14:paraId="2F2B99C9" w14:textId="77777777" w:rsidR="006206DC" w:rsidRPr="000B5AE8" w:rsidRDefault="006206DC" w:rsidP="00E84049">
      <w:pPr>
        <w:tabs>
          <w:tab w:val="clear" w:pos="1247"/>
          <w:tab w:val="clear" w:pos="1814"/>
          <w:tab w:val="clear" w:pos="2381"/>
          <w:tab w:val="clear" w:pos="2948"/>
          <w:tab w:val="clear" w:pos="3515"/>
        </w:tabs>
        <w:bidi/>
        <w:spacing w:before="240" w:after="240" w:line="360" w:lineRule="exact"/>
        <w:ind w:left="1134"/>
        <w:jc w:val="right"/>
        <w:textDirection w:val="tbRlV"/>
        <w:rPr>
          <w:rFonts w:ascii="Simplified Arabic" w:eastAsia="DengXian" w:hAnsi="Simplified Arabic" w:hint="default"/>
          <w:b/>
          <w:bCs/>
          <w:sz w:val="24"/>
          <w:szCs w:val="24"/>
          <w:lang w:val="ar-SA" w:eastAsia="zh-TW" w:bidi="en-GB"/>
        </w:rPr>
      </w:pPr>
      <w:r w:rsidRPr="000B5AE8">
        <w:rPr>
          <w:rFonts w:ascii="Simplified Arabic" w:eastAsia="DengXian" w:hAnsi="Simplified Arabic"/>
          <w:b/>
          <w:bCs/>
          <w:sz w:val="24"/>
          <w:szCs w:val="24"/>
          <w:rtl/>
        </w:rPr>
        <w:t>التوصية 75/17</w:t>
      </w:r>
    </w:p>
    <w:p w14:paraId="36B78FBC" w14:textId="72AD8C4C" w:rsidR="006206DC" w:rsidRPr="00E84049" w:rsidRDefault="006206DC" w:rsidP="00E84049">
      <w:pPr>
        <w:keepNext/>
        <w:tabs>
          <w:tab w:val="clear" w:pos="1247"/>
          <w:tab w:val="clear" w:pos="1814"/>
          <w:tab w:val="clear" w:pos="2381"/>
          <w:tab w:val="clear" w:pos="2948"/>
          <w:tab w:val="clear" w:pos="3515"/>
        </w:tabs>
        <w:suppressAutoHyphens/>
        <w:bidi/>
        <w:spacing w:after="120" w:line="360" w:lineRule="exact"/>
        <w:ind w:left="1134" w:hanging="850"/>
        <w:jc w:val="both"/>
        <w:textDirection w:val="tbRlV"/>
        <w:rPr>
          <w:rFonts w:ascii="Simplified Arabic" w:eastAsia="Times New Roman" w:hAnsi="Simplified Arabic" w:hint="default"/>
          <w:b/>
          <w:bCs/>
          <w:sz w:val="26"/>
          <w:szCs w:val="26"/>
          <w:rtl/>
        </w:rPr>
      </w:pPr>
      <w:r w:rsidRPr="00E84049">
        <w:rPr>
          <w:rFonts w:ascii="Simplified Arabic" w:eastAsia="Times New Roman" w:hAnsi="Simplified Arabic"/>
          <w:b/>
          <w:bCs/>
          <w:sz w:val="26"/>
          <w:szCs w:val="26"/>
          <w:rtl/>
        </w:rPr>
        <w:t>تاسعاً-</w:t>
      </w:r>
      <w:r w:rsidRPr="00E84049">
        <w:rPr>
          <w:rFonts w:ascii="Simplified Arabic" w:eastAsia="Times New Roman" w:hAnsi="Simplified Arabic"/>
          <w:b/>
          <w:bCs/>
          <w:sz w:val="26"/>
          <w:szCs w:val="26"/>
          <w:rtl/>
        </w:rPr>
        <w:tab/>
        <w:t>المسائل المنهجية المتعلقة بالامتثال (المقرر 36/9، الفقرة 6</w:t>
      </w:r>
      <w:r w:rsidR="00E84049">
        <w:rPr>
          <w:rFonts w:ascii="Simplified Arabic" w:eastAsia="Times New Roman" w:hAnsi="Simplified Arabic"/>
          <w:b/>
          <w:bCs/>
          <w:sz w:val="26"/>
          <w:szCs w:val="26"/>
          <w:rtl/>
        </w:rPr>
        <w:t>)</w:t>
      </w:r>
    </w:p>
    <w:p w14:paraId="3B11DF5C" w14:textId="77777777" w:rsidR="006206DC" w:rsidRPr="000B5AE8" w:rsidRDefault="006206DC" w:rsidP="00E8404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 xml:space="preserve">عند تقديم هذا البند، ذكّر الرئيس اللجنة بأن الأمانة عرضت على الاجتماع الرابع والسبعين للجنة ورقة تحليل المسائل المنهجية المتعلقة بالامتثال استناداً إلى الحالات التي نظرت فيها اللجنة على مدى السنوات العشر الماضية </w:t>
      </w:r>
      <w:r w:rsidRPr="00497635">
        <w:rPr>
          <w:rFonts w:cs="Times New Roman"/>
          <w:sz w:val="22"/>
          <w:szCs w:val="22"/>
        </w:rPr>
        <w:t>(UNEP/OzL.Pro/ImpCom/74/R.5)</w:t>
      </w:r>
      <w:r w:rsidRPr="000B5AE8">
        <w:rPr>
          <w:rFonts w:ascii="Simplified Arabic" w:hAnsi="Simplified Arabic"/>
          <w:sz w:val="24"/>
          <w:szCs w:val="24"/>
          <w:rtl/>
        </w:rPr>
        <w:t>، وأن الأعضاء قد أتيحت لهم الفرصة لإجراء مناقشة موجزة في ذلك الاجتماع. وهو يخطط لتقديم موجز عن الورقة في عرض قصير خلال الاجتماع غير الرسمي للأطراف في بروتوكول مونتريال في 2 تشرين الثاني/نوفمبر 2025، ودعا أعضاء اللجنة إلى تقديم تعليقاتهم. وشكر أعضاءُ اللجنة الأمانة على عملها الدؤوب في إعداد الورقة، وقالوا إنها تشكل أساساً لمساهمة قيّمة في المناقشات في الاجتماع غير الرسمي.</w:t>
      </w:r>
    </w:p>
    <w:p w14:paraId="37B2B1E0" w14:textId="77777777" w:rsidR="006206DC" w:rsidRPr="000B5AE8" w:rsidRDefault="006206DC" w:rsidP="00E8404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وفيما يتعلق بالإبلاغ عن البيانات بموجب المادة 7، أعرب أحد الأعضاء عن رأي مفاده أنه سيكون من المفيد إطلاع الأطراف على قرار اللجنة بإدراج تاريخ نهائي في مشروع المقرر بشأن الإبلاغ عن البيانات، على النحو الذي نوقش في إطار البند 3 من جدول الأعمال. وسيمكن ذلك الرئيس من إبراز الصعوبات الناجمة عن التأخر في الإبلاغ عن البيانات. واقترح عضو آخر تسليط الضوء على ما خلصت إليه اللجنة، وهو ما تم الاتفاق عليه في الاجتماع الرابع والسبعين، بعدم السماح بتقديم بيانات مؤقتة. واقترح أيضاً أن يشار إلى الانخفاض الذي طرأ خلال السنوات القليلة الماضية على عدد الأطراف التي قدمت تقاريرها بحلول 30 حزيران/يونيه، وأن تشجع الأطراف على مراعاة هذا الموعد النهائي.</w:t>
      </w:r>
    </w:p>
    <w:p w14:paraId="59288280" w14:textId="6D0E7F61" w:rsidR="002A0884" w:rsidRPr="000B5AE8" w:rsidRDefault="006206DC" w:rsidP="00E8404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 xml:space="preserve">وفيما يتعلق بنظم ترخيص الاستيراد والتصدير، قال بعض الأعضاء إن من المفيد الحصول على مزيد من المعلومات عن كيفية عمل نظم الترخيص لدى الأطراف، بدلاً من الاكتفاء فقط بمعرفة ما إذا كانت لديهم نظم ترخيص أم لا. وأشار أحدهم إلى صياغة الفقرة 3 من المادة 4 باء من بروتوكول مونتريال، التي تطلب من الأطراف </w:t>
      </w:r>
      <w:r w:rsidRPr="000B5AE8">
        <w:rPr>
          <w:rFonts w:ascii="Simplified Arabic" w:hAnsi="Simplified Arabic"/>
          <w:sz w:val="24"/>
          <w:szCs w:val="24"/>
          <w:rtl/>
        </w:rPr>
        <w:lastRenderedPageBreak/>
        <w:t xml:space="preserve">تقديم تقارير </w:t>
      </w:r>
      <w:r w:rsidR="00CD1A23">
        <w:rPr>
          <w:rFonts w:ascii="Simplified Arabic" w:hAnsi="Simplified Arabic" w:hint="default"/>
          <w:sz w:val="24"/>
          <w:szCs w:val="24"/>
          <w:rtl/>
        </w:rPr>
        <w:t>”</w:t>
      </w:r>
      <w:r w:rsidRPr="000B5AE8">
        <w:rPr>
          <w:rFonts w:ascii="Simplified Arabic" w:hAnsi="Simplified Arabic"/>
          <w:sz w:val="24"/>
          <w:szCs w:val="24"/>
          <w:rtl/>
        </w:rPr>
        <w:t>عن إنشاء وتشغيل ذلك النظام</w:t>
      </w:r>
      <w:r w:rsidR="00CD1A23">
        <w:rPr>
          <w:rFonts w:ascii="Simplified Arabic" w:hAnsi="Simplified Arabic" w:hint="default"/>
          <w:sz w:val="24"/>
          <w:szCs w:val="24"/>
          <w:rtl/>
        </w:rPr>
        <w:t>“</w:t>
      </w:r>
      <w:r w:rsidRPr="000B5AE8">
        <w:rPr>
          <w:rFonts w:ascii="Simplified Arabic" w:hAnsi="Simplified Arabic"/>
          <w:sz w:val="24"/>
          <w:szCs w:val="24"/>
          <w:rtl/>
        </w:rPr>
        <w:t>، وليس فقط عن إنشائه. وأشار إلى أنه قد يكون من الممكن تحليل خصائص نظم الترخيص التي تبلغ بها الأمانة، ثم وضع قائمة مرجعية بالخصائص التي يمكن أن يُطلب من الأطراف الإبلاغ عنها عند إنشاء نظام ترخيص جديد. واقترح عضو آخر النظر في كيفية تعامل أنظمة الترخيص مع عمليات شراء المواد الخاضعة للرقابة عبر الإنترنت. ووجه عدة أعضاء الانتباه إلى ضرورة الإنفاذ الفعال لنظم الترخيص وغيرها من اللوائح.</w:t>
      </w:r>
    </w:p>
    <w:p w14:paraId="1577AB89" w14:textId="0685E17F" w:rsidR="006206DC" w:rsidRPr="000B5AE8" w:rsidRDefault="006206DC" w:rsidP="00E8404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وفيما يتعلق بالامتثال لتدابير الرقابة، سلط أحد الأعضاء الضوء على مشكلة مزائج مركبات الكربون الهيدروفلورية، والتحديات التي يواجهها المستوردون في الإبلاغ عن بيانات دقيقة بشأنها. وأشار آخر إلى أن المواعيد النهائية للإبلاغ عن البيانات تكون دائماً قبل انعقاد اجتماعات لجنة التنفيذ واجتماعات الأطراف بفترة قصيرة جداً، مما يؤدى إلى تعقيد عملية مناقشة حالة امتثال الأطراف. ومع ذلك، لم يكن لديه حل ليقترحه.</w:t>
      </w:r>
    </w:p>
    <w:p w14:paraId="2AFC6257" w14:textId="77777777" w:rsidR="006206DC" w:rsidRPr="000B5AE8" w:rsidRDefault="006206DC" w:rsidP="00E8404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وفيما يتعلق بالتغييرات في البيانات الأساسية، أشار عضوان إلى أنه في حين يمكن التعامل مع بعض التغييرات التي تطلبها الأطراف بسلاسة شديدة، فإن بعضها الآخر كان أكثر صعوبة، وكانت السمة المشتركة بينها عادة هي نقاط الضعف في الرقابة الجمركية والترخيص والإنفاذ. وأشار آخر إلى مشكلة عدم دقة أو بطء نقل المعلومات من وكالات الجمارك.</w:t>
      </w:r>
    </w:p>
    <w:p w14:paraId="2F556698" w14:textId="77777777" w:rsidR="006206DC" w:rsidRPr="000B5AE8" w:rsidRDefault="006206DC" w:rsidP="00E8404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وفيما يتعلق بمسائل أخرى، أشار أحد الأعضاء إلى أنه في كثير من الأحيان عندما تواجه الأطراف صعوبات في جمع البيانات أو الامتثال لتدابير الرقابة، فإن المشكلة تظهر أولاً في تقاريرها إلى أمانة الصندوق المتعدد الأطراف أو الوكالات المنفذة. وتساءل عما إذا كان من الممكن الإبلاغ عن هذه المشاكل في وقت مبكر لتنبيه لجنة التنفيذ إليها.</w:t>
      </w:r>
    </w:p>
    <w:p w14:paraId="7A4D9787" w14:textId="77777777" w:rsidR="006206DC" w:rsidRPr="000B5AE8" w:rsidRDefault="006206DC" w:rsidP="00E8404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وشكر الرئيس جميع أعضاء اللجنة على مساهماتهم، وأعلن أنه يعتزم إدراجها في مساهمته في المناقشات التي ستجري في الاجتماع غير الرسمي للأطراف.</w:t>
      </w:r>
    </w:p>
    <w:p w14:paraId="0DBB0CBC" w14:textId="09C3A867" w:rsidR="006206DC" w:rsidRPr="00E84049" w:rsidRDefault="006206DC" w:rsidP="00E84049">
      <w:pPr>
        <w:keepNext/>
        <w:tabs>
          <w:tab w:val="clear" w:pos="1247"/>
          <w:tab w:val="clear" w:pos="1814"/>
          <w:tab w:val="clear" w:pos="2381"/>
          <w:tab w:val="clear" w:pos="2948"/>
          <w:tab w:val="clear" w:pos="3515"/>
        </w:tabs>
        <w:suppressAutoHyphens/>
        <w:bidi/>
        <w:spacing w:after="120" w:line="360" w:lineRule="exact"/>
        <w:ind w:left="1134" w:hanging="850"/>
        <w:jc w:val="both"/>
        <w:textDirection w:val="tbRlV"/>
        <w:rPr>
          <w:rFonts w:ascii="Simplified Arabic" w:eastAsia="Times New Roman" w:hAnsi="Simplified Arabic" w:hint="default"/>
          <w:b/>
          <w:bCs/>
          <w:sz w:val="26"/>
          <w:szCs w:val="26"/>
        </w:rPr>
      </w:pPr>
      <w:r w:rsidRPr="00E84049">
        <w:rPr>
          <w:rFonts w:ascii="Simplified Arabic" w:eastAsia="Times New Roman" w:hAnsi="Simplified Arabic"/>
          <w:b/>
          <w:bCs/>
          <w:sz w:val="26"/>
          <w:szCs w:val="26"/>
          <w:rtl/>
        </w:rPr>
        <w:t>عاشراً-</w:t>
      </w:r>
      <w:r w:rsidRPr="00E84049">
        <w:rPr>
          <w:rFonts w:ascii="Simplified Arabic" w:eastAsia="Times New Roman" w:hAnsi="Simplified Arabic"/>
          <w:b/>
          <w:bCs/>
          <w:sz w:val="26"/>
          <w:szCs w:val="26"/>
          <w:rtl/>
        </w:rPr>
        <w:tab/>
        <w:t>مسائل أخرى</w:t>
      </w:r>
    </w:p>
    <w:p w14:paraId="5BE430FB" w14:textId="77777777" w:rsidR="006206DC" w:rsidRPr="000B5AE8" w:rsidRDefault="006206DC" w:rsidP="00E8404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r w:rsidRPr="000B5AE8">
        <w:rPr>
          <w:rFonts w:ascii="Simplified Arabic" w:hAnsi="Simplified Arabic"/>
          <w:sz w:val="24"/>
          <w:szCs w:val="24"/>
          <w:rtl/>
        </w:rPr>
        <w:t>لم تُثر أي مسائل أخرى.</w:t>
      </w:r>
    </w:p>
    <w:p w14:paraId="5C37FF39" w14:textId="77777777" w:rsidR="006206DC" w:rsidRPr="00E84049" w:rsidRDefault="006206DC" w:rsidP="00E84049">
      <w:pPr>
        <w:keepNext/>
        <w:tabs>
          <w:tab w:val="clear" w:pos="1247"/>
          <w:tab w:val="clear" w:pos="1814"/>
          <w:tab w:val="clear" w:pos="2381"/>
          <w:tab w:val="clear" w:pos="2948"/>
          <w:tab w:val="clear" w:pos="3515"/>
        </w:tabs>
        <w:suppressAutoHyphens/>
        <w:bidi/>
        <w:spacing w:after="120" w:line="360" w:lineRule="exact"/>
        <w:ind w:left="1134" w:hanging="1134"/>
        <w:jc w:val="both"/>
        <w:textDirection w:val="tbRlV"/>
        <w:rPr>
          <w:rFonts w:ascii="Simplified Arabic" w:eastAsia="Times New Roman" w:hAnsi="Simplified Arabic" w:hint="default"/>
          <w:b/>
          <w:bCs/>
          <w:sz w:val="26"/>
          <w:szCs w:val="26"/>
        </w:rPr>
      </w:pPr>
      <w:r w:rsidRPr="00E84049">
        <w:rPr>
          <w:rFonts w:ascii="Simplified Arabic" w:eastAsia="Times New Roman" w:hAnsi="Simplified Arabic"/>
          <w:b/>
          <w:bCs/>
          <w:sz w:val="26"/>
          <w:szCs w:val="26"/>
          <w:rtl/>
        </w:rPr>
        <w:t>حادي عشر-</w:t>
      </w:r>
      <w:r w:rsidRPr="00E84049">
        <w:rPr>
          <w:rFonts w:ascii="Simplified Arabic" w:eastAsia="Times New Roman" w:hAnsi="Simplified Arabic"/>
          <w:b/>
          <w:bCs/>
          <w:sz w:val="26"/>
          <w:szCs w:val="26"/>
          <w:rtl/>
        </w:rPr>
        <w:tab/>
        <w:t>اعتماد توصيات الاجتماع وتقريره</w:t>
      </w:r>
    </w:p>
    <w:p w14:paraId="6B471914" w14:textId="77777777" w:rsidR="006206DC" w:rsidRPr="000B5AE8" w:rsidRDefault="006206DC" w:rsidP="00E8404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Pr>
      </w:pPr>
      <w:bookmarkStart w:id="25" w:name="_Hlk180703829"/>
      <w:r w:rsidRPr="000B5AE8">
        <w:rPr>
          <w:rFonts w:ascii="Simplified Arabic" w:hAnsi="Simplified Arabic"/>
          <w:sz w:val="24"/>
          <w:szCs w:val="24"/>
          <w:rtl/>
        </w:rPr>
        <w:t>أقرت اللجنة التوصيات الواردة في هذا التقرير ووافقت على أن تعهد بوضع تقرير الاجتماع في صيغته النهائية والموافقة عليه إلى رئيسها، على أن يعمل بالتشاور مع الأمانة.</w:t>
      </w:r>
      <w:bookmarkEnd w:id="25"/>
    </w:p>
    <w:p w14:paraId="2199F945" w14:textId="77777777" w:rsidR="006206DC" w:rsidRPr="00E84049" w:rsidRDefault="006206DC" w:rsidP="00E84049">
      <w:pPr>
        <w:keepNext/>
        <w:tabs>
          <w:tab w:val="clear" w:pos="1247"/>
          <w:tab w:val="clear" w:pos="1814"/>
          <w:tab w:val="clear" w:pos="2381"/>
          <w:tab w:val="clear" w:pos="2948"/>
          <w:tab w:val="clear" w:pos="3515"/>
        </w:tabs>
        <w:suppressAutoHyphens/>
        <w:bidi/>
        <w:spacing w:after="120" w:line="360" w:lineRule="exact"/>
        <w:ind w:left="1134" w:hanging="1134"/>
        <w:jc w:val="both"/>
        <w:textDirection w:val="tbRlV"/>
        <w:rPr>
          <w:rFonts w:ascii="Simplified Arabic" w:eastAsia="Times New Roman" w:hAnsi="Simplified Arabic" w:hint="default"/>
          <w:b/>
          <w:bCs/>
          <w:sz w:val="26"/>
          <w:szCs w:val="26"/>
        </w:rPr>
      </w:pPr>
      <w:r w:rsidRPr="00E84049">
        <w:rPr>
          <w:rFonts w:ascii="Simplified Arabic" w:eastAsia="Times New Roman" w:hAnsi="Simplified Arabic"/>
          <w:b/>
          <w:bCs/>
          <w:sz w:val="26"/>
          <w:szCs w:val="26"/>
          <w:rtl/>
        </w:rPr>
        <w:t>ثاني عشر-</w:t>
      </w:r>
      <w:r w:rsidRPr="00E84049">
        <w:rPr>
          <w:rFonts w:ascii="Simplified Arabic" w:eastAsia="Times New Roman" w:hAnsi="Simplified Arabic"/>
          <w:b/>
          <w:bCs/>
          <w:sz w:val="26"/>
          <w:szCs w:val="26"/>
          <w:rtl/>
        </w:rPr>
        <w:tab/>
        <w:t>اختتام الاجتماع</w:t>
      </w:r>
    </w:p>
    <w:p w14:paraId="2218C2B7" w14:textId="77777777" w:rsidR="002A0884" w:rsidRPr="000B5AE8" w:rsidRDefault="006206DC" w:rsidP="00E84049">
      <w:pPr>
        <w:pStyle w:val="Normalnumber"/>
        <w:numPr>
          <w:ilvl w:val="0"/>
          <w:numId w:val="18"/>
        </w:numPr>
        <w:tabs>
          <w:tab w:val="clear" w:pos="511"/>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sz w:val="24"/>
          <w:szCs w:val="24"/>
          <w:rtl/>
        </w:rPr>
        <w:t>بعد تبادل عبارات المجاملة المعتادة، أعلن الرئيس اختتام الاجتماع في الساعة 4:30 من بعد ظهر يوم السبت، 1 تشرين الثاني/نوفمبر 2025.</w:t>
      </w:r>
    </w:p>
    <w:p w14:paraId="36B55A82" w14:textId="02235FA4" w:rsidR="00F63A51" w:rsidRPr="000B5AE8" w:rsidRDefault="00F63A51" w:rsidP="000B5AE8">
      <w:pPr>
        <w:pStyle w:val="Normalnumber"/>
        <w:numPr>
          <w:ilvl w:val="0"/>
          <w:numId w:val="18"/>
        </w:numPr>
        <w:tabs>
          <w:tab w:val="clear" w:pos="511"/>
          <w:tab w:val="clear" w:pos="1247"/>
          <w:tab w:val="clear" w:pos="1814"/>
          <w:tab w:val="clear" w:pos="2381"/>
          <w:tab w:val="clear" w:pos="2948"/>
          <w:tab w:val="clear" w:pos="3515"/>
        </w:tabs>
        <w:bidi/>
        <w:spacing w:line="360" w:lineRule="exact"/>
        <w:ind w:left="1134"/>
        <w:jc w:val="both"/>
        <w:textDirection w:val="tbRlV"/>
        <w:rPr>
          <w:rFonts w:ascii="Simplified Arabic" w:hAnsi="Simplified Arabic" w:hint="default"/>
          <w:sz w:val="24"/>
          <w:szCs w:val="24"/>
          <w:rtl/>
        </w:rPr>
      </w:pPr>
      <w:r w:rsidRPr="000B5AE8">
        <w:rPr>
          <w:rFonts w:ascii="Simplified Arabic" w:hAnsi="Simplified Arabic" w:hint="default"/>
          <w:sz w:val="24"/>
          <w:szCs w:val="24"/>
          <w:rtl/>
        </w:rPr>
        <w:br w:type="page"/>
      </w:r>
    </w:p>
    <w:p w14:paraId="65FD9690" w14:textId="781D7686" w:rsidR="00F63A51" w:rsidRPr="00E84049" w:rsidRDefault="00F63A51" w:rsidP="00E84049">
      <w:pPr>
        <w:pStyle w:val="ZZAnxheader"/>
        <w:tabs>
          <w:tab w:val="clear" w:pos="624"/>
          <w:tab w:val="clear" w:pos="1247"/>
          <w:tab w:val="clear" w:pos="1871"/>
          <w:tab w:val="clear" w:pos="2495"/>
          <w:tab w:val="clear" w:pos="3119"/>
          <w:tab w:val="clear" w:pos="3742"/>
          <w:tab w:val="clear" w:pos="4366"/>
          <w:tab w:val="clear" w:pos="4990"/>
        </w:tabs>
        <w:bidi/>
        <w:spacing w:after="360" w:line="360" w:lineRule="exact"/>
        <w:jc w:val="both"/>
        <w:textDirection w:val="tbRlV"/>
        <w:rPr>
          <w:rFonts w:ascii="Simplified Arabic" w:hAnsi="Simplified Arabic" w:cs="Simplified Arabic"/>
          <w:sz w:val="30"/>
          <w:szCs w:val="30"/>
          <w:lang w:val="en-US" w:eastAsia="zh-TW" w:bidi="en-GB"/>
        </w:rPr>
      </w:pPr>
      <w:r w:rsidRPr="00E84049">
        <w:rPr>
          <w:rFonts w:ascii="Simplified Arabic" w:hAnsi="Simplified Arabic" w:cs="Simplified Arabic"/>
          <w:sz w:val="30"/>
          <w:szCs w:val="30"/>
          <w:rtl/>
        </w:rPr>
        <w:lastRenderedPageBreak/>
        <w:t>المرفق</w:t>
      </w:r>
      <w:r w:rsidR="00023AF8" w:rsidRPr="00E84049">
        <w:rPr>
          <w:rFonts w:ascii="Simplified Arabic" w:hAnsi="Simplified Arabic" w:cs="Simplified Arabic" w:hint="cs"/>
          <w:sz w:val="30"/>
          <w:szCs w:val="30"/>
          <w:rtl/>
        </w:rPr>
        <w:t xml:space="preserve"> الأول</w:t>
      </w:r>
    </w:p>
    <w:p w14:paraId="3CBEC2A9" w14:textId="77777777" w:rsidR="00F84C45" w:rsidRPr="00E84049" w:rsidRDefault="00F84C45" w:rsidP="00E84049">
      <w:pPr>
        <w:pStyle w:val="BBTitle"/>
        <w:keepNext w:val="0"/>
        <w:keepLines w:val="0"/>
        <w:tabs>
          <w:tab w:val="clear" w:pos="624"/>
          <w:tab w:val="clear" w:pos="1247"/>
          <w:tab w:val="clear" w:pos="1871"/>
          <w:tab w:val="clear" w:pos="2495"/>
          <w:tab w:val="clear" w:pos="3119"/>
          <w:tab w:val="clear" w:pos="3742"/>
          <w:tab w:val="clear" w:pos="4366"/>
          <w:tab w:val="clear" w:pos="4990"/>
        </w:tabs>
        <w:bidi/>
        <w:spacing w:before="0" w:line="360" w:lineRule="exact"/>
        <w:ind w:left="1134" w:right="0"/>
        <w:jc w:val="both"/>
        <w:textDirection w:val="tbRlV"/>
        <w:rPr>
          <w:rFonts w:ascii="Simplified Arabic" w:hAnsi="Simplified Arabic" w:cs="Simplified Arabic"/>
          <w:bCs/>
          <w:rtl/>
          <w:lang w:val="ar-SA" w:eastAsia="zh-TW" w:bidi="en-GB"/>
        </w:rPr>
      </w:pPr>
      <w:r w:rsidRPr="00E84049">
        <w:rPr>
          <w:rFonts w:ascii="Simplified Arabic" w:hAnsi="Simplified Arabic" w:cs="Simplified Arabic"/>
          <w:bCs/>
          <w:rtl/>
        </w:rPr>
        <w:t>مشاريع المقررات التي أحالتها لجنة التنفيذ بموجب إجراء عدم الامتثال لبروتوكول مونتريال في اجتماعيها الرابع والسبعين والخامس والسبعين لكي ينظر فيها الاجتماع السابع والثلاثون للأطراف في بروتوكول مونتريال</w:t>
      </w:r>
    </w:p>
    <w:p w14:paraId="7D3EB205" w14:textId="21376F89" w:rsidR="00F84C45" w:rsidRPr="00E84049" w:rsidRDefault="00183E4E" w:rsidP="00E84049">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w w:val="96"/>
          <w:sz w:val="24"/>
          <w:szCs w:val="24"/>
          <w:rtl/>
          <w:lang w:val="ar-SA" w:eastAsia="zh-TW" w:bidi="en-GB"/>
        </w:rPr>
      </w:pPr>
      <w:r w:rsidRPr="00E84049">
        <w:rPr>
          <w:rFonts w:ascii="Simplified Arabic" w:hAnsi="Simplified Arabic" w:cs="Simplified Arabic" w:hint="cs"/>
          <w:bCs/>
          <w:w w:val="96"/>
          <w:sz w:val="24"/>
          <w:szCs w:val="24"/>
          <w:rtl/>
          <w:lang w:val="en-GB"/>
        </w:rPr>
        <w:t>ألف-</w:t>
      </w:r>
      <w:r w:rsidR="00763D3B" w:rsidRPr="00E84049">
        <w:rPr>
          <w:rFonts w:ascii="Simplified Arabic" w:hAnsi="Simplified Arabic" w:cs="Simplified Arabic"/>
          <w:bCs/>
          <w:w w:val="96"/>
          <w:sz w:val="24"/>
          <w:szCs w:val="24"/>
          <w:rtl/>
          <w:lang w:val="en-GB"/>
        </w:rPr>
        <w:tab/>
      </w:r>
      <w:r w:rsidR="00F84C45" w:rsidRPr="00E84049">
        <w:rPr>
          <w:rFonts w:ascii="Simplified Arabic" w:hAnsi="Simplified Arabic" w:cs="Simplified Arabic"/>
          <w:bCs/>
          <w:w w:val="96"/>
          <w:sz w:val="24"/>
          <w:szCs w:val="24"/>
          <w:rtl/>
        </w:rPr>
        <w:t>مشروع المقرر 37/[--]: البيانات والمعلومات التي قدمتها الأطراف وفقاً للمادة 7 من بروتوكول مونتريال</w:t>
      </w:r>
    </w:p>
    <w:p w14:paraId="694067D8" w14:textId="77777777" w:rsidR="00F84C45" w:rsidRPr="000B5AE8" w:rsidRDefault="00F84C45" w:rsidP="00E84049">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hint="default"/>
          <w:i/>
          <w:iCs/>
          <w:sz w:val="24"/>
          <w:szCs w:val="24"/>
          <w:rtl/>
          <w:lang w:val="ar-SA" w:eastAsia="zh-TW" w:bidi="en-GB"/>
        </w:rPr>
      </w:pPr>
      <w:r w:rsidRPr="000B5AE8">
        <w:rPr>
          <w:rFonts w:ascii="Simplified Arabic" w:hAnsi="Simplified Arabic" w:hint="default"/>
          <w:i/>
          <w:iCs/>
          <w:sz w:val="24"/>
          <w:szCs w:val="24"/>
          <w:rtl/>
        </w:rPr>
        <w:t>إن الاجتماع السابع والثلاثين للأطراف يُقرِّر</w:t>
      </w:r>
      <w:r w:rsidRPr="000B5AE8">
        <w:rPr>
          <w:rFonts w:ascii="Simplified Arabic" w:hAnsi="Simplified Arabic" w:hint="default"/>
          <w:i/>
          <w:iCs/>
          <w:sz w:val="24"/>
          <w:szCs w:val="24"/>
        </w:rPr>
        <w:t>:</w:t>
      </w:r>
    </w:p>
    <w:p w14:paraId="66DCB763" w14:textId="77777777" w:rsidR="00F84C45" w:rsidRPr="00E84049" w:rsidRDefault="00F84C45" w:rsidP="00E84049">
      <w:pPr>
        <w:pStyle w:val="NormalNonumber"/>
        <w:numPr>
          <w:ilvl w:val="0"/>
          <w:numId w:val="24"/>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lowKashida"/>
        <w:textDirection w:val="tbRlV"/>
        <w:rPr>
          <w:rFonts w:ascii="Simplified Arabic" w:hAnsi="Simplified Arabic" w:cs="Simplified Arabic"/>
          <w:sz w:val="24"/>
          <w:szCs w:val="24"/>
          <w:rtl/>
          <w:lang w:val="ar-SA" w:eastAsia="zh-TW" w:bidi="en-GB"/>
        </w:rPr>
      </w:pPr>
      <w:r w:rsidRPr="00E84049">
        <w:rPr>
          <w:rFonts w:ascii="Simplified Arabic" w:hAnsi="Simplified Arabic" w:cs="Simplified Arabic"/>
          <w:sz w:val="24"/>
          <w:szCs w:val="24"/>
          <w:rtl/>
        </w:rPr>
        <w:t>أن يلاحظ أن 194 طرفاً من الأطراف البالغ عددها 198 التي كان ينبغي أن تقدم بيانات لعام 2024، قد فعلت ذلك بحلول 31 تشرين الأول/أكتوبر 2025، وأن 123 طرفاً من هذه الأطراف فعلت ذلك من خلال نظام الإبلاغ عبر الإنترنت، وأن 170 طرفا من الأطراف قد أبلغت عن بياناتها بحلول 30</w:t>
      </w:r>
      <w:r w:rsidRPr="00E84049">
        <w:rPr>
          <w:rFonts w:ascii="Simplified Arabic" w:hAnsi="Simplified Arabic" w:cs="Simplified Arabic"/>
          <w:sz w:val="24"/>
          <w:szCs w:val="24"/>
        </w:rPr>
        <w:t> </w:t>
      </w:r>
      <w:r w:rsidRPr="00E84049">
        <w:rPr>
          <w:rFonts w:ascii="Simplified Arabic" w:hAnsi="Simplified Arabic" w:cs="Simplified Arabic"/>
          <w:sz w:val="24"/>
          <w:szCs w:val="24"/>
          <w:rtl/>
        </w:rPr>
        <w:t>أيلول/سبتمبر 2025 على النحو المطلوب بموجب الفقرة 3 من المادة 7 من بروتوكول مونتريال بشأن المواد المستنفدة لطبقة الأوزون؛</w:t>
      </w:r>
    </w:p>
    <w:p w14:paraId="3C743CB6" w14:textId="77777777" w:rsidR="00F84C45" w:rsidRPr="00E84049" w:rsidRDefault="00F84C45" w:rsidP="00E84049">
      <w:pPr>
        <w:pStyle w:val="NormalNonumber"/>
        <w:numPr>
          <w:ilvl w:val="0"/>
          <w:numId w:val="24"/>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w w:val="99"/>
          <w:sz w:val="24"/>
          <w:szCs w:val="24"/>
          <w:rtl/>
          <w:lang w:val="ar-SA" w:eastAsia="zh-TW" w:bidi="en-GB"/>
        </w:rPr>
      </w:pPr>
      <w:r w:rsidRPr="00E84049">
        <w:rPr>
          <w:rFonts w:ascii="Simplified Arabic" w:hAnsi="Simplified Arabic" w:cs="Simplified Arabic"/>
          <w:w w:val="99"/>
          <w:sz w:val="24"/>
          <w:szCs w:val="24"/>
          <w:rtl/>
        </w:rPr>
        <w:t>أن يلاحظ مع التقدير أن 74 من الأطراف المبلغة قدمت بياناتها لعام 2024 بحلول 30</w:t>
      </w:r>
      <w:r w:rsidRPr="00E84049">
        <w:rPr>
          <w:rFonts w:ascii="Simplified Arabic" w:hAnsi="Simplified Arabic" w:cs="Simplified Arabic"/>
          <w:w w:val="99"/>
          <w:sz w:val="24"/>
          <w:szCs w:val="24"/>
        </w:rPr>
        <w:t> </w:t>
      </w:r>
      <w:r w:rsidRPr="00E84049">
        <w:rPr>
          <w:rFonts w:ascii="Simplified Arabic" w:hAnsi="Simplified Arabic" w:cs="Simplified Arabic"/>
          <w:w w:val="99"/>
          <w:sz w:val="24"/>
          <w:szCs w:val="24"/>
          <w:rtl/>
        </w:rPr>
        <w:t>حزيران/يونيه 2025 وفقاً للتشجيع الوارد في المقرر 15/15، وأن الإبلاغ بحلول 30 حزيران/يونيه من كل عام يسهّل إلى حد كبير أعمال اللجنة التنفيذية للصندوق المتعدد الأطراف لتنفيذ بروتوكول مونتريال فيما يتعلق بمساعدة الأطراف العاملة بالفقرة 1 من المادة 5 من البروتوكول على الامتثال لتدابير الرقابة في إطار البروتوكول؛</w:t>
      </w:r>
    </w:p>
    <w:p w14:paraId="5249F399" w14:textId="77777777" w:rsidR="00F84C45" w:rsidRPr="00E84049" w:rsidRDefault="00F84C45" w:rsidP="00E84049">
      <w:pPr>
        <w:pStyle w:val="NormalNonumber"/>
        <w:numPr>
          <w:ilvl w:val="0"/>
          <w:numId w:val="24"/>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E84049">
        <w:rPr>
          <w:rFonts w:ascii="Simplified Arabic" w:hAnsi="Simplified Arabic" w:cs="Simplified Arabic"/>
          <w:sz w:val="24"/>
          <w:szCs w:val="24"/>
          <w:rtl/>
        </w:rPr>
        <w:t>أن يلاحظ مع القلق أن أربعة أطراف، وهي أرمينيا وآيسلندا وجزر القمر وسان تومي وبرينسيبي لم تبلغ عن بياناتها لعام 2024 بحلول 31 تشرين الأول/أكتوبر 2025، وأن هذا يضعها في حالة عدم امتثال لالتزاماتها المتعلقة بالإبلاغ عن البيانات بموجب الفقرة 3 من المادة 7 من بروتوكول مونتريال إلى أن تتلقى أمانة الأوزون بياناتها المتأخرة؛</w:t>
      </w:r>
    </w:p>
    <w:p w14:paraId="7A131A7B" w14:textId="77777777" w:rsidR="00F84C45" w:rsidRPr="00E84049" w:rsidRDefault="00F84C45" w:rsidP="00E84049">
      <w:pPr>
        <w:pStyle w:val="NormalNonumber"/>
        <w:numPr>
          <w:ilvl w:val="0"/>
          <w:numId w:val="24"/>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E84049">
        <w:rPr>
          <w:rFonts w:ascii="Simplified Arabic" w:hAnsi="Simplified Arabic" w:cs="Simplified Arabic"/>
          <w:sz w:val="24"/>
          <w:szCs w:val="24"/>
          <w:rtl/>
        </w:rPr>
        <w:t>أن يلاحظ أن عدم تقديم الأطراف للبيانات في الوقت المناسب يحول دون الرصد والتقييم الفعالين لامتثالها لالتزاماتها بموجب بروتوكول مونتريال؛</w:t>
      </w:r>
    </w:p>
    <w:p w14:paraId="49EBE216" w14:textId="77777777" w:rsidR="00F84C45" w:rsidRPr="00E84049" w:rsidRDefault="00F84C45" w:rsidP="00E84049">
      <w:pPr>
        <w:pStyle w:val="NormalNonumber"/>
        <w:numPr>
          <w:ilvl w:val="0"/>
          <w:numId w:val="24"/>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E84049">
        <w:rPr>
          <w:rFonts w:ascii="Simplified Arabic" w:hAnsi="Simplified Arabic" w:cs="Simplified Arabic"/>
          <w:sz w:val="24"/>
          <w:szCs w:val="24"/>
          <w:rtl/>
        </w:rPr>
        <w:t>أن يحث الأطراف المدرجة في الفقرة 3 أعلاه التي لم تبلغ الأمانة بعد بالبيانات المطلوبة على أن تفعل ذلك في أسرع وقت ممكن؛</w:t>
      </w:r>
    </w:p>
    <w:p w14:paraId="794D3424" w14:textId="77777777" w:rsidR="00F84C45" w:rsidRPr="00E84049" w:rsidRDefault="00F84C45" w:rsidP="00E84049">
      <w:pPr>
        <w:pStyle w:val="NormalNonumber"/>
        <w:numPr>
          <w:ilvl w:val="0"/>
          <w:numId w:val="24"/>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E84049">
        <w:rPr>
          <w:rFonts w:ascii="Simplified Arabic" w:hAnsi="Simplified Arabic" w:cs="Simplified Arabic"/>
          <w:sz w:val="24"/>
          <w:szCs w:val="24"/>
          <w:rtl/>
        </w:rPr>
        <w:t>أن يطلب إلى لجنة التنفيذ بموجب إجراء عدم الامتثال لبروتوكول مونتريال أن تستعرض حالة تلك الأطراف في اجتماعها السادس والسبعين؛</w:t>
      </w:r>
    </w:p>
    <w:p w14:paraId="21D6343A" w14:textId="77777777" w:rsidR="00F84C45" w:rsidRPr="00E84049" w:rsidRDefault="00F84C45" w:rsidP="00E84049">
      <w:pPr>
        <w:pStyle w:val="NormalNonumber"/>
        <w:numPr>
          <w:ilvl w:val="0"/>
          <w:numId w:val="24"/>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E84049">
        <w:rPr>
          <w:rFonts w:ascii="Simplified Arabic" w:hAnsi="Simplified Arabic" w:cs="Simplified Arabic"/>
          <w:sz w:val="24"/>
          <w:szCs w:val="24"/>
          <w:rtl/>
        </w:rPr>
        <w:t>أن يشجع الأطراف على مواصلة الإبلاغ عن بيانات الاستهلاك والإنتاج حالما تتوافر الأرقام، ويفضل أن يكون ذلك بحلول 30 حزيران/يونيه من كل عام، على النحو الذي يشجع عليه المقرر 15/15، والمقررات اللاحقة بشأن هذه المسألة.</w:t>
      </w:r>
    </w:p>
    <w:p w14:paraId="67D416C8" w14:textId="455B406D" w:rsidR="00F84C45" w:rsidRPr="00E84049" w:rsidRDefault="00412A00" w:rsidP="00E84049">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w w:val="96"/>
          <w:sz w:val="24"/>
          <w:szCs w:val="24"/>
          <w:rtl/>
          <w:lang w:bidi="en-GB"/>
        </w:rPr>
      </w:pPr>
      <w:r w:rsidRPr="00E84049">
        <w:rPr>
          <w:rFonts w:ascii="Simplified Arabic" w:hAnsi="Simplified Arabic" w:cs="Simplified Arabic" w:hint="cs"/>
          <w:bCs/>
          <w:w w:val="96"/>
          <w:sz w:val="24"/>
          <w:szCs w:val="24"/>
          <w:rtl/>
        </w:rPr>
        <w:t>باء-</w:t>
      </w:r>
      <w:r w:rsidRPr="00E84049">
        <w:rPr>
          <w:rFonts w:ascii="Simplified Arabic" w:hAnsi="Simplified Arabic" w:cs="Simplified Arabic"/>
          <w:bCs/>
          <w:w w:val="96"/>
          <w:sz w:val="24"/>
          <w:szCs w:val="24"/>
          <w:rtl/>
        </w:rPr>
        <w:tab/>
      </w:r>
      <w:r w:rsidR="00F84C45" w:rsidRPr="00E84049">
        <w:rPr>
          <w:rFonts w:ascii="Simplified Arabic" w:hAnsi="Simplified Arabic" w:cs="Simplified Arabic"/>
          <w:bCs/>
          <w:w w:val="96"/>
          <w:sz w:val="24"/>
          <w:szCs w:val="24"/>
          <w:rtl/>
        </w:rPr>
        <w:t>مشروع المقرر 37/[--]: عدم الامتثال لبروتوكول مونتريال من جانب جمهورية كوريا الشعبية الديمقراطية</w:t>
      </w:r>
    </w:p>
    <w:p w14:paraId="4E7AE15B" w14:textId="77777777" w:rsidR="00F84C45" w:rsidRPr="000B5AE8" w:rsidRDefault="00F84C45" w:rsidP="00E84049">
      <w:p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hint="default"/>
          <w:i/>
          <w:iCs/>
          <w:sz w:val="24"/>
          <w:szCs w:val="24"/>
          <w:rtl/>
          <w:lang w:val="ar-SA" w:eastAsia="zh-TW" w:bidi="en-GB"/>
        </w:rPr>
      </w:pPr>
      <w:r w:rsidRPr="000B5AE8">
        <w:rPr>
          <w:rFonts w:ascii="Simplified Arabic" w:hAnsi="Simplified Arabic" w:hint="default"/>
          <w:i/>
          <w:iCs/>
          <w:sz w:val="24"/>
          <w:szCs w:val="24"/>
          <w:rtl/>
        </w:rPr>
        <w:t>إن الاجتماع السابع والثلاثين للأطراف،</w:t>
      </w:r>
    </w:p>
    <w:p w14:paraId="5B242CB5" w14:textId="77777777" w:rsidR="00F84C45" w:rsidRPr="000B5AE8" w:rsidRDefault="00F84C45" w:rsidP="00AC2114">
      <w:p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lowKashida"/>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إذ يشير</w:t>
      </w:r>
      <w:r w:rsidRPr="000B5AE8">
        <w:rPr>
          <w:rFonts w:ascii="Simplified Arabic" w:hAnsi="Simplified Arabic" w:hint="default"/>
          <w:sz w:val="24"/>
          <w:szCs w:val="24"/>
          <w:rtl/>
        </w:rPr>
        <w:t xml:space="preserve"> إلى المقرر 32/6، الذي أشار فيه الاجتماع الثاني والثلاثون للأطراف في بروتوكول مونتريال بشأن المواد المستنفدة لطبقة الأوزون إلى أن جمهورية كوريا الشعبية الديمقراطية كانت في حالة عدم امتثال لتدابير الرقابة بموجب بروتوكول مونتريال فيما يتعلق بإنتاج واستهلاك مركبات الكربون الهيدروكلورية فلورية في </w:t>
      </w:r>
      <w:r w:rsidRPr="000B5AE8">
        <w:rPr>
          <w:rFonts w:ascii="Simplified Arabic" w:hAnsi="Simplified Arabic" w:hint="default"/>
          <w:sz w:val="24"/>
          <w:szCs w:val="24"/>
          <w:rtl/>
        </w:rPr>
        <w:lastRenderedPageBreak/>
        <w:t>عام 2019، ولكنه أحاط علما أيضا مع التقدير بخطة العمل التي قدمها الطرف لضمان عودته إلى الامتثال لتلك التدابير في عام 2023،</w:t>
      </w:r>
    </w:p>
    <w:p w14:paraId="15D414FE" w14:textId="77777777" w:rsidR="00F84C45" w:rsidRPr="000B5AE8" w:rsidRDefault="00F84C45" w:rsidP="00E84049">
      <w:p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وإذ يلاحظ مع القلق</w:t>
      </w:r>
      <w:r w:rsidRPr="000B5AE8">
        <w:rPr>
          <w:rFonts w:ascii="Simplified Arabic" w:hAnsi="Simplified Arabic" w:hint="default"/>
          <w:sz w:val="24"/>
          <w:szCs w:val="24"/>
          <w:rtl/>
        </w:rPr>
        <w:t xml:space="preserve"> أن جمهورية كوريا الشعبية الديمقراطية أبلغت، لعام 2021، عن إنتاج سنوي قدره 24,81 طناً استنفادياً من مركبات الكربون الهيدروكلورية فلورية واستهلاك سنوي قدره 58,03 طناً استنفادياً من مركبات الكربون الهيدروكلورية فلورية، وهو أعلى من التزامها، على النحو المبين في المقرر 32/6، بتخفيض إنتاجها واستهلاكها من مركبات الكربون الهيدروكلورية فلورية إلى ما لا يزيد عن 24,80 طناً استنفادياً و58,00 طناً استنفادياً، على التوالي،</w:t>
      </w:r>
    </w:p>
    <w:p w14:paraId="043603B5" w14:textId="6FA37B44" w:rsidR="00F84C45" w:rsidRPr="000B5AE8" w:rsidRDefault="00F84C45" w:rsidP="00E84049">
      <w:p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 xml:space="preserve">وإذ يلاحظ </w:t>
      </w:r>
      <w:r w:rsidR="00820495" w:rsidRPr="000B5AE8">
        <w:rPr>
          <w:rFonts w:ascii="Simplified Arabic" w:hAnsi="Simplified Arabic" w:hint="default"/>
          <w:i/>
          <w:iCs/>
          <w:sz w:val="24"/>
          <w:szCs w:val="24"/>
          <w:rtl/>
        </w:rPr>
        <w:t>أيضا</w:t>
      </w:r>
      <w:r w:rsidR="00820495" w:rsidRPr="000B5AE8">
        <w:rPr>
          <w:rFonts w:ascii="Simplified Arabic" w:hAnsi="Simplified Arabic"/>
          <w:i/>
          <w:iCs/>
          <w:sz w:val="24"/>
          <w:szCs w:val="24"/>
          <w:rtl/>
          <w:lang w:val="en-US"/>
        </w:rPr>
        <w:t>ً</w:t>
      </w:r>
      <w:r w:rsidR="00820495" w:rsidRPr="000B5AE8">
        <w:rPr>
          <w:rFonts w:ascii="Simplified Arabic" w:hAnsi="Simplified Arabic" w:hint="default"/>
          <w:sz w:val="24"/>
          <w:szCs w:val="24"/>
          <w:rtl/>
        </w:rPr>
        <w:t xml:space="preserve"> </w:t>
      </w:r>
      <w:r w:rsidRPr="000B5AE8">
        <w:rPr>
          <w:rFonts w:ascii="Simplified Arabic" w:hAnsi="Simplified Arabic" w:hint="default"/>
          <w:i/>
          <w:iCs/>
          <w:sz w:val="24"/>
          <w:szCs w:val="24"/>
          <w:rtl/>
        </w:rPr>
        <w:t xml:space="preserve">مع القلق </w:t>
      </w:r>
      <w:r w:rsidRPr="000B5AE8">
        <w:rPr>
          <w:rFonts w:ascii="Simplified Arabic" w:hAnsi="Simplified Arabic" w:hint="default"/>
          <w:sz w:val="24"/>
          <w:szCs w:val="24"/>
          <w:rtl/>
        </w:rPr>
        <w:t>أن جمهورية كوريا الشعبية الديمقراطية قد أبلغت، لعام 2023، عن إنتاج سنوي قدره 24,77 طنا</w:t>
      </w:r>
      <w:r w:rsidRPr="000B5AE8">
        <w:rPr>
          <w:rFonts w:ascii="Simplified Arabic" w:hAnsi="Simplified Arabic"/>
          <w:sz w:val="24"/>
          <w:szCs w:val="24"/>
          <w:rtl/>
          <w:lang w:val="en-US"/>
        </w:rPr>
        <w:t>ً</w:t>
      </w:r>
      <w:r w:rsidRPr="000B5AE8">
        <w:rPr>
          <w:rFonts w:ascii="Simplified Arabic" w:hAnsi="Simplified Arabic" w:hint="default"/>
          <w:sz w:val="24"/>
          <w:szCs w:val="24"/>
          <w:rtl/>
        </w:rPr>
        <w:t xml:space="preserve"> استنفاديا</w:t>
      </w:r>
      <w:r w:rsidRPr="000B5AE8">
        <w:rPr>
          <w:rFonts w:ascii="Simplified Arabic" w:hAnsi="Simplified Arabic"/>
          <w:sz w:val="24"/>
          <w:szCs w:val="24"/>
          <w:rtl/>
        </w:rPr>
        <w:t>ً</w:t>
      </w:r>
      <w:r w:rsidRPr="000B5AE8">
        <w:rPr>
          <w:rFonts w:ascii="Simplified Arabic" w:hAnsi="Simplified Arabic" w:hint="default"/>
          <w:sz w:val="24"/>
          <w:szCs w:val="24"/>
          <w:rtl/>
        </w:rPr>
        <w:t xml:space="preserve"> من مركبات الكربون الهيدروكلورية فلورية واستهلاك سنوي قدره 57,76 طنا</w:t>
      </w:r>
      <w:r w:rsidRPr="000B5AE8">
        <w:rPr>
          <w:rFonts w:ascii="Simplified Arabic" w:hAnsi="Simplified Arabic"/>
          <w:sz w:val="24"/>
          <w:szCs w:val="24"/>
          <w:rtl/>
        </w:rPr>
        <w:t>ً</w:t>
      </w:r>
      <w:r w:rsidRPr="000B5AE8">
        <w:rPr>
          <w:rFonts w:ascii="Simplified Arabic" w:hAnsi="Simplified Arabic" w:hint="default"/>
          <w:sz w:val="24"/>
          <w:szCs w:val="24"/>
          <w:rtl/>
        </w:rPr>
        <w:t xml:space="preserve"> استنفاديا</w:t>
      </w:r>
      <w:r w:rsidRPr="000B5AE8">
        <w:rPr>
          <w:rFonts w:ascii="Simplified Arabic" w:hAnsi="Simplified Arabic"/>
          <w:sz w:val="24"/>
          <w:szCs w:val="24"/>
          <w:rtl/>
        </w:rPr>
        <w:t>ً</w:t>
      </w:r>
      <w:r w:rsidRPr="000B5AE8">
        <w:rPr>
          <w:rFonts w:ascii="Simplified Arabic" w:hAnsi="Simplified Arabic" w:hint="default"/>
          <w:sz w:val="24"/>
          <w:szCs w:val="24"/>
          <w:rtl/>
        </w:rPr>
        <w:t xml:space="preserve"> من مركبات الكربون الهيدروكلورية فلورية، وهو أعلى من التزامها، على النحو المبين في المقرر32/6 بتخفيض إنتاجها واستهلاكها من مركبات الكربون الهيدروكلورية فلورية إلى ما لا يزيد عن 0 طن استنفادي و33,20 طنا</w:t>
      </w:r>
      <w:r w:rsidRPr="000B5AE8">
        <w:rPr>
          <w:rFonts w:ascii="Simplified Arabic" w:hAnsi="Simplified Arabic"/>
          <w:sz w:val="24"/>
          <w:szCs w:val="24"/>
          <w:rtl/>
        </w:rPr>
        <w:t>ً</w:t>
      </w:r>
      <w:r w:rsidRPr="000B5AE8">
        <w:rPr>
          <w:rFonts w:ascii="Simplified Arabic" w:hAnsi="Simplified Arabic" w:hint="default"/>
          <w:sz w:val="24"/>
          <w:szCs w:val="24"/>
          <w:rtl/>
        </w:rPr>
        <w:t xml:space="preserve"> استنفاديا</w:t>
      </w:r>
      <w:r w:rsidRPr="000B5AE8">
        <w:rPr>
          <w:rFonts w:ascii="Simplified Arabic" w:hAnsi="Simplified Arabic"/>
          <w:sz w:val="24"/>
          <w:szCs w:val="24"/>
          <w:rtl/>
        </w:rPr>
        <w:t>ً</w:t>
      </w:r>
      <w:r w:rsidRPr="000B5AE8">
        <w:rPr>
          <w:rFonts w:ascii="Simplified Arabic" w:hAnsi="Simplified Arabic" w:hint="default"/>
          <w:sz w:val="24"/>
          <w:szCs w:val="24"/>
          <w:rtl/>
        </w:rPr>
        <w:t>، على التوالي،</w:t>
      </w:r>
    </w:p>
    <w:p w14:paraId="2738E968" w14:textId="3E42D0AD" w:rsidR="00F84C45" w:rsidRPr="000B5AE8" w:rsidRDefault="00F84C45" w:rsidP="00E84049">
      <w:p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 xml:space="preserve">وإذ يلاحظ </w:t>
      </w:r>
      <w:r w:rsidR="00820495" w:rsidRPr="000B5AE8">
        <w:rPr>
          <w:rFonts w:ascii="Simplified Arabic" w:hAnsi="Simplified Arabic" w:hint="default"/>
          <w:i/>
          <w:iCs/>
          <w:sz w:val="24"/>
          <w:szCs w:val="24"/>
          <w:rtl/>
        </w:rPr>
        <w:t>كذلك</w:t>
      </w:r>
      <w:r w:rsidR="00820495" w:rsidRPr="000B5AE8">
        <w:rPr>
          <w:rFonts w:ascii="Simplified Arabic" w:hAnsi="Simplified Arabic" w:hint="default"/>
          <w:sz w:val="24"/>
          <w:szCs w:val="24"/>
          <w:rtl/>
        </w:rPr>
        <w:t xml:space="preserve"> </w:t>
      </w:r>
      <w:r w:rsidRPr="000B5AE8">
        <w:rPr>
          <w:rFonts w:ascii="Simplified Arabic" w:hAnsi="Simplified Arabic" w:hint="default"/>
          <w:i/>
          <w:iCs/>
          <w:sz w:val="24"/>
          <w:szCs w:val="24"/>
          <w:rtl/>
        </w:rPr>
        <w:t xml:space="preserve">مع القلق </w:t>
      </w:r>
      <w:r w:rsidRPr="000B5AE8">
        <w:rPr>
          <w:rFonts w:ascii="Simplified Arabic" w:hAnsi="Simplified Arabic" w:hint="default"/>
          <w:sz w:val="24"/>
          <w:szCs w:val="24"/>
          <w:rtl/>
        </w:rPr>
        <w:t>أن جمهورية كوريا الشعبية الديمقراطية قد أبلغت، لعام 2024، عن إنتاج سنوي قدره 21,61 طنا</w:t>
      </w:r>
      <w:r w:rsidRPr="000B5AE8">
        <w:rPr>
          <w:rFonts w:ascii="Simplified Arabic" w:hAnsi="Simplified Arabic"/>
          <w:sz w:val="24"/>
          <w:szCs w:val="24"/>
          <w:rtl/>
        </w:rPr>
        <w:t>ً</w:t>
      </w:r>
      <w:r w:rsidRPr="000B5AE8">
        <w:rPr>
          <w:rFonts w:ascii="Simplified Arabic" w:hAnsi="Simplified Arabic" w:hint="default"/>
          <w:sz w:val="24"/>
          <w:szCs w:val="24"/>
          <w:rtl/>
        </w:rPr>
        <w:t xml:space="preserve"> استنفاديا</w:t>
      </w:r>
      <w:r w:rsidRPr="000B5AE8">
        <w:rPr>
          <w:rFonts w:ascii="Simplified Arabic" w:hAnsi="Simplified Arabic"/>
          <w:sz w:val="24"/>
          <w:szCs w:val="24"/>
          <w:rtl/>
        </w:rPr>
        <w:t>ً</w:t>
      </w:r>
      <w:r w:rsidRPr="000B5AE8">
        <w:rPr>
          <w:rFonts w:ascii="Simplified Arabic" w:hAnsi="Simplified Arabic" w:hint="default"/>
          <w:sz w:val="24"/>
          <w:szCs w:val="24"/>
          <w:rtl/>
        </w:rPr>
        <w:t xml:space="preserve"> من مركبات الكربون الهيدروكلورية فلورية واستهلاك سنوي قدره 51,43 طنا</w:t>
      </w:r>
      <w:r w:rsidRPr="000B5AE8">
        <w:rPr>
          <w:rFonts w:ascii="Simplified Arabic" w:hAnsi="Simplified Arabic"/>
          <w:sz w:val="24"/>
          <w:szCs w:val="24"/>
          <w:rtl/>
        </w:rPr>
        <w:t>ً</w:t>
      </w:r>
      <w:r w:rsidRPr="000B5AE8">
        <w:rPr>
          <w:rFonts w:ascii="Simplified Arabic" w:hAnsi="Simplified Arabic" w:hint="default"/>
          <w:sz w:val="24"/>
          <w:szCs w:val="24"/>
          <w:rtl/>
        </w:rPr>
        <w:t xml:space="preserve"> استنفاديا</w:t>
      </w:r>
      <w:r w:rsidRPr="000B5AE8">
        <w:rPr>
          <w:rFonts w:ascii="Simplified Arabic" w:hAnsi="Simplified Arabic"/>
          <w:sz w:val="24"/>
          <w:szCs w:val="24"/>
          <w:rtl/>
        </w:rPr>
        <w:t>ً</w:t>
      </w:r>
      <w:r w:rsidRPr="000B5AE8">
        <w:rPr>
          <w:rFonts w:ascii="Simplified Arabic" w:hAnsi="Simplified Arabic" w:hint="default"/>
          <w:sz w:val="24"/>
          <w:szCs w:val="24"/>
          <w:rtl/>
        </w:rPr>
        <w:t xml:space="preserve"> من مركبات الكربون الهيدروكلورية فلورية، وهو أعلى من التزامها، على النحو المبين في المقرر 32/6 بتخفيض إنتاجها واستهلاكها من مركبات الكربون الهيدروكلورية فلورية إلى ما لا يزيد عن 17,9 طنا</w:t>
      </w:r>
      <w:r w:rsidRPr="000B5AE8">
        <w:rPr>
          <w:rFonts w:ascii="Simplified Arabic" w:hAnsi="Simplified Arabic"/>
          <w:sz w:val="24"/>
          <w:szCs w:val="24"/>
          <w:rtl/>
        </w:rPr>
        <w:t>ً</w:t>
      </w:r>
      <w:r w:rsidRPr="000B5AE8">
        <w:rPr>
          <w:rFonts w:ascii="Simplified Arabic" w:hAnsi="Simplified Arabic" w:hint="default"/>
          <w:sz w:val="24"/>
          <w:szCs w:val="24"/>
          <w:rtl/>
        </w:rPr>
        <w:t xml:space="preserve"> استنفاديا</w:t>
      </w:r>
      <w:r w:rsidRPr="000B5AE8">
        <w:rPr>
          <w:rFonts w:ascii="Simplified Arabic" w:hAnsi="Simplified Arabic"/>
          <w:sz w:val="24"/>
          <w:szCs w:val="24"/>
          <w:rtl/>
        </w:rPr>
        <w:t>ً</w:t>
      </w:r>
      <w:r w:rsidRPr="000B5AE8">
        <w:rPr>
          <w:rFonts w:ascii="Simplified Arabic" w:hAnsi="Simplified Arabic" w:hint="default"/>
          <w:sz w:val="24"/>
          <w:szCs w:val="24"/>
          <w:rtl/>
        </w:rPr>
        <w:t xml:space="preserve"> و50,7 طنا</w:t>
      </w:r>
      <w:r w:rsidRPr="000B5AE8">
        <w:rPr>
          <w:rFonts w:ascii="Simplified Arabic" w:hAnsi="Simplified Arabic"/>
          <w:sz w:val="24"/>
          <w:szCs w:val="24"/>
          <w:rtl/>
        </w:rPr>
        <w:t>ً</w:t>
      </w:r>
      <w:r w:rsidRPr="000B5AE8">
        <w:rPr>
          <w:rFonts w:ascii="Simplified Arabic" w:hAnsi="Simplified Arabic" w:hint="default"/>
          <w:sz w:val="24"/>
          <w:szCs w:val="24"/>
          <w:rtl/>
        </w:rPr>
        <w:t xml:space="preserve"> استنفاديا</w:t>
      </w:r>
      <w:r w:rsidRPr="000B5AE8">
        <w:rPr>
          <w:rFonts w:ascii="Simplified Arabic" w:hAnsi="Simplified Arabic"/>
          <w:sz w:val="24"/>
          <w:szCs w:val="24"/>
          <w:rtl/>
        </w:rPr>
        <w:t>ً</w:t>
      </w:r>
      <w:r w:rsidRPr="000B5AE8">
        <w:rPr>
          <w:rFonts w:ascii="Simplified Arabic" w:hAnsi="Simplified Arabic" w:hint="default"/>
          <w:sz w:val="24"/>
          <w:szCs w:val="24"/>
          <w:rtl/>
        </w:rPr>
        <w:t>، على التوالي،</w:t>
      </w:r>
    </w:p>
    <w:p w14:paraId="4D5F0C87" w14:textId="77777777" w:rsidR="00F84C45" w:rsidRPr="000B5AE8" w:rsidRDefault="00F84C45" w:rsidP="00E84049">
      <w:p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وإذ يلاحظ مع بالغ القلق</w:t>
      </w:r>
      <w:r w:rsidRPr="000B5AE8">
        <w:rPr>
          <w:rFonts w:ascii="Simplified Arabic" w:hAnsi="Simplified Arabic" w:hint="default"/>
          <w:sz w:val="24"/>
          <w:szCs w:val="24"/>
          <w:rtl/>
        </w:rPr>
        <w:t xml:space="preserve"> أنه، على الرغم من الطلبات العديدة المقدمة من لجنة التنفيذ بموجب إجراء عدم الامتثال لبروتوكول مونتريال في توصياتها 68/4 و69/4 و70/2 و72/3 و74/2 ورسائل التذكير المتكررة من أمانة الأوزون، فإن جمهورية كوريا الشعبية الديمقراطية لم تقدم تفسيراً للانحرافات في البيانات المبلغ عنها لعام 2021، ولم تقدم خطة عمل منقحة لضمان عودتها إلى الامتثال، ولم تقدم تقريراً مرحلياً عن الجهود المبذولة لوضع سياسات وطنية إضافية بهدف تيسير التخلص التدريجي من مركبات الكربون الهيدروكلورية فلورية، على النحو الذي حث عليه المقرران 35/18 و36/16،</w:t>
      </w:r>
    </w:p>
    <w:p w14:paraId="52707766" w14:textId="69FE00AD" w:rsidR="00F84C45" w:rsidRPr="000B5AE8" w:rsidRDefault="00F84C45" w:rsidP="00E84049">
      <w:p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 xml:space="preserve">وإذ يلاحظ </w:t>
      </w:r>
      <w:r w:rsidR="00736F43" w:rsidRPr="000B5AE8">
        <w:rPr>
          <w:rFonts w:ascii="Simplified Arabic" w:hAnsi="Simplified Arabic" w:hint="default"/>
          <w:i/>
          <w:iCs/>
          <w:sz w:val="24"/>
          <w:szCs w:val="24"/>
          <w:rtl/>
        </w:rPr>
        <w:t>أيضاً</w:t>
      </w:r>
      <w:r w:rsidR="00736F43" w:rsidRPr="000B5AE8">
        <w:rPr>
          <w:rFonts w:ascii="Simplified Arabic" w:hAnsi="Simplified Arabic" w:hint="default"/>
          <w:sz w:val="24"/>
          <w:szCs w:val="24"/>
          <w:rtl/>
        </w:rPr>
        <w:t xml:space="preserve"> </w:t>
      </w:r>
      <w:r w:rsidRPr="000B5AE8">
        <w:rPr>
          <w:rFonts w:ascii="Simplified Arabic" w:hAnsi="Simplified Arabic" w:hint="default"/>
          <w:i/>
          <w:iCs/>
          <w:sz w:val="24"/>
          <w:szCs w:val="24"/>
          <w:rtl/>
        </w:rPr>
        <w:t xml:space="preserve">مع بالغ القلق </w:t>
      </w:r>
      <w:r w:rsidRPr="000B5AE8">
        <w:rPr>
          <w:rFonts w:ascii="Simplified Arabic" w:hAnsi="Simplified Arabic" w:hint="default"/>
          <w:sz w:val="24"/>
          <w:szCs w:val="24"/>
          <w:rtl/>
        </w:rPr>
        <w:t>أن جمهورية كوريا الشعبية الديمقراطية لم تقدم توضيحاً للانحرافات في البيانات المبلغ عنها لعامي 2023 و2024 كما حثت على ذلك لجنة التنفيذ في توصيتها 74/2،</w:t>
      </w:r>
    </w:p>
    <w:p w14:paraId="3FA17486" w14:textId="391A361B" w:rsidR="00F84C45" w:rsidRPr="000B5AE8" w:rsidRDefault="00F84C45" w:rsidP="00E84049">
      <w:p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 xml:space="preserve">وإذ يشير </w:t>
      </w:r>
      <w:r w:rsidRPr="000B5AE8">
        <w:rPr>
          <w:rFonts w:ascii="Simplified Arabic" w:hAnsi="Simplified Arabic" w:hint="default"/>
          <w:sz w:val="24"/>
          <w:szCs w:val="24"/>
          <w:rtl/>
        </w:rPr>
        <w:t>إلى المقررات 32/6 و35/18 و36/16، التي حذر</w:t>
      </w:r>
      <w:r w:rsidR="006A309C" w:rsidRPr="000B5AE8">
        <w:rPr>
          <w:rFonts w:ascii="Simplified Arabic" w:hAnsi="Simplified Arabic"/>
          <w:sz w:val="24"/>
          <w:szCs w:val="24"/>
          <w:rtl/>
        </w:rPr>
        <w:t>ت</w:t>
      </w:r>
      <w:r w:rsidRPr="000B5AE8">
        <w:rPr>
          <w:rFonts w:ascii="Simplified Arabic" w:hAnsi="Simplified Arabic" w:hint="default"/>
          <w:sz w:val="24"/>
          <w:szCs w:val="24"/>
          <w:rtl/>
        </w:rPr>
        <w:t xml:space="preserve"> فيها اجتماع</w:t>
      </w:r>
      <w:r w:rsidR="006A309C" w:rsidRPr="000B5AE8">
        <w:rPr>
          <w:rFonts w:ascii="Simplified Arabic" w:hAnsi="Simplified Arabic"/>
          <w:sz w:val="24"/>
          <w:szCs w:val="24"/>
          <w:rtl/>
        </w:rPr>
        <w:t>ات</w:t>
      </w:r>
      <w:r w:rsidRPr="000B5AE8">
        <w:rPr>
          <w:rFonts w:ascii="Simplified Arabic" w:hAnsi="Simplified Arabic" w:hint="default"/>
          <w:sz w:val="24"/>
          <w:szCs w:val="24"/>
          <w:rtl/>
        </w:rPr>
        <w:t xml:space="preserve"> الأطراف جمهورية كوريا الشعبية الديمقراطية، وفقاً للبند باء من القائمة الإرشادية للتدابير التي يمكن أن يتخذها اجتماع الأطراف فيما يتعلق بعدم الامتثال، من أنه، إذا لم تعد جمهورية كوريا الشعبية الديمقراطية إلى الامتثال، فإن الأطراف ستنظر في اتخاذ تدابير تتسق مع البند جيم من القائمة الإرشادية للتدابير، بما في ذلك إمكانية اتخاذ الإجراءات المتاحة بموجب المادة 4 من بروتوكول مونتريال، مثل ضمان وقف إمدادات مركبات الكربون الهيدروكلورية فلورية، وهي المواد التي كانت موضوع عدم الامتثال، بحيث لا تساهم الأطراف المصدرة في استمرار حالة عدم الامتثال،</w:t>
      </w:r>
    </w:p>
    <w:p w14:paraId="300004CF" w14:textId="77777777" w:rsidR="00F84C45" w:rsidRPr="000B5AE8" w:rsidRDefault="00F84C45" w:rsidP="00E84049">
      <w:p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hint="default"/>
          <w:i/>
          <w:iCs/>
          <w:sz w:val="24"/>
          <w:szCs w:val="24"/>
          <w:rtl/>
          <w:lang w:val="ar-SA" w:eastAsia="zh-TW" w:bidi="en-GB"/>
        </w:rPr>
      </w:pPr>
      <w:r w:rsidRPr="000B5AE8">
        <w:rPr>
          <w:rFonts w:ascii="Simplified Arabic" w:hAnsi="Simplified Arabic" w:hint="default"/>
          <w:i/>
          <w:iCs/>
          <w:sz w:val="24"/>
          <w:szCs w:val="24"/>
          <w:rtl/>
        </w:rPr>
        <w:t>يقرر:</w:t>
      </w:r>
    </w:p>
    <w:p w14:paraId="0BC541A9" w14:textId="6C8A44FF" w:rsidR="00F84C45" w:rsidRPr="000B5AE8" w:rsidRDefault="00F84C45" w:rsidP="00E84049">
      <w:pPr>
        <w:pStyle w:val="NormalNonumber"/>
        <w:numPr>
          <w:ilvl w:val="0"/>
          <w:numId w:val="26"/>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B5AE8">
        <w:rPr>
          <w:rFonts w:ascii="Simplified Arabic" w:hAnsi="Simplified Arabic" w:cs="Simplified Arabic"/>
          <w:sz w:val="24"/>
          <w:szCs w:val="24"/>
          <w:rtl/>
        </w:rPr>
        <w:t xml:space="preserve">من أجل مساعدة جمهورية كوريا الشعبية الديمقراطية في العودة إلى الامتثال لتدابير الرقابة المتعلقة بمركبات الكربون الهيدروكلورية فلورية بموجب بروتوكول مونتريال، أن يوافق، بما يتسق مع البند جيم من القائمة الإرشادية للتدابير التي قد يتخذها اجتماع الأطراف فيما يتعلق بعدم الامتثال للبروتوكول، على تعليق حقوق وامتيازات أطراف في البروتوكول فيما يتعلق بالتجارة في مركبات الكربون الهيدروكلورية فلورية، وهي المواد موضوع </w:t>
      </w:r>
      <w:r w:rsidRPr="000B5AE8">
        <w:rPr>
          <w:rFonts w:ascii="Simplified Arabic" w:hAnsi="Simplified Arabic" w:cs="Simplified Arabic"/>
          <w:sz w:val="24"/>
          <w:szCs w:val="24"/>
          <w:rtl/>
        </w:rPr>
        <w:lastRenderedPageBreak/>
        <w:t>عدم الامتثال، بين جمهورية كوريا الشعبية الديمقراطية والأطراف الأخرى في البروتوكول، بحيث لا يُسمح بهذه التجارة بموجب البروتوكول؛</w:t>
      </w:r>
    </w:p>
    <w:p w14:paraId="2974964F" w14:textId="691E7D94" w:rsidR="00F84C45" w:rsidRPr="000B5AE8" w:rsidRDefault="00F84C45" w:rsidP="00E84049">
      <w:pPr>
        <w:pStyle w:val="NormalNonumber"/>
        <w:numPr>
          <w:ilvl w:val="0"/>
          <w:numId w:val="26"/>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B5AE8">
        <w:rPr>
          <w:rFonts w:ascii="Simplified Arabic" w:hAnsi="Simplified Arabic" w:cs="Simplified Arabic"/>
          <w:sz w:val="24"/>
          <w:szCs w:val="24"/>
          <w:rtl/>
        </w:rPr>
        <w:t xml:space="preserve">أن يستمر تعليق التجارة المشار إليه في الفقرة 1 </w:t>
      </w:r>
      <w:r w:rsidR="00854A17" w:rsidRPr="000B5AE8">
        <w:rPr>
          <w:rFonts w:ascii="Simplified Arabic" w:hAnsi="Simplified Arabic" w:cs="Simplified Arabic" w:hint="cs"/>
          <w:sz w:val="24"/>
          <w:szCs w:val="24"/>
          <w:rtl/>
        </w:rPr>
        <w:t xml:space="preserve">أعلاه </w:t>
      </w:r>
      <w:r w:rsidRPr="000B5AE8">
        <w:rPr>
          <w:rFonts w:ascii="Simplified Arabic" w:hAnsi="Simplified Arabic" w:cs="Simplified Arabic"/>
          <w:sz w:val="24"/>
          <w:szCs w:val="24"/>
          <w:rtl/>
        </w:rPr>
        <w:t>إلى أن تعود جمهورية كوريا الشعبية الديمقراطية إلى الامتثال لتدابير الرقابة فيما يتعلق بمركبات الكربون الهيدروكلورية فلورية بموجب بروتوكول مونتريال على النحو الذي أوصت به لجنة التنفيذ على أساس البيانات المبلغ عنها عملاً بالمادة 7 أو إلى أن يقرر اجتماع الأطراف خلاف ذلك.</w:t>
      </w:r>
    </w:p>
    <w:p w14:paraId="1442CA22" w14:textId="098E7FF0" w:rsidR="00703C33" w:rsidRPr="00E84049" w:rsidRDefault="00703C33" w:rsidP="00E84049">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w w:val="96"/>
          <w:sz w:val="24"/>
          <w:szCs w:val="24"/>
          <w:rtl/>
          <w:lang w:bidi="en-GB"/>
        </w:rPr>
      </w:pPr>
      <w:r w:rsidRPr="00E84049">
        <w:rPr>
          <w:rFonts w:ascii="Simplified Arabic" w:hAnsi="Simplified Arabic" w:cs="Simplified Arabic" w:hint="cs"/>
          <w:bCs/>
          <w:w w:val="96"/>
          <w:sz w:val="24"/>
          <w:szCs w:val="24"/>
          <w:rtl/>
        </w:rPr>
        <w:t>جيم-</w:t>
      </w:r>
      <w:r w:rsidR="00763D3B" w:rsidRPr="00E84049">
        <w:rPr>
          <w:rFonts w:ascii="Simplified Arabic" w:hAnsi="Simplified Arabic" w:cs="Simplified Arabic"/>
          <w:bCs/>
          <w:w w:val="96"/>
          <w:sz w:val="24"/>
          <w:szCs w:val="24"/>
          <w:rtl/>
        </w:rPr>
        <w:tab/>
      </w:r>
      <w:r w:rsidRPr="00E84049">
        <w:rPr>
          <w:rFonts w:ascii="Simplified Arabic" w:hAnsi="Simplified Arabic" w:cs="Simplified Arabic"/>
          <w:bCs/>
          <w:w w:val="96"/>
          <w:sz w:val="24"/>
          <w:szCs w:val="24"/>
          <w:rtl/>
        </w:rPr>
        <w:t>مشروع المقرر 37/[--]: تقيد ليبيا بالتزاماتها بموجب خطة عملها للعودة إلى الامتثال</w:t>
      </w:r>
    </w:p>
    <w:p w14:paraId="61512C8D" w14:textId="77777777" w:rsidR="00703C33" w:rsidRPr="000B5AE8" w:rsidRDefault="00703C33" w:rsidP="00E84049">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i/>
          <w:iCs/>
          <w:sz w:val="24"/>
          <w:szCs w:val="24"/>
          <w:rtl/>
          <w:lang w:val="ar-SA" w:eastAsia="zh-TW" w:bidi="en-GB"/>
        </w:rPr>
      </w:pPr>
      <w:r w:rsidRPr="000B5AE8">
        <w:rPr>
          <w:rFonts w:ascii="Simplified Arabic" w:hAnsi="Simplified Arabic" w:hint="default"/>
          <w:i/>
          <w:iCs/>
          <w:sz w:val="24"/>
          <w:szCs w:val="24"/>
          <w:rtl/>
        </w:rPr>
        <w:t>إن الاجتماع السابع والثلاثين للأطراف،</w:t>
      </w:r>
    </w:p>
    <w:p w14:paraId="022711E4" w14:textId="77777777" w:rsidR="00703C33" w:rsidRPr="000B5AE8" w:rsidRDefault="00703C33" w:rsidP="00E84049">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إذ يلاحظ</w:t>
      </w:r>
      <w:r w:rsidRPr="000B5AE8">
        <w:rPr>
          <w:rFonts w:ascii="Simplified Arabic" w:hAnsi="Simplified Arabic" w:hint="default"/>
          <w:sz w:val="24"/>
          <w:szCs w:val="24"/>
          <w:rtl/>
        </w:rPr>
        <w:t xml:space="preserve"> أن ليبيا قدمت خطة عمل لضمان عودتها إلى الامتثال لتدابير الرقابة على استهلاك مركبات الكربون الهيدروكلورية فلورية بموجب بروتوكول مونتريال بشأن المواد المستنفدة لطبقة الأوزون في عام 2022 والسنوات اللاحقة، كما أشار إلى ذلك الاجتماع السابع والعشرون للأطراف في المقرر 27/11،</w:t>
      </w:r>
    </w:p>
    <w:p w14:paraId="2FE60430" w14:textId="77777777" w:rsidR="00703C33" w:rsidRPr="000B5AE8" w:rsidRDefault="00703C33" w:rsidP="00E84049">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وإذ يلاحظ أيضا</w:t>
      </w:r>
      <w:r w:rsidRPr="000B5AE8">
        <w:rPr>
          <w:rFonts w:ascii="Simplified Arabic" w:hAnsi="Simplified Arabic"/>
          <w:i/>
          <w:iCs/>
          <w:sz w:val="24"/>
          <w:szCs w:val="24"/>
          <w:rtl/>
        </w:rPr>
        <w:t xml:space="preserve">ً </w:t>
      </w:r>
      <w:r w:rsidRPr="000B5AE8">
        <w:rPr>
          <w:rFonts w:ascii="Simplified Arabic" w:hAnsi="Simplified Arabic" w:hint="default"/>
          <w:sz w:val="24"/>
          <w:szCs w:val="24"/>
          <w:rtl/>
        </w:rPr>
        <w:t>أن خطة العمل التي قدمتها ليبيا تتضمن التزامات برصد إنفاذ نظامها لترخيص واردات وصادرات المواد المستنفدة للأوزون، وكذلك فرض حظر على مشتريات معدات تكييف الهواء التي تحتوي على مركبات الكربون الهيدروكلورية فلورية في المستقبل القريب، والنظر في فرض حظر على استيراد هذه المعدات،</w:t>
      </w:r>
    </w:p>
    <w:p w14:paraId="263B6D4C" w14:textId="77777777" w:rsidR="00703C33" w:rsidRPr="000B5AE8" w:rsidRDefault="00703C33" w:rsidP="00E84049">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sz w:val="24"/>
          <w:szCs w:val="24"/>
          <w:lang w:val="en-US" w:eastAsia="zh-TW" w:bidi="en-GB"/>
        </w:rPr>
      </w:pPr>
      <w:r w:rsidRPr="000B5AE8">
        <w:rPr>
          <w:rFonts w:ascii="Simplified Arabic" w:hAnsi="Simplified Arabic" w:hint="default"/>
          <w:i/>
          <w:iCs/>
          <w:sz w:val="24"/>
          <w:szCs w:val="24"/>
          <w:rtl/>
        </w:rPr>
        <w:t>وإذ يلاحظ كذلك</w:t>
      </w:r>
      <w:r w:rsidRPr="000B5AE8">
        <w:rPr>
          <w:rFonts w:ascii="Simplified Arabic" w:hAnsi="Simplified Arabic" w:hint="default"/>
          <w:sz w:val="24"/>
          <w:szCs w:val="24"/>
          <w:rtl/>
        </w:rPr>
        <w:t xml:space="preserve"> أن ليبيا قد تقيدت بالتزاماتها بموجب خطة عملها لضمان عودتها إلى الامتثال على النحو المشار إليه في المقرر 27/11،</w:t>
      </w:r>
    </w:p>
    <w:p w14:paraId="50DCCE81" w14:textId="77777777" w:rsidR="00703C33" w:rsidRPr="000B5AE8" w:rsidRDefault="00703C33" w:rsidP="00E84049">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sz w:val="24"/>
          <w:szCs w:val="24"/>
          <w:rtl/>
          <w:lang w:val="ar-SA" w:eastAsia="zh-TW" w:bidi="en-GB"/>
        </w:rPr>
      </w:pPr>
      <w:bookmarkStart w:id="26" w:name="_Hlk212155491"/>
      <w:r w:rsidRPr="000B5AE8">
        <w:rPr>
          <w:rFonts w:ascii="Simplified Arabic" w:hAnsi="Simplified Arabic" w:hint="default"/>
          <w:i/>
          <w:iCs/>
          <w:sz w:val="24"/>
          <w:szCs w:val="24"/>
          <w:rtl/>
        </w:rPr>
        <w:t>يقرر:</w:t>
      </w:r>
    </w:p>
    <w:bookmarkEnd w:id="26"/>
    <w:p w14:paraId="41EB1928" w14:textId="555E7844" w:rsidR="00703C33" w:rsidRPr="000B5AE8" w:rsidRDefault="00703C33" w:rsidP="00E84049">
      <w:pPr>
        <w:pStyle w:val="NormalNonumber"/>
        <w:numPr>
          <w:ilvl w:val="0"/>
          <w:numId w:val="25"/>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B5AE8">
        <w:rPr>
          <w:rFonts w:ascii="Simplified Arabic" w:hAnsi="Simplified Arabic" w:cs="Simplified Arabic"/>
          <w:sz w:val="24"/>
          <w:szCs w:val="24"/>
          <w:rtl/>
        </w:rPr>
        <w:t>أنه لا يلزم اتخاذ أي إجراء آخر بالنظر إلى عودة الطرف إلى الامتثال لتدابير الرقابة على مركبات الكربون الهيدروكلورية فلورية بموجب بروتوكول مونتريال والالتزامات الأخرى الواردة في خطة عمله لضمان عودته إلى الامتثال؛</w:t>
      </w:r>
    </w:p>
    <w:p w14:paraId="632B6EB4" w14:textId="7330FBC1" w:rsidR="00703C33" w:rsidRPr="000B5AE8" w:rsidRDefault="00703C33" w:rsidP="00E84049">
      <w:pPr>
        <w:pStyle w:val="NormalNonumber"/>
        <w:numPr>
          <w:ilvl w:val="0"/>
          <w:numId w:val="25"/>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bCs/>
          <w:sz w:val="24"/>
          <w:szCs w:val="24"/>
          <w:rtl/>
        </w:rPr>
      </w:pPr>
      <w:r w:rsidRPr="000B5AE8">
        <w:rPr>
          <w:rFonts w:ascii="Simplified Arabic" w:hAnsi="Simplified Arabic" w:cs="Simplified Arabic"/>
          <w:sz w:val="24"/>
          <w:szCs w:val="24"/>
          <w:rtl/>
        </w:rPr>
        <w:t>أن يحث الطرف على مواصلة تنفيذ التزاماته بموجب بروتوكول مونتريال.</w:t>
      </w:r>
    </w:p>
    <w:p w14:paraId="790DDD40" w14:textId="1B35A2F9" w:rsidR="00F84C45" w:rsidRPr="00E84049" w:rsidRDefault="009545C0" w:rsidP="00E84049">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w w:val="96"/>
          <w:sz w:val="24"/>
          <w:szCs w:val="24"/>
          <w:rtl/>
          <w:lang w:bidi="en-GB"/>
        </w:rPr>
      </w:pPr>
      <w:r w:rsidRPr="00E84049">
        <w:rPr>
          <w:rFonts w:ascii="Simplified Arabic" w:hAnsi="Simplified Arabic" w:cs="Simplified Arabic" w:hint="cs"/>
          <w:bCs/>
          <w:w w:val="96"/>
          <w:sz w:val="24"/>
          <w:szCs w:val="24"/>
          <w:rtl/>
        </w:rPr>
        <w:t>دال-</w:t>
      </w:r>
      <w:r w:rsidR="00763D3B" w:rsidRPr="00E84049">
        <w:rPr>
          <w:rFonts w:ascii="Simplified Arabic" w:hAnsi="Simplified Arabic" w:cs="Simplified Arabic"/>
          <w:bCs/>
          <w:w w:val="96"/>
          <w:sz w:val="24"/>
          <w:szCs w:val="24"/>
          <w:rtl/>
        </w:rPr>
        <w:tab/>
      </w:r>
      <w:r w:rsidR="00F84C45" w:rsidRPr="00E84049">
        <w:rPr>
          <w:rFonts w:ascii="Simplified Arabic" w:hAnsi="Simplified Arabic" w:cs="Simplified Arabic"/>
          <w:bCs/>
          <w:w w:val="96"/>
          <w:sz w:val="24"/>
          <w:szCs w:val="24"/>
          <w:rtl/>
        </w:rPr>
        <w:t>مشروع المقرر 37/[--]: عدم الامتثال لبروتوكول مونتريال من جانب سانت فنسنت وجزر غرينادين</w:t>
      </w:r>
    </w:p>
    <w:p w14:paraId="23EDC601" w14:textId="77777777" w:rsidR="00F84C45" w:rsidRPr="000B5AE8" w:rsidRDefault="00F84C45" w:rsidP="00E84049">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i/>
          <w:iCs/>
          <w:sz w:val="24"/>
          <w:szCs w:val="24"/>
          <w:rtl/>
          <w:lang w:bidi="en-GB"/>
        </w:rPr>
      </w:pPr>
      <w:r w:rsidRPr="000B5AE8">
        <w:rPr>
          <w:rFonts w:ascii="Simplified Arabic" w:hAnsi="Simplified Arabic" w:hint="default"/>
          <w:i/>
          <w:iCs/>
          <w:sz w:val="24"/>
          <w:szCs w:val="24"/>
          <w:rtl/>
        </w:rPr>
        <w:t>إن الاجتماع السابع والثلاثين للأطراف،</w:t>
      </w:r>
    </w:p>
    <w:p w14:paraId="73D1E19D" w14:textId="77777777" w:rsidR="00F84C45" w:rsidRPr="000B5AE8" w:rsidRDefault="00F84C45" w:rsidP="00E84049">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إذ يلاحظ</w:t>
      </w:r>
      <w:r w:rsidRPr="000B5AE8">
        <w:rPr>
          <w:rFonts w:ascii="Simplified Arabic" w:hAnsi="Simplified Arabic" w:hint="default"/>
          <w:sz w:val="24"/>
          <w:szCs w:val="24"/>
          <w:rtl/>
        </w:rPr>
        <w:t xml:space="preserve"> أن سانت فنسنت وجزر غرينادين قد انضمت إلى بروتوكول مونتريال بشأن المواد المستنفدة لطبقة الأوزون، وتعديل لندن وتعديل كوبنهاغن في 2 كانون الأول/ديسمبر 1996، وإلى تعديل مونتريال وتعديل بيجين في 11 أيار/مايو 2009، وأنها صدقت على تعديل كيغالي في 7 تشرين الثاني/نوفمبر 2022، وأنها مصنفة كطرف عامل بموجب الفقرة 1 من المادة 5 من البروتوكول،</w:t>
      </w:r>
      <w:bookmarkStart w:id="27" w:name="_Hlk212834015"/>
      <w:bookmarkEnd w:id="27"/>
    </w:p>
    <w:p w14:paraId="55C9284A" w14:textId="77777777" w:rsidR="00F84C45" w:rsidRPr="000B5AE8" w:rsidRDefault="00F84C45" w:rsidP="00E84049">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وإذ يلاحظ أيضاً</w:t>
      </w:r>
      <w:r w:rsidRPr="000B5AE8">
        <w:rPr>
          <w:rFonts w:ascii="Simplified Arabic" w:hAnsi="Simplified Arabic" w:hint="default"/>
          <w:sz w:val="24"/>
          <w:szCs w:val="24"/>
          <w:rtl/>
        </w:rPr>
        <w:t xml:space="preserve"> أن اللجنة التنفيذية للصندوق المتعدد الأطراف لتنفيذ بروتوكول مونتريال قد وافقت على مبلغ 193 780 1 دولارا من الصندوق المتعدد الأطراف وفقاً للمادة 10 من البروتوكول من أجل تمكين سانت فنسنت وجزر غرينادين من تحقيق الامتثال للبروتوكول،</w:t>
      </w:r>
    </w:p>
    <w:p w14:paraId="211B7A39" w14:textId="77777777" w:rsidR="00F84C45" w:rsidRPr="000B5AE8" w:rsidRDefault="00F84C45" w:rsidP="00E84049">
      <w:pPr>
        <w:tabs>
          <w:tab w:val="clear" w:pos="1247"/>
          <w:tab w:val="clear" w:pos="1814"/>
          <w:tab w:val="clear" w:pos="2381"/>
          <w:tab w:val="clear" w:pos="2948"/>
          <w:tab w:val="clear" w:pos="3515"/>
        </w:tabs>
        <w:bidi/>
        <w:adjustRightInd w:val="0"/>
        <w:snapToGrid w:val="0"/>
        <w:spacing w:after="120" w:line="360" w:lineRule="exact"/>
        <w:ind w:left="1134" w:firstLine="709"/>
        <w:jc w:val="lowKashida"/>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وإذ يلاحظ كذلك</w:t>
      </w:r>
      <w:r w:rsidRPr="000B5AE8">
        <w:rPr>
          <w:rFonts w:ascii="Simplified Arabic" w:hAnsi="Simplified Arabic" w:hint="default"/>
          <w:sz w:val="24"/>
          <w:szCs w:val="24"/>
          <w:rtl/>
        </w:rPr>
        <w:t xml:space="preserve"> أن الاستهلاك السنوي البالغ 975 45 طنا محسوبة بمكافئ ثاني أكسيد الكربون من المواد الخاضعة للرقابة الواردة في المرفق واو لبروتوكول مونتريال (مركبات الكربون الهيدروفلورية) الذي أبلغت عنه سانت فنسنت وجزر غرينادين بالنسبة لعام 2024، يتجاوز الحد الأقصى المسموح للطرف باستهلاكه لذلك العام من المواد الخاضعة للرقابة البالغ 280 25 طنا</w:t>
      </w:r>
      <w:r w:rsidRPr="000B5AE8">
        <w:rPr>
          <w:rFonts w:ascii="Simplified Arabic" w:hAnsi="Simplified Arabic"/>
          <w:sz w:val="24"/>
          <w:szCs w:val="24"/>
          <w:rtl/>
        </w:rPr>
        <w:t>ً</w:t>
      </w:r>
      <w:r w:rsidRPr="000B5AE8">
        <w:rPr>
          <w:rFonts w:ascii="Simplified Arabic" w:hAnsi="Simplified Arabic" w:hint="default"/>
          <w:sz w:val="24"/>
          <w:szCs w:val="24"/>
          <w:rtl/>
        </w:rPr>
        <w:t xml:space="preserve"> محسوبة بمكافئ ثاني أكسيد الكربون من المواد الخاضعة </w:t>
      </w:r>
      <w:r w:rsidRPr="000B5AE8">
        <w:rPr>
          <w:rFonts w:ascii="Simplified Arabic" w:hAnsi="Simplified Arabic" w:hint="default"/>
          <w:sz w:val="24"/>
          <w:szCs w:val="24"/>
          <w:rtl/>
        </w:rPr>
        <w:lastRenderedPageBreak/>
        <w:t>للرقابة، وبأن الطرف يعد بالتالي في حالة عدم امتثال لتدابير الرقابة على استهلاك مركبات الكربون الهيدروفلورية بموجب البروتوكول،</w:t>
      </w:r>
      <w:bookmarkStart w:id="28" w:name="_Hlk212159668"/>
      <w:bookmarkEnd w:id="28"/>
    </w:p>
    <w:p w14:paraId="362CA04B" w14:textId="77777777" w:rsidR="00F84C45" w:rsidRPr="000B5AE8" w:rsidRDefault="00F84C45" w:rsidP="00E84049">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يقرر:</w:t>
      </w:r>
    </w:p>
    <w:p w14:paraId="690E30F0" w14:textId="77777777" w:rsidR="00F84C45" w:rsidRPr="00691638" w:rsidRDefault="00F84C45" w:rsidP="00691638">
      <w:pPr>
        <w:pStyle w:val="NormalNonumber"/>
        <w:numPr>
          <w:ilvl w:val="0"/>
          <w:numId w:val="28"/>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691638">
        <w:rPr>
          <w:rFonts w:ascii="Simplified Arabic" w:hAnsi="Simplified Arabic" w:cs="Simplified Arabic"/>
          <w:sz w:val="24"/>
          <w:szCs w:val="24"/>
          <w:rtl/>
        </w:rPr>
        <w:t>أن يلاحظ</w:t>
      </w:r>
      <w:r w:rsidRPr="00691638">
        <w:rPr>
          <w:rFonts w:ascii="Simplified Arabic" w:hAnsi="Simplified Arabic" w:cs="Simplified Arabic"/>
          <w:sz w:val="24"/>
          <w:szCs w:val="24"/>
        </w:rPr>
        <w:t xml:space="preserve"> </w:t>
      </w:r>
      <w:r w:rsidRPr="00691638">
        <w:rPr>
          <w:rFonts w:ascii="Simplified Arabic" w:hAnsi="Simplified Arabic" w:cs="Simplified Arabic"/>
          <w:sz w:val="24"/>
          <w:szCs w:val="24"/>
          <w:rtl/>
        </w:rPr>
        <w:t>مع التقدير أن سانت فنسنت وجزر غرينادين قدمت توضيحاً لعدم امتثالها وخطة عمل لضمان عودتها إلى الامتثال لتدابير الرقابة على استهلاك مركبات الكربون الهيدروفلورية لبروتوكول مونتريال بشأن المواد المستنفدة لطبقة الأوزون في عام 2035؛</w:t>
      </w:r>
    </w:p>
    <w:p w14:paraId="60786344" w14:textId="77777777" w:rsidR="00F84C45" w:rsidRPr="00691638" w:rsidRDefault="00F84C45" w:rsidP="00691638">
      <w:pPr>
        <w:pStyle w:val="NormalNonumber"/>
        <w:numPr>
          <w:ilvl w:val="0"/>
          <w:numId w:val="28"/>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691638">
        <w:rPr>
          <w:rFonts w:ascii="Simplified Arabic" w:hAnsi="Simplified Arabic" w:cs="Simplified Arabic"/>
          <w:sz w:val="24"/>
          <w:szCs w:val="24"/>
          <w:rtl/>
        </w:rPr>
        <w:t>أن يلاحظ أن خطة العمل المقدمة تتضمن جدولا زمنيا طويلا لعودة الطرف إلى الامتثال؛</w:t>
      </w:r>
    </w:p>
    <w:p w14:paraId="0585201E" w14:textId="77777777" w:rsidR="00F84C45" w:rsidRPr="00691638" w:rsidRDefault="00F84C45" w:rsidP="00691638">
      <w:pPr>
        <w:pStyle w:val="NormalNonumber"/>
        <w:numPr>
          <w:ilvl w:val="0"/>
          <w:numId w:val="28"/>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691638">
        <w:rPr>
          <w:rFonts w:ascii="Simplified Arabic" w:hAnsi="Simplified Arabic" w:cs="Simplified Arabic"/>
          <w:sz w:val="24"/>
          <w:szCs w:val="24"/>
          <w:rtl/>
        </w:rPr>
        <w:t>أن يطلب إلى سانت فنسنت وجزر غرينادين أن تقدم خطة عمل منقحة بعد أن توافق اللجنة التنفيذية للصندوق المتعدد الأطراف لتنفيذ بروتوكول مونتريال على خطتها للتنفيذ لمركبات الكربون الهيدروفلورية بموجب تعديل كيغالي؛</w:t>
      </w:r>
    </w:p>
    <w:p w14:paraId="5F2DCE67" w14:textId="77777777" w:rsidR="00F84C45" w:rsidRPr="00691638" w:rsidRDefault="00F84C45" w:rsidP="00691638">
      <w:pPr>
        <w:pStyle w:val="NormalNonumber"/>
        <w:numPr>
          <w:ilvl w:val="0"/>
          <w:numId w:val="28"/>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691638">
        <w:rPr>
          <w:rFonts w:ascii="Simplified Arabic" w:hAnsi="Simplified Arabic" w:cs="Simplified Arabic"/>
          <w:sz w:val="24"/>
          <w:szCs w:val="24"/>
          <w:rtl/>
        </w:rPr>
        <w:t>أن يحث سانت فنسنت وجزر غرينادين على العمل مع الوكالات القائمة بالتنفيذ ذات الصلة لوضع خطة عملها للتخفيض التدريجي لاستهلاك وإنتاج مركبات الكربون الهيدروفلورية؛</w:t>
      </w:r>
    </w:p>
    <w:p w14:paraId="7B542566" w14:textId="77777777" w:rsidR="00F84C45" w:rsidRPr="00691638" w:rsidRDefault="00F84C45" w:rsidP="00691638">
      <w:pPr>
        <w:pStyle w:val="NormalNonumber"/>
        <w:numPr>
          <w:ilvl w:val="0"/>
          <w:numId w:val="28"/>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691638">
        <w:rPr>
          <w:rFonts w:ascii="Simplified Arabic" w:hAnsi="Simplified Arabic" w:cs="Simplified Arabic"/>
          <w:sz w:val="24"/>
          <w:szCs w:val="24"/>
          <w:rtl/>
        </w:rPr>
        <w:t>أن يرصد عن كثب التقدم الذي تحرزه سانت فنسنت وجزر غرينادين فيما يتعلق بتنفيذ التزاماتها بموجب بروتوكول مونتريال. وبقدر ما يعمل الطرف من أجل الوفاء بتدابير الرقابة المحددة للبروتوكول، وبقدر ما يفي بها، فينبغي الاستمرار في معاملته بالطريقة نفسها التي يُعامل بها الطرف الذي يكون في وضع جيد. وفي هذا الصدد، ينبغي أن تستمر سانت فنسنت وجزر غرينادين في تلقي المساعدة الدولية لتمكينها من الوفاء بتلك الالتزامات وفقاً للبند ألف من القائمة الإرشادية للتدابير التي يمكن أن يتخذها اجتماع الأطراف فيما يتعلق بعدم الامتثال؛</w:t>
      </w:r>
    </w:p>
    <w:p w14:paraId="662BAE0B" w14:textId="77777777" w:rsidR="00F84C45" w:rsidRPr="00691638" w:rsidRDefault="00F84C45" w:rsidP="00691638">
      <w:pPr>
        <w:pStyle w:val="NormalNonumber"/>
        <w:numPr>
          <w:ilvl w:val="0"/>
          <w:numId w:val="28"/>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691638">
        <w:rPr>
          <w:rFonts w:ascii="Simplified Arabic" w:hAnsi="Simplified Arabic" w:cs="Simplified Arabic"/>
          <w:sz w:val="24"/>
          <w:szCs w:val="24"/>
          <w:rtl/>
        </w:rPr>
        <w:t>أن يحذّر سانت فنسنت وجزر غرينادين، وفقاً للبند باء من القائمة الإرشادية للتدابير التي يمكن أن يتخذها اجتماع الأطراف فيما يتعلق بعدم الامتثال، من أنه، في حالة عدم عودة سانت فنسنت وجزر غرينادين إلى الامتثال، ستنظر الأطراف في اتخاذ تدابير تتفق مع البند جيم من القائمة الإرشادية للتدابير، قد تشمل إمكانية اتخاذ الإجراءات المتاحة بموجب المادة 4، مثل ضمان وقف إمدادات مركبات الكربون الهيدروفلورية التي هي موضوع عدم الامتثال بحيث لا تساهم الأطراف المصدرة في استمرار حالة عدم الامتثال.</w:t>
      </w:r>
    </w:p>
    <w:p w14:paraId="34C0BCBB" w14:textId="55E19F10" w:rsidR="00F84C45" w:rsidRPr="00691638" w:rsidRDefault="005442AD" w:rsidP="00691638">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w w:val="96"/>
          <w:sz w:val="24"/>
          <w:szCs w:val="24"/>
        </w:rPr>
      </w:pPr>
      <w:r w:rsidRPr="00691638">
        <w:rPr>
          <w:rFonts w:ascii="Simplified Arabic" w:hAnsi="Simplified Arabic" w:cs="Simplified Arabic" w:hint="cs"/>
          <w:bCs/>
          <w:w w:val="96"/>
          <w:sz w:val="24"/>
          <w:szCs w:val="24"/>
          <w:rtl/>
        </w:rPr>
        <w:t>هاء-</w:t>
      </w:r>
      <w:r w:rsidR="00763D3B" w:rsidRPr="00691638">
        <w:rPr>
          <w:rFonts w:ascii="Simplified Arabic" w:hAnsi="Simplified Arabic" w:cs="Simplified Arabic"/>
          <w:bCs/>
          <w:w w:val="96"/>
          <w:sz w:val="24"/>
          <w:szCs w:val="24"/>
          <w:rtl/>
        </w:rPr>
        <w:tab/>
      </w:r>
      <w:r w:rsidR="00F84C45" w:rsidRPr="00691638">
        <w:rPr>
          <w:rFonts w:ascii="Simplified Arabic" w:hAnsi="Simplified Arabic" w:cs="Simplified Arabic"/>
          <w:bCs/>
          <w:w w:val="96"/>
          <w:sz w:val="24"/>
          <w:szCs w:val="24"/>
          <w:rtl/>
        </w:rPr>
        <w:t>مشروع المقرر 37/</w:t>
      </w:r>
      <w:r w:rsidR="00F84C45" w:rsidRPr="00691638">
        <w:rPr>
          <w:rFonts w:ascii="Simplified Arabic" w:hAnsi="Simplified Arabic" w:cs="Simplified Arabic"/>
          <w:bCs/>
          <w:w w:val="96"/>
          <w:sz w:val="24"/>
          <w:szCs w:val="24"/>
        </w:rPr>
        <w:t>:[--]</w:t>
      </w:r>
      <w:r w:rsidR="00F84C45" w:rsidRPr="00691638">
        <w:rPr>
          <w:rFonts w:ascii="Simplified Arabic" w:hAnsi="Simplified Arabic" w:cs="Simplified Arabic"/>
          <w:bCs/>
          <w:w w:val="96"/>
          <w:sz w:val="24"/>
          <w:szCs w:val="24"/>
          <w:rtl/>
        </w:rPr>
        <w:t xml:space="preserve"> عدم الامتثال لبروتوكول مونتريال من جانب</w:t>
      </w:r>
      <w:r w:rsidR="00F84C45" w:rsidRPr="00691638">
        <w:rPr>
          <w:rFonts w:ascii="Simplified Arabic" w:hAnsi="Simplified Arabic" w:cs="Simplified Arabic" w:hint="cs"/>
          <w:bCs/>
          <w:w w:val="96"/>
          <w:sz w:val="24"/>
          <w:szCs w:val="24"/>
          <w:rtl/>
        </w:rPr>
        <w:t xml:space="preserve"> </w:t>
      </w:r>
      <w:r w:rsidR="00F84C45" w:rsidRPr="00691638">
        <w:rPr>
          <w:rFonts w:ascii="Simplified Arabic" w:hAnsi="Simplified Arabic" w:cs="Simplified Arabic"/>
          <w:bCs/>
          <w:w w:val="96"/>
          <w:sz w:val="24"/>
          <w:szCs w:val="24"/>
          <w:rtl/>
        </w:rPr>
        <w:t>طاجيكستان</w:t>
      </w:r>
    </w:p>
    <w:p w14:paraId="61151884" w14:textId="77777777" w:rsidR="00F84C45" w:rsidRPr="000B5AE8" w:rsidRDefault="00F84C45" w:rsidP="00691638">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i/>
          <w:iCs/>
          <w:sz w:val="24"/>
          <w:szCs w:val="24"/>
          <w:lang w:val="ar-SA" w:eastAsia="zh-TW" w:bidi="en-GB"/>
        </w:rPr>
      </w:pPr>
      <w:r w:rsidRPr="000B5AE8">
        <w:rPr>
          <w:rFonts w:ascii="Simplified Arabic" w:hAnsi="Simplified Arabic" w:hint="default"/>
          <w:i/>
          <w:iCs/>
          <w:sz w:val="24"/>
          <w:szCs w:val="24"/>
          <w:rtl/>
        </w:rPr>
        <w:t>إن الاجتماع السابع والثلاثين للأطراف،</w:t>
      </w:r>
    </w:p>
    <w:p w14:paraId="015A5DD8" w14:textId="77777777" w:rsidR="00F84C45" w:rsidRPr="000B5AE8" w:rsidRDefault="00F84C45" w:rsidP="00691638">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sz w:val="24"/>
          <w:szCs w:val="24"/>
          <w:lang w:val="ar-SA" w:eastAsia="zh-TW" w:bidi="en-GB"/>
        </w:rPr>
      </w:pPr>
      <w:r w:rsidRPr="000B5AE8">
        <w:rPr>
          <w:rFonts w:ascii="Simplified Arabic" w:hAnsi="Simplified Arabic" w:hint="default"/>
          <w:i/>
          <w:iCs/>
          <w:sz w:val="24"/>
          <w:szCs w:val="24"/>
          <w:rtl/>
        </w:rPr>
        <w:t>إذ يلاحظ</w:t>
      </w:r>
      <w:r w:rsidRPr="000B5AE8">
        <w:rPr>
          <w:rFonts w:ascii="Simplified Arabic" w:hAnsi="Simplified Arabic" w:hint="default"/>
          <w:sz w:val="24"/>
          <w:szCs w:val="24"/>
          <w:rtl/>
        </w:rPr>
        <w:t xml:space="preserve"> أن طاجيكستان قد انضمت إلى بروتوكول مونتريال بشأن المواد المستنفدة لطبقة الأوزون وإلى تعديل لندن في 7 كانون الثاني/يناير 1998 وإلى تعديل كوبنهاغن وتعديل مونتريال وتعديل بيجين في 7 أيار/مايو 2009، وأنها صدقت على تعديل كيغالي في 29 حزيران/يونيه 2022، وأنها مصنفة كطرف غير عامل بموجب الفقرة 1 من المادة 5 من البروتوكول،</w:t>
      </w:r>
    </w:p>
    <w:p w14:paraId="02CECB70" w14:textId="77777777" w:rsidR="00F84C45" w:rsidRPr="000B5AE8" w:rsidRDefault="00F84C45" w:rsidP="00691638">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sz w:val="24"/>
          <w:szCs w:val="24"/>
          <w:lang w:val="ar-SA" w:eastAsia="zh-TW" w:bidi="en-GB"/>
        </w:rPr>
      </w:pPr>
      <w:r w:rsidRPr="000B5AE8">
        <w:rPr>
          <w:rFonts w:ascii="Simplified Arabic" w:hAnsi="Simplified Arabic" w:hint="default"/>
          <w:i/>
          <w:iCs/>
          <w:sz w:val="24"/>
          <w:szCs w:val="24"/>
          <w:rtl/>
        </w:rPr>
        <w:t>وإذ يلاحظ أيضاً</w:t>
      </w:r>
      <w:r w:rsidRPr="000B5AE8">
        <w:rPr>
          <w:rFonts w:ascii="Simplified Arabic" w:hAnsi="Simplified Arabic" w:hint="default"/>
          <w:sz w:val="24"/>
          <w:szCs w:val="24"/>
          <w:rtl/>
        </w:rPr>
        <w:t xml:space="preserve"> أن طاجيكستان قد أبلغت عن استهلاك سنوي، لعام 2023، قدره 613 457 طنا</w:t>
      </w:r>
      <w:r w:rsidRPr="000B5AE8">
        <w:rPr>
          <w:rFonts w:ascii="Simplified Arabic" w:hAnsi="Simplified Arabic"/>
          <w:sz w:val="24"/>
          <w:szCs w:val="24"/>
          <w:rtl/>
        </w:rPr>
        <w:t>ً</w:t>
      </w:r>
      <w:r w:rsidRPr="000B5AE8">
        <w:rPr>
          <w:rFonts w:ascii="Simplified Arabic" w:hAnsi="Simplified Arabic" w:hint="default"/>
          <w:sz w:val="24"/>
          <w:szCs w:val="24"/>
          <w:rtl/>
        </w:rPr>
        <w:t xml:space="preserve"> محسوبة بمكافئ ثاني أكسيد الكربون من المواد الخاضعة للرقابة الواردة في المرفق واو لبروتوكول مونتريال (مركبات الكربون الهيدروفلورية)، وهو ما يتجاوز الحد الأقصى المسموح للطرف باستهلاكه والبالغ 270 424 طنا</w:t>
      </w:r>
      <w:r w:rsidRPr="000B5AE8">
        <w:rPr>
          <w:rFonts w:ascii="Simplified Arabic" w:hAnsi="Simplified Arabic"/>
          <w:sz w:val="24"/>
          <w:szCs w:val="24"/>
          <w:rtl/>
        </w:rPr>
        <w:t>ً</w:t>
      </w:r>
      <w:r w:rsidRPr="000B5AE8">
        <w:rPr>
          <w:rFonts w:ascii="Simplified Arabic" w:hAnsi="Simplified Arabic" w:hint="default"/>
          <w:sz w:val="24"/>
          <w:szCs w:val="24"/>
          <w:rtl/>
        </w:rPr>
        <w:t xml:space="preserve"> بمكافئ ثاني أكسيد الكربون من مركبات الكربون الهيدروفلورية لعام 2023، وأن طاجيكستان تعد من ثم في حالة عدم امتثال لتدابير الرقابة على استهلاك مركبات الكربون الهيدروفلورية بموجب بروتوكول مونتريال،</w:t>
      </w:r>
    </w:p>
    <w:p w14:paraId="525F425B" w14:textId="77777777" w:rsidR="00F84C45" w:rsidRPr="000B5AE8" w:rsidRDefault="00F84C45" w:rsidP="00691638">
      <w:pPr>
        <w:keepNext/>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i/>
          <w:sz w:val="24"/>
          <w:szCs w:val="24"/>
          <w:lang w:val="ar-SA" w:eastAsia="zh-TW" w:bidi="en-GB"/>
        </w:rPr>
      </w:pPr>
      <w:r w:rsidRPr="000B5AE8">
        <w:rPr>
          <w:rFonts w:ascii="Simplified Arabic" w:hAnsi="Simplified Arabic" w:hint="default"/>
          <w:i/>
          <w:iCs/>
          <w:sz w:val="24"/>
          <w:szCs w:val="24"/>
          <w:rtl/>
        </w:rPr>
        <w:lastRenderedPageBreak/>
        <w:t>يقرر:</w:t>
      </w:r>
    </w:p>
    <w:p w14:paraId="2B818B04" w14:textId="77777777" w:rsidR="00F84C45" w:rsidRPr="00AC2114" w:rsidRDefault="00F84C45" w:rsidP="00AC2114">
      <w:pPr>
        <w:pStyle w:val="NormalNonumber"/>
        <w:numPr>
          <w:ilvl w:val="0"/>
          <w:numId w:val="29"/>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lowKashida"/>
        <w:textDirection w:val="tbRlV"/>
        <w:rPr>
          <w:rFonts w:ascii="Simplified Arabic" w:hAnsi="Simplified Arabic" w:cs="Simplified Arabic"/>
          <w:w w:val="107"/>
          <w:sz w:val="24"/>
          <w:szCs w:val="24"/>
          <w:lang w:val="ar-SA" w:eastAsia="zh-TW" w:bidi="en-GB"/>
        </w:rPr>
      </w:pPr>
      <w:r w:rsidRPr="00AC2114">
        <w:rPr>
          <w:rFonts w:ascii="Simplified Arabic" w:hAnsi="Simplified Arabic" w:cs="Simplified Arabic"/>
          <w:w w:val="107"/>
          <w:sz w:val="24"/>
          <w:szCs w:val="24"/>
          <w:rtl/>
        </w:rPr>
        <w:t>أن يطلب إلى طاجيكستان أن تقدم إلى أمانة الأوزون، على وجه الاستعجال وفي موعد لا يتجاوز 31 آذار/مارس 2026، خطة عمل تتضمن نقاطاً مرجعيةً محددة زمنياً لضمان عودة الطرف السريعة إلى الامتثال لالتزاماته بشأن مركبات الكربون الهيدروفلورية بموجب البروتوكول، وكذلك سياسات محددة سيعتمدها دعماً لجهوده في التنفيذ، لكي تنظر فيها لجنة التنفيذ بموجب إجراء عدم الامتثال لبروتوكول مونتريال بشأن المواد المستنفدة لطبقة الأوزون في اجتماعها السادس والسبعين؛</w:t>
      </w:r>
    </w:p>
    <w:p w14:paraId="23BEDD8A" w14:textId="4B9FFEFB" w:rsidR="00F84C45" w:rsidRPr="00691638" w:rsidRDefault="00F84C45" w:rsidP="00691638">
      <w:pPr>
        <w:pStyle w:val="NormalNonumber"/>
        <w:numPr>
          <w:ilvl w:val="0"/>
          <w:numId w:val="29"/>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Pr>
      </w:pPr>
      <w:r w:rsidRPr="00691638">
        <w:rPr>
          <w:rFonts w:ascii="Simplified Arabic" w:hAnsi="Simplified Arabic" w:cs="Simplified Arabic"/>
          <w:sz w:val="24"/>
          <w:szCs w:val="24"/>
          <w:rtl/>
        </w:rPr>
        <w:t>أن يرصد عن كثب التقدم الذي تحرزه طاجيكستان فيما يتعلق بالتخفيض التدريجي لمركبات الكربون الهيدروفلورية. وبقدر ما تعمل طاجيكستان من أجل الوفاء بتدابير الرقابة المحددة بموجب بروتوكول مونتريال، فينبغي الاستمرار في معاملتها بالطريقة نفسها التي يُعامل بها الطرف الذي يكون في وضع جيد. وفي هذا الصدد، ينبغي أن تستمر طاجيكستان في تلقي المساعدة الدولية لتمكينها من الوفاء بالتزاماتها وفقاً للبند ألف من القائمة الإرشادية للتدابير التي يمكن أن يتخذها اجتماع الأطراف فيما يتعلق بعدم الامتثال؛</w:t>
      </w:r>
    </w:p>
    <w:p w14:paraId="6C45BCBD" w14:textId="77777777" w:rsidR="00F84C45" w:rsidRPr="00691638" w:rsidRDefault="00F84C45" w:rsidP="00691638">
      <w:pPr>
        <w:pStyle w:val="NormalNonumber"/>
        <w:numPr>
          <w:ilvl w:val="0"/>
          <w:numId w:val="29"/>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691638">
        <w:rPr>
          <w:rFonts w:ascii="Simplified Arabic" w:hAnsi="Simplified Arabic" w:cs="Simplified Arabic"/>
          <w:sz w:val="24"/>
          <w:szCs w:val="24"/>
          <w:rtl/>
        </w:rPr>
        <w:t>أن يحذّر طاجيكستان، وفقاً للبند باء من القائمة الإرشادية للتدابير، من أنه في حالة عدم عودتها إلى الامتثال في الوقت المناسب، سينظر اجتماع الأطراف في اتخاذ تدابير تتفق مع البند جيم من القائمة الإرشادية للتدابير، قد تشمل إمكانية اتخاذ الإجراءات المتاحة بموجب المادة 4، مثل ضمان وقف إمدادات مركبات الكربون الهيدروفلورية التي هي موضوع عدم الامتثال بحيث لا تساهم الأطراف المصدرة في استمرار حالة عدم الامتثال.</w:t>
      </w:r>
    </w:p>
    <w:p w14:paraId="4A66950C" w14:textId="26AE2514" w:rsidR="00F84C45" w:rsidRPr="00691638" w:rsidRDefault="002737A8" w:rsidP="00691638">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w w:val="96"/>
          <w:sz w:val="24"/>
          <w:szCs w:val="24"/>
        </w:rPr>
      </w:pPr>
      <w:r w:rsidRPr="00691638">
        <w:rPr>
          <w:rFonts w:ascii="Simplified Arabic" w:hAnsi="Simplified Arabic" w:cs="Simplified Arabic" w:hint="cs"/>
          <w:bCs/>
          <w:w w:val="96"/>
          <w:sz w:val="24"/>
          <w:szCs w:val="24"/>
          <w:rtl/>
        </w:rPr>
        <w:t>واو-</w:t>
      </w:r>
      <w:r w:rsidR="00763D3B" w:rsidRPr="00691638">
        <w:rPr>
          <w:rFonts w:ascii="Simplified Arabic" w:hAnsi="Simplified Arabic" w:cs="Simplified Arabic"/>
          <w:bCs/>
          <w:w w:val="96"/>
          <w:sz w:val="24"/>
          <w:szCs w:val="24"/>
          <w:rtl/>
        </w:rPr>
        <w:tab/>
      </w:r>
      <w:r w:rsidR="00F84C45" w:rsidRPr="00691638">
        <w:rPr>
          <w:rFonts w:ascii="Simplified Arabic" w:hAnsi="Simplified Arabic" w:cs="Simplified Arabic"/>
          <w:bCs/>
          <w:w w:val="96"/>
          <w:sz w:val="24"/>
          <w:szCs w:val="24"/>
          <w:rtl/>
        </w:rPr>
        <w:t>مشروع المقرر 37/</w:t>
      </w:r>
      <w:r w:rsidR="00F84C45" w:rsidRPr="00691638">
        <w:rPr>
          <w:rFonts w:ascii="Simplified Arabic" w:hAnsi="Simplified Arabic" w:cs="Simplified Arabic"/>
          <w:bCs/>
          <w:w w:val="96"/>
          <w:sz w:val="24"/>
          <w:szCs w:val="24"/>
        </w:rPr>
        <w:t>:[--]</w:t>
      </w:r>
      <w:r w:rsidR="00F84C45" w:rsidRPr="00691638">
        <w:rPr>
          <w:rFonts w:ascii="Simplified Arabic" w:hAnsi="Simplified Arabic" w:cs="Simplified Arabic"/>
          <w:bCs/>
          <w:w w:val="96"/>
          <w:sz w:val="24"/>
          <w:szCs w:val="24"/>
          <w:rtl/>
        </w:rPr>
        <w:t xml:space="preserve"> عدم الامتثال لبروتوكول مونتريال من جانب زامبيا</w:t>
      </w:r>
    </w:p>
    <w:p w14:paraId="5C70C6E6" w14:textId="77777777" w:rsidR="00F84C45" w:rsidRPr="000B5AE8" w:rsidRDefault="00F84C45" w:rsidP="00691638">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i/>
          <w:iCs/>
          <w:sz w:val="24"/>
          <w:szCs w:val="24"/>
          <w:lang w:val="ar-SA" w:eastAsia="zh-TW" w:bidi="en-GB"/>
        </w:rPr>
      </w:pPr>
      <w:r w:rsidRPr="000B5AE8">
        <w:rPr>
          <w:rFonts w:ascii="Simplified Arabic" w:hAnsi="Simplified Arabic" w:hint="default"/>
          <w:i/>
          <w:iCs/>
          <w:sz w:val="24"/>
          <w:szCs w:val="24"/>
          <w:rtl/>
        </w:rPr>
        <w:t>إن الاجتماع السابع والثلاثين للأطراف،</w:t>
      </w:r>
    </w:p>
    <w:p w14:paraId="6D8B41B7" w14:textId="77777777" w:rsidR="00F84C45" w:rsidRPr="000B5AE8" w:rsidRDefault="00F84C45" w:rsidP="00691638">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sz w:val="24"/>
          <w:szCs w:val="24"/>
          <w:lang w:val="ar-SA" w:eastAsia="zh-TW" w:bidi="en-GB"/>
        </w:rPr>
      </w:pPr>
      <w:r w:rsidRPr="000B5AE8">
        <w:rPr>
          <w:rFonts w:ascii="Simplified Arabic" w:hAnsi="Simplified Arabic" w:hint="default"/>
          <w:i/>
          <w:iCs/>
          <w:sz w:val="24"/>
          <w:szCs w:val="24"/>
          <w:rtl/>
        </w:rPr>
        <w:t>إذ يلاحظ</w:t>
      </w:r>
      <w:r w:rsidRPr="000B5AE8">
        <w:rPr>
          <w:rFonts w:ascii="Simplified Arabic" w:hAnsi="Simplified Arabic" w:hint="default"/>
          <w:sz w:val="24"/>
          <w:szCs w:val="24"/>
          <w:rtl/>
        </w:rPr>
        <w:t xml:space="preserve"> أن زامبيا قد انضمت إلى بروتوكول مونتريال بشأن المواد المستنفدة لطبقة الأوزون في 24</w:t>
      </w:r>
      <w:r w:rsidRPr="000B5AE8">
        <w:rPr>
          <w:rFonts w:ascii="Simplified Arabic" w:hAnsi="Simplified Arabic"/>
          <w:sz w:val="24"/>
          <w:szCs w:val="24"/>
          <w:rtl/>
        </w:rPr>
        <w:t> </w:t>
      </w:r>
      <w:r w:rsidRPr="000B5AE8">
        <w:rPr>
          <w:rFonts w:ascii="Simplified Arabic" w:hAnsi="Simplified Arabic" w:hint="default"/>
          <w:sz w:val="24"/>
          <w:szCs w:val="24"/>
          <w:rtl/>
        </w:rPr>
        <w:t>كانون الثاني/يناير 1990، وصدقت على تعديل لندن في 15 نيسان/أبريل 1994، وانضمت إلى تعديل كوبنهاغن وإلى تعديل مونتريال وإلى تعديل بيجين في 11 تشرين الأول/أكتوبر 2007، وأنها صدقت على تعديل كيغالي في 15</w:t>
      </w:r>
      <w:r w:rsidRPr="000B5AE8">
        <w:rPr>
          <w:rFonts w:ascii="Simplified Arabic" w:hAnsi="Simplified Arabic"/>
          <w:sz w:val="24"/>
          <w:szCs w:val="24"/>
          <w:rtl/>
        </w:rPr>
        <w:t> </w:t>
      </w:r>
      <w:r w:rsidRPr="000B5AE8">
        <w:rPr>
          <w:rFonts w:ascii="Simplified Arabic" w:hAnsi="Simplified Arabic" w:hint="default"/>
          <w:sz w:val="24"/>
          <w:szCs w:val="24"/>
          <w:rtl/>
        </w:rPr>
        <w:t>آذار/مارس 2021، وأنها مصنفة كطرف يعمل بموجب الفقرة 1 من المادة 5 من البروتوكول،</w:t>
      </w:r>
    </w:p>
    <w:p w14:paraId="1264F35B" w14:textId="77777777" w:rsidR="00F84C45" w:rsidRPr="000B5AE8" w:rsidRDefault="00F84C45" w:rsidP="00691638">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sz w:val="24"/>
          <w:szCs w:val="24"/>
          <w:lang w:val="ar-SA" w:eastAsia="zh-TW" w:bidi="en-GB"/>
        </w:rPr>
      </w:pPr>
      <w:r w:rsidRPr="000B5AE8">
        <w:rPr>
          <w:rFonts w:ascii="Simplified Arabic" w:hAnsi="Simplified Arabic" w:hint="default"/>
          <w:i/>
          <w:iCs/>
          <w:sz w:val="24"/>
          <w:szCs w:val="24"/>
          <w:rtl/>
        </w:rPr>
        <w:t>وإذ يلاحظ أيضاً</w:t>
      </w:r>
      <w:r w:rsidRPr="000B5AE8">
        <w:rPr>
          <w:rFonts w:ascii="Simplified Arabic" w:hAnsi="Simplified Arabic" w:hint="default"/>
          <w:sz w:val="24"/>
          <w:szCs w:val="24"/>
          <w:rtl/>
        </w:rPr>
        <w:t xml:space="preserve"> أن زامبيا أبلغت عن استهلاك سنوي، لعام 2024، قدره 857 857 طنا محسوبة بمكافئ ثاني أكسيد الكربون من المواد الخاضعة للرقابة الواردة في المرفق واو لبروتوكول مونتريال (مركبات الكربون الهيدروفلورية)، وهو ما يتجاوز الحد الأقصى المسموح للطرف باستهلاكه والبالغ 513 699 طنا محسوبة بمكافئ ثاني أكسيد الكربون من مركبات الكربون الهيدروفلورية لعام 2024، وأن زامبيا تعد من ثم في حالة عدم امتثال لتدابير الرقابة على استهلاك مركبات الكربون الهيدروفلورية بموجب بروتوكول مونتريال،</w:t>
      </w:r>
    </w:p>
    <w:p w14:paraId="45D8B6DC" w14:textId="77777777" w:rsidR="00F84C45" w:rsidRPr="000B5AE8" w:rsidRDefault="00F84C45" w:rsidP="00691638">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i/>
          <w:sz w:val="24"/>
          <w:szCs w:val="24"/>
          <w:lang w:val="en-US" w:eastAsia="zh-TW" w:bidi="en-GB"/>
        </w:rPr>
      </w:pPr>
      <w:r w:rsidRPr="000B5AE8">
        <w:rPr>
          <w:rFonts w:ascii="Simplified Arabic" w:hAnsi="Simplified Arabic" w:hint="default"/>
          <w:i/>
          <w:iCs/>
          <w:sz w:val="24"/>
          <w:szCs w:val="24"/>
          <w:rtl/>
        </w:rPr>
        <w:t>يقرر:</w:t>
      </w:r>
    </w:p>
    <w:p w14:paraId="25EBF6BB" w14:textId="77777777" w:rsidR="00F84C45" w:rsidRPr="00691638" w:rsidRDefault="00F84C45" w:rsidP="00691638">
      <w:pPr>
        <w:pStyle w:val="NormalNonumber"/>
        <w:numPr>
          <w:ilvl w:val="0"/>
          <w:numId w:val="30"/>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691638">
        <w:rPr>
          <w:rFonts w:ascii="Simplified Arabic" w:hAnsi="Simplified Arabic" w:cs="Simplified Arabic"/>
          <w:sz w:val="24"/>
          <w:szCs w:val="24"/>
          <w:rtl/>
        </w:rPr>
        <w:t>أن يحث زامبيا على تقديم تفسير للانحراف على وجه الاستعجال، في موعد لا يتجاوز 31</w:t>
      </w:r>
      <w:r w:rsidRPr="00691638">
        <w:rPr>
          <w:rFonts w:ascii="Simplified Arabic" w:hAnsi="Simplified Arabic" w:cs="Simplified Arabic" w:hint="cs"/>
          <w:sz w:val="24"/>
          <w:szCs w:val="24"/>
          <w:rtl/>
        </w:rPr>
        <w:t> </w:t>
      </w:r>
      <w:r w:rsidRPr="00691638">
        <w:rPr>
          <w:rFonts w:ascii="Simplified Arabic" w:hAnsi="Simplified Arabic" w:cs="Simplified Arabic"/>
          <w:sz w:val="24"/>
          <w:szCs w:val="24"/>
          <w:rtl/>
        </w:rPr>
        <w:t>آذار/مارس 2026، وأن تقدم، إذا كان ذلك مناسباً، خطة عمل تتضمن نقاطاً مرجعيةً محددة زمنياً لضمان عودة الطرف السريعة إلى الامتثال لالتزاماته بشأن مركبات الكربون الهيدروفلورية بموجب بروتوكول مونتريال بشأن المواد المستنفدة لطبقة الأوزون، وكذلك سياسات محددة سيعتمدها دعماً لجهوده في التنفيذ، لكي تنظر فيها لجنة التنفيذ بموجب إجراء عدم الامتثال لبروتوكول مونتريال في اجتماعها السادس والسبعين؛</w:t>
      </w:r>
    </w:p>
    <w:p w14:paraId="6865317B" w14:textId="77777777" w:rsidR="00F84C45" w:rsidRPr="00691638" w:rsidRDefault="00F84C45" w:rsidP="00691638">
      <w:pPr>
        <w:pStyle w:val="NormalNonumber"/>
        <w:numPr>
          <w:ilvl w:val="0"/>
          <w:numId w:val="30"/>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Pr>
      </w:pPr>
      <w:r w:rsidRPr="00691638">
        <w:rPr>
          <w:rFonts w:ascii="Simplified Arabic" w:hAnsi="Simplified Arabic" w:cs="Simplified Arabic"/>
          <w:sz w:val="24"/>
          <w:szCs w:val="24"/>
          <w:rtl/>
        </w:rPr>
        <w:t xml:space="preserve">أن يرصد عن كثب التقدم الذي تحرزه زامبيا فيما يتعلق بالتخفيض التدريجي لمركبات الكربون الهيدروفلورية. وبقدر ما تعمل زامبيا من أجل الوفاء بتدابير الرقابة المحددة لبروتوكول مونتريال على النحو المبين في خطة العمل المنقحة، فينبغي الاستمرار في معاملتها بالطريقة نفسها التي يُعامل بها الطرف الذي يكون في </w:t>
      </w:r>
      <w:r w:rsidRPr="00691638">
        <w:rPr>
          <w:rFonts w:ascii="Simplified Arabic" w:hAnsi="Simplified Arabic" w:cs="Simplified Arabic"/>
          <w:sz w:val="24"/>
          <w:szCs w:val="24"/>
          <w:rtl/>
        </w:rPr>
        <w:lastRenderedPageBreak/>
        <w:t>وضع جيد. وفي هذا الصدد، ينبغي أن تستمر زامبيا في تلقي المساعدة الدولية لتمكينها من الوفاء بالتزاماتها وفقاً للبند ألف من القائمة الإرشادية للتدابير التي قد يتخذها اجتماع الأطراف فيما يتعلق بعدم الامتثال؛</w:t>
      </w:r>
    </w:p>
    <w:p w14:paraId="0D283BD0" w14:textId="77777777" w:rsidR="00F84C45" w:rsidRPr="00691638" w:rsidRDefault="00F84C45" w:rsidP="00691638">
      <w:pPr>
        <w:pStyle w:val="NormalNonumber"/>
        <w:numPr>
          <w:ilvl w:val="0"/>
          <w:numId w:val="30"/>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lowKashida"/>
        <w:textDirection w:val="tbRlV"/>
        <w:rPr>
          <w:rFonts w:ascii="Simplified Arabic" w:hAnsi="Simplified Arabic" w:cs="Simplified Arabic"/>
          <w:w w:val="104"/>
          <w:sz w:val="24"/>
          <w:szCs w:val="24"/>
          <w:lang w:val="ar-SA" w:eastAsia="zh-TW" w:bidi="en-GB"/>
        </w:rPr>
      </w:pPr>
      <w:r w:rsidRPr="00691638">
        <w:rPr>
          <w:rFonts w:ascii="Simplified Arabic" w:hAnsi="Simplified Arabic" w:cs="Simplified Arabic"/>
          <w:w w:val="104"/>
          <w:sz w:val="24"/>
          <w:szCs w:val="24"/>
          <w:rtl/>
        </w:rPr>
        <w:t>أن يحذر زامبيا، وفقاً للبند باء من القائمة الإرشادية للتدابير، من أنه في حالة عدم عودتها إلى الامتثال في الوقت المناسب، سينظر اجتماع الأطراف في اتخاذ تدابير تتفق مع البند جيم من القائمة الإرشادية للتدابير، والتي قد تشمل إمكانية اتخاذ الإجراءات المتاحة بموجب المادة 4، مثل ضمان وقف إمدادات مركبات الكربون الهيدروفلورية التي هي موضوع عدم الامتثال بحيث لا تساهم الأطراف المصدرة في استمرار حالة عدم الامتثال.</w:t>
      </w:r>
    </w:p>
    <w:p w14:paraId="538240F0" w14:textId="5CBA32F1" w:rsidR="00083BB5" w:rsidRPr="00691638" w:rsidRDefault="008E3161" w:rsidP="00691638">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w w:val="96"/>
          <w:sz w:val="24"/>
          <w:szCs w:val="24"/>
          <w:rtl/>
          <w:lang w:bidi="en-GB"/>
        </w:rPr>
      </w:pPr>
      <w:r w:rsidRPr="00691638">
        <w:rPr>
          <w:rFonts w:ascii="Simplified Arabic" w:hAnsi="Simplified Arabic" w:cs="Simplified Arabic" w:hint="cs"/>
          <w:bCs/>
          <w:w w:val="96"/>
          <w:sz w:val="24"/>
          <w:szCs w:val="24"/>
          <w:rtl/>
        </w:rPr>
        <w:t>زاي-</w:t>
      </w:r>
      <w:r w:rsidR="00763D3B" w:rsidRPr="00691638">
        <w:rPr>
          <w:rFonts w:ascii="Simplified Arabic" w:hAnsi="Simplified Arabic" w:cs="Simplified Arabic"/>
          <w:bCs/>
          <w:w w:val="96"/>
          <w:sz w:val="24"/>
          <w:szCs w:val="24"/>
          <w:rtl/>
        </w:rPr>
        <w:tab/>
      </w:r>
      <w:r w:rsidR="00083BB5" w:rsidRPr="00691638">
        <w:rPr>
          <w:rFonts w:ascii="Simplified Arabic" w:hAnsi="Simplified Arabic" w:cs="Simplified Arabic"/>
          <w:bCs/>
          <w:w w:val="96"/>
          <w:sz w:val="24"/>
          <w:szCs w:val="24"/>
          <w:rtl/>
        </w:rPr>
        <w:t>مشروع المقرر 37/[--]: عدم الامتثال لبروتوكول مونتريال من جانب مالي</w:t>
      </w:r>
    </w:p>
    <w:p w14:paraId="47020F3A" w14:textId="77777777" w:rsidR="00083BB5" w:rsidRPr="000B5AE8" w:rsidRDefault="00083BB5" w:rsidP="00691638">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i/>
          <w:iCs/>
          <w:sz w:val="24"/>
          <w:szCs w:val="24"/>
          <w:rtl/>
          <w:lang w:val="ar-SA" w:eastAsia="zh-TW" w:bidi="en-GB"/>
        </w:rPr>
      </w:pPr>
      <w:r w:rsidRPr="000B5AE8">
        <w:rPr>
          <w:rFonts w:ascii="Simplified Arabic" w:hAnsi="Simplified Arabic" w:hint="default"/>
          <w:i/>
          <w:iCs/>
          <w:sz w:val="24"/>
          <w:szCs w:val="24"/>
          <w:rtl/>
        </w:rPr>
        <w:t>إن الاجتماع السابع والثلاثين للأطراف،</w:t>
      </w:r>
    </w:p>
    <w:p w14:paraId="350F0E52" w14:textId="77777777" w:rsidR="00083BB5" w:rsidRPr="000B5AE8" w:rsidRDefault="00083BB5" w:rsidP="00691638">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إذ يشير</w:t>
      </w:r>
      <w:r w:rsidRPr="000B5AE8">
        <w:rPr>
          <w:rFonts w:ascii="Simplified Arabic" w:hAnsi="Simplified Arabic" w:hint="default"/>
          <w:sz w:val="24"/>
          <w:szCs w:val="24"/>
          <w:rtl/>
        </w:rPr>
        <w:t xml:space="preserve"> إلى أن مالي قد انضمت إلى بروتوكول مونتريال بشأن المواد المستنفدة لطبقة الأوزون وإلى تعديل لندن في 28 تشرين الأول/أكتوبر 1994، وقبلت تعديل كوبنهاجن وتعديل مونتريال في 7 آذار/مارس 2003، وتعديل بيجين في 25 آذار/مارس 2004، وتعديل كيغالي في 31 آذار/مارس 2017، وأنها مصنفة كطرف عامل بموجب الفقرة 1 من المادة 5 من البروتوكول،</w:t>
      </w:r>
    </w:p>
    <w:p w14:paraId="1DA528FF" w14:textId="77777777" w:rsidR="00083BB5" w:rsidRPr="000B5AE8" w:rsidRDefault="00083BB5" w:rsidP="00691638">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وإذ يلاحظ أيضاً</w:t>
      </w:r>
      <w:r w:rsidRPr="000B5AE8">
        <w:rPr>
          <w:rFonts w:ascii="Simplified Arabic" w:hAnsi="Simplified Arabic" w:hint="default"/>
          <w:sz w:val="24"/>
          <w:szCs w:val="24"/>
          <w:rtl/>
        </w:rPr>
        <w:t xml:space="preserve"> أن مالي قد أبلغت عن استهلاك سنوي، لعام 2024، قدره 126 773 1 طنا محسوبة بمكافئ ثاني أكسيد الكربون من المواد الخاضعة للرقابة الواردة في المرفق واو لبروتوكول مونتريال (مركبات الكربون الهيدروفلورية)، وهو ما يتجاوز الحد الأقصى المسموح للطرف باستهلاكه والبالغ 935 399 طنا بمكافئ ثاني أكسيد الكربون من مركبات الكربون الهيدروفلورية لعام 2024، وأن مالي تعد بالتالي في حالة عدم امتثال لتدابير الرقابة على استهلاك مركبات الكربون الهيدروفلورية بموجب البروتوكول،</w:t>
      </w:r>
    </w:p>
    <w:p w14:paraId="642283DE" w14:textId="77777777" w:rsidR="00083BB5" w:rsidRPr="000B5AE8" w:rsidRDefault="00083BB5" w:rsidP="00691638">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sz w:val="24"/>
          <w:szCs w:val="24"/>
          <w:rtl/>
          <w:lang w:val="ar-SA" w:eastAsia="zh-TW" w:bidi="en-GB"/>
        </w:rPr>
      </w:pPr>
      <w:r w:rsidRPr="000B5AE8">
        <w:rPr>
          <w:rFonts w:ascii="Simplified Arabic" w:hAnsi="Simplified Arabic" w:hint="default"/>
          <w:i/>
          <w:iCs/>
          <w:sz w:val="24"/>
          <w:szCs w:val="24"/>
          <w:rtl/>
        </w:rPr>
        <w:t>وإذ يلاحظ كذلك</w:t>
      </w:r>
      <w:r w:rsidRPr="000B5AE8">
        <w:rPr>
          <w:rFonts w:ascii="Simplified Arabic" w:hAnsi="Simplified Arabic" w:hint="default"/>
          <w:sz w:val="24"/>
          <w:szCs w:val="24"/>
          <w:rtl/>
        </w:rPr>
        <w:t xml:space="preserve"> أن مالي أشارت إلى عزمها على طلب تنقيح بياناتها لخط الأساس لمركبات الكربون الهيدروفلورية ولكنها لم تقدم بعد المعلومات المطلوبة بموجب المقرر 15/19 من أجل تأييد طلبها تغيير بيانات خط الأساس المبلغ عنها لمركبات الكربون الهيدروفلورية،</w:t>
      </w:r>
    </w:p>
    <w:p w14:paraId="1B29D58F" w14:textId="77777777" w:rsidR="00083BB5" w:rsidRPr="000B5AE8" w:rsidRDefault="00083BB5" w:rsidP="00691638">
      <w:pPr>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i/>
          <w:sz w:val="24"/>
          <w:szCs w:val="24"/>
          <w:lang w:val="en-US" w:eastAsia="zh-TW" w:bidi="en-GB"/>
        </w:rPr>
      </w:pPr>
      <w:r w:rsidRPr="000B5AE8">
        <w:rPr>
          <w:rFonts w:ascii="Simplified Arabic" w:hAnsi="Simplified Arabic" w:hint="default"/>
          <w:i/>
          <w:iCs/>
          <w:sz w:val="24"/>
          <w:szCs w:val="24"/>
          <w:rtl/>
        </w:rPr>
        <w:t>يقرر:</w:t>
      </w:r>
    </w:p>
    <w:p w14:paraId="2EF296BB" w14:textId="77777777" w:rsidR="00083BB5" w:rsidRPr="00691638" w:rsidRDefault="00083BB5" w:rsidP="00691638">
      <w:pPr>
        <w:pStyle w:val="NormalNonumber"/>
        <w:numPr>
          <w:ilvl w:val="0"/>
          <w:numId w:val="27"/>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691638">
        <w:rPr>
          <w:rFonts w:ascii="Simplified Arabic" w:hAnsi="Simplified Arabic" w:cs="Simplified Arabic"/>
          <w:sz w:val="24"/>
          <w:szCs w:val="24"/>
          <w:rtl/>
        </w:rPr>
        <w:t>أن يدعو مالي إلى أن تقدم إلى أمانة الأوزون، على وجه الاستعجال وفي موعد لا يتجاوز 31</w:t>
      </w:r>
      <w:r w:rsidRPr="00691638">
        <w:rPr>
          <w:rFonts w:ascii="Simplified Arabic" w:hAnsi="Simplified Arabic" w:cs="Simplified Arabic" w:hint="cs"/>
          <w:sz w:val="24"/>
          <w:szCs w:val="24"/>
          <w:rtl/>
        </w:rPr>
        <w:t> </w:t>
      </w:r>
      <w:r w:rsidRPr="00691638">
        <w:rPr>
          <w:rFonts w:ascii="Simplified Arabic" w:hAnsi="Simplified Arabic" w:cs="Simplified Arabic"/>
          <w:sz w:val="24"/>
          <w:szCs w:val="24"/>
          <w:rtl/>
        </w:rPr>
        <w:t>آذار/مارس 2026، إما طلب مراجعة بياناتها المتعلقة بمركبات الكربون الهيدروفلورية لسنوات خط الأساس، بما في ذلك المعلومات المطلوبة بموجب القرار 15/19 لتأييد طلبها تغيير بياناتها لخط الأساس المبلغ عنها بشأن مركبات الكربون الهيدروفلورية، أو خطة عمل مشفوعة بعلامات قياس محددة زمنياً لضمان عودة الطرف السريعة إلى الامتثال لالتزاماته بشأن مركبات الكربون الهيدروفلورية بموجب البروتوكول، وكذلك سياسات محددة ستعتمدها دعماً لجهودها في التنفيذ، لكي تنظر فيها لجنة التنفيذ بموجب إجراء عدم الامتثال لبروتوكول مونتريال بشأن المواد المستنفدة لطبقة الأوزون في اجتماعها السادس والسبعين؛</w:t>
      </w:r>
    </w:p>
    <w:p w14:paraId="2EF11ED3" w14:textId="77777777" w:rsidR="002A0884" w:rsidRPr="00691638" w:rsidRDefault="00083BB5" w:rsidP="00691638">
      <w:pPr>
        <w:pStyle w:val="NormalNonumber"/>
        <w:numPr>
          <w:ilvl w:val="0"/>
          <w:numId w:val="27"/>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691638">
        <w:rPr>
          <w:rFonts w:ascii="Simplified Arabic" w:hAnsi="Simplified Arabic" w:cs="Simplified Arabic"/>
          <w:sz w:val="24"/>
          <w:szCs w:val="24"/>
          <w:rtl/>
        </w:rPr>
        <w:t>أن يرصد عن كثب التقدم الذي تحرزه مالي فيما يتعلق بالتخفيض التدريجي لمركبات الكربون الهيدروفلورية. وبقدر ما تقدم مالي المعلومات، على نحو الدعوة الموجهة إليها في الفقرة 1</w:t>
      </w:r>
      <w:r w:rsidR="005E6610" w:rsidRPr="00691638">
        <w:rPr>
          <w:rFonts w:ascii="Simplified Arabic" w:hAnsi="Simplified Arabic" w:cs="Simplified Arabic" w:hint="cs"/>
          <w:sz w:val="24"/>
          <w:szCs w:val="24"/>
          <w:rtl/>
        </w:rPr>
        <w:t xml:space="preserve"> أعلاه</w:t>
      </w:r>
      <w:r w:rsidRPr="00691638">
        <w:rPr>
          <w:rFonts w:ascii="Simplified Arabic" w:hAnsi="Simplified Arabic" w:cs="Simplified Arabic"/>
          <w:sz w:val="24"/>
          <w:szCs w:val="24"/>
          <w:rtl/>
        </w:rPr>
        <w:t>، ينبغي الاستمرار في معاملتها بنفس الطريقة التي يعامل بها طرف في وضع جيد. وفي هذا الصدد، ينبغي أن تستمر مالي في تلقي المساعدة الدولية لتمكينها من الوفاء بالتزاماتها وفقاً للبند ألف من القائمة الإرشادية للتدابير التي قد يتخذها اجتماع الأطراف فيما يتعلق بعدم الامتثال.</w:t>
      </w:r>
    </w:p>
    <w:p w14:paraId="37F51596" w14:textId="6E411CE4" w:rsidR="002A0884" w:rsidRPr="00691638" w:rsidRDefault="00075696" w:rsidP="00CC3E43">
      <w:pPr>
        <w:pStyle w:val="CH1"/>
        <w:keepLines w:val="0"/>
        <w:tabs>
          <w:tab w:val="clear" w:pos="851"/>
          <w:tab w:val="clear" w:pos="1247"/>
          <w:tab w:val="clear" w:pos="1871"/>
          <w:tab w:val="clear" w:pos="2495"/>
          <w:tab w:val="clear" w:pos="3119"/>
          <w:tab w:val="clear" w:pos="3742"/>
          <w:tab w:val="clear" w:pos="4366"/>
          <w:tab w:val="clear" w:pos="4990"/>
        </w:tabs>
        <w:bidi/>
        <w:spacing w:before="0" w:after="100" w:line="360" w:lineRule="exact"/>
        <w:ind w:left="1134" w:right="0" w:hanging="850"/>
        <w:jc w:val="both"/>
        <w:textDirection w:val="tbRlV"/>
        <w:rPr>
          <w:rFonts w:ascii="Simplified Arabic" w:hAnsi="Simplified Arabic" w:cs="Simplified Arabic"/>
          <w:bCs/>
          <w:w w:val="96"/>
          <w:sz w:val="24"/>
          <w:szCs w:val="24"/>
          <w:rtl/>
        </w:rPr>
      </w:pPr>
      <w:r w:rsidRPr="00691638">
        <w:rPr>
          <w:rFonts w:ascii="Simplified Arabic" w:hAnsi="Simplified Arabic" w:cs="Simplified Arabic" w:hint="cs"/>
          <w:bCs/>
          <w:w w:val="96"/>
          <w:sz w:val="24"/>
          <w:szCs w:val="24"/>
          <w:rtl/>
        </w:rPr>
        <w:lastRenderedPageBreak/>
        <w:t>حاء-</w:t>
      </w:r>
      <w:r w:rsidRPr="00691638">
        <w:rPr>
          <w:rFonts w:ascii="Simplified Arabic" w:hAnsi="Simplified Arabic" w:cs="Simplified Arabic"/>
          <w:bCs/>
          <w:w w:val="96"/>
          <w:sz w:val="24"/>
          <w:szCs w:val="24"/>
          <w:rtl/>
        </w:rPr>
        <w:tab/>
      </w:r>
      <w:r w:rsidR="00F84C45" w:rsidRPr="00691638">
        <w:rPr>
          <w:rFonts w:ascii="Simplified Arabic" w:hAnsi="Simplified Arabic" w:cs="Simplified Arabic"/>
          <w:bCs/>
          <w:w w:val="96"/>
          <w:sz w:val="24"/>
          <w:szCs w:val="24"/>
          <w:rtl/>
        </w:rPr>
        <w:t>مشروع المقرر 37/</w:t>
      </w:r>
      <w:r w:rsidR="00F84C45" w:rsidRPr="00691638">
        <w:rPr>
          <w:rFonts w:ascii="Simplified Arabic" w:hAnsi="Simplified Arabic" w:cs="Simplified Arabic"/>
          <w:bCs/>
          <w:w w:val="96"/>
          <w:sz w:val="24"/>
          <w:szCs w:val="24"/>
        </w:rPr>
        <w:t>:[--]</w:t>
      </w:r>
      <w:r w:rsidR="00F84C45" w:rsidRPr="00691638">
        <w:rPr>
          <w:rFonts w:ascii="Simplified Arabic" w:hAnsi="Simplified Arabic" w:cs="Simplified Arabic"/>
          <w:bCs/>
          <w:w w:val="96"/>
          <w:sz w:val="24"/>
          <w:szCs w:val="24"/>
          <w:rtl/>
        </w:rPr>
        <w:t xml:space="preserve"> طلبات بشأن تنقيح بيانات خط الأساس من البرازيل</w:t>
      </w:r>
      <w:r w:rsidR="00F84C45" w:rsidRPr="00691638">
        <w:rPr>
          <w:rFonts w:ascii="Simplified Arabic" w:hAnsi="Simplified Arabic" w:cs="Simplified Arabic" w:hint="cs"/>
          <w:bCs/>
          <w:w w:val="96"/>
          <w:sz w:val="24"/>
          <w:szCs w:val="24"/>
          <w:rtl/>
        </w:rPr>
        <w:t>،</w:t>
      </w:r>
      <w:r w:rsidR="00F84C45" w:rsidRPr="00691638">
        <w:rPr>
          <w:rFonts w:ascii="Simplified Arabic" w:hAnsi="Simplified Arabic" w:cs="Simplified Arabic"/>
          <w:bCs/>
          <w:w w:val="96"/>
          <w:sz w:val="24"/>
          <w:szCs w:val="24"/>
          <w:rtl/>
        </w:rPr>
        <w:t xml:space="preserve"> والبوسنة والهرسك، وتوفالو، وجزر مارشال، وغينيا، وفانواتو، وكيريباس، والمغرب، وناورو، ونيجيريا، ونيوي</w:t>
      </w:r>
    </w:p>
    <w:p w14:paraId="68D092B1" w14:textId="2AF29970" w:rsidR="00F84C45" w:rsidRPr="000B5AE8" w:rsidRDefault="00F84C45" w:rsidP="00CC3E43">
      <w:pPr>
        <w:tabs>
          <w:tab w:val="clear" w:pos="1247"/>
          <w:tab w:val="clear" w:pos="1814"/>
          <w:tab w:val="clear" w:pos="2381"/>
          <w:tab w:val="clear" w:pos="2948"/>
          <w:tab w:val="clear" w:pos="3515"/>
        </w:tabs>
        <w:bidi/>
        <w:adjustRightInd w:val="0"/>
        <w:snapToGrid w:val="0"/>
        <w:spacing w:after="100" w:line="360" w:lineRule="exact"/>
        <w:ind w:left="1134" w:firstLine="709"/>
        <w:jc w:val="both"/>
        <w:textDirection w:val="tbRlV"/>
        <w:rPr>
          <w:rFonts w:ascii="Simplified Arabic" w:hAnsi="Simplified Arabic" w:hint="default"/>
          <w:i/>
          <w:iCs/>
          <w:sz w:val="24"/>
          <w:szCs w:val="24"/>
          <w:lang w:val="ar-SA" w:eastAsia="zh-TW" w:bidi="en-GB"/>
        </w:rPr>
      </w:pPr>
      <w:r w:rsidRPr="000B5AE8">
        <w:rPr>
          <w:rFonts w:ascii="Simplified Arabic" w:hAnsi="Simplified Arabic" w:hint="default"/>
          <w:i/>
          <w:iCs/>
          <w:sz w:val="24"/>
          <w:szCs w:val="24"/>
          <w:rtl/>
        </w:rPr>
        <w:t>إن الاجتماع السابع والثلاثين للأطراف،</w:t>
      </w:r>
    </w:p>
    <w:p w14:paraId="24988292" w14:textId="77777777" w:rsidR="00F84C45" w:rsidRPr="000B5AE8" w:rsidRDefault="00F84C45" w:rsidP="00CC3E43">
      <w:pPr>
        <w:tabs>
          <w:tab w:val="clear" w:pos="1247"/>
          <w:tab w:val="clear" w:pos="1814"/>
          <w:tab w:val="clear" w:pos="2381"/>
          <w:tab w:val="clear" w:pos="2948"/>
          <w:tab w:val="clear" w:pos="3515"/>
        </w:tabs>
        <w:bidi/>
        <w:adjustRightInd w:val="0"/>
        <w:snapToGrid w:val="0"/>
        <w:spacing w:after="100" w:line="360" w:lineRule="exact"/>
        <w:ind w:left="1134" w:firstLine="709"/>
        <w:jc w:val="both"/>
        <w:textDirection w:val="tbRlV"/>
        <w:rPr>
          <w:rFonts w:ascii="Simplified Arabic" w:hAnsi="Simplified Arabic" w:hint="default"/>
          <w:sz w:val="24"/>
          <w:szCs w:val="24"/>
          <w:lang w:val="ar-SA" w:eastAsia="zh-TW" w:bidi="en-GB"/>
        </w:rPr>
      </w:pPr>
      <w:r w:rsidRPr="000B5AE8">
        <w:rPr>
          <w:rFonts w:ascii="Simplified Arabic" w:hAnsi="Simplified Arabic" w:hint="default"/>
          <w:i/>
          <w:iCs/>
          <w:sz w:val="24"/>
          <w:szCs w:val="24"/>
          <w:rtl/>
        </w:rPr>
        <w:t>إذ يلاحظ</w:t>
      </w:r>
      <w:r w:rsidRPr="000B5AE8">
        <w:rPr>
          <w:rFonts w:ascii="Simplified Arabic" w:hAnsi="Simplified Arabic" w:hint="default"/>
          <w:sz w:val="24"/>
          <w:szCs w:val="24"/>
          <w:rtl/>
        </w:rPr>
        <w:t xml:space="preserve"> أن الاجتماع الثالث عشر للأطراف في بروتوكول مونتريال بشأن المواد المستنفدة لطبقة الأوزون قرر، في المقرر 13/15، إبلاغ الأطراف التي طلبت تغيير بيانات خط الأساس المبلغ عنها لسنوات خط الأساس بتقديم طلباتها إلى لجنة التنفيذ بموجب إجراء عدم الامتثال لبروتوكول مونتريال، التي ستعمل بدورها مع أمانة بروتوكول مونتريال ومع اللجنة التنفيذية للصندوق المتعدد الأطراف لتنفيذ بروتوكول مونتريال لتأكيد مبررات التغييرات وعرضها على اجتماع الأطراف للموافقة عليها،</w:t>
      </w:r>
    </w:p>
    <w:p w14:paraId="09D5CE98" w14:textId="77777777" w:rsidR="00F84C45" w:rsidRPr="000B5AE8" w:rsidRDefault="00F84C45" w:rsidP="00CC3E43">
      <w:pPr>
        <w:tabs>
          <w:tab w:val="clear" w:pos="1247"/>
          <w:tab w:val="clear" w:pos="1814"/>
          <w:tab w:val="clear" w:pos="2381"/>
          <w:tab w:val="clear" w:pos="2948"/>
          <w:tab w:val="clear" w:pos="3515"/>
        </w:tabs>
        <w:bidi/>
        <w:adjustRightInd w:val="0"/>
        <w:snapToGrid w:val="0"/>
        <w:spacing w:after="100" w:line="360" w:lineRule="exact"/>
        <w:ind w:left="1134" w:firstLine="709"/>
        <w:jc w:val="both"/>
        <w:textDirection w:val="tbRlV"/>
        <w:rPr>
          <w:rFonts w:ascii="Simplified Arabic" w:hAnsi="Simplified Arabic" w:hint="default"/>
          <w:sz w:val="24"/>
          <w:szCs w:val="24"/>
          <w:lang w:val="ar-SA" w:eastAsia="zh-TW" w:bidi="en-GB"/>
        </w:rPr>
      </w:pPr>
      <w:r w:rsidRPr="000B5AE8">
        <w:rPr>
          <w:rFonts w:ascii="Simplified Arabic" w:hAnsi="Simplified Arabic" w:hint="default"/>
          <w:i/>
          <w:iCs/>
          <w:sz w:val="24"/>
          <w:szCs w:val="24"/>
          <w:rtl/>
        </w:rPr>
        <w:t>وإذ يلاحظ أيضاً</w:t>
      </w:r>
      <w:r w:rsidRPr="000B5AE8">
        <w:rPr>
          <w:rFonts w:ascii="Simplified Arabic" w:hAnsi="Simplified Arabic" w:hint="default"/>
          <w:sz w:val="24"/>
          <w:szCs w:val="24"/>
          <w:rtl/>
        </w:rPr>
        <w:t xml:space="preserve"> أن المقرر 15/19 يحدد منهجية تقديم هذه الطلبات،</w:t>
      </w:r>
    </w:p>
    <w:p w14:paraId="6A634F7E" w14:textId="77777777" w:rsidR="00F84C45" w:rsidRPr="000B5AE8" w:rsidRDefault="00F84C45" w:rsidP="00CC3E43">
      <w:pPr>
        <w:tabs>
          <w:tab w:val="clear" w:pos="1247"/>
          <w:tab w:val="clear" w:pos="1814"/>
          <w:tab w:val="clear" w:pos="2381"/>
          <w:tab w:val="clear" w:pos="2948"/>
          <w:tab w:val="clear" w:pos="3515"/>
        </w:tabs>
        <w:bidi/>
        <w:adjustRightInd w:val="0"/>
        <w:snapToGrid w:val="0"/>
        <w:spacing w:after="100" w:line="360" w:lineRule="exact"/>
        <w:ind w:left="1134" w:firstLine="709"/>
        <w:jc w:val="both"/>
        <w:textDirection w:val="tbRlV"/>
        <w:rPr>
          <w:rFonts w:ascii="Simplified Arabic" w:hAnsi="Simplified Arabic" w:hint="default"/>
          <w:i/>
          <w:iCs/>
          <w:sz w:val="24"/>
          <w:szCs w:val="24"/>
          <w:lang w:val="ar-SA" w:eastAsia="zh-TW" w:bidi="en-GB"/>
        </w:rPr>
      </w:pPr>
      <w:r w:rsidRPr="000B5AE8">
        <w:rPr>
          <w:rFonts w:ascii="Simplified Arabic" w:hAnsi="Simplified Arabic" w:hint="default"/>
          <w:i/>
          <w:iCs/>
          <w:sz w:val="24"/>
          <w:szCs w:val="24"/>
          <w:rtl/>
        </w:rPr>
        <w:t>يقرر:</w:t>
      </w:r>
    </w:p>
    <w:p w14:paraId="7EED9067" w14:textId="77777777" w:rsidR="00F84C45" w:rsidRPr="00691638" w:rsidRDefault="00F84C45" w:rsidP="00CC3E43">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after="100" w:line="360" w:lineRule="exact"/>
        <w:ind w:left="1134" w:firstLine="709"/>
        <w:jc w:val="both"/>
        <w:textDirection w:val="tbRlV"/>
        <w:rPr>
          <w:rFonts w:ascii="Simplified Arabic" w:hAnsi="Simplified Arabic" w:cs="Simplified Arabic"/>
          <w:sz w:val="24"/>
          <w:szCs w:val="24"/>
          <w:lang w:val="ar-SA" w:eastAsia="zh-TW" w:bidi="en-GB"/>
        </w:rPr>
      </w:pPr>
      <w:bookmarkStart w:id="29" w:name="_Hlk211330762"/>
      <w:r w:rsidRPr="00691638">
        <w:rPr>
          <w:rFonts w:ascii="Simplified Arabic" w:hAnsi="Simplified Arabic" w:cs="Simplified Arabic"/>
          <w:sz w:val="24"/>
          <w:szCs w:val="24"/>
          <w:rtl/>
        </w:rPr>
        <w:t>أن البوسنة والهرسك قدمت معلومات كافية، وفقاً للمقرر 15/19، لتبرير طلبها تنقيح بيانات استهلاكها من مركبات الكربون الهيدروكلورية فلورية لعام 2009، التي تشكل جزءاً من خط الأساس للمجموعة 1 من الأطراف العاملة بالمادة 5 بموجب تعديل كيغالي لبروتوكول مونتريال بشأن المواد المستنفدة لطبقة الأوزون؛</w:t>
      </w:r>
    </w:p>
    <w:p w14:paraId="7AC9B461" w14:textId="77777777" w:rsidR="00F84C45" w:rsidRPr="00691638" w:rsidRDefault="00F84C45" w:rsidP="00CC3E43">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after="100" w:line="360" w:lineRule="exact"/>
        <w:ind w:left="1134" w:firstLine="709"/>
        <w:jc w:val="both"/>
        <w:textDirection w:val="tbRlV"/>
        <w:rPr>
          <w:rFonts w:ascii="Simplified Arabic" w:hAnsi="Simplified Arabic" w:cs="Simplified Arabic"/>
          <w:sz w:val="24"/>
          <w:szCs w:val="24"/>
          <w:lang w:val="ar-SA" w:eastAsia="zh-TW" w:bidi="en-GB"/>
        </w:rPr>
      </w:pPr>
      <w:r w:rsidRPr="00691638">
        <w:rPr>
          <w:rFonts w:ascii="Simplified Arabic" w:hAnsi="Simplified Arabic" w:cs="Simplified Arabic"/>
          <w:sz w:val="24"/>
          <w:szCs w:val="24"/>
          <w:rtl/>
        </w:rPr>
        <w:t>أن يوافق على طلب البوسنة والهرسك وأن يُنقِّح بيانات استهلاكها من مركبات الكربون الهيدروكلورية فلورية لسنة خط الأساس 2009، على النحو المبين في الجدول التالي:</w:t>
      </w:r>
    </w:p>
    <w:tbl>
      <w:tblPr>
        <w:tblStyle w:val="TableGrid"/>
        <w:bidiVisual/>
        <w:tblW w:w="8363" w:type="dxa"/>
        <w:tblInd w:w="1134" w:type="dxa"/>
        <w:tblLayout w:type="fixed"/>
        <w:tblLook w:val="04A0" w:firstRow="1" w:lastRow="0" w:firstColumn="1" w:lastColumn="0" w:noHBand="0" w:noVBand="1"/>
      </w:tblPr>
      <w:tblGrid>
        <w:gridCol w:w="1278"/>
        <w:gridCol w:w="1418"/>
        <w:gridCol w:w="2126"/>
        <w:gridCol w:w="1417"/>
        <w:gridCol w:w="2124"/>
      </w:tblGrid>
      <w:tr w:rsidR="00F84C45" w:rsidRPr="00691638" w14:paraId="45D74140" w14:textId="77777777" w:rsidTr="00691638">
        <w:trPr>
          <w:trHeight w:val="57"/>
        </w:trPr>
        <w:tc>
          <w:tcPr>
            <w:tcW w:w="1278" w:type="dxa"/>
            <w:vMerge w:val="restart"/>
            <w:tcBorders>
              <w:top w:val="single" w:sz="4" w:space="0" w:color="auto"/>
              <w:left w:val="nil"/>
              <w:bottom w:val="single" w:sz="12" w:space="0" w:color="auto"/>
              <w:right w:val="nil"/>
            </w:tcBorders>
            <w:vAlign w:val="bottom"/>
          </w:tcPr>
          <w:p w14:paraId="2719DBE9"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91638">
              <w:rPr>
                <w:rFonts w:ascii="Simplified Arabic" w:hAnsi="Simplified Arabic" w:cs="Simplified Arabic"/>
                <w:i/>
                <w:iCs/>
                <w:szCs w:val="18"/>
                <w:rtl/>
              </w:rPr>
              <w:t>الطرف/السنة</w:t>
            </w:r>
          </w:p>
        </w:tc>
        <w:tc>
          <w:tcPr>
            <w:tcW w:w="3544" w:type="dxa"/>
            <w:gridSpan w:val="2"/>
            <w:tcBorders>
              <w:top w:val="single" w:sz="4" w:space="0" w:color="auto"/>
              <w:left w:val="nil"/>
              <w:bottom w:val="single" w:sz="4" w:space="0" w:color="auto"/>
              <w:right w:val="nil"/>
            </w:tcBorders>
            <w:vAlign w:val="bottom"/>
          </w:tcPr>
          <w:p w14:paraId="26163810"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center"/>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البيانات السابقة لمركبات الكربون الهيدروكلورية فلورية</w:t>
            </w:r>
          </w:p>
        </w:tc>
        <w:tc>
          <w:tcPr>
            <w:tcW w:w="3541" w:type="dxa"/>
            <w:gridSpan w:val="2"/>
            <w:tcBorders>
              <w:top w:val="single" w:sz="4" w:space="0" w:color="auto"/>
              <w:left w:val="nil"/>
              <w:bottom w:val="single" w:sz="4" w:space="0" w:color="auto"/>
              <w:right w:val="nil"/>
            </w:tcBorders>
            <w:vAlign w:val="bottom"/>
          </w:tcPr>
          <w:p w14:paraId="3D717D0D"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center"/>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البيانات الجديدة لمركبات الكربون الهيدروكلورية فلورية</w:t>
            </w:r>
          </w:p>
        </w:tc>
      </w:tr>
      <w:tr w:rsidR="00F84C45" w:rsidRPr="00691638" w14:paraId="711DAB9A" w14:textId="77777777" w:rsidTr="00691638">
        <w:trPr>
          <w:trHeight w:val="57"/>
        </w:trPr>
        <w:tc>
          <w:tcPr>
            <w:tcW w:w="1278" w:type="dxa"/>
            <w:vMerge/>
            <w:tcBorders>
              <w:left w:val="nil"/>
              <w:bottom w:val="single" w:sz="12" w:space="0" w:color="auto"/>
              <w:right w:val="nil"/>
            </w:tcBorders>
          </w:tcPr>
          <w:p w14:paraId="6DEF12CF"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szCs w:val="18"/>
              </w:rPr>
            </w:pPr>
          </w:p>
        </w:tc>
        <w:tc>
          <w:tcPr>
            <w:tcW w:w="1418" w:type="dxa"/>
            <w:tcBorders>
              <w:top w:val="single" w:sz="4" w:space="0" w:color="auto"/>
              <w:left w:val="nil"/>
              <w:bottom w:val="single" w:sz="4" w:space="0" w:color="auto"/>
              <w:right w:val="nil"/>
            </w:tcBorders>
            <w:vAlign w:val="bottom"/>
          </w:tcPr>
          <w:p w14:paraId="07B171E2"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بالأطنان الاستنفادية</w:t>
            </w:r>
          </w:p>
        </w:tc>
        <w:tc>
          <w:tcPr>
            <w:tcW w:w="2126" w:type="dxa"/>
            <w:tcBorders>
              <w:top w:val="single" w:sz="4" w:space="0" w:color="auto"/>
              <w:left w:val="nil"/>
              <w:bottom w:val="single" w:sz="4" w:space="0" w:color="auto"/>
              <w:right w:val="nil"/>
            </w:tcBorders>
            <w:vAlign w:val="bottom"/>
          </w:tcPr>
          <w:p w14:paraId="3D6AA71F"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بأطنان مكافئ ثاني أكسيد الكربون</w:t>
            </w:r>
          </w:p>
        </w:tc>
        <w:tc>
          <w:tcPr>
            <w:tcW w:w="1417" w:type="dxa"/>
            <w:tcBorders>
              <w:top w:val="single" w:sz="4" w:space="0" w:color="auto"/>
              <w:left w:val="nil"/>
              <w:bottom w:val="single" w:sz="4" w:space="0" w:color="auto"/>
              <w:right w:val="nil"/>
            </w:tcBorders>
            <w:vAlign w:val="bottom"/>
          </w:tcPr>
          <w:p w14:paraId="3F9A16B2"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بالأطنان الاستنفادية</w:t>
            </w:r>
          </w:p>
        </w:tc>
        <w:tc>
          <w:tcPr>
            <w:tcW w:w="2124" w:type="dxa"/>
            <w:tcBorders>
              <w:top w:val="single" w:sz="4" w:space="0" w:color="auto"/>
              <w:left w:val="nil"/>
              <w:bottom w:val="single" w:sz="4" w:space="0" w:color="auto"/>
              <w:right w:val="nil"/>
            </w:tcBorders>
            <w:vAlign w:val="bottom"/>
          </w:tcPr>
          <w:p w14:paraId="15657A9E"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بأطنان مكافئ ثاني أكسيد الكربون</w:t>
            </w:r>
          </w:p>
        </w:tc>
      </w:tr>
      <w:tr w:rsidR="00F84C45" w:rsidRPr="00691638" w14:paraId="2B366861" w14:textId="77777777" w:rsidTr="00691638">
        <w:trPr>
          <w:trHeight w:val="57"/>
        </w:trPr>
        <w:tc>
          <w:tcPr>
            <w:tcW w:w="1278" w:type="dxa"/>
            <w:vMerge/>
            <w:tcBorders>
              <w:left w:val="nil"/>
              <w:bottom w:val="single" w:sz="12" w:space="0" w:color="auto"/>
              <w:right w:val="nil"/>
            </w:tcBorders>
          </w:tcPr>
          <w:p w14:paraId="1A4D3998"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iCs/>
                <w:szCs w:val="18"/>
              </w:rPr>
            </w:pPr>
          </w:p>
        </w:tc>
        <w:tc>
          <w:tcPr>
            <w:tcW w:w="1418" w:type="dxa"/>
            <w:tcBorders>
              <w:top w:val="single" w:sz="4" w:space="0" w:color="auto"/>
              <w:left w:val="nil"/>
              <w:bottom w:val="single" w:sz="12" w:space="0" w:color="auto"/>
              <w:right w:val="nil"/>
            </w:tcBorders>
          </w:tcPr>
          <w:p w14:paraId="1FA73F6F"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2009</w:t>
            </w:r>
          </w:p>
        </w:tc>
        <w:tc>
          <w:tcPr>
            <w:tcW w:w="2126" w:type="dxa"/>
            <w:tcBorders>
              <w:top w:val="single" w:sz="4" w:space="0" w:color="auto"/>
              <w:left w:val="nil"/>
              <w:bottom w:val="single" w:sz="12" w:space="0" w:color="auto"/>
              <w:right w:val="nil"/>
            </w:tcBorders>
          </w:tcPr>
          <w:p w14:paraId="6E39362D"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2009</w:t>
            </w:r>
          </w:p>
        </w:tc>
        <w:tc>
          <w:tcPr>
            <w:tcW w:w="1417" w:type="dxa"/>
            <w:tcBorders>
              <w:top w:val="single" w:sz="4" w:space="0" w:color="auto"/>
              <w:left w:val="nil"/>
              <w:bottom w:val="single" w:sz="12" w:space="0" w:color="auto"/>
              <w:right w:val="nil"/>
            </w:tcBorders>
          </w:tcPr>
          <w:p w14:paraId="23E046AC"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2009</w:t>
            </w:r>
          </w:p>
        </w:tc>
        <w:tc>
          <w:tcPr>
            <w:tcW w:w="2124" w:type="dxa"/>
            <w:tcBorders>
              <w:top w:val="single" w:sz="4" w:space="0" w:color="auto"/>
              <w:left w:val="nil"/>
              <w:bottom w:val="single" w:sz="12" w:space="0" w:color="auto"/>
              <w:right w:val="nil"/>
            </w:tcBorders>
          </w:tcPr>
          <w:p w14:paraId="6E0404BB"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2009</w:t>
            </w:r>
          </w:p>
        </w:tc>
      </w:tr>
      <w:tr w:rsidR="00F84C45" w:rsidRPr="00691638" w14:paraId="1E2706DF" w14:textId="77777777" w:rsidTr="00691638">
        <w:trPr>
          <w:trHeight w:val="57"/>
        </w:trPr>
        <w:tc>
          <w:tcPr>
            <w:tcW w:w="1278" w:type="dxa"/>
            <w:tcBorders>
              <w:top w:val="single" w:sz="12" w:space="0" w:color="auto"/>
              <w:left w:val="nil"/>
              <w:bottom w:val="single" w:sz="12" w:space="0" w:color="auto"/>
              <w:right w:val="nil"/>
            </w:tcBorders>
          </w:tcPr>
          <w:p w14:paraId="614F212F"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91638">
              <w:rPr>
                <w:rFonts w:ascii="Simplified Arabic" w:hAnsi="Simplified Arabic" w:cs="Simplified Arabic"/>
                <w:szCs w:val="18"/>
                <w:rtl/>
              </w:rPr>
              <w:t>البوسنة والهرسك</w:t>
            </w:r>
          </w:p>
        </w:tc>
        <w:tc>
          <w:tcPr>
            <w:tcW w:w="1418" w:type="dxa"/>
            <w:tcBorders>
              <w:top w:val="single" w:sz="12" w:space="0" w:color="auto"/>
              <w:left w:val="nil"/>
              <w:bottom w:val="single" w:sz="12" w:space="0" w:color="auto"/>
              <w:right w:val="nil"/>
            </w:tcBorders>
          </w:tcPr>
          <w:p w14:paraId="33B90102"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91638">
              <w:rPr>
                <w:rFonts w:ascii="Simplified Arabic" w:hAnsi="Simplified Arabic" w:cs="Simplified Arabic"/>
                <w:szCs w:val="18"/>
                <w:rtl/>
              </w:rPr>
              <w:t>5,78</w:t>
            </w:r>
          </w:p>
        </w:tc>
        <w:tc>
          <w:tcPr>
            <w:tcW w:w="2126" w:type="dxa"/>
            <w:tcBorders>
              <w:top w:val="single" w:sz="12" w:space="0" w:color="auto"/>
              <w:left w:val="nil"/>
              <w:bottom w:val="single" w:sz="12" w:space="0" w:color="auto"/>
              <w:right w:val="nil"/>
            </w:tcBorders>
          </w:tcPr>
          <w:p w14:paraId="5B688A02"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91638">
              <w:rPr>
                <w:rFonts w:ascii="Simplified Arabic" w:hAnsi="Simplified Arabic" w:cs="Simplified Arabic"/>
                <w:szCs w:val="18"/>
                <w:rtl/>
              </w:rPr>
              <w:t>812,6 111</w:t>
            </w:r>
          </w:p>
        </w:tc>
        <w:tc>
          <w:tcPr>
            <w:tcW w:w="1417" w:type="dxa"/>
            <w:tcBorders>
              <w:top w:val="single" w:sz="12" w:space="0" w:color="auto"/>
              <w:left w:val="nil"/>
              <w:bottom w:val="single" w:sz="12" w:space="0" w:color="auto"/>
              <w:right w:val="nil"/>
            </w:tcBorders>
          </w:tcPr>
          <w:p w14:paraId="5483583A"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91638">
              <w:rPr>
                <w:rFonts w:ascii="Simplified Arabic" w:hAnsi="Simplified Arabic" w:cs="Simplified Arabic"/>
                <w:szCs w:val="18"/>
                <w:rtl/>
              </w:rPr>
              <w:t>5,96</w:t>
            </w:r>
          </w:p>
        </w:tc>
        <w:tc>
          <w:tcPr>
            <w:tcW w:w="2124" w:type="dxa"/>
            <w:tcBorders>
              <w:top w:val="single" w:sz="12" w:space="0" w:color="auto"/>
              <w:left w:val="nil"/>
              <w:bottom w:val="single" w:sz="12" w:space="0" w:color="auto"/>
              <w:right w:val="nil"/>
            </w:tcBorders>
          </w:tcPr>
          <w:p w14:paraId="4DDC7951"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91638">
              <w:rPr>
                <w:rFonts w:ascii="Simplified Arabic" w:hAnsi="Simplified Arabic" w:cs="Simplified Arabic"/>
                <w:szCs w:val="18"/>
                <w:rtl/>
              </w:rPr>
              <w:t>966,6 117</w:t>
            </w:r>
          </w:p>
        </w:tc>
      </w:tr>
    </w:tbl>
    <w:bookmarkEnd w:id="29"/>
    <w:p w14:paraId="5A3F68CF" w14:textId="77777777" w:rsidR="00F84C45" w:rsidRPr="000B5AE8" w:rsidRDefault="00F84C45" w:rsidP="00CC3E43">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before="120" w:after="100" w:line="360" w:lineRule="exact"/>
        <w:ind w:left="1134" w:firstLine="709"/>
        <w:jc w:val="both"/>
        <w:textDirection w:val="tbRlV"/>
        <w:rPr>
          <w:rFonts w:ascii="Simplified Arabic" w:hAnsi="Simplified Arabic" w:cs="Simplified Arabic"/>
          <w:sz w:val="24"/>
          <w:szCs w:val="24"/>
        </w:rPr>
      </w:pPr>
      <w:r w:rsidRPr="000B5AE8">
        <w:rPr>
          <w:rFonts w:ascii="Simplified Arabic" w:hAnsi="Simplified Arabic" w:cs="Simplified Arabic"/>
          <w:sz w:val="24"/>
          <w:szCs w:val="24"/>
          <w:rtl/>
        </w:rPr>
        <w:t>أن البوسنة والهرسك قدمت معلومات كافية، وفقاً للمقرر 15/19، لتبرير طلبها تنقيح بيانات استهلاكها من مركبات الكربون الهيدروفلورية لعام 2022، التي تشكل جزءاً من خط الأساس للمجموعة 1 من الأطراف العاملة بالمادة 5 بموجب تعديل كيغالي لبروتوكول مونتريال؛</w:t>
      </w:r>
    </w:p>
    <w:p w14:paraId="4DA4B832" w14:textId="77777777" w:rsidR="00F84C45" w:rsidRPr="000B5AE8" w:rsidRDefault="00F84C45" w:rsidP="00CC3E43">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after="100" w:line="360" w:lineRule="exact"/>
        <w:ind w:left="1134" w:firstLine="709"/>
        <w:jc w:val="both"/>
        <w:textDirection w:val="tbRlV"/>
        <w:rPr>
          <w:rFonts w:ascii="Simplified Arabic" w:hAnsi="Simplified Arabic" w:cs="Simplified Arabic"/>
          <w:sz w:val="24"/>
          <w:szCs w:val="24"/>
          <w:lang w:val="ar-SA" w:eastAsia="zh-TW" w:bidi="en-GB"/>
        </w:rPr>
      </w:pPr>
      <w:r w:rsidRPr="000B5AE8">
        <w:rPr>
          <w:rFonts w:ascii="Simplified Arabic" w:hAnsi="Simplified Arabic" w:cs="Simplified Arabic"/>
          <w:sz w:val="24"/>
          <w:szCs w:val="24"/>
          <w:rtl/>
        </w:rPr>
        <w:t>أن يوافق على طلب البوسنة والهرسك وأن يُنقِّح بيانات استهلاكها من مركبات الكربون الهيدروفلورية لسنة خط الأساس 2022، على النحو المبيّن في الجدول التالي:</w:t>
      </w:r>
    </w:p>
    <w:tbl>
      <w:tblPr>
        <w:tblStyle w:val="TableGrid"/>
        <w:bidiVisual/>
        <w:tblW w:w="8363" w:type="dxa"/>
        <w:tblInd w:w="1134" w:type="dxa"/>
        <w:tblLayout w:type="fixed"/>
        <w:tblLook w:val="04A0" w:firstRow="1" w:lastRow="0" w:firstColumn="1" w:lastColumn="0" w:noHBand="0" w:noVBand="1"/>
      </w:tblPr>
      <w:tblGrid>
        <w:gridCol w:w="1987"/>
        <w:gridCol w:w="3118"/>
        <w:gridCol w:w="3258"/>
      </w:tblGrid>
      <w:tr w:rsidR="00F84C45" w:rsidRPr="00691638" w14:paraId="07165B5E" w14:textId="77777777" w:rsidTr="00691638">
        <w:trPr>
          <w:trHeight w:val="57"/>
        </w:trPr>
        <w:tc>
          <w:tcPr>
            <w:tcW w:w="1987" w:type="dxa"/>
            <w:vMerge w:val="restart"/>
            <w:tcBorders>
              <w:top w:val="single" w:sz="4" w:space="0" w:color="auto"/>
              <w:left w:val="nil"/>
              <w:bottom w:val="single" w:sz="12" w:space="0" w:color="auto"/>
              <w:right w:val="nil"/>
            </w:tcBorders>
            <w:vAlign w:val="bottom"/>
          </w:tcPr>
          <w:p w14:paraId="433B3EB0"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91638">
              <w:rPr>
                <w:rFonts w:ascii="Simplified Arabic" w:hAnsi="Simplified Arabic" w:cs="Simplified Arabic"/>
                <w:i/>
                <w:iCs/>
                <w:szCs w:val="18"/>
                <w:rtl/>
              </w:rPr>
              <w:t>الطرف/السنة</w:t>
            </w:r>
          </w:p>
        </w:tc>
        <w:tc>
          <w:tcPr>
            <w:tcW w:w="3118" w:type="dxa"/>
            <w:tcBorders>
              <w:top w:val="single" w:sz="4" w:space="0" w:color="auto"/>
              <w:left w:val="nil"/>
              <w:bottom w:val="single" w:sz="4" w:space="0" w:color="auto"/>
              <w:right w:val="nil"/>
            </w:tcBorders>
            <w:vAlign w:val="bottom"/>
          </w:tcPr>
          <w:p w14:paraId="52E0CEB0"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91638">
              <w:rPr>
                <w:rFonts w:ascii="Simplified Arabic" w:hAnsi="Simplified Arabic" w:cs="Simplified Arabic"/>
                <w:i/>
                <w:iCs/>
                <w:szCs w:val="18"/>
                <w:rtl/>
              </w:rPr>
              <w:t>البيانات السابقة لمركبات الكربون الهيدروفلورية (بأطنان مكافئ ثاني أكسيد الكربون)</w:t>
            </w:r>
          </w:p>
        </w:tc>
        <w:tc>
          <w:tcPr>
            <w:tcW w:w="3258" w:type="dxa"/>
            <w:tcBorders>
              <w:top w:val="single" w:sz="4" w:space="0" w:color="auto"/>
              <w:left w:val="nil"/>
              <w:bottom w:val="single" w:sz="4" w:space="0" w:color="auto"/>
              <w:right w:val="nil"/>
            </w:tcBorders>
            <w:vAlign w:val="bottom"/>
          </w:tcPr>
          <w:p w14:paraId="15660D3B"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91638">
              <w:rPr>
                <w:rFonts w:ascii="Simplified Arabic" w:hAnsi="Simplified Arabic" w:cs="Simplified Arabic"/>
                <w:i/>
                <w:iCs/>
                <w:szCs w:val="18"/>
                <w:rtl/>
              </w:rPr>
              <w:t>البيانات الجديدة لمركبات الكربون الهيدروفلورية (بأطنان مكافئ ثاني أكسيد الكربون)</w:t>
            </w:r>
          </w:p>
        </w:tc>
      </w:tr>
      <w:tr w:rsidR="00F84C45" w:rsidRPr="00691638" w14:paraId="43219128" w14:textId="77777777" w:rsidTr="00691638">
        <w:trPr>
          <w:trHeight w:val="57"/>
        </w:trPr>
        <w:tc>
          <w:tcPr>
            <w:tcW w:w="1987" w:type="dxa"/>
            <w:vMerge/>
            <w:tcBorders>
              <w:left w:val="nil"/>
              <w:bottom w:val="single" w:sz="12" w:space="0" w:color="auto"/>
              <w:right w:val="nil"/>
            </w:tcBorders>
            <w:vAlign w:val="bottom"/>
          </w:tcPr>
          <w:p w14:paraId="7FBBCAD5"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iCs/>
                <w:szCs w:val="18"/>
              </w:rPr>
            </w:pPr>
          </w:p>
        </w:tc>
        <w:tc>
          <w:tcPr>
            <w:tcW w:w="3118" w:type="dxa"/>
            <w:tcBorders>
              <w:top w:val="single" w:sz="4" w:space="0" w:color="auto"/>
              <w:left w:val="nil"/>
              <w:bottom w:val="single" w:sz="12" w:space="0" w:color="auto"/>
              <w:right w:val="nil"/>
            </w:tcBorders>
            <w:vAlign w:val="bottom"/>
          </w:tcPr>
          <w:p w14:paraId="62615B97"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2022</w:t>
            </w:r>
          </w:p>
        </w:tc>
        <w:tc>
          <w:tcPr>
            <w:tcW w:w="3258" w:type="dxa"/>
            <w:tcBorders>
              <w:top w:val="single" w:sz="4" w:space="0" w:color="auto"/>
              <w:left w:val="nil"/>
              <w:bottom w:val="single" w:sz="12" w:space="0" w:color="auto"/>
              <w:right w:val="nil"/>
            </w:tcBorders>
            <w:vAlign w:val="bottom"/>
          </w:tcPr>
          <w:p w14:paraId="4C03A6C4"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2022</w:t>
            </w:r>
          </w:p>
        </w:tc>
      </w:tr>
      <w:tr w:rsidR="00F84C45" w:rsidRPr="00691638" w14:paraId="59BA8E91" w14:textId="77777777" w:rsidTr="00691638">
        <w:trPr>
          <w:trHeight w:val="57"/>
        </w:trPr>
        <w:tc>
          <w:tcPr>
            <w:tcW w:w="1987" w:type="dxa"/>
            <w:tcBorders>
              <w:top w:val="single" w:sz="12" w:space="0" w:color="auto"/>
              <w:left w:val="nil"/>
              <w:bottom w:val="single" w:sz="12" w:space="0" w:color="auto"/>
              <w:right w:val="nil"/>
            </w:tcBorders>
            <w:vAlign w:val="bottom"/>
          </w:tcPr>
          <w:p w14:paraId="79CA9135"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91638">
              <w:rPr>
                <w:rFonts w:ascii="Simplified Arabic" w:hAnsi="Simplified Arabic" w:cs="Simplified Arabic"/>
                <w:szCs w:val="18"/>
                <w:rtl/>
              </w:rPr>
              <w:t>البوسنة والهرسك</w:t>
            </w:r>
          </w:p>
        </w:tc>
        <w:tc>
          <w:tcPr>
            <w:tcW w:w="3118" w:type="dxa"/>
            <w:tcBorders>
              <w:top w:val="single" w:sz="12" w:space="0" w:color="auto"/>
              <w:left w:val="nil"/>
              <w:bottom w:val="single" w:sz="12" w:space="0" w:color="auto"/>
              <w:right w:val="nil"/>
            </w:tcBorders>
            <w:vAlign w:val="bottom"/>
          </w:tcPr>
          <w:p w14:paraId="6B318ABF"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91638">
              <w:rPr>
                <w:rFonts w:ascii="Simplified Arabic" w:hAnsi="Simplified Arabic" w:cs="Simplified Arabic"/>
                <w:szCs w:val="18"/>
                <w:rtl/>
              </w:rPr>
              <w:t>919 340 1</w:t>
            </w:r>
          </w:p>
        </w:tc>
        <w:tc>
          <w:tcPr>
            <w:tcW w:w="3258" w:type="dxa"/>
            <w:tcBorders>
              <w:top w:val="single" w:sz="12" w:space="0" w:color="auto"/>
              <w:left w:val="nil"/>
              <w:bottom w:val="single" w:sz="12" w:space="0" w:color="auto"/>
              <w:right w:val="nil"/>
            </w:tcBorders>
            <w:vAlign w:val="bottom"/>
          </w:tcPr>
          <w:p w14:paraId="66A4C230"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91638">
              <w:rPr>
                <w:rFonts w:ascii="Simplified Arabic" w:hAnsi="Simplified Arabic" w:cs="Simplified Arabic"/>
                <w:szCs w:val="18"/>
                <w:rtl/>
              </w:rPr>
              <w:t>682 402 1</w:t>
            </w:r>
          </w:p>
        </w:tc>
      </w:tr>
    </w:tbl>
    <w:p w14:paraId="64FC366D" w14:textId="77777777" w:rsidR="00F84C45" w:rsidRPr="000B5AE8" w:rsidRDefault="00F84C45" w:rsidP="00CC3E43">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before="120" w:after="100" w:line="360" w:lineRule="exact"/>
        <w:ind w:left="1134" w:firstLine="709"/>
        <w:jc w:val="both"/>
        <w:textDirection w:val="tbRlV"/>
        <w:rPr>
          <w:rFonts w:ascii="Simplified Arabic" w:hAnsi="Simplified Arabic" w:cs="Simplified Arabic"/>
          <w:sz w:val="24"/>
          <w:szCs w:val="24"/>
        </w:rPr>
      </w:pPr>
      <w:r w:rsidRPr="000B5AE8">
        <w:rPr>
          <w:rFonts w:ascii="Simplified Arabic" w:hAnsi="Simplified Arabic" w:cs="Simplified Arabic"/>
          <w:sz w:val="24"/>
          <w:szCs w:val="24"/>
          <w:rtl/>
        </w:rPr>
        <w:t>أن البرازيل قدمت معلومات كافية، وفقاً للمقرر 15/19، لتبرير طلبها تنقيح بيانات استهلاكها من مركبات الكربون الهيدروفلورية لعام 2022، التي تشكل جزءاً من خط الأساس للمجموعة 1 من الأطراف العاملة بالمادة 5 بموجب تعديل كيغالي لبروتوكول مونتريال؛</w:t>
      </w:r>
    </w:p>
    <w:p w14:paraId="3AC0E710" w14:textId="77777777" w:rsidR="00F84C45" w:rsidRPr="00691638" w:rsidRDefault="00F84C45" w:rsidP="00CC3E43">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after="100" w:line="360" w:lineRule="exact"/>
        <w:ind w:left="1134" w:firstLine="709"/>
        <w:jc w:val="both"/>
        <w:textDirection w:val="tbRlV"/>
        <w:rPr>
          <w:rFonts w:ascii="Simplified Arabic" w:hAnsi="Simplified Arabic" w:cs="Simplified Arabic"/>
          <w:sz w:val="24"/>
          <w:szCs w:val="24"/>
        </w:rPr>
      </w:pPr>
      <w:r w:rsidRPr="000B5AE8">
        <w:rPr>
          <w:rFonts w:ascii="Simplified Arabic" w:hAnsi="Simplified Arabic" w:cs="Simplified Arabic"/>
          <w:sz w:val="24"/>
          <w:szCs w:val="24"/>
          <w:rtl/>
        </w:rPr>
        <w:t>أن يوافق على طلب البرازيل وأن يُنقِّح بيانات استهلاكها من مركبات الكربون الهيدروكلورية فلورية لسنة خط الأساس 20</w:t>
      </w:r>
      <w:r w:rsidRPr="000B5AE8">
        <w:rPr>
          <w:rFonts w:ascii="Simplified Arabic" w:hAnsi="Simplified Arabic" w:cs="Simplified Arabic" w:hint="cs"/>
          <w:sz w:val="24"/>
          <w:szCs w:val="24"/>
          <w:rtl/>
        </w:rPr>
        <w:t>22</w:t>
      </w:r>
      <w:r w:rsidRPr="000B5AE8">
        <w:rPr>
          <w:rFonts w:ascii="Simplified Arabic" w:hAnsi="Simplified Arabic" w:cs="Simplified Arabic"/>
          <w:sz w:val="24"/>
          <w:szCs w:val="24"/>
          <w:rtl/>
        </w:rPr>
        <w:t xml:space="preserve"> على النحو المبين في الجدول التالي:</w:t>
      </w:r>
    </w:p>
    <w:tbl>
      <w:tblPr>
        <w:tblStyle w:val="TableGrid"/>
        <w:bidiVisual/>
        <w:tblW w:w="8363" w:type="dxa"/>
        <w:tblInd w:w="1134" w:type="dxa"/>
        <w:tblLayout w:type="fixed"/>
        <w:tblLook w:val="04A0" w:firstRow="1" w:lastRow="0" w:firstColumn="1" w:lastColumn="0" w:noHBand="0" w:noVBand="1"/>
      </w:tblPr>
      <w:tblGrid>
        <w:gridCol w:w="1984"/>
        <w:gridCol w:w="3260"/>
        <w:gridCol w:w="3119"/>
      </w:tblGrid>
      <w:tr w:rsidR="00F84C45" w:rsidRPr="00691638" w14:paraId="6B43CF54" w14:textId="77777777" w:rsidTr="00CC3E43">
        <w:trPr>
          <w:trHeight w:val="57"/>
        </w:trPr>
        <w:tc>
          <w:tcPr>
            <w:tcW w:w="1984" w:type="dxa"/>
            <w:vMerge w:val="restart"/>
            <w:tcBorders>
              <w:top w:val="single" w:sz="4" w:space="0" w:color="auto"/>
              <w:left w:val="nil"/>
              <w:bottom w:val="single" w:sz="12" w:space="0" w:color="auto"/>
              <w:right w:val="nil"/>
            </w:tcBorders>
            <w:vAlign w:val="bottom"/>
          </w:tcPr>
          <w:p w14:paraId="156D2722"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الطرف/السنة</w:t>
            </w:r>
          </w:p>
        </w:tc>
        <w:tc>
          <w:tcPr>
            <w:tcW w:w="3260" w:type="dxa"/>
            <w:tcBorders>
              <w:top w:val="single" w:sz="4" w:space="0" w:color="auto"/>
              <w:left w:val="nil"/>
              <w:bottom w:val="single" w:sz="4" w:space="0" w:color="auto"/>
              <w:right w:val="nil"/>
            </w:tcBorders>
            <w:vAlign w:val="bottom"/>
          </w:tcPr>
          <w:p w14:paraId="1783006C"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البيانات السابقة لمركبات الكربون الهيدروفلورية (بأطنان مكافئ ثاني أكسيد الكربون)</w:t>
            </w:r>
          </w:p>
        </w:tc>
        <w:tc>
          <w:tcPr>
            <w:tcW w:w="3119" w:type="dxa"/>
            <w:tcBorders>
              <w:top w:val="single" w:sz="4" w:space="0" w:color="auto"/>
              <w:left w:val="nil"/>
              <w:bottom w:val="single" w:sz="4" w:space="0" w:color="auto"/>
              <w:right w:val="nil"/>
            </w:tcBorders>
            <w:vAlign w:val="bottom"/>
          </w:tcPr>
          <w:p w14:paraId="17B3E423"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البيانات الجديدة لمركبات الكربون الهيدروفلورية (بأطنان مكافئ ثاني أكسيد الكربون)</w:t>
            </w:r>
          </w:p>
        </w:tc>
      </w:tr>
      <w:tr w:rsidR="00F84C45" w:rsidRPr="00691638" w14:paraId="16AD76DF" w14:textId="77777777" w:rsidTr="00CC3E43">
        <w:trPr>
          <w:trHeight w:val="57"/>
        </w:trPr>
        <w:tc>
          <w:tcPr>
            <w:tcW w:w="1984" w:type="dxa"/>
            <w:vMerge/>
            <w:tcBorders>
              <w:top w:val="single" w:sz="12" w:space="0" w:color="auto"/>
              <w:left w:val="nil"/>
              <w:bottom w:val="single" w:sz="12" w:space="0" w:color="auto"/>
              <w:right w:val="nil"/>
            </w:tcBorders>
            <w:vAlign w:val="bottom"/>
          </w:tcPr>
          <w:p w14:paraId="2375C7B2"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iCs/>
                <w:szCs w:val="18"/>
              </w:rPr>
            </w:pPr>
          </w:p>
        </w:tc>
        <w:tc>
          <w:tcPr>
            <w:tcW w:w="3260" w:type="dxa"/>
            <w:tcBorders>
              <w:top w:val="single" w:sz="4" w:space="0" w:color="auto"/>
              <w:left w:val="nil"/>
              <w:bottom w:val="single" w:sz="12" w:space="0" w:color="auto"/>
              <w:right w:val="nil"/>
            </w:tcBorders>
            <w:vAlign w:val="bottom"/>
          </w:tcPr>
          <w:p w14:paraId="787ACD01"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2022</w:t>
            </w:r>
          </w:p>
        </w:tc>
        <w:tc>
          <w:tcPr>
            <w:tcW w:w="3119" w:type="dxa"/>
            <w:tcBorders>
              <w:top w:val="single" w:sz="4" w:space="0" w:color="auto"/>
              <w:left w:val="nil"/>
              <w:bottom w:val="single" w:sz="12" w:space="0" w:color="auto"/>
              <w:right w:val="nil"/>
            </w:tcBorders>
            <w:vAlign w:val="bottom"/>
          </w:tcPr>
          <w:p w14:paraId="1A179B4C"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i/>
                <w:iCs/>
                <w:szCs w:val="18"/>
                <w:lang w:val="ar-SA" w:eastAsia="zh-TW" w:bidi="en-GB"/>
              </w:rPr>
            </w:pPr>
            <w:r w:rsidRPr="00691638">
              <w:rPr>
                <w:rFonts w:ascii="Simplified Arabic" w:hAnsi="Simplified Arabic" w:cs="Simplified Arabic"/>
                <w:i/>
                <w:iCs/>
                <w:szCs w:val="18"/>
                <w:rtl/>
              </w:rPr>
              <w:t>2022</w:t>
            </w:r>
          </w:p>
        </w:tc>
      </w:tr>
      <w:tr w:rsidR="00F84C45" w:rsidRPr="00691638" w14:paraId="1273F351" w14:textId="77777777" w:rsidTr="00CC3E43">
        <w:trPr>
          <w:trHeight w:val="57"/>
        </w:trPr>
        <w:tc>
          <w:tcPr>
            <w:tcW w:w="1984" w:type="dxa"/>
            <w:tcBorders>
              <w:top w:val="single" w:sz="12" w:space="0" w:color="auto"/>
              <w:left w:val="nil"/>
              <w:bottom w:val="single" w:sz="12" w:space="0" w:color="auto"/>
              <w:right w:val="nil"/>
            </w:tcBorders>
            <w:vAlign w:val="bottom"/>
          </w:tcPr>
          <w:p w14:paraId="17B60EB3"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91638">
              <w:rPr>
                <w:rFonts w:ascii="Simplified Arabic" w:hAnsi="Simplified Arabic" w:cs="Simplified Arabic"/>
                <w:szCs w:val="18"/>
                <w:rtl/>
              </w:rPr>
              <w:t>البرازيل</w:t>
            </w:r>
          </w:p>
        </w:tc>
        <w:tc>
          <w:tcPr>
            <w:tcW w:w="3260" w:type="dxa"/>
            <w:tcBorders>
              <w:top w:val="single" w:sz="12" w:space="0" w:color="auto"/>
              <w:left w:val="nil"/>
              <w:bottom w:val="single" w:sz="12" w:space="0" w:color="auto"/>
              <w:right w:val="nil"/>
            </w:tcBorders>
            <w:vAlign w:val="bottom"/>
          </w:tcPr>
          <w:p w14:paraId="3E5E99A8"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91638">
              <w:rPr>
                <w:rFonts w:ascii="Simplified Arabic" w:hAnsi="Simplified Arabic" w:cs="Simplified Arabic"/>
                <w:szCs w:val="18"/>
                <w:rtl/>
              </w:rPr>
              <w:t>651 756 89</w:t>
            </w:r>
          </w:p>
        </w:tc>
        <w:tc>
          <w:tcPr>
            <w:tcW w:w="3119" w:type="dxa"/>
            <w:tcBorders>
              <w:top w:val="single" w:sz="12" w:space="0" w:color="auto"/>
              <w:left w:val="nil"/>
              <w:bottom w:val="single" w:sz="12" w:space="0" w:color="auto"/>
              <w:right w:val="nil"/>
            </w:tcBorders>
            <w:vAlign w:val="bottom"/>
          </w:tcPr>
          <w:p w14:paraId="4E399773" w14:textId="77777777" w:rsidR="00F84C45" w:rsidRPr="00691638"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91638">
              <w:rPr>
                <w:rFonts w:ascii="Simplified Arabic" w:hAnsi="Simplified Arabic" w:cs="Simplified Arabic"/>
                <w:szCs w:val="18"/>
                <w:rtl/>
              </w:rPr>
              <w:t>087 416 79</w:t>
            </w:r>
          </w:p>
        </w:tc>
      </w:tr>
    </w:tbl>
    <w:p w14:paraId="054A2A6B" w14:textId="77777777" w:rsidR="00F84C45" w:rsidRPr="000B5AE8" w:rsidRDefault="00F84C45" w:rsidP="00CC3E43">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Pr>
      </w:pPr>
      <w:r w:rsidRPr="000B5AE8">
        <w:rPr>
          <w:rFonts w:ascii="Simplified Arabic" w:hAnsi="Simplified Arabic" w:cs="Simplified Arabic"/>
          <w:sz w:val="24"/>
          <w:szCs w:val="24"/>
          <w:rtl/>
        </w:rPr>
        <w:lastRenderedPageBreak/>
        <w:t>أن غينيا قدمت معلومات كافية، وفقاً للمقرر 15/19، لتبرير طلبها تنقيح بيانات استهلاكها من مركبات الكربون الهيدروكلورية فلورية لعامي 2009 و2010، التي تشكل جزءاً من خط الأساس للمجموعة 1 من الأطراف العاملة بالمادة 5 بموجب تعديل كيغالي لبروتوكول مونتريال؛</w:t>
      </w:r>
    </w:p>
    <w:p w14:paraId="094A02FF" w14:textId="77777777" w:rsidR="00F84C45" w:rsidRPr="00CC3E43" w:rsidRDefault="00F84C45" w:rsidP="00CC3E43">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Pr>
      </w:pPr>
      <w:r w:rsidRPr="000B5AE8">
        <w:rPr>
          <w:rFonts w:ascii="Simplified Arabic" w:hAnsi="Simplified Arabic" w:cs="Simplified Arabic"/>
          <w:sz w:val="24"/>
          <w:szCs w:val="24"/>
          <w:rtl/>
        </w:rPr>
        <w:t>أن يوافق على طلب غينيا وأن يُنقِّح بيانات استهلاكها من مركبات الكربون الهيدروكلورية فلورية لسنتي خط الأساس 2009 و2010، على النحو المبين في الجدول التالي:</w:t>
      </w:r>
    </w:p>
    <w:tbl>
      <w:tblPr>
        <w:tblStyle w:val="TableGrid"/>
        <w:bidiVisual/>
        <w:tblW w:w="8363" w:type="dxa"/>
        <w:tblInd w:w="1134" w:type="dxa"/>
        <w:tblLayout w:type="fixed"/>
        <w:tblLook w:val="04A0" w:firstRow="1" w:lastRow="0" w:firstColumn="1" w:lastColumn="0" w:noHBand="0" w:noVBand="1"/>
      </w:tblPr>
      <w:tblGrid>
        <w:gridCol w:w="1275"/>
        <w:gridCol w:w="851"/>
        <w:gridCol w:w="708"/>
        <w:gridCol w:w="993"/>
        <w:gridCol w:w="992"/>
        <w:gridCol w:w="850"/>
        <w:gridCol w:w="709"/>
        <w:gridCol w:w="992"/>
        <w:gridCol w:w="993"/>
      </w:tblGrid>
      <w:tr w:rsidR="00F84C45" w:rsidRPr="00CC3E43" w14:paraId="65A9CD2E" w14:textId="77777777" w:rsidTr="00CC3E43">
        <w:trPr>
          <w:trHeight w:val="57"/>
        </w:trPr>
        <w:tc>
          <w:tcPr>
            <w:tcW w:w="1275" w:type="dxa"/>
            <w:vMerge w:val="restart"/>
            <w:tcBorders>
              <w:top w:val="nil"/>
              <w:left w:val="nil"/>
              <w:bottom w:val="single" w:sz="12" w:space="0" w:color="auto"/>
              <w:right w:val="nil"/>
            </w:tcBorders>
            <w:vAlign w:val="bottom"/>
          </w:tcPr>
          <w:p w14:paraId="7761A5FC"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i/>
                <w:szCs w:val="18"/>
                <w:lang w:val="ar-SA" w:eastAsia="zh-TW" w:bidi="en-GB"/>
              </w:rPr>
            </w:pPr>
            <w:r w:rsidRPr="00CC3E43">
              <w:rPr>
                <w:rFonts w:ascii="Simplified Arabic" w:hAnsi="Simplified Arabic" w:cs="Simplified Arabic"/>
                <w:i/>
                <w:iCs/>
                <w:szCs w:val="18"/>
                <w:rtl/>
              </w:rPr>
              <w:t>الطرف/السنة</w:t>
            </w:r>
          </w:p>
        </w:tc>
        <w:tc>
          <w:tcPr>
            <w:tcW w:w="3544" w:type="dxa"/>
            <w:gridSpan w:val="4"/>
            <w:tcBorders>
              <w:top w:val="nil"/>
              <w:left w:val="nil"/>
              <w:bottom w:val="single" w:sz="4" w:space="0" w:color="auto"/>
              <w:right w:val="nil"/>
            </w:tcBorders>
            <w:vAlign w:val="bottom"/>
          </w:tcPr>
          <w:p w14:paraId="78299AF9"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center"/>
              <w:textDirection w:val="tbRlV"/>
              <w:rPr>
                <w:rFonts w:ascii="Simplified Arabic" w:hAnsi="Simplified Arabic" w:cs="Simplified Arabic"/>
                <w:i/>
                <w:iCs/>
                <w:szCs w:val="18"/>
                <w:lang w:val="ar-SA" w:eastAsia="zh-TW" w:bidi="en-GB"/>
              </w:rPr>
            </w:pPr>
            <w:r w:rsidRPr="00CC3E43">
              <w:rPr>
                <w:rFonts w:ascii="Simplified Arabic" w:hAnsi="Simplified Arabic" w:cs="Simplified Arabic"/>
                <w:i/>
                <w:iCs/>
                <w:szCs w:val="18"/>
                <w:rtl/>
              </w:rPr>
              <w:t>البيانات السابقة لمركبات الكربون الهيدروكلورية فلورية</w:t>
            </w:r>
          </w:p>
        </w:tc>
        <w:tc>
          <w:tcPr>
            <w:tcW w:w="3544" w:type="dxa"/>
            <w:gridSpan w:val="4"/>
            <w:tcBorders>
              <w:top w:val="nil"/>
              <w:left w:val="nil"/>
              <w:bottom w:val="single" w:sz="4" w:space="0" w:color="auto"/>
              <w:right w:val="nil"/>
            </w:tcBorders>
            <w:vAlign w:val="bottom"/>
          </w:tcPr>
          <w:p w14:paraId="6F2B27FB"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center"/>
              <w:textDirection w:val="tbRlV"/>
              <w:rPr>
                <w:rFonts w:ascii="Simplified Arabic" w:hAnsi="Simplified Arabic" w:cs="Simplified Arabic"/>
                <w:i/>
                <w:iCs/>
                <w:szCs w:val="18"/>
                <w:lang w:val="en-GB" w:eastAsia="zh-TW" w:bidi="en-GB"/>
              </w:rPr>
            </w:pPr>
            <w:r w:rsidRPr="00CC3E43">
              <w:rPr>
                <w:rFonts w:ascii="Simplified Arabic" w:hAnsi="Simplified Arabic" w:cs="Simplified Arabic"/>
                <w:i/>
                <w:iCs/>
                <w:szCs w:val="18"/>
                <w:rtl/>
              </w:rPr>
              <w:t>البيانات الجديدة لمركبات الكربون الهيدروكلورية فلورية</w:t>
            </w:r>
          </w:p>
        </w:tc>
      </w:tr>
      <w:tr w:rsidR="00F84C45" w:rsidRPr="00CC3E43" w14:paraId="193D56B5" w14:textId="77777777" w:rsidTr="00CC3E43">
        <w:trPr>
          <w:trHeight w:val="57"/>
        </w:trPr>
        <w:tc>
          <w:tcPr>
            <w:tcW w:w="1275" w:type="dxa"/>
            <w:vMerge/>
            <w:tcBorders>
              <w:left w:val="nil"/>
              <w:bottom w:val="single" w:sz="12" w:space="0" w:color="auto"/>
              <w:right w:val="nil"/>
            </w:tcBorders>
            <w:vAlign w:val="bottom"/>
          </w:tcPr>
          <w:p w14:paraId="3E31476F"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rPr>
                <w:rFonts w:ascii="Simplified Arabic" w:hAnsi="Simplified Arabic" w:cs="Simplified Arabic"/>
                <w:szCs w:val="18"/>
              </w:rPr>
            </w:pPr>
          </w:p>
        </w:tc>
        <w:tc>
          <w:tcPr>
            <w:tcW w:w="1559" w:type="dxa"/>
            <w:gridSpan w:val="2"/>
            <w:tcBorders>
              <w:top w:val="single" w:sz="4" w:space="0" w:color="auto"/>
              <w:left w:val="nil"/>
              <w:bottom w:val="single" w:sz="4" w:space="0" w:color="auto"/>
              <w:right w:val="nil"/>
            </w:tcBorders>
            <w:vAlign w:val="bottom"/>
          </w:tcPr>
          <w:p w14:paraId="038E527B"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center"/>
              <w:textDirection w:val="tbRlV"/>
              <w:rPr>
                <w:rFonts w:ascii="Simplified Arabic" w:hAnsi="Simplified Arabic" w:cs="Simplified Arabic"/>
                <w:i/>
                <w:iCs/>
                <w:szCs w:val="18"/>
                <w:lang w:val="ar-SA" w:eastAsia="zh-TW" w:bidi="en-GB"/>
              </w:rPr>
            </w:pPr>
            <w:r w:rsidRPr="00CC3E43">
              <w:rPr>
                <w:rFonts w:ascii="Simplified Arabic" w:hAnsi="Simplified Arabic" w:cs="Simplified Arabic"/>
                <w:i/>
                <w:iCs/>
                <w:szCs w:val="18"/>
                <w:rtl/>
              </w:rPr>
              <w:t>بالأطنان الاستنفادية</w:t>
            </w:r>
          </w:p>
        </w:tc>
        <w:tc>
          <w:tcPr>
            <w:tcW w:w="1985" w:type="dxa"/>
            <w:gridSpan w:val="2"/>
            <w:tcBorders>
              <w:top w:val="single" w:sz="4" w:space="0" w:color="auto"/>
              <w:left w:val="nil"/>
              <w:bottom w:val="single" w:sz="4" w:space="0" w:color="auto"/>
              <w:right w:val="nil"/>
            </w:tcBorders>
            <w:vAlign w:val="bottom"/>
          </w:tcPr>
          <w:p w14:paraId="05FEF468"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center"/>
              <w:textDirection w:val="tbRlV"/>
              <w:rPr>
                <w:rFonts w:ascii="Simplified Arabic" w:hAnsi="Simplified Arabic" w:cs="Simplified Arabic"/>
                <w:i/>
                <w:iCs/>
                <w:w w:val="91"/>
                <w:szCs w:val="18"/>
                <w:lang w:val="ar-SA" w:eastAsia="zh-TW" w:bidi="en-GB"/>
              </w:rPr>
            </w:pPr>
            <w:r w:rsidRPr="00CC3E43">
              <w:rPr>
                <w:rFonts w:ascii="Simplified Arabic" w:hAnsi="Simplified Arabic" w:cs="Simplified Arabic"/>
                <w:i/>
                <w:iCs/>
                <w:w w:val="91"/>
                <w:szCs w:val="18"/>
                <w:rtl/>
              </w:rPr>
              <w:t>بأطنان مكافئ ثاني أكسيد الكربون</w:t>
            </w:r>
          </w:p>
        </w:tc>
        <w:tc>
          <w:tcPr>
            <w:tcW w:w="1559" w:type="dxa"/>
            <w:gridSpan w:val="2"/>
            <w:tcBorders>
              <w:top w:val="single" w:sz="4" w:space="0" w:color="auto"/>
              <w:left w:val="nil"/>
              <w:bottom w:val="single" w:sz="4" w:space="0" w:color="auto"/>
              <w:right w:val="nil"/>
            </w:tcBorders>
            <w:vAlign w:val="bottom"/>
          </w:tcPr>
          <w:p w14:paraId="20F2E458"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center"/>
              <w:textDirection w:val="tbRlV"/>
              <w:rPr>
                <w:rFonts w:ascii="Simplified Arabic" w:hAnsi="Simplified Arabic" w:cs="Simplified Arabic"/>
                <w:i/>
                <w:iCs/>
                <w:szCs w:val="18"/>
                <w:lang w:val="ar-SA" w:eastAsia="zh-TW" w:bidi="en-GB"/>
              </w:rPr>
            </w:pPr>
            <w:r w:rsidRPr="00CC3E43">
              <w:rPr>
                <w:rFonts w:ascii="Simplified Arabic" w:hAnsi="Simplified Arabic" w:cs="Simplified Arabic"/>
                <w:i/>
                <w:iCs/>
                <w:szCs w:val="18"/>
                <w:rtl/>
              </w:rPr>
              <w:t>بالأطنان الاستنفادية</w:t>
            </w:r>
          </w:p>
        </w:tc>
        <w:tc>
          <w:tcPr>
            <w:tcW w:w="1985" w:type="dxa"/>
            <w:gridSpan w:val="2"/>
            <w:tcBorders>
              <w:top w:val="single" w:sz="4" w:space="0" w:color="auto"/>
              <w:left w:val="nil"/>
              <w:bottom w:val="single" w:sz="4" w:space="0" w:color="auto"/>
              <w:right w:val="nil"/>
            </w:tcBorders>
            <w:vAlign w:val="bottom"/>
          </w:tcPr>
          <w:p w14:paraId="212EBE0A"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center"/>
              <w:textDirection w:val="tbRlV"/>
              <w:rPr>
                <w:rFonts w:ascii="Simplified Arabic" w:hAnsi="Simplified Arabic" w:cs="Simplified Arabic"/>
                <w:i/>
                <w:iCs/>
                <w:w w:val="91"/>
                <w:szCs w:val="18"/>
                <w:lang w:val="ar-SA" w:eastAsia="zh-TW" w:bidi="en-GB"/>
              </w:rPr>
            </w:pPr>
            <w:r w:rsidRPr="00CC3E43">
              <w:rPr>
                <w:rFonts w:ascii="Simplified Arabic" w:hAnsi="Simplified Arabic" w:cs="Simplified Arabic"/>
                <w:i/>
                <w:iCs/>
                <w:w w:val="91"/>
                <w:szCs w:val="18"/>
                <w:rtl/>
              </w:rPr>
              <w:t>بأطنان مكافئ ثاني أكسيد الكربون</w:t>
            </w:r>
          </w:p>
        </w:tc>
      </w:tr>
      <w:tr w:rsidR="00F84C45" w:rsidRPr="00CC3E43" w14:paraId="3CCFA0BF" w14:textId="77777777" w:rsidTr="00CC3E43">
        <w:trPr>
          <w:trHeight w:val="57"/>
        </w:trPr>
        <w:tc>
          <w:tcPr>
            <w:tcW w:w="1275" w:type="dxa"/>
            <w:vMerge/>
            <w:tcBorders>
              <w:left w:val="nil"/>
              <w:bottom w:val="single" w:sz="12" w:space="0" w:color="auto"/>
              <w:right w:val="nil"/>
            </w:tcBorders>
            <w:vAlign w:val="bottom"/>
          </w:tcPr>
          <w:p w14:paraId="613425C2"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rPr>
                <w:rFonts w:ascii="Simplified Arabic" w:hAnsi="Simplified Arabic" w:cs="Simplified Arabic"/>
                <w:iCs/>
                <w:szCs w:val="18"/>
              </w:rPr>
            </w:pPr>
          </w:p>
        </w:tc>
        <w:tc>
          <w:tcPr>
            <w:tcW w:w="851" w:type="dxa"/>
            <w:tcBorders>
              <w:top w:val="single" w:sz="4" w:space="0" w:color="auto"/>
              <w:left w:val="nil"/>
              <w:bottom w:val="single" w:sz="12" w:space="0" w:color="auto"/>
              <w:right w:val="nil"/>
            </w:tcBorders>
            <w:vAlign w:val="bottom"/>
          </w:tcPr>
          <w:p w14:paraId="289972AC"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szCs w:val="18"/>
                <w:lang w:val="ar-SA" w:eastAsia="zh-TW" w:bidi="en-GB"/>
              </w:rPr>
            </w:pPr>
            <w:r w:rsidRPr="00CC3E43">
              <w:rPr>
                <w:rFonts w:ascii="Simplified Arabic" w:hAnsi="Simplified Arabic" w:cs="Simplified Arabic"/>
                <w:i/>
                <w:iCs/>
                <w:szCs w:val="18"/>
                <w:rtl/>
              </w:rPr>
              <w:t>2009</w:t>
            </w:r>
          </w:p>
        </w:tc>
        <w:tc>
          <w:tcPr>
            <w:tcW w:w="708" w:type="dxa"/>
            <w:tcBorders>
              <w:top w:val="single" w:sz="4" w:space="0" w:color="auto"/>
              <w:left w:val="nil"/>
              <w:bottom w:val="single" w:sz="12" w:space="0" w:color="auto"/>
              <w:right w:val="nil"/>
            </w:tcBorders>
            <w:vAlign w:val="bottom"/>
          </w:tcPr>
          <w:p w14:paraId="21D0F93E"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szCs w:val="18"/>
                <w:lang w:val="ar-SA" w:eastAsia="zh-TW" w:bidi="en-GB"/>
              </w:rPr>
            </w:pPr>
            <w:r w:rsidRPr="00CC3E43">
              <w:rPr>
                <w:rFonts w:ascii="Simplified Arabic" w:hAnsi="Simplified Arabic" w:cs="Simplified Arabic"/>
                <w:i/>
                <w:iCs/>
                <w:szCs w:val="18"/>
                <w:rtl/>
              </w:rPr>
              <w:t>2010</w:t>
            </w:r>
          </w:p>
        </w:tc>
        <w:tc>
          <w:tcPr>
            <w:tcW w:w="993" w:type="dxa"/>
            <w:tcBorders>
              <w:top w:val="single" w:sz="4" w:space="0" w:color="auto"/>
              <w:left w:val="nil"/>
              <w:bottom w:val="single" w:sz="12" w:space="0" w:color="auto"/>
              <w:right w:val="nil"/>
            </w:tcBorders>
            <w:vAlign w:val="bottom"/>
          </w:tcPr>
          <w:p w14:paraId="68F6814F"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lang w:val="ar-SA" w:eastAsia="zh-TW" w:bidi="en-GB"/>
              </w:rPr>
            </w:pPr>
            <w:r w:rsidRPr="00CC3E43">
              <w:rPr>
                <w:rFonts w:ascii="Simplified Arabic" w:hAnsi="Simplified Arabic" w:cs="Simplified Arabic"/>
                <w:i/>
                <w:iCs/>
                <w:szCs w:val="18"/>
                <w:rtl/>
              </w:rPr>
              <w:t>2009</w:t>
            </w:r>
          </w:p>
        </w:tc>
        <w:tc>
          <w:tcPr>
            <w:tcW w:w="992" w:type="dxa"/>
            <w:tcBorders>
              <w:top w:val="single" w:sz="4" w:space="0" w:color="auto"/>
              <w:left w:val="nil"/>
              <w:bottom w:val="single" w:sz="12" w:space="0" w:color="auto"/>
              <w:right w:val="nil"/>
            </w:tcBorders>
            <w:vAlign w:val="bottom"/>
          </w:tcPr>
          <w:p w14:paraId="53CB9FF8"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lang w:val="ar-SA" w:eastAsia="zh-TW" w:bidi="en-GB"/>
              </w:rPr>
            </w:pPr>
            <w:r w:rsidRPr="00CC3E43">
              <w:rPr>
                <w:rFonts w:ascii="Simplified Arabic" w:hAnsi="Simplified Arabic" w:cs="Simplified Arabic"/>
                <w:i/>
                <w:iCs/>
                <w:szCs w:val="18"/>
                <w:rtl/>
              </w:rPr>
              <w:t>2010</w:t>
            </w:r>
          </w:p>
        </w:tc>
        <w:tc>
          <w:tcPr>
            <w:tcW w:w="850" w:type="dxa"/>
            <w:tcBorders>
              <w:top w:val="single" w:sz="4" w:space="0" w:color="auto"/>
              <w:left w:val="nil"/>
              <w:bottom w:val="single" w:sz="12" w:space="0" w:color="auto"/>
              <w:right w:val="nil"/>
            </w:tcBorders>
            <w:vAlign w:val="bottom"/>
          </w:tcPr>
          <w:p w14:paraId="45C4D8FE"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lang w:val="ar-SA" w:eastAsia="zh-TW" w:bidi="en-GB"/>
              </w:rPr>
            </w:pPr>
            <w:r w:rsidRPr="00CC3E43">
              <w:rPr>
                <w:rFonts w:ascii="Simplified Arabic" w:hAnsi="Simplified Arabic" w:cs="Simplified Arabic"/>
                <w:i/>
                <w:iCs/>
                <w:szCs w:val="18"/>
                <w:rtl/>
              </w:rPr>
              <w:t>2009</w:t>
            </w:r>
          </w:p>
        </w:tc>
        <w:tc>
          <w:tcPr>
            <w:tcW w:w="709" w:type="dxa"/>
            <w:tcBorders>
              <w:top w:val="single" w:sz="4" w:space="0" w:color="auto"/>
              <w:left w:val="nil"/>
              <w:bottom w:val="single" w:sz="12" w:space="0" w:color="auto"/>
              <w:right w:val="nil"/>
            </w:tcBorders>
            <w:vAlign w:val="bottom"/>
          </w:tcPr>
          <w:p w14:paraId="2BC55155"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lang w:val="ar-SA" w:eastAsia="zh-TW" w:bidi="en-GB"/>
              </w:rPr>
            </w:pPr>
            <w:r w:rsidRPr="00CC3E43">
              <w:rPr>
                <w:rFonts w:ascii="Simplified Arabic" w:hAnsi="Simplified Arabic" w:cs="Simplified Arabic"/>
                <w:i/>
                <w:iCs/>
                <w:szCs w:val="18"/>
                <w:rtl/>
              </w:rPr>
              <w:t>2010</w:t>
            </w:r>
          </w:p>
        </w:tc>
        <w:tc>
          <w:tcPr>
            <w:tcW w:w="992" w:type="dxa"/>
            <w:tcBorders>
              <w:top w:val="single" w:sz="4" w:space="0" w:color="auto"/>
              <w:left w:val="nil"/>
              <w:bottom w:val="single" w:sz="12" w:space="0" w:color="auto"/>
              <w:right w:val="nil"/>
            </w:tcBorders>
            <w:vAlign w:val="bottom"/>
          </w:tcPr>
          <w:p w14:paraId="4BCDE12D"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lang w:val="ar-SA" w:eastAsia="zh-TW" w:bidi="en-GB"/>
              </w:rPr>
            </w:pPr>
            <w:r w:rsidRPr="00CC3E43">
              <w:rPr>
                <w:rFonts w:ascii="Simplified Arabic" w:hAnsi="Simplified Arabic" w:cs="Simplified Arabic"/>
                <w:i/>
                <w:iCs/>
                <w:szCs w:val="18"/>
                <w:rtl/>
              </w:rPr>
              <w:t>2009</w:t>
            </w:r>
          </w:p>
        </w:tc>
        <w:tc>
          <w:tcPr>
            <w:tcW w:w="993" w:type="dxa"/>
            <w:tcBorders>
              <w:top w:val="single" w:sz="4" w:space="0" w:color="auto"/>
              <w:left w:val="nil"/>
              <w:bottom w:val="single" w:sz="12" w:space="0" w:color="auto"/>
              <w:right w:val="nil"/>
            </w:tcBorders>
            <w:vAlign w:val="bottom"/>
          </w:tcPr>
          <w:p w14:paraId="34445723"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lang w:val="ar-SA" w:eastAsia="zh-TW" w:bidi="en-GB"/>
              </w:rPr>
            </w:pPr>
            <w:r w:rsidRPr="00CC3E43">
              <w:rPr>
                <w:rFonts w:ascii="Simplified Arabic" w:hAnsi="Simplified Arabic" w:cs="Simplified Arabic"/>
                <w:i/>
                <w:iCs/>
                <w:szCs w:val="18"/>
                <w:rtl/>
              </w:rPr>
              <w:t>2010</w:t>
            </w:r>
          </w:p>
        </w:tc>
      </w:tr>
      <w:tr w:rsidR="00F84C45" w:rsidRPr="00CC3E43" w14:paraId="243B758A" w14:textId="77777777" w:rsidTr="00CC3E43">
        <w:trPr>
          <w:trHeight w:val="57"/>
        </w:trPr>
        <w:tc>
          <w:tcPr>
            <w:tcW w:w="1275" w:type="dxa"/>
            <w:tcBorders>
              <w:top w:val="single" w:sz="12" w:space="0" w:color="auto"/>
              <w:left w:val="nil"/>
              <w:bottom w:val="single" w:sz="12" w:space="0" w:color="auto"/>
              <w:right w:val="nil"/>
            </w:tcBorders>
            <w:vAlign w:val="bottom"/>
          </w:tcPr>
          <w:p w14:paraId="0456A0B9"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Cs w:val="18"/>
                <w:lang w:val="ar-SA" w:eastAsia="zh-TW" w:bidi="en-GB"/>
              </w:rPr>
            </w:pPr>
            <w:bookmarkStart w:id="30" w:name="_Hlk210390584"/>
            <w:r w:rsidRPr="00CC3E43">
              <w:rPr>
                <w:rFonts w:ascii="Simplified Arabic" w:hAnsi="Simplified Arabic" w:cs="Simplified Arabic"/>
                <w:szCs w:val="18"/>
                <w:rtl/>
              </w:rPr>
              <w:t>غينيا</w:t>
            </w:r>
          </w:p>
        </w:tc>
        <w:tc>
          <w:tcPr>
            <w:tcW w:w="851" w:type="dxa"/>
            <w:tcBorders>
              <w:top w:val="single" w:sz="12" w:space="0" w:color="auto"/>
              <w:left w:val="nil"/>
              <w:bottom w:val="single" w:sz="12" w:space="0" w:color="auto"/>
              <w:right w:val="nil"/>
            </w:tcBorders>
            <w:vAlign w:val="bottom"/>
          </w:tcPr>
          <w:p w14:paraId="0A608AD0"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lang w:val="ar-SA" w:eastAsia="zh-TW" w:bidi="en-GB"/>
              </w:rPr>
            </w:pPr>
            <w:r w:rsidRPr="00CC3E43">
              <w:rPr>
                <w:rFonts w:ascii="Simplified Arabic" w:hAnsi="Simplified Arabic" w:cs="Simplified Arabic"/>
                <w:szCs w:val="18"/>
                <w:rtl/>
              </w:rPr>
              <w:t>21,77</w:t>
            </w:r>
          </w:p>
        </w:tc>
        <w:tc>
          <w:tcPr>
            <w:tcW w:w="708" w:type="dxa"/>
            <w:tcBorders>
              <w:top w:val="single" w:sz="12" w:space="0" w:color="auto"/>
              <w:left w:val="nil"/>
              <w:bottom w:val="single" w:sz="12" w:space="0" w:color="auto"/>
              <w:right w:val="nil"/>
            </w:tcBorders>
            <w:vAlign w:val="bottom"/>
          </w:tcPr>
          <w:p w14:paraId="34BA0A7B"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lang w:val="ar-SA" w:eastAsia="zh-TW" w:bidi="en-GB"/>
              </w:rPr>
            </w:pPr>
            <w:r w:rsidRPr="00CC3E43">
              <w:rPr>
                <w:rFonts w:ascii="Simplified Arabic" w:hAnsi="Simplified Arabic" w:cs="Simplified Arabic"/>
                <w:szCs w:val="18"/>
                <w:rtl/>
              </w:rPr>
              <w:t>23,45</w:t>
            </w:r>
          </w:p>
        </w:tc>
        <w:tc>
          <w:tcPr>
            <w:tcW w:w="993" w:type="dxa"/>
            <w:tcBorders>
              <w:top w:val="single" w:sz="12" w:space="0" w:color="auto"/>
              <w:left w:val="nil"/>
              <w:bottom w:val="single" w:sz="12" w:space="0" w:color="auto"/>
              <w:right w:val="nil"/>
            </w:tcBorders>
            <w:vAlign w:val="bottom"/>
          </w:tcPr>
          <w:p w14:paraId="6030DE02"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lang w:val="ar-SA" w:eastAsia="zh-TW" w:bidi="en-GB"/>
              </w:rPr>
            </w:pPr>
            <w:r w:rsidRPr="00CC3E43">
              <w:rPr>
                <w:rFonts w:ascii="Simplified Arabic" w:hAnsi="Simplified Arabic" w:cs="Simplified Arabic"/>
                <w:szCs w:val="18"/>
                <w:rtl/>
              </w:rPr>
              <w:t>542,8 716</w:t>
            </w:r>
          </w:p>
        </w:tc>
        <w:tc>
          <w:tcPr>
            <w:tcW w:w="992" w:type="dxa"/>
            <w:tcBorders>
              <w:top w:val="single" w:sz="12" w:space="0" w:color="auto"/>
              <w:left w:val="nil"/>
              <w:bottom w:val="single" w:sz="12" w:space="0" w:color="auto"/>
              <w:right w:val="nil"/>
            </w:tcBorders>
            <w:vAlign w:val="bottom"/>
          </w:tcPr>
          <w:p w14:paraId="4DC1DDF3"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lang w:val="ar-SA" w:eastAsia="zh-TW" w:bidi="en-GB"/>
              </w:rPr>
            </w:pPr>
            <w:r w:rsidRPr="00CC3E43">
              <w:rPr>
                <w:rFonts w:ascii="Simplified Arabic" w:hAnsi="Simplified Arabic" w:cs="Simplified Arabic"/>
                <w:szCs w:val="18"/>
                <w:rtl/>
              </w:rPr>
              <w:t>603 771</w:t>
            </w:r>
          </w:p>
        </w:tc>
        <w:tc>
          <w:tcPr>
            <w:tcW w:w="850" w:type="dxa"/>
            <w:tcBorders>
              <w:top w:val="single" w:sz="12" w:space="0" w:color="auto"/>
              <w:left w:val="nil"/>
              <w:bottom w:val="single" w:sz="12" w:space="0" w:color="auto"/>
              <w:right w:val="nil"/>
            </w:tcBorders>
            <w:vAlign w:val="bottom"/>
          </w:tcPr>
          <w:p w14:paraId="216C8A59"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lang w:val="ar-SA" w:eastAsia="zh-TW" w:bidi="en-GB"/>
              </w:rPr>
            </w:pPr>
            <w:r w:rsidRPr="00CC3E43">
              <w:rPr>
                <w:rFonts w:ascii="Simplified Arabic" w:hAnsi="Simplified Arabic" w:cs="Simplified Arabic"/>
                <w:szCs w:val="18"/>
                <w:rtl/>
              </w:rPr>
              <w:t>1,03</w:t>
            </w:r>
          </w:p>
        </w:tc>
        <w:tc>
          <w:tcPr>
            <w:tcW w:w="709" w:type="dxa"/>
            <w:tcBorders>
              <w:top w:val="single" w:sz="12" w:space="0" w:color="auto"/>
              <w:left w:val="nil"/>
              <w:bottom w:val="single" w:sz="12" w:space="0" w:color="auto"/>
              <w:right w:val="nil"/>
            </w:tcBorders>
            <w:vAlign w:val="bottom"/>
          </w:tcPr>
          <w:p w14:paraId="5C042E5B"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lang w:val="ar-SA" w:eastAsia="zh-TW" w:bidi="en-GB"/>
              </w:rPr>
            </w:pPr>
            <w:r w:rsidRPr="00CC3E43">
              <w:rPr>
                <w:rFonts w:ascii="Simplified Arabic" w:hAnsi="Simplified Arabic" w:cs="Simplified Arabic"/>
                <w:szCs w:val="18"/>
                <w:rtl/>
              </w:rPr>
              <w:t>0,75</w:t>
            </w:r>
          </w:p>
        </w:tc>
        <w:tc>
          <w:tcPr>
            <w:tcW w:w="992" w:type="dxa"/>
            <w:tcBorders>
              <w:top w:val="single" w:sz="12" w:space="0" w:color="auto"/>
              <w:left w:val="nil"/>
              <w:bottom w:val="single" w:sz="12" w:space="0" w:color="auto"/>
              <w:right w:val="nil"/>
            </w:tcBorders>
            <w:vAlign w:val="bottom"/>
          </w:tcPr>
          <w:p w14:paraId="2773317A"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lang w:val="ar-SA" w:eastAsia="zh-TW" w:bidi="en-GB"/>
              </w:rPr>
            </w:pPr>
            <w:r w:rsidRPr="00CC3E43">
              <w:rPr>
                <w:rFonts w:ascii="Simplified Arabic" w:hAnsi="Simplified Arabic" w:cs="Simplified Arabic"/>
                <w:szCs w:val="18"/>
                <w:rtl/>
              </w:rPr>
              <w:t>756,5 33</w:t>
            </w:r>
          </w:p>
        </w:tc>
        <w:tc>
          <w:tcPr>
            <w:tcW w:w="993" w:type="dxa"/>
            <w:tcBorders>
              <w:top w:val="single" w:sz="12" w:space="0" w:color="auto"/>
              <w:left w:val="nil"/>
              <w:bottom w:val="single" w:sz="12" w:space="0" w:color="auto"/>
              <w:right w:val="nil"/>
            </w:tcBorders>
            <w:vAlign w:val="bottom"/>
          </w:tcPr>
          <w:p w14:paraId="093DD5B0"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lang w:val="ar-SA" w:eastAsia="zh-TW" w:bidi="en-GB"/>
              </w:rPr>
            </w:pPr>
            <w:r w:rsidRPr="00CC3E43">
              <w:rPr>
                <w:rFonts w:ascii="Simplified Arabic" w:hAnsi="Simplified Arabic" w:cs="Simplified Arabic"/>
                <w:szCs w:val="18"/>
                <w:rtl/>
              </w:rPr>
              <w:t>706,5 24</w:t>
            </w:r>
          </w:p>
        </w:tc>
      </w:tr>
    </w:tbl>
    <w:bookmarkEnd w:id="30"/>
    <w:p w14:paraId="1818F63E" w14:textId="77777777" w:rsidR="00F84C45" w:rsidRPr="000B5AE8" w:rsidRDefault="00F84C45" w:rsidP="00CC3E43">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before="120" w:line="360" w:lineRule="exact"/>
        <w:ind w:left="1134" w:firstLine="709"/>
        <w:jc w:val="both"/>
        <w:textDirection w:val="tbRlV"/>
        <w:rPr>
          <w:rFonts w:ascii="Simplified Arabic" w:hAnsi="Simplified Arabic" w:cs="Simplified Arabic"/>
          <w:sz w:val="24"/>
          <w:szCs w:val="24"/>
        </w:rPr>
      </w:pPr>
      <w:r w:rsidRPr="000B5AE8">
        <w:rPr>
          <w:rFonts w:ascii="Simplified Arabic" w:hAnsi="Simplified Arabic" w:cs="Simplified Arabic"/>
          <w:sz w:val="24"/>
          <w:szCs w:val="24"/>
          <w:rtl/>
        </w:rPr>
        <w:t>أن غينيا قدمت معلومات كافية، وفقاً للمقرر 15/19، لتبرير طلبها تنقيح بيانات استهلاكها من مركبات الكربون الهيدروفلورية للأعوام 2020 و2021 و2022، التي تشكل جزءاً من خط الأساس للمجموعة 1 من الأطراف العاملة بالمادة 5 بموجب تعديل كيغالي لبروتوكول مونتريال؛</w:t>
      </w:r>
    </w:p>
    <w:p w14:paraId="10AB6A77" w14:textId="77777777" w:rsidR="00F84C45" w:rsidRPr="00CC3E43" w:rsidRDefault="00F84C45" w:rsidP="00CC3E43">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Pr>
      </w:pPr>
      <w:r w:rsidRPr="000B5AE8">
        <w:rPr>
          <w:rFonts w:ascii="Simplified Arabic" w:hAnsi="Simplified Arabic" w:cs="Simplified Arabic"/>
          <w:sz w:val="24"/>
          <w:szCs w:val="24"/>
          <w:rtl/>
        </w:rPr>
        <w:t>أن يوافق على طلب غينيا وأن يُنقِّح بيانات استهلاكها من مركبات الكربون الهيدروفلورية لسنوات خط الأساس 2020 و2021 و2022، على النحو المبين في الجدول التالي:</w:t>
      </w:r>
    </w:p>
    <w:tbl>
      <w:tblPr>
        <w:tblStyle w:val="TableGrid"/>
        <w:bidiVisual/>
        <w:tblW w:w="8363" w:type="dxa"/>
        <w:tblInd w:w="1134" w:type="dxa"/>
        <w:tblLayout w:type="fixed"/>
        <w:tblLook w:val="04A0" w:firstRow="1" w:lastRow="0" w:firstColumn="1" w:lastColumn="0" w:noHBand="0" w:noVBand="1"/>
      </w:tblPr>
      <w:tblGrid>
        <w:gridCol w:w="1125"/>
        <w:gridCol w:w="1206"/>
        <w:gridCol w:w="1206"/>
        <w:gridCol w:w="1207"/>
        <w:gridCol w:w="1206"/>
        <w:gridCol w:w="1206"/>
        <w:gridCol w:w="1207"/>
      </w:tblGrid>
      <w:tr w:rsidR="00F84C45" w:rsidRPr="00CC3E43" w14:paraId="2D80C8EA" w14:textId="77777777" w:rsidTr="00CC3E43">
        <w:tc>
          <w:tcPr>
            <w:tcW w:w="1117" w:type="dxa"/>
            <w:vMerge w:val="restart"/>
            <w:tcBorders>
              <w:top w:val="single" w:sz="4" w:space="0" w:color="auto"/>
              <w:left w:val="nil"/>
              <w:bottom w:val="single" w:sz="12" w:space="0" w:color="auto"/>
              <w:right w:val="nil"/>
            </w:tcBorders>
            <w:vAlign w:val="bottom"/>
          </w:tcPr>
          <w:p w14:paraId="1B2004B7"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i/>
                <w:iCs/>
                <w:szCs w:val="18"/>
              </w:rPr>
            </w:pPr>
            <w:r w:rsidRPr="00CC3E43">
              <w:rPr>
                <w:rFonts w:ascii="Simplified Arabic" w:hAnsi="Simplified Arabic" w:cs="Simplified Arabic"/>
                <w:i/>
                <w:iCs/>
                <w:szCs w:val="18"/>
                <w:rtl/>
              </w:rPr>
              <w:t>الطرف/السنة</w:t>
            </w:r>
          </w:p>
        </w:tc>
        <w:tc>
          <w:tcPr>
            <w:tcW w:w="3595" w:type="dxa"/>
            <w:gridSpan w:val="3"/>
            <w:tcBorders>
              <w:top w:val="single" w:sz="4" w:space="0" w:color="auto"/>
              <w:left w:val="nil"/>
              <w:bottom w:val="single" w:sz="4" w:space="0" w:color="auto"/>
              <w:right w:val="single" w:sz="4" w:space="0" w:color="auto"/>
            </w:tcBorders>
            <w:vAlign w:val="bottom"/>
          </w:tcPr>
          <w:p w14:paraId="36619DC6"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center"/>
              <w:textDirection w:val="tbRlV"/>
              <w:rPr>
                <w:rFonts w:ascii="Simplified Arabic" w:hAnsi="Simplified Arabic" w:cs="Simplified Arabic"/>
                <w:i/>
                <w:iCs/>
                <w:szCs w:val="18"/>
              </w:rPr>
            </w:pPr>
            <w:r w:rsidRPr="00CC3E43">
              <w:rPr>
                <w:rFonts w:ascii="Simplified Arabic" w:hAnsi="Simplified Arabic" w:cs="Simplified Arabic"/>
                <w:i/>
                <w:iCs/>
                <w:szCs w:val="18"/>
                <w:rtl/>
              </w:rPr>
              <w:t>البيانات السابقة لمركبات الكربون الهيدروفلورية (بأطنان مكافئ ثاني أكسيد الكربون)</w:t>
            </w:r>
          </w:p>
        </w:tc>
        <w:tc>
          <w:tcPr>
            <w:tcW w:w="3595" w:type="dxa"/>
            <w:gridSpan w:val="3"/>
            <w:tcBorders>
              <w:top w:val="single" w:sz="4" w:space="0" w:color="auto"/>
              <w:left w:val="single" w:sz="4" w:space="0" w:color="auto"/>
              <w:bottom w:val="single" w:sz="4" w:space="0" w:color="auto"/>
              <w:right w:val="nil"/>
            </w:tcBorders>
            <w:vAlign w:val="bottom"/>
          </w:tcPr>
          <w:p w14:paraId="59EE7EBC"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center"/>
              <w:textDirection w:val="tbRlV"/>
              <w:rPr>
                <w:rFonts w:ascii="Simplified Arabic" w:hAnsi="Simplified Arabic" w:cs="Simplified Arabic"/>
                <w:i/>
                <w:iCs/>
                <w:szCs w:val="18"/>
              </w:rPr>
            </w:pPr>
            <w:r w:rsidRPr="00CC3E43">
              <w:rPr>
                <w:rFonts w:ascii="Simplified Arabic" w:hAnsi="Simplified Arabic" w:cs="Simplified Arabic"/>
                <w:i/>
                <w:iCs/>
                <w:szCs w:val="18"/>
                <w:rtl/>
              </w:rPr>
              <w:t>البيانات الجديدة لمركبات الكربون الهيدروفلورية (بأطنان مكافئ ثاني أكسيد الكربون)</w:t>
            </w:r>
          </w:p>
        </w:tc>
      </w:tr>
      <w:tr w:rsidR="00F84C45" w:rsidRPr="00CC3E43" w14:paraId="55D91521" w14:textId="77777777" w:rsidTr="00CC3E43">
        <w:tc>
          <w:tcPr>
            <w:tcW w:w="1117" w:type="dxa"/>
            <w:vMerge/>
            <w:tcBorders>
              <w:left w:val="nil"/>
              <w:bottom w:val="single" w:sz="12" w:space="0" w:color="auto"/>
              <w:right w:val="nil"/>
            </w:tcBorders>
            <w:vAlign w:val="bottom"/>
          </w:tcPr>
          <w:p w14:paraId="40A891F3"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rPr>
                <w:rFonts w:ascii="Simplified Arabic" w:hAnsi="Simplified Arabic" w:cs="Simplified Arabic"/>
                <w:i/>
                <w:iCs/>
                <w:szCs w:val="18"/>
              </w:rPr>
            </w:pPr>
          </w:p>
        </w:tc>
        <w:tc>
          <w:tcPr>
            <w:tcW w:w="1198" w:type="dxa"/>
            <w:tcBorders>
              <w:top w:val="single" w:sz="4" w:space="0" w:color="auto"/>
              <w:left w:val="nil"/>
              <w:bottom w:val="single" w:sz="12" w:space="0" w:color="auto"/>
              <w:right w:val="nil"/>
            </w:tcBorders>
            <w:vAlign w:val="bottom"/>
          </w:tcPr>
          <w:p w14:paraId="1DF3E20F"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rPr>
            </w:pPr>
            <w:r w:rsidRPr="00CC3E43">
              <w:rPr>
                <w:rFonts w:ascii="Simplified Arabic" w:hAnsi="Simplified Arabic" w:cs="Simplified Arabic"/>
                <w:i/>
                <w:iCs/>
                <w:szCs w:val="18"/>
                <w:rtl/>
              </w:rPr>
              <w:t>2020</w:t>
            </w:r>
          </w:p>
        </w:tc>
        <w:tc>
          <w:tcPr>
            <w:tcW w:w="1198" w:type="dxa"/>
            <w:tcBorders>
              <w:top w:val="single" w:sz="4" w:space="0" w:color="auto"/>
              <w:left w:val="nil"/>
              <w:bottom w:val="single" w:sz="12" w:space="0" w:color="auto"/>
              <w:right w:val="nil"/>
            </w:tcBorders>
            <w:vAlign w:val="bottom"/>
          </w:tcPr>
          <w:p w14:paraId="30341791"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rPr>
            </w:pPr>
            <w:r w:rsidRPr="00CC3E43">
              <w:rPr>
                <w:rFonts w:ascii="Simplified Arabic" w:hAnsi="Simplified Arabic" w:cs="Simplified Arabic"/>
                <w:i/>
                <w:iCs/>
                <w:szCs w:val="18"/>
                <w:rtl/>
              </w:rPr>
              <w:t>2021</w:t>
            </w:r>
          </w:p>
        </w:tc>
        <w:tc>
          <w:tcPr>
            <w:tcW w:w="1199" w:type="dxa"/>
            <w:tcBorders>
              <w:top w:val="single" w:sz="4" w:space="0" w:color="auto"/>
              <w:left w:val="nil"/>
              <w:bottom w:val="single" w:sz="12" w:space="0" w:color="auto"/>
              <w:right w:val="single" w:sz="4" w:space="0" w:color="auto"/>
            </w:tcBorders>
            <w:vAlign w:val="bottom"/>
          </w:tcPr>
          <w:p w14:paraId="5978DF67"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rPr>
            </w:pPr>
            <w:r w:rsidRPr="00CC3E43">
              <w:rPr>
                <w:rFonts w:ascii="Simplified Arabic" w:hAnsi="Simplified Arabic" w:cs="Simplified Arabic"/>
                <w:i/>
                <w:iCs/>
                <w:szCs w:val="18"/>
                <w:rtl/>
              </w:rPr>
              <w:t>2022</w:t>
            </w:r>
          </w:p>
        </w:tc>
        <w:tc>
          <w:tcPr>
            <w:tcW w:w="1198" w:type="dxa"/>
            <w:tcBorders>
              <w:top w:val="single" w:sz="4" w:space="0" w:color="auto"/>
              <w:left w:val="single" w:sz="4" w:space="0" w:color="auto"/>
              <w:bottom w:val="single" w:sz="12" w:space="0" w:color="auto"/>
              <w:right w:val="nil"/>
            </w:tcBorders>
            <w:vAlign w:val="bottom"/>
          </w:tcPr>
          <w:p w14:paraId="0D1F686F"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rPr>
            </w:pPr>
            <w:r w:rsidRPr="00CC3E43">
              <w:rPr>
                <w:rFonts w:ascii="Simplified Arabic" w:hAnsi="Simplified Arabic" w:cs="Simplified Arabic"/>
                <w:i/>
                <w:iCs/>
                <w:szCs w:val="18"/>
                <w:rtl/>
              </w:rPr>
              <w:t>2020</w:t>
            </w:r>
          </w:p>
        </w:tc>
        <w:tc>
          <w:tcPr>
            <w:tcW w:w="1198" w:type="dxa"/>
            <w:tcBorders>
              <w:top w:val="single" w:sz="4" w:space="0" w:color="auto"/>
              <w:left w:val="nil"/>
              <w:bottom w:val="single" w:sz="12" w:space="0" w:color="auto"/>
              <w:right w:val="nil"/>
            </w:tcBorders>
            <w:vAlign w:val="bottom"/>
          </w:tcPr>
          <w:p w14:paraId="08F62107"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rPr>
            </w:pPr>
            <w:r w:rsidRPr="00CC3E43">
              <w:rPr>
                <w:rFonts w:ascii="Simplified Arabic" w:hAnsi="Simplified Arabic" w:cs="Simplified Arabic"/>
                <w:i/>
                <w:iCs/>
                <w:szCs w:val="18"/>
                <w:rtl/>
              </w:rPr>
              <w:t>2021</w:t>
            </w:r>
          </w:p>
        </w:tc>
        <w:tc>
          <w:tcPr>
            <w:tcW w:w="1199" w:type="dxa"/>
            <w:tcBorders>
              <w:top w:val="single" w:sz="4" w:space="0" w:color="auto"/>
              <w:left w:val="nil"/>
              <w:bottom w:val="single" w:sz="12" w:space="0" w:color="auto"/>
              <w:right w:val="nil"/>
            </w:tcBorders>
            <w:vAlign w:val="bottom"/>
          </w:tcPr>
          <w:p w14:paraId="655DAD95"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rPr>
            </w:pPr>
            <w:r w:rsidRPr="00CC3E43">
              <w:rPr>
                <w:rFonts w:ascii="Simplified Arabic" w:hAnsi="Simplified Arabic" w:cs="Simplified Arabic"/>
                <w:i/>
                <w:iCs/>
                <w:szCs w:val="18"/>
                <w:rtl/>
              </w:rPr>
              <w:t>2022</w:t>
            </w:r>
          </w:p>
        </w:tc>
      </w:tr>
      <w:tr w:rsidR="00F84C45" w:rsidRPr="00CC3E43" w14:paraId="00D7E5B5" w14:textId="77777777" w:rsidTr="00CC3E43">
        <w:tc>
          <w:tcPr>
            <w:tcW w:w="1117" w:type="dxa"/>
            <w:tcBorders>
              <w:top w:val="single" w:sz="12" w:space="0" w:color="auto"/>
              <w:left w:val="nil"/>
              <w:bottom w:val="single" w:sz="12" w:space="0" w:color="auto"/>
              <w:right w:val="nil"/>
            </w:tcBorders>
            <w:vAlign w:val="bottom"/>
          </w:tcPr>
          <w:p w14:paraId="040C7154"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Cs w:val="18"/>
              </w:rPr>
            </w:pPr>
            <w:r w:rsidRPr="00CC3E43">
              <w:rPr>
                <w:rFonts w:ascii="Simplified Arabic" w:hAnsi="Simplified Arabic" w:cs="Simplified Arabic"/>
                <w:szCs w:val="18"/>
                <w:rtl/>
              </w:rPr>
              <w:t>غينيا</w:t>
            </w:r>
          </w:p>
        </w:tc>
        <w:tc>
          <w:tcPr>
            <w:tcW w:w="1198" w:type="dxa"/>
            <w:tcBorders>
              <w:top w:val="single" w:sz="12" w:space="0" w:color="auto"/>
              <w:left w:val="nil"/>
              <w:bottom w:val="single" w:sz="12" w:space="0" w:color="auto"/>
              <w:right w:val="nil"/>
            </w:tcBorders>
            <w:vAlign w:val="bottom"/>
          </w:tcPr>
          <w:p w14:paraId="6C644AED"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384 878</w:t>
            </w:r>
          </w:p>
        </w:tc>
        <w:tc>
          <w:tcPr>
            <w:tcW w:w="1198" w:type="dxa"/>
            <w:tcBorders>
              <w:top w:val="single" w:sz="12" w:space="0" w:color="auto"/>
              <w:left w:val="nil"/>
              <w:bottom w:val="single" w:sz="12" w:space="0" w:color="auto"/>
              <w:right w:val="nil"/>
            </w:tcBorders>
            <w:vAlign w:val="bottom"/>
          </w:tcPr>
          <w:p w14:paraId="5E9B54C4"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938 477 1</w:t>
            </w:r>
          </w:p>
        </w:tc>
        <w:tc>
          <w:tcPr>
            <w:tcW w:w="1199" w:type="dxa"/>
            <w:tcBorders>
              <w:top w:val="single" w:sz="12" w:space="0" w:color="auto"/>
              <w:left w:val="nil"/>
              <w:bottom w:val="single" w:sz="12" w:space="0" w:color="auto"/>
              <w:right w:val="single" w:sz="4" w:space="0" w:color="auto"/>
            </w:tcBorders>
            <w:vAlign w:val="bottom"/>
          </w:tcPr>
          <w:p w14:paraId="080FC7FC"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662 673 1</w:t>
            </w:r>
          </w:p>
        </w:tc>
        <w:tc>
          <w:tcPr>
            <w:tcW w:w="1198" w:type="dxa"/>
            <w:tcBorders>
              <w:top w:val="single" w:sz="12" w:space="0" w:color="auto"/>
              <w:left w:val="single" w:sz="4" w:space="0" w:color="auto"/>
              <w:bottom w:val="single" w:sz="12" w:space="0" w:color="auto"/>
              <w:right w:val="nil"/>
            </w:tcBorders>
            <w:vAlign w:val="bottom"/>
          </w:tcPr>
          <w:p w14:paraId="6077CDC9"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234 896 1</w:t>
            </w:r>
          </w:p>
        </w:tc>
        <w:tc>
          <w:tcPr>
            <w:tcW w:w="1198" w:type="dxa"/>
            <w:tcBorders>
              <w:top w:val="single" w:sz="12" w:space="0" w:color="auto"/>
              <w:left w:val="nil"/>
              <w:bottom w:val="single" w:sz="12" w:space="0" w:color="auto"/>
              <w:right w:val="nil"/>
            </w:tcBorders>
            <w:vAlign w:val="bottom"/>
          </w:tcPr>
          <w:p w14:paraId="6F1E7D8B"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541 728 1</w:t>
            </w:r>
          </w:p>
        </w:tc>
        <w:tc>
          <w:tcPr>
            <w:tcW w:w="1199" w:type="dxa"/>
            <w:tcBorders>
              <w:top w:val="single" w:sz="12" w:space="0" w:color="auto"/>
              <w:left w:val="nil"/>
              <w:bottom w:val="single" w:sz="12" w:space="0" w:color="auto"/>
              <w:right w:val="nil"/>
            </w:tcBorders>
            <w:vAlign w:val="bottom"/>
          </w:tcPr>
          <w:p w14:paraId="7FC3426A"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084 715 1</w:t>
            </w:r>
          </w:p>
        </w:tc>
      </w:tr>
    </w:tbl>
    <w:p w14:paraId="7593F458" w14:textId="77777777" w:rsidR="00F84C45" w:rsidRPr="00F33CC3" w:rsidRDefault="00F84C45" w:rsidP="00CC3E43">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before="120" w:line="360" w:lineRule="exact"/>
        <w:ind w:left="1134" w:firstLine="709"/>
        <w:jc w:val="lowKashida"/>
        <w:textDirection w:val="tbRlV"/>
        <w:rPr>
          <w:rFonts w:ascii="Simplified Arabic" w:hAnsi="Simplified Arabic" w:cs="Simplified Arabic"/>
          <w:w w:val="107"/>
          <w:sz w:val="24"/>
          <w:szCs w:val="24"/>
        </w:rPr>
      </w:pPr>
      <w:r w:rsidRPr="00F33CC3">
        <w:rPr>
          <w:rFonts w:ascii="Simplified Arabic" w:hAnsi="Simplified Arabic" w:cs="Simplified Arabic"/>
          <w:w w:val="107"/>
          <w:sz w:val="24"/>
          <w:szCs w:val="24"/>
          <w:rtl/>
        </w:rPr>
        <w:t>أن توفالو وجزر مارشال وفانواتو وكيريباس وناورو ونيوي قدمت معلومات كافية، وفقاً للمقرر 15/19، لتبرير طلباتها تنقيح بيانات استهلاكها من مركبات الكربون الهيدروفلورية لجميع الأعوام 2020 و2021 و2022 أو بعضها، التي تشكل جزءاً من خط الأساس للمجموعة 1 من الأطراف العاملة بالمادة 5 بموجب تعديل كيغالي؛</w:t>
      </w:r>
    </w:p>
    <w:p w14:paraId="4811B886" w14:textId="77777777" w:rsidR="00F84C45" w:rsidRPr="000B5AE8" w:rsidRDefault="00F84C45" w:rsidP="00CC3E43">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Pr>
      </w:pPr>
      <w:r w:rsidRPr="000B5AE8">
        <w:rPr>
          <w:rFonts w:ascii="Simplified Arabic" w:hAnsi="Simplified Arabic" w:cs="Simplified Arabic"/>
          <w:sz w:val="24"/>
          <w:szCs w:val="24"/>
          <w:rtl/>
        </w:rPr>
        <w:t>أن يوافق على طلبات توفالو وجزر مارشال وفانواتو وكيريباس وناورو ونيوي وأن يُنقِّح بيانات استهلاكها من مركبات الكربون الهيدروفلورية لسنوات خط الأساس على النحو المبيّن في الجدول التالي:</w:t>
      </w:r>
    </w:p>
    <w:tbl>
      <w:tblPr>
        <w:tblStyle w:val="TableGrid"/>
        <w:bidiVisual/>
        <w:tblW w:w="8363" w:type="dxa"/>
        <w:tblInd w:w="1134" w:type="dxa"/>
        <w:tblLayout w:type="fixed"/>
        <w:tblLook w:val="04A0" w:firstRow="1" w:lastRow="0" w:firstColumn="1" w:lastColumn="0" w:noHBand="0" w:noVBand="1"/>
      </w:tblPr>
      <w:tblGrid>
        <w:gridCol w:w="2126"/>
        <w:gridCol w:w="992"/>
        <w:gridCol w:w="1134"/>
        <w:gridCol w:w="992"/>
        <w:gridCol w:w="1043"/>
        <w:gridCol w:w="1038"/>
        <w:gridCol w:w="1038"/>
      </w:tblGrid>
      <w:tr w:rsidR="00F84C45" w:rsidRPr="00CC3E43" w14:paraId="4CD7CA6D" w14:textId="77777777" w:rsidTr="0054727F">
        <w:trPr>
          <w:tblHeader/>
        </w:trPr>
        <w:tc>
          <w:tcPr>
            <w:tcW w:w="2126" w:type="dxa"/>
            <w:vMerge w:val="restart"/>
            <w:tcBorders>
              <w:top w:val="single" w:sz="4" w:space="0" w:color="auto"/>
              <w:left w:val="nil"/>
              <w:right w:val="nil"/>
            </w:tcBorders>
            <w:vAlign w:val="bottom"/>
          </w:tcPr>
          <w:p w14:paraId="6AE0C8EA"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i/>
                <w:iCs/>
                <w:szCs w:val="18"/>
              </w:rPr>
            </w:pPr>
            <w:r w:rsidRPr="00CC3E43">
              <w:rPr>
                <w:rFonts w:ascii="Simplified Arabic" w:hAnsi="Simplified Arabic" w:cs="Simplified Arabic"/>
                <w:i/>
                <w:iCs/>
                <w:szCs w:val="18"/>
                <w:rtl/>
              </w:rPr>
              <w:t>الطرف/السنة</w:t>
            </w:r>
          </w:p>
        </w:tc>
        <w:tc>
          <w:tcPr>
            <w:tcW w:w="3118" w:type="dxa"/>
            <w:gridSpan w:val="3"/>
            <w:tcBorders>
              <w:top w:val="single" w:sz="4" w:space="0" w:color="auto"/>
              <w:left w:val="nil"/>
              <w:bottom w:val="single" w:sz="4" w:space="0" w:color="auto"/>
              <w:right w:val="nil"/>
            </w:tcBorders>
            <w:vAlign w:val="bottom"/>
          </w:tcPr>
          <w:p w14:paraId="4C88A9D9" w14:textId="77777777" w:rsidR="00F84C45" w:rsidRPr="00CC3E43" w:rsidRDefault="00F84C45" w:rsidP="0054727F">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center"/>
              <w:textDirection w:val="tbRlV"/>
              <w:rPr>
                <w:rFonts w:ascii="Simplified Arabic" w:hAnsi="Simplified Arabic" w:cs="Simplified Arabic"/>
                <w:i/>
                <w:iCs/>
                <w:szCs w:val="18"/>
              </w:rPr>
            </w:pPr>
            <w:r w:rsidRPr="00CC3E43">
              <w:rPr>
                <w:rFonts w:ascii="Simplified Arabic" w:hAnsi="Simplified Arabic" w:cs="Simplified Arabic"/>
                <w:i/>
                <w:iCs/>
                <w:szCs w:val="18"/>
                <w:rtl/>
              </w:rPr>
              <w:t>البيانات السابقة لمركبات الكربون الهيدروفلورية (بأطنان مكافئ ثاني أكسيد الكربون)</w:t>
            </w:r>
          </w:p>
        </w:tc>
        <w:tc>
          <w:tcPr>
            <w:tcW w:w="3119" w:type="dxa"/>
            <w:gridSpan w:val="3"/>
            <w:tcBorders>
              <w:top w:val="single" w:sz="4" w:space="0" w:color="auto"/>
              <w:left w:val="nil"/>
              <w:bottom w:val="single" w:sz="4" w:space="0" w:color="auto"/>
              <w:right w:val="nil"/>
            </w:tcBorders>
            <w:vAlign w:val="bottom"/>
          </w:tcPr>
          <w:p w14:paraId="31E8D8F4" w14:textId="77777777" w:rsidR="00F84C45" w:rsidRPr="00CC3E43" w:rsidRDefault="00F84C45" w:rsidP="0054727F">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center"/>
              <w:textDirection w:val="tbRlV"/>
              <w:rPr>
                <w:rFonts w:ascii="Simplified Arabic" w:hAnsi="Simplified Arabic" w:cs="Simplified Arabic"/>
                <w:i/>
                <w:iCs/>
                <w:szCs w:val="18"/>
              </w:rPr>
            </w:pPr>
            <w:r w:rsidRPr="00CC3E43">
              <w:rPr>
                <w:rFonts w:ascii="Simplified Arabic" w:hAnsi="Simplified Arabic" w:cs="Simplified Arabic"/>
                <w:i/>
                <w:iCs/>
                <w:szCs w:val="18"/>
                <w:rtl/>
              </w:rPr>
              <w:t>البيانات الجديدة لمركبات الكربون الهيدروفلورية (بأطنان مكافئ ثاني أكسيد الكربون)</w:t>
            </w:r>
          </w:p>
        </w:tc>
      </w:tr>
      <w:tr w:rsidR="00F84C45" w:rsidRPr="00CC3E43" w14:paraId="6C782083" w14:textId="77777777" w:rsidTr="00CC3E43">
        <w:trPr>
          <w:tblHeader/>
        </w:trPr>
        <w:tc>
          <w:tcPr>
            <w:tcW w:w="2126" w:type="dxa"/>
            <w:vMerge/>
            <w:tcBorders>
              <w:left w:val="nil"/>
              <w:bottom w:val="single" w:sz="12" w:space="0" w:color="auto"/>
              <w:right w:val="nil"/>
            </w:tcBorders>
            <w:vAlign w:val="bottom"/>
          </w:tcPr>
          <w:p w14:paraId="0D7DA3DF"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rPr>
                <w:rFonts w:ascii="Simplified Arabic" w:hAnsi="Simplified Arabic" w:cs="Simplified Arabic"/>
                <w:i/>
                <w:iCs/>
                <w:szCs w:val="18"/>
              </w:rPr>
            </w:pPr>
          </w:p>
        </w:tc>
        <w:tc>
          <w:tcPr>
            <w:tcW w:w="992" w:type="dxa"/>
            <w:tcBorders>
              <w:top w:val="single" w:sz="4" w:space="0" w:color="auto"/>
              <w:left w:val="nil"/>
              <w:bottom w:val="single" w:sz="12" w:space="0" w:color="auto"/>
              <w:right w:val="nil"/>
            </w:tcBorders>
            <w:vAlign w:val="bottom"/>
          </w:tcPr>
          <w:p w14:paraId="2804678C"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rPr>
            </w:pPr>
            <w:r w:rsidRPr="00CC3E43">
              <w:rPr>
                <w:rFonts w:ascii="Simplified Arabic" w:hAnsi="Simplified Arabic" w:cs="Simplified Arabic"/>
                <w:i/>
                <w:iCs/>
                <w:szCs w:val="18"/>
                <w:rtl/>
              </w:rPr>
              <w:t>2020</w:t>
            </w:r>
          </w:p>
        </w:tc>
        <w:tc>
          <w:tcPr>
            <w:tcW w:w="1134" w:type="dxa"/>
            <w:tcBorders>
              <w:top w:val="single" w:sz="4" w:space="0" w:color="auto"/>
              <w:left w:val="nil"/>
              <w:bottom w:val="single" w:sz="12" w:space="0" w:color="auto"/>
              <w:right w:val="nil"/>
            </w:tcBorders>
            <w:vAlign w:val="bottom"/>
          </w:tcPr>
          <w:p w14:paraId="4C052EEA"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rPr>
            </w:pPr>
            <w:r w:rsidRPr="00CC3E43">
              <w:rPr>
                <w:rFonts w:ascii="Simplified Arabic" w:hAnsi="Simplified Arabic" w:cs="Simplified Arabic"/>
                <w:i/>
                <w:iCs/>
                <w:szCs w:val="18"/>
                <w:rtl/>
              </w:rPr>
              <w:t>2021</w:t>
            </w:r>
          </w:p>
        </w:tc>
        <w:tc>
          <w:tcPr>
            <w:tcW w:w="992" w:type="dxa"/>
            <w:tcBorders>
              <w:top w:val="single" w:sz="4" w:space="0" w:color="auto"/>
              <w:left w:val="nil"/>
              <w:bottom w:val="single" w:sz="12" w:space="0" w:color="auto"/>
              <w:right w:val="nil"/>
            </w:tcBorders>
            <w:vAlign w:val="bottom"/>
          </w:tcPr>
          <w:p w14:paraId="7DE5A4AA"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rPr>
            </w:pPr>
            <w:r w:rsidRPr="00CC3E43">
              <w:rPr>
                <w:rFonts w:ascii="Simplified Arabic" w:hAnsi="Simplified Arabic" w:cs="Simplified Arabic"/>
                <w:i/>
                <w:iCs/>
                <w:szCs w:val="18"/>
                <w:rtl/>
              </w:rPr>
              <w:t>2022</w:t>
            </w:r>
          </w:p>
        </w:tc>
        <w:tc>
          <w:tcPr>
            <w:tcW w:w="1043" w:type="dxa"/>
            <w:tcBorders>
              <w:top w:val="single" w:sz="4" w:space="0" w:color="auto"/>
              <w:left w:val="nil"/>
              <w:bottom w:val="single" w:sz="12" w:space="0" w:color="auto"/>
              <w:right w:val="nil"/>
            </w:tcBorders>
            <w:vAlign w:val="bottom"/>
          </w:tcPr>
          <w:p w14:paraId="6DEB0FE8"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rPr>
            </w:pPr>
            <w:r w:rsidRPr="00CC3E43">
              <w:rPr>
                <w:rFonts w:ascii="Simplified Arabic" w:hAnsi="Simplified Arabic" w:cs="Simplified Arabic"/>
                <w:i/>
                <w:iCs/>
                <w:szCs w:val="18"/>
                <w:rtl/>
              </w:rPr>
              <w:t>2020</w:t>
            </w:r>
          </w:p>
        </w:tc>
        <w:tc>
          <w:tcPr>
            <w:tcW w:w="1038" w:type="dxa"/>
            <w:tcBorders>
              <w:top w:val="single" w:sz="4" w:space="0" w:color="auto"/>
              <w:left w:val="nil"/>
              <w:bottom w:val="single" w:sz="12" w:space="0" w:color="auto"/>
              <w:right w:val="nil"/>
            </w:tcBorders>
            <w:vAlign w:val="bottom"/>
          </w:tcPr>
          <w:p w14:paraId="6DCE24C0"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rPr>
            </w:pPr>
            <w:r w:rsidRPr="00CC3E43">
              <w:rPr>
                <w:rFonts w:ascii="Simplified Arabic" w:hAnsi="Simplified Arabic" w:cs="Simplified Arabic"/>
                <w:i/>
                <w:iCs/>
                <w:szCs w:val="18"/>
                <w:rtl/>
              </w:rPr>
              <w:t>2021</w:t>
            </w:r>
          </w:p>
        </w:tc>
        <w:tc>
          <w:tcPr>
            <w:tcW w:w="1038" w:type="dxa"/>
            <w:tcBorders>
              <w:top w:val="single" w:sz="4" w:space="0" w:color="auto"/>
              <w:left w:val="nil"/>
              <w:bottom w:val="single" w:sz="12" w:space="0" w:color="auto"/>
              <w:right w:val="nil"/>
            </w:tcBorders>
            <w:vAlign w:val="bottom"/>
          </w:tcPr>
          <w:p w14:paraId="1864C221"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Cs w:val="18"/>
              </w:rPr>
            </w:pPr>
            <w:r w:rsidRPr="00CC3E43">
              <w:rPr>
                <w:rFonts w:ascii="Simplified Arabic" w:hAnsi="Simplified Arabic" w:cs="Simplified Arabic"/>
                <w:i/>
                <w:iCs/>
                <w:szCs w:val="18"/>
                <w:rtl/>
              </w:rPr>
              <w:t>2022</w:t>
            </w:r>
          </w:p>
        </w:tc>
      </w:tr>
      <w:tr w:rsidR="00F84C45" w:rsidRPr="00CC3E43" w14:paraId="31E2D7A3" w14:textId="77777777" w:rsidTr="00CC3E43">
        <w:tc>
          <w:tcPr>
            <w:tcW w:w="2126" w:type="dxa"/>
            <w:tcBorders>
              <w:top w:val="single" w:sz="12" w:space="0" w:color="auto"/>
              <w:left w:val="nil"/>
              <w:right w:val="nil"/>
            </w:tcBorders>
            <w:vAlign w:val="bottom"/>
          </w:tcPr>
          <w:p w14:paraId="57842817"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Cs w:val="18"/>
              </w:rPr>
            </w:pPr>
            <w:r w:rsidRPr="00CC3E43">
              <w:rPr>
                <w:rFonts w:ascii="Simplified Arabic" w:hAnsi="Simplified Arabic" w:cs="Simplified Arabic"/>
                <w:szCs w:val="18"/>
                <w:rtl/>
              </w:rPr>
              <w:t>كيريباس</w:t>
            </w:r>
          </w:p>
        </w:tc>
        <w:tc>
          <w:tcPr>
            <w:tcW w:w="992" w:type="dxa"/>
            <w:tcBorders>
              <w:top w:val="single" w:sz="12" w:space="0" w:color="auto"/>
              <w:left w:val="nil"/>
              <w:right w:val="nil"/>
            </w:tcBorders>
            <w:vAlign w:val="bottom"/>
          </w:tcPr>
          <w:p w14:paraId="0402E6C8"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063 7</w:t>
            </w:r>
          </w:p>
        </w:tc>
        <w:tc>
          <w:tcPr>
            <w:tcW w:w="1134" w:type="dxa"/>
            <w:tcBorders>
              <w:top w:val="single" w:sz="12" w:space="0" w:color="auto"/>
              <w:left w:val="nil"/>
              <w:right w:val="nil"/>
            </w:tcBorders>
            <w:vAlign w:val="bottom"/>
          </w:tcPr>
          <w:p w14:paraId="7E5C33C2"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471 10</w:t>
            </w:r>
          </w:p>
        </w:tc>
        <w:tc>
          <w:tcPr>
            <w:tcW w:w="992" w:type="dxa"/>
            <w:tcBorders>
              <w:top w:val="single" w:sz="12" w:space="0" w:color="auto"/>
              <w:left w:val="nil"/>
              <w:right w:val="nil"/>
            </w:tcBorders>
            <w:vAlign w:val="bottom"/>
          </w:tcPr>
          <w:p w14:paraId="323AA704"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569 3</w:t>
            </w:r>
          </w:p>
        </w:tc>
        <w:tc>
          <w:tcPr>
            <w:tcW w:w="1043" w:type="dxa"/>
            <w:tcBorders>
              <w:top w:val="single" w:sz="12" w:space="0" w:color="auto"/>
              <w:left w:val="nil"/>
              <w:right w:val="nil"/>
            </w:tcBorders>
            <w:vAlign w:val="bottom"/>
          </w:tcPr>
          <w:p w14:paraId="0F2622F1"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063 7</w:t>
            </w:r>
          </w:p>
        </w:tc>
        <w:tc>
          <w:tcPr>
            <w:tcW w:w="1038" w:type="dxa"/>
            <w:tcBorders>
              <w:top w:val="single" w:sz="12" w:space="0" w:color="auto"/>
              <w:left w:val="nil"/>
              <w:right w:val="nil"/>
            </w:tcBorders>
            <w:vAlign w:val="bottom"/>
          </w:tcPr>
          <w:p w14:paraId="45172CE6"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471 10</w:t>
            </w:r>
          </w:p>
        </w:tc>
        <w:tc>
          <w:tcPr>
            <w:tcW w:w="1038" w:type="dxa"/>
            <w:tcBorders>
              <w:top w:val="single" w:sz="12" w:space="0" w:color="auto"/>
              <w:left w:val="nil"/>
              <w:right w:val="nil"/>
            </w:tcBorders>
            <w:vAlign w:val="bottom"/>
          </w:tcPr>
          <w:p w14:paraId="252259FC"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570 4</w:t>
            </w:r>
          </w:p>
        </w:tc>
      </w:tr>
      <w:tr w:rsidR="00F84C45" w:rsidRPr="00CC3E43" w14:paraId="18BFE745" w14:textId="77777777" w:rsidTr="00CC3E43">
        <w:tc>
          <w:tcPr>
            <w:tcW w:w="2126" w:type="dxa"/>
            <w:tcBorders>
              <w:left w:val="nil"/>
              <w:right w:val="nil"/>
            </w:tcBorders>
            <w:vAlign w:val="bottom"/>
          </w:tcPr>
          <w:p w14:paraId="66775FCE"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Cs w:val="18"/>
              </w:rPr>
            </w:pPr>
            <w:r w:rsidRPr="00CC3E43">
              <w:rPr>
                <w:rFonts w:ascii="Simplified Arabic" w:hAnsi="Simplified Arabic" w:cs="Simplified Arabic"/>
                <w:szCs w:val="18"/>
                <w:rtl/>
              </w:rPr>
              <w:t>جزر مارشال</w:t>
            </w:r>
          </w:p>
        </w:tc>
        <w:tc>
          <w:tcPr>
            <w:tcW w:w="992" w:type="dxa"/>
            <w:tcBorders>
              <w:left w:val="nil"/>
              <w:right w:val="nil"/>
            </w:tcBorders>
            <w:vAlign w:val="bottom"/>
          </w:tcPr>
          <w:p w14:paraId="0CA348A4"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067 7</w:t>
            </w:r>
          </w:p>
        </w:tc>
        <w:tc>
          <w:tcPr>
            <w:tcW w:w="1134" w:type="dxa"/>
            <w:tcBorders>
              <w:left w:val="nil"/>
              <w:right w:val="nil"/>
            </w:tcBorders>
            <w:vAlign w:val="bottom"/>
          </w:tcPr>
          <w:p w14:paraId="6F267725"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380 4</w:t>
            </w:r>
          </w:p>
        </w:tc>
        <w:tc>
          <w:tcPr>
            <w:tcW w:w="992" w:type="dxa"/>
            <w:tcBorders>
              <w:left w:val="nil"/>
              <w:right w:val="nil"/>
            </w:tcBorders>
            <w:vAlign w:val="bottom"/>
          </w:tcPr>
          <w:p w14:paraId="31B5AFCB"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943 6</w:t>
            </w:r>
          </w:p>
        </w:tc>
        <w:tc>
          <w:tcPr>
            <w:tcW w:w="1043" w:type="dxa"/>
            <w:tcBorders>
              <w:left w:val="nil"/>
              <w:right w:val="nil"/>
            </w:tcBorders>
            <w:vAlign w:val="bottom"/>
          </w:tcPr>
          <w:p w14:paraId="2225C136"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922 10</w:t>
            </w:r>
          </w:p>
        </w:tc>
        <w:tc>
          <w:tcPr>
            <w:tcW w:w="1038" w:type="dxa"/>
            <w:tcBorders>
              <w:left w:val="nil"/>
              <w:right w:val="nil"/>
            </w:tcBorders>
            <w:vAlign w:val="bottom"/>
          </w:tcPr>
          <w:p w14:paraId="1D71EC84"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677 13</w:t>
            </w:r>
          </w:p>
        </w:tc>
        <w:tc>
          <w:tcPr>
            <w:tcW w:w="1038" w:type="dxa"/>
            <w:tcBorders>
              <w:left w:val="nil"/>
              <w:right w:val="nil"/>
            </w:tcBorders>
            <w:vAlign w:val="bottom"/>
          </w:tcPr>
          <w:p w14:paraId="368B4AC3"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095 9</w:t>
            </w:r>
          </w:p>
        </w:tc>
      </w:tr>
      <w:tr w:rsidR="00F84C45" w:rsidRPr="00CC3E43" w14:paraId="0EBFC80C" w14:textId="77777777" w:rsidTr="00CC3E43">
        <w:tc>
          <w:tcPr>
            <w:tcW w:w="2126" w:type="dxa"/>
            <w:tcBorders>
              <w:left w:val="nil"/>
              <w:right w:val="nil"/>
            </w:tcBorders>
            <w:vAlign w:val="bottom"/>
          </w:tcPr>
          <w:p w14:paraId="15180009"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Cs w:val="18"/>
              </w:rPr>
            </w:pPr>
            <w:r w:rsidRPr="00CC3E43">
              <w:rPr>
                <w:rFonts w:ascii="Simplified Arabic" w:hAnsi="Simplified Arabic" w:cs="Simplified Arabic"/>
                <w:szCs w:val="18"/>
                <w:rtl/>
              </w:rPr>
              <w:t>ناورو</w:t>
            </w:r>
          </w:p>
        </w:tc>
        <w:tc>
          <w:tcPr>
            <w:tcW w:w="992" w:type="dxa"/>
            <w:tcBorders>
              <w:left w:val="nil"/>
              <w:right w:val="nil"/>
            </w:tcBorders>
            <w:vAlign w:val="bottom"/>
          </w:tcPr>
          <w:p w14:paraId="54C61510"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335</w:t>
            </w:r>
          </w:p>
        </w:tc>
        <w:tc>
          <w:tcPr>
            <w:tcW w:w="1134" w:type="dxa"/>
            <w:tcBorders>
              <w:left w:val="nil"/>
              <w:right w:val="nil"/>
            </w:tcBorders>
            <w:vAlign w:val="bottom"/>
          </w:tcPr>
          <w:p w14:paraId="4E22DEB4"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186 1</w:t>
            </w:r>
          </w:p>
        </w:tc>
        <w:tc>
          <w:tcPr>
            <w:tcW w:w="992" w:type="dxa"/>
            <w:tcBorders>
              <w:left w:val="nil"/>
              <w:right w:val="nil"/>
            </w:tcBorders>
            <w:vAlign w:val="bottom"/>
          </w:tcPr>
          <w:p w14:paraId="2AC67BB4"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456 1</w:t>
            </w:r>
          </w:p>
        </w:tc>
        <w:tc>
          <w:tcPr>
            <w:tcW w:w="1043" w:type="dxa"/>
            <w:tcBorders>
              <w:left w:val="nil"/>
              <w:right w:val="nil"/>
            </w:tcBorders>
            <w:vAlign w:val="bottom"/>
          </w:tcPr>
          <w:p w14:paraId="1B8479D7"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997 1</w:t>
            </w:r>
          </w:p>
        </w:tc>
        <w:tc>
          <w:tcPr>
            <w:tcW w:w="1038" w:type="dxa"/>
            <w:tcBorders>
              <w:left w:val="nil"/>
              <w:right w:val="nil"/>
            </w:tcBorders>
            <w:vAlign w:val="bottom"/>
          </w:tcPr>
          <w:p w14:paraId="4442F197"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175 2</w:t>
            </w:r>
          </w:p>
        </w:tc>
        <w:tc>
          <w:tcPr>
            <w:tcW w:w="1038" w:type="dxa"/>
            <w:tcBorders>
              <w:left w:val="nil"/>
              <w:right w:val="nil"/>
            </w:tcBorders>
            <w:vAlign w:val="bottom"/>
          </w:tcPr>
          <w:p w14:paraId="573B0871"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326 2</w:t>
            </w:r>
          </w:p>
        </w:tc>
      </w:tr>
      <w:tr w:rsidR="00F84C45" w:rsidRPr="00CC3E43" w14:paraId="0CAC2088" w14:textId="77777777" w:rsidTr="00CC3E43">
        <w:tc>
          <w:tcPr>
            <w:tcW w:w="2126" w:type="dxa"/>
            <w:tcBorders>
              <w:left w:val="nil"/>
              <w:right w:val="nil"/>
            </w:tcBorders>
            <w:vAlign w:val="bottom"/>
          </w:tcPr>
          <w:p w14:paraId="6E6A2489"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Cs w:val="18"/>
              </w:rPr>
            </w:pPr>
            <w:r w:rsidRPr="00CC3E43">
              <w:rPr>
                <w:rFonts w:ascii="Simplified Arabic" w:hAnsi="Simplified Arabic" w:cs="Simplified Arabic"/>
                <w:szCs w:val="18"/>
                <w:rtl/>
              </w:rPr>
              <w:t>نيوي</w:t>
            </w:r>
          </w:p>
        </w:tc>
        <w:tc>
          <w:tcPr>
            <w:tcW w:w="992" w:type="dxa"/>
            <w:tcBorders>
              <w:left w:val="nil"/>
              <w:right w:val="nil"/>
            </w:tcBorders>
            <w:vAlign w:val="bottom"/>
          </w:tcPr>
          <w:p w14:paraId="7908941A"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rPr>
                <w:rFonts w:ascii="Simplified Arabic" w:hAnsi="Simplified Arabic" w:cs="Simplified Arabic"/>
                <w:szCs w:val="18"/>
              </w:rPr>
            </w:pPr>
            <w:r w:rsidRPr="00CC3E43">
              <w:rPr>
                <w:rFonts w:ascii="Simplified Arabic" w:hAnsi="Simplified Arabic" w:cs="Simplified Arabic"/>
                <w:szCs w:val="18"/>
              </w:rPr>
              <w:sym w:font="Symbol" w:char="F02D"/>
            </w:r>
          </w:p>
        </w:tc>
        <w:tc>
          <w:tcPr>
            <w:tcW w:w="1134" w:type="dxa"/>
            <w:tcBorders>
              <w:left w:val="nil"/>
              <w:right w:val="nil"/>
            </w:tcBorders>
            <w:vAlign w:val="bottom"/>
          </w:tcPr>
          <w:p w14:paraId="59269EDB"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74</w:t>
            </w:r>
          </w:p>
        </w:tc>
        <w:tc>
          <w:tcPr>
            <w:tcW w:w="992" w:type="dxa"/>
            <w:tcBorders>
              <w:left w:val="nil"/>
              <w:right w:val="nil"/>
            </w:tcBorders>
            <w:vAlign w:val="bottom"/>
          </w:tcPr>
          <w:p w14:paraId="39A929AD"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rPr>
                <w:rFonts w:ascii="Simplified Arabic" w:hAnsi="Simplified Arabic" w:cs="Simplified Arabic"/>
                <w:szCs w:val="18"/>
              </w:rPr>
            </w:pPr>
            <w:r w:rsidRPr="00CC3E43">
              <w:rPr>
                <w:rFonts w:ascii="Simplified Arabic" w:hAnsi="Simplified Arabic" w:cs="Simplified Arabic"/>
                <w:szCs w:val="18"/>
              </w:rPr>
              <w:sym w:font="Symbol" w:char="F02D"/>
            </w:r>
          </w:p>
        </w:tc>
        <w:tc>
          <w:tcPr>
            <w:tcW w:w="1043" w:type="dxa"/>
            <w:tcBorders>
              <w:left w:val="nil"/>
              <w:right w:val="nil"/>
            </w:tcBorders>
            <w:vAlign w:val="bottom"/>
          </w:tcPr>
          <w:p w14:paraId="29B09DD4"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rPr>
                <w:rFonts w:ascii="Simplified Arabic" w:hAnsi="Simplified Arabic" w:cs="Simplified Arabic"/>
                <w:szCs w:val="18"/>
              </w:rPr>
            </w:pPr>
            <w:r w:rsidRPr="00CC3E43">
              <w:rPr>
                <w:rFonts w:ascii="Simplified Arabic" w:hAnsi="Simplified Arabic" w:cs="Simplified Arabic"/>
                <w:szCs w:val="18"/>
              </w:rPr>
              <w:sym w:font="Symbol" w:char="F02D"/>
            </w:r>
          </w:p>
        </w:tc>
        <w:tc>
          <w:tcPr>
            <w:tcW w:w="1038" w:type="dxa"/>
            <w:tcBorders>
              <w:left w:val="nil"/>
              <w:right w:val="nil"/>
            </w:tcBorders>
            <w:vAlign w:val="bottom"/>
          </w:tcPr>
          <w:p w14:paraId="77A38888"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179</w:t>
            </w:r>
          </w:p>
        </w:tc>
        <w:tc>
          <w:tcPr>
            <w:tcW w:w="1038" w:type="dxa"/>
            <w:tcBorders>
              <w:left w:val="nil"/>
              <w:right w:val="nil"/>
            </w:tcBorders>
            <w:vAlign w:val="bottom"/>
          </w:tcPr>
          <w:p w14:paraId="57B9C44A"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rPr>
                <w:rFonts w:ascii="Simplified Arabic" w:hAnsi="Simplified Arabic" w:cs="Simplified Arabic"/>
                <w:szCs w:val="18"/>
              </w:rPr>
            </w:pPr>
            <w:r w:rsidRPr="00CC3E43">
              <w:rPr>
                <w:rFonts w:ascii="Simplified Arabic" w:hAnsi="Simplified Arabic" w:cs="Simplified Arabic"/>
                <w:szCs w:val="18"/>
              </w:rPr>
              <w:sym w:font="Symbol" w:char="F02D"/>
            </w:r>
          </w:p>
        </w:tc>
      </w:tr>
      <w:tr w:rsidR="00F84C45" w:rsidRPr="00CC3E43" w14:paraId="7C48B017" w14:textId="77777777" w:rsidTr="00CC3E43">
        <w:tc>
          <w:tcPr>
            <w:tcW w:w="2126" w:type="dxa"/>
            <w:tcBorders>
              <w:left w:val="nil"/>
              <w:right w:val="nil"/>
            </w:tcBorders>
            <w:vAlign w:val="bottom"/>
          </w:tcPr>
          <w:p w14:paraId="4268A61F"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Cs w:val="18"/>
              </w:rPr>
            </w:pPr>
            <w:r w:rsidRPr="00CC3E43">
              <w:rPr>
                <w:rFonts w:ascii="Simplified Arabic" w:hAnsi="Simplified Arabic" w:cs="Simplified Arabic"/>
                <w:szCs w:val="18"/>
                <w:rtl/>
              </w:rPr>
              <w:t>توفالو</w:t>
            </w:r>
          </w:p>
        </w:tc>
        <w:tc>
          <w:tcPr>
            <w:tcW w:w="992" w:type="dxa"/>
            <w:tcBorders>
              <w:left w:val="nil"/>
              <w:right w:val="nil"/>
            </w:tcBorders>
            <w:vAlign w:val="bottom"/>
          </w:tcPr>
          <w:p w14:paraId="43B9CD40"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296</w:t>
            </w:r>
          </w:p>
        </w:tc>
        <w:tc>
          <w:tcPr>
            <w:tcW w:w="1134" w:type="dxa"/>
            <w:tcBorders>
              <w:left w:val="nil"/>
              <w:right w:val="nil"/>
            </w:tcBorders>
            <w:vAlign w:val="bottom"/>
          </w:tcPr>
          <w:p w14:paraId="4A03EFDC"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343</w:t>
            </w:r>
          </w:p>
        </w:tc>
        <w:tc>
          <w:tcPr>
            <w:tcW w:w="992" w:type="dxa"/>
            <w:tcBorders>
              <w:left w:val="nil"/>
              <w:right w:val="nil"/>
            </w:tcBorders>
            <w:vAlign w:val="bottom"/>
          </w:tcPr>
          <w:p w14:paraId="14159C12"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178</w:t>
            </w:r>
          </w:p>
        </w:tc>
        <w:tc>
          <w:tcPr>
            <w:tcW w:w="1043" w:type="dxa"/>
            <w:tcBorders>
              <w:left w:val="nil"/>
              <w:right w:val="nil"/>
            </w:tcBorders>
            <w:vAlign w:val="bottom"/>
          </w:tcPr>
          <w:p w14:paraId="1C112D84"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647</w:t>
            </w:r>
          </w:p>
        </w:tc>
        <w:tc>
          <w:tcPr>
            <w:tcW w:w="1038" w:type="dxa"/>
            <w:tcBorders>
              <w:left w:val="nil"/>
              <w:right w:val="nil"/>
            </w:tcBorders>
            <w:vAlign w:val="bottom"/>
          </w:tcPr>
          <w:p w14:paraId="5A0BE5A9"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695</w:t>
            </w:r>
          </w:p>
        </w:tc>
        <w:tc>
          <w:tcPr>
            <w:tcW w:w="1038" w:type="dxa"/>
            <w:tcBorders>
              <w:left w:val="nil"/>
              <w:right w:val="nil"/>
            </w:tcBorders>
            <w:vAlign w:val="bottom"/>
          </w:tcPr>
          <w:p w14:paraId="157673E4"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800</w:t>
            </w:r>
          </w:p>
        </w:tc>
      </w:tr>
      <w:tr w:rsidR="00F84C45" w:rsidRPr="00CC3E43" w14:paraId="04FEFC6B" w14:textId="77777777" w:rsidTr="00CC3E43">
        <w:tc>
          <w:tcPr>
            <w:tcW w:w="2126" w:type="dxa"/>
            <w:tcBorders>
              <w:left w:val="nil"/>
              <w:bottom w:val="single" w:sz="12" w:space="0" w:color="auto"/>
              <w:right w:val="nil"/>
            </w:tcBorders>
            <w:vAlign w:val="bottom"/>
          </w:tcPr>
          <w:p w14:paraId="0B986063"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Cs w:val="18"/>
              </w:rPr>
            </w:pPr>
            <w:r w:rsidRPr="00CC3E43">
              <w:rPr>
                <w:rFonts w:ascii="Simplified Arabic" w:hAnsi="Simplified Arabic" w:cs="Simplified Arabic"/>
                <w:szCs w:val="18"/>
                <w:rtl/>
              </w:rPr>
              <w:t>فانواتو</w:t>
            </w:r>
          </w:p>
        </w:tc>
        <w:tc>
          <w:tcPr>
            <w:tcW w:w="992" w:type="dxa"/>
            <w:tcBorders>
              <w:left w:val="nil"/>
              <w:bottom w:val="single" w:sz="12" w:space="0" w:color="auto"/>
              <w:right w:val="nil"/>
            </w:tcBorders>
            <w:vAlign w:val="bottom"/>
          </w:tcPr>
          <w:p w14:paraId="6FB67D85"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915 11</w:t>
            </w:r>
          </w:p>
        </w:tc>
        <w:tc>
          <w:tcPr>
            <w:tcW w:w="1134" w:type="dxa"/>
            <w:tcBorders>
              <w:left w:val="nil"/>
              <w:bottom w:val="single" w:sz="12" w:space="0" w:color="auto"/>
              <w:right w:val="nil"/>
            </w:tcBorders>
            <w:vAlign w:val="bottom"/>
          </w:tcPr>
          <w:p w14:paraId="46FA4310"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781 13</w:t>
            </w:r>
          </w:p>
        </w:tc>
        <w:tc>
          <w:tcPr>
            <w:tcW w:w="992" w:type="dxa"/>
            <w:tcBorders>
              <w:left w:val="nil"/>
              <w:bottom w:val="single" w:sz="12" w:space="0" w:color="auto"/>
              <w:right w:val="nil"/>
            </w:tcBorders>
            <w:vAlign w:val="bottom"/>
          </w:tcPr>
          <w:p w14:paraId="09EB9E73"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511 17</w:t>
            </w:r>
          </w:p>
        </w:tc>
        <w:tc>
          <w:tcPr>
            <w:tcW w:w="1043" w:type="dxa"/>
            <w:tcBorders>
              <w:left w:val="nil"/>
              <w:bottom w:val="single" w:sz="12" w:space="0" w:color="auto"/>
              <w:right w:val="nil"/>
            </w:tcBorders>
            <w:vAlign w:val="bottom"/>
          </w:tcPr>
          <w:p w14:paraId="2F2A48E4"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055 21</w:t>
            </w:r>
          </w:p>
        </w:tc>
        <w:tc>
          <w:tcPr>
            <w:tcW w:w="1038" w:type="dxa"/>
            <w:tcBorders>
              <w:left w:val="nil"/>
              <w:bottom w:val="single" w:sz="12" w:space="0" w:color="auto"/>
              <w:right w:val="nil"/>
            </w:tcBorders>
            <w:vAlign w:val="bottom"/>
          </w:tcPr>
          <w:p w14:paraId="043B25A1"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781 13</w:t>
            </w:r>
          </w:p>
        </w:tc>
        <w:tc>
          <w:tcPr>
            <w:tcW w:w="1038" w:type="dxa"/>
            <w:tcBorders>
              <w:left w:val="nil"/>
              <w:bottom w:val="single" w:sz="12" w:space="0" w:color="auto"/>
              <w:right w:val="nil"/>
            </w:tcBorders>
            <w:vAlign w:val="bottom"/>
          </w:tcPr>
          <w:p w14:paraId="6C1F39F2" w14:textId="77777777" w:rsidR="00F84C45" w:rsidRPr="00CC3E43" w:rsidRDefault="00F84C45" w:rsidP="00CC3E4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Cs w:val="18"/>
              </w:rPr>
            </w:pPr>
            <w:r w:rsidRPr="00CC3E43">
              <w:rPr>
                <w:rFonts w:ascii="Simplified Arabic" w:hAnsi="Simplified Arabic" w:cs="Simplified Arabic"/>
                <w:szCs w:val="18"/>
                <w:rtl/>
              </w:rPr>
              <w:t>511 17</w:t>
            </w:r>
          </w:p>
        </w:tc>
      </w:tr>
    </w:tbl>
    <w:p w14:paraId="10A8F5EA" w14:textId="77777777" w:rsidR="002A0884" w:rsidRPr="000B5AE8" w:rsidRDefault="00F84C45" w:rsidP="0054727F">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before="120" w:line="360" w:lineRule="exact"/>
        <w:ind w:left="1134" w:firstLine="709"/>
        <w:jc w:val="both"/>
        <w:textDirection w:val="tbRlV"/>
        <w:rPr>
          <w:rFonts w:ascii="Simplified Arabic" w:hAnsi="Simplified Arabic" w:cs="Simplified Arabic"/>
          <w:sz w:val="24"/>
          <w:szCs w:val="24"/>
          <w:rtl/>
        </w:rPr>
      </w:pPr>
      <w:r w:rsidRPr="000B5AE8">
        <w:rPr>
          <w:rFonts w:ascii="Simplified Arabic" w:hAnsi="Simplified Arabic" w:cs="Simplified Arabic"/>
          <w:sz w:val="24"/>
          <w:szCs w:val="24"/>
          <w:rtl/>
        </w:rPr>
        <w:t>أن المغرب قدم معلومات كافية، وفقاً للمقرر 15/19، لتبرير طلبه تنقيح بيانات استهلاكه من مركبات الكربون الهيدروفلورية للأعوام 2020 و2021 و2022، التي تشكل جزءاً من خط الأساس للمجموعة 1 من الأطراف العاملة بالمادة 5 بموجب تعديل كيغالي لبروتوكول مونتريال؛</w:t>
      </w:r>
    </w:p>
    <w:p w14:paraId="67705E7C" w14:textId="2CF36651" w:rsidR="00F84C45" w:rsidRPr="0054727F" w:rsidRDefault="00F84C45" w:rsidP="00F33CC3">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after="140" w:line="380" w:lineRule="exact"/>
        <w:ind w:left="1134" w:firstLine="709"/>
        <w:jc w:val="both"/>
        <w:textDirection w:val="tbRlV"/>
        <w:rPr>
          <w:rFonts w:ascii="Simplified Arabic" w:hAnsi="Simplified Arabic" w:cs="Simplified Arabic"/>
          <w:sz w:val="24"/>
          <w:szCs w:val="24"/>
        </w:rPr>
      </w:pPr>
      <w:r w:rsidRPr="000B5AE8">
        <w:rPr>
          <w:rFonts w:ascii="Simplified Arabic" w:hAnsi="Simplified Arabic" w:cs="Simplified Arabic"/>
          <w:sz w:val="24"/>
          <w:szCs w:val="24"/>
          <w:rtl/>
        </w:rPr>
        <w:lastRenderedPageBreak/>
        <w:t>أن يوافق على طلب المغرب وأن يُنقِّح بيانات استهلاكه من مركبات الكربون الهيدروفلورية لسنوات خط الأساس 2020 و2021 و2022، على النحو المبين في الجدول التالي</w:t>
      </w:r>
      <w:r w:rsidRPr="000B5AE8">
        <w:rPr>
          <w:rFonts w:ascii="Simplified Arabic" w:hAnsi="Simplified Arabic" w:cs="Simplified Arabic"/>
          <w:sz w:val="24"/>
          <w:szCs w:val="24"/>
        </w:rPr>
        <w:t>:</w:t>
      </w:r>
      <w:r w:rsidRPr="000B5AE8">
        <w:rPr>
          <w:rFonts w:ascii="Simplified Arabic" w:hAnsi="Simplified Arabic" w:cs="Simplified Arabic"/>
          <w:sz w:val="24"/>
          <w:szCs w:val="24"/>
          <w:rtl/>
        </w:rPr>
        <w:t xml:space="preserve"> </w:t>
      </w:r>
    </w:p>
    <w:tbl>
      <w:tblPr>
        <w:tblStyle w:val="TableGrid"/>
        <w:bidiVisual/>
        <w:tblW w:w="8363" w:type="dxa"/>
        <w:tblInd w:w="1134" w:type="dxa"/>
        <w:tblLayout w:type="fixed"/>
        <w:tblLook w:val="04A0" w:firstRow="1" w:lastRow="0" w:firstColumn="1" w:lastColumn="0" w:noHBand="0" w:noVBand="1"/>
      </w:tblPr>
      <w:tblGrid>
        <w:gridCol w:w="1422"/>
        <w:gridCol w:w="1037"/>
        <w:gridCol w:w="1181"/>
        <w:gridCol w:w="1181"/>
        <w:gridCol w:w="1180"/>
        <w:gridCol w:w="1181"/>
        <w:gridCol w:w="1181"/>
      </w:tblGrid>
      <w:tr w:rsidR="00F84C45" w:rsidRPr="0054727F" w14:paraId="17AF05F5" w14:textId="77777777" w:rsidTr="0054727F">
        <w:trPr>
          <w:trHeight w:val="113"/>
        </w:trPr>
        <w:tc>
          <w:tcPr>
            <w:tcW w:w="1413" w:type="dxa"/>
            <w:vMerge w:val="restart"/>
            <w:tcBorders>
              <w:top w:val="single" w:sz="4" w:space="0" w:color="auto"/>
              <w:left w:val="nil"/>
              <w:bottom w:val="single" w:sz="12" w:space="0" w:color="auto"/>
              <w:right w:val="nil"/>
            </w:tcBorders>
            <w:vAlign w:val="bottom"/>
          </w:tcPr>
          <w:p w14:paraId="5CE5BBFF"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textDirection w:val="tbRlV"/>
              <w:rPr>
                <w:rFonts w:ascii="Simplified Arabic" w:hAnsi="Simplified Arabic" w:cs="Simplified Arabic"/>
                <w:i/>
                <w:iCs/>
                <w:szCs w:val="18"/>
              </w:rPr>
            </w:pPr>
            <w:r w:rsidRPr="0054727F">
              <w:rPr>
                <w:rFonts w:ascii="Simplified Arabic" w:hAnsi="Simplified Arabic" w:cs="Simplified Arabic"/>
                <w:i/>
                <w:iCs/>
                <w:szCs w:val="18"/>
                <w:rtl/>
              </w:rPr>
              <w:t>الطرف/السنة</w:t>
            </w:r>
          </w:p>
        </w:tc>
        <w:tc>
          <w:tcPr>
            <w:tcW w:w="3376" w:type="dxa"/>
            <w:gridSpan w:val="3"/>
            <w:tcBorders>
              <w:top w:val="single" w:sz="4" w:space="0" w:color="auto"/>
              <w:left w:val="nil"/>
              <w:bottom w:val="single" w:sz="4" w:space="0" w:color="auto"/>
              <w:right w:val="single" w:sz="4" w:space="0" w:color="auto"/>
            </w:tcBorders>
            <w:vAlign w:val="bottom"/>
          </w:tcPr>
          <w:p w14:paraId="746A16A0"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center"/>
              <w:textDirection w:val="tbRlV"/>
              <w:rPr>
                <w:rFonts w:ascii="Simplified Arabic" w:hAnsi="Simplified Arabic" w:cs="Simplified Arabic"/>
                <w:i/>
                <w:iCs/>
                <w:szCs w:val="18"/>
              </w:rPr>
            </w:pPr>
            <w:r w:rsidRPr="0054727F">
              <w:rPr>
                <w:rFonts w:ascii="Simplified Arabic" w:hAnsi="Simplified Arabic" w:cs="Simplified Arabic"/>
                <w:i/>
                <w:iCs/>
                <w:szCs w:val="18"/>
                <w:rtl/>
              </w:rPr>
              <w:t>البيانات السابقة لمركبات الكربون الهيدروفلورية (بأطنان مكافئ ثاني أكسيد الكربون)</w:t>
            </w:r>
          </w:p>
        </w:tc>
        <w:tc>
          <w:tcPr>
            <w:tcW w:w="3518" w:type="dxa"/>
            <w:gridSpan w:val="3"/>
            <w:tcBorders>
              <w:top w:val="single" w:sz="4" w:space="0" w:color="auto"/>
              <w:left w:val="single" w:sz="4" w:space="0" w:color="auto"/>
              <w:bottom w:val="single" w:sz="4" w:space="0" w:color="auto"/>
              <w:right w:val="nil"/>
            </w:tcBorders>
            <w:vAlign w:val="bottom"/>
          </w:tcPr>
          <w:p w14:paraId="24F2F508"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center"/>
              <w:textDirection w:val="tbRlV"/>
              <w:rPr>
                <w:rFonts w:ascii="Simplified Arabic" w:hAnsi="Simplified Arabic" w:cs="Simplified Arabic"/>
                <w:i/>
                <w:iCs/>
                <w:szCs w:val="18"/>
              </w:rPr>
            </w:pPr>
            <w:r w:rsidRPr="0054727F">
              <w:rPr>
                <w:rFonts w:ascii="Simplified Arabic" w:hAnsi="Simplified Arabic" w:cs="Simplified Arabic"/>
                <w:i/>
                <w:iCs/>
                <w:szCs w:val="18"/>
                <w:rtl/>
              </w:rPr>
              <w:t>البيانات الجديدة لمركبات الكربون الهيدروفلورية (بأطنان مكافئ ثاني أكسيد الكربون)</w:t>
            </w:r>
          </w:p>
        </w:tc>
      </w:tr>
      <w:tr w:rsidR="00F84C45" w:rsidRPr="0054727F" w14:paraId="289F24BA" w14:textId="77777777" w:rsidTr="0054727F">
        <w:trPr>
          <w:trHeight w:val="209"/>
        </w:trPr>
        <w:tc>
          <w:tcPr>
            <w:tcW w:w="1413" w:type="dxa"/>
            <w:vMerge/>
            <w:tcBorders>
              <w:top w:val="single" w:sz="4" w:space="0" w:color="auto"/>
              <w:left w:val="nil"/>
              <w:bottom w:val="single" w:sz="12" w:space="0" w:color="auto"/>
              <w:right w:val="nil"/>
            </w:tcBorders>
            <w:vAlign w:val="bottom"/>
          </w:tcPr>
          <w:p w14:paraId="30843782"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rPr>
                <w:rFonts w:ascii="Simplified Arabic" w:hAnsi="Simplified Arabic" w:cs="Simplified Arabic"/>
                <w:i/>
                <w:iCs/>
                <w:szCs w:val="18"/>
              </w:rPr>
            </w:pPr>
          </w:p>
        </w:tc>
        <w:tc>
          <w:tcPr>
            <w:tcW w:w="1030" w:type="dxa"/>
            <w:tcBorders>
              <w:top w:val="single" w:sz="4" w:space="0" w:color="auto"/>
              <w:left w:val="nil"/>
              <w:bottom w:val="single" w:sz="12" w:space="0" w:color="auto"/>
              <w:right w:val="nil"/>
            </w:tcBorders>
            <w:vAlign w:val="bottom"/>
          </w:tcPr>
          <w:p w14:paraId="5B525635"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i/>
                <w:iCs/>
                <w:szCs w:val="18"/>
              </w:rPr>
            </w:pPr>
            <w:r w:rsidRPr="0054727F">
              <w:rPr>
                <w:rFonts w:ascii="Simplified Arabic" w:hAnsi="Simplified Arabic" w:cs="Simplified Arabic"/>
                <w:i/>
                <w:iCs/>
                <w:szCs w:val="18"/>
                <w:rtl/>
              </w:rPr>
              <w:t>2020</w:t>
            </w:r>
          </w:p>
        </w:tc>
        <w:tc>
          <w:tcPr>
            <w:tcW w:w="1173" w:type="dxa"/>
            <w:tcBorders>
              <w:top w:val="single" w:sz="4" w:space="0" w:color="auto"/>
              <w:left w:val="nil"/>
              <w:bottom w:val="single" w:sz="12" w:space="0" w:color="auto"/>
              <w:right w:val="nil"/>
            </w:tcBorders>
            <w:vAlign w:val="bottom"/>
          </w:tcPr>
          <w:p w14:paraId="00C2233F"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i/>
                <w:iCs/>
                <w:szCs w:val="18"/>
              </w:rPr>
            </w:pPr>
            <w:r w:rsidRPr="0054727F">
              <w:rPr>
                <w:rFonts w:ascii="Simplified Arabic" w:hAnsi="Simplified Arabic" w:cs="Simplified Arabic"/>
                <w:i/>
                <w:iCs/>
                <w:szCs w:val="18"/>
                <w:rtl/>
              </w:rPr>
              <w:t>2021</w:t>
            </w:r>
          </w:p>
        </w:tc>
        <w:tc>
          <w:tcPr>
            <w:tcW w:w="1173" w:type="dxa"/>
            <w:tcBorders>
              <w:top w:val="single" w:sz="4" w:space="0" w:color="auto"/>
              <w:left w:val="nil"/>
              <w:bottom w:val="single" w:sz="12" w:space="0" w:color="auto"/>
              <w:right w:val="single" w:sz="4" w:space="0" w:color="auto"/>
            </w:tcBorders>
            <w:vAlign w:val="bottom"/>
          </w:tcPr>
          <w:p w14:paraId="32CEE242"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i/>
                <w:iCs/>
                <w:szCs w:val="18"/>
              </w:rPr>
            </w:pPr>
            <w:r w:rsidRPr="0054727F">
              <w:rPr>
                <w:rFonts w:ascii="Simplified Arabic" w:hAnsi="Simplified Arabic" w:cs="Simplified Arabic"/>
                <w:i/>
                <w:iCs/>
                <w:szCs w:val="18"/>
                <w:rtl/>
              </w:rPr>
              <w:t>2022</w:t>
            </w:r>
          </w:p>
        </w:tc>
        <w:tc>
          <w:tcPr>
            <w:tcW w:w="1172" w:type="dxa"/>
            <w:tcBorders>
              <w:top w:val="single" w:sz="4" w:space="0" w:color="auto"/>
              <w:left w:val="single" w:sz="4" w:space="0" w:color="auto"/>
              <w:bottom w:val="single" w:sz="12" w:space="0" w:color="auto"/>
              <w:right w:val="nil"/>
            </w:tcBorders>
            <w:vAlign w:val="bottom"/>
          </w:tcPr>
          <w:p w14:paraId="45CAC48F"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i/>
                <w:iCs/>
                <w:szCs w:val="18"/>
              </w:rPr>
            </w:pPr>
            <w:r w:rsidRPr="0054727F">
              <w:rPr>
                <w:rFonts w:ascii="Simplified Arabic" w:hAnsi="Simplified Arabic" w:cs="Simplified Arabic"/>
                <w:i/>
                <w:iCs/>
                <w:szCs w:val="18"/>
                <w:rtl/>
              </w:rPr>
              <w:t>2020</w:t>
            </w:r>
          </w:p>
        </w:tc>
        <w:tc>
          <w:tcPr>
            <w:tcW w:w="1173" w:type="dxa"/>
            <w:tcBorders>
              <w:top w:val="single" w:sz="4" w:space="0" w:color="auto"/>
              <w:left w:val="nil"/>
              <w:bottom w:val="single" w:sz="12" w:space="0" w:color="auto"/>
              <w:right w:val="nil"/>
            </w:tcBorders>
            <w:vAlign w:val="bottom"/>
          </w:tcPr>
          <w:p w14:paraId="0EE38B57"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i/>
                <w:iCs/>
                <w:szCs w:val="18"/>
              </w:rPr>
            </w:pPr>
            <w:r w:rsidRPr="0054727F">
              <w:rPr>
                <w:rFonts w:ascii="Simplified Arabic" w:hAnsi="Simplified Arabic" w:cs="Simplified Arabic"/>
                <w:i/>
                <w:iCs/>
                <w:szCs w:val="18"/>
                <w:rtl/>
              </w:rPr>
              <w:t>2021</w:t>
            </w:r>
          </w:p>
        </w:tc>
        <w:tc>
          <w:tcPr>
            <w:tcW w:w="1173" w:type="dxa"/>
            <w:tcBorders>
              <w:top w:val="single" w:sz="4" w:space="0" w:color="auto"/>
              <w:left w:val="nil"/>
              <w:bottom w:val="single" w:sz="12" w:space="0" w:color="auto"/>
              <w:right w:val="nil"/>
            </w:tcBorders>
            <w:vAlign w:val="bottom"/>
          </w:tcPr>
          <w:p w14:paraId="4A653B42"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i/>
                <w:iCs/>
                <w:szCs w:val="18"/>
              </w:rPr>
            </w:pPr>
            <w:r w:rsidRPr="0054727F">
              <w:rPr>
                <w:rFonts w:ascii="Simplified Arabic" w:hAnsi="Simplified Arabic" w:cs="Simplified Arabic"/>
                <w:i/>
                <w:iCs/>
                <w:szCs w:val="18"/>
                <w:rtl/>
              </w:rPr>
              <w:t>2022</w:t>
            </w:r>
          </w:p>
        </w:tc>
      </w:tr>
      <w:tr w:rsidR="00F84C45" w:rsidRPr="0054727F" w14:paraId="2CD49C9C" w14:textId="77777777" w:rsidTr="0054727F">
        <w:trPr>
          <w:trHeight w:val="113"/>
        </w:trPr>
        <w:tc>
          <w:tcPr>
            <w:tcW w:w="1413" w:type="dxa"/>
            <w:tcBorders>
              <w:top w:val="single" w:sz="12" w:space="0" w:color="auto"/>
              <w:left w:val="nil"/>
              <w:bottom w:val="single" w:sz="12" w:space="0" w:color="auto"/>
              <w:right w:val="nil"/>
            </w:tcBorders>
            <w:vAlign w:val="bottom"/>
          </w:tcPr>
          <w:p w14:paraId="7C50AD90"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textDirection w:val="tbRlV"/>
              <w:rPr>
                <w:rFonts w:ascii="Simplified Arabic" w:hAnsi="Simplified Arabic" w:cs="Simplified Arabic"/>
                <w:szCs w:val="18"/>
              </w:rPr>
            </w:pPr>
            <w:r w:rsidRPr="0054727F">
              <w:rPr>
                <w:rFonts w:ascii="Simplified Arabic" w:hAnsi="Simplified Arabic" w:cs="Simplified Arabic"/>
                <w:szCs w:val="18"/>
                <w:rtl/>
              </w:rPr>
              <w:t xml:space="preserve">المغرب </w:t>
            </w:r>
          </w:p>
        </w:tc>
        <w:tc>
          <w:tcPr>
            <w:tcW w:w="1030" w:type="dxa"/>
            <w:tcBorders>
              <w:top w:val="single" w:sz="12" w:space="0" w:color="auto"/>
              <w:left w:val="nil"/>
              <w:bottom w:val="single" w:sz="12" w:space="0" w:color="auto"/>
              <w:right w:val="nil"/>
            </w:tcBorders>
            <w:vAlign w:val="bottom"/>
          </w:tcPr>
          <w:p w14:paraId="3E1F5DC8"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szCs w:val="18"/>
              </w:rPr>
            </w:pPr>
            <w:r w:rsidRPr="0054727F">
              <w:rPr>
                <w:rFonts w:ascii="Simplified Arabic" w:hAnsi="Simplified Arabic" w:cs="Simplified Arabic"/>
                <w:szCs w:val="18"/>
                <w:rtl/>
              </w:rPr>
              <w:t>148 687 1</w:t>
            </w:r>
          </w:p>
        </w:tc>
        <w:tc>
          <w:tcPr>
            <w:tcW w:w="1173" w:type="dxa"/>
            <w:tcBorders>
              <w:top w:val="single" w:sz="12" w:space="0" w:color="auto"/>
              <w:left w:val="nil"/>
              <w:bottom w:val="single" w:sz="12" w:space="0" w:color="auto"/>
              <w:right w:val="nil"/>
            </w:tcBorders>
            <w:vAlign w:val="bottom"/>
          </w:tcPr>
          <w:p w14:paraId="545D8DDB"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szCs w:val="18"/>
              </w:rPr>
            </w:pPr>
            <w:r w:rsidRPr="0054727F">
              <w:rPr>
                <w:rFonts w:ascii="Simplified Arabic" w:hAnsi="Simplified Arabic" w:cs="Simplified Arabic"/>
                <w:szCs w:val="18"/>
                <w:rtl/>
              </w:rPr>
              <w:t>421 475 1</w:t>
            </w:r>
          </w:p>
        </w:tc>
        <w:tc>
          <w:tcPr>
            <w:tcW w:w="1173" w:type="dxa"/>
            <w:tcBorders>
              <w:top w:val="single" w:sz="12" w:space="0" w:color="auto"/>
              <w:left w:val="nil"/>
              <w:bottom w:val="single" w:sz="12" w:space="0" w:color="auto"/>
              <w:right w:val="single" w:sz="4" w:space="0" w:color="auto"/>
            </w:tcBorders>
            <w:vAlign w:val="bottom"/>
          </w:tcPr>
          <w:p w14:paraId="24180059"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szCs w:val="18"/>
              </w:rPr>
            </w:pPr>
            <w:r w:rsidRPr="0054727F">
              <w:rPr>
                <w:rFonts w:ascii="Simplified Arabic" w:hAnsi="Simplified Arabic" w:cs="Simplified Arabic"/>
                <w:szCs w:val="18"/>
                <w:rtl/>
              </w:rPr>
              <w:t>302 590</w:t>
            </w:r>
          </w:p>
        </w:tc>
        <w:tc>
          <w:tcPr>
            <w:tcW w:w="1172" w:type="dxa"/>
            <w:tcBorders>
              <w:top w:val="single" w:sz="12" w:space="0" w:color="auto"/>
              <w:left w:val="single" w:sz="4" w:space="0" w:color="auto"/>
              <w:bottom w:val="single" w:sz="12" w:space="0" w:color="auto"/>
              <w:right w:val="nil"/>
            </w:tcBorders>
            <w:vAlign w:val="bottom"/>
          </w:tcPr>
          <w:p w14:paraId="47D21E7D"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szCs w:val="18"/>
              </w:rPr>
            </w:pPr>
            <w:r w:rsidRPr="0054727F">
              <w:rPr>
                <w:rFonts w:ascii="Simplified Arabic" w:hAnsi="Simplified Arabic" w:cs="Simplified Arabic"/>
                <w:szCs w:val="18"/>
                <w:rtl/>
              </w:rPr>
              <w:t>515 602 2</w:t>
            </w:r>
          </w:p>
        </w:tc>
        <w:tc>
          <w:tcPr>
            <w:tcW w:w="1173" w:type="dxa"/>
            <w:tcBorders>
              <w:top w:val="single" w:sz="12" w:space="0" w:color="auto"/>
              <w:left w:val="nil"/>
              <w:bottom w:val="single" w:sz="12" w:space="0" w:color="auto"/>
              <w:right w:val="nil"/>
            </w:tcBorders>
            <w:vAlign w:val="bottom"/>
          </w:tcPr>
          <w:p w14:paraId="62E8782D"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szCs w:val="18"/>
              </w:rPr>
            </w:pPr>
            <w:r w:rsidRPr="0054727F">
              <w:rPr>
                <w:rFonts w:ascii="Simplified Arabic" w:hAnsi="Simplified Arabic" w:cs="Simplified Arabic"/>
                <w:szCs w:val="18"/>
                <w:rtl/>
              </w:rPr>
              <w:t>604 648 1</w:t>
            </w:r>
          </w:p>
        </w:tc>
        <w:tc>
          <w:tcPr>
            <w:tcW w:w="1173" w:type="dxa"/>
            <w:tcBorders>
              <w:top w:val="single" w:sz="12" w:space="0" w:color="auto"/>
              <w:left w:val="nil"/>
              <w:bottom w:val="single" w:sz="12" w:space="0" w:color="auto"/>
              <w:right w:val="nil"/>
            </w:tcBorders>
            <w:vAlign w:val="bottom"/>
          </w:tcPr>
          <w:p w14:paraId="0B573D3A"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szCs w:val="18"/>
              </w:rPr>
            </w:pPr>
            <w:r w:rsidRPr="0054727F">
              <w:rPr>
                <w:rFonts w:ascii="Simplified Arabic" w:hAnsi="Simplified Arabic" w:cs="Simplified Arabic"/>
                <w:szCs w:val="18"/>
                <w:rtl/>
              </w:rPr>
              <w:t>487 169 2</w:t>
            </w:r>
          </w:p>
        </w:tc>
      </w:tr>
    </w:tbl>
    <w:p w14:paraId="7388CB89" w14:textId="77777777" w:rsidR="00F84C45" w:rsidRPr="000B5AE8" w:rsidRDefault="00F84C45" w:rsidP="00F33CC3">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before="120" w:after="140" w:line="380" w:lineRule="exact"/>
        <w:ind w:left="1134" w:firstLine="709"/>
        <w:jc w:val="lowKashida"/>
        <w:textDirection w:val="tbRlV"/>
        <w:rPr>
          <w:rFonts w:ascii="Simplified Arabic" w:hAnsi="Simplified Arabic" w:cs="Simplified Arabic"/>
          <w:sz w:val="24"/>
          <w:szCs w:val="24"/>
        </w:rPr>
      </w:pPr>
      <w:r w:rsidRPr="000B5AE8">
        <w:rPr>
          <w:rFonts w:ascii="Simplified Arabic" w:hAnsi="Simplified Arabic" w:cs="Simplified Arabic"/>
          <w:sz w:val="24"/>
          <w:szCs w:val="24"/>
          <w:rtl/>
        </w:rPr>
        <w:t>أن نيجيريا قدمت معلومات كافية، وفقاً للمقرر 15/19، لتبرير طلبها تنقيح بيانات استهلاكها من مركبات الكربون الهيدروفلورية للأعوام 2020 و2021 و2022، التي تشكل جزءاً من خط الأساس للمجموعة 1 من الأطراف العاملة بالمادة 5 بموجب تعديل كيغالي لبروتوكول مونتريال؛</w:t>
      </w:r>
    </w:p>
    <w:p w14:paraId="61F52FD1" w14:textId="77777777" w:rsidR="00F84C45" w:rsidRPr="0054727F" w:rsidRDefault="00F84C45" w:rsidP="00F33CC3">
      <w:pPr>
        <w:pStyle w:val="NormalNonumber"/>
        <w:numPr>
          <w:ilvl w:val="0"/>
          <w:numId w:val="32"/>
        </w:numPr>
        <w:tabs>
          <w:tab w:val="clear" w:pos="624"/>
          <w:tab w:val="clear" w:pos="1247"/>
          <w:tab w:val="clear" w:pos="1871"/>
          <w:tab w:val="clear" w:pos="2495"/>
          <w:tab w:val="clear" w:pos="3119"/>
          <w:tab w:val="clear" w:pos="3742"/>
          <w:tab w:val="clear" w:pos="4366"/>
          <w:tab w:val="clear" w:pos="4990"/>
          <w:tab w:val="left" w:pos="2552"/>
        </w:tabs>
        <w:bidi/>
        <w:spacing w:after="140" w:line="380" w:lineRule="exact"/>
        <w:ind w:left="1134" w:firstLine="709"/>
        <w:jc w:val="both"/>
        <w:textDirection w:val="tbRlV"/>
        <w:rPr>
          <w:rFonts w:ascii="Simplified Arabic" w:hAnsi="Simplified Arabic" w:cs="Simplified Arabic"/>
          <w:sz w:val="24"/>
          <w:szCs w:val="24"/>
        </w:rPr>
      </w:pPr>
      <w:r w:rsidRPr="000B5AE8">
        <w:rPr>
          <w:rFonts w:ascii="Simplified Arabic" w:hAnsi="Simplified Arabic" w:cs="Simplified Arabic"/>
          <w:sz w:val="24"/>
          <w:szCs w:val="24"/>
          <w:rtl/>
        </w:rPr>
        <w:t>أن يوافق على طلب نيجيريا وأن يُنقِّح بيانات استهلاكها من مركبات الكربون الهيدروفلورية لسنوات خط الأساس 2020 و2021 و2022، على النحو المبين في الجدول التالي</w:t>
      </w:r>
      <w:r w:rsidRPr="000B5AE8">
        <w:rPr>
          <w:rFonts w:ascii="Simplified Arabic" w:hAnsi="Simplified Arabic" w:cs="Simplified Arabic"/>
          <w:sz w:val="24"/>
          <w:szCs w:val="24"/>
        </w:rPr>
        <w:t>:</w:t>
      </w:r>
      <w:r w:rsidRPr="000B5AE8">
        <w:rPr>
          <w:rFonts w:ascii="Simplified Arabic" w:hAnsi="Simplified Arabic" w:cs="Simplified Arabic"/>
          <w:sz w:val="24"/>
          <w:szCs w:val="24"/>
          <w:rtl/>
        </w:rPr>
        <w:t xml:space="preserve"> </w:t>
      </w:r>
    </w:p>
    <w:tbl>
      <w:tblPr>
        <w:tblStyle w:val="TableGrid"/>
        <w:bidiVisual/>
        <w:tblW w:w="8363" w:type="dxa"/>
        <w:tblInd w:w="1134" w:type="dxa"/>
        <w:tblLayout w:type="fixed"/>
        <w:tblLook w:val="04A0" w:firstRow="1" w:lastRow="0" w:firstColumn="1" w:lastColumn="0" w:noHBand="0" w:noVBand="1"/>
      </w:tblPr>
      <w:tblGrid>
        <w:gridCol w:w="1422"/>
        <w:gridCol w:w="1037"/>
        <w:gridCol w:w="1181"/>
        <w:gridCol w:w="1181"/>
        <w:gridCol w:w="1180"/>
        <w:gridCol w:w="1181"/>
        <w:gridCol w:w="1181"/>
      </w:tblGrid>
      <w:tr w:rsidR="00F84C45" w:rsidRPr="0054727F" w14:paraId="03361A5F" w14:textId="77777777" w:rsidTr="0054727F">
        <w:trPr>
          <w:trHeight w:val="113"/>
        </w:trPr>
        <w:tc>
          <w:tcPr>
            <w:tcW w:w="1422" w:type="dxa"/>
            <w:vMerge w:val="restart"/>
            <w:tcBorders>
              <w:top w:val="single" w:sz="4" w:space="0" w:color="auto"/>
              <w:left w:val="nil"/>
              <w:bottom w:val="single" w:sz="12" w:space="0" w:color="auto"/>
              <w:right w:val="nil"/>
            </w:tcBorders>
            <w:vAlign w:val="bottom"/>
          </w:tcPr>
          <w:p w14:paraId="1638583E"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textDirection w:val="tbRlV"/>
              <w:rPr>
                <w:rFonts w:ascii="Simplified Arabic" w:hAnsi="Simplified Arabic" w:cs="Simplified Arabic"/>
                <w:i/>
                <w:iCs/>
                <w:szCs w:val="18"/>
              </w:rPr>
            </w:pPr>
            <w:r w:rsidRPr="0054727F">
              <w:rPr>
                <w:rFonts w:ascii="Simplified Arabic" w:hAnsi="Simplified Arabic" w:cs="Simplified Arabic"/>
                <w:i/>
                <w:iCs/>
                <w:szCs w:val="18"/>
                <w:rtl/>
              </w:rPr>
              <w:t>الطرف/السنة</w:t>
            </w:r>
          </w:p>
        </w:tc>
        <w:tc>
          <w:tcPr>
            <w:tcW w:w="3399" w:type="dxa"/>
            <w:gridSpan w:val="3"/>
            <w:tcBorders>
              <w:top w:val="single" w:sz="4" w:space="0" w:color="auto"/>
              <w:left w:val="nil"/>
              <w:bottom w:val="single" w:sz="4" w:space="0" w:color="auto"/>
              <w:right w:val="single" w:sz="4" w:space="0" w:color="auto"/>
            </w:tcBorders>
            <w:vAlign w:val="bottom"/>
          </w:tcPr>
          <w:p w14:paraId="0A9E0AE8"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center"/>
              <w:textDirection w:val="tbRlV"/>
              <w:rPr>
                <w:rFonts w:ascii="Simplified Arabic" w:hAnsi="Simplified Arabic" w:cs="Simplified Arabic"/>
                <w:i/>
                <w:iCs/>
                <w:szCs w:val="18"/>
              </w:rPr>
            </w:pPr>
            <w:r w:rsidRPr="0054727F">
              <w:rPr>
                <w:rFonts w:ascii="Simplified Arabic" w:hAnsi="Simplified Arabic" w:cs="Simplified Arabic"/>
                <w:i/>
                <w:iCs/>
                <w:szCs w:val="18"/>
                <w:rtl/>
              </w:rPr>
              <w:t>البيانات السابقة لمركبات الكربون الهيدروفلورية (بأطنان مكافئ ثاني أكسيد الكربون)</w:t>
            </w:r>
          </w:p>
        </w:tc>
        <w:tc>
          <w:tcPr>
            <w:tcW w:w="3542" w:type="dxa"/>
            <w:gridSpan w:val="3"/>
            <w:tcBorders>
              <w:top w:val="single" w:sz="4" w:space="0" w:color="auto"/>
              <w:left w:val="single" w:sz="4" w:space="0" w:color="auto"/>
              <w:bottom w:val="single" w:sz="4" w:space="0" w:color="auto"/>
              <w:right w:val="nil"/>
            </w:tcBorders>
            <w:vAlign w:val="bottom"/>
          </w:tcPr>
          <w:p w14:paraId="6C152B96"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center"/>
              <w:textDirection w:val="tbRlV"/>
              <w:rPr>
                <w:rFonts w:ascii="Simplified Arabic" w:hAnsi="Simplified Arabic" w:cs="Simplified Arabic"/>
                <w:i/>
                <w:iCs/>
                <w:szCs w:val="18"/>
              </w:rPr>
            </w:pPr>
            <w:r w:rsidRPr="0054727F">
              <w:rPr>
                <w:rFonts w:ascii="Simplified Arabic" w:hAnsi="Simplified Arabic" w:cs="Simplified Arabic"/>
                <w:i/>
                <w:iCs/>
                <w:szCs w:val="18"/>
                <w:rtl/>
              </w:rPr>
              <w:t>البيانات الجديدة لمركبات الكربون الهيدروفلورية (بأطنان مكافئ ثاني أكسيد الكربون)</w:t>
            </w:r>
          </w:p>
        </w:tc>
      </w:tr>
      <w:tr w:rsidR="00F84C45" w:rsidRPr="0054727F" w14:paraId="46F98A1D" w14:textId="77777777" w:rsidTr="0054727F">
        <w:trPr>
          <w:trHeight w:val="209"/>
        </w:trPr>
        <w:tc>
          <w:tcPr>
            <w:tcW w:w="1422" w:type="dxa"/>
            <w:vMerge/>
            <w:tcBorders>
              <w:top w:val="single" w:sz="4" w:space="0" w:color="auto"/>
              <w:left w:val="nil"/>
              <w:bottom w:val="single" w:sz="12" w:space="0" w:color="auto"/>
              <w:right w:val="nil"/>
            </w:tcBorders>
            <w:vAlign w:val="bottom"/>
          </w:tcPr>
          <w:p w14:paraId="4D9E722C"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rPr>
                <w:rFonts w:ascii="Simplified Arabic" w:hAnsi="Simplified Arabic" w:cs="Simplified Arabic"/>
                <w:i/>
                <w:iCs/>
                <w:szCs w:val="18"/>
              </w:rPr>
            </w:pPr>
          </w:p>
        </w:tc>
        <w:tc>
          <w:tcPr>
            <w:tcW w:w="1037" w:type="dxa"/>
            <w:tcBorders>
              <w:top w:val="single" w:sz="4" w:space="0" w:color="auto"/>
              <w:left w:val="nil"/>
              <w:bottom w:val="single" w:sz="12" w:space="0" w:color="auto"/>
              <w:right w:val="nil"/>
            </w:tcBorders>
            <w:vAlign w:val="bottom"/>
          </w:tcPr>
          <w:p w14:paraId="528EDCA6"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i/>
                <w:iCs/>
                <w:szCs w:val="18"/>
              </w:rPr>
            </w:pPr>
            <w:r w:rsidRPr="0054727F">
              <w:rPr>
                <w:rFonts w:ascii="Simplified Arabic" w:hAnsi="Simplified Arabic" w:cs="Simplified Arabic"/>
                <w:i/>
                <w:iCs/>
                <w:szCs w:val="18"/>
                <w:rtl/>
              </w:rPr>
              <w:t>2020</w:t>
            </w:r>
          </w:p>
        </w:tc>
        <w:tc>
          <w:tcPr>
            <w:tcW w:w="1181" w:type="dxa"/>
            <w:tcBorders>
              <w:top w:val="single" w:sz="4" w:space="0" w:color="auto"/>
              <w:left w:val="nil"/>
              <w:bottom w:val="single" w:sz="12" w:space="0" w:color="auto"/>
              <w:right w:val="nil"/>
            </w:tcBorders>
            <w:vAlign w:val="bottom"/>
          </w:tcPr>
          <w:p w14:paraId="4DB3B4E7"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i/>
                <w:iCs/>
                <w:szCs w:val="18"/>
              </w:rPr>
            </w:pPr>
            <w:r w:rsidRPr="0054727F">
              <w:rPr>
                <w:rFonts w:ascii="Simplified Arabic" w:hAnsi="Simplified Arabic" w:cs="Simplified Arabic"/>
                <w:i/>
                <w:iCs/>
                <w:szCs w:val="18"/>
                <w:rtl/>
              </w:rPr>
              <w:t>2021</w:t>
            </w:r>
          </w:p>
        </w:tc>
        <w:tc>
          <w:tcPr>
            <w:tcW w:w="1181" w:type="dxa"/>
            <w:tcBorders>
              <w:top w:val="single" w:sz="4" w:space="0" w:color="auto"/>
              <w:left w:val="nil"/>
              <w:bottom w:val="single" w:sz="12" w:space="0" w:color="auto"/>
              <w:right w:val="single" w:sz="4" w:space="0" w:color="auto"/>
            </w:tcBorders>
            <w:vAlign w:val="bottom"/>
          </w:tcPr>
          <w:p w14:paraId="022FF1A4"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i/>
                <w:iCs/>
                <w:szCs w:val="18"/>
              </w:rPr>
            </w:pPr>
            <w:r w:rsidRPr="0054727F">
              <w:rPr>
                <w:rFonts w:ascii="Simplified Arabic" w:hAnsi="Simplified Arabic" w:cs="Simplified Arabic"/>
                <w:i/>
                <w:iCs/>
                <w:szCs w:val="18"/>
                <w:rtl/>
              </w:rPr>
              <w:t>2022</w:t>
            </w:r>
          </w:p>
        </w:tc>
        <w:tc>
          <w:tcPr>
            <w:tcW w:w="1180" w:type="dxa"/>
            <w:tcBorders>
              <w:top w:val="single" w:sz="4" w:space="0" w:color="auto"/>
              <w:left w:val="single" w:sz="4" w:space="0" w:color="auto"/>
              <w:bottom w:val="single" w:sz="12" w:space="0" w:color="auto"/>
              <w:right w:val="nil"/>
            </w:tcBorders>
            <w:vAlign w:val="bottom"/>
          </w:tcPr>
          <w:p w14:paraId="0455CD64"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i/>
                <w:iCs/>
                <w:szCs w:val="18"/>
              </w:rPr>
            </w:pPr>
            <w:r w:rsidRPr="0054727F">
              <w:rPr>
                <w:rFonts w:ascii="Simplified Arabic" w:hAnsi="Simplified Arabic" w:cs="Simplified Arabic"/>
                <w:i/>
                <w:iCs/>
                <w:szCs w:val="18"/>
                <w:rtl/>
              </w:rPr>
              <w:t>2020</w:t>
            </w:r>
          </w:p>
        </w:tc>
        <w:tc>
          <w:tcPr>
            <w:tcW w:w="1181" w:type="dxa"/>
            <w:tcBorders>
              <w:top w:val="single" w:sz="4" w:space="0" w:color="auto"/>
              <w:left w:val="nil"/>
              <w:bottom w:val="single" w:sz="12" w:space="0" w:color="auto"/>
              <w:right w:val="nil"/>
            </w:tcBorders>
            <w:vAlign w:val="bottom"/>
          </w:tcPr>
          <w:p w14:paraId="6AB51A45"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i/>
                <w:iCs/>
                <w:szCs w:val="18"/>
              </w:rPr>
            </w:pPr>
            <w:r w:rsidRPr="0054727F">
              <w:rPr>
                <w:rFonts w:ascii="Simplified Arabic" w:hAnsi="Simplified Arabic" w:cs="Simplified Arabic"/>
                <w:i/>
                <w:iCs/>
                <w:szCs w:val="18"/>
                <w:rtl/>
              </w:rPr>
              <w:t>2021</w:t>
            </w:r>
          </w:p>
        </w:tc>
        <w:tc>
          <w:tcPr>
            <w:tcW w:w="1181" w:type="dxa"/>
            <w:tcBorders>
              <w:top w:val="single" w:sz="4" w:space="0" w:color="auto"/>
              <w:left w:val="nil"/>
              <w:bottom w:val="single" w:sz="12" w:space="0" w:color="auto"/>
              <w:right w:val="nil"/>
            </w:tcBorders>
            <w:vAlign w:val="bottom"/>
          </w:tcPr>
          <w:p w14:paraId="40BDA897"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i/>
                <w:iCs/>
                <w:szCs w:val="18"/>
              </w:rPr>
            </w:pPr>
            <w:r w:rsidRPr="0054727F">
              <w:rPr>
                <w:rFonts w:ascii="Simplified Arabic" w:hAnsi="Simplified Arabic" w:cs="Simplified Arabic"/>
                <w:i/>
                <w:iCs/>
                <w:szCs w:val="18"/>
                <w:rtl/>
              </w:rPr>
              <w:t>2022</w:t>
            </w:r>
          </w:p>
        </w:tc>
      </w:tr>
      <w:tr w:rsidR="00F84C45" w:rsidRPr="0054727F" w14:paraId="07A3A4C4" w14:textId="77777777" w:rsidTr="0054727F">
        <w:trPr>
          <w:trHeight w:val="113"/>
        </w:trPr>
        <w:tc>
          <w:tcPr>
            <w:tcW w:w="1422" w:type="dxa"/>
            <w:tcBorders>
              <w:top w:val="single" w:sz="12" w:space="0" w:color="auto"/>
              <w:left w:val="nil"/>
              <w:bottom w:val="single" w:sz="12" w:space="0" w:color="auto"/>
              <w:right w:val="nil"/>
            </w:tcBorders>
            <w:vAlign w:val="bottom"/>
          </w:tcPr>
          <w:p w14:paraId="6E344B88"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textDirection w:val="tbRlV"/>
              <w:rPr>
                <w:rFonts w:ascii="Simplified Arabic" w:hAnsi="Simplified Arabic" w:cs="Simplified Arabic"/>
                <w:szCs w:val="18"/>
              </w:rPr>
            </w:pPr>
            <w:r w:rsidRPr="0054727F">
              <w:rPr>
                <w:rFonts w:ascii="Simplified Arabic" w:hAnsi="Simplified Arabic" w:cs="Simplified Arabic"/>
                <w:szCs w:val="18"/>
                <w:rtl/>
              </w:rPr>
              <w:t xml:space="preserve">نيجيريا </w:t>
            </w:r>
          </w:p>
        </w:tc>
        <w:tc>
          <w:tcPr>
            <w:tcW w:w="1037" w:type="dxa"/>
            <w:tcBorders>
              <w:top w:val="single" w:sz="12" w:space="0" w:color="auto"/>
              <w:left w:val="nil"/>
              <w:bottom w:val="single" w:sz="12" w:space="0" w:color="auto"/>
              <w:right w:val="nil"/>
            </w:tcBorders>
            <w:vAlign w:val="bottom"/>
          </w:tcPr>
          <w:p w14:paraId="674287CE"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szCs w:val="18"/>
              </w:rPr>
            </w:pPr>
            <w:r w:rsidRPr="0054727F">
              <w:rPr>
                <w:rFonts w:ascii="Simplified Arabic" w:hAnsi="Simplified Arabic" w:cs="Simplified Arabic"/>
                <w:szCs w:val="18"/>
                <w:rtl/>
              </w:rPr>
              <w:t>048 620 2</w:t>
            </w:r>
          </w:p>
        </w:tc>
        <w:tc>
          <w:tcPr>
            <w:tcW w:w="1181" w:type="dxa"/>
            <w:tcBorders>
              <w:top w:val="single" w:sz="12" w:space="0" w:color="auto"/>
              <w:left w:val="nil"/>
              <w:bottom w:val="single" w:sz="12" w:space="0" w:color="auto"/>
              <w:right w:val="nil"/>
            </w:tcBorders>
            <w:vAlign w:val="bottom"/>
          </w:tcPr>
          <w:p w14:paraId="7E60DD26"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szCs w:val="18"/>
              </w:rPr>
            </w:pPr>
            <w:r w:rsidRPr="0054727F">
              <w:rPr>
                <w:rFonts w:ascii="Simplified Arabic" w:hAnsi="Simplified Arabic" w:cs="Simplified Arabic"/>
                <w:szCs w:val="18"/>
                <w:rtl/>
              </w:rPr>
              <w:t>305 381 8</w:t>
            </w:r>
          </w:p>
        </w:tc>
        <w:tc>
          <w:tcPr>
            <w:tcW w:w="1181" w:type="dxa"/>
            <w:tcBorders>
              <w:top w:val="single" w:sz="12" w:space="0" w:color="auto"/>
              <w:left w:val="nil"/>
              <w:bottom w:val="single" w:sz="12" w:space="0" w:color="auto"/>
              <w:right w:val="single" w:sz="4" w:space="0" w:color="auto"/>
            </w:tcBorders>
            <w:vAlign w:val="bottom"/>
          </w:tcPr>
          <w:p w14:paraId="6510E98C"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szCs w:val="18"/>
              </w:rPr>
            </w:pPr>
            <w:r w:rsidRPr="0054727F">
              <w:rPr>
                <w:rFonts w:ascii="Simplified Arabic" w:hAnsi="Simplified Arabic" w:cs="Simplified Arabic"/>
                <w:szCs w:val="18"/>
                <w:rtl/>
              </w:rPr>
              <w:t>682 374 17</w:t>
            </w:r>
          </w:p>
        </w:tc>
        <w:tc>
          <w:tcPr>
            <w:tcW w:w="1180" w:type="dxa"/>
            <w:tcBorders>
              <w:top w:val="single" w:sz="12" w:space="0" w:color="auto"/>
              <w:left w:val="single" w:sz="4" w:space="0" w:color="auto"/>
              <w:bottom w:val="single" w:sz="12" w:space="0" w:color="auto"/>
              <w:right w:val="nil"/>
            </w:tcBorders>
            <w:vAlign w:val="bottom"/>
          </w:tcPr>
          <w:p w14:paraId="54DC8BAE"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szCs w:val="18"/>
              </w:rPr>
            </w:pPr>
            <w:r w:rsidRPr="0054727F">
              <w:rPr>
                <w:rFonts w:ascii="Simplified Arabic" w:hAnsi="Simplified Arabic" w:cs="Simplified Arabic"/>
                <w:szCs w:val="18"/>
                <w:rtl/>
              </w:rPr>
              <w:t>145 305 13</w:t>
            </w:r>
          </w:p>
        </w:tc>
        <w:tc>
          <w:tcPr>
            <w:tcW w:w="1181" w:type="dxa"/>
            <w:tcBorders>
              <w:top w:val="single" w:sz="12" w:space="0" w:color="auto"/>
              <w:left w:val="nil"/>
              <w:bottom w:val="single" w:sz="12" w:space="0" w:color="auto"/>
              <w:right w:val="nil"/>
            </w:tcBorders>
            <w:vAlign w:val="bottom"/>
          </w:tcPr>
          <w:p w14:paraId="2BE77AAA"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szCs w:val="18"/>
              </w:rPr>
            </w:pPr>
            <w:r w:rsidRPr="0054727F">
              <w:rPr>
                <w:rFonts w:ascii="Simplified Arabic" w:hAnsi="Simplified Arabic" w:cs="Simplified Arabic"/>
                <w:szCs w:val="18"/>
                <w:rtl/>
              </w:rPr>
              <w:t>612 884 19</w:t>
            </w:r>
          </w:p>
        </w:tc>
        <w:tc>
          <w:tcPr>
            <w:tcW w:w="1181" w:type="dxa"/>
            <w:tcBorders>
              <w:top w:val="single" w:sz="12" w:space="0" w:color="auto"/>
              <w:left w:val="nil"/>
              <w:bottom w:val="single" w:sz="12" w:space="0" w:color="auto"/>
              <w:right w:val="nil"/>
            </w:tcBorders>
            <w:vAlign w:val="bottom"/>
          </w:tcPr>
          <w:p w14:paraId="6A59872C" w14:textId="77777777" w:rsidR="00F84C45" w:rsidRPr="0054727F" w:rsidRDefault="00F84C45" w:rsidP="00F33CC3">
            <w:pPr>
              <w:pStyle w:val="Normal-pool-Table"/>
              <w:tabs>
                <w:tab w:val="clear" w:pos="624"/>
                <w:tab w:val="clear" w:pos="1247"/>
                <w:tab w:val="clear" w:pos="1871"/>
                <w:tab w:val="clear" w:pos="2495"/>
                <w:tab w:val="clear" w:pos="3119"/>
                <w:tab w:val="clear" w:pos="3742"/>
                <w:tab w:val="clear" w:pos="4366"/>
                <w:tab w:val="clear" w:pos="4990"/>
              </w:tabs>
              <w:bidi/>
              <w:spacing w:before="60" w:after="60" w:line="300" w:lineRule="exact"/>
              <w:jc w:val="right"/>
              <w:textDirection w:val="tbRlV"/>
              <w:rPr>
                <w:rFonts w:ascii="Simplified Arabic" w:hAnsi="Simplified Arabic" w:cs="Simplified Arabic"/>
                <w:szCs w:val="18"/>
              </w:rPr>
            </w:pPr>
            <w:r w:rsidRPr="0054727F">
              <w:rPr>
                <w:rFonts w:ascii="Simplified Arabic" w:hAnsi="Simplified Arabic" w:cs="Simplified Arabic"/>
                <w:szCs w:val="18"/>
                <w:rtl/>
              </w:rPr>
              <w:t>158 582 24</w:t>
            </w:r>
          </w:p>
        </w:tc>
      </w:tr>
    </w:tbl>
    <w:p w14:paraId="5CD75257" w14:textId="52FE52C2" w:rsidR="00F01360" w:rsidRPr="0054727F" w:rsidRDefault="002B4874" w:rsidP="00F33CC3">
      <w:pPr>
        <w:pStyle w:val="CH1"/>
        <w:keepLines w:val="0"/>
        <w:tabs>
          <w:tab w:val="clear" w:pos="851"/>
          <w:tab w:val="clear" w:pos="1247"/>
          <w:tab w:val="clear" w:pos="1871"/>
          <w:tab w:val="clear" w:pos="2495"/>
          <w:tab w:val="clear" w:pos="3119"/>
          <w:tab w:val="clear" w:pos="3742"/>
          <w:tab w:val="clear" w:pos="4366"/>
          <w:tab w:val="clear" w:pos="4990"/>
        </w:tabs>
        <w:bidi/>
        <w:spacing w:before="120" w:after="140" w:line="380" w:lineRule="exact"/>
        <w:ind w:left="1135" w:right="0" w:hanging="851"/>
        <w:jc w:val="both"/>
        <w:textDirection w:val="tbRlV"/>
        <w:rPr>
          <w:rFonts w:ascii="Simplified Arabic" w:hAnsi="Simplified Arabic" w:cs="Simplified Arabic"/>
          <w:bCs/>
          <w:w w:val="96"/>
          <w:sz w:val="24"/>
          <w:szCs w:val="24"/>
        </w:rPr>
      </w:pPr>
      <w:r w:rsidRPr="0054727F">
        <w:rPr>
          <w:rFonts w:ascii="Simplified Arabic" w:hAnsi="Simplified Arabic" w:cs="Simplified Arabic" w:hint="cs"/>
          <w:bCs/>
          <w:w w:val="96"/>
          <w:sz w:val="24"/>
          <w:szCs w:val="24"/>
          <w:rtl/>
        </w:rPr>
        <w:t>طاء-</w:t>
      </w:r>
      <w:r w:rsidRPr="0054727F">
        <w:rPr>
          <w:rFonts w:ascii="Simplified Arabic" w:hAnsi="Simplified Arabic" w:cs="Simplified Arabic"/>
          <w:bCs/>
          <w:w w:val="96"/>
          <w:sz w:val="24"/>
          <w:szCs w:val="24"/>
          <w:rtl/>
        </w:rPr>
        <w:tab/>
      </w:r>
      <w:r w:rsidR="00F01360" w:rsidRPr="0054727F">
        <w:rPr>
          <w:rFonts w:ascii="Simplified Arabic" w:hAnsi="Simplified Arabic" w:cs="Simplified Arabic"/>
          <w:bCs/>
          <w:w w:val="96"/>
          <w:sz w:val="24"/>
          <w:szCs w:val="24"/>
          <w:rtl/>
        </w:rPr>
        <w:t>مشروع المقرر 37/</w:t>
      </w:r>
      <w:r w:rsidR="00F01360" w:rsidRPr="0054727F">
        <w:rPr>
          <w:rFonts w:ascii="Simplified Arabic" w:hAnsi="Simplified Arabic" w:cs="Simplified Arabic"/>
          <w:bCs/>
          <w:w w:val="96"/>
          <w:sz w:val="24"/>
          <w:szCs w:val="24"/>
        </w:rPr>
        <w:t>:[--]</w:t>
      </w:r>
      <w:r w:rsidR="00F01360" w:rsidRPr="0054727F">
        <w:rPr>
          <w:rFonts w:ascii="Simplified Arabic" w:hAnsi="Simplified Arabic" w:cs="Simplified Arabic"/>
          <w:bCs/>
          <w:w w:val="96"/>
          <w:sz w:val="24"/>
          <w:szCs w:val="24"/>
          <w:rtl/>
        </w:rPr>
        <w:t xml:space="preserve"> حالة إنشاء نظم ترخيص بموجب الفقرة 2 مكرراً من المادة 4 باء من بروتوكول مونتريال بشأن المواد المستنفدة لطبقة الأوزون</w:t>
      </w:r>
    </w:p>
    <w:p w14:paraId="5974162F" w14:textId="77777777" w:rsidR="00F01360" w:rsidRPr="000B5AE8" w:rsidRDefault="00F01360" w:rsidP="00F33CC3">
      <w:pPr>
        <w:tabs>
          <w:tab w:val="clear" w:pos="1247"/>
          <w:tab w:val="clear" w:pos="1814"/>
          <w:tab w:val="clear" w:pos="2381"/>
          <w:tab w:val="clear" w:pos="2948"/>
          <w:tab w:val="clear" w:pos="3515"/>
        </w:tabs>
        <w:bidi/>
        <w:adjustRightInd w:val="0"/>
        <w:snapToGrid w:val="0"/>
        <w:spacing w:after="140" w:line="380" w:lineRule="exact"/>
        <w:ind w:left="1134" w:firstLine="709"/>
        <w:jc w:val="both"/>
        <w:textDirection w:val="tbRlV"/>
        <w:rPr>
          <w:rFonts w:ascii="Simplified Arabic" w:hAnsi="Simplified Arabic" w:hint="default"/>
          <w:sz w:val="24"/>
          <w:szCs w:val="24"/>
          <w:lang w:val="ar-SA" w:eastAsia="zh-TW" w:bidi="en-GB"/>
        </w:rPr>
      </w:pPr>
      <w:r w:rsidRPr="000B5AE8">
        <w:rPr>
          <w:rFonts w:ascii="Simplified Arabic" w:hAnsi="Simplified Arabic" w:hint="default"/>
          <w:i/>
          <w:iCs/>
          <w:sz w:val="24"/>
          <w:szCs w:val="24"/>
          <w:rtl/>
        </w:rPr>
        <w:t>إذ يلاحظ</w:t>
      </w:r>
      <w:r w:rsidRPr="000B5AE8">
        <w:rPr>
          <w:rFonts w:ascii="Simplified Arabic" w:hAnsi="Simplified Arabic" w:hint="default"/>
          <w:sz w:val="24"/>
          <w:szCs w:val="24"/>
          <w:rtl/>
        </w:rPr>
        <w:t xml:space="preserve"> أن الفقرة 2 </w:t>
      </w:r>
      <w:r w:rsidRPr="00BE30DE">
        <w:rPr>
          <w:rFonts w:ascii="Simplified Arabic" w:hAnsi="Simplified Arabic" w:hint="default"/>
          <w:sz w:val="24"/>
          <w:szCs w:val="24"/>
          <w:rtl/>
        </w:rPr>
        <w:t>مكرراً</w:t>
      </w:r>
      <w:r w:rsidRPr="000B5AE8">
        <w:rPr>
          <w:rFonts w:ascii="Simplified Arabic" w:hAnsi="Simplified Arabic" w:hint="default"/>
          <w:i/>
          <w:iCs/>
          <w:sz w:val="24"/>
          <w:szCs w:val="24"/>
          <w:rtl/>
        </w:rPr>
        <w:t xml:space="preserve"> </w:t>
      </w:r>
      <w:r w:rsidRPr="000B5AE8">
        <w:rPr>
          <w:rFonts w:ascii="Simplified Arabic" w:hAnsi="Simplified Arabic" w:hint="default"/>
          <w:sz w:val="24"/>
          <w:szCs w:val="24"/>
          <w:rtl/>
        </w:rPr>
        <w:t>من المادة 4 باء من بروتوكول مونتريال بشأن المواد المستنفدة لطبقة الأوزون تفرض على كل طرف أن ينشئ وينفذ نظاماً لترخيص توريد وتصدير المواد الخاضعة للرقابة الجديدة والمستعملة والمعاد تدويرها والمستصلحة المدرجة في المرفق واو بالبروتوكول،</w:t>
      </w:r>
    </w:p>
    <w:p w14:paraId="5583E9F5" w14:textId="77777777" w:rsidR="00F01360" w:rsidRPr="000B5AE8" w:rsidRDefault="00F01360" w:rsidP="00F33CC3">
      <w:pPr>
        <w:tabs>
          <w:tab w:val="clear" w:pos="1247"/>
          <w:tab w:val="clear" w:pos="1814"/>
          <w:tab w:val="clear" w:pos="2381"/>
          <w:tab w:val="clear" w:pos="2948"/>
          <w:tab w:val="clear" w:pos="3515"/>
        </w:tabs>
        <w:bidi/>
        <w:adjustRightInd w:val="0"/>
        <w:snapToGrid w:val="0"/>
        <w:spacing w:after="140" w:line="380" w:lineRule="exact"/>
        <w:ind w:left="1134" w:firstLine="709"/>
        <w:jc w:val="both"/>
        <w:textDirection w:val="tbRlV"/>
        <w:rPr>
          <w:rFonts w:ascii="Simplified Arabic" w:hAnsi="Simplified Arabic" w:hint="default"/>
          <w:sz w:val="24"/>
          <w:szCs w:val="24"/>
          <w:lang w:val="ar-SA" w:eastAsia="zh-TW" w:bidi="en-GB"/>
        </w:rPr>
      </w:pPr>
      <w:r w:rsidRPr="000B5AE8">
        <w:rPr>
          <w:rFonts w:ascii="Simplified Arabic" w:hAnsi="Simplified Arabic" w:hint="default"/>
          <w:i/>
          <w:iCs/>
          <w:sz w:val="24"/>
          <w:szCs w:val="24"/>
          <w:rtl/>
        </w:rPr>
        <w:t>وإذ يلاحظ مع التقدير</w:t>
      </w:r>
      <w:r w:rsidRPr="000B5AE8">
        <w:rPr>
          <w:rFonts w:ascii="Simplified Arabic" w:hAnsi="Simplified Arabic" w:hint="default"/>
          <w:sz w:val="24"/>
          <w:szCs w:val="24"/>
          <w:rtl/>
        </w:rPr>
        <w:t xml:space="preserve"> أن 161 من بين 169 طرفاً في بروتوكول مونتريال صدقت على تعديل كيغالي للبروتوكول أو قبلته أو وافقت عليه قد أبلغت عن إنشاء وتشغيل نظم ترخيص لتوريد وتصدير المواد الخاضعة للرقابة الواردة في المرفق واو حسب الاقتضاء، وأن أربعة أطراف أخرى لم تصدق بعد على تعديل كيغالي ولم تقبله أو توافق عليه قد أبلغت أيضاً عن إنشاء نظم الترخيص هذه،</w:t>
      </w:r>
    </w:p>
    <w:p w14:paraId="40B33086" w14:textId="77777777" w:rsidR="00F01360" w:rsidRPr="000B5AE8" w:rsidRDefault="00F01360" w:rsidP="00F33CC3">
      <w:pPr>
        <w:tabs>
          <w:tab w:val="clear" w:pos="1247"/>
          <w:tab w:val="clear" w:pos="1814"/>
          <w:tab w:val="clear" w:pos="2381"/>
          <w:tab w:val="clear" w:pos="2948"/>
          <w:tab w:val="clear" w:pos="3515"/>
        </w:tabs>
        <w:bidi/>
        <w:adjustRightInd w:val="0"/>
        <w:snapToGrid w:val="0"/>
        <w:spacing w:after="140" w:line="380" w:lineRule="exact"/>
        <w:ind w:left="1134" w:firstLine="709"/>
        <w:jc w:val="both"/>
        <w:textDirection w:val="tbRlV"/>
        <w:rPr>
          <w:rFonts w:ascii="Simplified Arabic" w:hAnsi="Simplified Arabic" w:hint="default"/>
          <w:sz w:val="24"/>
          <w:szCs w:val="24"/>
          <w:lang w:val="ar-SA" w:eastAsia="zh-TW" w:bidi="en-GB"/>
        </w:rPr>
      </w:pPr>
      <w:r w:rsidRPr="000B5AE8">
        <w:rPr>
          <w:rFonts w:ascii="Simplified Arabic" w:hAnsi="Simplified Arabic" w:hint="default"/>
          <w:i/>
          <w:iCs/>
          <w:sz w:val="24"/>
          <w:szCs w:val="24"/>
          <w:rtl/>
        </w:rPr>
        <w:t>وإذ يلاحظ</w:t>
      </w:r>
      <w:r w:rsidRPr="000B5AE8">
        <w:rPr>
          <w:rFonts w:ascii="Simplified Arabic" w:hAnsi="Simplified Arabic" w:hint="default"/>
          <w:sz w:val="24"/>
          <w:szCs w:val="24"/>
          <w:rtl/>
        </w:rPr>
        <w:t xml:space="preserve"> أن جيبوتي وسان مارينو وعمان لم تبلغ أمانة الأوزون بعد عن إنشاء وتشغيل نظم الترخيص الخاصة بها وفقاً للفقرة 3 من المادة 4 باء،</w:t>
      </w:r>
    </w:p>
    <w:p w14:paraId="35595A53" w14:textId="77777777" w:rsidR="00F01360" w:rsidRPr="000B5AE8" w:rsidRDefault="00F01360" w:rsidP="00F33CC3">
      <w:pPr>
        <w:tabs>
          <w:tab w:val="clear" w:pos="1247"/>
          <w:tab w:val="clear" w:pos="1814"/>
          <w:tab w:val="clear" w:pos="2381"/>
          <w:tab w:val="clear" w:pos="2948"/>
          <w:tab w:val="clear" w:pos="3515"/>
        </w:tabs>
        <w:bidi/>
        <w:adjustRightInd w:val="0"/>
        <w:snapToGrid w:val="0"/>
        <w:spacing w:after="140" w:line="380" w:lineRule="exact"/>
        <w:ind w:left="1134" w:firstLine="709"/>
        <w:jc w:val="both"/>
        <w:textDirection w:val="tbRlV"/>
        <w:rPr>
          <w:rFonts w:ascii="Simplified Arabic" w:hAnsi="Simplified Arabic" w:hint="default"/>
          <w:sz w:val="24"/>
          <w:szCs w:val="24"/>
          <w:lang w:val="ar-SA" w:eastAsia="zh-TW" w:bidi="en-GB"/>
        </w:rPr>
      </w:pPr>
      <w:r w:rsidRPr="000B5AE8">
        <w:rPr>
          <w:rFonts w:ascii="Simplified Arabic" w:hAnsi="Simplified Arabic" w:hint="default"/>
          <w:i/>
          <w:iCs/>
          <w:sz w:val="24"/>
          <w:szCs w:val="24"/>
          <w:rtl/>
        </w:rPr>
        <w:t>وإذ يلاحظ بقلق</w:t>
      </w:r>
      <w:r w:rsidRPr="000B5AE8">
        <w:rPr>
          <w:rFonts w:ascii="Simplified Arabic" w:hAnsi="Simplified Arabic" w:hint="default"/>
          <w:sz w:val="24"/>
          <w:szCs w:val="24"/>
          <w:rtl/>
        </w:rPr>
        <w:t xml:space="preserve"> أن طرفا واحدا من الأطراف المدرجة أعلاه، وهو سان مارينو، قد قبل تعديل كيغالي في عام 2020 ولم يقدم بعد تقريراً عن إنشاء وتشغيل نظام ترخيص عملاً بالفقرة 3 من المادة 4 باء،</w:t>
      </w:r>
    </w:p>
    <w:p w14:paraId="3FEAED3B" w14:textId="77777777" w:rsidR="00F01360" w:rsidRPr="000B5AE8" w:rsidRDefault="00F01360" w:rsidP="00F33CC3">
      <w:pPr>
        <w:tabs>
          <w:tab w:val="clear" w:pos="1247"/>
          <w:tab w:val="clear" w:pos="1814"/>
          <w:tab w:val="clear" w:pos="2381"/>
          <w:tab w:val="clear" w:pos="2948"/>
          <w:tab w:val="clear" w:pos="3515"/>
        </w:tabs>
        <w:bidi/>
        <w:adjustRightInd w:val="0"/>
        <w:snapToGrid w:val="0"/>
        <w:spacing w:after="140" w:line="380" w:lineRule="exact"/>
        <w:ind w:left="1134" w:firstLine="709"/>
        <w:jc w:val="both"/>
        <w:textDirection w:val="tbRlV"/>
        <w:rPr>
          <w:rFonts w:ascii="Simplified Arabic" w:hAnsi="Simplified Arabic" w:hint="default"/>
          <w:sz w:val="24"/>
          <w:szCs w:val="24"/>
          <w:lang w:val="ar-SA" w:eastAsia="zh-TW" w:bidi="en-GB"/>
        </w:rPr>
      </w:pPr>
      <w:r w:rsidRPr="000B5AE8">
        <w:rPr>
          <w:rFonts w:ascii="Simplified Arabic" w:hAnsi="Simplified Arabic" w:hint="default"/>
          <w:i/>
          <w:iCs/>
          <w:sz w:val="24"/>
          <w:szCs w:val="24"/>
          <w:rtl/>
        </w:rPr>
        <w:t>وإذ يقر</w:t>
      </w:r>
      <w:r w:rsidRPr="000B5AE8">
        <w:rPr>
          <w:rFonts w:ascii="Simplified Arabic" w:hAnsi="Simplified Arabic" w:hint="default"/>
          <w:sz w:val="24"/>
          <w:szCs w:val="24"/>
          <w:rtl/>
        </w:rPr>
        <w:t xml:space="preserve"> بأن نظم الترخيص تنص على جمع البيانات والتحقق منها، ورصد الواردات والصادرات من المواد الخاضعة للرقابة، ومنع الاتجار بها بشكل غير قانوني،</w:t>
      </w:r>
    </w:p>
    <w:p w14:paraId="329BCA6C" w14:textId="77777777" w:rsidR="00F01360" w:rsidRPr="000B5AE8" w:rsidRDefault="00F01360" w:rsidP="00F33CC3">
      <w:pPr>
        <w:tabs>
          <w:tab w:val="clear" w:pos="1247"/>
          <w:tab w:val="clear" w:pos="1814"/>
          <w:tab w:val="clear" w:pos="2381"/>
          <w:tab w:val="clear" w:pos="2948"/>
          <w:tab w:val="clear" w:pos="3515"/>
        </w:tabs>
        <w:bidi/>
        <w:adjustRightInd w:val="0"/>
        <w:snapToGrid w:val="0"/>
        <w:spacing w:after="140" w:line="380" w:lineRule="exact"/>
        <w:ind w:left="1134" w:firstLine="709"/>
        <w:jc w:val="both"/>
        <w:textDirection w:val="tbRlV"/>
        <w:rPr>
          <w:rFonts w:ascii="Simplified Arabic" w:hAnsi="Simplified Arabic" w:hint="default"/>
          <w:sz w:val="24"/>
          <w:szCs w:val="24"/>
          <w:lang w:val="ar-SA" w:eastAsia="zh-TW" w:bidi="en-GB"/>
        </w:rPr>
      </w:pPr>
      <w:r w:rsidRPr="000B5AE8">
        <w:rPr>
          <w:rFonts w:ascii="Simplified Arabic" w:hAnsi="Simplified Arabic" w:hint="default"/>
          <w:i/>
          <w:iCs/>
          <w:sz w:val="24"/>
          <w:szCs w:val="24"/>
          <w:rtl/>
        </w:rPr>
        <w:t>وإذ يقر أيضاً</w:t>
      </w:r>
      <w:r w:rsidRPr="000B5AE8">
        <w:rPr>
          <w:rFonts w:ascii="Simplified Arabic" w:hAnsi="Simplified Arabic" w:hint="default"/>
          <w:sz w:val="24"/>
          <w:szCs w:val="24"/>
          <w:rtl/>
        </w:rPr>
        <w:t xml:space="preserve"> بأن نجاح الأطراف في التخلص التدريجي من معظم المواد الخاضعة للرقابة يعزى إلى حد كبير إلى إنشاء وتنفيذ نظم ترخيص لمراقبة الواردات والصادرات من المواد المستنفدة للأوزون،</w:t>
      </w:r>
    </w:p>
    <w:p w14:paraId="1DB170D8" w14:textId="77777777" w:rsidR="00F01360" w:rsidRPr="000B5AE8" w:rsidRDefault="00F01360" w:rsidP="0054727F">
      <w:pPr>
        <w:keepNext/>
        <w:tabs>
          <w:tab w:val="clear" w:pos="1247"/>
          <w:tab w:val="clear" w:pos="1814"/>
          <w:tab w:val="clear" w:pos="2381"/>
          <w:tab w:val="clear" w:pos="2948"/>
          <w:tab w:val="clear" w:pos="3515"/>
        </w:tabs>
        <w:bidi/>
        <w:adjustRightInd w:val="0"/>
        <w:snapToGrid w:val="0"/>
        <w:spacing w:after="120" w:line="360" w:lineRule="exact"/>
        <w:ind w:left="1134" w:firstLine="709"/>
        <w:jc w:val="both"/>
        <w:textDirection w:val="tbRlV"/>
        <w:rPr>
          <w:rFonts w:ascii="Simplified Arabic" w:hAnsi="Simplified Arabic" w:hint="default"/>
          <w:sz w:val="24"/>
          <w:szCs w:val="24"/>
          <w:lang w:val="ar-SA" w:eastAsia="zh-TW" w:bidi="en-GB"/>
        </w:rPr>
      </w:pPr>
      <w:r w:rsidRPr="000B5AE8">
        <w:rPr>
          <w:rFonts w:ascii="Simplified Arabic" w:hAnsi="Simplified Arabic" w:hint="default"/>
          <w:i/>
          <w:iCs/>
          <w:sz w:val="24"/>
          <w:szCs w:val="24"/>
          <w:rtl/>
        </w:rPr>
        <w:lastRenderedPageBreak/>
        <w:t>يقرر:</w:t>
      </w:r>
    </w:p>
    <w:p w14:paraId="3B42DF9E" w14:textId="77777777" w:rsidR="00F01360" w:rsidRPr="0054727F" w:rsidRDefault="00F01360" w:rsidP="0054727F">
      <w:pPr>
        <w:pStyle w:val="NormalNonumber"/>
        <w:numPr>
          <w:ilvl w:val="0"/>
          <w:numId w:val="31"/>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54727F">
        <w:rPr>
          <w:rFonts w:ascii="Simplified Arabic" w:hAnsi="Simplified Arabic" w:cs="Simplified Arabic"/>
          <w:sz w:val="24"/>
          <w:szCs w:val="24"/>
          <w:rtl/>
        </w:rPr>
        <w:t>أن يُلاحظ مع التقدير الجهود التي بذلتها الأطراف لإنشاء وتشغيل نظم ترخيص للمواد الخاضعة للرقابة الواردة في المرفق واو بموجب الفقرة 2 مكرراً من المادة 4 باء من بروتوكول مونتريال بشأن المواد المستنفدة لطبقة الأوزون؛</w:t>
      </w:r>
    </w:p>
    <w:p w14:paraId="0F897F60" w14:textId="77777777" w:rsidR="00F01360" w:rsidRPr="0054727F" w:rsidRDefault="00F01360" w:rsidP="0054727F">
      <w:pPr>
        <w:pStyle w:val="NormalNonumber"/>
        <w:numPr>
          <w:ilvl w:val="0"/>
          <w:numId w:val="31"/>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Pr>
      </w:pPr>
      <w:r w:rsidRPr="0054727F">
        <w:rPr>
          <w:rFonts w:ascii="Simplified Arabic" w:hAnsi="Simplified Arabic" w:cs="Simplified Arabic"/>
          <w:sz w:val="24"/>
          <w:szCs w:val="24"/>
          <w:rtl/>
        </w:rPr>
        <w:t>أن يحث جيبوتي وسان مارينو وعمان على تقديم معلومات إلى أمانة الأوزون بشأن إنشاء وتشغيل نظم الترخيص الخاصة بها على وجه الاستعجال، وفي موعد لا يتجاوز 31 آذار/مارس 2026، لكي تنظر فيها لجنة التنفيذ بموجب إجراء عدم الامتثال لبروتوكول مونتريال في اجتماعها السادس والسبعين؛</w:t>
      </w:r>
    </w:p>
    <w:p w14:paraId="28E84A96" w14:textId="77777777" w:rsidR="00F01360" w:rsidRPr="0054727F" w:rsidRDefault="00F01360" w:rsidP="0054727F">
      <w:pPr>
        <w:pStyle w:val="NormalNonumber"/>
        <w:numPr>
          <w:ilvl w:val="0"/>
          <w:numId w:val="31"/>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Pr>
      </w:pPr>
      <w:r w:rsidRPr="0054727F">
        <w:rPr>
          <w:rFonts w:ascii="Simplified Arabic" w:hAnsi="Simplified Arabic" w:cs="Simplified Arabic"/>
          <w:sz w:val="24"/>
          <w:szCs w:val="24"/>
          <w:rtl/>
        </w:rPr>
        <w:t>أن يدعو سان مارينو إلى إرسال ممثل إلى الاجتماع السادس والسبعين للجنة التنفيذ ما لم يقدم الطرف تقريراً قبل الاجتماع عن إنشاء وتشغيل نظام الترخيص الخاص به عملاً بالفقرة 2 مكررا</w:t>
      </w:r>
      <w:r w:rsidRPr="0054727F">
        <w:rPr>
          <w:rFonts w:ascii="Simplified Arabic" w:hAnsi="Simplified Arabic" w:cs="Simplified Arabic" w:hint="cs"/>
          <w:sz w:val="24"/>
          <w:szCs w:val="24"/>
          <w:rtl/>
        </w:rPr>
        <w:t>ً</w:t>
      </w:r>
      <w:r w:rsidRPr="0054727F">
        <w:rPr>
          <w:rFonts w:ascii="Simplified Arabic" w:hAnsi="Simplified Arabic" w:cs="Simplified Arabic"/>
          <w:sz w:val="24"/>
          <w:szCs w:val="24"/>
          <w:rtl/>
        </w:rPr>
        <w:t xml:space="preserve"> من المادة 4 باء من بروتوكول مونتريال؛</w:t>
      </w:r>
    </w:p>
    <w:p w14:paraId="7282259F" w14:textId="77777777" w:rsidR="00F01360" w:rsidRPr="0054727F" w:rsidRDefault="00F01360" w:rsidP="0054727F">
      <w:pPr>
        <w:pStyle w:val="NormalNonumber"/>
        <w:numPr>
          <w:ilvl w:val="0"/>
          <w:numId w:val="31"/>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Pr>
      </w:pPr>
      <w:r w:rsidRPr="0054727F">
        <w:rPr>
          <w:rFonts w:ascii="Simplified Arabic" w:hAnsi="Simplified Arabic" w:cs="Simplified Arabic"/>
          <w:sz w:val="24"/>
          <w:szCs w:val="24"/>
          <w:rtl/>
        </w:rPr>
        <w:t>أن يحث جميع الأطراف في بروتوكول مونتريال التي تصدق على تعديل كيغالي أو تقبله أو توافق عليه على إنشاء وتنفيذ نظمها لترخيص استيراد وتصدير المواد الخاضعة للرقابة بموجب المرفق واو للبروتوكول في غضون ثلاثة أشهر من تاريخ بدء نفاذ تعديل كيغالي بالنسبة لكل طرف وأن تقدم تقريراً عن إنشاء وتشغيل نظم الترخيص هذه إلى الأمانة في غضون ثلاثة أشهر من تاريخ القيام بذلك؛</w:t>
      </w:r>
    </w:p>
    <w:p w14:paraId="54687B20" w14:textId="77777777" w:rsidR="002A0884" w:rsidRPr="0054727F" w:rsidRDefault="00F01360" w:rsidP="0054727F">
      <w:pPr>
        <w:pStyle w:val="NormalNonumber"/>
        <w:numPr>
          <w:ilvl w:val="0"/>
          <w:numId w:val="31"/>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54727F">
        <w:rPr>
          <w:rFonts w:ascii="Simplified Arabic" w:hAnsi="Simplified Arabic" w:cs="Simplified Arabic"/>
          <w:sz w:val="24"/>
          <w:szCs w:val="24"/>
          <w:rtl/>
        </w:rPr>
        <w:t>أن يطلب إلى الأمانة أن تعد وتعمم بصفة دورية إلى جميع الأطراف قائمة بالأطراف التي قدمت إليها تقارير عن نظم الترخيص الخاصة بها وأن ترسل تلك المعلومات إلى لجنة التنفيذ للنظر فيها بغية تمكينها من تقديم التوصيات المناسبة إلى لأطراف، على النحو الذي تدعو إليه الفقرة 4 من المادة 4 باء من البروتوكول.</w:t>
      </w:r>
    </w:p>
    <w:p w14:paraId="220959F6" w14:textId="73385D84" w:rsidR="0029734E" w:rsidRPr="000B5AE8" w:rsidRDefault="0029734E" w:rsidP="000B5AE8">
      <w:pPr>
        <w:tabs>
          <w:tab w:val="clear" w:pos="1247"/>
          <w:tab w:val="clear" w:pos="1814"/>
          <w:tab w:val="clear" w:pos="2381"/>
          <w:tab w:val="clear" w:pos="2948"/>
          <w:tab w:val="clear" w:pos="3515"/>
        </w:tabs>
        <w:bidi/>
        <w:spacing w:after="120" w:line="360" w:lineRule="exact"/>
        <w:ind w:left="1134"/>
        <w:jc w:val="both"/>
        <w:rPr>
          <w:rFonts w:ascii="Simplified Arabic" w:eastAsia="Times New Roman" w:hAnsi="Simplified Arabic" w:hint="default"/>
          <w:b/>
          <w:bCs/>
          <w:sz w:val="24"/>
          <w:szCs w:val="24"/>
          <w:rtl/>
        </w:rPr>
      </w:pPr>
      <w:r w:rsidRPr="000B5AE8">
        <w:rPr>
          <w:rFonts w:ascii="Simplified Arabic" w:hAnsi="Simplified Arabic"/>
          <w:sz w:val="24"/>
          <w:szCs w:val="24"/>
          <w:rtl/>
        </w:rPr>
        <w:br w:type="page"/>
      </w:r>
    </w:p>
    <w:p w14:paraId="1325E913" w14:textId="023324A7" w:rsidR="00C91B51" w:rsidRPr="0054727F" w:rsidRDefault="00151C74" w:rsidP="0054727F">
      <w:pPr>
        <w:pStyle w:val="ZZAnxheader"/>
        <w:tabs>
          <w:tab w:val="clear" w:pos="624"/>
          <w:tab w:val="clear" w:pos="1247"/>
          <w:tab w:val="clear" w:pos="1871"/>
          <w:tab w:val="clear" w:pos="2495"/>
          <w:tab w:val="clear" w:pos="3119"/>
          <w:tab w:val="clear" w:pos="3742"/>
          <w:tab w:val="clear" w:pos="4366"/>
          <w:tab w:val="clear" w:pos="4990"/>
        </w:tabs>
        <w:bidi/>
        <w:spacing w:after="360" w:line="360" w:lineRule="exact"/>
        <w:jc w:val="both"/>
        <w:textDirection w:val="tbRlV"/>
        <w:rPr>
          <w:rFonts w:ascii="Simplified Arabic" w:hAnsi="Simplified Arabic" w:cs="Simplified Arabic"/>
          <w:sz w:val="30"/>
          <w:szCs w:val="30"/>
          <w:lang w:val="en-US" w:eastAsia="zh-TW" w:bidi="en-GB"/>
        </w:rPr>
      </w:pPr>
      <w:r w:rsidRPr="0054727F">
        <w:rPr>
          <w:rFonts w:ascii="Simplified Arabic" w:hAnsi="Simplified Arabic" w:cs="Simplified Arabic"/>
          <w:sz w:val="30"/>
          <w:szCs w:val="30"/>
          <w:rtl/>
        </w:rPr>
        <w:lastRenderedPageBreak/>
        <w:t>المرفق الثا</w:t>
      </w:r>
      <w:r w:rsidR="00B134B4" w:rsidRPr="0054727F">
        <w:rPr>
          <w:rFonts w:ascii="Simplified Arabic" w:hAnsi="Simplified Arabic" w:cs="Simplified Arabic" w:hint="cs"/>
          <w:sz w:val="30"/>
          <w:szCs w:val="30"/>
          <w:rtl/>
        </w:rPr>
        <w:t>ني</w:t>
      </w:r>
      <w:r w:rsidRPr="0054727F">
        <w:rPr>
          <w:rStyle w:val="FootnoteReference"/>
          <w:rFonts w:ascii="Simplified Arabic" w:hAnsi="Simplified Arabic" w:cs="Simplified Arabic"/>
          <w:sz w:val="34"/>
          <w:szCs w:val="34"/>
          <w:rtl/>
        </w:rPr>
        <w:footnoteReference w:customMarkFollows="1" w:id="2"/>
        <w:t>*</w:t>
      </w:r>
    </w:p>
    <w:p w14:paraId="2918EE75" w14:textId="5B9C878C" w:rsidR="00151C74" w:rsidRPr="000B5AE8" w:rsidRDefault="00151C74" w:rsidP="000B5AE8">
      <w:pPr>
        <w:pStyle w:val="ZZAnxtitle"/>
        <w:tabs>
          <w:tab w:val="clear" w:pos="624"/>
          <w:tab w:val="clear" w:pos="1247"/>
          <w:tab w:val="clear" w:pos="1871"/>
          <w:tab w:val="clear" w:pos="2495"/>
          <w:tab w:val="clear" w:pos="3119"/>
          <w:tab w:val="clear" w:pos="3742"/>
          <w:tab w:val="clear" w:pos="4366"/>
          <w:tab w:val="clear" w:pos="4990"/>
        </w:tabs>
        <w:bidi/>
        <w:spacing w:before="0" w:line="360" w:lineRule="exact"/>
        <w:ind w:left="1134"/>
        <w:jc w:val="both"/>
        <w:textDirection w:val="tbRlV"/>
        <w:rPr>
          <w:rFonts w:ascii="Simplified Arabic" w:hAnsi="Simplified Arabic" w:cs="Simplified Arabic"/>
          <w:sz w:val="24"/>
          <w:szCs w:val="24"/>
          <w:rtl/>
          <w:lang w:val="en-US" w:eastAsia="zh-TW"/>
        </w:rPr>
      </w:pPr>
      <w:r w:rsidRPr="000B5AE8">
        <w:rPr>
          <w:rFonts w:ascii="Simplified Arabic" w:hAnsi="Simplified Arabic" w:cs="Simplified Arabic"/>
          <w:sz w:val="24"/>
          <w:szCs w:val="24"/>
          <w:rtl/>
        </w:rPr>
        <w:t>قائمة المشاركين</w:t>
      </w:r>
    </w:p>
    <w:p w14:paraId="2CC1A8A7" w14:textId="77777777" w:rsidR="0073026C" w:rsidRPr="000B5AE8" w:rsidRDefault="00151C74" w:rsidP="000B5AE8">
      <w:pPr>
        <w:pStyle w:val="Normal-pool"/>
        <w:tabs>
          <w:tab w:val="clear" w:pos="624"/>
          <w:tab w:val="clear" w:pos="1247"/>
          <w:tab w:val="clear" w:pos="1871"/>
          <w:tab w:val="clear" w:pos="2495"/>
          <w:tab w:val="clear" w:pos="3119"/>
          <w:tab w:val="clear" w:pos="3742"/>
          <w:tab w:val="clear" w:pos="4366"/>
          <w:tab w:val="clear" w:pos="4990"/>
        </w:tabs>
        <w:bidi/>
        <w:spacing w:after="120" w:line="360" w:lineRule="exact"/>
        <w:ind w:left="1134"/>
        <w:jc w:val="both"/>
        <w:textDirection w:val="tbRlV"/>
        <w:rPr>
          <w:rFonts w:ascii="Simplified Arabic" w:hAnsi="Simplified Arabic" w:cs="Simplified Arabic"/>
          <w:bCs/>
          <w:sz w:val="24"/>
          <w:szCs w:val="24"/>
          <w:rtl/>
        </w:rPr>
      </w:pPr>
      <w:r w:rsidRPr="000B5AE8">
        <w:rPr>
          <w:rFonts w:ascii="Simplified Arabic" w:hAnsi="Simplified Arabic" w:cs="Simplified Arabic"/>
          <w:bCs/>
          <w:sz w:val="24"/>
          <w:szCs w:val="24"/>
          <w:rtl/>
        </w:rPr>
        <w:t>أعضاء لجنة التنفيذ</w:t>
      </w:r>
    </w:p>
    <w:p w14:paraId="24995346" w14:textId="77777777" w:rsidR="003C3E6E" w:rsidRDefault="003C3E6E" w:rsidP="000B5AE8">
      <w:pPr>
        <w:pStyle w:val="Normal-pool"/>
        <w:tabs>
          <w:tab w:val="clear" w:pos="624"/>
          <w:tab w:val="clear" w:pos="1247"/>
          <w:tab w:val="clear" w:pos="1871"/>
          <w:tab w:val="clear" w:pos="2495"/>
          <w:tab w:val="clear" w:pos="3119"/>
          <w:tab w:val="clear" w:pos="3742"/>
          <w:tab w:val="clear" w:pos="4366"/>
          <w:tab w:val="clear" w:pos="4990"/>
        </w:tabs>
        <w:bidi/>
        <w:spacing w:after="120" w:line="360" w:lineRule="exact"/>
        <w:ind w:left="1134"/>
        <w:jc w:val="both"/>
        <w:textDirection w:val="tbRlV"/>
        <w:rPr>
          <w:rFonts w:ascii="Simplified Arabic" w:hAnsi="Simplified Arabic" w:cs="Simplified Arabic"/>
          <w:b/>
          <w:bCs/>
          <w:sz w:val="24"/>
          <w:szCs w:val="24"/>
          <w:rtl/>
        </w:rPr>
        <w:sectPr w:rsidR="003C3E6E" w:rsidSect="003C3E6E">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907" w:right="1417" w:bottom="1417" w:left="992" w:header="539" w:footer="975" w:gutter="0"/>
          <w:cols w:space="709"/>
          <w:titlePg/>
          <w:bidi/>
          <w:rtlGutter/>
          <w:docGrid w:linePitch="360"/>
        </w:sectPr>
      </w:pPr>
    </w:p>
    <w:p w14:paraId="4AF179C1" w14:textId="26F8AAEA" w:rsidR="00151C74" w:rsidRPr="000B5AE8" w:rsidRDefault="00151C74" w:rsidP="000B5AE8">
      <w:pPr>
        <w:pStyle w:val="Normal-pool"/>
        <w:tabs>
          <w:tab w:val="clear" w:pos="624"/>
          <w:tab w:val="clear" w:pos="1247"/>
          <w:tab w:val="clear" w:pos="1871"/>
          <w:tab w:val="clear" w:pos="2495"/>
          <w:tab w:val="clear" w:pos="3119"/>
          <w:tab w:val="clear" w:pos="3742"/>
          <w:tab w:val="clear" w:pos="4366"/>
          <w:tab w:val="clear" w:pos="4990"/>
        </w:tabs>
        <w:bidi/>
        <w:spacing w:after="120" w:line="360" w:lineRule="exact"/>
        <w:ind w:left="1134"/>
        <w:jc w:val="both"/>
        <w:textDirection w:val="tbRlV"/>
        <w:rPr>
          <w:rFonts w:ascii="Simplified Arabic" w:hAnsi="Simplified Arabic" w:cs="Simplified Arabic"/>
          <w:sz w:val="24"/>
          <w:szCs w:val="24"/>
          <w:rtl/>
          <w:lang w:val="ar-SA" w:eastAsia="zh-TW" w:bidi="en-GB"/>
        </w:rPr>
      </w:pPr>
      <w:r w:rsidRPr="000B5AE8">
        <w:rPr>
          <w:rFonts w:ascii="Simplified Arabic" w:hAnsi="Simplified Arabic" w:cs="Simplified Arabic"/>
          <w:b/>
          <w:bCs/>
          <w:sz w:val="24"/>
          <w:szCs w:val="24"/>
          <w:rtl/>
        </w:rPr>
        <w:t>بنن</w:t>
      </w:r>
    </w:p>
    <w:p w14:paraId="225DFB98" w14:textId="77777777" w:rsidR="00D31D43" w:rsidRPr="0054727F" w:rsidRDefault="00D1170C" w:rsidP="0054727F">
      <w:pPr>
        <w:pStyle w:val="Normal-pool"/>
        <w:tabs>
          <w:tab w:val="clear" w:pos="624"/>
          <w:tab w:val="clear" w:pos="1247"/>
          <w:tab w:val="clear" w:pos="1871"/>
          <w:tab w:val="clear" w:pos="2495"/>
          <w:tab w:val="clear" w:pos="3119"/>
          <w:tab w:val="clear" w:pos="3742"/>
          <w:tab w:val="clear" w:pos="4366"/>
          <w:tab w:val="clear" w:pos="4990"/>
        </w:tabs>
        <w:spacing w:line="240" w:lineRule="exact"/>
        <w:ind w:right="1134"/>
        <w:textDirection w:val="tbRlV"/>
        <w:rPr>
          <w:rFonts w:asciiTheme="majorBidi" w:hAnsiTheme="majorBidi" w:cstheme="majorBidi"/>
        </w:rPr>
      </w:pPr>
      <w:r w:rsidRPr="0054727F">
        <w:rPr>
          <w:rFonts w:asciiTheme="majorBidi" w:hAnsiTheme="majorBidi" w:cstheme="majorBidi"/>
        </w:rPr>
        <w:t>Ms. Yvette Gauthe Epouse Boko</w:t>
      </w:r>
      <w:r w:rsidRPr="0054727F">
        <w:rPr>
          <w:rFonts w:asciiTheme="majorBidi" w:hAnsiTheme="majorBidi" w:cstheme="majorBidi"/>
        </w:rPr>
        <w:br/>
        <w:t>Point Focal Titulaire</w:t>
      </w:r>
      <w:r w:rsidRPr="0054727F">
        <w:rPr>
          <w:rFonts w:asciiTheme="majorBidi" w:hAnsiTheme="majorBidi" w:cstheme="majorBidi"/>
        </w:rPr>
        <w:br/>
        <w:t xml:space="preserve">Direction </w:t>
      </w:r>
      <w:proofErr w:type="spellStart"/>
      <w:r w:rsidRPr="0054727F">
        <w:rPr>
          <w:rFonts w:asciiTheme="majorBidi" w:hAnsiTheme="majorBidi" w:cstheme="majorBidi"/>
        </w:rPr>
        <w:t>Generale</w:t>
      </w:r>
      <w:proofErr w:type="spellEnd"/>
      <w:r w:rsidRPr="0054727F">
        <w:rPr>
          <w:rFonts w:asciiTheme="majorBidi" w:hAnsiTheme="majorBidi" w:cstheme="majorBidi"/>
        </w:rPr>
        <w:t xml:space="preserve"> de </w:t>
      </w:r>
      <w:proofErr w:type="spellStart"/>
      <w:r w:rsidRPr="0054727F">
        <w:rPr>
          <w:rFonts w:asciiTheme="majorBidi" w:hAnsiTheme="majorBidi" w:cstheme="majorBidi"/>
        </w:rPr>
        <w:t>I'Environnement</w:t>
      </w:r>
      <w:proofErr w:type="spellEnd"/>
      <w:r w:rsidRPr="0054727F">
        <w:rPr>
          <w:rFonts w:asciiTheme="majorBidi" w:hAnsiTheme="majorBidi" w:cstheme="majorBidi"/>
        </w:rPr>
        <w:t xml:space="preserve"> et du Climat</w:t>
      </w:r>
      <w:r w:rsidRPr="0054727F">
        <w:rPr>
          <w:rFonts w:asciiTheme="majorBidi" w:hAnsiTheme="majorBidi" w:cstheme="majorBidi"/>
        </w:rPr>
        <w:br/>
        <w:t>Ministère du Cadre de Vie et des Transports en charge du Développement Durable</w:t>
      </w:r>
      <w:r w:rsidRPr="0054727F">
        <w:rPr>
          <w:rFonts w:asciiTheme="majorBidi" w:hAnsiTheme="majorBidi" w:cstheme="majorBidi"/>
        </w:rPr>
        <w:br/>
        <w:t>Cotonou</w:t>
      </w:r>
      <w:r w:rsidRPr="0054727F">
        <w:rPr>
          <w:rFonts w:asciiTheme="majorBidi" w:hAnsiTheme="majorBidi" w:cstheme="majorBidi"/>
        </w:rPr>
        <w:br/>
        <w:t>Benin</w:t>
      </w:r>
    </w:p>
    <w:p w14:paraId="2D3BC6F9" w14:textId="49C826B3" w:rsidR="00151C74" w:rsidRPr="00FD2728" w:rsidRDefault="00151C74"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textDirection w:val="tbRlV"/>
        <w:rPr>
          <w:rStyle w:val="Hyperlink"/>
          <w:rFonts w:asciiTheme="majorBidi" w:hAnsiTheme="majorBidi" w:cstheme="majorBidi"/>
          <w:rtl/>
        </w:rPr>
      </w:pPr>
      <w:r w:rsidRPr="000B5AE8">
        <w:rPr>
          <w:rFonts w:ascii="Simplified Arabic" w:hAnsi="Simplified Arabic" w:cs="Simplified Arabic"/>
          <w:sz w:val="24"/>
          <w:szCs w:val="24"/>
          <w:rtl/>
        </w:rPr>
        <w:t xml:space="preserve">البريد الإلكتروني: </w:t>
      </w:r>
      <w:hyperlink r:id="rId19" w:history="1">
        <w:r w:rsidR="001D403C" w:rsidRPr="00FD2728">
          <w:rPr>
            <w:rStyle w:val="Hyperlink"/>
            <w:rFonts w:asciiTheme="majorBidi" w:hAnsiTheme="majorBidi" w:cstheme="majorBidi"/>
          </w:rPr>
          <w:t>yvettegauthe@yahoo.fr</w:t>
        </w:r>
      </w:hyperlink>
      <w:r w:rsidRPr="00FD2728">
        <w:rPr>
          <w:rStyle w:val="Hyperlink"/>
          <w:rFonts w:asciiTheme="majorBidi" w:hAnsiTheme="majorBidi" w:cstheme="majorBidi"/>
          <w:rtl/>
        </w:rPr>
        <w:t xml:space="preserve"> </w:t>
      </w:r>
      <w:hyperlink r:id="rId20" w:history="1"/>
    </w:p>
    <w:p w14:paraId="4937A07E" w14:textId="77777777" w:rsidR="00151C74" w:rsidRPr="000B5AE8" w:rsidRDefault="00151C74" w:rsidP="001D4801">
      <w:pPr>
        <w:pStyle w:val="Normal-pool"/>
        <w:tabs>
          <w:tab w:val="clear" w:pos="624"/>
          <w:tab w:val="clear" w:pos="1247"/>
          <w:tab w:val="clear" w:pos="1871"/>
          <w:tab w:val="clear" w:pos="2495"/>
          <w:tab w:val="clear" w:pos="3119"/>
          <w:tab w:val="clear" w:pos="3742"/>
          <w:tab w:val="clear" w:pos="4366"/>
          <w:tab w:val="clear" w:pos="4990"/>
        </w:tabs>
        <w:bidi/>
        <w:spacing w:before="240" w:after="120" w:line="360" w:lineRule="exact"/>
        <w:ind w:left="1134"/>
        <w:jc w:val="both"/>
        <w:textDirection w:val="tbRlV"/>
        <w:rPr>
          <w:rFonts w:ascii="Simplified Arabic" w:hAnsi="Simplified Arabic" w:cs="Simplified Arabic"/>
          <w:b/>
          <w:bCs/>
          <w:sz w:val="24"/>
          <w:szCs w:val="24"/>
          <w:rtl/>
        </w:rPr>
      </w:pPr>
      <w:r w:rsidRPr="000B5AE8">
        <w:rPr>
          <w:rFonts w:ascii="Simplified Arabic" w:hAnsi="Simplified Arabic" w:cs="Simplified Arabic"/>
          <w:b/>
          <w:bCs/>
          <w:sz w:val="24"/>
          <w:szCs w:val="24"/>
          <w:rtl/>
        </w:rPr>
        <w:t>شيلي</w:t>
      </w:r>
    </w:p>
    <w:p w14:paraId="10B01CC9" w14:textId="77777777" w:rsidR="00E23835" w:rsidRPr="00071ED5" w:rsidRDefault="000F2789" w:rsidP="00071ED5">
      <w:pPr>
        <w:pStyle w:val="Normal-pool"/>
        <w:tabs>
          <w:tab w:val="clear" w:pos="624"/>
          <w:tab w:val="clear" w:pos="1247"/>
          <w:tab w:val="clear" w:pos="1871"/>
          <w:tab w:val="clear" w:pos="2495"/>
          <w:tab w:val="clear" w:pos="3119"/>
          <w:tab w:val="clear" w:pos="3742"/>
          <w:tab w:val="clear" w:pos="4366"/>
          <w:tab w:val="clear" w:pos="4990"/>
        </w:tabs>
        <w:spacing w:line="240" w:lineRule="exact"/>
        <w:ind w:right="1134"/>
        <w:rPr>
          <w:rFonts w:asciiTheme="majorBidi" w:hAnsiTheme="majorBidi" w:cstheme="majorBidi"/>
        </w:rPr>
      </w:pPr>
      <w:r w:rsidRPr="00071ED5">
        <w:rPr>
          <w:rFonts w:asciiTheme="majorBidi" w:hAnsiTheme="majorBidi" w:cstheme="majorBidi"/>
        </w:rPr>
        <w:t>H.E. Mr. Patricio Aguirre</w:t>
      </w:r>
      <w:r w:rsidRPr="00071ED5">
        <w:rPr>
          <w:rFonts w:asciiTheme="majorBidi" w:hAnsiTheme="majorBidi" w:cstheme="majorBidi"/>
        </w:rPr>
        <w:br/>
        <w:t xml:space="preserve">Embajador, </w:t>
      </w:r>
      <w:proofErr w:type="spellStart"/>
      <w:r w:rsidRPr="00071ED5">
        <w:rPr>
          <w:rFonts w:asciiTheme="majorBidi" w:hAnsiTheme="majorBidi" w:cstheme="majorBidi"/>
        </w:rPr>
        <w:t>Representante</w:t>
      </w:r>
      <w:proofErr w:type="spellEnd"/>
      <w:r w:rsidRPr="00071ED5">
        <w:rPr>
          <w:rFonts w:asciiTheme="majorBidi" w:hAnsiTheme="majorBidi" w:cstheme="majorBidi"/>
        </w:rPr>
        <w:t xml:space="preserve"> Permanente ante ONU </w:t>
      </w:r>
      <w:proofErr w:type="spellStart"/>
      <w:r w:rsidRPr="00071ED5">
        <w:rPr>
          <w:rFonts w:asciiTheme="majorBidi" w:hAnsiTheme="majorBidi" w:cstheme="majorBidi"/>
        </w:rPr>
        <w:t>Ambiente</w:t>
      </w:r>
      <w:proofErr w:type="spellEnd"/>
      <w:r w:rsidRPr="00071ED5">
        <w:rPr>
          <w:rFonts w:asciiTheme="majorBidi" w:hAnsiTheme="majorBidi" w:cstheme="majorBidi"/>
        </w:rPr>
        <w:br/>
      </w:r>
      <w:proofErr w:type="spellStart"/>
      <w:r w:rsidRPr="00071ED5">
        <w:rPr>
          <w:rFonts w:asciiTheme="majorBidi" w:hAnsiTheme="majorBidi" w:cstheme="majorBidi"/>
        </w:rPr>
        <w:t>Embajada</w:t>
      </w:r>
      <w:proofErr w:type="spellEnd"/>
      <w:r w:rsidRPr="00071ED5">
        <w:rPr>
          <w:rFonts w:asciiTheme="majorBidi" w:hAnsiTheme="majorBidi" w:cstheme="majorBidi"/>
        </w:rPr>
        <w:t xml:space="preserve"> de Chile en Kenia</w:t>
      </w:r>
      <w:r w:rsidRPr="00071ED5">
        <w:rPr>
          <w:rFonts w:asciiTheme="majorBidi" w:hAnsiTheme="majorBidi" w:cstheme="majorBidi"/>
        </w:rPr>
        <w:br/>
      </w:r>
      <w:proofErr w:type="spellStart"/>
      <w:r w:rsidRPr="00071ED5">
        <w:rPr>
          <w:rFonts w:asciiTheme="majorBidi" w:hAnsiTheme="majorBidi" w:cstheme="majorBidi"/>
        </w:rPr>
        <w:t>Ministerio</w:t>
      </w:r>
      <w:proofErr w:type="spellEnd"/>
      <w:r w:rsidRPr="00071ED5">
        <w:rPr>
          <w:rFonts w:asciiTheme="majorBidi" w:hAnsiTheme="majorBidi" w:cstheme="majorBidi"/>
        </w:rPr>
        <w:t xml:space="preserve"> de </w:t>
      </w:r>
      <w:proofErr w:type="spellStart"/>
      <w:r w:rsidRPr="00071ED5">
        <w:rPr>
          <w:rFonts w:asciiTheme="majorBidi" w:hAnsiTheme="majorBidi" w:cstheme="majorBidi"/>
        </w:rPr>
        <w:t>Relaciones</w:t>
      </w:r>
      <w:proofErr w:type="spellEnd"/>
      <w:r w:rsidRPr="00071ED5">
        <w:rPr>
          <w:rFonts w:asciiTheme="majorBidi" w:hAnsiTheme="majorBidi" w:cstheme="majorBidi"/>
        </w:rPr>
        <w:t xml:space="preserve"> </w:t>
      </w:r>
      <w:proofErr w:type="spellStart"/>
      <w:r w:rsidRPr="00071ED5">
        <w:rPr>
          <w:rFonts w:asciiTheme="majorBidi" w:hAnsiTheme="majorBidi" w:cstheme="majorBidi"/>
        </w:rPr>
        <w:t>Exteriores</w:t>
      </w:r>
      <w:proofErr w:type="spellEnd"/>
      <w:r w:rsidRPr="00071ED5">
        <w:rPr>
          <w:rFonts w:asciiTheme="majorBidi" w:hAnsiTheme="majorBidi" w:cstheme="majorBidi"/>
        </w:rPr>
        <w:br/>
        <w:t>Nairobi</w:t>
      </w:r>
      <w:r w:rsidRPr="00071ED5">
        <w:rPr>
          <w:rFonts w:asciiTheme="majorBidi" w:hAnsiTheme="majorBidi" w:cstheme="majorBidi"/>
        </w:rPr>
        <w:br/>
        <w:t>Kenya</w:t>
      </w:r>
    </w:p>
    <w:p w14:paraId="3F16514C" w14:textId="583E07CB" w:rsidR="002A0884" w:rsidRPr="001D4801" w:rsidRDefault="00DD6F2B"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00124269" w:rsidRPr="000B5AE8">
        <w:rPr>
          <w:rFonts w:ascii="Simplified Arabic" w:hAnsi="Simplified Arabic" w:cs="Simplified Arabic" w:hint="cs"/>
          <w:sz w:val="24"/>
          <w:szCs w:val="24"/>
          <w:rtl/>
        </w:rPr>
        <w:t>:</w:t>
      </w:r>
      <w:r w:rsidR="00FD2728">
        <w:rPr>
          <w:rFonts w:ascii="Simplified Arabic" w:hAnsi="Simplified Arabic" w:cs="Simplified Arabic" w:hint="cs"/>
          <w:sz w:val="24"/>
          <w:szCs w:val="24"/>
          <w:rtl/>
        </w:rPr>
        <w:t xml:space="preserve"> </w:t>
      </w:r>
      <w:hyperlink r:id="rId21" w:history="1">
        <w:r w:rsidR="00FD2728" w:rsidRPr="001D4801">
          <w:rPr>
            <w:rStyle w:val="Hyperlink"/>
            <w:rFonts w:asciiTheme="majorBidi" w:hAnsiTheme="majorBidi" w:cstheme="majorBidi"/>
          </w:rPr>
          <w:t>paguirrev@minrel.gob.cl</w:t>
        </w:r>
      </w:hyperlink>
    </w:p>
    <w:p w14:paraId="24E6FBAB" w14:textId="4748634D" w:rsidR="005F4AE9" w:rsidRPr="00071ED5" w:rsidRDefault="000F2789" w:rsidP="001D4801">
      <w:pPr>
        <w:pStyle w:val="Normal-pool"/>
        <w:tabs>
          <w:tab w:val="clear" w:pos="624"/>
          <w:tab w:val="clear" w:pos="1247"/>
          <w:tab w:val="clear" w:pos="1871"/>
          <w:tab w:val="clear" w:pos="2495"/>
          <w:tab w:val="clear" w:pos="3119"/>
          <w:tab w:val="clear" w:pos="3742"/>
          <w:tab w:val="clear" w:pos="4366"/>
          <w:tab w:val="clear" w:pos="4990"/>
        </w:tabs>
        <w:spacing w:before="120" w:line="240" w:lineRule="exact"/>
        <w:ind w:right="1134"/>
        <w:rPr>
          <w:rFonts w:asciiTheme="majorBidi" w:hAnsiTheme="majorBidi" w:cstheme="majorBidi"/>
        </w:rPr>
      </w:pPr>
      <w:r w:rsidRPr="00071ED5">
        <w:rPr>
          <w:rFonts w:asciiTheme="majorBidi" w:hAnsiTheme="majorBidi" w:cstheme="majorBidi"/>
        </w:rPr>
        <w:t>Ms. Claudia Paratori Cortés</w:t>
      </w:r>
      <w:r w:rsidRPr="00071ED5">
        <w:rPr>
          <w:rFonts w:asciiTheme="majorBidi" w:hAnsiTheme="majorBidi" w:cstheme="majorBidi"/>
        </w:rPr>
        <w:br/>
      </w:r>
      <w:proofErr w:type="spellStart"/>
      <w:r w:rsidRPr="00071ED5">
        <w:rPr>
          <w:rFonts w:asciiTheme="majorBidi" w:hAnsiTheme="majorBidi" w:cstheme="majorBidi"/>
        </w:rPr>
        <w:t>Coordinator</w:t>
      </w:r>
      <w:proofErr w:type="spellEnd"/>
      <w:r w:rsidRPr="00071ED5">
        <w:rPr>
          <w:rFonts w:asciiTheme="majorBidi" w:hAnsiTheme="majorBidi" w:cstheme="majorBidi"/>
        </w:rPr>
        <w:t xml:space="preserve"> of the Ozone Unit</w:t>
      </w:r>
      <w:r w:rsidRPr="00071ED5">
        <w:rPr>
          <w:rFonts w:asciiTheme="majorBidi" w:hAnsiTheme="majorBidi" w:cstheme="majorBidi"/>
        </w:rPr>
        <w:br/>
        <w:t xml:space="preserve">Division of </w:t>
      </w:r>
      <w:proofErr w:type="spellStart"/>
      <w:r w:rsidRPr="00071ED5">
        <w:rPr>
          <w:rFonts w:asciiTheme="majorBidi" w:hAnsiTheme="majorBidi" w:cstheme="majorBidi"/>
        </w:rPr>
        <w:t>Climate</w:t>
      </w:r>
      <w:proofErr w:type="spellEnd"/>
      <w:r w:rsidRPr="00071ED5">
        <w:rPr>
          <w:rFonts w:asciiTheme="majorBidi" w:hAnsiTheme="majorBidi" w:cstheme="majorBidi"/>
        </w:rPr>
        <w:t xml:space="preserve"> Change</w:t>
      </w:r>
      <w:r w:rsidRPr="00071ED5">
        <w:rPr>
          <w:rFonts w:asciiTheme="majorBidi" w:hAnsiTheme="majorBidi" w:cstheme="majorBidi"/>
        </w:rPr>
        <w:br/>
      </w:r>
      <w:proofErr w:type="spellStart"/>
      <w:r w:rsidRPr="00071ED5">
        <w:rPr>
          <w:rFonts w:asciiTheme="majorBidi" w:hAnsiTheme="majorBidi" w:cstheme="majorBidi"/>
        </w:rPr>
        <w:t>Ministerio</w:t>
      </w:r>
      <w:proofErr w:type="spellEnd"/>
      <w:r w:rsidRPr="00071ED5">
        <w:rPr>
          <w:rFonts w:asciiTheme="majorBidi" w:hAnsiTheme="majorBidi" w:cstheme="majorBidi"/>
        </w:rPr>
        <w:t xml:space="preserve"> </w:t>
      </w:r>
      <w:proofErr w:type="spellStart"/>
      <w:r w:rsidRPr="00071ED5">
        <w:rPr>
          <w:rFonts w:asciiTheme="majorBidi" w:hAnsiTheme="majorBidi" w:cstheme="majorBidi"/>
        </w:rPr>
        <w:t>del</w:t>
      </w:r>
      <w:proofErr w:type="spellEnd"/>
      <w:r w:rsidRPr="00071ED5">
        <w:rPr>
          <w:rFonts w:asciiTheme="majorBidi" w:hAnsiTheme="majorBidi" w:cstheme="majorBidi"/>
        </w:rPr>
        <w:t xml:space="preserve"> Medio </w:t>
      </w:r>
      <w:proofErr w:type="spellStart"/>
      <w:r w:rsidRPr="00071ED5">
        <w:rPr>
          <w:rFonts w:asciiTheme="majorBidi" w:hAnsiTheme="majorBidi" w:cstheme="majorBidi"/>
        </w:rPr>
        <w:t>Ambiente</w:t>
      </w:r>
      <w:proofErr w:type="spellEnd"/>
      <w:r w:rsidRPr="00071ED5">
        <w:rPr>
          <w:rFonts w:asciiTheme="majorBidi" w:hAnsiTheme="majorBidi" w:cstheme="majorBidi"/>
        </w:rPr>
        <w:br/>
        <w:t>Santiago</w:t>
      </w:r>
      <w:r w:rsidRPr="00071ED5">
        <w:rPr>
          <w:rFonts w:asciiTheme="majorBidi" w:hAnsiTheme="majorBidi" w:cstheme="majorBidi"/>
        </w:rPr>
        <w:br/>
        <w:t>Chile</w:t>
      </w:r>
    </w:p>
    <w:p w14:paraId="635EFD2C" w14:textId="03AF4CB5" w:rsidR="000F2789" w:rsidRPr="001D4801" w:rsidRDefault="00FE2F41"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22" w:history="1">
        <w:r w:rsidR="000F2789" w:rsidRPr="001D4801">
          <w:rPr>
            <w:rStyle w:val="Hyperlink"/>
            <w:rFonts w:asciiTheme="majorBidi" w:hAnsiTheme="majorBidi" w:cstheme="majorBidi"/>
          </w:rPr>
          <w:t>cparatori@mma.gob.cl</w:t>
        </w:r>
      </w:hyperlink>
    </w:p>
    <w:p w14:paraId="4E237247" w14:textId="725FA3F4" w:rsidR="000F2789" w:rsidRPr="000B5AE8" w:rsidRDefault="005F52C8" w:rsidP="001D4801">
      <w:pPr>
        <w:pStyle w:val="Normal-pool"/>
        <w:tabs>
          <w:tab w:val="clear" w:pos="624"/>
          <w:tab w:val="clear" w:pos="1247"/>
          <w:tab w:val="clear" w:pos="1871"/>
          <w:tab w:val="clear" w:pos="2495"/>
          <w:tab w:val="clear" w:pos="3119"/>
          <w:tab w:val="clear" w:pos="3742"/>
          <w:tab w:val="clear" w:pos="4366"/>
          <w:tab w:val="clear" w:pos="4990"/>
        </w:tabs>
        <w:bidi/>
        <w:spacing w:before="240" w:after="120" w:line="360" w:lineRule="exact"/>
        <w:ind w:left="1134"/>
        <w:jc w:val="both"/>
        <w:rPr>
          <w:rFonts w:ascii="Simplified Arabic" w:hAnsi="Simplified Arabic" w:cs="Simplified Arabic"/>
          <w:sz w:val="24"/>
          <w:szCs w:val="24"/>
        </w:rPr>
      </w:pPr>
      <w:r w:rsidRPr="000B5AE8">
        <w:rPr>
          <w:rFonts w:ascii="Simplified Arabic" w:hAnsi="Simplified Arabic" w:cs="Simplified Arabic" w:hint="cs"/>
          <w:b/>
          <w:bCs/>
          <w:sz w:val="24"/>
          <w:szCs w:val="24"/>
          <w:rtl/>
        </w:rPr>
        <w:t>تشيكيا</w:t>
      </w:r>
    </w:p>
    <w:p w14:paraId="3E8E39E9" w14:textId="77777777" w:rsidR="00AA4299" w:rsidRPr="00071ED5" w:rsidRDefault="000F2789" w:rsidP="00071ED5">
      <w:pPr>
        <w:pStyle w:val="Normal-pool"/>
        <w:tabs>
          <w:tab w:val="clear" w:pos="624"/>
          <w:tab w:val="clear" w:pos="1247"/>
          <w:tab w:val="clear" w:pos="1871"/>
          <w:tab w:val="clear" w:pos="2495"/>
          <w:tab w:val="clear" w:pos="3119"/>
          <w:tab w:val="clear" w:pos="3742"/>
          <w:tab w:val="clear" w:pos="4366"/>
          <w:tab w:val="clear" w:pos="4990"/>
        </w:tabs>
        <w:spacing w:line="240" w:lineRule="exact"/>
        <w:ind w:right="1134"/>
        <w:rPr>
          <w:rFonts w:asciiTheme="majorBidi" w:hAnsiTheme="majorBidi" w:cstheme="majorBidi"/>
        </w:rPr>
      </w:pPr>
      <w:r w:rsidRPr="00071ED5">
        <w:rPr>
          <w:rFonts w:asciiTheme="majorBidi" w:hAnsiTheme="majorBidi" w:cstheme="majorBidi"/>
        </w:rPr>
        <w:t xml:space="preserve">Mr. Matěj </w:t>
      </w:r>
      <w:proofErr w:type="spellStart"/>
      <w:r w:rsidRPr="00071ED5">
        <w:rPr>
          <w:rFonts w:asciiTheme="majorBidi" w:hAnsiTheme="majorBidi" w:cstheme="majorBidi"/>
        </w:rPr>
        <w:t>Mrlina</w:t>
      </w:r>
      <w:proofErr w:type="spellEnd"/>
      <w:r w:rsidRPr="00071ED5">
        <w:rPr>
          <w:rFonts w:asciiTheme="majorBidi" w:hAnsiTheme="majorBidi" w:cstheme="majorBidi"/>
        </w:rPr>
        <w:br/>
        <w:t>Director</w:t>
      </w:r>
      <w:r w:rsidRPr="00071ED5">
        <w:rPr>
          <w:rFonts w:asciiTheme="majorBidi" w:hAnsiTheme="majorBidi" w:cstheme="majorBidi"/>
        </w:rPr>
        <w:br/>
      </w:r>
      <w:proofErr w:type="spellStart"/>
      <w:r w:rsidRPr="00071ED5">
        <w:rPr>
          <w:rFonts w:asciiTheme="majorBidi" w:hAnsiTheme="majorBidi" w:cstheme="majorBidi"/>
        </w:rPr>
        <w:t>Internal</w:t>
      </w:r>
      <w:proofErr w:type="spellEnd"/>
      <w:r w:rsidRPr="00071ED5">
        <w:rPr>
          <w:rFonts w:asciiTheme="majorBidi" w:hAnsiTheme="majorBidi" w:cstheme="majorBidi"/>
        </w:rPr>
        <w:t xml:space="preserve"> Services </w:t>
      </w:r>
      <w:proofErr w:type="spellStart"/>
      <w:r w:rsidRPr="00071ED5">
        <w:rPr>
          <w:rFonts w:asciiTheme="majorBidi" w:hAnsiTheme="majorBidi" w:cstheme="majorBidi"/>
        </w:rPr>
        <w:t>Department</w:t>
      </w:r>
      <w:proofErr w:type="spellEnd"/>
      <w:r w:rsidRPr="00071ED5">
        <w:rPr>
          <w:rFonts w:asciiTheme="majorBidi" w:hAnsiTheme="majorBidi" w:cstheme="majorBidi"/>
        </w:rPr>
        <w:br/>
        <w:t xml:space="preserve">Czech </w:t>
      </w:r>
      <w:proofErr w:type="spellStart"/>
      <w:r w:rsidRPr="00071ED5">
        <w:rPr>
          <w:rFonts w:asciiTheme="majorBidi" w:hAnsiTheme="majorBidi" w:cstheme="majorBidi"/>
        </w:rPr>
        <w:t>Environmental</w:t>
      </w:r>
      <w:proofErr w:type="spellEnd"/>
      <w:r w:rsidRPr="00071ED5">
        <w:rPr>
          <w:rFonts w:asciiTheme="majorBidi" w:hAnsiTheme="majorBidi" w:cstheme="majorBidi"/>
        </w:rPr>
        <w:t xml:space="preserve"> </w:t>
      </w:r>
      <w:proofErr w:type="spellStart"/>
      <w:r w:rsidRPr="00071ED5">
        <w:rPr>
          <w:rFonts w:asciiTheme="majorBidi" w:hAnsiTheme="majorBidi" w:cstheme="majorBidi"/>
        </w:rPr>
        <w:t>Inspectorate</w:t>
      </w:r>
      <w:proofErr w:type="spellEnd"/>
      <w:r w:rsidRPr="00071ED5">
        <w:rPr>
          <w:rFonts w:asciiTheme="majorBidi" w:hAnsiTheme="majorBidi" w:cstheme="majorBidi"/>
        </w:rPr>
        <w:br/>
      </w:r>
      <w:proofErr w:type="spellStart"/>
      <w:r w:rsidRPr="00071ED5">
        <w:rPr>
          <w:rFonts w:asciiTheme="majorBidi" w:hAnsiTheme="majorBidi" w:cstheme="majorBidi"/>
        </w:rPr>
        <w:t>Czechia</w:t>
      </w:r>
      <w:proofErr w:type="spellEnd"/>
    </w:p>
    <w:p w14:paraId="40E3D9D8" w14:textId="1D1D439C" w:rsidR="000F2789" w:rsidRPr="001D4801" w:rsidRDefault="00FE2F41"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008F65B1" w:rsidRPr="000B5AE8">
        <w:rPr>
          <w:rFonts w:ascii="Simplified Arabic" w:hAnsi="Simplified Arabic" w:cs="Simplified Arabic"/>
          <w:sz w:val="24"/>
          <w:szCs w:val="24"/>
          <w:rtl/>
        </w:rPr>
        <w:t xml:space="preserve"> </w:t>
      </w:r>
      <w:hyperlink r:id="rId23" w:history="1">
        <w:r w:rsidR="000F2789" w:rsidRPr="001D4801">
          <w:rPr>
            <w:rStyle w:val="Hyperlink"/>
            <w:rFonts w:asciiTheme="majorBidi" w:hAnsiTheme="majorBidi" w:cstheme="majorBidi"/>
          </w:rPr>
          <w:t>matej.mrlina@cizp.gov.cz</w:t>
        </w:r>
      </w:hyperlink>
    </w:p>
    <w:p w14:paraId="00291B53" w14:textId="1C2CF1E2" w:rsidR="000F2789" w:rsidRPr="000B5AE8" w:rsidRDefault="003D53F8" w:rsidP="001D4801">
      <w:pPr>
        <w:pStyle w:val="Normal-pool"/>
        <w:keepNext/>
        <w:keepLines/>
        <w:tabs>
          <w:tab w:val="clear" w:pos="624"/>
          <w:tab w:val="clear" w:pos="1247"/>
          <w:tab w:val="clear" w:pos="1871"/>
          <w:tab w:val="clear" w:pos="2495"/>
          <w:tab w:val="clear" w:pos="3119"/>
          <w:tab w:val="clear" w:pos="3742"/>
          <w:tab w:val="clear" w:pos="4366"/>
          <w:tab w:val="clear" w:pos="4990"/>
        </w:tabs>
        <w:bidi/>
        <w:spacing w:before="240" w:after="120" w:line="360" w:lineRule="exact"/>
        <w:ind w:left="1134"/>
        <w:jc w:val="both"/>
        <w:rPr>
          <w:rFonts w:ascii="Simplified Arabic" w:hAnsi="Simplified Arabic" w:cs="Simplified Arabic"/>
          <w:b/>
          <w:bCs/>
          <w:sz w:val="24"/>
          <w:szCs w:val="24"/>
          <w:rtl/>
        </w:rPr>
      </w:pPr>
      <w:r w:rsidRPr="000B5AE8">
        <w:rPr>
          <w:rFonts w:ascii="Simplified Arabic" w:hAnsi="Simplified Arabic" w:cs="Simplified Arabic"/>
          <w:b/>
          <w:bCs/>
          <w:sz w:val="24"/>
          <w:szCs w:val="24"/>
          <w:rtl/>
        </w:rPr>
        <w:t>الجمهورية الدومينيكية</w:t>
      </w:r>
    </w:p>
    <w:p w14:paraId="27DD045B" w14:textId="77777777" w:rsidR="0065304E" w:rsidRPr="00071ED5" w:rsidRDefault="000F2789" w:rsidP="001D4801">
      <w:pPr>
        <w:pStyle w:val="Normal-pool"/>
        <w:keepNext/>
        <w:keepLines/>
        <w:tabs>
          <w:tab w:val="clear" w:pos="624"/>
          <w:tab w:val="clear" w:pos="1247"/>
          <w:tab w:val="clear" w:pos="1871"/>
          <w:tab w:val="clear" w:pos="2495"/>
          <w:tab w:val="clear" w:pos="3119"/>
          <w:tab w:val="clear" w:pos="3742"/>
          <w:tab w:val="clear" w:pos="4366"/>
          <w:tab w:val="clear" w:pos="4990"/>
        </w:tabs>
        <w:spacing w:line="240" w:lineRule="exact"/>
        <w:ind w:right="1134"/>
        <w:rPr>
          <w:rFonts w:asciiTheme="majorBidi" w:hAnsiTheme="majorBidi" w:cstheme="majorBidi"/>
        </w:rPr>
      </w:pPr>
      <w:r w:rsidRPr="00071ED5">
        <w:rPr>
          <w:rFonts w:asciiTheme="majorBidi" w:hAnsiTheme="majorBidi" w:cstheme="majorBidi"/>
        </w:rPr>
        <w:t>Mr. Mario José Pérez Núñez</w:t>
      </w:r>
      <w:r w:rsidRPr="00071ED5">
        <w:rPr>
          <w:rFonts w:asciiTheme="majorBidi" w:hAnsiTheme="majorBidi" w:cstheme="majorBidi"/>
        </w:rPr>
        <w:br/>
        <w:t xml:space="preserve">Director </w:t>
      </w:r>
      <w:proofErr w:type="spellStart"/>
      <w:r w:rsidRPr="00071ED5">
        <w:rPr>
          <w:rFonts w:asciiTheme="majorBidi" w:hAnsiTheme="majorBidi" w:cstheme="majorBidi"/>
        </w:rPr>
        <w:t>del</w:t>
      </w:r>
      <w:proofErr w:type="spellEnd"/>
      <w:r w:rsidRPr="00071ED5">
        <w:rPr>
          <w:rFonts w:asciiTheme="majorBidi" w:hAnsiTheme="majorBidi" w:cstheme="majorBidi"/>
        </w:rPr>
        <w:t xml:space="preserve"> </w:t>
      </w:r>
      <w:proofErr w:type="spellStart"/>
      <w:r w:rsidRPr="00071ED5">
        <w:rPr>
          <w:rFonts w:asciiTheme="majorBidi" w:hAnsiTheme="majorBidi" w:cstheme="majorBidi"/>
        </w:rPr>
        <w:t>Programa</w:t>
      </w:r>
      <w:proofErr w:type="spellEnd"/>
      <w:r w:rsidRPr="00071ED5">
        <w:rPr>
          <w:rFonts w:asciiTheme="majorBidi" w:hAnsiTheme="majorBidi" w:cstheme="majorBidi"/>
        </w:rPr>
        <w:t xml:space="preserve"> </w:t>
      </w:r>
      <w:proofErr w:type="spellStart"/>
      <w:r w:rsidRPr="00071ED5">
        <w:rPr>
          <w:rFonts w:asciiTheme="majorBidi" w:hAnsiTheme="majorBidi" w:cstheme="majorBidi"/>
        </w:rPr>
        <w:t>Nacional</w:t>
      </w:r>
      <w:proofErr w:type="spellEnd"/>
      <w:r w:rsidRPr="00071ED5">
        <w:rPr>
          <w:rFonts w:asciiTheme="majorBidi" w:hAnsiTheme="majorBidi" w:cstheme="majorBidi"/>
        </w:rPr>
        <w:t xml:space="preserve"> para la </w:t>
      </w:r>
      <w:proofErr w:type="spellStart"/>
      <w:r w:rsidRPr="00071ED5">
        <w:rPr>
          <w:rFonts w:asciiTheme="majorBidi" w:hAnsiTheme="majorBidi" w:cstheme="majorBidi"/>
        </w:rPr>
        <w:t>Protección</w:t>
      </w:r>
      <w:proofErr w:type="spellEnd"/>
      <w:r w:rsidRPr="00071ED5">
        <w:rPr>
          <w:rFonts w:asciiTheme="majorBidi" w:hAnsiTheme="majorBidi" w:cstheme="majorBidi"/>
        </w:rPr>
        <w:t xml:space="preserve"> de la Capa de </w:t>
      </w:r>
      <w:proofErr w:type="spellStart"/>
      <w:r w:rsidRPr="00071ED5">
        <w:rPr>
          <w:rFonts w:asciiTheme="majorBidi" w:hAnsiTheme="majorBidi" w:cstheme="majorBidi"/>
        </w:rPr>
        <w:t>Ozono</w:t>
      </w:r>
      <w:proofErr w:type="spellEnd"/>
      <w:r w:rsidRPr="00071ED5">
        <w:rPr>
          <w:rFonts w:asciiTheme="majorBidi" w:hAnsiTheme="majorBidi" w:cstheme="majorBidi"/>
        </w:rPr>
        <w:t xml:space="preserve"> y Punto Focal </w:t>
      </w:r>
      <w:proofErr w:type="spellStart"/>
      <w:r w:rsidRPr="00071ED5">
        <w:rPr>
          <w:rFonts w:asciiTheme="majorBidi" w:hAnsiTheme="majorBidi" w:cstheme="majorBidi"/>
        </w:rPr>
        <w:t>Técnico</w:t>
      </w:r>
      <w:proofErr w:type="spellEnd"/>
      <w:r w:rsidRPr="00071ED5">
        <w:rPr>
          <w:rFonts w:asciiTheme="majorBidi" w:hAnsiTheme="majorBidi" w:cstheme="majorBidi"/>
        </w:rPr>
        <w:br/>
      </w:r>
      <w:proofErr w:type="spellStart"/>
      <w:r w:rsidRPr="00071ED5">
        <w:rPr>
          <w:rFonts w:asciiTheme="majorBidi" w:hAnsiTheme="majorBidi" w:cstheme="majorBidi"/>
        </w:rPr>
        <w:t>Ministerio</w:t>
      </w:r>
      <w:proofErr w:type="spellEnd"/>
      <w:r w:rsidRPr="00071ED5">
        <w:rPr>
          <w:rFonts w:asciiTheme="majorBidi" w:hAnsiTheme="majorBidi" w:cstheme="majorBidi"/>
        </w:rPr>
        <w:t xml:space="preserve"> de </w:t>
      </w:r>
      <w:proofErr w:type="spellStart"/>
      <w:r w:rsidRPr="00071ED5">
        <w:rPr>
          <w:rFonts w:asciiTheme="majorBidi" w:hAnsiTheme="majorBidi" w:cstheme="majorBidi"/>
        </w:rPr>
        <w:t>Ambiente</w:t>
      </w:r>
      <w:proofErr w:type="spellEnd"/>
      <w:r w:rsidRPr="00071ED5">
        <w:rPr>
          <w:rFonts w:asciiTheme="majorBidi" w:hAnsiTheme="majorBidi" w:cstheme="majorBidi"/>
        </w:rPr>
        <w:t xml:space="preserve"> y </w:t>
      </w:r>
      <w:proofErr w:type="spellStart"/>
      <w:r w:rsidRPr="00071ED5">
        <w:rPr>
          <w:rFonts w:asciiTheme="majorBidi" w:hAnsiTheme="majorBidi" w:cstheme="majorBidi"/>
        </w:rPr>
        <w:t>Recursos</w:t>
      </w:r>
      <w:proofErr w:type="spellEnd"/>
      <w:r w:rsidRPr="00071ED5">
        <w:rPr>
          <w:rFonts w:asciiTheme="majorBidi" w:hAnsiTheme="majorBidi" w:cstheme="majorBidi"/>
        </w:rPr>
        <w:t xml:space="preserve"> </w:t>
      </w:r>
      <w:proofErr w:type="spellStart"/>
      <w:r w:rsidRPr="00071ED5">
        <w:rPr>
          <w:rFonts w:asciiTheme="majorBidi" w:hAnsiTheme="majorBidi" w:cstheme="majorBidi"/>
        </w:rPr>
        <w:t>Naturales</w:t>
      </w:r>
      <w:proofErr w:type="spellEnd"/>
      <w:r w:rsidRPr="00071ED5">
        <w:rPr>
          <w:rFonts w:asciiTheme="majorBidi" w:hAnsiTheme="majorBidi" w:cstheme="majorBidi"/>
        </w:rPr>
        <w:br/>
        <w:t>Santo Domingo</w:t>
      </w:r>
      <w:r w:rsidRPr="00071ED5">
        <w:rPr>
          <w:rFonts w:asciiTheme="majorBidi" w:hAnsiTheme="majorBidi" w:cstheme="majorBidi"/>
        </w:rPr>
        <w:br/>
      </w:r>
      <w:proofErr w:type="spellStart"/>
      <w:r w:rsidRPr="00071ED5">
        <w:rPr>
          <w:rFonts w:asciiTheme="majorBidi" w:hAnsiTheme="majorBidi" w:cstheme="majorBidi"/>
        </w:rPr>
        <w:t>Dominican</w:t>
      </w:r>
      <w:proofErr w:type="spellEnd"/>
      <w:r w:rsidRPr="00071ED5">
        <w:rPr>
          <w:rFonts w:asciiTheme="majorBidi" w:hAnsiTheme="majorBidi" w:cstheme="majorBidi"/>
        </w:rPr>
        <w:t xml:space="preserve"> Republic</w:t>
      </w:r>
    </w:p>
    <w:p w14:paraId="4409E930" w14:textId="01D93A64" w:rsidR="000F2789" w:rsidRPr="001D4801" w:rsidRDefault="001E34CC" w:rsidP="001D4801">
      <w:pPr>
        <w:pStyle w:val="Normal-pool"/>
        <w:keepNext/>
        <w:keepLines/>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24" w:history="1">
        <w:r w:rsidR="000F2789" w:rsidRPr="001D4801">
          <w:rPr>
            <w:rStyle w:val="Hyperlink"/>
            <w:rFonts w:asciiTheme="majorBidi" w:hAnsiTheme="majorBidi" w:cstheme="majorBidi"/>
          </w:rPr>
          <w:t>Mario.Perez@ambiente.gob.do</w:t>
        </w:r>
      </w:hyperlink>
    </w:p>
    <w:p w14:paraId="4B43AC75" w14:textId="2A129683" w:rsidR="000F2789" w:rsidRPr="000B5AE8" w:rsidRDefault="003B76C9" w:rsidP="001D4801">
      <w:pPr>
        <w:pStyle w:val="Normal-pool"/>
        <w:tabs>
          <w:tab w:val="clear" w:pos="624"/>
          <w:tab w:val="clear" w:pos="1247"/>
          <w:tab w:val="clear" w:pos="1871"/>
          <w:tab w:val="clear" w:pos="2495"/>
          <w:tab w:val="clear" w:pos="3119"/>
          <w:tab w:val="clear" w:pos="3742"/>
          <w:tab w:val="clear" w:pos="4366"/>
          <w:tab w:val="clear" w:pos="4990"/>
        </w:tabs>
        <w:bidi/>
        <w:spacing w:before="240" w:after="120" w:line="360" w:lineRule="exact"/>
        <w:ind w:left="1134"/>
        <w:jc w:val="both"/>
        <w:rPr>
          <w:rFonts w:ascii="Simplified Arabic" w:hAnsi="Simplified Arabic" w:cs="Simplified Arabic"/>
          <w:b/>
          <w:bCs/>
          <w:sz w:val="24"/>
          <w:szCs w:val="24"/>
        </w:rPr>
      </w:pPr>
      <w:r w:rsidRPr="000B5AE8">
        <w:rPr>
          <w:rFonts w:ascii="Simplified Arabic" w:hAnsi="Simplified Arabic" w:cs="Simplified Arabic"/>
          <w:b/>
          <w:bCs/>
          <w:sz w:val="24"/>
          <w:szCs w:val="24"/>
          <w:rtl/>
        </w:rPr>
        <w:t>جمهورية إيران الإسلامية</w:t>
      </w:r>
    </w:p>
    <w:p w14:paraId="63E4B189" w14:textId="77777777" w:rsidR="0065304E" w:rsidRPr="00071ED5" w:rsidRDefault="000F2789" w:rsidP="00071ED5">
      <w:pPr>
        <w:pStyle w:val="Normal-pool"/>
        <w:tabs>
          <w:tab w:val="clear" w:pos="624"/>
          <w:tab w:val="clear" w:pos="1247"/>
          <w:tab w:val="clear" w:pos="1871"/>
          <w:tab w:val="clear" w:pos="2495"/>
          <w:tab w:val="clear" w:pos="3119"/>
          <w:tab w:val="clear" w:pos="3742"/>
          <w:tab w:val="clear" w:pos="4366"/>
          <w:tab w:val="clear" w:pos="4990"/>
        </w:tabs>
        <w:spacing w:line="240" w:lineRule="exact"/>
        <w:ind w:right="1134"/>
        <w:rPr>
          <w:rFonts w:asciiTheme="majorBidi" w:hAnsiTheme="majorBidi" w:cstheme="majorBidi"/>
        </w:rPr>
      </w:pPr>
      <w:r w:rsidRPr="00071ED5">
        <w:rPr>
          <w:rFonts w:asciiTheme="majorBidi" w:hAnsiTheme="majorBidi" w:cstheme="majorBidi"/>
        </w:rPr>
        <w:t xml:space="preserve">Mr. Hossein Shahbaz </w:t>
      </w:r>
      <w:r w:rsidRPr="00071ED5">
        <w:rPr>
          <w:rFonts w:asciiTheme="majorBidi" w:hAnsiTheme="majorBidi" w:cstheme="majorBidi"/>
        </w:rPr>
        <w:br/>
        <w:t>Director of Ozone Layer Protection Unit</w:t>
      </w:r>
      <w:r w:rsidRPr="00071ED5">
        <w:rPr>
          <w:rFonts w:asciiTheme="majorBidi" w:hAnsiTheme="majorBidi" w:cstheme="majorBidi"/>
        </w:rPr>
        <w:br/>
        <w:t>Ozone Layer Protection Unit</w:t>
      </w:r>
      <w:r w:rsidRPr="00071ED5">
        <w:rPr>
          <w:rFonts w:asciiTheme="majorBidi" w:hAnsiTheme="majorBidi" w:cstheme="majorBidi"/>
        </w:rPr>
        <w:br/>
        <w:t xml:space="preserve">Ministry of </w:t>
      </w:r>
      <w:proofErr w:type="spellStart"/>
      <w:r w:rsidRPr="00071ED5">
        <w:rPr>
          <w:rFonts w:asciiTheme="majorBidi" w:hAnsiTheme="majorBidi" w:cstheme="majorBidi"/>
        </w:rPr>
        <w:t>Environment</w:t>
      </w:r>
      <w:proofErr w:type="spellEnd"/>
      <w:r w:rsidRPr="00071ED5">
        <w:rPr>
          <w:rFonts w:asciiTheme="majorBidi" w:hAnsiTheme="majorBidi" w:cstheme="majorBidi"/>
        </w:rPr>
        <w:br/>
        <w:t>Tehran</w:t>
      </w:r>
      <w:r w:rsidRPr="00071ED5">
        <w:rPr>
          <w:rFonts w:asciiTheme="majorBidi" w:hAnsiTheme="majorBidi" w:cstheme="majorBidi"/>
        </w:rPr>
        <w:br/>
        <w:t>Iran (</w:t>
      </w:r>
      <w:proofErr w:type="spellStart"/>
      <w:r w:rsidRPr="00071ED5">
        <w:rPr>
          <w:rFonts w:asciiTheme="majorBidi" w:hAnsiTheme="majorBidi" w:cstheme="majorBidi"/>
        </w:rPr>
        <w:t>Islamic</w:t>
      </w:r>
      <w:proofErr w:type="spellEnd"/>
      <w:r w:rsidRPr="00071ED5">
        <w:rPr>
          <w:rFonts w:asciiTheme="majorBidi" w:hAnsiTheme="majorBidi" w:cstheme="majorBidi"/>
        </w:rPr>
        <w:t xml:space="preserve"> Republic of)</w:t>
      </w:r>
    </w:p>
    <w:p w14:paraId="7E3BDA71" w14:textId="5CD473E0" w:rsidR="000F2789" w:rsidRPr="001D4801" w:rsidRDefault="001E34CC"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25" w:history="1">
        <w:r w:rsidR="000F2789" w:rsidRPr="001D4801">
          <w:rPr>
            <w:rStyle w:val="Hyperlink"/>
            <w:rFonts w:asciiTheme="majorBidi" w:hAnsiTheme="majorBidi" w:cstheme="majorBidi"/>
          </w:rPr>
          <w:t>info@iranozone.ir</w:t>
        </w:r>
      </w:hyperlink>
    </w:p>
    <w:p w14:paraId="59382E5D" w14:textId="0A5F409B" w:rsidR="000F2789" w:rsidRPr="000B5AE8" w:rsidRDefault="003B76C9" w:rsidP="001D4801">
      <w:pPr>
        <w:pStyle w:val="Normal-pool"/>
        <w:tabs>
          <w:tab w:val="clear" w:pos="624"/>
          <w:tab w:val="clear" w:pos="1247"/>
          <w:tab w:val="clear" w:pos="1871"/>
          <w:tab w:val="clear" w:pos="2495"/>
          <w:tab w:val="clear" w:pos="3119"/>
          <w:tab w:val="clear" w:pos="3742"/>
          <w:tab w:val="clear" w:pos="4366"/>
          <w:tab w:val="clear" w:pos="4990"/>
        </w:tabs>
        <w:bidi/>
        <w:spacing w:before="240" w:after="120" w:line="360" w:lineRule="exact"/>
        <w:ind w:left="1134"/>
        <w:jc w:val="both"/>
        <w:rPr>
          <w:rFonts w:ascii="Simplified Arabic" w:hAnsi="Simplified Arabic" w:cs="Simplified Arabic"/>
          <w:b/>
          <w:bCs/>
          <w:sz w:val="24"/>
          <w:szCs w:val="24"/>
        </w:rPr>
      </w:pPr>
      <w:r w:rsidRPr="000B5AE8">
        <w:rPr>
          <w:rFonts w:ascii="Simplified Arabic" w:hAnsi="Simplified Arabic" w:cs="Simplified Arabic" w:hint="cs"/>
          <w:b/>
          <w:bCs/>
          <w:sz w:val="24"/>
          <w:szCs w:val="24"/>
          <w:rtl/>
        </w:rPr>
        <w:t>كينيا</w:t>
      </w:r>
    </w:p>
    <w:p w14:paraId="4D7CF853" w14:textId="77777777" w:rsidR="00E11977" w:rsidRPr="00071ED5" w:rsidRDefault="000F2789" w:rsidP="00071ED5">
      <w:pPr>
        <w:pStyle w:val="Normal-pool"/>
        <w:tabs>
          <w:tab w:val="clear" w:pos="624"/>
          <w:tab w:val="clear" w:pos="1247"/>
          <w:tab w:val="clear" w:pos="1871"/>
          <w:tab w:val="clear" w:pos="2495"/>
          <w:tab w:val="clear" w:pos="3119"/>
          <w:tab w:val="clear" w:pos="3742"/>
          <w:tab w:val="clear" w:pos="4366"/>
          <w:tab w:val="clear" w:pos="4990"/>
        </w:tabs>
        <w:spacing w:line="240" w:lineRule="exact"/>
        <w:ind w:right="1134"/>
        <w:rPr>
          <w:rFonts w:asciiTheme="majorBidi" w:hAnsiTheme="majorBidi" w:cstheme="majorBidi"/>
        </w:rPr>
      </w:pPr>
      <w:r w:rsidRPr="00071ED5">
        <w:rPr>
          <w:rFonts w:asciiTheme="majorBidi" w:hAnsiTheme="majorBidi" w:cstheme="majorBidi"/>
        </w:rPr>
        <w:t xml:space="preserve">Mr. </w:t>
      </w:r>
      <w:proofErr w:type="spellStart"/>
      <w:r w:rsidRPr="00071ED5">
        <w:rPr>
          <w:rFonts w:asciiTheme="majorBidi" w:hAnsiTheme="majorBidi" w:cstheme="majorBidi"/>
        </w:rPr>
        <w:t>Marindany</w:t>
      </w:r>
      <w:proofErr w:type="spellEnd"/>
      <w:r w:rsidRPr="00071ED5">
        <w:rPr>
          <w:rFonts w:asciiTheme="majorBidi" w:hAnsiTheme="majorBidi" w:cstheme="majorBidi"/>
        </w:rPr>
        <w:t xml:space="preserve"> Leonard Kirui</w:t>
      </w:r>
      <w:r w:rsidRPr="00071ED5">
        <w:rPr>
          <w:rFonts w:asciiTheme="majorBidi" w:hAnsiTheme="majorBidi" w:cstheme="majorBidi"/>
        </w:rPr>
        <w:br/>
        <w:t>Coordinator</w:t>
      </w:r>
      <w:r w:rsidRPr="00071ED5">
        <w:rPr>
          <w:rFonts w:asciiTheme="majorBidi" w:hAnsiTheme="majorBidi" w:cstheme="majorBidi"/>
        </w:rPr>
        <w:br/>
        <w:t>National Ozone Unit</w:t>
      </w:r>
      <w:r w:rsidRPr="00071ED5">
        <w:rPr>
          <w:rFonts w:asciiTheme="majorBidi" w:hAnsiTheme="majorBidi" w:cstheme="majorBidi"/>
        </w:rPr>
        <w:br/>
        <w:t xml:space="preserve">Ministry of </w:t>
      </w:r>
      <w:proofErr w:type="spellStart"/>
      <w:r w:rsidRPr="00071ED5">
        <w:rPr>
          <w:rFonts w:asciiTheme="majorBidi" w:hAnsiTheme="majorBidi" w:cstheme="majorBidi"/>
        </w:rPr>
        <w:t>Environment</w:t>
      </w:r>
      <w:proofErr w:type="spellEnd"/>
      <w:r w:rsidRPr="00071ED5">
        <w:rPr>
          <w:rFonts w:asciiTheme="majorBidi" w:hAnsiTheme="majorBidi" w:cstheme="majorBidi"/>
        </w:rPr>
        <w:t xml:space="preserve">, </w:t>
      </w:r>
      <w:proofErr w:type="spellStart"/>
      <w:r w:rsidRPr="00071ED5">
        <w:rPr>
          <w:rFonts w:asciiTheme="majorBidi" w:hAnsiTheme="majorBidi" w:cstheme="majorBidi"/>
        </w:rPr>
        <w:t>Climate</w:t>
      </w:r>
      <w:proofErr w:type="spellEnd"/>
      <w:r w:rsidRPr="00071ED5">
        <w:rPr>
          <w:rFonts w:asciiTheme="majorBidi" w:hAnsiTheme="majorBidi" w:cstheme="majorBidi"/>
        </w:rPr>
        <w:t xml:space="preserve"> Change and </w:t>
      </w:r>
      <w:proofErr w:type="spellStart"/>
      <w:r w:rsidRPr="00071ED5">
        <w:rPr>
          <w:rFonts w:asciiTheme="majorBidi" w:hAnsiTheme="majorBidi" w:cstheme="majorBidi"/>
        </w:rPr>
        <w:t>Forestry</w:t>
      </w:r>
      <w:proofErr w:type="spellEnd"/>
      <w:r w:rsidRPr="00071ED5">
        <w:rPr>
          <w:rFonts w:asciiTheme="majorBidi" w:hAnsiTheme="majorBidi" w:cstheme="majorBidi"/>
        </w:rPr>
        <w:br/>
        <w:t>Nairobi</w:t>
      </w:r>
      <w:r w:rsidRPr="00071ED5">
        <w:rPr>
          <w:rFonts w:asciiTheme="majorBidi" w:hAnsiTheme="majorBidi" w:cstheme="majorBidi"/>
        </w:rPr>
        <w:br/>
        <w:t>Kenya</w:t>
      </w:r>
    </w:p>
    <w:p w14:paraId="5B5795CD" w14:textId="67460931" w:rsidR="000F2789" w:rsidRPr="001D4801" w:rsidRDefault="001E34CC"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26" w:history="1">
        <w:r w:rsidR="000F2789" w:rsidRPr="001D4801">
          <w:rPr>
            <w:rStyle w:val="Hyperlink"/>
            <w:rFonts w:asciiTheme="majorBidi" w:hAnsiTheme="majorBidi" w:cstheme="majorBidi"/>
          </w:rPr>
          <w:t>marindanykirui@yahoo.com</w:t>
        </w:r>
      </w:hyperlink>
      <w:r w:rsidR="000F2789" w:rsidRPr="00137C2C">
        <w:rPr>
          <w:rStyle w:val="Hyperlink"/>
          <w:rFonts w:asciiTheme="majorBidi" w:hAnsiTheme="majorBidi" w:cstheme="majorBidi"/>
          <w:color w:val="auto"/>
        </w:rPr>
        <w:t>,</w:t>
      </w:r>
      <w:r w:rsidR="000F2789" w:rsidRPr="001D4801">
        <w:rPr>
          <w:rStyle w:val="Hyperlink"/>
          <w:rFonts w:asciiTheme="majorBidi" w:hAnsiTheme="majorBidi" w:cstheme="majorBidi"/>
        </w:rPr>
        <w:t xml:space="preserve"> </w:t>
      </w:r>
      <w:hyperlink r:id="rId27" w:history="1">
        <w:r w:rsidR="000F2789" w:rsidRPr="001D4801">
          <w:rPr>
            <w:rStyle w:val="Hyperlink"/>
            <w:rFonts w:asciiTheme="majorBidi" w:hAnsiTheme="majorBidi" w:cstheme="majorBidi"/>
          </w:rPr>
          <w:t>mkirui@environment.go.ke</w:t>
        </w:r>
      </w:hyperlink>
    </w:p>
    <w:p w14:paraId="4A1AC884" w14:textId="1BFE7E3D" w:rsidR="000F2789" w:rsidRPr="000B5AE8" w:rsidRDefault="007F0126" w:rsidP="001D4801">
      <w:pPr>
        <w:pStyle w:val="Normal-pool"/>
        <w:tabs>
          <w:tab w:val="clear" w:pos="624"/>
          <w:tab w:val="clear" w:pos="1247"/>
          <w:tab w:val="clear" w:pos="1871"/>
          <w:tab w:val="clear" w:pos="2495"/>
          <w:tab w:val="clear" w:pos="3119"/>
          <w:tab w:val="clear" w:pos="3742"/>
          <w:tab w:val="clear" w:pos="4366"/>
          <w:tab w:val="clear" w:pos="4990"/>
        </w:tabs>
        <w:bidi/>
        <w:spacing w:before="240" w:after="120" w:line="360" w:lineRule="exact"/>
        <w:ind w:left="1134"/>
        <w:jc w:val="both"/>
        <w:rPr>
          <w:rFonts w:ascii="Simplified Arabic" w:hAnsi="Simplified Arabic" w:cs="Simplified Arabic"/>
          <w:b/>
          <w:bCs/>
          <w:sz w:val="24"/>
          <w:szCs w:val="24"/>
          <w:rtl/>
        </w:rPr>
      </w:pPr>
      <w:r w:rsidRPr="000B5AE8">
        <w:rPr>
          <w:rFonts w:ascii="Simplified Arabic" w:hAnsi="Simplified Arabic" w:cs="Simplified Arabic"/>
          <w:b/>
          <w:bCs/>
          <w:sz w:val="24"/>
          <w:szCs w:val="24"/>
          <w:rtl/>
        </w:rPr>
        <w:t>الجبل الأسود</w:t>
      </w:r>
    </w:p>
    <w:p w14:paraId="30088614" w14:textId="77777777" w:rsidR="00E11977" w:rsidRPr="00071ED5" w:rsidRDefault="000F2789" w:rsidP="00071ED5">
      <w:pPr>
        <w:pStyle w:val="Normal-pool"/>
        <w:tabs>
          <w:tab w:val="clear" w:pos="624"/>
          <w:tab w:val="clear" w:pos="1247"/>
          <w:tab w:val="clear" w:pos="1871"/>
          <w:tab w:val="clear" w:pos="2495"/>
          <w:tab w:val="clear" w:pos="3119"/>
          <w:tab w:val="clear" w:pos="3742"/>
          <w:tab w:val="clear" w:pos="4366"/>
          <w:tab w:val="clear" w:pos="4990"/>
        </w:tabs>
        <w:spacing w:line="240" w:lineRule="exact"/>
        <w:ind w:right="1134"/>
        <w:rPr>
          <w:rFonts w:asciiTheme="majorBidi" w:hAnsiTheme="majorBidi" w:cstheme="majorBidi"/>
        </w:rPr>
      </w:pPr>
      <w:r w:rsidRPr="00071ED5">
        <w:rPr>
          <w:rFonts w:asciiTheme="majorBidi" w:hAnsiTheme="majorBidi" w:cstheme="majorBidi"/>
        </w:rPr>
        <w:t>Ms. Tatjana Boljevic</w:t>
      </w:r>
      <w:r w:rsidRPr="00071ED5">
        <w:rPr>
          <w:rFonts w:asciiTheme="majorBidi" w:hAnsiTheme="majorBidi" w:cstheme="majorBidi"/>
        </w:rPr>
        <w:br/>
        <w:t>Senior Adviser / National Focal Point for Vienna Convention &amp; Montreal Protocol</w:t>
      </w:r>
      <w:r w:rsidRPr="00071ED5">
        <w:rPr>
          <w:rFonts w:asciiTheme="majorBidi" w:hAnsiTheme="majorBidi" w:cstheme="majorBidi"/>
        </w:rPr>
        <w:br/>
      </w:r>
      <w:proofErr w:type="spellStart"/>
      <w:r w:rsidRPr="00071ED5">
        <w:rPr>
          <w:rFonts w:asciiTheme="majorBidi" w:hAnsiTheme="majorBidi" w:cstheme="majorBidi"/>
        </w:rPr>
        <w:t>Environmental</w:t>
      </w:r>
      <w:proofErr w:type="spellEnd"/>
      <w:r w:rsidRPr="00071ED5">
        <w:rPr>
          <w:rFonts w:asciiTheme="majorBidi" w:hAnsiTheme="majorBidi" w:cstheme="majorBidi"/>
        </w:rPr>
        <w:t xml:space="preserve"> Protection Agency</w:t>
      </w:r>
      <w:r w:rsidRPr="00071ED5">
        <w:rPr>
          <w:rFonts w:asciiTheme="majorBidi" w:hAnsiTheme="majorBidi" w:cstheme="majorBidi"/>
        </w:rPr>
        <w:br/>
        <w:t>Podgorica</w:t>
      </w:r>
      <w:r w:rsidRPr="00071ED5">
        <w:rPr>
          <w:rFonts w:asciiTheme="majorBidi" w:hAnsiTheme="majorBidi" w:cstheme="majorBidi"/>
        </w:rPr>
        <w:br/>
        <w:t>Montenegro</w:t>
      </w:r>
    </w:p>
    <w:p w14:paraId="008B5124" w14:textId="7FB00075" w:rsidR="000F2789" w:rsidRPr="001D4801" w:rsidRDefault="001E34CC"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28" w:history="1">
        <w:r w:rsidR="000F2789" w:rsidRPr="001D4801">
          <w:rPr>
            <w:rStyle w:val="Hyperlink"/>
            <w:rFonts w:asciiTheme="majorBidi" w:hAnsiTheme="majorBidi" w:cstheme="majorBidi"/>
          </w:rPr>
          <w:t>tatjana.djurcevic@epa.org.me</w:t>
        </w:r>
      </w:hyperlink>
    </w:p>
    <w:p w14:paraId="7BB475BE" w14:textId="742CCD3B" w:rsidR="000F2789" w:rsidRPr="000B5AE8" w:rsidRDefault="009856EB" w:rsidP="001D4801">
      <w:pPr>
        <w:pStyle w:val="Normal-pool"/>
        <w:tabs>
          <w:tab w:val="clear" w:pos="624"/>
          <w:tab w:val="clear" w:pos="1247"/>
          <w:tab w:val="clear" w:pos="1871"/>
          <w:tab w:val="clear" w:pos="2495"/>
          <w:tab w:val="clear" w:pos="3119"/>
          <w:tab w:val="clear" w:pos="3742"/>
          <w:tab w:val="clear" w:pos="4366"/>
          <w:tab w:val="clear" w:pos="4990"/>
        </w:tabs>
        <w:bidi/>
        <w:spacing w:before="240" w:after="120" w:line="360" w:lineRule="exact"/>
        <w:ind w:left="1134"/>
        <w:jc w:val="both"/>
        <w:rPr>
          <w:rFonts w:ascii="Simplified Arabic" w:hAnsi="Simplified Arabic" w:cs="Simplified Arabic"/>
          <w:b/>
          <w:bCs/>
          <w:sz w:val="24"/>
          <w:szCs w:val="24"/>
        </w:rPr>
      </w:pPr>
      <w:r w:rsidRPr="000B5AE8">
        <w:rPr>
          <w:rFonts w:ascii="Simplified Arabic" w:hAnsi="Simplified Arabic" w:cs="Simplified Arabic"/>
          <w:b/>
          <w:bCs/>
          <w:sz w:val="24"/>
          <w:szCs w:val="24"/>
          <w:rtl/>
        </w:rPr>
        <w:lastRenderedPageBreak/>
        <w:t>مملكة هولندا</w:t>
      </w:r>
    </w:p>
    <w:p w14:paraId="68C002E5" w14:textId="77777777" w:rsidR="00D7275F" w:rsidRPr="00071ED5" w:rsidRDefault="000F2789" w:rsidP="00071ED5">
      <w:pPr>
        <w:pStyle w:val="Normal-pool"/>
        <w:tabs>
          <w:tab w:val="clear" w:pos="624"/>
          <w:tab w:val="clear" w:pos="1247"/>
          <w:tab w:val="clear" w:pos="1871"/>
          <w:tab w:val="clear" w:pos="2495"/>
          <w:tab w:val="clear" w:pos="3119"/>
          <w:tab w:val="clear" w:pos="3742"/>
          <w:tab w:val="clear" w:pos="4366"/>
          <w:tab w:val="clear" w:pos="4990"/>
        </w:tabs>
        <w:spacing w:line="240" w:lineRule="exact"/>
        <w:ind w:right="1134"/>
        <w:rPr>
          <w:rFonts w:asciiTheme="majorBidi" w:hAnsiTheme="majorBidi" w:cstheme="majorBidi"/>
        </w:rPr>
      </w:pPr>
      <w:r w:rsidRPr="00071ED5">
        <w:rPr>
          <w:rFonts w:asciiTheme="majorBidi" w:hAnsiTheme="majorBidi" w:cstheme="majorBidi"/>
        </w:rPr>
        <w:t>Mr. Ralph Brieskorn</w:t>
      </w:r>
      <w:r w:rsidRPr="00071ED5">
        <w:rPr>
          <w:rFonts w:asciiTheme="majorBidi" w:hAnsiTheme="majorBidi" w:cstheme="majorBidi"/>
        </w:rPr>
        <w:br/>
        <w:t xml:space="preserve">Team Leader EU </w:t>
      </w:r>
      <w:proofErr w:type="spellStart"/>
      <w:r w:rsidRPr="00071ED5">
        <w:rPr>
          <w:rFonts w:asciiTheme="majorBidi" w:hAnsiTheme="majorBidi" w:cstheme="majorBidi"/>
        </w:rPr>
        <w:t>Climate</w:t>
      </w:r>
      <w:proofErr w:type="spellEnd"/>
      <w:r w:rsidRPr="00071ED5">
        <w:rPr>
          <w:rFonts w:asciiTheme="majorBidi" w:hAnsiTheme="majorBidi" w:cstheme="majorBidi"/>
        </w:rPr>
        <w:t xml:space="preserve"> Policy and Montreal Protocol</w:t>
      </w:r>
      <w:r w:rsidRPr="00071ED5">
        <w:rPr>
          <w:rFonts w:asciiTheme="majorBidi" w:hAnsiTheme="majorBidi" w:cstheme="majorBidi"/>
        </w:rPr>
        <w:br/>
      </w:r>
      <w:proofErr w:type="spellStart"/>
      <w:r w:rsidRPr="00071ED5">
        <w:rPr>
          <w:rFonts w:asciiTheme="majorBidi" w:hAnsiTheme="majorBidi" w:cstheme="majorBidi"/>
        </w:rPr>
        <w:t>Climate</w:t>
      </w:r>
      <w:proofErr w:type="spellEnd"/>
      <w:r w:rsidRPr="00071ED5">
        <w:rPr>
          <w:rFonts w:asciiTheme="majorBidi" w:hAnsiTheme="majorBidi" w:cstheme="majorBidi"/>
        </w:rPr>
        <w:t xml:space="preserve"> Policy </w:t>
      </w:r>
      <w:proofErr w:type="spellStart"/>
      <w:r w:rsidRPr="00071ED5">
        <w:rPr>
          <w:rFonts w:asciiTheme="majorBidi" w:hAnsiTheme="majorBidi" w:cstheme="majorBidi"/>
        </w:rPr>
        <w:t>Directorate</w:t>
      </w:r>
      <w:proofErr w:type="spellEnd"/>
      <w:r w:rsidRPr="00071ED5">
        <w:rPr>
          <w:rFonts w:asciiTheme="majorBidi" w:hAnsiTheme="majorBidi" w:cstheme="majorBidi"/>
        </w:rPr>
        <w:br/>
        <w:t xml:space="preserve">Ministry of </w:t>
      </w:r>
      <w:proofErr w:type="spellStart"/>
      <w:r w:rsidRPr="00071ED5">
        <w:rPr>
          <w:rFonts w:asciiTheme="majorBidi" w:hAnsiTheme="majorBidi" w:cstheme="majorBidi"/>
        </w:rPr>
        <w:t>Climate</w:t>
      </w:r>
      <w:proofErr w:type="spellEnd"/>
      <w:r w:rsidRPr="00071ED5">
        <w:rPr>
          <w:rFonts w:asciiTheme="majorBidi" w:hAnsiTheme="majorBidi" w:cstheme="majorBidi"/>
        </w:rPr>
        <w:t xml:space="preserve"> Policy and Green </w:t>
      </w:r>
      <w:proofErr w:type="spellStart"/>
      <w:r w:rsidRPr="00071ED5">
        <w:rPr>
          <w:rFonts w:asciiTheme="majorBidi" w:hAnsiTheme="majorBidi" w:cstheme="majorBidi"/>
        </w:rPr>
        <w:t>Growth</w:t>
      </w:r>
      <w:proofErr w:type="spellEnd"/>
      <w:r w:rsidRPr="00071ED5">
        <w:rPr>
          <w:rFonts w:asciiTheme="majorBidi" w:hAnsiTheme="majorBidi" w:cstheme="majorBidi"/>
        </w:rPr>
        <w:br/>
        <w:t>The Hague</w:t>
      </w:r>
      <w:r w:rsidRPr="00071ED5">
        <w:rPr>
          <w:rFonts w:asciiTheme="majorBidi" w:hAnsiTheme="majorBidi" w:cstheme="majorBidi"/>
        </w:rPr>
        <w:br/>
      </w:r>
      <w:proofErr w:type="spellStart"/>
      <w:r w:rsidRPr="00071ED5">
        <w:rPr>
          <w:rFonts w:asciiTheme="majorBidi" w:hAnsiTheme="majorBidi" w:cstheme="majorBidi"/>
        </w:rPr>
        <w:t>Netherlands</w:t>
      </w:r>
      <w:proofErr w:type="spellEnd"/>
      <w:r w:rsidRPr="00071ED5">
        <w:rPr>
          <w:rFonts w:asciiTheme="majorBidi" w:hAnsiTheme="majorBidi" w:cstheme="majorBidi"/>
        </w:rPr>
        <w:t xml:space="preserve"> (Kingdom of the)</w:t>
      </w:r>
    </w:p>
    <w:p w14:paraId="5515E58C" w14:textId="4698215C" w:rsidR="000F2789" w:rsidRPr="001D4801" w:rsidRDefault="001E34CC"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29" w:history="1">
        <w:r w:rsidR="000F2789" w:rsidRPr="001D4801">
          <w:rPr>
            <w:rStyle w:val="Hyperlink"/>
            <w:rFonts w:asciiTheme="majorBidi" w:hAnsiTheme="majorBidi" w:cstheme="majorBidi"/>
          </w:rPr>
          <w:t>r.l.f.brieskorn@minezk.nl</w:t>
        </w:r>
      </w:hyperlink>
    </w:p>
    <w:p w14:paraId="7900C387" w14:textId="77777777" w:rsidR="00B47F91" w:rsidRPr="00071ED5" w:rsidRDefault="000F2789" w:rsidP="00071ED5">
      <w:pPr>
        <w:pStyle w:val="Normal-pool"/>
        <w:tabs>
          <w:tab w:val="clear" w:pos="624"/>
          <w:tab w:val="clear" w:pos="1247"/>
          <w:tab w:val="clear" w:pos="1871"/>
          <w:tab w:val="clear" w:pos="2495"/>
          <w:tab w:val="clear" w:pos="3119"/>
          <w:tab w:val="clear" w:pos="3742"/>
          <w:tab w:val="clear" w:pos="4366"/>
          <w:tab w:val="clear" w:pos="4990"/>
        </w:tabs>
        <w:spacing w:line="240" w:lineRule="exact"/>
        <w:ind w:right="1134"/>
        <w:rPr>
          <w:rFonts w:asciiTheme="majorBidi" w:hAnsiTheme="majorBidi" w:cstheme="majorBidi"/>
        </w:rPr>
      </w:pPr>
      <w:r w:rsidRPr="00071ED5">
        <w:rPr>
          <w:rFonts w:asciiTheme="majorBidi" w:hAnsiTheme="majorBidi" w:cstheme="majorBidi"/>
        </w:rPr>
        <w:t>Mr. Martijn Hildebrand</w:t>
      </w:r>
      <w:r w:rsidRPr="00071ED5">
        <w:rPr>
          <w:rFonts w:asciiTheme="majorBidi" w:hAnsiTheme="majorBidi" w:cstheme="majorBidi"/>
        </w:rPr>
        <w:br/>
        <w:t>Senior Policy Advisor</w:t>
      </w:r>
      <w:r w:rsidRPr="00071ED5">
        <w:rPr>
          <w:rFonts w:asciiTheme="majorBidi" w:hAnsiTheme="majorBidi" w:cstheme="majorBidi"/>
        </w:rPr>
        <w:br/>
      </w:r>
      <w:proofErr w:type="spellStart"/>
      <w:r w:rsidRPr="00071ED5">
        <w:rPr>
          <w:rFonts w:asciiTheme="majorBidi" w:hAnsiTheme="majorBidi" w:cstheme="majorBidi"/>
        </w:rPr>
        <w:t>Department</w:t>
      </w:r>
      <w:proofErr w:type="spellEnd"/>
      <w:r w:rsidRPr="00071ED5">
        <w:rPr>
          <w:rFonts w:asciiTheme="majorBidi" w:hAnsiTheme="majorBidi" w:cstheme="majorBidi"/>
        </w:rPr>
        <w:t xml:space="preserve"> of </w:t>
      </w:r>
      <w:proofErr w:type="spellStart"/>
      <w:r w:rsidRPr="00071ED5">
        <w:rPr>
          <w:rFonts w:asciiTheme="majorBidi" w:hAnsiTheme="majorBidi" w:cstheme="majorBidi"/>
        </w:rPr>
        <w:t>Waterways</w:t>
      </w:r>
      <w:proofErr w:type="spellEnd"/>
      <w:r w:rsidRPr="00071ED5">
        <w:rPr>
          <w:rFonts w:asciiTheme="majorBidi" w:hAnsiTheme="majorBidi" w:cstheme="majorBidi"/>
        </w:rPr>
        <w:t xml:space="preserve"> and Public Works</w:t>
      </w:r>
      <w:r w:rsidRPr="00071ED5">
        <w:rPr>
          <w:rFonts w:asciiTheme="majorBidi" w:hAnsiTheme="majorBidi" w:cstheme="majorBidi"/>
        </w:rPr>
        <w:br/>
        <w:t>Ministry of Infrastructure and Water Management</w:t>
      </w:r>
      <w:r w:rsidRPr="00071ED5">
        <w:rPr>
          <w:rFonts w:asciiTheme="majorBidi" w:hAnsiTheme="majorBidi" w:cstheme="majorBidi"/>
        </w:rPr>
        <w:br/>
        <w:t>The Hague</w:t>
      </w:r>
      <w:r w:rsidRPr="00071ED5">
        <w:rPr>
          <w:rFonts w:asciiTheme="majorBidi" w:hAnsiTheme="majorBidi" w:cstheme="majorBidi"/>
        </w:rPr>
        <w:br/>
      </w:r>
      <w:proofErr w:type="spellStart"/>
      <w:r w:rsidRPr="00071ED5">
        <w:rPr>
          <w:rFonts w:asciiTheme="majorBidi" w:hAnsiTheme="majorBidi" w:cstheme="majorBidi"/>
        </w:rPr>
        <w:t>Netherlands</w:t>
      </w:r>
      <w:proofErr w:type="spellEnd"/>
      <w:r w:rsidRPr="00071ED5">
        <w:rPr>
          <w:rFonts w:asciiTheme="majorBidi" w:hAnsiTheme="majorBidi" w:cstheme="majorBidi"/>
        </w:rPr>
        <w:t xml:space="preserve"> (Kingdom of the)</w:t>
      </w:r>
    </w:p>
    <w:p w14:paraId="4414040D" w14:textId="504A06B3" w:rsidR="000F2789" w:rsidRPr="001D4801" w:rsidRDefault="008F65B1"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30" w:history="1">
        <w:r w:rsidR="000F2789" w:rsidRPr="001D4801">
          <w:rPr>
            <w:rStyle w:val="Hyperlink"/>
            <w:rFonts w:asciiTheme="majorBidi" w:hAnsiTheme="majorBidi" w:cstheme="majorBidi"/>
          </w:rPr>
          <w:t>martijn.hildebrand@rws.nl</w:t>
        </w:r>
      </w:hyperlink>
    </w:p>
    <w:p w14:paraId="4EEC388B" w14:textId="562B8653" w:rsidR="000F2789" w:rsidRPr="000B5AE8" w:rsidRDefault="00075352" w:rsidP="001D4801">
      <w:pPr>
        <w:pStyle w:val="CH3"/>
        <w:tabs>
          <w:tab w:val="clear" w:pos="851"/>
          <w:tab w:val="clear" w:pos="1247"/>
          <w:tab w:val="clear" w:pos="1871"/>
          <w:tab w:val="clear" w:pos="2495"/>
          <w:tab w:val="clear" w:pos="3119"/>
          <w:tab w:val="clear" w:pos="3742"/>
          <w:tab w:val="clear" w:pos="4366"/>
          <w:tab w:val="clear" w:pos="4990"/>
        </w:tabs>
        <w:bidi/>
        <w:spacing w:line="360" w:lineRule="exact"/>
        <w:ind w:left="1134" w:right="0" w:firstLine="0"/>
        <w:jc w:val="both"/>
        <w:rPr>
          <w:rFonts w:ascii="Simplified Arabic" w:hAnsi="Simplified Arabic" w:cs="Simplified Arabic"/>
          <w:sz w:val="24"/>
          <w:szCs w:val="24"/>
          <w:rtl/>
        </w:rPr>
      </w:pPr>
      <w:r w:rsidRPr="000B5AE8">
        <w:rPr>
          <w:rFonts w:ascii="Simplified Arabic" w:hAnsi="Simplified Arabic" w:cs="Simplified Arabic"/>
          <w:bCs/>
          <w:sz w:val="24"/>
          <w:szCs w:val="24"/>
          <w:rtl/>
        </w:rPr>
        <w:t>المملكة العربية السعودية</w:t>
      </w:r>
    </w:p>
    <w:p w14:paraId="25BD1A15" w14:textId="77777777" w:rsidR="00F33CC3" w:rsidRPr="00F33CC3" w:rsidRDefault="00F33CC3" w:rsidP="00F33CC3">
      <w:pPr>
        <w:pStyle w:val="Normal-pool"/>
        <w:keepNext/>
        <w:keepLines/>
        <w:tabs>
          <w:tab w:val="clear" w:pos="1247"/>
        </w:tabs>
        <w:bidi/>
        <w:spacing w:line="300" w:lineRule="exact"/>
        <w:ind w:left="1134"/>
        <w:rPr>
          <w:rFonts w:ascii="Simplified Arabic" w:hAnsi="Simplified Arabic" w:cs="Simplified Arabic"/>
          <w:sz w:val="22"/>
          <w:szCs w:val="22"/>
        </w:rPr>
      </w:pPr>
      <w:r w:rsidRPr="00F33CC3">
        <w:rPr>
          <w:rFonts w:ascii="Simplified Arabic" w:hAnsi="Simplified Arabic" w:cs="Simplified Arabic"/>
          <w:sz w:val="22"/>
          <w:szCs w:val="22"/>
          <w:rtl/>
        </w:rPr>
        <w:t xml:space="preserve">السيد علي </w:t>
      </w:r>
      <w:proofErr w:type="spellStart"/>
      <w:r w:rsidRPr="00F33CC3">
        <w:rPr>
          <w:rFonts w:ascii="Simplified Arabic" w:hAnsi="Simplified Arabic" w:cs="Simplified Arabic"/>
          <w:sz w:val="22"/>
          <w:szCs w:val="22"/>
          <w:rtl/>
        </w:rPr>
        <w:t>الطميحي</w:t>
      </w:r>
      <w:proofErr w:type="spellEnd"/>
    </w:p>
    <w:p w14:paraId="629E66AD" w14:textId="77777777" w:rsidR="00F33CC3" w:rsidRPr="00F33CC3" w:rsidRDefault="00F33CC3" w:rsidP="00F33CC3">
      <w:pPr>
        <w:pStyle w:val="Normal-pool"/>
        <w:keepNext/>
        <w:keepLines/>
        <w:tabs>
          <w:tab w:val="clear" w:pos="1247"/>
        </w:tabs>
        <w:bidi/>
        <w:spacing w:line="300" w:lineRule="exact"/>
        <w:ind w:left="1134"/>
        <w:rPr>
          <w:rFonts w:ascii="Simplified Arabic" w:hAnsi="Simplified Arabic" w:cs="Simplified Arabic"/>
          <w:sz w:val="22"/>
          <w:szCs w:val="22"/>
        </w:rPr>
      </w:pPr>
      <w:r w:rsidRPr="00F33CC3">
        <w:rPr>
          <w:rFonts w:ascii="Simplified Arabic" w:hAnsi="Simplified Arabic" w:cs="Simplified Arabic"/>
          <w:sz w:val="22"/>
          <w:szCs w:val="22"/>
          <w:rtl/>
        </w:rPr>
        <w:t>المدير/ضابط الأوزون الوطني</w:t>
      </w:r>
    </w:p>
    <w:p w14:paraId="71D5ECE3" w14:textId="77777777" w:rsidR="00F33CC3" w:rsidRPr="00F33CC3" w:rsidRDefault="00F33CC3" w:rsidP="00F33CC3">
      <w:pPr>
        <w:pStyle w:val="Normal-pool"/>
        <w:keepNext/>
        <w:keepLines/>
        <w:tabs>
          <w:tab w:val="clear" w:pos="1247"/>
        </w:tabs>
        <w:bidi/>
        <w:spacing w:line="300" w:lineRule="exact"/>
        <w:ind w:left="1134"/>
        <w:rPr>
          <w:rFonts w:ascii="Simplified Arabic" w:hAnsi="Simplified Arabic" w:cs="Simplified Arabic"/>
          <w:sz w:val="22"/>
          <w:szCs w:val="22"/>
        </w:rPr>
      </w:pPr>
      <w:r w:rsidRPr="00F33CC3">
        <w:rPr>
          <w:rFonts w:ascii="Simplified Arabic" w:hAnsi="Simplified Arabic" w:cs="Simplified Arabic"/>
          <w:sz w:val="22"/>
          <w:szCs w:val="22"/>
          <w:rtl/>
        </w:rPr>
        <w:t>وحدة الأوزون الوطنية</w:t>
      </w:r>
    </w:p>
    <w:p w14:paraId="36EDABD7" w14:textId="77777777" w:rsidR="00F33CC3" w:rsidRPr="00F33CC3" w:rsidRDefault="00F33CC3" w:rsidP="00F33CC3">
      <w:pPr>
        <w:pStyle w:val="Normal-pool"/>
        <w:keepNext/>
        <w:keepLines/>
        <w:tabs>
          <w:tab w:val="clear" w:pos="1247"/>
        </w:tabs>
        <w:bidi/>
        <w:spacing w:line="300" w:lineRule="exact"/>
        <w:ind w:left="1134"/>
        <w:rPr>
          <w:rFonts w:ascii="Simplified Arabic" w:hAnsi="Simplified Arabic" w:cs="Simplified Arabic"/>
          <w:sz w:val="22"/>
          <w:szCs w:val="22"/>
        </w:rPr>
      </w:pPr>
      <w:r w:rsidRPr="00F33CC3">
        <w:rPr>
          <w:rFonts w:ascii="Simplified Arabic" w:hAnsi="Simplified Arabic" w:cs="Simplified Arabic"/>
          <w:sz w:val="22"/>
          <w:szCs w:val="22"/>
          <w:rtl/>
        </w:rPr>
        <w:t>المركز الوطني للرقابة على الالتزام البيئي</w:t>
      </w:r>
    </w:p>
    <w:p w14:paraId="56E615D2" w14:textId="77777777" w:rsidR="00F33CC3" w:rsidRPr="00F33CC3" w:rsidRDefault="00F33CC3" w:rsidP="00F33CC3">
      <w:pPr>
        <w:pStyle w:val="Normal-pool"/>
        <w:keepNext/>
        <w:keepLines/>
        <w:tabs>
          <w:tab w:val="clear" w:pos="1247"/>
        </w:tabs>
        <w:bidi/>
        <w:spacing w:line="300" w:lineRule="exact"/>
        <w:ind w:left="1134"/>
        <w:rPr>
          <w:rFonts w:ascii="Simplified Arabic" w:hAnsi="Simplified Arabic" w:cs="Simplified Arabic"/>
          <w:sz w:val="22"/>
          <w:szCs w:val="22"/>
        </w:rPr>
      </w:pPr>
      <w:r w:rsidRPr="00F33CC3">
        <w:rPr>
          <w:rFonts w:ascii="Simplified Arabic" w:hAnsi="Simplified Arabic" w:cs="Simplified Arabic"/>
          <w:sz w:val="22"/>
          <w:szCs w:val="22"/>
          <w:rtl/>
        </w:rPr>
        <w:t>الرياض</w:t>
      </w:r>
      <w:r w:rsidRPr="00F33CC3">
        <w:rPr>
          <w:rFonts w:ascii="Simplified Arabic" w:hAnsi="Simplified Arabic" w:cs="Simplified Arabic"/>
          <w:sz w:val="22"/>
          <w:szCs w:val="22"/>
        </w:rPr>
        <w:t xml:space="preserve"> </w:t>
      </w:r>
    </w:p>
    <w:p w14:paraId="04C95E0D" w14:textId="17C41AC0" w:rsidR="00B47F91" w:rsidRPr="00F33CC3" w:rsidRDefault="00F33CC3" w:rsidP="00F33CC3">
      <w:pPr>
        <w:pStyle w:val="Normal-pool"/>
        <w:keepNext/>
        <w:keepLines/>
        <w:tabs>
          <w:tab w:val="clear" w:pos="624"/>
          <w:tab w:val="clear" w:pos="1247"/>
          <w:tab w:val="clear" w:pos="1871"/>
          <w:tab w:val="clear" w:pos="2495"/>
          <w:tab w:val="clear" w:pos="3119"/>
          <w:tab w:val="clear" w:pos="3742"/>
          <w:tab w:val="clear" w:pos="4366"/>
          <w:tab w:val="clear" w:pos="4990"/>
        </w:tabs>
        <w:bidi/>
        <w:spacing w:line="300" w:lineRule="exact"/>
        <w:ind w:left="1134"/>
        <w:rPr>
          <w:rFonts w:ascii="Simplified Arabic" w:hAnsi="Simplified Arabic" w:cs="Simplified Arabic"/>
          <w:sz w:val="22"/>
          <w:szCs w:val="22"/>
        </w:rPr>
      </w:pPr>
      <w:r w:rsidRPr="00F33CC3">
        <w:rPr>
          <w:rFonts w:ascii="Simplified Arabic" w:hAnsi="Simplified Arabic" w:cs="Simplified Arabic"/>
          <w:sz w:val="22"/>
          <w:szCs w:val="22"/>
          <w:rtl/>
        </w:rPr>
        <w:t>المملكة العربية السعودية</w:t>
      </w:r>
    </w:p>
    <w:p w14:paraId="574213D2" w14:textId="5F07C324" w:rsidR="000F2789" w:rsidRPr="001D4801" w:rsidRDefault="008F65B1" w:rsidP="00F33CC3">
      <w:pPr>
        <w:pStyle w:val="Normal-pool"/>
        <w:keepNext/>
        <w:keepLines/>
        <w:tabs>
          <w:tab w:val="clear" w:pos="624"/>
          <w:tab w:val="clear" w:pos="1247"/>
          <w:tab w:val="clear" w:pos="1871"/>
          <w:tab w:val="clear" w:pos="2495"/>
          <w:tab w:val="clear" w:pos="3119"/>
          <w:tab w:val="clear" w:pos="3742"/>
          <w:tab w:val="clear" w:pos="4366"/>
          <w:tab w:val="clear" w:pos="4990"/>
        </w:tabs>
        <w:bidi/>
        <w:spacing w:line="300" w:lineRule="exact"/>
        <w:ind w:left="1134"/>
        <w:rPr>
          <w:rStyle w:val="Hyperlink"/>
          <w:rFonts w:asciiTheme="majorBidi" w:hAnsiTheme="majorBidi" w:cstheme="majorBidi"/>
        </w:rPr>
      </w:pPr>
      <w:r w:rsidRPr="00F33CC3">
        <w:rPr>
          <w:rFonts w:ascii="Simplified Arabic" w:hAnsi="Simplified Arabic" w:cs="Simplified Arabic"/>
          <w:sz w:val="22"/>
          <w:szCs w:val="22"/>
          <w:rtl/>
        </w:rPr>
        <w:t>البريد الإلكتروني</w:t>
      </w:r>
      <w:r w:rsidRPr="00F33CC3">
        <w:rPr>
          <w:rFonts w:ascii="Simplified Arabic" w:hAnsi="Simplified Arabic" w:cs="Simplified Arabic" w:hint="cs"/>
          <w:sz w:val="22"/>
          <w:szCs w:val="22"/>
          <w:rtl/>
        </w:rPr>
        <w:t>:</w:t>
      </w:r>
      <w:r w:rsidRPr="00F33CC3">
        <w:rPr>
          <w:rFonts w:ascii="Simplified Arabic" w:hAnsi="Simplified Arabic" w:cs="Simplified Arabic"/>
          <w:sz w:val="22"/>
          <w:szCs w:val="22"/>
          <w:rtl/>
        </w:rPr>
        <w:t xml:space="preserve"> </w:t>
      </w:r>
      <w:hyperlink r:id="rId31" w:history="1">
        <w:r w:rsidR="000F2789" w:rsidRPr="001D4801">
          <w:rPr>
            <w:rStyle w:val="Hyperlink"/>
            <w:rFonts w:asciiTheme="majorBidi" w:hAnsiTheme="majorBidi" w:cstheme="majorBidi"/>
          </w:rPr>
          <w:t>a.tumayhi@ncec.gov.sa</w:t>
        </w:r>
      </w:hyperlink>
    </w:p>
    <w:p w14:paraId="4D4E539B" w14:textId="77777777" w:rsidR="00B85AA4" w:rsidRPr="00B85AA4" w:rsidRDefault="00B85AA4" w:rsidP="00B85AA4">
      <w:pPr>
        <w:pStyle w:val="Normal-pool"/>
        <w:keepNext/>
        <w:keepLines/>
        <w:tabs>
          <w:tab w:val="clear" w:pos="1247"/>
        </w:tabs>
        <w:bidi/>
        <w:spacing w:before="240" w:line="300" w:lineRule="exact"/>
        <w:ind w:left="1134"/>
        <w:rPr>
          <w:rFonts w:ascii="Simplified Arabic" w:hAnsi="Simplified Arabic" w:cs="Simplified Arabic"/>
          <w:sz w:val="22"/>
          <w:szCs w:val="22"/>
        </w:rPr>
      </w:pPr>
      <w:r w:rsidRPr="00B85AA4">
        <w:rPr>
          <w:rFonts w:ascii="Simplified Arabic" w:hAnsi="Simplified Arabic" w:cs="Simplified Arabic"/>
          <w:sz w:val="22"/>
          <w:szCs w:val="22"/>
          <w:rtl/>
        </w:rPr>
        <w:t>السيد ماجد عبد الرحمن المفدى</w:t>
      </w:r>
    </w:p>
    <w:p w14:paraId="50EA3275" w14:textId="77777777" w:rsidR="00B85AA4" w:rsidRPr="00B85AA4" w:rsidRDefault="00B85AA4" w:rsidP="00B85AA4">
      <w:pPr>
        <w:pStyle w:val="Normal-pool"/>
        <w:keepNext/>
        <w:keepLines/>
        <w:tabs>
          <w:tab w:val="clear" w:pos="1247"/>
        </w:tabs>
        <w:bidi/>
        <w:spacing w:line="300" w:lineRule="exact"/>
        <w:ind w:left="1134"/>
        <w:rPr>
          <w:rFonts w:ascii="Simplified Arabic" w:hAnsi="Simplified Arabic" w:cs="Simplified Arabic"/>
          <w:sz w:val="22"/>
          <w:szCs w:val="22"/>
        </w:rPr>
      </w:pPr>
      <w:r w:rsidRPr="00B85AA4">
        <w:rPr>
          <w:rFonts w:ascii="Simplified Arabic" w:hAnsi="Simplified Arabic" w:cs="Simplified Arabic"/>
          <w:sz w:val="22"/>
          <w:szCs w:val="22"/>
          <w:rtl/>
        </w:rPr>
        <w:t>المدير العام</w:t>
      </w:r>
    </w:p>
    <w:p w14:paraId="439E817A" w14:textId="77777777" w:rsidR="00B85AA4" w:rsidRPr="00B85AA4" w:rsidRDefault="00B85AA4" w:rsidP="00B85AA4">
      <w:pPr>
        <w:pStyle w:val="Normal-pool"/>
        <w:keepNext/>
        <w:keepLines/>
        <w:tabs>
          <w:tab w:val="clear" w:pos="1247"/>
        </w:tabs>
        <w:bidi/>
        <w:spacing w:line="300" w:lineRule="exact"/>
        <w:ind w:left="1134"/>
        <w:rPr>
          <w:rFonts w:ascii="Simplified Arabic" w:hAnsi="Simplified Arabic" w:cs="Simplified Arabic"/>
          <w:sz w:val="22"/>
          <w:szCs w:val="22"/>
        </w:rPr>
      </w:pPr>
      <w:r w:rsidRPr="00B85AA4">
        <w:rPr>
          <w:rFonts w:ascii="Simplified Arabic" w:hAnsi="Simplified Arabic" w:cs="Simplified Arabic"/>
          <w:sz w:val="22"/>
          <w:szCs w:val="22"/>
          <w:rtl/>
        </w:rPr>
        <w:t>إدارة الأوزون والمواد الكيميائية</w:t>
      </w:r>
    </w:p>
    <w:p w14:paraId="32DA1065" w14:textId="77777777" w:rsidR="00B85AA4" w:rsidRPr="00B85AA4" w:rsidRDefault="00B85AA4" w:rsidP="00B85AA4">
      <w:pPr>
        <w:pStyle w:val="Normal-pool"/>
        <w:keepNext/>
        <w:keepLines/>
        <w:tabs>
          <w:tab w:val="clear" w:pos="1247"/>
        </w:tabs>
        <w:bidi/>
        <w:spacing w:line="300" w:lineRule="exact"/>
        <w:ind w:left="1134"/>
        <w:rPr>
          <w:rFonts w:ascii="Simplified Arabic" w:hAnsi="Simplified Arabic" w:cs="Simplified Arabic"/>
          <w:sz w:val="22"/>
          <w:szCs w:val="22"/>
        </w:rPr>
      </w:pPr>
      <w:r w:rsidRPr="00B85AA4">
        <w:rPr>
          <w:rFonts w:ascii="Simplified Arabic" w:hAnsi="Simplified Arabic" w:cs="Simplified Arabic"/>
          <w:sz w:val="22"/>
          <w:szCs w:val="22"/>
          <w:rtl/>
        </w:rPr>
        <w:t>المركز الوطني للرقابة على الالتزام البيئي</w:t>
      </w:r>
    </w:p>
    <w:p w14:paraId="72B3BBD2" w14:textId="77777777" w:rsidR="00B85AA4" w:rsidRPr="00B85AA4" w:rsidRDefault="00B85AA4" w:rsidP="00B85AA4">
      <w:pPr>
        <w:pStyle w:val="Normal-pool"/>
        <w:keepNext/>
        <w:keepLines/>
        <w:tabs>
          <w:tab w:val="clear" w:pos="1247"/>
        </w:tabs>
        <w:bidi/>
        <w:spacing w:line="300" w:lineRule="exact"/>
        <w:ind w:left="1134"/>
        <w:rPr>
          <w:rFonts w:ascii="Simplified Arabic" w:hAnsi="Simplified Arabic" w:cs="Simplified Arabic"/>
          <w:sz w:val="22"/>
          <w:szCs w:val="22"/>
        </w:rPr>
      </w:pPr>
      <w:r w:rsidRPr="00B85AA4">
        <w:rPr>
          <w:rFonts w:ascii="Simplified Arabic" w:hAnsi="Simplified Arabic" w:cs="Simplified Arabic"/>
          <w:sz w:val="22"/>
          <w:szCs w:val="22"/>
          <w:rtl/>
        </w:rPr>
        <w:t>الرياض 1324</w:t>
      </w:r>
    </w:p>
    <w:p w14:paraId="7D21B25F" w14:textId="7C1007A7" w:rsidR="00B47F91" w:rsidRPr="00CA3790" w:rsidRDefault="00B85AA4" w:rsidP="00B85AA4">
      <w:pPr>
        <w:pStyle w:val="Normal-pool"/>
        <w:keepNext/>
        <w:keepLines/>
        <w:tabs>
          <w:tab w:val="clear" w:pos="1247"/>
        </w:tabs>
        <w:bidi/>
        <w:spacing w:line="300" w:lineRule="exact"/>
        <w:ind w:left="1134"/>
        <w:rPr>
          <w:rFonts w:asciiTheme="majorBidi" w:hAnsiTheme="majorBidi" w:cstheme="majorBidi"/>
        </w:rPr>
      </w:pPr>
      <w:r w:rsidRPr="00B85AA4">
        <w:rPr>
          <w:rFonts w:ascii="Simplified Arabic" w:hAnsi="Simplified Arabic" w:cs="Simplified Arabic"/>
          <w:sz w:val="22"/>
          <w:szCs w:val="22"/>
          <w:rtl/>
        </w:rPr>
        <w:t>المملكة العربية السعودية</w:t>
      </w:r>
    </w:p>
    <w:p w14:paraId="1CFF4BA3" w14:textId="31373C7B" w:rsidR="000F2789" w:rsidRPr="001D4801" w:rsidRDefault="001E34CC" w:rsidP="001D4801">
      <w:pPr>
        <w:pStyle w:val="Normal-pool"/>
        <w:keepNext/>
        <w:keepLines/>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B85AA4">
        <w:rPr>
          <w:rFonts w:ascii="Simplified Arabic" w:hAnsi="Simplified Arabic" w:cs="Simplified Arabic"/>
          <w:sz w:val="22"/>
          <w:szCs w:val="22"/>
          <w:rtl/>
        </w:rPr>
        <w:t>البريد الإلكتروني</w:t>
      </w:r>
      <w:r w:rsidRPr="00B85AA4">
        <w:rPr>
          <w:rFonts w:ascii="Simplified Arabic" w:hAnsi="Simplified Arabic" w:cs="Simplified Arabic" w:hint="cs"/>
          <w:sz w:val="22"/>
          <w:szCs w:val="22"/>
          <w:rtl/>
        </w:rPr>
        <w:t>:</w:t>
      </w:r>
      <w:r w:rsidRPr="00B85AA4">
        <w:rPr>
          <w:rFonts w:ascii="Simplified Arabic" w:hAnsi="Simplified Arabic" w:cs="Simplified Arabic"/>
          <w:sz w:val="22"/>
          <w:szCs w:val="22"/>
          <w:rtl/>
        </w:rPr>
        <w:t xml:space="preserve"> </w:t>
      </w:r>
      <w:hyperlink r:id="rId32" w:history="1">
        <w:r w:rsidR="000F2789" w:rsidRPr="001D4801">
          <w:rPr>
            <w:rStyle w:val="Hyperlink"/>
            <w:rFonts w:asciiTheme="majorBidi" w:hAnsiTheme="majorBidi" w:cstheme="majorBidi"/>
          </w:rPr>
          <w:t>malmufadda@ncec.gov.sa</w:t>
        </w:r>
      </w:hyperlink>
    </w:p>
    <w:p w14:paraId="090578B8" w14:textId="23E54CCB" w:rsidR="000F2789" w:rsidRPr="000B5AE8" w:rsidRDefault="00F32E7F" w:rsidP="000B5AE8">
      <w:pPr>
        <w:pStyle w:val="Normal-pool"/>
        <w:tabs>
          <w:tab w:val="clear" w:pos="624"/>
          <w:tab w:val="clear" w:pos="1247"/>
          <w:tab w:val="clear" w:pos="1871"/>
          <w:tab w:val="clear" w:pos="2495"/>
          <w:tab w:val="clear" w:pos="3119"/>
          <w:tab w:val="clear" w:pos="3742"/>
          <w:tab w:val="clear" w:pos="4366"/>
          <w:tab w:val="clear" w:pos="4990"/>
        </w:tabs>
        <w:bidi/>
        <w:spacing w:after="120" w:line="360" w:lineRule="exact"/>
        <w:ind w:left="1134"/>
        <w:jc w:val="both"/>
        <w:rPr>
          <w:rFonts w:ascii="Simplified Arabic" w:hAnsi="Simplified Arabic" w:cs="Simplified Arabic"/>
          <w:b/>
          <w:bCs/>
          <w:sz w:val="24"/>
          <w:szCs w:val="24"/>
        </w:rPr>
      </w:pPr>
      <w:r w:rsidRPr="000B5AE8">
        <w:rPr>
          <w:rFonts w:ascii="Simplified Arabic" w:hAnsi="Simplified Arabic" w:cs="Simplified Arabic"/>
          <w:b/>
          <w:bCs/>
          <w:sz w:val="24"/>
          <w:szCs w:val="24"/>
          <w:rtl/>
        </w:rPr>
        <w:t>الولايات المتحدة الأمريكية</w:t>
      </w:r>
    </w:p>
    <w:p w14:paraId="00712AAB" w14:textId="77777777" w:rsidR="00594F63" w:rsidRPr="00CA3790" w:rsidRDefault="000F2789" w:rsidP="00CA3790">
      <w:pPr>
        <w:pStyle w:val="Normal-pool"/>
        <w:tabs>
          <w:tab w:val="clear" w:pos="624"/>
          <w:tab w:val="clear" w:pos="1247"/>
          <w:tab w:val="clear" w:pos="1871"/>
          <w:tab w:val="clear" w:pos="2495"/>
          <w:tab w:val="clear" w:pos="3119"/>
          <w:tab w:val="clear" w:pos="3742"/>
          <w:tab w:val="clear" w:pos="4366"/>
          <w:tab w:val="clear" w:pos="4990"/>
        </w:tabs>
        <w:spacing w:line="240" w:lineRule="exact"/>
        <w:ind w:right="1134"/>
        <w:rPr>
          <w:rFonts w:asciiTheme="majorBidi" w:hAnsiTheme="majorBidi" w:cstheme="majorBidi"/>
        </w:rPr>
      </w:pPr>
      <w:r w:rsidRPr="00CA3790">
        <w:rPr>
          <w:rFonts w:asciiTheme="majorBidi" w:hAnsiTheme="majorBidi" w:cstheme="majorBidi"/>
        </w:rPr>
        <w:t>Ms. Karen Bianco</w:t>
      </w:r>
      <w:r w:rsidRPr="00CA3790">
        <w:rPr>
          <w:rFonts w:asciiTheme="majorBidi" w:hAnsiTheme="majorBidi" w:cstheme="majorBidi"/>
        </w:rPr>
        <w:br/>
        <w:t>Acting Assistant General Counsel</w:t>
      </w:r>
      <w:r w:rsidRPr="00CA3790">
        <w:rPr>
          <w:rFonts w:asciiTheme="majorBidi" w:hAnsiTheme="majorBidi" w:cstheme="majorBidi"/>
        </w:rPr>
        <w:br/>
        <w:t>Office of General Counsel</w:t>
      </w:r>
      <w:r w:rsidRPr="00CA3790">
        <w:rPr>
          <w:rFonts w:asciiTheme="majorBidi" w:hAnsiTheme="majorBidi" w:cstheme="majorBidi"/>
        </w:rPr>
        <w:br/>
        <w:t xml:space="preserve">U.S. </w:t>
      </w:r>
      <w:proofErr w:type="spellStart"/>
      <w:r w:rsidRPr="00CA3790">
        <w:rPr>
          <w:rFonts w:asciiTheme="majorBidi" w:hAnsiTheme="majorBidi" w:cstheme="majorBidi"/>
        </w:rPr>
        <w:t>Environmental</w:t>
      </w:r>
      <w:proofErr w:type="spellEnd"/>
      <w:r w:rsidRPr="00CA3790">
        <w:rPr>
          <w:rFonts w:asciiTheme="majorBidi" w:hAnsiTheme="majorBidi" w:cstheme="majorBidi"/>
        </w:rPr>
        <w:t xml:space="preserve"> Protection Agency</w:t>
      </w:r>
      <w:r w:rsidRPr="00CA3790">
        <w:rPr>
          <w:rFonts w:asciiTheme="majorBidi" w:hAnsiTheme="majorBidi" w:cstheme="majorBidi"/>
        </w:rPr>
        <w:br/>
        <w:t>Washington D.C. 20460</w:t>
      </w:r>
      <w:r w:rsidRPr="00CA3790">
        <w:rPr>
          <w:rFonts w:asciiTheme="majorBidi" w:hAnsiTheme="majorBidi" w:cstheme="majorBidi"/>
        </w:rPr>
        <w:br/>
        <w:t>United States of America</w:t>
      </w:r>
    </w:p>
    <w:p w14:paraId="31F4EFC7" w14:textId="6B26892A" w:rsidR="000F2789" w:rsidRPr="001D4801" w:rsidRDefault="001E34CC"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33" w:history="1">
        <w:r w:rsidR="000F2789" w:rsidRPr="001D4801">
          <w:rPr>
            <w:rStyle w:val="Hyperlink"/>
            <w:rFonts w:asciiTheme="majorBidi" w:hAnsiTheme="majorBidi" w:cstheme="majorBidi"/>
          </w:rPr>
          <w:t>bianco.karen@epa.gov</w:t>
        </w:r>
      </w:hyperlink>
    </w:p>
    <w:p w14:paraId="291C597B" w14:textId="77777777" w:rsidR="003C3E6E" w:rsidRDefault="003C3E6E" w:rsidP="000B5AE8">
      <w:pPr>
        <w:pStyle w:val="Normal-pool"/>
        <w:tabs>
          <w:tab w:val="clear" w:pos="624"/>
          <w:tab w:val="clear" w:pos="1247"/>
          <w:tab w:val="clear" w:pos="1871"/>
          <w:tab w:val="clear" w:pos="2495"/>
          <w:tab w:val="clear" w:pos="3119"/>
          <w:tab w:val="clear" w:pos="3742"/>
          <w:tab w:val="clear" w:pos="4366"/>
          <w:tab w:val="clear" w:pos="4990"/>
        </w:tabs>
        <w:bidi/>
        <w:spacing w:after="120" w:line="360" w:lineRule="exact"/>
        <w:ind w:left="1134"/>
        <w:jc w:val="both"/>
        <w:rPr>
          <w:rFonts w:ascii="Simplified Arabic" w:hAnsi="Simplified Arabic" w:cs="Simplified Arabic"/>
          <w:b/>
          <w:bCs/>
          <w:sz w:val="24"/>
          <w:szCs w:val="24"/>
          <w:rtl/>
        </w:rPr>
        <w:sectPr w:rsidR="003C3E6E" w:rsidSect="003C3E6E">
          <w:type w:val="continuous"/>
          <w:pgSz w:w="11907" w:h="16839" w:code="9"/>
          <w:pgMar w:top="907" w:right="1417" w:bottom="1417" w:left="992" w:header="539" w:footer="975" w:gutter="0"/>
          <w:cols w:num="2" w:space="709"/>
          <w:titlePg/>
          <w:bidi/>
          <w:rtlGutter/>
          <w:docGrid w:linePitch="360"/>
        </w:sectPr>
      </w:pPr>
    </w:p>
    <w:p w14:paraId="33F37771" w14:textId="77777777" w:rsidR="002A0884" w:rsidRPr="000B5AE8" w:rsidRDefault="00F32E7F" w:rsidP="00B207E1">
      <w:pPr>
        <w:pStyle w:val="Normal-pool"/>
        <w:tabs>
          <w:tab w:val="clear" w:pos="624"/>
          <w:tab w:val="clear" w:pos="1247"/>
          <w:tab w:val="clear" w:pos="1871"/>
          <w:tab w:val="clear" w:pos="2495"/>
          <w:tab w:val="clear" w:pos="3119"/>
          <w:tab w:val="clear" w:pos="3742"/>
          <w:tab w:val="clear" w:pos="4366"/>
          <w:tab w:val="clear" w:pos="4990"/>
        </w:tabs>
        <w:bidi/>
        <w:spacing w:before="360" w:after="120" w:line="360" w:lineRule="exact"/>
        <w:ind w:left="1134"/>
        <w:jc w:val="both"/>
        <w:rPr>
          <w:rFonts w:ascii="Simplified Arabic" w:hAnsi="Simplified Arabic" w:cs="Simplified Arabic"/>
          <w:b/>
          <w:bCs/>
          <w:sz w:val="24"/>
          <w:szCs w:val="24"/>
        </w:rPr>
      </w:pPr>
      <w:r w:rsidRPr="000B5AE8">
        <w:rPr>
          <w:rFonts w:ascii="Simplified Arabic" w:hAnsi="Simplified Arabic" w:cs="Simplified Arabic" w:hint="cs"/>
          <w:b/>
          <w:bCs/>
          <w:sz w:val="24"/>
          <w:szCs w:val="24"/>
          <w:rtl/>
        </w:rPr>
        <w:t>المراقبون</w:t>
      </w:r>
    </w:p>
    <w:p w14:paraId="4CDCB140" w14:textId="77777777" w:rsidR="003C3E6E" w:rsidRDefault="003C3E6E" w:rsidP="000B5AE8">
      <w:pPr>
        <w:pStyle w:val="Normal-pool"/>
        <w:tabs>
          <w:tab w:val="clear" w:pos="624"/>
          <w:tab w:val="clear" w:pos="1247"/>
          <w:tab w:val="clear" w:pos="1871"/>
          <w:tab w:val="clear" w:pos="2495"/>
          <w:tab w:val="clear" w:pos="3119"/>
          <w:tab w:val="clear" w:pos="3742"/>
          <w:tab w:val="clear" w:pos="4366"/>
          <w:tab w:val="clear" w:pos="4990"/>
        </w:tabs>
        <w:bidi/>
        <w:spacing w:after="120" w:line="360" w:lineRule="exact"/>
        <w:ind w:left="1134"/>
        <w:jc w:val="both"/>
        <w:rPr>
          <w:rFonts w:ascii="Simplified Arabic" w:hAnsi="Simplified Arabic" w:cs="Simplified Arabic"/>
          <w:b/>
          <w:bCs/>
          <w:sz w:val="24"/>
          <w:szCs w:val="24"/>
          <w:rtl/>
        </w:rPr>
        <w:sectPr w:rsidR="003C3E6E" w:rsidSect="003C3E6E">
          <w:type w:val="continuous"/>
          <w:pgSz w:w="11907" w:h="16839" w:code="9"/>
          <w:pgMar w:top="907" w:right="1417" w:bottom="1417" w:left="992" w:header="539" w:footer="975" w:gutter="0"/>
          <w:cols w:space="709"/>
          <w:titlePg/>
          <w:bidi/>
          <w:rtlGutter/>
          <w:docGrid w:linePitch="360"/>
        </w:sectPr>
      </w:pPr>
    </w:p>
    <w:p w14:paraId="1A54D29F" w14:textId="1CF6D255" w:rsidR="000F2789" w:rsidRPr="000B5AE8" w:rsidRDefault="00C7372F" w:rsidP="00B207E1">
      <w:pPr>
        <w:pStyle w:val="Normal-pool"/>
        <w:tabs>
          <w:tab w:val="clear" w:pos="624"/>
          <w:tab w:val="clear" w:pos="1247"/>
          <w:tab w:val="clear" w:pos="1871"/>
          <w:tab w:val="clear" w:pos="2495"/>
          <w:tab w:val="clear" w:pos="3119"/>
          <w:tab w:val="clear" w:pos="3742"/>
          <w:tab w:val="clear" w:pos="4366"/>
          <w:tab w:val="clear" w:pos="4990"/>
        </w:tabs>
        <w:bidi/>
        <w:spacing w:after="80" w:line="360" w:lineRule="exact"/>
        <w:ind w:left="1134"/>
        <w:jc w:val="both"/>
        <w:rPr>
          <w:rFonts w:ascii="Simplified Arabic" w:hAnsi="Simplified Arabic" w:cs="Simplified Arabic"/>
          <w:b/>
          <w:bCs/>
          <w:sz w:val="24"/>
          <w:szCs w:val="24"/>
        </w:rPr>
      </w:pPr>
      <w:r w:rsidRPr="000B5AE8">
        <w:rPr>
          <w:rFonts w:ascii="Simplified Arabic" w:hAnsi="Simplified Arabic" w:cs="Simplified Arabic"/>
          <w:b/>
          <w:bCs/>
          <w:sz w:val="24"/>
          <w:szCs w:val="24"/>
          <w:rtl/>
        </w:rPr>
        <w:t>أمانة الصندوق المتعدد الأطراف</w:t>
      </w:r>
    </w:p>
    <w:p w14:paraId="7E1E8187" w14:textId="77777777" w:rsidR="00232225" w:rsidRPr="00CA3790" w:rsidRDefault="000F2789" w:rsidP="00B207E1">
      <w:pPr>
        <w:pStyle w:val="Normal-pool"/>
        <w:tabs>
          <w:tab w:val="clear" w:pos="624"/>
          <w:tab w:val="clear" w:pos="1247"/>
          <w:tab w:val="clear" w:pos="1871"/>
          <w:tab w:val="clear" w:pos="2495"/>
          <w:tab w:val="clear" w:pos="3119"/>
          <w:tab w:val="clear" w:pos="3742"/>
          <w:tab w:val="clear" w:pos="4366"/>
          <w:tab w:val="clear" w:pos="4990"/>
        </w:tabs>
        <w:spacing w:line="280" w:lineRule="exact"/>
        <w:ind w:right="1134"/>
        <w:rPr>
          <w:rFonts w:asciiTheme="majorBidi" w:hAnsiTheme="majorBidi" w:cstheme="majorBidi"/>
        </w:rPr>
      </w:pPr>
      <w:r w:rsidRPr="00CA3790">
        <w:rPr>
          <w:rFonts w:asciiTheme="majorBidi" w:hAnsiTheme="majorBidi" w:cstheme="majorBidi"/>
        </w:rPr>
        <w:t>Ms. Tina Birmpili</w:t>
      </w:r>
      <w:r w:rsidRPr="00CA3790">
        <w:rPr>
          <w:rFonts w:asciiTheme="majorBidi" w:hAnsiTheme="majorBidi" w:cstheme="majorBidi"/>
        </w:rPr>
        <w:br/>
        <w:t>Chief Officer</w:t>
      </w:r>
      <w:r w:rsidRPr="00CA3790">
        <w:rPr>
          <w:rFonts w:asciiTheme="majorBidi" w:hAnsiTheme="majorBidi" w:cstheme="majorBidi"/>
        </w:rPr>
        <w:br/>
      </w:r>
      <w:proofErr w:type="spellStart"/>
      <w:r w:rsidRPr="00CA3790">
        <w:rPr>
          <w:rFonts w:asciiTheme="majorBidi" w:hAnsiTheme="majorBidi" w:cstheme="majorBidi"/>
        </w:rPr>
        <w:t>Multilateral</w:t>
      </w:r>
      <w:proofErr w:type="spellEnd"/>
      <w:r w:rsidRPr="00CA3790">
        <w:rPr>
          <w:rFonts w:asciiTheme="majorBidi" w:hAnsiTheme="majorBidi" w:cstheme="majorBidi"/>
        </w:rPr>
        <w:t xml:space="preserve"> Fund </w:t>
      </w:r>
      <w:proofErr w:type="spellStart"/>
      <w:r w:rsidRPr="00CA3790">
        <w:rPr>
          <w:rFonts w:asciiTheme="majorBidi" w:hAnsiTheme="majorBidi" w:cstheme="majorBidi"/>
        </w:rPr>
        <w:t>Secretariat</w:t>
      </w:r>
      <w:proofErr w:type="spellEnd"/>
      <w:r w:rsidRPr="00CA3790">
        <w:rPr>
          <w:rFonts w:asciiTheme="majorBidi" w:hAnsiTheme="majorBidi" w:cstheme="majorBidi"/>
        </w:rPr>
        <w:br/>
        <w:t>Montreal, Quebec H3B 4W5</w:t>
      </w:r>
      <w:r w:rsidRPr="00CA3790">
        <w:rPr>
          <w:rFonts w:asciiTheme="majorBidi" w:hAnsiTheme="majorBidi" w:cstheme="majorBidi"/>
        </w:rPr>
        <w:br/>
        <w:t>Canada</w:t>
      </w:r>
    </w:p>
    <w:p w14:paraId="4320E41F" w14:textId="02D653BB" w:rsidR="000F2789" w:rsidRPr="001D4801" w:rsidRDefault="008F65B1" w:rsidP="00B207E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34" w:history="1">
        <w:r w:rsidR="000F2789" w:rsidRPr="001D4801">
          <w:rPr>
            <w:rStyle w:val="Hyperlink"/>
            <w:rFonts w:asciiTheme="majorBidi" w:hAnsiTheme="majorBidi" w:cstheme="majorBidi"/>
          </w:rPr>
          <w:t>tina.birmpili@un.org</w:t>
        </w:r>
      </w:hyperlink>
    </w:p>
    <w:p w14:paraId="53E9E91D" w14:textId="77777777" w:rsidR="00C309B7" w:rsidRPr="00CA3790" w:rsidRDefault="000F2789" w:rsidP="00B207E1">
      <w:pPr>
        <w:pStyle w:val="Normal-pool"/>
        <w:tabs>
          <w:tab w:val="clear" w:pos="624"/>
          <w:tab w:val="clear" w:pos="1247"/>
          <w:tab w:val="clear" w:pos="1871"/>
          <w:tab w:val="clear" w:pos="2495"/>
          <w:tab w:val="clear" w:pos="3119"/>
          <w:tab w:val="clear" w:pos="3742"/>
          <w:tab w:val="clear" w:pos="4366"/>
          <w:tab w:val="clear" w:pos="4990"/>
        </w:tabs>
        <w:spacing w:before="240" w:line="280" w:lineRule="exact"/>
        <w:ind w:right="1134"/>
        <w:rPr>
          <w:rFonts w:asciiTheme="majorBidi" w:hAnsiTheme="majorBidi" w:cstheme="majorBidi"/>
        </w:rPr>
      </w:pPr>
      <w:r w:rsidRPr="00CA3790">
        <w:rPr>
          <w:rFonts w:asciiTheme="majorBidi" w:hAnsiTheme="majorBidi" w:cstheme="majorBidi"/>
        </w:rPr>
        <w:t>Mr. Balaji Natarajan</w:t>
      </w:r>
      <w:r w:rsidRPr="00CA3790">
        <w:rPr>
          <w:rFonts w:asciiTheme="majorBidi" w:hAnsiTheme="majorBidi" w:cstheme="majorBidi"/>
        </w:rPr>
        <w:br/>
        <w:t>Senior Programme Management Officer</w:t>
      </w:r>
      <w:r w:rsidRPr="00CA3790">
        <w:rPr>
          <w:rFonts w:asciiTheme="majorBidi" w:hAnsiTheme="majorBidi" w:cstheme="majorBidi"/>
        </w:rPr>
        <w:br/>
      </w:r>
      <w:proofErr w:type="spellStart"/>
      <w:r w:rsidRPr="00CA3790">
        <w:rPr>
          <w:rFonts w:asciiTheme="majorBidi" w:hAnsiTheme="majorBidi" w:cstheme="majorBidi"/>
        </w:rPr>
        <w:t>Multilateral</w:t>
      </w:r>
      <w:proofErr w:type="spellEnd"/>
      <w:r w:rsidRPr="00CA3790">
        <w:rPr>
          <w:rFonts w:asciiTheme="majorBidi" w:hAnsiTheme="majorBidi" w:cstheme="majorBidi"/>
        </w:rPr>
        <w:t xml:space="preserve"> Fund </w:t>
      </w:r>
      <w:proofErr w:type="spellStart"/>
      <w:r w:rsidRPr="00CA3790">
        <w:rPr>
          <w:rFonts w:asciiTheme="majorBidi" w:hAnsiTheme="majorBidi" w:cstheme="majorBidi"/>
        </w:rPr>
        <w:t>Secretariat</w:t>
      </w:r>
      <w:proofErr w:type="spellEnd"/>
      <w:r w:rsidRPr="00CA3790">
        <w:rPr>
          <w:rFonts w:asciiTheme="majorBidi" w:hAnsiTheme="majorBidi" w:cstheme="majorBidi"/>
        </w:rPr>
        <w:br/>
        <w:t>Montreal, Quebec H3B 4W5</w:t>
      </w:r>
      <w:r w:rsidRPr="00CA3790">
        <w:rPr>
          <w:rFonts w:asciiTheme="majorBidi" w:hAnsiTheme="majorBidi" w:cstheme="majorBidi"/>
        </w:rPr>
        <w:br/>
        <w:t>Canada</w:t>
      </w:r>
    </w:p>
    <w:p w14:paraId="5FDC423E" w14:textId="1AA0C484" w:rsidR="000F2789" w:rsidRPr="001D4801" w:rsidRDefault="008F65B1" w:rsidP="00B207E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35" w:history="1">
        <w:r w:rsidR="000F2789" w:rsidRPr="001D4801">
          <w:rPr>
            <w:rStyle w:val="Hyperlink"/>
            <w:rFonts w:asciiTheme="majorBidi" w:hAnsiTheme="majorBidi" w:cstheme="majorBidi"/>
          </w:rPr>
          <w:t>balaji.natarajan@un.org</w:t>
        </w:r>
      </w:hyperlink>
    </w:p>
    <w:p w14:paraId="1FE61B38" w14:textId="29F091E1" w:rsidR="000F2789" w:rsidRPr="000B5AE8" w:rsidRDefault="00BA7DB8" w:rsidP="00B207E1">
      <w:pPr>
        <w:pStyle w:val="Normal-pool"/>
        <w:keepNext/>
        <w:keepLines/>
        <w:tabs>
          <w:tab w:val="clear" w:pos="624"/>
          <w:tab w:val="clear" w:pos="1247"/>
          <w:tab w:val="clear" w:pos="1871"/>
          <w:tab w:val="clear" w:pos="2495"/>
          <w:tab w:val="clear" w:pos="3119"/>
          <w:tab w:val="clear" w:pos="3742"/>
          <w:tab w:val="clear" w:pos="4366"/>
          <w:tab w:val="clear" w:pos="4990"/>
        </w:tabs>
        <w:bidi/>
        <w:spacing w:before="240" w:after="120" w:line="360" w:lineRule="exact"/>
        <w:ind w:left="1134"/>
        <w:jc w:val="both"/>
        <w:rPr>
          <w:rFonts w:ascii="Simplified Arabic" w:hAnsi="Simplified Arabic" w:cs="Simplified Arabic"/>
          <w:b/>
          <w:bCs/>
          <w:sz w:val="24"/>
          <w:szCs w:val="24"/>
        </w:rPr>
      </w:pPr>
      <w:r w:rsidRPr="000B5AE8">
        <w:rPr>
          <w:rFonts w:ascii="Simplified Arabic" w:hAnsi="Simplified Arabic" w:cs="Simplified Arabic"/>
          <w:b/>
          <w:bCs/>
          <w:sz w:val="24"/>
          <w:szCs w:val="24"/>
          <w:rtl/>
        </w:rPr>
        <w:t>اللجنة التنفيذية للصندوق المتعدد الأطراف</w:t>
      </w:r>
    </w:p>
    <w:p w14:paraId="1D107059" w14:textId="77777777" w:rsidR="00F673E8" w:rsidRPr="00CA3790" w:rsidRDefault="000F2789" w:rsidP="00B85AA4">
      <w:pPr>
        <w:pStyle w:val="Normal-pool"/>
        <w:keepNext/>
        <w:keepLines/>
        <w:tabs>
          <w:tab w:val="clear" w:pos="624"/>
          <w:tab w:val="clear" w:pos="1247"/>
          <w:tab w:val="clear" w:pos="1871"/>
          <w:tab w:val="clear" w:pos="2495"/>
          <w:tab w:val="clear" w:pos="3119"/>
          <w:tab w:val="clear" w:pos="3742"/>
          <w:tab w:val="clear" w:pos="4366"/>
          <w:tab w:val="clear" w:pos="4990"/>
        </w:tabs>
        <w:spacing w:line="220" w:lineRule="exact"/>
        <w:ind w:right="1134"/>
        <w:rPr>
          <w:rFonts w:asciiTheme="majorBidi" w:hAnsiTheme="majorBidi" w:cstheme="majorBidi"/>
        </w:rPr>
      </w:pPr>
      <w:r w:rsidRPr="00CA3790">
        <w:rPr>
          <w:rFonts w:asciiTheme="majorBidi" w:hAnsiTheme="majorBidi" w:cstheme="majorBidi"/>
        </w:rPr>
        <w:t>Mr. Alessandro Giuliano Peru (Chair)</w:t>
      </w:r>
      <w:r w:rsidRPr="00CA3790">
        <w:rPr>
          <w:rFonts w:asciiTheme="majorBidi" w:hAnsiTheme="majorBidi" w:cstheme="majorBidi"/>
        </w:rPr>
        <w:br/>
        <w:t>National Focal Point</w:t>
      </w:r>
      <w:r w:rsidRPr="00CA3790">
        <w:rPr>
          <w:rFonts w:asciiTheme="majorBidi" w:hAnsiTheme="majorBidi" w:cstheme="majorBidi"/>
        </w:rPr>
        <w:br/>
        <w:t xml:space="preserve">SOGESID </w:t>
      </w:r>
      <w:proofErr w:type="spellStart"/>
      <w:r w:rsidRPr="00CA3790">
        <w:rPr>
          <w:rFonts w:asciiTheme="majorBidi" w:hAnsiTheme="majorBidi" w:cstheme="majorBidi"/>
        </w:rPr>
        <w:t>S.p.A</w:t>
      </w:r>
      <w:proofErr w:type="spellEnd"/>
      <w:r w:rsidRPr="00CA3790">
        <w:rPr>
          <w:rFonts w:asciiTheme="majorBidi" w:hAnsiTheme="majorBidi" w:cstheme="majorBidi"/>
        </w:rPr>
        <w:t xml:space="preserve">. </w:t>
      </w:r>
      <w:proofErr w:type="spellStart"/>
      <w:r w:rsidRPr="00CA3790">
        <w:rPr>
          <w:rFonts w:asciiTheme="majorBidi" w:hAnsiTheme="majorBidi" w:cstheme="majorBidi"/>
        </w:rPr>
        <w:t>Technical</w:t>
      </w:r>
      <w:proofErr w:type="spellEnd"/>
      <w:r w:rsidRPr="00CA3790">
        <w:rPr>
          <w:rFonts w:asciiTheme="majorBidi" w:hAnsiTheme="majorBidi" w:cstheme="majorBidi"/>
        </w:rPr>
        <w:t xml:space="preserve"> Assistance Unit</w:t>
      </w:r>
      <w:r w:rsidRPr="00CA3790">
        <w:rPr>
          <w:rFonts w:asciiTheme="majorBidi" w:hAnsiTheme="majorBidi" w:cstheme="majorBidi"/>
        </w:rPr>
        <w:br/>
      </w:r>
      <w:proofErr w:type="spellStart"/>
      <w:r w:rsidRPr="00CA3790">
        <w:rPr>
          <w:rFonts w:asciiTheme="majorBidi" w:hAnsiTheme="majorBidi" w:cstheme="majorBidi"/>
        </w:rPr>
        <w:t>Directorate</w:t>
      </w:r>
      <w:proofErr w:type="spellEnd"/>
      <w:r w:rsidRPr="00CA3790">
        <w:rPr>
          <w:rFonts w:asciiTheme="majorBidi" w:hAnsiTheme="majorBidi" w:cstheme="majorBidi"/>
        </w:rPr>
        <w:t xml:space="preserve">-General for </w:t>
      </w:r>
      <w:proofErr w:type="spellStart"/>
      <w:r w:rsidRPr="00CA3790">
        <w:rPr>
          <w:rFonts w:asciiTheme="majorBidi" w:hAnsiTheme="majorBidi" w:cstheme="majorBidi"/>
        </w:rPr>
        <w:t>European</w:t>
      </w:r>
      <w:proofErr w:type="spellEnd"/>
      <w:r w:rsidRPr="00CA3790">
        <w:rPr>
          <w:rFonts w:asciiTheme="majorBidi" w:hAnsiTheme="majorBidi" w:cstheme="majorBidi"/>
        </w:rPr>
        <w:t xml:space="preserve"> and International </w:t>
      </w:r>
      <w:proofErr w:type="spellStart"/>
      <w:r w:rsidRPr="00CA3790">
        <w:rPr>
          <w:rFonts w:asciiTheme="majorBidi" w:hAnsiTheme="majorBidi" w:cstheme="majorBidi"/>
        </w:rPr>
        <w:t>Affairs</w:t>
      </w:r>
      <w:proofErr w:type="spellEnd"/>
      <w:r w:rsidRPr="00CA3790">
        <w:rPr>
          <w:rFonts w:asciiTheme="majorBidi" w:hAnsiTheme="majorBidi" w:cstheme="majorBidi"/>
        </w:rPr>
        <w:t xml:space="preserve"> and </w:t>
      </w:r>
      <w:proofErr w:type="spellStart"/>
      <w:r w:rsidRPr="00CA3790">
        <w:rPr>
          <w:rFonts w:asciiTheme="majorBidi" w:hAnsiTheme="majorBidi" w:cstheme="majorBidi"/>
        </w:rPr>
        <w:t>Sustainable</w:t>
      </w:r>
      <w:proofErr w:type="spellEnd"/>
      <w:r w:rsidRPr="00CA3790">
        <w:rPr>
          <w:rFonts w:asciiTheme="majorBidi" w:hAnsiTheme="majorBidi" w:cstheme="majorBidi"/>
        </w:rPr>
        <w:t xml:space="preserve"> Finance</w:t>
      </w:r>
      <w:r w:rsidRPr="00CA3790">
        <w:rPr>
          <w:rFonts w:asciiTheme="majorBidi" w:hAnsiTheme="majorBidi" w:cstheme="majorBidi"/>
        </w:rPr>
        <w:br/>
        <w:t xml:space="preserve">Ministry of </w:t>
      </w:r>
      <w:proofErr w:type="spellStart"/>
      <w:r w:rsidRPr="00CA3790">
        <w:rPr>
          <w:rFonts w:asciiTheme="majorBidi" w:hAnsiTheme="majorBidi" w:cstheme="majorBidi"/>
        </w:rPr>
        <w:t>Environment</w:t>
      </w:r>
      <w:proofErr w:type="spellEnd"/>
      <w:r w:rsidRPr="00CA3790">
        <w:rPr>
          <w:rFonts w:asciiTheme="majorBidi" w:hAnsiTheme="majorBidi" w:cstheme="majorBidi"/>
        </w:rPr>
        <w:t xml:space="preserve"> and Energy Security </w:t>
      </w:r>
      <w:r w:rsidRPr="00CA3790">
        <w:rPr>
          <w:rFonts w:asciiTheme="majorBidi" w:hAnsiTheme="majorBidi" w:cstheme="majorBidi"/>
        </w:rPr>
        <w:br/>
        <w:t xml:space="preserve">Rome </w:t>
      </w:r>
      <w:r w:rsidRPr="00CA3790">
        <w:rPr>
          <w:rFonts w:asciiTheme="majorBidi" w:hAnsiTheme="majorBidi" w:cstheme="majorBidi"/>
        </w:rPr>
        <w:br/>
        <w:t>Italy</w:t>
      </w:r>
    </w:p>
    <w:p w14:paraId="59AEECE3" w14:textId="7F312C5C" w:rsidR="000F2789" w:rsidRPr="001D4801" w:rsidRDefault="0036258E" w:rsidP="00B85AA4">
      <w:pPr>
        <w:pStyle w:val="Normal-pool"/>
        <w:keepNext/>
        <w:keepLines/>
        <w:tabs>
          <w:tab w:val="clear" w:pos="624"/>
          <w:tab w:val="clear" w:pos="1247"/>
          <w:tab w:val="clear" w:pos="1871"/>
          <w:tab w:val="clear" w:pos="2495"/>
          <w:tab w:val="clear" w:pos="3119"/>
          <w:tab w:val="clear" w:pos="3742"/>
          <w:tab w:val="clear" w:pos="4366"/>
          <w:tab w:val="clear" w:pos="4990"/>
        </w:tabs>
        <w:bidi/>
        <w:spacing w:after="120" w:line="24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36" w:history="1">
        <w:r w:rsidR="000F2789" w:rsidRPr="001D4801">
          <w:rPr>
            <w:rStyle w:val="Hyperlink"/>
            <w:rFonts w:asciiTheme="majorBidi" w:hAnsiTheme="majorBidi" w:cstheme="majorBidi"/>
          </w:rPr>
          <w:t>peru.alessandro@mase.gov.it</w:t>
        </w:r>
      </w:hyperlink>
      <w:r w:rsidR="000F2789" w:rsidRPr="00137C2C">
        <w:rPr>
          <w:rStyle w:val="Hyperlink"/>
          <w:rFonts w:asciiTheme="majorBidi" w:hAnsiTheme="majorBidi" w:cstheme="majorBidi"/>
          <w:color w:val="auto"/>
        </w:rPr>
        <w:t>,</w:t>
      </w:r>
      <w:r w:rsidR="000F2789" w:rsidRPr="001D4801">
        <w:rPr>
          <w:rStyle w:val="Hyperlink"/>
          <w:rFonts w:asciiTheme="majorBidi" w:hAnsiTheme="majorBidi" w:cstheme="majorBidi"/>
        </w:rPr>
        <w:t xml:space="preserve"> </w:t>
      </w:r>
      <w:hyperlink r:id="rId37" w:history="1">
        <w:r w:rsidR="000F2789" w:rsidRPr="001D4801">
          <w:rPr>
            <w:rStyle w:val="Hyperlink"/>
            <w:rFonts w:asciiTheme="majorBidi" w:hAnsiTheme="majorBidi" w:cstheme="majorBidi"/>
          </w:rPr>
          <w:t>g.peru@sogesid.it</w:t>
        </w:r>
      </w:hyperlink>
    </w:p>
    <w:p w14:paraId="7190B2DD" w14:textId="77777777" w:rsidR="002F71D2" w:rsidRPr="00CA3790" w:rsidRDefault="000F2789" w:rsidP="00B85AA4">
      <w:pPr>
        <w:pStyle w:val="Normal-pool"/>
        <w:tabs>
          <w:tab w:val="clear" w:pos="624"/>
          <w:tab w:val="clear" w:pos="1247"/>
          <w:tab w:val="clear" w:pos="1871"/>
          <w:tab w:val="clear" w:pos="2495"/>
          <w:tab w:val="clear" w:pos="3119"/>
          <w:tab w:val="clear" w:pos="3742"/>
          <w:tab w:val="clear" w:pos="4366"/>
          <w:tab w:val="clear" w:pos="4990"/>
        </w:tabs>
        <w:spacing w:before="240" w:line="240" w:lineRule="exact"/>
        <w:ind w:right="1134"/>
        <w:rPr>
          <w:rFonts w:asciiTheme="majorBidi" w:hAnsiTheme="majorBidi" w:cstheme="majorBidi"/>
        </w:rPr>
      </w:pPr>
      <w:r w:rsidRPr="00CA3790">
        <w:rPr>
          <w:rFonts w:asciiTheme="majorBidi" w:hAnsiTheme="majorBidi" w:cstheme="majorBidi"/>
        </w:rPr>
        <w:t xml:space="preserve">Mr. </w:t>
      </w:r>
      <w:proofErr w:type="spellStart"/>
      <w:r w:rsidRPr="00CA3790">
        <w:rPr>
          <w:rFonts w:asciiTheme="majorBidi" w:hAnsiTheme="majorBidi" w:cstheme="majorBidi"/>
        </w:rPr>
        <w:t>Mathatela</w:t>
      </w:r>
      <w:proofErr w:type="spellEnd"/>
      <w:r w:rsidRPr="00CA3790">
        <w:rPr>
          <w:rFonts w:asciiTheme="majorBidi" w:hAnsiTheme="majorBidi" w:cstheme="majorBidi"/>
        </w:rPr>
        <w:t xml:space="preserve"> Augustinus Ntsatsi (Vice-Chair)</w:t>
      </w:r>
      <w:r w:rsidRPr="00CA3790">
        <w:rPr>
          <w:rFonts w:asciiTheme="majorBidi" w:hAnsiTheme="majorBidi" w:cstheme="majorBidi"/>
        </w:rPr>
        <w:br/>
        <w:t>National Ozone Officer</w:t>
      </w:r>
      <w:r w:rsidRPr="00CA3790">
        <w:rPr>
          <w:rFonts w:asciiTheme="majorBidi" w:hAnsiTheme="majorBidi" w:cstheme="majorBidi"/>
        </w:rPr>
        <w:br/>
        <w:t xml:space="preserve">Ministry of </w:t>
      </w:r>
      <w:proofErr w:type="spellStart"/>
      <w:r w:rsidRPr="00CA3790">
        <w:rPr>
          <w:rFonts w:asciiTheme="majorBidi" w:hAnsiTheme="majorBidi" w:cstheme="majorBidi"/>
        </w:rPr>
        <w:t>Environment</w:t>
      </w:r>
      <w:proofErr w:type="spellEnd"/>
      <w:r w:rsidRPr="00CA3790">
        <w:rPr>
          <w:rFonts w:asciiTheme="majorBidi" w:hAnsiTheme="majorBidi" w:cstheme="majorBidi"/>
        </w:rPr>
        <w:t xml:space="preserve"> and </w:t>
      </w:r>
      <w:proofErr w:type="spellStart"/>
      <w:r w:rsidRPr="00CA3790">
        <w:rPr>
          <w:rFonts w:asciiTheme="majorBidi" w:hAnsiTheme="majorBidi" w:cstheme="majorBidi"/>
        </w:rPr>
        <w:t>Forestry</w:t>
      </w:r>
      <w:proofErr w:type="spellEnd"/>
      <w:r w:rsidRPr="00CA3790">
        <w:rPr>
          <w:rFonts w:asciiTheme="majorBidi" w:hAnsiTheme="majorBidi" w:cstheme="majorBidi"/>
        </w:rPr>
        <w:br/>
        <w:t>Maseru</w:t>
      </w:r>
      <w:r w:rsidRPr="00CA3790">
        <w:rPr>
          <w:rFonts w:asciiTheme="majorBidi" w:hAnsiTheme="majorBidi" w:cstheme="majorBidi"/>
        </w:rPr>
        <w:br/>
        <w:t>Lesotho</w:t>
      </w:r>
    </w:p>
    <w:p w14:paraId="26C2AD7D" w14:textId="3F88486E" w:rsidR="000F2789" w:rsidRPr="001D4801" w:rsidRDefault="0036258E"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38" w:history="1">
        <w:r w:rsidR="000F2789" w:rsidRPr="001D4801">
          <w:rPr>
            <w:rStyle w:val="Hyperlink"/>
            <w:rFonts w:asciiTheme="majorBidi" w:hAnsiTheme="majorBidi" w:cstheme="majorBidi"/>
          </w:rPr>
          <w:t>ntsatsimathatela@gmail.com</w:t>
        </w:r>
      </w:hyperlink>
    </w:p>
    <w:p w14:paraId="158652E7" w14:textId="7794B2B1" w:rsidR="000F2789" w:rsidRPr="000B5AE8" w:rsidRDefault="00F32E7F" w:rsidP="000B5AE8">
      <w:pPr>
        <w:pStyle w:val="Normal-pool"/>
        <w:tabs>
          <w:tab w:val="clear" w:pos="624"/>
          <w:tab w:val="clear" w:pos="1247"/>
          <w:tab w:val="clear" w:pos="1871"/>
          <w:tab w:val="clear" w:pos="2495"/>
          <w:tab w:val="clear" w:pos="3119"/>
          <w:tab w:val="clear" w:pos="3742"/>
          <w:tab w:val="clear" w:pos="4366"/>
          <w:tab w:val="clear" w:pos="4990"/>
        </w:tabs>
        <w:bidi/>
        <w:spacing w:after="120" w:line="360" w:lineRule="exact"/>
        <w:ind w:left="1134"/>
        <w:jc w:val="both"/>
        <w:rPr>
          <w:rFonts w:ascii="Simplified Arabic" w:hAnsi="Simplified Arabic" w:cs="Simplified Arabic"/>
          <w:b/>
          <w:bCs/>
          <w:sz w:val="24"/>
          <w:szCs w:val="24"/>
        </w:rPr>
      </w:pPr>
      <w:r w:rsidRPr="000B5AE8">
        <w:rPr>
          <w:rFonts w:ascii="Simplified Arabic" w:hAnsi="Simplified Arabic" w:cs="Simplified Arabic" w:hint="cs"/>
          <w:b/>
          <w:bCs/>
          <w:sz w:val="24"/>
          <w:szCs w:val="24"/>
          <w:rtl/>
        </w:rPr>
        <w:lastRenderedPageBreak/>
        <w:t>البنك الدولي</w:t>
      </w:r>
    </w:p>
    <w:p w14:paraId="1EF4E2F8" w14:textId="77777777" w:rsidR="005761A3" w:rsidRPr="00CA3790" w:rsidRDefault="000F2789" w:rsidP="00B207E1">
      <w:pPr>
        <w:pStyle w:val="Normal-pool"/>
        <w:tabs>
          <w:tab w:val="clear" w:pos="624"/>
          <w:tab w:val="clear" w:pos="1247"/>
          <w:tab w:val="clear" w:pos="1871"/>
          <w:tab w:val="clear" w:pos="2495"/>
          <w:tab w:val="clear" w:pos="3119"/>
          <w:tab w:val="clear" w:pos="3742"/>
          <w:tab w:val="clear" w:pos="4366"/>
          <w:tab w:val="clear" w:pos="4990"/>
        </w:tabs>
        <w:spacing w:line="220" w:lineRule="exact"/>
        <w:ind w:right="1134"/>
        <w:rPr>
          <w:rFonts w:asciiTheme="majorBidi" w:hAnsiTheme="majorBidi" w:cstheme="majorBidi"/>
        </w:rPr>
      </w:pPr>
      <w:r w:rsidRPr="00CA3790">
        <w:rPr>
          <w:rFonts w:asciiTheme="majorBidi" w:hAnsiTheme="majorBidi" w:cstheme="majorBidi"/>
        </w:rPr>
        <w:t xml:space="preserve">Mr. </w:t>
      </w:r>
      <w:proofErr w:type="spellStart"/>
      <w:r w:rsidRPr="00CA3790">
        <w:rPr>
          <w:rFonts w:asciiTheme="majorBidi" w:hAnsiTheme="majorBidi" w:cstheme="majorBidi"/>
        </w:rPr>
        <w:t>Thanavat</w:t>
      </w:r>
      <w:proofErr w:type="spellEnd"/>
      <w:r w:rsidRPr="00CA3790">
        <w:rPr>
          <w:rFonts w:asciiTheme="majorBidi" w:hAnsiTheme="majorBidi" w:cstheme="majorBidi"/>
        </w:rPr>
        <w:t xml:space="preserve"> Junchaya</w:t>
      </w:r>
      <w:r w:rsidRPr="00CA3790">
        <w:rPr>
          <w:rFonts w:asciiTheme="majorBidi" w:hAnsiTheme="majorBidi" w:cstheme="majorBidi"/>
        </w:rPr>
        <w:br/>
        <w:t xml:space="preserve">Senior </w:t>
      </w:r>
      <w:proofErr w:type="spellStart"/>
      <w:r w:rsidRPr="00CA3790">
        <w:rPr>
          <w:rFonts w:asciiTheme="majorBidi" w:hAnsiTheme="majorBidi" w:cstheme="majorBidi"/>
        </w:rPr>
        <w:t>Environmental</w:t>
      </w:r>
      <w:proofErr w:type="spellEnd"/>
      <w:r w:rsidRPr="00CA3790">
        <w:rPr>
          <w:rFonts w:asciiTheme="majorBidi" w:hAnsiTheme="majorBidi" w:cstheme="majorBidi"/>
        </w:rPr>
        <w:t xml:space="preserve"> Engineer</w:t>
      </w:r>
      <w:r w:rsidRPr="00CA3790">
        <w:rPr>
          <w:rFonts w:asciiTheme="majorBidi" w:hAnsiTheme="majorBidi" w:cstheme="majorBidi"/>
        </w:rPr>
        <w:br/>
      </w:r>
      <w:proofErr w:type="spellStart"/>
      <w:r w:rsidRPr="00CA3790">
        <w:rPr>
          <w:rFonts w:asciiTheme="majorBidi" w:hAnsiTheme="majorBidi" w:cstheme="majorBidi"/>
        </w:rPr>
        <w:t>Environment</w:t>
      </w:r>
      <w:proofErr w:type="spellEnd"/>
      <w:r w:rsidRPr="00CA3790">
        <w:rPr>
          <w:rFonts w:asciiTheme="majorBidi" w:hAnsiTheme="majorBidi" w:cstheme="majorBidi"/>
        </w:rPr>
        <w:t xml:space="preserve">, Natural </w:t>
      </w:r>
      <w:proofErr w:type="spellStart"/>
      <w:r w:rsidRPr="00CA3790">
        <w:rPr>
          <w:rFonts w:asciiTheme="majorBidi" w:hAnsiTheme="majorBidi" w:cstheme="majorBidi"/>
        </w:rPr>
        <w:t>Resources</w:t>
      </w:r>
      <w:proofErr w:type="spellEnd"/>
      <w:r w:rsidRPr="00CA3790">
        <w:rPr>
          <w:rFonts w:asciiTheme="majorBidi" w:hAnsiTheme="majorBidi" w:cstheme="majorBidi"/>
        </w:rPr>
        <w:t xml:space="preserve"> and Blue Economy</w:t>
      </w:r>
      <w:r w:rsidRPr="00CA3790">
        <w:rPr>
          <w:rFonts w:asciiTheme="majorBidi" w:hAnsiTheme="majorBidi" w:cstheme="majorBidi"/>
        </w:rPr>
        <w:br/>
        <w:t>The World Bank</w:t>
      </w:r>
      <w:r w:rsidRPr="00CA3790">
        <w:rPr>
          <w:rFonts w:asciiTheme="majorBidi" w:hAnsiTheme="majorBidi" w:cstheme="majorBidi"/>
        </w:rPr>
        <w:br/>
        <w:t>Washington, DC 20433</w:t>
      </w:r>
      <w:r w:rsidRPr="00CA3790">
        <w:rPr>
          <w:rFonts w:asciiTheme="majorBidi" w:hAnsiTheme="majorBidi" w:cstheme="majorBidi"/>
        </w:rPr>
        <w:br/>
        <w:t>United States of America</w:t>
      </w:r>
    </w:p>
    <w:p w14:paraId="5D272E20" w14:textId="137DE62A" w:rsidR="000F2789" w:rsidRPr="001D4801" w:rsidRDefault="001E34CC"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39" w:history="1">
        <w:r w:rsidR="000F2789" w:rsidRPr="001D4801">
          <w:rPr>
            <w:rStyle w:val="Hyperlink"/>
            <w:rFonts w:asciiTheme="majorBidi" w:hAnsiTheme="majorBidi" w:cstheme="majorBidi"/>
          </w:rPr>
          <w:t>tjunchaya@worldbank.org</w:t>
        </w:r>
      </w:hyperlink>
    </w:p>
    <w:p w14:paraId="1EAFAB5B" w14:textId="77777777" w:rsidR="005761A3" w:rsidRPr="00CA3790" w:rsidRDefault="000F2789" w:rsidP="00B207E1">
      <w:pPr>
        <w:pStyle w:val="Normal-pool"/>
        <w:tabs>
          <w:tab w:val="clear" w:pos="624"/>
          <w:tab w:val="clear" w:pos="1247"/>
          <w:tab w:val="clear" w:pos="1871"/>
          <w:tab w:val="clear" w:pos="2495"/>
          <w:tab w:val="clear" w:pos="3119"/>
          <w:tab w:val="clear" w:pos="3742"/>
          <w:tab w:val="clear" w:pos="4366"/>
          <w:tab w:val="clear" w:pos="4990"/>
        </w:tabs>
        <w:spacing w:before="240" w:line="220" w:lineRule="exact"/>
        <w:ind w:right="1134"/>
        <w:rPr>
          <w:rFonts w:asciiTheme="majorBidi" w:hAnsiTheme="majorBidi" w:cstheme="majorBidi"/>
        </w:rPr>
      </w:pPr>
      <w:r w:rsidRPr="00CA3790">
        <w:rPr>
          <w:rFonts w:asciiTheme="majorBidi" w:hAnsiTheme="majorBidi" w:cstheme="majorBidi"/>
        </w:rPr>
        <w:t>Mr. Jiang Ru</w:t>
      </w:r>
      <w:r w:rsidRPr="00CA3790">
        <w:rPr>
          <w:rFonts w:asciiTheme="majorBidi" w:hAnsiTheme="majorBidi" w:cstheme="majorBidi"/>
        </w:rPr>
        <w:br/>
        <w:t>Practice Manager</w:t>
      </w:r>
      <w:r w:rsidRPr="00CA3790">
        <w:rPr>
          <w:rFonts w:asciiTheme="majorBidi" w:hAnsiTheme="majorBidi" w:cstheme="majorBidi"/>
        </w:rPr>
        <w:br/>
      </w:r>
      <w:proofErr w:type="spellStart"/>
      <w:r w:rsidRPr="00CA3790">
        <w:rPr>
          <w:rFonts w:asciiTheme="majorBidi" w:hAnsiTheme="majorBidi" w:cstheme="majorBidi"/>
        </w:rPr>
        <w:t>Environment</w:t>
      </w:r>
      <w:proofErr w:type="spellEnd"/>
      <w:r w:rsidRPr="00CA3790">
        <w:rPr>
          <w:rFonts w:asciiTheme="majorBidi" w:hAnsiTheme="majorBidi" w:cstheme="majorBidi"/>
        </w:rPr>
        <w:t xml:space="preserve"> and </w:t>
      </w:r>
      <w:proofErr w:type="spellStart"/>
      <w:r w:rsidRPr="00CA3790">
        <w:rPr>
          <w:rFonts w:asciiTheme="majorBidi" w:hAnsiTheme="majorBidi" w:cstheme="majorBidi"/>
        </w:rPr>
        <w:t>Corporate</w:t>
      </w:r>
      <w:proofErr w:type="spellEnd"/>
      <w:r w:rsidRPr="00CA3790">
        <w:rPr>
          <w:rFonts w:asciiTheme="majorBidi" w:hAnsiTheme="majorBidi" w:cstheme="majorBidi"/>
        </w:rPr>
        <w:t xml:space="preserve"> </w:t>
      </w:r>
      <w:proofErr w:type="spellStart"/>
      <w:r w:rsidRPr="00CA3790">
        <w:rPr>
          <w:rFonts w:asciiTheme="majorBidi" w:hAnsiTheme="majorBidi" w:cstheme="majorBidi"/>
        </w:rPr>
        <w:t>Responsibility</w:t>
      </w:r>
      <w:proofErr w:type="spellEnd"/>
      <w:r w:rsidRPr="00CA3790">
        <w:rPr>
          <w:rFonts w:asciiTheme="majorBidi" w:hAnsiTheme="majorBidi" w:cstheme="majorBidi"/>
        </w:rPr>
        <w:br/>
        <w:t>The World Bank</w:t>
      </w:r>
      <w:r w:rsidRPr="00CA3790">
        <w:rPr>
          <w:rFonts w:asciiTheme="majorBidi" w:hAnsiTheme="majorBidi" w:cstheme="majorBidi"/>
        </w:rPr>
        <w:br/>
        <w:t>Washington, DC 20433</w:t>
      </w:r>
      <w:r w:rsidRPr="00CA3790">
        <w:rPr>
          <w:rFonts w:asciiTheme="majorBidi" w:hAnsiTheme="majorBidi" w:cstheme="majorBidi"/>
        </w:rPr>
        <w:br/>
        <w:t>United States of America</w:t>
      </w:r>
    </w:p>
    <w:p w14:paraId="43216308" w14:textId="6FE9DE36" w:rsidR="000F2789" w:rsidRPr="001D4801" w:rsidRDefault="001E34CC"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40" w:history="1">
        <w:r w:rsidR="000F2789" w:rsidRPr="001D4801">
          <w:rPr>
            <w:rStyle w:val="Hyperlink"/>
            <w:rFonts w:asciiTheme="majorBidi" w:hAnsiTheme="majorBidi" w:cstheme="majorBidi"/>
          </w:rPr>
          <w:t>jru@worldbank.org</w:t>
        </w:r>
      </w:hyperlink>
    </w:p>
    <w:p w14:paraId="72E108D6" w14:textId="21858DB6" w:rsidR="000F2789" w:rsidRPr="000B5AE8" w:rsidRDefault="00BA7DB8" w:rsidP="00B207E1">
      <w:pPr>
        <w:pStyle w:val="CH3"/>
        <w:keepNext w:val="0"/>
        <w:keepLines w:val="0"/>
        <w:tabs>
          <w:tab w:val="clear" w:pos="851"/>
          <w:tab w:val="clear" w:pos="1247"/>
          <w:tab w:val="clear" w:pos="1871"/>
          <w:tab w:val="clear" w:pos="2495"/>
          <w:tab w:val="clear" w:pos="3119"/>
          <w:tab w:val="clear" w:pos="3742"/>
          <w:tab w:val="clear" w:pos="4366"/>
          <w:tab w:val="clear" w:pos="4990"/>
        </w:tabs>
        <w:bidi/>
        <w:spacing w:line="360" w:lineRule="exact"/>
        <w:ind w:left="1134" w:right="0" w:firstLine="0"/>
        <w:jc w:val="both"/>
        <w:rPr>
          <w:rFonts w:ascii="Simplified Arabic" w:hAnsi="Simplified Arabic" w:cs="Simplified Arabic"/>
          <w:sz w:val="24"/>
          <w:szCs w:val="24"/>
        </w:rPr>
      </w:pPr>
      <w:r w:rsidRPr="000B5AE8">
        <w:rPr>
          <w:rFonts w:ascii="Simplified Arabic" w:hAnsi="Simplified Arabic" w:cs="Simplified Arabic"/>
          <w:bCs/>
          <w:sz w:val="24"/>
          <w:szCs w:val="24"/>
          <w:rtl/>
        </w:rPr>
        <w:t>برنامج الأمم المتحدة الإنمائي</w:t>
      </w:r>
    </w:p>
    <w:p w14:paraId="23289E1D" w14:textId="77777777" w:rsidR="00F002B7" w:rsidRPr="00CA3790" w:rsidRDefault="000F2789" w:rsidP="00B207E1">
      <w:pPr>
        <w:pStyle w:val="Normal-pool"/>
        <w:tabs>
          <w:tab w:val="clear" w:pos="624"/>
          <w:tab w:val="clear" w:pos="1247"/>
          <w:tab w:val="clear" w:pos="1871"/>
          <w:tab w:val="clear" w:pos="2495"/>
          <w:tab w:val="clear" w:pos="3119"/>
          <w:tab w:val="clear" w:pos="3742"/>
          <w:tab w:val="clear" w:pos="4366"/>
          <w:tab w:val="clear" w:pos="4990"/>
        </w:tabs>
        <w:spacing w:line="220" w:lineRule="exact"/>
        <w:ind w:right="1134"/>
        <w:rPr>
          <w:rFonts w:asciiTheme="majorBidi" w:hAnsiTheme="majorBidi" w:cstheme="majorBidi"/>
        </w:rPr>
      </w:pPr>
      <w:r w:rsidRPr="00CA3790">
        <w:rPr>
          <w:rFonts w:asciiTheme="majorBidi" w:hAnsiTheme="majorBidi" w:cstheme="majorBidi"/>
        </w:rPr>
        <w:t>Ms. Paloma Somohano</w:t>
      </w:r>
      <w:r w:rsidRPr="00CA3790">
        <w:rPr>
          <w:rFonts w:asciiTheme="majorBidi" w:hAnsiTheme="majorBidi" w:cstheme="majorBidi"/>
        </w:rPr>
        <w:br/>
        <w:t xml:space="preserve">Programme </w:t>
      </w:r>
      <w:proofErr w:type="spellStart"/>
      <w:r w:rsidRPr="00CA3790">
        <w:rPr>
          <w:rFonts w:asciiTheme="majorBidi" w:hAnsiTheme="majorBidi" w:cstheme="majorBidi"/>
        </w:rPr>
        <w:t>Specialist</w:t>
      </w:r>
      <w:proofErr w:type="spellEnd"/>
      <w:r w:rsidRPr="00CA3790">
        <w:rPr>
          <w:rFonts w:asciiTheme="majorBidi" w:hAnsiTheme="majorBidi" w:cstheme="majorBidi"/>
        </w:rPr>
        <w:br/>
        <w:t>Montreal Protocol / Chemicals and Waste Unit</w:t>
      </w:r>
      <w:r w:rsidRPr="00CA3790">
        <w:rPr>
          <w:rFonts w:asciiTheme="majorBidi" w:hAnsiTheme="majorBidi" w:cstheme="majorBidi"/>
        </w:rPr>
        <w:br/>
        <w:t xml:space="preserve">United Nations </w:t>
      </w:r>
      <w:proofErr w:type="spellStart"/>
      <w:r w:rsidRPr="00CA3790">
        <w:rPr>
          <w:rFonts w:asciiTheme="majorBidi" w:hAnsiTheme="majorBidi" w:cstheme="majorBidi"/>
        </w:rPr>
        <w:t>Development</w:t>
      </w:r>
      <w:proofErr w:type="spellEnd"/>
      <w:r w:rsidRPr="00CA3790">
        <w:rPr>
          <w:rFonts w:asciiTheme="majorBidi" w:hAnsiTheme="majorBidi" w:cstheme="majorBidi"/>
        </w:rPr>
        <w:t xml:space="preserve"> Programme</w:t>
      </w:r>
      <w:r w:rsidRPr="00CA3790">
        <w:rPr>
          <w:rFonts w:asciiTheme="majorBidi" w:hAnsiTheme="majorBidi" w:cstheme="majorBidi"/>
        </w:rPr>
        <w:br/>
        <w:t>New York</w:t>
      </w:r>
      <w:r w:rsidRPr="00CA3790">
        <w:rPr>
          <w:rFonts w:asciiTheme="majorBidi" w:hAnsiTheme="majorBidi" w:cstheme="majorBidi"/>
        </w:rPr>
        <w:br/>
        <w:t>United States of America</w:t>
      </w:r>
    </w:p>
    <w:p w14:paraId="3E1CFF44" w14:textId="4C1BD88D" w:rsidR="000F2789" w:rsidRPr="001D4801" w:rsidRDefault="001E34CC"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41" w:history="1">
        <w:r w:rsidR="000F2789" w:rsidRPr="001D4801">
          <w:rPr>
            <w:rStyle w:val="Hyperlink"/>
            <w:rFonts w:asciiTheme="majorBidi" w:hAnsiTheme="majorBidi" w:cstheme="majorBidi"/>
          </w:rPr>
          <w:t>paloma.somohano@undp.org</w:t>
        </w:r>
      </w:hyperlink>
    </w:p>
    <w:p w14:paraId="7979A18D" w14:textId="3CD4655D" w:rsidR="000F2789" w:rsidRPr="000B5AE8" w:rsidRDefault="0003526C" w:rsidP="00B207E1">
      <w:pPr>
        <w:pStyle w:val="Normal-pool"/>
        <w:tabs>
          <w:tab w:val="clear" w:pos="624"/>
          <w:tab w:val="clear" w:pos="1247"/>
          <w:tab w:val="clear" w:pos="1871"/>
          <w:tab w:val="clear" w:pos="2495"/>
          <w:tab w:val="clear" w:pos="3119"/>
          <w:tab w:val="clear" w:pos="3742"/>
          <w:tab w:val="clear" w:pos="4366"/>
          <w:tab w:val="clear" w:pos="4990"/>
        </w:tabs>
        <w:bidi/>
        <w:spacing w:before="240" w:after="120" w:line="360" w:lineRule="exact"/>
        <w:ind w:left="1134"/>
        <w:jc w:val="both"/>
        <w:rPr>
          <w:rFonts w:ascii="Simplified Arabic" w:hAnsi="Simplified Arabic" w:cs="Simplified Arabic"/>
          <w:b/>
          <w:bCs/>
          <w:sz w:val="24"/>
          <w:szCs w:val="24"/>
        </w:rPr>
      </w:pPr>
      <w:r w:rsidRPr="000B5AE8">
        <w:rPr>
          <w:rFonts w:ascii="Simplified Arabic" w:hAnsi="Simplified Arabic" w:cs="Simplified Arabic"/>
          <w:b/>
          <w:bCs/>
          <w:sz w:val="24"/>
          <w:szCs w:val="24"/>
          <w:rtl/>
        </w:rPr>
        <w:t>برنامج الأمم المتحدة للبيئة</w:t>
      </w:r>
    </w:p>
    <w:p w14:paraId="33400453" w14:textId="77777777" w:rsidR="005B4E08" w:rsidRPr="00CA3790" w:rsidRDefault="000F2789" w:rsidP="00B207E1">
      <w:pPr>
        <w:pStyle w:val="Normal-pool"/>
        <w:tabs>
          <w:tab w:val="clear" w:pos="624"/>
          <w:tab w:val="clear" w:pos="1247"/>
          <w:tab w:val="clear" w:pos="1871"/>
          <w:tab w:val="clear" w:pos="2495"/>
          <w:tab w:val="clear" w:pos="3119"/>
          <w:tab w:val="clear" w:pos="3742"/>
          <w:tab w:val="clear" w:pos="4366"/>
          <w:tab w:val="clear" w:pos="4990"/>
        </w:tabs>
        <w:spacing w:line="220" w:lineRule="exact"/>
        <w:ind w:right="1134"/>
        <w:rPr>
          <w:rFonts w:asciiTheme="majorBidi" w:hAnsiTheme="majorBidi" w:cstheme="majorBidi"/>
        </w:rPr>
      </w:pPr>
      <w:r w:rsidRPr="00CA3790">
        <w:rPr>
          <w:rFonts w:asciiTheme="majorBidi" w:hAnsiTheme="majorBidi" w:cstheme="majorBidi"/>
        </w:rPr>
        <w:t>Mr. James Curlin</w:t>
      </w:r>
      <w:r w:rsidRPr="00CA3790">
        <w:rPr>
          <w:rFonts w:asciiTheme="majorBidi" w:hAnsiTheme="majorBidi" w:cstheme="majorBidi"/>
        </w:rPr>
        <w:br/>
        <w:t>Head of OzonAction</w:t>
      </w:r>
      <w:r w:rsidRPr="00CA3790">
        <w:rPr>
          <w:rFonts w:asciiTheme="majorBidi" w:hAnsiTheme="majorBidi" w:cstheme="majorBidi"/>
        </w:rPr>
        <w:br/>
        <w:t>Law Division</w:t>
      </w:r>
      <w:r w:rsidRPr="00CA3790">
        <w:rPr>
          <w:rFonts w:asciiTheme="majorBidi" w:hAnsiTheme="majorBidi" w:cstheme="majorBidi"/>
        </w:rPr>
        <w:br/>
        <w:t xml:space="preserve">United Nations </w:t>
      </w:r>
      <w:proofErr w:type="spellStart"/>
      <w:r w:rsidRPr="00CA3790">
        <w:rPr>
          <w:rFonts w:asciiTheme="majorBidi" w:hAnsiTheme="majorBidi" w:cstheme="majorBidi"/>
        </w:rPr>
        <w:t>Environment</w:t>
      </w:r>
      <w:proofErr w:type="spellEnd"/>
      <w:r w:rsidRPr="00CA3790">
        <w:rPr>
          <w:rFonts w:asciiTheme="majorBidi" w:hAnsiTheme="majorBidi" w:cstheme="majorBidi"/>
        </w:rPr>
        <w:t xml:space="preserve"> Programme</w:t>
      </w:r>
    </w:p>
    <w:p w14:paraId="4A3793DC" w14:textId="25DF5140" w:rsidR="000F2789" w:rsidRPr="001D4801" w:rsidRDefault="0036258E"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42" w:history="1">
        <w:r w:rsidR="00137C2C" w:rsidRPr="00137C2C">
          <w:rPr>
            <w:rStyle w:val="Hyperlink"/>
          </w:rPr>
          <w:t>jim.curlin@un.org</w:t>
        </w:r>
      </w:hyperlink>
    </w:p>
    <w:p w14:paraId="1332B058" w14:textId="77777777" w:rsidR="005B4E08" w:rsidRPr="00CA3790" w:rsidRDefault="000F2789" w:rsidP="00697D0C">
      <w:pPr>
        <w:pStyle w:val="Normal-pool"/>
        <w:tabs>
          <w:tab w:val="clear" w:pos="624"/>
          <w:tab w:val="clear" w:pos="1247"/>
          <w:tab w:val="clear" w:pos="1871"/>
          <w:tab w:val="clear" w:pos="2495"/>
          <w:tab w:val="clear" w:pos="3119"/>
          <w:tab w:val="clear" w:pos="3742"/>
          <w:tab w:val="clear" w:pos="4366"/>
          <w:tab w:val="clear" w:pos="4990"/>
        </w:tabs>
        <w:spacing w:before="240" w:line="220" w:lineRule="exact"/>
        <w:ind w:right="1134"/>
        <w:rPr>
          <w:rFonts w:asciiTheme="majorBidi" w:hAnsiTheme="majorBidi" w:cstheme="majorBidi"/>
        </w:rPr>
      </w:pPr>
      <w:r w:rsidRPr="00CA3790">
        <w:rPr>
          <w:rFonts w:asciiTheme="majorBidi" w:hAnsiTheme="majorBidi" w:cstheme="majorBidi"/>
        </w:rPr>
        <w:t>Ms. Tatiana Terekhova</w:t>
      </w:r>
      <w:r w:rsidRPr="00CA3790">
        <w:rPr>
          <w:rFonts w:asciiTheme="majorBidi" w:hAnsiTheme="majorBidi" w:cstheme="majorBidi"/>
        </w:rPr>
        <w:br/>
        <w:t>Capacity Building Manager</w:t>
      </w:r>
      <w:r w:rsidRPr="00CA3790">
        <w:rPr>
          <w:rFonts w:asciiTheme="majorBidi" w:hAnsiTheme="majorBidi" w:cstheme="majorBidi"/>
        </w:rPr>
        <w:br/>
        <w:t>OzonAction UNEP</w:t>
      </w:r>
      <w:r w:rsidRPr="00CA3790">
        <w:rPr>
          <w:rFonts w:asciiTheme="majorBidi" w:hAnsiTheme="majorBidi" w:cstheme="majorBidi"/>
        </w:rPr>
        <w:br/>
        <w:t xml:space="preserve">United Nations </w:t>
      </w:r>
      <w:proofErr w:type="spellStart"/>
      <w:r w:rsidRPr="00CA3790">
        <w:rPr>
          <w:rFonts w:asciiTheme="majorBidi" w:hAnsiTheme="majorBidi" w:cstheme="majorBidi"/>
        </w:rPr>
        <w:t>Environment</w:t>
      </w:r>
      <w:proofErr w:type="spellEnd"/>
      <w:r w:rsidRPr="00CA3790">
        <w:rPr>
          <w:rFonts w:asciiTheme="majorBidi" w:hAnsiTheme="majorBidi" w:cstheme="majorBidi"/>
        </w:rPr>
        <w:t xml:space="preserve"> Programme</w:t>
      </w:r>
    </w:p>
    <w:p w14:paraId="51303FA7" w14:textId="0786D97B" w:rsidR="000F2789" w:rsidRPr="001D4801" w:rsidRDefault="0036258E"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43" w:history="1">
        <w:r w:rsidR="000F2789" w:rsidRPr="001D4801">
          <w:rPr>
            <w:rStyle w:val="Hyperlink"/>
            <w:rFonts w:asciiTheme="majorBidi" w:hAnsiTheme="majorBidi" w:cstheme="majorBidi"/>
          </w:rPr>
          <w:t>tatiana.terekhova@un.org</w:t>
        </w:r>
      </w:hyperlink>
    </w:p>
    <w:p w14:paraId="1AE9B68F" w14:textId="77777777" w:rsidR="005B4E08" w:rsidRPr="00CA3790" w:rsidRDefault="000F2789" w:rsidP="00CA3790">
      <w:pPr>
        <w:pStyle w:val="Normal-pool"/>
        <w:tabs>
          <w:tab w:val="clear" w:pos="624"/>
          <w:tab w:val="clear" w:pos="1247"/>
          <w:tab w:val="clear" w:pos="1871"/>
          <w:tab w:val="clear" w:pos="2495"/>
          <w:tab w:val="clear" w:pos="3119"/>
          <w:tab w:val="clear" w:pos="3742"/>
          <w:tab w:val="clear" w:pos="4366"/>
          <w:tab w:val="clear" w:pos="4990"/>
        </w:tabs>
        <w:spacing w:line="240" w:lineRule="exact"/>
        <w:ind w:right="1134"/>
        <w:rPr>
          <w:rFonts w:asciiTheme="majorBidi" w:hAnsiTheme="majorBidi" w:cstheme="majorBidi"/>
        </w:rPr>
      </w:pPr>
      <w:r w:rsidRPr="00CA3790">
        <w:rPr>
          <w:rFonts w:asciiTheme="majorBidi" w:hAnsiTheme="majorBidi" w:cstheme="majorBidi"/>
        </w:rPr>
        <w:t>Mr. Yamar Guisse</w:t>
      </w:r>
      <w:r w:rsidRPr="00CA3790">
        <w:rPr>
          <w:rFonts w:asciiTheme="majorBidi" w:hAnsiTheme="majorBidi" w:cstheme="majorBidi"/>
        </w:rPr>
        <w:br/>
        <w:t xml:space="preserve">Regional </w:t>
      </w:r>
      <w:proofErr w:type="spellStart"/>
      <w:r w:rsidRPr="00CA3790">
        <w:rPr>
          <w:rFonts w:asciiTheme="majorBidi" w:hAnsiTheme="majorBidi" w:cstheme="majorBidi"/>
        </w:rPr>
        <w:t>Coordinator</w:t>
      </w:r>
      <w:proofErr w:type="spellEnd"/>
      <w:r w:rsidRPr="00CA3790">
        <w:rPr>
          <w:rFonts w:asciiTheme="majorBidi" w:hAnsiTheme="majorBidi" w:cstheme="majorBidi"/>
        </w:rPr>
        <w:t>, Francophone</w:t>
      </w:r>
      <w:r w:rsidRPr="00CA3790">
        <w:rPr>
          <w:rFonts w:asciiTheme="majorBidi" w:hAnsiTheme="majorBidi" w:cstheme="majorBidi"/>
        </w:rPr>
        <w:br/>
        <w:t xml:space="preserve">United Nations </w:t>
      </w:r>
      <w:proofErr w:type="spellStart"/>
      <w:r w:rsidRPr="00CA3790">
        <w:rPr>
          <w:rFonts w:asciiTheme="majorBidi" w:hAnsiTheme="majorBidi" w:cstheme="majorBidi"/>
        </w:rPr>
        <w:t>Environment</w:t>
      </w:r>
      <w:proofErr w:type="spellEnd"/>
      <w:r w:rsidRPr="00CA3790">
        <w:rPr>
          <w:rFonts w:asciiTheme="majorBidi" w:hAnsiTheme="majorBidi" w:cstheme="majorBidi"/>
        </w:rPr>
        <w:t xml:space="preserve"> Programme</w:t>
      </w:r>
      <w:r w:rsidRPr="00CA3790">
        <w:rPr>
          <w:rFonts w:asciiTheme="majorBidi" w:hAnsiTheme="majorBidi" w:cstheme="majorBidi"/>
        </w:rPr>
        <w:br/>
        <w:t>Nairobi</w:t>
      </w:r>
      <w:r w:rsidRPr="00CA3790">
        <w:rPr>
          <w:rFonts w:asciiTheme="majorBidi" w:hAnsiTheme="majorBidi" w:cstheme="majorBidi"/>
        </w:rPr>
        <w:br/>
        <w:t>Kenya</w:t>
      </w:r>
    </w:p>
    <w:p w14:paraId="4306D69D" w14:textId="62A94AC1" w:rsidR="000F2789" w:rsidRPr="001D4801" w:rsidRDefault="0036258E"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44" w:history="1">
        <w:r w:rsidR="000F2789" w:rsidRPr="001D4801">
          <w:rPr>
            <w:rStyle w:val="Hyperlink"/>
            <w:rFonts w:asciiTheme="majorBidi" w:hAnsiTheme="majorBidi" w:cstheme="majorBidi"/>
          </w:rPr>
          <w:t>guisse@un.org</w:t>
        </w:r>
      </w:hyperlink>
    </w:p>
    <w:p w14:paraId="2EEBBB02" w14:textId="77777777" w:rsidR="003A1599" w:rsidRPr="00CA3790" w:rsidRDefault="000F2789" w:rsidP="00697D0C">
      <w:pPr>
        <w:pStyle w:val="Normal-pool"/>
        <w:tabs>
          <w:tab w:val="clear" w:pos="624"/>
          <w:tab w:val="clear" w:pos="1247"/>
          <w:tab w:val="clear" w:pos="1871"/>
          <w:tab w:val="clear" w:pos="2495"/>
          <w:tab w:val="clear" w:pos="3119"/>
          <w:tab w:val="clear" w:pos="3742"/>
          <w:tab w:val="clear" w:pos="4366"/>
          <w:tab w:val="clear" w:pos="4990"/>
        </w:tabs>
        <w:spacing w:before="240" w:line="240" w:lineRule="exact"/>
        <w:ind w:right="1134"/>
        <w:rPr>
          <w:rFonts w:asciiTheme="majorBidi" w:hAnsiTheme="majorBidi" w:cstheme="majorBidi"/>
        </w:rPr>
      </w:pPr>
      <w:r w:rsidRPr="00CA3790">
        <w:rPr>
          <w:rFonts w:asciiTheme="majorBidi" w:hAnsiTheme="majorBidi" w:cstheme="majorBidi"/>
        </w:rPr>
        <w:t>Mr. Patrick Salifu</w:t>
      </w:r>
      <w:r w:rsidRPr="00CA3790">
        <w:rPr>
          <w:rFonts w:asciiTheme="majorBidi" w:hAnsiTheme="majorBidi" w:cstheme="majorBidi"/>
        </w:rPr>
        <w:br/>
        <w:t xml:space="preserve">Regional </w:t>
      </w:r>
      <w:proofErr w:type="spellStart"/>
      <w:r w:rsidRPr="00CA3790">
        <w:rPr>
          <w:rFonts w:asciiTheme="majorBidi" w:hAnsiTheme="majorBidi" w:cstheme="majorBidi"/>
        </w:rPr>
        <w:t>Coordinator</w:t>
      </w:r>
      <w:proofErr w:type="spellEnd"/>
      <w:r w:rsidRPr="00CA3790">
        <w:rPr>
          <w:rFonts w:asciiTheme="majorBidi" w:hAnsiTheme="majorBidi" w:cstheme="majorBidi"/>
        </w:rPr>
        <w:t>, Anglophone</w:t>
      </w:r>
      <w:r w:rsidRPr="00CA3790">
        <w:rPr>
          <w:rFonts w:asciiTheme="majorBidi" w:hAnsiTheme="majorBidi" w:cstheme="majorBidi"/>
        </w:rPr>
        <w:br/>
        <w:t xml:space="preserve">United Nations </w:t>
      </w:r>
      <w:proofErr w:type="spellStart"/>
      <w:r w:rsidRPr="00CA3790">
        <w:rPr>
          <w:rFonts w:asciiTheme="majorBidi" w:hAnsiTheme="majorBidi" w:cstheme="majorBidi"/>
        </w:rPr>
        <w:t>Environment</w:t>
      </w:r>
      <w:proofErr w:type="spellEnd"/>
      <w:r w:rsidRPr="00CA3790">
        <w:rPr>
          <w:rFonts w:asciiTheme="majorBidi" w:hAnsiTheme="majorBidi" w:cstheme="majorBidi"/>
        </w:rPr>
        <w:t xml:space="preserve"> Programme</w:t>
      </w:r>
      <w:r w:rsidRPr="00CA3790">
        <w:rPr>
          <w:rFonts w:asciiTheme="majorBidi" w:hAnsiTheme="majorBidi" w:cstheme="majorBidi"/>
        </w:rPr>
        <w:br/>
        <w:t>Nairobi 00100</w:t>
      </w:r>
      <w:r w:rsidRPr="00CA3790">
        <w:rPr>
          <w:rFonts w:asciiTheme="majorBidi" w:hAnsiTheme="majorBidi" w:cstheme="majorBidi"/>
        </w:rPr>
        <w:br/>
        <w:t>Kenya</w:t>
      </w:r>
    </w:p>
    <w:p w14:paraId="786422EB" w14:textId="462F466B" w:rsidR="000F2789" w:rsidRPr="001D4801" w:rsidRDefault="003A1599"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45" w:history="1">
        <w:r w:rsidR="000F2789" w:rsidRPr="001D4801">
          <w:rPr>
            <w:rStyle w:val="Hyperlink"/>
            <w:rFonts w:asciiTheme="majorBidi" w:hAnsiTheme="majorBidi" w:cstheme="majorBidi"/>
          </w:rPr>
          <w:t>patrick.salifu@unep.org</w:t>
        </w:r>
      </w:hyperlink>
    </w:p>
    <w:p w14:paraId="79548F6B" w14:textId="77777777" w:rsidR="003A1599" w:rsidRPr="00CA3790" w:rsidRDefault="000F2789" w:rsidP="00697D0C">
      <w:pPr>
        <w:pStyle w:val="Normal-pool"/>
        <w:tabs>
          <w:tab w:val="clear" w:pos="624"/>
          <w:tab w:val="clear" w:pos="1247"/>
          <w:tab w:val="clear" w:pos="1871"/>
          <w:tab w:val="clear" w:pos="2495"/>
          <w:tab w:val="clear" w:pos="3119"/>
          <w:tab w:val="clear" w:pos="3742"/>
          <w:tab w:val="clear" w:pos="4366"/>
          <w:tab w:val="clear" w:pos="4990"/>
        </w:tabs>
        <w:spacing w:before="240" w:line="240" w:lineRule="exact"/>
        <w:ind w:right="1134"/>
        <w:rPr>
          <w:rFonts w:asciiTheme="majorBidi" w:hAnsiTheme="majorBidi" w:cstheme="majorBidi"/>
        </w:rPr>
      </w:pPr>
      <w:r w:rsidRPr="00CA3790">
        <w:rPr>
          <w:rFonts w:asciiTheme="majorBidi" w:hAnsiTheme="majorBidi" w:cstheme="majorBidi"/>
        </w:rPr>
        <w:t>Mr. Moussa Barry</w:t>
      </w:r>
      <w:r w:rsidRPr="00CA3790">
        <w:rPr>
          <w:rFonts w:asciiTheme="majorBidi" w:hAnsiTheme="majorBidi" w:cstheme="majorBidi"/>
        </w:rPr>
        <w:br/>
        <w:t>Programme Officer</w:t>
      </w:r>
      <w:r w:rsidRPr="00CA3790">
        <w:rPr>
          <w:rFonts w:asciiTheme="majorBidi" w:hAnsiTheme="majorBidi" w:cstheme="majorBidi"/>
        </w:rPr>
        <w:br/>
        <w:t>UNEP, OzonAction</w:t>
      </w:r>
      <w:r w:rsidRPr="00CA3790">
        <w:rPr>
          <w:rFonts w:asciiTheme="majorBidi" w:hAnsiTheme="majorBidi" w:cstheme="majorBidi"/>
        </w:rPr>
        <w:br/>
        <w:t xml:space="preserve">United Nations </w:t>
      </w:r>
      <w:proofErr w:type="spellStart"/>
      <w:r w:rsidRPr="00CA3790">
        <w:rPr>
          <w:rFonts w:asciiTheme="majorBidi" w:hAnsiTheme="majorBidi" w:cstheme="majorBidi"/>
        </w:rPr>
        <w:t>Environment</w:t>
      </w:r>
      <w:proofErr w:type="spellEnd"/>
      <w:r w:rsidRPr="00CA3790">
        <w:rPr>
          <w:rFonts w:asciiTheme="majorBidi" w:hAnsiTheme="majorBidi" w:cstheme="majorBidi"/>
        </w:rPr>
        <w:t xml:space="preserve"> Programme</w:t>
      </w:r>
      <w:r w:rsidRPr="00CA3790">
        <w:rPr>
          <w:rFonts w:asciiTheme="majorBidi" w:hAnsiTheme="majorBidi" w:cstheme="majorBidi"/>
        </w:rPr>
        <w:br/>
        <w:t>Nairobi 00100</w:t>
      </w:r>
      <w:r w:rsidRPr="00CA3790">
        <w:rPr>
          <w:rFonts w:asciiTheme="majorBidi" w:hAnsiTheme="majorBidi" w:cstheme="majorBidi"/>
        </w:rPr>
        <w:br/>
        <w:t>Kenya</w:t>
      </w:r>
    </w:p>
    <w:p w14:paraId="349C8210" w14:textId="36B05293" w:rsidR="000F2789" w:rsidRPr="00D25204" w:rsidRDefault="001E34CC"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46" w:history="1">
        <w:r w:rsidR="00D25204" w:rsidRPr="003B139A">
          <w:rPr>
            <w:rStyle w:val="Hyperlink"/>
          </w:rPr>
          <w:t>moussa.barry@un.org</w:t>
        </w:r>
      </w:hyperlink>
    </w:p>
    <w:p w14:paraId="733680D8" w14:textId="0C5C9A5F" w:rsidR="000F2789" w:rsidRPr="000B5AE8" w:rsidRDefault="0003526C" w:rsidP="00B207E1">
      <w:pPr>
        <w:pStyle w:val="Normal-pool"/>
        <w:tabs>
          <w:tab w:val="clear" w:pos="624"/>
          <w:tab w:val="clear" w:pos="1247"/>
          <w:tab w:val="clear" w:pos="1871"/>
          <w:tab w:val="clear" w:pos="2495"/>
          <w:tab w:val="clear" w:pos="3119"/>
          <w:tab w:val="clear" w:pos="3742"/>
          <w:tab w:val="clear" w:pos="4366"/>
          <w:tab w:val="clear" w:pos="4990"/>
        </w:tabs>
        <w:bidi/>
        <w:spacing w:before="240" w:after="120" w:line="360" w:lineRule="exact"/>
        <w:ind w:left="1134"/>
        <w:jc w:val="both"/>
        <w:rPr>
          <w:rFonts w:ascii="Simplified Arabic" w:hAnsi="Simplified Arabic" w:cs="Simplified Arabic"/>
          <w:b/>
          <w:bCs/>
          <w:sz w:val="24"/>
          <w:szCs w:val="24"/>
        </w:rPr>
      </w:pPr>
      <w:r w:rsidRPr="000B5AE8">
        <w:rPr>
          <w:rFonts w:ascii="Simplified Arabic" w:hAnsi="Simplified Arabic" w:cs="Simplified Arabic"/>
          <w:b/>
          <w:bCs/>
          <w:sz w:val="24"/>
          <w:szCs w:val="24"/>
          <w:rtl/>
        </w:rPr>
        <w:t>منظمة الأمم المتحدة للتنمية الصناعية</w:t>
      </w:r>
    </w:p>
    <w:p w14:paraId="619A1134" w14:textId="77777777" w:rsidR="003A1599" w:rsidRPr="00CA3790" w:rsidRDefault="000F2789" w:rsidP="00CA3790">
      <w:pPr>
        <w:pStyle w:val="Normal-pool"/>
        <w:tabs>
          <w:tab w:val="clear" w:pos="624"/>
          <w:tab w:val="clear" w:pos="1247"/>
          <w:tab w:val="clear" w:pos="1871"/>
          <w:tab w:val="clear" w:pos="2495"/>
          <w:tab w:val="clear" w:pos="3119"/>
          <w:tab w:val="clear" w:pos="3742"/>
          <w:tab w:val="clear" w:pos="4366"/>
          <w:tab w:val="clear" w:pos="4990"/>
        </w:tabs>
        <w:spacing w:line="240" w:lineRule="exact"/>
        <w:ind w:right="1134"/>
        <w:rPr>
          <w:rFonts w:asciiTheme="majorBidi" w:hAnsiTheme="majorBidi" w:cstheme="majorBidi"/>
        </w:rPr>
      </w:pPr>
      <w:r w:rsidRPr="00CA3790">
        <w:rPr>
          <w:rFonts w:asciiTheme="majorBidi" w:hAnsiTheme="majorBidi" w:cstheme="majorBidi"/>
        </w:rPr>
        <w:t xml:space="preserve">Ms. </w:t>
      </w:r>
      <w:proofErr w:type="spellStart"/>
      <w:r w:rsidRPr="00CA3790">
        <w:rPr>
          <w:rFonts w:asciiTheme="majorBidi" w:hAnsiTheme="majorBidi" w:cstheme="majorBidi"/>
        </w:rPr>
        <w:t>Liazzat</w:t>
      </w:r>
      <w:proofErr w:type="spellEnd"/>
      <w:r w:rsidRPr="00CA3790">
        <w:rPr>
          <w:rFonts w:asciiTheme="majorBidi" w:hAnsiTheme="majorBidi" w:cstheme="majorBidi"/>
        </w:rPr>
        <w:t xml:space="preserve"> Rabbiosi</w:t>
      </w:r>
      <w:r w:rsidRPr="00CA3790">
        <w:rPr>
          <w:rFonts w:asciiTheme="majorBidi" w:hAnsiTheme="majorBidi" w:cstheme="majorBidi"/>
        </w:rPr>
        <w:br/>
        <w:t>Chief</w:t>
      </w:r>
      <w:r w:rsidRPr="00CA3790">
        <w:rPr>
          <w:rFonts w:asciiTheme="majorBidi" w:hAnsiTheme="majorBidi" w:cstheme="majorBidi"/>
        </w:rPr>
        <w:br/>
        <w:t>Montreal Protocol Unit</w:t>
      </w:r>
      <w:r w:rsidRPr="00CA3790">
        <w:rPr>
          <w:rFonts w:asciiTheme="majorBidi" w:hAnsiTheme="majorBidi" w:cstheme="majorBidi"/>
        </w:rPr>
        <w:br/>
        <w:t xml:space="preserve">United Nations </w:t>
      </w:r>
      <w:proofErr w:type="spellStart"/>
      <w:r w:rsidRPr="00CA3790">
        <w:rPr>
          <w:rFonts w:asciiTheme="majorBidi" w:hAnsiTheme="majorBidi" w:cstheme="majorBidi"/>
        </w:rPr>
        <w:t>Industrial</w:t>
      </w:r>
      <w:proofErr w:type="spellEnd"/>
      <w:r w:rsidRPr="00CA3790">
        <w:rPr>
          <w:rFonts w:asciiTheme="majorBidi" w:hAnsiTheme="majorBidi" w:cstheme="majorBidi"/>
        </w:rPr>
        <w:t xml:space="preserve"> </w:t>
      </w:r>
      <w:proofErr w:type="spellStart"/>
      <w:r w:rsidRPr="00CA3790">
        <w:rPr>
          <w:rFonts w:asciiTheme="majorBidi" w:hAnsiTheme="majorBidi" w:cstheme="majorBidi"/>
        </w:rPr>
        <w:t>Development</w:t>
      </w:r>
      <w:proofErr w:type="spellEnd"/>
      <w:r w:rsidRPr="00CA3790">
        <w:rPr>
          <w:rFonts w:asciiTheme="majorBidi" w:hAnsiTheme="majorBidi" w:cstheme="majorBidi"/>
        </w:rPr>
        <w:t xml:space="preserve"> </w:t>
      </w:r>
      <w:proofErr w:type="spellStart"/>
      <w:r w:rsidRPr="00CA3790">
        <w:rPr>
          <w:rFonts w:asciiTheme="majorBidi" w:hAnsiTheme="majorBidi" w:cstheme="majorBidi"/>
        </w:rPr>
        <w:t>Organization</w:t>
      </w:r>
      <w:proofErr w:type="spellEnd"/>
      <w:r w:rsidRPr="00CA3790">
        <w:rPr>
          <w:rFonts w:asciiTheme="majorBidi" w:hAnsiTheme="majorBidi" w:cstheme="majorBidi"/>
        </w:rPr>
        <w:br/>
        <w:t>Vienna 1400</w:t>
      </w:r>
      <w:r w:rsidRPr="00CA3790">
        <w:rPr>
          <w:rFonts w:asciiTheme="majorBidi" w:hAnsiTheme="majorBidi" w:cstheme="majorBidi"/>
        </w:rPr>
        <w:br/>
        <w:t>Austria</w:t>
      </w:r>
    </w:p>
    <w:p w14:paraId="0CF9C0EE" w14:textId="6DF65E89" w:rsidR="000F2789" w:rsidRPr="001D4801" w:rsidRDefault="001E34CC"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hyperlink r:id="rId47" w:history="1">
        <w:r w:rsidR="000F2789" w:rsidRPr="001D4801">
          <w:rPr>
            <w:rStyle w:val="Hyperlink"/>
            <w:rFonts w:asciiTheme="majorBidi" w:hAnsiTheme="majorBidi" w:cstheme="majorBidi"/>
          </w:rPr>
          <w:t>rabbiosi@un.org</w:t>
        </w:r>
      </w:hyperlink>
      <w:r w:rsidR="000F2789" w:rsidRPr="00D25204">
        <w:rPr>
          <w:rStyle w:val="Hyperlink"/>
          <w:rFonts w:asciiTheme="majorBidi" w:hAnsiTheme="majorBidi" w:cstheme="majorBidi"/>
          <w:color w:val="auto"/>
        </w:rPr>
        <w:t>,</w:t>
      </w:r>
      <w:r w:rsidR="000F2789" w:rsidRPr="001D4801">
        <w:rPr>
          <w:rStyle w:val="Hyperlink"/>
          <w:rFonts w:asciiTheme="majorBidi" w:hAnsiTheme="majorBidi" w:cstheme="majorBidi"/>
        </w:rPr>
        <w:t xml:space="preserve"> </w:t>
      </w:r>
      <w:hyperlink r:id="rId48" w:history="1">
        <w:r w:rsidR="000F2789" w:rsidRPr="001D4801">
          <w:rPr>
            <w:rStyle w:val="Hyperlink"/>
            <w:rFonts w:asciiTheme="majorBidi" w:hAnsiTheme="majorBidi" w:cstheme="majorBidi"/>
          </w:rPr>
          <w:t>L.Rabbiosi@unido.org</w:t>
        </w:r>
      </w:hyperlink>
    </w:p>
    <w:p w14:paraId="2C955207" w14:textId="77777777" w:rsidR="005D7361" w:rsidRPr="00CA3790" w:rsidRDefault="000F2789" w:rsidP="00697D0C">
      <w:pPr>
        <w:pStyle w:val="Normal-pool"/>
        <w:tabs>
          <w:tab w:val="clear" w:pos="624"/>
          <w:tab w:val="clear" w:pos="1247"/>
          <w:tab w:val="clear" w:pos="1871"/>
          <w:tab w:val="clear" w:pos="2495"/>
          <w:tab w:val="clear" w:pos="3119"/>
          <w:tab w:val="clear" w:pos="3742"/>
          <w:tab w:val="clear" w:pos="4366"/>
          <w:tab w:val="clear" w:pos="4990"/>
        </w:tabs>
        <w:spacing w:before="240" w:line="240" w:lineRule="exact"/>
        <w:ind w:right="1134"/>
        <w:rPr>
          <w:rFonts w:asciiTheme="majorBidi" w:hAnsiTheme="majorBidi" w:cstheme="majorBidi"/>
        </w:rPr>
      </w:pPr>
      <w:r w:rsidRPr="00CA3790">
        <w:rPr>
          <w:rFonts w:asciiTheme="majorBidi" w:hAnsiTheme="majorBidi" w:cstheme="majorBidi"/>
        </w:rPr>
        <w:t>Mr. Oluyomi Banjo</w:t>
      </w:r>
      <w:r w:rsidRPr="00CA3790">
        <w:rPr>
          <w:rFonts w:asciiTheme="majorBidi" w:hAnsiTheme="majorBidi" w:cstheme="majorBidi"/>
        </w:rPr>
        <w:br/>
      </w:r>
      <w:proofErr w:type="spellStart"/>
      <w:r w:rsidRPr="00CA3790">
        <w:rPr>
          <w:rFonts w:asciiTheme="majorBidi" w:hAnsiTheme="majorBidi" w:cstheme="majorBidi"/>
        </w:rPr>
        <w:t>Environment</w:t>
      </w:r>
      <w:proofErr w:type="spellEnd"/>
      <w:r w:rsidRPr="00CA3790">
        <w:rPr>
          <w:rFonts w:asciiTheme="majorBidi" w:hAnsiTheme="majorBidi" w:cstheme="majorBidi"/>
        </w:rPr>
        <w:t xml:space="preserve"> Expert</w:t>
      </w:r>
      <w:r w:rsidRPr="00CA3790">
        <w:rPr>
          <w:rFonts w:asciiTheme="majorBidi" w:hAnsiTheme="majorBidi" w:cstheme="majorBidi"/>
        </w:rPr>
        <w:br/>
        <w:t>Montreal Protocol</w:t>
      </w:r>
      <w:r w:rsidRPr="00CA3790">
        <w:rPr>
          <w:rFonts w:asciiTheme="majorBidi" w:hAnsiTheme="majorBidi" w:cstheme="majorBidi"/>
        </w:rPr>
        <w:br/>
        <w:t xml:space="preserve">United Nations </w:t>
      </w:r>
      <w:proofErr w:type="spellStart"/>
      <w:r w:rsidRPr="00CA3790">
        <w:rPr>
          <w:rFonts w:asciiTheme="majorBidi" w:hAnsiTheme="majorBidi" w:cstheme="majorBidi"/>
        </w:rPr>
        <w:t>Industrial</w:t>
      </w:r>
      <w:proofErr w:type="spellEnd"/>
      <w:r w:rsidRPr="00CA3790">
        <w:rPr>
          <w:rFonts w:asciiTheme="majorBidi" w:hAnsiTheme="majorBidi" w:cstheme="majorBidi"/>
        </w:rPr>
        <w:t xml:space="preserve"> </w:t>
      </w:r>
      <w:proofErr w:type="spellStart"/>
      <w:r w:rsidRPr="00CA3790">
        <w:rPr>
          <w:rFonts w:asciiTheme="majorBidi" w:hAnsiTheme="majorBidi" w:cstheme="majorBidi"/>
        </w:rPr>
        <w:t>Development</w:t>
      </w:r>
      <w:proofErr w:type="spellEnd"/>
      <w:r w:rsidRPr="00CA3790">
        <w:rPr>
          <w:rFonts w:asciiTheme="majorBidi" w:hAnsiTheme="majorBidi" w:cstheme="majorBidi"/>
        </w:rPr>
        <w:t xml:space="preserve"> </w:t>
      </w:r>
      <w:proofErr w:type="spellStart"/>
      <w:r w:rsidRPr="00CA3790">
        <w:rPr>
          <w:rFonts w:asciiTheme="majorBidi" w:hAnsiTheme="majorBidi" w:cstheme="majorBidi"/>
        </w:rPr>
        <w:t>Organization</w:t>
      </w:r>
      <w:proofErr w:type="spellEnd"/>
      <w:r w:rsidRPr="00CA3790">
        <w:rPr>
          <w:rFonts w:asciiTheme="majorBidi" w:hAnsiTheme="majorBidi" w:cstheme="majorBidi"/>
        </w:rPr>
        <w:br/>
        <w:t>Vienna 1400</w:t>
      </w:r>
      <w:r w:rsidRPr="00CA3790">
        <w:rPr>
          <w:rFonts w:asciiTheme="majorBidi" w:hAnsiTheme="majorBidi" w:cstheme="majorBidi"/>
        </w:rPr>
        <w:br/>
        <w:t>Austria</w:t>
      </w:r>
    </w:p>
    <w:p w14:paraId="646B11A6" w14:textId="09C816A8" w:rsidR="000F2789" w:rsidRPr="001D4801" w:rsidRDefault="00014E2A"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49" w:history="1">
        <w:r w:rsidR="000F2789" w:rsidRPr="001D4801">
          <w:rPr>
            <w:rStyle w:val="Hyperlink"/>
            <w:rFonts w:asciiTheme="majorBidi" w:hAnsiTheme="majorBidi" w:cstheme="majorBidi"/>
          </w:rPr>
          <w:t>o.banjo@unido.org</w:t>
        </w:r>
      </w:hyperlink>
    </w:p>
    <w:p w14:paraId="4988BF23" w14:textId="77777777" w:rsidR="003C3E6E" w:rsidRDefault="003C3E6E" w:rsidP="000B5AE8">
      <w:pPr>
        <w:pStyle w:val="CH2"/>
        <w:keepNext w:val="0"/>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rPr>
          <w:rFonts w:ascii="Simplified Arabic" w:hAnsi="Simplified Arabic" w:cs="Simplified Arabic"/>
          <w:b w:val="0"/>
          <w:bCs/>
          <w:rtl/>
        </w:rPr>
        <w:sectPr w:rsidR="003C3E6E" w:rsidSect="003C3E6E">
          <w:type w:val="continuous"/>
          <w:pgSz w:w="11907" w:h="16839" w:code="9"/>
          <w:pgMar w:top="907" w:right="1417" w:bottom="1417" w:left="992" w:header="539" w:footer="975" w:gutter="0"/>
          <w:cols w:num="2" w:space="709"/>
          <w:titlePg/>
          <w:bidi/>
          <w:rtlGutter/>
          <w:docGrid w:linePitch="360"/>
        </w:sectPr>
      </w:pPr>
    </w:p>
    <w:p w14:paraId="149EE343" w14:textId="77777777" w:rsidR="00B207E1" w:rsidRDefault="00B207E1">
      <w:pPr>
        <w:tabs>
          <w:tab w:val="clear" w:pos="1247"/>
          <w:tab w:val="clear" w:pos="1814"/>
          <w:tab w:val="clear" w:pos="2381"/>
          <w:tab w:val="clear" w:pos="2948"/>
          <w:tab w:val="clear" w:pos="3515"/>
        </w:tabs>
        <w:rPr>
          <w:rFonts w:ascii="Simplified Arabic" w:eastAsia="Times New Roman" w:hAnsi="Simplified Arabic" w:hint="default"/>
          <w:bCs/>
          <w:sz w:val="24"/>
          <w:szCs w:val="24"/>
          <w:rtl/>
        </w:rPr>
      </w:pPr>
      <w:r>
        <w:rPr>
          <w:rFonts w:ascii="Simplified Arabic" w:hAnsi="Simplified Arabic"/>
          <w:b/>
          <w:bCs/>
          <w:rtl/>
        </w:rPr>
        <w:br w:type="page"/>
      </w:r>
    </w:p>
    <w:p w14:paraId="23FD683F" w14:textId="0B569BAD" w:rsidR="000F2789" w:rsidRPr="000B5AE8" w:rsidRDefault="00BD37C5" w:rsidP="00B207E1">
      <w:pPr>
        <w:pStyle w:val="CH2"/>
        <w:keepNext w:val="0"/>
        <w:keepLines w:val="0"/>
        <w:tabs>
          <w:tab w:val="clear" w:pos="851"/>
          <w:tab w:val="clear" w:pos="1247"/>
          <w:tab w:val="clear" w:pos="1871"/>
          <w:tab w:val="clear" w:pos="2495"/>
          <w:tab w:val="clear" w:pos="3119"/>
          <w:tab w:val="clear" w:pos="3742"/>
          <w:tab w:val="clear" w:pos="4366"/>
          <w:tab w:val="clear" w:pos="4990"/>
        </w:tabs>
        <w:bidi/>
        <w:spacing w:before="360" w:line="360" w:lineRule="exact"/>
        <w:ind w:left="1134" w:right="0" w:firstLine="0"/>
        <w:jc w:val="both"/>
        <w:rPr>
          <w:rFonts w:ascii="Simplified Arabic" w:hAnsi="Simplified Arabic" w:cs="Simplified Arabic"/>
          <w:b w:val="0"/>
          <w:bCs/>
        </w:rPr>
      </w:pPr>
      <w:r w:rsidRPr="000B5AE8">
        <w:rPr>
          <w:rFonts w:ascii="Simplified Arabic" w:hAnsi="Simplified Arabic" w:cs="Simplified Arabic"/>
          <w:b w:val="0"/>
          <w:bCs/>
          <w:rtl/>
        </w:rPr>
        <w:lastRenderedPageBreak/>
        <w:t>أمانة الأوزون</w:t>
      </w:r>
    </w:p>
    <w:p w14:paraId="12BC2257" w14:textId="77777777" w:rsidR="001D4801" w:rsidRDefault="001D4801" w:rsidP="00CA3790">
      <w:pPr>
        <w:pStyle w:val="Normal-pool"/>
        <w:tabs>
          <w:tab w:val="clear" w:pos="624"/>
          <w:tab w:val="clear" w:pos="1247"/>
          <w:tab w:val="clear" w:pos="1871"/>
          <w:tab w:val="clear" w:pos="2495"/>
          <w:tab w:val="clear" w:pos="3119"/>
          <w:tab w:val="clear" w:pos="3742"/>
          <w:tab w:val="clear" w:pos="4366"/>
          <w:tab w:val="clear" w:pos="4990"/>
        </w:tabs>
        <w:spacing w:line="240" w:lineRule="exact"/>
        <w:ind w:right="1134"/>
        <w:rPr>
          <w:rFonts w:asciiTheme="majorBidi" w:hAnsiTheme="majorBidi" w:cstheme="majorBidi"/>
        </w:rPr>
        <w:sectPr w:rsidR="001D4801" w:rsidSect="003C3E6E">
          <w:type w:val="continuous"/>
          <w:pgSz w:w="11907" w:h="16839" w:code="9"/>
          <w:pgMar w:top="907" w:right="1417" w:bottom="1417" w:left="992" w:header="539" w:footer="975" w:gutter="0"/>
          <w:cols w:space="709"/>
          <w:titlePg/>
          <w:bidi/>
          <w:rtlGutter/>
          <w:docGrid w:linePitch="360"/>
        </w:sectPr>
      </w:pPr>
    </w:p>
    <w:p w14:paraId="3C948C43" w14:textId="77777777" w:rsidR="005D7361" w:rsidRPr="00CA3790" w:rsidRDefault="000F2789" w:rsidP="00CA3790">
      <w:pPr>
        <w:pStyle w:val="Normal-pool"/>
        <w:tabs>
          <w:tab w:val="clear" w:pos="624"/>
          <w:tab w:val="clear" w:pos="1247"/>
          <w:tab w:val="clear" w:pos="1871"/>
          <w:tab w:val="clear" w:pos="2495"/>
          <w:tab w:val="clear" w:pos="3119"/>
          <w:tab w:val="clear" w:pos="3742"/>
          <w:tab w:val="clear" w:pos="4366"/>
          <w:tab w:val="clear" w:pos="4990"/>
        </w:tabs>
        <w:spacing w:line="240" w:lineRule="exact"/>
        <w:ind w:right="1134"/>
        <w:rPr>
          <w:rFonts w:asciiTheme="majorBidi" w:hAnsiTheme="majorBidi" w:cstheme="majorBidi"/>
        </w:rPr>
      </w:pPr>
      <w:r w:rsidRPr="00CA3790">
        <w:rPr>
          <w:rFonts w:asciiTheme="majorBidi" w:hAnsiTheme="majorBidi" w:cstheme="majorBidi"/>
        </w:rPr>
        <w:t>Ms. Megumi Seki Nakamura</w:t>
      </w:r>
      <w:r w:rsidRPr="00CA3790">
        <w:rPr>
          <w:rFonts w:asciiTheme="majorBidi" w:hAnsiTheme="majorBidi" w:cstheme="majorBidi"/>
        </w:rPr>
        <w:br/>
      </w:r>
      <w:proofErr w:type="spellStart"/>
      <w:r w:rsidRPr="00CA3790">
        <w:rPr>
          <w:rFonts w:asciiTheme="majorBidi" w:hAnsiTheme="majorBidi" w:cstheme="majorBidi"/>
        </w:rPr>
        <w:t>Executive</w:t>
      </w:r>
      <w:proofErr w:type="spellEnd"/>
      <w:r w:rsidRPr="00CA3790">
        <w:rPr>
          <w:rFonts w:asciiTheme="majorBidi" w:hAnsiTheme="majorBidi" w:cstheme="majorBidi"/>
        </w:rPr>
        <w:t xml:space="preserve"> </w:t>
      </w:r>
      <w:proofErr w:type="spellStart"/>
      <w:r w:rsidRPr="00CA3790">
        <w:rPr>
          <w:rFonts w:asciiTheme="majorBidi" w:hAnsiTheme="majorBidi" w:cstheme="majorBidi"/>
        </w:rPr>
        <w:t>Secretary</w:t>
      </w:r>
      <w:proofErr w:type="spellEnd"/>
      <w:r w:rsidRPr="00CA3790">
        <w:rPr>
          <w:rFonts w:asciiTheme="majorBidi" w:hAnsiTheme="majorBidi" w:cstheme="majorBidi"/>
        </w:rPr>
        <w:br/>
        <w:t xml:space="preserve">Ozone </w:t>
      </w:r>
      <w:proofErr w:type="spellStart"/>
      <w:r w:rsidRPr="00CA3790">
        <w:rPr>
          <w:rFonts w:asciiTheme="majorBidi" w:hAnsiTheme="majorBidi" w:cstheme="majorBidi"/>
        </w:rPr>
        <w:t>Secretariat</w:t>
      </w:r>
      <w:proofErr w:type="spellEnd"/>
      <w:r w:rsidRPr="00CA3790">
        <w:rPr>
          <w:rFonts w:asciiTheme="majorBidi" w:hAnsiTheme="majorBidi" w:cstheme="majorBidi"/>
        </w:rPr>
        <w:br/>
        <w:t>Nairobi 00100</w:t>
      </w:r>
      <w:r w:rsidRPr="00CA3790">
        <w:rPr>
          <w:rFonts w:asciiTheme="majorBidi" w:hAnsiTheme="majorBidi" w:cstheme="majorBidi"/>
        </w:rPr>
        <w:br/>
        <w:t>Kenya</w:t>
      </w:r>
    </w:p>
    <w:p w14:paraId="2BCC36FE" w14:textId="5C36C5CB" w:rsidR="000F2789" w:rsidRPr="001D4801" w:rsidRDefault="00014E2A"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50" w:history="1">
        <w:r w:rsidR="000F2789" w:rsidRPr="001D4801">
          <w:rPr>
            <w:rStyle w:val="Hyperlink"/>
            <w:rFonts w:asciiTheme="majorBidi" w:hAnsiTheme="majorBidi" w:cstheme="majorBidi"/>
          </w:rPr>
          <w:t>meg.seki@un.org</w:t>
        </w:r>
      </w:hyperlink>
    </w:p>
    <w:p w14:paraId="7C660A6A" w14:textId="77777777" w:rsidR="00CE51AC" w:rsidRPr="00CA3790" w:rsidRDefault="000F2789" w:rsidP="00B207E1">
      <w:pPr>
        <w:pStyle w:val="Normal-pool"/>
        <w:keepNext/>
        <w:keepLines/>
        <w:tabs>
          <w:tab w:val="clear" w:pos="624"/>
          <w:tab w:val="clear" w:pos="1247"/>
          <w:tab w:val="clear" w:pos="1871"/>
          <w:tab w:val="clear" w:pos="2495"/>
          <w:tab w:val="clear" w:pos="3119"/>
          <w:tab w:val="clear" w:pos="3742"/>
          <w:tab w:val="clear" w:pos="4366"/>
          <w:tab w:val="clear" w:pos="4990"/>
        </w:tabs>
        <w:spacing w:before="240" w:line="240" w:lineRule="exact"/>
        <w:ind w:right="1134"/>
        <w:rPr>
          <w:rFonts w:asciiTheme="majorBidi" w:hAnsiTheme="majorBidi" w:cstheme="majorBidi"/>
        </w:rPr>
      </w:pPr>
      <w:r w:rsidRPr="00CA3790">
        <w:rPr>
          <w:rFonts w:asciiTheme="majorBidi" w:hAnsiTheme="majorBidi" w:cstheme="majorBidi"/>
        </w:rPr>
        <w:t>Mr. Pablo Moscoso de la Cuba</w:t>
      </w:r>
      <w:r w:rsidRPr="00CA3790">
        <w:rPr>
          <w:rFonts w:asciiTheme="majorBidi" w:hAnsiTheme="majorBidi" w:cstheme="majorBidi"/>
        </w:rPr>
        <w:br/>
        <w:t>Senior Legal Officer</w:t>
      </w:r>
      <w:r w:rsidRPr="00CA3790">
        <w:rPr>
          <w:rFonts w:asciiTheme="majorBidi" w:hAnsiTheme="majorBidi" w:cstheme="majorBidi"/>
        </w:rPr>
        <w:br/>
        <w:t xml:space="preserve">Ozone </w:t>
      </w:r>
      <w:proofErr w:type="spellStart"/>
      <w:r w:rsidRPr="00CA3790">
        <w:rPr>
          <w:rFonts w:asciiTheme="majorBidi" w:hAnsiTheme="majorBidi" w:cstheme="majorBidi"/>
        </w:rPr>
        <w:t>Secretariat</w:t>
      </w:r>
      <w:proofErr w:type="spellEnd"/>
      <w:r w:rsidRPr="00CA3790">
        <w:rPr>
          <w:rFonts w:asciiTheme="majorBidi" w:hAnsiTheme="majorBidi" w:cstheme="majorBidi"/>
        </w:rPr>
        <w:br/>
        <w:t>Nairobi 00100</w:t>
      </w:r>
      <w:r w:rsidRPr="00CA3790">
        <w:rPr>
          <w:rFonts w:asciiTheme="majorBidi" w:hAnsiTheme="majorBidi" w:cstheme="majorBidi"/>
        </w:rPr>
        <w:br/>
        <w:t>Kenya</w:t>
      </w:r>
    </w:p>
    <w:p w14:paraId="5466796D" w14:textId="67E78136" w:rsidR="000F2789" w:rsidRPr="001D4801" w:rsidRDefault="00014E2A" w:rsidP="00B207E1">
      <w:pPr>
        <w:pStyle w:val="Normal-pool"/>
        <w:keepNext/>
        <w:keepLines/>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51" w:history="1">
        <w:r w:rsidR="000F2789" w:rsidRPr="001D4801">
          <w:rPr>
            <w:rStyle w:val="Hyperlink"/>
            <w:rFonts w:asciiTheme="majorBidi" w:hAnsiTheme="majorBidi" w:cstheme="majorBidi"/>
          </w:rPr>
          <w:t>pablo.moscosodelacuba@un.org</w:t>
        </w:r>
      </w:hyperlink>
    </w:p>
    <w:p w14:paraId="4FE51D9C" w14:textId="77777777" w:rsidR="00CE51AC" w:rsidRPr="00CA3790" w:rsidRDefault="000F2789" w:rsidP="00B207E1">
      <w:pPr>
        <w:pStyle w:val="Normal-pool"/>
        <w:tabs>
          <w:tab w:val="clear" w:pos="624"/>
          <w:tab w:val="clear" w:pos="1247"/>
          <w:tab w:val="clear" w:pos="1871"/>
          <w:tab w:val="clear" w:pos="2495"/>
          <w:tab w:val="clear" w:pos="3119"/>
          <w:tab w:val="clear" w:pos="3742"/>
          <w:tab w:val="clear" w:pos="4366"/>
          <w:tab w:val="clear" w:pos="4990"/>
        </w:tabs>
        <w:spacing w:before="240" w:line="240" w:lineRule="exact"/>
        <w:ind w:right="1134"/>
        <w:rPr>
          <w:rFonts w:asciiTheme="majorBidi" w:hAnsiTheme="majorBidi" w:cstheme="majorBidi"/>
        </w:rPr>
      </w:pPr>
      <w:r w:rsidRPr="00CA3790">
        <w:rPr>
          <w:rFonts w:asciiTheme="majorBidi" w:hAnsiTheme="majorBidi" w:cstheme="majorBidi"/>
        </w:rPr>
        <w:t>Mr. Gerald Mutisya</w:t>
      </w:r>
      <w:r w:rsidRPr="00CA3790">
        <w:rPr>
          <w:rFonts w:asciiTheme="majorBidi" w:hAnsiTheme="majorBidi" w:cstheme="majorBidi"/>
        </w:rPr>
        <w:br/>
        <w:t>Programme Officer (</w:t>
      </w:r>
      <w:proofErr w:type="spellStart"/>
      <w:r w:rsidRPr="00CA3790">
        <w:rPr>
          <w:rFonts w:asciiTheme="majorBidi" w:hAnsiTheme="majorBidi" w:cstheme="majorBidi"/>
        </w:rPr>
        <w:t>Reporting</w:t>
      </w:r>
      <w:proofErr w:type="spellEnd"/>
      <w:r w:rsidRPr="00CA3790">
        <w:rPr>
          <w:rFonts w:asciiTheme="majorBidi" w:hAnsiTheme="majorBidi" w:cstheme="majorBidi"/>
        </w:rPr>
        <w:t xml:space="preserve">, Data and </w:t>
      </w:r>
      <w:proofErr w:type="spellStart"/>
      <w:r w:rsidRPr="00CA3790">
        <w:rPr>
          <w:rFonts w:asciiTheme="majorBidi" w:hAnsiTheme="majorBidi" w:cstheme="majorBidi"/>
        </w:rPr>
        <w:t>Analysis</w:t>
      </w:r>
      <w:proofErr w:type="spellEnd"/>
      <w:r w:rsidRPr="00CA3790">
        <w:rPr>
          <w:rFonts w:asciiTheme="majorBidi" w:hAnsiTheme="majorBidi" w:cstheme="majorBidi"/>
        </w:rPr>
        <w:t>)</w:t>
      </w:r>
      <w:r w:rsidRPr="00CA3790">
        <w:rPr>
          <w:rFonts w:asciiTheme="majorBidi" w:hAnsiTheme="majorBidi" w:cstheme="majorBidi"/>
        </w:rPr>
        <w:br/>
        <w:t xml:space="preserve">Ozone </w:t>
      </w:r>
      <w:proofErr w:type="spellStart"/>
      <w:r w:rsidRPr="00CA3790">
        <w:rPr>
          <w:rFonts w:asciiTheme="majorBidi" w:hAnsiTheme="majorBidi" w:cstheme="majorBidi"/>
        </w:rPr>
        <w:t>Secretariat</w:t>
      </w:r>
      <w:proofErr w:type="spellEnd"/>
      <w:r w:rsidRPr="00CA3790">
        <w:rPr>
          <w:rFonts w:asciiTheme="majorBidi" w:hAnsiTheme="majorBidi" w:cstheme="majorBidi"/>
        </w:rPr>
        <w:br/>
        <w:t>Nairobi 00100</w:t>
      </w:r>
      <w:r w:rsidRPr="00CA3790">
        <w:rPr>
          <w:rFonts w:asciiTheme="majorBidi" w:hAnsiTheme="majorBidi" w:cstheme="majorBidi"/>
        </w:rPr>
        <w:br/>
        <w:t>Kenya</w:t>
      </w:r>
    </w:p>
    <w:p w14:paraId="7A4D2B8D" w14:textId="461F8981" w:rsidR="000F2789" w:rsidRPr="001D4801" w:rsidRDefault="00014E2A"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52" w:history="1">
        <w:r w:rsidR="000F2789" w:rsidRPr="001D4801">
          <w:rPr>
            <w:rStyle w:val="Hyperlink"/>
            <w:rFonts w:asciiTheme="majorBidi" w:hAnsiTheme="majorBidi" w:cstheme="majorBidi"/>
          </w:rPr>
          <w:t>gerald.mutisya@un.org</w:t>
        </w:r>
      </w:hyperlink>
    </w:p>
    <w:p w14:paraId="397F8BF4" w14:textId="77777777" w:rsidR="00A769AA" w:rsidRPr="00CA3790" w:rsidRDefault="000F2789" w:rsidP="00B207E1">
      <w:pPr>
        <w:pStyle w:val="Normal-pool"/>
        <w:keepNext/>
        <w:keepLines/>
        <w:tabs>
          <w:tab w:val="clear" w:pos="624"/>
          <w:tab w:val="clear" w:pos="1247"/>
          <w:tab w:val="clear" w:pos="1871"/>
          <w:tab w:val="clear" w:pos="2495"/>
          <w:tab w:val="clear" w:pos="3119"/>
          <w:tab w:val="clear" w:pos="3742"/>
          <w:tab w:val="clear" w:pos="4366"/>
          <w:tab w:val="clear" w:pos="4990"/>
        </w:tabs>
        <w:spacing w:line="240" w:lineRule="exact"/>
        <w:ind w:right="1134"/>
        <w:rPr>
          <w:rFonts w:asciiTheme="majorBidi" w:hAnsiTheme="majorBidi" w:cstheme="majorBidi"/>
        </w:rPr>
      </w:pPr>
      <w:r w:rsidRPr="00CA3790">
        <w:rPr>
          <w:rFonts w:asciiTheme="majorBidi" w:hAnsiTheme="majorBidi" w:cstheme="majorBidi"/>
        </w:rPr>
        <w:t>Ms. Frida Muriithi</w:t>
      </w:r>
      <w:r w:rsidRPr="00CA3790">
        <w:rPr>
          <w:rFonts w:asciiTheme="majorBidi" w:hAnsiTheme="majorBidi" w:cstheme="majorBidi"/>
        </w:rPr>
        <w:br/>
        <w:t xml:space="preserve">Policy Associate, United Nations </w:t>
      </w:r>
      <w:proofErr w:type="spellStart"/>
      <w:r w:rsidRPr="00CA3790">
        <w:rPr>
          <w:rFonts w:asciiTheme="majorBidi" w:hAnsiTheme="majorBidi" w:cstheme="majorBidi"/>
        </w:rPr>
        <w:t>Volunteer</w:t>
      </w:r>
      <w:proofErr w:type="spellEnd"/>
      <w:r w:rsidRPr="00CA3790">
        <w:rPr>
          <w:rFonts w:asciiTheme="majorBidi" w:hAnsiTheme="majorBidi" w:cstheme="majorBidi"/>
        </w:rPr>
        <w:t xml:space="preserve"> (UNV)</w:t>
      </w:r>
      <w:r w:rsidRPr="00CA3790">
        <w:rPr>
          <w:rFonts w:asciiTheme="majorBidi" w:hAnsiTheme="majorBidi" w:cstheme="majorBidi"/>
        </w:rPr>
        <w:br/>
        <w:t xml:space="preserve">Ozone </w:t>
      </w:r>
      <w:proofErr w:type="spellStart"/>
      <w:r w:rsidRPr="00CA3790">
        <w:rPr>
          <w:rFonts w:asciiTheme="majorBidi" w:hAnsiTheme="majorBidi" w:cstheme="majorBidi"/>
        </w:rPr>
        <w:t>Secretariat</w:t>
      </w:r>
      <w:proofErr w:type="spellEnd"/>
      <w:r w:rsidRPr="00CA3790">
        <w:rPr>
          <w:rFonts w:asciiTheme="majorBidi" w:hAnsiTheme="majorBidi" w:cstheme="majorBidi"/>
        </w:rPr>
        <w:br/>
        <w:t>Nairobi 00100</w:t>
      </w:r>
      <w:r w:rsidRPr="00CA3790">
        <w:rPr>
          <w:rFonts w:asciiTheme="majorBidi" w:hAnsiTheme="majorBidi" w:cstheme="majorBidi"/>
        </w:rPr>
        <w:br/>
        <w:t>Kenya</w:t>
      </w:r>
    </w:p>
    <w:p w14:paraId="7D8CC212" w14:textId="1C8078F1" w:rsidR="000F2789" w:rsidRPr="001D4801" w:rsidRDefault="00014E2A" w:rsidP="00B207E1">
      <w:pPr>
        <w:pStyle w:val="Normal-pool"/>
        <w:keepNext/>
        <w:keepLines/>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53" w:history="1">
        <w:r w:rsidR="000F2789" w:rsidRPr="001D4801">
          <w:rPr>
            <w:rStyle w:val="Hyperlink"/>
            <w:rFonts w:asciiTheme="majorBidi" w:hAnsiTheme="majorBidi" w:cstheme="majorBidi"/>
          </w:rPr>
          <w:t>frida.muriithi@un.org</w:t>
        </w:r>
      </w:hyperlink>
    </w:p>
    <w:p w14:paraId="4E3B747F" w14:textId="77777777" w:rsidR="00107396" w:rsidRPr="00CA3790" w:rsidRDefault="000F2789" w:rsidP="00B207E1">
      <w:pPr>
        <w:pStyle w:val="Normal-pool"/>
        <w:tabs>
          <w:tab w:val="clear" w:pos="624"/>
          <w:tab w:val="clear" w:pos="1247"/>
          <w:tab w:val="clear" w:pos="1871"/>
          <w:tab w:val="clear" w:pos="2495"/>
          <w:tab w:val="clear" w:pos="3119"/>
          <w:tab w:val="clear" w:pos="3742"/>
          <w:tab w:val="clear" w:pos="4366"/>
          <w:tab w:val="clear" w:pos="4990"/>
        </w:tabs>
        <w:spacing w:before="240" w:line="240" w:lineRule="exact"/>
        <w:ind w:right="1134"/>
        <w:rPr>
          <w:rFonts w:asciiTheme="majorBidi" w:hAnsiTheme="majorBidi" w:cstheme="majorBidi"/>
        </w:rPr>
      </w:pPr>
      <w:r w:rsidRPr="00CA3790">
        <w:rPr>
          <w:rFonts w:asciiTheme="majorBidi" w:hAnsiTheme="majorBidi" w:cstheme="majorBidi"/>
        </w:rPr>
        <w:t>Ms. Martha Mulumba</w:t>
      </w:r>
      <w:r w:rsidRPr="00CA3790">
        <w:rPr>
          <w:rFonts w:asciiTheme="majorBidi" w:hAnsiTheme="majorBidi" w:cstheme="majorBidi"/>
        </w:rPr>
        <w:br/>
        <w:t xml:space="preserve">Senior Information </w:t>
      </w:r>
      <w:proofErr w:type="spellStart"/>
      <w:r w:rsidRPr="00CA3790">
        <w:rPr>
          <w:rFonts w:asciiTheme="majorBidi" w:hAnsiTheme="majorBidi" w:cstheme="majorBidi"/>
        </w:rPr>
        <w:t>Systems</w:t>
      </w:r>
      <w:proofErr w:type="spellEnd"/>
      <w:r w:rsidRPr="00CA3790">
        <w:rPr>
          <w:rFonts w:asciiTheme="majorBidi" w:hAnsiTheme="majorBidi" w:cstheme="majorBidi"/>
        </w:rPr>
        <w:t xml:space="preserve"> Assistant</w:t>
      </w:r>
      <w:r w:rsidRPr="00CA3790">
        <w:rPr>
          <w:rFonts w:asciiTheme="majorBidi" w:hAnsiTheme="majorBidi" w:cstheme="majorBidi"/>
        </w:rPr>
        <w:br/>
        <w:t xml:space="preserve">Ozone </w:t>
      </w:r>
      <w:proofErr w:type="spellStart"/>
      <w:r w:rsidRPr="00CA3790">
        <w:rPr>
          <w:rFonts w:asciiTheme="majorBidi" w:hAnsiTheme="majorBidi" w:cstheme="majorBidi"/>
        </w:rPr>
        <w:t>Secretariat</w:t>
      </w:r>
      <w:proofErr w:type="spellEnd"/>
      <w:r w:rsidRPr="00CA3790">
        <w:rPr>
          <w:rFonts w:asciiTheme="majorBidi" w:hAnsiTheme="majorBidi" w:cstheme="majorBidi"/>
        </w:rPr>
        <w:br/>
        <w:t>Nairobi 00100</w:t>
      </w:r>
      <w:r w:rsidRPr="00CA3790">
        <w:rPr>
          <w:rFonts w:asciiTheme="majorBidi" w:hAnsiTheme="majorBidi" w:cstheme="majorBidi"/>
        </w:rPr>
        <w:br/>
        <w:t>Kenya</w:t>
      </w:r>
    </w:p>
    <w:p w14:paraId="1BFE2480" w14:textId="7FC786DC" w:rsidR="000F2789" w:rsidRPr="001D4801" w:rsidRDefault="0036258E"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54" w:history="1">
        <w:r w:rsidR="000F2789" w:rsidRPr="001D4801">
          <w:rPr>
            <w:rStyle w:val="Hyperlink"/>
            <w:rFonts w:asciiTheme="majorBidi" w:hAnsiTheme="majorBidi" w:cstheme="majorBidi"/>
          </w:rPr>
          <w:t>martha.mulumba@un.org</w:t>
        </w:r>
      </w:hyperlink>
    </w:p>
    <w:p w14:paraId="54B483B7" w14:textId="77777777" w:rsidR="00107396" w:rsidRPr="00CA3790" w:rsidRDefault="000F2789" w:rsidP="00B207E1">
      <w:pPr>
        <w:pStyle w:val="Normal-pool"/>
        <w:tabs>
          <w:tab w:val="clear" w:pos="624"/>
          <w:tab w:val="clear" w:pos="1247"/>
          <w:tab w:val="clear" w:pos="1871"/>
          <w:tab w:val="clear" w:pos="2495"/>
          <w:tab w:val="clear" w:pos="3119"/>
          <w:tab w:val="clear" w:pos="3742"/>
          <w:tab w:val="clear" w:pos="4366"/>
          <w:tab w:val="clear" w:pos="4990"/>
        </w:tabs>
        <w:spacing w:before="240" w:line="240" w:lineRule="exact"/>
        <w:ind w:right="1134"/>
        <w:rPr>
          <w:rFonts w:asciiTheme="majorBidi" w:hAnsiTheme="majorBidi" w:cstheme="majorBidi"/>
        </w:rPr>
      </w:pPr>
      <w:r w:rsidRPr="00CA3790">
        <w:rPr>
          <w:rFonts w:asciiTheme="majorBidi" w:hAnsiTheme="majorBidi" w:cstheme="majorBidi"/>
        </w:rPr>
        <w:t>Ms. Jacqueline Nyanjui</w:t>
      </w:r>
      <w:r w:rsidRPr="00CA3790">
        <w:rPr>
          <w:rFonts w:asciiTheme="majorBidi" w:hAnsiTheme="majorBidi" w:cstheme="majorBidi"/>
        </w:rPr>
        <w:br/>
        <w:t>Administrative Assistant</w:t>
      </w:r>
      <w:r w:rsidRPr="00CA3790">
        <w:rPr>
          <w:rFonts w:asciiTheme="majorBidi" w:hAnsiTheme="majorBidi" w:cstheme="majorBidi"/>
        </w:rPr>
        <w:br/>
        <w:t xml:space="preserve">Ozone </w:t>
      </w:r>
      <w:proofErr w:type="spellStart"/>
      <w:r w:rsidRPr="00CA3790">
        <w:rPr>
          <w:rFonts w:asciiTheme="majorBidi" w:hAnsiTheme="majorBidi" w:cstheme="majorBidi"/>
        </w:rPr>
        <w:t>Secretariat</w:t>
      </w:r>
      <w:proofErr w:type="spellEnd"/>
      <w:r w:rsidRPr="00CA3790">
        <w:rPr>
          <w:rFonts w:asciiTheme="majorBidi" w:hAnsiTheme="majorBidi" w:cstheme="majorBidi"/>
        </w:rPr>
        <w:br/>
        <w:t>Nairobi 00100</w:t>
      </w:r>
      <w:r w:rsidRPr="00CA3790">
        <w:rPr>
          <w:rFonts w:asciiTheme="majorBidi" w:hAnsiTheme="majorBidi" w:cstheme="majorBidi"/>
        </w:rPr>
        <w:br/>
        <w:t>Kenya</w:t>
      </w:r>
    </w:p>
    <w:p w14:paraId="7FCB14FE" w14:textId="59FAA638" w:rsidR="000F2789" w:rsidRPr="001D4801" w:rsidRDefault="00351DDA" w:rsidP="001D4801">
      <w:pPr>
        <w:pStyle w:val="Normal-pool"/>
        <w:tabs>
          <w:tab w:val="clear" w:pos="624"/>
          <w:tab w:val="clear" w:pos="1247"/>
          <w:tab w:val="clear" w:pos="1871"/>
          <w:tab w:val="clear" w:pos="2495"/>
          <w:tab w:val="clear" w:pos="3119"/>
          <w:tab w:val="clear" w:pos="3742"/>
          <w:tab w:val="clear" w:pos="4366"/>
          <w:tab w:val="clear" w:pos="4990"/>
        </w:tabs>
        <w:bidi/>
        <w:spacing w:after="120" w:line="280" w:lineRule="exact"/>
        <w:ind w:left="1134"/>
        <w:rPr>
          <w:rStyle w:val="Hyperlink"/>
          <w:rFonts w:asciiTheme="majorBidi" w:hAnsiTheme="majorBidi" w:cstheme="majorBidi"/>
          <w:rtl/>
        </w:rPr>
      </w:pPr>
      <w:r w:rsidRPr="000B5AE8">
        <w:rPr>
          <w:rFonts w:ascii="Simplified Arabic" w:hAnsi="Simplified Arabic" w:cs="Simplified Arabic"/>
          <w:sz w:val="24"/>
          <w:szCs w:val="24"/>
          <w:rtl/>
        </w:rPr>
        <w:t>البريد الإلكتروني</w:t>
      </w:r>
      <w:r w:rsidRPr="000B5AE8">
        <w:rPr>
          <w:rFonts w:ascii="Simplified Arabic" w:hAnsi="Simplified Arabic" w:cs="Simplified Arabic" w:hint="cs"/>
          <w:sz w:val="24"/>
          <w:szCs w:val="24"/>
          <w:rtl/>
        </w:rPr>
        <w:t>:</w:t>
      </w:r>
      <w:r w:rsidRPr="000B5AE8">
        <w:rPr>
          <w:rFonts w:ascii="Simplified Arabic" w:hAnsi="Simplified Arabic" w:cs="Simplified Arabic"/>
          <w:sz w:val="24"/>
          <w:szCs w:val="24"/>
          <w:rtl/>
        </w:rPr>
        <w:t xml:space="preserve"> </w:t>
      </w:r>
      <w:hyperlink r:id="rId55" w:history="1">
        <w:r w:rsidR="000F2789" w:rsidRPr="001D4801">
          <w:rPr>
            <w:rStyle w:val="Hyperlink"/>
            <w:rFonts w:asciiTheme="majorBidi" w:hAnsiTheme="majorBidi" w:cstheme="majorBidi"/>
          </w:rPr>
          <w:t>jacqueline.nyanjui@un.org</w:t>
        </w:r>
      </w:hyperlink>
    </w:p>
    <w:p w14:paraId="567E0D90" w14:textId="77777777" w:rsidR="001D4801" w:rsidRDefault="001D4801" w:rsidP="00736C1E">
      <w:pPr>
        <w:pStyle w:val="Normal-pool"/>
        <w:tabs>
          <w:tab w:val="clear" w:pos="624"/>
          <w:tab w:val="clear" w:pos="1247"/>
          <w:tab w:val="clear" w:pos="1871"/>
          <w:tab w:val="clear" w:pos="2495"/>
          <w:tab w:val="clear" w:pos="3119"/>
          <w:tab w:val="clear" w:pos="3742"/>
          <w:tab w:val="clear" w:pos="4366"/>
          <w:tab w:val="clear" w:pos="4990"/>
        </w:tabs>
        <w:bidi/>
        <w:spacing w:before="480" w:after="120" w:line="360" w:lineRule="exact"/>
        <w:ind w:left="1134"/>
        <w:jc w:val="center"/>
        <w:textDirection w:val="tbRlV"/>
        <w:rPr>
          <w:rFonts w:ascii="Simplified Arabic" w:hAnsi="Simplified Arabic" w:cs="Simplified Arabic"/>
          <w:sz w:val="24"/>
          <w:szCs w:val="24"/>
        </w:rPr>
        <w:sectPr w:rsidR="001D4801" w:rsidSect="001D4801">
          <w:type w:val="continuous"/>
          <w:pgSz w:w="11907" w:h="16839" w:code="9"/>
          <w:pgMar w:top="907" w:right="1417" w:bottom="1417" w:left="992" w:header="539" w:footer="975" w:gutter="0"/>
          <w:cols w:num="2" w:space="709"/>
          <w:titlePg/>
          <w:bidi/>
          <w:rtlGutter/>
          <w:docGrid w:linePitch="360"/>
        </w:sectPr>
      </w:pPr>
    </w:p>
    <w:p w14:paraId="68810681" w14:textId="0268D50D" w:rsidR="0029600B" w:rsidRPr="000B5AE8" w:rsidRDefault="00736C1E" w:rsidP="00736C1E">
      <w:pPr>
        <w:pStyle w:val="Normal-pool"/>
        <w:tabs>
          <w:tab w:val="clear" w:pos="624"/>
          <w:tab w:val="clear" w:pos="1247"/>
          <w:tab w:val="clear" w:pos="1871"/>
          <w:tab w:val="clear" w:pos="2495"/>
          <w:tab w:val="clear" w:pos="3119"/>
          <w:tab w:val="clear" w:pos="3742"/>
          <w:tab w:val="clear" w:pos="4366"/>
          <w:tab w:val="clear" w:pos="4990"/>
        </w:tabs>
        <w:bidi/>
        <w:spacing w:before="480" w:after="120" w:line="360" w:lineRule="exact"/>
        <w:ind w:left="1134"/>
        <w:jc w:val="center"/>
        <w:textDirection w:val="tbRlV"/>
        <w:rPr>
          <w:rFonts w:ascii="Simplified Arabic" w:hAnsi="Simplified Arabic" w:cs="Simplified Arabic"/>
          <w:sz w:val="24"/>
          <w:szCs w:val="24"/>
          <w:lang w:bidi="en-GB"/>
        </w:rPr>
      </w:pPr>
      <w:r>
        <w:rPr>
          <w:rFonts w:ascii="Simplified Arabic" w:hAnsi="Simplified Arabic" w:cs="Simplified Arabic"/>
          <w:sz w:val="24"/>
          <w:szCs w:val="24"/>
        </w:rPr>
        <w:t>____________</w:t>
      </w:r>
    </w:p>
    <w:sectPr w:rsidR="0029600B" w:rsidRPr="000B5AE8" w:rsidSect="003C3E6E">
      <w:type w:val="continuous"/>
      <w:pgSz w:w="11907" w:h="16839" w:code="9"/>
      <w:pgMar w:top="907" w:right="1417" w:bottom="1417" w:left="992" w:header="539" w:footer="975" w:gutter="0"/>
      <w:cols w:space="709"/>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A7C2" w14:textId="77777777" w:rsidR="00614F8E" w:rsidRPr="00C41DA9" w:rsidRDefault="00614F8E">
      <w:pPr>
        <w:rPr>
          <w:rFonts w:hint="default"/>
        </w:rPr>
      </w:pPr>
      <w:r w:rsidRPr="00C41DA9">
        <w:separator/>
      </w:r>
    </w:p>
  </w:endnote>
  <w:endnote w:type="continuationSeparator" w:id="0">
    <w:p w14:paraId="3B94E0A7" w14:textId="77777777" w:rsidR="00614F8E" w:rsidRPr="00C41DA9" w:rsidRDefault="00614F8E">
      <w:pPr>
        <w:rPr>
          <w:rFonts w:hint="default"/>
        </w:rPr>
      </w:pPr>
      <w:r w:rsidRPr="00C41DA9">
        <w:continuationSeparator/>
      </w:r>
    </w:p>
  </w:endnote>
  <w:endnote w:type="continuationNotice" w:id="1">
    <w:p w14:paraId="66E55E3A" w14:textId="77777777" w:rsidR="00614F8E" w:rsidRDefault="00614F8E">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8FED" w14:textId="6F847773" w:rsidR="007A36F8" w:rsidRPr="00697D0C" w:rsidRDefault="00206F81" w:rsidP="00697D0C">
    <w:pPr>
      <w:pStyle w:val="Header-pool"/>
      <w:pBdr>
        <w:bottom w:val="none" w:sz="0" w:space="0" w:color="auto"/>
      </w:pBdr>
      <w:tabs>
        <w:tab w:val="clear" w:pos="1247"/>
        <w:tab w:val="clear" w:pos="1814"/>
        <w:tab w:val="clear" w:pos="2381"/>
        <w:tab w:val="clear" w:pos="2948"/>
        <w:tab w:val="clear" w:pos="3515"/>
        <w:tab w:val="clear" w:pos="9072"/>
      </w:tabs>
      <w:bidi/>
      <w:rPr>
        <w:rFonts w:ascii="Times New Roman Bold" w:hAnsi="Times New Roman Bold" w:cs="Times New Roman" w:hint="eastAsia"/>
        <w:bCs/>
        <w:szCs w:val="18"/>
      </w:rPr>
    </w:pPr>
    <w:r w:rsidRPr="00697D0C">
      <w:rPr>
        <w:rFonts w:ascii="Times New Roman Bold" w:hAnsi="Times New Roman Bold" w:cs="Times New Roman"/>
        <w:bCs/>
        <w:szCs w:val="18"/>
      </w:rPr>
      <w:fldChar w:fldCharType="begin"/>
    </w:r>
    <w:r w:rsidRPr="00697D0C">
      <w:rPr>
        <w:rFonts w:ascii="Times New Roman Bold" w:hAnsi="Times New Roman Bold" w:cs="Times New Roman"/>
        <w:bCs/>
        <w:szCs w:val="18"/>
      </w:rPr>
      <w:instrText xml:space="preserve"> PAGE </w:instrText>
    </w:r>
    <w:r w:rsidRPr="00697D0C">
      <w:rPr>
        <w:rFonts w:ascii="Times New Roman Bold" w:hAnsi="Times New Roman Bold" w:cs="Times New Roman"/>
        <w:bCs/>
        <w:szCs w:val="18"/>
      </w:rPr>
      <w:fldChar w:fldCharType="separate"/>
    </w:r>
    <w:r w:rsidRPr="00697D0C">
      <w:rPr>
        <w:rFonts w:ascii="Times New Roman Bold" w:hAnsi="Times New Roman Bold" w:cs="Times New Roman"/>
        <w:bCs/>
        <w:szCs w:val="18"/>
      </w:rPr>
      <w:t>1</w:t>
    </w:r>
    <w:r w:rsidRPr="00697D0C">
      <w:rPr>
        <w:rFonts w:ascii="Times New Roman Bold" w:hAnsi="Times New Roman Bold" w:cs="Times New Roman"/>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47AD" w14:textId="798FFD51" w:rsidR="007A36F8" w:rsidRPr="00697D0C" w:rsidRDefault="00206F81" w:rsidP="00697D0C">
    <w:pPr>
      <w:pStyle w:val="Header-pool"/>
      <w:pBdr>
        <w:bottom w:val="none" w:sz="0" w:space="0" w:color="auto"/>
      </w:pBdr>
      <w:tabs>
        <w:tab w:val="clear" w:pos="1247"/>
        <w:tab w:val="clear" w:pos="1814"/>
        <w:tab w:val="clear" w:pos="2381"/>
        <w:tab w:val="clear" w:pos="2948"/>
        <w:tab w:val="clear" w:pos="3515"/>
        <w:tab w:val="clear" w:pos="9072"/>
      </w:tabs>
      <w:bidi/>
      <w:jc w:val="right"/>
      <w:rPr>
        <w:rFonts w:ascii="Times New Roman Bold" w:hAnsi="Times New Roman Bold" w:cs="Times New Roman" w:hint="eastAsia"/>
        <w:bCs/>
        <w:szCs w:val="18"/>
      </w:rPr>
    </w:pPr>
    <w:r w:rsidRPr="00697D0C">
      <w:rPr>
        <w:rFonts w:ascii="Times New Roman Bold" w:hAnsi="Times New Roman Bold" w:cs="Times New Roman"/>
        <w:bCs/>
        <w:szCs w:val="18"/>
      </w:rPr>
      <w:fldChar w:fldCharType="begin"/>
    </w:r>
    <w:r w:rsidRPr="00697D0C">
      <w:rPr>
        <w:rFonts w:ascii="Times New Roman Bold" w:hAnsi="Times New Roman Bold" w:cs="Times New Roman"/>
        <w:bCs/>
        <w:szCs w:val="18"/>
      </w:rPr>
      <w:instrText xml:space="preserve"> PAGE \* MERGEFORMAT </w:instrText>
    </w:r>
    <w:r w:rsidRPr="00697D0C">
      <w:rPr>
        <w:rFonts w:ascii="Times New Roman Bold" w:hAnsi="Times New Roman Bold" w:cs="Times New Roman"/>
        <w:bCs/>
        <w:szCs w:val="18"/>
      </w:rPr>
      <w:fldChar w:fldCharType="separate"/>
    </w:r>
    <w:r w:rsidRPr="00697D0C">
      <w:rPr>
        <w:rFonts w:ascii="Times New Roman Bold" w:hAnsi="Times New Roman Bold" w:cs="Times New Roman"/>
        <w:bCs/>
        <w:szCs w:val="18"/>
      </w:rPr>
      <w:t>1</w:t>
    </w:r>
    <w:r w:rsidRPr="00697D0C">
      <w:rPr>
        <w:rFonts w:ascii="Times New Roman Bold" w:hAnsi="Times New Roman Bold" w:cs="Times New Roman"/>
        <w:bCs/>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5EDD" w14:textId="1B4749E6" w:rsidR="00C41DA9" w:rsidRPr="00822DA8" w:rsidRDefault="00E42B6C" w:rsidP="00E42B6C">
    <w:pPr>
      <w:pStyle w:val="Footer-jobnumber"/>
      <w:bidi/>
      <w:textDirection w:val="tbRlV"/>
      <w:rPr>
        <w:lang w:val="en-US" w:eastAsia="zh-TW" w:bidi="en-GB"/>
      </w:rPr>
    </w:pPr>
    <w:bookmarkStart w:id="31" w:name="FooterJobDate"/>
    <w:r w:rsidRPr="00E42B6C">
      <w:t>K251</w:t>
    </w:r>
    <w:r w:rsidR="00822DA8">
      <w:t>8266</w:t>
    </w:r>
    <w:r w:rsidRPr="00E42B6C">
      <w:t>[</w:t>
    </w:r>
    <w:r>
      <w:t>A</w:t>
    </w:r>
    <w:r w:rsidRPr="00E42B6C">
      <w:t>]</w:t>
    </w:r>
    <w:r w:rsidRPr="00E42B6C">
      <w:rPr>
        <w:rtl/>
      </w:rPr>
      <w:tab/>
    </w:r>
    <w:bookmarkEnd w:id="31"/>
    <w:r w:rsidR="003B1329">
      <w:rPr>
        <w:lang w:val="en-US"/>
      </w:rPr>
      <w:t>130326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19D4" w14:textId="77777777" w:rsidR="00614F8E" w:rsidRPr="00C41DA9" w:rsidRDefault="00614F8E" w:rsidP="00930ECA">
      <w:pPr>
        <w:pStyle w:val="Footnote-Separator"/>
        <w:tabs>
          <w:tab w:val="clear" w:pos="624"/>
          <w:tab w:val="clear" w:pos="1247"/>
          <w:tab w:val="clear" w:pos="1871"/>
          <w:tab w:val="clear" w:pos="2495"/>
          <w:tab w:val="clear" w:pos="3119"/>
          <w:tab w:val="clear" w:pos="3742"/>
          <w:tab w:val="clear" w:pos="4366"/>
          <w:tab w:val="clear" w:pos="4990"/>
        </w:tabs>
        <w:bidi/>
        <w:spacing w:before="0"/>
        <w:ind w:left="567"/>
        <w:rPr>
          <w:szCs w:val="18"/>
        </w:rPr>
      </w:pPr>
      <w:r w:rsidRPr="00C41DA9">
        <w:separator/>
      </w:r>
    </w:p>
  </w:footnote>
  <w:footnote w:type="continuationSeparator" w:id="0">
    <w:p w14:paraId="6606A617" w14:textId="77777777" w:rsidR="00614F8E" w:rsidRPr="00C41DA9" w:rsidRDefault="00614F8E" w:rsidP="00C70B49">
      <w:pPr>
        <w:pStyle w:val="Footnote-Separator"/>
      </w:pPr>
      <w:r w:rsidRPr="00C41DA9">
        <w:continuationSeparator/>
      </w:r>
    </w:p>
  </w:footnote>
  <w:footnote w:type="continuationNotice" w:id="1">
    <w:p w14:paraId="3C38DD5E" w14:textId="77777777" w:rsidR="00614F8E" w:rsidRPr="00C41DA9" w:rsidRDefault="00614F8E" w:rsidP="00C70B49">
      <w:pPr>
        <w:pStyle w:val="ASpacer"/>
      </w:pPr>
    </w:p>
  </w:footnote>
  <w:footnote w:id="2">
    <w:p w14:paraId="5BCE6072" w14:textId="7938A38D" w:rsidR="006E27E7" w:rsidRPr="00697D0C" w:rsidRDefault="006E27E7" w:rsidP="00697D0C">
      <w:pPr>
        <w:pStyle w:val="FootnoteText"/>
        <w:keepLines/>
        <w:tabs>
          <w:tab w:val="clear" w:pos="1247"/>
          <w:tab w:val="clear" w:pos="1814"/>
          <w:tab w:val="clear" w:pos="2381"/>
          <w:tab w:val="clear" w:pos="2948"/>
          <w:tab w:val="clear" w:pos="3515"/>
        </w:tabs>
        <w:kinsoku w:val="0"/>
        <w:overflowPunct w:val="0"/>
        <w:autoSpaceDE w:val="0"/>
        <w:autoSpaceDN w:val="0"/>
        <w:bidi/>
        <w:spacing w:after="40" w:line="280" w:lineRule="exact"/>
        <w:ind w:left="1134"/>
        <w:jc w:val="both"/>
        <w:textDirection w:val="tbRlV"/>
        <w:rPr>
          <w:rFonts w:ascii="Simplified Arabic" w:hAnsi="Simplified Arabic" w:hint="default"/>
          <w:szCs w:val="20"/>
          <w:rtl/>
          <w:lang w:val="ar-SA" w:eastAsia="zh-TW" w:bidi="en-GB"/>
        </w:rPr>
      </w:pPr>
      <w:r w:rsidRPr="00697D0C">
        <w:rPr>
          <w:rFonts w:ascii="Simplified Arabic" w:hAnsi="Simplified Arabic"/>
          <w:szCs w:val="20"/>
          <w:rtl/>
        </w:rPr>
        <w:t>* لم تخضع الصيغة الأصلية لهذا المرفق باللغة الإنكليزية إلى تحرير رسمي.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159C" w14:textId="693F2144" w:rsidR="007A36F8" w:rsidRPr="00697D0C" w:rsidRDefault="00206F81" w:rsidP="00697D0C">
    <w:pPr>
      <w:pStyle w:val="Header-pool"/>
      <w:tabs>
        <w:tab w:val="clear" w:pos="1247"/>
        <w:tab w:val="clear" w:pos="1814"/>
        <w:tab w:val="clear" w:pos="2381"/>
        <w:tab w:val="clear" w:pos="2948"/>
        <w:tab w:val="clear" w:pos="3515"/>
        <w:tab w:val="clear" w:pos="9072"/>
      </w:tabs>
      <w:bidi/>
      <w:textDirection w:val="tbRlV"/>
      <w:rPr>
        <w:rFonts w:ascii="Times New Roman Bold" w:hAnsi="Times New Roman Bold" w:cs="Times New Roman" w:hint="eastAsia"/>
        <w:bCs/>
        <w:sz w:val="17"/>
        <w:szCs w:val="17"/>
        <w:lang w:val="ar-SA" w:eastAsia="zh-TW" w:bidi="en-GB"/>
      </w:rPr>
    </w:pPr>
    <w:r w:rsidRPr="00697D0C">
      <w:rPr>
        <w:rFonts w:ascii="Times New Roman Bold" w:hAnsi="Times New Roman Bold" w:cs="Times New Roman"/>
        <w:bCs/>
        <w:sz w:val="17"/>
        <w:szCs w:val="17"/>
      </w:rPr>
      <w:t>UNEP/OzL.Pro/ImpCom/7</w:t>
    </w:r>
    <w:r w:rsidR="00822DA8" w:rsidRPr="00697D0C">
      <w:rPr>
        <w:rFonts w:ascii="Times New Roman Bold" w:hAnsi="Times New Roman Bold" w:cs="Times New Roman" w:hint="default"/>
        <w:bCs/>
        <w:sz w:val="17"/>
        <w:szCs w:val="17"/>
      </w:rPr>
      <w:t>5</w:t>
    </w:r>
    <w:r w:rsidRPr="00697D0C">
      <w:rPr>
        <w:rFonts w:ascii="Times New Roman Bold" w:hAnsi="Times New Roman Bold" w:cs="Times New Roman"/>
        <w:bCs/>
        <w:sz w:val="17"/>
        <w:szCs w:val="17"/>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0A8A" w14:textId="3CB33C9B" w:rsidR="007A36F8" w:rsidRPr="00E42B6C" w:rsidRDefault="00206F81" w:rsidP="00697D0C">
    <w:pPr>
      <w:pStyle w:val="Header-pool"/>
      <w:tabs>
        <w:tab w:val="clear" w:pos="1247"/>
        <w:tab w:val="clear" w:pos="1814"/>
        <w:tab w:val="clear" w:pos="2381"/>
        <w:tab w:val="clear" w:pos="2948"/>
        <w:tab w:val="clear" w:pos="3515"/>
        <w:tab w:val="clear" w:pos="9072"/>
      </w:tabs>
      <w:bidi/>
      <w:jc w:val="right"/>
      <w:textDirection w:val="tbRlV"/>
      <w:rPr>
        <w:rFonts w:ascii="Times New Roman Bold" w:hAnsi="Times New Roman Bold" w:cs="Times New Roman" w:hint="eastAsia"/>
        <w:bCs/>
        <w:sz w:val="17"/>
        <w:szCs w:val="17"/>
      </w:rPr>
    </w:pPr>
    <w:r w:rsidRPr="00E42B6C">
      <w:rPr>
        <w:rFonts w:ascii="Times New Roman Bold" w:hAnsi="Times New Roman Bold" w:cs="Times New Roman"/>
        <w:bCs/>
        <w:sz w:val="17"/>
        <w:szCs w:val="17"/>
      </w:rPr>
      <w:t>UNEP/OzL.Pro/ImpCom/7</w:t>
    </w:r>
    <w:r w:rsidR="00822DA8">
      <w:rPr>
        <w:rFonts w:ascii="Times New Roman Bold" w:hAnsi="Times New Roman Bold" w:cs="Times New Roman" w:hint="default"/>
        <w:bCs/>
        <w:sz w:val="17"/>
        <w:szCs w:val="17"/>
      </w:rPr>
      <w:t>5</w:t>
    </w:r>
    <w:r w:rsidRPr="00E42B6C">
      <w:rPr>
        <w:rFonts w:ascii="Times New Roman Bold" w:hAnsi="Times New Roman Bold" w:cs="Times New Roman"/>
        <w:bCs/>
        <w:sz w:val="17"/>
        <w:szCs w:val="17"/>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F53E" w14:textId="77777777" w:rsidR="00CB4934" w:rsidRDefault="00CB4934" w:rsidP="00054ABF">
    <w:pPr>
      <w:pStyle w:val="Header"/>
      <w:pBdr>
        <w:bottom w:val="none" w:sz="0" w:space="0" w:color="auto"/>
      </w:pBd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0C7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E208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B8816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54DD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75063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C665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40DE0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4673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DAF5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3061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2A77BBF"/>
    <w:multiLevelType w:val="hybridMultilevel"/>
    <w:tmpl w:val="7F64BE7E"/>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12" w15:restartNumberingAfterBreak="0">
    <w:nsid w:val="0A947EB5"/>
    <w:multiLevelType w:val="multilevel"/>
    <w:tmpl w:val="894A7A0E"/>
    <w:lvl w:ilvl="0">
      <w:start w:val="1"/>
      <w:numFmt w:val="decimal"/>
      <w:lvlText w:val="%1-"/>
      <w:lvlJc w:val="left"/>
      <w:pPr>
        <w:tabs>
          <w:tab w:val="num" w:pos="511"/>
        </w:tabs>
        <w:ind w:left="1135"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3" w15:restartNumberingAfterBreak="0">
    <w:nsid w:val="0E191094"/>
    <w:multiLevelType w:val="hybridMultilevel"/>
    <w:tmpl w:val="6A387A4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101B1C7D"/>
    <w:multiLevelType w:val="hybridMultilevel"/>
    <w:tmpl w:val="3ADED354"/>
    <w:lvl w:ilvl="0" w:tplc="A5007306">
      <w:start w:val="2"/>
      <w:numFmt w:val="decimal"/>
      <w:lvlText w:val="%1-"/>
      <w:lvlJc w:val="left"/>
      <w:pPr>
        <w:ind w:left="2501" w:hanging="630"/>
      </w:pPr>
      <w:rPr>
        <w:rFonts w:ascii="Simplified Arabic" w:cs="Simplified Arabic" w:hint="default"/>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15" w15:restartNumberingAfterBreak="0">
    <w:nsid w:val="144A016B"/>
    <w:multiLevelType w:val="hybridMultilevel"/>
    <w:tmpl w:val="4064A084"/>
    <w:lvl w:ilvl="0" w:tplc="28F0F404">
      <w:start w:val="1"/>
      <w:numFmt w:val="decimal"/>
      <w:lvlText w:val="%1-"/>
      <w:lvlJc w:val="left"/>
      <w:pPr>
        <w:tabs>
          <w:tab w:val="num" w:pos="1843"/>
        </w:tabs>
        <w:ind w:left="1843" w:hanging="709"/>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150F0E61"/>
    <w:multiLevelType w:val="hybridMultilevel"/>
    <w:tmpl w:val="30604DF6"/>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17" w15:restartNumberingAfterBreak="0">
    <w:nsid w:val="1B4F6127"/>
    <w:multiLevelType w:val="hybridMultilevel"/>
    <w:tmpl w:val="276EF206"/>
    <w:lvl w:ilvl="0" w:tplc="AAAAE4A4">
      <w:start w:val="1"/>
      <w:numFmt w:val="arabicAbjad"/>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8"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9" w15:restartNumberingAfterBreak="0">
    <w:nsid w:val="315B326A"/>
    <w:multiLevelType w:val="hybridMultilevel"/>
    <w:tmpl w:val="CEDEC7A0"/>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20" w15:restartNumberingAfterBreak="0">
    <w:nsid w:val="32CD2BA0"/>
    <w:multiLevelType w:val="hybridMultilevel"/>
    <w:tmpl w:val="574EB05E"/>
    <w:styleLink w:val="Normallist1"/>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8BE163D"/>
    <w:multiLevelType w:val="hybridMultilevel"/>
    <w:tmpl w:val="30604DF6"/>
    <w:lvl w:ilvl="0" w:tplc="FFFFFFFF">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671" w:hanging="360"/>
      </w:pPr>
    </w:lvl>
    <w:lvl w:ilvl="2" w:tplc="FFFFFFFF" w:tentative="1">
      <w:start w:val="1"/>
      <w:numFmt w:val="lowerRoman"/>
      <w:lvlText w:val="%3."/>
      <w:lvlJc w:val="right"/>
      <w:pPr>
        <w:ind w:left="4391" w:hanging="180"/>
      </w:pPr>
    </w:lvl>
    <w:lvl w:ilvl="3" w:tplc="FFFFFFFF" w:tentative="1">
      <w:start w:val="1"/>
      <w:numFmt w:val="decimal"/>
      <w:lvlText w:val="%4."/>
      <w:lvlJc w:val="left"/>
      <w:pPr>
        <w:ind w:left="5111" w:hanging="360"/>
      </w:pPr>
    </w:lvl>
    <w:lvl w:ilvl="4" w:tplc="FFFFFFFF" w:tentative="1">
      <w:start w:val="1"/>
      <w:numFmt w:val="lowerLetter"/>
      <w:lvlText w:val="%5."/>
      <w:lvlJc w:val="left"/>
      <w:pPr>
        <w:ind w:left="5831" w:hanging="360"/>
      </w:pPr>
    </w:lvl>
    <w:lvl w:ilvl="5" w:tplc="FFFFFFFF" w:tentative="1">
      <w:start w:val="1"/>
      <w:numFmt w:val="lowerRoman"/>
      <w:lvlText w:val="%6."/>
      <w:lvlJc w:val="right"/>
      <w:pPr>
        <w:ind w:left="6551" w:hanging="180"/>
      </w:pPr>
    </w:lvl>
    <w:lvl w:ilvl="6" w:tplc="FFFFFFFF" w:tentative="1">
      <w:start w:val="1"/>
      <w:numFmt w:val="decimal"/>
      <w:lvlText w:val="%7."/>
      <w:lvlJc w:val="left"/>
      <w:pPr>
        <w:ind w:left="7271" w:hanging="360"/>
      </w:pPr>
    </w:lvl>
    <w:lvl w:ilvl="7" w:tplc="FFFFFFFF" w:tentative="1">
      <w:start w:val="1"/>
      <w:numFmt w:val="lowerLetter"/>
      <w:lvlText w:val="%8."/>
      <w:lvlJc w:val="left"/>
      <w:pPr>
        <w:ind w:left="7991" w:hanging="360"/>
      </w:pPr>
    </w:lvl>
    <w:lvl w:ilvl="8" w:tplc="FFFFFFFF" w:tentative="1">
      <w:start w:val="1"/>
      <w:numFmt w:val="lowerRoman"/>
      <w:lvlText w:val="%9."/>
      <w:lvlJc w:val="right"/>
      <w:pPr>
        <w:ind w:left="8711" w:hanging="180"/>
      </w:pPr>
    </w:lvl>
  </w:abstractNum>
  <w:abstractNum w:abstractNumId="22" w15:restartNumberingAfterBreak="0">
    <w:nsid w:val="3C0F4F52"/>
    <w:multiLevelType w:val="hybridMultilevel"/>
    <w:tmpl w:val="881634B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15:restartNumberingAfterBreak="0">
    <w:nsid w:val="3D8F4DA2"/>
    <w:multiLevelType w:val="hybridMultilevel"/>
    <w:tmpl w:val="0442D3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3DEE1EC5"/>
    <w:multiLevelType w:val="hybridMultilevel"/>
    <w:tmpl w:val="39D4E304"/>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25" w15:restartNumberingAfterBreak="0">
    <w:nsid w:val="3EA75A09"/>
    <w:multiLevelType w:val="hybridMultilevel"/>
    <w:tmpl w:val="CEDEC7A0"/>
    <w:lvl w:ilvl="0" w:tplc="FFFFFFFF">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671" w:hanging="360"/>
      </w:pPr>
    </w:lvl>
    <w:lvl w:ilvl="2" w:tplc="FFFFFFFF" w:tentative="1">
      <w:start w:val="1"/>
      <w:numFmt w:val="lowerRoman"/>
      <w:lvlText w:val="%3."/>
      <w:lvlJc w:val="right"/>
      <w:pPr>
        <w:ind w:left="4391" w:hanging="180"/>
      </w:pPr>
    </w:lvl>
    <w:lvl w:ilvl="3" w:tplc="FFFFFFFF" w:tentative="1">
      <w:start w:val="1"/>
      <w:numFmt w:val="decimal"/>
      <w:lvlText w:val="%4."/>
      <w:lvlJc w:val="left"/>
      <w:pPr>
        <w:ind w:left="5111" w:hanging="360"/>
      </w:pPr>
    </w:lvl>
    <w:lvl w:ilvl="4" w:tplc="FFFFFFFF" w:tentative="1">
      <w:start w:val="1"/>
      <w:numFmt w:val="lowerLetter"/>
      <w:lvlText w:val="%5."/>
      <w:lvlJc w:val="left"/>
      <w:pPr>
        <w:ind w:left="5831" w:hanging="360"/>
      </w:pPr>
    </w:lvl>
    <w:lvl w:ilvl="5" w:tplc="FFFFFFFF" w:tentative="1">
      <w:start w:val="1"/>
      <w:numFmt w:val="lowerRoman"/>
      <w:lvlText w:val="%6."/>
      <w:lvlJc w:val="right"/>
      <w:pPr>
        <w:ind w:left="6551" w:hanging="180"/>
      </w:pPr>
    </w:lvl>
    <w:lvl w:ilvl="6" w:tplc="FFFFFFFF" w:tentative="1">
      <w:start w:val="1"/>
      <w:numFmt w:val="decimal"/>
      <w:lvlText w:val="%7."/>
      <w:lvlJc w:val="left"/>
      <w:pPr>
        <w:ind w:left="7271" w:hanging="360"/>
      </w:pPr>
    </w:lvl>
    <w:lvl w:ilvl="7" w:tplc="FFFFFFFF" w:tentative="1">
      <w:start w:val="1"/>
      <w:numFmt w:val="lowerLetter"/>
      <w:lvlText w:val="%8."/>
      <w:lvlJc w:val="left"/>
      <w:pPr>
        <w:ind w:left="7991" w:hanging="360"/>
      </w:pPr>
    </w:lvl>
    <w:lvl w:ilvl="8" w:tplc="FFFFFFFF" w:tentative="1">
      <w:start w:val="1"/>
      <w:numFmt w:val="lowerRoman"/>
      <w:lvlText w:val="%9."/>
      <w:lvlJc w:val="right"/>
      <w:pPr>
        <w:ind w:left="8711" w:hanging="180"/>
      </w:pPr>
    </w:lvl>
  </w:abstractNum>
  <w:abstractNum w:abstractNumId="26" w15:restartNumberingAfterBreak="0">
    <w:nsid w:val="4B670566"/>
    <w:multiLevelType w:val="hybridMultilevel"/>
    <w:tmpl w:val="80D8585A"/>
    <w:lvl w:ilvl="0" w:tplc="EE389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547ED3"/>
    <w:multiLevelType w:val="hybridMultilevel"/>
    <w:tmpl w:val="46BCF858"/>
    <w:lvl w:ilvl="0" w:tplc="D9644AC6">
      <w:start w:val="1"/>
      <w:numFmt w:val="decimal"/>
      <w:lvlText w:val="%1-"/>
      <w:lvlJc w:val="left"/>
      <w:pPr>
        <w:ind w:left="1967" w:hanging="360"/>
      </w:pPr>
      <w:rPr>
        <w:rFonts w:hint="default"/>
      </w:rPr>
    </w:lvl>
    <w:lvl w:ilvl="1" w:tplc="FFFFFFFF">
      <w:start w:val="1"/>
      <w:numFmt w:val="lowerLetter"/>
      <w:lvlText w:val="%2."/>
      <w:lvlJc w:val="left"/>
      <w:pPr>
        <w:ind w:left="2687" w:hanging="360"/>
      </w:pPr>
    </w:lvl>
    <w:lvl w:ilvl="2" w:tplc="FFFFFFFF">
      <w:start w:val="1"/>
      <w:numFmt w:val="lowerRoman"/>
      <w:lvlText w:val="%3."/>
      <w:lvlJc w:val="right"/>
      <w:pPr>
        <w:ind w:left="3407" w:hanging="180"/>
      </w:pPr>
    </w:lvl>
    <w:lvl w:ilvl="3" w:tplc="FFFFFFFF">
      <w:start w:val="1"/>
      <w:numFmt w:val="decimal"/>
      <w:lvlText w:val="%4."/>
      <w:lvlJc w:val="left"/>
      <w:pPr>
        <w:ind w:left="4127" w:hanging="360"/>
      </w:pPr>
    </w:lvl>
    <w:lvl w:ilvl="4" w:tplc="FFFFFFFF">
      <w:start w:val="1"/>
      <w:numFmt w:val="lowerLetter"/>
      <w:lvlText w:val="%5."/>
      <w:lvlJc w:val="left"/>
      <w:pPr>
        <w:ind w:left="4847" w:hanging="360"/>
      </w:pPr>
    </w:lvl>
    <w:lvl w:ilvl="5" w:tplc="FFFFFFFF">
      <w:start w:val="1"/>
      <w:numFmt w:val="lowerRoman"/>
      <w:lvlText w:val="%6."/>
      <w:lvlJc w:val="right"/>
      <w:pPr>
        <w:ind w:left="5567" w:hanging="180"/>
      </w:pPr>
    </w:lvl>
    <w:lvl w:ilvl="6" w:tplc="FFFFFFFF">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8" w15:restartNumberingAfterBreak="0">
    <w:nsid w:val="52A66A9D"/>
    <w:multiLevelType w:val="multilevel"/>
    <w:tmpl w:val="279252A2"/>
    <w:styleLink w:val="Normallist"/>
    <w:lvl w:ilvl="0">
      <w:start w:val="1"/>
      <w:numFmt w:val="decimal"/>
      <w:pStyle w:val="Normalnumber"/>
      <w:lvlText w:val="%1."/>
      <w:lvlJc w:val="left"/>
      <w:pPr>
        <w:tabs>
          <w:tab w:val="num" w:pos="511"/>
        </w:tabs>
        <w:ind w:left="1135"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9" w15:restartNumberingAfterBreak="0">
    <w:nsid w:val="548A0C8A"/>
    <w:multiLevelType w:val="hybridMultilevel"/>
    <w:tmpl w:val="EC08AE10"/>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30" w15:restartNumberingAfterBreak="0">
    <w:nsid w:val="5D2466B5"/>
    <w:multiLevelType w:val="hybridMultilevel"/>
    <w:tmpl w:val="B874E7E0"/>
    <w:lvl w:ilvl="0" w:tplc="90D022EA">
      <w:start w:val="1"/>
      <w:numFmt w:val="arabicAbjad"/>
      <w:lvlText w:val="(%1)"/>
      <w:lvlJc w:val="left"/>
      <w:pPr>
        <w:ind w:left="2231" w:hanging="360"/>
      </w:pPr>
      <w:rPr>
        <w:rFonts w:hint="default"/>
      </w:rPr>
    </w:lvl>
    <w:lvl w:ilvl="1" w:tplc="20000019" w:tentative="1">
      <w:start w:val="1"/>
      <w:numFmt w:val="lowerLetter"/>
      <w:lvlText w:val="%2."/>
      <w:lvlJc w:val="left"/>
      <w:pPr>
        <w:ind w:left="2951" w:hanging="360"/>
      </w:pPr>
    </w:lvl>
    <w:lvl w:ilvl="2" w:tplc="2000001B" w:tentative="1">
      <w:start w:val="1"/>
      <w:numFmt w:val="lowerRoman"/>
      <w:lvlText w:val="%3."/>
      <w:lvlJc w:val="right"/>
      <w:pPr>
        <w:ind w:left="3671" w:hanging="180"/>
      </w:pPr>
    </w:lvl>
    <w:lvl w:ilvl="3" w:tplc="2000000F" w:tentative="1">
      <w:start w:val="1"/>
      <w:numFmt w:val="decimal"/>
      <w:lvlText w:val="%4."/>
      <w:lvlJc w:val="left"/>
      <w:pPr>
        <w:ind w:left="4391" w:hanging="360"/>
      </w:pPr>
    </w:lvl>
    <w:lvl w:ilvl="4" w:tplc="20000019" w:tentative="1">
      <w:start w:val="1"/>
      <w:numFmt w:val="lowerLetter"/>
      <w:lvlText w:val="%5."/>
      <w:lvlJc w:val="left"/>
      <w:pPr>
        <w:ind w:left="5111" w:hanging="360"/>
      </w:pPr>
    </w:lvl>
    <w:lvl w:ilvl="5" w:tplc="2000001B" w:tentative="1">
      <w:start w:val="1"/>
      <w:numFmt w:val="lowerRoman"/>
      <w:lvlText w:val="%6."/>
      <w:lvlJc w:val="right"/>
      <w:pPr>
        <w:ind w:left="5831" w:hanging="180"/>
      </w:pPr>
    </w:lvl>
    <w:lvl w:ilvl="6" w:tplc="2000000F" w:tentative="1">
      <w:start w:val="1"/>
      <w:numFmt w:val="decimal"/>
      <w:lvlText w:val="%7."/>
      <w:lvlJc w:val="left"/>
      <w:pPr>
        <w:ind w:left="6551" w:hanging="360"/>
      </w:pPr>
    </w:lvl>
    <w:lvl w:ilvl="7" w:tplc="20000019" w:tentative="1">
      <w:start w:val="1"/>
      <w:numFmt w:val="lowerLetter"/>
      <w:lvlText w:val="%8."/>
      <w:lvlJc w:val="left"/>
      <w:pPr>
        <w:ind w:left="7271" w:hanging="360"/>
      </w:pPr>
    </w:lvl>
    <w:lvl w:ilvl="8" w:tplc="2000001B" w:tentative="1">
      <w:start w:val="1"/>
      <w:numFmt w:val="lowerRoman"/>
      <w:lvlText w:val="%9."/>
      <w:lvlJc w:val="right"/>
      <w:pPr>
        <w:ind w:left="7991" w:hanging="180"/>
      </w:pPr>
    </w:lvl>
  </w:abstractNum>
  <w:abstractNum w:abstractNumId="31" w15:restartNumberingAfterBreak="0">
    <w:nsid w:val="621E699C"/>
    <w:multiLevelType w:val="hybridMultilevel"/>
    <w:tmpl w:val="B15A7A5E"/>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arabicAbjad"/>
      <w:lvlText w:val="(%3)"/>
      <w:lvlJc w:val="left"/>
      <w:pPr>
        <w:ind w:left="720" w:hanging="432"/>
      </w:pPr>
      <w:rPr>
        <w:rFonts w:hint="default"/>
      </w:rPr>
    </w:lvl>
    <w:lvl w:ilvl="3">
      <w:start w:val="1"/>
      <w:numFmt w:val="arabicAbjad"/>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3" w15:restartNumberingAfterBreak="0">
    <w:nsid w:val="7E177C5E"/>
    <w:multiLevelType w:val="hybridMultilevel"/>
    <w:tmpl w:val="7F64BE7E"/>
    <w:lvl w:ilvl="0" w:tplc="FFFFFFFF">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671" w:hanging="360"/>
      </w:pPr>
    </w:lvl>
    <w:lvl w:ilvl="2" w:tplc="FFFFFFFF" w:tentative="1">
      <w:start w:val="1"/>
      <w:numFmt w:val="lowerRoman"/>
      <w:lvlText w:val="%3."/>
      <w:lvlJc w:val="right"/>
      <w:pPr>
        <w:ind w:left="4391" w:hanging="180"/>
      </w:pPr>
    </w:lvl>
    <w:lvl w:ilvl="3" w:tplc="FFFFFFFF" w:tentative="1">
      <w:start w:val="1"/>
      <w:numFmt w:val="decimal"/>
      <w:lvlText w:val="%4."/>
      <w:lvlJc w:val="left"/>
      <w:pPr>
        <w:ind w:left="5111" w:hanging="360"/>
      </w:pPr>
    </w:lvl>
    <w:lvl w:ilvl="4" w:tplc="FFFFFFFF" w:tentative="1">
      <w:start w:val="1"/>
      <w:numFmt w:val="lowerLetter"/>
      <w:lvlText w:val="%5."/>
      <w:lvlJc w:val="left"/>
      <w:pPr>
        <w:ind w:left="5831" w:hanging="360"/>
      </w:pPr>
    </w:lvl>
    <w:lvl w:ilvl="5" w:tplc="FFFFFFFF" w:tentative="1">
      <w:start w:val="1"/>
      <w:numFmt w:val="lowerRoman"/>
      <w:lvlText w:val="%6."/>
      <w:lvlJc w:val="right"/>
      <w:pPr>
        <w:ind w:left="6551" w:hanging="180"/>
      </w:pPr>
    </w:lvl>
    <w:lvl w:ilvl="6" w:tplc="FFFFFFFF" w:tentative="1">
      <w:start w:val="1"/>
      <w:numFmt w:val="decimal"/>
      <w:lvlText w:val="%7."/>
      <w:lvlJc w:val="left"/>
      <w:pPr>
        <w:ind w:left="7271" w:hanging="360"/>
      </w:pPr>
    </w:lvl>
    <w:lvl w:ilvl="7" w:tplc="FFFFFFFF" w:tentative="1">
      <w:start w:val="1"/>
      <w:numFmt w:val="lowerLetter"/>
      <w:lvlText w:val="%8."/>
      <w:lvlJc w:val="left"/>
      <w:pPr>
        <w:ind w:left="7991" w:hanging="360"/>
      </w:pPr>
    </w:lvl>
    <w:lvl w:ilvl="8" w:tplc="FFFFFFFF" w:tentative="1">
      <w:start w:val="1"/>
      <w:numFmt w:val="lowerRoman"/>
      <w:lvlText w:val="%9."/>
      <w:lvlJc w:val="right"/>
      <w:pPr>
        <w:ind w:left="8711" w:hanging="180"/>
      </w:pPr>
    </w:lvl>
  </w:abstractNum>
  <w:abstractNum w:abstractNumId="34" w15:restartNumberingAfterBreak="0">
    <w:nsid w:val="7E3B0382"/>
    <w:multiLevelType w:val="hybridMultilevel"/>
    <w:tmpl w:val="EC08AE10"/>
    <w:lvl w:ilvl="0" w:tplc="FFFFFFFF">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671" w:hanging="360"/>
      </w:pPr>
    </w:lvl>
    <w:lvl w:ilvl="2" w:tplc="FFFFFFFF" w:tentative="1">
      <w:start w:val="1"/>
      <w:numFmt w:val="lowerRoman"/>
      <w:lvlText w:val="%3."/>
      <w:lvlJc w:val="right"/>
      <w:pPr>
        <w:ind w:left="4391" w:hanging="180"/>
      </w:pPr>
    </w:lvl>
    <w:lvl w:ilvl="3" w:tplc="FFFFFFFF" w:tentative="1">
      <w:start w:val="1"/>
      <w:numFmt w:val="decimal"/>
      <w:lvlText w:val="%4."/>
      <w:lvlJc w:val="left"/>
      <w:pPr>
        <w:ind w:left="5111" w:hanging="360"/>
      </w:pPr>
    </w:lvl>
    <w:lvl w:ilvl="4" w:tplc="FFFFFFFF" w:tentative="1">
      <w:start w:val="1"/>
      <w:numFmt w:val="lowerLetter"/>
      <w:lvlText w:val="%5."/>
      <w:lvlJc w:val="left"/>
      <w:pPr>
        <w:ind w:left="5831" w:hanging="360"/>
      </w:pPr>
    </w:lvl>
    <w:lvl w:ilvl="5" w:tplc="FFFFFFFF" w:tentative="1">
      <w:start w:val="1"/>
      <w:numFmt w:val="lowerRoman"/>
      <w:lvlText w:val="%6."/>
      <w:lvlJc w:val="right"/>
      <w:pPr>
        <w:ind w:left="6551" w:hanging="180"/>
      </w:pPr>
    </w:lvl>
    <w:lvl w:ilvl="6" w:tplc="FFFFFFFF" w:tentative="1">
      <w:start w:val="1"/>
      <w:numFmt w:val="decimal"/>
      <w:lvlText w:val="%7."/>
      <w:lvlJc w:val="left"/>
      <w:pPr>
        <w:ind w:left="7271" w:hanging="360"/>
      </w:pPr>
    </w:lvl>
    <w:lvl w:ilvl="7" w:tplc="FFFFFFFF" w:tentative="1">
      <w:start w:val="1"/>
      <w:numFmt w:val="lowerLetter"/>
      <w:lvlText w:val="%8."/>
      <w:lvlJc w:val="left"/>
      <w:pPr>
        <w:ind w:left="7991" w:hanging="360"/>
      </w:pPr>
    </w:lvl>
    <w:lvl w:ilvl="8" w:tplc="FFFFFFFF" w:tentative="1">
      <w:start w:val="1"/>
      <w:numFmt w:val="lowerRoman"/>
      <w:lvlText w:val="%9."/>
      <w:lvlJc w:val="right"/>
      <w:pPr>
        <w:ind w:left="8711" w:hanging="180"/>
      </w:pPr>
    </w:lvl>
  </w:abstractNum>
  <w:num w:numId="1" w16cid:durableId="560672902">
    <w:abstractNumId w:val="28"/>
    <w:lvlOverride w:ilvl="0">
      <w:lvl w:ilvl="0">
        <w:start w:val="1"/>
        <w:numFmt w:val="decimal"/>
        <w:pStyle w:val="Normalnumber"/>
        <w:lvlText w:val="%1."/>
        <w:lvlJc w:val="left"/>
        <w:pPr>
          <w:tabs>
            <w:tab w:val="num" w:pos="511"/>
          </w:tabs>
          <w:ind w:left="1135" w:firstLine="0"/>
        </w:pPr>
        <w:rPr>
          <w:rFonts w:hint="default"/>
        </w:rPr>
      </w:lvl>
    </w:lvlOverride>
  </w:num>
  <w:num w:numId="2" w16cid:durableId="1242644713">
    <w:abstractNumId w:val="32"/>
  </w:num>
  <w:num w:numId="3" w16cid:durableId="1933662228">
    <w:abstractNumId w:val="20"/>
  </w:num>
  <w:num w:numId="4" w16cid:durableId="1991909117">
    <w:abstractNumId w:val="10"/>
  </w:num>
  <w:num w:numId="5" w16cid:durableId="1138956019">
    <w:abstractNumId w:val="17"/>
  </w:num>
  <w:num w:numId="6" w16cid:durableId="811169729">
    <w:abstractNumId w:val="9"/>
  </w:num>
  <w:num w:numId="7" w16cid:durableId="536116702">
    <w:abstractNumId w:val="7"/>
  </w:num>
  <w:num w:numId="8" w16cid:durableId="1777214691">
    <w:abstractNumId w:val="6"/>
  </w:num>
  <w:num w:numId="9" w16cid:durableId="1948811174">
    <w:abstractNumId w:val="5"/>
  </w:num>
  <w:num w:numId="10" w16cid:durableId="1169174123">
    <w:abstractNumId w:val="4"/>
  </w:num>
  <w:num w:numId="11" w16cid:durableId="2047214303">
    <w:abstractNumId w:val="8"/>
  </w:num>
  <w:num w:numId="12" w16cid:durableId="656035213">
    <w:abstractNumId w:val="3"/>
  </w:num>
  <w:num w:numId="13" w16cid:durableId="1857500495">
    <w:abstractNumId w:val="2"/>
  </w:num>
  <w:num w:numId="14" w16cid:durableId="700131790">
    <w:abstractNumId w:val="1"/>
  </w:num>
  <w:num w:numId="15" w16cid:durableId="63374761">
    <w:abstractNumId w:val="0"/>
  </w:num>
  <w:num w:numId="16" w16cid:durableId="1917784559">
    <w:abstractNumId w:val="28"/>
  </w:num>
  <w:num w:numId="17" w16cid:durableId="1287858045">
    <w:abstractNumId w:val="15"/>
  </w:num>
  <w:num w:numId="18" w16cid:durableId="1281955679">
    <w:abstractNumId w:val="12"/>
  </w:num>
  <w:num w:numId="19" w16cid:durableId="928465784">
    <w:abstractNumId w:val="27"/>
  </w:num>
  <w:num w:numId="20" w16cid:durableId="1370060259">
    <w:abstractNumId w:val="31"/>
  </w:num>
  <w:num w:numId="21" w16cid:durableId="932978099">
    <w:abstractNumId w:val="13"/>
  </w:num>
  <w:num w:numId="22" w16cid:durableId="944994660">
    <w:abstractNumId w:val="22"/>
  </w:num>
  <w:num w:numId="23" w16cid:durableId="1185364092">
    <w:abstractNumId w:val="23"/>
  </w:num>
  <w:num w:numId="24" w16cid:durableId="2094158583">
    <w:abstractNumId w:val="16"/>
  </w:num>
  <w:num w:numId="25" w16cid:durableId="1590970249">
    <w:abstractNumId w:val="21"/>
  </w:num>
  <w:num w:numId="26" w16cid:durableId="1719277577">
    <w:abstractNumId w:val="29"/>
  </w:num>
  <w:num w:numId="27" w16cid:durableId="1073314762">
    <w:abstractNumId w:val="34"/>
  </w:num>
  <w:num w:numId="28" w16cid:durableId="1962614261">
    <w:abstractNumId w:val="11"/>
  </w:num>
  <w:num w:numId="29" w16cid:durableId="1802916828">
    <w:abstractNumId w:val="33"/>
  </w:num>
  <w:num w:numId="30" w16cid:durableId="1043480644">
    <w:abstractNumId w:val="19"/>
  </w:num>
  <w:num w:numId="31" w16cid:durableId="1402554562">
    <w:abstractNumId w:val="25"/>
  </w:num>
  <w:num w:numId="32" w16cid:durableId="109014488">
    <w:abstractNumId w:val="24"/>
  </w:num>
  <w:num w:numId="33" w16cid:durableId="1423642701">
    <w:abstractNumId w:val="18"/>
  </w:num>
  <w:num w:numId="34" w16cid:durableId="172189591">
    <w:abstractNumId w:val="30"/>
  </w:num>
  <w:num w:numId="35" w16cid:durableId="1045331241">
    <w:abstractNumId w:val="14"/>
  </w:num>
  <w:num w:numId="36" w16cid:durableId="664169991">
    <w:abstractNumId w:val="26"/>
  </w:num>
  <w:num w:numId="37" w16cid:durableId="373693864">
    <w:abstractNumId w:val="28"/>
    <w:lvlOverride w:ilvl="0">
      <w:lvl w:ilvl="0">
        <w:start w:val="1"/>
        <w:numFmt w:val="decimal"/>
        <w:pStyle w:val="Normalnumber"/>
        <w:lvlText w:val="%1."/>
        <w:lvlJc w:val="left"/>
        <w:pPr>
          <w:tabs>
            <w:tab w:val="num" w:pos="511"/>
          </w:tabs>
          <w:ind w:left="1135" w:firstLine="0"/>
        </w:pPr>
        <w:rPr>
          <w:rFonts w:hint="default"/>
        </w:rPr>
      </w:lvl>
    </w:lvlOverride>
  </w:num>
  <w:num w:numId="38" w16cid:durableId="1773629584">
    <w:abstractNumId w:val="28"/>
    <w:lvlOverride w:ilvl="0">
      <w:lvl w:ilvl="0">
        <w:start w:val="1"/>
        <w:numFmt w:val="decimal"/>
        <w:pStyle w:val="Normalnumber"/>
        <w:lvlText w:val="%1."/>
        <w:lvlJc w:val="left"/>
        <w:pPr>
          <w:tabs>
            <w:tab w:val="num" w:pos="511"/>
          </w:tabs>
          <w:ind w:left="1135" w:firstLine="0"/>
        </w:pPr>
        <w:rPr>
          <w:rFonts w:hint="default"/>
        </w:rPr>
      </w:lvl>
    </w:lvlOverride>
  </w:num>
  <w:num w:numId="39" w16cid:durableId="1968853129">
    <w:abstractNumId w:val="28"/>
    <w:lvlOverride w:ilvl="0">
      <w:lvl w:ilvl="0">
        <w:start w:val="1"/>
        <w:numFmt w:val="decimal"/>
        <w:pStyle w:val="Normalnumber"/>
        <w:lvlText w:val="%1."/>
        <w:lvlJc w:val="left"/>
        <w:pPr>
          <w:tabs>
            <w:tab w:val="num" w:pos="511"/>
          </w:tabs>
          <w:ind w:left="1135" w:firstLine="0"/>
        </w:pPr>
        <w:rPr>
          <w:rFonts w:hint="default"/>
        </w:rPr>
      </w:lvl>
    </w:lvlOverride>
  </w:num>
  <w:num w:numId="40" w16cid:durableId="555162628">
    <w:abstractNumId w:val="28"/>
    <w:lvlOverride w:ilvl="0">
      <w:lvl w:ilvl="0">
        <w:start w:val="1"/>
        <w:numFmt w:val="decimal"/>
        <w:pStyle w:val="Normalnumber"/>
        <w:lvlText w:val="%1."/>
        <w:lvlJc w:val="left"/>
        <w:pPr>
          <w:tabs>
            <w:tab w:val="num" w:pos="511"/>
          </w:tabs>
          <w:ind w:left="1135" w:firstLine="0"/>
        </w:pPr>
        <w:rPr>
          <w:rFonts w:hint="default"/>
        </w:rPr>
      </w:lvl>
    </w:lvlOverride>
  </w:num>
  <w:num w:numId="41" w16cid:durableId="767627239">
    <w:abstractNumId w:val="28"/>
    <w:lvlOverride w:ilvl="0">
      <w:lvl w:ilvl="0">
        <w:start w:val="1"/>
        <w:numFmt w:val="decimal"/>
        <w:pStyle w:val="Normalnumber"/>
        <w:lvlText w:val="%1."/>
        <w:lvlJc w:val="left"/>
        <w:pPr>
          <w:tabs>
            <w:tab w:val="num" w:pos="511"/>
          </w:tabs>
          <w:ind w:left="1135" w:firstLine="0"/>
        </w:pPr>
        <w:rPr>
          <w:rFonts w:hint="default"/>
        </w:rPr>
      </w:lvl>
    </w:lvlOverride>
  </w:num>
  <w:num w:numId="42" w16cid:durableId="569316826">
    <w:abstractNumId w:val="28"/>
    <w:lvlOverride w:ilvl="0">
      <w:lvl w:ilvl="0">
        <w:start w:val="1"/>
        <w:numFmt w:val="decimal"/>
        <w:pStyle w:val="Normalnumber"/>
        <w:lvlText w:val="%1."/>
        <w:lvlJc w:val="left"/>
        <w:pPr>
          <w:tabs>
            <w:tab w:val="num" w:pos="511"/>
          </w:tabs>
          <w:ind w:left="1135" w:firstLine="0"/>
        </w:pPr>
        <w:rPr>
          <w:rFonts w:hint="default"/>
        </w:rPr>
      </w:lvl>
    </w:lvlOverride>
  </w:num>
  <w:num w:numId="43" w16cid:durableId="1300964410">
    <w:abstractNumId w:val="28"/>
    <w:lvlOverride w:ilvl="0">
      <w:lvl w:ilvl="0">
        <w:start w:val="1"/>
        <w:numFmt w:val="decimal"/>
        <w:pStyle w:val="Normalnumber"/>
        <w:lvlText w:val="%1."/>
        <w:lvlJc w:val="left"/>
        <w:pPr>
          <w:tabs>
            <w:tab w:val="num" w:pos="511"/>
          </w:tabs>
          <w:ind w:left="1135" w:firstLine="0"/>
        </w:pPr>
        <w:rPr>
          <w:rFonts w:hint="default"/>
        </w:rPr>
      </w:lvl>
    </w:lvlOverride>
  </w:num>
  <w:num w:numId="44" w16cid:durableId="216550028">
    <w:abstractNumId w:val="28"/>
    <w:lvlOverride w:ilvl="0">
      <w:lvl w:ilvl="0">
        <w:start w:val="1"/>
        <w:numFmt w:val="decimal"/>
        <w:pStyle w:val="Normalnumber"/>
        <w:lvlText w:val="%1."/>
        <w:lvlJc w:val="left"/>
        <w:pPr>
          <w:tabs>
            <w:tab w:val="num" w:pos="511"/>
          </w:tabs>
          <w:ind w:left="1135" w:firstLine="0"/>
        </w:pPr>
        <w:rPr>
          <w:rFonts w:hint="default"/>
        </w:rPr>
      </w:lvl>
    </w:lvlOverride>
  </w:num>
  <w:num w:numId="45" w16cid:durableId="137042390">
    <w:abstractNumId w:val="28"/>
    <w:lvlOverride w:ilvl="0">
      <w:lvl w:ilvl="0">
        <w:start w:val="1"/>
        <w:numFmt w:val="decimal"/>
        <w:pStyle w:val="Normalnumber"/>
        <w:lvlText w:val="%1."/>
        <w:lvlJc w:val="left"/>
        <w:pPr>
          <w:tabs>
            <w:tab w:val="num" w:pos="511"/>
          </w:tabs>
          <w:ind w:left="1135" w:firstLine="0"/>
        </w:pPr>
        <w:rPr>
          <w:rFonts w:hint="default"/>
        </w:rPr>
      </w:lvl>
    </w:lvlOverride>
  </w:num>
  <w:num w:numId="46" w16cid:durableId="830215196">
    <w:abstractNumId w:val="28"/>
    <w:lvlOverride w:ilvl="0">
      <w:lvl w:ilvl="0">
        <w:start w:val="1"/>
        <w:numFmt w:val="decimal"/>
        <w:pStyle w:val="Normalnumber"/>
        <w:lvlText w:val="%1."/>
        <w:lvlJc w:val="left"/>
        <w:pPr>
          <w:tabs>
            <w:tab w:val="num" w:pos="511"/>
          </w:tabs>
          <w:ind w:left="1135" w:firstLine="0"/>
        </w:pPr>
        <w:rPr>
          <w:rFonts w:hint="default"/>
        </w:rPr>
      </w:lvl>
    </w:lvlOverride>
  </w:num>
  <w:num w:numId="47" w16cid:durableId="461459302">
    <w:abstractNumId w:val="28"/>
    <w:lvlOverride w:ilvl="0">
      <w:lvl w:ilvl="0">
        <w:start w:val="1"/>
        <w:numFmt w:val="decimal"/>
        <w:pStyle w:val="Normalnumber"/>
        <w:lvlText w:val="%1."/>
        <w:lvlJc w:val="left"/>
        <w:pPr>
          <w:tabs>
            <w:tab w:val="num" w:pos="511"/>
          </w:tabs>
          <w:ind w:left="1135" w:firstLine="0"/>
        </w:pPr>
        <w:rPr>
          <w:rFonts w:hint="default"/>
        </w:rPr>
      </w:lvl>
    </w:lvlOverride>
  </w:num>
  <w:num w:numId="48" w16cid:durableId="2091004324">
    <w:abstractNumId w:val="28"/>
    <w:lvlOverride w:ilvl="0">
      <w:lvl w:ilvl="0">
        <w:start w:val="1"/>
        <w:numFmt w:val="decimal"/>
        <w:pStyle w:val="Normalnumber"/>
        <w:lvlText w:val="%1."/>
        <w:lvlJc w:val="left"/>
        <w:pPr>
          <w:tabs>
            <w:tab w:val="num" w:pos="511"/>
          </w:tabs>
          <w:ind w:left="1135" w:firstLine="0"/>
        </w:pPr>
        <w:rPr>
          <w:rFonts w:hint="default"/>
        </w:rPr>
      </w:lvl>
    </w:lvlOverride>
  </w:num>
  <w:num w:numId="49" w16cid:durableId="34040998">
    <w:abstractNumId w:val="28"/>
    <w:lvlOverride w:ilvl="0">
      <w:lvl w:ilvl="0">
        <w:start w:val="1"/>
        <w:numFmt w:val="decimal"/>
        <w:pStyle w:val="Normalnumber"/>
        <w:lvlText w:val="%1."/>
        <w:lvlJc w:val="left"/>
        <w:pPr>
          <w:tabs>
            <w:tab w:val="num" w:pos="511"/>
          </w:tabs>
          <w:ind w:left="1135" w:firstLine="0"/>
        </w:pPr>
        <w:rPr>
          <w:rFonts w:hint="default"/>
        </w:rPr>
      </w:lvl>
    </w:lvlOverride>
  </w:num>
  <w:num w:numId="50" w16cid:durableId="896745621">
    <w:abstractNumId w:val="28"/>
    <w:lvlOverride w:ilvl="0">
      <w:lvl w:ilvl="0">
        <w:start w:val="1"/>
        <w:numFmt w:val="decimal"/>
        <w:pStyle w:val="Normalnumber"/>
        <w:lvlText w:val="%1."/>
        <w:lvlJc w:val="left"/>
        <w:pPr>
          <w:tabs>
            <w:tab w:val="num" w:pos="511"/>
          </w:tabs>
          <w:ind w:left="1135" w:firstLine="0"/>
        </w:pPr>
        <w:rPr>
          <w:rFonts w:hint="default"/>
        </w:rPr>
      </w:lvl>
    </w:lvlOverride>
  </w:num>
  <w:num w:numId="51" w16cid:durableId="2080395194">
    <w:abstractNumId w:val="28"/>
    <w:lvlOverride w:ilvl="0">
      <w:lvl w:ilvl="0">
        <w:start w:val="1"/>
        <w:numFmt w:val="decimal"/>
        <w:pStyle w:val="Normalnumber"/>
        <w:lvlText w:val="%1."/>
        <w:lvlJc w:val="left"/>
        <w:pPr>
          <w:tabs>
            <w:tab w:val="num" w:pos="511"/>
          </w:tabs>
          <w:ind w:left="1135" w:firstLine="0"/>
        </w:pPr>
        <w:rPr>
          <w:rFonts w:hint="default"/>
        </w:rPr>
      </w:lvl>
    </w:lvlOverride>
  </w:num>
  <w:num w:numId="52" w16cid:durableId="9796563">
    <w:abstractNumId w:val="28"/>
    <w:lvlOverride w:ilvl="0">
      <w:lvl w:ilvl="0">
        <w:start w:val="1"/>
        <w:numFmt w:val="decimal"/>
        <w:pStyle w:val="Normalnumber"/>
        <w:lvlText w:val="%1."/>
        <w:lvlJc w:val="left"/>
        <w:pPr>
          <w:tabs>
            <w:tab w:val="num" w:pos="511"/>
          </w:tabs>
          <w:ind w:left="1135" w:firstLine="0"/>
        </w:pPr>
        <w:rPr>
          <w:rFonts w:hint="default"/>
        </w:rPr>
      </w:lvl>
    </w:lvlOverride>
  </w:num>
  <w:num w:numId="53" w16cid:durableId="1024210172">
    <w:abstractNumId w:val="28"/>
    <w:lvlOverride w:ilvl="0">
      <w:lvl w:ilvl="0">
        <w:start w:val="1"/>
        <w:numFmt w:val="decimal"/>
        <w:pStyle w:val="Normalnumber"/>
        <w:lvlText w:val="%1."/>
        <w:lvlJc w:val="left"/>
        <w:pPr>
          <w:tabs>
            <w:tab w:val="num" w:pos="511"/>
          </w:tabs>
          <w:ind w:left="1135" w:firstLine="0"/>
        </w:pPr>
        <w:rPr>
          <w:rFonts w:hint="default"/>
        </w:rPr>
      </w:lvl>
    </w:lvlOverride>
  </w:num>
  <w:num w:numId="54" w16cid:durableId="1889148662">
    <w:abstractNumId w:val="28"/>
    <w:lvlOverride w:ilvl="0">
      <w:lvl w:ilvl="0">
        <w:start w:val="1"/>
        <w:numFmt w:val="decimal"/>
        <w:pStyle w:val="Normalnumber"/>
        <w:lvlText w:val="%1."/>
        <w:lvlJc w:val="left"/>
        <w:pPr>
          <w:tabs>
            <w:tab w:val="num" w:pos="511"/>
          </w:tabs>
          <w:ind w:left="1135" w:firstLine="0"/>
        </w:pPr>
        <w:rPr>
          <w:rFonts w:hint="default"/>
        </w:rPr>
      </w:lvl>
    </w:lvlOverride>
  </w:num>
  <w:num w:numId="55" w16cid:durableId="1746999917">
    <w:abstractNumId w:val="28"/>
    <w:lvlOverride w:ilvl="0">
      <w:lvl w:ilvl="0">
        <w:start w:val="1"/>
        <w:numFmt w:val="decimal"/>
        <w:pStyle w:val="Normalnumber"/>
        <w:lvlText w:val="%1."/>
        <w:lvlJc w:val="left"/>
        <w:pPr>
          <w:tabs>
            <w:tab w:val="num" w:pos="511"/>
          </w:tabs>
          <w:ind w:left="1135" w:firstLine="0"/>
        </w:pPr>
        <w:rPr>
          <w:rFonts w:hint="default"/>
        </w:rPr>
      </w:lvl>
    </w:lvlOverride>
  </w:num>
  <w:num w:numId="56" w16cid:durableId="99499079">
    <w:abstractNumId w:val="28"/>
    <w:lvlOverride w:ilvl="0">
      <w:lvl w:ilvl="0">
        <w:start w:val="1"/>
        <w:numFmt w:val="decimal"/>
        <w:pStyle w:val="Normalnumber"/>
        <w:lvlText w:val="%1."/>
        <w:lvlJc w:val="left"/>
        <w:pPr>
          <w:tabs>
            <w:tab w:val="num" w:pos="511"/>
          </w:tabs>
          <w:ind w:left="1135" w:firstLine="0"/>
        </w:pPr>
        <w:rPr>
          <w:rFonts w:hint="default"/>
        </w:rPr>
      </w:lvl>
    </w:lvlOverride>
  </w:num>
  <w:num w:numId="57" w16cid:durableId="796415401">
    <w:abstractNumId w:val="28"/>
    <w:lvlOverride w:ilvl="0">
      <w:lvl w:ilvl="0">
        <w:start w:val="1"/>
        <w:numFmt w:val="decimal"/>
        <w:pStyle w:val="Normalnumber"/>
        <w:lvlText w:val="%1."/>
        <w:lvlJc w:val="left"/>
        <w:pPr>
          <w:tabs>
            <w:tab w:val="num" w:pos="511"/>
          </w:tabs>
          <w:ind w:left="1135" w:firstLine="0"/>
        </w:pPr>
        <w:rPr>
          <w:rFonts w:hint="default"/>
        </w:rPr>
      </w:lvl>
    </w:lvlOverride>
  </w:num>
  <w:num w:numId="58" w16cid:durableId="1413115727">
    <w:abstractNumId w:val="28"/>
    <w:lvlOverride w:ilvl="0">
      <w:lvl w:ilvl="0">
        <w:start w:val="1"/>
        <w:numFmt w:val="decimal"/>
        <w:pStyle w:val="Normalnumber"/>
        <w:lvlText w:val="%1."/>
        <w:lvlJc w:val="left"/>
        <w:pPr>
          <w:tabs>
            <w:tab w:val="num" w:pos="511"/>
          </w:tabs>
          <w:ind w:left="1135" w:firstLine="0"/>
        </w:pPr>
        <w:rPr>
          <w:rFonts w:hint="default"/>
        </w:rPr>
      </w:lvl>
    </w:lvlOverride>
  </w:num>
  <w:num w:numId="59" w16cid:durableId="2101442016">
    <w:abstractNumId w:val="28"/>
    <w:lvlOverride w:ilvl="0">
      <w:lvl w:ilvl="0">
        <w:start w:val="1"/>
        <w:numFmt w:val="decimal"/>
        <w:pStyle w:val="Normalnumber"/>
        <w:lvlText w:val="%1."/>
        <w:lvlJc w:val="left"/>
        <w:pPr>
          <w:tabs>
            <w:tab w:val="num" w:pos="511"/>
          </w:tabs>
          <w:ind w:left="1135" w:firstLine="0"/>
        </w:pPr>
        <w:rPr>
          <w:rFonts w:hint="default"/>
        </w:rPr>
      </w:lvl>
    </w:lvlOverride>
  </w:num>
  <w:num w:numId="60" w16cid:durableId="772479998">
    <w:abstractNumId w:val="28"/>
    <w:lvlOverride w:ilvl="0">
      <w:lvl w:ilvl="0">
        <w:start w:val="1"/>
        <w:numFmt w:val="decimal"/>
        <w:pStyle w:val="Normalnumber"/>
        <w:lvlText w:val="%1."/>
        <w:lvlJc w:val="left"/>
        <w:pPr>
          <w:tabs>
            <w:tab w:val="num" w:pos="511"/>
          </w:tabs>
          <w:ind w:left="1135" w:firstLine="0"/>
        </w:pPr>
        <w:rPr>
          <w:rFonts w:hint="default"/>
        </w:rPr>
      </w:lvl>
    </w:lvlOverride>
  </w:num>
  <w:num w:numId="61" w16cid:durableId="1089546504">
    <w:abstractNumId w:val="28"/>
    <w:lvlOverride w:ilvl="0">
      <w:lvl w:ilvl="0">
        <w:start w:val="1"/>
        <w:numFmt w:val="decimal"/>
        <w:pStyle w:val="Normalnumber"/>
        <w:lvlText w:val="%1."/>
        <w:lvlJc w:val="left"/>
        <w:pPr>
          <w:tabs>
            <w:tab w:val="num" w:pos="511"/>
          </w:tabs>
          <w:ind w:left="1135" w:firstLine="0"/>
        </w:pPr>
        <w:rPr>
          <w:rFonts w:hint="default"/>
        </w:rPr>
      </w:lvl>
    </w:lvlOverride>
  </w:num>
  <w:num w:numId="62" w16cid:durableId="1814711647">
    <w:abstractNumId w:val="28"/>
    <w:lvlOverride w:ilvl="0">
      <w:lvl w:ilvl="0">
        <w:start w:val="1"/>
        <w:numFmt w:val="decimal"/>
        <w:pStyle w:val="Normalnumber"/>
        <w:lvlText w:val="%1."/>
        <w:lvlJc w:val="left"/>
        <w:pPr>
          <w:tabs>
            <w:tab w:val="num" w:pos="511"/>
          </w:tabs>
          <w:ind w:left="1135" w:firstLine="0"/>
        </w:pPr>
        <w:rPr>
          <w:rFonts w:hint="default"/>
        </w:rPr>
      </w:lvl>
    </w:lvlOverride>
  </w:num>
  <w:num w:numId="63" w16cid:durableId="1172841453">
    <w:abstractNumId w:val="28"/>
    <w:lvlOverride w:ilvl="0">
      <w:lvl w:ilvl="0">
        <w:start w:val="1"/>
        <w:numFmt w:val="decimal"/>
        <w:pStyle w:val="Normalnumber"/>
        <w:lvlText w:val="%1."/>
        <w:lvlJc w:val="left"/>
        <w:pPr>
          <w:tabs>
            <w:tab w:val="num" w:pos="511"/>
          </w:tabs>
          <w:ind w:left="1135" w:firstLine="0"/>
        </w:pPr>
        <w:rPr>
          <w:rFonts w:hint="default"/>
        </w:rPr>
      </w:lvl>
    </w:lvlOverride>
  </w:num>
  <w:num w:numId="64" w16cid:durableId="1408500346">
    <w:abstractNumId w:val="28"/>
    <w:lvlOverride w:ilvl="0">
      <w:lvl w:ilvl="0">
        <w:start w:val="1"/>
        <w:numFmt w:val="decimal"/>
        <w:pStyle w:val="Normalnumber"/>
        <w:lvlText w:val="%1."/>
        <w:lvlJc w:val="left"/>
        <w:pPr>
          <w:tabs>
            <w:tab w:val="num" w:pos="511"/>
          </w:tabs>
          <w:ind w:left="1135" w:firstLine="0"/>
        </w:pPr>
        <w:rPr>
          <w:rFonts w:hint="default"/>
        </w:rPr>
      </w:lvl>
    </w:lvlOverride>
  </w:num>
  <w:num w:numId="65" w16cid:durableId="1616017015">
    <w:abstractNumId w:val="28"/>
    <w:lvlOverride w:ilvl="0">
      <w:lvl w:ilvl="0">
        <w:start w:val="1"/>
        <w:numFmt w:val="decimal"/>
        <w:pStyle w:val="Normalnumber"/>
        <w:lvlText w:val="%1."/>
        <w:lvlJc w:val="left"/>
        <w:pPr>
          <w:tabs>
            <w:tab w:val="num" w:pos="511"/>
          </w:tabs>
          <w:ind w:left="1135" w:firstLine="0"/>
        </w:pPr>
        <w:rPr>
          <w:rFonts w:hint="default"/>
        </w:rPr>
      </w:lvl>
    </w:lvlOverride>
  </w:num>
  <w:num w:numId="66" w16cid:durableId="1970088993">
    <w:abstractNumId w:val="28"/>
    <w:lvlOverride w:ilvl="0">
      <w:lvl w:ilvl="0">
        <w:start w:val="1"/>
        <w:numFmt w:val="decimal"/>
        <w:pStyle w:val="Normalnumber"/>
        <w:lvlText w:val="%1."/>
        <w:lvlJc w:val="left"/>
        <w:pPr>
          <w:tabs>
            <w:tab w:val="num" w:pos="511"/>
          </w:tabs>
          <w:ind w:left="1135" w:firstLine="0"/>
        </w:pPr>
        <w:rPr>
          <w:rFonts w:hint="default"/>
        </w:rPr>
      </w:lvl>
    </w:lvlOverride>
  </w:num>
  <w:num w:numId="67" w16cid:durableId="550385702">
    <w:abstractNumId w:val="28"/>
    <w:lvlOverride w:ilvl="0">
      <w:lvl w:ilvl="0">
        <w:start w:val="1"/>
        <w:numFmt w:val="decimal"/>
        <w:pStyle w:val="Normalnumber"/>
        <w:lvlText w:val="%1."/>
        <w:lvlJc w:val="left"/>
        <w:pPr>
          <w:tabs>
            <w:tab w:val="num" w:pos="511"/>
          </w:tabs>
          <w:ind w:left="1135" w:firstLine="0"/>
        </w:pPr>
        <w:rPr>
          <w:rFonts w:hint="default"/>
        </w:rPr>
      </w:lvl>
    </w:lvlOverride>
  </w:num>
  <w:num w:numId="68" w16cid:durableId="46884507">
    <w:abstractNumId w:val="28"/>
    <w:lvlOverride w:ilvl="0">
      <w:lvl w:ilvl="0">
        <w:start w:val="1"/>
        <w:numFmt w:val="decimal"/>
        <w:pStyle w:val="Normalnumber"/>
        <w:lvlText w:val="%1."/>
        <w:lvlJc w:val="left"/>
        <w:pPr>
          <w:tabs>
            <w:tab w:val="num" w:pos="511"/>
          </w:tabs>
          <w:ind w:left="1135" w:firstLine="0"/>
        </w:pPr>
        <w:rPr>
          <w:rFonts w:hint="default"/>
        </w:rPr>
      </w:lvl>
    </w:lvlOverride>
  </w:num>
  <w:num w:numId="69" w16cid:durableId="82997701">
    <w:abstractNumId w:val="28"/>
    <w:lvlOverride w:ilvl="0">
      <w:lvl w:ilvl="0">
        <w:start w:val="1"/>
        <w:numFmt w:val="decimal"/>
        <w:pStyle w:val="Normalnumber"/>
        <w:lvlText w:val="%1."/>
        <w:lvlJc w:val="left"/>
        <w:pPr>
          <w:tabs>
            <w:tab w:val="num" w:pos="511"/>
          </w:tabs>
          <w:ind w:left="1135" w:firstLine="0"/>
        </w:pPr>
        <w:rPr>
          <w:rFonts w:hint="default"/>
        </w:rPr>
      </w:lvl>
    </w:lvlOverride>
  </w:num>
  <w:num w:numId="70" w16cid:durableId="1212425325">
    <w:abstractNumId w:val="28"/>
    <w:lvlOverride w:ilvl="0">
      <w:lvl w:ilvl="0">
        <w:start w:val="1"/>
        <w:numFmt w:val="decimal"/>
        <w:pStyle w:val="Normalnumber"/>
        <w:lvlText w:val="%1."/>
        <w:lvlJc w:val="left"/>
        <w:pPr>
          <w:tabs>
            <w:tab w:val="num" w:pos="511"/>
          </w:tabs>
          <w:ind w:left="1135" w:firstLine="0"/>
        </w:pPr>
        <w:rPr>
          <w:rFonts w:hint="default"/>
        </w:rPr>
      </w:lvl>
    </w:lvlOverride>
  </w:num>
  <w:num w:numId="71" w16cid:durableId="932476762">
    <w:abstractNumId w:val="28"/>
    <w:lvlOverride w:ilvl="0">
      <w:lvl w:ilvl="0">
        <w:start w:val="1"/>
        <w:numFmt w:val="decimal"/>
        <w:pStyle w:val="Normalnumber"/>
        <w:lvlText w:val="%1."/>
        <w:lvlJc w:val="left"/>
        <w:pPr>
          <w:tabs>
            <w:tab w:val="num" w:pos="511"/>
          </w:tabs>
          <w:ind w:left="1135" w:firstLine="0"/>
        </w:pPr>
        <w:rPr>
          <w:rFonts w:hint="default"/>
        </w:rPr>
      </w:lvl>
    </w:lvlOverride>
  </w:num>
  <w:num w:numId="72" w16cid:durableId="1486704028">
    <w:abstractNumId w:val="28"/>
    <w:lvlOverride w:ilvl="0">
      <w:lvl w:ilvl="0">
        <w:start w:val="1"/>
        <w:numFmt w:val="decimal"/>
        <w:pStyle w:val="Normalnumber"/>
        <w:lvlText w:val="%1."/>
        <w:lvlJc w:val="left"/>
        <w:pPr>
          <w:tabs>
            <w:tab w:val="num" w:pos="511"/>
          </w:tabs>
          <w:ind w:left="1135" w:firstLine="0"/>
        </w:pPr>
        <w:rPr>
          <w:rFonts w:hint="default"/>
        </w:rPr>
      </w:lvl>
    </w:lvlOverride>
  </w:num>
  <w:num w:numId="73" w16cid:durableId="992218331">
    <w:abstractNumId w:val="28"/>
    <w:lvlOverride w:ilvl="0">
      <w:lvl w:ilvl="0">
        <w:start w:val="1"/>
        <w:numFmt w:val="decimal"/>
        <w:pStyle w:val="Normalnumber"/>
        <w:lvlText w:val="%1."/>
        <w:lvlJc w:val="left"/>
        <w:pPr>
          <w:tabs>
            <w:tab w:val="num" w:pos="511"/>
          </w:tabs>
          <w:ind w:left="1135" w:firstLine="0"/>
        </w:pPr>
        <w:rPr>
          <w:rFonts w:hint="default"/>
        </w:rPr>
      </w:lvl>
    </w:lvlOverride>
  </w:num>
  <w:num w:numId="74" w16cid:durableId="460997339">
    <w:abstractNumId w:val="28"/>
    <w:lvlOverride w:ilvl="0">
      <w:lvl w:ilvl="0">
        <w:start w:val="1"/>
        <w:numFmt w:val="decimal"/>
        <w:pStyle w:val="Normalnumber"/>
        <w:lvlText w:val="%1."/>
        <w:lvlJc w:val="left"/>
        <w:pPr>
          <w:tabs>
            <w:tab w:val="num" w:pos="511"/>
          </w:tabs>
          <w:ind w:left="1135" w:firstLine="0"/>
        </w:pPr>
        <w:rPr>
          <w:rFonts w:hint="default"/>
        </w:rPr>
      </w:lvl>
    </w:lvlOverride>
  </w:num>
  <w:num w:numId="75" w16cid:durableId="1191915791">
    <w:abstractNumId w:val="28"/>
    <w:lvlOverride w:ilvl="0">
      <w:lvl w:ilvl="0">
        <w:start w:val="1"/>
        <w:numFmt w:val="decimal"/>
        <w:pStyle w:val="Normalnumber"/>
        <w:lvlText w:val="%1."/>
        <w:lvlJc w:val="left"/>
        <w:pPr>
          <w:tabs>
            <w:tab w:val="num" w:pos="511"/>
          </w:tabs>
          <w:ind w:left="1135" w:firstLine="0"/>
        </w:pPr>
        <w:rPr>
          <w:rFonts w:hint="default"/>
        </w:rPr>
      </w:lvl>
    </w:lvlOverride>
  </w:num>
  <w:num w:numId="76" w16cid:durableId="2092773144">
    <w:abstractNumId w:val="28"/>
    <w:lvlOverride w:ilvl="0">
      <w:lvl w:ilvl="0">
        <w:start w:val="1"/>
        <w:numFmt w:val="decimal"/>
        <w:pStyle w:val="Normalnumber"/>
        <w:lvlText w:val="%1."/>
        <w:lvlJc w:val="left"/>
        <w:pPr>
          <w:tabs>
            <w:tab w:val="num" w:pos="511"/>
          </w:tabs>
          <w:ind w:left="1135" w:firstLine="0"/>
        </w:pPr>
        <w:rPr>
          <w:rFonts w:hint="default"/>
        </w:rPr>
      </w:lvl>
    </w:lvlOverride>
  </w:num>
  <w:num w:numId="77" w16cid:durableId="1575511804">
    <w:abstractNumId w:val="28"/>
    <w:lvlOverride w:ilvl="0">
      <w:lvl w:ilvl="0">
        <w:start w:val="1"/>
        <w:numFmt w:val="decimal"/>
        <w:pStyle w:val="Normalnumber"/>
        <w:lvlText w:val="%1."/>
        <w:lvlJc w:val="left"/>
        <w:pPr>
          <w:tabs>
            <w:tab w:val="num" w:pos="511"/>
          </w:tabs>
          <w:ind w:left="1135" w:firstLine="0"/>
        </w:pPr>
        <w:rPr>
          <w:rFonts w:hint="default"/>
        </w:rPr>
      </w:lvl>
    </w:lvlOverride>
  </w:num>
  <w:num w:numId="78" w16cid:durableId="1263731761">
    <w:abstractNumId w:val="28"/>
    <w:lvlOverride w:ilvl="0">
      <w:lvl w:ilvl="0">
        <w:start w:val="1"/>
        <w:numFmt w:val="decimal"/>
        <w:pStyle w:val="Normalnumber"/>
        <w:lvlText w:val="%1."/>
        <w:lvlJc w:val="left"/>
        <w:pPr>
          <w:tabs>
            <w:tab w:val="num" w:pos="511"/>
          </w:tabs>
          <w:ind w:left="1135" w:firstLine="0"/>
        </w:pPr>
        <w:rPr>
          <w:rFonts w:hint="default"/>
        </w:rPr>
      </w:lvl>
    </w:lvlOverride>
  </w:num>
  <w:num w:numId="79" w16cid:durableId="1437748182">
    <w:abstractNumId w:val="28"/>
    <w:lvlOverride w:ilvl="0">
      <w:lvl w:ilvl="0">
        <w:start w:val="1"/>
        <w:numFmt w:val="decimal"/>
        <w:pStyle w:val="Normalnumber"/>
        <w:lvlText w:val="%1."/>
        <w:lvlJc w:val="left"/>
        <w:pPr>
          <w:tabs>
            <w:tab w:val="num" w:pos="511"/>
          </w:tabs>
          <w:ind w:left="1135" w:firstLine="0"/>
        </w:pPr>
        <w:rPr>
          <w:rFonts w:hint="default"/>
        </w:rPr>
      </w:lvl>
    </w:lvlOverride>
  </w:num>
  <w:num w:numId="80" w16cid:durableId="253823966">
    <w:abstractNumId w:val="28"/>
    <w:lvlOverride w:ilvl="0">
      <w:lvl w:ilvl="0">
        <w:start w:val="1"/>
        <w:numFmt w:val="decimal"/>
        <w:pStyle w:val="Normalnumber"/>
        <w:lvlText w:val="%1."/>
        <w:lvlJc w:val="left"/>
        <w:pPr>
          <w:tabs>
            <w:tab w:val="num" w:pos="511"/>
          </w:tabs>
          <w:ind w:left="1135" w:firstLine="0"/>
        </w:pPr>
        <w:rPr>
          <w:rFonts w:hint="default"/>
        </w:rPr>
      </w:lvl>
    </w:lvlOverride>
  </w:num>
  <w:num w:numId="81" w16cid:durableId="7222830">
    <w:abstractNumId w:val="28"/>
    <w:lvlOverride w:ilvl="0">
      <w:lvl w:ilvl="0">
        <w:start w:val="1"/>
        <w:numFmt w:val="decimal"/>
        <w:pStyle w:val="Normalnumber"/>
        <w:lvlText w:val="%1."/>
        <w:lvlJc w:val="left"/>
        <w:pPr>
          <w:tabs>
            <w:tab w:val="num" w:pos="511"/>
          </w:tabs>
          <w:ind w:left="1135" w:firstLine="0"/>
        </w:pPr>
        <w:rPr>
          <w:rFonts w:hint="default"/>
        </w:rPr>
      </w:lvl>
    </w:lvlOverride>
  </w:num>
  <w:num w:numId="82" w16cid:durableId="1870340620">
    <w:abstractNumId w:val="28"/>
    <w:lvlOverride w:ilvl="0">
      <w:lvl w:ilvl="0">
        <w:start w:val="1"/>
        <w:numFmt w:val="decimal"/>
        <w:pStyle w:val="Normalnumber"/>
        <w:lvlText w:val="%1."/>
        <w:lvlJc w:val="left"/>
        <w:pPr>
          <w:tabs>
            <w:tab w:val="num" w:pos="511"/>
          </w:tabs>
          <w:ind w:left="1135" w:firstLine="0"/>
        </w:pPr>
        <w:rPr>
          <w:rFonts w:hint="default"/>
        </w:rPr>
      </w:lvl>
    </w:lvlOverride>
  </w:num>
  <w:num w:numId="83" w16cid:durableId="753361583">
    <w:abstractNumId w:val="28"/>
    <w:lvlOverride w:ilvl="0">
      <w:lvl w:ilvl="0">
        <w:start w:val="1"/>
        <w:numFmt w:val="decimal"/>
        <w:pStyle w:val="Normalnumber"/>
        <w:lvlText w:val="%1."/>
        <w:lvlJc w:val="left"/>
        <w:pPr>
          <w:tabs>
            <w:tab w:val="num" w:pos="511"/>
          </w:tabs>
          <w:ind w:left="1135" w:firstLine="0"/>
        </w:pPr>
        <w:rPr>
          <w:rFonts w:hint="default"/>
        </w:rPr>
      </w:lvl>
    </w:lvlOverride>
  </w:num>
  <w:num w:numId="84" w16cid:durableId="897397640">
    <w:abstractNumId w:val="28"/>
    <w:lvlOverride w:ilvl="0">
      <w:lvl w:ilvl="0">
        <w:start w:val="1"/>
        <w:numFmt w:val="decimal"/>
        <w:pStyle w:val="Normalnumber"/>
        <w:lvlText w:val="%1."/>
        <w:lvlJc w:val="left"/>
        <w:pPr>
          <w:tabs>
            <w:tab w:val="num" w:pos="511"/>
          </w:tabs>
          <w:ind w:left="1135" w:firstLine="0"/>
        </w:pPr>
        <w:rPr>
          <w:rFonts w:hint="default"/>
        </w:rPr>
      </w:lvl>
    </w:lvlOverride>
  </w:num>
  <w:num w:numId="85" w16cid:durableId="1360396436">
    <w:abstractNumId w:val="28"/>
    <w:lvlOverride w:ilvl="0">
      <w:lvl w:ilvl="0">
        <w:start w:val="1"/>
        <w:numFmt w:val="decimal"/>
        <w:pStyle w:val="Normalnumber"/>
        <w:lvlText w:val="%1."/>
        <w:lvlJc w:val="left"/>
        <w:pPr>
          <w:tabs>
            <w:tab w:val="num" w:pos="511"/>
          </w:tabs>
          <w:ind w:left="1135" w:firstLine="0"/>
        </w:pPr>
        <w:rPr>
          <w:rFonts w:hint="default"/>
        </w:rPr>
      </w:lvl>
    </w:lvlOverride>
  </w:num>
  <w:num w:numId="86" w16cid:durableId="825124076">
    <w:abstractNumId w:val="28"/>
    <w:lvlOverride w:ilvl="0">
      <w:lvl w:ilvl="0">
        <w:start w:val="1"/>
        <w:numFmt w:val="decimal"/>
        <w:pStyle w:val="Normalnumber"/>
        <w:lvlText w:val="%1."/>
        <w:lvlJc w:val="left"/>
        <w:pPr>
          <w:tabs>
            <w:tab w:val="num" w:pos="511"/>
          </w:tabs>
          <w:ind w:left="1135" w:firstLine="0"/>
        </w:pPr>
        <w:rPr>
          <w:rFonts w:hint="default"/>
        </w:rPr>
      </w:lvl>
    </w:lvlOverride>
  </w:num>
  <w:num w:numId="87" w16cid:durableId="55205740">
    <w:abstractNumId w:val="28"/>
    <w:lvlOverride w:ilvl="0">
      <w:lvl w:ilvl="0">
        <w:start w:val="1"/>
        <w:numFmt w:val="decimal"/>
        <w:pStyle w:val="Normalnumber"/>
        <w:lvlText w:val="%1."/>
        <w:lvlJc w:val="left"/>
        <w:pPr>
          <w:tabs>
            <w:tab w:val="num" w:pos="511"/>
          </w:tabs>
          <w:ind w:left="1135" w:firstLine="0"/>
        </w:pPr>
        <w:rPr>
          <w:rFonts w:hint="default"/>
        </w:rPr>
      </w:lvl>
    </w:lvlOverride>
  </w:num>
  <w:num w:numId="88" w16cid:durableId="830827866">
    <w:abstractNumId w:val="28"/>
    <w:lvlOverride w:ilvl="0">
      <w:lvl w:ilvl="0">
        <w:start w:val="1"/>
        <w:numFmt w:val="decimal"/>
        <w:pStyle w:val="Normalnumber"/>
        <w:lvlText w:val="%1."/>
        <w:lvlJc w:val="left"/>
        <w:pPr>
          <w:tabs>
            <w:tab w:val="num" w:pos="511"/>
          </w:tabs>
          <w:ind w:left="1135" w:firstLine="0"/>
        </w:pPr>
        <w:rPr>
          <w:rFonts w:hint="default"/>
        </w:rPr>
      </w:lvl>
    </w:lvlOverride>
  </w:num>
  <w:num w:numId="89" w16cid:durableId="1208689389">
    <w:abstractNumId w:val="28"/>
    <w:lvlOverride w:ilvl="0">
      <w:lvl w:ilvl="0">
        <w:start w:val="1"/>
        <w:numFmt w:val="decimal"/>
        <w:pStyle w:val="Normalnumber"/>
        <w:lvlText w:val="%1."/>
        <w:lvlJc w:val="left"/>
        <w:pPr>
          <w:tabs>
            <w:tab w:val="num" w:pos="511"/>
          </w:tabs>
          <w:ind w:left="1135" w:firstLine="0"/>
        </w:pPr>
        <w:rPr>
          <w:rFonts w:hint="default"/>
        </w:rPr>
      </w:lvl>
    </w:lvlOverride>
  </w:num>
  <w:num w:numId="90" w16cid:durableId="971790886">
    <w:abstractNumId w:val="28"/>
    <w:lvlOverride w:ilvl="0">
      <w:lvl w:ilvl="0">
        <w:start w:val="1"/>
        <w:numFmt w:val="decimal"/>
        <w:pStyle w:val="Normalnumber"/>
        <w:lvlText w:val="%1."/>
        <w:lvlJc w:val="left"/>
        <w:pPr>
          <w:tabs>
            <w:tab w:val="num" w:pos="511"/>
          </w:tabs>
          <w:ind w:left="1135" w:firstLine="0"/>
        </w:pPr>
        <w:rPr>
          <w:rFonts w:hint="default"/>
        </w:rPr>
      </w:lvl>
    </w:lvlOverride>
  </w:num>
  <w:num w:numId="91" w16cid:durableId="2107115149">
    <w:abstractNumId w:val="28"/>
    <w:lvlOverride w:ilvl="0">
      <w:lvl w:ilvl="0">
        <w:start w:val="1"/>
        <w:numFmt w:val="decimal"/>
        <w:pStyle w:val="Normalnumber"/>
        <w:lvlText w:val="%1."/>
        <w:lvlJc w:val="left"/>
        <w:pPr>
          <w:tabs>
            <w:tab w:val="num" w:pos="511"/>
          </w:tabs>
          <w:ind w:left="1135" w:firstLine="0"/>
        </w:pPr>
        <w:rPr>
          <w:rFonts w:hint="default"/>
        </w:rPr>
      </w:lvl>
    </w:lvlOverride>
  </w:num>
  <w:num w:numId="92" w16cid:durableId="225604897">
    <w:abstractNumId w:val="28"/>
    <w:lvlOverride w:ilvl="0">
      <w:lvl w:ilvl="0">
        <w:start w:val="1"/>
        <w:numFmt w:val="decimal"/>
        <w:pStyle w:val="Normalnumber"/>
        <w:lvlText w:val="%1."/>
        <w:lvlJc w:val="left"/>
        <w:pPr>
          <w:tabs>
            <w:tab w:val="num" w:pos="511"/>
          </w:tabs>
          <w:ind w:left="1135" w:firstLine="0"/>
        </w:pPr>
        <w:rPr>
          <w:rFonts w:hint="default"/>
        </w:rPr>
      </w:lvl>
    </w:lvlOverride>
  </w:num>
  <w:num w:numId="93" w16cid:durableId="1101268307">
    <w:abstractNumId w:val="28"/>
    <w:lvlOverride w:ilvl="0">
      <w:lvl w:ilvl="0">
        <w:start w:val="1"/>
        <w:numFmt w:val="decimal"/>
        <w:pStyle w:val="Normalnumber"/>
        <w:lvlText w:val="%1."/>
        <w:lvlJc w:val="left"/>
        <w:pPr>
          <w:tabs>
            <w:tab w:val="num" w:pos="511"/>
          </w:tabs>
          <w:ind w:left="1135" w:firstLine="0"/>
        </w:pPr>
        <w:rPr>
          <w:rFonts w:hint="default"/>
        </w:rPr>
      </w:lvl>
    </w:lvlOverride>
  </w:num>
  <w:num w:numId="94" w16cid:durableId="123040223">
    <w:abstractNumId w:val="28"/>
    <w:lvlOverride w:ilvl="0">
      <w:lvl w:ilvl="0">
        <w:start w:val="1"/>
        <w:numFmt w:val="decimal"/>
        <w:pStyle w:val="Normalnumber"/>
        <w:lvlText w:val="%1."/>
        <w:lvlJc w:val="left"/>
        <w:pPr>
          <w:tabs>
            <w:tab w:val="num" w:pos="511"/>
          </w:tabs>
          <w:ind w:left="1135" w:firstLine="0"/>
        </w:pPr>
        <w:rPr>
          <w:rFonts w:hint="default"/>
        </w:rPr>
      </w:lvl>
    </w:lvlOverride>
  </w:num>
  <w:num w:numId="95" w16cid:durableId="810707099">
    <w:abstractNumId w:val="28"/>
    <w:lvlOverride w:ilvl="0">
      <w:lvl w:ilvl="0">
        <w:start w:val="1"/>
        <w:numFmt w:val="decimal"/>
        <w:pStyle w:val="Normalnumber"/>
        <w:lvlText w:val="%1."/>
        <w:lvlJc w:val="left"/>
        <w:pPr>
          <w:tabs>
            <w:tab w:val="num" w:pos="511"/>
          </w:tabs>
          <w:ind w:left="1135" w:firstLine="0"/>
        </w:pPr>
        <w:rPr>
          <w:rFonts w:hint="default"/>
        </w:rPr>
      </w:lvl>
    </w:lvlOverride>
  </w:num>
  <w:num w:numId="96" w16cid:durableId="1369182323">
    <w:abstractNumId w:val="28"/>
    <w:lvlOverride w:ilvl="0">
      <w:lvl w:ilvl="0">
        <w:start w:val="1"/>
        <w:numFmt w:val="decimal"/>
        <w:pStyle w:val="Normalnumber"/>
        <w:lvlText w:val="%1."/>
        <w:lvlJc w:val="left"/>
        <w:pPr>
          <w:tabs>
            <w:tab w:val="num" w:pos="511"/>
          </w:tabs>
          <w:ind w:left="1135" w:firstLine="0"/>
        </w:pPr>
        <w:rPr>
          <w:rFonts w:hint="default"/>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it-IT" w:vendorID="64" w:dllVersion="0" w:nlCheck="1" w:checkStyle="0"/>
  <w:activeWritingStyle w:appName="MSWord" w:lang="ar-SA"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A9"/>
    <w:rsid w:val="000029D1"/>
    <w:rsid w:val="00004C4E"/>
    <w:rsid w:val="00010508"/>
    <w:rsid w:val="0001437E"/>
    <w:rsid w:val="000149E6"/>
    <w:rsid w:val="00014E2A"/>
    <w:rsid w:val="00016AF3"/>
    <w:rsid w:val="000208C8"/>
    <w:rsid w:val="00021C43"/>
    <w:rsid w:val="00023AF8"/>
    <w:rsid w:val="000247B0"/>
    <w:rsid w:val="0002600A"/>
    <w:rsid w:val="00026997"/>
    <w:rsid w:val="00027284"/>
    <w:rsid w:val="000317F8"/>
    <w:rsid w:val="00033E0B"/>
    <w:rsid w:val="0003526C"/>
    <w:rsid w:val="00035903"/>
    <w:rsid w:val="00035EDE"/>
    <w:rsid w:val="000415F4"/>
    <w:rsid w:val="00041626"/>
    <w:rsid w:val="00042088"/>
    <w:rsid w:val="000460E1"/>
    <w:rsid w:val="000509B4"/>
    <w:rsid w:val="00050A61"/>
    <w:rsid w:val="00054ABF"/>
    <w:rsid w:val="000551DD"/>
    <w:rsid w:val="00056B2C"/>
    <w:rsid w:val="00056D65"/>
    <w:rsid w:val="0006035B"/>
    <w:rsid w:val="000605FB"/>
    <w:rsid w:val="00060AD1"/>
    <w:rsid w:val="00063799"/>
    <w:rsid w:val="00064227"/>
    <w:rsid w:val="000656BB"/>
    <w:rsid w:val="00065BBB"/>
    <w:rsid w:val="00066D5E"/>
    <w:rsid w:val="000707C6"/>
    <w:rsid w:val="0007166E"/>
    <w:rsid w:val="00071886"/>
    <w:rsid w:val="00071D1A"/>
    <w:rsid w:val="00071ED5"/>
    <w:rsid w:val="00073AE1"/>
    <w:rsid w:val="000742BC"/>
    <w:rsid w:val="00075352"/>
    <w:rsid w:val="00075696"/>
    <w:rsid w:val="00075C3C"/>
    <w:rsid w:val="0008041D"/>
    <w:rsid w:val="00080BFD"/>
    <w:rsid w:val="00082319"/>
    <w:rsid w:val="00082A0C"/>
    <w:rsid w:val="00082DCD"/>
    <w:rsid w:val="00082FB0"/>
    <w:rsid w:val="00083504"/>
    <w:rsid w:val="00083BB5"/>
    <w:rsid w:val="00083C39"/>
    <w:rsid w:val="00084EDA"/>
    <w:rsid w:val="00086C26"/>
    <w:rsid w:val="00086FAC"/>
    <w:rsid w:val="0008710B"/>
    <w:rsid w:val="00090FDB"/>
    <w:rsid w:val="000912D6"/>
    <w:rsid w:val="0009640C"/>
    <w:rsid w:val="000A0638"/>
    <w:rsid w:val="000A0B36"/>
    <w:rsid w:val="000A654A"/>
    <w:rsid w:val="000A708E"/>
    <w:rsid w:val="000A776B"/>
    <w:rsid w:val="000B07CD"/>
    <w:rsid w:val="000B2096"/>
    <w:rsid w:val="000B21D5"/>
    <w:rsid w:val="000B22A2"/>
    <w:rsid w:val="000B244E"/>
    <w:rsid w:val="000B294E"/>
    <w:rsid w:val="000B2B59"/>
    <w:rsid w:val="000B5AE8"/>
    <w:rsid w:val="000B5C5C"/>
    <w:rsid w:val="000C2A52"/>
    <w:rsid w:val="000C2D7A"/>
    <w:rsid w:val="000C431F"/>
    <w:rsid w:val="000C46A9"/>
    <w:rsid w:val="000C6F36"/>
    <w:rsid w:val="000D07BF"/>
    <w:rsid w:val="000D33C0"/>
    <w:rsid w:val="000D3755"/>
    <w:rsid w:val="000D5732"/>
    <w:rsid w:val="000D5884"/>
    <w:rsid w:val="000D6941"/>
    <w:rsid w:val="000D71B6"/>
    <w:rsid w:val="000E0405"/>
    <w:rsid w:val="000E10C8"/>
    <w:rsid w:val="000E147D"/>
    <w:rsid w:val="000E3F40"/>
    <w:rsid w:val="000F071C"/>
    <w:rsid w:val="000F2789"/>
    <w:rsid w:val="000F2E7B"/>
    <w:rsid w:val="000F419E"/>
    <w:rsid w:val="000F4B8E"/>
    <w:rsid w:val="000F6CFF"/>
    <w:rsid w:val="000F73B5"/>
    <w:rsid w:val="000F7664"/>
    <w:rsid w:val="0010296D"/>
    <w:rsid w:val="00107396"/>
    <w:rsid w:val="0011103C"/>
    <w:rsid w:val="0011127A"/>
    <w:rsid w:val="001123DA"/>
    <w:rsid w:val="00112B84"/>
    <w:rsid w:val="00112DB5"/>
    <w:rsid w:val="001153FD"/>
    <w:rsid w:val="00115F73"/>
    <w:rsid w:val="00117E9D"/>
    <w:rsid w:val="001202E3"/>
    <w:rsid w:val="0012270E"/>
    <w:rsid w:val="00123699"/>
    <w:rsid w:val="00124269"/>
    <w:rsid w:val="00124345"/>
    <w:rsid w:val="0012456A"/>
    <w:rsid w:val="0013059D"/>
    <w:rsid w:val="00130BA5"/>
    <w:rsid w:val="001318C3"/>
    <w:rsid w:val="00131ABF"/>
    <w:rsid w:val="001328CD"/>
    <w:rsid w:val="00132C72"/>
    <w:rsid w:val="00136667"/>
    <w:rsid w:val="00137C2C"/>
    <w:rsid w:val="001406DA"/>
    <w:rsid w:val="0014083A"/>
    <w:rsid w:val="00141A55"/>
    <w:rsid w:val="001421F9"/>
    <w:rsid w:val="00143407"/>
    <w:rsid w:val="001446A3"/>
    <w:rsid w:val="00144F3E"/>
    <w:rsid w:val="001457A9"/>
    <w:rsid w:val="00145AAE"/>
    <w:rsid w:val="00151C74"/>
    <w:rsid w:val="00151E14"/>
    <w:rsid w:val="00154F9D"/>
    <w:rsid w:val="001552A3"/>
    <w:rsid w:val="00155395"/>
    <w:rsid w:val="00161CC9"/>
    <w:rsid w:val="00166FC8"/>
    <w:rsid w:val="00172E6C"/>
    <w:rsid w:val="0017326D"/>
    <w:rsid w:val="00173D27"/>
    <w:rsid w:val="00174739"/>
    <w:rsid w:val="0017592C"/>
    <w:rsid w:val="00176A36"/>
    <w:rsid w:val="00176C55"/>
    <w:rsid w:val="00180452"/>
    <w:rsid w:val="0018051D"/>
    <w:rsid w:val="0018127C"/>
    <w:rsid w:val="00181387"/>
    <w:rsid w:val="00181EC8"/>
    <w:rsid w:val="00183E4E"/>
    <w:rsid w:val="00184349"/>
    <w:rsid w:val="001908F5"/>
    <w:rsid w:val="0019161E"/>
    <w:rsid w:val="00192E85"/>
    <w:rsid w:val="00195F33"/>
    <w:rsid w:val="001960F3"/>
    <w:rsid w:val="0019774A"/>
    <w:rsid w:val="00197C63"/>
    <w:rsid w:val="001A031E"/>
    <w:rsid w:val="001A083C"/>
    <w:rsid w:val="001A1E25"/>
    <w:rsid w:val="001A27F0"/>
    <w:rsid w:val="001A4A5C"/>
    <w:rsid w:val="001A5EE1"/>
    <w:rsid w:val="001A7FF9"/>
    <w:rsid w:val="001B0B96"/>
    <w:rsid w:val="001B1594"/>
    <w:rsid w:val="001B1617"/>
    <w:rsid w:val="001B197D"/>
    <w:rsid w:val="001B504B"/>
    <w:rsid w:val="001B5EE0"/>
    <w:rsid w:val="001B7082"/>
    <w:rsid w:val="001C0F11"/>
    <w:rsid w:val="001C29FC"/>
    <w:rsid w:val="001C2A89"/>
    <w:rsid w:val="001C633D"/>
    <w:rsid w:val="001D3874"/>
    <w:rsid w:val="001D403C"/>
    <w:rsid w:val="001D441E"/>
    <w:rsid w:val="001D4801"/>
    <w:rsid w:val="001D5344"/>
    <w:rsid w:val="001D7663"/>
    <w:rsid w:val="001D7E75"/>
    <w:rsid w:val="001E1AA5"/>
    <w:rsid w:val="001E22D1"/>
    <w:rsid w:val="001E34CC"/>
    <w:rsid w:val="001E56D2"/>
    <w:rsid w:val="001E6C38"/>
    <w:rsid w:val="001E7D56"/>
    <w:rsid w:val="001F177C"/>
    <w:rsid w:val="001F2A14"/>
    <w:rsid w:val="001F75DE"/>
    <w:rsid w:val="001F7EB9"/>
    <w:rsid w:val="00200D58"/>
    <w:rsid w:val="002013BE"/>
    <w:rsid w:val="00201A40"/>
    <w:rsid w:val="002063A4"/>
    <w:rsid w:val="00206F81"/>
    <w:rsid w:val="00206F97"/>
    <w:rsid w:val="0021145B"/>
    <w:rsid w:val="00213A67"/>
    <w:rsid w:val="00214277"/>
    <w:rsid w:val="00220744"/>
    <w:rsid w:val="002209C1"/>
    <w:rsid w:val="00220DAE"/>
    <w:rsid w:val="0022555B"/>
    <w:rsid w:val="00225572"/>
    <w:rsid w:val="00225765"/>
    <w:rsid w:val="0022762D"/>
    <w:rsid w:val="00232225"/>
    <w:rsid w:val="00232496"/>
    <w:rsid w:val="002332CF"/>
    <w:rsid w:val="00233A05"/>
    <w:rsid w:val="00234806"/>
    <w:rsid w:val="00234A56"/>
    <w:rsid w:val="002377D7"/>
    <w:rsid w:val="002378D6"/>
    <w:rsid w:val="00237E27"/>
    <w:rsid w:val="0024322A"/>
    <w:rsid w:val="00243D36"/>
    <w:rsid w:val="002458B3"/>
    <w:rsid w:val="00247707"/>
    <w:rsid w:val="00251966"/>
    <w:rsid w:val="002560C0"/>
    <w:rsid w:val="002619C1"/>
    <w:rsid w:val="00263171"/>
    <w:rsid w:val="00271DA8"/>
    <w:rsid w:val="00271FC1"/>
    <w:rsid w:val="002737A8"/>
    <w:rsid w:val="002749D7"/>
    <w:rsid w:val="00274C69"/>
    <w:rsid w:val="00275DCC"/>
    <w:rsid w:val="00277919"/>
    <w:rsid w:val="00280A07"/>
    <w:rsid w:val="00282845"/>
    <w:rsid w:val="00283C6F"/>
    <w:rsid w:val="00283D44"/>
    <w:rsid w:val="00286740"/>
    <w:rsid w:val="00287B42"/>
    <w:rsid w:val="00292311"/>
    <w:rsid w:val="002929D8"/>
    <w:rsid w:val="00292F13"/>
    <w:rsid w:val="002935C2"/>
    <w:rsid w:val="0029600B"/>
    <w:rsid w:val="0029734E"/>
    <w:rsid w:val="002A0884"/>
    <w:rsid w:val="002A237D"/>
    <w:rsid w:val="002A23BD"/>
    <w:rsid w:val="002A4C53"/>
    <w:rsid w:val="002A524F"/>
    <w:rsid w:val="002B0672"/>
    <w:rsid w:val="002B1B4C"/>
    <w:rsid w:val="002B247F"/>
    <w:rsid w:val="002B3CB9"/>
    <w:rsid w:val="002B4874"/>
    <w:rsid w:val="002B69D1"/>
    <w:rsid w:val="002C145D"/>
    <w:rsid w:val="002C2C3E"/>
    <w:rsid w:val="002C533E"/>
    <w:rsid w:val="002C5525"/>
    <w:rsid w:val="002C6616"/>
    <w:rsid w:val="002D027F"/>
    <w:rsid w:val="002D04C9"/>
    <w:rsid w:val="002D04CB"/>
    <w:rsid w:val="002D2805"/>
    <w:rsid w:val="002D463D"/>
    <w:rsid w:val="002D7A85"/>
    <w:rsid w:val="002D7B60"/>
    <w:rsid w:val="002E19D4"/>
    <w:rsid w:val="002E4241"/>
    <w:rsid w:val="002E7A0F"/>
    <w:rsid w:val="002F0362"/>
    <w:rsid w:val="002F0E8D"/>
    <w:rsid w:val="002F162F"/>
    <w:rsid w:val="002F4215"/>
    <w:rsid w:val="002F4761"/>
    <w:rsid w:val="002F5C79"/>
    <w:rsid w:val="002F655F"/>
    <w:rsid w:val="002F71D2"/>
    <w:rsid w:val="003019E2"/>
    <w:rsid w:val="00302CFF"/>
    <w:rsid w:val="003039D8"/>
    <w:rsid w:val="003042F3"/>
    <w:rsid w:val="00310532"/>
    <w:rsid w:val="00313FB1"/>
    <w:rsid w:val="0031413F"/>
    <w:rsid w:val="003148BB"/>
    <w:rsid w:val="00317976"/>
    <w:rsid w:val="00322589"/>
    <w:rsid w:val="00322B40"/>
    <w:rsid w:val="00323518"/>
    <w:rsid w:val="00323885"/>
    <w:rsid w:val="0032680B"/>
    <w:rsid w:val="00326E1F"/>
    <w:rsid w:val="00330AEE"/>
    <w:rsid w:val="00331475"/>
    <w:rsid w:val="00333B7D"/>
    <w:rsid w:val="00333E84"/>
    <w:rsid w:val="00334F91"/>
    <w:rsid w:val="003358DD"/>
    <w:rsid w:val="00341298"/>
    <w:rsid w:val="00344502"/>
    <w:rsid w:val="00345B3D"/>
    <w:rsid w:val="00346BEB"/>
    <w:rsid w:val="00346F17"/>
    <w:rsid w:val="00351A93"/>
    <w:rsid w:val="00351DDA"/>
    <w:rsid w:val="00355EA9"/>
    <w:rsid w:val="0035659F"/>
    <w:rsid w:val="003578DE"/>
    <w:rsid w:val="003613C4"/>
    <w:rsid w:val="0036184C"/>
    <w:rsid w:val="0036258E"/>
    <w:rsid w:val="003643C5"/>
    <w:rsid w:val="003655C9"/>
    <w:rsid w:val="00365F6B"/>
    <w:rsid w:val="00370BF9"/>
    <w:rsid w:val="00371340"/>
    <w:rsid w:val="003714E7"/>
    <w:rsid w:val="00372D6E"/>
    <w:rsid w:val="00373FC8"/>
    <w:rsid w:val="003759E2"/>
    <w:rsid w:val="00386999"/>
    <w:rsid w:val="00386A90"/>
    <w:rsid w:val="00387D03"/>
    <w:rsid w:val="00390145"/>
    <w:rsid w:val="00390F09"/>
    <w:rsid w:val="00394379"/>
    <w:rsid w:val="00396257"/>
    <w:rsid w:val="003977D6"/>
    <w:rsid w:val="00397800"/>
    <w:rsid w:val="00397EB8"/>
    <w:rsid w:val="003A0678"/>
    <w:rsid w:val="003A07AB"/>
    <w:rsid w:val="003A086E"/>
    <w:rsid w:val="003A0BB0"/>
    <w:rsid w:val="003A1599"/>
    <w:rsid w:val="003A37B8"/>
    <w:rsid w:val="003A4FD0"/>
    <w:rsid w:val="003A69D1"/>
    <w:rsid w:val="003A719C"/>
    <w:rsid w:val="003A7501"/>
    <w:rsid w:val="003A7705"/>
    <w:rsid w:val="003B1329"/>
    <w:rsid w:val="003B1545"/>
    <w:rsid w:val="003B2A78"/>
    <w:rsid w:val="003B535D"/>
    <w:rsid w:val="003B76C9"/>
    <w:rsid w:val="003C035E"/>
    <w:rsid w:val="003C0477"/>
    <w:rsid w:val="003C3267"/>
    <w:rsid w:val="003C3E6E"/>
    <w:rsid w:val="003C409D"/>
    <w:rsid w:val="003C5BA6"/>
    <w:rsid w:val="003C6F66"/>
    <w:rsid w:val="003D0C3D"/>
    <w:rsid w:val="003D1A3E"/>
    <w:rsid w:val="003D323D"/>
    <w:rsid w:val="003D3595"/>
    <w:rsid w:val="003D4771"/>
    <w:rsid w:val="003D53F8"/>
    <w:rsid w:val="003D5668"/>
    <w:rsid w:val="003D66A2"/>
    <w:rsid w:val="003E196B"/>
    <w:rsid w:val="003E4550"/>
    <w:rsid w:val="003F0E85"/>
    <w:rsid w:val="00400419"/>
    <w:rsid w:val="004021C4"/>
    <w:rsid w:val="00402F66"/>
    <w:rsid w:val="00403302"/>
    <w:rsid w:val="00404CB5"/>
    <w:rsid w:val="0040517B"/>
    <w:rsid w:val="00405251"/>
    <w:rsid w:val="0040794F"/>
    <w:rsid w:val="00410C55"/>
    <w:rsid w:val="00412A00"/>
    <w:rsid w:val="00413F4A"/>
    <w:rsid w:val="00415017"/>
    <w:rsid w:val="0041604D"/>
    <w:rsid w:val="00416854"/>
    <w:rsid w:val="00417725"/>
    <w:rsid w:val="0041779A"/>
    <w:rsid w:val="00417B99"/>
    <w:rsid w:val="00424345"/>
    <w:rsid w:val="004243EA"/>
    <w:rsid w:val="004263A8"/>
    <w:rsid w:val="00426A17"/>
    <w:rsid w:val="0042715E"/>
    <w:rsid w:val="00432A38"/>
    <w:rsid w:val="00436401"/>
    <w:rsid w:val="00437D11"/>
    <w:rsid w:val="00437F26"/>
    <w:rsid w:val="004403C5"/>
    <w:rsid w:val="00443D26"/>
    <w:rsid w:val="00444097"/>
    <w:rsid w:val="00445487"/>
    <w:rsid w:val="00445EA3"/>
    <w:rsid w:val="00447323"/>
    <w:rsid w:val="00454769"/>
    <w:rsid w:val="004565E9"/>
    <w:rsid w:val="00456D58"/>
    <w:rsid w:val="004579BB"/>
    <w:rsid w:val="00457DDD"/>
    <w:rsid w:val="004601E5"/>
    <w:rsid w:val="00462E2C"/>
    <w:rsid w:val="00463E7E"/>
    <w:rsid w:val="00465832"/>
    <w:rsid w:val="00466991"/>
    <w:rsid w:val="0047064C"/>
    <w:rsid w:val="004717AB"/>
    <w:rsid w:val="0047198A"/>
    <w:rsid w:val="00473232"/>
    <w:rsid w:val="00473FFA"/>
    <w:rsid w:val="004740AB"/>
    <w:rsid w:val="00474D90"/>
    <w:rsid w:val="00475729"/>
    <w:rsid w:val="00477050"/>
    <w:rsid w:val="004778E8"/>
    <w:rsid w:val="00477AFF"/>
    <w:rsid w:val="00480237"/>
    <w:rsid w:val="00481F0B"/>
    <w:rsid w:val="0048475F"/>
    <w:rsid w:val="004865AD"/>
    <w:rsid w:val="004877A9"/>
    <w:rsid w:val="00491781"/>
    <w:rsid w:val="004919B1"/>
    <w:rsid w:val="00492294"/>
    <w:rsid w:val="004922DF"/>
    <w:rsid w:val="00492FC1"/>
    <w:rsid w:val="00494B67"/>
    <w:rsid w:val="00495BFE"/>
    <w:rsid w:val="00497635"/>
    <w:rsid w:val="004A1DEA"/>
    <w:rsid w:val="004A42E1"/>
    <w:rsid w:val="004A514A"/>
    <w:rsid w:val="004A6973"/>
    <w:rsid w:val="004B162C"/>
    <w:rsid w:val="004B34EC"/>
    <w:rsid w:val="004B6A10"/>
    <w:rsid w:val="004B7731"/>
    <w:rsid w:val="004C1EFB"/>
    <w:rsid w:val="004C39EE"/>
    <w:rsid w:val="004C3DBE"/>
    <w:rsid w:val="004C4C75"/>
    <w:rsid w:val="004C562B"/>
    <w:rsid w:val="004C5C96"/>
    <w:rsid w:val="004C7DAB"/>
    <w:rsid w:val="004D06A4"/>
    <w:rsid w:val="004D1883"/>
    <w:rsid w:val="004D2539"/>
    <w:rsid w:val="004D44D6"/>
    <w:rsid w:val="004D5987"/>
    <w:rsid w:val="004D60EA"/>
    <w:rsid w:val="004E0713"/>
    <w:rsid w:val="004E447F"/>
    <w:rsid w:val="004E566D"/>
    <w:rsid w:val="004E59D4"/>
    <w:rsid w:val="004E5B31"/>
    <w:rsid w:val="004E64F0"/>
    <w:rsid w:val="004E6ABE"/>
    <w:rsid w:val="004E7525"/>
    <w:rsid w:val="004E79AC"/>
    <w:rsid w:val="004F1A81"/>
    <w:rsid w:val="005034DD"/>
    <w:rsid w:val="00505427"/>
    <w:rsid w:val="00506A45"/>
    <w:rsid w:val="0051538C"/>
    <w:rsid w:val="00517147"/>
    <w:rsid w:val="0052047E"/>
    <w:rsid w:val="005218D9"/>
    <w:rsid w:val="00531EFD"/>
    <w:rsid w:val="00532E47"/>
    <w:rsid w:val="00535A91"/>
    <w:rsid w:val="00536186"/>
    <w:rsid w:val="00536826"/>
    <w:rsid w:val="005442AD"/>
    <w:rsid w:val="00544CBB"/>
    <w:rsid w:val="00545FE8"/>
    <w:rsid w:val="0054727F"/>
    <w:rsid w:val="00550518"/>
    <w:rsid w:val="00552CD6"/>
    <w:rsid w:val="00553611"/>
    <w:rsid w:val="00553833"/>
    <w:rsid w:val="005550BB"/>
    <w:rsid w:val="0055686B"/>
    <w:rsid w:val="00557C88"/>
    <w:rsid w:val="00562C90"/>
    <w:rsid w:val="005702BA"/>
    <w:rsid w:val="00572520"/>
    <w:rsid w:val="0057315F"/>
    <w:rsid w:val="00573A64"/>
    <w:rsid w:val="00574B08"/>
    <w:rsid w:val="00575608"/>
    <w:rsid w:val="00575DF1"/>
    <w:rsid w:val="00576104"/>
    <w:rsid w:val="005761A3"/>
    <w:rsid w:val="00580922"/>
    <w:rsid w:val="00581D75"/>
    <w:rsid w:val="005820F7"/>
    <w:rsid w:val="00582CE4"/>
    <w:rsid w:val="00583C4E"/>
    <w:rsid w:val="00583CAB"/>
    <w:rsid w:val="005843AF"/>
    <w:rsid w:val="0058498C"/>
    <w:rsid w:val="005851AC"/>
    <w:rsid w:val="00591C07"/>
    <w:rsid w:val="005940BC"/>
    <w:rsid w:val="00594AFD"/>
    <w:rsid w:val="00594BA0"/>
    <w:rsid w:val="00594F63"/>
    <w:rsid w:val="005950AF"/>
    <w:rsid w:val="00595129"/>
    <w:rsid w:val="005A2910"/>
    <w:rsid w:val="005A7DC2"/>
    <w:rsid w:val="005B13C6"/>
    <w:rsid w:val="005B1D8A"/>
    <w:rsid w:val="005B205F"/>
    <w:rsid w:val="005B479B"/>
    <w:rsid w:val="005B4E08"/>
    <w:rsid w:val="005B4EB0"/>
    <w:rsid w:val="005C22A9"/>
    <w:rsid w:val="005C45FB"/>
    <w:rsid w:val="005C66F2"/>
    <w:rsid w:val="005C67C8"/>
    <w:rsid w:val="005C750D"/>
    <w:rsid w:val="005D018D"/>
    <w:rsid w:val="005D0249"/>
    <w:rsid w:val="005D2053"/>
    <w:rsid w:val="005D25DF"/>
    <w:rsid w:val="005D436B"/>
    <w:rsid w:val="005D62DB"/>
    <w:rsid w:val="005D6E8C"/>
    <w:rsid w:val="005D71ED"/>
    <w:rsid w:val="005D7314"/>
    <w:rsid w:val="005D7361"/>
    <w:rsid w:val="005D7B64"/>
    <w:rsid w:val="005E30B3"/>
    <w:rsid w:val="005E45A7"/>
    <w:rsid w:val="005E6137"/>
    <w:rsid w:val="005E63A3"/>
    <w:rsid w:val="005E6610"/>
    <w:rsid w:val="005E6D92"/>
    <w:rsid w:val="005E7F85"/>
    <w:rsid w:val="005F100C"/>
    <w:rsid w:val="005F157E"/>
    <w:rsid w:val="005F49C4"/>
    <w:rsid w:val="005F4AE9"/>
    <w:rsid w:val="005F52C8"/>
    <w:rsid w:val="005F68DA"/>
    <w:rsid w:val="005F75E6"/>
    <w:rsid w:val="0060022B"/>
    <w:rsid w:val="0060037A"/>
    <w:rsid w:val="006005C5"/>
    <w:rsid w:val="006014DD"/>
    <w:rsid w:val="0060205D"/>
    <w:rsid w:val="006038ED"/>
    <w:rsid w:val="0060426F"/>
    <w:rsid w:val="0060570C"/>
    <w:rsid w:val="00605963"/>
    <w:rsid w:val="00606583"/>
    <w:rsid w:val="00606D35"/>
    <w:rsid w:val="0060773B"/>
    <w:rsid w:val="00607B3F"/>
    <w:rsid w:val="00607D94"/>
    <w:rsid w:val="00614F8E"/>
    <w:rsid w:val="006157B5"/>
    <w:rsid w:val="00616326"/>
    <w:rsid w:val="0061749D"/>
    <w:rsid w:val="006206DC"/>
    <w:rsid w:val="006237FF"/>
    <w:rsid w:val="00623856"/>
    <w:rsid w:val="00626FC6"/>
    <w:rsid w:val="0062763D"/>
    <w:rsid w:val="00627683"/>
    <w:rsid w:val="006303B4"/>
    <w:rsid w:val="00633CEB"/>
    <w:rsid w:val="00633D3D"/>
    <w:rsid w:val="00633F3A"/>
    <w:rsid w:val="0063428F"/>
    <w:rsid w:val="0063463F"/>
    <w:rsid w:val="00641703"/>
    <w:rsid w:val="006431A6"/>
    <w:rsid w:val="006459F6"/>
    <w:rsid w:val="006501AD"/>
    <w:rsid w:val="00650470"/>
    <w:rsid w:val="006513F2"/>
    <w:rsid w:val="0065181F"/>
    <w:rsid w:val="00651BFA"/>
    <w:rsid w:val="0065304E"/>
    <w:rsid w:val="00653104"/>
    <w:rsid w:val="00656ECC"/>
    <w:rsid w:val="00657252"/>
    <w:rsid w:val="0066072A"/>
    <w:rsid w:val="0066167E"/>
    <w:rsid w:val="00663A80"/>
    <w:rsid w:val="00665A4B"/>
    <w:rsid w:val="00671A88"/>
    <w:rsid w:val="006731FE"/>
    <w:rsid w:val="00677CDE"/>
    <w:rsid w:val="006849EB"/>
    <w:rsid w:val="00685BB1"/>
    <w:rsid w:val="006862F3"/>
    <w:rsid w:val="00690AC7"/>
    <w:rsid w:val="0069105D"/>
    <w:rsid w:val="00691638"/>
    <w:rsid w:val="00691963"/>
    <w:rsid w:val="00691E91"/>
    <w:rsid w:val="006928EB"/>
    <w:rsid w:val="00692E2A"/>
    <w:rsid w:val="00696C9F"/>
    <w:rsid w:val="006978AA"/>
    <w:rsid w:val="00697D0C"/>
    <w:rsid w:val="006A309C"/>
    <w:rsid w:val="006A4373"/>
    <w:rsid w:val="006A64BE"/>
    <w:rsid w:val="006A76F2"/>
    <w:rsid w:val="006B0EBA"/>
    <w:rsid w:val="006B2240"/>
    <w:rsid w:val="006B25FD"/>
    <w:rsid w:val="006B28D6"/>
    <w:rsid w:val="006B4CF5"/>
    <w:rsid w:val="006C3DDA"/>
    <w:rsid w:val="006C4129"/>
    <w:rsid w:val="006D1DC2"/>
    <w:rsid w:val="006D2586"/>
    <w:rsid w:val="006D3277"/>
    <w:rsid w:val="006D4A9A"/>
    <w:rsid w:val="006D5644"/>
    <w:rsid w:val="006D70A2"/>
    <w:rsid w:val="006D7DD2"/>
    <w:rsid w:val="006D7EFB"/>
    <w:rsid w:val="006E172F"/>
    <w:rsid w:val="006E27E7"/>
    <w:rsid w:val="006E4AFD"/>
    <w:rsid w:val="006E5D54"/>
    <w:rsid w:val="006E65C6"/>
    <w:rsid w:val="006E6672"/>
    <w:rsid w:val="006E6722"/>
    <w:rsid w:val="006E69CB"/>
    <w:rsid w:val="006E704C"/>
    <w:rsid w:val="006F10F1"/>
    <w:rsid w:val="006F23D0"/>
    <w:rsid w:val="006F7AE5"/>
    <w:rsid w:val="00700655"/>
    <w:rsid w:val="00701A67"/>
    <w:rsid w:val="007027B9"/>
    <w:rsid w:val="0070326E"/>
    <w:rsid w:val="00703C33"/>
    <w:rsid w:val="00705FE8"/>
    <w:rsid w:val="00711624"/>
    <w:rsid w:val="00711D65"/>
    <w:rsid w:val="00711ED4"/>
    <w:rsid w:val="00713D8F"/>
    <w:rsid w:val="0071502F"/>
    <w:rsid w:val="00715E88"/>
    <w:rsid w:val="007245E8"/>
    <w:rsid w:val="0072508B"/>
    <w:rsid w:val="007265DF"/>
    <w:rsid w:val="00726F52"/>
    <w:rsid w:val="0073026C"/>
    <w:rsid w:val="007315D2"/>
    <w:rsid w:val="00732257"/>
    <w:rsid w:val="007338E9"/>
    <w:rsid w:val="00734CAA"/>
    <w:rsid w:val="00735AE4"/>
    <w:rsid w:val="00736583"/>
    <w:rsid w:val="00736C1E"/>
    <w:rsid w:val="00736F43"/>
    <w:rsid w:val="00740D50"/>
    <w:rsid w:val="007446F6"/>
    <w:rsid w:val="00745C98"/>
    <w:rsid w:val="00746097"/>
    <w:rsid w:val="007471E7"/>
    <w:rsid w:val="0075022F"/>
    <w:rsid w:val="0075049E"/>
    <w:rsid w:val="00750792"/>
    <w:rsid w:val="00752D11"/>
    <w:rsid w:val="0075473A"/>
    <w:rsid w:val="00755106"/>
    <w:rsid w:val="0075533C"/>
    <w:rsid w:val="00756A3A"/>
    <w:rsid w:val="00756DE1"/>
    <w:rsid w:val="00757581"/>
    <w:rsid w:val="00760D99"/>
    <w:rsid w:val="00760DF0"/>
    <w:rsid w:val="007611A0"/>
    <w:rsid w:val="007628CC"/>
    <w:rsid w:val="00762C03"/>
    <w:rsid w:val="00763A0C"/>
    <w:rsid w:val="00763D3B"/>
    <w:rsid w:val="007658A0"/>
    <w:rsid w:val="00766EDE"/>
    <w:rsid w:val="007707B4"/>
    <w:rsid w:val="00771992"/>
    <w:rsid w:val="00780F06"/>
    <w:rsid w:val="007811DB"/>
    <w:rsid w:val="007816DC"/>
    <w:rsid w:val="00783907"/>
    <w:rsid w:val="00785479"/>
    <w:rsid w:val="00785E77"/>
    <w:rsid w:val="00792281"/>
    <w:rsid w:val="00795706"/>
    <w:rsid w:val="00796D3F"/>
    <w:rsid w:val="007A0FAD"/>
    <w:rsid w:val="007A1683"/>
    <w:rsid w:val="007A1F6C"/>
    <w:rsid w:val="007A304C"/>
    <w:rsid w:val="007A36F8"/>
    <w:rsid w:val="007A56F1"/>
    <w:rsid w:val="007A5C12"/>
    <w:rsid w:val="007A7B3B"/>
    <w:rsid w:val="007A7CB0"/>
    <w:rsid w:val="007B3730"/>
    <w:rsid w:val="007B4183"/>
    <w:rsid w:val="007B68A3"/>
    <w:rsid w:val="007C2541"/>
    <w:rsid w:val="007C29D9"/>
    <w:rsid w:val="007C7DF0"/>
    <w:rsid w:val="007D071F"/>
    <w:rsid w:val="007D4339"/>
    <w:rsid w:val="007D5217"/>
    <w:rsid w:val="007D5D39"/>
    <w:rsid w:val="007D66A8"/>
    <w:rsid w:val="007D773D"/>
    <w:rsid w:val="007E003F"/>
    <w:rsid w:val="007E6438"/>
    <w:rsid w:val="007E64E3"/>
    <w:rsid w:val="007F0126"/>
    <w:rsid w:val="007F7DC3"/>
    <w:rsid w:val="0080015D"/>
    <w:rsid w:val="00801493"/>
    <w:rsid w:val="00802E72"/>
    <w:rsid w:val="008055AF"/>
    <w:rsid w:val="00805E04"/>
    <w:rsid w:val="00805F1D"/>
    <w:rsid w:val="008144C7"/>
    <w:rsid w:val="0081478B"/>
    <w:rsid w:val="008164F2"/>
    <w:rsid w:val="00820495"/>
    <w:rsid w:val="00821395"/>
    <w:rsid w:val="00822BFB"/>
    <w:rsid w:val="00822DA8"/>
    <w:rsid w:val="00823869"/>
    <w:rsid w:val="0082774F"/>
    <w:rsid w:val="00830E26"/>
    <w:rsid w:val="00830EB1"/>
    <w:rsid w:val="0083448E"/>
    <w:rsid w:val="0083595D"/>
    <w:rsid w:val="008405BB"/>
    <w:rsid w:val="00840E99"/>
    <w:rsid w:val="008427C5"/>
    <w:rsid w:val="00843576"/>
    <w:rsid w:val="00843B64"/>
    <w:rsid w:val="00845C27"/>
    <w:rsid w:val="008470BD"/>
    <w:rsid w:val="00847822"/>
    <w:rsid w:val="008478FC"/>
    <w:rsid w:val="00851234"/>
    <w:rsid w:val="00851FD8"/>
    <w:rsid w:val="0085214C"/>
    <w:rsid w:val="00853341"/>
    <w:rsid w:val="00854A17"/>
    <w:rsid w:val="00855EE1"/>
    <w:rsid w:val="008629BD"/>
    <w:rsid w:val="00863149"/>
    <w:rsid w:val="00864061"/>
    <w:rsid w:val="00867A67"/>
    <w:rsid w:val="00867B54"/>
    <w:rsid w:val="00867BFF"/>
    <w:rsid w:val="008704E7"/>
    <w:rsid w:val="00871FA4"/>
    <w:rsid w:val="00874E3A"/>
    <w:rsid w:val="00881001"/>
    <w:rsid w:val="0088292A"/>
    <w:rsid w:val="0088418F"/>
    <w:rsid w:val="0088480A"/>
    <w:rsid w:val="00884E58"/>
    <w:rsid w:val="0088757A"/>
    <w:rsid w:val="00893CED"/>
    <w:rsid w:val="00894467"/>
    <w:rsid w:val="008957DD"/>
    <w:rsid w:val="00896A57"/>
    <w:rsid w:val="00896EFD"/>
    <w:rsid w:val="008973DB"/>
    <w:rsid w:val="00897D98"/>
    <w:rsid w:val="00897EF5"/>
    <w:rsid w:val="008A26B4"/>
    <w:rsid w:val="008A270F"/>
    <w:rsid w:val="008A55AF"/>
    <w:rsid w:val="008A6DF2"/>
    <w:rsid w:val="008A7807"/>
    <w:rsid w:val="008B0D6B"/>
    <w:rsid w:val="008B3832"/>
    <w:rsid w:val="008B4202"/>
    <w:rsid w:val="008B4291"/>
    <w:rsid w:val="008B4CC9"/>
    <w:rsid w:val="008B79B7"/>
    <w:rsid w:val="008C13F0"/>
    <w:rsid w:val="008C1B8B"/>
    <w:rsid w:val="008C23AA"/>
    <w:rsid w:val="008C417F"/>
    <w:rsid w:val="008C4B01"/>
    <w:rsid w:val="008C5F81"/>
    <w:rsid w:val="008D3AE0"/>
    <w:rsid w:val="008D4FD4"/>
    <w:rsid w:val="008D6A14"/>
    <w:rsid w:val="008D74E2"/>
    <w:rsid w:val="008D7C99"/>
    <w:rsid w:val="008E0FCB"/>
    <w:rsid w:val="008E3161"/>
    <w:rsid w:val="008E3890"/>
    <w:rsid w:val="008F008D"/>
    <w:rsid w:val="008F33DE"/>
    <w:rsid w:val="008F65B1"/>
    <w:rsid w:val="008F709D"/>
    <w:rsid w:val="00901A04"/>
    <w:rsid w:val="00901E50"/>
    <w:rsid w:val="0090412D"/>
    <w:rsid w:val="00904880"/>
    <w:rsid w:val="0090582D"/>
    <w:rsid w:val="00906857"/>
    <w:rsid w:val="00907D78"/>
    <w:rsid w:val="0091306B"/>
    <w:rsid w:val="009135C7"/>
    <w:rsid w:val="00914491"/>
    <w:rsid w:val="0092178C"/>
    <w:rsid w:val="0092493F"/>
    <w:rsid w:val="00930B88"/>
    <w:rsid w:val="00930ECA"/>
    <w:rsid w:val="00931240"/>
    <w:rsid w:val="0093174C"/>
    <w:rsid w:val="009323B3"/>
    <w:rsid w:val="00932908"/>
    <w:rsid w:val="00932C29"/>
    <w:rsid w:val="0093380A"/>
    <w:rsid w:val="00934696"/>
    <w:rsid w:val="00935E9B"/>
    <w:rsid w:val="0093693E"/>
    <w:rsid w:val="009376C8"/>
    <w:rsid w:val="009378DC"/>
    <w:rsid w:val="00940DCC"/>
    <w:rsid w:val="00941313"/>
    <w:rsid w:val="0094179A"/>
    <w:rsid w:val="009443A7"/>
    <w:rsid w:val="0094459E"/>
    <w:rsid w:val="00944DBC"/>
    <w:rsid w:val="00945726"/>
    <w:rsid w:val="00945C23"/>
    <w:rsid w:val="009464CA"/>
    <w:rsid w:val="00947E1E"/>
    <w:rsid w:val="00950977"/>
    <w:rsid w:val="00950F65"/>
    <w:rsid w:val="00951A7B"/>
    <w:rsid w:val="00952407"/>
    <w:rsid w:val="009545C0"/>
    <w:rsid w:val="00954E0A"/>
    <w:rsid w:val="009564A6"/>
    <w:rsid w:val="00961A33"/>
    <w:rsid w:val="009628B9"/>
    <w:rsid w:val="00963B23"/>
    <w:rsid w:val="00967621"/>
    <w:rsid w:val="00967E6A"/>
    <w:rsid w:val="00971E3D"/>
    <w:rsid w:val="00973F8F"/>
    <w:rsid w:val="00975264"/>
    <w:rsid w:val="009759F9"/>
    <w:rsid w:val="009763A0"/>
    <w:rsid w:val="00980797"/>
    <w:rsid w:val="00980870"/>
    <w:rsid w:val="00980BA0"/>
    <w:rsid w:val="00982865"/>
    <w:rsid w:val="00982C50"/>
    <w:rsid w:val="00983DD3"/>
    <w:rsid w:val="0098446A"/>
    <w:rsid w:val="009845E6"/>
    <w:rsid w:val="009856EB"/>
    <w:rsid w:val="00993118"/>
    <w:rsid w:val="009935AC"/>
    <w:rsid w:val="00994363"/>
    <w:rsid w:val="00994E7C"/>
    <w:rsid w:val="00996ADD"/>
    <w:rsid w:val="009A1CD9"/>
    <w:rsid w:val="009A32E3"/>
    <w:rsid w:val="009A384B"/>
    <w:rsid w:val="009A3DC0"/>
    <w:rsid w:val="009A4B07"/>
    <w:rsid w:val="009A6054"/>
    <w:rsid w:val="009A723C"/>
    <w:rsid w:val="009A7A02"/>
    <w:rsid w:val="009A7CCE"/>
    <w:rsid w:val="009B0CF1"/>
    <w:rsid w:val="009B3995"/>
    <w:rsid w:val="009B4A0F"/>
    <w:rsid w:val="009B6B51"/>
    <w:rsid w:val="009C0FEC"/>
    <w:rsid w:val="009C11D2"/>
    <w:rsid w:val="009C3551"/>
    <w:rsid w:val="009C4BB5"/>
    <w:rsid w:val="009C6229"/>
    <w:rsid w:val="009C6C70"/>
    <w:rsid w:val="009C7786"/>
    <w:rsid w:val="009D0922"/>
    <w:rsid w:val="009D0B63"/>
    <w:rsid w:val="009D1192"/>
    <w:rsid w:val="009D6B45"/>
    <w:rsid w:val="009D7241"/>
    <w:rsid w:val="009E1A50"/>
    <w:rsid w:val="009E307E"/>
    <w:rsid w:val="009E47E3"/>
    <w:rsid w:val="009E608B"/>
    <w:rsid w:val="009E6CC2"/>
    <w:rsid w:val="009F21BD"/>
    <w:rsid w:val="009F6127"/>
    <w:rsid w:val="00A02B9E"/>
    <w:rsid w:val="00A02BE2"/>
    <w:rsid w:val="00A03A4A"/>
    <w:rsid w:val="00A040D5"/>
    <w:rsid w:val="00A040FF"/>
    <w:rsid w:val="00A04C6A"/>
    <w:rsid w:val="00A05C2F"/>
    <w:rsid w:val="00A07870"/>
    <w:rsid w:val="00A07F19"/>
    <w:rsid w:val="00A1348D"/>
    <w:rsid w:val="00A14223"/>
    <w:rsid w:val="00A142D1"/>
    <w:rsid w:val="00A1489E"/>
    <w:rsid w:val="00A232EE"/>
    <w:rsid w:val="00A24DA1"/>
    <w:rsid w:val="00A26A5B"/>
    <w:rsid w:val="00A26DE9"/>
    <w:rsid w:val="00A30688"/>
    <w:rsid w:val="00A306DB"/>
    <w:rsid w:val="00A306ED"/>
    <w:rsid w:val="00A30C15"/>
    <w:rsid w:val="00A3304B"/>
    <w:rsid w:val="00A362A7"/>
    <w:rsid w:val="00A4175F"/>
    <w:rsid w:val="00A44411"/>
    <w:rsid w:val="00A44D99"/>
    <w:rsid w:val="00A45479"/>
    <w:rsid w:val="00A469FA"/>
    <w:rsid w:val="00A50E94"/>
    <w:rsid w:val="00A55B01"/>
    <w:rsid w:val="00A56B5B"/>
    <w:rsid w:val="00A603FF"/>
    <w:rsid w:val="00A6484D"/>
    <w:rsid w:val="00A64EC0"/>
    <w:rsid w:val="00A657DD"/>
    <w:rsid w:val="00A65CD7"/>
    <w:rsid w:val="00A66222"/>
    <w:rsid w:val="00A666A6"/>
    <w:rsid w:val="00A675FD"/>
    <w:rsid w:val="00A70F68"/>
    <w:rsid w:val="00A72437"/>
    <w:rsid w:val="00A74207"/>
    <w:rsid w:val="00A75776"/>
    <w:rsid w:val="00A769AA"/>
    <w:rsid w:val="00A80611"/>
    <w:rsid w:val="00A829CD"/>
    <w:rsid w:val="00A84B15"/>
    <w:rsid w:val="00A87016"/>
    <w:rsid w:val="00A90AC6"/>
    <w:rsid w:val="00A90DFC"/>
    <w:rsid w:val="00A912FC"/>
    <w:rsid w:val="00A91B71"/>
    <w:rsid w:val="00A91E06"/>
    <w:rsid w:val="00A954F5"/>
    <w:rsid w:val="00A959CA"/>
    <w:rsid w:val="00AA4299"/>
    <w:rsid w:val="00AB1F69"/>
    <w:rsid w:val="00AB5340"/>
    <w:rsid w:val="00AB7D63"/>
    <w:rsid w:val="00AC00CB"/>
    <w:rsid w:val="00AC010E"/>
    <w:rsid w:val="00AC01CC"/>
    <w:rsid w:val="00AC16B8"/>
    <w:rsid w:val="00AC2114"/>
    <w:rsid w:val="00AC3796"/>
    <w:rsid w:val="00AC7C96"/>
    <w:rsid w:val="00AD0B7C"/>
    <w:rsid w:val="00AD1B4D"/>
    <w:rsid w:val="00AD4420"/>
    <w:rsid w:val="00AD4F8C"/>
    <w:rsid w:val="00AD735C"/>
    <w:rsid w:val="00AE237D"/>
    <w:rsid w:val="00AE2A3D"/>
    <w:rsid w:val="00AE502A"/>
    <w:rsid w:val="00AF0DF7"/>
    <w:rsid w:val="00AF5CDF"/>
    <w:rsid w:val="00AF654A"/>
    <w:rsid w:val="00AF7C07"/>
    <w:rsid w:val="00B07A57"/>
    <w:rsid w:val="00B11569"/>
    <w:rsid w:val="00B11EEA"/>
    <w:rsid w:val="00B134B4"/>
    <w:rsid w:val="00B14EC5"/>
    <w:rsid w:val="00B150D8"/>
    <w:rsid w:val="00B17246"/>
    <w:rsid w:val="00B207E1"/>
    <w:rsid w:val="00B20A05"/>
    <w:rsid w:val="00B225E7"/>
    <w:rsid w:val="00B22C34"/>
    <w:rsid w:val="00B22C93"/>
    <w:rsid w:val="00B23EF1"/>
    <w:rsid w:val="00B27589"/>
    <w:rsid w:val="00B30FE3"/>
    <w:rsid w:val="00B3199F"/>
    <w:rsid w:val="00B31BF0"/>
    <w:rsid w:val="00B31FDC"/>
    <w:rsid w:val="00B32A6F"/>
    <w:rsid w:val="00B34A21"/>
    <w:rsid w:val="00B3754B"/>
    <w:rsid w:val="00B37E08"/>
    <w:rsid w:val="00B37EF9"/>
    <w:rsid w:val="00B405B7"/>
    <w:rsid w:val="00B40724"/>
    <w:rsid w:val="00B45E6D"/>
    <w:rsid w:val="00B47F91"/>
    <w:rsid w:val="00B52222"/>
    <w:rsid w:val="00B523A2"/>
    <w:rsid w:val="00B54FE7"/>
    <w:rsid w:val="00B57AED"/>
    <w:rsid w:val="00B57C47"/>
    <w:rsid w:val="00B619DD"/>
    <w:rsid w:val="00B61A79"/>
    <w:rsid w:val="00B657ED"/>
    <w:rsid w:val="00B65D7B"/>
    <w:rsid w:val="00B66780"/>
    <w:rsid w:val="00B66901"/>
    <w:rsid w:val="00B66E67"/>
    <w:rsid w:val="00B6736A"/>
    <w:rsid w:val="00B70D53"/>
    <w:rsid w:val="00B7113A"/>
    <w:rsid w:val="00B71E6D"/>
    <w:rsid w:val="00B72070"/>
    <w:rsid w:val="00B73208"/>
    <w:rsid w:val="00B74107"/>
    <w:rsid w:val="00B764B7"/>
    <w:rsid w:val="00B779E1"/>
    <w:rsid w:val="00B8173B"/>
    <w:rsid w:val="00B859A3"/>
    <w:rsid w:val="00B85AA4"/>
    <w:rsid w:val="00B86CD1"/>
    <w:rsid w:val="00B91EE1"/>
    <w:rsid w:val="00B922BA"/>
    <w:rsid w:val="00B92850"/>
    <w:rsid w:val="00B94C68"/>
    <w:rsid w:val="00B94C97"/>
    <w:rsid w:val="00B95D48"/>
    <w:rsid w:val="00BA0090"/>
    <w:rsid w:val="00BA151C"/>
    <w:rsid w:val="00BA1A67"/>
    <w:rsid w:val="00BA4AFE"/>
    <w:rsid w:val="00BA7114"/>
    <w:rsid w:val="00BA7292"/>
    <w:rsid w:val="00BA7DB8"/>
    <w:rsid w:val="00BB41CF"/>
    <w:rsid w:val="00BB49DE"/>
    <w:rsid w:val="00BB520E"/>
    <w:rsid w:val="00BB79DB"/>
    <w:rsid w:val="00BB7AC1"/>
    <w:rsid w:val="00BC07FE"/>
    <w:rsid w:val="00BC1455"/>
    <w:rsid w:val="00BC162D"/>
    <w:rsid w:val="00BC1DA6"/>
    <w:rsid w:val="00BC2F3B"/>
    <w:rsid w:val="00BC531D"/>
    <w:rsid w:val="00BD0163"/>
    <w:rsid w:val="00BD07D3"/>
    <w:rsid w:val="00BD0941"/>
    <w:rsid w:val="00BD0FF6"/>
    <w:rsid w:val="00BD159E"/>
    <w:rsid w:val="00BD37C5"/>
    <w:rsid w:val="00BD61AD"/>
    <w:rsid w:val="00BD6304"/>
    <w:rsid w:val="00BD6830"/>
    <w:rsid w:val="00BE2205"/>
    <w:rsid w:val="00BE30DE"/>
    <w:rsid w:val="00BE39BB"/>
    <w:rsid w:val="00BE5B5F"/>
    <w:rsid w:val="00BE7496"/>
    <w:rsid w:val="00BE76A8"/>
    <w:rsid w:val="00BE7EA8"/>
    <w:rsid w:val="00BF06CC"/>
    <w:rsid w:val="00BF121E"/>
    <w:rsid w:val="00BF16F7"/>
    <w:rsid w:val="00BF24FD"/>
    <w:rsid w:val="00BF71E1"/>
    <w:rsid w:val="00C013F0"/>
    <w:rsid w:val="00C03B62"/>
    <w:rsid w:val="00C04EF3"/>
    <w:rsid w:val="00C05191"/>
    <w:rsid w:val="00C05E09"/>
    <w:rsid w:val="00C06338"/>
    <w:rsid w:val="00C10C5F"/>
    <w:rsid w:val="00C11B25"/>
    <w:rsid w:val="00C14E32"/>
    <w:rsid w:val="00C1537A"/>
    <w:rsid w:val="00C22265"/>
    <w:rsid w:val="00C236AC"/>
    <w:rsid w:val="00C26F55"/>
    <w:rsid w:val="00C309B7"/>
    <w:rsid w:val="00C30C63"/>
    <w:rsid w:val="00C31907"/>
    <w:rsid w:val="00C32B37"/>
    <w:rsid w:val="00C352E9"/>
    <w:rsid w:val="00C35757"/>
    <w:rsid w:val="00C36B8B"/>
    <w:rsid w:val="00C40A22"/>
    <w:rsid w:val="00C40F6F"/>
    <w:rsid w:val="00C41DA9"/>
    <w:rsid w:val="00C456E6"/>
    <w:rsid w:val="00C47A38"/>
    <w:rsid w:val="00C47DBF"/>
    <w:rsid w:val="00C505BA"/>
    <w:rsid w:val="00C51CF5"/>
    <w:rsid w:val="00C53666"/>
    <w:rsid w:val="00C53859"/>
    <w:rsid w:val="00C53942"/>
    <w:rsid w:val="00C552FF"/>
    <w:rsid w:val="00C5539D"/>
    <w:rsid w:val="00C55800"/>
    <w:rsid w:val="00C558DA"/>
    <w:rsid w:val="00C55AF3"/>
    <w:rsid w:val="00C60713"/>
    <w:rsid w:val="00C64A4D"/>
    <w:rsid w:val="00C65682"/>
    <w:rsid w:val="00C66098"/>
    <w:rsid w:val="00C67774"/>
    <w:rsid w:val="00C70B49"/>
    <w:rsid w:val="00C7372F"/>
    <w:rsid w:val="00C7473A"/>
    <w:rsid w:val="00C75C7C"/>
    <w:rsid w:val="00C80F46"/>
    <w:rsid w:val="00C81951"/>
    <w:rsid w:val="00C81E1E"/>
    <w:rsid w:val="00C83A8F"/>
    <w:rsid w:val="00C84759"/>
    <w:rsid w:val="00C84EDC"/>
    <w:rsid w:val="00C85570"/>
    <w:rsid w:val="00C900D6"/>
    <w:rsid w:val="00C90487"/>
    <w:rsid w:val="00C91B51"/>
    <w:rsid w:val="00C9476A"/>
    <w:rsid w:val="00C97578"/>
    <w:rsid w:val="00CA100D"/>
    <w:rsid w:val="00CA34C3"/>
    <w:rsid w:val="00CA3790"/>
    <w:rsid w:val="00CA3D00"/>
    <w:rsid w:val="00CA5F48"/>
    <w:rsid w:val="00CA6C7F"/>
    <w:rsid w:val="00CA78AF"/>
    <w:rsid w:val="00CB00FF"/>
    <w:rsid w:val="00CB0C8C"/>
    <w:rsid w:val="00CB4934"/>
    <w:rsid w:val="00CB4A9D"/>
    <w:rsid w:val="00CB5CE1"/>
    <w:rsid w:val="00CB60EA"/>
    <w:rsid w:val="00CB6F8C"/>
    <w:rsid w:val="00CB7489"/>
    <w:rsid w:val="00CC0260"/>
    <w:rsid w:val="00CC10A6"/>
    <w:rsid w:val="00CC3E43"/>
    <w:rsid w:val="00CC3E83"/>
    <w:rsid w:val="00CC4DAB"/>
    <w:rsid w:val="00CC533A"/>
    <w:rsid w:val="00CC5F42"/>
    <w:rsid w:val="00CC66A1"/>
    <w:rsid w:val="00CC6E4A"/>
    <w:rsid w:val="00CD1A23"/>
    <w:rsid w:val="00CD22BD"/>
    <w:rsid w:val="00CD4A07"/>
    <w:rsid w:val="00CD5591"/>
    <w:rsid w:val="00CD5EB8"/>
    <w:rsid w:val="00CD6AC7"/>
    <w:rsid w:val="00CD7044"/>
    <w:rsid w:val="00CD76A5"/>
    <w:rsid w:val="00CD7D21"/>
    <w:rsid w:val="00CE0423"/>
    <w:rsid w:val="00CE07BF"/>
    <w:rsid w:val="00CE08B9"/>
    <w:rsid w:val="00CE1604"/>
    <w:rsid w:val="00CE48E6"/>
    <w:rsid w:val="00CE51AC"/>
    <w:rsid w:val="00CE524C"/>
    <w:rsid w:val="00CE56F5"/>
    <w:rsid w:val="00CF141F"/>
    <w:rsid w:val="00CF164D"/>
    <w:rsid w:val="00CF184D"/>
    <w:rsid w:val="00CF4777"/>
    <w:rsid w:val="00CF5AF8"/>
    <w:rsid w:val="00CF7D30"/>
    <w:rsid w:val="00D067BB"/>
    <w:rsid w:val="00D070CC"/>
    <w:rsid w:val="00D07EC6"/>
    <w:rsid w:val="00D107D6"/>
    <w:rsid w:val="00D1170C"/>
    <w:rsid w:val="00D1282F"/>
    <w:rsid w:val="00D1352A"/>
    <w:rsid w:val="00D13A2D"/>
    <w:rsid w:val="00D13D12"/>
    <w:rsid w:val="00D13EDE"/>
    <w:rsid w:val="00D152C4"/>
    <w:rsid w:val="00D169AF"/>
    <w:rsid w:val="00D16A84"/>
    <w:rsid w:val="00D21A5C"/>
    <w:rsid w:val="00D223F3"/>
    <w:rsid w:val="00D245C9"/>
    <w:rsid w:val="00D246AD"/>
    <w:rsid w:val="00D24A96"/>
    <w:rsid w:val="00D25204"/>
    <w:rsid w:val="00D25249"/>
    <w:rsid w:val="00D255A7"/>
    <w:rsid w:val="00D25B16"/>
    <w:rsid w:val="00D31D43"/>
    <w:rsid w:val="00D32C5A"/>
    <w:rsid w:val="00D373D9"/>
    <w:rsid w:val="00D404F1"/>
    <w:rsid w:val="00D41031"/>
    <w:rsid w:val="00D44172"/>
    <w:rsid w:val="00D45328"/>
    <w:rsid w:val="00D50EBB"/>
    <w:rsid w:val="00D526D8"/>
    <w:rsid w:val="00D6031A"/>
    <w:rsid w:val="00D60B0A"/>
    <w:rsid w:val="00D61C04"/>
    <w:rsid w:val="00D63B8C"/>
    <w:rsid w:val="00D7012C"/>
    <w:rsid w:val="00D70F1E"/>
    <w:rsid w:val="00D712FD"/>
    <w:rsid w:val="00D7275F"/>
    <w:rsid w:val="00D72CB6"/>
    <w:rsid w:val="00D7382F"/>
    <w:rsid w:val="00D739CC"/>
    <w:rsid w:val="00D73F4F"/>
    <w:rsid w:val="00D75A84"/>
    <w:rsid w:val="00D8093D"/>
    <w:rsid w:val="00D8108C"/>
    <w:rsid w:val="00D83CD3"/>
    <w:rsid w:val="00D842AE"/>
    <w:rsid w:val="00D90382"/>
    <w:rsid w:val="00D90BB7"/>
    <w:rsid w:val="00D9211C"/>
    <w:rsid w:val="00D92DE0"/>
    <w:rsid w:val="00D92FEF"/>
    <w:rsid w:val="00D93A0F"/>
    <w:rsid w:val="00DA1119"/>
    <w:rsid w:val="00DA1622"/>
    <w:rsid w:val="00DA16BE"/>
    <w:rsid w:val="00DA1B0B"/>
    <w:rsid w:val="00DA1BCA"/>
    <w:rsid w:val="00DA3BD9"/>
    <w:rsid w:val="00DA3FFA"/>
    <w:rsid w:val="00DA43CF"/>
    <w:rsid w:val="00DA7299"/>
    <w:rsid w:val="00DB0726"/>
    <w:rsid w:val="00DB0BB3"/>
    <w:rsid w:val="00DB16D9"/>
    <w:rsid w:val="00DB36B7"/>
    <w:rsid w:val="00DB3E23"/>
    <w:rsid w:val="00DB6597"/>
    <w:rsid w:val="00DB778D"/>
    <w:rsid w:val="00DC0743"/>
    <w:rsid w:val="00DC41A1"/>
    <w:rsid w:val="00DC46FF"/>
    <w:rsid w:val="00DC5254"/>
    <w:rsid w:val="00DD0396"/>
    <w:rsid w:val="00DD065F"/>
    <w:rsid w:val="00DD0F0F"/>
    <w:rsid w:val="00DD1A4F"/>
    <w:rsid w:val="00DD2666"/>
    <w:rsid w:val="00DD2BB6"/>
    <w:rsid w:val="00DD3107"/>
    <w:rsid w:val="00DD368E"/>
    <w:rsid w:val="00DD5EFF"/>
    <w:rsid w:val="00DD635A"/>
    <w:rsid w:val="00DD6949"/>
    <w:rsid w:val="00DD6F2B"/>
    <w:rsid w:val="00DD7C2C"/>
    <w:rsid w:val="00DE1423"/>
    <w:rsid w:val="00DE3392"/>
    <w:rsid w:val="00DE6750"/>
    <w:rsid w:val="00DE6E55"/>
    <w:rsid w:val="00DE7E7B"/>
    <w:rsid w:val="00DF0D6A"/>
    <w:rsid w:val="00DF3598"/>
    <w:rsid w:val="00DF5660"/>
    <w:rsid w:val="00DF683A"/>
    <w:rsid w:val="00DF697A"/>
    <w:rsid w:val="00DF7552"/>
    <w:rsid w:val="00E04295"/>
    <w:rsid w:val="00E0574F"/>
    <w:rsid w:val="00E05DB0"/>
    <w:rsid w:val="00E05FA6"/>
    <w:rsid w:val="00E06797"/>
    <w:rsid w:val="00E07260"/>
    <w:rsid w:val="00E109B9"/>
    <w:rsid w:val="00E10D91"/>
    <w:rsid w:val="00E11134"/>
    <w:rsid w:val="00E11977"/>
    <w:rsid w:val="00E122BC"/>
    <w:rsid w:val="00E1265B"/>
    <w:rsid w:val="00E126AF"/>
    <w:rsid w:val="00E13B48"/>
    <w:rsid w:val="00E13B78"/>
    <w:rsid w:val="00E1404F"/>
    <w:rsid w:val="00E14E6E"/>
    <w:rsid w:val="00E16CCF"/>
    <w:rsid w:val="00E212EF"/>
    <w:rsid w:val="00E2137F"/>
    <w:rsid w:val="00E21C83"/>
    <w:rsid w:val="00E21D6A"/>
    <w:rsid w:val="00E23835"/>
    <w:rsid w:val="00E23F89"/>
    <w:rsid w:val="00E24ADA"/>
    <w:rsid w:val="00E251AF"/>
    <w:rsid w:val="00E256F6"/>
    <w:rsid w:val="00E260A0"/>
    <w:rsid w:val="00E27E7C"/>
    <w:rsid w:val="00E32F59"/>
    <w:rsid w:val="00E34DDB"/>
    <w:rsid w:val="00E37F15"/>
    <w:rsid w:val="00E41564"/>
    <w:rsid w:val="00E42007"/>
    <w:rsid w:val="00E42B6C"/>
    <w:rsid w:val="00E42B81"/>
    <w:rsid w:val="00E435D1"/>
    <w:rsid w:val="00E43C08"/>
    <w:rsid w:val="00E440CD"/>
    <w:rsid w:val="00E46670"/>
    <w:rsid w:val="00E46D9A"/>
    <w:rsid w:val="00E46DD5"/>
    <w:rsid w:val="00E50333"/>
    <w:rsid w:val="00E509D1"/>
    <w:rsid w:val="00E52805"/>
    <w:rsid w:val="00E552DC"/>
    <w:rsid w:val="00E565FF"/>
    <w:rsid w:val="00E600D6"/>
    <w:rsid w:val="00E61F3D"/>
    <w:rsid w:val="00E62E8A"/>
    <w:rsid w:val="00E63B10"/>
    <w:rsid w:val="00E63C75"/>
    <w:rsid w:val="00E65388"/>
    <w:rsid w:val="00E6667D"/>
    <w:rsid w:val="00E6733A"/>
    <w:rsid w:val="00E67833"/>
    <w:rsid w:val="00E74ACB"/>
    <w:rsid w:val="00E7689F"/>
    <w:rsid w:val="00E80B99"/>
    <w:rsid w:val="00E84049"/>
    <w:rsid w:val="00E85B7D"/>
    <w:rsid w:val="00E9121B"/>
    <w:rsid w:val="00E91604"/>
    <w:rsid w:val="00E9390B"/>
    <w:rsid w:val="00E93D8A"/>
    <w:rsid w:val="00E94B48"/>
    <w:rsid w:val="00E96614"/>
    <w:rsid w:val="00EA0AE2"/>
    <w:rsid w:val="00EA16D0"/>
    <w:rsid w:val="00EA292F"/>
    <w:rsid w:val="00EA39E5"/>
    <w:rsid w:val="00EB3106"/>
    <w:rsid w:val="00EB46E6"/>
    <w:rsid w:val="00EB48A7"/>
    <w:rsid w:val="00EB6644"/>
    <w:rsid w:val="00EB6B06"/>
    <w:rsid w:val="00EC2CD0"/>
    <w:rsid w:val="00EC346D"/>
    <w:rsid w:val="00EC3C69"/>
    <w:rsid w:val="00EC5A46"/>
    <w:rsid w:val="00EC63E2"/>
    <w:rsid w:val="00ED0087"/>
    <w:rsid w:val="00ED1F3E"/>
    <w:rsid w:val="00ED2FDD"/>
    <w:rsid w:val="00ED4F74"/>
    <w:rsid w:val="00ED4FA0"/>
    <w:rsid w:val="00ED5A50"/>
    <w:rsid w:val="00EE1BA8"/>
    <w:rsid w:val="00EE1E98"/>
    <w:rsid w:val="00EE397B"/>
    <w:rsid w:val="00EE4483"/>
    <w:rsid w:val="00EE5261"/>
    <w:rsid w:val="00EF22B3"/>
    <w:rsid w:val="00EF2AD4"/>
    <w:rsid w:val="00EF469A"/>
    <w:rsid w:val="00EF5715"/>
    <w:rsid w:val="00EF7DEB"/>
    <w:rsid w:val="00F002B7"/>
    <w:rsid w:val="00F010F2"/>
    <w:rsid w:val="00F0126C"/>
    <w:rsid w:val="00F01360"/>
    <w:rsid w:val="00F0287D"/>
    <w:rsid w:val="00F03B69"/>
    <w:rsid w:val="00F03F84"/>
    <w:rsid w:val="00F04F86"/>
    <w:rsid w:val="00F07A50"/>
    <w:rsid w:val="00F113DA"/>
    <w:rsid w:val="00F123BC"/>
    <w:rsid w:val="00F12689"/>
    <w:rsid w:val="00F13914"/>
    <w:rsid w:val="00F1427D"/>
    <w:rsid w:val="00F161D3"/>
    <w:rsid w:val="00F17679"/>
    <w:rsid w:val="00F17932"/>
    <w:rsid w:val="00F17E86"/>
    <w:rsid w:val="00F200B9"/>
    <w:rsid w:val="00F22A38"/>
    <w:rsid w:val="00F23184"/>
    <w:rsid w:val="00F25237"/>
    <w:rsid w:val="00F25F15"/>
    <w:rsid w:val="00F27BAA"/>
    <w:rsid w:val="00F3144F"/>
    <w:rsid w:val="00F3153C"/>
    <w:rsid w:val="00F319FC"/>
    <w:rsid w:val="00F31F73"/>
    <w:rsid w:val="00F32E7F"/>
    <w:rsid w:val="00F33CC3"/>
    <w:rsid w:val="00F353F6"/>
    <w:rsid w:val="00F35A8A"/>
    <w:rsid w:val="00F37BE8"/>
    <w:rsid w:val="00F37DC8"/>
    <w:rsid w:val="00F37EA5"/>
    <w:rsid w:val="00F4003F"/>
    <w:rsid w:val="00F439B3"/>
    <w:rsid w:val="00F4466E"/>
    <w:rsid w:val="00F457B5"/>
    <w:rsid w:val="00F45AA8"/>
    <w:rsid w:val="00F46B73"/>
    <w:rsid w:val="00F47A87"/>
    <w:rsid w:val="00F502DD"/>
    <w:rsid w:val="00F50DA9"/>
    <w:rsid w:val="00F50E39"/>
    <w:rsid w:val="00F511D5"/>
    <w:rsid w:val="00F51B2F"/>
    <w:rsid w:val="00F52A1B"/>
    <w:rsid w:val="00F53532"/>
    <w:rsid w:val="00F56882"/>
    <w:rsid w:val="00F63758"/>
    <w:rsid w:val="00F63871"/>
    <w:rsid w:val="00F638FC"/>
    <w:rsid w:val="00F63A40"/>
    <w:rsid w:val="00F63A51"/>
    <w:rsid w:val="00F64DDD"/>
    <w:rsid w:val="00F650C3"/>
    <w:rsid w:val="00F65D85"/>
    <w:rsid w:val="00F65DE7"/>
    <w:rsid w:val="00F673E8"/>
    <w:rsid w:val="00F703A3"/>
    <w:rsid w:val="00F7203C"/>
    <w:rsid w:val="00F72601"/>
    <w:rsid w:val="00F75453"/>
    <w:rsid w:val="00F755AE"/>
    <w:rsid w:val="00F8091E"/>
    <w:rsid w:val="00F80963"/>
    <w:rsid w:val="00F8164D"/>
    <w:rsid w:val="00F84C45"/>
    <w:rsid w:val="00F8615C"/>
    <w:rsid w:val="00F8746B"/>
    <w:rsid w:val="00F90853"/>
    <w:rsid w:val="00F9269E"/>
    <w:rsid w:val="00F95CBD"/>
    <w:rsid w:val="00F96084"/>
    <w:rsid w:val="00F96088"/>
    <w:rsid w:val="00F969E5"/>
    <w:rsid w:val="00F97AEE"/>
    <w:rsid w:val="00F97E54"/>
    <w:rsid w:val="00F97F7E"/>
    <w:rsid w:val="00F97FA3"/>
    <w:rsid w:val="00FA13BC"/>
    <w:rsid w:val="00FA1C6C"/>
    <w:rsid w:val="00FA1C95"/>
    <w:rsid w:val="00FA2E2A"/>
    <w:rsid w:val="00FA57C6"/>
    <w:rsid w:val="00FA6BB0"/>
    <w:rsid w:val="00FB026C"/>
    <w:rsid w:val="00FB1DFB"/>
    <w:rsid w:val="00FB41FB"/>
    <w:rsid w:val="00FB5332"/>
    <w:rsid w:val="00FB656B"/>
    <w:rsid w:val="00FC0220"/>
    <w:rsid w:val="00FC3890"/>
    <w:rsid w:val="00FC3BC7"/>
    <w:rsid w:val="00FC45D9"/>
    <w:rsid w:val="00FC601E"/>
    <w:rsid w:val="00FC788A"/>
    <w:rsid w:val="00FD1AD3"/>
    <w:rsid w:val="00FD236C"/>
    <w:rsid w:val="00FD2728"/>
    <w:rsid w:val="00FD2D77"/>
    <w:rsid w:val="00FD4D25"/>
    <w:rsid w:val="00FD5860"/>
    <w:rsid w:val="00FD74C1"/>
    <w:rsid w:val="00FD771A"/>
    <w:rsid w:val="00FE2F41"/>
    <w:rsid w:val="00FE352D"/>
    <w:rsid w:val="00FE3912"/>
    <w:rsid w:val="00FE40EB"/>
    <w:rsid w:val="00FE4D02"/>
    <w:rsid w:val="00FE51C9"/>
    <w:rsid w:val="00FE6B76"/>
    <w:rsid w:val="00FE6BE1"/>
    <w:rsid w:val="00FE7B2F"/>
    <w:rsid w:val="00FE7D62"/>
    <w:rsid w:val="00FF0C9D"/>
    <w:rsid w:val="00FF2687"/>
    <w:rsid w:val="00FF37C8"/>
    <w:rsid w:val="00FF3819"/>
    <w:rsid w:val="00FF4224"/>
    <w:rsid w:val="00FF4A4C"/>
    <w:rsid w:val="00FF6B3B"/>
    <w:rsid w:val="00FF7DC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E46CE"/>
  <w15:chartTrackingRefBased/>
  <w15:docId w15:val="{8DDDB471-EE99-4B9B-BC08-16683B07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semiHidden/>
    <w:qFormat/>
    <w:rsid w:val="004D2539"/>
    <w:pPr>
      <w:tabs>
        <w:tab w:val="left" w:pos="1247"/>
        <w:tab w:val="left" w:pos="1814"/>
        <w:tab w:val="left" w:pos="2381"/>
        <w:tab w:val="left" w:pos="2948"/>
        <w:tab w:val="left" w:pos="3515"/>
      </w:tabs>
    </w:pPr>
    <w:rPr>
      <w:rFonts w:cs="Simplified Arabic" w:hint="cs"/>
      <w:szCs w:val="30"/>
    </w:rPr>
  </w:style>
  <w:style w:type="paragraph" w:styleId="Heading1">
    <w:name w:val="heading 1"/>
    <w:basedOn w:val="CH1"/>
    <w:next w:val="Normalnumber"/>
    <w:link w:val="Heading1Char"/>
    <w:rsid w:val="00C41DA9"/>
    <w:pPr>
      <w:numPr>
        <w:numId w:val="2"/>
      </w:numPr>
      <w:tabs>
        <w:tab w:val="clear" w:pos="851"/>
        <w:tab w:val="clear" w:pos="1247"/>
        <w:tab w:val="clear" w:pos="4990"/>
      </w:tabs>
      <w:ind w:left="1248" w:right="624" w:hanging="397"/>
      <w:outlineLvl w:val="0"/>
    </w:pPr>
    <w:rPr>
      <w:rFonts w:cs="Simplified Arabic" w:hint="cs"/>
      <w:szCs w:val="25"/>
    </w:rPr>
  </w:style>
  <w:style w:type="paragraph" w:styleId="Heading2">
    <w:name w:val="heading 2"/>
    <w:basedOn w:val="CH2"/>
    <w:next w:val="Normalnumber"/>
    <w:link w:val="Heading2Char"/>
    <w:rsid w:val="00C41DA9"/>
    <w:pPr>
      <w:numPr>
        <w:numId w:val="3"/>
      </w:numPr>
      <w:tabs>
        <w:tab w:val="clear" w:pos="851"/>
        <w:tab w:val="clear" w:pos="1247"/>
        <w:tab w:val="clear" w:pos="4990"/>
      </w:tabs>
      <w:outlineLvl w:val="1"/>
    </w:pPr>
    <w:rPr>
      <w:rFonts w:cs="Simplified Arabic" w:hint="cs"/>
      <w:szCs w:val="25"/>
    </w:rPr>
  </w:style>
  <w:style w:type="paragraph" w:styleId="Heading3">
    <w:name w:val="heading 3"/>
    <w:basedOn w:val="CH3"/>
    <w:next w:val="Normalnumber"/>
    <w:link w:val="Heading3Char"/>
    <w:rsid w:val="00C41DA9"/>
    <w:pPr>
      <w:numPr>
        <w:numId w:val="4"/>
      </w:numPr>
      <w:tabs>
        <w:tab w:val="clear" w:pos="851"/>
        <w:tab w:val="clear" w:pos="1247"/>
        <w:tab w:val="clear" w:pos="4990"/>
      </w:tabs>
      <w:outlineLvl w:val="2"/>
    </w:pPr>
    <w:rPr>
      <w:rFonts w:cs="Simplified Arabic" w:hint="cs"/>
      <w:szCs w:val="25"/>
    </w:rPr>
  </w:style>
  <w:style w:type="paragraph" w:styleId="Heading4">
    <w:name w:val="heading 4"/>
    <w:basedOn w:val="Normal"/>
    <w:next w:val="Normalnumber"/>
    <w:link w:val="Heading4Char"/>
    <w:rsid w:val="00C41DA9"/>
    <w:pPr>
      <w:keepNext/>
      <w:keepLines/>
      <w:numPr>
        <w:ilvl w:val="3"/>
        <w:numId w:val="2"/>
      </w:numPr>
      <w:tabs>
        <w:tab w:val="clear" w:pos="1247"/>
      </w:tabs>
      <w:suppressAutoHyphens/>
      <w:spacing w:before="120"/>
      <w:ind w:left="1248" w:right="624" w:hanging="397"/>
      <w:outlineLvl w:val="3"/>
    </w:pPr>
    <w:rPr>
      <w:b/>
      <w:szCs w:val="25"/>
    </w:rPr>
  </w:style>
  <w:style w:type="paragraph" w:styleId="Heading5">
    <w:name w:val="heading 5"/>
    <w:basedOn w:val="CH5"/>
    <w:next w:val="Normalnumber"/>
    <w:link w:val="Heading5Char"/>
    <w:rsid w:val="00C41DA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C41DA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C41DA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C41DA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C41DA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41DA9"/>
    <w:rPr>
      <w:rFonts w:ascii="Times New Roman" w:hAnsi="Times New Roman"/>
      <w:b/>
      <w:sz w:val="18"/>
    </w:rPr>
  </w:style>
  <w:style w:type="table" w:customStyle="1" w:styleId="Tabledocright">
    <w:name w:val="Table_doc_right"/>
    <w:basedOn w:val="TableNormal"/>
    <w:rsid w:val="00C41DA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C41DA9"/>
    <w:pPr>
      <w:ind w:left="1000"/>
    </w:pPr>
    <w:rPr>
      <w:sz w:val="18"/>
      <w:szCs w:val="18"/>
    </w:rPr>
  </w:style>
  <w:style w:type="paragraph" w:styleId="TOC7">
    <w:name w:val="toc 7"/>
    <w:basedOn w:val="Normal"/>
    <w:next w:val="Normal"/>
    <w:autoRedefine/>
    <w:semiHidden/>
    <w:rsid w:val="00C41DA9"/>
    <w:pPr>
      <w:ind w:left="1200"/>
    </w:pPr>
    <w:rPr>
      <w:sz w:val="18"/>
      <w:szCs w:val="18"/>
    </w:rPr>
  </w:style>
  <w:style w:type="paragraph" w:styleId="TOC8">
    <w:name w:val="toc 8"/>
    <w:basedOn w:val="Normal"/>
    <w:next w:val="Normal"/>
    <w:autoRedefine/>
    <w:semiHidden/>
    <w:rsid w:val="00C41DA9"/>
    <w:pPr>
      <w:ind w:left="1400"/>
    </w:pPr>
    <w:rPr>
      <w:sz w:val="18"/>
      <w:szCs w:val="18"/>
    </w:rPr>
  </w:style>
  <w:style w:type="paragraph" w:styleId="TOC9">
    <w:name w:val="toc 9"/>
    <w:basedOn w:val="Normal"/>
    <w:next w:val="Normal"/>
    <w:autoRedefine/>
    <w:semiHidden/>
    <w:rsid w:val="00C41DA9"/>
    <w:pPr>
      <w:ind w:left="1600"/>
    </w:pPr>
    <w:rPr>
      <w:sz w:val="18"/>
      <w:szCs w:val="18"/>
    </w:rPr>
  </w:style>
  <w:style w:type="paragraph" w:customStyle="1" w:styleId="Titlefigure">
    <w:name w:val="Title_figure"/>
    <w:basedOn w:val="Titletable"/>
    <w:next w:val="NormalNonumber"/>
    <w:rsid w:val="00C41DA9"/>
    <w:pPr>
      <w:tabs>
        <w:tab w:val="clear" w:pos="4990"/>
      </w:tabs>
    </w:pPr>
    <w:rPr>
      <w:bCs w:val="0"/>
    </w:rPr>
  </w:style>
  <w:style w:type="paragraph" w:styleId="TableofFigures">
    <w:name w:val="table of figures"/>
    <w:basedOn w:val="Normal"/>
    <w:next w:val="Normal"/>
    <w:autoRedefine/>
    <w:semiHidden/>
    <w:rsid w:val="00C41DA9"/>
    <w:pPr>
      <w:ind w:left="1814" w:hanging="567"/>
    </w:pPr>
  </w:style>
  <w:style w:type="paragraph" w:customStyle="1" w:styleId="CH1">
    <w:name w:val="CH1"/>
    <w:basedOn w:val="Normal-pool"/>
    <w:next w:val="CH2"/>
    <w:link w:val="CH1Char"/>
    <w:qFormat/>
    <w:rsid w:val="00C41DA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41DA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link w:val="CH3Char"/>
    <w:qFormat/>
    <w:rsid w:val="00C41DA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C41DA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C41DA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C41DA9"/>
    <w:pPr>
      <w:tabs>
        <w:tab w:val="left" w:pos="4321"/>
        <w:tab w:val="right" w:pos="8641"/>
      </w:tabs>
      <w:spacing w:before="60"/>
    </w:pPr>
    <w:rPr>
      <w:b/>
      <w:sz w:val="18"/>
    </w:rPr>
  </w:style>
  <w:style w:type="paragraph" w:customStyle="1" w:styleId="Footer-pool">
    <w:name w:val="Footer-pool"/>
    <w:basedOn w:val="Normal-pool"/>
    <w:next w:val="Normal-pool"/>
    <w:rsid w:val="00C41DA9"/>
    <w:pPr>
      <w:tabs>
        <w:tab w:val="right" w:pos="8641"/>
      </w:tabs>
      <w:spacing w:after="120"/>
    </w:pPr>
    <w:rPr>
      <w:b/>
      <w:sz w:val="18"/>
    </w:rPr>
  </w:style>
  <w:style w:type="paragraph" w:customStyle="1" w:styleId="Header-pool">
    <w:name w:val="Header-pool"/>
    <w:basedOn w:val="Normal"/>
    <w:next w:val="Normal"/>
    <w:rsid w:val="00C41DA9"/>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
    <w:unhideWhenUsed/>
    <w:qFormat/>
    <w:rsid w:val="00C41DA9"/>
    <w:rPr>
      <w:rFonts w:ascii="Times New Roman" w:hAnsi="Times New Roman"/>
      <w:color w:val="auto"/>
      <w:sz w:val="20"/>
      <w:szCs w:val="18"/>
      <w:vertAlign w:val="superscript"/>
    </w:rPr>
  </w:style>
  <w:style w:type="table" w:customStyle="1" w:styleId="AATable">
    <w:name w:val="AA_Table"/>
    <w:basedOn w:val="TableNormal"/>
    <w:semiHidden/>
    <w:rsid w:val="00C41DA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C41DA9"/>
    <w:pPr>
      <w:keepNext/>
      <w:keepLines/>
      <w:suppressAutoHyphens/>
    </w:pPr>
    <w:rPr>
      <w:b/>
    </w:rPr>
  </w:style>
  <w:style w:type="paragraph" w:customStyle="1" w:styleId="AATitle2">
    <w:name w:val="AA_Title2"/>
    <w:basedOn w:val="AATitle"/>
    <w:rsid w:val="00C41DA9"/>
    <w:pPr>
      <w:keepNext w:val="0"/>
      <w:keepLines w:val="0"/>
      <w:tabs>
        <w:tab w:val="clear" w:pos="4990"/>
      </w:tabs>
      <w:spacing w:before="120" w:after="120"/>
    </w:pPr>
  </w:style>
  <w:style w:type="paragraph" w:customStyle="1" w:styleId="BBTitle">
    <w:name w:val="BB_Title"/>
    <w:basedOn w:val="Normal-pool"/>
    <w:link w:val="BBTitleChar"/>
    <w:qFormat/>
    <w:rsid w:val="00C41DA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C41DA9"/>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C41DA9"/>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C41DA9"/>
    <w:rPr>
      <w:color w:val="0000FF"/>
      <w:u w:val="none"/>
    </w:rPr>
  </w:style>
  <w:style w:type="numbering" w:customStyle="1" w:styleId="Normallist">
    <w:name w:val="Normal_list"/>
    <w:basedOn w:val="NoList"/>
    <w:rsid w:val="00C41DA9"/>
    <w:pPr>
      <w:numPr>
        <w:numId w:val="16"/>
      </w:numPr>
    </w:pPr>
  </w:style>
  <w:style w:type="paragraph" w:customStyle="1" w:styleId="NormalNonumber">
    <w:name w:val="Normal_No_number"/>
    <w:basedOn w:val="Normal-pool"/>
    <w:link w:val="NormalNonumberChar"/>
    <w:qFormat/>
    <w:rsid w:val="00C41DA9"/>
    <w:pPr>
      <w:spacing w:after="120"/>
      <w:ind w:left="1247"/>
    </w:pPr>
  </w:style>
  <w:style w:type="paragraph" w:customStyle="1" w:styleId="Normalnumber">
    <w:name w:val="Normal_number"/>
    <w:basedOn w:val="Normal"/>
    <w:link w:val="NormalnumberChar"/>
    <w:qFormat/>
    <w:rsid w:val="00C41DA9"/>
    <w:pPr>
      <w:numPr>
        <w:numId w:val="1"/>
      </w:numPr>
      <w:spacing w:after="120"/>
    </w:pPr>
  </w:style>
  <w:style w:type="paragraph" w:customStyle="1" w:styleId="Titletable">
    <w:name w:val="Title_table"/>
    <w:basedOn w:val="Normal-pool"/>
    <w:next w:val="NormalNonumber"/>
    <w:rsid w:val="00C41DA9"/>
    <w:pPr>
      <w:keepNext/>
      <w:keepLines/>
      <w:suppressAutoHyphens/>
      <w:spacing w:after="60"/>
      <w:ind w:left="1247"/>
    </w:pPr>
    <w:rPr>
      <w:b/>
      <w:bCs/>
    </w:rPr>
  </w:style>
  <w:style w:type="paragraph" w:styleId="TOC1">
    <w:name w:val="toc 1"/>
    <w:basedOn w:val="Normal"/>
    <w:next w:val="Normal"/>
    <w:autoRedefine/>
    <w:uiPriority w:val="39"/>
    <w:rsid w:val="00C41DA9"/>
    <w:pPr>
      <w:tabs>
        <w:tab w:val="right" w:leader="dot" w:pos="9486"/>
      </w:tabs>
      <w:spacing w:before="240"/>
      <w:ind w:left="1984" w:hanging="737"/>
    </w:pPr>
    <w:rPr>
      <w:bCs/>
    </w:rPr>
  </w:style>
  <w:style w:type="paragraph" w:styleId="TOC2">
    <w:name w:val="toc 2"/>
    <w:basedOn w:val="Normal"/>
    <w:next w:val="Normal"/>
    <w:uiPriority w:val="39"/>
    <w:rsid w:val="00C41DA9"/>
    <w:pPr>
      <w:tabs>
        <w:tab w:val="right" w:leader="dot" w:pos="9486"/>
      </w:tabs>
      <w:spacing w:before="60"/>
      <w:ind w:left="2608" w:hanging="737"/>
    </w:pPr>
  </w:style>
  <w:style w:type="paragraph" w:styleId="TOC3">
    <w:name w:val="toc 3"/>
    <w:basedOn w:val="Normal"/>
    <w:next w:val="Normal"/>
    <w:uiPriority w:val="39"/>
    <w:rsid w:val="00C41DA9"/>
    <w:pPr>
      <w:tabs>
        <w:tab w:val="right" w:leader="dot" w:pos="9486"/>
      </w:tabs>
      <w:ind w:left="3232" w:hanging="737"/>
    </w:pPr>
    <w:rPr>
      <w:iCs/>
    </w:rPr>
  </w:style>
  <w:style w:type="paragraph" w:styleId="TOC4">
    <w:name w:val="toc 4"/>
    <w:basedOn w:val="Normal"/>
    <w:next w:val="Normal"/>
    <w:uiPriority w:val="39"/>
    <w:rsid w:val="00C41DA9"/>
    <w:pPr>
      <w:tabs>
        <w:tab w:val="left" w:pos="1000"/>
        <w:tab w:val="right" w:leader="dot" w:pos="9486"/>
      </w:tabs>
      <w:ind w:left="3856" w:hanging="737"/>
    </w:pPr>
    <w:rPr>
      <w:szCs w:val="18"/>
    </w:rPr>
  </w:style>
  <w:style w:type="paragraph" w:styleId="TOC5">
    <w:name w:val="toc 5"/>
    <w:basedOn w:val="Normal"/>
    <w:next w:val="Normal"/>
    <w:uiPriority w:val="39"/>
    <w:rsid w:val="00C41DA9"/>
    <w:pPr>
      <w:tabs>
        <w:tab w:val="right" w:leader="dot" w:pos="9486"/>
      </w:tabs>
      <w:ind w:left="4479" w:hanging="737"/>
    </w:pPr>
    <w:rPr>
      <w:sz w:val="18"/>
      <w:szCs w:val="18"/>
    </w:rPr>
  </w:style>
  <w:style w:type="paragraph" w:customStyle="1" w:styleId="ZZAnxheader">
    <w:name w:val="ZZ_Anx_header"/>
    <w:basedOn w:val="Normal-pool"/>
    <w:rsid w:val="00C41DA9"/>
    <w:rPr>
      <w:b/>
      <w:bCs/>
      <w:sz w:val="28"/>
      <w:szCs w:val="22"/>
    </w:rPr>
  </w:style>
  <w:style w:type="paragraph" w:customStyle="1" w:styleId="ZZAnxtitle">
    <w:name w:val="ZZ_Anx_title"/>
    <w:basedOn w:val="Normal-pool"/>
    <w:rsid w:val="00C41DA9"/>
    <w:pPr>
      <w:spacing w:before="360" w:after="120"/>
      <w:ind w:left="1247"/>
    </w:pPr>
    <w:rPr>
      <w:b/>
      <w:bCs/>
      <w:sz w:val="28"/>
      <w:szCs w:val="26"/>
    </w:rPr>
  </w:style>
  <w:style w:type="paragraph" w:styleId="NormalWeb">
    <w:name w:val="Normal (Web)"/>
    <w:basedOn w:val="Normal"/>
    <w:uiPriority w:val="99"/>
    <w:semiHidden/>
    <w:unhideWhenUsed/>
    <w:rsid w:val="00C41DA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C41DA9"/>
    <w:pPr>
      <w:spacing w:before="40" w:after="40"/>
    </w:pPr>
    <w:rPr>
      <w:sz w:val="18"/>
    </w:rPr>
  </w:style>
  <w:style w:type="paragraph" w:customStyle="1" w:styleId="Footnote-Text">
    <w:name w:val="Footnote-Text"/>
    <w:basedOn w:val="Normal-pool"/>
    <w:rsid w:val="00C41DA9"/>
    <w:pPr>
      <w:spacing w:before="20" w:after="40"/>
      <w:ind w:left="1247"/>
    </w:pPr>
    <w:rPr>
      <w:sz w:val="18"/>
    </w:rPr>
  </w:style>
  <w:style w:type="paragraph" w:customStyle="1" w:styleId="AConvName">
    <w:name w:val="A_ConvName"/>
    <w:basedOn w:val="Normal-pool"/>
    <w:next w:val="Normal-pool"/>
    <w:rsid w:val="00C41DA9"/>
    <w:pPr>
      <w:spacing w:before="120" w:after="240"/>
    </w:pPr>
    <w:rPr>
      <w:rFonts w:ascii="Arial" w:hAnsi="Arial"/>
      <w:b/>
      <w:sz w:val="28"/>
    </w:rPr>
  </w:style>
  <w:style w:type="paragraph" w:customStyle="1" w:styleId="ASymbol">
    <w:name w:val="A_Symbol"/>
    <w:basedOn w:val="Normal-pool"/>
    <w:rsid w:val="00C41DA9"/>
    <w:pPr>
      <w:tabs>
        <w:tab w:val="clear" w:pos="624"/>
        <w:tab w:val="clear" w:pos="1247"/>
        <w:tab w:val="right" w:pos="2920"/>
      </w:tabs>
    </w:pPr>
    <w:rPr>
      <w:rFonts w:eastAsia="SimSun"/>
    </w:rPr>
  </w:style>
  <w:style w:type="paragraph" w:customStyle="1" w:styleId="AText">
    <w:name w:val="A_Text"/>
    <w:basedOn w:val="Normal-pool"/>
    <w:rsid w:val="00C41DA9"/>
    <w:pPr>
      <w:spacing w:before="120"/>
    </w:pPr>
  </w:style>
  <w:style w:type="paragraph" w:customStyle="1" w:styleId="ATwoLetters">
    <w:name w:val="A_TwoLetters"/>
    <w:basedOn w:val="Normal-pool"/>
    <w:next w:val="Normal-pool"/>
    <w:rsid w:val="00C41DA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C41DA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C41DA9"/>
    <w:rPr>
      <w:rFonts w:ascii="Tahoma" w:hAnsi="Tahoma" w:cs="Tahoma"/>
      <w:sz w:val="16"/>
      <w:szCs w:val="16"/>
    </w:rPr>
  </w:style>
  <w:style w:type="character" w:customStyle="1" w:styleId="BalloonTextChar">
    <w:name w:val="Balloon Text Char"/>
    <w:basedOn w:val="DefaultParagraphFont"/>
    <w:link w:val="BalloonText"/>
    <w:rsid w:val="00C41D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41DA9"/>
    <w:rPr>
      <w:sz w:val="16"/>
      <w:szCs w:val="16"/>
    </w:rPr>
  </w:style>
  <w:style w:type="paragraph" w:styleId="CommentText">
    <w:name w:val="annotation text"/>
    <w:basedOn w:val="Normal"/>
    <w:link w:val="CommentTextChar"/>
    <w:uiPriority w:val="99"/>
    <w:unhideWhenUsed/>
    <w:rsid w:val="00C41DA9"/>
  </w:style>
  <w:style w:type="character" w:customStyle="1" w:styleId="CommentTextChar">
    <w:name w:val="Comment Text Char"/>
    <w:basedOn w:val="DefaultParagraphFont"/>
    <w:link w:val="CommentText"/>
    <w:uiPriority w:val="99"/>
    <w:rsid w:val="00C41DA9"/>
    <w:rPr>
      <w:rFonts w:eastAsia="Times New Roman"/>
    </w:rPr>
  </w:style>
  <w:style w:type="paragraph" w:styleId="CommentSubject">
    <w:name w:val="annotation subject"/>
    <w:basedOn w:val="CommentText"/>
    <w:next w:val="CommentText"/>
    <w:link w:val="CommentSubjectChar"/>
    <w:semiHidden/>
    <w:unhideWhenUsed/>
    <w:rsid w:val="00C41DA9"/>
    <w:rPr>
      <w:b/>
      <w:bCs/>
    </w:rPr>
  </w:style>
  <w:style w:type="character" w:customStyle="1" w:styleId="CommentSubjectChar">
    <w:name w:val="Comment Subject Char"/>
    <w:basedOn w:val="CommentTextChar"/>
    <w:link w:val="CommentSubject"/>
    <w:semiHidden/>
    <w:rsid w:val="00C41DA9"/>
    <w:rPr>
      <w:rFonts w:eastAsia="Times New Roman"/>
      <w:b/>
      <w:bCs/>
    </w:rPr>
  </w:style>
  <w:style w:type="character" w:styleId="FollowedHyperlink">
    <w:name w:val="FollowedHyperlink"/>
    <w:uiPriority w:val="99"/>
    <w:semiHidden/>
    <w:rsid w:val="00C41DA9"/>
    <w:rPr>
      <w:color w:val="0000FF"/>
      <w:u w:val="none"/>
    </w:rPr>
  </w:style>
  <w:style w:type="character" w:customStyle="1" w:styleId="FooterChar">
    <w:name w:val="Footer Char"/>
    <w:basedOn w:val="DefaultParagraphFont"/>
    <w:link w:val="CH4"/>
    <w:rsid w:val="00C41DA9"/>
    <w:rPr>
      <w:rFonts w:eastAsia="Times New Roman"/>
      <w:b/>
    </w:rPr>
  </w:style>
  <w:style w:type="character" w:customStyle="1" w:styleId="HeaderChar">
    <w:name w:val="Header Char"/>
    <w:basedOn w:val="DefaultParagraphFont"/>
    <w:link w:val="Header"/>
    <w:semiHidden/>
    <w:rsid w:val="00C41DA9"/>
    <w:rPr>
      <w:rFonts w:eastAsia="Times New Roman"/>
      <w:b/>
      <w:sz w:val="18"/>
    </w:rPr>
  </w:style>
  <w:style w:type="character" w:customStyle="1" w:styleId="Heading1Char">
    <w:name w:val="Heading 1 Char"/>
    <w:basedOn w:val="DefaultParagraphFont"/>
    <w:link w:val="Heading1"/>
    <w:rsid w:val="004D2539"/>
    <w:rPr>
      <w:rFonts w:eastAsia="Times New Roman" w:cs="Simplified Arabic"/>
      <w:b/>
      <w:sz w:val="28"/>
      <w:szCs w:val="25"/>
    </w:rPr>
  </w:style>
  <w:style w:type="character" w:customStyle="1" w:styleId="Heading2Char">
    <w:name w:val="Heading 2 Char"/>
    <w:basedOn w:val="DefaultParagraphFont"/>
    <w:link w:val="Heading2"/>
    <w:rsid w:val="004D2539"/>
    <w:rPr>
      <w:rFonts w:eastAsia="Times New Roman" w:cs="Simplified Arabic"/>
      <w:b/>
      <w:sz w:val="24"/>
      <w:szCs w:val="25"/>
    </w:rPr>
  </w:style>
  <w:style w:type="character" w:customStyle="1" w:styleId="Heading3Char">
    <w:name w:val="Heading 3 Char"/>
    <w:basedOn w:val="DefaultParagraphFont"/>
    <w:link w:val="Heading3"/>
    <w:rsid w:val="004D2539"/>
    <w:rPr>
      <w:rFonts w:eastAsia="Times New Roman" w:cs="Simplified Arabic"/>
      <w:b/>
      <w:szCs w:val="25"/>
    </w:rPr>
  </w:style>
  <w:style w:type="character" w:customStyle="1" w:styleId="Heading4Char">
    <w:name w:val="Heading 4 Char"/>
    <w:basedOn w:val="DefaultParagraphFont"/>
    <w:link w:val="Heading4"/>
    <w:rsid w:val="004D2539"/>
    <w:rPr>
      <w:rFonts w:cs="Simplified Arabic"/>
      <w:b/>
      <w:szCs w:val="25"/>
    </w:rPr>
  </w:style>
  <w:style w:type="character" w:customStyle="1" w:styleId="Heading5Char">
    <w:name w:val="Heading 5 Char"/>
    <w:basedOn w:val="DefaultParagraphFont"/>
    <w:link w:val="Heading5"/>
    <w:rsid w:val="004D2539"/>
    <w:rPr>
      <w:rFonts w:eastAsia="Times New Roman"/>
      <w:b/>
    </w:rPr>
  </w:style>
  <w:style w:type="character" w:customStyle="1" w:styleId="Heading6Char">
    <w:name w:val="Heading 6 Char"/>
    <w:basedOn w:val="DefaultParagraphFont"/>
    <w:link w:val="Heading6"/>
    <w:semiHidden/>
    <w:rsid w:val="00C41DA9"/>
    <w:rPr>
      <w:rFonts w:eastAsia="Times New Roman"/>
      <w:bCs/>
      <w:sz w:val="24"/>
    </w:rPr>
  </w:style>
  <w:style w:type="character" w:customStyle="1" w:styleId="Heading7Char">
    <w:name w:val="Heading 7 Char"/>
    <w:basedOn w:val="DefaultParagraphFont"/>
    <w:link w:val="Heading7"/>
    <w:semiHidden/>
    <w:rsid w:val="00C41DA9"/>
    <w:rPr>
      <w:rFonts w:eastAsia="Times New Roman"/>
      <w:b/>
      <w:snapToGrid w:val="0"/>
      <w:u w:val="single"/>
    </w:rPr>
  </w:style>
  <w:style w:type="character" w:customStyle="1" w:styleId="Heading8Char">
    <w:name w:val="Heading 8 Char"/>
    <w:basedOn w:val="DefaultParagraphFont"/>
    <w:link w:val="Heading8"/>
    <w:semiHidden/>
    <w:rsid w:val="00C41DA9"/>
    <w:rPr>
      <w:rFonts w:eastAsia="Times New Roman"/>
      <w:b/>
      <w:snapToGrid w:val="0"/>
      <w:u w:val="single"/>
    </w:rPr>
  </w:style>
  <w:style w:type="character" w:customStyle="1" w:styleId="Heading9Char">
    <w:name w:val="Heading 9 Char"/>
    <w:basedOn w:val="DefaultParagraphFont"/>
    <w:link w:val="Heading9"/>
    <w:semiHidden/>
    <w:rsid w:val="00C41DA9"/>
    <w:rPr>
      <w:rFonts w:cs="Simplified Arabic"/>
      <w:snapToGrid w:val="0"/>
      <w:szCs w:val="30"/>
      <w:u w:val="single"/>
    </w:rPr>
  </w:style>
  <w:style w:type="paragraph" w:styleId="ListParagraph">
    <w:name w:val="List Paragraph"/>
    <w:basedOn w:val="Normal"/>
    <w:uiPriority w:val="34"/>
    <w:qFormat/>
    <w:rsid w:val="00C41DA9"/>
    <w:pPr>
      <w:ind w:left="720"/>
      <w:contextualSpacing/>
    </w:pPr>
  </w:style>
  <w:style w:type="paragraph" w:styleId="NoSpacing">
    <w:name w:val="No Spacing"/>
    <w:uiPriority w:val="1"/>
    <w:semiHidden/>
    <w:qFormat/>
    <w:rsid w:val="00C41DA9"/>
    <w:rPr>
      <w:rFonts w:asciiTheme="minorHAnsi" w:eastAsiaTheme="minorHAnsi" w:hAnsiTheme="minorHAnsi" w:cstheme="minorBidi"/>
      <w:sz w:val="22"/>
      <w:szCs w:val="22"/>
    </w:rPr>
  </w:style>
  <w:style w:type="character" w:customStyle="1" w:styleId="NormalnumberChar">
    <w:name w:val="Normal_number Char"/>
    <w:link w:val="Normalnumber"/>
    <w:rsid w:val="00C41DA9"/>
    <w:rPr>
      <w:rFonts w:cs="Simplified Arabic"/>
      <w:szCs w:val="30"/>
    </w:rPr>
  </w:style>
  <w:style w:type="character" w:styleId="PlaceholderText">
    <w:name w:val="Placeholder Text"/>
    <w:basedOn w:val="DefaultParagraphFont"/>
    <w:uiPriority w:val="99"/>
    <w:semiHidden/>
    <w:rsid w:val="00C41DA9"/>
    <w:rPr>
      <w:color w:val="808080"/>
    </w:rPr>
  </w:style>
  <w:style w:type="table" w:styleId="TableGrid">
    <w:name w:val="Table Grid"/>
    <w:basedOn w:val="TableNormal"/>
    <w:rsid w:val="00C41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C41DA9"/>
    <w:pPr>
      <w:spacing w:before="120" w:after="240"/>
    </w:pPr>
  </w:style>
  <w:style w:type="character" w:customStyle="1" w:styleId="ALogoChar">
    <w:name w:val="A_Logo Char"/>
    <w:basedOn w:val="DefaultParagraphFont"/>
    <w:link w:val="ALogo"/>
    <w:rsid w:val="00C41DA9"/>
    <w:rPr>
      <w:rFonts w:eastAsia="Times New Roman"/>
    </w:rPr>
  </w:style>
  <w:style w:type="paragraph" w:customStyle="1" w:styleId="ASpacer">
    <w:name w:val="A_Spacer"/>
    <w:basedOn w:val="Normal-pool"/>
    <w:link w:val="ASpacerChar"/>
    <w:rsid w:val="00C41DA9"/>
    <w:rPr>
      <w:sz w:val="2"/>
    </w:rPr>
  </w:style>
  <w:style w:type="character" w:customStyle="1" w:styleId="ASpacerChar">
    <w:name w:val="A_Spacer Char"/>
    <w:basedOn w:val="DefaultParagraphFont"/>
    <w:link w:val="ASpacer"/>
    <w:rsid w:val="00C41DA9"/>
    <w:rPr>
      <w:rFonts w:eastAsia="Times New Roman"/>
      <w:sz w:val="2"/>
    </w:rPr>
  </w:style>
  <w:style w:type="paragraph" w:customStyle="1" w:styleId="AATitle1">
    <w:name w:val="AA_Title1"/>
    <w:basedOn w:val="Normal-pool"/>
    <w:rsid w:val="00C41DA9"/>
  </w:style>
  <w:style w:type="character" w:styleId="UnresolvedMention">
    <w:name w:val="Unresolved Mention"/>
    <w:basedOn w:val="DefaultParagraphFont"/>
    <w:uiPriority w:val="99"/>
    <w:semiHidden/>
    <w:rsid w:val="00C41DA9"/>
    <w:rPr>
      <w:color w:val="605E5C"/>
      <w:shd w:val="clear" w:color="auto" w:fill="E1DFDD"/>
    </w:rPr>
  </w:style>
  <w:style w:type="paragraph" w:customStyle="1" w:styleId="ANormal">
    <w:name w:val="A_Normal"/>
    <w:basedOn w:val="Normal-pool"/>
    <w:rsid w:val="00C41DA9"/>
  </w:style>
  <w:style w:type="paragraph" w:customStyle="1" w:styleId="AText0">
    <w:name w:val="A_Text0"/>
    <w:basedOn w:val="AText"/>
    <w:next w:val="AText"/>
    <w:rsid w:val="00C41DA9"/>
    <w:pPr>
      <w:tabs>
        <w:tab w:val="clear" w:pos="4990"/>
      </w:tabs>
      <w:spacing w:before="0" w:after="120"/>
    </w:pPr>
  </w:style>
  <w:style w:type="paragraph" w:customStyle="1" w:styleId="Normal-pool">
    <w:name w:val="Normal-pool"/>
    <w:link w:val="Normal-poolChar"/>
    <w:qFormat/>
    <w:rsid w:val="00C41DA9"/>
    <w:pPr>
      <w:tabs>
        <w:tab w:val="left" w:pos="624"/>
        <w:tab w:val="left" w:pos="1247"/>
        <w:tab w:val="left" w:pos="1871"/>
        <w:tab w:val="left" w:pos="2495"/>
        <w:tab w:val="left" w:pos="3119"/>
        <w:tab w:val="left" w:pos="3742"/>
        <w:tab w:val="left" w:pos="4366"/>
        <w:tab w:val="left" w:pos="4990"/>
      </w:tabs>
    </w:pPr>
    <w:rPr>
      <w:rFonts w:eastAsia="Times New Roman"/>
    </w:rPr>
  </w:style>
  <w:style w:type="paragraph" w:customStyle="1" w:styleId="Footer-jobnumber">
    <w:name w:val="Footer-jobnumber"/>
    <w:basedOn w:val="Normal-pool"/>
    <w:qFormat/>
    <w:rsid w:val="00C41DA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C41DA9"/>
    <w:pPr>
      <w:spacing w:before="60"/>
      <w:ind w:left="624"/>
    </w:pPr>
    <w:rPr>
      <w:rFonts w:eastAsiaTheme="minorEastAsia"/>
      <w:sz w:val="18"/>
    </w:rPr>
  </w:style>
  <w:style w:type="paragraph" w:styleId="Bibliography">
    <w:name w:val="Bibliography"/>
    <w:basedOn w:val="Normal"/>
    <w:next w:val="Normal"/>
    <w:uiPriority w:val="37"/>
    <w:semiHidden/>
    <w:rsid w:val="00C41DA9"/>
  </w:style>
  <w:style w:type="paragraph" w:styleId="BlockText">
    <w:name w:val="Block Text"/>
    <w:basedOn w:val="Normal"/>
    <w:uiPriority w:val="99"/>
    <w:semiHidden/>
    <w:unhideWhenUsed/>
    <w:rsid w:val="00C41DA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41DA9"/>
    <w:pPr>
      <w:spacing w:after="120"/>
    </w:pPr>
  </w:style>
  <w:style w:type="character" w:customStyle="1" w:styleId="BodyTextChar">
    <w:name w:val="Body Text Char"/>
    <w:basedOn w:val="DefaultParagraphFont"/>
    <w:link w:val="BodyText"/>
    <w:uiPriority w:val="99"/>
    <w:semiHidden/>
    <w:rsid w:val="00C41DA9"/>
    <w:rPr>
      <w:rFonts w:eastAsia="Times New Roman"/>
    </w:rPr>
  </w:style>
  <w:style w:type="paragraph" w:styleId="BodyText2">
    <w:name w:val="Body Text 2"/>
    <w:basedOn w:val="Normal"/>
    <w:link w:val="BodyText2Char"/>
    <w:uiPriority w:val="99"/>
    <w:semiHidden/>
    <w:unhideWhenUsed/>
    <w:rsid w:val="00C41DA9"/>
    <w:pPr>
      <w:spacing w:after="120" w:line="480" w:lineRule="auto"/>
    </w:pPr>
  </w:style>
  <w:style w:type="character" w:customStyle="1" w:styleId="BodyText2Char">
    <w:name w:val="Body Text 2 Char"/>
    <w:basedOn w:val="DefaultParagraphFont"/>
    <w:link w:val="BodyText2"/>
    <w:uiPriority w:val="99"/>
    <w:semiHidden/>
    <w:rsid w:val="00C41DA9"/>
    <w:rPr>
      <w:rFonts w:eastAsia="Times New Roman"/>
    </w:rPr>
  </w:style>
  <w:style w:type="paragraph" w:styleId="BodyText3">
    <w:name w:val="Body Text 3"/>
    <w:basedOn w:val="Normal"/>
    <w:link w:val="BodyText3Char"/>
    <w:uiPriority w:val="99"/>
    <w:semiHidden/>
    <w:unhideWhenUsed/>
    <w:rsid w:val="00C41DA9"/>
    <w:pPr>
      <w:spacing w:after="120"/>
    </w:pPr>
    <w:rPr>
      <w:sz w:val="16"/>
      <w:szCs w:val="16"/>
    </w:rPr>
  </w:style>
  <w:style w:type="character" w:customStyle="1" w:styleId="BodyText3Char">
    <w:name w:val="Body Text 3 Char"/>
    <w:basedOn w:val="DefaultParagraphFont"/>
    <w:link w:val="BodyText3"/>
    <w:uiPriority w:val="99"/>
    <w:semiHidden/>
    <w:rsid w:val="00C41DA9"/>
    <w:rPr>
      <w:rFonts w:eastAsia="Times New Roman"/>
      <w:sz w:val="16"/>
      <w:szCs w:val="16"/>
    </w:rPr>
  </w:style>
  <w:style w:type="paragraph" w:styleId="BodyTextFirstIndent">
    <w:name w:val="Body Text First Indent"/>
    <w:basedOn w:val="BodyText"/>
    <w:link w:val="BodyTextFirstIndentChar"/>
    <w:uiPriority w:val="99"/>
    <w:semiHidden/>
    <w:unhideWhenUsed/>
    <w:rsid w:val="00C41DA9"/>
    <w:pPr>
      <w:spacing w:after="0"/>
      <w:ind w:firstLine="360"/>
    </w:pPr>
  </w:style>
  <w:style w:type="character" w:customStyle="1" w:styleId="BodyTextFirstIndentChar">
    <w:name w:val="Body Text First Indent Char"/>
    <w:basedOn w:val="BodyTextChar"/>
    <w:link w:val="BodyTextFirstIndent"/>
    <w:uiPriority w:val="99"/>
    <w:semiHidden/>
    <w:rsid w:val="00C41DA9"/>
    <w:rPr>
      <w:rFonts w:eastAsia="Times New Roman"/>
    </w:rPr>
  </w:style>
  <w:style w:type="paragraph" w:styleId="BodyTextIndent">
    <w:name w:val="Body Text Indent"/>
    <w:basedOn w:val="Normal"/>
    <w:link w:val="BodyTextIndentChar"/>
    <w:uiPriority w:val="99"/>
    <w:semiHidden/>
    <w:unhideWhenUsed/>
    <w:rsid w:val="00C41DA9"/>
    <w:pPr>
      <w:spacing w:after="120"/>
      <w:ind w:left="283"/>
    </w:pPr>
  </w:style>
  <w:style w:type="character" w:customStyle="1" w:styleId="BodyTextIndentChar">
    <w:name w:val="Body Text Indent Char"/>
    <w:basedOn w:val="DefaultParagraphFont"/>
    <w:link w:val="BodyTextIndent"/>
    <w:uiPriority w:val="99"/>
    <w:semiHidden/>
    <w:rsid w:val="00C41DA9"/>
    <w:rPr>
      <w:rFonts w:eastAsia="Times New Roman"/>
    </w:rPr>
  </w:style>
  <w:style w:type="paragraph" w:styleId="BodyTextFirstIndent2">
    <w:name w:val="Body Text First Indent 2"/>
    <w:basedOn w:val="BodyTextIndent"/>
    <w:link w:val="BodyTextFirstIndent2Char"/>
    <w:uiPriority w:val="99"/>
    <w:semiHidden/>
    <w:unhideWhenUsed/>
    <w:rsid w:val="00C41DA9"/>
    <w:pPr>
      <w:spacing w:after="0"/>
      <w:ind w:left="360" w:firstLine="360"/>
    </w:pPr>
  </w:style>
  <w:style w:type="character" w:customStyle="1" w:styleId="BodyTextFirstIndent2Char">
    <w:name w:val="Body Text First Indent 2 Char"/>
    <w:basedOn w:val="BodyTextIndentChar"/>
    <w:link w:val="BodyTextFirstIndent2"/>
    <w:uiPriority w:val="99"/>
    <w:semiHidden/>
    <w:rsid w:val="00C41DA9"/>
    <w:rPr>
      <w:rFonts w:eastAsia="Times New Roman"/>
    </w:rPr>
  </w:style>
  <w:style w:type="paragraph" w:styleId="BodyTextIndent2">
    <w:name w:val="Body Text Indent 2"/>
    <w:basedOn w:val="Normal"/>
    <w:link w:val="BodyTextIndent2Char"/>
    <w:uiPriority w:val="99"/>
    <w:semiHidden/>
    <w:unhideWhenUsed/>
    <w:rsid w:val="00C41DA9"/>
    <w:pPr>
      <w:spacing w:after="120" w:line="480" w:lineRule="auto"/>
      <w:ind w:left="283"/>
    </w:pPr>
  </w:style>
  <w:style w:type="character" w:customStyle="1" w:styleId="BodyTextIndent2Char">
    <w:name w:val="Body Text Indent 2 Char"/>
    <w:basedOn w:val="DefaultParagraphFont"/>
    <w:link w:val="BodyTextIndent2"/>
    <w:uiPriority w:val="99"/>
    <w:semiHidden/>
    <w:rsid w:val="00C41DA9"/>
    <w:rPr>
      <w:rFonts w:eastAsia="Times New Roman"/>
    </w:rPr>
  </w:style>
  <w:style w:type="paragraph" w:styleId="BodyTextIndent3">
    <w:name w:val="Body Text Indent 3"/>
    <w:basedOn w:val="Normal"/>
    <w:link w:val="BodyTextIndent3Char"/>
    <w:uiPriority w:val="99"/>
    <w:semiHidden/>
    <w:unhideWhenUsed/>
    <w:rsid w:val="00C41DA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1DA9"/>
    <w:rPr>
      <w:rFonts w:eastAsia="Times New Roman"/>
      <w:sz w:val="16"/>
      <w:szCs w:val="16"/>
    </w:rPr>
  </w:style>
  <w:style w:type="character" w:styleId="BookTitle">
    <w:name w:val="Book Title"/>
    <w:basedOn w:val="DefaultParagraphFont"/>
    <w:uiPriority w:val="33"/>
    <w:semiHidden/>
    <w:qFormat/>
    <w:rsid w:val="00C41DA9"/>
    <w:rPr>
      <w:b/>
      <w:bCs/>
      <w:i/>
      <w:iCs/>
      <w:spacing w:val="5"/>
    </w:rPr>
  </w:style>
  <w:style w:type="paragraph" w:styleId="Caption">
    <w:name w:val="caption"/>
    <w:basedOn w:val="Normal"/>
    <w:next w:val="Normal"/>
    <w:uiPriority w:val="35"/>
    <w:semiHidden/>
    <w:unhideWhenUsed/>
    <w:qFormat/>
    <w:rsid w:val="00C41DA9"/>
    <w:pPr>
      <w:spacing w:after="200"/>
    </w:pPr>
    <w:rPr>
      <w:i/>
      <w:iCs/>
      <w:color w:val="1F497D" w:themeColor="text2"/>
      <w:sz w:val="18"/>
      <w:szCs w:val="18"/>
    </w:rPr>
  </w:style>
  <w:style w:type="paragraph" w:styleId="Closing">
    <w:name w:val="Closing"/>
    <w:basedOn w:val="Normal"/>
    <w:link w:val="ClosingChar"/>
    <w:uiPriority w:val="99"/>
    <w:semiHidden/>
    <w:unhideWhenUsed/>
    <w:rsid w:val="00C41DA9"/>
    <w:pPr>
      <w:ind w:left="4252"/>
    </w:pPr>
  </w:style>
  <w:style w:type="character" w:customStyle="1" w:styleId="ClosingChar">
    <w:name w:val="Closing Char"/>
    <w:basedOn w:val="DefaultParagraphFont"/>
    <w:link w:val="Closing"/>
    <w:uiPriority w:val="99"/>
    <w:semiHidden/>
    <w:rsid w:val="00C41DA9"/>
    <w:rPr>
      <w:rFonts w:eastAsia="Times New Roman"/>
    </w:rPr>
  </w:style>
  <w:style w:type="table" w:styleId="ColorfulGrid">
    <w:name w:val="Colorful Grid"/>
    <w:basedOn w:val="TableNormal"/>
    <w:uiPriority w:val="73"/>
    <w:semiHidden/>
    <w:unhideWhenUsed/>
    <w:rsid w:val="00C41DA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41DA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41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41DA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41DA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41DA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41DA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41DA9"/>
    <w:rPr>
      <w:rFonts w:cs="Simplified Arabic" w:hint="c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41DA9"/>
    <w:rPr>
      <w:rFonts w:cs="Simplified Arabic" w:hint="cs"/>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41DA9"/>
    <w:rPr>
      <w:rFonts w:cs="Simplified Arabic" w:hint="cs"/>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41DA9"/>
    <w:rPr>
      <w:rFonts w:cs="Simplified Arabic" w:hint="cs"/>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41DA9"/>
    <w:rPr>
      <w:rFonts w:cs="Simplified Arabic" w:hint="cs"/>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41DA9"/>
    <w:rPr>
      <w:rFonts w:cs="Simplified Arabic" w:hint="cs"/>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41DA9"/>
    <w:rPr>
      <w:rFonts w:cs="Simplified Arabic" w:hint="cs"/>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41DA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41DA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41DA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41DA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41DA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41DA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41DA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41DA9"/>
    <w:rPr>
      <w:rFonts w:cs="Simplified Arabic" w:hint="c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41DA9"/>
    <w:rPr>
      <w:rFonts w:cs="Simplified Arabic" w:hint="cs"/>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41DA9"/>
    <w:rPr>
      <w:rFonts w:cs="Simplified Arabic" w:hint="cs"/>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41DA9"/>
    <w:rPr>
      <w:rFonts w:cs="Simplified Arabic" w:hint="cs"/>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41DA9"/>
    <w:rPr>
      <w:rFonts w:cs="Simplified Arabic" w:hint="cs"/>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41DA9"/>
    <w:rPr>
      <w:rFonts w:cs="Simplified Arabic" w:hint="cs"/>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41DA9"/>
    <w:rPr>
      <w:rFonts w:cs="Simplified Arabic" w:hint="cs"/>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41DA9"/>
  </w:style>
  <w:style w:type="character" w:customStyle="1" w:styleId="DateChar">
    <w:name w:val="Date Char"/>
    <w:basedOn w:val="DefaultParagraphFont"/>
    <w:link w:val="Date"/>
    <w:uiPriority w:val="99"/>
    <w:semiHidden/>
    <w:rsid w:val="00C41DA9"/>
    <w:rPr>
      <w:rFonts w:eastAsia="Times New Roman"/>
    </w:rPr>
  </w:style>
  <w:style w:type="paragraph" w:styleId="DocumentMap">
    <w:name w:val="Document Map"/>
    <w:basedOn w:val="Normal"/>
    <w:link w:val="DocumentMapChar"/>
    <w:uiPriority w:val="99"/>
    <w:semiHidden/>
    <w:unhideWhenUsed/>
    <w:rsid w:val="00C41DA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41DA9"/>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C41DA9"/>
  </w:style>
  <w:style w:type="character" w:customStyle="1" w:styleId="E-mailSignatureChar">
    <w:name w:val="E-mail Signature Char"/>
    <w:basedOn w:val="DefaultParagraphFont"/>
    <w:link w:val="E-mailSignature"/>
    <w:uiPriority w:val="99"/>
    <w:semiHidden/>
    <w:rsid w:val="00C41DA9"/>
    <w:rPr>
      <w:rFonts w:eastAsia="Times New Roman"/>
    </w:rPr>
  </w:style>
  <w:style w:type="character" w:styleId="Emphasis">
    <w:name w:val="Emphasis"/>
    <w:basedOn w:val="DefaultParagraphFont"/>
    <w:uiPriority w:val="20"/>
    <w:semiHidden/>
    <w:qFormat/>
    <w:rsid w:val="00C41DA9"/>
    <w:rPr>
      <w:i/>
      <w:iCs/>
    </w:rPr>
  </w:style>
  <w:style w:type="character" w:styleId="EndnoteReference">
    <w:name w:val="endnote reference"/>
    <w:basedOn w:val="DefaultParagraphFont"/>
    <w:uiPriority w:val="99"/>
    <w:semiHidden/>
    <w:unhideWhenUsed/>
    <w:rsid w:val="00C41DA9"/>
    <w:rPr>
      <w:vertAlign w:val="superscript"/>
    </w:rPr>
  </w:style>
  <w:style w:type="paragraph" w:styleId="EndnoteText">
    <w:name w:val="endnote text"/>
    <w:basedOn w:val="Normal"/>
    <w:link w:val="EndnoteTextChar"/>
    <w:uiPriority w:val="99"/>
    <w:semiHidden/>
    <w:unhideWhenUsed/>
    <w:rsid w:val="00C41DA9"/>
  </w:style>
  <w:style w:type="character" w:customStyle="1" w:styleId="EndnoteTextChar">
    <w:name w:val="Endnote Text Char"/>
    <w:basedOn w:val="DefaultParagraphFont"/>
    <w:link w:val="EndnoteText"/>
    <w:uiPriority w:val="99"/>
    <w:semiHidden/>
    <w:rsid w:val="00C41DA9"/>
    <w:rPr>
      <w:rFonts w:eastAsia="Times New Roman"/>
    </w:rPr>
  </w:style>
  <w:style w:type="paragraph" w:styleId="EnvelopeAddress">
    <w:name w:val="envelope address"/>
    <w:basedOn w:val="Normal"/>
    <w:uiPriority w:val="99"/>
    <w:semiHidden/>
    <w:unhideWhenUsed/>
    <w:rsid w:val="00C41DA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41DA9"/>
    <w:rPr>
      <w:rFonts w:asciiTheme="majorHAnsi" w:eastAsiaTheme="majorEastAsia" w:hAnsiTheme="majorHAnsi" w:cstheme="majorBidi"/>
    </w:rPr>
  </w:style>
  <w:style w:type="paragraph" w:styleId="FootnoteText">
    <w:name w:val="footnote text"/>
    <w:basedOn w:val="Normal"/>
    <w:link w:val="FootnoteTextChar"/>
    <w:semiHidden/>
    <w:unhideWhenUsed/>
    <w:rsid w:val="00C41DA9"/>
  </w:style>
  <w:style w:type="character" w:customStyle="1" w:styleId="FootnoteTextChar">
    <w:name w:val="Footnote Text Char"/>
    <w:basedOn w:val="DefaultParagraphFont"/>
    <w:link w:val="FootnoteText"/>
    <w:semiHidden/>
    <w:rsid w:val="00C41DA9"/>
    <w:rPr>
      <w:rFonts w:eastAsia="Times New Roman"/>
    </w:rPr>
  </w:style>
  <w:style w:type="table" w:styleId="GridTable1Light">
    <w:name w:val="Grid Table 1 Light"/>
    <w:basedOn w:val="TableNormal"/>
    <w:uiPriority w:val="46"/>
    <w:rsid w:val="00C41DA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41DA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41DA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41DA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41DA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41DA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41DA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41DA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41DA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41DA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41DA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41DA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41DA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41DA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41DA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41D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41DA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41DA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41DA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41DA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41DA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41DA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41D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41DA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41DA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41DA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41DA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41DA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41D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41D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41D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41D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41D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41D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41D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41DA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41DA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41DA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41DA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41DA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41DA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41DA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41DA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41DA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41DA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41DA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41DA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41DA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41DA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41DA9"/>
    <w:rPr>
      <w:color w:val="2B579A"/>
      <w:shd w:val="clear" w:color="auto" w:fill="E1DFDD"/>
    </w:rPr>
  </w:style>
  <w:style w:type="character" w:styleId="HTMLAcronym">
    <w:name w:val="HTML Acronym"/>
    <w:basedOn w:val="DefaultParagraphFont"/>
    <w:uiPriority w:val="99"/>
    <w:semiHidden/>
    <w:unhideWhenUsed/>
    <w:rsid w:val="00C41DA9"/>
  </w:style>
  <w:style w:type="paragraph" w:styleId="HTMLAddress">
    <w:name w:val="HTML Address"/>
    <w:basedOn w:val="Normal"/>
    <w:link w:val="HTMLAddressChar"/>
    <w:uiPriority w:val="99"/>
    <w:semiHidden/>
    <w:unhideWhenUsed/>
    <w:rsid w:val="00C41DA9"/>
    <w:rPr>
      <w:i/>
      <w:iCs/>
    </w:rPr>
  </w:style>
  <w:style w:type="character" w:customStyle="1" w:styleId="HTMLAddressChar">
    <w:name w:val="HTML Address Char"/>
    <w:basedOn w:val="DefaultParagraphFont"/>
    <w:link w:val="HTMLAddress"/>
    <w:uiPriority w:val="99"/>
    <w:semiHidden/>
    <w:rsid w:val="00C41DA9"/>
    <w:rPr>
      <w:rFonts w:eastAsia="Times New Roman"/>
      <w:i/>
      <w:iCs/>
    </w:rPr>
  </w:style>
  <w:style w:type="character" w:styleId="HTMLCite">
    <w:name w:val="HTML Cite"/>
    <w:basedOn w:val="DefaultParagraphFont"/>
    <w:uiPriority w:val="99"/>
    <w:semiHidden/>
    <w:unhideWhenUsed/>
    <w:rsid w:val="00C41DA9"/>
    <w:rPr>
      <w:i/>
      <w:iCs/>
    </w:rPr>
  </w:style>
  <w:style w:type="character" w:styleId="HTMLCode">
    <w:name w:val="HTML Code"/>
    <w:basedOn w:val="DefaultParagraphFont"/>
    <w:uiPriority w:val="99"/>
    <w:semiHidden/>
    <w:unhideWhenUsed/>
    <w:rsid w:val="00C41DA9"/>
    <w:rPr>
      <w:rFonts w:ascii="Consolas" w:hAnsi="Consolas"/>
      <w:sz w:val="20"/>
      <w:szCs w:val="20"/>
    </w:rPr>
  </w:style>
  <w:style w:type="character" w:styleId="HTMLDefinition">
    <w:name w:val="HTML Definition"/>
    <w:basedOn w:val="DefaultParagraphFont"/>
    <w:uiPriority w:val="99"/>
    <w:semiHidden/>
    <w:unhideWhenUsed/>
    <w:rsid w:val="00C41DA9"/>
    <w:rPr>
      <w:i/>
      <w:iCs/>
    </w:rPr>
  </w:style>
  <w:style w:type="character" w:styleId="HTMLKeyboard">
    <w:name w:val="HTML Keyboard"/>
    <w:basedOn w:val="DefaultParagraphFont"/>
    <w:uiPriority w:val="99"/>
    <w:semiHidden/>
    <w:unhideWhenUsed/>
    <w:rsid w:val="00C41DA9"/>
    <w:rPr>
      <w:rFonts w:ascii="Consolas" w:hAnsi="Consolas"/>
      <w:sz w:val="20"/>
      <w:szCs w:val="20"/>
    </w:rPr>
  </w:style>
  <w:style w:type="paragraph" w:styleId="HTMLPreformatted">
    <w:name w:val="HTML Preformatted"/>
    <w:basedOn w:val="Normal"/>
    <w:link w:val="HTMLPreformattedChar"/>
    <w:uiPriority w:val="99"/>
    <w:semiHidden/>
    <w:unhideWhenUsed/>
    <w:rsid w:val="00C41DA9"/>
    <w:rPr>
      <w:rFonts w:ascii="Consolas" w:hAnsi="Consolas"/>
    </w:rPr>
  </w:style>
  <w:style w:type="character" w:customStyle="1" w:styleId="HTMLPreformattedChar">
    <w:name w:val="HTML Preformatted Char"/>
    <w:basedOn w:val="DefaultParagraphFont"/>
    <w:link w:val="HTMLPreformatted"/>
    <w:uiPriority w:val="99"/>
    <w:semiHidden/>
    <w:rsid w:val="00C41DA9"/>
    <w:rPr>
      <w:rFonts w:ascii="Consolas" w:eastAsia="Times New Roman" w:hAnsi="Consolas"/>
    </w:rPr>
  </w:style>
  <w:style w:type="character" w:styleId="HTMLSample">
    <w:name w:val="HTML Sample"/>
    <w:basedOn w:val="DefaultParagraphFont"/>
    <w:uiPriority w:val="99"/>
    <w:semiHidden/>
    <w:unhideWhenUsed/>
    <w:rsid w:val="00C41DA9"/>
    <w:rPr>
      <w:rFonts w:ascii="Consolas" w:hAnsi="Consolas"/>
      <w:sz w:val="24"/>
      <w:szCs w:val="24"/>
    </w:rPr>
  </w:style>
  <w:style w:type="character" w:styleId="HTMLTypewriter">
    <w:name w:val="HTML Typewriter"/>
    <w:basedOn w:val="DefaultParagraphFont"/>
    <w:uiPriority w:val="99"/>
    <w:semiHidden/>
    <w:unhideWhenUsed/>
    <w:rsid w:val="00C41DA9"/>
    <w:rPr>
      <w:rFonts w:ascii="Consolas" w:hAnsi="Consolas"/>
      <w:sz w:val="20"/>
      <w:szCs w:val="20"/>
    </w:rPr>
  </w:style>
  <w:style w:type="character" w:styleId="HTMLVariable">
    <w:name w:val="HTML Variable"/>
    <w:basedOn w:val="DefaultParagraphFont"/>
    <w:uiPriority w:val="99"/>
    <w:semiHidden/>
    <w:unhideWhenUsed/>
    <w:rsid w:val="00C41DA9"/>
    <w:rPr>
      <w:i/>
      <w:iCs/>
    </w:rPr>
  </w:style>
  <w:style w:type="paragraph" w:styleId="Index1">
    <w:name w:val="index 1"/>
    <w:basedOn w:val="Normal"/>
    <w:next w:val="Normal"/>
    <w:autoRedefine/>
    <w:uiPriority w:val="99"/>
    <w:semiHidden/>
    <w:unhideWhenUsed/>
    <w:rsid w:val="00C41DA9"/>
    <w:pPr>
      <w:tabs>
        <w:tab w:val="clear" w:pos="1247"/>
      </w:tabs>
      <w:ind w:left="200" w:hanging="200"/>
    </w:pPr>
  </w:style>
  <w:style w:type="paragraph" w:styleId="Index2">
    <w:name w:val="index 2"/>
    <w:basedOn w:val="Normal"/>
    <w:next w:val="Normal"/>
    <w:autoRedefine/>
    <w:uiPriority w:val="99"/>
    <w:semiHidden/>
    <w:unhideWhenUsed/>
    <w:rsid w:val="00C41DA9"/>
    <w:pPr>
      <w:tabs>
        <w:tab w:val="clear" w:pos="1247"/>
      </w:tabs>
      <w:ind w:left="400" w:hanging="200"/>
    </w:pPr>
  </w:style>
  <w:style w:type="paragraph" w:styleId="Index3">
    <w:name w:val="index 3"/>
    <w:basedOn w:val="Normal"/>
    <w:next w:val="Normal"/>
    <w:autoRedefine/>
    <w:uiPriority w:val="99"/>
    <w:semiHidden/>
    <w:unhideWhenUsed/>
    <w:rsid w:val="00C41DA9"/>
    <w:pPr>
      <w:tabs>
        <w:tab w:val="clear" w:pos="1247"/>
      </w:tabs>
      <w:ind w:left="600" w:hanging="200"/>
    </w:pPr>
  </w:style>
  <w:style w:type="paragraph" w:styleId="Index4">
    <w:name w:val="index 4"/>
    <w:basedOn w:val="Normal"/>
    <w:next w:val="Normal"/>
    <w:autoRedefine/>
    <w:uiPriority w:val="99"/>
    <w:semiHidden/>
    <w:unhideWhenUsed/>
    <w:rsid w:val="00C41DA9"/>
    <w:pPr>
      <w:tabs>
        <w:tab w:val="clear" w:pos="1247"/>
      </w:tabs>
      <w:ind w:left="800" w:hanging="200"/>
    </w:pPr>
  </w:style>
  <w:style w:type="paragraph" w:styleId="Index5">
    <w:name w:val="index 5"/>
    <w:basedOn w:val="Normal"/>
    <w:next w:val="Normal"/>
    <w:autoRedefine/>
    <w:uiPriority w:val="99"/>
    <w:semiHidden/>
    <w:unhideWhenUsed/>
    <w:rsid w:val="00C41DA9"/>
    <w:pPr>
      <w:tabs>
        <w:tab w:val="clear" w:pos="1247"/>
      </w:tabs>
      <w:ind w:left="1000" w:hanging="200"/>
    </w:pPr>
  </w:style>
  <w:style w:type="paragraph" w:styleId="Index6">
    <w:name w:val="index 6"/>
    <w:basedOn w:val="Normal"/>
    <w:next w:val="Normal"/>
    <w:autoRedefine/>
    <w:uiPriority w:val="99"/>
    <w:semiHidden/>
    <w:unhideWhenUsed/>
    <w:rsid w:val="00C41DA9"/>
    <w:pPr>
      <w:tabs>
        <w:tab w:val="clear" w:pos="1247"/>
      </w:tabs>
      <w:ind w:left="1200" w:hanging="200"/>
    </w:pPr>
  </w:style>
  <w:style w:type="paragraph" w:styleId="Index7">
    <w:name w:val="index 7"/>
    <w:basedOn w:val="Normal"/>
    <w:next w:val="Normal"/>
    <w:autoRedefine/>
    <w:uiPriority w:val="99"/>
    <w:semiHidden/>
    <w:unhideWhenUsed/>
    <w:rsid w:val="00C41DA9"/>
    <w:pPr>
      <w:tabs>
        <w:tab w:val="clear" w:pos="1247"/>
      </w:tabs>
      <w:ind w:left="1400" w:hanging="200"/>
    </w:pPr>
  </w:style>
  <w:style w:type="paragraph" w:styleId="Index8">
    <w:name w:val="index 8"/>
    <w:basedOn w:val="Normal"/>
    <w:next w:val="Normal"/>
    <w:autoRedefine/>
    <w:uiPriority w:val="99"/>
    <w:semiHidden/>
    <w:unhideWhenUsed/>
    <w:rsid w:val="00C41DA9"/>
    <w:pPr>
      <w:tabs>
        <w:tab w:val="clear" w:pos="1247"/>
      </w:tabs>
      <w:ind w:left="1600" w:hanging="200"/>
    </w:pPr>
  </w:style>
  <w:style w:type="paragraph" w:styleId="Index9">
    <w:name w:val="index 9"/>
    <w:basedOn w:val="Normal"/>
    <w:next w:val="Normal"/>
    <w:autoRedefine/>
    <w:uiPriority w:val="99"/>
    <w:semiHidden/>
    <w:unhideWhenUsed/>
    <w:rsid w:val="00C41DA9"/>
    <w:pPr>
      <w:tabs>
        <w:tab w:val="clear" w:pos="1247"/>
      </w:tabs>
      <w:ind w:left="1800" w:hanging="200"/>
    </w:pPr>
  </w:style>
  <w:style w:type="paragraph" w:styleId="IndexHeading">
    <w:name w:val="index heading"/>
    <w:basedOn w:val="Normal"/>
    <w:next w:val="Index1"/>
    <w:uiPriority w:val="99"/>
    <w:semiHidden/>
    <w:unhideWhenUsed/>
    <w:rsid w:val="00C41DA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41DA9"/>
    <w:rPr>
      <w:i/>
      <w:iCs/>
      <w:color w:val="4F81BD" w:themeColor="accent1"/>
    </w:rPr>
  </w:style>
  <w:style w:type="paragraph" w:styleId="IntenseQuote">
    <w:name w:val="Intense Quote"/>
    <w:basedOn w:val="Normal"/>
    <w:next w:val="Normal"/>
    <w:link w:val="IntenseQuoteChar"/>
    <w:uiPriority w:val="30"/>
    <w:semiHidden/>
    <w:qFormat/>
    <w:rsid w:val="00C41DA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41DA9"/>
    <w:rPr>
      <w:rFonts w:eastAsia="Times New Roman"/>
      <w:i/>
      <w:iCs/>
      <w:color w:val="4F81BD" w:themeColor="accent1"/>
    </w:rPr>
  </w:style>
  <w:style w:type="character" w:styleId="IntenseReference">
    <w:name w:val="Intense Reference"/>
    <w:basedOn w:val="DefaultParagraphFont"/>
    <w:uiPriority w:val="32"/>
    <w:semiHidden/>
    <w:qFormat/>
    <w:rsid w:val="00C41DA9"/>
    <w:rPr>
      <w:b/>
      <w:bCs/>
      <w:smallCaps/>
      <w:color w:val="4F81BD" w:themeColor="accent1"/>
      <w:spacing w:val="5"/>
    </w:rPr>
  </w:style>
  <w:style w:type="table" w:styleId="LightGrid">
    <w:name w:val="Light Grid"/>
    <w:basedOn w:val="TableNormal"/>
    <w:uiPriority w:val="62"/>
    <w:semiHidden/>
    <w:unhideWhenUsed/>
    <w:rsid w:val="00C41DA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41DA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41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41DA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41DA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41DA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41DA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41DA9"/>
    <w:rPr>
      <w:rFonts w:cs="Simplified Arabic" w:hint="c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41DA9"/>
    <w:rPr>
      <w:rFonts w:cs="Simplified Arabic" w:hint="c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41DA9"/>
    <w:rPr>
      <w:rFonts w:cs="Simplified Arabic" w:hint="c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41DA9"/>
    <w:rPr>
      <w:rFonts w:cs="Simplified Arabic" w:hint="c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41DA9"/>
    <w:rPr>
      <w:rFonts w:cs="Simplified Arabic" w:hint="c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41DA9"/>
    <w:rPr>
      <w:rFonts w:cs="Simplified Arabic" w:hint="c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41DA9"/>
    <w:rPr>
      <w:rFonts w:cs="Simplified Arabic" w:hint="c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41DA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41DA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41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41DA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41DA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41DA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41DA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C41DA9"/>
  </w:style>
  <w:style w:type="paragraph" w:styleId="List">
    <w:name w:val="List"/>
    <w:basedOn w:val="Normal"/>
    <w:uiPriority w:val="99"/>
    <w:semiHidden/>
    <w:unhideWhenUsed/>
    <w:rsid w:val="00C41DA9"/>
    <w:pPr>
      <w:ind w:left="283" w:hanging="283"/>
      <w:contextualSpacing/>
    </w:pPr>
  </w:style>
  <w:style w:type="paragraph" w:styleId="List2">
    <w:name w:val="List 2"/>
    <w:basedOn w:val="Normal"/>
    <w:uiPriority w:val="99"/>
    <w:semiHidden/>
    <w:unhideWhenUsed/>
    <w:rsid w:val="00C41DA9"/>
    <w:pPr>
      <w:ind w:left="566" w:hanging="283"/>
      <w:contextualSpacing/>
    </w:pPr>
  </w:style>
  <w:style w:type="paragraph" w:styleId="List3">
    <w:name w:val="List 3"/>
    <w:basedOn w:val="Normal"/>
    <w:uiPriority w:val="99"/>
    <w:semiHidden/>
    <w:unhideWhenUsed/>
    <w:rsid w:val="00C41DA9"/>
    <w:pPr>
      <w:ind w:left="849" w:hanging="283"/>
      <w:contextualSpacing/>
    </w:pPr>
  </w:style>
  <w:style w:type="paragraph" w:styleId="List4">
    <w:name w:val="List 4"/>
    <w:basedOn w:val="Normal"/>
    <w:uiPriority w:val="99"/>
    <w:semiHidden/>
    <w:unhideWhenUsed/>
    <w:rsid w:val="00C41DA9"/>
    <w:pPr>
      <w:ind w:left="1132" w:hanging="283"/>
      <w:contextualSpacing/>
    </w:pPr>
  </w:style>
  <w:style w:type="paragraph" w:styleId="List5">
    <w:name w:val="List 5"/>
    <w:basedOn w:val="Normal"/>
    <w:uiPriority w:val="99"/>
    <w:semiHidden/>
    <w:unhideWhenUsed/>
    <w:rsid w:val="00C41DA9"/>
    <w:pPr>
      <w:ind w:left="1415" w:hanging="283"/>
      <w:contextualSpacing/>
    </w:pPr>
  </w:style>
  <w:style w:type="paragraph" w:styleId="ListBullet">
    <w:name w:val="List Bullet"/>
    <w:basedOn w:val="Normal"/>
    <w:uiPriority w:val="99"/>
    <w:semiHidden/>
    <w:rsid w:val="00C41DA9"/>
    <w:pPr>
      <w:numPr>
        <w:numId w:val="6"/>
      </w:numPr>
      <w:contextualSpacing/>
    </w:pPr>
  </w:style>
  <w:style w:type="paragraph" w:styleId="ListBullet2">
    <w:name w:val="List Bullet 2"/>
    <w:basedOn w:val="Normal"/>
    <w:uiPriority w:val="99"/>
    <w:semiHidden/>
    <w:unhideWhenUsed/>
    <w:rsid w:val="00C41DA9"/>
    <w:pPr>
      <w:numPr>
        <w:numId w:val="7"/>
      </w:numPr>
      <w:contextualSpacing/>
    </w:pPr>
  </w:style>
  <w:style w:type="paragraph" w:styleId="ListBullet3">
    <w:name w:val="List Bullet 3"/>
    <w:basedOn w:val="Normal"/>
    <w:uiPriority w:val="99"/>
    <w:semiHidden/>
    <w:unhideWhenUsed/>
    <w:rsid w:val="00C41DA9"/>
    <w:pPr>
      <w:numPr>
        <w:numId w:val="8"/>
      </w:numPr>
      <w:contextualSpacing/>
    </w:pPr>
  </w:style>
  <w:style w:type="paragraph" w:styleId="ListBullet4">
    <w:name w:val="List Bullet 4"/>
    <w:basedOn w:val="Normal"/>
    <w:uiPriority w:val="99"/>
    <w:semiHidden/>
    <w:unhideWhenUsed/>
    <w:rsid w:val="00C41DA9"/>
    <w:pPr>
      <w:numPr>
        <w:numId w:val="9"/>
      </w:numPr>
      <w:contextualSpacing/>
    </w:pPr>
  </w:style>
  <w:style w:type="paragraph" w:styleId="ListBullet5">
    <w:name w:val="List Bullet 5"/>
    <w:basedOn w:val="Normal"/>
    <w:uiPriority w:val="99"/>
    <w:semiHidden/>
    <w:unhideWhenUsed/>
    <w:rsid w:val="00C41DA9"/>
    <w:pPr>
      <w:numPr>
        <w:numId w:val="10"/>
      </w:numPr>
      <w:contextualSpacing/>
    </w:pPr>
  </w:style>
  <w:style w:type="paragraph" w:styleId="ListContinue">
    <w:name w:val="List Continue"/>
    <w:basedOn w:val="Normal"/>
    <w:uiPriority w:val="99"/>
    <w:semiHidden/>
    <w:unhideWhenUsed/>
    <w:rsid w:val="00C41DA9"/>
    <w:pPr>
      <w:spacing w:after="120"/>
      <w:ind w:left="283"/>
      <w:contextualSpacing/>
    </w:pPr>
  </w:style>
  <w:style w:type="paragraph" w:styleId="ListContinue2">
    <w:name w:val="List Continue 2"/>
    <w:basedOn w:val="Normal"/>
    <w:uiPriority w:val="99"/>
    <w:semiHidden/>
    <w:unhideWhenUsed/>
    <w:rsid w:val="00C41DA9"/>
    <w:pPr>
      <w:spacing w:after="120"/>
      <w:ind w:left="566"/>
      <w:contextualSpacing/>
    </w:pPr>
  </w:style>
  <w:style w:type="paragraph" w:styleId="ListContinue3">
    <w:name w:val="List Continue 3"/>
    <w:basedOn w:val="Normal"/>
    <w:uiPriority w:val="99"/>
    <w:semiHidden/>
    <w:rsid w:val="00C41DA9"/>
    <w:pPr>
      <w:spacing w:after="120"/>
      <w:ind w:left="849"/>
      <w:contextualSpacing/>
    </w:pPr>
  </w:style>
  <w:style w:type="paragraph" w:styleId="ListContinue4">
    <w:name w:val="List Continue 4"/>
    <w:basedOn w:val="Normal"/>
    <w:uiPriority w:val="99"/>
    <w:semiHidden/>
    <w:rsid w:val="00C41DA9"/>
    <w:pPr>
      <w:spacing w:after="120"/>
      <w:ind w:left="1132"/>
      <w:contextualSpacing/>
    </w:pPr>
  </w:style>
  <w:style w:type="paragraph" w:styleId="ListContinue5">
    <w:name w:val="List Continue 5"/>
    <w:basedOn w:val="Normal"/>
    <w:uiPriority w:val="99"/>
    <w:semiHidden/>
    <w:rsid w:val="00C41DA9"/>
    <w:pPr>
      <w:spacing w:after="120"/>
      <w:ind w:left="1415"/>
      <w:contextualSpacing/>
    </w:pPr>
  </w:style>
  <w:style w:type="paragraph" w:styleId="ListNumber">
    <w:name w:val="List Number"/>
    <w:basedOn w:val="Normal"/>
    <w:uiPriority w:val="99"/>
    <w:semiHidden/>
    <w:rsid w:val="00C41DA9"/>
    <w:pPr>
      <w:numPr>
        <w:numId w:val="11"/>
      </w:numPr>
      <w:contextualSpacing/>
    </w:pPr>
  </w:style>
  <w:style w:type="paragraph" w:styleId="ListNumber2">
    <w:name w:val="List Number 2"/>
    <w:basedOn w:val="Normal"/>
    <w:uiPriority w:val="99"/>
    <w:semiHidden/>
    <w:unhideWhenUsed/>
    <w:rsid w:val="00C41DA9"/>
    <w:pPr>
      <w:numPr>
        <w:numId w:val="12"/>
      </w:numPr>
      <w:contextualSpacing/>
    </w:pPr>
  </w:style>
  <w:style w:type="paragraph" w:styleId="ListNumber3">
    <w:name w:val="List Number 3"/>
    <w:basedOn w:val="Normal"/>
    <w:uiPriority w:val="99"/>
    <w:semiHidden/>
    <w:unhideWhenUsed/>
    <w:rsid w:val="00C41DA9"/>
    <w:pPr>
      <w:numPr>
        <w:numId w:val="13"/>
      </w:numPr>
      <w:contextualSpacing/>
    </w:pPr>
  </w:style>
  <w:style w:type="paragraph" w:styleId="ListNumber4">
    <w:name w:val="List Number 4"/>
    <w:basedOn w:val="Normal"/>
    <w:uiPriority w:val="99"/>
    <w:semiHidden/>
    <w:unhideWhenUsed/>
    <w:rsid w:val="00C41DA9"/>
    <w:pPr>
      <w:numPr>
        <w:numId w:val="14"/>
      </w:numPr>
      <w:contextualSpacing/>
    </w:pPr>
  </w:style>
  <w:style w:type="paragraph" w:styleId="ListNumber5">
    <w:name w:val="List Number 5"/>
    <w:basedOn w:val="Normal"/>
    <w:uiPriority w:val="99"/>
    <w:semiHidden/>
    <w:unhideWhenUsed/>
    <w:rsid w:val="00C41DA9"/>
    <w:pPr>
      <w:numPr>
        <w:numId w:val="15"/>
      </w:numPr>
      <w:contextualSpacing/>
    </w:pPr>
  </w:style>
  <w:style w:type="table" w:styleId="ListTable1Light">
    <w:name w:val="List Table 1 Light"/>
    <w:basedOn w:val="TableNormal"/>
    <w:uiPriority w:val="46"/>
    <w:rsid w:val="00C41DA9"/>
    <w:rPr>
      <w:rFonts w:cs="Simplified Arabic" w:hint="c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41DA9"/>
    <w:rPr>
      <w:rFonts w:cs="Simplified Arabic" w:hint="c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41DA9"/>
    <w:rPr>
      <w:rFonts w:cs="Simplified Arabic" w:hint="c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41DA9"/>
    <w:rPr>
      <w:rFonts w:cs="Simplified Arabic" w:hint="c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41DA9"/>
    <w:rPr>
      <w:rFonts w:cs="Simplified Arabic" w:hint="c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41DA9"/>
    <w:rPr>
      <w:rFonts w:cs="Simplified Arabic" w:hint="c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41DA9"/>
    <w:rPr>
      <w:rFonts w:cs="Simplified Arabic" w:hint="c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41DA9"/>
    <w:rPr>
      <w:rFonts w:cs="Simplified Arabic" w:hint="c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41DA9"/>
    <w:rPr>
      <w:rFonts w:cs="Simplified Arabic" w:hint="c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41DA9"/>
    <w:rPr>
      <w:rFonts w:cs="Simplified Arabic" w:hint="c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41DA9"/>
    <w:rPr>
      <w:rFonts w:cs="Simplified Arabic" w:hint="c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41DA9"/>
    <w:rPr>
      <w:rFonts w:cs="Simplified Arabic" w:hint="c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41DA9"/>
    <w:rPr>
      <w:rFonts w:cs="Simplified Arabic" w:hint="c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41DA9"/>
    <w:rPr>
      <w:rFonts w:cs="Simplified Arabic" w:hint="c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41DA9"/>
    <w:rPr>
      <w:rFonts w:cs="Simplified Arabic" w:hint="c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41DA9"/>
    <w:rPr>
      <w:rFonts w:cs="Simplified Arabic" w:hint="c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41DA9"/>
    <w:rPr>
      <w:rFonts w:cs="Simplified Arabic" w:hint="c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41DA9"/>
    <w:rPr>
      <w:rFonts w:cs="Simplified Arabic" w:hint="c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41DA9"/>
    <w:rPr>
      <w:rFonts w:cs="Simplified Arabic" w:hint="c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41DA9"/>
    <w:rPr>
      <w:rFonts w:cs="Simplified Arabic" w:hint="c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41DA9"/>
    <w:rPr>
      <w:rFonts w:cs="Simplified Arabic" w:hint="c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41DA9"/>
    <w:rPr>
      <w:rFonts w:cs="Simplified Arabic" w:hint="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41DA9"/>
    <w:rPr>
      <w:rFonts w:cs="Simplified Arabic" w:hint="c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41DA9"/>
    <w:rPr>
      <w:rFonts w:cs="Simplified Arabic" w:hint="c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41DA9"/>
    <w:rPr>
      <w:rFonts w:cs="Simplified Arabic" w:hint="c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41DA9"/>
    <w:rPr>
      <w:rFonts w:cs="Simplified Arabic" w:hint="c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41DA9"/>
    <w:rPr>
      <w:rFonts w:cs="Simplified Arabic" w:hint="c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41DA9"/>
    <w:rPr>
      <w:rFonts w:cs="Simplified Arabic" w:hint="c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41DA9"/>
    <w:rPr>
      <w:rFonts w:cs="Simplified Arabic" w:hint="cs"/>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41DA9"/>
    <w:rPr>
      <w:rFonts w:cs="Simplified Arabic" w:hint="cs"/>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41DA9"/>
    <w:rPr>
      <w:rFonts w:cs="Simplified Arabic" w:hint="cs"/>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41DA9"/>
    <w:rPr>
      <w:rFonts w:cs="Simplified Arabic" w:hint="cs"/>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41DA9"/>
    <w:rPr>
      <w:rFonts w:cs="Simplified Arabic" w:hint="cs"/>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41DA9"/>
    <w:rPr>
      <w:rFonts w:cs="Simplified Arabic" w:hint="cs"/>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41DA9"/>
    <w:rPr>
      <w:rFonts w:cs="Simplified Arabic" w:hint="cs"/>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41DA9"/>
    <w:rPr>
      <w:rFonts w:cs="Simplified Arabic" w:hint="cs"/>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41DA9"/>
    <w:rPr>
      <w:rFonts w:cs="Simplified Arabic" w:hint="cs"/>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41DA9"/>
    <w:rPr>
      <w:rFonts w:cs="Simplified Arabic" w:hint="cs"/>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41DA9"/>
    <w:rPr>
      <w:rFonts w:cs="Simplified Arabic" w:hint="cs"/>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41DA9"/>
    <w:rPr>
      <w:rFonts w:cs="Simplified Arabic" w:hint="cs"/>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41DA9"/>
    <w:rPr>
      <w:rFonts w:cs="Simplified Arabic" w:hint="cs"/>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41DA9"/>
    <w:rPr>
      <w:rFonts w:cs="Simplified Arabic" w:hint="cs"/>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41DA9"/>
    <w:rPr>
      <w:rFonts w:cs="Simplified Arabic" w:hint="cs"/>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41DA9"/>
    <w:rPr>
      <w:rFonts w:cs="Simplified Arabic" w:hint="cs"/>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41DA9"/>
    <w:rPr>
      <w:rFonts w:cs="Simplified Arabic" w:hint="cs"/>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41DA9"/>
    <w:rPr>
      <w:rFonts w:cs="Simplified Arabic" w:hint="cs"/>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41DA9"/>
    <w:rPr>
      <w:rFonts w:cs="Simplified Arabic" w:hint="cs"/>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41DA9"/>
    <w:rPr>
      <w:rFonts w:cs="Simplified Arabic" w:hint="cs"/>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41DA9"/>
    <w:rPr>
      <w:rFonts w:cs="Simplified Arabic" w:hint="cs"/>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C41DA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rPr>
  </w:style>
  <w:style w:type="character" w:customStyle="1" w:styleId="MacroTextChar">
    <w:name w:val="Macro Text Char"/>
    <w:basedOn w:val="DefaultParagraphFont"/>
    <w:link w:val="MacroText"/>
    <w:uiPriority w:val="99"/>
    <w:semiHidden/>
    <w:rsid w:val="00C41DA9"/>
    <w:rPr>
      <w:rFonts w:ascii="Consolas" w:eastAsia="Times New Roman" w:hAnsi="Consolas"/>
    </w:rPr>
  </w:style>
  <w:style w:type="table" w:styleId="MediumGrid1">
    <w:name w:val="Medium Grid 1"/>
    <w:basedOn w:val="TableNormal"/>
    <w:uiPriority w:val="67"/>
    <w:semiHidden/>
    <w:unhideWhenUsed/>
    <w:rsid w:val="00C41DA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41DA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41DA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41DA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41DA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41DA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41DA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41DA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41DA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41DA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41DA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41DA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41DA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41DA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41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41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41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41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41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41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41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41DA9"/>
    <w:rPr>
      <w:rFonts w:cs="Simplified Arabic" w:hint="c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41DA9"/>
    <w:rPr>
      <w:rFonts w:cs="Simplified Arabic" w:hint="cs"/>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41DA9"/>
    <w:rPr>
      <w:rFonts w:cs="Simplified Arabic" w:hint="cs"/>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41DA9"/>
    <w:rPr>
      <w:rFonts w:cs="Simplified Arabic" w:hint="cs"/>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41DA9"/>
    <w:rPr>
      <w:rFonts w:cs="Simplified Arabic" w:hint="cs"/>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41DA9"/>
    <w:rPr>
      <w:rFonts w:cs="Simplified Arabic" w:hint="cs"/>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41DA9"/>
    <w:rPr>
      <w:rFonts w:cs="Simplified Arabic" w:hint="cs"/>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41DA9"/>
    <w:rPr>
      <w:rFonts w:cs="Simplified Arabic" w:hint="c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41DA9"/>
    <w:rPr>
      <w:rFonts w:cs="Simplified Arabic" w:hint="cs"/>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41DA9"/>
    <w:rPr>
      <w:rFonts w:cs="Simplified Arabic" w:hint="cs"/>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41DA9"/>
    <w:rPr>
      <w:rFonts w:cs="Simplified Arabic" w:hint="cs"/>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41DA9"/>
    <w:rPr>
      <w:rFonts w:cs="Simplified Arabic" w:hint="cs"/>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41DA9"/>
    <w:rPr>
      <w:rFonts w:cs="Simplified Arabic" w:hint="cs"/>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41DA9"/>
    <w:rPr>
      <w:rFonts w:cs="Simplified Arabic" w:hint="cs"/>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41DA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41DA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41DA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41DA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41DA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41DA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41DA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41D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41D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41D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41D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41D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41D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41D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C41DA9"/>
    <w:rPr>
      <w:color w:val="2B579A"/>
      <w:shd w:val="clear" w:color="auto" w:fill="E1DFDD"/>
    </w:rPr>
  </w:style>
  <w:style w:type="paragraph" w:styleId="MessageHeader">
    <w:name w:val="Message Header"/>
    <w:basedOn w:val="Normal"/>
    <w:link w:val="MessageHeaderChar"/>
    <w:uiPriority w:val="99"/>
    <w:semiHidden/>
    <w:rsid w:val="00C41DA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41DA9"/>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C41DA9"/>
    <w:pPr>
      <w:ind w:left="720"/>
    </w:pPr>
  </w:style>
  <w:style w:type="paragraph" w:styleId="NoteHeading">
    <w:name w:val="Note Heading"/>
    <w:basedOn w:val="Normal"/>
    <w:next w:val="Normal"/>
    <w:link w:val="NoteHeadingChar"/>
    <w:uiPriority w:val="99"/>
    <w:semiHidden/>
    <w:unhideWhenUsed/>
    <w:rsid w:val="00C41DA9"/>
  </w:style>
  <w:style w:type="character" w:customStyle="1" w:styleId="NoteHeadingChar">
    <w:name w:val="Note Heading Char"/>
    <w:basedOn w:val="DefaultParagraphFont"/>
    <w:link w:val="NoteHeading"/>
    <w:uiPriority w:val="99"/>
    <w:semiHidden/>
    <w:rsid w:val="00C41DA9"/>
    <w:rPr>
      <w:rFonts w:eastAsia="Times New Roman"/>
    </w:rPr>
  </w:style>
  <w:style w:type="table" w:styleId="PlainTable1">
    <w:name w:val="Plain Table 1"/>
    <w:basedOn w:val="TableNormal"/>
    <w:uiPriority w:val="41"/>
    <w:rsid w:val="00C41D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41DA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41DA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41D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41DA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41DA9"/>
    <w:rPr>
      <w:rFonts w:ascii="Consolas" w:hAnsi="Consolas"/>
      <w:sz w:val="21"/>
      <w:szCs w:val="21"/>
    </w:rPr>
  </w:style>
  <w:style w:type="character" w:customStyle="1" w:styleId="PlainTextChar">
    <w:name w:val="Plain Text Char"/>
    <w:basedOn w:val="DefaultParagraphFont"/>
    <w:link w:val="PlainText"/>
    <w:uiPriority w:val="99"/>
    <w:semiHidden/>
    <w:rsid w:val="00C41DA9"/>
    <w:rPr>
      <w:rFonts w:ascii="Consolas" w:eastAsia="Times New Roman" w:hAnsi="Consolas"/>
      <w:sz w:val="21"/>
      <w:szCs w:val="21"/>
    </w:rPr>
  </w:style>
  <w:style w:type="paragraph" w:styleId="Quote">
    <w:name w:val="Quote"/>
    <w:basedOn w:val="Normal"/>
    <w:next w:val="Normal"/>
    <w:link w:val="QuoteChar"/>
    <w:uiPriority w:val="29"/>
    <w:semiHidden/>
    <w:qFormat/>
    <w:rsid w:val="00C41DA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41DA9"/>
    <w:rPr>
      <w:rFonts w:eastAsia="Times New Roman"/>
      <w:i/>
      <w:iCs/>
      <w:color w:val="404040" w:themeColor="text1" w:themeTint="BF"/>
    </w:rPr>
  </w:style>
  <w:style w:type="paragraph" w:styleId="Salutation">
    <w:name w:val="Salutation"/>
    <w:basedOn w:val="Normal"/>
    <w:next w:val="Normal"/>
    <w:link w:val="SalutationChar"/>
    <w:uiPriority w:val="99"/>
    <w:semiHidden/>
    <w:unhideWhenUsed/>
    <w:rsid w:val="00C41DA9"/>
  </w:style>
  <w:style w:type="character" w:customStyle="1" w:styleId="SalutationChar">
    <w:name w:val="Salutation Char"/>
    <w:basedOn w:val="DefaultParagraphFont"/>
    <w:link w:val="Salutation"/>
    <w:uiPriority w:val="99"/>
    <w:semiHidden/>
    <w:rsid w:val="00C41DA9"/>
    <w:rPr>
      <w:rFonts w:eastAsia="Times New Roman"/>
    </w:rPr>
  </w:style>
  <w:style w:type="paragraph" w:styleId="Signature">
    <w:name w:val="Signature"/>
    <w:basedOn w:val="Normal"/>
    <w:link w:val="SignatureChar"/>
    <w:uiPriority w:val="99"/>
    <w:semiHidden/>
    <w:unhideWhenUsed/>
    <w:rsid w:val="00C41DA9"/>
    <w:pPr>
      <w:ind w:left="4252"/>
    </w:pPr>
  </w:style>
  <w:style w:type="character" w:customStyle="1" w:styleId="SignatureChar">
    <w:name w:val="Signature Char"/>
    <w:basedOn w:val="DefaultParagraphFont"/>
    <w:link w:val="Signature"/>
    <w:uiPriority w:val="99"/>
    <w:semiHidden/>
    <w:rsid w:val="00C41DA9"/>
    <w:rPr>
      <w:rFonts w:eastAsia="Times New Roman"/>
    </w:rPr>
  </w:style>
  <w:style w:type="character" w:styleId="SmartHyperlink">
    <w:name w:val="Smart Hyperlink"/>
    <w:basedOn w:val="DefaultParagraphFont"/>
    <w:uiPriority w:val="99"/>
    <w:semiHidden/>
    <w:rsid w:val="00C41DA9"/>
    <w:rPr>
      <w:u w:val="dotted"/>
    </w:rPr>
  </w:style>
  <w:style w:type="character" w:styleId="SmartLink">
    <w:name w:val="Smart Link"/>
    <w:basedOn w:val="DefaultParagraphFont"/>
    <w:uiPriority w:val="99"/>
    <w:semiHidden/>
    <w:unhideWhenUsed/>
    <w:rsid w:val="00C41DA9"/>
    <w:rPr>
      <w:color w:val="0000FF"/>
      <w:u w:val="single"/>
      <w:shd w:val="clear" w:color="auto" w:fill="F3F2F1"/>
    </w:rPr>
  </w:style>
  <w:style w:type="character" w:styleId="Strong">
    <w:name w:val="Strong"/>
    <w:basedOn w:val="DefaultParagraphFont"/>
    <w:uiPriority w:val="22"/>
    <w:semiHidden/>
    <w:qFormat/>
    <w:rsid w:val="00C41DA9"/>
    <w:rPr>
      <w:b/>
      <w:bCs/>
    </w:rPr>
  </w:style>
  <w:style w:type="paragraph" w:styleId="Subtitle">
    <w:name w:val="Subtitle"/>
    <w:basedOn w:val="Normal"/>
    <w:next w:val="Normal"/>
    <w:link w:val="SubtitleChar"/>
    <w:uiPriority w:val="11"/>
    <w:semiHidden/>
    <w:qFormat/>
    <w:rsid w:val="00C4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C41DA9"/>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qFormat/>
    <w:rsid w:val="00C41DA9"/>
    <w:rPr>
      <w:i/>
      <w:iCs/>
      <w:color w:val="404040" w:themeColor="text1" w:themeTint="BF"/>
    </w:rPr>
  </w:style>
  <w:style w:type="character" w:styleId="SubtleReference">
    <w:name w:val="Subtle Reference"/>
    <w:basedOn w:val="DefaultParagraphFont"/>
    <w:uiPriority w:val="31"/>
    <w:semiHidden/>
    <w:qFormat/>
    <w:rsid w:val="00C41DA9"/>
    <w:rPr>
      <w:smallCaps/>
      <w:color w:val="5A5A5A" w:themeColor="text1" w:themeTint="A5"/>
    </w:rPr>
  </w:style>
  <w:style w:type="table" w:styleId="Table3Deffects1">
    <w:name w:val="Table 3D effects 1"/>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41D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41DA9"/>
    <w:pPr>
      <w:tabs>
        <w:tab w:val="clear" w:pos="1247"/>
      </w:tabs>
      <w:ind w:left="200" w:hanging="200"/>
    </w:pPr>
  </w:style>
  <w:style w:type="table" w:styleId="TableProfessional">
    <w:name w:val="Table Professional"/>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41DA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C41D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C41DA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41DA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41DA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C41DA9"/>
    <w:rPr>
      <w:rFonts w:eastAsia="Times New Roman"/>
    </w:rPr>
  </w:style>
  <w:style w:type="paragraph" w:styleId="Revision">
    <w:name w:val="Revision"/>
    <w:hidden/>
    <w:uiPriority w:val="99"/>
    <w:semiHidden/>
    <w:rsid w:val="00C41DA9"/>
    <w:rPr>
      <w:rFonts w:eastAsia="Times New Roman"/>
    </w:rPr>
  </w:style>
  <w:style w:type="paragraph" w:styleId="Footer">
    <w:name w:val="footer"/>
    <w:basedOn w:val="Normal"/>
    <w:link w:val="FooterChar1"/>
    <w:unhideWhenUsed/>
    <w:rsid w:val="00C1537A"/>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link w:val="Footer"/>
    <w:rsid w:val="00C1537A"/>
    <w:rPr>
      <w:rFonts w:eastAsia="Times New Roman"/>
    </w:rPr>
  </w:style>
  <w:style w:type="character" w:customStyle="1" w:styleId="BBTitleChar">
    <w:name w:val="BB_Title Char"/>
    <w:link w:val="BBTitle"/>
    <w:rsid w:val="00583CAB"/>
    <w:rPr>
      <w:rFonts w:eastAsia="Times New Roman"/>
      <w:b/>
      <w:sz w:val="28"/>
      <w:szCs w:val="28"/>
    </w:rPr>
  </w:style>
  <w:style w:type="character" w:customStyle="1" w:styleId="CH3Char">
    <w:name w:val="CH3 Char"/>
    <w:link w:val="CH3"/>
    <w:locked/>
    <w:rsid w:val="00313FB1"/>
    <w:rPr>
      <w:rFonts w:eastAsia="Times New Roman"/>
      <w:b/>
    </w:rPr>
  </w:style>
  <w:style w:type="paragraph" w:customStyle="1" w:styleId="Recommendation">
    <w:name w:val="Recommendation"/>
    <w:basedOn w:val="Normalnumber"/>
    <w:qFormat/>
    <w:rsid w:val="00313FB1"/>
    <w:pPr>
      <w:numPr>
        <w:numId w:val="0"/>
      </w:numPr>
      <w:ind w:left="1247"/>
      <w:jc w:val="right"/>
    </w:pPr>
    <w:rPr>
      <w:b/>
      <w:bCs/>
    </w:rPr>
  </w:style>
  <w:style w:type="character" w:customStyle="1" w:styleId="NormalNonumberChar">
    <w:name w:val="Normal_No_number Char"/>
    <w:link w:val="NormalNonumber"/>
    <w:locked/>
    <w:rsid w:val="0080015D"/>
    <w:rPr>
      <w:rFonts w:eastAsia="Times New Roman"/>
    </w:rPr>
  </w:style>
  <w:style w:type="character" w:customStyle="1" w:styleId="CH2Char">
    <w:name w:val="CH2 Char"/>
    <w:link w:val="CH2"/>
    <w:locked/>
    <w:rsid w:val="00F63A51"/>
    <w:rPr>
      <w:rFonts w:eastAsia="Times New Roman"/>
      <w:b/>
      <w:sz w:val="24"/>
      <w:szCs w:val="24"/>
    </w:rPr>
  </w:style>
  <w:style w:type="character" w:customStyle="1" w:styleId="CH1Char">
    <w:name w:val="CH1 Char"/>
    <w:link w:val="CH1"/>
    <w:rsid w:val="00206F81"/>
    <w:rPr>
      <w:rFonts w:eastAsia="Times New Roman"/>
      <w:b/>
      <w:sz w:val="28"/>
      <w:szCs w:val="28"/>
    </w:rPr>
  </w:style>
  <w:style w:type="numbering" w:customStyle="1" w:styleId="NoList1">
    <w:name w:val="No List1"/>
    <w:next w:val="NoList"/>
    <w:uiPriority w:val="99"/>
    <w:semiHidden/>
    <w:unhideWhenUsed/>
    <w:rsid w:val="006206DC"/>
  </w:style>
  <w:style w:type="numbering" w:customStyle="1" w:styleId="Normallist1">
    <w:name w:val="Normal_list1"/>
    <w:basedOn w:val="NoList"/>
    <w:rsid w:val="006206DC"/>
    <w:pPr>
      <w:numPr>
        <w:numId w:val="3"/>
      </w:numPr>
    </w:pPr>
  </w:style>
  <w:style w:type="table" w:customStyle="1" w:styleId="ColorfulGrid1">
    <w:name w:val="Colorful Grid1"/>
    <w:basedOn w:val="TableNormal"/>
    <w:next w:val="ColorfulGrid"/>
    <w:uiPriority w:val="73"/>
    <w:semiHidden/>
    <w:unhideWhenUsed/>
    <w:rsid w:val="006206DC"/>
    <w:rPr>
      <w:rFonts w:ascii="Calibri" w:eastAsia="DengXian" w:hAnsi="Calibri" w:cs="Arial"/>
      <w:color w:val="000000"/>
      <w:kern w:val="2"/>
      <w:sz w:val="22"/>
      <w:szCs w:val="22"/>
      <w14:ligatures w14:val="standardContextual"/>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6206DC"/>
    <w:rPr>
      <w:rFonts w:ascii="Calibri" w:eastAsia="DengXian" w:hAnsi="Calibri" w:cs="Arial"/>
      <w:color w:val="000000"/>
      <w:kern w:val="2"/>
      <w:sz w:val="22"/>
      <w:szCs w:val="22"/>
      <w14:ligatures w14:val="standardContextual"/>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6206DC"/>
    <w:rPr>
      <w:rFonts w:ascii="Calibri" w:eastAsia="DengXian" w:hAnsi="Calibri" w:cs="Arial"/>
      <w:color w:val="000000"/>
      <w:kern w:val="2"/>
      <w:sz w:val="22"/>
      <w:szCs w:val="22"/>
      <w14:ligatures w14:val="standardContextual"/>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6206DC"/>
    <w:rPr>
      <w:rFonts w:ascii="Calibri" w:eastAsia="DengXian" w:hAnsi="Calibri" w:cs="Arial"/>
      <w:color w:val="000000"/>
      <w:kern w:val="2"/>
      <w:sz w:val="22"/>
      <w:szCs w:val="22"/>
      <w14:ligatures w14:val="standardContextual"/>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6206DC"/>
    <w:rPr>
      <w:rFonts w:ascii="Calibri" w:eastAsia="DengXian" w:hAnsi="Calibri" w:cs="Arial"/>
      <w:color w:val="000000"/>
      <w:kern w:val="2"/>
      <w:sz w:val="22"/>
      <w:szCs w:val="22"/>
      <w14:ligatures w14:val="standardContextual"/>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6206DC"/>
    <w:rPr>
      <w:rFonts w:ascii="Calibri" w:eastAsia="DengXian" w:hAnsi="Calibri" w:cs="Arial"/>
      <w:color w:val="000000"/>
      <w:kern w:val="2"/>
      <w:sz w:val="22"/>
      <w:szCs w:val="22"/>
      <w14:ligatures w14:val="standardContextual"/>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6206DC"/>
    <w:rPr>
      <w:rFonts w:ascii="Calibri" w:eastAsia="DengXian" w:hAnsi="Calibri" w:cs="Arial"/>
      <w:color w:val="000000"/>
      <w:kern w:val="2"/>
      <w:sz w:val="22"/>
      <w:szCs w:val="22"/>
      <w14:ligatures w14:val="standardContextual"/>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6206DC"/>
    <w:rPr>
      <w:rFonts w:ascii="Calibri" w:eastAsia="DengXian" w:hAnsi="Calibri" w:cs="Arial"/>
      <w:color w:val="000000"/>
      <w:kern w:val="2"/>
      <w:sz w:val="22"/>
      <w:szCs w:val="22"/>
      <w14:ligatures w14:val="standardContextual"/>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6206DC"/>
    <w:rPr>
      <w:rFonts w:ascii="Calibri" w:eastAsia="DengXian" w:hAnsi="Calibri" w:cs="Arial"/>
      <w:color w:val="000000"/>
      <w:kern w:val="2"/>
      <w:sz w:val="22"/>
      <w:szCs w:val="22"/>
      <w14:ligatures w14:val="standardContextual"/>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6206DC"/>
    <w:rPr>
      <w:rFonts w:ascii="Calibri" w:eastAsia="DengXian" w:hAnsi="Calibri" w:cs="Arial"/>
      <w:color w:val="000000"/>
      <w:kern w:val="2"/>
      <w:sz w:val="22"/>
      <w:szCs w:val="22"/>
      <w14:ligatures w14:val="standardContextual"/>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6206DC"/>
    <w:rPr>
      <w:rFonts w:ascii="Calibri" w:eastAsia="DengXian" w:hAnsi="Calibri" w:cs="Arial"/>
      <w:color w:val="000000"/>
      <w:kern w:val="2"/>
      <w:sz w:val="22"/>
      <w:szCs w:val="22"/>
      <w14:ligatures w14:val="standardContextual"/>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6206DC"/>
    <w:rPr>
      <w:rFonts w:ascii="Calibri" w:eastAsia="DengXian" w:hAnsi="Calibri" w:cs="Arial"/>
      <w:color w:val="000000"/>
      <w:kern w:val="2"/>
      <w:sz w:val="22"/>
      <w:szCs w:val="22"/>
      <w14:ligatures w14:val="standardContextual"/>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6206DC"/>
    <w:rPr>
      <w:rFonts w:ascii="Calibri" w:eastAsia="DengXian" w:hAnsi="Calibri" w:cs="Arial"/>
      <w:color w:val="000000"/>
      <w:kern w:val="2"/>
      <w:sz w:val="22"/>
      <w:szCs w:val="22"/>
      <w14:ligatures w14:val="standardContextual"/>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6206DC"/>
    <w:rPr>
      <w:rFonts w:ascii="Calibri" w:eastAsia="DengXian" w:hAnsi="Calibri" w:cs="Arial"/>
      <w:color w:val="000000"/>
      <w:kern w:val="2"/>
      <w:sz w:val="22"/>
      <w:szCs w:val="22"/>
      <w14:ligatures w14:val="standardContextual"/>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6206DC"/>
    <w:rPr>
      <w:rFonts w:eastAsia="DengXian" w:hAnsi="Calibri" w:cs="Simplified Arabic" w:hint="cs"/>
      <w:color w:val="FFFFFF"/>
      <w:kern w:val="2"/>
      <w:sz w:val="22"/>
      <w:szCs w:val="22"/>
      <w14:ligatures w14:val="standardContextual"/>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6206DC"/>
    <w:rPr>
      <w:rFonts w:eastAsia="DengXian" w:hAnsi="Calibri" w:cs="Simplified Arabic" w:hint="cs"/>
      <w:color w:val="FFFFFF"/>
      <w:kern w:val="2"/>
      <w:sz w:val="22"/>
      <w:szCs w:val="22"/>
      <w14:ligatures w14:val="standardContextual"/>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6206DC"/>
    <w:rPr>
      <w:rFonts w:eastAsia="DengXian" w:hAnsi="Calibri" w:cs="Simplified Arabic" w:hint="cs"/>
      <w:color w:val="FFFFFF"/>
      <w:kern w:val="2"/>
      <w:sz w:val="22"/>
      <w:szCs w:val="22"/>
      <w14:ligatures w14:val="standardContextual"/>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6206DC"/>
    <w:rPr>
      <w:rFonts w:eastAsia="DengXian" w:hAnsi="Calibri" w:cs="Simplified Arabic" w:hint="cs"/>
      <w:color w:val="FFFFFF"/>
      <w:kern w:val="2"/>
      <w:sz w:val="22"/>
      <w:szCs w:val="22"/>
      <w14:ligatures w14:val="standardContextual"/>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6206DC"/>
    <w:rPr>
      <w:rFonts w:eastAsia="DengXian" w:hAnsi="Calibri" w:cs="Simplified Arabic" w:hint="cs"/>
      <w:color w:val="FFFFFF"/>
      <w:kern w:val="2"/>
      <w:sz w:val="22"/>
      <w:szCs w:val="22"/>
      <w14:ligatures w14:val="standardContextual"/>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6206DC"/>
    <w:rPr>
      <w:rFonts w:eastAsia="DengXian" w:hAnsi="Calibri" w:cs="Simplified Arabic" w:hint="cs"/>
      <w:color w:val="FFFFFF"/>
      <w:kern w:val="2"/>
      <w:sz w:val="22"/>
      <w:szCs w:val="22"/>
      <w14:ligatures w14:val="standardContextual"/>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6206DC"/>
    <w:rPr>
      <w:rFonts w:eastAsia="DengXian" w:hAnsi="Calibri" w:cs="Simplified Arabic" w:hint="cs"/>
      <w:color w:val="FFFFFF"/>
      <w:kern w:val="2"/>
      <w:sz w:val="22"/>
      <w:szCs w:val="22"/>
      <w14:ligatures w14:val="standardContextual"/>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GridTable1Light1">
    <w:name w:val="Grid Table 1 Light1"/>
    <w:basedOn w:val="TableNormal"/>
    <w:next w:val="GridTable1Light"/>
    <w:uiPriority w:val="46"/>
    <w:rsid w:val="006206DC"/>
    <w:rPr>
      <w:rFonts w:ascii="Calibri" w:eastAsia="DengXian" w:hAnsi="Calibri" w:cs="Arial"/>
      <w:kern w:val="2"/>
      <w:sz w:val="22"/>
      <w:szCs w:val="22"/>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206DC"/>
    <w:rPr>
      <w:rFonts w:ascii="Calibri" w:eastAsia="DengXian" w:hAnsi="Calibri" w:cs="Arial"/>
      <w:kern w:val="2"/>
      <w:sz w:val="22"/>
      <w:szCs w:val="22"/>
      <w14:ligatures w14:val="standardContextual"/>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6206DC"/>
    <w:rPr>
      <w:rFonts w:ascii="Calibri" w:eastAsia="DengXian" w:hAnsi="Calibri" w:cs="Arial"/>
      <w:kern w:val="2"/>
      <w:sz w:val="22"/>
      <w:szCs w:val="22"/>
      <w14:ligatures w14:val="standardContextual"/>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6206DC"/>
    <w:rPr>
      <w:rFonts w:ascii="Calibri" w:eastAsia="DengXian" w:hAnsi="Calibri" w:cs="Arial"/>
      <w:kern w:val="2"/>
      <w:sz w:val="22"/>
      <w:szCs w:val="22"/>
      <w14:ligatures w14:val="standardContextual"/>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6206DC"/>
    <w:rPr>
      <w:rFonts w:ascii="Calibri" w:eastAsia="DengXian" w:hAnsi="Calibri" w:cs="Arial"/>
      <w:kern w:val="2"/>
      <w:sz w:val="22"/>
      <w:szCs w:val="22"/>
      <w14:ligatures w14:val="standardContextual"/>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6206DC"/>
    <w:rPr>
      <w:rFonts w:ascii="Calibri" w:eastAsia="DengXian" w:hAnsi="Calibri" w:cs="Arial"/>
      <w:kern w:val="2"/>
      <w:sz w:val="22"/>
      <w:szCs w:val="22"/>
      <w14:ligatures w14:val="standardContextual"/>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6206DC"/>
    <w:rPr>
      <w:rFonts w:ascii="Calibri" w:eastAsia="DengXian" w:hAnsi="Calibri" w:cs="Arial"/>
      <w:kern w:val="2"/>
      <w:sz w:val="22"/>
      <w:szCs w:val="22"/>
      <w14:ligatures w14:val="standardContextual"/>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6206DC"/>
    <w:rPr>
      <w:rFonts w:ascii="Calibri" w:eastAsia="DengXian" w:hAnsi="Calibri" w:cs="Arial"/>
      <w:kern w:val="2"/>
      <w:sz w:val="22"/>
      <w:szCs w:val="22"/>
      <w14:ligatures w14:val="standardContextual"/>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6206DC"/>
    <w:rPr>
      <w:rFonts w:ascii="Calibri" w:eastAsia="DengXian" w:hAnsi="Calibri" w:cs="Arial"/>
      <w:kern w:val="2"/>
      <w:sz w:val="22"/>
      <w:szCs w:val="22"/>
      <w14:ligatures w14:val="standardContextual"/>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21">
    <w:name w:val="Grid Table 2 - Accent 21"/>
    <w:basedOn w:val="TableNormal"/>
    <w:next w:val="GridTable2-Accent2"/>
    <w:uiPriority w:val="47"/>
    <w:rsid w:val="006206DC"/>
    <w:rPr>
      <w:rFonts w:ascii="Calibri" w:eastAsia="DengXian" w:hAnsi="Calibri" w:cs="Arial"/>
      <w:kern w:val="2"/>
      <w:sz w:val="22"/>
      <w:szCs w:val="22"/>
      <w14:ligatures w14:val="standardContextual"/>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next w:val="GridTable2-Accent3"/>
    <w:uiPriority w:val="47"/>
    <w:rsid w:val="006206DC"/>
    <w:rPr>
      <w:rFonts w:ascii="Calibri" w:eastAsia="DengXian" w:hAnsi="Calibri" w:cs="Arial"/>
      <w:kern w:val="2"/>
      <w:sz w:val="22"/>
      <w:szCs w:val="22"/>
      <w14:ligatures w14:val="standardContextual"/>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next w:val="GridTable2-Accent4"/>
    <w:uiPriority w:val="47"/>
    <w:rsid w:val="006206DC"/>
    <w:rPr>
      <w:rFonts w:ascii="Calibri" w:eastAsia="DengXian" w:hAnsi="Calibri" w:cs="Arial"/>
      <w:kern w:val="2"/>
      <w:sz w:val="22"/>
      <w:szCs w:val="22"/>
      <w14:ligatures w14:val="standardContextual"/>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next w:val="GridTable2-Accent5"/>
    <w:uiPriority w:val="47"/>
    <w:rsid w:val="006206DC"/>
    <w:rPr>
      <w:rFonts w:ascii="Calibri" w:eastAsia="DengXian" w:hAnsi="Calibri" w:cs="Arial"/>
      <w:kern w:val="2"/>
      <w:sz w:val="22"/>
      <w:szCs w:val="22"/>
      <w14:ligatures w14:val="standardContextua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61">
    <w:name w:val="Grid Table 2 - Accent 61"/>
    <w:basedOn w:val="TableNormal"/>
    <w:next w:val="GridTable2-Accent6"/>
    <w:uiPriority w:val="47"/>
    <w:rsid w:val="006206DC"/>
    <w:rPr>
      <w:rFonts w:ascii="Calibri" w:eastAsia="DengXian" w:hAnsi="Calibri" w:cs="Arial"/>
      <w:kern w:val="2"/>
      <w:sz w:val="22"/>
      <w:szCs w:val="22"/>
      <w14:ligatures w14:val="standardContextual"/>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next w:val="GridTable3"/>
    <w:uiPriority w:val="48"/>
    <w:rsid w:val="006206DC"/>
    <w:rPr>
      <w:rFonts w:ascii="Calibri" w:eastAsia="DengXian" w:hAnsi="Calibri" w:cs="Arial"/>
      <w:kern w:val="2"/>
      <w:sz w:val="22"/>
      <w:szCs w:val="22"/>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6206DC"/>
    <w:rPr>
      <w:rFonts w:ascii="Calibri" w:eastAsia="DengXian" w:hAnsi="Calibri" w:cs="Arial"/>
      <w:kern w:val="2"/>
      <w:sz w:val="22"/>
      <w:szCs w:val="2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1">
    <w:name w:val="Grid Table 3 - Accent 21"/>
    <w:basedOn w:val="TableNormal"/>
    <w:next w:val="GridTable3-Accent2"/>
    <w:uiPriority w:val="48"/>
    <w:rsid w:val="006206DC"/>
    <w:rPr>
      <w:rFonts w:ascii="Calibri" w:eastAsia="DengXian" w:hAnsi="Calibri" w:cs="Arial"/>
      <w:kern w:val="2"/>
      <w:sz w:val="22"/>
      <w:szCs w:val="22"/>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next w:val="GridTable3-Accent3"/>
    <w:uiPriority w:val="48"/>
    <w:rsid w:val="006206DC"/>
    <w:rPr>
      <w:rFonts w:ascii="Calibri" w:eastAsia="DengXian" w:hAnsi="Calibri" w:cs="Arial"/>
      <w:kern w:val="2"/>
      <w:sz w:val="22"/>
      <w:szCs w:val="2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next w:val="GridTable3-Accent4"/>
    <w:uiPriority w:val="48"/>
    <w:rsid w:val="006206DC"/>
    <w:rPr>
      <w:rFonts w:ascii="Calibri" w:eastAsia="DengXian" w:hAnsi="Calibri" w:cs="Arial"/>
      <w:kern w:val="2"/>
      <w:sz w:val="22"/>
      <w:szCs w:val="22"/>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next w:val="GridTable3-Accent5"/>
    <w:uiPriority w:val="48"/>
    <w:rsid w:val="006206DC"/>
    <w:rPr>
      <w:rFonts w:ascii="Calibri" w:eastAsia="DengXian" w:hAnsi="Calibri" w:cs="Arial"/>
      <w:kern w:val="2"/>
      <w:sz w:val="22"/>
      <w:szCs w:val="22"/>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1">
    <w:name w:val="Grid Table 3 - Accent 61"/>
    <w:basedOn w:val="TableNormal"/>
    <w:next w:val="GridTable3-Accent6"/>
    <w:uiPriority w:val="48"/>
    <w:rsid w:val="006206DC"/>
    <w:rPr>
      <w:rFonts w:ascii="Calibri" w:eastAsia="DengXian" w:hAnsi="Calibri" w:cs="Arial"/>
      <w:kern w:val="2"/>
      <w:sz w:val="22"/>
      <w:szCs w:val="22"/>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next w:val="GridTable4"/>
    <w:uiPriority w:val="49"/>
    <w:rsid w:val="006206DC"/>
    <w:rPr>
      <w:rFonts w:ascii="Calibri" w:eastAsia="DengXian" w:hAnsi="Calibri" w:cs="Arial"/>
      <w:kern w:val="2"/>
      <w:sz w:val="22"/>
      <w:szCs w:val="22"/>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6206DC"/>
    <w:rPr>
      <w:rFonts w:ascii="Calibri" w:eastAsia="DengXian" w:hAnsi="Calibri" w:cs="Arial"/>
      <w:kern w:val="2"/>
      <w:sz w:val="22"/>
      <w:szCs w:val="2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21">
    <w:name w:val="Grid Table 4 - Accent 21"/>
    <w:basedOn w:val="TableNormal"/>
    <w:next w:val="GridTable4-Accent2"/>
    <w:uiPriority w:val="49"/>
    <w:rsid w:val="006206DC"/>
    <w:rPr>
      <w:rFonts w:ascii="Calibri" w:eastAsia="DengXian" w:hAnsi="Calibri" w:cs="Arial"/>
      <w:kern w:val="2"/>
      <w:sz w:val="22"/>
      <w:szCs w:val="22"/>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next w:val="GridTable4-Accent3"/>
    <w:uiPriority w:val="49"/>
    <w:rsid w:val="006206DC"/>
    <w:rPr>
      <w:rFonts w:ascii="Calibri" w:eastAsia="DengXian" w:hAnsi="Calibri" w:cs="Arial"/>
      <w:kern w:val="2"/>
      <w:sz w:val="22"/>
      <w:szCs w:val="2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next w:val="GridTable4-Accent4"/>
    <w:uiPriority w:val="49"/>
    <w:rsid w:val="006206DC"/>
    <w:rPr>
      <w:rFonts w:ascii="Calibri" w:eastAsia="DengXian" w:hAnsi="Calibri" w:cs="Arial"/>
      <w:kern w:val="2"/>
      <w:sz w:val="22"/>
      <w:szCs w:val="22"/>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next w:val="GridTable4-Accent5"/>
    <w:uiPriority w:val="49"/>
    <w:rsid w:val="006206DC"/>
    <w:rPr>
      <w:rFonts w:ascii="Calibri" w:eastAsia="DengXian" w:hAnsi="Calibri" w:cs="Arial"/>
      <w:kern w:val="2"/>
      <w:sz w:val="22"/>
      <w:szCs w:val="22"/>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1">
    <w:name w:val="Grid Table 4 - Accent 61"/>
    <w:basedOn w:val="TableNormal"/>
    <w:next w:val="GridTable4-Accent6"/>
    <w:uiPriority w:val="49"/>
    <w:rsid w:val="006206DC"/>
    <w:rPr>
      <w:rFonts w:ascii="Calibri" w:eastAsia="DengXian" w:hAnsi="Calibri" w:cs="Arial"/>
      <w:kern w:val="2"/>
      <w:sz w:val="22"/>
      <w:szCs w:val="22"/>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next w:val="GridTable5Dark"/>
    <w:uiPriority w:val="50"/>
    <w:rsid w:val="006206DC"/>
    <w:rPr>
      <w:rFonts w:ascii="Calibri" w:eastAsia="DengXian" w:hAnsi="Calibri" w:cs="Arial"/>
      <w:kern w:val="2"/>
      <w:sz w:val="22"/>
      <w:szCs w:val="2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6206DC"/>
    <w:rPr>
      <w:rFonts w:ascii="Calibri" w:eastAsia="DengXian" w:hAnsi="Calibri" w:cs="Arial"/>
      <w:kern w:val="2"/>
      <w:sz w:val="22"/>
      <w:szCs w:val="2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21">
    <w:name w:val="Grid Table 5 Dark - Accent 21"/>
    <w:basedOn w:val="TableNormal"/>
    <w:next w:val="GridTable5Dark-Accent2"/>
    <w:uiPriority w:val="50"/>
    <w:rsid w:val="006206DC"/>
    <w:rPr>
      <w:rFonts w:ascii="Calibri" w:eastAsia="DengXian" w:hAnsi="Calibri" w:cs="Arial"/>
      <w:kern w:val="2"/>
      <w:sz w:val="22"/>
      <w:szCs w:val="2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next w:val="GridTable5Dark-Accent3"/>
    <w:uiPriority w:val="50"/>
    <w:rsid w:val="006206DC"/>
    <w:rPr>
      <w:rFonts w:ascii="Calibri" w:eastAsia="DengXian" w:hAnsi="Calibri" w:cs="Arial"/>
      <w:kern w:val="2"/>
      <w:sz w:val="22"/>
      <w:szCs w:val="2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next w:val="GridTable5Dark-Accent4"/>
    <w:uiPriority w:val="50"/>
    <w:rsid w:val="006206DC"/>
    <w:rPr>
      <w:rFonts w:ascii="Calibri" w:eastAsia="DengXian" w:hAnsi="Calibri" w:cs="Arial"/>
      <w:kern w:val="2"/>
      <w:sz w:val="22"/>
      <w:szCs w:val="2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next w:val="GridTable5Dark-Accent5"/>
    <w:uiPriority w:val="50"/>
    <w:rsid w:val="006206DC"/>
    <w:rPr>
      <w:rFonts w:ascii="Calibri" w:eastAsia="DengXian" w:hAnsi="Calibri" w:cs="Arial"/>
      <w:kern w:val="2"/>
      <w:sz w:val="22"/>
      <w:szCs w:val="2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61">
    <w:name w:val="Grid Table 5 Dark - Accent 61"/>
    <w:basedOn w:val="TableNormal"/>
    <w:next w:val="GridTable5Dark-Accent6"/>
    <w:uiPriority w:val="50"/>
    <w:rsid w:val="006206DC"/>
    <w:rPr>
      <w:rFonts w:ascii="Calibri" w:eastAsia="DengXian" w:hAnsi="Calibri" w:cs="Arial"/>
      <w:kern w:val="2"/>
      <w:sz w:val="22"/>
      <w:szCs w:val="2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next w:val="GridTable6Colorful"/>
    <w:uiPriority w:val="51"/>
    <w:rsid w:val="006206DC"/>
    <w:rPr>
      <w:rFonts w:ascii="Calibri" w:eastAsia="DengXian" w:hAnsi="Calibri" w:cs="Arial"/>
      <w:color w:val="000000"/>
      <w:kern w:val="2"/>
      <w:sz w:val="22"/>
      <w:szCs w:val="22"/>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6206DC"/>
    <w:rPr>
      <w:rFonts w:ascii="Calibri" w:eastAsia="DengXian" w:hAnsi="Calibri" w:cs="Arial"/>
      <w:color w:val="2F5496"/>
      <w:kern w:val="2"/>
      <w:sz w:val="22"/>
      <w:szCs w:val="2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
    <w:uiPriority w:val="51"/>
    <w:rsid w:val="006206DC"/>
    <w:rPr>
      <w:rFonts w:ascii="Calibri" w:eastAsia="DengXian" w:hAnsi="Calibri" w:cs="Arial"/>
      <w:color w:val="C45911"/>
      <w:kern w:val="2"/>
      <w:sz w:val="22"/>
      <w:szCs w:val="22"/>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next w:val="GridTable6Colorful-Accent3"/>
    <w:uiPriority w:val="51"/>
    <w:rsid w:val="006206DC"/>
    <w:rPr>
      <w:rFonts w:ascii="Calibri" w:eastAsia="DengXian" w:hAnsi="Calibri" w:cs="Arial"/>
      <w:color w:val="7B7B7B"/>
      <w:kern w:val="2"/>
      <w:sz w:val="22"/>
      <w:szCs w:val="2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next w:val="GridTable6Colorful-Accent4"/>
    <w:uiPriority w:val="51"/>
    <w:rsid w:val="006206DC"/>
    <w:rPr>
      <w:rFonts w:ascii="Calibri" w:eastAsia="DengXian" w:hAnsi="Calibri" w:cs="Arial"/>
      <w:color w:val="BF8F00"/>
      <w:kern w:val="2"/>
      <w:sz w:val="22"/>
      <w:szCs w:val="22"/>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next w:val="GridTable6Colorful-Accent5"/>
    <w:uiPriority w:val="51"/>
    <w:rsid w:val="006206DC"/>
    <w:rPr>
      <w:rFonts w:ascii="Calibri" w:eastAsia="DengXian" w:hAnsi="Calibri" w:cs="Arial"/>
      <w:color w:val="2E74B5"/>
      <w:kern w:val="2"/>
      <w:sz w:val="22"/>
      <w:szCs w:val="22"/>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next w:val="GridTable6Colorful-Accent6"/>
    <w:uiPriority w:val="51"/>
    <w:rsid w:val="006206DC"/>
    <w:rPr>
      <w:rFonts w:ascii="Calibri" w:eastAsia="DengXian" w:hAnsi="Calibri" w:cs="Arial"/>
      <w:color w:val="538135"/>
      <w:kern w:val="2"/>
      <w:sz w:val="22"/>
      <w:szCs w:val="22"/>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next w:val="GridTable7Colorful"/>
    <w:uiPriority w:val="52"/>
    <w:rsid w:val="006206DC"/>
    <w:rPr>
      <w:rFonts w:ascii="Calibri" w:eastAsia="DengXian" w:hAnsi="Calibri" w:cs="Arial"/>
      <w:color w:val="000000"/>
      <w:kern w:val="2"/>
      <w:sz w:val="22"/>
      <w:szCs w:val="22"/>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6206DC"/>
    <w:rPr>
      <w:rFonts w:ascii="Calibri" w:eastAsia="DengXian" w:hAnsi="Calibri" w:cs="Arial"/>
      <w:color w:val="2F5496"/>
      <w:kern w:val="2"/>
      <w:sz w:val="22"/>
      <w:szCs w:val="2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1">
    <w:name w:val="Grid Table 7 Colorful - Accent 21"/>
    <w:basedOn w:val="TableNormal"/>
    <w:next w:val="GridTable7Colorful-Accent2"/>
    <w:uiPriority w:val="52"/>
    <w:rsid w:val="006206DC"/>
    <w:rPr>
      <w:rFonts w:ascii="Calibri" w:eastAsia="DengXian" w:hAnsi="Calibri" w:cs="Arial"/>
      <w:color w:val="C45911"/>
      <w:kern w:val="2"/>
      <w:sz w:val="22"/>
      <w:szCs w:val="22"/>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next w:val="GridTable7Colorful-Accent3"/>
    <w:uiPriority w:val="52"/>
    <w:rsid w:val="006206DC"/>
    <w:rPr>
      <w:rFonts w:ascii="Calibri" w:eastAsia="DengXian" w:hAnsi="Calibri" w:cs="Arial"/>
      <w:color w:val="7B7B7B"/>
      <w:kern w:val="2"/>
      <w:sz w:val="22"/>
      <w:szCs w:val="2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next w:val="GridTable7Colorful-Accent4"/>
    <w:uiPriority w:val="52"/>
    <w:rsid w:val="006206DC"/>
    <w:rPr>
      <w:rFonts w:ascii="Calibri" w:eastAsia="DengXian" w:hAnsi="Calibri" w:cs="Arial"/>
      <w:color w:val="BF8F00"/>
      <w:kern w:val="2"/>
      <w:sz w:val="22"/>
      <w:szCs w:val="22"/>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next w:val="GridTable7Colorful-Accent5"/>
    <w:uiPriority w:val="52"/>
    <w:rsid w:val="006206DC"/>
    <w:rPr>
      <w:rFonts w:ascii="Calibri" w:eastAsia="DengXian" w:hAnsi="Calibri" w:cs="Arial"/>
      <w:color w:val="2E74B5"/>
      <w:kern w:val="2"/>
      <w:sz w:val="22"/>
      <w:szCs w:val="22"/>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1">
    <w:name w:val="Grid Table 7 Colorful - Accent 61"/>
    <w:basedOn w:val="TableNormal"/>
    <w:next w:val="GridTable7Colorful-Accent6"/>
    <w:uiPriority w:val="52"/>
    <w:rsid w:val="006206DC"/>
    <w:rPr>
      <w:rFonts w:ascii="Calibri" w:eastAsia="DengXian" w:hAnsi="Calibri" w:cs="Arial"/>
      <w:color w:val="538135"/>
      <w:kern w:val="2"/>
      <w:sz w:val="22"/>
      <w:szCs w:val="22"/>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1">
    <w:name w:val="Light Grid1"/>
    <w:basedOn w:val="TableNormal"/>
    <w:next w:val="LightGrid"/>
    <w:uiPriority w:val="62"/>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DengXian Light"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DengXian Light"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DengXian Light"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DengXian Light"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DengXian Light"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DengXian Light"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DengXian Light"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6206DC"/>
    <w:rPr>
      <w:rFonts w:eastAsia="DengXian" w:hAnsi="Calibri" w:cs="Simplified Arabic" w:hint="cs"/>
      <w:kern w:val="2"/>
      <w:sz w:val="22"/>
      <w:szCs w:val="2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6206DC"/>
    <w:rPr>
      <w:rFonts w:eastAsia="DengXian" w:hAnsi="Calibri" w:cs="Simplified Arabic" w:hint="cs"/>
      <w:kern w:val="2"/>
      <w:sz w:val="22"/>
      <w:szCs w:val="22"/>
      <w14:ligatures w14:val="standardContextua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6206DC"/>
    <w:rPr>
      <w:rFonts w:eastAsia="DengXian" w:hAnsi="Calibri" w:cs="Simplified Arabic" w:hint="cs"/>
      <w:kern w:val="2"/>
      <w:sz w:val="22"/>
      <w:szCs w:val="22"/>
      <w14:ligatures w14:val="standardContextual"/>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6206DC"/>
    <w:rPr>
      <w:rFonts w:eastAsia="DengXian" w:hAnsi="Calibri" w:cs="Simplified Arabic" w:hint="cs"/>
      <w:kern w:val="2"/>
      <w:sz w:val="22"/>
      <w:szCs w:val="22"/>
      <w14:ligatures w14:val="standardContextua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6206DC"/>
    <w:rPr>
      <w:rFonts w:eastAsia="DengXian" w:hAnsi="Calibri" w:cs="Simplified Arabic" w:hint="cs"/>
      <w:kern w:val="2"/>
      <w:sz w:val="22"/>
      <w:szCs w:val="22"/>
      <w14:ligatures w14:val="standardContextual"/>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6206DC"/>
    <w:rPr>
      <w:rFonts w:eastAsia="DengXian" w:hAnsi="Calibri" w:cs="Simplified Arabic" w:hint="cs"/>
      <w:kern w:val="2"/>
      <w:sz w:val="22"/>
      <w:szCs w:val="22"/>
      <w14:ligatures w14:val="standardContextual"/>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6206DC"/>
    <w:rPr>
      <w:rFonts w:eastAsia="DengXian" w:hAnsi="Calibri" w:cs="Simplified Arabic" w:hint="cs"/>
      <w:kern w:val="2"/>
      <w:sz w:val="22"/>
      <w:szCs w:val="22"/>
      <w14:ligatures w14:val="standardContextual"/>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6206DC"/>
    <w:rPr>
      <w:rFonts w:ascii="Calibri" w:eastAsia="DengXian" w:hAnsi="Calibri" w:cs="Arial"/>
      <w:color w:val="000000"/>
      <w:kern w:val="2"/>
      <w:sz w:val="22"/>
      <w:szCs w:val="22"/>
      <w14:ligatures w14:val="standardContextua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6206DC"/>
    <w:rPr>
      <w:rFonts w:ascii="Calibri" w:eastAsia="DengXian" w:hAnsi="Calibri" w:cs="Arial"/>
      <w:color w:val="2F5496"/>
      <w:kern w:val="2"/>
      <w:sz w:val="22"/>
      <w:szCs w:val="22"/>
      <w14:ligatures w14:val="standardContextual"/>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6206DC"/>
    <w:rPr>
      <w:rFonts w:ascii="Calibri" w:eastAsia="DengXian" w:hAnsi="Calibri" w:cs="Arial"/>
      <w:color w:val="C45911"/>
      <w:kern w:val="2"/>
      <w:sz w:val="22"/>
      <w:szCs w:val="22"/>
      <w14:ligatures w14:val="standardContextual"/>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6206DC"/>
    <w:rPr>
      <w:rFonts w:ascii="Calibri" w:eastAsia="DengXian" w:hAnsi="Calibri" w:cs="Arial"/>
      <w:color w:val="7B7B7B"/>
      <w:kern w:val="2"/>
      <w:sz w:val="22"/>
      <w:szCs w:val="22"/>
      <w14:ligatures w14:val="standardContextual"/>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6206DC"/>
    <w:rPr>
      <w:rFonts w:ascii="Calibri" w:eastAsia="DengXian" w:hAnsi="Calibri" w:cs="Arial"/>
      <w:color w:val="BF8F00"/>
      <w:kern w:val="2"/>
      <w:sz w:val="22"/>
      <w:szCs w:val="22"/>
      <w14:ligatures w14:val="standardContextual"/>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6206DC"/>
    <w:rPr>
      <w:rFonts w:ascii="Calibri" w:eastAsia="DengXian" w:hAnsi="Calibri" w:cs="Arial"/>
      <w:color w:val="2E74B5"/>
      <w:kern w:val="2"/>
      <w:sz w:val="22"/>
      <w:szCs w:val="22"/>
      <w14:ligatures w14:val="standardContextual"/>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6206DC"/>
    <w:rPr>
      <w:rFonts w:ascii="Calibri" w:eastAsia="DengXian" w:hAnsi="Calibri" w:cs="Arial"/>
      <w:color w:val="538135"/>
      <w:kern w:val="2"/>
      <w:sz w:val="22"/>
      <w:szCs w:val="22"/>
      <w14:ligatures w14:val="standardContextual"/>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stTable1Light1">
    <w:name w:val="List Table 1 Light1"/>
    <w:basedOn w:val="TableNormal"/>
    <w:next w:val="ListTable1Light"/>
    <w:uiPriority w:val="46"/>
    <w:rsid w:val="006206DC"/>
    <w:rPr>
      <w:rFonts w:eastAsia="DengXian" w:hAnsi="Calibri" w:cs="Simplified Arabic" w:hint="cs"/>
      <w:kern w:val="2"/>
      <w:sz w:val="22"/>
      <w:szCs w:val="22"/>
      <w14:ligatures w14:val="standardContextual"/>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6206DC"/>
    <w:rPr>
      <w:rFonts w:eastAsia="DengXian" w:hAnsi="Calibri" w:cs="Simplified Arabic" w:hint="cs"/>
      <w:kern w:val="2"/>
      <w:sz w:val="22"/>
      <w:szCs w:val="22"/>
      <w14:ligatures w14:val="standardContextual"/>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next w:val="ListTable1Light-Accent2"/>
    <w:uiPriority w:val="46"/>
    <w:rsid w:val="006206DC"/>
    <w:rPr>
      <w:rFonts w:eastAsia="DengXian" w:hAnsi="Calibri" w:cs="Simplified Arabic" w:hint="cs"/>
      <w:kern w:val="2"/>
      <w:sz w:val="22"/>
      <w:szCs w:val="22"/>
      <w14:ligatures w14:val="standardContextual"/>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next w:val="ListTable1Light-Accent3"/>
    <w:uiPriority w:val="46"/>
    <w:rsid w:val="006206DC"/>
    <w:rPr>
      <w:rFonts w:eastAsia="DengXian" w:hAnsi="Calibri" w:cs="Simplified Arabic" w:hint="cs"/>
      <w:kern w:val="2"/>
      <w:sz w:val="22"/>
      <w:szCs w:val="22"/>
      <w14:ligatures w14:val="standardContextual"/>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next w:val="ListTable1Light-Accent4"/>
    <w:uiPriority w:val="46"/>
    <w:rsid w:val="006206DC"/>
    <w:rPr>
      <w:rFonts w:eastAsia="DengXian" w:hAnsi="Calibri" w:cs="Simplified Arabic" w:hint="cs"/>
      <w:kern w:val="2"/>
      <w:sz w:val="22"/>
      <w:szCs w:val="22"/>
      <w14:ligatures w14:val="standardContextual"/>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next w:val="ListTable1Light-Accent5"/>
    <w:uiPriority w:val="46"/>
    <w:rsid w:val="006206DC"/>
    <w:rPr>
      <w:rFonts w:eastAsia="DengXian" w:hAnsi="Calibri" w:cs="Simplified Arabic" w:hint="cs"/>
      <w:kern w:val="2"/>
      <w:sz w:val="22"/>
      <w:szCs w:val="22"/>
      <w14:ligatures w14:val="standardContextual"/>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61">
    <w:name w:val="List Table 1 Light - Accent 61"/>
    <w:basedOn w:val="TableNormal"/>
    <w:next w:val="ListTable1Light-Accent6"/>
    <w:uiPriority w:val="46"/>
    <w:rsid w:val="006206DC"/>
    <w:rPr>
      <w:rFonts w:eastAsia="DengXian" w:hAnsi="Calibri" w:cs="Simplified Arabic" w:hint="cs"/>
      <w:kern w:val="2"/>
      <w:sz w:val="22"/>
      <w:szCs w:val="22"/>
      <w14:ligatures w14:val="standardContextual"/>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next w:val="ListTable2"/>
    <w:uiPriority w:val="47"/>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21">
    <w:name w:val="List Table 2 - Accent 21"/>
    <w:basedOn w:val="TableNormal"/>
    <w:next w:val="ListTable2-Accent2"/>
    <w:uiPriority w:val="47"/>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next w:val="ListTable2-Accent3"/>
    <w:uiPriority w:val="47"/>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next w:val="ListTable2-Accent4"/>
    <w:uiPriority w:val="47"/>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next w:val="ListTable2-Accent5"/>
    <w:uiPriority w:val="47"/>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61">
    <w:name w:val="List Table 2 - Accent 61"/>
    <w:basedOn w:val="TableNormal"/>
    <w:next w:val="ListTable2-Accent6"/>
    <w:uiPriority w:val="47"/>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next w:val="ListTable3"/>
    <w:uiPriority w:val="48"/>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1">
    <w:name w:val="List Table 3 - Accent 21"/>
    <w:basedOn w:val="TableNormal"/>
    <w:next w:val="ListTable3-Accent2"/>
    <w:uiPriority w:val="48"/>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next w:val="ListTable3-Accent3"/>
    <w:uiPriority w:val="48"/>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next w:val="ListTable3-Accent4"/>
    <w:uiPriority w:val="48"/>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next w:val="ListTable3-Accent5"/>
    <w:uiPriority w:val="48"/>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1">
    <w:name w:val="List Table 3 - Accent 61"/>
    <w:basedOn w:val="TableNormal"/>
    <w:next w:val="ListTable3-Accent6"/>
    <w:uiPriority w:val="48"/>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next w:val="ListTable4"/>
    <w:uiPriority w:val="49"/>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next w:val="ListTable4-Accent2"/>
    <w:uiPriority w:val="49"/>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next w:val="ListTable4-Accent3"/>
    <w:uiPriority w:val="49"/>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next w:val="ListTable4-Accent4"/>
    <w:uiPriority w:val="49"/>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next w:val="ListTable4-Accent5"/>
    <w:uiPriority w:val="49"/>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61">
    <w:name w:val="List Table 4 - Accent 61"/>
    <w:basedOn w:val="TableNormal"/>
    <w:next w:val="ListTable4-Accent6"/>
    <w:uiPriority w:val="49"/>
    <w:rsid w:val="006206DC"/>
    <w:rPr>
      <w:rFonts w:eastAsia="DengXian" w:hAnsi="Calibri" w:cs="Simplified Arabic" w:hint="cs"/>
      <w:kern w:val="2"/>
      <w:sz w:val="22"/>
      <w:szCs w:val="22"/>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next w:val="ListTable5Dark"/>
    <w:uiPriority w:val="50"/>
    <w:rsid w:val="006206DC"/>
    <w:rPr>
      <w:rFonts w:eastAsia="DengXian" w:hAnsi="Calibri" w:cs="Simplified Arabic" w:hint="cs"/>
      <w:color w:val="FFFFFF"/>
      <w:kern w:val="2"/>
      <w:sz w:val="22"/>
      <w:szCs w:val="22"/>
      <w14:ligatures w14:val="standardContextual"/>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6206DC"/>
    <w:rPr>
      <w:rFonts w:eastAsia="DengXian" w:hAnsi="Calibri" w:cs="Simplified Arabic" w:hint="cs"/>
      <w:color w:val="FFFFFF"/>
      <w:kern w:val="2"/>
      <w:sz w:val="22"/>
      <w:szCs w:val="22"/>
      <w14:ligatures w14:val="standardContextual"/>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6206DC"/>
    <w:rPr>
      <w:rFonts w:eastAsia="DengXian" w:hAnsi="Calibri" w:cs="Simplified Arabic" w:hint="cs"/>
      <w:color w:val="FFFFFF"/>
      <w:kern w:val="2"/>
      <w:sz w:val="22"/>
      <w:szCs w:val="22"/>
      <w14:ligatures w14:val="standardContextual"/>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6206DC"/>
    <w:rPr>
      <w:rFonts w:eastAsia="DengXian" w:hAnsi="Calibri" w:cs="Simplified Arabic" w:hint="cs"/>
      <w:color w:val="FFFFFF"/>
      <w:kern w:val="2"/>
      <w:sz w:val="22"/>
      <w:szCs w:val="22"/>
      <w14:ligatures w14:val="standardContextual"/>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6206DC"/>
    <w:rPr>
      <w:rFonts w:eastAsia="DengXian" w:hAnsi="Calibri" w:cs="Simplified Arabic" w:hint="cs"/>
      <w:color w:val="FFFFFF"/>
      <w:kern w:val="2"/>
      <w:sz w:val="22"/>
      <w:szCs w:val="22"/>
      <w14:ligatures w14:val="standardContextual"/>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6206DC"/>
    <w:rPr>
      <w:rFonts w:eastAsia="DengXian" w:hAnsi="Calibri" w:cs="Simplified Arabic" w:hint="cs"/>
      <w:color w:val="FFFFFF"/>
      <w:kern w:val="2"/>
      <w:sz w:val="22"/>
      <w:szCs w:val="22"/>
      <w14:ligatures w14:val="standardContextual"/>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6206DC"/>
    <w:rPr>
      <w:rFonts w:eastAsia="DengXian" w:hAnsi="Calibri" w:cs="Simplified Arabic" w:hint="cs"/>
      <w:color w:val="FFFFFF"/>
      <w:kern w:val="2"/>
      <w:sz w:val="22"/>
      <w:szCs w:val="22"/>
      <w14:ligatures w14:val="standardContextual"/>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6206DC"/>
    <w:rPr>
      <w:rFonts w:eastAsia="DengXian" w:hAnsi="Calibri" w:cs="Simplified Arabic" w:hint="cs"/>
      <w:color w:val="000000"/>
      <w:kern w:val="2"/>
      <w:sz w:val="22"/>
      <w:szCs w:val="22"/>
      <w14:ligatures w14:val="standardContextual"/>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6206DC"/>
    <w:rPr>
      <w:rFonts w:eastAsia="DengXian" w:hAnsi="Calibri" w:cs="Simplified Arabic" w:hint="cs"/>
      <w:color w:val="2F5496"/>
      <w:kern w:val="2"/>
      <w:sz w:val="22"/>
      <w:szCs w:val="22"/>
      <w14:ligatures w14:val="standardContextual"/>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21">
    <w:name w:val="List Table 6 Colorful - Accent 21"/>
    <w:basedOn w:val="TableNormal"/>
    <w:next w:val="ListTable6Colorful-Accent2"/>
    <w:uiPriority w:val="51"/>
    <w:rsid w:val="006206DC"/>
    <w:rPr>
      <w:rFonts w:eastAsia="DengXian" w:hAnsi="Calibri" w:cs="Simplified Arabic" w:hint="cs"/>
      <w:color w:val="C45911"/>
      <w:kern w:val="2"/>
      <w:sz w:val="22"/>
      <w:szCs w:val="22"/>
      <w14:ligatures w14:val="standardContextual"/>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next w:val="ListTable6Colorful-Accent3"/>
    <w:uiPriority w:val="51"/>
    <w:rsid w:val="006206DC"/>
    <w:rPr>
      <w:rFonts w:eastAsia="DengXian" w:hAnsi="Calibri" w:cs="Simplified Arabic" w:hint="cs"/>
      <w:color w:val="7B7B7B"/>
      <w:kern w:val="2"/>
      <w:sz w:val="22"/>
      <w:szCs w:val="22"/>
      <w14:ligatures w14:val="standardContextual"/>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next w:val="ListTable6Colorful-Accent4"/>
    <w:uiPriority w:val="51"/>
    <w:rsid w:val="006206DC"/>
    <w:rPr>
      <w:rFonts w:eastAsia="DengXian" w:hAnsi="Calibri" w:cs="Simplified Arabic" w:hint="cs"/>
      <w:color w:val="BF8F00"/>
      <w:kern w:val="2"/>
      <w:sz w:val="22"/>
      <w:szCs w:val="22"/>
      <w14:ligatures w14:val="standardContextual"/>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next w:val="ListTable6Colorful-Accent5"/>
    <w:uiPriority w:val="51"/>
    <w:rsid w:val="006206DC"/>
    <w:rPr>
      <w:rFonts w:eastAsia="DengXian" w:hAnsi="Calibri" w:cs="Simplified Arabic" w:hint="cs"/>
      <w:color w:val="2E74B5"/>
      <w:kern w:val="2"/>
      <w:sz w:val="22"/>
      <w:szCs w:val="22"/>
      <w14:ligatures w14:val="standardContextual"/>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61">
    <w:name w:val="List Table 6 Colorful - Accent 61"/>
    <w:basedOn w:val="TableNormal"/>
    <w:next w:val="ListTable6Colorful-Accent6"/>
    <w:uiPriority w:val="51"/>
    <w:rsid w:val="006206DC"/>
    <w:rPr>
      <w:rFonts w:eastAsia="DengXian" w:hAnsi="Calibri" w:cs="Simplified Arabic" w:hint="cs"/>
      <w:color w:val="538135"/>
      <w:kern w:val="2"/>
      <w:sz w:val="22"/>
      <w:szCs w:val="22"/>
      <w14:ligatures w14:val="standardContextual"/>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next w:val="ListTable7Colorful"/>
    <w:uiPriority w:val="52"/>
    <w:rsid w:val="006206DC"/>
    <w:rPr>
      <w:rFonts w:eastAsia="DengXian" w:hAnsi="Calibri" w:cs="Simplified Arabic" w:hint="cs"/>
      <w:color w:val="000000"/>
      <w:kern w:val="2"/>
      <w:sz w:val="22"/>
      <w:szCs w:val="22"/>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000000"/>
        </w:tcBorders>
        <w:shd w:val="clear" w:color="auto" w:fill="FFFFFF"/>
      </w:tcPr>
    </w:tblStylePr>
    <w:tblStylePr w:type="lastRow">
      <w:rPr>
        <w:rFonts w:ascii="Calibri Light" w:eastAsia="DengXian Light"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000000"/>
        </w:tcBorders>
        <w:shd w:val="clear" w:color="auto" w:fill="FFFFFF"/>
      </w:tcPr>
    </w:tblStylePr>
    <w:tblStylePr w:type="lastCol">
      <w:rPr>
        <w:rFonts w:ascii="Calibri Light" w:eastAsia="DengXian Light"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6206DC"/>
    <w:rPr>
      <w:rFonts w:eastAsia="DengXian" w:hAnsi="Calibri" w:cs="Simplified Arabic" w:hint="cs"/>
      <w:color w:val="2F5496"/>
      <w:kern w:val="2"/>
      <w:sz w:val="22"/>
      <w:szCs w:val="22"/>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4472C4"/>
        </w:tcBorders>
        <w:shd w:val="clear" w:color="auto" w:fill="FFFFFF"/>
      </w:tcPr>
    </w:tblStylePr>
    <w:tblStylePr w:type="lastRow">
      <w:rPr>
        <w:rFonts w:ascii="Calibri Light" w:eastAsia="DengXian Light"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4472C4"/>
        </w:tcBorders>
        <w:shd w:val="clear" w:color="auto" w:fill="FFFFFF"/>
      </w:tcPr>
    </w:tblStylePr>
    <w:tblStylePr w:type="lastCol">
      <w:rPr>
        <w:rFonts w:ascii="Calibri Light" w:eastAsia="DengXian Light"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6206DC"/>
    <w:rPr>
      <w:rFonts w:eastAsia="DengXian" w:hAnsi="Calibri" w:cs="Simplified Arabic" w:hint="cs"/>
      <w:color w:val="C45911"/>
      <w:kern w:val="2"/>
      <w:sz w:val="22"/>
      <w:szCs w:val="22"/>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ED7D31"/>
        </w:tcBorders>
        <w:shd w:val="clear" w:color="auto" w:fill="FFFFFF"/>
      </w:tcPr>
    </w:tblStylePr>
    <w:tblStylePr w:type="lastRow">
      <w:rPr>
        <w:rFonts w:ascii="Calibri Light" w:eastAsia="DengXian Light"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ED7D31"/>
        </w:tcBorders>
        <w:shd w:val="clear" w:color="auto" w:fill="FFFFFF"/>
      </w:tcPr>
    </w:tblStylePr>
    <w:tblStylePr w:type="lastCol">
      <w:rPr>
        <w:rFonts w:ascii="Calibri Light" w:eastAsia="DengXian Light"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6206DC"/>
    <w:rPr>
      <w:rFonts w:eastAsia="DengXian" w:hAnsi="Calibri" w:cs="Simplified Arabic" w:hint="cs"/>
      <w:color w:val="7B7B7B"/>
      <w:kern w:val="2"/>
      <w:sz w:val="22"/>
      <w:szCs w:val="22"/>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A5A5A5"/>
        </w:tcBorders>
        <w:shd w:val="clear" w:color="auto" w:fill="FFFFFF"/>
      </w:tcPr>
    </w:tblStylePr>
    <w:tblStylePr w:type="lastRow">
      <w:rPr>
        <w:rFonts w:ascii="Calibri Light" w:eastAsia="DengXian Light"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A5A5A5"/>
        </w:tcBorders>
        <w:shd w:val="clear" w:color="auto" w:fill="FFFFFF"/>
      </w:tcPr>
    </w:tblStylePr>
    <w:tblStylePr w:type="lastCol">
      <w:rPr>
        <w:rFonts w:ascii="Calibri Light" w:eastAsia="DengXian Light"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6206DC"/>
    <w:rPr>
      <w:rFonts w:eastAsia="DengXian" w:hAnsi="Calibri" w:cs="Simplified Arabic" w:hint="cs"/>
      <w:color w:val="BF8F00"/>
      <w:kern w:val="2"/>
      <w:sz w:val="22"/>
      <w:szCs w:val="22"/>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FFC000"/>
        </w:tcBorders>
        <w:shd w:val="clear" w:color="auto" w:fill="FFFFFF"/>
      </w:tcPr>
    </w:tblStylePr>
    <w:tblStylePr w:type="lastRow">
      <w:rPr>
        <w:rFonts w:ascii="Calibri Light" w:eastAsia="DengXian Light"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FFC000"/>
        </w:tcBorders>
        <w:shd w:val="clear" w:color="auto" w:fill="FFFFFF"/>
      </w:tcPr>
    </w:tblStylePr>
    <w:tblStylePr w:type="lastCol">
      <w:rPr>
        <w:rFonts w:ascii="Calibri Light" w:eastAsia="DengXian Light"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6206DC"/>
    <w:rPr>
      <w:rFonts w:eastAsia="DengXian" w:hAnsi="Calibri" w:cs="Simplified Arabic" w:hint="cs"/>
      <w:color w:val="2E74B5"/>
      <w:kern w:val="2"/>
      <w:sz w:val="22"/>
      <w:szCs w:val="22"/>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5B9BD5"/>
        </w:tcBorders>
        <w:shd w:val="clear" w:color="auto" w:fill="FFFFFF"/>
      </w:tcPr>
    </w:tblStylePr>
    <w:tblStylePr w:type="lastRow">
      <w:rPr>
        <w:rFonts w:ascii="Calibri Light" w:eastAsia="DengXian Light"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5B9BD5"/>
        </w:tcBorders>
        <w:shd w:val="clear" w:color="auto" w:fill="FFFFFF"/>
      </w:tcPr>
    </w:tblStylePr>
    <w:tblStylePr w:type="lastCol">
      <w:rPr>
        <w:rFonts w:ascii="Calibri Light" w:eastAsia="DengXian Light"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6206DC"/>
    <w:rPr>
      <w:rFonts w:eastAsia="DengXian" w:hAnsi="Calibri" w:cs="Simplified Arabic" w:hint="cs"/>
      <w:color w:val="538135"/>
      <w:kern w:val="2"/>
      <w:sz w:val="22"/>
      <w:szCs w:val="22"/>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70AD47"/>
        </w:tcBorders>
        <w:shd w:val="clear" w:color="auto" w:fill="FFFFFF"/>
      </w:tcPr>
    </w:tblStylePr>
    <w:tblStylePr w:type="lastRow">
      <w:rPr>
        <w:rFonts w:ascii="Calibri Light" w:eastAsia="DengXian Light"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0AD47"/>
        </w:tcBorders>
        <w:shd w:val="clear" w:color="auto" w:fill="FFFFFF"/>
      </w:tcPr>
    </w:tblStylePr>
    <w:tblStylePr w:type="lastCol">
      <w:rPr>
        <w:rFonts w:ascii="Calibri Light" w:eastAsia="DengXian Light"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iPriority w:val="67"/>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6206DC"/>
    <w:rPr>
      <w:rFonts w:ascii="Calibri Light" w:eastAsia="DengXian Light" w:hAnsi="Calibri Light"/>
      <w:color w:val="000000"/>
      <w:kern w:val="2"/>
      <w:sz w:val="22"/>
      <w:szCs w:val="2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6206DC"/>
    <w:rPr>
      <w:rFonts w:ascii="Calibri Light" w:eastAsia="DengXian Light" w:hAnsi="Calibri Light"/>
      <w:color w:val="000000"/>
      <w:kern w:val="2"/>
      <w:sz w:val="22"/>
      <w:szCs w:val="22"/>
      <w14:ligatures w14:val="standardContextual"/>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6206DC"/>
    <w:rPr>
      <w:rFonts w:ascii="Calibri Light" w:eastAsia="DengXian Light" w:hAnsi="Calibri Light"/>
      <w:color w:val="000000"/>
      <w:kern w:val="2"/>
      <w:sz w:val="22"/>
      <w:szCs w:val="22"/>
      <w14:ligatures w14:val="standardContextu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6206DC"/>
    <w:rPr>
      <w:rFonts w:ascii="Calibri Light" w:eastAsia="DengXian Light" w:hAnsi="Calibri Light"/>
      <w:color w:val="000000"/>
      <w:kern w:val="2"/>
      <w:sz w:val="22"/>
      <w:szCs w:val="22"/>
      <w14:ligatures w14:val="standardContextual"/>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6206DC"/>
    <w:rPr>
      <w:rFonts w:ascii="Calibri Light" w:eastAsia="DengXian Light" w:hAnsi="Calibri Light"/>
      <w:color w:val="000000"/>
      <w:kern w:val="2"/>
      <w:sz w:val="22"/>
      <w:szCs w:val="22"/>
      <w14:ligatures w14:val="standardContextu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6206DC"/>
    <w:rPr>
      <w:rFonts w:ascii="Calibri Light" w:eastAsia="DengXian Light" w:hAnsi="Calibri Light"/>
      <w:color w:val="000000"/>
      <w:kern w:val="2"/>
      <w:sz w:val="22"/>
      <w:szCs w:val="22"/>
      <w14:ligatures w14:val="standardContextual"/>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6206DC"/>
    <w:rPr>
      <w:rFonts w:ascii="Calibri Light" w:eastAsia="DengXian Light" w:hAnsi="Calibri Light"/>
      <w:color w:val="000000"/>
      <w:kern w:val="2"/>
      <w:sz w:val="22"/>
      <w:szCs w:val="22"/>
      <w14:ligatures w14:val="standardContextual"/>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Borders>
        <w:top w:val="single" w:sz="8" w:space="0" w:color="000000"/>
        <w:bottom w:val="single" w:sz="8" w:space="0" w:color="000000"/>
      </w:tblBorders>
    </w:tblPr>
    <w:tblStylePr w:type="firstRow">
      <w:rPr>
        <w:rFonts w:ascii="Calibri Light" w:eastAsia="DengXian Light"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Borders>
        <w:top w:val="single" w:sz="8" w:space="0" w:color="4472C4"/>
        <w:bottom w:val="single" w:sz="8" w:space="0" w:color="4472C4"/>
      </w:tblBorders>
    </w:tblPr>
    <w:tblStylePr w:type="firstRow">
      <w:rPr>
        <w:rFonts w:ascii="Calibri Light" w:eastAsia="DengXian Light"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Borders>
        <w:top w:val="single" w:sz="8" w:space="0" w:color="ED7D31"/>
        <w:bottom w:val="single" w:sz="8" w:space="0" w:color="ED7D31"/>
      </w:tblBorders>
    </w:tblPr>
    <w:tblStylePr w:type="firstRow">
      <w:rPr>
        <w:rFonts w:ascii="Calibri Light" w:eastAsia="DengXian Light"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Borders>
        <w:top w:val="single" w:sz="8" w:space="0" w:color="A5A5A5"/>
        <w:bottom w:val="single" w:sz="8" w:space="0" w:color="A5A5A5"/>
      </w:tblBorders>
    </w:tblPr>
    <w:tblStylePr w:type="firstRow">
      <w:rPr>
        <w:rFonts w:ascii="Calibri Light" w:eastAsia="DengXian Light"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Borders>
        <w:top w:val="single" w:sz="8" w:space="0" w:color="FFC000"/>
        <w:bottom w:val="single" w:sz="8" w:space="0" w:color="FFC000"/>
      </w:tblBorders>
    </w:tblPr>
    <w:tblStylePr w:type="firstRow">
      <w:rPr>
        <w:rFonts w:ascii="Calibri Light" w:eastAsia="DengXian Light"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Borders>
        <w:top w:val="single" w:sz="8" w:space="0" w:color="5B9BD5"/>
        <w:bottom w:val="single" w:sz="8" w:space="0" w:color="5B9BD5"/>
      </w:tblBorders>
    </w:tblPr>
    <w:tblStylePr w:type="firstRow">
      <w:rPr>
        <w:rFonts w:ascii="Calibri Light" w:eastAsia="DengXian Light"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Borders>
        <w:top w:val="single" w:sz="8" w:space="0" w:color="70AD47"/>
        <w:bottom w:val="single" w:sz="8" w:space="0" w:color="70AD47"/>
      </w:tblBorders>
    </w:tblPr>
    <w:tblStylePr w:type="firstRow">
      <w:rPr>
        <w:rFonts w:ascii="Calibri Light" w:eastAsia="DengXian Light"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6206DC"/>
    <w:rPr>
      <w:rFonts w:eastAsia="DengXian" w:hAnsi="Calibri" w:cs="Simplified Arabic" w:hint="cs"/>
      <w:color w:val="000000"/>
      <w:kern w:val="2"/>
      <w:sz w:val="22"/>
      <w:szCs w:val="22"/>
      <w14:ligatures w14:val="standardContextual"/>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6206DC"/>
    <w:rPr>
      <w:rFonts w:ascii="Calibri" w:eastAsia="DengXian" w:hAnsi="Calibri" w:cs="Arial"/>
      <w:kern w:val="2"/>
      <w:sz w:val="22"/>
      <w:szCs w:val="2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next w:val="PlainTable1"/>
    <w:uiPriority w:val="41"/>
    <w:rsid w:val="006206DC"/>
    <w:rPr>
      <w:rFonts w:ascii="Calibri" w:eastAsia="DengXian" w:hAnsi="Calibri" w:cs="Arial"/>
      <w:kern w:val="2"/>
      <w:sz w:val="22"/>
      <w:szCs w:val="2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6206DC"/>
    <w:rPr>
      <w:rFonts w:ascii="Calibri" w:eastAsia="DengXian" w:hAnsi="Calibri" w:cs="Arial"/>
      <w:kern w:val="2"/>
      <w:sz w:val="22"/>
      <w:szCs w:val="2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6206DC"/>
    <w:rPr>
      <w:rFonts w:ascii="Calibri" w:eastAsia="DengXian" w:hAnsi="Calibri" w:cs="Arial"/>
      <w:kern w:val="2"/>
      <w:sz w:val="22"/>
      <w:szCs w:val="22"/>
      <w14:ligatures w14:val="standardContextual"/>
    </w:rPr>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6206DC"/>
    <w:rPr>
      <w:rFonts w:ascii="Calibri" w:eastAsia="DengXian" w:hAnsi="Calibri" w:cs="Arial"/>
      <w:kern w:val="2"/>
      <w:sz w:val="22"/>
      <w:szCs w:val="2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6206DC"/>
    <w:rPr>
      <w:rFonts w:ascii="Calibri" w:eastAsia="DengXian" w:hAnsi="Calibri" w:cs="Arial"/>
      <w:kern w:val="2"/>
      <w:sz w:val="22"/>
      <w:szCs w:val="22"/>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3Deffects11">
    <w:name w:val="Table 3D effects 11"/>
    <w:basedOn w:val="TableNormal"/>
    <w:next w:val="Table3Deffects1"/>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color w:val="000080"/>
      <w:kern w:val="2"/>
      <w:sz w:val="22"/>
      <w:szCs w:val="22"/>
      <w14:ligatures w14:val="standardContextua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color w:val="FFFFFF"/>
      <w:kern w:val="2"/>
      <w:sz w:val="22"/>
      <w:szCs w:val="22"/>
      <w14:ligatures w14:val="standardContextua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b/>
      <w:bCs/>
      <w:kern w:val="2"/>
      <w:sz w:val="22"/>
      <w:szCs w:val="22"/>
      <w14:ligatures w14:val="standardContextua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b/>
      <w:bCs/>
      <w:kern w:val="2"/>
      <w:sz w:val="22"/>
      <w:szCs w:val="22"/>
      <w14:ligatures w14:val="standardContextua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b/>
      <w:bCs/>
      <w:kern w:val="2"/>
      <w:sz w:val="22"/>
      <w:szCs w:val="22"/>
      <w14:ligatures w14:val="standardContextua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b/>
      <w:bCs/>
      <w:kern w:val="2"/>
      <w:sz w:val="22"/>
      <w:szCs w:val="22"/>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6206DC"/>
    <w:rPr>
      <w:rFonts w:ascii="Calibri" w:eastAsia="DengXian" w:hAnsi="Calibri" w:cs="Arial"/>
      <w:kern w:val="2"/>
      <w:sz w:val="22"/>
      <w:szCs w:val="22"/>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List11">
    <w:name w:val="Table List 11"/>
    <w:basedOn w:val="TableNormal"/>
    <w:next w:val="TableList1"/>
    <w:uiPriority w:val="99"/>
    <w:semiHidden/>
    <w:unhideWhenUsed/>
    <w:rsid w:val="006206DC"/>
    <w:pPr>
      <w:tabs>
        <w:tab w:val="left" w:pos="624"/>
        <w:tab w:val="left" w:pos="1247"/>
        <w:tab w:val="left" w:pos="1871"/>
        <w:tab w:val="left" w:pos="2495"/>
        <w:tab w:val="left" w:pos="3119"/>
        <w:tab w:val="left" w:pos="3742"/>
        <w:tab w:val="left" w:pos="4366"/>
      </w:tabs>
    </w:pPr>
    <w:rPr>
      <w:rFonts w:eastAsia="DengXian" w:hAnsi="Calibri" w:cs="Simplified Arabic" w:hint="cs"/>
      <w:kern w:val="2"/>
      <w:sz w:val="22"/>
      <w:szCs w:val="22"/>
      <w14:ligatures w14:val="standardContextu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6206DC"/>
    <w:pPr>
      <w:tabs>
        <w:tab w:val="left" w:pos="624"/>
        <w:tab w:val="left" w:pos="1247"/>
        <w:tab w:val="left" w:pos="1871"/>
        <w:tab w:val="left" w:pos="2495"/>
        <w:tab w:val="left" w:pos="3119"/>
        <w:tab w:val="left" w:pos="3742"/>
        <w:tab w:val="left" w:pos="4366"/>
      </w:tabs>
    </w:pPr>
    <w:rPr>
      <w:rFonts w:eastAsia="DengXian" w:hAnsi="Calibri" w:cs="Simplified Arabic" w:hint="cs"/>
      <w:kern w:val="2"/>
      <w:sz w:val="22"/>
      <w:szCs w:val="22"/>
      <w14:ligatures w14:val="standardContextu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6206DC"/>
    <w:pPr>
      <w:tabs>
        <w:tab w:val="left" w:pos="624"/>
        <w:tab w:val="left" w:pos="1247"/>
        <w:tab w:val="left" w:pos="1871"/>
        <w:tab w:val="left" w:pos="2495"/>
        <w:tab w:val="left" w:pos="3119"/>
        <w:tab w:val="left" w:pos="3742"/>
        <w:tab w:val="left" w:pos="4366"/>
      </w:tabs>
    </w:pPr>
    <w:rPr>
      <w:rFonts w:eastAsia="DengXian" w:hAnsi="Calibri" w:cs="Simplified Arabic" w:hint="cs"/>
      <w:kern w:val="2"/>
      <w:sz w:val="22"/>
      <w:szCs w:val="22"/>
      <w14:ligatures w14:val="standardContextu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6206DC"/>
    <w:pPr>
      <w:tabs>
        <w:tab w:val="left" w:pos="624"/>
        <w:tab w:val="left" w:pos="1247"/>
        <w:tab w:val="left" w:pos="1871"/>
        <w:tab w:val="left" w:pos="2495"/>
        <w:tab w:val="left" w:pos="3119"/>
        <w:tab w:val="left" w:pos="3742"/>
        <w:tab w:val="left" w:pos="4366"/>
      </w:tabs>
    </w:pPr>
    <w:rPr>
      <w:rFonts w:eastAsia="DengXian" w:hAnsi="Calibri" w:cs="Simplified Arabic" w:hint="cs"/>
      <w:kern w:val="2"/>
      <w:sz w:val="22"/>
      <w:szCs w:val="22"/>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6206DC"/>
    <w:pPr>
      <w:tabs>
        <w:tab w:val="left" w:pos="624"/>
        <w:tab w:val="left" w:pos="1247"/>
        <w:tab w:val="left" w:pos="1871"/>
        <w:tab w:val="left" w:pos="2495"/>
        <w:tab w:val="left" w:pos="3119"/>
        <w:tab w:val="left" w:pos="3742"/>
        <w:tab w:val="left" w:pos="4366"/>
      </w:tabs>
    </w:pPr>
    <w:rPr>
      <w:rFonts w:eastAsia="DengXian" w:hAnsi="Calibri" w:cs="Simplified Arabic" w:hint="cs"/>
      <w:kern w:val="2"/>
      <w:sz w:val="22"/>
      <w:szCs w:val="22"/>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6206DC"/>
    <w:pPr>
      <w:tabs>
        <w:tab w:val="left" w:pos="624"/>
        <w:tab w:val="left" w:pos="1247"/>
        <w:tab w:val="left" w:pos="1871"/>
        <w:tab w:val="left" w:pos="2495"/>
        <w:tab w:val="left" w:pos="3119"/>
        <w:tab w:val="left" w:pos="3742"/>
        <w:tab w:val="left" w:pos="4366"/>
      </w:tabs>
    </w:pPr>
    <w:rPr>
      <w:rFonts w:eastAsia="DengXian" w:hAnsi="Calibri" w:cs="Simplified Arabic" w:hint="cs"/>
      <w:kern w:val="2"/>
      <w:sz w:val="22"/>
      <w:szCs w:val="22"/>
      <w14:ligatures w14:val="standardContextu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6206DC"/>
    <w:pPr>
      <w:tabs>
        <w:tab w:val="left" w:pos="624"/>
        <w:tab w:val="left" w:pos="1247"/>
        <w:tab w:val="left" w:pos="1871"/>
        <w:tab w:val="left" w:pos="2495"/>
        <w:tab w:val="left" w:pos="3119"/>
        <w:tab w:val="left" w:pos="3742"/>
        <w:tab w:val="left" w:pos="4366"/>
      </w:tabs>
    </w:pPr>
    <w:rPr>
      <w:rFonts w:eastAsia="DengXian" w:hAnsi="Calibri" w:cs="Simplified Arabic" w:hint="cs"/>
      <w:kern w:val="2"/>
      <w:sz w:val="22"/>
      <w:szCs w:val="22"/>
      <w14:ligatures w14:val="standardContextu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6206DC"/>
    <w:pPr>
      <w:tabs>
        <w:tab w:val="left" w:pos="624"/>
        <w:tab w:val="left" w:pos="1247"/>
        <w:tab w:val="left" w:pos="1871"/>
        <w:tab w:val="left" w:pos="2495"/>
        <w:tab w:val="left" w:pos="3119"/>
        <w:tab w:val="left" w:pos="3742"/>
        <w:tab w:val="left" w:pos="4366"/>
      </w:tabs>
    </w:pPr>
    <w:rPr>
      <w:rFonts w:eastAsia="DengXian" w:hAnsi="Calibri" w:cs="Simplified Arabic" w:hint="cs"/>
      <w:kern w:val="2"/>
      <w:sz w:val="22"/>
      <w:szCs w:val="22"/>
      <w14:ligatures w14:val="standardContextu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6206DC"/>
    <w:pPr>
      <w:tabs>
        <w:tab w:val="left" w:pos="624"/>
        <w:tab w:val="left" w:pos="1247"/>
        <w:tab w:val="left" w:pos="1871"/>
        <w:tab w:val="left" w:pos="2495"/>
        <w:tab w:val="left" w:pos="3119"/>
        <w:tab w:val="left" w:pos="3742"/>
        <w:tab w:val="left" w:pos="4366"/>
      </w:tabs>
    </w:pPr>
    <w:rPr>
      <w:rFonts w:ascii="Calibri" w:eastAsia="DengXian" w:hAnsi="Calibri" w:cs="Arial"/>
      <w:kern w:val="2"/>
      <w:sz w:val="22"/>
      <w:szCs w:val="22"/>
      <w14:ligatures w14:val="standardContextu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rmallist2">
    <w:name w:val="Normal_list2"/>
    <w:basedOn w:val="NoList"/>
    <w:rsid w:val="006206DC"/>
  </w:style>
  <w:style w:type="character" w:customStyle="1" w:styleId="normaltextrun">
    <w:name w:val="normaltextrun"/>
    <w:basedOn w:val="DefaultParagraphFont"/>
    <w:rsid w:val="006206DC"/>
  </w:style>
  <w:style w:type="character" w:customStyle="1" w:styleId="ContentControls">
    <w:name w:val="ContentControls"/>
    <w:basedOn w:val="DefaultParagraphFont"/>
    <w:uiPriority w:val="1"/>
    <w:rsid w:val="006206DC"/>
    <w:rPr>
      <w:rFonts w:eastAsia="DengXian"/>
      <w:color w:val="000000"/>
    </w:rPr>
  </w:style>
  <w:style w:type="paragraph" w:customStyle="1" w:styleId="Indent">
    <w:name w:val="Indent"/>
    <w:basedOn w:val="NormalNonumber"/>
    <w:qFormat/>
    <w:rsid w:val="006206DC"/>
    <w:pPr>
      <w:ind w:firstLine="624"/>
    </w:pPr>
  </w:style>
  <w:style w:type="paragraph" w:customStyle="1" w:styleId="LOPL2Group">
    <w:name w:val="LOP L2 Group"/>
    <w:rsid w:val="006206DC"/>
    <w:pPr>
      <w:keepNext/>
      <w:keepLines/>
      <w:spacing w:after="200" w:line="276" w:lineRule="auto"/>
    </w:pPr>
    <w:rPr>
      <w:rFonts w:ascii="Arial" w:eastAsia="DengXian" w:hAnsi="Arial" w:cs="Arial"/>
      <w:b/>
      <w:sz w:val="22"/>
      <w:szCs w:val="22"/>
      <w:u w:val="single"/>
    </w:rPr>
  </w:style>
  <w:style w:type="table" w:customStyle="1" w:styleId="LOPTable">
    <w:name w:val="LOP Table"/>
    <w:rsid w:val="006206DC"/>
    <w:pPr>
      <w:spacing w:after="200" w:line="276" w:lineRule="auto"/>
    </w:pPr>
    <w:rPr>
      <w:rFonts w:ascii="Arial" w:eastAsia="DengXian" w:hAnsi="Arial" w:cs="Arial"/>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marindanykirui@yahoo.com" TargetMode="External"/><Relationship Id="rId39" Type="http://schemas.openxmlformats.org/officeDocument/2006/relationships/hyperlink" Target="mailto:tjunchaya@worldbank.org" TargetMode="External"/><Relationship Id="rId21" Type="http://schemas.openxmlformats.org/officeDocument/2006/relationships/hyperlink" Target="mailto:paguirrev@minrel.gob.cl" TargetMode="External"/><Relationship Id="rId34" Type="http://schemas.openxmlformats.org/officeDocument/2006/relationships/hyperlink" Target="mailto:tina.birmpili@un.org" TargetMode="External"/><Relationship Id="rId42" Type="http://schemas.openxmlformats.org/officeDocument/2006/relationships/hyperlink" Target="mailto:jim.curlin@un.org" TargetMode="External"/><Relationship Id="rId47" Type="http://schemas.openxmlformats.org/officeDocument/2006/relationships/hyperlink" Target="mailto:rabbiosi@un.org" TargetMode="External"/><Relationship Id="rId50" Type="http://schemas.openxmlformats.org/officeDocument/2006/relationships/hyperlink" Target="mailto:meg.seki@un.org" TargetMode="External"/><Relationship Id="rId55" Type="http://schemas.openxmlformats.org/officeDocument/2006/relationships/hyperlink" Target="mailto:jacqueline.nyanjui@un.org"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mailto:r.l.f.brieskorn@minezk.nl" TargetMode="External"/><Relationship Id="rId11" Type="http://schemas.openxmlformats.org/officeDocument/2006/relationships/endnotes" Target="endnotes.xml"/><Relationship Id="rId24" Type="http://schemas.openxmlformats.org/officeDocument/2006/relationships/hyperlink" Target="mailto:Mario.Perez@ambiente.gob.do" TargetMode="External"/><Relationship Id="rId32" Type="http://schemas.openxmlformats.org/officeDocument/2006/relationships/hyperlink" Target="mailto:malmufadda@ncec.gov.sa" TargetMode="External"/><Relationship Id="rId37" Type="http://schemas.openxmlformats.org/officeDocument/2006/relationships/hyperlink" Target="mailto:g.peru@sogesid.it" TargetMode="External"/><Relationship Id="rId40" Type="http://schemas.openxmlformats.org/officeDocument/2006/relationships/hyperlink" Target="mailto:jru@worldbank.org" TargetMode="External"/><Relationship Id="rId45" Type="http://schemas.openxmlformats.org/officeDocument/2006/relationships/hyperlink" Target="mailto:patrick.salifu@unep.org" TargetMode="External"/><Relationship Id="rId53" Type="http://schemas.openxmlformats.org/officeDocument/2006/relationships/hyperlink" Target="mailto:frida.muriithi@un.org" TargetMode="External"/><Relationship Id="rId5" Type="http://schemas.openxmlformats.org/officeDocument/2006/relationships/customXml" Target="../customXml/item5.xml"/><Relationship Id="rId19" Type="http://schemas.openxmlformats.org/officeDocument/2006/relationships/hyperlink" Target="mailto:yvettegauthe@yahoo.f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cparatori@mma.gob.cl" TargetMode="External"/><Relationship Id="rId27" Type="http://schemas.openxmlformats.org/officeDocument/2006/relationships/hyperlink" Target="mailto:mkirui@environment.go.ke" TargetMode="External"/><Relationship Id="rId30" Type="http://schemas.openxmlformats.org/officeDocument/2006/relationships/hyperlink" Target="mailto:martijn.hildebrand@rws.nl" TargetMode="External"/><Relationship Id="rId35" Type="http://schemas.openxmlformats.org/officeDocument/2006/relationships/hyperlink" Target="mailto:balaji.natarajan@un.org" TargetMode="External"/><Relationship Id="rId43" Type="http://schemas.openxmlformats.org/officeDocument/2006/relationships/hyperlink" Target="mailto:tatiana.terekhova@un.org" TargetMode="External"/><Relationship Id="rId48" Type="http://schemas.openxmlformats.org/officeDocument/2006/relationships/hyperlink" Target="mailto:L.Rabbiosi@unido.org"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pablo.moscosodelacuba@un.org"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mailto:info@iranozone.ir" TargetMode="External"/><Relationship Id="rId33" Type="http://schemas.openxmlformats.org/officeDocument/2006/relationships/hyperlink" Target="mailto:bianco.karen@epa.gov" TargetMode="External"/><Relationship Id="rId38" Type="http://schemas.openxmlformats.org/officeDocument/2006/relationships/hyperlink" Target="mailto:ntsatsimathatela@gmail.com" TargetMode="External"/><Relationship Id="rId46" Type="http://schemas.openxmlformats.org/officeDocument/2006/relationships/hyperlink" Target="mailto:moussa.barry@un.org" TargetMode="External"/><Relationship Id="rId20" Type="http://schemas.openxmlformats.org/officeDocument/2006/relationships/hyperlink" Target="mailto:yvettegauthe@yahoo.fr" TargetMode="External"/><Relationship Id="rId41" Type="http://schemas.openxmlformats.org/officeDocument/2006/relationships/hyperlink" Target="mailto:paloma.somohano@undp.org" TargetMode="External"/><Relationship Id="rId54" Type="http://schemas.openxmlformats.org/officeDocument/2006/relationships/hyperlink" Target="mailto:martha.mulumba@un.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matej.mrlina@cizp.gov.cz" TargetMode="External"/><Relationship Id="rId28" Type="http://schemas.openxmlformats.org/officeDocument/2006/relationships/hyperlink" Target="mailto:tatjana.djurcevic@epa.org.me" TargetMode="External"/><Relationship Id="rId36" Type="http://schemas.openxmlformats.org/officeDocument/2006/relationships/hyperlink" Target="mailto:peru.alessandro@mase.gov.it" TargetMode="External"/><Relationship Id="rId49" Type="http://schemas.openxmlformats.org/officeDocument/2006/relationships/hyperlink" Target="mailto:o.banjo@unido.org"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mailto:a.tumayhi@ncec.gov.sa" TargetMode="External"/><Relationship Id="rId44" Type="http://schemas.openxmlformats.org/officeDocument/2006/relationships/hyperlink" Target="mailto:guisse@un.org" TargetMode="External"/><Relationship Id="rId52" Type="http://schemas.openxmlformats.org/officeDocument/2006/relationships/hyperlink" Target="mailto:gerald.mutisya@u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2db3ff743401daebdb05b2f9ef81363f">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50d5f12502583b804a829471bf9c9f9"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2025-07-29T08:12:28+00:00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2025-07-29T08:12:28+00:00</Date_x0020_Sent>
    <Personal_x0020_Information_x0020__x0028_PII_x0029_ xmlns="985ec44e-1bab-4c0b-9df0-6ba128686fc9">false</Personal_x0020_Information_x0020__x0028_PII_x0029_>
    <Date_x0020_Received xmlns="985ec44e-1bab-4c0b-9df0-6ba128686fc9">2025-07-29T08:12:28+00:00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BBF1-AB23-49BF-B8D2-BEC734F64B11}">
  <ds:schemaRefs>
    <ds:schemaRef ds:uri="Microsoft.SharePoint.Taxonomy.ContentTypeSync"/>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D4B436F2-B36B-419D-8101-93FAC85C4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5.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1888</TotalTime>
  <Pages>39</Pages>
  <Words>15801</Words>
  <Characters>90072</Characters>
  <Application>Microsoft Office Word</Application>
  <DocSecurity>0</DocSecurity>
  <PresentationFormat/>
  <Lines>750</Lines>
  <Paragraphs>211</Paragraphs>
  <ScaleCrop>false</ScaleCrop>
  <HeadingPairs>
    <vt:vector size="2" baseType="variant">
      <vt:variant>
        <vt:lpstr>Title</vt:lpstr>
      </vt:variant>
      <vt:variant>
        <vt:i4>1</vt:i4>
      </vt:variant>
    </vt:vector>
  </HeadingPairs>
  <TitlesOfParts>
    <vt:vector size="1" baseType="lpstr">
      <vt:lpstr>K2511992-a-OzL-Pro-ImpCom-74-6</vt:lpstr>
    </vt:vector>
  </TitlesOfParts>
  <Manager/>
  <Company/>
  <LinksUpToDate>false</LinksUpToDate>
  <CharactersWithSpaces>105662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K2518266-a-OzL-Pro-ImpCom-75-6</dc:title>
  <dc:subject/>
  <dc:creator>Ramy Eljazzar</dc:creator>
  <cp:keywords/>
  <dc:description/>
  <cp:lastModifiedBy>Ramy Eljazzar</cp:lastModifiedBy>
  <cp:revision>226</cp:revision>
  <cp:lastPrinted>2026-03-13T16:55:00Z</cp:lastPrinted>
  <dcterms:created xsi:type="dcterms:W3CDTF">2026-02-16T09:42:00Z</dcterms:created>
  <dcterms:modified xsi:type="dcterms:W3CDTF">2026-03-13T16:55:00Z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UNEP-OZL-PRO-IMPCOM</vt:lpwstr>
  </property>
  <property fmtid="{D5CDD505-2E9C-101B-9397-08002B2CF9AE}" pid="5" name="UNONDCSTES-NoSymbol">
    <vt:lpwstr>1</vt:lpwstr>
  </property>
  <property fmtid="{D5CDD505-2E9C-101B-9397-08002B2CF9AE}" pid="6" name="UNONDCSTES-LangDistr">
    <vt:lpwstr>EN_AR-EN-FR-SP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0x010100AF687BC085C91946BC54CBDC5AB286CC00C98D0C8D73AF894E997C937D021D4600</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y fmtid="{D5CDD505-2E9C-101B-9397-08002B2CF9AE}" pid="15" name="TranslatedWith">
    <vt:lpwstr>Mercury</vt:lpwstr>
  </property>
  <property fmtid="{D5CDD505-2E9C-101B-9397-08002B2CF9AE}" pid="16" name="GeneratedBy">
    <vt:lpwstr>elbadrim@un.org</vt:lpwstr>
  </property>
  <property fmtid="{D5CDD505-2E9C-101B-9397-08002B2CF9AE}" pid="17" name="GeneratedDate">
    <vt:lpwstr>10/18/2025 03:11:29</vt:lpwstr>
  </property>
  <property fmtid="{D5CDD505-2E9C-101B-9397-08002B2CF9AE}" pid="18" name="OriginalDocID">
    <vt:lpwstr>def52dd9-d127-4314-8511-739fdb5c0bb2</vt:lpwstr>
  </property>
</Properties>
</file>