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9D0B3A" w:rsidRPr="009D0B3A" w14:paraId="67B1FE93" w14:textId="77777777" w:rsidTr="009D0B3A">
        <w:trPr>
          <w:trHeight w:val="850"/>
        </w:trPr>
        <w:tc>
          <w:tcPr>
            <w:tcW w:w="1559" w:type="dxa"/>
          </w:tcPr>
          <w:p w14:paraId="220FA24F" w14:textId="22B7EA06" w:rsidR="009D0B3A" w:rsidRPr="009D0B3A" w:rsidRDefault="009D0B3A" w:rsidP="009D0B3A">
            <w:pPr>
              <w:pStyle w:val="AUnitedNations"/>
            </w:pPr>
            <w:r w:rsidRPr="009D0B3A">
              <w:t xml:space="preserve">Nations </w:t>
            </w:r>
            <w:r w:rsidRPr="009D0B3A">
              <w:br/>
              <w:t>Unies</w:t>
            </w:r>
          </w:p>
        </w:tc>
        <w:tc>
          <w:tcPr>
            <w:tcW w:w="6520" w:type="dxa"/>
          </w:tcPr>
          <w:p w14:paraId="4CD27D47" w14:textId="584D780B" w:rsidR="009D0B3A" w:rsidRPr="009D0B3A" w:rsidRDefault="009D0B3A" w:rsidP="009D0B3A">
            <w:pPr>
              <w:pStyle w:val="Normal-pool"/>
            </w:pPr>
            <w:r w:rsidRPr="009D0B3A">
              <w:rPr>
                <w:noProof/>
                <w14:ligatures w14:val="standardContextual"/>
              </w:rPr>
              <w:drawing>
                <wp:anchor distT="0" distB="0" distL="114300" distR="114300" simplePos="0" relativeHeight="251658240" behindDoc="0" locked="0" layoutInCell="1" allowOverlap="1" wp14:anchorId="2F031CEE" wp14:editId="00BB62CC">
                  <wp:simplePos x="0" y="0"/>
                  <wp:positionH relativeFrom="column">
                    <wp:posOffset>-635</wp:posOffset>
                  </wp:positionH>
                  <wp:positionV relativeFrom="paragraph">
                    <wp:posOffset>3175</wp:posOffset>
                  </wp:positionV>
                  <wp:extent cx="1269153" cy="573559"/>
                  <wp:effectExtent l="0" t="0" r="7620" b="0"/>
                  <wp:wrapNone/>
                  <wp:docPr id="108437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748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421CD8B2" w14:textId="77777777" w:rsidR="009D0B3A" w:rsidRPr="009D0B3A" w:rsidRDefault="009D0B3A" w:rsidP="009D0B3A">
            <w:pPr>
              <w:pStyle w:val="Normal-pool"/>
            </w:pPr>
          </w:p>
        </w:tc>
      </w:tr>
    </w:tbl>
    <w:p w14:paraId="6FB83AED" w14:textId="77777777" w:rsidR="009D0B3A" w:rsidRPr="009D0B3A" w:rsidRDefault="009D0B3A" w:rsidP="009D0B3A">
      <w:pPr>
        <w:pStyle w:val="ASpacer"/>
      </w:pPr>
    </w:p>
    <w:tbl>
      <w:tblPr>
        <w:tblW w:w="9496" w:type="dxa"/>
        <w:tblLook w:val="0000" w:firstRow="0" w:lastRow="0" w:firstColumn="0" w:lastColumn="0" w:noHBand="0" w:noVBand="0"/>
      </w:tblPr>
      <w:tblGrid>
        <w:gridCol w:w="6378"/>
        <w:gridCol w:w="3118"/>
      </w:tblGrid>
      <w:tr w:rsidR="009D0B3A" w:rsidRPr="009D0B3A" w14:paraId="00EFDA1E" w14:textId="77777777" w:rsidTr="009D0B3A">
        <w:trPr>
          <w:trHeight w:val="340"/>
        </w:trPr>
        <w:tc>
          <w:tcPr>
            <w:tcW w:w="3358" w:type="pct"/>
            <w:vAlign w:val="bottom"/>
          </w:tcPr>
          <w:p w14:paraId="19227136" w14:textId="77777777" w:rsidR="009D0B3A" w:rsidRPr="009D0B3A" w:rsidRDefault="009D0B3A" w:rsidP="009D0B3A">
            <w:pPr>
              <w:pStyle w:val="Normal-pool"/>
            </w:pPr>
          </w:p>
        </w:tc>
        <w:tc>
          <w:tcPr>
            <w:tcW w:w="1642" w:type="pct"/>
            <w:noWrap/>
            <w:vAlign w:val="bottom"/>
          </w:tcPr>
          <w:p w14:paraId="595DDCE3" w14:textId="5C8E9D07" w:rsidR="009D0B3A" w:rsidRPr="009D0B3A" w:rsidRDefault="009D0B3A" w:rsidP="009D0B3A">
            <w:pPr>
              <w:pStyle w:val="ASymbol"/>
            </w:pPr>
            <w:r w:rsidRPr="009D0B3A">
              <w:rPr>
                <w:b/>
                <w:sz w:val="28"/>
              </w:rPr>
              <w:t>UNEP</w:t>
            </w:r>
            <w:r w:rsidRPr="009D0B3A">
              <w:t>/OzL.Pro/ImpCom/</w:t>
            </w:r>
            <w:bookmarkStart w:id="0" w:name="Symbol1A"/>
            <w:r w:rsidRPr="009D0B3A">
              <w:t>75</w:t>
            </w:r>
            <w:bookmarkStart w:id="1" w:name="Symbol1B"/>
            <w:bookmarkEnd w:id="0"/>
            <w:r w:rsidRPr="009D0B3A">
              <w:t>/</w:t>
            </w:r>
            <w:bookmarkEnd w:id="1"/>
            <w:r>
              <w:t>6</w:t>
            </w:r>
          </w:p>
        </w:tc>
      </w:tr>
    </w:tbl>
    <w:p w14:paraId="15276A21" w14:textId="77777777" w:rsidR="009D0B3A" w:rsidRPr="009D0B3A" w:rsidRDefault="009D0B3A" w:rsidP="009D0B3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9D0B3A" w:rsidRPr="009D0B3A" w14:paraId="0326FB09" w14:textId="77777777" w:rsidTr="009D0B3A">
        <w:trPr>
          <w:trHeight w:val="2098"/>
        </w:trPr>
        <w:tc>
          <w:tcPr>
            <w:tcW w:w="5386" w:type="dxa"/>
          </w:tcPr>
          <w:p w14:paraId="2BE9406A" w14:textId="35361040" w:rsidR="009D0B3A" w:rsidRPr="009D0B3A" w:rsidRDefault="009D0B3A" w:rsidP="009D0B3A">
            <w:pPr>
              <w:pStyle w:val="AConvName"/>
            </w:pPr>
            <w:r w:rsidRPr="009D0B3A">
              <w:t xml:space="preserve">Protocole de Montréal </w:t>
            </w:r>
            <w:r w:rsidRPr="009D0B3A">
              <w:br/>
              <w:t xml:space="preserve">relatif à des substances </w:t>
            </w:r>
            <w:r w:rsidRPr="009D0B3A">
              <w:br/>
              <w:t xml:space="preserve">qui appauvrissent </w:t>
            </w:r>
            <w:r w:rsidRPr="009D0B3A">
              <w:br/>
              <w:t>la couche d’ozone</w:t>
            </w:r>
          </w:p>
        </w:tc>
        <w:tc>
          <w:tcPr>
            <w:tcW w:w="992" w:type="dxa"/>
          </w:tcPr>
          <w:p w14:paraId="2E58FA1A" w14:textId="77777777" w:rsidR="009D0B3A" w:rsidRPr="009D0B3A" w:rsidRDefault="009D0B3A" w:rsidP="009D0B3A">
            <w:pPr>
              <w:pStyle w:val="Normal-pool"/>
            </w:pPr>
          </w:p>
        </w:tc>
        <w:tc>
          <w:tcPr>
            <w:tcW w:w="3118" w:type="dxa"/>
          </w:tcPr>
          <w:p w14:paraId="39420B33" w14:textId="0AE1F602" w:rsidR="009D0B3A" w:rsidRPr="009D0B3A" w:rsidRDefault="009D0B3A" w:rsidP="009D0B3A">
            <w:pPr>
              <w:pStyle w:val="AText"/>
            </w:pPr>
            <w:r w:rsidRPr="009D0B3A">
              <w:t xml:space="preserve">Distr. </w:t>
            </w:r>
            <w:bookmarkStart w:id="2" w:name="Distribution"/>
            <w:r w:rsidRPr="009D0B3A">
              <w:rPr>
                <w:color w:val="000000"/>
              </w:rPr>
              <w:t>générale</w:t>
            </w:r>
            <w:bookmarkEnd w:id="2"/>
            <w:r w:rsidRPr="009D0B3A">
              <w:t xml:space="preserve"> </w:t>
            </w:r>
          </w:p>
          <w:p w14:paraId="1CCAF0E0" w14:textId="0A715897" w:rsidR="009D0B3A" w:rsidRPr="009D0B3A" w:rsidRDefault="009D0B3A" w:rsidP="009D0B3A">
            <w:pPr>
              <w:pStyle w:val="AText0"/>
            </w:pPr>
            <w:bookmarkStart w:id="3" w:name="DistributionDate"/>
            <w:r w:rsidRPr="009D0B3A">
              <w:rPr>
                <w:color w:val="000000"/>
              </w:rPr>
              <w:t>12</w:t>
            </w:r>
            <w:r w:rsidR="00A544B1">
              <w:rPr>
                <w:color w:val="000000"/>
              </w:rPr>
              <w:t> </w:t>
            </w:r>
            <w:r w:rsidRPr="009D0B3A">
              <w:rPr>
                <w:color w:val="000000"/>
              </w:rPr>
              <w:t>novembre 2025</w:t>
            </w:r>
            <w:bookmarkEnd w:id="3"/>
          </w:p>
          <w:p w14:paraId="267F77E3" w14:textId="47D64FE0" w:rsidR="009D0B3A" w:rsidRPr="009D0B3A" w:rsidRDefault="009D0B3A" w:rsidP="009D0B3A">
            <w:pPr>
              <w:pStyle w:val="AText"/>
            </w:pPr>
            <w:bookmarkStart w:id="4" w:name="DistributionLang"/>
            <w:r w:rsidRPr="009D0B3A">
              <w:t>Original</w:t>
            </w:r>
            <w:r w:rsidR="00A544B1">
              <w:t> </w:t>
            </w:r>
            <w:r w:rsidRPr="009D0B3A">
              <w:t>: anglais</w:t>
            </w:r>
            <w:bookmarkEnd w:id="4"/>
          </w:p>
        </w:tc>
      </w:tr>
    </w:tbl>
    <w:p w14:paraId="44F59B8B" w14:textId="77777777" w:rsidR="009D0B3A" w:rsidRPr="009D0B3A" w:rsidRDefault="009D0B3A" w:rsidP="009D0B3A">
      <w:pPr>
        <w:pStyle w:val="ASpacer"/>
      </w:pPr>
    </w:p>
    <w:tbl>
      <w:tblPr>
        <w:tblW w:w="9496" w:type="dxa"/>
        <w:tblLayout w:type="fixed"/>
        <w:tblCellMar>
          <w:left w:w="0" w:type="dxa"/>
          <w:right w:w="0" w:type="dxa"/>
        </w:tblCellMar>
        <w:tblLook w:val="0000" w:firstRow="0" w:lastRow="0" w:firstColumn="0" w:lastColumn="0" w:noHBand="0" w:noVBand="0"/>
      </w:tblPr>
      <w:tblGrid>
        <w:gridCol w:w="4961"/>
        <w:gridCol w:w="4535"/>
      </w:tblGrid>
      <w:tr w:rsidR="009D0B3A" w:rsidRPr="009D0B3A" w14:paraId="7D0E668A" w14:textId="77777777" w:rsidTr="009D0B3A">
        <w:trPr>
          <w:trHeight w:val="57"/>
        </w:trPr>
        <w:tc>
          <w:tcPr>
            <w:tcW w:w="4961" w:type="dxa"/>
          </w:tcPr>
          <w:p w14:paraId="70B6741F" w14:textId="77777777" w:rsidR="009D0B3A" w:rsidRPr="009D0B3A" w:rsidRDefault="009D0B3A" w:rsidP="009D0B3A">
            <w:pPr>
              <w:pStyle w:val="AATitle"/>
            </w:pPr>
            <w:bookmarkStart w:id="5" w:name="CorNot1Text"/>
            <w:r w:rsidRPr="009D0B3A">
              <w:t xml:space="preserve">Comité d’application de la procédure applicable </w:t>
            </w:r>
            <w:r w:rsidRPr="009D0B3A">
              <w:br/>
              <w:t xml:space="preserve">en cas de non-respect du Protocole de Montréal </w:t>
            </w:r>
          </w:p>
          <w:p w14:paraId="48B0AC70" w14:textId="4C863C03" w:rsidR="009D0B3A" w:rsidRPr="009D0B3A" w:rsidRDefault="009D0B3A" w:rsidP="009D0B3A">
            <w:pPr>
              <w:pStyle w:val="AATitle"/>
            </w:pPr>
            <w:r w:rsidRPr="009D0B3A">
              <w:t>Soixante-quinzième réunion</w:t>
            </w:r>
            <w:bookmarkEnd w:id="5"/>
            <w:r w:rsidRPr="009D0B3A">
              <w:t xml:space="preserve"> </w:t>
            </w:r>
          </w:p>
          <w:p w14:paraId="6F6E4338" w14:textId="72584919" w:rsidR="009D0B3A" w:rsidRPr="009D0B3A" w:rsidRDefault="009D0B3A" w:rsidP="009D0B3A">
            <w:pPr>
              <w:pStyle w:val="AATitle1"/>
            </w:pPr>
            <w:bookmarkStart w:id="6" w:name="CorNot1VenueDate"/>
            <w:r w:rsidRPr="009D0B3A">
              <w:t>Nairobi, 31 octobre et 1</w:t>
            </w:r>
            <w:r w:rsidRPr="009D0B3A">
              <w:rPr>
                <w:vertAlign w:val="superscript"/>
              </w:rPr>
              <w:t>er</w:t>
            </w:r>
            <w:r w:rsidR="00A544B1">
              <w:rPr>
                <w:vertAlign w:val="superscript"/>
              </w:rPr>
              <w:t> </w:t>
            </w:r>
            <w:r w:rsidRPr="009D0B3A">
              <w:t>novembre 2025</w:t>
            </w:r>
            <w:bookmarkEnd w:id="6"/>
            <w:r w:rsidRPr="009D0B3A">
              <w:t xml:space="preserve"> </w:t>
            </w:r>
          </w:p>
        </w:tc>
        <w:tc>
          <w:tcPr>
            <w:tcW w:w="4535" w:type="dxa"/>
          </w:tcPr>
          <w:p w14:paraId="7415A2AB" w14:textId="77777777" w:rsidR="009D0B3A" w:rsidRPr="009D0B3A" w:rsidRDefault="009D0B3A" w:rsidP="009D0B3A">
            <w:pPr>
              <w:pStyle w:val="Normal-pool"/>
            </w:pPr>
          </w:p>
        </w:tc>
      </w:tr>
    </w:tbl>
    <w:p w14:paraId="087FFA08" w14:textId="77777777" w:rsidR="001F36F0" w:rsidRPr="009D0B3A" w:rsidRDefault="001F36F0" w:rsidP="0090354C">
      <w:pPr>
        <w:pStyle w:val="ASpacer"/>
      </w:pPr>
    </w:p>
    <w:p w14:paraId="42C93D4D" w14:textId="1CA0B982" w:rsidR="00525CD6" w:rsidRPr="009D0B3A" w:rsidRDefault="0089601D" w:rsidP="00DA64D2">
      <w:pPr>
        <w:pStyle w:val="BBTitle"/>
      </w:pPr>
      <w:r w:rsidRPr="009D0B3A">
        <w:rPr>
          <w:bCs/>
        </w:rPr>
        <w:t>Rapport du Comité d</w:t>
      </w:r>
      <w:r w:rsidR="00AA6A89" w:rsidRPr="009D0B3A">
        <w:rPr>
          <w:bCs/>
        </w:rPr>
        <w:t>’</w:t>
      </w:r>
      <w:r w:rsidRPr="009D0B3A">
        <w:rPr>
          <w:bCs/>
        </w:rPr>
        <w:t>application de la procédure applicable en</w:t>
      </w:r>
      <w:r w:rsidR="00143F38">
        <w:rPr>
          <w:bCs/>
        </w:rPr>
        <w:t> </w:t>
      </w:r>
      <w:r w:rsidRPr="009D0B3A">
        <w:rPr>
          <w:bCs/>
        </w:rPr>
        <w:t>cas de non-respect du Protocole de</w:t>
      </w:r>
      <w:r w:rsidR="00594DC3">
        <w:rPr>
          <w:bCs/>
        </w:rPr>
        <w:t> </w:t>
      </w:r>
      <w:r w:rsidRPr="009D0B3A">
        <w:rPr>
          <w:bCs/>
        </w:rPr>
        <w:t>Montréal sur les travaux de sa soixante-quinzième</w:t>
      </w:r>
      <w:r w:rsidR="00594DC3">
        <w:rPr>
          <w:bCs/>
        </w:rPr>
        <w:t> </w:t>
      </w:r>
      <w:r w:rsidRPr="009D0B3A">
        <w:rPr>
          <w:bCs/>
        </w:rPr>
        <w:t>réunion</w:t>
      </w:r>
    </w:p>
    <w:p w14:paraId="530A824F" w14:textId="4A5E249B" w:rsidR="00525CD6" w:rsidRPr="009D0B3A" w:rsidRDefault="00DA744A" w:rsidP="00DA744A">
      <w:pPr>
        <w:pStyle w:val="CH1"/>
      </w:pPr>
      <w:r>
        <w:rPr>
          <w:bCs/>
        </w:rPr>
        <w:tab/>
      </w:r>
      <w:r w:rsidR="00E2003F" w:rsidRPr="00852ABF">
        <w:t>I.</w:t>
      </w:r>
      <w:r>
        <w:rPr>
          <w:bCs/>
        </w:rPr>
        <w:tab/>
      </w:r>
      <w:r w:rsidR="00DA64D2" w:rsidRPr="009D0B3A">
        <w:rPr>
          <w:bCs/>
        </w:rPr>
        <w:t>Ouverture de la réunion</w:t>
      </w:r>
    </w:p>
    <w:p w14:paraId="0DBE61F7" w14:textId="4D29AEB3" w:rsidR="00662EFE" w:rsidRPr="009D0B3A" w:rsidRDefault="00662EFE" w:rsidP="00A4029C">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La soixante-quinzième</w:t>
      </w:r>
      <w:r w:rsidR="00594DC3">
        <w:t> </w:t>
      </w:r>
      <w:r w:rsidRPr="009D0B3A">
        <w:t>réunion du Comité d</w:t>
      </w:r>
      <w:r w:rsidR="00AA6A89" w:rsidRPr="009D0B3A">
        <w:t>’</w:t>
      </w:r>
      <w:r w:rsidRPr="009D0B3A">
        <w:t>application de la procédure applicable en cas de non-respect du Protocole de</w:t>
      </w:r>
      <w:r w:rsidR="006C3F4D">
        <w:t> </w:t>
      </w:r>
      <w:r w:rsidRPr="009D0B3A">
        <w:t>Montréal relatif à des substances qui appauvrissent la couche d</w:t>
      </w:r>
      <w:r w:rsidR="00AA6A89" w:rsidRPr="009D0B3A">
        <w:t>’</w:t>
      </w:r>
      <w:r w:rsidRPr="009D0B3A">
        <w:t>ozone s</w:t>
      </w:r>
      <w:r w:rsidR="00AA6A89" w:rsidRPr="009D0B3A">
        <w:t>’</w:t>
      </w:r>
      <w:r w:rsidRPr="009D0B3A">
        <w:t>est tenue les 31</w:t>
      </w:r>
      <w:r w:rsidR="00594DC3">
        <w:t> </w:t>
      </w:r>
      <w:r w:rsidRPr="009D0B3A">
        <w:t>octobre et 1</w:t>
      </w:r>
      <w:r w:rsidRPr="009D0B3A">
        <w:rPr>
          <w:vertAlign w:val="superscript"/>
        </w:rPr>
        <w:t>er</w:t>
      </w:r>
      <w:r w:rsidR="00594DC3">
        <w:rPr>
          <w:vertAlign w:val="superscript"/>
        </w:rPr>
        <w:t> </w:t>
      </w:r>
      <w:r w:rsidRPr="009D0B3A">
        <w:t>novembre 2025 au siège du Programme des Nations</w:t>
      </w:r>
      <w:r w:rsidR="00BA313D">
        <w:t> </w:t>
      </w:r>
      <w:r w:rsidRPr="009D0B3A">
        <w:t>Unies pour l</w:t>
      </w:r>
      <w:r w:rsidR="00AA6A89" w:rsidRPr="009D0B3A">
        <w:t>’</w:t>
      </w:r>
      <w:r w:rsidRPr="009D0B3A">
        <w:t>environnement (PNUE) à Nairobi.</w:t>
      </w:r>
    </w:p>
    <w:p w14:paraId="5BC0F195" w14:textId="6F01FD59" w:rsidR="00662EFE" w:rsidRPr="009D0B3A" w:rsidRDefault="00662EFE" w:rsidP="008D46DE">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Président du Comité, Martijn Hildebrand (Royaume des Pays-Bas), a ouvert la réunion le vendredi 31</w:t>
      </w:r>
      <w:r w:rsidR="006C3F4D">
        <w:t> </w:t>
      </w:r>
      <w:r w:rsidRPr="009D0B3A">
        <w:t>octobre 2025 à 10</w:t>
      </w:r>
      <w:r w:rsidR="00811D01">
        <w:t> </w:t>
      </w:r>
      <w:r w:rsidRPr="009D0B3A">
        <w:t>h</w:t>
      </w:r>
      <w:r w:rsidR="00811D01">
        <w:t> </w:t>
      </w:r>
      <w:r w:rsidRPr="009D0B3A">
        <w:t>00.</w:t>
      </w:r>
    </w:p>
    <w:p w14:paraId="35D23F8C" w14:textId="46BDDF94" w:rsidR="005948FD" w:rsidRPr="009D0B3A" w:rsidRDefault="00662EFE" w:rsidP="006413FB">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Megumi Seki, Secrétaire</w:t>
      </w:r>
      <w:r w:rsidR="007A4CAD">
        <w:t> </w:t>
      </w:r>
      <w:r w:rsidRPr="009D0B3A">
        <w:t>exécutive du Secrétariat de l</w:t>
      </w:r>
      <w:r w:rsidR="00AA6A89" w:rsidRPr="009D0B3A">
        <w:t>’</w:t>
      </w:r>
      <w:r w:rsidRPr="009D0B3A">
        <w:t>ozone, a souhaité la bienvenue aux membres du Comité ainsi qu</w:t>
      </w:r>
      <w:r w:rsidR="00AA6A89" w:rsidRPr="009D0B3A">
        <w:t>’</w:t>
      </w:r>
      <w:r w:rsidRPr="009D0B3A">
        <w:t>aux représentant(e)s du secrétariat du Fonds multilatéral aux fins d</w:t>
      </w:r>
      <w:r w:rsidR="00AA6A89" w:rsidRPr="009D0B3A">
        <w:t>’</w:t>
      </w:r>
      <w:r w:rsidRPr="009D0B3A">
        <w:t>application du Protocole de</w:t>
      </w:r>
      <w:r w:rsidR="007A4CAD">
        <w:t> </w:t>
      </w:r>
      <w:r w:rsidRPr="009D0B3A">
        <w:t>Montréal et de ses organismes d</w:t>
      </w:r>
      <w:r w:rsidR="00AA6A89" w:rsidRPr="009D0B3A">
        <w:t>’</w:t>
      </w:r>
      <w:r w:rsidRPr="009D0B3A">
        <w:t>exécution. Elle a brièvement passé en revue les points que le Comité examinerait au cours de la réunion et a noté que le nombre élevé de points à examiner avait conduit, pour la deuxième fois consécutive</w:t>
      </w:r>
      <w:r w:rsidR="00172BC3" w:rsidRPr="009D0B3A">
        <w:t>,</w:t>
      </w:r>
      <w:r w:rsidRPr="009D0B3A">
        <w:t xml:space="preserve"> à programmer une réunion de deux</w:t>
      </w:r>
      <w:r w:rsidR="00C4110D">
        <w:t> </w:t>
      </w:r>
      <w:r w:rsidRPr="009D0B3A">
        <w:t xml:space="preserve">jours. </w:t>
      </w:r>
      <w:r w:rsidR="001339FF" w:rsidRPr="009D0B3A">
        <w:t>Soulig</w:t>
      </w:r>
      <w:r w:rsidR="00D070AB" w:rsidRPr="009D0B3A">
        <w:t xml:space="preserve">nant </w:t>
      </w:r>
      <w:r w:rsidRPr="009D0B3A">
        <w:t>que le Comité devrait, comme d</w:t>
      </w:r>
      <w:r w:rsidR="00AA6A89" w:rsidRPr="009D0B3A">
        <w:t>’</w:t>
      </w:r>
      <w:r w:rsidRPr="009D0B3A">
        <w:t xml:space="preserve">habitude, </w:t>
      </w:r>
      <w:r w:rsidR="00157707" w:rsidRPr="009D0B3A">
        <w:t>s</w:t>
      </w:r>
      <w:r w:rsidR="00AA6A89" w:rsidRPr="009D0B3A">
        <w:t>’</w:t>
      </w:r>
      <w:r w:rsidR="00157707" w:rsidRPr="009D0B3A">
        <w:t xml:space="preserve">accorder </w:t>
      </w:r>
      <w:r w:rsidRPr="009D0B3A">
        <w:t>sur les recommandations et les projets de décision à transmettre à la trente-septième</w:t>
      </w:r>
      <w:r w:rsidR="007877A4">
        <w:t> </w:t>
      </w:r>
      <w:r w:rsidRPr="009D0B3A">
        <w:t>Réunion des Parties, qui devait se tenir la semaine suivante, elle a rappelé que la compilation des projets de décision à transmettre par le Comité comprendrait le projet de décision sur la révision des niveaux de référence des hydrofluorocarbones (HFC) déjà approuvé par le Comité à sa soixante-quatorzième</w:t>
      </w:r>
      <w:r w:rsidR="004334CE">
        <w:t> </w:t>
      </w:r>
      <w:r w:rsidRPr="009D0B3A">
        <w:t>réunion. Le Comité se pencherait sur plusieurs cas, dont certains avaient déjà fait l</w:t>
      </w:r>
      <w:r w:rsidR="00AA6A89" w:rsidRPr="009D0B3A">
        <w:t>’</w:t>
      </w:r>
      <w:r w:rsidRPr="009D0B3A">
        <w:t>objet d</w:t>
      </w:r>
      <w:r w:rsidR="00AA6A89" w:rsidRPr="009D0B3A">
        <w:t>’</w:t>
      </w:r>
      <w:r w:rsidRPr="009D0B3A">
        <w:t xml:space="preserve">un examen </w:t>
      </w:r>
      <w:r w:rsidR="00780D89" w:rsidRPr="009D0B3A">
        <w:t>à sa</w:t>
      </w:r>
      <w:r w:rsidRPr="009D0B3A">
        <w:t xml:space="preserve"> soixante-quatorzième réunion</w:t>
      </w:r>
      <w:r w:rsidR="00F36AE2" w:rsidRPr="009D0B3A">
        <w:t>, à</w:t>
      </w:r>
      <w:r w:rsidR="00833265">
        <w:t> </w:t>
      </w:r>
      <w:r w:rsidR="00F36AE2" w:rsidRPr="009D0B3A">
        <w:t xml:space="preserve">savoir </w:t>
      </w:r>
      <w:r w:rsidR="00E4770A" w:rsidRPr="009D0B3A">
        <w:t xml:space="preserve">les </w:t>
      </w:r>
      <w:r w:rsidRPr="009D0B3A">
        <w:t>plans d</w:t>
      </w:r>
      <w:r w:rsidR="00AA6A89" w:rsidRPr="009D0B3A">
        <w:t>’</w:t>
      </w:r>
      <w:r w:rsidRPr="009D0B3A">
        <w:t xml:space="preserve">action </w:t>
      </w:r>
      <w:r w:rsidR="00B94A4B" w:rsidRPr="009D0B3A">
        <w:t xml:space="preserve">en cours pour assurer le retour de trois Parties </w:t>
      </w:r>
      <w:r w:rsidR="00013648" w:rsidRPr="009D0B3A">
        <w:t>à une situation de respect,</w:t>
      </w:r>
      <w:r w:rsidRPr="009D0B3A">
        <w:t xml:space="preserve"> </w:t>
      </w:r>
      <w:r w:rsidR="00DC60ED" w:rsidRPr="009D0B3A">
        <w:t xml:space="preserve">les </w:t>
      </w:r>
      <w:r w:rsidRPr="009D0B3A">
        <w:t xml:space="preserve">demandes </w:t>
      </w:r>
      <w:r w:rsidR="00F34A99" w:rsidRPr="009D0B3A">
        <w:t>de révision de</w:t>
      </w:r>
      <w:r w:rsidR="0075511A" w:rsidRPr="009D0B3A">
        <w:t xml:space="preserve"> leurs</w:t>
      </w:r>
      <w:r w:rsidR="00F34A99" w:rsidRPr="009D0B3A">
        <w:t xml:space="preserve"> </w:t>
      </w:r>
      <w:r w:rsidRPr="009D0B3A">
        <w:t xml:space="preserve">données de référence </w:t>
      </w:r>
      <w:r w:rsidR="00D70B5A" w:rsidRPr="009D0B3A">
        <w:t xml:space="preserve">concernant les HFC </w:t>
      </w:r>
      <w:r w:rsidR="00F34A99" w:rsidRPr="009D0B3A">
        <w:t xml:space="preserve">faites par six Parties </w:t>
      </w:r>
      <w:r w:rsidRPr="009D0B3A">
        <w:t xml:space="preserve">et, </w:t>
      </w:r>
      <w:r w:rsidR="005F1C45" w:rsidRPr="009D0B3A">
        <w:t>pour</w:t>
      </w:r>
      <w:r w:rsidRPr="009D0B3A">
        <w:t xml:space="preserve"> deux</w:t>
      </w:r>
      <w:r w:rsidR="00B146B5" w:rsidRPr="009D0B3A">
        <w:t xml:space="preserve"> d</w:t>
      </w:r>
      <w:r w:rsidR="00AA6A89" w:rsidRPr="009D0B3A">
        <w:t>’</w:t>
      </w:r>
      <w:r w:rsidR="00B146B5" w:rsidRPr="009D0B3A">
        <w:t>entre elle</w:t>
      </w:r>
      <w:r w:rsidR="005F1C45" w:rsidRPr="009D0B3A">
        <w:t>s</w:t>
      </w:r>
      <w:r w:rsidRPr="009D0B3A">
        <w:t xml:space="preserve">, </w:t>
      </w:r>
      <w:r w:rsidR="007B7C59" w:rsidRPr="009D0B3A">
        <w:t xml:space="preserve">concernant </w:t>
      </w:r>
      <w:r w:rsidRPr="009D0B3A">
        <w:t>également les hydrochlorofluorocarbones (HCFC)</w:t>
      </w:r>
      <w:r w:rsidR="00C10C7A" w:rsidRPr="009D0B3A">
        <w:t>,</w:t>
      </w:r>
      <w:r w:rsidRPr="009D0B3A">
        <w:t xml:space="preserve"> </w:t>
      </w:r>
      <w:r w:rsidR="0020268D" w:rsidRPr="009D0B3A">
        <w:t xml:space="preserve">le </w:t>
      </w:r>
      <w:r w:rsidRPr="009D0B3A">
        <w:t>non-</w:t>
      </w:r>
      <w:r w:rsidR="0038236B" w:rsidRPr="009D0B3A">
        <w:t>respect</w:t>
      </w:r>
      <w:r w:rsidRPr="009D0B3A">
        <w:t xml:space="preserve"> potentiel</w:t>
      </w:r>
      <w:r w:rsidR="00E97D5F" w:rsidRPr="009D0B3A">
        <w:t xml:space="preserve"> de</w:t>
      </w:r>
      <w:r w:rsidR="0020268D" w:rsidRPr="009D0B3A">
        <w:t xml:space="preserve"> leurs</w:t>
      </w:r>
      <w:r w:rsidR="00E97D5F" w:rsidRPr="009D0B3A">
        <w:t xml:space="preserve"> obligations</w:t>
      </w:r>
      <w:r w:rsidR="0020268D" w:rsidRPr="009D0B3A">
        <w:t xml:space="preserve"> par cinq Parties</w:t>
      </w:r>
      <w:r w:rsidRPr="009D0B3A">
        <w:t xml:space="preserve">, dont une </w:t>
      </w:r>
      <w:r w:rsidR="0033457E" w:rsidRPr="009D0B3A">
        <w:t xml:space="preserve">qui </w:t>
      </w:r>
      <w:r w:rsidRPr="009D0B3A">
        <w:t>avait déjà présenté un plan d</w:t>
      </w:r>
      <w:r w:rsidR="00AA6A89" w:rsidRPr="009D0B3A">
        <w:t>’</w:t>
      </w:r>
      <w:r w:rsidRPr="009D0B3A">
        <w:t xml:space="preserve">action pour se </w:t>
      </w:r>
      <w:r w:rsidR="00FB6365" w:rsidRPr="009D0B3A">
        <w:t xml:space="preserve">conformer à nouveau à ses obligations </w:t>
      </w:r>
      <w:r w:rsidRPr="009D0B3A">
        <w:t>et une autre qui avait clairement indiqué qu</w:t>
      </w:r>
      <w:r w:rsidR="00AA6A89" w:rsidRPr="009D0B3A">
        <w:t>’</w:t>
      </w:r>
      <w:r w:rsidRPr="009D0B3A">
        <w:t>elle présenterait un tel plan d</w:t>
      </w:r>
      <w:r w:rsidR="00AA6A89" w:rsidRPr="009D0B3A">
        <w:t>’</w:t>
      </w:r>
      <w:r w:rsidRPr="009D0B3A">
        <w:t>action avant la soixante-seizième</w:t>
      </w:r>
      <w:r w:rsidR="007877A4">
        <w:t> </w:t>
      </w:r>
      <w:r w:rsidRPr="009D0B3A">
        <w:t>réunion du Comité</w:t>
      </w:r>
      <w:r w:rsidR="007B7C59" w:rsidRPr="009D0B3A">
        <w:t>,</w:t>
      </w:r>
      <w:r w:rsidRPr="009D0B3A">
        <w:t xml:space="preserve"> </w:t>
      </w:r>
      <w:r w:rsidR="000B7158" w:rsidRPr="009D0B3A">
        <w:t>ainsi que</w:t>
      </w:r>
      <w:r w:rsidRPr="009D0B3A">
        <w:t xml:space="preserve"> quatre Parties qui n</w:t>
      </w:r>
      <w:r w:rsidR="00AA6A89" w:rsidRPr="009D0B3A">
        <w:t>’</w:t>
      </w:r>
      <w:r w:rsidRPr="009D0B3A">
        <w:t>avaient pas signalé la mise en place et l</w:t>
      </w:r>
      <w:r w:rsidR="00C116DE" w:rsidRPr="009D0B3A">
        <w:t>e fonctionnement</w:t>
      </w:r>
      <w:r w:rsidRPr="009D0B3A">
        <w:t xml:space="preserve"> de systèmes d</w:t>
      </w:r>
      <w:r w:rsidR="00AA6A89" w:rsidRPr="009D0B3A">
        <w:t>’</w:t>
      </w:r>
      <w:r w:rsidRPr="009D0B3A">
        <w:t>octroi de licences pour les HFC, dont</w:t>
      </w:r>
      <w:r w:rsidR="00833265">
        <w:t> </w:t>
      </w:r>
      <w:r w:rsidRPr="009D0B3A">
        <w:t xml:space="preserve">deux </w:t>
      </w:r>
      <w:r w:rsidR="00E26E3A" w:rsidRPr="009D0B3A">
        <w:t>sur le</w:t>
      </w:r>
      <w:r w:rsidRPr="009D0B3A">
        <w:t xml:space="preserve"> long terme. </w:t>
      </w:r>
    </w:p>
    <w:p w14:paraId="1400CB75" w14:textId="3E4AC4AC" w:rsidR="00662EFE" w:rsidRPr="009D0B3A" w:rsidRDefault="00662EFE" w:rsidP="006413FB">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Comité poursuivra en outre l</w:t>
      </w:r>
      <w:r w:rsidR="00AA6A89" w:rsidRPr="009D0B3A">
        <w:t>’</w:t>
      </w:r>
      <w:r w:rsidRPr="009D0B3A">
        <w:t>examen, entamé lors de la soixante-quatorzième</w:t>
      </w:r>
      <w:r w:rsidR="007877A4">
        <w:t> </w:t>
      </w:r>
      <w:r w:rsidRPr="009D0B3A">
        <w:t xml:space="preserve">réunion, des questions systémiques liées au respect des dispositions. Le Président devait faire une brève présentation au début de la réunion informelle des </w:t>
      </w:r>
      <w:r w:rsidR="00D13B10" w:rsidRPr="009D0B3A">
        <w:t>P</w:t>
      </w:r>
      <w:r w:rsidRPr="009D0B3A">
        <w:t xml:space="preserve">arties sur le renforcement du Protocole de Montréal, qui </w:t>
      </w:r>
      <w:r w:rsidR="00787E23" w:rsidRPr="009D0B3A">
        <w:t xml:space="preserve">se tiendrait </w:t>
      </w:r>
      <w:r w:rsidRPr="009D0B3A">
        <w:t>le 2</w:t>
      </w:r>
      <w:r w:rsidR="00FB119F">
        <w:t> </w:t>
      </w:r>
      <w:r w:rsidRPr="009D0B3A">
        <w:t>novembre 2025, notamment sur les questions clés soulevées lors des discussions du Comité. Le Secrétariat avait été en mesure d</w:t>
      </w:r>
      <w:r w:rsidR="00AA6A89" w:rsidRPr="009D0B3A">
        <w:t>’</w:t>
      </w:r>
      <w:r w:rsidRPr="009D0B3A">
        <w:t>examiner, d</w:t>
      </w:r>
      <w:r w:rsidR="00AA6A89" w:rsidRPr="009D0B3A">
        <w:t>’</w:t>
      </w:r>
      <w:r w:rsidRPr="009D0B3A">
        <w:t>analyser et d</w:t>
      </w:r>
      <w:r w:rsidR="00AA6A89" w:rsidRPr="009D0B3A">
        <w:t>’</w:t>
      </w:r>
      <w:r w:rsidRPr="009D0B3A">
        <w:t>inclure dans les documents d</w:t>
      </w:r>
      <w:r w:rsidR="007751B0" w:rsidRPr="009D0B3A">
        <w:t>’avant-</w:t>
      </w:r>
      <w:r w:rsidRPr="009D0B3A">
        <w:t>session toutes les informations reçues des Parties concernées, à l</w:t>
      </w:r>
      <w:r w:rsidR="00AA6A89" w:rsidRPr="009D0B3A">
        <w:t>’</w:t>
      </w:r>
      <w:r w:rsidRPr="009D0B3A">
        <w:t xml:space="preserve">exception </w:t>
      </w:r>
      <w:r w:rsidR="00003570" w:rsidRPr="009D0B3A">
        <w:t>du</w:t>
      </w:r>
      <w:r w:rsidRPr="009D0B3A">
        <w:t xml:space="preserve"> Mali, </w:t>
      </w:r>
      <w:r w:rsidR="0061225E" w:rsidRPr="009D0B3A">
        <w:t xml:space="preserve">dont </w:t>
      </w:r>
      <w:r w:rsidRPr="009D0B3A">
        <w:t>les informations avaient été envoyées aux membres du Comité par courrier électronique après la finalisation des documents d</w:t>
      </w:r>
      <w:r w:rsidR="007751B0" w:rsidRPr="009D0B3A">
        <w:t>’avant-</w:t>
      </w:r>
      <w:r w:rsidRPr="009D0B3A">
        <w:t>session. La Partie avait</w:t>
      </w:r>
      <w:r w:rsidR="007751B0" w:rsidRPr="009D0B3A">
        <w:t xml:space="preserve"> eu</w:t>
      </w:r>
      <w:r w:rsidRPr="009D0B3A">
        <w:t xml:space="preserve"> jusqu</w:t>
      </w:r>
      <w:r w:rsidR="00AA6A89" w:rsidRPr="009D0B3A">
        <w:t>’</w:t>
      </w:r>
      <w:r w:rsidRPr="009D0B3A">
        <w:t>au 29</w:t>
      </w:r>
      <w:r w:rsidR="005C33E1">
        <w:t> </w:t>
      </w:r>
      <w:r w:rsidRPr="009D0B3A">
        <w:t xml:space="preserve">octobre 2025 pour </w:t>
      </w:r>
      <w:r w:rsidRPr="009D0B3A">
        <w:lastRenderedPageBreak/>
        <w:t>fournir des précisions et, comme elle ne l</w:t>
      </w:r>
      <w:r w:rsidR="00AA6A89" w:rsidRPr="009D0B3A">
        <w:t>’</w:t>
      </w:r>
      <w:r w:rsidRPr="009D0B3A">
        <w:t>avait pas fait, le Secrétariat en avait informé le Comité, conformément à la procédure applicable en cas de non-respect des dispositions du Protocole. Pour conclure, la Secrétaire</w:t>
      </w:r>
      <w:r w:rsidR="009B32B1">
        <w:t> </w:t>
      </w:r>
      <w:r w:rsidRPr="009D0B3A">
        <w:t xml:space="preserve">exécutive a </w:t>
      </w:r>
      <w:r w:rsidR="00DE7A06" w:rsidRPr="009D0B3A">
        <w:t xml:space="preserve">assuré </w:t>
      </w:r>
      <w:r w:rsidRPr="009D0B3A">
        <w:t xml:space="preserve">aux membres que le Secrétariat </w:t>
      </w:r>
      <w:r w:rsidR="004227FD" w:rsidRPr="009D0B3A">
        <w:t>de l</w:t>
      </w:r>
      <w:r w:rsidR="00AA6A89" w:rsidRPr="009D0B3A">
        <w:t>’</w:t>
      </w:r>
      <w:r w:rsidR="004227FD" w:rsidRPr="009D0B3A">
        <w:t>ozone</w:t>
      </w:r>
      <w:r w:rsidR="00C32BF1" w:rsidRPr="009D0B3A">
        <w:t xml:space="preserve"> </w:t>
      </w:r>
      <w:r w:rsidRPr="009D0B3A">
        <w:t>était, comme toujours, disponible pour a</w:t>
      </w:r>
      <w:r w:rsidR="00C32BF1" w:rsidRPr="009D0B3A">
        <w:t>ider</w:t>
      </w:r>
      <w:r w:rsidRPr="009D0B3A">
        <w:t xml:space="preserve"> le Comité dans ses travaux</w:t>
      </w:r>
      <w:r w:rsidR="00EA0585" w:rsidRPr="009D0B3A">
        <w:t>,</w:t>
      </w:r>
      <w:r w:rsidRPr="009D0B3A">
        <w:t xml:space="preserve"> le secrétariat du Fonds multilatéral et les organismes d</w:t>
      </w:r>
      <w:r w:rsidR="00AA6A89" w:rsidRPr="009D0B3A">
        <w:t>’</w:t>
      </w:r>
      <w:r w:rsidRPr="009D0B3A">
        <w:t xml:space="preserve">exécution </w:t>
      </w:r>
      <w:r w:rsidR="00EA0585" w:rsidRPr="009D0B3A">
        <w:t xml:space="preserve">se tenant </w:t>
      </w:r>
      <w:r w:rsidRPr="009D0B3A">
        <w:t xml:space="preserve">prêts à fournir toute information supplémentaire requise. </w:t>
      </w:r>
    </w:p>
    <w:p w14:paraId="59A07729" w14:textId="29EEF248" w:rsidR="00513974" w:rsidRPr="009D0B3A" w:rsidRDefault="007F7B08" w:rsidP="007F7B08">
      <w:pPr>
        <w:pStyle w:val="CH1"/>
      </w:pPr>
      <w:r w:rsidRPr="009D0B3A">
        <w:tab/>
      </w:r>
      <w:r w:rsidR="00B90807" w:rsidRPr="009D0B3A">
        <w:rPr>
          <w:bCs/>
        </w:rPr>
        <w:t>II.</w:t>
      </w:r>
      <w:r w:rsidR="009E5D97" w:rsidRPr="009D0B3A">
        <w:tab/>
      </w:r>
      <w:r w:rsidRPr="009D0B3A">
        <w:rPr>
          <w:bCs/>
        </w:rPr>
        <w:t>Adoption de l</w:t>
      </w:r>
      <w:r w:rsidR="00AA6A89" w:rsidRPr="009D0B3A">
        <w:rPr>
          <w:bCs/>
        </w:rPr>
        <w:t>’</w:t>
      </w:r>
      <w:r w:rsidRPr="009D0B3A">
        <w:rPr>
          <w:bCs/>
        </w:rPr>
        <w:t>ordre du jour et organisation des travaux</w:t>
      </w:r>
    </w:p>
    <w:p w14:paraId="256CB6B8" w14:textId="3434306F" w:rsidR="009D264F" w:rsidRPr="009D0B3A" w:rsidRDefault="00647E57" w:rsidP="00647E57">
      <w:pPr>
        <w:pStyle w:val="CH2"/>
      </w:pPr>
      <w:r>
        <w:rPr>
          <w:bCs/>
        </w:rPr>
        <w:tab/>
      </w:r>
      <w:r w:rsidR="00C1533F" w:rsidRPr="00852ABF">
        <w:t>A.</w:t>
      </w:r>
      <w:r>
        <w:rPr>
          <w:bCs/>
        </w:rPr>
        <w:tab/>
      </w:r>
      <w:r w:rsidR="007F7B08" w:rsidRPr="009D0B3A">
        <w:rPr>
          <w:bCs/>
        </w:rPr>
        <w:t>Participation</w:t>
      </w:r>
    </w:p>
    <w:p w14:paraId="5024A8BE" w14:textId="75C428CD" w:rsidR="005D43C0" w:rsidRPr="009D0B3A" w:rsidRDefault="00190E02" w:rsidP="006413FB">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Les représentant(e)s des membres du Comité ci-après étaient présent(e)s</w:t>
      </w:r>
      <w:r w:rsidR="00AA6A89" w:rsidRPr="009D0B3A">
        <w:t> :</w:t>
      </w:r>
      <w:r w:rsidRPr="009D0B3A">
        <w:t xml:space="preserve"> Arabie saoudite, Bénin, Chili, États-Unis d</w:t>
      </w:r>
      <w:r w:rsidR="00AA6A89" w:rsidRPr="009D0B3A">
        <w:t>’</w:t>
      </w:r>
      <w:r w:rsidRPr="009D0B3A">
        <w:t>Amérique, Iran (République islamique d</w:t>
      </w:r>
      <w:r w:rsidR="00AA6A89" w:rsidRPr="009D0B3A">
        <w:t>’</w:t>
      </w:r>
      <w:r w:rsidRPr="009D0B3A">
        <w:t xml:space="preserve">), Kenya, Monténégro, Pays-Bas (Royaume des), République dominicaine et Tchéquie. </w:t>
      </w:r>
    </w:p>
    <w:p w14:paraId="0377BEB6" w14:textId="1B6B83CF" w:rsidR="00190E02" w:rsidRPr="009D0B3A" w:rsidRDefault="00190E02" w:rsidP="006413FB">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Ont également participé à la réunion des représentant(e)s du secrétariat du Fonds multilatéral et des représentant(e)s des organismes d</w:t>
      </w:r>
      <w:r w:rsidR="00AA6A89" w:rsidRPr="009D0B3A">
        <w:t>’</w:t>
      </w:r>
      <w:r w:rsidRPr="009D0B3A">
        <w:t>exécution du Fonds ci-après</w:t>
      </w:r>
      <w:r w:rsidR="00AA6A89" w:rsidRPr="009D0B3A">
        <w:t> :</w:t>
      </w:r>
      <w:r w:rsidRPr="009D0B3A">
        <w:t xml:space="preserve"> Banque mondiale, Organisation des Nations</w:t>
      </w:r>
      <w:r w:rsidR="00BA313D">
        <w:t> </w:t>
      </w:r>
      <w:r w:rsidRPr="009D0B3A">
        <w:t>Unies pour le développement industriel, Programme des Nations</w:t>
      </w:r>
      <w:r w:rsidR="00BA313D">
        <w:t> </w:t>
      </w:r>
      <w:r w:rsidRPr="009D0B3A">
        <w:t>Unies pour le développement et Programme des Nations</w:t>
      </w:r>
      <w:r w:rsidR="00BA313D">
        <w:t> </w:t>
      </w:r>
      <w:r w:rsidRPr="009D0B3A">
        <w:t>Unies pour l</w:t>
      </w:r>
      <w:r w:rsidR="00AA6A89" w:rsidRPr="009D0B3A">
        <w:t>’</w:t>
      </w:r>
      <w:r w:rsidRPr="009D0B3A">
        <w:t>environnement.</w:t>
      </w:r>
    </w:p>
    <w:p w14:paraId="0C7E87B3" w14:textId="61FDF502" w:rsidR="000642B9" w:rsidRPr="009D0B3A" w:rsidRDefault="000642B9" w:rsidP="006413FB">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La liste des participant(e)s figure à l</w:t>
      </w:r>
      <w:r w:rsidR="00AA6A89" w:rsidRPr="009D0B3A">
        <w:t>’</w:t>
      </w:r>
      <w:r w:rsidRPr="009D0B3A">
        <w:t>annexe</w:t>
      </w:r>
      <w:r w:rsidR="0028043A">
        <w:t> </w:t>
      </w:r>
      <w:r w:rsidRPr="009D0B3A">
        <w:t>I</w:t>
      </w:r>
      <w:r w:rsidR="00376050">
        <w:t>I</w:t>
      </w:r>
      <w:r w:rsidRPr="009D0B3A">
        <w:t xml:space="preserve"> du présent</w:t>
      </w:r>
      <w:r w:rsidR="0028043A">
        <w:t> </w:t>
      </w:r>
      <w:r w:rsidRPr="009D0B3A">
        <w:t>rapport.</w:t>
      </w:r>
    </w:p>
    <w:p w14:paraId="32B21480" w14:textId="179A1CD1" w:rsidR="00616D52" w:rsidRPr="00A544B1" w:rsidRDefault="003E7524" w:rsidP="003E7524">
      <w:pPr>
        <w:pStyle w:val="CH2"/>
        <w:tabs>
          <w:tab w:val="left" w:pos="4990"/>
        </w:tabs>
        <w:ind w:right="624"/>
        <w:rPr>
          <w:rFonts w:eastAsia="Times New Roman"/>
          <w:lang w:eastAsia="en-US"/>
        </w:rPr>
      </w:pPr>
      <w:r w:rsidRPr="00A544B1">
        <w:rPr>
          <w:rFonts w:eastAsia="Times New Roman"/>
          <w:lang w:eastAsia="en-US"/>
        </w:rPr>
        <w:tab/>
      </w:r>
      <w:r w:rsidR="00CD0EBD" w:rsidRPr="00852ABF">
        <w:t>B.</w:t>
      </w:r>
      <w:r w:rsidRPr="00A544B1">
        <w:rPr>
          <w:rFonts w:eastAsia="Times New Roman"/>
          <w:lang w:eastAsia="en-US"/>
        </w:rPr>
        <w:tab/>
      </w:r>
      <w:r w:rsidR="007F7B08" w:rsidRPr="00A544B1">
        <w:rPr>
          <w:rFonts w:eastAsia="Times New Roman"/>
          <w:lang w:eastAsia="en-US"/>
        </w:rPr>
        <w:t>Adoption de l</w:t>
      </w:r>
      <w:r w:rsidR="00AA6A89" w:rsidRPr="00A544B1">
        <w:rPr>
          <w:rFonts w:eastAsia="Times New Roman"/>
          <w:lang w:eastAsia="en-US"/>
        </w:rPr>
        <w:t>’</w:t>
      </w:r>
      <w:r w:rsidR="007F7B08" w:rsidRPr="00A544B1">
        <w:rPr>
          <w:rFonts w:eastAsia="Times New Roman"/>
          <w:lang w:eastAsia="en-US"/>
        </w:rPr>
        <w:t>ordre du jour et organisation des travaux</w:t>
      </w:r>
    </w:p>
    <w:p w14:paraId="157977E1" w14:textId="574D4548" w:rsidR="000976B4" w:rsidRPr="009D0B3A" w:rsidRDefault="000976B4"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Comité a adopté l</w:t>
      </w:r>
      <w:r w:rsidR="00AA6A89" w:rsidRPr="009D0B3A">
        <w:t>’</w:t>
      </w:r>
      <w:r w:rsidRPr="009D0B3A">
        <w:t>ordre du jour ci-après, établi à partir de l</w:t>
      </w:r>
      <w:r w:rsidR="00AA6A89" w:rsidRPr="009D0B3A">
        <w:t>’</w:t>
      </w:r>
      <w:r w:rsidRPr="009D0B3A">
        <w:t>ordre du jour provisoire (UNEP/OzL.Pro/ImpCom/75/R.1)</w:t>
      </w:r>
      <w:r w:rsidR="00AA6A89" w:rsidRPr="009D0B3A">
        <w:t> :</w:t>
      </w:r>
    </w:p>
    <w:p w14:paraId="6FF8B2CD" w14:textId="3BE25E49"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t>1.</w:t>
      </w:r>
      <w:r w:rsidRPr="009D0B3A">
        <w:tab/>
        <w:t>Ouverture de la réunion</w:t>
      </w:r>
      <w:r w:rsidR="00E31471" w:rsidRPr="009D0B3A">
        <w:t>.</w:t>
      </w:r>
    </w:p>
    <w:p w14:paraId="32F047ED" w14:textId="7AC8C308"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t>2.</w:t>
      </w:r>
      <w:r w:rsidRPr="009D0B3A">
        <w:tab/>
        <w:t>Adoption de l</w:t>
      </w:r>
      <w:r w:rsidR="00AA6A89" w:rsidRPr="009D0B3A">
        <w:t>’</w:t>
      </w:r>
      <w:r w:rsidRPr="009D0B3A">
        <w:t>ordre du jour et organisation des travaux</w:t>
      </w:r>
      <w:r w:rsidR="00E31471" w:rsidRPr="009D0B3A">
        <w:t>.</w:t>
      </w:r>
    </w:p>
    <w:p w14:paraId="470426B0" w14:textId="27F4232A"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t>3.</w:t>
      </w:r>
      <w:r w:rsidRPr="009D0B3A">
        <w:tab/>
        <w:t>Exposé du Secrétariat de l</w:t>
      </w:r>
      <w:r w:rsidR="00AA6A89" w:rsidRPr="009D0B3A">
        <w:t>’</w:t>
      </w:r>
      <w:r w:rsidRPr="009D0B3A">
        <w:t>ozone sur les données et informations communiquées en application des articles</w:t>
      </w:r>
      <w:r w:rsidR="00151A91">
        <w:t> </w:t>
      </w:r>
      <w:r w:rsidRPr="009D0B3A">
        <w:t>7 et 9 du Protocole de</w:t>
      </w:r>
      <w:r w:rsidR="00CB0B7E">
        <w:t> </w:t>
      </w:r>
      <w:r w:rsidRPr="009D0B3A">
        <w:t>Montréal et sur les questions connexes.</w:t>
      </w:r>
    </w:p>
    <w:p w14:paraId="054D14BE" w14:textId="3BF9F9C3"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t>4.</w:t>
      </w:r>
      <w:r w:rsidRPr="009D0B3A">
        <w:tab/>
        <w:t>Exposé du secrétariat du Fonds multilatéral aux fins d</w:t>
      </w:r>
      <w:r w:rsidR="00AA6A89" w:rsidRPr="009D0B3A">
        <w:t>’</w:t>
      </w:r>
      <w:r w:rsidRPr="009D0B3A">
        <w:t>application du Protocole de Montréal sur les décisions du Comité</w:t>
      </w:r>
      <w:r w:rsidR="004E7C9A">
        <w:t> </w:t>
      </w:r>
      <w:r w:rsidRPr="009D0B3A">
        <w:t>exécutif du Fonds et sur les activités menées par les organismes d</w:t>
      </w:r>
      <w:r w:rsidR="00AA6A89" w:rsidRPr="009D0B3A">
        <w:t>’</w:t>
      </w:r>
      <w:r w:rsidRPr="009D0B3A">
        <w:t xml:space="preserve">exécution pour aider les Parties à respecter leurs obligations. </w:t>
      </w:r>
    </w:p>
    <w:p w14:paraId="79217897" w14:textId="403F98AD"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t>5.</w:t>
      </w:r>
      <w:r w:rsidRPr="009D0B3A">
        <w:tab/>
        <w:t>Suite donnée aux décisions des Parties et aux recommandations du Comité d</w:t>
      </w:r>
      <w:r w:rsidR="00AA6A89" w:rsidRPr="009D0B3A">
        <w:t>’</w:t>
      </w:r>
      <w:r w:rsidRPr="009D0B3A">
        <w:t>application concernant certaines questions de non-respect</w:t>
      </w:r>
      <w:r w:rsidR="00AA6A89" w:rsidRPr="009D0B3A">
        <w:t> :</w:t>
      </w:r>
      <w:r w:rsidRPr="009D0B3A">
        <w:t xml:space="preserve"> </w:t>
      </w:r>
    </w:p>
    <w:p w14:paraId="141C2235" w14:textId="6C7F6282" w:rsidR="000976B4" w:rsidRPr="009D0B3A" w:rsidRDefault="000976B4" w:rsidP="005A6D76">
      <w:pPr>
        <w:pStyle w:val="Normalnumber"/>
        <w:numPr>
          <w:ilvl w:val="0"/>
          <w:numId w:val="0"/>
        </w:numPr>
        <w:tabs>
          <w:tab w:val="clear" w:pos="1247"/>
          <w:tab w:val="clear" w:pos="1814"/>
          <w:tab w:val="clear" w:pos="2381"/>
          <w:tab w:val="clear" w:pos="2948"/>
          <w:tab w:val="clear" w:pos="3515"/>
        </w:tabs>
        <w:ind w:left="2495"/>
      </w:pPr>
      <w:r w:rsidRPr="009D0B3A">
        <w:t>a)</w:t>
      </w:r>
      <w:r w:rsidRPr="009D0B3A">
        <w:tab/>
        <w:t>Obligations de communication des données au titre de l</w:t>
      </w:r>
      <w:r w:rsidR="00AA6A89" w:rsidRPr="009D0B3A">
        <w:t>’</w:t>
      </w:r>
      <w:r w:rsidRPr="009D0B3A">
        <w:t>article</w:t>
      </w:r>
      <w:r w:rsidR="004E7C9A">
        <w:t> </w:t>
      </w:r>
      <w:r w:rsidRPr="009D0B3A">
        <w:t>7 (décision</w:t>
      </w:r>
      <w:r w:rsidR="0024236A">
        <w:t> </w:t>
      </w:r>
      <w:r w:rsidRPr="009D0B3A">
        <w:t>XXXVI/13)</w:t>
      </w:r>
      <w:r w:rsidR="00AA6A89" w:rsidRPr="009D0B3A">
        <w:t> :</w:t>
      </w:r>
      <w:r w:rsidRPr="009D0B3A">
        <w:t xml:space="preserve"> Côte d</w:t>
      </w:r>
      <w:r w:rsidR="00AA6A89" w:rsidRPr="009D0B3A">
        <w:t>’</w:t>
      </w:r>
      <w:r w:rsidRPr="009D0B3A">
        <w:t>Ivoire (recommandation 74/1)</w:t>
      </w:r>
      <w:r w:rsidR="00AA6A89" w:rsidRPr="009D0B3A">
        <w:t> ;</w:t>
      </w:r>
    </w:p>
    <w:p w14:paraId="16590D91" w14:textId="35F5CFAC" w:rsidR="000976B4" w:rsidRPr="009D0B3A" w:rsidRDefault="000976B4" w:rsidP="005A6D76">
      <w:pPr>
        <w:pStyle w:val="Normalnumber"/>
        <w:numPr>
          <w:ilvl w:val="0"/>
          <w:numId w:val="0"/>
        </w:numPr>
        <w:tabs>
          <w:tab w:val="clear" w:pos="1247"/>
          <w:tab w:val="clear" w:pos="1814"/>
          <w:tab w:val="clear" w:pos="2381"/>
          <w:tab w:val="clear" w:pos="2948"/>
          <w:tab w:val="clear" w:pos="3515"/>
        </w:tabs>
        <w:ind w:left="2495"/>
      </w:pPr>
      <w:r w:rsidRPr="009D0B3A">
        <w:t>b)</w:t>
      </w:r>
      <w:r w:rsidRPr="009D0B3A">
        <w:tab/>
        <w:t>Plans d</w:t>
      </w:r>
      <w:r w:rsidR="00AA6A89" w:rsidRPr="009D0B3A">
        <w:t>’</w:t>
      </w:r>
      <w:r w:rsidRPr="009D0B3A">
        <w:t>action en cours pour revenir à une situation de respect</w:t>
      </w:r>
      <w:r w:rsidR="00AA6A89" w:rsidRPr="009D0B3A">
        <w:t> :</w:t>
      </w:r>
    </w:p>
    <w:p w14:paraId="716A43FF" w14:textId="01879B00" w:rsidR="000976B4" w:rsidRPr="009D0B3A" w:rsidRDefault="000976B4" w:rsidP="005A6D76">
      <w:pPr>
        <w:pStyle w:val="Normalnumber"/>
        <w:numPr>
          <w:ilvl w:val="0"/>
          <w:numId w:val="0"/>
        </w:numPr>
        <w:tabs>
          <w:tab w:val="clear" w:pos="1247"/>
          <w:tab w:val="clear" w:pos="1814"/>
          <w:tab w:val="clear" w:pos="2381"/>
          <w:tab w:val="clear" w:pos="2948"/>
          <w:tab w:val="clear" w:pos="3515"/>
        </w:tabs>
        <w:ind w:left="3119"/>
      </w:pPr>
      <w:r w:rsidRPr="009D0B3A">
        <w:t>i)</w:t>
      </w:r>
      <w:r w:rsidRPr="009D0B3A">
        <w:tab/>
        <w:t>République populaire démocratique de Corée (recommandation 74/2)</w:t>
      </w:r>
      <w:r w:rsidR="00AA6A89" w:rsidRPr="009D0B3A">
        <w:t> ;</w:t>
      </w:r>
    </w:p>
    <w:p w14:paraId="14BF830D" w14:textId="44AF1117" w:rsidR="000976B4" w:rsidRPr="009D0B3A" w:rsidRDefault="000976B4" w:rsidP="005A6D76">
      <w:pPr>
        <w:pStyle w:val="Normalnumber"/>
        <w:numPr>
          <w:ilvl w:val="0"/>
          <w:numId w:val="0"/>
        </w:numPr>
        <w:tabs>
          <w:tab w:val="clear" w:pos="1247"/>
          <w:tab w:val="clear" w:pos="1814"/>
          <w:tab w:val="clear" w:pos="2381"/>
          <w:tab w:val="clear" w:pos="2948"/>
          <w:tab w:val="clear" w:pos="3515"/>
        </w:tabs>
        <w:ind w:left="3119"/>
      </w:pPr>
      <w:r w:rsidRPr="009D0B3A">
        <w:t>ii)</w:t>
      </w:r>
      <w:r w:rsidRPr="009D0B3A">
        <w:tab/>
        <w:t>Kazakhstan (recommandation 74/3)</w:t>
      </w:r>
      <w:r w:rsidR="00AA6A89" w:rsidRPr="009D0B3A">
        <w:t> ;</w:t>
      </w:r>
    </w:p>
    <w:p w14:paraId="1213557A" w14:textId="5A9651B3" w:rsidR="000976B4" w:rsidRPr="009D0B3A" w:rsidRDefault="000976B4" w:rsidP="005A6D76">
      <w:pPr>
        <w:pStyle w:val="Normalnumber"/>
        <w:numPr>
          <w:ilvl w:val="0"/>
          <w:numId w:val="0"/>
        </w:numPr>
        <w:tabs>
          <w:tab w:val="clear" w:pos="1247"/>
          <w:tab w:val="clear" w:pos="1814"/>
          <w:tab w:val="clear" w:pos="2381"/>
          <w:tab w:val="clear" w:pos="2948"/>
          <w:tab w:val="clear" w:pos="3515"/>
        </w:tabs>
        <w:ind w:left="3119"/>
      </w:pPr>
      <w:r w:rsidRPr="009D0B3A">
        <w:t>iii)</w:t>
      </w:r>
      <w:r w:rsidRPr="009D0B3A">
        <w:tab/>
        <w:t>Libye (recommandation</w:t>
      </w:r>
      <w:r w:rsidR="004932A1">
        <w:t> </w:t>
      </w:r>
      <w:r w:rsidRPr="009D0B3A">
        <w:t>74/4)</w:t>
      </w:r>
      <w:r w:rsidR="00A66C08" w:rsidRPr="009D0B3A">
        <w:t>.</w:t>
      </w:r>
    </w:p>
    <w:p w14:paraId="0AC2F54D" w14:textId="1333E21C"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t>6.</w:t>
      </w:r>
      <w:r w:rsidRPr="009D0B3A">
        <w:tab/>
        <w:t>Examen d</w:t>
      </w:r>
      <w:r w:rsidR="00AA6A89" w:rsidRPr="009D0B3A">
        <w:t>’</w:t>
      </w:r>
      <w:r w:rsidRPr="009D0B3A">
        <w:t xml:space="preserve">autres </w:t>
      </w:r>
      <w:r w:rsidR="009E7FB9" w:rsidRPr="009D0B3A">
        <w:t xml:space="preserve">questions </w:t>
      </w:r>
      <w:r w:rsidRPr="009D0B3A">
        <w:t>de non-respect éventuel</w:t>
      </w:r>
      <w:r w:rsidR="00E31471" w:rsidRPr="009D0B3A">
        <w:t>les</w:t>
      </w:r>
      <w:r w:rsidR="000B3558" w:rsidRPr="009D0B3A">
        <w:t xml:space="preserve"> </w:t>
      </w:r>
      <w:r w:rsidR="00E31471" w:rsidRPr="009D0B3A">
        <w:t>révélées par les</w:t>
      </w:r>
      <w:r w:rsidR="00FB0718" w:rsidRPr="009D0B3A">
        <w:t xml:space="preserve"> </w:t>
      </w:r>
      <w:r w:rsidRPr="009D0B3A">
        <w:t>données</w:t>
      </w:r>
      <w:r w:rsidR="00E31471" w:rsidRPr="009D0B3A">
        <w:t xml:space="preserve"> communiquées</w:t>
      </w:r>
      <w:r w:rsidRPr="009D0B3A">
        <w:t>.</w:t>
      </w:r>
    </w:p>
    <w:p w14:paraId="7449457D" w14:textId="0025188E"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t>7.</w:t>
      </w:r>
      <w:r w:rsidRPr="009D0B3A">
        <w:tab/>
        <w:t>Demandes de modification des données de référence (décisions</w:t>
      </w:r>
      <w:r w:rsidR="002E6967">
        <w:t> </w:t>
      </w:r>
      <w:r w:rsidRPr="009D0B3A">
        <w:t>XIII/15 et XV/19)</w:t>
      </w:r>
      <w:r w:rsidR="00AA6A89" w:rsidRPr="009D0B3A">
        <w:t> :</w:t>
      </w:r>
      <w:r w:rsidR="009E7FB9" w:rsidRPr="009D0B3A">
        <w:t xml:space="preserve"> </w:t>
      </w:r>
    </w:p>
    <w:p w14:paraId="39FBC74B" w14:textId="39E9E693" w:rsidR="000976B4" w:rsidRPr="009D0B3A" w:rsidRDefault="000976B4" w:rsidP="005A6D76">
      <w:pPr>
        <w:pStyle w:val="Normalnumber"/>
        <w:numPr>
          <w:ilvl w:val="0"/>
          <w:numId w:val="0"/>
        </w:numPr>
        <w:tabs>
          <w:tab w:val="clear" w:pos="1247"/>
          <w:tab w:val="clear" w:pos="1814"/>
          <w:tab w:val="clear" w:pos="2381"/>
          <w:tab w:val="clear" w:pos="2948"/>
          <w:tab w:val="clear" w:pos="3515"/>
        </w:tabs>
        <w:ind w:left="2495"/>
      </w:pPr>
      <w:r w:rsidRPr="009D0B3A">
        <w:t>a)</w:t>
      </w:r>
      <w:r w:rsidRPr="009D0B3A">
        <w:tab/>
        <w:t>Arménie (recommandation 74/11)</w:t>
      </w:r>
      <w:r w:rsidR="00AA6A89" w:rsidRPr="009D0B3A">
        <w:t> ;</w:t>
      </w:r>
    </w:p>
    <w:p w14:paraId="0B195DE5" w14:textId="64C0F906" w:rsidR="000976B4" w:rsidRPr="009D0B3A" w:rsidRDefault="000976B4" w:rsidP="005A6D76">
      <w:pPr>
        <w:pStyle w:val="Normalnumber"/>
        <w:numPr>
          <w:ilvl w:val="0"/>
          <w:numId w:val="0"/>
        </w:numPr>
        <w:tabs>
          <w:tab w:val="clear" w:pos="1247"/>
          <w:tab w:val="clear" w:pos="1814"/>
          <w:tab w:val="clear" w:pos="2381"/>
          <w:tab w:val="clear" w:pos="2948"/>
          <w:tab w:val="clear" w:pos="3515"/>
        </w:tabs>
        <w:ind w:left="2495"/>
      </w:pPr>
      <w:r w:rsidRPr="009D0B3A">
        <w:t>b)</w:t>
      </w:r>
      <w:r w:rsidRPr="009D0B3A">
        <w:tab/>
        <w:t>Guinée (recommandation 74/13)</w:t>
      </w:r>
      <w:r w:rsidR="00AA6A89" w:rsidRPr="009D0B3A">
        <w:t> ;</w:t>
      </w:r>
    </w:p>
    <w:p w14:paraId="6733BEE7" w14:textId="54C50866" w:rsidR="000976B4" w:rsidRPr="009D0B3A" w:rsidRDefault="000976B4" w:rsidP="005A6D76">
      <w:pPr>
        <w:pStyle w:val="Normalnumber"/>
        <w:numPr>
          <w:ilvl w:val="0"/>
          <w:numId w:val="0"/>
        </w:numPr>
        <w:tabs>
          <w:tab w:val="clear" w:pos="1247"/>
          <w:tab w:val="clear" w:pos="1814"/>
          <w:tab w:val="clear" w:pos="2381"/>
          <w:tab w:val="clear" w:pos="2948"/>
          <w:tab w:val="clear" w:pos="3515"/>
        </w:tabs>
        <w:ind w:left="2495"/>
      </w:pPr>
      <w:r w:rsidRPr="009D0B3A">
        <w:t>c)</w:t>
      </w:r>
      <w:r w:rsidRPr="009D0B3A">
        <w:tab/>
        <w:t>Maroc</w:t>
      </w:r>
      <w:r w:rsidR="00AA6A89" w:rsidRPr="009D0B3A">
        <w:t> ;</w:t>
      </w:r>
    </w:p>
    <w:p w14:paraId="472FA445" w14:textId="228F9C84" w:rsidR="000976B4" w:rsidRPr="009D0B3A" w:rsidRDefault="000976B4" w:rsidP="005A6D76">
      <w:pPr>
        <w:pStyle w:val="Normalnumber"/>
        <w:numPr>
          <w:ilvl w:val="0"/>
          <w:numId w:val="0"/>
        </w:numPr>
        <w:tabs>
          <w:tab w:val="clear" w:pos="1247"/>
          <w:tab w:val="clear" w:pos="1814"/>
          <w:tab w:val="clear" w:pos="2381"/>
          <w:tab w:val="clear" w:pos="2948"/>
          <w:tab w:val="clear" w:pos="3515"/>
        </w:tabs>
        <w:ind w:left="2495"/>
      </w:pPr>
      <w:r w:rsidRPr="009D0B3A">
        <w:t>d)</w:t>
      </w:r>
      <w:r w:rsidRPr="009D0B3A">
        <w:tab/>
        <w:t>Bosnie-Herzégovine</w:t>
      </w:r>
      <w:r w:rsidR="00AA6A89" w:rsidRPr="009D0B3A">
        <w:t> ;</w:t>
      </w:r>
    </w:p>
    <w:p w14:paraId="09BDCAAE" w14:textId="57D11956" w:rsidR="000976B4" w:rsidRPr="009D0B3A" w:rsidRDefault="000976B4" w:rsidP="005A6D76">
      <w:pPr>
        <w:pStyle w:val="Normalnumber"/>
        <w:numPr>
          <w:ilvl w:val="0"/>
          <w:numId w:val="0"/>
        </w:numPr>
        <w:tabs>
          <w:tab w:val="clear" w:pos="1247"/>
          <w:tab w:val="clear" w:pos="1814"/>
          <w:tab w:val="clear" w:pos="2381"/>
          <w:tab w:val="clear" w:pos="2948"/>
          <w:tab w:val="clear" w:pos="3515"/>
        </w:tabs>
        <w:ind w:left="2495"/>
      </w:pPr>
      <w:r w:rsidRPr="009D0B3A">
        <w:t>e)</w:t>
      </w:r>
      <w:r w:rsidRPr="009D0B3A">
        <w:tab/>
        <w:t>Brésil</w:t>
      </w:r>
      <w:r w:rsidR="00AA6A89" w:rsidRPr="009D0B3A">
        <w:t> ;</w:t>
      </w:r>
    </w:p>
    <w:p w14:paraId="51151FFF" w14:textId="77777777" w:rsidR="000976B4" w:rsidRPr="009D0B3A" w:rsidRDefault="000976B4" w:rsidP="005A6D76">
      <w:pPr>
        <w:pStyle w:val="Normalnumber"/>
        <w:numPr>
          <w:ilvl w:val="0"/>
          <w:numId w:val="0"/>
        </w:numPr>
        <w:tabs>
          <w:tab w:val="clear" w:pos="1247"/>
          <w:tab w:val="clear" w:pos="1814"/>
          <w:tab w:val="clear" w:pos="2381"/>
          <w:tab w:val="clear" w:pos="2948"/>
          <w:tab w:val="clear" w:pos="3515"/>
        </w:tabs>
        <w:ind w:left="2495"/>
      </w:pPr>
      <w:r w:rsidRPr="009D0B3A">
        <w:t>f)</w:t>
      </w:r>
      <w:r w:rsidRPr="009D0B3A">
        <w:tab/>
        <w:t>Somalie.</w:t>
      </w:r>
    </w:p>
    <w:p w14:paraId="3279489D" w14:textId="739CA1FB"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t>8.</w:t>
      </w:r>
      <w:r w:rsidRPr="009D0B3A">
        <w:tab/>
        <w:t>Mise en place de systèmes d</w:t>
      </w:r>
      <w:r w:rsidR="00AA6A89" w:rsidRPr="009D0B3A">
        <w:t>’</w:t>
      </w:r>
      <w:r w:rsidRPr="009D0B3A">
        <w:t>octroi de licences au titre du paragraphe</w:t>
      </w:r>
      <w:r w:rsidR="00993B9D">
        <w:t> </w:t>
      </w:r>
      <w:r w:rsidRPr="009D0B3A">
        <w:t xml:space="preserve">2 </w:t>
      </w:r>
      <w:r w:rsidRPr="009D0B3A">
        <w:rPr>
          <w:i/>
          <w:iCs/>
        </w:rPr>
        <w:t>bis</w:t>
      </w:r>
      <w:r w:rsidRPr="009D0B3A">
        <w:t xml:space="preserve"> de l</w:t>
      </w:r>
      <w:r w:rsidR="00AA6A89" w:rsidRPr="009D0B3A">
        <w:t>’</w:t>
      </w:r>
      <w:r w:rsidRPr="009D0B3A">
        <w:t>article</w:t>
      </w:r>
      <w:r w:rsidR="00101267">
        <w:t> </w:t>
      </w:r>
      <w:r w:rsidRPr="009D0B3A">
        <w:t>4B du Protocole de Montréal (décision XXXVI/15 et recommandation</w:t>
      </w:r>
      <w:r w:rsidR="00532D2E">
        <w:t> </w:t>
      </w:r>
      <w:r w:rsidRPr="009D0B3A">
        <w:t>74/14).</w:t>
      </w:r>
    </w:p>
    <w:p w14:paraId="71E373BE" w14:textId="28BE9C02"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t>9.</w:t>
      </w:r>
      <w:r w:rsidRPr="009D0B3A">
        <w:tab/>
        <w:t>Problèmes systémiques liés au respect des dispositions (décision</w:t>
      </w:r>
      <w:r w:rsidR="009E2462">
        <w:t> </w:t>
      </w:r>
      <w:r w:rsidRPr="009D0B3A">
        <w:t>XXXVI/9).</w:t>
      </w:r>
    </w:p>
    <w:p w14:paraId="3DDC2F84" w14:textId="77777777"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t>10.</w:t>
      </w:r>
      <w:r w:rsidRPr="009D0B3A">
        <w:tab/>
        <w:t>Questions diverses.</w:t>
      </w:r>
    </w:p>
    <w:p w14:paraId="4317BF95" w14:textId="77777777"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lastRenderedPageBreak/>
        <w:t>11.</w:t>
      </w:r>
      <w:r w:rsidRPr="009D0B3A">
        <w:tab/>
        <w:t>Adoption des recommandations et du rapport de la réunion.</w:t>
      </w:r>
    </w:p>
    <w:p w14:paraId="011D8ECD" w14:textId="5D6A9DE5" w:rsidR="000976B4" w:rsidRPr="009D0B3A" w:rsidRDefault="000976B4" w:rsidP="000976B4">
      <w:pPr>
        <w:pStyle w:val="NormalNonumber"/>
        <w:tabs>
          <w:tab w:val="clear" w:pos="1247"/>
          <w:tab w:val="clear" w:pos="1871"/>
          <w:tab w:val="clear" w:pos="2495"/>
          <w:tab w:val="clear" w:pos="3119"/>
          <w:tab w:val="clear" w:pos="3742"/>
          <w:tab w:val="clear" w:pos="4366"/>
        </w:tabs>
        <w:ind w:left="2495" w:hanging="624"/>
      </w:pPr>
      <w:r w:rsidRPr="009D0B3A">
        <w:t>12.</w:t>
      </w:r>
      <w:r w:rsidRPr="009D0B3A">
        <w:tab/>
        <w:t>Clôture de la réunion</w:t>
      </w:r>
      <w:r w:rsidR="00E31471" w:rsidRPr="009D0B3A">
        <w:t>.</w:t>
      </w:r>
    </w:p>
    <w:p w14:paraId="65FBEF84" w14:textId="773EE446" w:rsidR="000976B4" w:rsidRPr="009D0B3A" w:rsidRDefault="000976B4"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Comité est convenu d</w:t>
      </w:r>
      <w:r w:rsidR="00AA6A89" w:rsidRPr="009D0B3A">
        <w:t>’</w:t>
      </w:r>
      <w:r w:rsidRPr="009D0B3A">
        <w:t>aborder les points de l</w:t>
      </w:r>
      <w:r w:rsidR="00AA6A89" w:rsidRPr="009D0B3A">
        <w:t>’</w:t>
      </w:r>
      <w:r w:rsidRPr="009D0B3A">
        <w:t>ordre du jour dans l</w:t>
      </w:r>
      <w:r w:rsidR="00AA6A89" w:rsidRPr="009D0B3A">
        <w:t>’</w:t>
      </w:r>
      <w:r w:rsidRPr="009D0B3A">
        <w:t>ordre prédéfini et de suivre ses procédures habituelles.</w:t>
      </w:r>
    </w:p>
    <w:p w14:paraId="19166049" w14:textId="5AF4D0DE" w:rsidR="00AB1012" w:rsidRPr="009D0B3A" w:rsidRDefault="0060501B" w:rsidP="0060501B">
      <w:pPr>
        <w:pStyle w:val="CH1"/>
      </w:pPr>
      <w:r>
        <w:rPr>
          <w:bCs/>
        </w:rPr>
        <w:tab/>
      </w:r>
      <w:r w:rsidR="00B036AB" w:rsidRPr="00852ABF">
        <w:t>III.</w:t>
      </w:r>
      <w:r>
        <w:rPr>
          <w:bCs/>
        </w:rPr>
        <w:tab/>
      </w:r>
      <w:r w:rsidR="007F7B08" w:rsidRPr="009D0B3A">
        <w:rPr>
          <w:bCs/>
        </w:rPr>
        <w:t>Exposé du Secrétariat de l</w:t>
      </w:r>
      <w:r w:rsidR="00AA6A89" w:rsidRPr="009D0B3A">
        <w:rPr>
          <w:bCs/>
        </w:rPr>
        <w:t>’</w:t>
      </w:r>
      <w:r w:rsidR="007F7B08" w:rsidRPr="009D0B3A">
        <w:rPr>
          <w:bCs/>
        </w:rPr>
        <w:t xml:space="preserve">ozone sur les données et informations communiquées </w:t>
      </w:r>
      <w:r w:rsidR="000A2204" w:rsidRPr="009D0B3A">
        <w:rPr>
          <w:bCs/>
        </w:rPr>
        <w:t>en application des</w:t>
      </w:r>
      <w:r w:rsidR="007F7B08" w:rsidRPr="009D0B3A">
        <w:rPr>
          <w:bCs/>
        </w:rPr>
        <w:t xml:space="preserve"> articles</w:t>
      </w:r>
      <w:r w:rsidR="00F17124">
        <w:rPr>
          <w:bCs/>
        </w:rPr>
        <w:t> </w:t>
      </w:r>
      <w:r w:rsidR="007F7B08" w:rsidRPr="009D0B3A">
        <w:rPr>
          <w:bCs/>
        </w:rPr>
        <w:t>7 et 9 du Protocole de</w:t>
      </w:r>
      <w:r w:rsidR="00F17124">
        <w:rPr>
          <w:bCs/>
        </w:rPr>
        <w:t> </w:t>
      </w:r>
      <w:r w:rsidR="007F7B08" w:rsidRPr="009D0B3A">
        <w:rPr>
          <w:bCs/>
        </w:rPr>
        <w:t>Montréal et sur les questions connexes</w:t>
      </w:r>
    </w:p>
    <w:p w14:paraId="22F5E322" w14:textId="1196F227" w:rsidR="00714434" w:rsidRPr="009D0B3A" w:rsidRDefault="00C02E52"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Un représentant du Secrétariat a présenté un exposé résumant le rapport du Secrétariat sur les informations communiquées par les Parties conformément aux articles</w:t>
      </w:r>
      <w:r w:rsidR="00BF55B7">
        <w:t> </w:t>
      </w:r>
      <w:r w:rsidRPr="009D0B3A">
        <w:t>7 et 9 du Protocole de Montréal (UNEP/OzL.Pro.37/6–UNEP/OzL.Pro/ImpCom/75/2)</w:t>
      </w:r>
      <w:r w:rsidR="000A2204" w:rsidRPr="009D0B3A">
        <w:t>, ainsi que</w:t>
      </w:r>
      <w:r w:rsidRPr="009D0B3A">
        <w:t xml:space="preserve"> son additif (UNEP/OzL.Pro.37/6/Add.1–UNEP/OzL.Pro/ImpCom/75/2/Add.1). Il a expliqué qu</w:t>
      </w:r>
      <w:r w:rsidR="00AA6A89" w:rsidRPr="009D0B3A">
        <w:t>’</w:t>
      </w:r>
      <w:r w:rsidRPr="009D0B3A">
        <w:t>il ne répéterait pas les informations présentées au Comité à sa soixante-quatorzième</w:t>
      </w:r>
      <w:r w:rsidR="00BF55B7">
        <w:t> </w:t>
      </w:r>
      <w:r w:rsidRPr="009D0B3A">
        <w:t>réunion et qu</w:t>
      </w:r>
      <w:r w:rsidR="00AA6A89" w:rsidRPr="009D0B3A">
        <w:t>’</w:t>
      </w:r>
      <w:r w:rsidRPr="009D0B3A">
        <w:t xml:space="preserve">il ne fournirait que les informations nouvelles ou récentes. </w:t>
      </w:r>
      <w:bookmarkStart w:id="7" w:name="_Hlk212803035"/>
      <w:bookmarkEnd w:id="7"/>
    </w:p>
    <w:p w14:paraId="33F31DB5" w14:textId="6B6BDA28" w:rsidR="00EE4160" w:rsidRPr="009D0B3A" w:rsidRDefault="007D2001"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S</w:t>
      </w:r>
      <w:r w:rsidR="00AA6A89" w:rsidRPr="009D0B3A">
        <w:t>’</w:t>
      </w:r>
      <w:r w:rsidRPr="009D0B3A">
        <w:t>agissant de la communication de données en application de l</w:t>
      </w:r>
      <w:r w:rsidR="00AA6A89" w:rsidRPr="009D0B3A">
        <w:t>’</w:t>
      </w:r>
      <w:r w:rsidRPr="009D0B3A">
        <w:t>article</w:t>
      </w:r>
      <w:r w:rsidR="00BF55B7">
        <w:t> </w:t>
      </w:r>
      <w:r w:rsidRPr="009D0B3A">
        <w:t>7, un total de 185</w:t>
      </w:r>
      <w:r w:rsidR="00BF55B7">
        <w:t> </w:t>
      </w:r>
      <w:r w:rsidRPr="009D0B3A">
        <w:t>Parties, dont 135 visées au paragraphe</w:t>
      </w:r>
      <w:r w:rsidR="00FE6621">
        <w:t> </w:t>
      </w:r>
      <w:r w:rsidRPr="009D0B3A">
        <w:t>1 de l</w:t>
      </w:r>
      <w:r w:rsidR="00AA6A89" w:rsidRPr="009D0B3A">
        <w:t>’</w:t>
      </w:r>
      <w:r w:rsidRPr="009D0B3A">
        <w:t>article</w:t>
      </w:r>
      <w:r w:rsidR="006C4F61">
        <w:t> </w:t>
      </w:r>
      <w:r w:rsidRPr="009D0B3A">
        <w:t>5 du Protocole (Parties visées à l</w:t>
      </w:r>
      <w:r w:rsidR="00AA6A89" w:rsidRPr="009D0B3A">
        <w:t>’</w:t>
      </w:r>
      <w:r w:rsidRPr="009D0B3A">
        <w:t>article</w:t>
      </w:r>
      <w:r w:rsidR="006C4F61">
        <w:t> </w:t>
      </w:r>
      <w:r w:rsidRPr="009D0B3A">
        <w:t>5) et 50 non visées à ce paragraphe (Parties non visées à l</w:t>
      </w:r>
      <w:r w:rsidR="00AA6A89" w:rsidRPr="009D0B3A">
        <w:t>’</w:t>
      </w:r>
      <w:r w:rsidRPr="009D0B3A">
        <w:t>article</w:t>
      </w:r>
      <w:r w:rsidR="00F03BBB">
        <w:t> </w:t>
      </w:r>
      <w:r w:rsidRPr="009D0B3A">
        <w:t>5) l</w:t>
      </w:r>
      <w:r w:rsidR="00AA6A89" w:rsidRPr="009D0B3A">
        <w:t>’</w:t>
      </w:r>
      <w:r w:rsidRPr="009D0B3A">
        <w:t>avaient fait pour 2024. Sur ces 185</w:t>
      </w:r>
      <w:r w:rsidR="000E7A88">
        <w:t> </w:t>
      </w:r>
      <w:r w:rsidRPr="009D0B3A">
        <w:t>Parties, 120 avaient utilisé le système de communication des données en ligne et 170 avaient respecté la date limite du 30</w:t>
      </w:r>
      <w:r w:rsidR="0034299A">
        <w:t> </w:t>
      </w:r>
      <w:r w:rsidRPr="009D0B3A">
        <w:t>septembre 2025. Les 13</w:t>
      </w:r>
      <w:r w:rsidR="00A011E2">
        <w:t> </w:t>
      </w:r>
      <w:r w:rsidR="006B516A" w:rsidRPr="009D0B3A">
        <w:t>P</w:t>
      </w:r>
      <w:r w:rsidRPr="009D0B3A">
        <w:t>arties qui ne s</w:t>
      </w:r>
      <w:r w:rsidR="00AA6A89" w:rsidRPr="009D0B3A">
        <w:t>’</w:t>
      </w:r>
      <w:r w:rsidRPr="009D0B3A">
        <w:t>étaient pas encore acquittées de leurs obligations de communication des données annuelles pour 2024 étaient l</w:t>
      </w:r>
      <w:r w:rsidR="00AA6A89" w:rsidRPr="009D0B3A">
        <w:t>’</w:t>
      </w:r>
      <w:r w:rsidRPr="009D0B3A">
        <w:t>Arménie, les Bahamas, le Burundi, le Cap-Vert, les Comores, la Guinée équatoriale, le Honduras, l</w:t>
      </w:r>
      <w:r w:rsidR="00AA6A89" w:rsidRPr="009D0B3A">
        <w:t>’</w:t>
      </w:r>
      <w:r w:rsidRPr="009D0B3A">
        <w:t xml:space="preserve">Islande, le Myanmar, </w:t>
      </w:r>
      <w:r w:rsidR="002C1268" w:rsidRPr="009D0B3A">
        <w:t>la République arabe syrienne</w:t>
      </w:r>
      <w:r w:rsidR="002C1268">
        <w:t>,</w:t>
      </w:r>
      <w:r w:rsidR="002C1268" w:rsidRPr="009D0B3A">
        <w:t xml:space="preserve"> </w:t>
      </w:r>
      <w:r w:rsidRPr="009D0B3A">
        <w:t>la République de Moldova,</w:t>
      </w:r>
      <w:r w:rsidR="00CF418C" w:rsidRPr="009D0B3A">
        <w:t xml:space="preserve"> </w:t>
      </w:r>
      <w:r w:rsidRPr="009D0B3A">
        <w:t>Sao Tomé-et-Principe</w:t>
      </w:r>
      <w:r w:rsidR="00665ECF">
        <w:t xml:space="preserve"> </w:t>
      </w:r>
      <w:r w:rsidR="00582267" w:rsidRPr="009D0B3A">
        <w:t xml:space="preserve">et </w:t>
      </w:r>
      <w:r w:rsidRPr="009D0B3A">
        <w:t>le Suriname.</w:t>
      </w:r>
    </w:p>
    <w:p w14:paraId="651FBFDC" w14:textId="49CECD2C" w:rsidR="00632DB8" w:rsidRPr="009D0B3A" w:rsidRDefault="00781BBD"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La Côte d</w:t>
      </w:r>
      <w:r w:rsidR="00AA6A89" w:rsidRPr="009D0B3A">
        <w:t>’</w:t>
      </w:r>
      <w:r w:rsidRPr="009D0B3A">
        <w:t>Ivoire, qui avait été mentionnée dans la décision</w:t>
      </w:r>
      <w:r w:rsidR="003A4CB1">
        <w:t> </w:t>
      </w:r>
      <w:r w:rsidRPr="009D0B3A">
        <w:t>XXXVI/13 comme n</w:t>
      </w:r>
      <w:r w:rsidR="00AA6A89" w:rsidRPr="009D0B3A">
        <w:t>’</w:t>
      </w:r>
      <w:r w:rsidRPr="009D0B3A">
        <w:t>ayant pas communiqué ses données relatives aux HFC pour 2023, avait depuis lors transmis ces informations.</w:t>
      </w:r>
      <w:r w:rsidR="00832BBF" w:rsidRPr="009D0B3A">
        <w:t xml:space="preserve"> Par ailleurs</w:t>
      </w:r>
      <w:r w:rsidRPr="009D0B3A">
        <w:t>, la Papouasie-Nouvelle-Guinée a</w:t>
      </w:r>
      <w:r w:rsidR="00832BBF" w:rsidRPr="009D0B3A">
        <w:t>vait</w:t>
      </w:r>
      <w:r w:rsidRPr="009D0B3A">
        <w:t xml:space="preserve"> soumis ses données de référence </w:t>
      </w:r>
      <w:r w:rsidR="006B516A" w:rsidRPr="009D0B3A">
        <w:t>relatives aux</w:t>
      </w:r>
      <w:r w:rsidRPr="009D0B3A">
        <w:t xml:space="preserve"> HFC pour 2020, 2021 et 2022. Quatre Parties </w:t>
      </w:r>
      <w:r w:rsidR="005E4AC3" w:rsidRPr="009D0B3A">
        <w:t>visées à</w:t>
      </w:r>
      <w:r w:rsidRPr="009D0B3A">
        <w:t xml:space="preserve"> l</w:t>
      </w:r>
      <w:r w:rsidR="00AA6A89" w:rsidRPr="009D0B3A">
        <w:t>’</w:t>
      </w:r>
      <w:r w:rsidRPr="009D0B3A">
        <w:t>article</w:t>
      </w:r>
      <w:r w:rsidR="007948CE">
        <w:t> </w:t>
      </w:r>
      <w:r w:rsidRPr="009D0B3A">
        <w:t xml:space="preserve">5 </w:t>
      </w:r>
      <w:r w:rsidR="005E4AC3" w:rsidRPr="009D0B3A">
        <w:t>appartenant au</w:t>
      </w:r>
      <w:r w:rsidRPr="009D0B3A">
        <w:t xml:space="preserve"> groupe</w:t>
      </w:r>
      <w:r w:rsidR="00F3061B">
        <w:t> </w:t>
      </w:r>
      <w:r w:rsidRPr="009D0B3A">
        <w:t>1, qui avaient récemment ratifié l</w:t>
      </w:r>
      <w:r w:rsidR="00AA6A89" w:rsidRPr="009D0B3A">
        <w:t>’</w:t>
      </w:r>
      <w:r w:rsidR="00757A62" w:rsidRPr="009D0B3A">
        <w:t>A</w:t>
      </w:r>
      <w:r w:rsidRPr="009D0B3A">
        <w:t>mendement de Kigali au Protocole</w:t>
      </w:r>
      <w:r w:rsidR="00986CBE" w:rsidRPr="009D0B3A">
        <w:t xml:space="preserve"> de</w:t>
      </w:r>
      <w:r w:rsidR="00B37474">
        <w:t> </w:t>
      </w:r>
      <w:r w:rsidR="00986CBE" w:rsidRPr="009D0B3A">
        <w:t>Montréal</w:t>
      </w:r>
      <w:r w:rsidRPr="009D0B3A">
        <w:t>, n</w:t>
      </w:r>
      <w:r w:rsidR="00AA6A89" w:rsidRPr="009D0B3A">
        <w:t>’</w:t>
      </w:r>
      <w:r w:rsidRPr="009D0B3A">
        <w:t xml:space="preserve">avaient pas encore communiqué les données relatives aux HFC pour leurs années de référence, et cinq </w:t>
      </w:r>
      <w:r w:rsidR="00757A62" w:rsidRPr="009D0B3A">
        <w:t>P</w:t>
      </w:r>
      <w:r w:rsidRPr="009D0B3A">
        <w:t xml:space="preserve">arties </w:t>
      </w:r>
      <w:r w:rsidR="00257F9B" w:rsidRPr="009D0B3A">
        <w:t xml:space="preserve">visées à </w:t>
      </w:r>
      <w:r w:rsidRPr="009D0B3A">
        <w:t>l</w:t>
      </w:r>
      <w:r w:rsidR="00AA6A89" w:rsidRPr="009D0B3A">
        <w:t>’</w:t>
      </w:r>
      <w:r w:rsidRPr="009D0B3A">
        <w:t>article</w:t>
      </w:r>
      <w:r w:rsidR="00F6498A">
        <w:t> </w:t>
      </w:r>
      <w:r w:rsidRPr="009D0B3A">
        <w:t xml:space="preserve">5 </w:t>
      </w:r>
      <w:r w:rsidR="00257F9B" w:rsidRPr="009D0B3A">
        <w:t>appartenant au</w:t>
      </w:r>
      <w:r w:rsidRPr="009D0B3A">
        <w:t xml:space="preserve"> groupe</w:t>
      </w:r>
      <w:r w:rsidR="006C3812">
        <w:t> </w:t>
      </w:r>
      <w:r w:rsidRPr="009D0B3A">
        <w:t>2, qui avaient récemment ratifié l</w:t>
      </w:r>
      <w:r w:rsidR="00AA6A89" w:rsidRPr="009D0B3A">
        <w:t>’</w:t>
      </w:r>
      <w:r w:rsidR="00757A62" w:rsidRPr="009D0B3A">
        <w:t>A</w:t>
      </w:r>
      <w:r w:rsidRPr="009D0B3A">
        <w:t>mendement de Kigali, n</w:t>
      </w:r>
      <w:r w:rsidR="00AA6A89" w:rsidRPr="009D0B3A">
        <w:t>’</w:t>
      </w:r>
      <w:r w:rsidRPr="009D0B3A">
        <w:t>avaient pas encore communiqué les données relatives aux HFC pour 2024, l</w:t>
      </w:r>
      <w:r w:rsidR="00AA6A89" w:rsidRPr="009D0B3A">
        <w:t>’</w:t>
      </w:r>
      <w:r w:rsidRPr="009D0B3A">
        <w:t>une des années de référence pour les HFC.</w:t>
      </w:r>
    </w:p>
    <w:p w14:paraId="4A14583E" w14:textId="028D0DE0" w:rsidR="00C31B25" w:rsidRPr="009D0B3A" w:rsidRDefault="00792318"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Au total, le Secrétariat </w:t>
      </w:r>
      <w:r w:rsidR="006F152C" w:rsidRPr="009D0B3A">
        <w:t>avait identifié 16</w:t>
      </w:r>
      <w:r w:rsidR="002C1B99">
        <w:t> </w:t>
      </w:r>
      <w:r w:rsidRPr="009D0B3A">
        <w:t>cas de non-</w:t>
      </w:r>
      <w:r w:rsidR="00FB5FB8" w:rsidRPr="009D0B3A">
        <w:t>respect</w:t>
      </w:r>
      <w:r w:rsidRPr="009D0B3A">
        <w:t xml:space="preserve"> </w:t>
      </w:r>
      <w:r w:rsidR="008349F7" w:rsidRPr="009D0B3A">
        <w:t>éventuel</w:t>
      </w:r>
      <w:r w:rsidRPr="009D0B3A">
        <w:t>, l</w:t>
      </w:r>
      <w:r w:rsidR="006F152C" w:rsidRPr="009D0B3A">
        <w:t>a</w:t>
      </w:r>
      <w:r w:rsidRPr="009D0B3A">
        <w:t xml:space="preserve"> consommation ou </w:t>
      </w:r>
      <w:r w:rsidR="006F152C" w:rsidRPr="009D0B3A">
        <w:t xml:space="preserve">la </w:t>
      </w:r>
      <w:r w:rsidRPr="009D0B3A">
        <w:t xml:space="preserve">production déclarée </w:t>
      </w:r>
      <w:r w:rsidR="006F152C" w:rsidRPr="009D0B3A">
        <w:t xml:space="preserve">par ces Parties </w:t>
      </w:r>
      <w:r w:rsidRPr="009D0B3A">
        <w:t>ayant dépassé la limite fixée par le Protocole et l</w:t>
      </w:r>
      <w:r w:rsidR="00AA6A89" w:rsidRPr="009D0B3A">
        <w:t>’</w:t>
      </w:r>
      <w:r w:rsidRPr="009D0B3A">
        <w:t xml:space="preserve">excédent de consommation ou de production ne pouvant être attribué à des utilisations autorisées. Dans plusieurs cas, des précisions étaient toujours attendues de la part des </w:t>
      </w:r>
      <w:r w:rsidR="007D1211" w:rsidRPr="009D0B3A">
        <w:t>P</w:t>
      </w:r>
      <w:r w:rsidRPr="009D0B3A">
        <w:t>arties concernées. Les autres cas ser</w:t>
      </w:r>
      <w:r w:rsidR="00D63018" w:rsidRPr="009D0B3A">
        <w:t>aie</w:t>
      </w:r>
      <w:r w:rsidRPr="009D0B3A">
        <w:t>nt examinés plus en détail par le Comité au titre des points</w:t>
      </w:r>
      <w:r w:rsidR="007A34FD">
        <w:t> </w:t>
      </w:r>
      <w:r w:rsidRPr="009D0B3A">
        <w:t>6 et 7 de l</w:t>
      </w:r>
      <w:r w:rsidR="00AA6A89" w:rsidRPr="009D0B3A">
        <w:t>’</w:t>
      </w:r>
      <w:r w:rsidRPr="009D0B3A">
        <w:t>ordre du jour.</w:t>
      </w:r>
    </w:p>
    <w:p w14:paraId="47096E64" w14:textId="21D2B9A0" w:rsidR="00BB51FE" w:rsidRPr="009D0B3A" w:rsidRDefault="00612E9F"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Quatre</w:t>
      </w:r>
      <w:r w:rsidR="0043380B">
        <w:t> </w:t>
      </w:r>
      <w:r w:rsidRPr="009D0B3A">
        <w:t>Parties avaient signalé pour 2024 une production excédentaire de substances réglementées imputable à la constitution de stocks, conformément aux décisions</w:t>
      </w:r>
      <w:r w:rsidR="007D51F1">
        <w:t> </w:t>
      </w:r>
      <w:r w:rsidRPr="009D0B3A">
        <w:t>XVIII/17 et XXII/20. L</w:t>
      </w:r>
      <w:r w:rsidR="00AA6A89" w:rsidRPr="009D0B3A">
        <w:t>’</w:t>
      </w:r>
      <w:r w:rsidRPr="009D0B3A">
        <w:t>Espagne, la France, Israël et l</w:t>
      </w:r>
      <w:r w:rsidR="00AA6A89" w:rsidRPr="009D0B3A">
        <w:t>’</w:t>
      </w:r>
      <w:r w:rsidRPr="009D0B3A">
        <w:t>Union européenne avaient fait savoir qu</w:t>
      </w:r>
      <w:r w:rsidR="00AA6A89" w:rsidRPr="009D0B3A">
        <w:t>’</w:t>
      </w:r>
      <w:r w:rsidRPr="009D0B3A">
        <w:t>il s</w:t>
      </w:r>
      <w:r w:rsidR="00AA6A89" w:rsidRPr="009D0B3A">
        <w:t>’</w:t>
      </w:r>
      <w:r w:rsidRPr="009D0B3A">
        <w:t>agissait, dans leur cas, d</w:t>
      </w:r>
      <w:r w:rsidR="00AA6A89" w:rsidRPr="009D0B3A">
        <w:t>’</w:t>
      </w:r>
      <w:r w:rsidRPr="009D0B3A">
        <w:t>une production non intentionnelle destinée à la destruction, à l</w:t>
      </w:r>
      <w:r w:rsidR="00AA6A89" w:rsidRPr="009D0B3A">
        <w:t>’</w:t>
      </w:r>
      <w:r w:rsidRPr="009D0B3A">
        <w:t>exception de la quantité excédentaire de bromure de méthyle produite par Israël qui était destinée à l</w:t>
      </w:r>
      <w:r w:rsidR="00AA6A89" w:rsidRPr="009D0B3A">
        <w:t>’</w:t>
      </w:r>
      <w:r w:rsidRPr="009D0B3A">
        <w:t>exportation en vue d</w:t>
      </w:r>
      <w:r w:rsidR="00AA6A89" w:rsidRPr="009D0B3A">
        <w:t>’</w:t>
      </w:r>
      <w:r w:rsidRPr="009D0B3A">
        <w:t xml:space="preserve">une utilisation comme produit intermédiaire dans les années à venir. </w:t>
      </w:r>
    </w:p>
    <w:p w14:paraId="70C58F59" w14:textId="28C24CF3" w:rsidR="00846887" w:rsidRPr="009D0B3A" w:rsidRDefault="00612E9F"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Les quatre</w:t>
      </w:r>
      <w:r w:rsidR="005721AA">
        <w:t> </w:t>
      </w:r>
      <w:r w:rsidRPr="009D0B3A">
        <w:t xml:space="preserve">Parties qui utilisaient encore des substances réglementées comme agents de transformation, à savoir la Chine, </w:t>
      </w:r>
      <w:r w:rsidR="00072D8E" w:rsidRPr="009D0B3A">
        <w:t xml:space="preserve">les États-Unis d’Amérique, Israël </w:t>
      </w:r>
      <w:r w:rsidR="007A6CB8" w:rsidRPr="009D0B3A">
        <w:t xml:space="preserve">et </w:t>
      </w:r>
      <w:r w:rsidRPr="009D0B3A">
        <w:t>l</w:t>
      </w:r>
      <w:r w:rsidR="00AA6A89" w:rsidRPr="009D0B3A">
        <w:t>’</w:t>
      </w:r>
      <w:r w:rsidRPr="009D0B3A">
        <w:t>Union européenne, avaient communiqué les données requises pour 2024, ainsi que des informations sur les technologies de confinement utilisées. La Chine et l</w:t>
      </w:r>
      <w:r w:rsidR="00AA6A89" w:rsidRPr="009D0B3A">
        <w:t>’</w:t>
      </w:r>
      <w:r w:rsidRPr="009D0B3A">
        <w:t xml:space="preserve">Union européenne </w:t>
      </w:r>
      <w:r w:rsidR="00AA4830" w:rsidRPr="009D0B3A">
        <w:t>avaien</w:t>
      </w:r>
      <w:r w:rsidRPr="009D0B3A">
        <w:t>t en outre déclaré la production ou l</w:t>
      </w:r>
      <w:r w:rsidR="00AA6A89" w:rsidRPr="009D0B3A">
        <w:t>’</w:t>
      </w:r>
      <w:r w:rsidRPr="009D0B3A">
        <w:t xml:space="preserve">importation de substances destinées à être utilisées comme agents de transformation. </w:t>
      </w:r>
      <w:r w:rsidR="003C66DD" w:rsidRPr="009D0B3A">
        <w:t>L</w:t>
      </w:r>
      <w:r w:rsidRPr="009D0B3A">
        <w:t>e Secrétariat écrirait à Israël et aux États-Unis d</w:t>
      </w:r>
      <w:r w:rsidR="00AA6A89" w:rsidRPr="009D0B3A">
        <w:t>’</w:t>
      </w:r>
      <w:r w:rsidRPr="009D0B3A">
        <w:t>Amérique pour leur demander des informations concernant leur utilisation en tant qu</w:t>
      </w:r>
      <w:r w:rsidR="00AA6A89" w:rsidRPr="009D0B3A">
        <w:t>’</w:t>
      </w:r>
      <w:r w:rsidRPr="009D0B3A">
        <w:t>agents de transformation.</w:t>
      </w:r>
      <w:bookmarkStart w:id="8" w:name="_Hlk212796971"/>
      <w:bookmarkEnd w:id="8"/>
    </w:p>
    <w:p w14:paraId="576890B8" w14:textId="2DD458AB" w:rsidR="00386E89" w:rsidRPr="009D0B3A" w:rsidRDefault="00846887"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Pour ce qui était du remplissage des formulaires de communication des données, en lien avec les décisions</w:t>
      </w:r>
      <w:r w:rsidR="00A2682D">
        <w:t> </w:t>
      </w:r>
      <w:r w:rsidRPr="009D0B3A">
        <w:t>XXIV/14 et XXIX/18, toutes les Parties qui avaient soumis des formulaires incomplets au cours des dix</w:t>
      </w:r>
      <w:r w:rsidR="0027436F">
        <w:t> </w:t>
      </w:r>
      <w:r w:rsidRPr="009D0B3A">
        <w:t>dernières années lors de la communication des données au titre de l</w:t>
      </w:r>
      <w:r w:rsidR="00AA6A89" w:rsidRPr="009D0B3A">
        <w:t>’</w:t>
      </w:r>
      <w:r w:rsidRPr="009D0B3A">
        <w:t>article</w:t>
      </w:r>
      <w:r w:rsidR="00D73795">
        <w:t> </w:t>
      </w:r>
      <w:r w:rsidRPr="009D0B3A">
        <w:t>7 avaient confirmé par la suite qu</w:t>
      </w:r>
      <w:r w:rsidR="00D02B4E" w:rsidRPr="009D0B3A">
        <w:t>e le chiffre</w:t>
      </w:r>
      <w:r w:rsidRPr="009D0B3A">
        <w:t xml:space="preserve"> zéro aurait dû être </w:t>
      </w:r>
      <w:r w:rsidR="00F41270" w:rsidRPr="009D0B3A">
        <w:t>inscrit</w:t>
      </w:r>
      <w:r w:rsidRPr="009D0B3A">
        <w:t xml:space="preserve"> dans toutes les cases vides de ces formulaires. </w:t>
      </w:r>
      <w:bookmarkStart w:id="9" w:name="_Hlk180848975"/>
      <w:bookmarkEnd w:id="9"/>
    </w:p>
    <w:p w14:paraId="21FCD041" w14:textId="245ACEE9" w:rsidR="00985DB9" w:rsidRPr="009D0B3A" w:rsidRDefault="00985DB9" w:rsidP="002E35A4">
      <w:pPr>
        <w:pStyle w:val="Normalnumber"/>
        <w:keepNext/>
        <w:keepLines/>
        <w:numPr>
          <w:ilvl w:val="0"/>
          <w:numId w:val="17"/>
        </w:numPr>
        <w:tabs>
          <w:tab w:val="clear" w:pos="1247"/>
          <w:tab w:val="clear" w:pos="1814"/>
          <w:tab w:val="clear" w:pos="2381"/>
          <w:tab w:val="clear" w:pos="2495"/>
          <w:tab w:val="clear" w:pos="2948"/>
          <w:tab w:val="clear" w:pos="3515"/>
          <w:tab w:val="left" w:pos="2016"/>
        </w:tabs>
        <w:ind w:left="1247" w:firstLine="0"/>
      </w:pPr>
      <w:r w:rsidRPr="009D0B3A">
        <w:lastRenderedPageBreak/>
        <w:t>Pour finir, le représentant du Secrétariat a noté qu</w:t>
      </w:r>
      <w:r w:rsidR="00AA6A89" w:rsidRPr="009D0B3A">
        <w:t>’</w:t>
      </w:r>
      <w:r w:rsidRPr="009D0B3A">
        <w:t>en lien avec les décisions</w:t>
      </w:r>
      <w:r w:rsidR="00C71A4A">
        <w:t> </w:t>
      </w:r>
      <w:r w:rsidRPr="009D0B3A">
        <w:t>XIII/15 et XV/19, six</w:t>
      </w:r>
      <w:r w:rsidR="008B5AF9">
        <w:t> </w:t>
      </w:r>
      <w:r w:rsidRPr="009D0B3A">
        <w:t>Parties avaient fait parvenir au Secrétariat des demandes de révision de leurs données de référence relatives aux HFC. Le Comité aborderait cette question plus avant au titre du point</w:t>
      </w:r>
      <w:r w:rsidR="00CE47FB">
        <w:t> </w:t>
      </w:r>
      <w:r w:rsidRPr="009D0B3A">
        <w:t>7 de l</w:t>
      </w:r>
      <w:r w:rsidR="00AA6A89" w:rsidRPr="009D0B3A">
        <w:t>’</w:t>
      </w:r>
      <w:r w:rsidRPr="009D0B3A">
        <w:t>ordre du jour.</w:t>
      </w:r>
    </w:p>
    <w:p w14:paraId="1B9D6DFE" w14:textId="5AF813BC" w:rsidR="00E5453A" w:rsidRPr="009D0B3A" w:rsidRDefault="00E5453A"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En réponse aux questions des membres du Comité, </w:t>
      </w:r>
      <w:r w:rsidR="00917E88" w:rsidRPr="009D0B3A">
        <w:t>le représentant du Secrétariat</w:t>
      </w:r>
      <w:r w:rsidRPr="009D0B3A">
        <w:t xml:space="preserve"> a précisé que la Papouasie-Nouvelle-Guinée avait communiqué ses données de référence pour les deux</w:t>
      </w:r>
      <w:r w:rsidR="00D91843">
        <w:t> </w:t>
      </w:r>
      <w:r w:rsidRPr="009D0B3A">
        <w:t xml:space="preserve">années manquantes, que les Émirats arabes unis avaient communiqué leurs données sur les HFC pour 2024 et que la Roumanie avait communiqué ses données après </w:t>
      </w:r>
      <w:r w:rsidR="00C42AD3" w:rsidRPr="009D0B3A">
        <w:t>l’établissement</w:t>
      </w:r>
      <w:r w:rsidRPr="009D0B3A">
        <w:t xml:space="preserve"> du document UNEP/OzL.Pro.37/6/Add.1–UNEP/OzL.Pro/ImpCom/75/2/Add.1. Il répondra</w:t>
      </w:r>
      <w:r w:rsidR="00BE0872" w:rsidRPr="009D0B3A">
        <w:t>it</w:t>
      </w:r>
      <w:r w:rsidRPr="009D0B3A">
        <w:t xml:space="preserve"> de manière bilatérale à une question concernant le volume de consommation représenté par les 13</w:t>
      </w:r>
      <w:r w:rsidR="00D27A1D">
        <w:t> </w:t>
      </w:r>
      <w:r w:rsidRPr="009D0B3A">
        <w:t>Parties qui n</w:t>
      </w:r>
      <w:r w:rsidR="00AA6A89" w:rsidRPr="009D0B3A">
        <w:t>’</w:t>
      </w:r>
      <w:r w:rsidRPr="009D0B3A">
        <w:t>avaient pas encore communiqué leurs données pour 2024. Il a expliqué que le Tadjikistan figurait deux fois dans la liste des pays pour lesquels les données indiquaient un éventuel non-respect, car une ligne faisait référence aux données de 2023, pour lesquelles la Partie avait désormais fourni des éclaircissements, et l</w:t>
      </w:r>
      <w:r w:rsidR="00AA6A89" w:rsidRPr="009D0B3A">
        <w:t>’</w:t>
      </w:r>
      <w:r w:rsidRPr="009D0B3A">
        <w:t>autre aux données de 2024, pour lesquelles elle ne l</w:t>
      </w:r>
      <w:r w:rsidR="00AA6A89" w:rsidRPr="009D0B3A">
        <w:t>’</w:t>
      </w:r>
      <w:r w:rsidRPr="009D0B3A">
        <w:t>avait pas fait.</w:t>
      </w:r>
    </w:p>
    <w:p w14:paraId="554E0E1B" w14:textId="02C2827C" w:rsidR="00CA3B9D" w:rsidRPr="009D0B3A" w:rsidRDefault="00B0139F"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P</w:t>
      </w:r>
      <w:r w:rsidR="00903F73" w:rsidRPr="009D0B3A">
        <w:t xml:space="preserve">résentant un projet de recommandation et de décision sur la communication des données et des informations, </w:t>
      </w:r>
      <w:r w:rsidR="0098213B" w:rsidRPr="009D0B3A">
        <w:t xml:space="preserve">le représentant du Secrétariat </w:t>
      </w:r>
      <w:r w:rsidR="00903F73" w:rsidRPr="009D0B3A">
        <w:t xml:space="preserve">a expliqué que celui-ci </w:t>
      </w:r>
      <w:r w:rsidR="00DE271E" w:rsidRPr="009D0B3A">
        <w:t xml:space="preserve">contenait </w:t>
      </w:r>
      <w:r w:rsidR="00903F73" w:rsidRPr="009D0B3A">
        <w:t>de légères modifications par rapport au libellé utilisé les années précédentes.</w:t>
      </w:r>
      <w:r w:rsidR="001539C8" w:rsidRPr="009D0B3A">
        <w:t xml:space="preserve"> </w:t>
      </w:r>
      <w:r w:rsidR="009E2EDB" w:rsidRPr="009D0B3A">
        <w:t>Jusqu’ici</w:t>
      </w:r>
      <w:r w:rsidR="00903F73" w:rsidRPr="009D0B3A">
        <w:t xml:space="preserve">, </w:t>
      </w:r>
      <w:r w:rsidR="009E2EDB" w:rsidRPr="009D0B3A">
        <w:t xml:space="preserve">dans le projet de décision qu’il transmettait, </w:t>
      </w:r>
      <w:r w:rsidR="00903F73" w:rsidRPr="009D0B3A">
        <w:t xml:space="preserve">le Comité </w:t>
      </w:r>
      <w:r w:rsidR="009E2EDB" w:rsidRPr="009D0B3A">
        <w:t>plaçait</w:t>
      </w:r>
      <w:r w:rsidR="00903F73" w:rsidRPr="009D0B3A">
        <w:t xml:space="preserve"> le nombre de </w:t>
      </w:r>
      <w:r w:rsidR="00DC2B02" w:rsidRPr="009D0B3A">
        <w:t>P</w:t>
      </w:r>
      <w:r w:rsidR="00903F73" w:rsidRPr="009D0B3A">
        <w:t>arties ayant communiqué des données</w:t>
      </w:r>
      <w:r w:rsidR="009E2EDB" w:rsidRPr="009D0B3A">
        <w:t xml:space="preserve"> entre crochets</w:t>
      </w:r>
      <w:r w:rsidR="00903F73" w:rsidRPr="009D0B3A">
        <w:t xml:space="preserve">, ce qui permettait de le mettre à jour </w:t>
      </w:r>
      <w:r w:rsidR="000845E7" w:rsidRPr="009D0B3A">
        <w:t>si</w:t>
      </w:r>
      <w:r w:rsidR="00903F73" w:rsidRPr="009D0B3A">
        <w:t xml:space="preserve"> des </w:t>
      </w:r>
      <w:r w:rsidR="00DC2B02" w:rsidRPr="009D0B3A">
        <w:t>P</w:t>
      </w:r>
      <w:r w:rsidR="00903F73" w:rsidRPr="009D0B3A">
        <w:t>arties communiquaient des données pendant la réunion. Cependant, les conseiller</w:t>
      </w:r>
      <w:r w:rsidR="009E2EDB" w:rsidRPr="009D0B3A">
        <w:t>(ère)</w:t>
      </w:r>
      <w:r w:rsidR="00903F73" w:rsidRPr="009D0B3A">
        <w:t xml:space="preserve">s juridiques tant du Secrétariat que de plusieurs </w:t>
      </w:r>
      <w:r w:rsidR="00A460C0" w:rsidRPr="009D0B3A">
        <w:t>P</w:t>
      </w:r>
      <w:r w:rsidR="00903F73" w:rsidRPr="009D0B3A">
        <w:t>arties</w:t>
      </w:r>
      <w:r w:rsidR="009E2EDB" w:rsidRPr="009D0B3A">
        <w:t xml:space="preserve"> avaient</w:t>
      </w:r>
      <w:r w:rsidR="00903F73" w:rsidRPr="009D0B3A">
        <w:t xml:space="preserve"> fait valoir qu</w:t>
      </w:r>
      <w:r w:rsidR="00AA6A89" w:rsidRPr="009D0B3A">
        <w:t>’</w:t>
      </w:r>
      <w:r w:rsidR="00903F73" w:rsidRPr="009D0B3A">
        <w:t>une telle approche n</w:t>
      </w:r>
      <w:r w:rsidR="00AA6A89" w:rsidRPr="009D0B3A">
        <w:t>’</w:t>
      </w:r>
      <w:r w:rsidR="00903F73" w:rsidRPr="009D0B3A">
        <w:t xml:space="preserve">était pas souhaitable, car elle </w:t>
      </w:r>
      <w:r w:rsidR="00F87342" w:rsidRPr="009D0B3A">
        <w:t>laissait supposer</w:t>
      </w:r>
      <w:r w:rsidR="00903F73" w:rsidRPr="009D0B3A">
        <w:t xml:space="preserve"> que le projet de décision pourrait être rouvert à la discussion lors de la Réunion des Parties. Il a donc été suggéré que le projet de décision proposé soit transmis à la trente-septième </w:t>
      </w:r>
      <w:r w:rsidR="009E2EDB" w:rsidRPr="009D0B3A">
        <w:t>R</w:t>
      </w:r>
      <w:r w:rsidR="00903F73" w:rsidRPr="009D0B3A">
        <w:t xml:space="preserve">éunion des Parties sans crochets et que le nombre de Parties </w:t>
      </w:r>
      <w:r w:rsidR="006A0B5E" w:rsidRPr="009D0B3A">
        <w:t xml:space="preserve">ayant communiqué </w:t>
      </w:r>
      <w:r w:rsidR="00227411" w:rsidRPr="009D0B3A">
        <w:t xml:space="preserve">des données </w:t>
      </w:r>
      <w:r w:rsidR="00903F73" w:rsidRPr="009D0B3A">
        <w:t>soit fixé à une date qui serait choisie par le Comité. La date indiquée dans le texte proposé était le 31</w:t>
      </w:r>
      <w:r w:rsidR="009B492F">
        <w:t> </w:t>
      </w:r>
      <w:r w:rsidR="00903F73" w:rsidRPr="009D0B3A">
        <w:t>octobre 2025, soit un jour avant l</w:t>
      </w:r>
      <w:r w:rsidR="00AA6A89" w:rsidRPr="009D0B3A">
        <w:t>’</w:t>
      </w:r>
      <w:r w:rsidR="00903F73" w:rsidRPr="009D0B3A">
        <w:t>adoption des recommandations par le Comité.</w:t>
      </w:r>
    </w:p>
    <w:p w14:paraId="348DA016" w14:textId="39032AB0" w:rsidR="00635442" w:rsidRPr="009D0B3A" w:rsidRDefault="001677EA"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Un autre représentant du Secrétariat a ajouté que l</w:t>
      </w:r>
      <w:r w:rsidR="00AA6A89" w:rsidRPr="009D0B3A">
        <w:t>’</w:t>
      </w:r>
      <w:r w:rsidRPr="009D0B3A">
        <w:t xml:space="preserve">analyse des problèmes systémiques liés </w:t>
      </w:r>
      <w:r w:rsidR="003335C4" w:rsidRPr="009D0B3A">
        <w:t>au respect des dispositions</w:t>
      </w:r>
      <w:r w:rsidRPr="009D0B3A">
        <w:t>, qui serait examinée au titre du point</w:t>
      </w:r>
      <w:r w:rsidR="009405FA">
        <w:t> </w:t>
      </w:r>
      <w:r w:rsidRPr="009D0B3A">
        <w:t>9 de l</w:t>
      </w:r>
      <w:r w:rsidR="00AA6A89" w:rsidRPr="009D0B3A">
        <w:t>’</w:t>
      </w:r>
      <w:r w:rsidRPr="009D0B3A">
        <w:t>ordre du jour, avait permis de déterminer que la communication tardive des données était l</w:t>
      </w:r>
      <w:r w:rsidR="00AA6A89" w:rsidRPr="009D0B3A">
        <w:t>’</w:t>
      </w:r>
      <w:r w:rsidRPr="009D0B3A">
        <w:t>un des problèmes qui rendaient difficile l</w:t>
      </w:r>
      <w:r w:rsidR="00AA6A89" w:rsidRPr="009D0B3A">
        <w:t>’</w:t>
      </w:r>
      <w:r w:rsidRPr="009D0B3A">
        <w:t xml:space="preserve">évaluation de la situation des </w:t>
      </w:r>
      <w:r w:rsidR="00EA6BB1" w:rsidRPr="009D0B3A">
        <w:t>P</w:t>
      </w:r>
      <w:r w:rsidRPr="009D0B3A">
        <w:t>arties en matière de</w:t>
      </w:r>
      <w:r w:rsidR="006F12FF" w:rsidRPr="009D0B3A">
        <w:t xml:space="preserve"> respect de leurs obligations</w:t>
      </w:r>
      <w:r w:rsidRPr="009D0B3A">
        <w:t>. Ce problème avait également été mis en évidence lorsque le Secrétariat avait procédé à une analyse de la gestion globale des risques. Le Secrétariat avait proposé le 31</w:t>
      </w:r>
      <w:r w:rsidR="000D0916">
        <w:t> </w:t>
      </w:r>
      <w:r w:rsidRPr="009D0B3A">
        <w:t>octobre, car cette date permettrait au Comité d</w:t>
      </w:r>
      <w:r w:rsidR="00AA6A89" w:rsidRPr="009D0B3A">
        <w:t>’</w:t>
      </w:r>
      <w:r w:rsidRPr="009D0B3A">
        <w:t xml:space="preserve">inclure </w:t>
      </w:r>
      <w:r w:rsidR="00BF43C1" w:rsidRPr="009D0B3A">
        <w:t>d</w:t>
      </w:r>
      <w:r w:rsidRPr="009D0B3A">
        <w:t xml:space="preserve">es chiffres actualisés </w:t>
      </w:r>
      <w:r w:rsidR="003D42BB" w:rsidRPr="009D0B3A">
        <w:t>en matière de</w:t>
      </w:r>
      <w:r w:rsidRPr="009D0B3A">
        <w:t xml:space="preserve"> communication des données lorsqu</w:t>
      </w:r>
      <w:r w:rsidR="00AA6A89" w:rsidRPr="009D0B3A">
        <w:t>’</w:t>
      </w:r>
      <w:r w:rsidRPr="009D0B3A">
        <w:t>il examinerait les projets de décision à annexer à ses projets de recommandation le deuxième jour de sa réunion, soit le 1</w:t>
      </w:r>
      <w:r w:rsidRPr="002947C7">
        <w:rPr>
          <w:vertAlign w:val="superscript"/>
        </w:rPr>
        <w:t>er</w:t>
      </w:r>
      <w:r w:rsidR="002947C7">
        <w:rPr>
          <w:vertAlign w:val="superscript"/>
        </w:rPr>
        <w:t> </w:t>
      </w:r>
      <w:r w:rsidRPr="009D0B3A">
        <w:t xml:space="preserve">novembre. </w:t>
      </w:r>
    </w:p>
    <w:p w14:paraId="4A13EA20" w14:textId="45B07FBC" w:rsidR="009219A5" w:rsidRPr="009D0B3A" w:rsidRDefault="00AA3FFE"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Un membre du Comité a suggéré d</w:t>
      </w:r>
      <w:r w:rsidR="00AA6A89" w:rsidRPr="009D0B3A">
        <w:t>’</w:t>
      </w:r>
      <w:r w:rsidRPr="009D0B3A">
        <w:t xml:space="preserve">ajouter au projet de décision </w:t>
      </w:r>
      <w:r w:rsidR="009A13ED" w:rsidRPr="009D0B3A">
        <w:t>une ligne supplémentaire sur</w:t>
      </w:r>
      <w:r w:rsidR="009218FC" w:rsidRPr="009D0B3A">
        <w:t xml:space="preserve"> </w:t>
      </w:r>
      <w:r w:rsidRPr="009D0B3A">
        <w:t xml:space="preserve">la </w:t>
      </w:r>
      <w:r w:rsidR="0049004E" w:rsidRPr="009D0B3A">
        <w:t xml:space="preserve">communication </w:t>
      </w:r>
      <w:r w:rsidRPr="009D0B3A">
        <w:t>en ligne, dans le but d</w:t>
      </w:r>
      <w:r w:rsidR="00AA6A89" w:rsidRPr="009D0B3A">
        <w:t>’</w:t>
      </w:r>
      <w:r w:rsidRPr="009D0B3A">
        <w:t>encourager son utilisation par un plus grand nombre de Parties. D</w:t>
      </w:r>
      <w:r w:rsidR="00AA6A89" w:rsidRPr="009D0B3A">
        <w:t>’</w:t>
      </w:r>
      <w:r w:rsidRPr="009D0B3A">
        <w:t xml:space="preserve">autres membres du Conseil ont appuyé la proposition. </w:t>
      </w:r>
    </w:p>
    <w:p w14:paraId="751C878B" w14:textId="75EA6F20" w:rsidR="00C866F9" w:rsidRPr="009D0B3A" w:rsidRDefault="00534065" w:rsidP="009469A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Le Comité est </w:t>
      </w:r>
      <w:r w:rsidR="00E03E7A" w:rsidRPr="009D0B3A">
        <w:t xml:space="preserve">donc </w:t>
      </w:r>
      <w:r w:rsidRPr="009D0B3A">
        <w:t>convenu de transmettre à la trente-septième Réunion des Parties, pour examen, le projet de décision sur la communication de données et d</w:t>
      </w:r>
      <w:r w:rsidR="00AA6A89" w:rsidRPr="009D0B3A">
        <w:t>’</w:t>
      </w:r>
      <w:r w:rsidRPr="009D0B3A">
        <w:t xml:space="preserve">informations reproduit </w:t>
      </w:r>
      <w:r w:rsidR="00E03E7A" w:rsidRPr="009D0B3A">
        <w:t xml:space="preserve">à </w:t>
      </w:r>
      <w:r w:rsidRPr="009D0B3A">
        <w:t>la section A de l</w:t>
      </w:r>
      <w:r w:rsidR="00AA6A89" w:rsidRPr="009D0B3A">
        <w:t>’</w:t>
      </w:r>
      <w:r w:rsidRPr="009D0B3A">
        <w:t xml:space="preserve">annexe I </w:t>
      </w:r>
      <w:r w:rsidR="00196BB3" w:rsidRPr="009D0B3A">
        <w:t>d</w:t>
      </w:r>
      <w:r w:rsidRPr="009D0B3A">
        <w:t>u présent</w:t>
      </w:r>
      <w:r w:rsidR="00627114">
        <w:t> </w:t>
      </w:r>
      <w:r w:rsidRPr="009D0B3A">
        <w:t>rapport.</w:t>
      </w:r>
      <w:bookmarkStart w:id="10" w:name="_Hlk213396948"/>
      <w:bookmarkEnd w:id="10"/>
    </w:p>
    <w:p w14:paraId="6C9FCC1E" w14:textId="78DACE0E" w:rsidR="00996C57" w:rsidRPr="009D0B3A" w:rsidRDefault="006F5339" w:rsidP="007F7B08">
      <w:pPr>
        <w:pStyle w:val="NormalNonumber"/>
        <w:jc w:val="right"/>
        <w:rPr>
          <w:b/>
          <w:bCs/>
        </w:rPr>
      </w:pPr>
      <w:r w:rsidRPr="009D0B3A">
        <w:rPr>
          <w:b/>
          <w:bCs/>
        </w:rPr>
        <w:t>Recommandation</w:t>
      </w:r>
      <w:r w:rsidR="003C4C20">
        <w:rPr>
          <w:b/>
          <w:bCs/>
        </w:rPr>
        <w:t> </w:t>
      </w:r>
      <w:r w:rsidRPr="009D0B3A">
        <w:rPr>
          <w:b/>
          <w:bCs/>
        </w:rPr>
        <w:t>75/1</w:t>
      </w:r>
    </w:p>
    <w:p w14:paraId="382B89C2" w14:textId="6B5BCC5D" w:rsidR="00A6593A" w:rsidRPr="009D0B3A" w:rsidRDefault="00D20C3D" w:rsidP="00D20C3D">
      <w:pPr>
        <w:pStyle w:val="CH1"/>
      </w:pPr>
      <w:r>
        <w:rPr>
          <w:bCs/>
        </w:rPr>
        <w:tab/>
      </w:r>
      <w:r w:rsidR="00194040" w:rsidRPr="00852ABF">
        <w:t>I</w:t>
      </w:r>
      <w:r w:rsidR="001D484E">
        <w:t>V</w:t>
      </w:r>
      <w:r w:rsidR="00194040" w:rsidRPr="00852ABF">
        <w:t>.</w:t>
      </w:r>
      <w:r>
        <w:rPr>
          <w:bCs/>
        </w:rPr>
        <w:tab/>
      </w:r>
      <w:r w:rsidR="007F7B08" w:rsidRPr="009D0B3A">
        <w:rPr>
          <w:bCs/>
        </w:rPr>
        <w:t>Exposé du secrétariat du Fonds multilatéral aux fins d</w:t>
      </w:r>
      <w:r w:rsidR="00AA6A89" w:rsidRPr="009D0B3A">
        <w:rPr>
          <w:bCs/>
        </w:rPr>
        <w:t>’</w:t>
      </w:r>
      <w:r w:rsidR="007F7B08" w:rsidRPr="009D0B3A">
        <w:rPr>
          <w:bCs/>
        </w:rPr>
        <w:t>application du Protocole de</w:t>
      </w:r>
      <w:r w:rsidR="00C82799">
        <w:rPr>
          <w:bCs/>
        </w:rPr>
        <w:t> </w:t>
      </w:r>
      <w:r w:rsidR="007F7B08" w:rsidRPr="009D0B3A">
        <w:rPr>
          <w:bCs/>
        </w:rPr>
        <w:t>Montréal sur les décisions du Comité</w:t>
      </w:r>
      <w:r w:rsidR="00C82799">
        <w:rPr>
          <w:bCs/>
        </w:rPr>
        <w:t> </w:t>
      </w:r>
      <w:r w:rsidR="007F7B08" w:rsidRPr="009D0B3A">
        <w:rPr>
          <w:bCs/>
        </w:rPr>
        <w:t>exécutif du</w:t>
      </w:r>
      <w:r w:rsidR="008F4DFB">
        <w:rPr>
          <w:bCs/>
        </w:rPr>
        <w:t> </w:t>
      </w:r>
      <w:r w:rsidR="007F7B08" w:rsidRPr="009D0B3A">
        <w:rPr>
          <w:bCs/>
        </w:rPr>
        <w:t>Fonds et sur les activités menées par les organismes d</w:t>
      </w:r>
      <w:r w:rsidR="00AA6A89" w:rsidRPr="009D0B3A">
        <w:rPr>
          <w:bCs/>
        </w:rPr>
        <w:t>’</w:t>
      </w:r>
      <w:r w:rsidR="007F7B08" w:rsidRPr="009D0B3A">
        <w:rPr>
          <w:bCs/>
        </w:rPr>
        <w:t>exécution pour aider les Parties à respecter leurs obligations</w:t>
      </w:r>
    </w:p>
    <w:p w14:paraId="0CA5088C" w14:textId="03B1822C" w:rsidR="00534065" w:rsidRPr="009D0B3A" w:rsidRDefault="00534065" w:rsidP="00B534B0">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La Cheffe du secrétariat du Fonds multilatéral, Tina Birmpili, a informé le Comité qu</w:t>
      </w:r>
      <w:r w:rsidR="00AA6A89" w:rsidRPr="009D0B3A">
        <w:t>’</w:t>
      </w:r>
      <w:r w:rsidRPr="009D0B3A">
        <w:t>aucune réunion du Comité</w:t>
      </w:r>
      <w:r w:rsidR="00C46C2C">
        <w:t> </w:t>
      </w:r>
      <w:r w:rsidRPr="009D0B3A">
        <w:t>exécutif du Fonds n</w:t>
      </w:r>
      <w:r w:rsidR="00AA6A89" w:rsidRPr="009D0B3A">
        <w:t>’</w:t>
      </w:r>
      <w:r w:rsidRPr="009D0B3A">
        <w:t>avait eu lieu depuis la soixante-quatorzième</w:t>
      </w:r>
      <w:r w:rsidR="005961FF">
        <w:t> </w:t>
      </w:r>
      <w:r w:rsidRPr="009D0B3A">
        <w:t>réunion du Comité d</w:t>
      </w:r>
      <w:r w:rsidR="00AA6A89" w:rsidRPr="009D0B3A">
        <w:t>’</w:t>
      </w:r>
      <w:r w:rsidRPr="009D0B3A">
        <w:t xml:space="preserve">application et que la plupart des informations contenues dans </w:t>
      </w:r>
      <w:r w:rsidR="0015253A" w:rsidRPr="009D0B3A">
        <w:t>son exposé</w:t>
      </w:r>
      <w:r w:rsidRPr="009D0B3A">
        <w:t xml:space="preserve"> seraient donc similaires à celles fournies lors de la </w:t>
      </w:r>
      <w:r w:rsidR="006A57CB" w:rsidRPr="009D0B3A">
        <w:t xml:space="preserve">précédente </w:t>
      </w:r>
      <w:r w:rsidRPr="009D0B3A">
        <w:t>réunion. Elle a toutefois tenu à mettre en avant certaines questions inscrites à l</w:t>
      </w:r>
      <w:r w:rsidR="00AA6A89" w:rsidRPr="009D0B3A">
        <w:t>’</w:t>
      </w:r>
      <w:r w:rsidRPr="009D0B3A">
        <w:t>ordre du jour de la quatre-vingt-dix-septième</w:t>
      </w:r>
      <w:r w:rsidR="00576FDE">
        <w:t> </w:t>
      </w:r>
      <w:r w:rsidRPr="009D0B3A">
        <w:t>réunion du Comité exécutif, qui se tiendra du 1</w:t>
      </w:r>
      <w:r w:rsidRPr="005B3345">
        <w:rPr>
          <w:vertAlign w:val="superscript"/>
        </w:rPr>
        <w:t>er</w:t>
      </w:r>
      <w:r w:rsidR="00DC2DD5">
        <w:rPr>
          <w:vertAlign w:val="superscript"/>
        </w:rPr>
        <w:t> </w:t>
      </w:r>
      <w:r w:rsidRPr="009D0B3A">
        <w:t>au 5</w:t>
      </w:r>
      <w:r w:rsidR="002A2B30">
        <w:t> </w:t>
      </w:r>
      <w:r w:rsidRPr="009D0B3A">
        <w:t>décembre 2025.</w:t>
      </w:r>
    </w:p>
    <w:p w14:paraId="32458F11" w14:textId="4BEA7148" w:rsidR="00534065" w:rsidRPr="009D0B3A" w:rsidRDefault="00534065" w:rsidP="00B534B0">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w:t>
      </w:r>
      <w:r w:rsidR="00AA6A89" w:rsidRPr="009D0B3A">
        <w:t>’</w:t>
      </w:r>
      <w:r w:rsidRPr="009D0B3A">
        <w:t>abandon de la consommation de HCFC progressait bien et, selon les données communiquées au titre de l</w:t>
      </w:r>
      <w:r w:rsidR="00AA6A89" w:rsidRPr="009D0B3A">
        <w:t>’</w:t>
      </w:r>
      <w:r w:rsidRPr="009D0B3A">
        <w:t>article</w:t>
      </w:r>
      <w:r w:rsidR="000B0DA3">
        <w:t> </w:t>
      </w:r>
      <w:r w:rsidRPr="009D0B3A">
        <w:t xml:space="preserve">7, la consommation totale de HCFC des </w:t>
      </w:r>
      <w:r w:rsidR="00FE52F7" w:rsidRPr="009D0B3A">
        <w:t>P</w:t>
      </w:r>
      <w:r w:rsidRPr="009D0B3A">
        <w:t>arties visées à l</w:t>
      </w:r>
      <w:r w:rsidR="00AA6A89" w:rsidRPr="009D0B3A">
        <w:t>’</w:t>
      </w:r>
      <w:r w:rsidRPr="009D0B3A">
        <w:t>article</w:t>
      </w:r>
      <w:r w:rsidR="00D01325">
        <w:t> </w:t>
      </w:r>
      <w:r w:rsidRPr="009D0B3A">
        <w:t>5 s</w:t>
      </w:r>
      <w:r w:rsidR="00AA6A89" w:rsidRPr="009D0B3A">
        <w:t>’</w:t>
      </w:r>
      <w:r w:rsidRPr="009D0B3A">
        <w:t>élevait à 35,9</w:t>
      </w:r>
      <w:r w:rsidR="00CE1598">
        <w:t> </w:t>
      </w:r>
      <w:r w:rsidRPr="009D0B3A">
        <w:t>% du niveau de référence global pour</w:t>
      </w:r>
      <w:r w:rsidR="00C60C30" w:rsidRPr="009D0B3A">
        <w:t xml:space="preserve"> ces substances</w:t>
      </w:r>
      <w:r w:rsidRPr="009D0B3A">
        <w:t>. Cela signifiait que l</w:t>
      </w:r>
      <w:r w:rsidR="00AA6A89" w:rsidRPr="009D0B3A">
        <w:t>’</w:t>
      </w:r>
      <w:r w:rsidRPr="009D0B3A">
        <w:t>objectif de consommation de 32,5</w:t>
      </w:r>
      <w:r w:rsidR="00CE1598">
        <w:t> </w:t>
      </w:r>
      <w:r w:rsidRPr="009D0B3A">
        <w:t xml:space="preserve">% par rapport au niveau de référence fixé pour 2025 devrait être atteint. </w:t>
      </w:r>
    </w:p>
    <w:p w14:paraId="318E5F76" w14:textId="7BDCCDD6" w:rsidR="00534065" w:rsidRPr="009D0B3A" w:rsidRDefault="00C44A6F" w:rsidP="00BF73FE">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lastRenderedPageBreak/>
        <w:t>L</w:t>
      </w:r>
      <w:r w:rsidR="00534065" w:rsidRPr="009D0B3A">
        <w:t>es travaux actuels du Fonds multilatéral et de ses organismes d</w:t>
      </w:r>
      <w:r w:rsidR="00AA6A89" w:rsidRPr="009D0B3A">
        <w:t>’</w:t>
      </w:r>
      <w:r w:rsidR="00534065" w:rsidRPr="009D0B3A">
        <w:t xml:space="preserve">exécution </w:t>
      </w:r>
      <w:r w:rsidRPr="009D0B3A">
        <w:t xml:space="preserve">relatifs aux HCFC </w:t>
      </w:r>
      <w:r w:rsidR="00534065" w:rsidRPr="009D0B3A">
        <w:t>se concentr</w:t>
      </w:r>
      <w:r w:rsidR="00801D47" w:rsidRPr="009D0B3A">
        <w:t>ai</w:t>
      </w:r>
      <w:r w:rsidR="00534065" w:rsidRPr="009D0B3A">
        <w:t>ent principalement sur l</w:t>
      </w:r>
      <w:r w:rsidR="00AA6A89" w:rsidRPr="009D0B3A">
        <w:t>’</w:t>
      </w:r>
      <w:r w:rsidR="00534065" w:rsidRPr="009D0B3A">
        <w:t>élimination du HCFC-123 et des quantités restantes de HCFC-22, au moyen de plans de gestion de l</w:t>
      </w:r>
      <w:r w:rsidR="00AA6A89" w:rsidRPr="009D0B3A">
        <w:t>’</w:t>
      </w:r>
      <w:r w:rsidR="00534065" w:rsidRPr="009D0B3A">
        <w:t xml:space="preserve">élimination des HCFC. </w:t>
      </w:r>
      <w:r w:rsidR="00675478" w:rsidRPr="009D0B3A">
        <w:t xml:space="preserve">Ceux qui avaient été </w:t>
      </w:r>
      <w:r w:rsidR="00534065" w:rsidRPr="009D0B3A">
        <w:t xml:space="preserve">approuvés permettraient </w:t>
      </w:r>
      <w:r w:rsidRPr="009D0B3A">
        <w:t xml:space="preserve">une baisse de </w:t>
      </w:r>
      <w:r w:rsidR="00534065" w:rsidRPr="009D0B3A">
        <w:t>84,3</w:t>
      </w:r>
      <w:r w:rsidR="00CE1598">
        <w:t> </w:t>
      </w:r>
      <w:r w:rsidR="00534065" w:rsidRPr="009D0B3A">
        <w:t xml:space="preserve">% </w:t>
      </w:r>
      <w:r w:rsidRPr="009D0B3A">
        <w:t>par rapport a</w:t>
      </w:r>
      <w:r w:rsidR="00534065" w:rsidRPr="009D0B3A">
        <w:t xml:space="preserve">u point de départ de la consommation de HCFC et </w:t>
      </w:r>
      <w:r w:rsidRPr="009D0B3A">
        <w:t xml:space="preserve">de </w:t>
      </w:r>
      <w:r w:rsidR="00534065" w:rsidRPr="009D0B3A">
        <w:t>82,9</w:t>
      </w:r>
      <w:r w:rsidR="00CE1598">
        <w:t> </w:t>
      </w:r>
      <w:r w:rsidR="00534065" w:rsidRPr="009D0B3A">
        <w:t xml:space="preserve">% </w:t>
      </w:r>
      <w:r w:rsidRPr="009D0B3A">
        <w:t xml:space="preserve">par rapport à </w:t>
      </w:r>
      <w:r w:rsidR="00534065" w:rsidRPr="009D0B3A">
        <w:t>l</w:t>
      </w:r>
      <w:r w:rsidRPr="009D0B3A">
        <w:t>eur</w:t>
      </w:r>
      <w:r w:rsidR="00534065" w:rsidRPr="009D0B3A">
        <w:t xml:space="preserve"> consommation de référence.</w:t>
      </w:r>
    </w:p>
    <w:p w14:paraId="3DF0F501" w14:textId="57804145" w:rsidR="00534065" w:rsidRPr="009D0B3A" w:rsidRDefault="00534065" w:rsidP="00BF73FE">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Selon les données d</w:t>
      </w:r>
      <w:r w:rsidR="00C667E6" w:rsidRPr="009D0B3A">
        <w:t>es</w:t>
      </w:r>
      <w:r w:rsidRPr="009D0B3A">
        <w:t xml:space="preserve"> programme</w:t>
      </w:r>
      <w:r w:rsidR="00C667E6" w:rsidRPr="009D0B3A">
        <w:t>s</w:t>
      </w:r>
      <w:r w:rsidRPr="009D0B3A">
        <w:t xml:space="preserve"> de pays pour 2024, trois</w:t>
      </w:r>
      <w:r w:rsidR="00B5130C">
        <w:t> </w:t>
      </w:r>
      <w:r w:rsidRPr="009D0B3A">
        <w:t xml:space="preserve">secteurs </w:t>
      </w:r>
      <w:r w:rsidR="00036DF0" w:rsidRPr="009D0B3A">
        <w:t>avaien</w:t>
      </w:r>
      <w:r w:rsidRPr="009D0B3A">
        <w:t>t enregistré la plus forte consommation de HCFC</w:t>
      </w:r>
      <w:r w:rsidR="00AA6A89" w:rsidRPr="009D0B3A">
        <w:t> :</w:t>
      </w:r>
      <w:r w:rsidRPr="009D0B3A">
        <w:t xml:space="preserve"> l</w:t>
      </w:r>
      <w:r w:rsidR="00AA6A89" w:rsidRPr="009D0B3A">
        <w:t>’</w:t>
      </w:r>
      <w:r w:rsidRPr="009D0B3A">
        <w:t>entretien des équipements de réfrigération, la fabrication d</w:t>
      </w:r>
      <w:r w:rsidR="00AA6A89" w:rsidRPr="009D0B3A">
        <w:t>’</w:t>
      </w:r>
      <w:r w:rsidRPr="009D0B3A">
        <w:t xml:space="preserve">équipements de réfrigération et les mousses. Alors que la consommation de HCFC dans le secteur de la fabrication diminuait, les besoins des </w:t>
      </w:r>
      <w:r w:rsidR="00B533C1" w:rsidRPr="009D0B3A">
        <w:t>P</w:t>
      </w:r>
      <w:r w:rsidRPr="009D0B3A">
        <w:t>arties en matière d</w:t>
      </w:r>
      <w:r w:rsidR="00AA6A89" w:rsidRPr="009D0B3A">
        <w:t>’</w:t>
      </w:r>
      <w:r w:rsidRPr="009D0B3A">
        <w:t>entretien augmentaient. La plupart du secteur de la fabrication de mousses et une grande partie du secteur de la fabrication d</w:t>
      </w:r>
      <w:r w:rsidR="00B533C1" w:rsidRPr="009D0B3A">
        <w:t>’</w:t>
      </w:r>
      <w:r w:rsidRPr="009D0B3A">
        <w:t>appareils de réfrigération et de climatisation étaient en cours de conversion, principalement vers des technologies à faible potentiel de réchauffement global.</w:t>
      </w:r>
    </w:p>
    <w:p w14:paraId="5FF3F79C" w14:textId="4592500B" w:rsidR="00534065" w:rsidRPr="009D0B3A" w:rsidRDefault="00534065" w:rsidP="00BF73FE">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Certains plans de mise en œuvre de l</w:t>
      </w:r>
      <w:r w:rsidR="00AA6A89" w:rsidRPr="009D0B3A">
        <w:t>’</w:t>
      </w:r>
      <w:r w:rsidRPr="009D0B3A">
        <w:t>Amendement de Kigali relatifs aux HFC en étaient également aux premières</w:t>
      </w:r>
      <w:r w:rsidR="00D05632">
        <w:t> </w:t>
      </w:r>
      <w:r w:rsidRPr="009D0B3A">
        <w:t>étapes de leur mise en œuvre. Toutes les Parties visées à l</w:t>
      </w:r>
      <w:r w:rsidR="00AA6A89" w:rsidRPr="009D0B3A">
        <w:t>’</w:t>
      </w:r>
      <w:r w:rsidRPr="009D0B3A">
        <w:t>article</w:t>
      </w:r>
      <w:r w:rsidR="00FD694E">
        <w:t> </w:t>
      </w:r>
      <w:r w:rsidRPr="009D0B3A">
        <w:t xml:space="preserve">5 prenaient des mesures </w:t>
      </w:r>
      <w:r w:rsidR="006E6C9B" w:rsidRPr="009D0B3A">
        <w:t>dans le</w:t>
      </w:r>
      <w:r w:rsidRPr="009D0B3A">
        <w:t xml:space="preserve"> secteur de l</w:t>
      </w:r>
      <w:r w:rsidR="00AA6A89" w:rsidRPr="009D0B3A">
        <w:t>’</w:t>
      </w:r>
      <w:r w:rsidRPr="009D0B3A">
        <w:t>entretien des systèmes de réfrigération, mais certaines d</w:t>
      </w:r>
      <w:r w:rsidR="00AA6A89" w:rsidRPr="009D0B3A">
        <w:t>’</w:t>
      </w:r>
      <w:r w:rsidRPr="009D0B3A">
        <w:t>entre elles rencontraient des difficultés quant à la disponibilité de certaines solutions de remplacement sur les marchés locaux.</w:t>
      </w:r>
    </w:p>
    <w:p w14:paraId="2D6F0A1E" w14:textId="32104362" w:rsidR="00534065" w:rsidRPr="009D0B3A" w:rsidRDefault="00534065" w:rsidP="00BF73FE">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ce qui concern</w:t>
      </w:r>
      <w:r w:rsidR="00E43BF7" w:rsidRPr="009D0B3A">
        <w:t>ait</w:t>
      </w:r>
      <w:r w:rsidRPr="009D0B3A">
        <w:t xml:space="preserve"> les HFC, les données des programmes de pays pour 2024, soumises par 119</w:t>
      </w:r>
      <w:r w:rsidR="00D24325">
        <w:t> </w:t>
      </w:r>
      <w:r w:rsidRPr="009D0B3A">
        <w:t>Parties visées à l</w:t>
      </w:r>
      <w:r w:rsidR="00AA6A89" w:rsidRPr="009D0B3A">
        <w:t>’</w:t>
      </w:r>
      <w:r w:rsidRPr="009D0B3A">
        <w:t>article</w:t>
      </w:r>
      <w:r w:rsidR="00931BFA">
        <w:t> </w:t>
      </w:r>
      <w:r w:rsidRPr="009D0B3A">
        <w:t>5, montr</w:t>
      </w:r>
      <w:r w:rsidR="008D3404" w:rsidRPr="009D0B3A">
        <w:t>aient</w:t>
      </w:r>
      <w:r w:rsidRPr="009D0B3A">
        <w:t xml:space="preserve"> que les secteurs où la consommation était la plus élevée étaient ceux de la lutte contre les incendies et de la fabrication </w:t>
      </w:r>
      <w:r w:rsidR="00C667E6" w:rsidRPr="009D0B3A">
        <w:t>d’équipements</w:t>
      </w:r>
      <w:r w:rsidRPr="009D0B3A">
        <w:t xml:space="preserve"> de réfrigérat</w:t>
      </w:r>
      <w:r w:rsidR="00C667E6" w:rsidRPr="009D0B3A">
        <w:t>ion</w:t>
      </w:r>
      <w:r w:rsidRPr="009D0B3A">
        <w:t xml:space="preserve">, et que la consommation de HFC-32, HFC-134A et R410A restait relativement élevée. </w:t>
      </w:r>
      <w:r w:rsidR="00193F3A" w:rsidRPr="009D0B3A">
        <w:t>L’une des principales observations tirées des soumissions sur les HFC était que les données au titre des programmes de pays rendaient compte de ces derniers en tant que substances pures ou mélanges</w:t>
      </w:r>
      <w:r w:rsidRPr="009D0B3A">
        <w:t>, alors que</w:t>
      </w:r>
      <w:r w:rsidR="00C667E6" w:rsidRPr="009D0B3A">
        <w:t>,</w:t>
      </w:r>
      <w:r w:rsidRPr="009D0B3A">
        <w:t xml:space="preserve"> </w:t>
      </w:r>
      <w:r w:rsidR="00C667E6" w:rsidRPr="009D0B3A">
        <w:t>dans le cadre des données communiquées</w:t>
      </w:r>
      <w:r w:rsidRPr="009D0B3A">
        <w:t xml:space="preserve"> au titre de l</w:t>
      </w:r>
      <w:r w:rsidR="00AA6A89" w:rsidRPr="009D0B3A">
        <w:t>’</w:t>
      </w:r>
      <w:r w:rsidRPr="009D0B3A">
        <w:t>article</w:t>
      </w:r>
      <w:r w:rsidR="00FF47BA">
        <w:t> </w:t>
      </w:r>
      <w:r w:rsidRPr="009D0B3A">
        <w:t>7</w:t>
      </w:r>
      <w:r w:rsidR="00C667E6" w:rsidRPr="009D0B3A">
        <w:t xml:space="preserve">, </w:t>
      </w:r>
      <w:r w:rsidR="00193F3A" w:rsidRPr="009D0B3A">
        <w:t xml:space="preserve">les HFC </w:t>
      </w:r>
      <w:r w:rsidRPr="009D0B3A">
        <w:t>étai</w:t>
      </w:r>
      <w:r w:rsidR="00C667E6" w:rsidRPr="009D0B3A">
        <w:t>en</w:t>
      </w:r>
      <w:r w:rsidRPr="009D0B3A">
        <w:t>t</w:t>
      </w:r>
      <w:r w:rsidR="00193F3A" w:rsidRPr="009D0B3A">
        <w:t xml:space="preserve"> déclarées </w:t>
      </w:r>
      <w:r w:rsidR="00C667E6" w:rsidRPr="009D0B3A">
        <w:t>en tant que substances</w:t>
      </w:r>
      <w:r w:rsidRPr="009D0B3A">
        <w:t xml:space="preserve"> pure</w:t>
      </w:r>
      <w:r w:rsidR="00C667E6" w:rsidRPr="009D0B3A">
        <w:t>s</w:t>
      </w:r>
      <w:r w:rsidRPr="009D0B3A">
        <w:t xml:space="preserve"> </w:t>
      </w:r>
      <w:r w:rsidR="00C667E6" w:rsidRPr="009D0B3A">
        <w:t xml:space="preserve">ou </w:t>
      </w:r>
      <w:r w:rsidRPr="009D0B3A">
        <w:t>mélang</w:t>
      </w:r>
      <w:r w:rsidR="00C667E6" w:rsidRPr="009D0B3A">
        <w:t>es</w:t>
      </w:r>
      <w:r w:rsidRPr="009D0B3A">
        <w:t xml:space="preserve"> ou </w:t>
      </w:r>
      <w:r w:rsidR="00C667E6" w:rsidRPr="009D0B3A">
        <w:t xml:space="preserve">comme </w:t>
      </w:r>
      <w:r w:rsidRPr="009D0B3A">
        <w:t xml:space="preserve">une combinaison des deux. </w:t>
      </w:r>
      <w:r w:rsidR="00E150EC" w:rsidRPr="009D0B3A">
        <w:t xml:space="preserve">Il avait donc été difficile de rapprocher </w:t>
      </w:r>
      <w:r w:rsidR="004B4EAD" w:rsidRPr="009D0B3A">
        <w:t>l</w:t>
      </w:r>
      <w:r w:rsidRPr="009D0B3A">
        <w:t xml:space="preserve">es données </w:t>
      </w:r>
      <w:r w:rsidR="00193F3A" w:rsidRPr="009D0B3A">
        <w:t>sur les</w:t>
      </w:r>
      <w:r w:rsidRPr="009D0B3A">
        <w:t xml:space="preserve"> HFC </w:t>
      </w:r>
      <w:r w:rsidR="00193F3A" w:rsidRPr="009D0B3A">
        <w:t>communiquées au titre de</w:t>
      </w:r>
      <w:r w:rsidRPr="009D0B3A">
        <w:t xml:space="preserve"> l</w:t>
      </w:r>
      <w:r w:rsidR="00AA6A89" w:rsidRPr="009D0B3A">
        <w:t>’</w:t>
      </w:r>
      <w:r w:rsidRPr="009D0B3A">
        <w:t>article</w:t>
      </w:r>
      <w:r w:rsidR="003D76EB">
        <w:t> </w:t>
      </w:r>
      <w:r w:rsidRPr="009D0B3A">
        <w:t xml:space="preserve">7 de celles communiquées </w:t>
      </w:r>
      <w:r w:rsidR="00193F3A" w:rsidRPr="009D0B3A">
        <w:t>au titre</w:t>
      </w:r>
      <w:r w:rsidRPr="009D0B3A">
        <w:t xml:space="preserve"> des programmes de pays, </w:t>
      </w:r>
      <w:r w:rsidR="00193F3A" w:rsidRPr="009D0B3A">
        <w:t>l’exercice ayant</w:t>
      </w:r>
      <w:r w:rsidRPr="009D0B3A">
        <w:t xml:space="preserve"> donné lieu à plusieurs </w:t>
      </w:r>
      <w:r w:rsidR="003F65C5" w:rsidRPr="009D0B3A">
        <w:t>versi</w:t>
      </w:r>
      <w:r w:rsidRPr="009D0B3A">
        <w:t>ons entre le secrétariat du Fonds multilatéral et les organismes d</w:t>
      </w:r>
      <w:r w:rsidR="00AA6A89" w:rsidRPr="009D0B3A">
        <w:t>’</w:t>
      </w:r>
      <w:r w:rsidRPr="009D0B3A">
        <w:t>exécution, ainsi qu</w:t>
      </w:r>
      <w:r w:rsidR="00AA6A89" w:rsidRPr="009D0B3A">
        <w:t>’</w:t>
      </w:r>
      <w:r w:rsidRPr="009D0B3A">
        <w:t>entre ces derniers et les pays, au cours du processus d</w:t>
      </w:r>
      <w:r w:rsidR="00AA6A89" w:rsidRPr="009D0B3A">
        <w:t>’</w:t>
      </w:r>
      <w:r w:rsidRPr="009D0B3A">
        <w:t>examen des projets. Par ailleurs, conformément aux décisions</w:t>
      </w:r>
      <w:r w:rsidR="00A438AD">
        <w:t> </w:t>
      </w:r>
      <w:r w:rsidRPr="009D0B3A">
        <w:t>92/4 et 94/3 du Comité</w:t>
      </w:r>
      <w:r w:rsidR="00EA633D">
        <w:t> </w:t>
      </w:r>
      <w:r w:rsidRPr="009D0B3A">
        <w:t>exécutif, le secrétariat du Fonds suivait la question de la communication d</w:t>
      </w:r>
      <w:r w:rsidR="00AA6A89" w:rsidRPr="009D0B3A">
        <w:t>’</w:t>
      </w:r>
      <w:r w:rsidRPr="009D0B3A">
        <w:t>informations ou d</w:t>
      </w:r>
      <w:r w:rsidR="00AA6A89" w:rsidRPr="009D0B3A">
        <w:t>’</w:t>
      </w:r>
      <w:r w:rsidRPr="009D0B3A">
        <w:t>estimations supplémentaires sur les utilisations ou applications les plus probables du HFC-23 indiquées dans la colonne «</w:t>
      </w:r>
      <w:r w:rsidR="003136EB">
        <w:t> </w:t>
      </w:r>
      <w:r w:rsidRPr="009D0B3A">
        <w:t>Autres</w:t>
      </w:r>
      <w:r w:rsidR="003136EB">
        <w:t> </w:t>
      </w:r>
      <w:r w:rsidRPr="009D0B3A">
        <w:t>» des rapports élaborés au titre des programmes de pays.</w:t>
      </w:r>
    </w:p>
    <w:p w14:paraId="17E3F0B3" w14:textId="093AF950" w:rsidR="00534065" w:rsidRPr="009D0B3A" w:rsidRDefault="00534065" w:rsidP="00BF73FE">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7F4949">
        <w:t xml:space="preserve">Une question importante </w:t>
      </w:r>
      <w:r w:rsidR="001372ED" w:rsidRPr="007F4949">
        <w:t>à l’examen</w:t>
      </w:r>
      <w:r w:rsidR="001372ED" w:rsidRPr="009D0B3A">
        <w:t xml:space="preserve"> </w:t>
      </w:r>
      <w:r w:rsidRPr="009D0B3A">
        <w:t xml:space="preserve">par le Comité exécutif concernait le renforcement de la communication de données </w:t>
      </w:r>
      <w:r w:rsidR="001372ED" w:rsidRPr="009D0B3A">
        <w:t>au titre des</w:t>
      </w:r>
      <w:r w:rsidRPr="009D0B3A">
        <w:t xml:space="preserve"> programmes de pays. La </w:t>
      </w:r>
      <w:r w:rsidR="006805ED" w:rsidRPr="009D0B3A">
        <w:t>communicatio</w:t>
      </w:r>
      <w:r w:rsidRPr="009D0B3A">
        <w:t>n des données en ligne, introduite en 2025, était utile à cet égard. Le secrétariat du Fonds, avec l</w:t>
      </w:r>
      <w:r w:rsidR="00AA6A89" w:rsidRPr="009D0B3A">
        <w:t>’</w:t>
      </w:r>
      <w:r w:rsidRPr="009D0B3A">
        <w:t>aide des organismes d</w:t>
      </w:r>
      <w:r w:rsidR="00AA6A89" w:rsidRPr="009D0B3A">
        <w:t>’</w:t>
      </w:r>
      <w:r w:rsidRPr="009D0B3A">
        <w:t>exécution, en particulier Action</w:t>
      </w:r>
      <w:r w:rsidR="00AA6A89" w:rsidRPr="009D0B3A">
        <w:t>Ozone</w:t>
      </w:r>
      <w:r w:rsidRPr="009D0B3A">
        <w:t xml:space="preserve"> et le Programme d</w:t>
      </w:r>
      <w:r w:rsidR="00AA6A89" w:rsidRPr="009D0B3A">
        <w:t>’</w:t>
      </w:r>
      <w:r w:rsidRPr="009D0B3A">
        <w:t xml:space="preserve">aide au respect </w:t>
      </w:r>
      <w:r w:rsidR="004336B2" w:rsidRPr="009D0B3A">
        <w:t xml:space="preserve">mis en place </w:t>
      </w:r>
      <w:r w:rsidRPr="009D0B3A">
        <w:t>par le PNUE, avait collaboré avec les pays afin de s</w:t>
      </w:r>
      <w:r w:rsidR="00AA6A89" w:rsidRPr="009D0B3A">
        <w:t>’</w:t>
      </w:r>
      <w:r w:rsidRPr="009D0B3A">
        <w:t>assurer qu</w:t>
      </w:r>
      <w:r w:rsidR="00AA6A89" w:rsidRPr="009D0B3A">
        <w:t>’</w:t>
      </w:r>
      <w:r w:rsidRPr="009D0B3A">
        <w:t>ils puissent soumettre leurs rapports en ligne. L</w:t>
      </w:r>
      <w:r w:rsidR="00AA6A89" w:rsidRPr="009D0B3A">
        <w:t>’</w:t>
      </w:r>
      <w:r w:rsidRPr="009D0B3A">
        <w:t>un des avantages d</w:t>
      </w:r>
      <w:r w:rsidR="00D3532C" w:rsidRPr="009D0B3A">
        <w:t xml:space="preserve">e ce </w:t>
      </w:r>
      <w:r w:rsidRPr="009D0B3A">
        <w:t xml:space="preserve">système était que les </w:t>
      </w:r>
      <w:r w:rsidR="001372ED" w:rsidRPr="009D0B3A">
        <w:t>P</w:t>
      </w:r>
      <w:r w:rsidRPr="009D0B3A">
        <w:t xml:space="preserve">arties avaient la possibilité de </w:t>
      </w:r>
      <w:r w:rsidR="001372ED" w:rsidRPr="009D0B3A">
        <w:t xml:space="preserve">chercher </w:t>
      </w:r>
      <w:r w:rsidRPr="009D0B3A">
        <w:t xml:space="preserve">les tendances dans leurs données et </w:t>
      </w:r>
      <w:r w:rsidR="001372ED" w:rsidRPr="009D0B3A">
        <w:t xml:space="preserve">de détecter </w:t>
      </w:r>
      <w:r w:rsidRPr="009D0B3A">
        <w:t>les irrégularités éventuelles. Moins d</w:t>
      </w:r>
      <w:r w:rsidR="00AA6A89" w:rsidRPr="009D0B3A">
        <w:t>’</w:t>
      </w:r>
      <w:r w:rsidRPr="009D0B3A">
        <w:t xml:space="preserve">erreurs </w:t>
      </w:r>
      <w:r w:rsidR="00834B7C" w:rsidRPr="009D0B3A">
        <w:t>avaien</w:t>
      </w:r>
      <w:r w:rsidRPr="009D0B3A">
        <w:t>t été observées depuis sa création. Notant que les années 2023 et 2024 pourraient ne pas refléter la consommation actuelle de HFC, Mme Birmpili a expliqué que des discussions avec les Parties sur cette question avaient eu lieu lors</w:t>
      </w:r>
      <w:r w:rsidR="001372ED" w:rsidRPr="009D0B3A">
        <w:t>qu’elles</w:t>
      </w:r>
      <w:r w:rsidRPr="009D0B3A">
        <w:t xml:space="preserve"> </w:t>
      </w:r>
      <w:r w:rsidR="001372ED" w:rsidRPr="009D0B3A">
        <w:t>soumettaient un</w:t>
      </w:r>
      <w:r w:rsidRPr="009D0B3A">
        <w:t xml:space="preserve"> plan de mise en œuvre de l</w:t>
      </w:r>
      <w:r w:rsidR="00AA6A89" w:rsidRPr="009D0B3A">
        <w:t>’</w:t>
      </w:r>
      <w:r w:rsidRPr="009D0B3A">
        <w:t>Amendement de Kigali et lors de l</w:t>
      </w:r>
      <w:r w:rsidR="00AA6A89" w:rsidRPr="009D0B3A">
        <w:t>’</w:t>
      </w:r>
      <w:r w:rsidRPr="009D0B3A">
        <w:t xml:space="preserve">examen de </w:t>
      </w:r>
      <w:r w:rsidR="001372ED" w:rsidRPr="009D0B3A">
        <w:t>cette soumission</w:t>
      </w:r>
      <w:r w:rsidR="00775CA2" w:rsidRPr="009D0B3A">
        <w:t xml:space="preserve"> </w:t>
      </w:r>
      <w:r w:rsidRPr="009D0B3A">
        <w:t>par le Comité</w:t>
      </w:r>
      <w:r w:rsidR="005A0BE6">
        <w:t> </w:t>
      </w:r>
      <w:r w:rsidRPr="009D0B3A">
        <w:t>exécutif.</w:t>
      </w:r>
    </w:p>
    <w:p w14:paraId="1E95C7AA" w14:textId="4B7E2441" w:rsidR="00534065" w:rsidRPr="009D0B3A" w:rsidRDefault="00534065" w:rsidP="00BF73FE">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Donnant un aperçu de ce </w:t>
      </w:r>
      <w:r w:rsidR="00945396" w:rsidRPr="009D0B3A">
        <w:t>dont</w:t>
      </w:r>
      <w:r w:rsidRPr="009D0B3A">
        <w:t xml:space="preserve"> le Comité</w:t>
      </w:r>
      <w:r w:rsidR="005A0BE6">
        <w:t> </w:t>
      </w:r>
      <w:r w:rsidRPr="009D0B3A">
        <w:t xml:space="preserve">exécutif </w:t>
      </w:r>
      <w:r w:rsidR="00945396" w:rsidRPr="009D0B3A">
        <w:t xml:space="preserve">serait saisi </w:t>
      </w:r>
      <w:r w:rsidRPr="009D0B3A">
        <w:t>à sa quatre</w:t>
      </w:r>
      <w:r w:rsidR="00891618">
        <w:noBreakHyphen/>
      </w:r>
      <w:r w:rsidRPr="009D0B3A">
        <w:t>vingt</w:t>
      </w:r>
      <w:r w:rsidR="00891618">
        <w:noBreakHyphen/>
      </w:r>
      <w:r w:rsidRPr="009D0B3A">
        <w:t>dix</w:t>
      </w:r>
      <w:r w:rsidR="00891618">
        <w:noBreakHyphen/>
      </w:r>
      <w:r w:rsidRPr="009D0B3A">
        <w:t>septième</w:t>
      </w:r>
      <w:r w:rsidR="00532B5E">
        <w:t> </w:t>
      </w:r>
      <w:r w:rsidRPr="009D0B3A">
        <w:t>réunion, Mme Birmpili a déclaré que la valeur totale des projets, tels que soumis, s</w:t>
      </w:r>
      <w:r w:rsidR="00AA6A89" w:rsidRPr="009D0B3A">
        <w:t>’</w:t>
      </w:r>
      <w:r w:rsidRPr="009D0B3A">
        <w:t>élevait à plus de 110</w:t>
      </w:r>
      <w:r w:rsidR="00532B5E">
        <w:t> </w:t>
      </w:r>
      <w:r w:rsidRPr="009D0B3A">
        <w:t>millions de dollars</w:t>
      </w:r>
      <w:r w:rsidR="005B4A05" w:rsidRPr="009D0B3A">
        <w:t xml:space="preserve">. </w:t>
      </w:r>
      <w:r w:rsidR="00616FA7" w:rsidRPr="009D0B3A">
        <w:t>À</w:t>
      </w:r>
      <w:r w:rsidRPr="009D0B3A">
        <w:t xml:space="preserve"> la suite de l</w:t>
      </w:r>
      <w:r w:rsidR="00AA6A89" w:rsidRPr="009D0B3A">
        <w:t>’</w:t>
      </w:r>
      <w:r w:rsidRPr="009D0B3A">
        <w:t>approbation récente du cadre opérationnel sur l</w:t>
      </w:r>
      <w:r w:rsidR="00AA6A89" w:rsidRPr="009D0B3A">
        <w:t>’</w:t>
      </w:r>
      <w:r w:rsidRPr="009D0B3A">
        <w:t xml:space="preserve">efficacité énergétique, un certain nombre de projets </w:t>
      </w:r>
      <w:r w:rsidR="00616FA7" w:rsidRPr="009D0B3A">
        <w:t>avaien</w:t>
      </w:r>
      <w:r w:rsidRPr="009D0B3A">
        <w:t>t vu le jour conformément à la décision</w:t>
      </w:r>
      <w:r w:rsidR="00532B5E">
        <w:t> </w:t>
      </w:r>
      <w:r w:rsidRPr="009D0B3A">
        <w:t>96/60 sur l</w:t>
      </w:r>
      <w:r w:rsidR="00AA6A89" w:rsidRPr="009D0B3A">
        <w:t>’</w:t>
      </w:r>
      <w:r w:rsidRPr="009D0B3A">
        <w:t xml:space="preserve">efficacité énergétique dans différentes applications de réfrigération et de climatisation. </w:t>
      </w:r>
      <w:r w:rsidR="003848C5" w:rsidRPr="009D0B3A">
        <w:t>L</w:t>
      </w:r>
      <w:r w:rsidRPr="009D0B3A">
        <w:t>es travaux sur les plans de gestion de l</w:t>
      </w:r>
      <w:r w:rsidR="00AA6A89" w:rsidRPr="009D0B3A">
        <w:t>’</w:t>
      </w:r>
      <w:r w:rsidRPr="009D0B3A">
        <w:t>élimination des HCFC et les plans de mise en œuvre de l</w:t>
      </w:r>
      <w:r w:rsidR="00AA6A89" w:rsidRPr="009D0B3A">
        <w:t>’</w:t>
      </w:r>
      <w:r w:rsidRPr="009D0B3A">
        <w:t>Amendement de Kigali se poursuivraient</w:t>
      </w:r>
      <w:r w:rsidR="007C74C6" w:rsidRPr="009D0B3A">
        <w:t xml:space="preserve">, </w:t>
      </w:r>
      <w:r w:rsidRPr="009D0B3A">
        <w:t>il y aurait une discussion sur les centres d</w:t>
      </w:r>
      <w:r w:rsidR="00AA6A89" w:rsidRPr="009D0B3A">
        <w:t>’</w:t>
      </w:r>
      <w:r w:rsidRPr="009D0B3A">
        <w:t>excellence et les centres d</w:t>
      </w:r>
      <w:r w:rsidR="00AA6A89" w:rsidRPr="009D0B3A">
        <w:t>’</w:t>
      </w:r>
      <w:r w:rsidRPr="009D0B3A">
        <w:t>essai</w:t>
      </w:r>
      <w:r w:rsidR="007C74C6" w:rsidRPr="009D0B3A">
        <w:t>,</w:t>
      </w:r>
      <w:r w:rsidRPr="009D0B3A">
        <w:t xml:space="preserve"> un document sur la gestion du cycle de vie des réfrigérants alimenterait la réflexion sur l</w:t>
      </w:r>
      <w:r w:rsidR="00AA6A89" w:rsidRPr="009D0B3A">
        <w:t>’</w:t>
      </w:r>
      <w:r w:rsidRPr="009D0B3A">
        <w:t>opportunité de créer un guichet de financement dédié</w:t>
      </w:r>
      <w:r w:rsidR="007C74C6" w:rsidRPr="009D0B3A">
        <w:t>,</w:t>
      </w:r>
      <w:r w:rsidRPr="009D0B3A">
        <w:t xml:space="preserve"> le Comité exécutif s</w:t>
      </w:r>
      <w:r w:rsidR="00AA6A89" w:rsidRPr="009D0B3A">
        <w:t>’</w:t>
      </w:r>
      <w:r w:rsidRPr="009D0B3A">
        <w:t>effo</w:t>
      </w:r>
      <w:r w:rsidR="001C0D8A" w:rsidRPr="009D0B3A">
        <w:t>rcer</w:t>
      </w:r>
      <w:r w:rsidRPr="009D0B3A">
        <w:t xml:space="preserve">ait de rationaliser les </w:t>
      </w:r>
      <w:r w:rsidR="004A562C" w:rsidRPr="009D0B3A">
        <w:t xml:space="preserve">exigences </w:t>
      </w:r>
      <w:r w:rsidRPr="009D0B3A">
        <w:t>en matière de communication d</w:t>
      </w:r>
      <w:r w:rsidR="00AA6A89" w:rsidRPr="009D0B3A">
        <w:t>’</w:t>
      </w:r>
      <w:r w:rsidRPr="009D0B3A">
        <w:t>informations afin d</w:t>
      </w:r>
      <w:r w:rsidR="00AA6A89" w:rsidRPr="009D0B3A">
        <w:t>’</w:t>
      </w:r>
      <w:r w:rsidRPr="009D0B3A">
        <w:t>alléger la charge qui p</w:t>
      </w:r>
      <w:r w:rsidR="007C74C6" w:rsidRPr="009D0B3A">
        <w:t xml:space="preserve">esait </w:t>
      </w:r>
      <w:r w:rsidRPr="009D0B3A">
        <w:t>sur les pays et les organismes d</w:t>
      </w:r>
      <w:r w:rsidR="00AA6A89" w:rsidRPr="009D0B3A">
        <w:t>’</w:t>
      </w:r>
      <w:r w:rsidRPr="009D0B3A">
        <w:t>exécution et il y aurait un</w:t>
      </w:r>
      <w:r w:rsidR="004A562C" w:rsidRPr="009D0B3A">
        <w:t xml:space="preserve"> exposé</w:t>
      </w:r>
      <w:r w:rsidRPr="009D0B3A">
        <w:t xml:space="preserve"> sur le cadre de résultats et les indicateurs de performance du Fonds multilatéral.</w:t>
      </w:r>
    </w:p>
    <w:p w14:paraId="731986EB" w14:textId="6635D85B" w:rsidR="00534065" w:rsidRPr="009D0B3A" w:rsidRDefault="00534065" w:rsidP="00BF73FE">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Enfin, Mme Birmpili a fourni des informations supplémentaires sur le centre de données en ligne </w:t>
      </w:r>
      <w:r w:rsidR="004A562C" w:rsidRPr="009D0B3A">
        <w:t xml:space="preserve">au titre </w:t>
      </w:r>
      <w:r w:rsidRPr="009D0B3A">
        <w:t>d</w:t>
      </w:r>
      <w:r w:rsidR="004A562C" w:rsidRPr="009D0B3A">
        <w:t>es</w:t>
      </w:r>
      <w:r w:rsidRPr="009D0B3A">
        <w:t xml:space="preserve"> programme</w:t>
      </w:r>
      <w:r w:rsidR="004A562C" w:rsidRPr="009D0B3A">
        <w:t>s</w:t>
      </w:r>
      <w:r w:rsidRPr="009D0B3A">
        <w:t xml:space="preserve"> de pays, qui a</w:t>
      </w:r>
      <w:r w:rsidR="007147DF" w:rsidRPr="009D0B3A">
        <w:t>vait</w:t>
      </w:r>
      <w:r w:rsidRPr="009D0B3A">
        <w:t xml:space="preserve"> été lancé le 1</w:t>
      </w:r>
      <w:r w:rsidRPr="00C6239E">
        <w:rPr>
          <w:vertAlign w:val="superscript"/>
        </w:rPr>
        <w:t>er</w:t>
      </w:r>
      <w:r w:rsidR="00C6239E">
        <w:rPr>
          <w:vertAlign w:val="superscript"/>
        </w:rPr>
        <w:t> </w:t>
      </w:r>
      <w:r w:rsidRPr="009D0B3A">
        <w:t>janvier 2025 pour la communication des données relatives à l</w:t>
      </w:r>
      <w:r w:rsidR="00AA6A89" w:rsidRPr="009D0B3A">
        <w:t>’</w:t>
      </w:r>
      <w:r w:rsidRPr="009D0B3A">
        <w:t>année 2024. Le système était actuellement utilisé par 123</w:t>
      </w:r>
      <w:r w:rsidR="00532B5E">
        <w:t> </w:t>
      </w:r>
      <w:r w:rsidRPr="009D0B3A">
        <w:t>pays et 118</w:t>
      </w:r>
      <w:r w:rsidR="00532B5E">
        <w:t> </w:t>
      </w:r>
      <w:r w:rsidRPr="009D0B3A">
        <w:t>pays avaient officiellement soumis leurs données</w:t>
      </w:r>
      <w:r w:rsidR="004A562C" w:rsidRPr="009D0B3A">
        <w:t xml:space="preserve"> pour 2024</w:t>
      </w:r>
      <w:r w:rsidRPr="009D0B3A">
        <w:t xml:space="preserve"> </w:t>
      </w:r>
      <w:r w:rsidR="004A562C" w:rsidRPr="009D0B3A">
        <w:t>au titre des</w:t>
      </w:r>
      <w:r w:rsidRPr="009D0B3A">
        <w:t xml:space="preserve"> programmes de pays via ce </w:t>
      </w:r>
      <w:r w:rsidRPr="009D0B3A">
        <w:lastRenderedPageBreak/>
        <w:t xml:space="preserve">système. Malgré </w:t>
      </w:r>
      <w:r w:rsidR="004A562C" w:rsidRPr="009D0B3A">
        <w:t>d</w:t>
      </w:r>
      <w:r w:rsidRPr="009D0B3A">
        <w:t xml:space="preserve">es défis liés à la confidentialité des données, Mme Birmpili était convaincue que le centre de données </w:t>
      </w:r>
      <w:r w:rsidR="004A562C" w:rsidRPr="009D0B3A">
        <w:t xml:space="preserve">au titre des </w:t>
      </w:r>
      <w:r w:rsidRPr="009D0B3A">
        <w:t>programme</w:t>
      </w:r>
      <w:r w:rsidR="004A562C" w:rsidRPr="009D0B3A">
        <w:t>s</w:t>
      </w:r>
      <w:r w:rsidRPr="009D0B3A">
        <w:t xml:space="preserve"> de pays serait opérationnel avant la quatre</w:t>
      </w:r>
      <w:r w:rsidR="007F267A">
        <w:noBreakHyphen/>
      </w:r>
      <w:r w:rsidRPr="009D0B3A">
        <w:t>vingt</w:t>
      </w:r>
      <w:r w:rsidR="007F267A">
        <w:noBreakHyphen/>
      </w:r>
      <w:r w:rsidRPr="009D0B3A">
        <w:t>dix</w:t>
      </w:r>
      <w:r w:rsidR="007F267A">
        <w:noBreakHyphen/>
      </w:r>
      <w:r w:rsidRPr="009D0B3A">
        <w:t>septième</w:t>
      </w:r>
      <w:r w:rsidR="006651DA">
        <w:t> </w:t>
      </w:r>
      <w:r w:rsidRPr="009D0B3A">
        <w:t>réunion du Comité</w:t>
      </w:r>
      <w:r w:rsidR="006651DA">
        <w:t> </w:t>
      </w:r>
      <w:r w:rsidRPr="009D0B3A">
        <w:t>exécutif.</w:t>
      </w:r>
    </w:p>
    <w:p w14:paraId="3559CE1F" w14:textId="77777777" w:rsidR="00534065" w:rsidRPr="009D0B3A" w:rsidRDefault="00534065" w:rsidP="00BF73FE">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Comité a pris note des informations fournies.</w:t>
      </w:r>
    </w:p>
    <w:p w14:paraId="1658F500" w14:textId="015C3815" w:rsidR="001555C7" w:rsidRPr="009D0B3A" w:rsidRDefault="00EF3773" w:rsidP="00EF3773">
      <w:pPr>
        <w:pStyle w:val="CH1"/>
      </w:pPr>
      <w:r>
        <w:rPr>
          <w:bCs/>
        </w:rPr>
        <w:tab/>
      </w:r>
      <w:r w:rsidR="00160FEE">
        <w:t>V</w:t>
      </w:r>
      <w:r w:rsidRPr="00852ABF">
        <w:t>.</w:t>
      </w:r>
      <w:r>
        <w:rPr>
          <w:bCs/>
        </w:rPr>
        <w:tab/>
      </w:r>
      <w:r w:rsidR="007F7B08" w:rsidRPr="009D0B3A">
        <w:rPr>
          <w:bCs/>
        </w:rPr>
        <w:t>Suite donnée aux décisions des Parties et aux recommandations du</w:t>
      </w:r>
      <w:r w:rsidR="008F4DFB">
        <w:rPr>
          <w:bCs/>
        </w:rPr>
        <w:t> </w:t>
      </w:r>
      <w:r w:rsidR="007F7B08" w:rsidRPr="009D0B3A">
        <w:rPr>
          <w:bCs/>
        </w:rPr>
        <w:t>Comité d</w:t>
      </w:r>
      <w:r w:rsidR="00AA6A89" w:rsidRPr="009D0B3A">
        <w:rPr>
          <w:bCs/>
        </w:rPr>
        <w:t>’</w:t>
      </w:r>
      <w:r w:rsidR="007F7B08" w:rsidRPr="009D0B3A">
        <w:rPr>
          <w:bCs/>
        </w:rPr>
        <w:t>application concernant certaines questions de</w:t>
      </w:r>
      <w:r w:rsidR="00F55BBA">
        <w:rPr>
          <w:bCs/>
        </w:rPr>
        <w:t> </w:t>
      </w:r>
      <w:r w:rsidR="007F7B08" w:rsidRPr="009D0B3A">
        <w:rPr>
          <w:bCs/>
        </w:rPr>
        <w:t>non</w:t>
      </w:r>
      <w:r w:rsidR="00F55BBA">
        <w:rPr>
          <w:bCs/>
        </w:rPr>
        <w:noBreakHyphen/>
      </w:r>
      <w:r w:rsidR="007F7B08" w:rsidRPr="009D0B3A">
        <w:rPr>
          <w:bCs/>
        </w:rPr>
        <w:t>respect</w:t>
      </w:r>
      <w:r w:rsidR="00263D80" w:rsidRPr="009D0B3A">
        <w:rPr>
          <w:bCs/>
        </w:rPr>
        <w:t> </w:t>
      </w:r>
    </w:p>
    <w:p w14:paraId="0F699344" w14:textId="513931E3" w:rsidR="00B219BA" w:rsidRPr="009D0B3A" w:rsidRDefault="00311B40" w:rsidP="00AC7437">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Un représentant du Secrétariat a présenté des informations sur les cas de non-respect des obligations découlant du Protocole de</w:t>
      </w:r>
      <w:r w:rsidR="006651DA">
        <w:t> </w:t>
      </w:r>
      <w:r w:rsidRPr="009D0B3A">
        <w:t>Montréal (UNEP/OzL.Pro/ImpCom/75/R.3), ainsi que la liste des questions de non-respect devant être examinées par le Comité</w:t>
      </w:r>
      <w:r w:rsidR="006F32CD" w:rsidRPr="009D0B3A">
        <w:t xml:space="preserve"> lors de la réunion en cours </w:t>
      </w:r>
      <w:r w:rsidRPr="009D0B3A">
        <w:t>(UNEP/OzL.Pro/ImpCom/75/INF/R.1) et les informations communiquées par les Parties (UNEP/OzL.Pro/ImpCom/75/INF/R.2)</w:t>
      </w:r>
      <w:bookmarkStart w:id="11" w:name="_Hlk180703408"/>
      <w:bookmarkEnd w:id="11"/>
      <w:r w:rsidR="000B05DC" w:rsidRPr="009D0B3A">
        <w:t>.</w:t>
      </w:r>
    </w:p>
    <w:p w14:paraId="09CA88C2" w14:textId="267B1069" w:rsidR="00DB512F" w:rsidRPr="009D0B3A" w:rsidRDefault="00E56C00" w:rsidP="00E56C00">
      <w:pPr>
        <w:pStyle w:val="CH2"/>
      </w:pPr>
      <w:r>
        <w:rPr>
          <w:bCs/>
        </w:rPr>
        <w:tab/>
      </w:r>
      <w:r w:rsidR="005F012E" w:rsidRPr="00852ABF">
        <w:t>A.</w:t>
      </w:r>
      <w:r>
        <w:rPr>
          <w:bCs/>
        </w:rPr>
        <w:tab/>
      </w:r>
      <w:r w:rsidR="007F7B08" w:rsidRPr="009D0B3A">
        <w:rPr>
          <w:bCs/>
        </w:rPr>
        <w:t>Obligations de communication des données au titre de</w:t>
      </w:r>
      <w:r w:rsidR="00CB48F6">
        <w:rPr>
          <w:bCs/>
        </w:rPr>
        <w:t> </w:t>
      </w:r>
      <w:r w:rsidR="007F7B08" w:rsidRPr="009D0B3A">
        <w:rPr>
          <w:bCs/>
        </w:rPr>
        <w:t>l</w:t>
      </w:r>
      <w:r w:rsidR="00AA6A89" w:rsidRPr="009D0B3A">
        <w:rPr>
          <w:bCs/>
        </w:rPr>
        <w:t>’</w:t>
      </w:r>
      <w:r w:rsidR="007F7B08" w:rsidRPr="009D0B3A">
        <w:rPr>
          <w:bCs/>
        </w:rPr>
        <w:t>article</w:t>
      </w:r>
      <w:r w:rsidR="007A16C6">
        <w:rPr>
          <w:bCs/>
        </w:rPr>
        <w:t> </w:t>
      </w:r>
      <w:r w:rsidR="007F7B08" w:rsidRPr="009D0B3A">
        <w:rPr>
          <w:bCs/>
        </w:rPr>
        <w:t>7</w:t>
      </w:r>
      <w:r w:rsidR="00CB48F6">
        <w:rPr>
          <w:bCs/>
        </w:rPr>
        <w:t> </w:t>
      </w:r>
      <w:r w:rsidR="007F7B08" w:rsidRPr="009D0B3A">
        <w:rPr>
          <w:bCs/>
        </w:rPr>
        <w:t>(décision</w:t>
      </w:r>
      <w:r w:rsidR="006651DA">
        <w:rPr>
          <w:bCs/>
        </w:rPr>
        <w:t> </w:t>
      </w:r>
      <w:r w:rsidR="007F7B08" w:rsidRPr="009D0B3A">
        <w:rPr>
          <w:bCs/>
        </w:rPr>
        <w:t>XXXVI/13)</w:t>
      </w:r>
      <w:r w:rsidR="00AA6A89" w:rsidRPr="009D0B3A">
        <w:rPr>
          <w:bCs/>
        </w:rPr>
        <w:t> :</w:t>
      </w:r>
      <w:r w:rsidR="007F7B08" w:rsidRPr="009D0B3A">
        <w:rPr>
          <w:bCs/>
        </w:rPr>
        <w:t xml:space="preserve"> Côte d</w:t>
      </w:r>
      <w:r w:rsidR="00AA6A89" w:rsidRPr="009D0B3A">
        <w:rPr>
          <w:bCs/>
        </w:rPr>
        <w:t>’</w:t>
      </w:r>
      <w:r w:rsidR="007F7B08" w:rsidRPr="009D0B3A">
        <w:rPr>
          <w:bCs/>
        </w:rPr>
        <w:t>Ivoire (recommandation</w:t>
      </w:r>
      <w:r w:rsidR="006651DA">
        <w:rPr>
          <w:bCs/>
        </w:rPr>
        <w:t> </w:t>
      </w:r>
      <w:r w:rsidR="007F7B08" w:rsidRPr="009D0B3A">
        <w:rPr>
          <w:bCs/>
        </w:rPr>
        <w:t xml:space="preserve">74/1) </w:t>
      </w:r>
    </w:p>
    <w:p w14:paraId="022BC4D7" w14:textId="5715A604" w:rsidR="00F50858" w:rsidRPr="009D0B3A" w:rsidRDefault="00DB512F" w:rsidP="00480F6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Dans la décision</w:t>
      </w:r>
      <w:r w:rsidR="006651DA">
        <w:t> </w:t>
      </w:r>
      <w:r w:rsidRPr="009D0B3A">
        <w:t>XXXVI/13, la trente-sixième</w:t>
      </w:r>
      <w:r w:rsidR="006651DA">
        <w:t> </w:t>
      </w:r>
      <w:r w:rsidR="008E42AF" w:rsidRPr="009D0B3A">
        <w:t>R</w:t>
      </w:r>
      <w:r w:rsidRPr="009D0B3A">
        <w:t>éunion des Parties avait noté que la Côte</w:t>
      </w:r>
      <w:r w:rsidR="00CB48F6">
        <w:t> </w:t>
      </w:r>
      <w:r w:rsidRPr="009D0B3A">
        <w:t>d</w:t>
      </w:r>
      <w:r w:rsidR="00AA6A89" w:rsidRPr="009D0B3A">
        <w:t>’</w:t>
      </w:r>
      <w:r w:rsidRPr="009D0B3A">
        <w:t>Ivoire, Partie ayant ratifié l</w:t>
      </w:r>
      <w:r w:rsidR="00AA6A89" w:rsidRPr="009D0B3A">
        <w:t>’</w:t>
      </w:r>
      <w:r w:rsidRPr="009D0B3A">
        <w:t xml:space="preserve">Amendement de Kigali, avait soumis des données pour </w:t>
      </w:r>
      <w:r w:rsidR="00941C87" w:rsidRPr="009D0B3A">
        <w:t xml:space="preserve">2023 relatives à </w:t>
      </w:r>
      <w:r w:rsidRPr="009D0B3A">
        <w:t>d</w:t>
      </w:r>
      <w:r w:rsidR="00AA6A89" w:rsidRPr="009D0B3A">
        <w:t>’</w:t>
      </w:r>
      <w:r w:rsidRPr="009D0B3A">
        <w:t xml:space="preserve">autres substances réglementées mais pas </w:t>
      </w:r>
      <w:r w:rsidR="00941C87" w:rsidRPr="009D0B3A">
        <w:t>aux</w:t>
      </w:r>
      <w:r w:rsidRPr="009D0B3A">
        <w:t xml:space="preserve"> HFC. À sa soixante-quatorzième réunion, le Comité avait adopté la recommandation</w:t>
      </w:r>
      <w:r w:rsidR="006651DA">
        <w:t> </w:t>
      </w:r>
      <w:r w:rsidRPr="009D0B3A">
        <w:t>74/1, dans laquelle il avait noté avec préoccupation que la Côte</w:t>
      </w:r>
      <w:r w:rsidR="00CB48F6">
        <w:t> </w:t>
      </w:r>
      <w:r w:rsidRPr="009D0B3A">
        <w:t>d</w:t>
      </w:r>
      <w:r w:rsidR="00AA6A89" w:rsidRPr="009D0B3A">
        <w:t>’</w:t>
      </w:r>
      <w:r w:rsidRPr="009D0B3A">
        <w:t>Ivoire n</w:t>
      </w:r>
      <w:r w:rsidR="00AA6A89" w:rsidRPr="009D0B3A">
        <w:t>’</w:t>
      </w:r>
      <w:r w:rsidRPr="009D0B3A">
        <w:t xml:space="preserve">avait pas encore communiqué au Secrétariat les données </w:t>
      </w:r>
      <w:r w:rsidR="00E35048" w:rsidRPr="009D0B3A">
        <w:t xml:space="preserve">pour 2023 </w:t>
      </w:r>
      <w:r w:rsidRPr="009D0B3A">
        <w:t>demandées à l</w:t>
      </w:r>
      <w:r w:rsidR="00AA6A89" w:rsidRPr="009D0B3A">
        <w:t>’</w:t>
      </w:r>
      <w:r w:rsidRPr="009D0B3A">
        <w:t>article</w:t>
      </w:r>
      <w:r w:rsidR="006651DA">
        <w:t> </w:t>
      </w:r>
      <w:r w:rsidRPr="009D0B3A">
        <w:t>7</w:t>
      </w:r>
      <w:r w:rsidR="00CB48F6">
        <w:t> </w:t>
      </w:r>
      <w:r w:rsidRPr="009D0B3A">
        <w:t>s</w:t>
      </w:r>
      <w:r w:rsidR="00AA6A89" w:rsidRPr="009D0B3A">
        <w:t>’</w:t>
      </w:r>
      <w:r w:rsidRPr="009D0B3A">
        <w:t>agissant des HFC et que cette Partie ne respectait donc toujours pas ses obligations de communi</w:t>
      </w:r>
      <w:r w:rsidR="00412331" w:rsidRPr="009D0B3A">
        <w:t>cation</w:t>
      </w:r>
      <w:r w:rsidRPr="009D0B3A">
        <w:t xml:space="preserve"> de données au titre du paragraphe</w:t>
      </w:r>
      <w:r w:rsidR="006651DA">
        <w:t> </w:t>
      </w:r>
      <w:r w:rsidRPr="009D0B3A">
        <w:t>3 de l</w:t>
      </w:r>
      <w:r w:rsidR="00AA6A89" w:rsidRPr="009D0B3A">
        <w:t>’</w:t>
      </w:r>
      <w:r w:rsidRPr="009D0B3A">
        <w:t>article</w:t>
      </w:r>
      <w:r w:rsidR="006651DA">
        <w:t> </w:t>
      </w:r>
      <w:r w:rsidRPr="009D0B3A">
        <w:t>7 du Protocole de</w:t>
      </w:r>
      <w:r w:rsidR="006651DA">
        <w:t> </w:t>
      </w:r>
      <w:r w:rsidRPr="009D0B3A">
        <w:t>Montréal. Dans la même recommandation, le Comité avait exhorté la Côte d</w:t>
      </w:r>
      <w:r w:rsidR="00AA6A89" w:rsidRPr="009D0B3A">
        <w:t>’</w:t>
      </w:r>
      <w:r w:rsidRPr="009D0B3A">
        <w:t>Ivoire à communiquer au Secrétariat, à titre prioritaire et au plus tard le 15</w:t>
      </w:r>
      <w:r w:rsidR="0082746E">
        <w:t> </w:t>
      </w:r>
      <w:r w:rsidRPr="009D0B3A">
        <w:t>septembre 2025, ses données manquantes pour 2023 concernant les HFC, afin de pouvoir évaluer, à sa soixante-quinzième réunion, la situation de cette Partie au regard de ses obligations en matière de communication de données. La Côte d</w:t>
      </w:r>
      <w:r w:rsidR="00AA6A89" w:rsidRPr="009D0B3A">
        <w:t>’</w:t>
      </w:r>
      <w:r w:rsidRPr="009D0B3A">
        <w:t>Ivoire avait ensuite soumis ses données relatives aux HFC pour 2023, conformément à l</w:t>
      </w:r>
      <w:r w:rsidR="00AA6A89" w:rsidRPr="009D0B3A">
        <w:t>’</w:t>
      </w:r>
      <w:r w:rsidRPr="009D0B3A">
        <w:t>article</w:t>
      </w:r>
      <w:r w:rsidR="0082746E">
        <w:t> </w:t>
      </w:r>
      <w:r w:rsidRPr="009D0B3A">
        <w:t>7.</w:t>
      </w:r>
    </w:p>
    <w:p w14:paraId="1EA32E4B" w14:textId="7A4A1AF6" w:rsidR="00F50858" w:rsidRPr="009D0B3A" w:rsidRDefault="00F50858" w:rsidP="00480F65">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bookmarkStart w:id="12" w:name="_Hlk171449747"/>
      <w:r w:rsidRPr="009D0B3A">
        <w:t>Le Comité a donc décidé de noter avec satisfaction que la Côte d</w:t>
      </w:r>
      <w:r w:rsidR="00AA6A89" w:rsidRPr="009D0B3A">
        <w:t>’</w:t>
      </w:r>
      <w:r w:rsidRPr="009D0B3A">
        <w:t>Ivoire avait soumis au Secrétariat les données manquantes pour 2023 sur les substances inscrites à l</w:t>
      </w:r>
      <w:r w:rsidR="00AA6A89" w:rsidRPr="009D0B3A">
        <w:t>’</w:t>
      </w:r>
      <w:r w:rsidRPr="009D0B3A">
        <w:t>Annexe</w:t>
      </w:r>
      <w:r w:rsidR="0082746E">
        <w:t> </w:t>
      </w:r>
      <w:r w:rsidRPr="009D0B3A">
        <w:t>F, comme demandé au paragraphe</w:t>
      </w:r>
      <w:r w:rsidR="0082746E">
        <w:t> </w:t>
      </w:r>
      <w:r w:rsidRPr="009D0B3A">
        <w:t>3 de l</w:t>
      </w:r>
      <w:r w:rsidR="00AA6A89" w:rsidRPr="009D0B3A">
        <w:t>’</w:t>
      </w:r>
      <w:r w:rsidRPr="009D0B3A">
        <w:t>article</w:t>
      </w:r>
      <w:r w:rsidR="007D2B8A">
        <w:t> </w:t>
      </w:r>
      <w:r w:rsidRPr="009D0B3A">
        <w:t>7 du Protocole de</w:t>
      </w:r>
      <w:r w:rsidR="004D160A">
        <w:t> </w:t>
      </w:r>
      <w:r w:rsidRPr="009D0B3A">
        <w:t>Montréal, conformément à ses obligations en</w:t>
      </w:r>
      <w:r w:rsidR="00101267">
        <w:t> </w:t>
      </w:r>
      <w:r w:rsidRPr="009D0B3A">
        <w:t>la matière et comme elle avait été vivement engagée à le faire au paragraphe</w:t>
      </w:r>
      <w:r w:rsidR="004D160A">
        <w:t> </w:t>
      </w:r>
      <w:r w:rsidRPr="009D0B3A">
        <w:t>7 de la décision</w:t>
      </w:r>
      <w:r w:rsidR="00101267">
        <w:t> </w:t>
      </w:r>
      <w:r w:rsidRPr="009D0B3A">
        <w:t>XXXVI/13 et dans la recommandation</w:t>
      </w:r>
      <w:r w:rsidR="004D160A">
        <w:t> </w:t>
      </w:r>
      <w:r w:rsidRPr="009D0B3A">
        <w:t>74/1.</w:t>
      </w:r>
    </w:p>
    <w:bookmarkEnd w:id="12"/>
    <w:p w14:paraId="311B0B0E" w14:textId="741BDD62" w:rsidR="006D1012" w:rsidRPr="009D0B3A" w:rsidRDefault="007F7B08" w:rsidP="007F7B08">
      <w:pPr>
        <w:pStyle w:val="CH2"/>
      </w:pPr>
      <w:r w:rsidRPr="009D0B3A">
        <w:tab/>
      </w:r>
      <w:r w:rsidR="00AB274A" w:rsidRPr="009D0B3A">
        <w:rPr>
          <w:bCs/>
        </w:rPr>
        <w:t>B.</w:t>
      </w:r>
      <w:r w:rsidR="009E5D97" w:rsidRPr="009D0B3A">
        <w:tab/>
      </w:r>
      <w:r w:rsidRPr="009D0B3A">
        <w:rPr>
          <w:bCs/>
        </w:rPr>
        <w:t>Plans d</w:t>
      </w:r>
      <w:r w:rsidR="00AA6A89" w:rsidRPr="009D0B3A">
        <w:rPr>
          <w:bCs/>
        </w:rPr>
        <w:t>’</w:t>
      </w:r>
      <w:r w:rsidRPr="009D0B3A">
        <w:rPr>
          <w:bCs/>
        </w:rPr>
        <w:t xml:space="preserve">action en cours pour revenir à une situation de respect </w:t>
      </w:r>
    </w:p>
    <w:p w14:paraId="7060ACD1" w14:textId="6C3EA0A3" w:rsidR="00527DD8" w:rsidRPr="009D0B3A" w:rsidRDefault="007F7B08" w:rsidP="007F7B08">
      <w:pPr>
        <w:pStyle w:val="CH3"/>
      </w:pPr>
      <w:r w:rsidRPr="009D0B3A">
        <w:tab/>
      </w:r>
      <w:r w:rsidR="00AB274A" w:rsidRPr="009D0B3A">
        <w:rPr>
          <w:bCs/>
        </w:rPr>
        <w:t>1.</w:t>
      </w:r>
      <w:r w:rsidR="009E5D97" w:rsidRPr="009D0B3A">
        <w:tab/>
      </w:r>
      <w:r w:rsidRPr="009D0B3A">
        <w:rPr>
          <w:bCs/>
        </w:rPr>
        <w:t>République populaire démocratique de Corée (décisions</w:t>
      </w:r>
      <w:r w:rsidR="004D160A">
        <w:rPr>
          <w:bCs/>
        </w:rPr>
        <w:t> </w:t>
      </w:r>
      <w:r w:rsidRPr="009D0B3A">
        <w:rPr>
          <w:bCs/>
        </w:rPr>
        <w:t>XXXII/6 et XXXV/18)</w:t>
      </w:r>
    </w:p>
    <w:p w14:paraId="4B82154D" w14:textId="2FCF343E" w:rsidR="00B15F45" w:rsidRPr="009D0B3A" w:rsidRDefault="00B15F45" w:rsidP="00723BF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représentant du Secrétariat a rappelé que, dans sa décision</w:t>
      </w:r>
      <w:r w:rsidR="004D160A">
        <w:t> </w:t>
      </w:r>
      <w:r w:rsidRPr="009D0B3A">
        <w:t>XXXII/6, la</w:t>
      </w:r>
      <w:r w:rsidR="004D160A">
        <w:br/>
      </w:r>
      <w:r w:rsidRPr="009D0B3A">
        <w:t>trente-deuxième</w:t>
      </w:r>
      <w:r w:rsidR="004D160A">
        <w:t> </w:t>
      </w:r>
      <w:r w:rsidRPr="009D0B3A">
        <w:t>Réunion des Parties avait pris note avec satisfaction du plan d</w:t>
      </w:r>
      <w:r w:rsidR="00AA6A89" w:rsidRPr="009D0B3A">
        <w:t>’</w:t>
      </w:r>
      <w:r w:rsidRPr="009D0B3A">
        <w:t>action de la République populaire démocratique de Corée visant à assurer son retour à une situation de respect par des engagements de réduction annuelle de la consommation et de la production de HCFC jusqu</w:t>
      </w:r>
      <w:r w:rsidR="00AA6A89" w:rsidRPr="009D0B3A">
        <w:t>’</w:t>
      </w:r>
      <w:r w:rsidRPr="009D0B3A">
        <w:t>en 2023. La Partie s</w:t>
      </w:r>
      <w:r w:rsidR="00AA6A89" w:rsidRPr="009D0B3A">
        <w:t>’</w:t>
      </w:r>
      <w:r w:rsidRPr="009D0B3A">
        <w:t>était également engagée à mettre en place des politiques nationales supplémentaires afin de faciliter l</w:t>
      </w:r>
      <w:r w:rsidR="00AA6A89" w:rsidRPr="009D0B3A">
        <w:t>’</w:t>
      </w:r>
      <w:r w:rsidRPr="009D0B3A">
        <w:t xml:space="preserve">élimination des HCFC, pouvant inclure, </w:t>
      </w:r>
      <w:r w:rsidR="005D5846" w:rsidRPr="009D0B3A">
        <w:t>sans s’y limiter</w:t>
      </w:r>
      <w:r w:rsidRPr="009D0B3A">
        <w:t xml:space="preserve">, une interdiction </w:t>
      </w:r>
      <w:r w:rsidR="0046029F" w:rsidRPr="009D0B3A">
        <w:t xml:space="preserve">frappant les </w:t>
      </w:r>
      <w:r w:rsidRPr="009D0B3A">
        <w:t xml:space="preserve">importations, </w:t>
      </w:r>
      <w:r w:rsidR="0046029F" w:rsidRPr="009D0B3A">
        <w:t xml:space="preserve">la fabrication </w:t>
      </w:r>
      <w:r w:rsidRPr="009D0B3A">
        <w:t xml:space="preserve">ou </w:t>
      </w:r>
      <w:r w:rsidR="0046029F" w:rsidRPr="009D0B3A">
        <w:t>les</w:t>
      </w:r>
      <w:r w:rsidRPr="009D0B3A">
        <w:t xml:space="preserve"> nouvelles installations de production, et la certification des technicien(ne)s et des entreprises du secteur du froid. </w:t>
      </w:r>
    </w:p>
    <w:p w14:paraId="220D0685" w14:textId="67CFE755" w:rsidR="00B15F45" w:rsidRPr="009D0B3A" w:rsidRDefault="00CE704A" w:rsidP="00723BF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Les données relatives aux HCFC soumises par la Partie au titre de l</w:t>
      </w:r>
      <w:r w:rsidR="00AA6A89" w:rsidRPr="009D0B3A">
        <w:t>’</w:t>
      </w:r>
      <w:r w:rsidRPr="009D0B3A">
        <w:t>article</w:t>
      </w:r>
      <w:r w:rsidR="004D160A">
        <w:t> </w:t>
      </w:r>
      <w:r w:rsidRPr="009D0B3A">
        <w:t>7 montr</w:t>
      </w:r>
      <w:r w:rsidR="002649A4" w:rsidRPr="009D0B3A">
        <w:t>ai</w:t>
      </w:r>
      <w:r w:rsidR="005D5846" w:rsidRPr="009D0B3A">
        <w:t>en</w:t>
      </w:r>
      <w:r w:rsidR="002649A4" w:rsidRPr="009D0B3A">
        <w:t>t</w:t>
      </w:r>
      <w:r w:rsidRPr="009D0B3A">
        <w:t xml:space="preserve"> une baisse continue des niveaux de production et de consommation depuis 2020, ainsi que le respect du plan d</w:t>
      </w:r>
      <w:r w:rsidR="00AA6A89" w:rsidRPr="009D0B3A">
        <w:t>’</w:t>
      </w:r>
      <w:r w:rsidRPr="009D0B3A">
        <w:t xml:space="preserve">action pour 2020 et 2022. Les données pour 2021 </w:t>
      </w:r>
      <w:r w:rsidR="00BB1FDA" w:rsidRPr="009D0B3A">
        <w:t>faisaient état de</w:t>
      </w:r>
      <w:r w:rsidRPr="009D0B3A">
        <w:t xml:space="preserve"> niveaux de production et de consommation légèrement supérieurs à ses engagements, tandis que les données pour 2023 et 2024 indiquaient qu</w:t>
      </w:r>
      <w:r w:rsidR="00AA6A89" w:rsidRPr="009D0B3A">
        <w:t>’</w:t>
      </w:r>
      <w:r w:rsidRPr="009D0B3A">
        <w:t>elle les avait dépassé</w:t>
      </w:r>
      <w:r w:rsidR="00945918" w:rsidRPr="009D0B3A">
        <w:t>s</w:t>
      </w:r>
      <w:r w:rsidRPr="009D0B3A">
        <w:t xml:space="preserve"> pour ces deux années et qu</w:t>
      </w:r>
      <w:r w:rsidR="00AA6A89" w:rsidRPr="009D0B3A">
        <w:t>’</w:t>
      </w:r>
      <w:r w:rsidRPr="009D0B3A">
        <w:t xml:space="preserve">elle était donc possiblement en situation de non-respect de ces engagements et des mesures de </w:t>
      </w:r>
      <w:r w:rsidR="000F45A6" w:rsidRPr="009D0B3A">
        <w:t>réglementation</w:t>
      </w:r>
      <w:r w:rsidRPr="009D0B3A">
        <w:t xml:space="preserve"> prévues par le Protocole de</w:t>
      </w:r>
      <w:r w:rsidR="004D160A">
        <w:t> </w:t>
      </w:r>
      <w:r w:rsidRPr="009D0B3A">
        <w:t xml:space="preserve">Montréal. </w:t>
      </w:r>
    </w:p>
    <w:p w14:paraId="12A6F36C" w14:textId="240953FE" w:rsidR="00B15F45" w:rsidRPr="009D0B3A" w:rsidRDefault="000746B1" w:rsidP="00723BF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ce qui concern</w:t>
      </w:r>
      <w:r w:rsidR="009D538D" w:rsidRPr="009D0B3A">
        <w:t>ait</w:t>
      </w:r>
      <w:r w:rsidRPr="009D0B3A">
        <w:t xml:space="preserve"> l</w:t>
      </w:r>
      <w:r w:rsidR="00AA6A89" w:rsidRPr="009D0B3A">
        <w:t>’</w:t>
      </w:r>
      <w:r w:rsidRPr="009D0B3A">
        <w:t>écart de 2021, le Secrétariat avait informé le Comité à ses</w:t>
      </w:r>
      <w:r w:rsidR="004D160A">
        <w:br/>
      </w:r>
      <w:r w:rsidRPr="009D0B3A">
        <w:t>soixante-douzième et soixante-treizième</w:t>
      </w:r>
      <w:r w:rsidR="004D160A">
        <w:t> </w:t>
      </w:r>
      <w:r w:rsidRPr="009D0B3A">
        <w:t>réunions, en 2024, que</w:t>
      </w:r>
      <w:r w:rsidR="009D538D" w:rsidRPr="009D0B3A">
        <w:t>,</w:t>
      </w:r>
      <w:r w:rsidRPr="009D0B3A">
        <w:t xml:space="preserve"> lors d</w:t>
      </w:r>
      <w:r w:rsidR="00AA6A89" w:rsidRPr="009D0B3A">
        <w:t>’</w:t>
      </w:r>
      <w:r w:rsidRPr="009D0B3A">
        <w:t>un échange en personne avec deux représentants de la République populaire démocratique de Corée en mars 2024, la Partie avait expliqué que l</w:t>
      </w:r>
      <w:r w:rsidR="00AA6A89" w:rsidRPr="009D0B3A">
        <w:t>’</w:t>
      </w:r>
      <w:r w:rsidRPr="009D0B3A">
        <w:t xml:space="preserve">écart de 2021 était dû à une erreur de calcul de sa part. </w:t>
      </w:r>
      <w:r w:rsidR="00265D5B" w:rsidRPr="009D0B3A">
        <w:t xml:space="preserve">Elle </w:t>
      </w:r>
      <w:r w:rsidRPr="009D0B3A">
        <w:t>n</w:t>
      </w:r>
      <w:r w:rsidR="00AA6A89" w:rsidRPr="009D0B3A">
        <w:t>’</w:t>
      </w:r>
      <w:r w:rsidRPr="009D0B3A">
        <w:t>avait pas fourni d</w:t>
      </w:r>
      <w:r w:rsidR="00AA6A89" w:rsidRPr="009D0B3A">
        <w:t>’</w:t>
      </w:r>
      <w:r w:rsidRPr="009D0B3A">
        <w:t xml:space="preserve">explications supplémentaires en réponse aux recommandations du Comité mais pouvait toujours </w:t>
      </w:r>
      <w:r w:rsidR="00293247" w:rsidRPr="009D0B3A">
        <w:lastRenderedPageBreak/>
        <w:t xml:space="preserve">présenter une </w:t>
      </w:r>
      <w:r w:rsidRPr="009D0B3A">
        <w:t xml:space="preserve">demande </w:t>
      </w:r>
      <w:r w:rsidR="00293247" w:rsidRPr="009D0B3A">
        <w:t xml:space="preserve">de </w:t>
      </w:r>
      <w:r w:rsidRPr="009D0B3A">
        <w:t>correction des données relatives aux HCFC pour 2021</w:t>
      </w:r>
      <w:r w:rsidR="00293247" w:rsidRPr="009D0B3A">
        <w:t>, accompagnée d’une note explicative,</w:t>
      </w:r>
      <w:r w:rsidRPr="009D0B3A">
        <w:t xml:space="preserve"> en vertu du paragraphe</w:t>
      </w:r>
      <w:r w:rsidR="004D160A">
        <w:t> </w:t>
      </w:r>
      <w:r w:rsidRPr="009D0B3A">
        <w:t>3 de la décision</w:t>
      </w:r>
      <w:r w:rsidR="004D160A">
        <w:t> </w:t>
      </w:r>
      <w:r w:rsidRPr="009D0B3A">
        <w:t>VI/5.</w:t>
      </w:r>
      <w:bookmarkStart w:id="13" w:name="_Hlk212817891"/>
      <w:bookmarkEnd w:id="13"/>
    </w:p>
    <w:p w14:paraId="512D39A2" w14:textId="49C349F4" w:rsidR="000746B1" w:rsidRPr="009D0B3A" w:rsidRDefault="000746B1" w:rsidP="00723BF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Dans </w:t>
      </w:r>
      <w:r w:rsidR="00652FD0" w:rsidRPr="009D0B3A">
        <w:t>s</w:t>
      </w:r>
      <w:r w:rsidRPr="009D0B3A">
        <w:t>a décision</w:t>
      </w:r>
      <w:r w:rsidR="004D160A">
        <w:t> </w:t>
      </w:r>
      <w:r w:rsidRPr="009D0B3A">
        <w:t>XXXVI/16, la trente-sixième</w:t>
      </w:r>
      <w:r w:rsidR="004D160A">
        <w:t> </w:t>
      </w:r>
      <w:r w:rsidRPr="009D0B3A">
        <w:t>Réunion des Parties avait noté avec préoccupation que la République populaire démocratique de Corée n</w:t>
      </w:r>
      <w:r w:rsidR="00AA6A89" w:rsidRPr="009D0B3A">
        <w:t>’</w:t>
      </w:r>
      <w:r w:rsidRPr="009D0B3A">
        <w:t>avait pas honoré ses engagements pour 2021. Elle s</w:t>
      </w:r>
      <w:r w:rsidR="00AA6A89" w:rsidRPr="009D0B3A">
        <w:t>’</w:t>
      </w:r>
      <w:r w:rsidRPr="009D0B3A">
        <w:t>était également déclarée vivement préoccupée par l</w:t>
      </w:r>
      <w:r w:rsidR="00AA6A89" w:rsidRPr="009D0B3A">
        <w:t>’</w:t>
      </w:r>
      <w:r w:rsidRPr="009D0B3A">
        <w:t>absence de communication de la part de cette Partie, malgré plusieurs demandes formulées par le Comité d</w:t>
      </w:r>
      <w:r w:rsidR="00AA6A89" w:rsidRPr="009D0B3A">
        <w:t>’</w:t>
      </w:r>
      <w:r w:rsidRPr="009D0B3A">
        <w:t>application dans ses recommandations</w:t>
      </w:r>
      <w:r w:rsidR="004D160A">
        <w:t> </w:t>
      </w:r>
      <w:r w:rsidRPr="009D0B3A">
        <w:t>68/4, 69/4, 70/2 et 72/3 et des rappels répétés de la part du Secrétariat. Elle avait également noté que la Partie avait communiqué toutes les données manquantes visées à l</w:t>
      </w:r>
      <w:r w:rsidR="00AA6A89" w:rsidRPr="009D0B3A">
        <w:t>’</w:t>
      </w:r>
      <w:r w:rsidRPr="009D0B3A">
        <w:t>article</w:t>
      </w:r>
      <w:r w:rsidR="00A066BC">
        <w:t> </w:t>
      </w:r>
      <w:r w:rsidRPr="009D0B3A">
        <w:t>7 pour 2022, confirmant le respect des engagements qu</w:t>
      </w:r>
      <w:r w:rsidR="00AA6A89" w:rsidRPr="009D0B3A">
        <w:t>’</w:t>
      </w:r>
      <w:r w:rsidRPr="009D0B3A">
        <w:t>elle avait pris dans son plan d</w:t>
      </w:r>
      <w:r w:rsidR="00AA6A89" w:rsidRPr="009D0B3A">
        <w:t>’</w:t>
      </w:r>
      <w:r w:rsidRPr="009D0B3A">
        <w:t>action pour revenir à une situation de respect pour cette année-là. Elle avait exhorté la Partie à fournir des explications justifiant les écarts constatés pour 2021</w:t>
      </w:r>
      <w:r w:rsidR="001F4150" w:rsidRPr="009D0B3A">
        <w:t>,</w:t>
      </w:r>
      <w:r w:rsidRPr="009D0B3A">
        <w:t xml:space="preserve"> ainsi que ses données pour 2023 au titre de l</w:t>
      </w:r>
      <w:r w:rsidR="00AA6A89" w:rsidRPr="009D0B3A">
        <w:t>’</w:t>
      </w:r>
      <w:r w:rsidRPr="009D0B3A">
        <w:t>article</w:t>
      </w:r>
      <w:r w:rsidR="00A066BC">
        <w:t> </w:t>
      </w:r>
      <w:r w:rsidRPr="009D0B3A">
        <w:t>7, de toute urgence et le 31</w:t>
      </w:r>
      <w:r w:rsidR="00A066BC">
        <w:t> </w:t>
      </w:r>
      <w:r w:rsidRPr="009D0B3A">
        <w:t>mars 2025 au plus tard, et, s</w:t>
      </w:r>
      <w:r w:rsidR="00AA6A89" w:rsidRPr="009D0B3A">
        <w:t>’</w:t>
      </w:r>
      <w:r w:rsidRPr="009D0B3A">
        <w:t>il convenait, à présenter un plan d</w:t>
      </w:r>
      <w:r w:rsidR="00AA6A89" w:rsidRPr="009D0B3A">
        <w:t>’</w:t>
      </w:r>
      <w:r w:rsidRPr="009D0B3A">
        <w:t>action révisé que le Comité d</w:t>
      </w:r>
      <w:r w:rsidR="00AA6A89" w:rsidRPr="009D0B3A">
        <w:t>’</w:t>
      </w:r>
      <w:r w:rsidRPr="009D0B3A">
        <w:t>application examinerait à sa soixante-quatorzième</w:t>
      </w:r>
      <w:r w:rsidR="00141FDF">
        <w:t> </w:t>
      </w:r>
      <w:r w:rsidRPr="009D0B3A">
        <w:t>réunion. Enfin, elle avait exhorté la Partie à présenter un rapport d</w:t>
      </w:r>
      <w:r w:rsidR="00AA6A89" w:rsidRPr="009D0B3A">
        <w:t>’</w:t>
      </w:r>
      <w:r w:rsidR="001F4150" w:rsidRPr="009D0B3A">
        <w:t>activité</w:t>
      </w:r>
      <w:r w:rsidRPr="009D0B3A">
        <w:t xml:space="preserve"> sur </w:t>
      </w:r>
      <w:r w:rsidR="00BC03F3" w:rsidRPr="009D0B3A">
        <w:t>l</w:t>
      </w:r>
      <w:r w:rsidRPr="009D0B3A">
        <w:t xml:space="preserve">es efforts </w:t>
      </w:r>
      <w:r w:rsidR="00BC03F3" w:rsidRPr="009D0B3A">
        <w:t>qu</w:t>
      </w:r>
      <w:r w:rsidR="00AA6A89" w:rsidRPr="009D0B3A">
        <w:t>’</w:t>
      </w:r>
      <w:r w:rsidR="00BC03F3" w:rsidRPr="009D0B3A">
        <w:t xml:space="preserve">elle déployait pour </w:t>
      </w:r>
      <w:r w:rsidRPr="009D0B3A">
        <w:t>mettre en place des politiques nationales supplémentaires et l</w:t>
      </w:r>
      <w:r w:rsidR="00AA6A89" w:rsidRPr="009D0B3A">
        <w:t>’</w:t>
      </w:r>
      <w:r w:rsidRPr="009D0B3A">
        <w:t>avait invité</w:t>
      </w:r>
      <w:r w:rsidR="00444A90" w:rsidRPr="009D0B3A">
        <w:t>e</w:t>
      </w:r>
      <w:r w:rsidRPr="009D0B3A">
        <w:t xml:space="preserve"> à </w:t>
      </w:r>
      <w:r w:rsidR="001F4150" w:rsidRPr="009D0B3A">
        <w:t>se faire représenter</w:t>
      </w:r>
      <w:r w:rsidRPr="009D0B3A">
        <w:t xml:space="preserve"> à la</w:t>
      </w:r>
      <w:r w:rsidR="00141FDF">
        <w:br/>
      </w:r>
      <w:r w:rsidRPr="009D0B3A">
        <w:t>soixante-quatorzième</w:t>
      </w:r>
      <w:r w:rsidR="00141FDF">
        <w:t> </w:t>
      </w:r>
      <w:r w:rsidRPr="009D0B3A">
        <w:t>réunion du Comité d</w:t>
      </w:r>
      <w:r w:rsidR="00AA6A89" w:rsidRPr="009D0B3A">
        <w:t>’</w:t>
      </w:r>
      <w:r w:rsidRPr="009D0B3A">
        <w:t xml:space="preserve">application. </w:t>
      </w:r>
    </w:p>
    <w:p w14:paraId="5F89248B" w14:textId="571A53FF" w:rsidR="00CA25AF" w:rsidRPr="009D0B3A" w:rsidRDefault="00CE704A" w:rsidP="00723BF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À cette réunion, le représentant de la République populaire démocratique de Corée avait prononcé une déclaration sur les efforts déployés par son pays pour s</w:t>
      </w:r>
      <w:r w:rsidR="00AA6A89" w:rsidRPr="009D0B3A">
        <w:t>’</w:t>
      </w:r>
      <w:r w:rsidRPr="009D0B3A">
        <w:t xml:space="preserve">acquitter de ses obligations au titre du Protocole. </w:t>
      </w:r>
      <w:r w:rsidR="00E172B9" w:rsidRPr="009D0B3A">
        <w:t>Il</w:t>
      </w:r>
      <w:r w:rsidRPr="009D0B3A">
        <w:t xml:space="preserve"> avait expliqué que son pays s</w:t>
      </w:r>
      <w:r w:rsidR="00AA6A89" w:rsidRPr="009D0B3A">
        <w:t>’</w:t>
      </w:r>
      <w:r w:rsidRPr="009D0B3A">
        <w:t xml:space="preserve">était efforcé de mettre en œuvre </w:t>
      </w:r>
      <w:r w:rsidR="00E172B9" w:rsidRPr="009D0B3A">
        <w:t>son</w:t>
      </w:r>
      <w:r w:rsidRPr="009D0B3A">
        <w:t xml:space="preserve"> plan d</w:t>
      </w:r>
      <w:r w:rsidR="00AA6A89" w:rsidRPr="009D0B3A">
        <w:t>’</w:t>
      </w:r>
      <w:r w:rsidRPr="009D0B3A">
        <w:t>action par une interdiction partielle de l</w:t>
      </w:r>
      <w:r w:rsidR="00AA6A89" w:rsidRPr="009D0B3A">
        <w:t>’</w:t>
      </w:r>
      <w:r w:rsidRPr="009D0B3A">
        <w:t>importation de HCFC, l</w:t>
      </w:r>
      <w:r w:rsidR="00AA6A89" w:rsidRPr="009D0B3A">
        <w:t>’</w:t>
      </w:r>
      <w:r w:rsidRPr="009D0B3A">
        <w:t>étude de la possibilité d</w:t>
      </w:r>
      <w:r w:rsidR="00AA6A89" w:rsidRPr="009D0B3A">
        <w:t>’</w:t>
      </w:r>
      <w:r w:rsidRPr="009D0B3A">
        <w:t>éliminer les HCFC, l</w:t>
      </w:r>
      <w:r w:rsidR="00AA6A89" w:rsidRPr="009D0B3A">
        <w:t>’</w:t>
      </w:r>
      <w:r w:rsidRPr="009D0B3A">
        <w:t>établissement de dialogues</w:t>
      </w:r>
      <w:r w:rsidR="0028284E" w:rsidRPr="009D0B3A">
        <w:t>,</w:t>
      </w:r>
      <w:r w:rsidRPr="009D0B3A">
        <w:t xml:space="preserve"> la mise en place de dispositifs institutionnels en matière de protection de la couche d</w:t>
      </w:r>
      <w:r w:rsidR="00AA6A89" w:rsidRPr="009D0B3A">
        <w:t>’</w:t>
      </w:r>
      <w:r w:rsidRPr="009D0B3A">
        <w:t xml:space="preserve">ozone </w:t>
      </w:r>
      <w:r w:rsidR="005E5DF4" w:rsidRPr="009D0B3A">
        <w:t xml:space="preserve">ainsi que par </w:t>
      </w:r>
      <w:r w:rsidRPr="009D0B3A">
        <w:t>des activités de sensibilisation, mais qu</w:t>
      </w:r>
      <w:r w:rsidR="00AA6A89" w:rsidRPr="009D0B3A">
        <w:t>’</w:t>
      </w:r>
      <w:r w:rsidRPr="009D0B3A">
        <w:t>il s</w:t>
      </w:r>
      <w:r w:rsidR="00AA6A89" w:rsidRPr="009D0B3A">
        <w:t>’</w:t>
      </w:r>
      <w:r w:rsidRPr="009D0B3A">
        <w:t>était heurté à des difficultés persistantes en raison de l</w:t>
      </w:r>
      <w:r w:rsidR="00AA6A89" w:rsidRPr="009D0B3A">
        <w:t>’</w:t>
      </w:r>
      <w:r w:rsidRPr="009D0B3A">
        <w:t>absence totale d</w:t>
      </w:r>
      <w:r w:rsidR="00AA6A89" w:rsidRPr="009D0B3A">
        <w:t>’</w:t>
      </w:r>
      <w:r w:rsidRPr="009D0B3A">
        <w:t>activités de transfert de technologies et de coopération financière conformément aux articles</w:t>
      </w:r>
      <w:r w:rsidR="00141FDF">
        <w:t> </w:t>
      </w:r>
      <w:r w:rsidRPr="009D0B3A">
        <w:t>10 et 10A du Protocole, qu</w:t>
      </w:r>
      <w:r w:rsidR="00AA6A89" w:rsidRPr="009D0B3A">
        <w:t>’</w:t>
      </w:r>
      <w:r w:rsidRPr="009D0B3A">
        <w:t>il considérait comme la condition préalable essentielle à la mise en œuvre du plan d</w:t>
      </w:r>
      <w:r w:rsidR="00AA6A89" w:rsidRPr="009D0B3A">
        <w:t>’</w:t>
      </w:r>
      <w:r w:rsidRPr="009D0B3A">
        <w:t>action.</w:t>
      </w:r>
      <w:bookmarkStart w:id="14" w:name="_Hlk212818016"/>
      <w:bookmarkStart w:id="15" w:name="_Hlk212818520"/>
      <w:bookmarkEnd w:id="14"/>
      <w:bookmarkEnd w:id="15"/>
    </w:p>
    <w:p w14:paraId="34E6B1F3" w14:textId="660E942C" w:rsidR="00565C6C" w:rsidRPr="009D0B3A" w:rsidRDefault="00A3327A" w:rsidP="00723BF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Lorsque</w:t>
      </w:r>
      <w:r w:rsidR="00565C6C" w:rsidRPr="009D0B3A">
        <w:t xml:space="preserve"> la République populaire démocratique de Corée avait présenté un plan d</w:t>
      </w:r>
      <w:r w:rsidR="00AA6A89" w:rsidRPr="009D0B3A">
        <w:t>’</w:t>
      </w:r>
      <w:r w:rsidR="00565C6C" w:rsidRPr="009D0B3A">
        <w:t xml:space="preserve">action pour revenir à une situation de respect de ses engagements en octobre 2020, </w:t>
      </w:r>
      <w:r w:rsidRPr="009D0B3A">
        <w:t xml:space="preserve">elle avait fait </w:t>
      </w:r>
      <w:r w:rsidR="00565C6C" w:rsidRPr="009D0B3A">
        <w:t>valoir que sa mise en œuvre dépendrait de la disponibilité d</w:t>
      </w:r>
      <w:r w:rsidR="00AA6A89" w:rsidRPr="009D0B3A">
        <w:t>’</w:t>
      </w:r>
      <w:r w:rsidR="00565C6C" w:rsidRPr="009D0B3A">
        <w:t>une assistance technique et financière du Fonds multilatéral. Par la suite, le représentant de la Partie avait indiqué au Comité, lors de sa soixante</w:t>
      </w:r>
      <w:r w:rsidR="00AF3B3C">
        <w:noBreakHyphen/>
      </w:r>
      <w:r w:rsidR="00565C6C" w:rsidRPr="009D0B3A">
        <w:t>cinquième</w:t>
      </w:r>
      <w:r w:rsidR="00141FDF">
        <w:t> </w:t>
      </w:r>
      <w:r w:rsidR="00565C6C" w:rsidRPr="009D0B3A">
        <w:t xml:space="preserve">réunion, que la réalisation de ses objectifs pour 2021 </w:t>
      </w:r>
      <w:r w:rsidR="000E0150" w:rsidRPr="009D0B3A">
        <w:t>serait fonction</w:t>
      </w:r>
      <w:r w:rsidR="00565C6C" w:rsidRPr="009D0B3A">
        <w:t xml:space="preserve"> de l</w:t>
      </w:r>
      <w:r w:rsidR="00AA6A89" w:rsidRPr="009D0B3A">
        <w:t>’</w:t>
      </w:r>
      <w:r w:rsidR="00565C6C" w:rsidRPr="009D0B3A">
        <w:t>achèvement de certaines activités prévues dans le cadre de la phase</w:t>
      </w:r>
      <w:r w:rsidR="00141FDF">
        <w:t> </w:t>
      </w:r>
      <w:r w:rsidR="00565C6C" w:rsidRPr="009D0B3A">
        <w:t>I de son plan de gestion de l</w:t>
      </w:r>
      <w:r w:rsidR="00AA6A89" w:rsidRPr="009D0B3A">
        <w:t>’</w:t>
      </w:r>
      <w:r w:rsidR="00565C6C" w:rsidRPr="009D0B3A">
        <w:t>élimination des HCFC. Dans son rapport à la trente-deuxième</w:t>
      </w:r>
      <w:r w:rsidR="00141FDF">
        <w:t> </w:t>
      </w:r>
      <w:r w:rsidR="00565C6C" w:rsidRPr="009D0B3A">
        <w:t>Réunion des Parties, le Président du Comité avait déclaré que la mise en œuvre du plan d</w:t>
      </w:r>
      <w:r w:rsidR="00AA6A89" w:rsidRPr="009D0B3A">
        <w:t>’</w:t>
      </w:r>
      <w:r w:rsidR="00565C6C" w:rsidRPr="009D0B3A">
        <w:t>action de la Partie dépendrait de la disponibilité de l</w:t>
      </w:r>
      <w:r w:rsidR="00AA6A89" w:rsidRPr="009D0B3A">
        <w:t>’</w:t>
      </w:r>
      <w:r w:rsidR="00565C6C" w:rsidRPr="009D0B3A">
        <w:t>assistance technique et financière du Fonds multilatéral.</w:t>
      </w:r>
      <w:bookmarkStart w:id="16" w:name="_Hlk212825939"/>
      <w:bookmarkEnd w:id="16"/>
    </w:p>
    <w:p w14:paraId="58A9762D" w14:textId="65835F8A" w:rsidR="00CA25AF" w:rsidRPr="009D0B3A" w:rsidRDefault="00FE1941" w:rsidP="00723BF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Au cours de sa soixante-quatorzième</w:t>
      </w:r>
      <w:r w:rsidR="00141FDF">
        <w:t> </w:t>
      </w:r>
      <w:r w:rsidRPr="009D0B3A">
        <w:t>réunion, le Comité a</w:t>
      </w:r>
      <w:r w:rsidR="00332DBA" w:rsidRPr="009D0B3A">
        <w:t>vait</w:t>
      </w:r>
      <w:r w:rsidRPr="009D0B3A">
        <w:t xml:space="preserve"> également rappelé à la Partie l</w:t>
      </w:r>
      <w:r w:rsidR="00AA6A89" w:rsidRPr="009D0B3A">
        <w:t>’</w:t>
      </w:r>
      <w:r w:rsidRPr="009D0B3A">
        <w:t>avertissement formulé au paragraphe</w:t>
      </w:r>
      <w:r w:rsidR="00141FDF">
        <w:t> </w:t>
      </w:r>
      <w:r w:rsidRPr="009D0B3A">
        <w:t>7 de la décision</w:t>
      </w:r>
      <w:r w:rsidR="00141FDF">
        <w:t> </w:t>
      </w:r>
      <w:r w:rsidRPr="009D0B3A">
        <w:t>XXXVI/16, selon lequel, si elle ne revenait pas à une situation de respect, les Parties envisageraient des mesures conformes au point</w:t>
      </w:r>
      <w:r w:rsidR="00141FDF">
        <w:t> </w:t>
      </w:r>
      <w:r w:rsidRPr="009D0B3A">
        <w:t>C de la liste indicative des mesures</w:t>
      </w:r>
      <w:r w:rsidR="00271084" w:rsidRPr="009D0B3A">
        <w:t xml:space="preserve"> de la</w:t>
      </w:r>
      <w:r w:rsidR="0096400E" w:rsidRPr="009D0B3A">
        <w:t xml:space="preserve"> </w:t>
      </w:r>
      <w:r w:rsidR="00271084" w:rsidRPr="009D0B3A">
        <w:t>procédure appli</w:t>
      </w:r>
      <w:r w:rsidR="0096400E" w:rsidRPr="009D0B3A">
        <w:t>c</w:t>
      </w:r>
      <w:r w:rsidR="00271084" w:rsidRPr="009D0B3A">
        <w:t>able en cas de non</w:t>
      </w:r>
      <w:r w:rsidR="002F5423" w:rsidRPr="009D0B3A">
        <w:t>-</w:t>
      </w:r>
      <w:r w:rsidR="00271084" w:rsidRPr="009D0B3A">
        <w:t xml:space="preserve">respect des </w:t>
      </w:r>
      <w:r w:rsidR="0096400E" w:rsidRPr="009D0B3A">
        <w:t>d</w:t>
      </w:r>
      <w:r w:rsidR="00271084" w:rsidRPr="009D0B3A">
        <w:t>isposi</w:t>
      </w:r>
      <w:r w:rsidR="0096400E" w:rsidRPr="009D0B3A">
        <w:t>tions</w:t>
      </w:r>
      <w:r w:rsidRPr="009D0B3A">
        <w:t>, y</w:t>
      </w:r>
      <w:r w:rsidR="00545566">
        <w:t> </w:t>
      </w:r>
      <w:r w:rsidRPr="009D0B3A">
        <w:t>compris la possibilité de mesures prévues au titre de l</w:t>
      </w:r>
      <w:r w:rsidR="00AA6A89" w:rsidRPr="009D0B3A">
        <w:t>’</w:t>
      </w:r>
      <w:r w:rsidRPr="009D0B3A">
        <w:t>article</w:t>
      </w:r>
      <w:r w:rsidR="00141FDF">
        <w:t> </w:t>
      </w:r>
      <w:r w:rsidRPr="009D0B3A">
        <w:t>4 du Protocole de</w:t>
      </w:r>
      <w:r w:rsidR="00141FDF">
        <w:t> </w:t>
      </w:r>
      <w:r w:rsidRPr="009D0B3A">
        <w:t>Montréal, telles que veiller à ce que l</w:t>
      </w:r>
      <w:r w:rsidR="00AA6A89" w:rsidRPr="009D0B3A">
        <w:t>’</w:t>
      </w:r>
      <w:r w:rsidRPr="009D0B3A">
        <w:t>approvisionnement en HCFC, les substances faisant l</w:t>
      </w:r>
      <w:r w:rsidR="00AA6A89" w:rsidRPr="009D0B3A">
        <w:t>’</w:t>
      </w:r>
      <w:r w:rsidRPr="009D0B3A">
        <w:t>objet du non-respect, soit interrompu afin que les Parties exportatrices ne contribuent pas à la persistance d</w:t>
      </w:r>
      <w:r w:rsidR="00AA6A89" w:rsidRPr="009D0B3A">
        <w:t>’</w:t>
      </w:r>
      <w:r w:rsidRPr="009D0B3A">
        <w:t xml:space="preserve">une situation de non-respect. Le Comité avait informé la Partie que si elle ne </w:t>
      </w:r>
      <w:r w:rsidR="00882387" w:rsidRPr="009D0B3A">
        <w:t xml:space="preserve">fournissait </w:t>
      </w:r>
      <w:r w:rsidRPr="009D0B3A">
        <w:t xml:space="preserve">pas </w:t>
      </w:r>
      <w:r w:rsidR="00882387" w:rsidRPr="009D0B3A">
        <w:t xml:space="preserve">de réponse </w:t>
      </w:r>
      <w:r w:rsidRPr="009D0B3A">
        <w:t>comme demandé dans la recommandation</w:t>
      </w:r>
      <w:r w:rsidR="00141FDF">
        <w:t> </w:t>
      </w:r>
      <w:r w:rsidRPr="009D0B3A">
        <w:t>74/2, il recommanderait aux Parties de prendre des mesures au titre du point</w:t>
      </w:r>
      <w:r w:rsidR="00141FDF">
        <w:t> </w:t>
      </w:r>
      <w:r w:rsidRPr="009D0B3A">
        <w:t>C de la liste indicative. La Partie avait déjà été mise en garde dans les décisions</w:t>
      </w:r>
      <w:r w:rsidR="00E122DE">
        <w:t> </w:t>
      </w:r>
      <w:r w:rsidRPr="009D0B3A">
        <w:t>XXXII/6 et XXXV/18. Cependant, aucune autre information n</w:t>
      </w:r>
      <w:r w:rsidR="00AA6A89" w:rsidRPr="009D0B3A">
        <w:t>’</w:t>
      </w:r>
      <w:r w:rsidRPr="009D0B3A">
        <w:t xml:space="preserve">avait encore été reçue de la part de cette Partie. </w:t>
      </w:r>
    </w:p>
    <w:p w14:paraId="29A8270B" w14:textId="51C78E91" w:rsidR="00363F74" w:rsidRPr="009D0B3A" w:rsidRDefault="001224C1" w:rsidP="00723BF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Plusieurs membres du Comité sont convenus </w:t>
      </w:r>
      <w:r w:rsidR="00E30FA8" w:rsidRPr="009D0B3A">
        <w:t>qu</w:t>
      </w:r>
      <w:r w:rsidR="00AA6A89" w:rsidRPr="009D0B3A">
        <w:t>’</w:t>
      </w:r>
      <w:r w:rsidR="00E30FA8" w:rsidRPr="009D0B3A">
        <w:t>il s</w:t>
      </w:r>
      <w:r w:rsidR="00AA6A89" w:rsidRPr="009D0B3A">
        <w:t>’</w:t>
      </w:r>
      <w:r w:rsidR="00E30FA8" w:rsidRPr="009D0B3A">
        <w:t>agissa</w:t>
      </w:r>
      <w:r w:rsidR="00DA0683" w:rsidRPr="009D0B3A">
        <w:t>i</w:t>
      </w:r>
      <w:r w:rsidR="00E30FA8" w:rsidRPr="009D0B3A">
        <w:t>t d</w:t>
      </w:r>
      <w:r w:rsidR="00AA6A89" w:rsidRPr="009D0B3A">
        <w:t>’</w:t>
      </w:r>
      <w:r w:rsidRPr="009D0B3A">
        <w:t xml:space="preserve">un dossier complexe qui </w:t>
      </w:r>
      <w:r w:rsidR="00636A66" w:rsidRPr="009D0B3A">
        <w:t xml:space="preserve">durait </w:t>
      </w:r>
      <w:r w:rsidRPr="009D0B3A">
        <w:t>depuis longtemps. Ils ont estimé que la République populaire démocratique de Corée avait désormais reçu suffisamment de demandes d</w:t>
      </w:r>
      <w:r w:rsidR="00AA6A89" w:rsidRPr="009D0B3A">
        <w:t>’</w:t>
      </w:r>
      <w:r w:rsidRPr="009D0B3A">
        <w:t>information, d</w:t>
      </w:r>
      <w:r w:rsidR="00AA6A89" w:rsidRPr="009D0B3A">
        <w:t>’</w:t>
      </w:r>
      <w:r w:rsidRPr="009D0B3A">
        <w:t>appels à se conformer aux obligations qui lui incomb</w:t>
      </w:r>
      <w:r w:rsidR="001047C8" w:rsidRPr="009D0B3A">
        <w:t>ai</w:t>
      </w:r>
      <w:r w:rsidRPr="009D0B3A">
        <w:t>ent et d</w:t>
      </w:r>
      <w:r w:rsidR="00AA6A89" w:rsidRPr="009D0B3A">
        <w:t>’</w:t>
      </w:r>
      <w:r w:rsidRPr="009D0B3A">
        <w:t xml:space="preserve">avertissements. Ils ont noté </w:t>
      </w:r>
      <w:r w:rsidR="00666814" w:rsidRPr="009D0B3A">
        <w:t>qu</w:t>
      </w:r>
      <w:r w:rsidR="00AA6A89" w:rsidRPr="009D0B3A">
        <w:t>’</w:t>
      </w:r>
      <w:r w:rsidR="00666814" w:rsidRPr="009D0B3A">
        <w:t xml:space="preserve">elle </w:t>
      </w:r>
      <w:r w:rsidRPr="009D0B3A">
        <w:t>n</w:t>
      </w:r>
      <w:r w:rsidR="00AA6A89" w:rsidRPr="009D0B3A">
        <w:t>’</w:t>
      </w:r>
      <w:r w:rsidRPr="009D0B3A">
        <w:t>avait pas répondu à plusieurs demandes d</w:t>
      </w:r>
      <w:r w:rsidR="00AA6A89" w:rsidRPr="009D0B3A">
        <w:t>’</w:t>
      </w:r>
      <w:r w:rsidRPr="009D0B3A">
        <w:t>information après la soixante-quatorzième</w:t>
      </w:r>
      <w:r w:rsidR="00E122DE">
        <w:t> </w:t>
      </w:r>
      <w:r w:rsidRPr="009D0B3A">
        <w:t>réunion du Comité et que la recommandation</w:t>
      </w:r>
      <w:r w:rsidR="00E122DE">
        <w:t> </w:t>
      </w:r>
      <w:r w:rsidRPr="009D0B3A">
        <w:t xml:space="preserve">74/2 indiquait que si la Partie ne fournissait pas les réponses pertinentes demandées, le Comité recommanderait des mesures plus strictes. Un représentant a ajouté que la Partie avait été informée que si elle souhaitait corriger ses données pour 2021, la procédure appropriée </w:t>
      </w:r>
      <w:r w:rsidR="00214871" w:rsidRPr="009D0B3A">
        <w:t xml:space="preserve">pour </w:t>
      </w:r>
      <w:r w:rsidR="00D97E15" w:rsidRPr="009D0B3A">
        <w:t>c</w:t>
      </w:r>
      <w:r w:rsidR="00214871" w:rsidRPr="009D0B3A">
        <w:t xml:space="preserve">e faire </w:t>
      </w:r>
      <w:r w:rsidRPr="009D0B3A">
        <w:t xml:space="preserve">consistait à </w:t>
      </w:r>
      <w:r w:rsidR="004E2E92" w:rsidRPr="009D0B3A">
        <w:t xml:space="preserve">présenter une </w:t>
      </w:r>
      <w:r w:rsidRPr="009D0B3A">
        <w:t xml:space="preserve">demande </w:t>
      </w:r>
      <w:r w:rsidR="004E2E92" w:rsidRPr="009D0B3A">
        <w:t xml:space="preserve">de </w:t>
      </w:r>
      <w:r w:rsidRPr="009D0B3A">
        <w:t>correction au Secrétariat, accompagnée d</w:t>
      </w:r>
      <w:r w:rsidR="00AA6A89" w:rsidRPr="009D0B3A">
        <w:t>’</w:t>
      </w:r>
      <w:r w:rsidRPr="009D0B3A">
        <w:t>une note explicative, mais qu</w:t>
      </w:r>
      <w:r w:rsidR="00AA6A89" w:rsidRPr="009D0B3A">
        <w:t>’</w:t>
      </w:r>
      <w:r w:rsidRPr="009D0B3A">
        <w:t>elle n</w:t>
      </w:r>
      <w:r w:rsidR="004E2E92" w:rsidRPr="009D0B3A">
        <w:t>e l’</w:t>
      </w:r>
      <w:r w:rsidRPr="009D0B3A">
        <w:t xml:space="preserve">avait pas </w:t>
      </w:r>
      <w:r w:rsidR="004E2E92" w:rsidRPr="009D0B3A">
        <w:t>fait</w:t>
      </w:r>
      <w:r w:rsidRPr="009D0B3A">
        <w:t>.</w:t>
      </w:r>
    </w:p>
    <w:p w14:paraId="1248F0C5" w14:textId="5E96E066" w:rsidR="004B7645" w:rsidRPr="009D0B3A" w:rsidRDefault="004B7645" w:rsidP="00723BF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Le Comité </w:t>
      </w:r>
      <w:r w:rsidR="00275D7A" w:rsidRPr="009D0B3A">
        <w:t>est</w:t>
      </w:r>
      <w:r w:rsidRPr="009D0B3A">
        <w:t xml:space="preserve"> donc convenu de transmettre à la trente-septième</w:t>
      </w:r>
      <w:r w:rsidR="00E122DE">
        <w:t> </w:t>
      </w:r>
      <w:r w:rsidRPr="009D0B3A">
        <w:t xml:space="preserve">Réunion des Parties, pour examen, le projet de décision sur </w:t>
      </w:r>
      <w:r w:rsidR="00D46554" w:rsidRPr="009D0B3A">
        <w:t xml:space="preserve">la République populaire </w:t>
      </w:r>
      <w:r w:rsidR="00342628" w:rsidRPr="009D0B3A">
        <w:t xml:space="preserve">démocratique </w:t>
      </w:r>
      <w:r w:rsidR="00D46554" w:rsidRPr="009D0B3A">
        <w:t xml:space="preserve">de Corée </w:t>
      </w:r>
      <w:r w:rsidRPr="009D0B3A">
        <w:t xml:space="preserve">reproduit </w:t>
      </w:r>
      <w:r w:rsidR="00342628" w:rsidRPr="009D0B3A">
        <w:t xml:space="preserve">à la </w:t>
      </w:r>
      <w:r w:rsidRPr="009D0B3A">
        <w:t>section</w:t>
      </w:r>
      <w:r w:rsidR="00E122DE">
        <w:t> </w:t>
      </w:r>
      <w:r w:rsidR="00342628" w:rsidRPr="009D0B3A">
        <w:t>B</w:t>
      </w:r>
      <w:r w:rsidRPr="009D0B3A">
        <w:t xml:space="preserve"> de l</w:t>
      </w:r>
      <w:r w:rsidR="00AA6A89" w:rsidRPr="009D0B3A">
        <w:t>’</w:t>
      </w:r>
      <w:r w:rsidRPr="009D0B3A">
        <w:t>annexe</w:t>
      </w:r>
      <w:r w:rsidR="00E122DE">
        <w:t> </w:t>
      </w:r>
      <w:r w:rsidRPr="009D0B3A">
        <w:t xml:space="preserve">I </w:t>
      </w:r>
      <w:r w:rsidR="00046603" w:rsidRPr="009D0B3A">
        <w:t>d</w:t>
      </w:r>
      <w:r w:rsidRPr="009D0B3A">
        <w:t>u présent</w:t>
      </w:r>
      <w:r w:rsidR="007F1FC5">
        <w:t> </w:t>
      </w:r>
      <w:r w:rsidRPr="009D0B3A">
        <w:t>rapport.</w:t>
      </w:r>
    </w:p>
    <w:p w14:paraId="59FDFE88" w14:textId="0B54ABBE" w:rsidR="00B635BE" w:rsidRPr="009D0B3A" w:rsidRDefault="003D5EAC" w:rsidP="00F012C2">
      <w:pPr>
        <w:pStyle w:val="Recommendation"/>
      </w:pPr>
      <w:bookmarkStart w:id="17" w:name="_Hlk213397127"/>
      <w:r w:rsidRPr="009D0B3A">
        <w:t>Recommandation</w:t>
      </w:r>
      <w:r w:rsidR="005A7491">
        <w:t> </w:t>
      </w:r>
      <w:r w:rsidRPr="009D0B3A">
        <w:t>75/2</w:t>
      </w:r>
    </w:p>
    <w:bookmarkEnd w:id="17"/>
    <w:p w14:paraId="4DCD7CA8" w14:textId="4242D357" w:rsidR="00F85973" w:rsidRPr="009D0B3A" w:rsidRDefault="00F85973" w:rsidP="00F85973">
      <w:pPr>
        <w:pStyle w:val="CH3"/>
        <w:keepNext w:val="0"/>
        <w:keepLines w:val="0"/>
      </w:pPr>
      <w:r w:rsidRPr="009D0B3A">
        <w:lastRenderedPageBreak/>
        <w:tab/>
      </w:r>
      <w:r w:rsidR="004D6B34" w:rsidRPr="009D0B3A">
        <w:rPr>
          <w:bCs/>
        </w:rPr>
        <w:t>2.</w:t>
      </w:r>
      <w:r w:rsidR="009E5D97" w:rsidRPr="009D0B3A">
        <w:tab/>
      </w:r>
      <w:r w:rsidRPr="009D0B3A">
        <w:rPr>
          <w:bCs/>
        </w:rPr>
        <w:t>Kazakhstan (recommandation 74/3)</w:t>
      </w:r>
      <w:r w:rsidR="00AA6A89" w:rsidRPr="009D0B3A">
        <w:rPr>
          <w:bCs/>
        </w:rPr>
        <w:t> </w:t>
      </w:r>
    </w:p>
    <w:p w14:paraId="17BB403F" w14:textId="02A1C847" w:rsidR="00FD29EF" w:rsidRPr="009D0B3A" w:rsidRDefault="00F85973" w:rsidP="002048EF">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bookmarkStart w:id="18" w:name="_Hlk171523251"/>
      <w:r w:rsidRPr="009D0B3A">
        <w:t>Le représentant du Secrétariat a rappelé que, dans la décision</w:t>
      </w:r>
      <w:r w:rsidR="005A7491">
        <w:t> </w:t>
      </w:r>
      <w:r w:rsidRPr="009D0B3A">
        <w:t>XXIX/14, relative au non</w:t>
      </w:r>
      <w:r w:rsidR="00294331">
        <w:noBreakHyphen/>
      </w:r>
      <w:r w:rsidRPr="009D0B3A">
        <w:t>respect en 2015 et 2016 des dispositions du Protocole de</w:t>
      </w:r>
      <w:r w:rsidR="005A7491">
        <w:t> </w:t>
      </w:r>
      <w:r w:rsidRPr="009D0B3A">
        <w:t xml:space="preserve">Montréal régissant la consommation des substances réglementées </w:t>
      </w:r>
      <w:r w:rsidR="005B630D" w:rsidRPr="009D0B3A">
        <w:t xml:space="preserve">du groupe I </w:t>
      </w:r>
      <w:r w:rsidRPr="009D0B3A">
        <w:t>de l</w:t>
      </w:r>
      <w:r w:rsidR="00AA6A89" w:rsidRPr="009D0B3A">
        <w:t>’</w:t>
      </w:r>
      <w:r w:rsidR="005B630D" w:rsidRPr="009D0B3A">
        <w:t>A</w:t>
      </w:r>
      <w:r w:rsidRPr="009D0B3A">
        <w:t>nnexe C (HCFC) par le Kazakhstan, la vingt</w:t>
      </w:r>
      <w:r w:rsidR="00294331">
        <w:noBreakHyphen/>
      </w:r>
      <w:r w:rsidRPr="009D0B3A">
        <w:t>neuvième</w:t>
      </w:r>
      <w:r w:rsidR="005A7491">
        <w:t> </w:t>
      </w:r>
      <w:r w:rsidRPr="009D0B3A">
        <w:t>Réunion des Parties avait pris note de la soumission par le Kazakhstan d</w:t>
      </w:r>
      <w:r w:rsidR="00AA6A89" w:rsidRPr="009D0B3A">
        <w:t>’</w:t>
      </w:r>
      <w:r w:rsidRPr="009D0B3A">
        <w:t>un plan d</w:t>
      </w:r>
      <w:r w:rsidR="00AA6A89" w:rsidRPr="009D0B3A">
        <w:t>’</w:t>
      </w:r>
      <w:r w:rsidRPr="009D0B3A">
        <w:t xml:space="preserve">action révisé visant à assurer le retour de la </w:t>
      </w:r>
      <w:r w:rsidR="005B630D" w:rsidRPr="009D0B3A">
        <w:t>P</w:t>
      </w:r>
      <w:r w:rsidRPr="009D0B3A">
        <w:t xml:space="preserve">artie au respect de ses obligations, </w:t>
      </w:r>
      <w:r w:rsidR="005B630D" w:rsidRPr="009D0B3A">
        <w:t xml:space="preserve">qui contenait </w:t>
      </w:r>
      <w:r w:rsidRPr="009D0B3A">
        <w:t>des engagements jusqu</w:t>
      </w:r>
      <w:r w:rsidR="00AA6A89" w:rsidRPr="009D0B3A">
        <w:t>’</w:t>
      </w:r>
      <w:r w:rsidRPr="009D0B3A">
        <w:t xml:space="preserve">en 2030 pour se conformer aux mesures de </w:t>
      </w:r>
      <w:r w:rsidR="00214871" w:rsidRPr="009D0B3A">
        <w:t>réglementation</w:t>
      </w:r>
      <w:r w:rsidRPr="009D0B3A">
        <w:t xml:space="preserve"> </w:t>
      </w:r>
      <w:r w:rsidR="00214871" w:rsidRPr="009D0B3A">
        <w:t xml:space="preserve">prévues par le </w:t>
      </w:r>
      <w:r w:rsidRPr="009D0B3A">
        <w:t>Protocole</w:t>
      </w:r>
      <w:r w:rsidR="005B630D" w:rsidRPr="009D0B3A">
        <w:t>,</w:t>
      </w:r>
      <w:r w:rsidRPr="009D0B3A">
        <w:t xml:space="preserve"> et était convenue de continuer à suivre de près les progrès réalisés par le Kazakhstan dans la mise en œuvre de son plan d</w:t>
      </w:r>
      <w:r w:rsidR="00AA6A89" w:rsidRPr="009D0B3A">
        <w:t>’</w:t>
      </w:r>
      <w:r w:rsidRPr="009D0B3A">
        <w:t>action révisé. Au moment de la soixante-quatorzième réunion</w:t>
      </w:r>
      <w:r w:rsidR="005B630D" w:rsidRPr="009D0B3A">
        <w:t xml:space="preserve"> du Comité</w:t>
      </w:r>
      <w:r w:rsidRPr="009D0B3A">
        <w:t>, la Partie n</w:t>
      </w:r>
      <w:r w:rsidR="00AA6A89" w:rsidRPr="009D0B3A">
        <w:t>’</w:t>
      </w:r>
      <w:r w:rsidRPr="009D0B3A">
        <w:t>avait pas soumis ses données sur la consommation de HCFC pour 2024 conformément à l</w:t>
      </w:r>
      <w:r w:rsidR="00AA6A89" w:rsidRPr="009D0B3A">
        <w:t>’</w:t>
      </w:r>
      <w:r w:rsidRPr="009D0B3A">
        <w:t>article</w:t>
      </w:r>
      <w:r w:rsidR="009A09C0">
        <w:t> </w:t>
      </w:r>
      <w:r w:rsidRPr="009D0B3A">
        <w:t xml:space="preserve">7, et </w:t>
      </w:r>
      <w:r w:rsidR="005B630D" w:rsidRPr="009D0B3A">
        <w:t>ce dernier</w:t>
      </w:r>
      <w:r w:rsidRPr="009D0B3A">
        <w:t>, dans sa recommandation</w:t>
      </w:r>
      <w:r w:rsidR="009A09C0">
        <w:t> </w:t>
      </w:r>
      <w:r w:rsidRPr="009D0B3A">
        <w:t xml:space="preserve">74/3, avait demandé au Kazakhstan de </w:t>
      </w:r>
      <w:r w:rsidR="00A20D63" w:rsidRPr="009D0B3A">
        <w:t xml:space="preserve">les </w:t>
      </w:r>
      <w:r w:rsidRPr="009D0B3A">
        <w:t>communiquer au Secrétariat au plus tard le 15</w:t>
      </w:r>
      <w:r w:rsidR="009A09C0">
        <w:t> </w:t>
      </w:r>
      <w:r w:rsidRPr="009D0B3A">
        <w:t xml:space="preserve">septembre 2025 afin de </w:t>
      </w:r>
      <w:r w:rsidR="005B630D" w:rsidRPr="009D0B3A">
        <w:t xml:space="preserve">pouvoir </w:t>
      </w:r>
      <w:r w:rsidRPr="009D0B3A">
        <w:t>évaluer, à sa soixante</w:t>
      </w:r>
      <w:r w:rsidR="00FB59D1">
        <w:noBreakHyphen/>
      </w:r>
      <w:r w:rsidRPr="009D0B3A">
        <w:t>quinzième</w:t>
      </w:r>
      <w:r w:rsidR="009A09C0">
        <w:t> </w:t>
      </w:r>
      <w:r w:rsidRPr="009D0B3A">
        <w:t xml:space="preserve">réunion, </w:t>
      </w:r>
      <w:r w:rsidR="00AE4DC3" w:rsidRPr="009D0B3A">
        <w:t xml:space="preserve">la situation </w:t>
      </w:r>
      <w:r w:rsidRPr="009D0B3A">
        <w:t>du Kazakhstan</w:t>
      </w:r>
      <w:r w:rsidR="00AE4DC3" w:rsidRPr="009D0B3A">
        <w:t xml:space="preserve"> en matière de conformité</w:t>
      </w:r>
      <w:r w:rsidRPr="009D0B3A">
        <w:t xml:space="preserve">. La Partie avait donné suite à la demande en déclarant une consommation de HCFC de 0,25 tonne pour 2024. </w:t>
      </w:r>
      <w:bookmarkEnd w:id="18"/>
    </w:p>
    <w:p w14:paraId="5F3408C1" w14:textId="574704EA" w:rsidR="00F85973" w:rsidRPr="009D0B3A" w:rsidRDefault="00F85973" w:rsidP="002048EF">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Comité avait donc décidé d</w:t>
      </w:r>
      <w:r w:rsidR="00AA6A89" w:rsidRPr="009D0B3A">
        <w:t>’</w:t>
      </w:r>
      <w:r w:rsidRPr="009D0B3A">
        <w:t>accueillir avec satisfaction la communication par le Kazakhstan de ses données au titre de l</w:t>
      </w:r>
      <w:r w:rsidR="00AA6A89" w:rsidRPr="009D0B3A">
        <w:t>’</w:t>
      </w:r>
      <w:r w:rsidRPr="009D0B3A">
        <w:t>article</w:t>
      </w:r>
      <w:r w:rsidR="008C62AE">
        <w:t> </w:t>
      </w:r>
      <w:r w:rsidRPr="009D0B3A">
        <w:t>7 pour 2024 qui montraient que cette Partie avait respecté ses engagements énoncés dans son plan d</w:t>
      </w:r>
      <w:r w:rsidR="00AA6A89" w:rsidRPr="009D0B3A">
        <w:t>’</w:t>
      </w:r>
      <w:r w:rsidRPr="009D0B3A">
        <w:t>action afin de revenir à une situation de respect pour cette année, conformément à la décision</w:t>
      </w:r>
      <w:r w:rsidR="008C62AE">
        <w:t> </w:t>
      </w:r>
      <w:r w:rsidRPr="009D0B3A">
        <w:t>XXIX/14.</w:t>
      </w:r>
    </w:p>
    <w:p w14:paraId="6A40B824" w14:textId="2CB95E68" w:rsidR="00F85973" w:rsidRPr="009D0B3A" w:rsidRDefault="00F85973" w:rsidP="00F85973">
      <w:pPr>
        <w:pStyle w:val="CH3"/>
        <w:keepNext w:val="0"/>
        <w:keepLines w:val="0"/>
      </w:pPr>
      <w:r w:rsidRPr="009D0B3A">
        <w:tab/>
      </w:r>
      <w:r w:rsidR="00BB7932" w:rsidRPr="009D0B3A">
        <w:rPr>
          <w:bCs/>
        </w:rPr>
        <w:t>3.</w:t>
      </w:r>
      <w:r w:rsidR="009E5D97" w:rsidRPr="009D0B3A">
        <w:tab/>
      </w:r>
      <w:r w:rsidRPr="009D0B3A">
        <w:rPr>
          <w:bCs/>
        </w:rPr>
        <w:t>Libye (recommandation</w:t>
      </w:r>
      <w:r w:rsidR="008C62AE">
        <w:rPr>
          <w:bCs/>
        </w:rPr>
        <w:t> </w:t>
      </w:r>
      <w:r w:rsidRPr="009D0B3A">
        <w:rPr>
          <w:bCs/>
        </w:rPr>
        <w:t xml:space="preserve">74/4) </w:t>
      </w:r>
    </w:p>
    <w:p w14:paraId="4FE529B9" w14:textId="5BB1B683" w:rsidR="00F85973" w:rsidRPr="009D0B3A" w:rsidRDefault="00F85973" w:rsidP="00896B4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représentant du Secrétariat a rappelé que, dans la décision</w:t>
      </w:r>
      <w:r w:rsidR="00C10170">
        <w:t> </w:t>
      </w:r>
      <w:r w:rsidRPr="009D0B3A">
        <w:t>XXVII/11 relative au non</w:t>
      </w:r>
      <w:r w:rsidR="00553D6E">
        <w:noBreakHyphen/>
      </w:r>
      <w:r w:rsidRPr="009D0B3A">
        <w:t>respect du Protocole de</w:t>
      </w:r>
      <w:r w:rsidR="00C10170">
        <w:t> </w:t>
      </w:r>
      <w:r w:rsidRPr="009D0B3A">
        <w:t>Montréal par la Libye, la vingt-septième Réunion des Parties avait noté que la Libye s</w:t>
      </w:r>
      <w:r w:rsidR="00AA6A89" w:rsidRPr="009D0B3A">
        <w:t>’</w:t>
      </w:r>
      <w:r w:rsidRPr="009D0B3A">
        <w:t>était engagée à imposer, dans un avenir proche, une interdiction sur l</w:t>
      </w:r>
      <w:r w:rsidR="00AA6A89" w:rsidRPr="009D0B3A">
        <w:t>’</w:t>
      </w:r>
      <w:r w:rsidRPr="009D0B3A">
        <w:t>achat d</w:t>
      </w:r>
      <w:r w:rsidR="00AA6A89" w:rsidRPr="009D0B3A">
        <w:t>’</w:t>
      </w:r>
      <w:r w:rsidRPr="009D0B3A">
        <w:t>équipements de climatisation contenant des HCFC et à envisager une interdiction sur l</w:t>
      </w:r>
      <w:r w:rsidR="00AA6A89" w:rsidRPr="009D0B3A">
        <w:t>’</w:t>
      </w:r>
      <w:r w:rsidRPr="009D0B3A">
        <w:t>importation de tels équipements. Dans sa recommandation</w:t>
      </w:r>
      <w:r w:rsidR="002D1217">
        <w:t> </w:t>
      </w:r>
      <w:r w:rsidRPr="009D0B3A">
        <w:t>74/4, le Comité avait invité la Libye à fournir des informations sur les équipements de réfrigération et de climatisation contenant des HCFC déjà en stock avant l</w:t>
      </w:r>
      <w:r w:rsidR="00AA6A89" w:rsidRPr="009D0B3A">
        <w:t>’</w:t>
      </w:r>
      <w:r w:rsidRPr="009D0B3A">
        <w:t>entrée en vigueur de l</w:t>
      </w:r>
      <w:r w:rsidR="00AA6A89" w:rsidRPr="009D0B3A">
        <w:t>’</w:t>
      </w:r>
      <w:r w:rsidRPr="009D0B3A">
        <w:t>interdiction d</w:t>
      </w:r>
      <w:r w:rsidR="00AA6A89" w:rsidRPr="009D0B3A">
        <w:t>’</w:t>
      </w:r>
      <w:r w:rsidRPr="009D0B3A">
        <w:t>importation et d</w:t>
      </w:r>
      <w:r w:rsidR="00AA6A89" w:rsidRPr="009D0B3A">
        <w:t>’</w:t>
      </w:r>
      <w:r w:rsidRPr="009D0B3A">
        <w:t>achat. Il avait également été demandé à la Partie de fournir des informations actualisées sur le nombre de ministères et d</w:t>
      </w:r>
      <w:r w:rsidR="00AA6A89" w:rsidRPr="009D0B3A">
        <w:t>’</w:t>
      </w:r>
      <w:r w:rsidRPr="009D0B3A">
        <w:t>institutions publiques, ainsi que sur l</w:t>
      </w:r>
      <w:r w:rsidR="00AA6A89" w:rsidRPr="009D0B3A">
        <w:t>’</w:t>
      </w:r>
      <w:r w:rsidRPr="009D0B3A">
        <w:t>état d</w:t>
      </w:r>
      <w:r w:rsidR="00AA6A89" w:rsidRPr="009D0B3A">
        <w:t>’</w:t>
      </w:r>
      <w:r w:rsidRPr="009D0B3A">
        <w:t>avancement de la mise en œuvre de l</w:t>
      </w:r>
      <w:r w:rsidR="00AA6A89" w:rsidRPr="009D0B3A">
        <w:t>’</w:t>
      </w:r>
      <w:r w:rsidRPr="009D0B3A">
        <w:t>interdiction des achats, de préférence avant le 15</w:t>
      </w:r>
      <w:r w:rsidR="002D1217">
        <w:t> </w:t>
      </w:r>
      <w:r w:rsidRPr="009D0B3A">
        <w:t>septembre 2025, afin que le Comité d</w:t>
      </w:r>
      <w:r w:rsidR="00AA6A89" w:rsidRPr="009D0B3A">
        <w:t>’</w:t>
      </w:r>
      <w:r w:rsidRPr="009D0B3A">
        <w:t>application puisse les examiner à sa soixante-quinzième</w:t>
      </w:r>
      <w:r w:rsidR="001979E5">
        <w:t> </w:t>
      </w:r>
      <w:r w:rsidRPr="009D0B3A">
        <w:t>réunion. La Partie avait donné suite à la demande et fourni un rapport d</w:t>
      </w:r>
      <w:r w:rsidR="00AA6A89" w:rsidRPr="009D0B3A">
        <w:t>’</w:t>
      </w:r>
      <w:r w:rsidR="001C25C3" w:rsidRPr="009D0B3A">
        <w:t>activité</w:t>
      </w:r>
      <w:r w:rsidRPr="009D0B3A">
        <w:t xml:space="preserve"> sur son respect de l</w:t>
      </w:r>
      <w:r w:rsidR="00AA6A89" w:rsidRPr="009D0B3A">
        <w:t>’</w:t>
      </w:r>
      <w:r w:rsidRPr="009D0B3A">
        <w:t>interdiction d</w:t>
      </w:r>
      <w:r w:rsidR="00AA6A89" w:rsidRPr="009D0B3A">
        <w:t>’</w:t>
      </w:r>
      <w:r w:rsidRPr="009D0B3A">
        <w:t>importer et d</w:t>
      </w:r>
      <w:r w:rsidR="00AA6A89" w:rsidRPr="009D0B3A">
        <w:t>’</w:t>
      </w:r>
      <w:r w:rsidRPr="009D0B3A">
        <w:t xml:space="preserve">acheter des équipements de climatisation et de réfrigération </w:t>
      </w:r>
      <w:r w:rsidR="001C25C3" w:rsidRPr="009D0B3A">
        <w:t>contenant</w:t>
      </w:r>
      <w:r w:rsidRPr="009D0B3A">
        <w:t xml:space="preserve"> de</w:t>
      </w:r>
      <w:r w:rsidR="001C25C3" w:rsidRPr="009D0B3A">
        <w:t>s</w:t>
      </w:r>
      <w:r w:rsidRPr="009D0B3A">
        <w:t xml:space="preserve"> HCFC.</w:t>
      </w:r>
    </w:p>
    <w:p w14:paraId="257E8696" w14:textId="4C4C6B07" w:rsidR="00F85973" w:rsidRPr="009D0B3A" w:rsidRDefault="001C25C3" w:rsidP="00896B4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w:t>
      </w:r>
      <w:r w:rsidR="00F85973" w:rsidRPr="009D0B3A">
        <w:t>e rapport d</w:t>
      </w:r>
      <w:r w:rsidR="00AA6A89" w:rsidRPr="009D0B3A">
        <w:t>’</w:t>
      </w:r>
      <w:r w:rsidRPr="009D0B3A">
        <w:t>activité contenait les informations suivantes :</w:t>
      </w:r>
      <w:r w:rsidR="00F85973" w:rsidRPr="009D0B3A">
        <w:t xml:space="preserve"> il n</w:t>
      </w:r>
      <w:r w:rsidR="00AA6A89" w:rsidRPr="009D0B3A">
        <w:t>’</w:t>
      </w:r>
      <w:r w:rsidR="00F85973" w:rsidRPr="009D0B3A">
        <w:t>existait aucun stock d</w:t>
      </w:r>
      <w:r w:rsidR="00AA6A89" w:rsidRPr="009D0B3A">
        <w:t>’</w:t>
      </w:r>
      <w:r w:rsidR="00F85973" w:rsidRPr="009D0B3A">
        <w:t xml:space="preserve">équipements de climatisation ou de réfrigération </w:t>
      </w:r>
      <w:r w:rsidRPr="009D0B3A">
        <w:t>contenant</w:t>
      </w:r>
      <w:r w:rsidR="00F85973" w:rsidRPr="009D0B3A">
        <w:t xml:space="preserve"> de</w:t>
      </w:r>
      <w:r w:rsidRPr="009D0B3A">
        <w:t>s</w:t>
      </w:r>
      <w:r w:rsidR="00F85973" w:rsidRPr="009D0B3A">
        <w:t xml:space="preserve"> HCFC dans les institutions gouvernementales ou publiques</w:t>
      </w:r>
      <w:r w:rsidRPr="009D0B3A">
        <w:t xml:space="preserve"> ; </w:t>
      </w:r>
      <w:r w:rsidR="00F85973" w:rsidRPr="009D0B3A">
        <w:t>les inspections environnementales menées en 2025 à Benghazi, Misrata et Tripoli avaient confirmé qu</w:t>
      </w:r>
      <w:r w:rsidR="00AA6A89" w:rsidRPr="009D0B3A">
        <w:t>’</w:t>
      </w:r>
      <w:r w:rsidR="00F85973" w:rsidRPr="009D0B3A">
        <w:t>il n</w:t>
      </w:r>
      <w:r w:rsidR="00AA6A89" w:rsidRPr="009D0B3A">
        <w:t>’</w:t>
      </w:r>
      <w:r w:rsidR="004C524D" w:rsidRPr="009D0B3A">
        <w:t>y avait</w:t>
      </w:r>
      <w:r w:rsidR="00F85973" w:rsidRPr="009D0B3A">
        <w:t xml:space="preserve"> que très peu d</w:t>
      </w:r>
      <w:r w:rsidR="00AA6A89" w:rsidRPr="009D0B3A">
        <w:t>’</w:t>
      </w:r>
      <w:r w:rsidR="00F85973" w:rsidRPr="009D0B3A">
        <w:t xml:space="preserve">appareils </w:t>
      </w:r>
      <w:r w:rsidRPr="009D0B3A">
        <w:t>contenant des</w:t>
      </w:r>
      <w:r w:rsidR="00F85973" w:rsidRPr="009D0B3A">
        <w:t xml:space="preserve"> HCFC sur le marché commercial, les solutions </w:t>
      </w:r>
      <w:r w:rsidRPr="009D0B3A">
        <w:t xml:space="preserve">de remplacement, </w:t>
      </w:r>
      <w:r w:rsidR="00F85973" w:rsidRPr="009D0B3A">
        <w:t>moins chères</w:t>
      </w:r>
      <w:r w:rsidRPr="009D0B3A">
        <w:t>,</w:t>
      </w:r>
      <w:r w:rsidR="00F85973" w:rsidRPr="009D0B3A">
        <w:t xml:space="preserve"> étant en tête des ventes</w:t>
      </w:r>
      <w:r w:rsidRPr="009D0B3A">
        <w:t xml:space="preserve"> ; </w:t>
      </w:r>
      <w:r w:rsidR="00F85973" w:rsidRPr="009D0B3A">
        <w:t>aucune nouvelle licence d</w:t>
      </w:r>
      <w:r w:rsidR="00AA6A89" w:rsidRPr="009D0B3A">
        <w:t>’</w:t>
      </w:r>
      <w:r w:rsidR="00F85973" w:rsidRPr="009D0B3A">
        <w:t>importation n</w:t>
      </w:r>
      <w:r w:rsidR="00AA6A89" w:rsidRPr="009D0B3A">
        <w:t>’</w:t>
      </w:r>
      <w:r w:rsidR="00F85973" w:rsidRPr="009D0B3A">
        <w:t xml:space="preserve">avait été délivrée pour des équipements </w:t>
      </w:r>
      <w:r w:rsidRPr="009D0B3A">
        <w:t>contenant</w:t>
      </w:r>
      <w:r w:rsidR="00F85973" w:rsidRPr="009D0B3A">
        <w:t xml:space="preserve"> de</w:t>
      </w:r>
      <w:r w:rsidRPr="009D0B3A">
        <w:t>s</w:t>
      </w:r>
      <w:r w:rsidR="00F85973" w:rsidRPr="009D0B3A">
        <w:t xml:space="preserve"> HCFC depuis l</w:t>
      </w:r>
      <w:r w:rsidR="00AA6A89" w:rsidRPr="009D0B3A">
        <w:t>’</w:t>
      </w:r>
      <w:r w:rsidR="00F85973" w:rsidRPr="009D0B3A">
        <w:t>adoption de la décision n°</w:t>
      </w:r>
      <w:r w:rsidR="00AC3811">
        <w:t> </w:t>
      </w:r>
      <w:r w:rsidR="00F85973" w:rsidRPr="009D0B3A">
        <w:t>165 de 2025 par le Ministre de l</w:t>
      </w:r>
      <w:r w:rsidR="00AA6A89" w:rsidRPr="009D0B3A">
        <w:t>’</w:t>
      </w:r>
      <w:r w:rsidRPr="009D0B3A">
        <w:t>e</w:t>
      </w:r>
      <w:r w:rsidR="00F85973" w:rsidRPr="009D0B3A">
        <w:t>nvironnement</w:t>
      </w:r>
      <w:r w:rsidRPr="009D0B3A">
        <w:t> ;</w:t>
      </w:r>
      <w:r w:rsidR="00F85973" w:rsidRPr="009D0B3A">
        <w:t xml:space="preserve"> les données officielles pour 2024 montraient que les unités </w:t>
      </w:r>
      <w:r w:rsidRPr="009D0B3A">
        <w:t xml:space="preserve">contenant du </w:t>
      </w:r>
      <w:r w:rsidR="00F85973" w:rsidRPr="009D0B3A">
        <w:t>HCFC-22 importées via le port de Misrata ne représentaient que 0,4</w:t>
      </w:r>
      <w:r w:rsidR="00CE1598">
        <w:t> </w:t>
      </w:r>
      <w:r w:rsidR="00F85973" w:rsidRPr="009D0B3A">
        <w:t>% du total des importations. En outre, un projet d</w:t>
      </w:r>
      <w:r w:rsidR="00AA6A89" w:rsidRPr="009D0B3A">
        <w:t>’</w:t>
      </w:r>
      <w:r w:rsidR="00F85973" w:rsidRPr="009D0B3A">
        <w:t>enquête nationale, supervisé par l</w:t>
      </w:r>
      <w:r w:rsidR="00AA6A89" w:rsidRPr="009D0B3A">
        <w:t>’</w:t>
      </w:r>
      <w:r w:rsidR="00F85973" w:rsidRPr="009D0B3A">
        <w:t>Organisation des Nations</w:t>
      </w:r>
      <w:r w:rsidR="00545566">
        <w:t> </w:t>
      </w:r>
      <w:r w:rsidR="00F85973" w:rsidRPr="009D0B3A">
        <w:t>Unies pour le développement industriel (ONUDI), serait mené d</w:t>
      </w:r>
      <w:r w:rsidR="00AA6A89" w:rsidRPr="009D0B3A">
        <w:t>’</w:t>
      </w:r>
      <w:r w:rsidR="00F85973" w:rsidRPr="009D0B3A">
        <w:t>octobre 2025 à septembre 2026 avec le plein soutien logistique et informatique d</w:t>
      </w:r>
      <w:r w:rsidR="006B7920" w:rsidRPr="009D0B3A">
        <w:t>es pouvoirs publics ;</w:t>
      </w:r>
      <w:r w:rsidR="00F85973" w:rsidRPr="009D0B3A">
        <w:t xml:space="preserve"> </w:t>
      </w:r>
      <w:r w:rsidR="006B7920" w:rsidRPr="009D0B3A">
        <w:t>l</w:t>
      </w:r>
      <w:r w:rsidR="00F85973" w:rsidRPr="009D0B3A">
        <w:t xml:space="preserve">es ministères et institutions se conformaient </w:t>
      </w:r>
      <w:r w:rsidR="006B7920" w:rsidRPr="009D0B3A">
        <w:t xml:space="preserve">tous </w:t>
      </w:r>
      <w:r w:rsidR="00F85973" w:rsidRPr="009D0B3A">
        <w:t xml:space="preserve">à la directive </w:t>
      </w:r>
      <w:r w:rsidR="006B7920" w:rsidRPr="009D0B3A">
        <w:t xml:space="preserve">qui </w:t>
      </w:r>
      <w:r w:rsidR="00F85973" w:rsidRPr="009D0B3A">
        <w:t>interdisa</w:t>
      </w:r>
      <w:r w:rsidR="006B7920" w:rsidRPr="009D0B3A">
        <w:t>i</w:t>
      </w:r>
      <w:r w:rsidR="00F85973" w:rsidRPr="009D0B3A">
        <w:t xml:space="preserve">t les nouvelles installation </w:t>
      </w:r>
      <w:r w:rsidR="006B7920" w:rsidRPr="009D0B3A">
        <w:t xml:space="preserve">contenant </w:t>
      </w:r>
      <w:r w:rsidR="00F85973" w:rsidRPr="009D0B3A">
        <w:t xml:space="preserve">des HCFC, </w:t>
      </w:r>
      <w:r w:rsidR="006B7920" w:rsidRPr="009D0B3A">
        <w:t xml:space="preserve">laquelle </w:t>
      </w:r>
      <w:r w:rsidR="00F85973" w:rsidRPr="009D0B3A">
        <w:t>était juridiquement contraignante en vertu de la loi de 2003 sur la protection et l</w:t>
      </w:r>
      <w:r w:rsidR="00AA6A89" w:rsidRPr="009D0B3A">
        <w:t>’</w:t>
      </w:r>
      <w:r w:rsidR="00F85973" w:rsidRPr="009D0B3A">
        <w:t>amélioration de l</w:t>
      </w:r>
      <w:r w:rsidR="00AA6A89" w:rsidRPr="009D0B3A">
        <w:t>’</w:t>
      </w:r>
      <w:r w:rsidR="00F85973" w:rsidRPr="009D0B3A">
        <w:t xml:space="preserve">environnement et était appliquée </w:t>
      </w:r>
      <w:r w:rsidR="006B7920" w:rsidRPr="009D0B3A">
        <w:t>au moyen</w:t>
      </w:r>
      <w:r w:rsidR="00F85973" w:rsidRPr="009D0B3A">
        <w:t xml:space="preserve"> de règles en matière de passation de marchés</w:t>
      </w:r>
      <w:r w:rsidR="006B7920" w:rsidRPr="009D0B3A">
        <w:t> ;</w:t>
      </w:r>
      <w:r w:rsidR="00F85973" w:rsidRPr="009D0B3A">
        <w:t xml:space="preserve"> les marchés publics reposai</w:t>
      </w:r>
      <w:r w:rsidR="006B7920" w:rsidRPr="009D0B3A">
        <w:t>en</w:t>
      </w:r>
      <w:r w:rsidR="00F85973" w:rsidRPr="009D0B3A">
        <w:t>t sur le critère de l</w:t>
      </w:r>
      <w:r w:rsidR="00AA6A89" w:rsidRPr="009D0B3A">
        <w:t>’</w:t>
      </w:r>
      <w:r w:rsidR="00F85973" w:rsidRPr="009D0B3A">
        <w:t>offre la moins disante, les équipements sans HCFC étant moins chers et largement disponibles</w:t>
      </w:r>
      <w:r w:rsidR="006B7920" w:rsidRPr="009D0B3A">
        <w:t> ;</w:t>
      </w:r>
      <w:r w:rsidR="00F85973" w:rsidRPr="009D0B3A">
        <w:t xml:space="preserve"> aucun budget n</w:t>
      </w:r>
      <w:r w:rsidR="00AA6A89" w:rsidRPr="009D0B3A">
        <w:t>’</w:t>
      </w:r>
      <w:r w:rsidR="00F85973" w:rsidRPr="009D0B3A">
        <w:t>avait été alloué récemment pour l</w:t>
      </w:r>
      <w:r w:rsidR="00AA6A89" w:rsidRPr="009D0B3A">
        <w:t>’</w:t>
      </w:r>
      <w:r w:rsidR="00F85973" w:rsidRPr="009D0B3A">
        <w:t>achat d</w:t>
      </w:r>
      <w:r w:rsidR="00AA6A89" w:rsidRPr="009D0B3A">
        <w:t>’</w:t>
      </w:r>
      <w:r w:rsidR="00F85973" w:rsidRPr="009D0B3A">
        <w:t>équipements importants ou de nouvelles installations.</w:t>
      </w:r>
    </w:p>
    <w:p w14:paraId="01FDDCF2" w14:textId="675AFA7F" w:rsidR="00F85973" w:rsidRPr="009D0B3A" w:rsidRDefault="00F85973" w:rsidP="00896B4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Un membre a demandé plus d</w:t>
      </w:r>
      <w:r w:rsidR="00AA6A89" w:rsidRPr="009D0B3A">
        <w:t>’</w:t>
      </w:r>
      <w:r w:rsidRPr="009D0B3A">
        <w:t>informations sur l</w:t>
      </w:r>
      <w:r w:rsidR="00AA6A89" w:rsidRPr="009D0B3A">
        <w:t>’</w:t>
      </w:r>
      <w:r w:rsidRPr="009D0B3A">
        <w:t>enquête nationale qui sera menée par l</w:t>
      </w:r>
      <w:r w:rsidR="00AA6A89" w:rsidRPr="009D0B3A">
        <w:t>’</w:t>
      </w:r>
      <w:r w:rsidRPr="009D0B3A">
        <w:t>ONUDI. L</w:t>
      </w:r>
      <w:r w:rsidR="001137FD" w:rsidRPr="009D0B3A">
        <w:t>a</w:t>
      </w:r>
      <w:r w:rsidRPr="009D0B3A">
        <w:t xml:space="preserve"> représentant</w:t>
      </w:r>
      <w:r w:rsidR="001137FD" w:rsidRPr="009D0B3A">
        <w:t>e</w:t>
      </w:r>
      <w:r w:rsidRPr="009D0B3A">
        <w:t xml:space="preserve"> de l</w:t>
      </w:r>
      <w:r w:rsidR="00AA6A89" w:rsidRPr="009D0B3A">
        <w:t>’</w:t>
      </w:r>
      <w:r w:rsidRPr="009D0B3A">
        <w:t>ONUDI a expliqué qu</w:t>
      </w:r>
      <w:r w:rsidR="00AA6A89" w:rsidRPr="009D0B3A">
        <w:t>’</w:t>
      </w:r>
      <w:r w:rsidRPr="009D0B3A">
        <w:t>elle s</w:t>
      </w:r>
      <w:r w:rsidR="00AA6A89" w:rsidRPr="009D0B3A">
        <w:t>’</w:t>
      </w:r>
      <w:r w:rsidRPr="009D0B3A">
        <w:t>inscrivait dans le cadre d</w:t>
      </w:r>
      <w:r w:rsidR="00AA6A89" w:rsidRPr="009D0B3A">
        <w:t>’</w:t>
      </w:r>
      <w:r w:rsidRPr="009D0B3A">
        <w:t xml:space="preserve">un projet visant à établir des inventaires nationaux des </w:t>
      </w:r>
      <w:r w:rsidR="00412161" w:rsidRPr="009D0B3A">
        <w:t xml:space="preserve">réserves </w:t>
      </w:r>
      <w:r w:rsidRPr="009D0B3A">
        <w:t xml:space="preserve">de substances réglementées usagées ou indésirables et à élaborer un plan de gestion de ces </w:t>
      </w:r>
      <w:r w:rsidR="00412161" w:rsidRPr="009D0B3A">
        <w:t>réserves</w:t>
      </w:r>
      <w:r w:rsidRPr="009D0B3A">
        <w:t>. Le projet avait été approuvé au titre du guichet de financement créé dans le cadre du Fonds multilatéral par la décision</w:t>
      </w:r>
      <w:r w:rsidR="00AC3811">
        <w:t> </w:t>
      </w:r>
      <w:r w:rsidRPr="009D0B3A">
        <w:t>91/66 du Comité</w:t>
      </w:r>
      <w:r w:rsidR="00AC3811">
        <w:t> </w:t>
      </w:r>
      <w:r w:rsidRPr="009D0B3A">
        <w:t>exécutif. L</w:t>
      </w:r>
      <w:r w:rsidR="00AA6A89" w:rsidRPr="009D0B3A">
        <w:t>’</w:t>
      </w:r>
      <w:r w:rsidRPr="009D0B3A">
        <w:t>enquête devait effectivement se dérouler d</w:t>
      </w:r>
      <w:r w:rsidR="00AA6A89" w:rsidRPr="009D0B3A">
        <w:t>’</w:t>
      </w:r>
      <w:r w:rsidRPr="009D0B3A">
        <w:t>octobre 2025 à septembre 2026, l</w:t>
      </w:r>
      <w:r w:rsidR="00AA6A89" w:rsidRPr="009D0B3A">
        <w:t>’</w:t>
      </w:r>
      <w:r w:rsidRPr="009D0B3A">
        <w:t>ONUDI étant l</w:t>
      </w:r>
      <w:r w:rsidR="00AA6A89" w:rsidRPr="009D0B3A">
        <w:t>’</w:t>
      </w:r>
      <w:r w:rsidRPr="009D0B3A">
        <w:t>organisation cheffe de file chargée de sa mise en œuvre. L</w:t>
      </w:r>
      <w:r w:rsidR="00AA6A89" w:rsidRPr="009D0B3A">
        <w:t>’</w:t>
      </w:r>
      <w:r w:rsidRPr="009D0B3A">
        <w:t xml:space="preserve">ONUDI avait </w:t>
      </w:r>
      <w:r w:rsidR="00412161" w:rsidRPr="009D0B3A">
        <w:t xml:space="preserve">trouvé </w:t>
      </w:r>
      <w:r w:rsidRPr="009D0B3A">
        <w:t xml:space="preserve">et sous-traité une agence spécialisée, </w:t>
      </w:r>
      <w:r w:rsidR="00412161" w:rsidRPr="009D0B3A">
        <w:t xml:space="preserve">située </w:t>
      </w:r>
      <w:r w:rsidRPr="009D0B3A">
        <w:t>en Égypte, et l</w:t>
      </w:r>
      <w:r w:rsidR="00AA6A89" w:rsidRPr="009D0B3A">
        <w:t>’</w:t>
      </w:r>
      <w:r w:rsidRPr="009D0B3A">
        <w:t>aidait à obtenir les visas nécessaires et à organiser la logistique pour mener l</w:t>
      </w:r>
      <w:r w:rsidR="00AA6A89" w:rsidRPr="009D0B3A">
        <w:t>’</w:t>
      </w:r>
      <w:r w:rsidRPr="009D0B3A">
        <w:t>enquête. Un délai suffisant avait été prévu pour la réalisation de l</w:t>
      </w:r>
      <w:r w:rsidR="00AA6A89" w:rsidRPr="009D0B3A">
        <w:t>’</w:t>
      </w:r>
      <w:r w:rsidRPr="009D0B3A">
        <w:t>enquête compte tenu de la situation difficile dans le pays.</w:t>
      </w:r>
    </w:p>
    <w:p w14:paraId="75545DE9" w14:textId="150080E3" w:rsidR="00F012C2" w:rsidRPr="009D0B3A" w:rsidRDefault="00F012C2" w:rsidP="00896B4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lastRenderedPageBreak/>
        <w:t xml:space="preserve">Le Comité avait donc décidé de transmettre à la trente-septième Réunion des Parties, pour examen, le projet de décision sur la Libye, </w:t>
      </w:r>
      <w:r w:rsidR="00E46B0E" w:rsidRPr="009D0B3A">
        <w:t xml:space="preserve">tel que </w:t>
      </w:r>
      <w:r w:rsidRPr="009D0B3A">
        <w:t xml:space="preserve">reproduit </w:t>
      </w:r>
      <w:r w:rsidR="00876F56" w:rsidRPr="009D0B3A">
        <w:t>à</w:t>
      </w:r>
      <w:r w:rsidRPr="009D0B3A">
        <w:t xml:space="preserve"> la section</w:t>
      </w:r>
      <w:r w:rsidR="00AC3811">
        <w:t> </w:t>
      </w:r>
      <w:r w:rsidR="002529C3" w:rsidRPr="009D0B3A">
        <w:t>C</w:t>
      </w:r>
      <w:r w:rsidRPr="009D0B3A">
        <w:t xml:space="preserve"> de l</w:t>
      </w:r>
      <w:r w:rsidR="00AA6A89" w:rsidRPr="009D0B3A">
        <w:t>’</w:t>
      </w:r>
      <w:r w:rsidRPr="009D0B3A">
        <w:t>annexe</w:t>
      </w:r>
      <w:r w:rsidR="00AC3811">
        <w:t> </w:t>
      </w:r>
      <w:r w:rsidRPr="009D0B3A">
        <w:t xml:space="preserve">I </w:t>
      </w:r>
      <w:r w:rsidR="00412161" w:rsidRPr="009D0B3A">
        <w:t>d</w:t>
      </w:r>
      <w:r w:rsidRPr="009D0B3A">
        <w:t>u présent</w:t>
      </w:r>
      <w:r w:rsidR="00AC3811">
        <w:t> </w:t>
      </w:r>
      <w:r w:rsidRPr="009D0B3A">
        <w:t>rapport.</w:t>
      </w:r>
    </w:p>
    <w:p w14:paraId="7A9B8EE9" w14:textId="55C14827" w:rsidR="00F012C2" w:rsidRPr="009D0B3A" w:rsidRDefault="00F012C2" w:rsidP="00F012C2">
      <w:pPr>
        <w:pStyle w:val="Recommendation"/>
      </w:pPr>
      <w:r w:rsidRPr="009D0B3A">
        <w:t>Recommandation</w:t>
      </w:r>
      <w:r w:rsidR="004F509E">
        <w:t> </w:t>
      </w:r>
      <w:r w:rsidRPr="009D0B3A">
        <w:t>75/3</w:t>
      </w:r>
    </w:p>
    <w:p w14:paraId="10A50373" w14:textId="65C4C8AB" w:rsidR="00FE4F9C" w:rsidRPr="009D0B3A" w:rsidRDefault="00BB7932" w:rsidP="00BB7932">
      <w:pPr>
        <w:pStyle w:val="CH1"/>
      </w:pPr>
      <w:r>
        <w:rPr>
          <w:bCs/>
        </w:rPr>
        <w:tab/>
      </w:r>
      <w:r w:rsidR="00E62642">
        <w:t>V</w:t>
      </w:r>
      <w:r w:rsidRPr="00852ABF">
        <w:t>I.</w:t>
      </w:r>
      <w:r>
        <w:rPr>
          <w:bCs/>
        </w:rPr>
        <w:tab/>
      </w:r>
      <w:r w:rsidR="00FE4F9C" w:rsidRPr="009D0B3A">
        <w:rPr>
          <w:bCs/>
        </w:rPr>
        <w:t>Examen d</w:t>
      </w:r>
      <w:r w:rsidR="00AA6A89" w:rsidRPr="009D0B3A">
        <w:rPr>
          <w:bCs/>
        </w:rPr>
        <w:t>’</w:t>
      </w:r>
      <w:r w:rsidR="00FE4F9C" w:rsidRPr="009D0B3A">
        <w:rPr>
          <w:bCs/>
        </w:rPr>
        <w:t xml:space="preserve">autres </w:t>
      </w:r>
      <w:r w:rsidR="005A1BAE" w:rsidRPr="009D0B3A">
        <w:rPr>
          <w:bCs/>
        </w:rPr>
        <w:t>questions</w:t>
      </w:r>
      <w:r w:rsidR="00FE4F9C" w:rsidRPr="009D0B3A">
        <w:rPr>
          <w:bCs/>
        </w:rPr>
        <w:t xml:space="preserve"> de non-respect éventue</w:t>
      </w:r>
      <w:r w:rsidR="00082F26" w:rsidRPr="009D0B3A">
        <w:rPr>
          <w:bCs/>
        </w:rPr>
        <w:t>l</w:t>
      </w:r>
      <w:r w:rsidR="00E31471" w:rsidRPr="009D0B3A">
        <w:rPr>
          <w:bCs/>
        </w:rPr>
        <w:t>les révélées</w:t>
      </w:r>
      <w:r w:rsidR="00FE4F9C" w:rsidRPr="009D0B3A">
        <w:rPr>
          <w:bCs/>
        </w:rPr>
        <w:t xml:space="preserve"> </w:t>
      </w:r>
      <w:r w:rsidR="00E31471" w:rsidRPr="009D0B3A">
        <w:rPr>
          <w:bCs/>
        </w:rPr>
        <w:t>par</w:t>
      </w:r>
      <w:r w:rsidR="007A16C6">
        <w:rPr>
          <w:bCs/>
        </w:rPr>
        <w:t> </w:t>
      </w:r>
      <w:r w:rsidR="00E31471" w:rsidRPr="009D0B3A">
        <w:rPr>
          <w:bCs/>
        </w:rPr>
        <w:t xml:space="preserve">les </w:t>
      </w:r>
      <w:r w:rsidR="00FE4F9C" w:rsidRPr="009D0B3A">
        <w:rPr>
          <w:bCs/>
        </w:rPr>
        <w:t>données</w:t>
      </w:r>
      <w:r w:rsidR="00E31471" w:rsidRPr="009D0B3A">
        <w:rPr>
          <w:bCs/>
        </w:rPr>
        <w:t xml:space="preserve"> communiquées</w:t>
      </w:r>
    </w:p>
    <w:p w14:paraId="25820E59" w14:textId="39B578C6" w:rsidR="00FE4F9C" w:rsidRPr="009D0B3A" w:rsidRDefault="00FE4F9C" w:rsidP="00A3678A">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présentant ce point, le représentant du Secrétariat a attiré l</w:t>
      </w:r>
      <w:r w:rsidR="00AA6A89" w:rsidRPr="009D0B3A">
        <w:t>’</w:t>
      </w:r>
      <w:r w:rsidRPr="009D0B3A">
        <w:t xml:space="preserve">attention </w:t>
      </w:r>
      <w:r w:rsidR="00750959" w:rsidRPr="009D0B3A">
        <w:t xml:space="preserve">des participant(e)s </w:t>
      </w:r>
      <w:r w:rsidRPr="009D0B3A">
        <w:t>sur le rapport du Secrétariat concernant les informations relatives aux cas liés au respect des obligations découlant du Protocole de Montréal relatif à des substances qui appauvrissent la couche d</w:t>
      </w:r>
      <w:r w:rsidR="00AA6A89" w:rsidRPr="009D0B3A">
        <w:t>’</w:t>
      </w:r>
      <w:r w:rsidRPr="009D0B3A">
        <w:t xml:space="preserve">ozone (UNEP/OzL.Pro/ImpCom/75/R.3) et </w:t>
      </w:r>
      <w:r w:rsidR="00D223F5" w:rsidRPr="009D0B3A">
        <w:t xml:space="preserve">sur </w:t>
      </w:r>
      <w:r w:rsidRPr="009D0B3A">
        <w:t>son additif (UNEP/OzL.Pro/ImpCom/75/R.3/Add.1). Des informations supplémentaires concernant le Mali avaient été envoyées aux membres par courrier électronique, car le délai de trois</w:t>
      </w:r>
      <w:r w:rsidR="004F509E">
        <w:t> </w:t>
      </w:r>
      <w:r w:rsidRPr="009D0B3A">
        <w:t>mois mentionné au paragraphe</w:t>
      </w:r>
      <w:r w:rsidR="004F509E">
        <w:t> </w:t>
      </w:r>
      <w:r w:rsidRPr="009D0B3A">
        <w:t xml:space="preserve">3 de la procédure </w:t>
      </w:r>
      <w:r w:rsidR="00750959" w:rsidRPr="009D0B3A">
        <w:t xml:space="preserve">applicable en cas </w:t>
      </w:r>
      <w:r w:rsidRPr="009D0B3A">
        <w:t>de non-</w:t>
      </w:r>
      <w:r w:rsidR="00750959" w:rsidRPr="009D0B3A">
        <w:t xml:space="preserve">respect </w:t>
      </w:r>
      <w:r w:rsidRPr="009D0B3A">
        <w:t>pour qu</w:t>
      </w:r>
      <w:r w:rsidR="00AA6A89" w:rsidRPr="009D0B3A">
        <w:t>’</w:t>
      </w:r>
      <w:r w:rsidRPr="009D0B3A">
        <w:t>une Partie réponde à une demande d</w:t>
      </w:r>
      <w:r w:rsidR="00AA6A89" w:rsidRPr="009D0B3A">
        <w:t>’</w:t>
      </w:r>
      <w:r w:rsidRPr="009D0B3A">
        <w:t>informations supplémentaires ou de résolution du problème par des mesures administratives ou des contacts diplomatiques avait expiré deux jours seulement avant la présente réunion.</w:t>
      </w:r>
    </w:p>
    <w:p w14:paraId="096D2F52" w14:textId="7A8EA487" w:rsidR="00FE4F9C" w:rsidRPr="009D0B3A" w:rsidRDefault="000021C8" w:rsidP="000021C8">
      <w:pPr>
        <w:pStyle w:val="CH3"/>
      </w:pPr>
      <w:r w:rsidRPr="009D0B3A">
        <w:tab/>
      </w:r>
      <w:r w:rsidRPr="009D0B3A">
        <w:tab/>
      </w:r>
      <w:r w:rsidRPr="009D0B3A">
        <w:rPr>
          <w:bCs/>
        </w:rPr>
        <w:t>Israël</w:t>
      </w:r>
    </w:p>
    <w:p w14:paraId="3CBD1F1A" w14:textId="550A8057" w:rsidR="00FE4F9C" w:rsidRPr="009D0B3A" w:rsidRDefault="00FE4F9C" w:rsidP="00384D38">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Israël avait communiqué ses données pour 2024 le 30</w:t>
      </w:r>
      <w:r w:rsidR="00AA7775">
        <w:t> </w:t>
      </w:r>
      <w:r w:rsidRPr="009D0B3A">
        <w:t>septembre 2025. Il avait déclaré une consommation de 4,33</w:t>
      </w:r>
      <w:r w:rsidR="004F509E">
        <w:t> </w:t>
      </w:r>
      <w:r w:rsidRPr="009D0B3A">
        <w:t xml:space="preserve">tonnes </w:t>
      </w:r>
      <w:r w:rsidR="00C12DA9" w:rsidRPr="009D0B3A">
        <w:t xml:space="preserve">de </w:t>
      </w:r>
      <w:r w:rsidRPr="009D0B3A">
        <w:t>potentiel d</w:t>
      </w:r>
      <w:r w:rsidR="00AA6A89" w:rsidRPr="009D0B3A">
        <w:t>’</w:t>
      </w:r>
      <w:r w:rsidRPr="009D0B3A">
        <w:t>appauvrissement de la couche d</w:t>
      </w:r>
      <w:r w:rsidR="00AA6A89" w:rsidRPr="009D0B3A">
        <w:t>’</w:t>
      </w:r>
      <w:r w:rsidRPr="009D0B3A">
        <w:t>ozone</w:t>
      </w:r>
      <w:r w:rsidR="00C12DA9" w:rsidRPr="009D0B3A">
        <w:t xml:space="preserve"> (PDO</w:t>
      </w:r>
      <w:r w:rsidRPr="009D0B3A">
        <w:t xml:space="preserve">) de HCFC pour 2024, alors que la limite fixée </w:t>
      </w:r>
      <w:r w:rsidR="009B7925" w:rsidRPr="009D0B3A">
        <w:t xml:space="preserve">pour cette Partie </w:t>
      </w:r>
      <w:r w:rsidRPr="009D0B3A">
        <w:t>pour cette année-là était de 1,60</w:t>
      </w:r>
      <w:r w:rsidR="00574345">
        <w:t> </w:t>
      </w:r>
      <w:r w:rsidRPr="009D0B3A">
        <w:t>tonne</w:t>
      </w:r>
      <w:r w:rsidR="00AC1C69" w:rsidRPr="009D0B3A">
        <w:t>s</w:t>
      </w:r>
      <w:r w:rsidRPr="009D0B3A">
        <w:t xml:space="preserve"> PDO. Lorsqu</w:t>
      </w:r>
      <w:r w:rsidR="00AA6A89" w:rsidRPr="009D0B3A">
        <w:t>’</w:t>
      </w:r>
      <w:r w:rsidRPr="009D0B3A">
        <w:t>il avait communiqué ses données, Israël avait reconnu que sa consommation dépassait la limite fixée par le Protocole et avait déclaré que ce dépassement était dû à des circonstances nationales exceptionnelles, principalement liées à la santé et à la sécurité de la population civile dans le contexte du conflit armé prolongé et intense qui était en cours. Les HCFC étaient utilisés par les secteurs de la défense et de la santé pour maintenir des opérations critiques, car il n</w:t>
      </w:r>
      <w:r w:rsidR="00AA6A89" w:rsidRPr="009D0B3A">
        <w:t>’</w:t>
      </w:r>
      <w:r w:rsidRPr="009D0B3A">
        <w:t xml:space="preserve">existait aucune </w:t>
      </w:r>
      <w:r w:rsidR="00C12DA9" w:rsidRPr="009D0B3A">
        <w:t xml:space="preserve">solution de remplacement </w:t>
      </w:r>
      <w:r w:rsidRPr="009D0B3A">
        <w:t>viable. Israël avait en outre déclaré que cette augmentation était temporaire et qu</w:t>
      </w:r>
      <w:r w:rsidR="00AA6A89" w:rsidRPr="009D0B3A">
        <w:t>’</w:t>
      </w:r>
      <w:r w:rsidRPr="009D0B3A">
        <w:t>il prévoyait que la consommation pour 2025 resterait dans les limites fixées. Il avait également déclaré qu</w:t>
      </w:r>
      <w:r w:rsidR="00AA6A89" w:rsidRPr="009D0B3A">
        <w:t>’</w:t>
      </w:r>
      <w:r w:rsidRPr="009D0B3A">
        <w:t>il examinait activement la nécessité de maintenir les importations excédentaires et que le secteur de la défense mettrait en œuvre de</w:t>
      </w:r>
      <w:r w:rsidR="00C12DA9" w:rsidRPr="009D0B3A">
        <w:t xml:space="preserve"> nouvelle</w:t>
      </w:r>
      <w:r w:rsidRPr="009D0B3A">
        <w:t>s procédures d</w:t>
      </w:r>
      <w:r w:rsidR="00AA6A89" w:rsidRPr="009D0B3A">
        <w:t>’</w:t>
      </w:r>
      <w:r w:rsidRPr="009D0B3A">
        <w:t xml:space="preserve">acquisition afin de garantir que, dans la mesure du possible, les acquisitions </w:t>
      </w:r>
      <w:r w:rsidR="00C12DA9" w:rsidRPr="009D0B3A">
        <w:t>futures visent</w:t>
      </w:r>
      <w:r w:rsidRPr="009D0B3A">
        <w:t xml:space="preserve"> uniquement des équipements </w:t>
      </w:r>
      <w:r w:rsidR="00C12DA9" w:rsidRPr="009D0B3A">
        <w:t xml:space="preserve">de réfrigération ne contenant pas de substances </w:t>
      </w:r>
      <w:r w:rsidRPr="009D0B3A">
        <w:t>réglementé</w:t>
      </w:r>
      <w:r w:rsidR="00C12DA9" w:rsidRPr="009D0B3A">
        <w:t>e</w:t>
      </w:r>
      <w:r w:rsidRPr="009D0B3A">
        <w:t>s.</w:t>
      </w:r>
    </w:p>
    <w:p w14:paraId="3E5EF8C5" w14:textId="4F52AC1B" w:rsidR="00FE4F9C" w:rsidRPr="009D0B3A" w:rsidRDefault="00FE4F9C" w:rsidP="004F0038">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La </w:t>
      </w:r>
      <w:r w:rsidR="008B1277" w:rsidRPr="009D0B3A">
        <w:t>P</w:t>
      </w:r>
      <w:r w:rsidRPr="009D0B3A">
        <w:t>artie a</w:t>
      </w:r>
      <w:r w:rsidR="00A134E5" w:rsidRPr="009D0B3A">
        <w:t>vait</w:t>
      </w:r>
      <w:r w:rsidRPr="009D0B3A">
        <w:t xml:space="preserve"> également déclaré par la suite qu</w:t>
      </w:r>
      <w:r w:rsidR="00AA6A89" w:rsidRPr="009D0B3A">
        <w:t>’</w:t>
      </w:r>
      <w:r w:rsidRPr="009D0B3A">
        <w:t>elle restait déterminée à se conformer pleinement à ses obligations en matière d</w:t>
      </w:r>
      <w:r w:rsidR="00AA6A89" w:rsidRPr="009D0B3A">
        <w:t>’</w:t>
      </w:r>
      <w:r w:rsidRPr="009D0B3A">
        <w:t>élimination des HCFC dès que possible et qu</w:t>
      </w:r>
      <w:r w:rsidR="00AA6A89" w:rsidRPr="009D0B3A">
        <w:t>’</w:t>
      </w:r>
      <w:r w:rsidRPr="009D0B3A">
        <w:t>elle avait déjà entrepris d</w:t>
      </w:r>
      <w:r w:rsidR="00AA6A89" w:rsidRPr="009D0B3A">
        <w:t>’</w:t>
      </w:r>
      <w:r w:rsidRPr="009D0B3A">
        <w:t>élaborer un plan d</w:t>
      </w:r>
      <w:r w:rsidR="00AA6A89" w:rsidRPr="009D0B3A">
        <w:t>’</w:t>
      </w:r>
      <w:r w:rsidRPr="009D0B3A">
        <w:t>action afin de revenir à une situation de respect. La Parti</w:t>
      </w:r>
      <w:r w:rsidR="00373F5B" w:rsidRPr="009D0B3A">
        <w:t>e</w:t>
      </w:r>
      <w:r w:rsidRPr="009D0B3A">
        <w:t xml:space="preserve"> n</w:t>
      </w:r>
      <w:r w:rsidR="00AA6A89" w:rsidRPr="009D0B3A">
        <w:t>’</w:t>
      </w:r>
      <w:r w:rsidRPr="009D0B3A">
        <w:t xml:space="preserve">avait pas été en mesure </w:t>
      </w:r>
      <w:r w:rsidR="00106E28" w:rsidRPr="009D0B3A">
        <w:t>d’achever</w:t>
      </w:r>
      <w:r w:rsidRPr="009D0B3A">
        <w:t xml:space="preserve"> le plan à temps pour le soumettre à l</w:t>
      </w:r>
      <w:r w:rsidR="00AA6A89" w:rsidRPr="009D0B3A">
        <w:t>’</w:t>
      </w:r>
      <w:r w:rsidRPr="009D0B3A">
        <w:t>examen du Comité lors de la réunion en cours.</w:t>
      </w:r>
    </w:p>
    <w:p w14:paraId="5C7A6C9D" w14:textId="0846A66F" w:rsidR="00FE4F9C" w:rsidRPr="009D0B3A" w:rsidRDefault="00FE4F9C" w:rsidP="004F0038">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représentant du Secrétariat a proposé d</w:t>
      </w:r>
      <w:r w:rsidR="00AA6A89" w:rsidRPr="009D0B3A">
        <w:t>’</w:t>
      </w:r>
      <w:r w:rsidRPr="009D0B3A">
        <w:t xml:space="preserve">inviter Israël à </w:t>
      </w:r>
      <w:r w:rsidR="00C97591" w:rsidRPr="009D0B3A">
        <w:t xml:space="preserve">se faire représenter </w:t>
      </w:r>
      <w:r w:rsidRPr="009D0B3A">
        <w:t>à la soixante</w:t>
      </w:r>
      <w:r w:rsidR="00D70E8C">
        <w:noBreakHyphen/>
      </w:r>
      <w:r w:rsidRPr="009D0B3A">
        <w:t>seizième</w:t>
      </w:r>
      <w:r w:rsidR="00574345">
        <w:t> </w:t>
      </w:r>
      <w:r w:rsidRPr="009D0B3A">
        <w:t>réunion du Comité, au cours de laquelle il était prévu qu</w:t>
      </w:r>
      <w:r w:rsidR="00C97591" w:rsidRPr="009D0B3A">
        <w:t>e soit</w:t>
      </w:r>
      <w:r w:rsidRPr="009D0B3A">
        <w:t xml:space="preserve"> examin</w:t>
      </w:r>
      <w:r w:rsidR="00C97591" w:rsidRPr="009D0B3A">
        <w:t>é</w:t>
      </w:r>
      <w:r w:rsidRPr="009D0B3A">
        <w:t xml:space="preserve"> le plan d</w:t>
      </w:r>
      <w:r w:rsidR="00AA6A89" w:rsidRPr="009D0B3A">
        <w:t>’</w:t>
      </w:r>
      <w:r w:rsidRPr="009D0B3A">
        <w:t>action d</w:t>
      </w:r>
      <w:r w:rsidR="00AA6A89" w:rsidRPr="009D0B3A">
        <w:t>’</w:t>
      </w:r>
      <w:r w:rsidRPr="009D0B3A">
        <w:t>Israël.</w:t>
      </w:r>
    </w:p>
    <w:p w14:paraId="5FA5B513" w14:textId="1D7B36F3" w:rsidR="00FE4F9C" w:rsidRPr="009D0B3A" w:rsidRDefault="00FE4F9C" w:rsidP="004F0038">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Comité</w:t>
      </w:r>
      <w:r w:rsidR="00C92F32" w:rsidRPr="009D0B3A">
        <w:t xml:space="preserve"> est donc convenu</w:t>
      </w:r>
      <w:r w:rsidR="00AA6A89" w:rsidRPr="009D0B3A">
        <w:t> :</w:t>
      </w:r>
    </w:p>
    <w:p w14:paraId="22DDE68B" w14:textId="68AA2668" w:rsidR="000C4F55" w:rsidRPr="009D0B3A" w:rsidRDefault="000C4F55" w:rsidP="00143F38">
      <w:pPr>
        <w:pStyle w:val="Indent"/>
        <w:numPr>
          <w:ilvl w:val="0"/>
          <w:numId w:val="27"/>
        </w:numPr>
        <w:ind w:left="1276" w:firstLine="595"/>
      </w:pPr>
      <w:r w:rsidRPr="009D0B3A">
        <w:t>De prendre note de la déclaration volontaire faite par Israël au titre du paragraphe</w:t>
      </w:r>
      <w:r w:rsidR="00574345">
        <w:t> </w:t>
      </w:r>
      <w:r w:rsidRPr="009D0B3A">
        <w:t xml:space="preserve">4 de la procédure </w:t>
      </w:r>
      <w:r w:rsidR="007C0622" w:rsidRPr="009D0B3A">
        <w:t xml:space="preserve">applicable en cas </w:t>
      </w:r>
      <w:r w:rsidRPr="009D0B3A">
        <w:t>de non-respect et de l</w:t>
      </w:r>
      <w:r w:rsidR="00AA6A89" w:rsidRPr="009D0B3A">
        <w:t>’</w:t>
      </w:r>
      <w:r w:rsidRPr="009D0B3A">
        <w:t>explication fournie concernant la consommation en 2024 de 4,33 tonnes PDO d</w:t>
      </w:r>
      <w:r w:rsidR="00AA6A89" w:rsidRPr="009D0B3A">
        <w:t>’</w:t>
      </w:r>
      <w:r w:rsidRPr="009D0B3A">
        <w:t>hydrochlorofluorocarbone</w:t>
      </w:r>
      <w:r w:rsidR="00AA6A89" w:rsidRPr="009D0B3A">
        <w:t>s</w:t>
      </w:r>
      <w:r w:rsidR="007C0622" w:rsidRPr="009D0B3A">
        <w:t>, soit au-delà</w:t>
      </w:r>
      <w:r w:rsidRPr="009D0B3A">
        <w:t xml:space="preserve"> de la limite </w:t>
      </w:r>
      <w:r w:rsidR="007C0622" w:rsidRPr="009D0B3A">
        <w:t xml:space="preserve">de 1,6 tonne PDO </w:t>
      </w:r>
      <w:r w:rsidRPr="009D0B3A">
        <w:t xml:space="preserve">fixée pour la </w:t>
      </w:r>
      <w:r w:rsidR="002473D0" w:rsidRPr="009D0B3A">
        <w:t>P</w:t>
      </w:r>
      <w:r w:rsidRPr="009D0B3A">
        <w:t>artie pour cette année-là</w:t>
      </w:r>
      <w:r w:rsidR="00AA6A89" w:rsidRPr="009D0B3A">
        <w:t> ;</w:t>
      </w:r>
      <w:r w:rsidRPr="009D0B3A">
        <w:t xml:space="preserve"> </w:t>
      </w:r>
    </w:p>
    <w:p w14:paraId="35E23811" w14:textId="5D0C1BC1" w:rsidR="000C4F55" w:rsidRPr="009D0B3A" w:rsidRDefault="000C4F55" w:rsidP="00143F38">
      <w:pPr>
        <w:pStyle w:val="Indent"/>
        <w:numPr>
          <w:ilvl w:val="0"/>
          <w:numId w:val="27"/>
        </w:numPr>
        <w:ind w:left="1276" w:firstLine="595"/>
      </w:pPr>
      <w:r w:rsidRPr="009D0B3A">
        <w:t>De noter que la Partie avait indiqué qu</w:t>
      </w:r>
      <w:r w:rsidR="00AA6A89" w:rsidRPr="009D0B3A">
        <w:t>’</w:t>
      </w:r>
      <w:r w:rsidRPr="009D0B3A">
        <w:t>elle élaborait un plan d</w:t>
      </w:r>
      <w:r w:rsidR="00AA6A89" w:rsidRPr="009D0B3A">
        <w:t>’</w:t>
      </w:r>
      <w:r w:rsidRPr="009D0B3A">
        <w:t xml:space="preserve">action visant à garantir son retour à une situation de respect des mesures de </w:t>
      </w:r>
      <w:r w:rsidR="00621ABE" w:rsidRPr="009D0B3A">
        <w:t>régleme</w:t>
      </w:r>
      <w:r w:rsidR="0033122C" w:rsidRPr="009D0B3A">
        <w:t xml:space="preserve">ntation </w:t>
      </w:r>
      <w:r w:rsidRPr="009D0B3A">
        <w:t>du Protocole de</w:t>
      </w:r>
      <w:r w:rsidR="00574345">
        <w:t> </w:t>
      </w:r>
      <w:r w:rsidRPr="009D0B3A">
        <w:t>Montréal relatives aux hydrochlorofluorocarbones, mais que le délai très court dont elle disposait n</w:t>
      </w:r>
      <w:r w:rsidR="007C0622" w:rsidRPr="009D0B3A">
        <w:t xml:space="preserve">e lui </w:t>
      </w:r>
      <w:r w:rsidRPr="009D0B3A">
        <w:t>avait pas permis de soumettre ce plan à l</w:t>
      </w:r>
      <w:r w:rsidR="00AA6A89" w:rsidRPr="009D0B3A">
        <w:t>’</w:t>
      </w:r>
      <w:r w:rsidRPr="009D0B3A">
        <w:t>examen du Comité lors de sa soixante-quinzième réunion</w:t>
      </w:r>
      <w:r w:rsidR="00AA6A89" w:rsidRPr="009D0B3A">
        <w:t> ;</w:t>
      </w:r>
    </w:p>
    <w:p w14:paraId="428DA849" w14:textId="758B0CC8" w:rsidR="000C4F55" w:rsidRPr="009D0B3A" w:rsidRDefault="000C4F55" w:rsidP="00143F38">
      <w:pPr>
        <w:pStyle w:val="Indent"/>
        <w:numPr>
          <w:ilvl w:val="0"/>
          <w:numId w:val="27"/>
        </w:numPr>
        <w:ind w:left="1276" w:firstLine="595"/>
      </w:pPr>
      <w:r w:rsidRPr="009D0B3A">
        <w:t>De demander à Israël de soumettre son plan d</w:t>
      </w:r>
      <w:r w:rsidR="00AA6A89" w:rsidRPr="009D0B3A">
        <w:t>’</w:t>
      </w:r>
      <w:r w:rsidRPr="009D0B3A">
        <w:t>action de toute urgence et au plus tard le 31</w:t>
      </w:r>
      <w:r w:rsidR="00FA0D34">
        <w:t> </w:t>
      </w:r>
      <w:r w:rsidRPr="009D0B3A">
        <w:t>mars 2026 pour examen par le Comité à sa soixante-seizième</w:t>
      </w:r>
      <w:r w:rsidR="0065212D">
        <w:t> </w:t>
      </w:r>
      <w:r w:rsidRPr="009D0B3A">
        <w:t>réunion et d</w:t>
      </w:r>
      <w:r w:rsidR="00AA6A89" w:rsidRPr="009D0B3A">
        <w:t>’</w:t>
      </w:r>
      <w:r w:rsidRPr="009D0B3A">
        <w:t xml:space="preserve">inviter Israël </w:t>
      </w:r>
      <w:r w:rsidR="00376050">
        <w:t>à</w:t>
      </w:r>
      <w:r w:rsidR="007C0622" w:rsidRPr="009D0B3A">
        <w:t xml:space="preserve"> se faire</w:t>
      </w:r>
      <w:r w:rsidRPr="009D0B3A">
        <w:t xml:space="preserve"> représent</w:t>
      </w:r>
      <w:r w:rsidR="007C0622" w:rsidRPr="009D0B3A">
        <w:t>er</w:t>
      </w:r>
      <w:r w:rsidRPr="009D0B3A">
        <w:t xml:space="preserve"> à cette réunion.</w:t>
      </w:r>
    </w:p>
    <w:p w14:paraId="06EB07FE" w14:textId="54CA3C72" w:rsidR="000C4F55" w:rsidRPr="009D0B3A" w:rsidRDefault="0077595D" w:rsidP="0077595D">
      <w:pPr>
        <w:pStyle w:val="Recommendation"/>
      </w:pPr>
      <w:r w:rsidRPr="009D0B3A">
        <w:t>Recommandation</w:t>
      </w:r>
      <w:r w:rsidR="00FA0D34">
        <w:t> </w:t>
      </w:r>
      <w:r w:rsidRPr="009D0B3A">
        <w:t>75/4</w:t>
      </w:r>
    </w:p>
    <w:p w14:paraId="73208546" w14:textId="37E5EDB0" w:rsidR="00FE4F9C" w:rsidRPr="009D0B3A" w:rsidRDefault="000021C8" w:rsidP="000021C8">
      <w:pPr>
        <w:pStyle w:val="CH3"/>
      </w:pPr>
      <w:r w:rsidRPr="009D0B3A">
        <w:lastRenderedPageBreak/>
        <w:tab/>
      </w:r>
      <w:r w:rsidRPr="009D0B3A">
        <w:tab/>
      </w:r>
      <w:r w:rsidRPr="009D0B3A">
        <w:rPr>
          <w:bCs/>
        </w:rPr>
        <w:t>Saint-Vincent-et-les Grenadines</w:t>
      </w:r>
    </w:p>
    <w:p w14:paraId="41A5B36F" w14:textId="6A99F2BC" w:rsidR="00FE4F9C" w:rsidRPr="009D0B3A" w:rsidRDefault="00FE4F9C" w:rsidP="0045750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Saint-Vincent-et-les Grenadines avait communiqué ses données pour 2024 le 5</w:t>
      </w:r>
      <w:r w:rsidR="00FA0D34">
        <w:t> </w:t>
      </w:r>
      <w:r w:rsidRPr="009D0B3A">
        <w:t>février 2025. Elle avait déclaré une consommation de 45</w:t>
      </w:r>
      <w:r w:rsidR="00FA0D34">
        <w:t> </w:t>
      </w:r>
      <w:r w:rsidRPr="009D0B3A">
        <w:t>975</w:t>
      </w:r>
      <w:r w:rsidR="00FA0D34">
        <w:t> </w:t>
      </w:r>
      <w:r w:rsidRPr="009D0B3A">
        <w:t xml:space="preserve">tonnes </w:t>
      </w:r>
      <w:r w:rsidR="00034883" w:rsidRPr="009D0B3A">
        <w:t>d</w:t>
      </w:r>
      <w:r w:rsidR="00AA6A89" w:rsidRPr="009D0B3A">
        <w:t>’</w:t>
      </w:r>
      <w:r w:rsidRPr="009D0B3A">
        <w:t xml:space="preserve">équivalent </w:t>
      </w:r>
      <w:r w:rsidR="006D655C" w:rsidRPr="009D0B3A">
        <w:t>CO</w:t>
      </w:r>
      <w:r w:rsidR="006D655C" w:rsidRPr="009D0B3A">
        <w:rPr>
          <w:vertAlign w:val="subscript"/>
        </w:rPr>
        <w:t>2</w:t>
      </w:r>
      <w:r w:rsidRPr="009D0B3A">
        <w:t xml:space="preserve"> de HFC pour 2024, alors que son niveau de référence était de 25</w:t>
      </w:r>
      <w:r w:rsidR="00900B9A">
        <w:t> </w:t>
      </w:r>
      <w:r w:rsidRPr="009D0B3A">
        <w:t>280</w:t>
      </w:r>
      <w:r w:rsidR="00900B9A">
        <w:t> </w:t>
      </w:r>
      <w:r w:rsidRPr="009D0B3A">
        <w:t xml:space="preserve">tonnes </w:t>
      </w:r>
      <w:r w:rsidR="000C1CEB" w:rsidRPr="009D0B3A">
        <w:t>d</w:t>
      </w:r>
      <w:r w:rsidR="00AA6A89" w:rsidRPr="009D0B3A">
        <w:t>’</w:t>
      </w:r>
      <w:r w:rsidRPr="009D0B3A">
        <w:t xml:space="preserve">équivalent </w:t>
      </w:r>
      <w:r w:rsidR="006D655C" w:rsidRPr="009D0B3A">
        <w:t>CO</w:t>
      </w:r>
      <w:r w:rsidR="006D655C" w:rsidRPr="009D0B3A">
        <w:rPr>
          <w:vertAlign w:val="subscript"/>
        </w:rPr>
        <w:t>2</w:t>
      </w:r>
      <w:r w:rsidRPr="009D0B3A">
        <w:t>. Le Secrétariat avait donc écrit à la Partie le 25</w:t>
      </w:r>
      <w:r w:rsidR="00900B9A">
        <w:t> </w:t>
      </w:r>
      <w:r w:rsidRPr="009D0B3A">
        <w:t xml:space="preserve">juillet 2025 pour demander des précisions. </w:t>
      </w:r>
      <w:r w:rsidR="006B3BA8" w:rsidRPr="009D0B3A">
        <w:t>Celle-ci</w:t>
      </w:r>
      <w:r w:rsidRPr="009D0B3A">
        <w:t xml:space="preserve"> avait indiqué que la consommation </w:t>
      </w:r>
      <w:r w:rsidR="00376050">
        <w:t xml:space="preserve">Oui, </w:t>
      </w:r>
      <w:r w:rsidRPr="009D0B3A">
        <w:t>excédentaire était due à une série de circonstances exceptionnelles qui avaient eu un effet sur les niveaux de consommation au cours des années qui ont suivi les années de référence.</w:t>
      </w:r>
      <w:r w:rsidR="00CE3810" w:rsidRPr="009D0B3A">
        <w:t xml:space="preserve"> </w:t>
      </w:r>
      <w:r w:rsidRPr="009D0B3A">
        <w:t>Parmi celles-ci figuraient l</w:t>
      </w:r>
      <w:r w:rsidR="00AA6A89" w:rsidRPr="009D0B3A">
        <w:t>’</w:t>
      </w:r>
      <w:r w:rsidRPr="009D0B3A">
        <w:t xml:space="preserve">éruption du volcan de la Soufrière en 2021, immédiatement après la pandémie de maladie à coronavirus </w:t>
      </w:r>
      <w:r w:rsidR="007D7BED" w:rsidRPr="009D0B3A">
        <w:t xml:space="preserve">2019 </w:t>
      </w:r>
      <w:r w:rsidRPr="009D0B3A">
        <w:t>(COVID-19)</w:t>
      </w:r>
      <w:r w:rsidR="00053AC5" w:rsidRPr="009D0B3A">
        <w:t>,</w:t>
      </w:r>
      <w:r w:rsidRPr="009D0B3A">
        <w:t xml:space="preserve"> la contraction économique suivie d</w:t>
      </w:r>
      <w:r w:rsidR="00AA6A89" w:rsidRPr="009D0B3A">
        <w:t>’</w:t>
      </w:r>
      <w:r w:rsidRPr="009D0B3A">
        <w:t>une période de reprise rapide marquée par d</w:t>
      </w:r>
      <w:r w:rsidR="00AA6A89" w:rsidRPr="009D0B3A">
        <w:t>’</w:t>
      </w:r>
      <w:r w:rsidRPr="009D0B3A">
        <w:t>importants efforts de reconstruction et d</w:t>
      </w:r>
      <w:r w:rsidR="00AA6A89" w:rsidRPr="009D0B3A">
        <w:t>’</w:t>
      </w:r>
      <w:r w:rsidRPr="009D0B3A">
        <w:t>investissement</w:t>
      </w:r>
      <w:r w:rsidR="004B6CE3" w:rsidRPr="009D0B3A">
        <w:t>,</w:t>
      </w:r>
      <w:r w:rsidRPr="009D0B3A">
        <w:t xml:space="preserve"> et une augmentation de la capacité de refroidissement des particuliers et des entreprises afin de lutter contre la hausse des températures mondiales, dans le cadre des efforts nationaux déployés pour se remettre de l</w:t>
      </w:r>
      <w:r w:rsidR="00AA6A89" w:rsidRPr="009D0B3A">
        <w:t>’</w:t>
      </w:r>
      <w:r w:rsidRPr="009D0B3A">
        <w:t>éruption volcanique. En outre, la Partie a</w:t>
      </w:r>
      <w:r w:rsidR="004D0935" w:rsidRPr="009D0B3A">
        <w:t>vait</w:t>
      </w:r>
      <w:r w:rsidRPr="009D0B3A">
        <w:t xml:space="preserve"> </w:t>
      </w:r>
      <w:r w:rsidR="00EA2E23" w:rsidRPr="009D0B3A">
        <w:t xml:space="preserve">détaillé </w:t>
      </w:r>
      <w:r w:rsidRPr="009D0B3A">
        <w:t>les initiatives qu</w:t>
      </w:r>
      <w:r w:rsidR="00AA6A89" w:rsidRPr="009D0B3A">
        <w:t>’</w:t>
      </w:r>
      <w:r w:rsidRPr="009D0B3A">
        <w:t>elle avait prévues en vue de l</w:t>
      </w:r>
      <w:r w:rsidR="00AA6A89" w:rsidRPr="009D0B3A">
        <w:t>’</w:t>
      </w:r>
      <w:r w:rsidRPr="009D0B3A">
        <w:t xml:space="preserve">exécution </w:t>
      </w:r>
      <w:r w:rsidR="00EA2E23" w:rsidRPr="009D0B3A">
        <w:t xml:space="preserve">de son </w:t>
      </w:r>
      <w:r w:rsidRPr="009D0B3A">
        <w:t>plan de mise en œuvre de l</w:t>
      </w:r>
      <w:r w:rsidR="00AA6A89" w:rsidRPr="009D0B3A">
        <w:t>’</w:t>
      </w:r>
      <w:r w:rsidRPr="009D0B3A">
        <w:t xml:space="preserve">Amendement de Kigali relatif aux HFC et réaffirmé son engagement envers les objectifs du Protocole de Montréal et </w:t>
      </w:r>
      <w:r w:rsidR="00E57E5E" w:rsidRPr="009D0B3A">
        <w:t xml:space="preserve">de </w:t>
      </w:r>
      <w:r w:rsidRPr="009D0B3A">
        <w:t>son Amendement de Kigali.</w:t>
      </w:r>
    </w:p>
    <w:p w14:paraId="0CE17D79" w14:textId="342C3BAB" w:rsidR="00FE4F9C" w:rsidRPr="009D0B3A" w:rsidRDefault="001540FD" w:rsidP="0045750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Par ailleurs</w:t>
      </w:r>
      <w:r w:rsidR="00FE4F9C" w:rsidRPr="009D0B3A">
        <w:t>, la Partie avait soumis un projet de plan d</w:t>
      </w:r>
      <w:r w:rsidR="00AA6A89" w:rsidRPr="009D0B3A">
        <w:t>’</w:t>
      </w:r>
      <w:r w:rsidR="00FE4F9C" w:rsidRPr="009D0B3A">
        <w:t>action contenant un certain nombre d</w:t>
      </w:r>
      <w:r w:rsidR="00B247C1" w:rsidRPr="009D0B3A">
        <w:t>’objectifs</w:t>
      </w:r>
      <w:r w:rsidR="00FE4F9C" w:rsidRPr="009D0B3A">
        <w:t xml:space="preserve"> pour revenir à une situation de respect en 2034. </w:t>
      </w:r>
      <w:r w:rsidR="00CF5A10" w:rsidRPr="009D0B3A">
        <w:t xml:space="preserve">Elle </w:t>
      </w:r>
      <w:r w:rsidR="00FE4F9C" w:rsidRPr="009D0B3A">
        <w:t>avait également décrit les politiques qu</w:t>
      </w:r>
      <w:r w:rsidR="00AA6A89" w:rsidRPr="009D0B3A">
        <w:t>’</w:t>
      </w:r>
      <w:r w:rsidR="00FE4F9C" w:rsidRPr="009D0B3A">
        <w:t>elle pourrait mettre en œuvre, telles que l</w:t>
      </w:r>
      <w:r w:rsidR="00AA6A89" w:rsidRPr="009D0B3A">
        <w:t>’</w:t>
      </w:r>
      <w:r w:rsidR="00FE4F9C" w:rsidRPr="009D0B3A">
        <w:t>adoption d</w:t>
      </w:r>
      <w:r w:rsidR="00AA6A89" w:rsidRPr="009D0B3A">
        <w:t>’</w:t>
      </w:r>
      <w:r w:rsidR="00FE4F9C" w:rsidRPr="009D0B3A">
        <w:t>ici 2030 de réglementations révisées visant à renforcer et à pérenniser le contrôle et l</w:t>
      </w:r>
      <w:r w:rsidR="00AA6A89" w:rsidRPr="009D0B3A">
        <w:t>’</w:t>
      </w:r>
      <w:r w:rsidR="00FE4F9C" w:rsidRPr="009D0B3A">
        <w:t xml:space="preserve">application de son </w:t>
      </w:r>
      <w:r w:rsidR="00B247C1" w:rsidRPr="009D0B3A">
        <w:t xml:space="preserve">système </w:t>
      </w:r>
      <w:r w:rsidR="00FE4F9C" w:rsidRPr="009D0B3A">
        <w:t>d</w:t>
      </w:r>
      <w:r w:rsidR="00AA6A89" w:rsidRPr="009D0B3A">
        <w:t>’</w:t>
      </w:r>
      <w:r w:rsidR="00FE4F9C" w:rsidRPr="009D0B3A">
        <w:t>octroi de licences et de quotas</w:t>
      </w:r>
      <w:r w:rsidR="000B0EA5" w:rsidRPr="009D0B3A">
        <w:t xml:space="preserve">, </w:t>
      </w:r>
      <w:r w:rsidR="00FE4F9C" w:rsidRPr="009D0B3A">
        <w:t>l</w:t>
      </w:r>
      <w:r w:rsidR="00AA6A89" w:rsidRPr="009D0B3A">
        <w:t>’</w:t>
      </w:r>
      <w:r w:rsidR="00FE4F9C" w:rsidRPr="009D0B3A">
        <w:t>introduction d</w:t>
      </w:r>
      <w:r w:rsidR="00AA6A89" w:rsidRPr="009D0B3A">
        <w:t>’</w:t>
      </w:r>
      <w:r w:rsidR="00FE4F9C" w:rsidRPr="009D0B3A">
        <w:t>ici 2030 de programmes obligatoires de formation et de certification sur l</w:t>
      </w:r>
      <w:r w:rsidR="00AA6A89" w:rsidRPr="009D0B3A">
        <w:t>’</w:t>
      </w:r>
      <w:r w:rsidR="00FE4F9C" w:rsidRPr="009D0B3A">
        <w:t xml:space="preserve">utilisation et la manipulation en toute sécurité des technologies </w:t>
      </w:r>
      <w:r w:rsidR="00B247C1" w:rsidRPr="009D0B3A">
        <w:t>de remplacement à destination d</w:t>
      </w:r>
      <w:r w:rsidR="00FE4F9C" w:rsidRPr="009D0B3A">
        <w:t>es nouveaux</w:t>
      </w:r>
      <w:r w:rsidR="00B247C1" w:rsidRPr="009D0B3A">
        <w:t>(lles)</w:t>
      </w:r>
      <w:r w:rsidR="00FE4F9C" w:rsidRPr="009D0B3A">
        <w:t xml:space="preserve"> technicien</w:t>
      </w:r>
      <w:r w:rsidR="00B247C1" w:rsidRPr="009D0B3A">
        <w:t>(ne)</w:t>
      </w:r>
      <w:r w:rsidR="00FE4F9C" w:rsidRPr="009D0B3A">
        <w:t xml:space="preserve">s et </w:t>
      </w:r>
      <w:r w:rsidR="00B247C1" w:rsidRPr="009D0B3A">
        <w:t>d</w:t>
      </w:r>
      <w:r w:rsidR="00FE4F9C" w:rsidRPr="009D0B3A">
        <w:t>es technicien</w:t>
      </w:r>
      <w:r w:rsidR="00B247C1" w:rsidRPr="009D0B3A">
        <w:t>(ne)</w:t>
      </w:r>
      <w:r w:rsidR="00FE4F9C" w:rsidRPr="009D0B3A">
        <w:t>s en activité qui souhait</w:t>
      </w:r>
      <w:r w:rsidR="00020C90" w:rsidRPr="009D0B3A">
        <w:t>ai</w:t>
      </w:r>
      <w:r w:rsidR="00FE4F9C" w:rsidRPr="009D0B3A">
        <w:t>ent progresser dans la structure de certification</w:t>
      </w:r>
      <w:r w:rsidR="00020C90" w:rsidRPr="009D0B3A">
        <w:t>,</w:t>
      </w:r>
      <w:r w:rsidR="00FE4F9C" w:rsidRPr="009D0B3A">
        <w:t xml:space="preserve"> l</w:t>
      </w:r>
      <w:r w:rsidR="00AA6A89" w:rsidRPr="009D0B3A">
        <w:t>’</w:t>
      </w:r>
      <w:r w:rsidR="00FE4F9C" w:rsidRPr="009D0B3A">
        <w:t>interdiction d</w:t>
      </w:r>
      <w:r w:rsidR="00AA6A89" w:rsidRPr="009D0B3A">
        <w:t>’</w:t>
      </w:r>
      <w:r w:rsidR="00FE4F9C" w:rsidRPr="009D0B3A">
        <w:t xml:space="preserve">ici 2035 des équipements </w:t>
      </w:r>
      <w:r w:rsidR="00B247C1" w:rsidRPr="009D0B3A">
        <w:t>à haut potentiel de réchauffement global contenant</w:t>
      </w:r>
      <w:r w:rsidR="00FE4F9C" w:rsidRPr="009D0B3A">
        <w:t xml:space="preserve"> de</w:t>
      </w:r>
      <w:r w:rsidR="00B247C1" w:rsidRPr="009D0B3A">
        <w:t>s</w:t>
      </w:r>
      <w:r w:rsidR="00FE4F9C" w:rsidRPr="009D0B3A">
        <w:t xml:space="preserve"> HFC ou l</w:t>
      </w:r>
      <w:r w:rsidR="00AA6A89" w:rsidRPr="009D0B3A">
        <w:t>’</w:t>
      </w:r>
      <w:r w:rsidR="00FE4F9C" w:rsidRPr="009D0B3A">
        <w:t>adoption d</w:t>
      </w:r>
      <w:r w:rsidR="00AA6A89" w:rsidRPr="009D0B3A">
        <w:t>’</w:t>
      </w:r>
      <w:r w:rsidR="00FE4F9C" w:rsidRPr="009D0B3A">
        <w:t>une politique de réduction progressive des importations de ces équipements</w:t>
      </w:r>
      <w:r w:rsidR="005D6961" w:rsidRPr="009D0B3A">
        <w:t>,</w:t>
      </w:r>
      <w:r w:rsidR="00FE4F9C" w:rsidRPr="009D0B3A">
        <w:t xml:space="preserve"> la réalisation, d</w:t>
      </w:r>
      <w:r w:rsidR="00AA6A89" w:rsidRPr="009D0B3A">
        <w:t>’</w:t>
      </w:r>
      <w:r w:rsidR="00FE4F9C" w:rsidRPr="009D0B3A">
        <w:t>ici 2035, d</w:t>
      </w:r>
      <w:r w:rsidR="00AA6A89" w:rsidRPr="009D0B3A">
        <w:t>’</w:t>
      </w:r>
      <w:r w:rsidR="00FE4F9C" w:rsidRPr="009D0B3A">
        <w:t>une évaluation complète des besoins du marché afin d</w:t>
      </w:r>
      <w:r w:rsidR="00AA6A89" w:rsidRPr="009D0B3A">
        <w:t>’</w:t>
      </w:r>
      <w:r w:rsidR="00FE4F9C" w:rsidRPr="009D0B3A">
        <w:t xml:space="preserve">éclairer la stratégie nationale de transition vers des </w:t>
      </w:r>
      <w:r w:rsidR="00B247C1" w:rsidRPr="009D0B3A">
        <w:t xml:space="preserve">solutions de remplacement </w:t>
      </w:r>
      <w:r w:rsidR="00FE4F9C" w:rsidRPr="009D0B3A">
        <w:t>durables et le lancement, d</w:t>
      </w:r>
      <w:r w:rsidR="00AA6A89" w:rsidRPr="009D0B3A">
        <w:t>’</w:t>
      </w:r>
      <w:r w:rsidR="00FE4F9C" w:rsidRPr="009D0B3A">
        <w:t>ici 2035, de campagnes de sensibilisation des parties prenantes en vue d</w:t>
      </w:r>
      <w:r w:rsidR="00AA6A89" w:rsidRPr="009D0B3A">
        <w:t>’</w:t>
      </w:r>
      <w:r w:rsidR="00FE4F9C" w:rsidRPr="009D0B3A">
        <w:t>accroître la pression sur les importateurs et les détaillants afin qu</w:t>
      </w:r>
      <w:r w:rsidR="00AA6A89" w:rsidRPr="009D0B3A">
        <w:t>’</w:t>
      </w:r>
      <w:r w:rsidR="00FE4F9C" w:rsidRPr="009D0B3A">
        <w:t xml:space="preserve">ils proposent des options à faible potentiel de réchauffement </w:t>
      </w:r>
      <w:r w:rsidR="00B247C1" w:rsidRPr="009D0B3A">
        <w:t xml:space="preserve">global </w:t>
      </w:r>
      <w:r w:rsidR="00FE4F9C" w:rsidRPr="009D0B3A">
        <w:t>et à haute performance énergétique.</w:t>
      </w:r>
    </w:p>
    <w:p w14:paraId="41973DC2" w14:textId="2B8E3003" w:rsidR="00FE4F9C" w:rsidRPr="009D0B3A" w:rsidRDefault="00FE4F9C" w:rsidP="0045750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Certains membres ont exprimé leur inquiétude quant au fait que le plan d</w:t>
      </w:r>
      <w:r w:rsidR="00AA6A89" w:rsidRPr="009D0B3A">
        <w:t>’</w:t>
      </w:r>
      <w:r w:rsidRPr="009D0B3A">
        <w:t>action couvrait la période allant jusqu</w:t>
      </w:r>
      <w:r w:rsidR="00AA6A89" w:rsidRPr="009D0B3A">
        <w:t>’</w:t>
      </w:r>
      <w:r w:rsidRPr="009D0B3A">
        <w:t>en 2035 et que la Partie ne reviendrait pas à une situation de respect avant 2034. Le Comité a demandé au Secrétariat de contacter la Partie concernée afin d</w:t>
      </w:r>
      <w:r w:rsidR="00AA6A89" w:rsidRPr="009D0B3A">
        <w:t>’</w:t>
      </w:r>
      <w:r w:rsidRPr="009D0B3A">
        <w:t>obtenir des éclaircissements sur les questions soulevées.</w:t>
      </w:r>
    </w:p>
    <w:p w14:paraId="62291B29" w14:textId="7C1672BF" w:rsidR="00FE4F9C" w:rsidRPr="009D0B3A" w:rsidRDefault="00FE4F9C" w:rsidP="0045750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Par la suite, le représentant du Secrétariat a indiqué qu</w:t>
      </w:r>
      <w:r w:rsidR="00AA6A89" w:rsidRPr="009D0B3A">
        <w:t>’</w:t>
      </w:r>
      <w:r w:rsidRPr="009D0B3A">
        <w:t>une réponse avait été reçue de la Partie, par courrier électronique, et que le message avait été transmis aux membres. Dans son message, Saint-Vincent-et-les Grenadines a</w:t>
      </w:r>
      <w:r w:rsidR="00B247C1" w:rsidRPr="009D0B3A">
        <w:t>vait</w:t>
      </w:r>
      <w:r w:rsidRPr="009D0B3A">
        <w:t xml:space="preserve"> </w:t>
      </w:r>
      <w:r w:rsidR="00B247C1" w:rsidRPr="009D0B3A">
        <w:t xml:space="preserve">précisé </w:t>
      </w:r>
      <w:r w:rsidRPr="009D0B3A">
        <w:t xml:space="preserve">les secteurs pour lesquels </w:t>
      </w:r>
      <w:r w:rsidR="004D10C2" w:rsidRPr="009D0B3A">
        <w:t>elle</w:t>
      </w:r>
      <w:r w:rsidRPr="009D0B3A">
        <w:t xml:space="preserve"> avait procédé à une évaluation rapide de l</w:t>
      </w:r>
      <w:r w:rsidR="00AA6A89" w:rsidRPr="009D0B3A">
        <w:t>’</w:t>
      </w:r>
      <w:r w:rsidRPr="009D0B3A">
        <w:t>entretien des équipements de réfrigération et de climatisation avant la soumission du plan d</w:t>
      </w:r>
      <w:r w:rsidR="00AA6A89" w:rsidRPr="009D0B3A">
        <w:t>’</w:t>
      </w:r>
      <w:r w:rsidRPr="009D0B3A">
        <w:t xml:space="preserve">action. Cette évaluation avait permis </w:t>
      </w:r>
      <w:r w:rsidR="00B247C1" w:rsidRPr="009D0B3A">
        <w:t xml:space="preserve">de recenser </w:t>
      </w:r>
      <w:r w:rsidRPr="009D0B3A">
        <w:t>un grand nombre d</w:t>
      </w:r>
      <w:r w:rsidR="00AA6A89" w:rsidRPr="009D0B3A">
        <w:t>’</w:t>
      </w:r>
      <w:r w:rsidRPr="009D0B3A">
        <w:t xml:space="preserve">équipements </w:t>
      </w:r>
      <w:r w:rsidR="00B247C1" w:rsidRPr="009D0B3A">
        <w:t>contenant</w:t>
      </w:r>
      <w:r w:rsidRPr="009D0B3A">
        <w:t xml:space="preserve"> de</w:t>
      </w:r>
      <w:r w:rsidR="00B247C1" w:rsidRPr="009D0B3A">
        <w:t>s</w:t>
      </w:r>
      <w:r w:rsidRPr="009D0B3A">
        <w:t xml:space="preserve"> HFC encore en service qui devraient arriver en fin de vie d</w:t>
      </w:r>
      <w:r w:rsidR="00AA6A89" w:rsidRPr="009D0B3A">
        <w:t>’</w:t>
      </w:r>
      <w:r w:rsidRPr="009D0B3A">
        <w:t>ici 2035. Le</w:t>
      </w:r>
      <w:r w:rsidR="00D72616">
        <w:t> </w:t>
      </w:r>
      <w:r w:rsidRPr="009D0B3A">
        <w:t xml:space="preserve">calendrier </w:t>
      </w:r>
      <w:r w:rsidR="008726D2" w:rsidRPr="009D0B3A">
        <w:t>établi</w:t>
      </w:r>
      <w:r w:rsidRPr="009D0B3A">
        <w:t xml:space="preserve"> jusqu</w:t>
      </w:r>
      <w:r w:rsidR="00AA6A89" w:rsidRPr="009D0B3A">
        <w:t>’</w:t>
      </w:r>
      <w:r w:rsidRPr="009D0B3A">
        <w:t>en 2035 devrait permettre d</w:t>
      </w:r>
      <w:r w:rsidR="00AA6A89" w:rsidRPr="009D0B3A">
        <w:t>’</w:t>
      </w:r>
      <w:r w:rsidRPr="009D0B3A">
        <w:t xml:space="preserve">assurer la transition du marché vers des </w:t>
      </w:r>
      <w:r w:rsidR="008726D2" w:rsidRPr="009D0B3A">
        <w:t xml:space="preserve">solutions de remplacement </w:t>
      </w:r>
      <w:r w:rsidRPr="009D0B3A">
        <w:t xml:space="preserve">à faible potentiel de réchauffement </w:t>
      </w:r>
      <w:r w:rsidR="008726D2" w:rsidRPr="009D0B3A">
        <w:t>global</w:t>
      </w:r>
      <w:r w:rsidRPr="009D0B3A">
        <w:t>. En outre, à la suite du ralentissement économique mondial résultant de la pandémie de COVID-19, le pays s</w:t>
      </w:r>
      <w:r w:rsidR="00AA6A89" w:rsidRPr="009D0B3A">
        <w:t>’</w:t>
      </w:r>
      <w:r w:rsidRPr="009D0B3A">
        <w:t>était engagé dans une trajectoire de développement économique, en particulier dans les secteurs de la réfrigération et de la climatisation, de l</w:t>
      </w:r>
      <w:r w:rsidR="00AA6A89" w:rsidRPr="009D0B3A">
        <w:t>’</w:t>
      </w:r>
      <w:r w:rsidRPr="009D0B3A">
        <w:t>agriculture intensive et du tourisme</w:t>
      </w:r>
      <w:r w:rsidR="00F36CD1" w:rsidRPr="009D0B3A">
        <w:t>, laquelle</w:t>
      </w:r>
      <w:r w:rsidRPr="009D0B3A">
        <w:t xml:space="preserve"> avait débouché sur la construction d</w:t>
      </w:r>
      <w:r w:rsidR="00AA6A89" w:rsidRPr="009D0B3A">
        <w:t>’</w:t>
      </w:r>
      <w:r w:rsidRPr="009D0B3A">
        <w:t>un complexe touristique, d</w:t>
      </w:r>
      <w:r w:rsidR="00AA6A89" w:rsidRPr="009D0B3A">
        <w:t>’</w:t>
      </w:r>
      <w:r w:rsidRPr="009D0B3A">
        <w:t>hôtels et d</w:t>
      </w:r>
      <w:r w:rsidR="00AA6A89" w:rsidRPr="009D0B3A">
        <w:t>’</w:t>
      </w:r>
      <w:r w:rsidRPr="009D0B3A">
        <w:t>installations portuaires modernes, ainsi qu</w:t>
      </w:r>
      <w:r w:rsidR="00D15A6C" w:rsidRPr="009D0B3A">
        <w:t>e sur</w:t>
      </w:r>
      <w:r w:rsidRPr="009D0B3A">
        <w:t xml:space="preserve"> la reconstruction d</w:t>
      </w:r>
      <w:r w:rsidR="00A761D4" w:rsidRPr="009D0B3A">
        <w:t xml:space="preserve">es </w:t>
      </w:r>
      <w:r w:rsidRPr="009D0B3A">
        <w:t>écoles, de</w:t>
      </w:r>
      <w:r w:rsidR="00A761D4" w:rsidRPr="009D0B3A">
        <w:t>s</w:t>
      </w:r>
      <w:r w:rsidRPr="009D0B3A">
        <w:t xml:space="preserve"> cliniques et d</w:t>
      </w:r>
      <w:r w:rsidR="00AA6A89" w:rsidRPr="009D0B3A">
        <w:t>’</w:t>
      </w:r>
      <w:r w:rsidRPr="009D0B3A">
        <w:t>autres infrastructures publiques.</w:t>
      </w:r>
      <w:r w:rsidR="00CC47D7" w:rsidRPr="009D0B3A">
        <w:t xml:space="preserve"> De plus</w:t>
      </w:r>
      <w:r w:rsidRPr="009D0B3A">
        <w:t>, le message</w:t>
      </w:r>
      <w:r w:rsidR="005452B9" w:rsidRPr="009D0B3A">
        <w:t xml:space="preserve"> </w:t>
      </w:r>
      <w:r w:rsidR="008726D2" w:rsidRPr="009D0B3A">
        <w:t>de la Partie</w:t>
      </w:r>
      <w:r w:rsidRPr="009D0B3A">
        <w:t xml:space="preserve"> indiquait que </w:t>
      </w:r>
      <w:r w:rsidR="008726D2" w:rsidRPr="009D0B3A">
        <w:t>celle-ci</w:t>
      </w:r>
      <w:r w:rsidRPr="009D0B3A">
        <w:t>, en tant que pays à faible consommation et petit État insulaire en développement disposant de possibilités limitées en matière d</w:t>
      </w:r>
      <w:r w:rsidR="00AA6A89" w:rsidRPr="009D0B3A">
        <w:t>’</w:t>
      </w:r>
      <w:r w:rsidRPr="009D0B3A">
        <w:t>économies d</w:t>
      </w:r>
      <w:r w:rsidR="00AA6A89" w:rsidRPr="009D0B3A">
        <w:t>’</w:t>
      </w:r>
      <w:r w:rsidRPr="009D0B3A">
        <w:t>échelle, devait faire face à des coûts unitaires plus élevés pour l</w:t>
      </w:r>
      <w:r w:rsidR="00AA6A89" w:rsidRPr="009D0B3A">
        <w:t>’</w:t>
      </w:r>
      <w:r w:rsidRPr="009D0B3A">
        <w:t xml:space="preserve">importation </w:t>
      </w:r>
      <w:r w:rsidR="008726D2" w:rsidRPr="009D0B3A">
        <w:t xml:space="preserve">de </w:t>
      </w:r>
      <w:r w:rsidRPr="009D0B3A">
        <w:t>nouvelles technologies</w:t>
      </w:r>
      <w:r w:rsidR="008726D2" w:rsidRPr="009D0B3A">
        <w:t xml:space="preserve"> et la transition vers ces dernières</w:t>
      </w:r>
      <w:r w:rsidRPr="009D0B3A">
        <w:t>. Une période de transition jusqu</w:t>
      </w:r>
      <w:r w:rsidR="00AA6A89" w:rsidRPr="009D0B3A">
        <w:t>’</w:t>
      </w:r>
      <w:r w:rsidRPr="009D0B3A">
        <w:t xml:space="preserve">en 2035 permettrait de récupérer les investissements réalisés, tout en </w:t>
      </w:r>
      <w:r w:rsidR="008726D2" w:rsidRPr="009D0B3A">
        <w:t xml:space="preserve">réduisant au </w:t>
      </w:r>
      <w:r w:rsidRPr="009D0B3A">
        <w:t>minim</w:t>
      </w:r>
      <w:r w:rsidR="008726D2" w:rsidRPr="009D0B3A">
        <w:t>um</w:t>
      </w:r>
      <w:r w:rsidRPr="009D0B3A">
        <w:t xml:space="preserve"> la pression économique sur le</w:t>
      </w:r>
      <w:r w:rsidR="008726D2" w:rsidRPr="009D0B3A">
        <w:t>s pouvoirs publics</w:t>
      </w:r>
      <w:r w:rsidRPr="009D0B3A">
        <w:t>, les petites entreprises et les utilisateur</w:t>
      </w:r>
      <w:r w:rsidR="008726D2" w:rsidRPr="009D0B3A">
        <w:t>(rice)</w:t>
      </w:r>
      <w:r w:rsidRPr="009D0B3A">
        <w:t>s finaux</w:t>
      </w:r>
      <w:r w:rsidR="008726D2" w:rsidRPr="009D0B3A">
        <w:t>(les)</w:t>
      </w:r>
      <w:r w:rsidRPr="009D0B3A">
        <w:t>.</w:t>
      </w:r>
    </w:p>
    <w:p w14:paraId="5E03CC02" w14:textId="45801A99" w:rsidR="00FE4F9C" w:rsidRPr="009D0B3A" w:rsidRDefault="00FE4F9C" w:rsidP="0045750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réponse à une question posée par un membre, la Cheffe du secrétariat du Fonds multilatéral a déclaré que la Partie n</w:t>
      </w:r>
      <w:r w:rsidR="00AA6A89" w:rsidRPr="009D0B3A">
        <w:t>’</w:t>
      </w:r>
      <w:r w:rsidRPr="009D0B3A">
        <w:t>avait pas encore soumis de plan de mise en œuvre de l</w:t>
      </w:r>
      <w:r w:rsidR="00AA6A89" w:rsidRPr="009D0B3A">
        <w:t>’</w:t>
      </w:r>
      <w:r w:rsidRPr="009D0B3A">
        <w:t xml:space="preserve">Amendement de Kigali relatif aux HFC, mais que le financement pour </w:t>
      </w:r>
      <w:r w:rsidR="00175D97" w:rsidRPr="009D0B3A">
        <w:t>l’élaboration</w:t>
      </w:r>
      <w:r w:rsidRPr="009D0B3A">
        <w:t xml:space="preserve"> d</w:t>
      </w:r>
      <w:r w:rsidR="00AA6A89" w:rsidRPr="009D0B3A">
        <w:t>’</w:t>
      </w:r>
      <w:r w:rsidRPr="009D0B3A">
        <w:t>un tel plan avait été approuvé. Le représentant du PNUE a déclaré que le plan de mise en œuvre de l</w:t>
      </w:r>
      <w:r w:rsidR="00AA6A89" w:rsidRPr="009D0B3A">
        <w:t>’</w:t>
      </w:r>
      <w:r w:rsidRPr="009D0B3A">
        <w:t xml:space="preserve">Amendement de Kigali </w:t>
      </w:r>
      <w:r w:rsidR="00175D97" w:rsidRPr="009D0B3A">
        <w:t>du</w:t>
      </w:r>
      <w:r w:rsidRPr="009D0B3A">
        <w:t xml:space="preserve"> pays devait être soumis au Comité exécutif à sa quatre</w:t>
      </w:r>
      <w:r w:rsidR="00FD13A9">
        <w:noBreakHyphen/>
      </w:r>
      <w:r w:rsidRPr="009D0B3A">
        <w:t>vingt</w:t>
      </w:r>
      <w:r w:rsidR="00FD13A9">
        <w:noBreakHyphen/>
      </w:r>
      <w:r w:rsidRPr="009D0B3A">
        <w:t>dix</w:t>
      </w:r>
      <w:r w:rsidR="00FD13A9">
        <w:noBreakHyphen/>
      </w:r>
      <w:r w:rsidRPr="009D0B3A">
        <w:t>huitième</w:t>
      </w:r>
      <w:r w:rsidR="00FD13A9">
        <w:noBreakHyphen/>
      </w:r>
      <w:r w:rsidRPr="009D0B3A">
        <w:t xml:space="preserve"> réunion. Compte tenu du calendrier prévu dans le plan d</w:t>
      </w:r>
      <w:r w:rsidR="00AA6A89" w:rsidRPr="009D0B3A">
        <w:t>’</w:t>
      </w:r>
      <w:r w:rsidRPr="009D0B3A">
        <w:t xml:space="preserve">action, un membre a </w:t>
      </w:r>
      <w:r w:rsidR="00B56B07" w:rsidRPr="009D0B3A">
        <w:t xml:space="preserve">estimé </w:t>
      </w:r>
      <w:r w:rsidRPr="009D0B3A">
        <w:t>que le plan de mise en œuvre de l</w:t>
      </w:r>
      <w:r w:rsidR="00AA6A89" w:rsidRPr="009D0B3A">
        <w:t>’</w:t>
      </w:r>
      <w:r w:rsidRPr="009D0B3A">
        <w:t>Amendement de Kigali relatif aux HFC pourrait peut-être être plus ambitieux.</w:t>
      </w:r>
    </w:p>
    <w:p w14:paraId="52B659F1" w14:textId="2B537B8C" w:rsidR="00FE4F9C" w:rsidRPr="009D0B3A" w:rsidRDefault="00FE4F9C" w:rsidP="0045750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lastRenderedPageBreak/>
        <w:t xml:space="preserve">De nombreux membres ont </w:t>
      </w:r>
      <w:r w:rsidR="00B56B07" w:rsidRPr="009D0B3A">
        <w:t xml:space="preserve">déclaré </w:t>
      </w:r>
      <w:r w:rsidRPr="009D0B3A">
        <w:t>que le calendrier prévu par le plan d</w:t>
      </w:r>
      <w:r w:rsidR="00AA6A89" w:rsidRPr="009D0B3A">
        <w:t>’</w:t>
      </w:r>
      <w:r w:rsidRPr="009D0B3A">
        <w:t>action était trop long. L</w:t>
      </w:r>
      <w:r w:rsidR="00AA6A89" w:rsidRPr="009D0B3A">
        <w:t>’</w:t>
      </w:r>
      <w:r w:rsidRPr="009D0B3A">
        <w:t>un</w:t>
      </w:r>
      <w:r w:rsidR="00AC4496" w:rsidRPr="009D0B3A">
        <w:t>e</w:t>
      </w:r>
      <w:r w:rsidRPr="009D0B3A">
        <w:t xml:space="preserve"> d</w:t>
      </w:r>
      <w:r w:rsidR="00AA6A89" w:rsidRPr="009D0B3A">
        <w:t>’</w:t>
      </w:r>
      <w:r w:rsidRPr="009D0B3A">
        <w:t>eux</w:t>
      </w:r>
      <w:r w:rsidR="00AC4496" w:rsidRPr="009D0B3A">
        <w:t xml:space="preserve"> (elles)</w:t>
      </w:r>
      <w:r w:rsidRPr="009D0B3A">
        <w:t xml:space="preserve"> a proposé de demander à la Partie de le raccourcir afin qu</w:t>
      </w:r>
      <w:r w:rsidR="00AA6A89" w:rsidRPr="009D0B3A">
        <w:t>’</w:t>
      </w:r>
      <w:r w:rsidRPr="009D0B3A">
        <w:t>il prenne fin en 2029. Un</w:t>
      </w:r>
      <w:r w:rsidR="00AC4496" w:rsidRPr="009D0B3A">
        <w:t>e</w:t>
      </w:r>
      <w:r w:rsidRPr="009D0B3A">
        <w:t xml:space="preserve"> membre a proposé de demander à la Partie de réviser son plan d</w:t>
      </w:r>
      <w:r w:rsidR="00AA6A89" w:rsidRPr="009D0B3A">
        <w:t>’</w:t>
      </w:r>
      <w:r w:rsidRPr="009D0B3A">
        <w:t>action, tandis qu</w:t>
      </w:r>
      <w:r w:rsidR="00AA6A89" w:rsidRPr="009D0B3A">
        <w:t>’</w:t>
      </w:r>
      <w:r w:rsidRPr="009D0B3A">
        <w:t>un autre a estimé que cela n</w:t>
      </w:r>
      <w:r w:rsidR="00AA6A89" w:rsidRPr="009D0B3A">
        <w:t>’</w:t>
      </w:r>
      <w:r w:rsidRPr="009D0B3A">
        <w:t>aurait de sens qu</w:t>
      </w:r>
      <w:r w:rsidR="00AA6A89" w:rsidRPr="009D0B3A">
        <w:t>’</w:t>
      </w:r>
      <w:r w:rsidRPr="009D0B3A">
        <w:t>après la soumission du plan de mise en œuvre de l</w:t>
      </w:r>
      <w:r w:rsidR="00AA6A89" w:rsidRPr="009D0B3A">
        <w:t>’</w:t>
      </w:r>
      <w:r w:rsidRPr="009D0B3A">
        <w:t>Amendement de Kigali relatif aux HFC, afin de s</w:t>
      </w:r>
      <w:r w:rsidR="00AA6A89" w:rsidRPr="009D0B3A">
        <w:t>’</w:t>
      </w:r>
      <w:r w:rsidRPr="009D0B3A">
        <w:t>assurer que le plan d</w:t>
      </w:r>
      <w:r w:rsidR="00AA6A89" w:rsidRPr="009D0B3A">
        <w:t>’</w:t>
      </w:r>
      <w:r w:rsidRPr="009D0B3A">
        <w:t xml:space="preserve">action </w:t>
      </w:r>
      <w:r w:rsidR="00EF1943" w:rsidRPr="009D0B3A">
        <w:t>était</w:t>
      </w:r>
      <w:r w:rsidRPr="009D0B3A">
        <w:t xml:space="preserve"> conforme à ce dernier.</w:t>
      </w:r>
    </w:p>
    <w:p w14:paraId="76176FE3" w14:textId="461756B3" w:rsidR="0077595D" w:rsidRPr="009D0B3A" w:rsidRDefault="0077595D" w:rsidP="0045750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Le Comité </w:t>
      </w:r>
      <w:r w:rsidR="00C92F32" w:rsidRPr="009D0B3A">
        <w:t xml:space="preserve">est donc convenu </w:t>
      </w:r>
      <w:r w:rsidRPr="009D0B3A">
        <w:t>de transmettre à la trente-septième Réunion des Parties, pour examen, le projet de décision sur Saint-Vincent-et-les Grenadines</w:t>
      </w:r>
      <w:r w:rsidR="001832D5" w:rsidRPr="009D0B3A">
        <w:t>, tel que</w:t>
      </w:r>
      <w:r w:rsidRPr="009D0B3A">
        <w:t xml:space="preserve"> reproduit à la section</w:t>
      </w:r>
      <w:r w:rsidR="004104AF">
        <w:t> </w:t>
      </w:r>
      <w:r w:rsidR="00252DC0" w:rsidRPr="009D0B3A">
        <w:t>D</w:t>
      </w:r>
      <w:r w:rsidRPr="009D0B3A">
        <w:t xml:space="preserve"> de l</w:t>
      </w:r>
      <w:r w:rsidR="00AA6A89" w:rsidRPr="009D0B3A">
        <w:t>’</w:t>
      </w:r>
      <w:r w:rsidRPr="009D0B3A">
        <w:t>annexe</w:t>
      </w:r>
      <w:r w:rsidR="004104AF">
        <w:t> </w:t>
      </w:r>
      <w:r w:rsidRPr="009D0B3A">
        <w:t xml:space="preserve">I </w:t>
      </w:r>
      <w:r w:rsidR="00B56B07" w:rsidRPr="009D0B3A">
        <w:t>d</w:t>
      </w:r>
      <w:r w:rsidRPr="009D0B3A">
        <w:t>u présent</w:t>
      </w:r>
      <w:r w:rsidR="004104AF">
        <w:t> </w:t>
      </w:r>
      <w:r w:rsidRPr="009D0B3A">
        <w:t>rapport.</w:t>
      </w:r>
    </w:p>
    <w:p w14:paraId="38A55E00" w14:textId="56417664" w:rsidR="00FE4F9C" w:rsidRPr="009D0B3A" w:rsidRDefault="0077595D" w:rsidP="0077595D">
      <w:pPr>
        <w:pStyle w:val="Recommendation"/>
      </w:pPr>
      <w:r w:rsidRPr="009D0B3A">
        <w:t>Recommandation</w:t>
      </w:r>
      <w:r w:rsidR="004104AF">
        <w:t> </w:t>
      </w:r>
      <w:r w:rsidRPr="009D0B3A">
        <w:t>75/5</w:t>
      </w:r>
    </w:p>
    <w:p w14:paraId="3B13EB9C" w14:textId="457CD73A" w:rsidR="00FE4F9C" w:rsidRPr="009D0B3A" w:rsidRDefault="000021C8" w:rsidP="000021C8">
      <w:pPr>
        <w:pStyle w:val="CH3"/>
      </w:pPr>
      <w:r w:rsidRPr="009D0B3A">
        <w:tab/>
      </w:r>
      <w:r w:rsidRPr="009D0B3A">
        <w:tab/>
      </w:r>
      <w:r w:rsidRPr="009D0B3A">
        <w:rPr>
          <w:bCs/>
        </w:rPr>
        <w:t>Tadjikistan</w:t>
      </w:r>
    </w:p>
    <w:p w14:paraId="06428FB3" w14:textId="6BF3EC33" w:rsidR="00FE4F9C" w:rsidRPr="009D0B3A" w:rsidRDefault="00FE4F9C" w:rsidP="00D46F12">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Tadjikistan avait communiqué ses données pour 2023 le 28</w:t>
      </w:r>
      <w:r w:rsidR="00CB2D71">
        <w:t> </w:t>
      </w:r>
      <w:r w:rsidRPr="009D0B3A">
        <w:t>octobre 2024. Il avait déclaré une consommation de 457 613</w:t>
      </w:r>
      <w:r w:rsidR="00CB2D71">
        <w:t> </w:t>
      </w:r>
      <w:r w:rsidRPr="009D0B3A">
        <w:t xml:space="preserve">tonnes </w:t>
      </w:r>
      <w:r w:rsidR="002742E4" w:rsidRPr="009D0B3A">
        <w:t>d</w:t>
      </w:r>
      <w:r w:rsidR="00AA6A89" w:rsidRPr="009D0B3A">
        <w:t>’</w:t>
      </w:r>
      <w:r w:rsidRPr="009D0B3A">
        <w:t xml:space="preserve">équivalent </w:t>
      </w:r>
      <w:r w:rsidR="006D655C" w:rsidRPr="009D0B3A">
        <w:t>CO</w:t>
      </w:r>
      <w:r w:rsidR="006D655C" w:rsidRPr="009D0B3A">
        <w:rPr>
          <w:vertAlign w:val="subscript"/>
        </w:rPr>
        <w:t>2</w:t>
      </w:r>
      <w:r w:rsidRPr="009D0B3A">
        <w:t xml:space="preserve"> de HFC pour 2023, alors que son niveau de référence était de 446 600</w:t>
      </w:r>
      <w:r w:rsidR="00CB2D71">
        <w:t> </w:t>
      </w:r>
      <w:r w:rsidRPr="009D0B3A">
        <w:t xml:space="preserve">tonnes </w:t>
      </w:r>
      <w:r w:rsidR="004311C9" w:rsidRPr="009D0B3A">
        <w:t>d</w:t>
      </w:r>
      <w:r w:rsidR="00AA6A89" w:rsidRPr="009D0B3A">
        <w:t>’</w:t>
      </w:r>
      <w:r w:rsidRPr="009D0B3A">
        <w:t xml:space="preserve">équivalent </w:t>
      </w:r>
      <w:r w:rsidR="006D655C" w:rsidRPr="009D0B3A">
        <w:t>CO</w:t>
      </w:r>
      <w:r w:rsidR="006D655C" w:rsidRPr="009D0B3A">
        <w:rPr>
          <w:vertAlign w:val="subscript"/>
        </w:rPr>
        <w:t>2</w:t>
      </w:r>
      <w:r w:rsidRPr="009D0B3A">
        <w:t>. Le Secrétariat avait donc écrit à la Partie le 25</w:t>
      </w:r>
      <w:r w:rsidR="00CB2D71">
        <w:t> </w:t>
      </w:r>
      <w:r w:rsidRPr="009D0B3A">
        <w:t>juillet 2025 pour demander des précisions au sujet des données pour 2023. En réponse, le Tadjikistan avait déclaré que l</w:t>
      </w:r>
      <w:r w:rsidR="00AA6A89" w:rsidRPr="009D0B3A">
        <w:t>’</w:t>
      </w:r>
      <w:r w:rsidRPr="009D0B3A">
        <w:t>augmentation de la consommation de HFC pour 2023 était essentiellement due aux modifications et ajouts apportés à la législation relative à la protection de l</w:t>
      </w:r>
      <w:r w:rsidR="00AA6A89" w:rsidRPr="009D0B3A">
        <w:t>’</w:t>
      </w:r>
      <w:r w:rsidRPr="009D0B3A">
        <w:t>environnement</w:t>
      </w:r>
      <w:r w:rsidR="0083211D" w:rsidRPr="009D0B3A">
        <w:t>,</w:t>
      </w:r>
      <w:r w:rsidR="00AA6A89" w:rsidRPr="009D0B3A">
        <w:t xml:space="preserve"> </w:t>
      </w:r>
      <w:r w:rsidR="00121453" w:rsidRPr="009D0B3A">
        <w:t xml:space="preserve">notamment de </w:t>
      </w:r>
      <w:r w:rsidRPr="009D0B3A">
        <w:t>la couche d</w:t>
      </w:r>
      <w:r w:rsidR="00AA6A89" w:rsidRPr="009D0B3A">
        <w:t>’</w:t>
      </w:r>
      <w:r w:rsidRPr="009D0B3A">
        <w:t>ozone. Le Tadjikistan s</w:t>
      </w:r>
      <w:r w:rsidR="00AA6A89" w:rsidRPr="009D0B3A">
        <w:t>’</w:t>
      </w:r>
      <w:r w:rsidRPr="009D0B3A">
        <w:t>était également déclaré tout à fait disposé à élaborer un plan d</w:t>
      </w:r>
      <w:r w:rsidR="00AA6A89" w:rsidRPr="009D0B3A">
        <w:t>’</w:t>
      </w:r>
      <w:r w:rsidRPr="009D0B3A">
        <w:t>action visant à se conformer pleinement à ses obligations au titre du Protocole de</w:t>
      </w:r>
      <w:r w:rsidR="00615C52">
        <w:t> </w:t>
      </w:r>
      <w:r w:rsidRPr="009D0B3A">
        <w:t>Montréal. Par la suite, le 29</w:t>
      </w:r>
      <w:r w:rsidR="00615C52">
        <w:t> </w:t>
      </w:r>
      <w:r w:rsidRPr="009D0B3A">
        <w:t xml:space="preserve">septembre 2025, </w:t>
      </w:r>
      <w:r w:rsidR="00FB2C11" w:rsidRPr="009D0B3A">
        <w:t xml:space="preserve">il </w:t>
      </w:r>
      <w:r w:rsidRPr="009D0B3A">
        <w:t>avait également déclaré une consommation excédentaire de HFC pour 2024, d</w:t>
      </w:r>
      <w:r w:rsidR="00AA6A89" w:rsidRPr="009D0B3A">
        <w:t>’</w:t>
      </w:r>
      <w:r w:rsidRPr="009D0B3A">
        <w:t>un montant de 456</w:t>
      </w:r>
      <w:r w:rsidR="00615C52">
        <w:t> </w:t>
      </w:r>
      <w:r w:rsidRPr="009D0B3A">
        <w:t>901</w:t>
      </w:r>
      <w:r w:rsidR="00615C52">
        <w:t> </w:t>
      </w:r>
      <w:r w:rsidRPr="009D0B3A">
        <w:t>tonnes</w:t>
      </w:r>
      <w:r w:rsidR="00192124" w:rsidRPr="009D0B3A">
        <w:t xml:space="preserve"> d</w:t>
      </w:r>
      <w:r w:rsidR="00AA6A89" w:rsidRPr="009D0B3A">
        <w:t>’</w:t>
      </w:r>
      <w:r w:rsidRPr="009D0B3A">
        <w:t xml:space="preserve">équivalent </w:t>
      </w:r>
      <w:r w:rsidR="006D655C" w:rsidRPr="009D0B3A">
        <w:t>CO</w:t>
      </w:r>
      <w:r w:rsidR="006D655C" w:rsidRPr="009D0B3A">
        <w:rPr>
          <w:vertAlign w:val="subscript"/>
        </w:rPr>
        <w:t>2</w:t>
      </w:r>
      <w:r w:rsidRPr="009D0B3A">
        <w:t>. Le</w:t>
      </w:r>
      <w:r w:rsidR="00D72616">
        <w:t> </w:t>
      </w:r>
      <w:r w:rsidRPr="009D0B3A">
        <w:t>Secrétariat avait écrit à la Partie le 8</w:t>
      </w:r>
      <w:r w:rsidR="00615C52">
        <w:t> </w:t>
      </w:r>
      <w:r w:rsidRPr="009D0B3A">
        <w:t>octobre 2025, indiquant qu</w:t>
      </w:r>
      <w:r w:rsidR="00AA6A89" w:rsidRPr="009D0B3A">
        <w:t>’</w:t>
      </w:r>
      <w:r w:rsidR="00F640C6" w:rsidRPr="009D0B3A">
        <w:t>elle</w:t>
      </w:r>
      <w:r w:rsidRPr="009D0B3A">
        <w:t xml:space="preserve"> pouv</w:t>
      </w:r>
      <w:r w:rsidR="00192124" w:rsidRPr="009D0B3A">
        <w:t>ai</w:t>
      </w:r>
      <w:r w:rsidRPr="009D0B3A">
        <w:t xml:space="preserve">t </w:t>
      </w:r>
      <w:r w:rsidR="00270274" w:rsidRPr="009D0B3A">
        <w:t xml:space="preserve">aussi </w:t>
      </w:r>
      <w:r w:rsidRPr="009D0B3A">
        <w:t>envisager d</w:t>
      </w:r>
      <w:r w:rsidR="00AA6A89" w:rsidRPr="009D0B3A">
        <w:t>’</w:t>
      </w:r>
      <w:r w:rsidRPr="009D0B3A">
        <w:t>inclure une réponse concernant les données communiquées pour 2024 dans le plan d</w:t>
      </w:r>
      <w:r w:rsidR="00AA6A89" w:rsidRPr="009D0B3A">
        <w:t>’</w:t>
      </w:r>
      <w:r w:rsidRPr="009D0B3A">
        <w:t>action en cours d</w:t>
      </w:r>
      <w:r w:rsidR="00AA6A89" w:rsidRPr="009D0B3A">
        <w:t>’</w:t>
      </w:r>
      <w:r w:rsidRPr="009D0B3A">
        <w:t xml:space="preserve">élaboration. </w:t>
      </w:r>
      <w:r w:rsidR="00F640C6" w:rsidRPr="009D0B3A">
        <w:t>À la date d’établissement</w:t>
      </w:r>
      <w:r w:rsidRPr="009D0B3A">
        <w:t xml:space="preserve"> de l</w:t>
      </w:r>
      <w:r w:rsidR="00AA6A89" w:rsidRPr="009D0B3A">
        <w:t>’</w:t>
      </w:r>
      <w:r w:rsidRPr="009D0B3A">
        <w:t xml:space="preserve">additif au rapport du Secrétariat </w:t>
      </w:r>
      <w:r w:rsidR="00F640C6" w:rsidRPr="009D0B3A">
        <w:t>relatif aux</w:t>
      </w:r>
      <w:r w:rsidRPr="009D0B3A">
        <w:t xml:space="preserve"> informations </w:t>
      </w:r>
      <w:r w:rsidR="00F640C6" w:rsidRPr="009D0B3A">
        <w:t>sur les</w:t>
      </w:r>
      <w:r w:rsidRPr="009D0B3A">
        <w:t xml:space="preserve"> cas </w:t>
      </w:r>
      <w:r w:rsidR="00F640C6" w:rsidRPr="009D0B3A">
        <w:t>de non-</w:t>
      </w:r>
      <w:r w:rsidRPr="009D0B3A">
        <w:t>respect des obligations découlant du Protocole de</w:t>
      </w:r>
      <w:r w:rsidR="00615C52">
        <w:t> </w:t>
      </w:r>
      <w:r w:rsidRPr="009D0B3A">
        <w:t>Montréal, le Tadjikistan n</w:t>
      </w:r>
      <w:r w:rsidR="00AA6A89" w:rsidRPr="009D0B3A">
        <w:t>’</w:t>
      </w:r>
      <w:r w:rsidRPr="009D0B3A">
        <w:t>avait pas soumis de plan d</w:t>
      </w:r>
      <w:r w:rsidR="00AA6A89" w:rsidRPr="009D0B3A">
        <w:t>’</w:t>
      </w:r>
      <w:r w:rsidRPr="009D0B3A">
        <w:t xml:space="preserve">action pour revenir à une situation de respect. </w:t>
      </w:r>
    </w:p>
    <w:p w14:paraId="428F7934" w14:textId="07885AAF" w:rsidR="00FE4F9C" w:rsidRPr="009D0B3A" w:rsidRDefault="00FE4F9C" w:rsidP="00D46F12">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w:t>
      </w:r>
      <w:r w:rsidR="00B17CF0" w:rsidRPr="009D0B3A">
        <w:t xml:space="preserve"> délai de</w:t>
      </w:r>
      <w:r w:rsidRPr="009D0B3A">
        <w:t xml:space="preserve"> trois</w:t>
      </w:r>
      <w:r w:rsidR="00615C52">
        <w:t> </w:t>
      </w:r>
      <w:r w:rsidRPr="009D0B3A">
        <w:t>mois mentionné au paragraphe</w:t>
      </w:r>
      <w:r w:rsidR="00615C52">
        <w:t> </w:t>
      </w:r>
      <w:r w:rsidRPr="009D0B3A">
        <w:t>3 de la procédure</w:t>
      </w:r>
      <w:r w:rsidR="000262B8" w:rsidRPr="009D0B3A">
        <w:t xml:space="preserve"> applicable en cas</w:t>
      </w:r>
      <w:r w:rsidRPr="009D0B3A">
        <w:t xml:space="preserve"> de non</w:t>
      </w:r>
      <w:r w:rsidR="00F94CDE">
        <w:noBreakHyphen/>
      </w:r>
      <w:r w:rsidR="000262B8" w:rsidRPr="009D0B3A">
        <w:t xml:space="preserve">respect </w:t>
      </w:r>
      <w:r w:rsidR="00FC1BB5" w:rsidRPr="009D0B3A">
        <w:t xml:space="preserve">avait expiré </w:t>
      </w:r>
      <w:r w:rsidRPr="009D0B3A">
        <w:t xml:space="preserve">depuis que le Secrétariat avait écrit à la Partie au sujet des données pour 2023, mais </w:t>
      </w:r>
      <w:r w:rsidR="00992992" w:rsidRPr="009D0B3A">
        <w:t>pas</w:t>
      </w:r>
      <w:r w:rsidR="00AA6A89" w:rsidRPr="009D0B3A">
        <w:t xml:space="preserve"> </w:t>
      </w:r>
      <w:r w:rsidRPr="009D0B3A">
        <w:t>depuis qu</w:t>
      </w:r>
      <w:r w:rsidR="00AA6A89" w:rsidRPr="009D0B3A">
        <w:t>’</w:t>
      </w:r>
      <w:r w:rsidR="00E02B3E" w:rsidRPr="009D0B3A">
        <w:t>il</w:t>
      </w:r>
      <w:r w:rsidR="009E69AC" w:rsidRPr="009D0B3A">
        <w:t xml:space="preserve"> lui</w:t>
      </w:r>
      <w:r w:rsidR="00E02B3E" w:rsidRPr="009D0B3A">
        <w:t xml:space="preserve"> </w:t>
      </w:r>
      <w:r w:rsidRPr="009D0B3A">
        <w:t>avait écrit s</w:t>
      </w:r>
      <w:r w:rsidR="00AA6A89" w:rsidRPr="009D0B3A">
        <w:t>’</w:t>
      </w:r>
      <w:r w:rsidRPr="009D0B3A">
        <w:t>agissant des données pour 2024.</w:t>
      </w:r>
    </w:p>
    <w:p w14:paraId="34F39EC4" w14:textId="228A2662" w:rsidR="006162DD" w:rsidRPr="009D0B3A" w:rsidRDefault="006162DD" w:rsidP="00D46F12">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bookmarkStart w:id="19" w:name="_Hlk212847497"/>
      <w:r w:rsidRPr="009D0B3A">
        <w:t xml:space="preserve">Le Comité </w:t>
      </w:r>
      <w:r w:rsidR="00C92F32" w:rsidRPr="009D0B3A">
        <w:t xml:space="preserve">est donc convenu </w:t>
      </w:r>
      <w:r w:rsidRPr="009D0B3A">
        <w:t xml:space="preserve">de transmettre à la trente-septième Réunion des Parties, pour examen, le projet de décision sur le Tadjikistan, </w:t>
      </w:r>
      <w:r w:rsidR="00532E31" w:rsidRPr="009D0B3A">
        <w:t>tel que r</w:t>
      </w:r>
      <w:r w:rsidRPr="009D0B3A">
        <w:t xml:space="preserve">eproduit </w:t>
      </w:r>
      <w:r w:rsidR="00532E31" w:rsidRPr="009D0B3A">
        <w:t xml:space="preserve">à </w:t>
      </w:r>
      <w:r w:rsidRPr="009D0B3A">
        <w:t>la section</w:t>
      </w:r>
      <w:r w:rsidR="00615C52">
        <w:t> </w:t>
      </w:r>
      <w:r w:rsidR="0023633A" w:rsidRPr="009D0B3A">
        <w:t>E</w:t>
      </w:r>
      <w:r w:rsidRPr="009D0B3A">
        <w:t xml:space="preserve"> de l</w:t>
      </w:r>
      <w:r w:rsidR="00AA6A89" w:rsidRPr="009D0B3A">
        <w:t>’</w:t>
      </w:r>
      <w:r w:rsidRPr="009D0B3A">
        <w:t>annexe</w:t>
      </w:r>
      <w:r w:rsidR="00615C52">
        <w:t> </w:t>
      </w:r>
      <w:r w:rsidRPr="009D0B3A">
        <w:t xml:space="preserve">I </w:t>
      </w:r>
      <w:r w:rsidR="000262B8" w:rsidRPr="009D0B3A">
        <w:t>d</w:t>
      </w:r>
      <w:r w:rsidRPr="009D0B3A">
        <w:t>u présent</w:t>
      </w:r>
      <w:r w:rsidR="00615C52">
        <w:t> </w:t>
      </w:r>
      <w:r w:rsidRPr="009D0B3A">
        <w:t>rapport.</w:t>
      </w:r>
    </w:p>
    <w:bookmarkEnd w:id="19"/>
    <w:p w14:paraId="15299C0E" w14:textId="17E0DFBC" w:rsidR="00FE4F9C" w:rsidRPr="009D0B3A" w:rsidRDefault="006162DD" w:rsidP="006162DD">
      <w:pPr>
        <w:pStyle w:val="Recommendation"/>
      </w:pPr>
      <w:r w:rsidRPr="009D0B3A">
        <w:t>Recommandation</w:t>
      </w:r>
      <w:r w:rsidR="00615C52">
        <w:t> </w:t>
      </w:r>
      <w:r w:rsidRPr="009D0B3A">
        <w:t>75/6</w:t>
      </w:r>
    </w:p>
    <w:p w14:paraId="78548898" w14:textId="5F3F260B" w:rsidR="00FE4F9C" w:rsidRPr="009D0B3A" w:rsidRDefault="000021C8" w:rsidP="000021C8">
      <w:pPr>
        <w:pStyle w:val="CH3"/>
      </w:pPr>
      <w:r w:rsidRPr="009D0B3A">
        <w:tab/>
      </w:r>
      <w:r w:rsidRPr="009D0B3A">
        <w:tab/>
      </w:r>
      <w:r w:rsidRPr="009D0B3A">
        <w:rPr>
          <w:bCs/>
        </w:rPr>
        <w:t>Zambie</w:t>
      </w:r>
    </w:p>
    <w:p w14:paraId="5E09224F" w14:textId="3A9FDE21" w:rsidR="00FE4F9C" w:rsidRPr="009D0B3A" w:rsidRDefault="00FE4F9C" w:rsidP="00A714E9">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La Zambie avait communiqué ses données pour 2024 le 30</w:t>
      </w:r>
      <w:r w:rsidR="003167E1">
        <w:t> </w:t>
      </w:r>
      <w:r w:rsidRPr="009D0B3A">
        <w:t>mai 2025. Elle avait déclaré une consommation de 1 166 837</w:t>
      </w:r>
      <w:r w:rsidR="003167E1">
        <w:t> </w:t>
      </w:r>
      <w:r w:rsidRPr="009D0B3A">
        <w:t xml:space="preserve">tonnes </w:t>
      </w:r>
      <w:r w:rsidR="00143119" w:rsidRPr="009D0B3A">
        <w:t>d</w:t>
      </w:r>
      <w:r w:rsidR="00AA6A89" w:rsidRPr="009D0B3A">
        <w:t>’</w:t>
      </w:r>
      <w:r w:rsidRPr="009D0B3A">
        <w:t xml:space="preserve">équivalent </w:t>
      </w:r>
      <w:r w:rsidR="006D655C" w:rsidRPr="009D0B3A">
        <w:t>CO</w:t>
      </w:r>
      <w:r w:rsidR="006D655C" w:rsidRPr="009D0B3A">
        <w:rPr>
          <w:vertAlign w:val="subscript"/>
        </w:rPr>
        <w:t>2</w:t>
      </w:r>
      <w:r w:rsidRPr="009D0B3A">
        <w:t xml:space="preserve"> de HFC pour 2024, alors que son niveau de référence était de 699 513</w:t>
      </w:r>
      <w:r w:rsidR="003167E1">
        <w:t> </w:t>
      </w:r>
      <w:r w:rsidRPr="009D0B3A">
        <w:t xml:space="preserve">tonnes </w:t>
      </w:r>
      <w:r w:rsidR="00143119" w:rsidRPr="009D0B3A">
        <w:t>d</w:t>
      </w:r>
      <w:r w:rsidR="00AA6A89" w:rsidRPr="009D0B3A">
        <w:t>’</w:t>
      </w:r>
      <w:r w:rsidRPr="009D0B3A">
        <w:t xml:space="preserve">équivalent </w:t>
      </w:r>
      <w:r w:rsidR="006D655C" w:rsidRPr="009D0B3A">
        <w:t>CO</w:t>
      </w:r>
      <w:r w:rsidR="006D655C" w:rsidRPr="009D0B3A">
        <w:rPr>
          <w:vertAlign w:val="subscript"/>
        </w:rPr>
        <w:t>2</w:t>
      </w:r>
      <w:r w:rsidRPr="009D0B3A">
        <w:t>. Le Secrétariat avait écrit à la Partie le 25</w:t>
      </w:r>
      <w:r w:rsidR="003167E1">
        <w:t> </w:t>
      </w:r>
      <w:r w:rsidRPr="009D0B3A">
        <w:t>juillet</w:t>
      </w:r>
      <w:r w:rsidR="00AE6D09">
        <w:t> </w:t>
      </w:r>
      <w:r w:rsidRPr="009D0B3A">
        <w:t>2025 pour demander des précisions.</w:t>
      </w:r>
    </w:p>
    <w:p w14:paraId="1F760A8A" w14:textId="2F594595" w:rsidR="00FE4F9C" w:rsidRPr="009D0B3A" w:rsidRDefault="00FE4F9C" w:rsidP="00A714E9">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8</w:t>
      </w:r>
      <w:r w:rsidR="00BF3ECB">
        <w:t> </w:t>
      </w:r>
      <w:r w:rsidRPr="009D0B3A">
        <w:t>octobre 2025, la Zambie avait déclaré qu</w:t>
      </w:r>
      <w:r w:rsidR="00AA6A89" w:rsidRPr="009D0B3A">
        <w:t>’</w:t>
      </w:r>
      <w:r w:rsidRPr="009D0B3A">
        <w:t>elle était en train de répondre officiellement à</w:t>
      </w:r>
      <w:r w:rsidR="00D72616">
        <w:t> </w:t>
      </w:r>
      <w:r w:rsidRPr="009D0B3A">
        <w:t>la demande de précision du Secrétariat, que la différence était due à une erreur de frappe et qu</w:t>
      </w:r>
      <w:r w:rsidR="00AA6A89" w:rsidRPr="009D0B3A">
        <w:t>’</w:t>
      </w:r>
      <w:r w:rsidRPr="009D0B3A">
        <w:t xml:space="preserve">elle enverrait une lettre officielle demandant une correction. </w:t>
      </w:r>
      <w:r w:rsidR="00E951C7" w:rsidRPr="009D0B3A">
        <w:t xml:space="preserve">Toutefois, à la date d’établissement </w:t>
      </w:r>
      <w:r w:rsidRPr="009D0B3A">
        <w:t>de l</w:t>
      </w:r>
      <w:r w:rsidR="00AA6A89" w:rsidRPr="009D0B3A">
        <w:t>’</w:t>
      </w:r>
      <w:r w:rsidRPr="009D0B3A">
        <w:t xml:space="preserve">additif au rapport du Secrétariat </w:t>
      </w:r>
      <w:r w:rsidR="00E951C7" w:rsidRPr="009D0B3A">
        <w:t>relatif aux</w:t>
      </w:r>
      <w:r w:rsidRPr="009D0B3A">
        <w:t xml:space="preserve"> informations </w:t>
      </w:r>
      <w:r w:rsidR="00E951C7" w:rsidRPr="009D0B3A">
        <w:t>sur les</w:t>
      </w:r>
      <w:r w:rsidRPr="009D0B3A">
        <w:t xml:space="preserve"> cas </w:t>
      </w:r>
      <w:r w:rsidR="00E951C7" w:rsidRPr="009D0B3A">
        <w:t>de non-</w:t>
      </w:r>
      <w:r w:rsidRPr="009D0B3A">
        <w:t>respect des obligations découlant du Protocole de</w:t>
      </w:r>
      <w:r w:rsidR="00BF3ECB">
        <w:t> </w:t>
      </w:r>
      <w:r w:rsidRPr="009D0B3A">
        <w:t>Montréal, la Zambie n</w:t>
      </w:r>
      <w:r w:rsidR="00AA6A89" w:rsidRPr="009D0B3A">
        <w:t>’</w:t>
      </w:r>
      <w:r w:rsidRPr="009D0B3A">
        <w:t>avait pas soumis au Secrétariat la lettre demandant une correction et le</w:t>
      </w:r>
      <w:r w:rsidR="00D8589A" w:rsidRPr="009D0B3A">
        <w:t xml:space="preserve"> délai de</w:t>
      </w:r>
      <w:r w:rsidRPr="009D0B3A">
        <w:t xml:space="preserve"> trois</w:t>
      </w:r>
      <w:r w:rsidR="00BF3ECB">
        <w:t> </w:t>
      </w:r>
      <w:r w:rsidRPr="009D0B3A">
        <w:t>mois mentionné au paragraphe</w:t>
      </w:r>
      <w:r w:rsidR="006D655C">
        <w:t> </w:t>
      </w:r>
      <w:r w:rsidRPr="009D0B3A">
        <w:t xml:space="preserve">3 de la procédure </w:t>
      </w:r>
      <w:r w:rsidR="00E951C7" w:rsidRPr="009D0B3A">
        <w:t xml:space="preserve">applicable en cas </w:t>
      </w:r>
      <w:r w:rsidRPr="009D0B3A">
        <w:t>de non-respect</w:t>
      </w:r>
      <w:r w:rsidR="00FC1BB5" w:rsidRPr="009D0B3A">
        <w:t xml:space="preserve"> avait expiré</w:t>
      </w:r>
      <w:r w:rsidRPr="009D0B3A">
        <w:t xml:space="preserve">. </w:t>
      </w:r>
    </w:p>
    <w:p w14:paraId="0E7F21CF" w14:textId="38DCE97E" w:rsidR="00FE4F9C" w:rsidRPr="009D0B3A" w:rsidRDefault="00FE4F9C" w:rsidP="00A714E9">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Plus tard au cours de la réunion, le représentant du Secrétariat a informé le Comité que, le</w:t>
      </w:r>
      <w:r w:rsidR="00D72616">
        <w:t> </w:t>
      </w:r>
      <w:r w:rsidRPr="009D0B3A">
        <w:t>31</w:t>
      </w:r>
      <w:r w:rsidR="00BF3ECB">
        <w:t> </w:t>
      </w:r>
      <w:r w:rsidRPr="009D0B3A">
        <w:t xml:space="preserve">octobre 2025, la Zambie avait soumis de nouvelles données, mais que celles-ci indiquaient toujours une consommation de HFC pour 2024 supérieure au niveau de référence, qui constituait la limite </w:t>
      </w:r>
      <w:r w:rsidR="009376B3" w:rsidRPr="009D0B3A">
        <w:t xml:space="preserve">fixée </w:t>
      </w:r>
      <w:r w:rsidRPr="009D0B3A">
        <w:t>pour 2024 en vertu du Protocole.</w:t>
      </w:r>
    </w:p>
    <w:p w14:paraId="55863627" w14:textId="4F151235" w:rsidR="004E02D7" w:rsidRPr="009D0B3A" w:rsidRDefault="004E02D7" w:rsidP="00A714E9">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Le Comité </w:t>
      </w:r>
      <w:r w:rsidR="00C92F32" w:rsidRPr="009D0B3A">
        <w:t>est donc convenu</w:t>
      </w:r>
      <w:r w:rsidRPr="009D0B3A">
        <w:t xml:space="preserve"> de transmettre à la trente-septième Réunion des Parties, pour</w:t>
      </w:r>
      <w:r w:rsidR="00D72616">
        <w:t> </w:t>
      </w:r>
      <w:r w:rsidRPr="009D0B3A">
        <w:t xml:space="preserve">examen, le projet de décision sur la Zambie, </w:t>
      </w:r>
      <w:r w:rsidR="00790309" w:rsidRPr="009D0B3A">
        <w:t xml:space="preserve">tel que </w:t>
      </w:r>
      <w:r w:rsidRPr="009D0B3A">
        <w:t xml:space="preserve">reproduit </w:t>
      </w:r>
      <w:r w:rsidR="00790309" w:rsidRPr="009D0B3A">
        <w:t xml:space="preserve">à </w:t>
      </w:r>
      <w:r w:rsidRPr="009D0B3A">
        <w:t>la section</w:t>
      </w:r>
      <w:r w:rsidR="00FD74A8">
        <w:t> </w:t>
      </w:r>
      <w:r w:rsidR="00603CDB" w:rsidRPr="009D0B3A">
        <w:t>F</w:t>
      </w:r>
      <w:r w:rsidRPr="009D0B3A">
        <w:t xml:space="preserve"> de l</w:t>
      </w:r>
      <w:r w:rsidR="00AA6A89" w:rsidRPr="009D0B3A">
        <w:t>’</w:t>
      </w:r>
      <w:r w:rsidRPr="009D0B3A">
        <w:t>annexe</w:t>
      </w:r>
      <w:r w:rsidR="00FD74A8">
        <w:t> </w:t>
      </w:r>
      <w:r w:rsidRPr="009D0B3A">
        <w:t xml:space="preserve">I </w:t>
      </w:r>
      <w:r w:rsidR="00442BBB" w:rsidRPr="009D0B3A">
        <w:t>d</w:t>
      </w:r>
      <w:r w:rsidRPr="009D0B3A">
        <w:t>u présent</w:t>
      </w:r>
      <w:r w:rsidR="00FD74A8">
        <w:t> </w:t>
      </w:r>
      <w:r w:rsidRPr="009D0B3A">
        <w:t>rapport.</w:t>
      </w:r>
    </w:p>
    <w:p w14:paraId="18D85B2D" w14:textId="45D2A246" w:rsidR="004E02D7" w:rsidRPr="009D0B3A" w:rsidRDefault="004E02D7" w:rsidP="004E02D7">
      <w:pPr>
        <w:pStyle w:val="Recommendation"/>
      </w:pPr>
      <w:r w:rsidRPr="009D0B3A">
        <w:t>Recommandation</w:t>
      </w:r>
      <w:r w:rsidR="00FD74A8">
        <w:t> </w:t>
      </w:r>
      <w:r w:rsidRPr="009D0B3A">
        <w:t>75/7</w:t>
      </w:r>
    </w:p>
    <w:p w14:paraId="5375404B" w14:textId="101B857F" w:rsidR="00FE4F9C" w:rsidRPr="009D0B3A" w:rsidRDefault="000021C8" w:rsidP="000021C8">
      <w:pPr>
        <w:pStyle w:val="CH3"/>
      </w:pPr>
      <w:r w:rsidRPr="009D0B3A">
        <w:lastRenderedPageBreak/>
        <w:tab/>
      </w:r>
      <w:r w:rsidRPr="009D0B3A">
        <w:tab/>
      </w:r>
      <w:r w:rsidRPr="009D0B3A">
        <w:rPr>
          <w:bCs/>
        </w:rPr>
        <w:t>Mali</w:t>
      </w:r>
    </w:p>
    <w:p w14:paraId="54306F5C" w14:textId="40D04B9A" w:rsidR="00FE4F9C" w:rsidRPr="009D0B3A" w:rsidRDefault="00FE4F9C" w:rsidP="00B26F7C">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Mali avait communiqué ses données pour 2024 le 21</w:t>
      </w:r>
      <w:r w:rsidR="00FD74A8">
        <w:t> </w:t>
      </w:r>
      <w:r w:rsidRPr="009D0B3A">
        <w:t>mai 2025. Il avait déclaré une consommation de 1</w:t>
      </w:r>
      <w:r w:rsidR="00FD74A8">
        <w:t> </w:t>
      </w:r>
      <w:r w:rsidRPr="009D0B3A">
        <w:t>773 126</w:t>
      </w:r>
      <w:r w:rsidR="00FD74A8">
        <w:t> </w:t>
      </w:r>
      <w:r w:rsidRPr="009D0B3A">
        <w:t xml:space="preserve">tonnes </w:t>
      </w:r>
      <w:r w:rsidR="008C2EEB" w:rsidRPr="009D0B3A">
        <w:t>d</w:t>
      </w:r>
      <w:r w:rsidR="00AA6A89" w:rsidRPr="009D0B3A">
        <w:t>’</w:t>
      </w:r>
      <w:r w:rsidRPr="009D0B3A">
        <w:t xml:space="preserve">équivalent </w:t>
      </w:r>
      <w:r w:rsidR="006D655C" w:rsidRPr="009D0B3A">
        <w:t>CO</w:t>
      </w:r>
      <w:r w:rsidR="006D655C" w:rsidRPr="009D0B3A">
        <w:rPr>
          <w:vertAlign w:val="subscript"/>
        </w:rPr>
        <w:t>2</w:t>
      </w:r>
      <w:r w:rsidRPr="009D0B3A">
        <w:t xml:space="preserve"> de HFC, alors que son niveau de référence était de 399 935</w:t>
      </w:r>
      <w:r w:rsidR="00FD74A8">
        <w:t> </w:t>
      </w:r>
      <w:r w:rsidRPr="009D0B3A">
        <w:t xml:space="preserve">tonnes </w:t>
      </w:r>
      <w:r w:rsidR="00496AE2" w:rsidRPr="009D0B3A">
        <w:t>d</w:t>
      </w:r>
      <w:r w:rsidR="00AA6A89" w:rsidRPr="009D0B3A">
        <w:t>’</w:t>
      </w:r>
      <w:r w:rsidRPr="009D0B3A">
        <w:t xml:space="preserve">équivalent </w:t>
      </w:r>
      <w:r w:rsidR="006D655C" w:rsidRPr="009D0B3A">
        <w:t>CO</w:t>
      </w:r>
      <w:r w:rsidR="006D655C" w:rsidRPr="009D0B3A">
        <w:rPr>
          <w:vertAlign w:val="subscript"/>
        </w:rPr>
        <w:t>2</w:t>
      </w:r>
      <w:r w:rsidRPr="009D0B3A">
        <w:t>. Le Secrétariat avait donc écrit à la Partie le 29</w:t>
      </w:r>
      <w:r w:rsidR="00FD74A8">
        <w:t> </w:t>
      </w:r>
      <w:r w:rsidRPr="009D0B3A">
        <w:t>juillet 2025 pour demander des précisions. Le Mali avait répondu le 9</w:t>
      </w:r>
      <w:r w:rsidR="00FD74A8">
        <w:t> </w:t>
      </w:r>
      <w:r w:rsidRPr="009D0B3A">
        <w:t>octobre 2025, indiquant qu</w:t>
      </w:r>
      <w:r w:rsidR="00AA6A89" w:rsidRPr="009D0B3A">
        <w:t>’</w:t>
      </w:r>
      <w:r w:rsidRPr="009D0B3A">
        <w:t xml:space="preserve">il considérait les données de 2020 à 2022, années de référence pour les HFC, comme provisoires. Au cours de ces années, le pays avait été frappé par la pandémie de COVID-19 </w:t>
      </w:r>
      <w:r w:rsidR="007C229C" w:rsidRPr="009D0B3A">
        <w:t xml:space="preserve">et </w:t>
      </w:r>
      <w:r w:rsidR="00853530" w:rsidRPr="009D0B3A">
        <w:t xml:space="preserve">l’importation de </w:t>
      </w:r>
      <w:r w:rsidRPr="009D0B3A">
        <w:t>HFC n</w:t>
      </w:r>
      <w:r w:rsidR="00AA6A89" w:rsidRPr="009D0B3A">
        <w:t>’</w:t>
      </w:r>
      <w:r w:rsidRPr="009D0B3A">
        <w:t>avait pas été soumis</w:t>
      </w:r>
      <w:r w:rsidR="00853530" w:rsidRPr="009D0B3A">
        <w:t>e</w:t>
      </w:r>
      <w:r w:rsidRPr="009D0B3A">
        <w:t xml:space="preserve"> à </w:t>
      </w:r>
      <w:r w:rsidR="00853530" w:rsidRPr="009D0B3A">
        <w:t>l’octroi d’</w:t>
      </w:r>
      <w:r w:rsidRPr="009D0B3A">
        <w:t>autorisations, l</w:t>
      </w:r>
      <w:r w:rsidR="00AA6A89" w:rsidRPr="009D0B3A">
        <w:t>’</w:t>
      </w:r>
      <w:r w:rsidRPr="009D0B3A">
        <w:t>accent ayant été mis sur les HCFC. Une enquête menée dans le cadre de la préparation du plan de mise en œuvre de l</w:t>
      </w:r>
      <w:r w:rsidR="00AA6A89" w:rsidRPr="009D0B3A">
        <w:t>’</w:t>
      </w:r>
      <w:r w:rsidRPr="009D0B3A">
        <w:t>Amendement de</w:t>
      </w:r>
      <w:r w:rsidR="00FD74A8">
        <w:t> </w:t>
      </w:r>
      <w:r w:rsidRPr="009D0B3A">
        <w:t xml:space="preserve">Kigali relatif aux HFC pour le pays a montré que les données de 2024 reflétaient la situation actuelle. </w:t>
      </w:r>
      <w:r w:rsidR="00CB075B" w:rsidRPr="009D0B3A">
        <w:t xml:space="preserve">À la date d’établissement </w:t>
      </w:r>
      <w:r w:rsidRPr="009D0B3A">
        <w:t>de l</w:t>
      </w:r>
      <w:r w:rsidR="00AA6A89" w:rsidRPr="009D0B3A">
        <w:t>’</w:t>
      </w:r>
      <w:r w:rsidRPr="009D0B3A">
        <w:t xml:space="preserve">additif au rapport du Secrétariat </w:t>
      </w:r>
      <w:r w:rsidR="00CB075B" w:rsidRPr="009D0B3A">
        <w:t>relatif aux</w:t>
      </w:r>
      <w:r w:rsidRPr="009D0B3A">
        <w:t xml:space="preserve"> informations </w:t>
      </w:r>
      <w:r w:rsidR="00CB075B" w:rsidRPr="009D0B3A">
        <w:t>sur les</w:t>
      </w:r>
      <w:r w:rsidRPr="009D0B3A">
        <w:t xml:space="preserve"> cas </w:t>
      </w:r>
      <w:r w:rsidR="00CB075B" w:rsidRPr="009D0B3A">
        <w:t>de non-</w:t>
      </w:r>
      <w:r w:rsidRPr="009D0B3A">
        <w:t>respect des obligations découlant du Protocole de Montréal, le</w:t>
      </w:r>
      <w:r w:rsidR="003A61A6" w:rsidRPr="009D0B3A">
        <w:t xml:space="preserve"> délai de</w:t>
      </w:r>
      <w:r w:rsidRPr="009D0B3A">
        <w:t xml:space="preserve"> trois</w:t>
      </w:r>
      <w:r w:rsidR="00FD74A8">
        <w:t> </w:t>
      </w:r>
      <w:r w:rsidRPr="009D0B3A">
        <w:t>mois mentionné au paragraphe</w:t>
      </w:r>
      <w:r w:rsidR="00FD74A8">
        <w:t> </w:t>
      </w:r>
      <w:r w:rsidRPr="009D0B3A">
        <w:t xml:space="preserve">3 de la procédure </w:t>
      </w:r>
      <w:r w:rsidR="00CB075B" w:rsidRPr="009D0B3A">
        <w:t xml:space="preserve">applicable en cas </w:t>
      </w:r>
      <w:r w:rsidRPr="009D0B3A">
        <w:t>de non-respect n</w:t>
      </w:r>
      <w:r w:rsidR="00AA6A89" w:rsidRPr="009D0B3A">
        <w:t>’</w:t>
      </w:r>
      <w:r w:rsidR="006B1857" w:rsidRPr="009D0B3A">
        <w:t>avait</w:t>
      </w:r>
      <w:r w:rsidR="00D47B54" w:rsidRPr="009D0B3A">
        <w:t xml:space="preserve"> </w:t>
      </w:r>
      <w:r w:rsidRPr="009D0B3A">
        <w:t xml:space="preserve">pas </w:t>
      </w:r>
      <w:r w:rsidR="00D47B54" w:rsidRPr="009D0B3A">
        <w:t>encore</w:t>
      </w:r>
      <w:r w:rsidR="006B1857" w:rsidRPr="009D0B3A">
        <w:t xml:space="preserve"> expiré</w:t>
      </w:r>
      <w:r w:rsidRPr="009D0B3A">
        <w:t xml:space="preserve">, </w:t>
      </w:r>
      <w:r w:rsidR="006B1857" w:rsidRPr="009D0B3A">
        <w:t>ce qui n</w:t>
      </w:r>
      <w:r w:rsidR="00AA6A89" w:rsidRPr="009D0B3A">
        <w:t>’</w:t>
      </w:r>
      <w:r w:rsidR="006B1857" w:rsidRPr="009D0B3A">
        <w:t xml:space="preserve">était plus le cas </w:t>
      </w:r>
      <w:r w:rsidRPr="009D0B3A">
        <w:t>le 29</w:t>
      </w:r>
      <w:r w:rsidR="00FD74A8">
        <w:t> </w:t>
      </w:r>
      <w:r w:rsidRPr="009D0B3A">
        <w:t>octobre</w:t>
      </w:r>
      <w:r w:rsidR="003240D1">
        <w:t> </w:t>
      </w:r>
      <w:r w:rsidRPr="009D0B3A">
        <w:t>2025.</w:t>
      </w:r>
    </w:p>
    <w:p w14:paraId="612D0EC3" w14:textId="1003587D" w:rsidR="00FE4F9C" w:rsidRPr="009D0B3A" w:rsidRDefault="00FE4F9C" w:rsidP="00B26F7C">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Un membre a rappelé que le Comité était convenu, à sa soixante-quatorzième</w:t>
      </w:r>
      <w:r w:rsidR="00354572">
        <w:t> </w:t>
      </w:r>
      <w:r w:rsidRPr="009D0B3A">
        <w:t xml:space="preserve">réunion, de ne plus traiter comme telles les données soumises </w:t>
      </w:r>
      <w:r w:rsidR="00E23611" w:rsidRPr="009D0B3A">
        <w:t xml:space="preserve">comme </w:t>
      </w:r>
      <w:r w:rsidR="00F96007" w:rsidRPr="009D0B3A">
        <w:t xml:space="preserve">provisoires </w:t>
      </w:r>
      <w:r w:rsidRPr="009D0B3A">
        <w:t>par les Parties. Le représentant du Secrétariat a confirmé que le Mali n</w:t>
      </w:r>
      <w:r w:rsidR="00AA6A89" w:rsidRPr="009D0B3A">
        <w:t>’</w:t>
      </w:r>
      <w:r w:rsidRPr="009D0B3A">
        <w:t xml:space="preserve">avait pas </w:t>
      </w:r>
      <w:r w:rsidR="00476696" w:rsidRPr="009D0B3A">
        <w:t xml:space="preserve">auparavant </w:t>
      </w:r>
      <w:r w:rsidRPr="009D0B3A">
        <w:t>indiqué que ses données étaient provisoires et qu</w:t>
      </w:r>
      <w:r w:rsidR="00AA6A89" w:rsidRPr="009D0B3A">
        <w:t>’</w:t>
      </w:r>
      <w:r w:rsidRPr="009D0B3A">
        <w:t xml:space="preserve">il ne faisait donc pas partie des Parties qui avaient été informées par écrit de la </w:t>
      </w:r>
      <w:r w:rsidR="00012BE6" w:rsidRPr="009D0B3A">
        <w:t xml:space="preserve">décision </w:t>
      </w:r>
      <w:r w:rsidRPr="009D0B3A">
        <w:t xml:space="preserve">adoptée </w:t>
      </w:r>
      <w:r w:rsidR="00713ABB" w:rsidRPr="009D0B3A">
        <w:t xml:space="preserve">à ce sujet </w:t>
      </w:r>
      <w:r w:rsidRPr="009D0B3A">
        <w:t>par les membres du Comité à sa soixante-quatorzième</w:t>
      </w:r>
      <w:r w:rsidR="00354572">
        <w:t> </w:t>
      </w:r>
      <w:r w:rsidRPr="009D0B3A">
        <w:t>réunion.</w:t>
      </w:r>
    </w:p>
    <w:p w14:paraId="189C2FBA" w14:textId="40FFC3A5" w:rsidR="00FE4F9C" w:rsidRPr="009D0B3A" w:rsidRDefault="00FE4F9C" w:rsidP="00B26F7C">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réponse aux questions des membres, le représentant du Secrétariat a déclaré que le Mali avait laissé entendre qu</w:t>
      </w:r>
      <w:r w:rsidR="00AA6A89" w:rsidRPr="009D0B3A">
        <w:t>’</w:t>
      </w:r>
      <w:r w:rsidRPr="009D0B3A">
        <w:t>il demanderait une révision d</w:t>
      </w:r>
      <w:r w:rsidR="00C43F42" w:rsidRPr="009D0B3A">
        <w:t>e son</w:t>
      </w:r>
      <w:r w:rsidRPr="009D0B3A">
        <w:t xml:space="preserve"> niveau de référence, mais qu</w:t>
      </w:r>
      <w:r w:rsidR="00AA6A89" w:rsidRPr="009D0B3A">
        <w:t>’</w:t>
      </w:r>
      <w:r w:rsidRPr="009D0B3A">
        <w:t>il ne l</w:t>
      </w:r>
      <w:r w:rsidR="00AA6A89" w:rsidRPr="009D0B3A">
        <w:t>’</w:t>
      </w:r>
      <w:r w:rsidRPr="009D0B3A">
        <w:t>avait pas encore fait. Le Comité a demandé au Secrétariat de contacter la Partie concernée afin d</w:t>
      </w:r>
      <w:r w:rsidR="00AA6A89" w:rsidRPr="009D0B3A">
        <w:t>’</w:t>
      </w:r>
      <w:r w:rsidRPr="009D0B3A">
        <w:t>obtenir des éclaircissements sur la situation.</w:t>
      </w:r>
    </w:p>
    <w:p w14:paraId="3ADFA0BA" w14:textId="2F308102" w:rsidR="00FE4F9C" w:rsidRPr="009D0B3A" w:rsidRDefault="00FE4F9C" w:rsidP="00B26F7C">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Plus tard au cours de la réunion, le représentant du Secrétariat a informé le Comité que le Mali avait répondu, confirmant son souhait de présenter une demande de révision de son niveau de référence. Il a également confirmé que le courriel était considéré comme une communication officielle émanant de la Partie, mais que celle-ci n</w:t>
      </w:r>
      <w:r w:rsidR="00AA6A89" w:rsidRPr="009D0B3A">
        <w:t>’</w:t>
      </w:r>
      <w:r w:rsidRPr="009D0B3A">
        <w:t>avait pas encore fourni les documents requis au titre de la décision</w:t>
      </w:r>
      <w:r w:rsidR="00354572">
        <w:t> </w:t>
      </w:r>
      <w:r w:rsidRPr="009D0B3A">
        <w:t>XV/19 pour étayer sa demande de révision de son niveau de référence.</w:t>
      </w:r>
    </w:p>
    <w:p w14:paraId="466884CC" w14:textId="4760606E" w:rsidR="00EA3E0D" w:rsidRPr="009D0B3A" w:rsidRDefault="00EA3E0D" w:rsidP="00B26F7C">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Comité est donc convenu de transmettre à la trente-septième</w:t>
      </w:r>
      <w:r w:rsidR="00354572">
        <w:t> </w:t>
      </w:r>
      <w:r w:rsidRPr="009D0B3A">
        <w:t xml:space="preserve">Réunion des Parties, pour examen, le projet de décision sur le Mali, reproduit dans la section </w:t>
      </w:r>
      <w:r w:rsidR="002816D2" w:rsidRPr="009D0B3A">
        <w:t>G</w:t>
      </w:r>
      <w:r w:rsidRPr="009D0B3A">
        <w:t xml:space="preserve"> de l</w:t>
      </w:r>
      <w:r w:rsidR="00AA6A89" w:rsidRPr="009D0B3A">
        <w:t>’</w:t>
      </w:r>
      <w:r w:rsidRPr="009D0B3A">
        <w:t>annexe</w:t>
      </w:r>
      <w:r w:rsidR="00354572">
        <w:t> </w:t>
      </w:r>
      <w:r w:rsidRPr="009D0B3A">
        <w:t xml:space="preserve">I </w:t>
      </w:r>
      <w:r w:rsidR="00C43F42" w:rsidRPr="009D0B3A">
        <w:t>d</w:t>
      </w:r>
      <w:r w:rsidRPr="009D0B3A">
        <w:t>u présent</w:t>
      </w:r>
      <w:r w:rsidR="00354572">
        <w:t> </w:t>
      </w:r>
      <w:r w:rsidRPr="009D0B3A">
        <w:t>rapport.</w:t>
      </w:r>
      <w:bookmarkStart w:id="20" w:name="_Hlk213398725"/>
      <w:bookmarkEnd w:id="20"/>
    </w:p>
    <w:p w14:paraId="32BB6844" w14:textId="4A014306" w:rsidR="00EA3E0D" w:rsidRPr="009D0B3A" w:rsidRDefault="00EA3E0D" w:rsidP="00EA3E0D">
      <w:pPr>
        <w:pStyle w:val="Recommendation"/>
      </w:pPr>
      <w:r w:rsidRPr="009D0B3A">
        <w:t>Recommandation</w:t>
      </w:r>
      <w:r w:rsidR="00F059BD">
        <w:t> </w:t>
      </w:r>
      <w:r w:rsidRPr="009D0B3A">
        <w:t>75/8</w:t>
      </w:r>
    </w:p>
    <w:p w14:paraId="1234F374" w14:textId="2A3F57F5" w:rsidR="004A687D" w:rsidRPr="009D0B3A" w:rsidRDefault="00FE15EF" w:rsidP="00FE15EF">
      <w:pPr>
        <w:pStyle w:val="CH1"/>
      </w:pPr>
      <w:r>
        <w:rPr>
          <w:bCs/>
        </w:rPr>
        <w:tab/>
      </w:r>
      <w:r w:rsidR="00FF5CFA">
        <w:t>V</w:t>
      </w:r>
      <w:r w:rsidRPr="00852ABF">
        <w:t>II.</w:t>
      </w:r>
      <w:r>
        <w:rPr>
          <w:bCs/>
        </w:rPr>
        <w:tab/>
      </w:r>
      <w:r w:rsidR="007F7B08" w:rsidRPr="009D0B3A">
        <w:rPr>
          <w:bCs/>
        </w:rPr>
        <w:t>Demandes de modification des données de référence (décisions</w:t>
      </w:r>
      <w:r w:rsidR="00F30A79">
        <w:rPr>
          <w:bCs/>
        </w:rPr>
        <w:t> </w:t>
      </w:r>
      <w:r w:rsidR="007F7B08" w:rsidRPr="009D0B3A">
        <w:rPr>
          <w:bCs/>
        </w:rPr>
        <w:t>XIII/15 et XV/19)</w:t>
      </w:r>
      <w:r w:rsidR="00AA6A89" w:rsidRPr="009D0B3A">
        <w:rPr>
          <w:bCs/>
        </w:rPr>
        <w:t> </w:t>
      </w:r>
      <w:bookmarkStart w:id="21" w:name="_Hlk180851469"/>
      <w:bookmarkEnd w:id="21"/>
    </w:p>
    <w:p w14:paraId="21C1CEED" w14:textId="5A30B615" w:rsidR="003551D8" w:rsidRPr="009D0B3A" w:rsidRDefault="00EC01AA" w:rsidP="004B4916">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Présentant ce point, un représentant du Secrétariat a attiré l</w:t>
      </w:r>
      <w:r w:rsidR="00AA6A89" w:rsidRPr="009D0B3A">
        <w:t>’</w:t>
      </w:r>
      <w:r w:rsidRPr="009D0B3A">
        <w:t>attention</w:t>
      </w:r>
      <w:r w:rsidR="005651DF" w:rsidRPr="009D0B3A">
        <w:t xml:space="preserve"> des participant(e)s</w:t>
      </w:r>
      <w:r w:rsidRPr="009D0B3A">
        <w:t xml:space="preserve"> sur le rapport du Secrétariat relatif aux demandes de modification des données de référence présentées par les Parties (UNEP/OzL.Pro/ImpCom/75/R.4 et UNEP/OzL.Pro/ImpCom/75/R.4/Add.1) ainsi que sur la note du Secrétariat </w:t>
      </w:r>
      <w:r w:rsidR="006C1F9E" w:rsidRPr="009D0B3A">
        <w:t xml:space="preserve">sur </w:t>
      </w:r>
      <w:r w:rsidRPr="009D0B3A">
        <w:t>les informations soumises par les Parties pour examen par le Comité à sa soixante-quinzième</w:t>
      </w:r>
      <w:r w:rsidR="00F1100F">
        <w:t> </w:t>
      </w:r>
      <w:r w:rsidRPr="009D0B3A">
        <w:t>réunion (UNEP/OzL.Pro/ImpCom/75/INF/R.2) et ses annexes. Le Comité était saisi d</w:t>
      </w:r>
      <w:r w:rsidR="00AA6A89" w:rsidRPr="009D0B3A">
        <w:t>’</w:t>
      </w:r>
      <w:r w:rsidRPr="009D0B3A">
        <w:t>un total de six</w:t>
      </w:r>
      <w:r w:rsidR="00F1100F">
        <w:t> </w:t>
      </w:r>
      <w:r w:rsidRPr="009D0B3A">
        <w:t>demandes de révision des données de référence relatives aux HFC présentées par des Parties. Deux d</w:t>
      </w:r>
      <w:r w:rsidR="00AA6A89" w:rsidRPr="009D0B3A">
        <w:t>’</w:t>
      </w:r>
      <w:r w:rsidRPr="009D0B3A">
        <w:t xml:space="preserve">entre elles avaient également demandé </w:t>
      </w:r>
      <w:r w:rsidR="006C1F9E" w:rsidRPr="009D0B3A">
        <w:t xml:space="preserve">la </w:t>
      </w:r>
      <w:r w:rsidRPr="009D0B3A">
        <w:t xml:space="preserve">révision de leurs données de référence relatives aux HCFC. </w:t>
      </w:r>
      <w:r w:rsidR="00D870D4" w:rsidRPr="009D0B3A">
        <w:t>Le représentant</w:t>
      </w:r>
      <w:r w:rsidRPr="009D0B3A">
        <w:t xml:space="preserve"> a rappelé au Comité la méthodologie énoncée dans la décision</w:t>
      </w:r>
      <w:r w:rsidR="00F1100F">
        <w:t> </w:t>
      </w:r>
      <w:r w:rsidRPr="009D0B3A">
        <w:t xml:space="preserve">XV/19, qui exigeait des </w:t>
      </w:r>
      <w:r w:rsidR="006C1F9E" w:rsidRPr="009D0B3A">
        <w:t>P</w:t>
      </w:r>
      <w:r w:rsidRPr="009D0B3A">
        <w:t>arties qu</w:t>
      </w:r>
      <w:r w:rsidR="00AA6A89" w:rsidRPr="009D0B3A">
        <w:t>’</w:t>
      </w:r>
      <w:r w:rsidRPr="009D0B3A">
        <w:t>elles identifient l</w:t>
      </w:r>
      <w:r w:rsidR="00AA6A89" w:rsidRPr="009D0B3A">
        <w:t>’</w:t>
      </w:r>
      <w:r w:rsidRPr="009D0B3A">
        <w:t>année ou les années de référence à corriger ou à modifier et qu</w:t>
      </w:r>
      <w:r w:rsidR="00AA6A89" w:rsidRPr="009D0B3A">
        <w:t>’</w:t>
      </w:r>
      <w:r w:rsidRPr="009D0B3A">
        <w:t>elles fournissent des explications sur les raisons pour lesquelles les données de référence existantes étaient incorrectes et les modifications demandées devaient être considérées comme correctes, y</w:t>
      </w:r>
      <w:r w:rsidR="00545566">
        <w:t> </w:t>
      </w:r>
      <w:r w:rsidRPr="009D0B3A">
        <w:t xml:space="preserve">compris les procédures de collecte et de vérification des données et </w:t>
      </w:r>
      <w:r w:rsidR="006C1F9E" w:rsidRPr="009D0B3A">
        <w:t>d</w:t>
      </w:r>
      <w:r w:rsidRPr="009D0B3A">
        <w:t xml:space="preserve">es documents justificatifs tels que </w:t>
      </w:r>
      <w:r w:rsidR="006C1F9E" w:rsidRPr="009D0B3A">
        <w:t>d</w:t>
      </w:r>
      <w:r w:rsidRPr="009D0B3A">
        <w:t xml:space="preserve">es licences, </w:t>
      </w:r>
      <w:r w:rsidR="006C1F9E" w:rsidRPr="009D0B3A">
        <w:t>d</w:t>
      </w:r>
      <w:r w:rsidRPr="009D0B3A">
        <w:t>es documents d</w:t>
      </w:r>
      <w:r w:rsidR="00AA6A89" w:rsidRPr="009D0B3A">
        <w:t>’</w:t>
      </w:r>
      <w:r w:rsidRPr="009D0B3A">
        <w:t xml:space="preserve">expédition et </w:t>
      </w:r>
      <w:r w:rsidR="006C1F9E" w:rsidRPr="009D0B3A">
        <w:t xml:space="preserve">des documents </w:t>
      </w:r>
      <w:r w:rsidRPr="009D0B3A">
        <w:t>douaniers</w:t>
      </w:r>
      <w:r w:rsidR="006C1F9E" w:rsidRPr="009D0B3A">
        <w:t>,</w:t>
      </w:r>
      <w:r w:rsidRPr="009D0B3A">
        <w:t xml:space="preserve"> ainsi que </w:t>
      </w:r>
      <w:r w:rsidR="006C1F9E" w:rsidRPr="009D0B3A">
        <w:t>d</w:t>
      </w:r>
      <w:r w:rsidRPr="009D0B3A">
        <w:t>es rapports d</w:t>
      </w:r>
      <w:r w:rsidR="00AA6A89" w:rsidRPr="009D0B3A">
        <w:t>’</w:t>
      </w:r>
      <w:r w:rsidRPr="009D0B3A">
        <w:t>enquête.</w:t>
      </w:r>
      <w:bookmarkStart w:id="22" w:name="_Hlk213398567"/>
      <w:bookmarkStart w:id="23" w:name="_Hlk212887504"/>
      <w:bookmarkEnd w:id="22"/>
      <w:bookmarkEnd w:id="23"/>
    </w:p>
    <w:p w14:paraId="13334B24" w14:textId="4EDFC7AC" w:rsidR="00C05E37" w:rsidRPr="009D0B3A" w:rsidRDefault="005C7EFC" w:rsidP="005C7EFC">
      <w:pPr>
        <w:pStyle w:val="CH2"/>
      </w:pPr>
      <w:r>
        <w:rPr>
          <w:bCs/>
        </w:rPr>
        <w:tab/>
      </w:r>
      <w:r w:rsidR="00E6491E" w:rsidRPr="00852ABF">
        <w:t>A.</w:t>
      </w:r>
      <w:r>
        <w:rPr>
          <w:bCs/>
        </w:rPr>
        <w:tab/>
      </w:r>
      <w:r w:rsidR="007F7B08" w:rsidRPr="009D0B3A">
        <w:rPr>
          <w:bCs/>
        </w:rPr>
        <w:t>Arménie (recommandation 74/11)</w:t>
      </w:r>
      <w:r w:rsidR="00AA6A89" w:rsidRPr="009D0B3A">
        <w:rPr>
          <w:bCs/>
        </w:rPr>
        <w:t> </w:t>
      </w:r>
    </w:p>
    <w:p w14:paraId="03E6BF6B" w14:textId="60E04216" w:rsidR="004C64F0" w:rsidRPr="009D0B3A" w:rsidRDefault="00CA3A70" w:rsidP="00C00420">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bookmarkStart w:id="24" w:name="_Hlk212903401"/>
      <w:r w:rsidRPr="009D0B3A">
        <w:t>L</w:t>
      </w:r>
      <w:r w:rsidR="00AA6A89" w:rsidRPr="009D0B3A">
        <w:t>’</w:t>
      </w:r>
      <w:r w:rsidRPr="009D0B3A">
        <w:t>Arménie avait présenté une demande de révision de ses données de référence concernant sa consommation de HFC pour 2020, 2021 et 2022. La révision proposée représenterait une augmentation de 266 218</w:t>
      </w:r>
      <w:r w:rsidR="00025277">
        <w:t> </w:t>
      </w:r>
      <w:r w:rsidRPr="009D0B3A">
        <w:t xml:space="preserve">tonnes </w:t>
      </w:r>
      <w:r w:rsidRPr="00266464">
        <w:t>d</w:t>
      </w:r>
      <w:r w:rsidR="00AA6A89" w:rsidRPr="00266464">
        <w:t>’</w:t>
      </w:r>
      <w:r w:rsidRPr="00266464">
        <w:t>équivalent CO</w:t>
      </w:r>
      <w:r w:rsidRPr="00266464">
        <w:rPr>
          <w:vertAlign w:val="subscript"/>
        </w:rPr>
        <w:t>2</w:t>
      </w:r>
      <w:r w:rsidRPr="009D0B3A">
        <w:t xml:space="preserve"> (56</w:t>
      </w:r>
      <w:r w:rsidR="00CE1598">
        <w:t> </w:t>
      </w:r>
      <w:r w:rsidRPr="009D0B3A">
        <w:t>%) par rapport au niveau de référence initial. La demande avait été examinée lors des soixante-douzième, soixante-treizième et soixante</w:t>
      </w:r>
      <w:r w:rsidR="00B735A1">
        <w:noBreakHyphen/>
      </w:r>
      <w:r w:rsidRPr="009D0B3A">
        <w:t>quatorzième</w:t>
      </w:r>
      <w:r w:rsidR="00D64C8E">
        <w:t> </w:t>
      </w:r>
      <w:r w:rsidRPr="009D0B3A">
        <w:t>réunions du Comité, au cours desquelles celui-ci avait conclu que les informations fournies par la Partie à l</w:t>
      </w:r>
      <w:r w:rsidR="00AA6A89" w:rsidRPr="009D0B3A">
        <w:t>’</w:t>
      </w:r>
      <w:r w:rsidRPr="009D0B3A">
        <w:t>appui de sa demande de révision de ses données de référence relatives aux HFC n</w:t>
      </w:r>
      <w:r w:rsidR="00AA6A89" w:rsidRPr="009D0B3A">
        <w:t>’</w:t>
      </w:r>
      <w:r w:rsidRPr="009D0B3A">
        <w:t>étaient pas suffisantes pour satisfaire aux exigences de la décision</w:t>
      </w:r>
      <w:r w:rsidR="00D64C8E">
        <w:t> </w:t>
      </w:r>
      <w:r w:rsidRPr="009D0B3A">
        <w:t xml:space="preserve">XV/19. </w:t>
      </w:r>
      <w:r w:rsidRPr="009D0B3A">
        <w:lastRenderedPageBreak/>
        <w:t>La</w:t>
      </w:r>
      <w:r w:rsidR="00D72616">
        <w:t> </w:t>
      </w:r>
      <w:r w:rsidRPr="009D0B3A">
        <w:t>représentante de l</w:t>
      </w:r>
      <w:r w:rsidR="00AA6A89" w:rsidRPr="009D0B3A">
        <w:t>’</w:t>
      </w:r>
      <w:r w:rsidRPr="009D0B3A">
        <w:t>Arménie avait assisté à la soixante-treizième</w:t>
      </w:r>
      <w:r w:rsidR="00D64C8E">
        <w:t> </w:t>
      </w:r>
      <w:r w:rsidRPr="009D0B3A">
        <w:t xml:space="preserve">réunion et avait </w:t>
      </w:r>
      <w:r w:rsidR="00CF3621" w:rsidRPr="009D0B3A">
        <w:t>fait état de difficultés</w:t>
      </w:r>
      <w:r w:rsidRPr="009D0B3A">
        <w:t xml:space="preserve"> lié</w:t>
      </w:r>
      <w:r w:rsidR="00CF3621" w:rsidRPr="009D0B3A">
        <w:t>e</w:t>
      </w:r>
      <w:r w:rsidRPr="009D0B3A">
        <w:t xml:space="preserve">s aux lacunes historiques dans </w:t>
      </w:r>
      <w:r w:rsidR="00CF3621" w:rsidRPr="009D0B3A">
        <w:t>la réglementation</w:t>
      </w:r>
      <w:r w:rsidRPr="009D0B3A">
        <w:t xml:space="preserve"> des substances par la Partie, à la disponibilité limitée de données sur les mélanges et aux </w:t>
      </w:r>
      <w:r w:rsidR="00CF3621" w:rsidRPr="009D0B3A">
        <w:t>défis posés par la surveillance d</w:t>
      </w:r>
      <w:r w:rsidRPr="009D0B3A">
        <w:t>es achats en ligne. Elle avait également informé le Comité que la Partie s</w:t>
      </w:r>
      <w:r w:rsidR="00AA6A89" w:rsidRPr="009D0B3A">
        <w:t>’</w:t>
      </w:r>
      <w:r w:rsidRPr="009D0B3A">
        <w:t>efforçait d</w:t>
      </w:r>
      <w:r w:rsidR="00AA6A89" w:rsidRPr="009D0B3A">
        <w:t>’</w:t>
      </w:r>
      <w:r w:rsidRPr="009D0B3A">
        <w:t>améliorer ses systèmes de suivi et d</w:t>
      </w:r>
      <w:r w:rsidR="00AA6A89" w:rsidRPr="009D0B3A">
        <w:t>’</w:t>
      </w:r>
      <w:r w:rsidRPr="009D0B3A">
        <w:t xml:space="preserve">assurer la coordination avec les autorités compétentes afin de superviser le commerce intérieur et de résoudre les problèmes liés aux importations non déclarées et aux ventes en ligne. </w:t>
      </w:r>
      <w:bookmarkStart w:id="25" w:name="_Hlk213496632"/>
      <w:bookmarkStart w:id="26" w:name="_Hlk212888941"/>
      <w:bookmarkEnd w:id="24"/>
      <w:bookmarkEnd w:id="25"/>
      <w:bookmarkEnd w:id="26"/>
    </w:p>
    <w:p w14:paraId="5031F91C" w14:textId="4A1739E7" w:rsidR="00CE1A4F" w:rsidRPr="009D0B3A" w:rsidRDefault="004349F9"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À</w:t>
      </w:r>
      <w:r w:rsidR="004C64F0" w:rsidRPr="009D0B3A">
        <w:t xml:space="preserve"> sa soixante-quatorzième</w:t>
      </w:r>
      <w:r w:rsidR="00D64C8E">
        <w:t> </w:t>
      </w:r>
      <w:r w:rsidR="004C64F0" w:rsidRPr="009D0B3A">
        <w:t>réunion, le Comité avait examiné les documents précédemment soumis par l</w:t>
      </w:r>
      <w:r w:rsidR="00AA6A89" w:rsidRPr="009D0B3A">
        <w:t>’</w:t>
      </w:r>
      <w:r w:rsidR="004C64F0" w:rsidRPr="009D0B3A">
        <w:t>Arménie à l</w:t>
      </w:r>
      <w:r w:rsidR="00AA6A89" w:rsidRPr="009D0B3A">
        <w:t>’</w:t>
      </w:r>
      <w:r w:rsidR="004C64F0" w:rsidRPr="009D0B3A">
        <w:t>appui de sa demande, notamment les factures d</w:t>
      </w:r>
      <w:r w:rsidR="00AA6A89" w:rsidRPr="009D0B3A">
        <w:t>’</w:t>
      </w:r>
      <w:r w:rsidR="004C64F0" w:rsidRPr="009D0B3A">
        <w:t>un importateur indiquant un total d</w:t>
      </w:r>
      <w:r w:rsidR="00AA6A89" w:rsidRPr="009D0B3A">
        <w:t>’</w:t>
      </w:r>
      <w:r w:rsidR="004C64F0" w:rsidRPr="009D0B3A">
        <w:t>environ 33</w:t>
      </w:r>
      <w:r w:rsidR="00EF5772">
        <w:t> </w:t>
      </w:r>
      <w:r w:rsidR="004C64F0" w:rsidRPr="009D0B3A">
        <w:t>tonnes d</w:t>
      </w:r>
      <w:r w:rsidR="00AA6A89" w:rsidRPr="009D0B3A">
        <w:t>’</w:t>
      </w:r>
      <w:r w:rsidR="004C64F0" w:rsidRPr="009D0B3A">
        <w:t>importations en 2020. Considérant qu</w:t>
      </w:r>
      <w:r w:rsidR="00AA6A89" w:rsidRPr="009D0B3A">
        <w:t>’</w:t>
      </w:r>
      <w:r w:rsidR="004C64F0" w:rsidRPr="009D0B3A">
        <w:t>ils étaient insuffisants, il avait adopté la recommandation</w:t>
      </w:r>
      <w:r w:rsidR="00EF5772">
        <w:t> </w:t>
      </w:r>
      <w:r w:rsidR="004C64F0" w:rsidRPr="009D0B3A">
        <w:t>7</w:t>
      </w:r>
      <w:r w:rsidR="009B290B" w:rsidRPr="009D0B3A">
        <w:t>4</w:t>
      </w:r>
      <w:r w:rsidR="004C64F0" w:rsidRPr="009D0B3A">
        <w:t>/11, dans laquelle il avait demandé à l</w:t>
      </w:r>
      <w:r w:rsidR="00AA6A89" w:rsidRPr="009D0B3A">
        <w:t>’</w:t>
      </w:r>
      <w:r w:rsidR="004C64F0" w:rsidRPr="009D0B3A">
        <w:t xml:space="preserve">Arménie de soumettre les informations manquantes qui étaient nécessaires </w:t>
      </w:r>
      <w:r w:rsidR="00AF1088" w:rsidRPr="009D0B3A">
        <w:t>en application des</w:t>
      </w:r>
      <w:r w:rsidR="004C64F0" w:rsidRPr="009D0B3A">
        <w:t xml:space="preserve"> dispositions de la décision</w:t>
      </w:r>
      <w:r w:rsidR="004351D5">
        <w:t> </w:t>
      </w:r>
      <w:r w:rsidR="004C64F0" w:rsidRPr="009D0B3A">
        <w:t xml:space="preserve">XV/19. </w:t>
      </w:r>
    </w:p>
    <w:p w14:paraId="7901BDFC" w14:textId="1AE011B2" w:rsidR="00A412B4" w:rsidRPr="009D0B3A" w:rsidRDefault="00CE1A4F"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À la suite de cette réunion, l</w:t>
      </w:r>
      <w:r w:rsidR="00AA6A89" w:rsidRPr="009D0B3A">
        <w:t>’</w:t>
      </w:r>
      <w:r w:rsidRPr="009D0B3A">
        <w:t>Arménie avait adressé une lettre au Secrétariat expliquant les mesures qu</w:t>
      </w:r>
      <w:r w:rsidR="00AA6A89" w:rsidRPr="009D0B3A">
        <w:t>’</w:t>
      </w:r>
      <w:r w:rsidRPr="009D0B3A">
        <w:t>elle avait prises pour obtenir des informations supplémentaires, conformément à la recommandation</w:t>
      </w:r>
      <w:r w:rsidR="004A60AF">
        <w:t> </w:t>
      </w:r>
      <w:r w:rsidRPr="009D0B3A">
        <w:t>74/11, accompagnée de copies des échanges entre le Ministère arménien de l</w:t>
      </w:r>
      <w:r w:rsidR="00AA6A89" w:rsidRPr="009D0B3A">
        <w:t>’</w:t>
      </w:r>
      <w:r w:rsidRPr="009D0B3A">
        <w:t>environnement et deux</w:t>
      </w:r>
      <w:r w:rsidR="000E3AAF">
        <w:t> </w:t>
      </w:r>
      <w:r w:rsidRPr="009D0B3A">
        <w:t>opérateurs de marchés électroniques. L</w:t>
      </w:r>
      <w:r w:rsidR="00AA6A89" w:rsidRPr="009D0B3A">
        <w:t>’</w:t>
      </w:r>
      <w:r w:rsidRPr="009D0B3A">
        <w:t>une de ces entreprises avait déclaré avoir livré 7</w:t>
      </w:r>
      <w:r w:rsidR="00252466">
        <w:t> </w:t>
      </w:r>
      <w:r w:rsidRPr="009D0B3A">
        <w:t>tonnes de substances à l</w:t>
      </w:r>
      <w:r w:rsidR="00AA6A89" w:rsidRPr="009D0B3A">
        <w:t>’</w:t>
      </w:r>
      <w:r w:rsidRPr="009D0B3A">
        <w:t xml:space="preserve">Arménie entre 2020 et 2025 </w:t>
      </w:r>
      <w:r w:rsidR="00957436" w:rsidRPr="009D0B3A">
        <w:t xml:space="preserve">et </w:t>
      </w:r>
      <w:r w:rsidRPr="009D0B3A">
        <w:t>s</w:t>
      </w:r>
      <w:r w:rsidR="00AA6A89" w:rsidRPr="009D0B3A">
        <w:t>’</w:t>
      </w:r>
      <w:r w:rsidRPr="009D0B3A">
        <w:t>était également engagée à interdire totalement le commerce de substances réglementées sur ses plateformes. La lettre envoyée par l</w:t>
      </w:r>
      <w:r w:rsidR="00AA6A89" w:rsidRPr="009D0B3A">
        <w:t>’</w:t>
      </w:r>
      <w:r w:rsidRPr="009D0B3A">
        <w:t>Arménie précisait que l</w:t>
      </w:r>
      <w:r w:rsidR="00AA6A89" w:rsidRPr="009D0B3A">
        <w:t>’</w:t>
      </w:r>
      <w:r w:rsidRPr="009D0B3A">
        <w:t>entreprise avait obtenu ces informations à l</w:t>
      </w:r>
      <w:r w:rsidR="00AA6A89" w:rsidRPr="009D0B3A">
        <w:t>’</w:t>
      </w:r>
      <w:r w:rsidRPr="009D0B3A">
        <w:t>aide d</w:t>
      </w:r>
      <w:r w:rsidR="00AA6A89" w:rsidRPr="009D0B3A">
        <w:t>’</w:t>
      </w:r>
      <w:r w:rsidRPr="009D0B3A">
        <w:t>outils d</w:t>
      </w:r>
      <w:r w:rsidR="00AA6A89" w:rsidRPr="009D0B3A">
        <w:t>’</w:t>
      </w:r>
      <w:r w:rsidRPr="009D0B3A">
        <w:t>intelligence artificielle, mais qu</w:t>
      </w:r>
      <w:r w:rsidR="00AA6A89" w:rsidRPr="009D0B3A">
        <w:t>’</w:t>
      </w:r>
      <w:r w:rsidRPr="009D0B3A">
        <w:t>il ne s</w:t>
      </w:r>
      <w:r w:rsidR="00AA6A89" w:rsidRPr="009D0B3A">
        <w:t>’</w:t>
      </w:r>
      <w:r w:rsidRPr="009D0B3A">
        <w:t>agissait pas d</w:t>
      </w:r>
      <w:r w:rsidR="00AA6A89" w:rsidRPr="009D0B3A">
        <w:t>’</w:t>
      </w:r>
      <w:r w:rsidRPr="009D0B3A">
        <w:t>un résumé exhaustif. Une autre entreprise n</w:t>
      </w:r>
      <w:r w:rsidR="00AA6A89" w:rsidRPr="009D0B3A">
        <w:t>’</w:t>
      </w:r>
      <w:r w:rsidRPr="009D0B3A">
        <w:t>avait fourni aucune donnée, mais avait informé la Partie qu</w:t>
      </w:r>
      <w:r w:rsidR="00AA6A89" w:rsidRPr="009D0B3A">
        <w:t>’</w:t>
      </w:r>
      <w:r w:rsidRPr="009D0B3A">
        <w:t>elle avait pris des mesures pour empêcher toute livraison de substances réglementées à l</w:t>
      </w:r>
      <w:r w:rsidR="00AA6A89" w:rsidRPr="009D0B3A">
        <w:t>’</w:t>
      </w:r>
      <w:r w:rsidRPr="009D0B3A">
        <w:t xml:space="preserve">Arménie. </w:t>
      </w:r>
    </w:p>
    <w:p w14:paraId="7F346022" w14:textId="5F0C90EC" w:rsidR="001C3927" w:rsidRPr="009D0B3A" w:rsidRDefault="00C426C9"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Rappelant que la recommandation</w:t>
      </w:r>
      <w:r w:rsidR="00D33DDE">
        <w:t> </w:t>
      </w:r>
      <w:r w:rsidRPr="009D0B3A">
        <w:t>74/11 demandait à l</w:t>
      </w:r>
      <w:r w:rsidR="00AA6A89" w:rsidRPr="009D0B3A">
        <w:t>’</w:t>
      </w:r>
      <w:r w:rsidRPr="009D0B3A">
        <w:t xml:space="preserve">Arménie de fournir des informations </w:t>
      </w:r>
      <w:r w:rsidR="007B6452" w:rsidRPr="009D0B3A">
        <w:t>pour étayer solidement</w:t>
      </w:r>
      <w:r w:rsidRPr="009D0B3A">
        <w:t xml:space="preserve"> sa demande, certains membres du Comité ont </w:t>
      </w:r>
      <w:r w:rsidR="000F14A3" w:rsidRPr="009D0B3A">
        <w:t>considér</w:t>
      </w:r>
      <w:r w:rsidRPr="009D0B3A">
        <w:t>é que la Partie n</w:t>
      </w:r>
      <w:r w:rsidR="00AA6A89" w:rsidRPr="009D0B3A">
        <w:t>’</w:t>
      </w:r>
      <w:r w:rsidRPr="009D0B3A">
        <w:t>avait pas fourni de tel</w:t>
      </w:r>
      <w:r w:rsidR="007B6452" w:rsidRPr="009D0B3A">
        <w:t>le</w:t>
      </w:r>
      <w:r w:rsidRPr="009D0B3A">
        <w:t>s informations</w:t>
      </w:r>
      <w:r w:rsidR="00137F98" w:rsidRPr="009D0B3A">
        <w:t>,</w:t>
      </w:r>
      <w:r w:rsidRPr="009D0B3A">
        <w:t xml:space="preserve"> les données communiquées </w:t>
      </w:r>
      <w:r w:rsidR="00137F98" w:rsidRPr="009D0B3A">
        <w:t>étan</w:t>
      </w:r>
      <w:r w:rsidRPr="009D0B3A">
        <w:t>t très limitées et ne couvrant qu</w:t>
      </w:r>
      <w:r w:rsidR="00AA6A89" w:rsidRPr="009D0B3A">
        <w:t>’</w:t>
      </w:r>
      <w:r w:rsidRPr="009D0B3A">
        <w:t xml:space="preserve">une petite partie </w:t>
      </w:r>
      <w:r w:rsidR="00F87834" w:rsidRPr="009D0B3A">
        <w:t xml:space="preserve">de la révision demandée </w:t>
      </w:r>
      <w:r w:rsidRPr="009D0B3A">
        <w:t>des niveaux de consommation. D</w:t>
      </w:r>
      <w:r w:rsidR="00AA6A89" w:rsidRPr="009D0B3A">
        <w:t>’</w:t>
      </w:r>
      <w:r w:rsidRPr="009D0B3A">
        <w:t>autres membres ont estimé que l</w:t>
      </w:r>
      <w:r w:rsidR="00AA6A89" w:rsidRPr="009D0B3A">
        <w:t>’</w:t>
      </w:r>
      <w:r w:rsidRPr="009D0B3A">
        <w:t xml:space="preserve">Arménie avait déployé des efforts considérables pour collecter des données et ont laissé entendre que certaines ne seraient jamais disponibles, principalement en raison des accords internationaux conclus par la Partie, </w:t>
      </w:r>
      <w:r w:rsidR="000433BB" w:rsidRPr="009D0B3A">
        <w:t xml:space="preserve">en vertu desquels </w:t>
      </w:r>
      <w:r w:rsidR="00D55B69" w:rsidRPr="009D0B3A">
        <w:t>celle-ci</w:t>
      </w:r>
      <w:r w:rsidRPr="009D0B3A">
        <w:t xml:space="preserve"> ne surveillait pas l</w:t>
      </w:r>
      <w:r w:rsidR="00AA6A89" w:rsidRPr="009D0B3A">
        <w:t>’</w:t>
      </w:r>
      <w:r w:rsidRPr="009D0B3A">
        <w:t>ensemble du commerce international. Ils</w:t>
      </w:r>
      <w:r w:rsidR="00D72616">
        <w:t> </w:t>
      </w:r>
      <w:r w:rsidR="003723A6" w:rsidRPr="009D0B3A">
        <w:t>(Elles)</w:t>
      </w:r>
      <w:r w:rsidRPr="009D0B3A">
        <w:t xml:space="preserve"> ont demandé quelles autres informations le Comité pouvait raisonnablement attendre de l</w:t>
      </w:r>
      <w:r w:rsidR="00AA6A89" w:rsidRPr="009D0B3A">
        <w:t>’</w:t>
      </w:r>
      <w:r w:rsidRPr="009D0B3A">
        <w:t>Arménie. Conscient</w:t>
      </w:r>
      <w:r w:rsidR="003723A6" w:rsidRPr="009D0B3A">
        <w:t>(e)</w:t>
      </w:r>
      <w:r w:rsidRPr="009D0B3A">
        <w:t>s de ces difficultés, les membres du Comité ont manifesté leur solidarité avec l</w:t>
      </w:r>
      <w:r w:rsidR="00AA6A89" w:rsidRPr="009D0B3A">
        <w:t>’</w:t>
      </w:r>
      <w:r w:rsidRPr="009D0B3A">
        <w:t>Arménie pour la situation dans laquelle elle se trouvait, déclarant toutefois que la Partie devait encore fournir davantage d</w:t>
      </w:r>
      <w:r w:rsidR="00AA6A89" w:rsidRPr="009D0B3A">
        <w:t>’</w:t>
      </w:r>
      <w:r w:rsidRPr="009D0B3A">
        <w:t>informations pour justifier l</w:t>
      </w:r>
      <w:r w:rsidR="003723A6" w:rsidRPr="009D0B3A">
        <w:t>a révision d</w:t>
      </w:r>
      <w:r w:rsidRPr="009D0B3A">
        <w:t>es niveaux de référence qu</w:t>
      </w:r>
      <w:r w:rsidR="00AA6A89" w:rsidRPr="009D0B3A">
        <w:t>’</w:t>
      </w:r>
      <w:r w:rsidRPr="009D0B3A">
        <w:t>elle demandait, conformément à la méthodologie définie dans la décision</w:t>
      </w:r>
      <w:r w:rsidR="00BC73A4">
        <w:t> </w:t>
      </w:r>
      <w:r w:rsidRPr="009D0B3A">
        <w:t xml:space="preserve">XV/19. </w:t>
      </w:r>
    </w:p>
    <w:p w14:paraId="7ABE9077" w14:textId="746C45CF" w:rsidR="00122704" w:rsidRPr="009D0B3A" w:rsidRDefault="001A3BC9"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À l</w:t>
      </w:r>
      <w:r w:rsidR="00AA6A89" w:rsidRPr="009D0B3A">
        <w:t>’</w:t>
      </w:r>
      <w:r w:rsidRPr="009D0B3A">
        <w:t>invitation du Comité, deux</w:t>
      </w:r>
      <w:r w:rsidR="00BC73A4">
        <w:t> </w:t>
      </w:r>
      <w:r w:rsidRPr="009D0B3A">
        <w:t>représentant</w:t>
      </w:r>
      <w:r w:rsidR="00D55B69" w:rsidRPr="009D0B3A">
        <w:t>(e)</w:t>
      </w:r>
      <w:r w:rsidRPr="009D0B3A">
        <w:t>s de l</w:t>
      </w:r>
      <w:r w:rsidR="00AA6A89" w:rsidRPr="009D0B3A">
        <w:t>’</w:t>
      </w:r>
      <w:r w:rsidRPr="009D0B3A">
        <w:t>Arménie ont assisté à la réunion. En</w:t>
      </w:r>
      <w:r w:rsidR="00D72616">
        <w:t> </w:t>
      </w:r>
      <w:r w:rsidRPr="009D0B3A">
        <w:t>réponse aux questions des membres du Comité, l</w:t>
      </w:r>
      <w:r w:rsidR="00AA6A89" w:rsidRPr="009D0B3A">
        <w:t>’</w:t>
      </w:r>
      <w:r w:rsidRPr="009D0B3A">
        <w:t>un</w:t>
      </w:r>
      <w:r w:rsidR="00D55B69" w:rsidRPr="009D0B3A">
        <w:t>e</w:t>
      </w:r>
      <w:r w:rsidRPr="009D0B3A">
        <w:t xml:space="preserve"> des représentant</w:t>
      </w:r>
      <w:r w:rsidR="00D55B69" w:rsidRPr="009D0B3A">
        <w:t>(e)</w:t>
      </w:r>
      <w:r w:rsidRPr="009D0B3A">
        <w:t>s a expliqué que l</w:t>
      </w:r>
      <w:r w:rsidR="00B31C15" w:rsidRPr="009D0B3A">
        <w:t>a révision des</w:t>
      </w:r>
      <w:r w:rsidRPr="009D0B3A">
        <w:t xml:space="preserve"> données de référence demandée par l</w:t>
      </w:r>
      <w:r w:rsidR="00AA6A89" w:rsidRPr="009D0B3A">
        <w:t>’</w:t>
      </w:r>
      <w:r w:rsidRPr="009D0B3A">
        <w:t xml:space="preserve">Arménie était </w:t>
      </w:r>
      <w:r w:rsidR="00D55B69" w:rsidRPr="009D0B3A">
        <w:t xml:space="preserve">fondée </w:t>
      </w:r>
      <w:r w:rsidRPr="009D0B3A">
        <w:t>sur une enquête sur l</w:t>
      </w:r>
      <w:r w:rsidR="00AA6A89" w:rsidRPr="009D0B3A">
        <w:t>’</w:t>
      </w:r>
      <w:r w:rsidRPr="009D0B3A">
        <w:t>utilisation des HFC dans le pays. L</w:t>
      </w:r>
      <w:r w:rsidR="00AA6A89" w:rsidRPr="009D0B3A">
        <w:t>’</w:t>
      </w:r>
      <w:r w:rsidRPr="009D0B3A">
        <w:t>enquête avait calculé les chiffres de consommation pour différents sous-secteurs, y</w:t>
      </w:r>
      <w:r w:rsidR="00545566">
        <w:t> </w:t>
      </w:r>
      <w:r w:rsidRPr="009D0B3A">
        <w:t>compris celui de l</w:t>
      </w:r>
      <w:r w:rsidR="00AA6A89" w:rsidRPr="009D0B3A">
        <w:t>’</w:t>
      </w:r>
      <w:r w:rsidRPr="009D0B3A">
        <w:t xml:space="preserve">assemblage, </w:t>
      </w:r>
      <w:r w:rsidR="00D37AA7" w:rsidRPr="009D0B3A">
        <w:t xml:space="preserve">pour lequel </w:t>
      </w:r>
      <w:r w:rsidRPr="009D0B3A">
        <w:t xml:space="preserve">les équipements étaient importés vides et remplis de réfrigérants dans le pays. </w:t>
      </w:r>
    </w:p>
    <w:p w14:paraId="0C43F7A8" w14:textId="059C359E" w:rsidR="00B451B3" w:rsidRPr="009D0B3A" w:rsidRDefault="00D55B69"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La représentante </w:t>
      </w:r>
      <w:r w:rsidR="001A3BC9" w:rsidRPr="009D0B3A">
        <w:t xml:space="preserve">a expliqué que le principal problème </w:t>
      </w:r>
      <w:r w:rsidR="00C753CD" w:rsidRPr="009D0B3A">
        <w:t xml:space="preserve">concernant </w:t>
      </w:r>
      <w:r w:rsidR="001A3BC9" w:rsidRPr="009D0B3A">
        <w:t>l</w:t>
      </w:r>
      <w:r w:rsidR="00AA6A89" w:rsidRPr="009D0B3A">
        <w:t>’</w:t>
      </w:r>
      <w:r w:rsidR="001A3BC9" w:rsidRPr="009D0B3A">
        <w:t>utilisation des données douanières était le fait qu</w:t>
      </w:r>
      <w:r w:rsidR="00AA6A89" w:rsidRPr="009D0B3A">
        <w:t>’</w:t>
      </w:r>
      <w:r w:rsidR="001A3BC9" w:rsidRPr="009D0B3A">
        <w:t>en tant que membre de l</w:t>
      </w:r>
      <w:r w:rsidR="00AA6A89" w:rsidRPr="009D0B3A">
        <w:t>’</w:t>
      </w:r>
      <w:r w:rsidR="001A3BC9" w:rsidRPr="009D0B3A">
        <w:t>Union économique eurasiatique et de son territoire douanier commun, l</w:t>
      </w:r>
      <w:r w:rsidR="00AA6A89" w:rsidRPr="009D0B3A">
        <w:t>’</w:t>
      </w:r>
      <w:r w:rsidR="001A3BC9" w:rsidRPr="009D0B3A">
        <w:t>Arménie ne contrôlait pas les échanges commerciaux avec les autres membres de l</w:t>
      </w:r>
      <w:r w:rsidR="00AA6A89" w:rsidRPr="009D0B3A">
        <w:t>’</w:t>
      </w:r>
      <w:r w:rsidR="001A3BC9" w:rsidRPr="009D0B3A">
        <w:t>Union. Tout mouvement de substances réglementées à l</w:t>
      </w:r>
      <w:r w:rsidR="00AA6A89" w:rsidRPr="009D0B3A">
        <w:t>’</w:t>
      </w:r>
      <w:r w:rsidR="001A3BC9" w:rsidRPr="009D0B3A">
        <w:t xml:space="preserve">intérieur du territoire douanier devait </w:t>
      </w:r>
      <w:r w:rsidRPr="009D0B3A">
        <w:t>tout de même faire l’objet</w:t>
      </w:r>
      <w:r w:rsidR="001A3BC9" w:rsidRPr="009D0B3A">
        <w:t xml:space="preserve"> d</w:t>
      </w:r>
      <w:r w:rsidR="00AA6A89" w:rsidRPr="009D0B3A">
        <w:t>’</w:t>
      </w:r>
      <w:r w:rsidR="001A3BC9" w:rsidRPr="009D0B3A">
        <w:t>un permis délivré par le pays de destination, mais malheureusement, cette obligation n</w:t>
      </w:r>
      <w:r w:rsidR="00AA6A89" w:rsidRPr="009D0B3A">
        <w:t>’</w:t>
      </w:r>
      <w:r w:rsidR="001A3BC9" w:rsidRPr="009D0B3A">
        <w:t xml:space="preserve">avait pas toujours été </w:t>
      </w:r>
      <w:r w:rsidR="00976965" w:rsidRPr="009D0B3A">
        <w:t xml:space="preserve">scrupuleusement </w:t>
      </w:r>
      <w:r w:rsidR="001A3BC9" w:rsidRPr="009D0B3A">
        <w:t>respectée. Une réunion était prévue dans un avenir proche avec deux autres membres de l</w:t>
      </w:r>
      <w:r w:rsidR="00AA6A89" w:rsidRPr="009D0B3A">
        <w:t>’</w:t>
      </w:r>
      <w:r w:rsidR="001A3BC9" w:rsidRPr="009D0B3A">
        <w:t>Union économique eurasiatique, le Kazakhstan et le Kirghizistan, afin d</w:t>
      </w:r>
      <w:r w:rsidR="00AA6A89" w:rsidRPr="009D0B3A">
        <w:t>’</w:t>
      </w:r>
      <w:r w:rsidR="001A3BC9" w:rsidRPr="009D0B3A">
        <w:t xml:space="preserve">aborder le problème. </w:t>
      </w:r>
    </w:p>
    <w:p w14:paraId="10D23577" w14:textId="4EF3CF00" w:rsidR="001A3BC9" w:rsidRPr="009D0B3A" w:rsidRDefault="001A3BC9"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w:t>
      </w:r>
      <w:r w:rsidR="00AA6A89" w:rsidRPr="009D0B3A">
        <w:t>’</w:t>
      </w:r>
      <w:r w:rsidRPr="009D0B3A">
        <w:t>autre difficulté résidait dans le fait que certains achats avaient été effectués auprès de deux</w:t>
      </w:r>
      <w:r w:rsidR="0060450F">
        <w:t> </w:t>
      </w:r>
      <w:r w:rsidRPr="009D0B3A">
        <w:t>acteurs du commerce en ligne, tous deux basés en Fédération de Russie. L</w:t>
      </w:r>
      <w:r w:rsidR="00AA6A89" w:rsidRPr="009D0B3A">
        <w:t>’</w:t>
      </w:r>
      <w:r w:rsidRPr="009D0B3A">
        <w:t>Arménie avait été en contact avec les deux, et bien que l</w:t>
      </w:r>
      <w:r w:rsidR="00AA6A89" w:rsidRPr="009D0B3A">
        <w:t>’</w:t>
      </w:r>
      <w:r w:rsidRPr="009D0B3A">
        <w:t>un n</w:t>
      </w:r>
      <w:r w:rsidR="00AA6A89" w:rsidRPr="009D0B3A">
        <w:t>’</w:t>
      </w:r>
      <w:r w:rsidRPr="009D0B3A">
        <w:t xml:space="preserve">ait pu fournir que des informations </w:t>
      </w:r>
      <w:r w:rsidR="006B32E4" w:rsidRPr="009D0B3A">
        <w:t>parcellaire</w:t>
      </w:r>
      <w:r w:rsidRPr="009D0B3A">
        <w:t>s sur les ventes et l</w:t>
      </w:r>
      <w:r w:rsidR="00AA6A89" w:rsidRPr="009D0B3A">
        <w:t>’</w:t>
      </w:r>
      <w:r w:rsidRPr="009D0B3A">
        <w:t>autre aucune, tous deux avaient interdit l</w:t>
      </w:r>
      <w:r w:rsidR="00AA6A89" w:rsidRPr="009D0B3A">
        <w:t>’</w:t>
      </w:r>
      <w:r w:rsidRPr="009D0B3A">
        <w:t>achat de substances réglementées, respectivement à partir du 18</w:t>
      </w:r>
      <w:r w:rsidR="00E576C7">
        <w:t> </w:t>
      </w:r>
      <w:r w:rsidRPr="009D0B3A">
        <w:t>septembre 2025 et du 30</w:t>
      </w:r>
      <w:r w:rsidR="00375415">
        <w:t> </w:t>
      </w:r>
      <w:r w:rsidRPr="009D0B3A">
        <w:t>septembre 2025. Elle estim</w:t>
      </w:r>
      <w:r w:rsidR="00B06C15" w:rsidRPr="009D0B3A">
        <w:t>ait</w:t>
      </w:r>
      <w:r w:rsidRPr="009D0B3A">
        <w:t xml:space="preserve"> que 90</w:t>
      </w:r>
      <w:r w:rsidR="00CE1598">
        <w:t> </w:t>
      </w:r>
      <w:r w:rsidRPr="009D0B3A">
        <w:t>% du total des achats avaient été effectué</w:t>
      </w:r>
      <w:r w:rsidR="00ED0D34" w:rsidRPr="009D0B3A">
        <w:t>s</w:t>
      </w:r>
      <w:r w:rsidRPr="009D0B3A">
        <w:t xml:space="preserve"> auprès de ces acteurs du commerce en ligne.</w:t>
      </w:r>
    </w:p>
    <w:p w14:paraId="34DDEFE3" w14:textId="54C19237" w:rsidR="00A67013" w:rsidRPr="009D0B3A" w:rsidRDefault="00A67013"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Après le départ des représentant</w:t>
      </w:r>
      <w:r w:rsidR="00D55B69" w:rsidRPr="009D0B3A">
        <w:t>(e)</w:t>
      </w:r>
      <w:r w:rsidRPr="009D0B3A">
        <w:t>s de l</w:t>
      </w:r>
      <w:r w:rsidR="00AA6A89" w:rsidRPr="009D0B3A">
        <w:t>’</w:t>
      </w:r>
      <w:r w:rsidRPr="009D0B3A">
        <w:t>Arménie, les membres du Comité ont exprimé leur solidarité avec la Partie pour la situation dans laquelle elle se trouvait, mais ont fait part de leur inquiétude quant au précédent que pourrait créer l</w:t>
      </w:r>
      <w:r w:rsidR="00AA6A89" w:rsidRPr="009D0B3A">
        <w:t>’</w:t>
      </w:r>
      <w:r w:rsidRPr="009D0B3A">
        <w:t>acceptation de sa demande, en particulier pour d</w:t>
      </w:r>
      <w:r w:rsidR="00AA6A89" w:rsidRPr="009D0B3A">
        <w:t>’</w:t>
      </w:r>
      <w:r w:rsidRPr="009D0B3A">
        <w:t>autres Parties également membres de territoires douaniers communs tels que celui de l</w:t>
      </w:r>
      <w:r w:rsidR="00AA6A89" w:rsidRPr="009D0B3A">
        <w:t>’</w:t>
      </w:r>
      <w:r w:rsidRPr="009D0B3A">
        <w:t xml:space="preserve">Union économique eurasiatique. Ces </w:t>
      </w:r>
      <w:r w:rsidR="00D55B69" w:rsidRPr="009D0B3A">
        <w:t>P</w:t>
      </w:r>
      <w:r w:rsidRPr="009D0B3A">
        <w:t xml:space="preserve">arties </w:t>
      </w:r>
      <w:r w:rsidR="00376BB7" w:rsidRPr="009D0B3A">
        <w:t>avaien</w:t>
      </w:r>
      <w:r w:rsidRPr="009D0B3A">
        <w:t xml:space="preserve">t probablement été confrontées à des problèmes similaires en matière de surveillance des importations et des exportations, ce qui compliquerait considérablement </w:t>
      </w:r>
      <w:r w:rsidRPr="009D0B3A">
        <w:lastRenderedPageBreak/>
        <w:t xml:space="preserve">le calcul des chiffres de consommation et de production nécessaires pour justifier leurs niveaux de référence. </w:t>
      </w:r>
    </w:p>
    <w:p w14:paraId="74D66234" w14:textId="21131B14" w:rsidR="00E4506E" w:rsidRPr="009D0B3A" w:rsidRDefault="00E4506E"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réponse aux questions, l</w:t>
      </w:r>
      <w:r w:rsidR="00746FB9" w:rsidRPr="009D0B3A">
        <w:t>a</w:t>
      </w:r>
      <w:r w:rsidRPr="009D0B3A">
        <w:t xml:space="preserve"> représentant</w:t>
      </w:r>
      <w:r w:rsidR="00746FB9" w:rsidRPr="009D0B3A">
        <w:t>e</w:t>
      </w:r>
      <w:r w:rsidRPr="009D0B3A">
        <w:t xml:space="preserve"> de l</w:t>
      </w:r>
      <w:r w:rsidR="00AA6A89" w:rsidRPr="009D0B3A">
        <w:t>’</w:t>
      </w:r>
      <w:r w:rsidRPr="009D0B3A">
        <w:t>ONUDI, principal organisme d</w:t>
      </w:r>
      <w:r w:rsidR="00AA6A89" w:rsidRPr="009D0B3A">
        <w:t>’</w:t>
      </w:r>
      <w:r w:rsidRPr="009D0B3A">
        <w:t>exécution travaillant avec l</w:t>
      </w:r>
      <w:r w:rsidR="00AA6A89" w:rsidRPr="009D0B3A">
        <w:t>’</w:t>
      </w:r>
      <w:r w:rsidRPr="009D0B3A">
        <w:t>Arménie, et d</w:t>
      </w:r>
      <w:r w:rsidR="00AA6A89" w:rsidRPr="009D0B3A">
        <w:t>’</w:t>
      </w:r>
      <w:r w:rsidRPr="009D0B3A">
        <w:t>autres parties demandant des modifications des données de référence, ont informé le Comité qu</w:t>
      </w:r>
      <w:r w:rsidR="00AA6A89" w:rsidRPr="009D0B3A">
        <w:t>’</w:t>
      </w:r>
      <w:r w:rsidRPr="009D0B3A">
        <w:t>il était devenu évident à la suite de la comparaison entre les données issues des enquêtes et celles provenant des douanes que les données au titre de l</w:t>
      </w:r>
      <w:r w:rsidR="00AA6A89" w:rsidRPr="009D0B3A">
        <w:t>’</w:t>
      </w:r>
      <w:r w:rsidRPr="009D0B3A">
        <w:t>article 7 pour les années de référence devaient être révisées. Dans son examen d</w:t>
      </w:r>
      <w:r w:rsidR="00AA6A89" w:rsidRPr="009D0B3A">
        <w:t>’</w:t>
      </w:r>
      <w:r w:rsidRPr="009D0B3A">
        <w:t>une centaine de systèmes d</w:t>
      </w:r>
      <w:r w:rsidR="00AA6A89" w:rsidRPr="009D0B3A">
        <w:t>’</w:t>
      </w:r>
      <w:r w:rsidRPr="009D0B3A">
        <w:t>octroi de licences, le Secrétariat avait noté que le suivi des ventes par les acteurs du commerce en ligne avait été mentionné comme l</w:t>
      </w:r>
      <w:r w:rsidR="00AA6A89" w:rsidRPr="009D0B3A">
        <w:t>’</w:t>
      </w:r>
      <w:r w:rsidRPr="009D0B3A">
        <w:t xml:space="preserve">un des problèmes émergents. </w:t>
      </w:r>
      <w:r w:rsidR="006A6166" w:rsidRPr="009D0B3A">
        <w:t xml:space="preserve">La représentante de l’ONUDI </w:t>
      </w:r>
      <w:r w:rsidRPr="009D0B3A">
        <w:t>a ajouté que cela était corroboré par un rapport récent de l</w:t>
      </w:r>
      <w:r w:rsidR="00AA6A89" w:rsidRPr="009D0B3A">
        <w:t>’</w:t>
      </w:r>
      <w:r w:rsidRPr="009D0B3A">
        <w:t>Environmental Investigation Agency qui était parvenu à des conclusions similaires concernant les acteurs du commerce en ligne, qui constitu</w:t>
      </w:r>
      <w:r w:rsidR="00F71B15" w:rsidRPr="009D0B3A">
        <w:t>ai</w:t>
      </w:r>
      <w:r w:rsidRPr="009D0B3A">
        <w:t>ent désormais un sujet de préoccupation en matière de commerce et de commerce illicite.</w:t>
      </w:r>
    </w:p>
    <w:p w14:paraId="424FF7E6" w14:textId="64315751" w:rsidR="00513F67" w:rsidRPr="009D0B3A" w:rsidRDefault="00513F67"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représentant du PNUE est convenu que le commerce en ligne de substances réglementées était de plus en plus répandu dans le monde et que la question avait été soulevée lors des discussions entre les responsables du Réseau régional de l</w:t>
      </w:r>
      <w:r w:rsidR="00AA6A89" w:rsidRPr="009D0B3A">
        <w:t>’</w:t>
      </w:r>
      <w:r w:rsidRPr="009D0B3A">
        <w:t>ozone pour l</w:t>
      </w:r>
      <w:r w:rsidR="00AA6A89" w:rsidRPr="009D0B3A">
        <w:t>’</w:t>
      </w:r>
      <w:r w:rsidRPr="009D0B3A">
        <w:t>Europe et l</w:t>
      </w:r>
      <w:r w:rsidR="00AA6A89" w:rsidRPr="009D0B3A">
        <w:t>’</w:t>
      </w:r>
      <w:r w:rsidRPr="009D0B3A">
        <w:t>Asie centrale, qui comprend l</w:t>
      </w:r>
      <w:r w:rsidR="00AA6A89" w:rsidRPr="009D0B3A">
        <w:t>’</w:t>
      </w:r>
      <w:r w:rsidRPr="009D0B3A">
        <w:t>Arménie. Cette évolution suscitait une inquiétude croissante en raison du risque qu</w:t>
      </w:r>
      <w:r w:rsidR="00AA6A89" w:rsidRPr="009D0B3A">
        <w:t>’</w:t>
      </w:r>
      <w:r w:rsidRPr="009D0B3A">
        <w:t>elle représentait pour les systèmes de licences et de quotas. Comme l</w:t>
      </w:r>
      <w:r w:rsidR="00AA6A89" w:rsidRPr="009D0B3A">
        <w:t>’</w:t>
      </w:r>
      <w:r w:rsidRPr="009D0B3A">
        <w:t>avait déclaré l</w:t>
      </w:r>
      <w:r w:rsidR="005C0A8D" w:rsidRPr="009D0B3A">
        <w:t>a</w:t>
      </w:r>
      <w:r w:rsidRPr="009D0B3A">
        <w:t xml:space="preserve"> représentant</w:t>
      </w:r>
      <w:r w:rsidR="005C0A8D" w:rsidRPr="009D0B3A">
        <w:t>e</w:t>
      </w:r>
      <w:r w:rsidRPr="009D0B3A">
        <w:t xml:space="preserve"> de l</w:t>
      </w:r>
      <w:r w:rsidR="00AA6A89" w:rsidRPr="009D0B3A">
        <w:t>’</w:t>
      </w:r>
      <w:r w:rsidRPr="009D0B3A">
        <w:t>Arménie, son pays avait l</w:t>
      </w:r>
      <w:r w:rsidR="00AA6A89" w:rsidRPr="009D0B3A">
        <w:t>’</w:t>
      </w:r>
      <w:r w:rsidRPr="009D0B3A">
        <w:t>intention de discuter des moyens d</w:t>
      </w:r>
      <w:r w:rsidR="00AA6A89" w:rsidRPr="009D0B3A">
        <w:t>’</w:t>
      </w:r>
      <w:r w:rsidRPr="009D0B3A">
        <w:t xml:space="preserve">y remédier. Le budget </w:t>
      </w:r>
      <w:r w:rsidR="005C0A8D" w:rsidRPr="009D0B3A">
        <w:t>du PNUE</w:t>
      </w:r>
      <w:r w:rsidRPr="009D0B3A">
        <w:t xml:space="preserve"> pour 2026 comprenait une rubrique destinée à l</w:t>
      </w:r>
      <w:r w:rsidR="00AA6A89" w:rsidRPr="009D0B3A">
        <w:t>’</w:t>
      </w:r>
      <w:r w:rsidRPr="009D0B3A">
        <w:t xml:space="preserve">analyse du problème. Les membres du Comité ont suggéré que cette question pourrait être utilement soulevée lors de la réunion informelle des </w:t>
      </w:r>
      <w:r w:rsidR="005C0A8D" w:rsidRPr="009D0B3A">
        <w:t>P</w:t>
      </w:r>
      <w:r w:rsidRPr="009D0B3A">
        <w:t>arties au Protocole de Montréal prévue le 2</w:t>
      </w:r>
      <w:r w:rsidR="00803856">
        <w:t> </w:t>
      </w:r>
      <w:r w:rsidRPr="009D0B3A">
        <w:t xml:space="preserve">novembre 2025. </w:t>
      </w:r>
    </w:p>
    <w:p w14:paraId="2495061F" w14:textId="58ACADEF" w:rsidR="00E4506E" w:rsidRPr="009D0B3A" w:rsidRDefault="00705D99"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Étant donné que l</w:t>
      </w:r>
      <w:r w:rsidR="00AA6A89" w:rsidRPr="009D0B3A">
        <w:t>’</w:t>
      </w:r>
      <w:r w:rsidRPr="009D0B3A">
        <w:t>enquête menée auprès des utilisateur</w:t>
      </w:r>
      <w:r w:rsidR="00AB0E38" w:rsidRPr="009D0B3A">
        <w:t>(rice)</w:t>
      </w:r>
      <w:r w:rsidRPr="009D0B3A">
        <w:t>s de HFC en Arménie semblait être la seule source de données pouvant être utilisée pour étayer la modification proposée par la Partie pour ses données de référence, un membre du Comité a demandé s</w:t>
      </w:r>
      <w:r w:rsidR="00AA6A89" w:rsidRPr="009D0B3A">
        <w:t>’</w:t>
      </w:r>
      <w:r w:rsidRPr="009D0B3A">
        <w:t xml:space="preserve">il existait un moyen de vérifier </w:t>
      </w:r>
      <w:r w:rsidR="001147EE" w:rsidRPr="009D0B3A">
        <w:t xml:space="preserve">ses conclusions </w:t>
      </w:r>
      <w:r w:rsidRPr="009D0B3A">
        <w:t>de manière indépendante. Un</w:t>
      </w:r>
      <w:r w:rsidR="00AC4496" w:rsidRPr="009D0B3A">
        <w:t>e</w:t>
      </w:r>
      <w:r w:rsidRPr="009D0B3A">
        <w:t xml:space="preserve"> autre membre a approuvé cette remarque, faisant observer que les enquêtes sur les équipements installés et les substances qu</w:t>
      </w:r>
      <w:r w:rsidR="00AA6A89" w:rsidRPr="009D0B3A">
        <w:t>’</w:t>
      </w:r>
      <w:r w:rsidRPr="009D0B3A">
        <w:t>ils contiennent ainsi que sur les stocks pourraient aboutir à des chiffres très différents de ceux donnés dans la définition de la consommation visée par le Protocole de</w:t>
      </w:r>
      <w:r w:rsidR="00567179">
        <w:t> </w:t>
      </w:r>
      <w:r w:rsidRPr="009D0B3A">
        <w:t xml:space="preserve">Montréal, </w:t>
      </w:r>
      <w:r w:rsidR="00AB0E38" w:rsidRPr="009D0B3A">
        <w:t>qui équivalait à ajouter la production aux</w:t>
      </w:r>
      <w:r w:rsidRPr="009D0B3A">
        <w:t xml:space="preserve"> importations </w:t>
      </w:r>
      <w:r w:rsidR="00AB0E38" w:rsidRPr="009D0B3A">
        <w:t>et à leur soustraire les</w:t>
      </w:r>
      <w:r w:rsidRPr="009D0B3A">
        <w:t xml:space="preserve"> exportations. </w:t>
      </w:r>
      <w:r w:rsidR="002D2CC1" w:rsidRPr="009D0B3A">
        <w:t>Il s</w:t>
      </w:r>
      <w:r w:rsidR="00AA6A89" w:rsidRPr="009D0B3A">
        <w:t>’</w:t>
      </w:r>
      <w:r w:rsidR="002D2CC1" w:rsidRPr="009D0B3A">
        <w:t>agissait d</w:t>
      </w:r>
      <w:r w:rsidR="00AA6A89" w:rsidRPr="009D0B3A">
        <w:t>’</w:t>
      </w:r>
      <w:r w:rsidRPr="009D0B3A">
        <w:t xml:space="preserve">un défi de taille, mais le Comité devait trouver une solution viable pour le bien des autres </w:t>
      </w:r>
      <w:r w:rsidR="00AF21AF" w:rsidRPr="009D0B3A">
        <w:t>P</w:t>
      </w:r>
      <w:r w:rsidRPr="009D0B3A">
        <w:t>arties qui se retrouveraient dans une situation similaire à l</w:t>
      </w:r>
      <w:r w:rsidR="00AA6A89" w:rsidRPr="009D0B3A">
        <w:t>’</w:t>
      </w:r>
      <w:r w:rsidRPr="009D0B3A">
        <w:t>avenir.</w:t>
      </w:r>
    </w:p>
    <w:p w14:paraId="5A315DF7" w14:textId="37EAED56" w:rsidR="00DA6605" w:rsidRPr="009D0B3A" w:rsidRDefault="00DA6605"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Les représentant</w:t>
      </w:r>
      <w:r w:rsidR="00AF21AF" w:rsidRPr="009D0B3A">
        <w:t>(e)</w:t>
      </w:r>
      <w:r w:rsidRPr="009D0B3A">
        <w:t>s du secrétariat du Fonds multilatéral, de la Banque mondiale et du PNUE ont fait part de l</w:t>
      </w:r>
      <w:r w:rsidR="00AA6A89" w:rsidRPr="009D0B3A">
        <w:t>’</w:t>
      </w:r>
      <w:r w:rsidRPr="009D0B3A">
        <w:t>expérience acquise par leurs organisations en matière de processus de vérification, par exemple pour les systèmes d</w:t>
      </w:r>
      <w:r w:rsidR="00AA6A89" w:rsidRPr="009D0B3A">
        <w:t>’</w:t>
      </w:r>
      <w:r w:rsidRPr="009D0B3A">
        <w:t>octroi de licences d</w:t>
      </w:r>
      <w:r w:rsidR="00AA6A89" w:rsidRPr="009D0B3A">
        <w:t>’</w:t>
      </w:r>
      <w:r w:rsidRPr="009D0B3A">
        <w:t>importation et d</w:t>
      </w:r>
      <w:r w:rsidR="00AA6A89" w:rsidRPr="009D0B3A">
        <w:t>’</w:t>
      </w:r>
      <w:r w:rsidRPr="009D0B3A">
        <w:t>exportation. En règle générale, un</w:t>
      </w:r>
      <w:r w:rsidR="005E5210" w:rsidRPr="009D0B3A">
        <w:t>(e)</w:t>
      </w:r>
      <w:r w:rsidR="00D72616">
        <w:t> </w:t>
      </w:r>
      <w:r w:rsidRPr="009D0B3A">
        <w:t>expert</w:t>
      </w:r>
      <w:r w:rsidR="005E5210" w:rsidRPr="009D0B3A">
        <w:t>(e)</w:t>
      </w:r>
      <w:r w:rsidRPr="009D0B3A">
        <w:t xml:space="preserve"> indépendant</w:t>
      </w:r>
      <w:r w:rsidR="005E5210" w:rsidRPr="009D0B3A">
        <w:t>(e)</w:t>
      </w:r>
      <w:r w:rsidRPr="009D0B3A">
        <w:t xml:space="preserve"> </w:t>
      </w:r>
      <w:r w:rsidR="00D6582D" w:rsidRPr="009D0B3A">
        <w:t>éta</w:t>
      </w:r>
      <w:r w:rsidR="00DE5F5F" w:rsidRPr="009D0B3A">
        <w:t xml:space="preserve">it </w:t>
      </w:r>
      <w:r w:rsidRPr="009D0B3A">
        <w:t>recruté</w:t>
      </w:r>
      <w:r w:rsidR="005E5210" w:rsidRPr="009D0B3A">
        <w:t>(e)</w:t>
      </w:r>
      <w:r w:rsidR="000F404D" w:rsidRPr="009D0B3A">
        <w:t xml:space="preserve">, </w:t>
      </w:r>
      <w:r w:rsidR="00A11B54" w:rsidRPr="009D0B3A">
        <w:t xml:space="preserve">les </w:t>
      </w:r>
      <w:r w:rsidRPr="009D0B3A">
        <w:t>spécialistes des questions douanières, les services nationaux de l</w:t>
      </w:r>
      <w:r w:rsidR="00AA6A89" w:rsidRPr="009D0B3A">
        <w:t>’</w:t>
      </w:r>
      <w:r w:rsidRPr="009D0B3A">
        <w:t>ozone et les importateurs</w:t>
      </w:r>
      <w:r w:rsidR="00695E06" w:rsidRPr="009D0B3A">
        <w:t xml:space="preserve"> </w:t>
      </w:r>
      <w:r w:rsidR="00D6582D" w:rsidRPr="009D0B3A">
        <w:t>étaien</w:t>
      </w:r>
      <w:r w:rsidR="00695E06" w:rsidRPr="009D0B3A">
        <w:t>t interrogés</w:t>
      </w:r>
      <w:r w:rsidRPr="009D0B3A">
        <w:t xml:space="preserve">, puis </w:t>
      </w:r>
      <w:r w:rsidR="00695E06" w:rsidRPr="009D0B3A">
        <w:t xml:space="preserve">des </w:t>
      </w:r>
      <w:r w:rsidRPr="009D0B3A">
        <w:t>rapports sur le fonctionnement du système d</w:t>
      </w:r>
      <w:r w:rsidR="00AA6A89" w:rsidRPr="009D0B3A">
        <w:t>’</w:t>
      </w:r>
      <w:r w:rsidRPr="009D0B3A">
        <w:t>octroi de licences</w:t>
      </w:r>
      <w:r w:rsidR="00D6582D" w:rsidRPr="009D0B3A">
        <w:t xml:space="preserve"> étaient publiés</w:t>
      </w:r>
      <w:r w:rsidRPr="009D0B3A">
        <w:t>, a</w:t>
      </w:r>
      <w:r w:rsidR="00107535" w:rsidRPr="009D0B3A">
        <w:t>ssorti</w:t>
      </w:r>
      <w:r w:rsidRPr="009D0B3A">
        <w:t xml:space="preserve">s </w:t>
      </w:r>
      <w:r w:rsidR="00986775" w:rsidRPr="009D0B3A">
        <w:t xml:space="preserve">en général </w:t>
      </w:r>
      <w:r w:rsidRPr="009D0B3A">
        <w:t>de propositions d</w:t>
      </w:r>
      <w:r w:rsidR="00AA6A89" w:rsidRPr="009D0B3A">
        <w:t>’</w:t>
      </w:r>
      <w:r w:rsidRPr="009D0B3A">
        <w:t>améliorations. Un</w:t>
      </w:r>
      <w:r w:rsidR="00D72616">
        <w:t> </w:t>
      </w:r>
      <w:r w:rsidRPr="009D0B3A">
        <w:t>tel</w:t>
      </w:r>
      <w:r w:rsidR="00D72616">
        <w:t> </w:t>
      </w:r>
      <w:r w:rsidRPr="009D0B3A">
        <w:t>exercice pourrait prendre jusqu</w:t>
      </w:r>
      <w:r w:rsidR="00AA6A89" w:rsidRPr="009D0B3A">
        <w:t>’</w:t>
      </w:r>
      <w:r w:rsidRPr="009D0B3A">
        <w:t xml:space="preserve">à un an à compter de la décision initiale de </w:t>
      </w:r>
      <w:r w:rsidR="00600F0B" w:rsidRPr="009D0B3A">
        <w:t xml:space="preserve">faire réaliser </w:t>
      </w:r>
      <w:r w:rsidRPr="009D0B3A">
        <w:t>le rapport de vérification. L</w:t>
      </w:r>
      <w:r w:rsidR="00600F0B" w:rsidRPr="009D0B3A">
        <w:t>’établissement d</w:t>
      </w:r>
      <w:r w:rsidRPr="009D0B3A">
        <w:t>es rapports de routine dans le cadre des plans nationaux de gestion de l</w:t>
      </w:r>
      <w:r w:rsidR="00AA6A89" w:rsidRPr="009D0B3A">
        <w:t>’</w:t>
      </w:r>
      <w:r w:rsidRPr="009D0B3A">
        <w:t xml:space="preserve">élimination des HCFC pourrait prendre entre six et neuf mois, selon la complexité du processus de recoupement des données. </w:t>
      </w:r>
    </w:p>
    <w:p w14:paraId="52C62044" w14:textId="526A740C" w:rsidR="006275CB" w:rsidRPr="009D0B3A" w:rsidRDefault="006275CB"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Par la suite, un membre a rendu compte des consultations informelles du Comité, qui avaient été facilitées par des membres du secrétariat du Fonds multilatéral. Au sous-paragraphe c) de sa décision</w:t>
      </w:r>
      <w:r w:rsidR="00B55C05">
        <w:t> </w:t>
      </w:r>
      <w:r w:rsidRPr="009D0B3A">
        <w:t>96/22, le Comité exécutif avait en</w:t>
      </w:r>
      <w:r w:rsidR="004666E4" w:rsidRPr="009D0B3A">
        <w:t>g</w:t>
      </w:r>
      <w:r w:rsidRPr="009D0B3A">
        <w:t>agé les pays qui le souhaitaient à inclure les années de référence dans la vérification de leur consommation de HFC. Le membre a expliqué qu</w:t>
      </w:r>
      <w:r w:rsidR="00AA6A89" w:rsidRPr="009D0B3A">
        <w:t>’</w:t>
      </w:r>
      <w:r w:rsidRPr="009D0B3A">
        <w:t>en agissant ainsi, l</w:t>
      </w:r>
      <w:r w:rsidR="00AA6A89" w:rsidRPr="009D0B3A">
        <w:t>’</w:t>
      </w:r>
      <w:r w:rsidRPr="009D0B3A">
        <w:t>Arménie pourrait garantir l</w:t>
      </w:r>
      <w:r w:rsidR="00AA6A89" w:rsidRPr="009D0B3A">
        <w:t>’</w:t>
      </w:r>
      <w:r w:rsidRPr="009D0B3A">
        <w:t>élaboration d</w:t>
      </w:r>
      <w:r w:rsidR="00AA6A89" w:rsidRPr="009D0B3A">
        <w:t>’</w:t>
      </w:r>
      <w:r w:rsidRPr="009D0B3A">
        <w:t xml:space="preserve">un rapport indépendant sur ses données de référence. En outre, le processus serait financé par le Fonds multilatéral. Étant donné que le rapport de vérification pourrait être </w:t>
      </w:r>
      <w:r w:rsidR="00FF6997" w:rsidRPr="009D0B3A">
        <w:t>terminé</w:t>
      </w:r>
      <w:r w:rsidRPr="009D0B3A">
        <w:t xml:space="preserve"> en 2027, l</w:t>
      </w:r>
      <w:r w:rsidR="00AA6A89" w:rsidRPr="009D0B3A">
        <w:t>’</w:t>
      </w:r>
      <w:r w:rsidRPr="009D0B3A">
        <w:t xml:space="preserve">Arménie pourrait demander une révision de son niveau de référence au plus tôt </w:t>
      </w:r>
      <w:r w:rsidR="00EA7DF4" w:rsidRPr="009D0B3A">
        <w:t>à</w:t>
      </w:r>
      <w:r w:rsidRPr="009D0B3A">
        <w:t xml:space="preserve"> la deuxième réunion du Comité </w:t>
      </w:r>
      <w:r w:rsidR="004666E4" w:rsidRPr="009D0B3A">
        <w:t>d’application</w:t>
      </w:r>
      <w:r w:rsidRPr="009D0B3A">
        <w:t xml:space="preserve"> en 2027. </w:t>
      </w:r>
    </w:p>
    <w:p w14:paraId="15D0BA94" w14:textId="597348DE" w:rsidR="006275CB" w:rsidRPr="009D0B3A" w:rsidRDefault="006275CB"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w:t>
      </w:r>
      <w:r w:rsidR="008F475C" w:rsidRPr="009D0B3A">
        <w:t>a</w:t>
      </w:r>
      <w:r w:rsidRPr="009D0B3A">
        <w:t xml:space="preserve"> Chef</w:t>
      </w:r>
      <w:r w:rsidR="008F475C" w:rsidRPr="009D0B3A">
        <w:t>fe</w:t>
      </w:r>
      <w:r w:rsidRPr="009D0B3A">
        <w:t xml:space="preserve"> du secrétariat du Fonds multilatéral a expliqué </w:t>
      </w:r>
      <w:r w:rsidR="00EA7DF4" w:rsidRPr="009D0B3A">
        <w:t>que l’Arménie était dotée d’</w:t>
      </w:r>
      <w:r w:rsidRPr="009D0B3A">
        <w:t xml:space="preserve">un plan </w:t>
      </w:r>
      <w:r w:rsidR="00EA7DF4" w:rsidRPr="009D0B3A">
        <w:t xml:space="preserve">approuvé </w:t>
      </w:r>
      <w:r w:rsidRPr="009D0B3A">
        <w:t>de mise en œuvre de l</w:t>
      </w:r>
      <w:r w:rsidR="00AA6A89" w:rsidRPr="009D0B3A">
        <w:t>’</w:t>
      </w:r>
      <w:r w:rsidRPr="009D0B3A">
        <w:t>Amendement de Kigali relatif aux HFC</w:t>
      </w:r>
      <w:r w:rsidR="00EA7DF4" w:rsidRPr="009D0B3A">
        <w:t>,</w:t>
      </w:r>
      <w:r w:rsidRPr="009D0B3A">
        <w:t xml:space="preserve"> </w:t>
      </w:r>
      <w:r w:rsidR="00EA7DF4" w:rsidRPr="009D0B3A">
        <w:t>dont</w:t>
      </w:r>
      <w:r w:rsidRPr="009D0B3A">
        <w:t xml:space="preserve"> la demande de deuxième tranche de financement devait être soumise au Comité</w:t>
      </w:r>
      <w:r w:rsidR="00B55C05">
        <w:t> </w:t>
      </w:r>
      <w:r w:rsidRPr="009D0B3A">
        <w:t>exécutif en 2027. Cela signifiait que le financement de la vérification de la première</w:t>
      </w:r>
      <w:r w:rsidR="00B55C05">
        <w:t> </w:t>
      </w:r>
      <w:r w:rsidRPr="009D0B3A">
        <w:t>tranche, nécessaire</w:t>
      </w:r>
      <w:r w:rsidR="005C5F4F" w:rsidRPr="009D0B3A">
        <w:t xml:space="preserve"> à l</w:t>
      </w:r>
      <w:r w:rsidR="00AA6A89" w:rsidRPr="009D0B3A">
        <w:t>’</w:t>
      </w:r>
      <w:r w:rsidR="005C5F4F" w:rsidRPr="009D0B3A">
        <w:t xml:space="preserve">approbation de </w:t>
      </w:r>
      <w:r w:rsidRPr="009D0B3A">
        <w:t>la deuxième</w:t>
      </w:r>
      <w:r w:rsidR="00B55C05">
        <w:t> </w:t>
      </w:r>
      <w:r w:rsidRPr="009D0B3A">
        <w:t>tranche, devrait être approuvé lors de la première réunion du Comité</w:t>
      </w:r>
      <w:r w:rsidR="00647610">
        <w:t> </w:t>
      </w:r>
      <w:r w:rsidRPr="009D0B3A">
        <w:t>exécutif en 2026. Sur</w:t>
      </w:r>
      <w:r w:rsidR="00D72616">
        <w:t> </w:t>
      </w:r>
      <w:r w:rsidRPr="009D0B3A">
        <w:t>cette base, le rapport de vérification pourrait être prêt d</w:t>
      </w:r>
      <w:r w:rsidR="00AA6A89" w:rsidRPr="009D0B3A">
        <w:t>’</w:t>
      </w:r>
      <w:r w:rsidRPr="009D0B3A">
        <w:t xml:space="preserve">ici janvier 2027 pour examen </w:t>
      </w:r>
      <w:r w:rsidR="00EA7DF4" w:rsidRPr="009D0B3A">
        <w:t>à</w:t>
      </w:r>
      <w:r w:rsidRPr="009D0B3A">
        <w:t xml:space="preserve"> la première</w:t>
      </w:r>
      <w:r w:rsidR="00D42F3B">
        <w:t> </w:t>
      </w:r>
      <w:r w:rsidRPr="009D0B3A">
        <w:t>réunion du Comité exécutif en 2027. La vérification devrait donc être disponible pour examen par le Comité d</w:t>
      </w:r>
      <w:r w:rsidR="00AA6A89" w:rsidRPr="009D0B3A">
        <w:t>’</w:t>
      </w:r>
      <w:r w:rsidRPr="009D0B3A">
        <w:t>application à sa deuxième réunion en 2027. Le Comité a noté que la vérification par le Fonds multilatéral n</w:t>
      </w:r>
      <w:r w:rsidR="00AA6A89" w:rsidRPr="009D0B3A">
        <w:t>’</w:t>
      </w:r>
      <w:r w:rsidRPr="009D0B3A">
        <w:t>était qu</w:t>
      </w:r>
      <w:r w:rsidR="00AA6A89" w:rsidRPr="009D0B3A">
        <w:t>’</w:t>
      </w:r>
      <w:r w:rsidRPr="009D0B3A">
        <w:t>une des options qui s</w:t>
      </w:r>
      <w:r w:rsidR="00AA6A89" w:rsidRPr="009D0B3A">
        <w:t>’</w:t>
      </w:r>
      <w:r w:rsidRPr="009D0B3A">
        <w:t>offraient à l</w:t>
      </w:r>
      <w:r w:rsidR="00AA6A89" w:rsidRPr="009D0B3A">
        <w:t>’</w:t>
      </w:r>
      <w:r w:rsidRPr="009D0B3A">
        <w:t>Arménie et qu</w:t>
      </w:r>
      <w:r w:rsidR="00AA6A89" w:rsidRPr="009D0B3A">
        <w:t>’</w:t>
      </w:r>
      <w:r w:rsidRPr="009D0B3A">
        <w:t xml:space="preserve">il appartenait à la Partie de décider de la prochaine étape. </w:t>
      </w:r>
    </w:p>
    <w:p w14:paraId="03928C7F" w14:textId="2AE821BB" w:rsidR="006275CB" w:rsidRPr="009D0B3A" w:rsidRDefault="006275CB"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lastRenderedPageBreak/>
        <w:t>Même si un membre a déclaré qu</w:t>
      </w:r>
      <w:r w:rsidR="00AA6A89" w:rsidRPr="009D0B3A">
        <w:t>’</w:t>
      </w:r>
      <w:r w:rsidRPr="009D0B3A">
        <w:t>il souhaitait noter dans le projet de décision que les données de référence actuelles resteraient applicables pendant les deux années suivantes, d</w:t>
      </w:r>
      <w:r w:rsidR="00AA6A89" w:rsidRPr="009D0B3A">
        <w:t>’</w:t>
      </w:r>
      <w:r w:rsidRPr="009D0B3A">
        <w:t xml:space="preserve">autres membres ont fait remarquer que le Comité ne savait pas exactement quand la situation serait résolue. </w:t>
      </w:r>
    </w:p>
    <w:p w14:paraId="2824979D" w14:textId="4456B77F" w:rsidR="006275CB" w:rsidRPr="009D0B3A" w:rsidRDefault="006275CB" w:rsidP="003F1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réponse à une question posée par l</w:t>
      </w:r>
      <w:r w:rsidR="00AA6A89" w:rsidRPr="009D0B3A">
        <w:t>’</w:t>
      </w:r>
      <w:r w:rsidRPr="009D0B3A">
        <w:t>un</w:t>
      </w:r>
      <w:r w:rsidR="00AC4496" w:rsidRPr="009D0B3A">
        <w:t>e</w:t>
      </w:r>
      <w:r w:rsidRPr="009D0B3A">
        <w:t xml:space="preserve"> des membres, le représentant du Secrétariat a confirmé que l</w:t>
      </w:r>
      <w:r w:rsidR="00AA6A89" w:rsidRPr="009D0B3A">
        <w:t>’</w:t>
      </w:r>
      <w:r w:rsidRPr="009D0B3A">
        <w:t>Arménie n</w:t>
      </w:r>
      <w:r w:rsidR="00AA6A89" w:rsidRPr="009D0B3A">
        <w:t>’</w:t>
      </w:r>
      <w:r w:rsidRPr="009D0B3A">
        <w:t>avait pas encore communiqué ses données pour 2024. D</w:t>
      </w:r>
      <w:r w:rsidR="00AA6A89" w:rsidRPr="009D0B3A">
        <w:t>’</w:t>
      </w:r>
      <w:r w:rsidRPr="009D0B3A">
        <w:t>autres membres ont fait remarquer que le Comité ne pouvait émettre aucune hypothèse quant à la situation de l</w:t>
      </w:r>
      <w:r w:rsidR="00AA6A89" w:rsidRPr="009D0B3A">
        <w:t>’</w:t>
      </w:r>
      <w:r w:rsidRPr="009D0B3A">
        <w:t>Arménie en matière de respect des obligations pour 2024 tant qu</w:t>
      </w:r>
      <w:r w:rsidR="00AA6A89" w:rsidRPr="009D0B3A">
        <w:t>’</w:t>
      </w:r>
      <w:r w:rsidRPr="009D0B3A">
        <w:t>il n</w:t>
      </w:r>
      <w:r w:rsidR="00AA6A89" w:rsidRPr="009D0B3A">
        <w:t>’</w:t>
      </w:r>
      <w:r w:rsidRPr="009D0B3A">
        <w:t>avait pas reçu et examiné ces données.</w:t>
      </w:r>
    </w:p>
    <w:p w14:paraId="198523CF" w14:textId="2E6D7DC8" w:rsidR="00174FA6" w:rsidRPr="009D0B3A" w:rsidRDefault="00174FA6" w:rsidP="00D37FC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Le Comité </w:t>
      </w:r>
      <w:r w:rsidR="003E2D0F" w:rsidRPr="009D0B3A">
        <w:t>est donc convenu</w:t>
      </w:r>
      <w:r w:rsidR="00AA6A89" w:rsidRPr="009D0B3A">
        <w:t> :</w:t>
      </w:r>
    </w:p>
    <w:p w14:paraId="23BB8A34" w14:textId="5A1480C3" w:rsidR="00174FA6" w:rsidRPr="009D0B3A" w:rsidRDefault="00174FA6" w:rsidP="004B5B01">
      <w:pPr>
        <w:pStyle w:val="Indent"/>
        <w:ind w:firstLine="783"/>
        <w:rPr>
          <w:i/>
          <w:iCs/>
        </w:rPr>
      </w:pPr>
      <w:r w:rsidRPr="009D0B3A">
        <w:rPr>
          <w:i/>
          <w:iCs/>
        </w:rPr>
        <w:t xml:space="preserve">Prenant note </w:t>
      </w:r>
      <w:r w:rsidRPr="009D0B3A">
        <w:t>de la demande présentée par l</w:t>
      </w:r>
      <w:r w:rsidR="00AA6A89" w:rsidRPr="009D0B3A">
        <w:t>’</w:t>
      </w:r>
      <w:r w:rsidRPr="009D0B3A">
        <w:t xml:space="preserve">Arménie aux fins de la révision de ses données </w:t>
      </w:r>
      <w:r w:rsidR="00EA7DF4" w:rsidRPr="009D0B3A">
        <w:t xml:space="preserve">actuelles </w:t>
      </w:r>
      <w:r w:rsidRPr="009D0B3A">
        <w:t>de consommation de substances réglementées du groupe</w:t>
      </w:r>
      <w:r w:rsidR="00455AA8">
        <w:t> </w:t>
      </w:r>
      <w:r w:rsidRPr="009D0B3A">
        <w:t>I de l</w:t>
      </w:r>
      <w:r w:rsidR="00AA6A89" w:rsidRPr="009D0B3A">
        <w:t>’</w:t>
      </w:r>
      <w:r w:rsidRPr="009D0B3A">
        <w:t>Annexe</w:t>
      </w:r>
      <w:r w:rsidR="00455AA8">
        <w:t> </w:t>
      </w:r>
      <w:r w:rsidRPr="009D0B3A">
        <w:t xml:space="preserve">F (hydrofluorocarbones) pour les années de référence 2020, 2021 et 2022, </w:t>
      </w:r>
    </w:p>
    <w:p w14:paraId="6CB1A3BC" w14:textId="15D12840" w:rsidR="00174FA6" w:rsidRPr="009D0B3A" w:rsidRDefault="00174FA6" w:rsidP="004B5B01">
      <w:pPr>
        <w:pStyle w:val="Indent"/>
        <w:tabs>
          <w:tab w:val="clear" w:pos="1871"/>
          <w:tab w:val="left" w:pos="1890"/>
        </w:tabs>
        <w:ind w:firstLine="769"/>
      </w:pPr>
      <w:r w:rsidRPr="009D0B3A">
        <w:rPr>
          <w:i/>
          <w:iCs/>
        </w:rPr>
        <w:t>Rappelant</w:t>
      </w:r>
      <w:r w:rsidRPr="009D0B3A">
        <w:t xml:space="preserve"> la décision</w:t>
      </w:r>
      <w:r w:rsidR="002A283D">
        <w:t> </w:t>
      </w:r>
      <w:r w:rsidRPr="009D0B3A">
        <w:t xml:space="preserve">XV/19, qui définit la méthodologie </w:t>
      </w:r>
      <w:r w:rsidR="00B17C8F" w:rsidRPr="009D0B3A">
        <w:t xml:space="preserve">à suivre </w:t>
      </w:r>
      <w:r w:rsidRPr="009D0B3A">
        <w:t xml:space="preserve">pour les demandes de révision des données de référence, </w:t>
      </w:r>
    </w:p>
    <w:p w14:paraId="75E361FF" w14:textId="35615C1A" w:rsidR="00174FA6" w:rsidRPr="009D0B3A" w:rsidRDefault="00174FA6" w:rsidP="004B5B01">
      <w:pPr>
        <w:pStyle w:val="Indent"/>
        <w:ind w:firstLine="797"/>
      </w:pPr>
      <w:r w:rsidRPr="009D0B3A">
        <w:rPr>
          <w:i/>
          <w:iCs/>
        </w:rPr>
        <w:t>Notant avec satisfaction</w:t>
      </w:r>
      <w:r w:rsidRPr="009D0B3A">
        <w:t xml:space="preserve"> les informations fournies par l</w:t>
      </w:r>
      <w:r w:rsidR="00AA6A89" w:rsidRPr="009D0B3A">
        <w:t>’</w:t>
      </w:r>
      <w:r w:rsidRPr="009D0B3A">
        <w:t>Arménie à l</w:t>
      </w:r>
      <w:r w:rsidR="00AA6A89" w:rsidRPr="009D0B3A">
        <w:t>’</w:t>
      </w:r>
      <w:r w:rsidRPr="009D0B3A">
        <w:t xml:space="preserve">appui de sa demande de révision de ses données de référence, </w:t>
      </w:r>
    </w:p>
    <w:p w14:paraId="2F3379D6" w14:textId="7723C7B5" w:rsidR="00174FA6" w:rsidRPr="009D0B3A" w:rsidRDefault="00174FA6" w:rsidP="004B5B01">
      <w:pPr>
        <w:pStyle w:val="Indent"/>
        <w:ind w:firstLine="769"/>
        <w:rPr>
          <w:i/>
          <w:iCs/>
        </w:rPr>
      </w:pPr>
      <w:r w:rsidRPr="009D0B3A">
        <w:rPr>
          <w:i/>
          <w:iCs/>
        </w:rPr>
        <w:t xml:space="preserve">Notant </w:t>
      </w:r>
      <w:r w:rsidRPr="009D0B3A">
        <w:t xml:space="preserve">toutefois </w:t>
      </w:r>
      <w:r w:rsidR="00EA7DF4" w:rsidRPr="009D0B3A">
        <w:t xml:space="preserve">qu’il </w:t>
      </w:r>
      <w:r w:rsidRPr="009D0B3A">
        <w:t xml:space="preserve">a jugé </w:t>
      </w:r>
      <w:r w:rsidR="00EA7DF4" w:rsidRPr="009D0B3A">
        <w:t xml:space="preserve">à sa soixante-quinzième réunion </w:t>
      </w:r>
      <w:r w:rsidRPr="009D0B3A">
        <w:t>que les informations soumises ne suffisaient pas pour lui permettre d</w:t>
      </w:r>
      <w:r w:rsidR="00AA6A89" w:rsidRPr="009D0B3A">
        <w:t>’</w:t>
      </w:r>
      <w:r w:rsidRPr="009D0B3A">
        <w:t xml:space="preserve">approuver les modifications demandées par cette Partie, </w:t>
      </w:r>
    </w:p>
    <w:p w14:paraId="64D5C681" w14:textId="68C98DCD" w:rsidR="00174FA6" w:rsidRPr="009D0B3A" w:rsidRDefault="00174FA6" w:rsidP="000D01BC">
      <w:pPr>
        <w:pStyle w:val="Indent"/>
        <w:ind w:firstLine="741"/>
      </w:pPr>
      <w:r w:rsidRPr="009D0B3A">
        <w:t>1.</w:t>
      </w:r>
      <w:r w:rsidRPr="009D0B3A">
        <w:tab/>
      </w:r>
      <w:r w:rsidR="009B541E" w:rsidRPr="009D0B3A">
        <w:t xml:space="preserve">De demander à </w:t>
      </w:r>
      <w:r w:rsidRPr="009D0B3A">
        <w:t>l</w:t>
      </w:r>
      <w:r w:rsidR="00AA6A89" w:rsidRPr="009D0B3A">
        <w:t>’</w:t>
      </w:r>
      <w:r w:rsidRPr="009D0B3A">
        <w:t xml:space="preserve">Arménie </w:t>
      </w:r>
      <w:r w:rsidR="009B541E" w:rsidRPr="009D0B3A">
        <w:t xml:space="preserve">de </w:t>
      </w:r>
      <w:r w:rsidRPr="009D0B3A">
        <w:t xml:space="preserve">soumettre au Secrétariat les informations manquantes </w:t>
      </w:r>
      <w:r w:rsidR="00EA7DF4" w:rsidRPr="009D0B3A">
        <w:t xml:space="preserve">qui sont </w:t>
      </w:r>
      <w:r w:rsidRPr="009D0B3A">
        <w:t>nécessaires pour répondre aux exigences de la décision</w:t>
      </w:r>
      <w:r w:rsidR="002A283D">
        <w:t> </w:t>
      </w:r>
      <w:r w:rsidRPr="009D0B3A">
        <w:t>XV/19, afin d</w:t>
      </w:r>
      <w:r w:rsidR="00AA6A89" w:rsidRPr="009D0B3A">
        <w:t>’</w:t>
      </w:r>
      <w:r w:rsidRPr="009D0B3A">
        <w:t xml:space="preserve">étayer solidement sa demande de révision de ses données de </w:t>
      </w:r>
      <w:r w:rsidR="00DB42D5" w:rsidRPr="009D0B3A">
        <w:t xml:space="preserve">référence </w:t>
      </w:r>
      <w:r w:rsidR="003C77AE" w:rsidRPr="009D0B3A">
        <w:t>s</w:t>
      </w:r>
      <w:r w:rsidRPr="009D0B3A">
        <w:t>ur les hydrofluorocarbones, dès que possible et de préférence le 31</w:t>
      </w:r>
      <w:r w:rsidR="00343936">
        <w:t> </w:t>
      </w:r>
      <w:r w:rsidRPr="009D0B3A">
        <w:t>mars 2026 au plus tard, de sorte qu</w:t>
      </w:r>
      <w:r w:rsidR="00AA6A89" w:rsidRPr="009D0B3A">
        <w:t>’</w:t>
      </w:r>
      <w:r w:rsidRPr="009D0B3A">
        <w:t>il l</w:t>
      </w:r>
      <w:r w:rsidR="00AA6A89" w:rsidRPr="009D0B3A">
        <w:t>’</w:t>
      </w:r>
      <w:r w:rsidRPr="009D0B3A">
        <w:t>examine à sa soixante-seizième</w:t>
      </w:r>
      <w:r w:rsidR="00EA6F50">
        <w:t> </w:t>
      </w:r>
      <w:r w:rsidRPr="009D0B3A">
        <w:t>réunion, ou de demander</w:t>
      </w:r>
      <w:r w:rsidR="00EA7DF4" w:rsidRPr="009D0B3A">
        <w:t>,</w:t>
      </w:r>
      <w:r w:rsidRPr="009D0B3A">
        <w:t xml:space="preserve"> conformément à l</w:t>
      </w:r>
      <w:r w:rsidR="00AA6A89" w:rsidRPr="009D0B3A">
        <w:t>’</w:t>
      </w:r>
      <w:r w:rsidRPr="009D0B3A">
        <w:t>alinéa</w:t>
      </w:r>
      <w:r w:rsidR="0070122A">
        <w:t> </w:t>
      </w:r>
      <w:r w:rsidRPr="009D0B3A">
        <w:t>c) de la décision</w:t>
      </w:r>
      <w:r w:rsidR="00835799">
        <w:t> </w:t>
      </w:r>
      <w:r w:rsidRPr="009D0B3A">
        <w:t xml:space="preserve">96/22, </w:t>
      </w:r>
      <w:r w:rsidR="00EA7DF4" w:rsidRPr="009D0B3A">
        <w:t xml:space="preserve">que soient incluses </w:t>
      </w:r>
      <w:r w:rsidRPr="009D0B3A">
        <w:t xml:space="preserve">les années de référence dans </w:t>
      </w:r>
      <w:r w:rsidR="00EA7DF4" w:rsidRPr="009D0B3A">
        <w:t>l</w:t>
      </w:r>
      <w:r w:rsidRPr="009D0B3A">
        <w:t xml:space="preserve">a vérification de </w:t>
      </w:r>
      <w:r w:rsidR="00EA7DF4" w:rsidRPr="009D0B3A">
        <w:t>s</w:t>
      </w:r>
      <w:r w:rsidRPr="009D0B3A">
        <w:t>a</w:t>
      </w:r>
      <w:r w:rsidR="00AA6A89" w:rsidRPr="009D0B3A">
        <w:t xml:space="preserve"> </w:t>
      </w:r>
      <w:r w:rsidRPr="009D0B3A">
        <w:t>consommation d</w:t>
      </w:r>
      <w:r w:rsidR="00AA6A89" w:rsidRPr="009D0B3A">
        <w:t>’</w:t>
      </w:r>
      <w:r w:rsidRPr="009D0B3A">
        <w:t>hydrofluorocarbone</w:t>
      </w:r>
      <w:r w:rsidR="00EA7DF4" w:rsidRPr="009D0B3A">
        <w:t>s</w:t>
      </w:r>
      <w:r w:rsidR="00AA6A89" w:rsidRPr="009D0B3A">
        <w:t> ;</w:t>
      </w:r>
      <w:r w:rsidRPr="009D0B3A">
        <w:t xml:space="preserve"> </w:t>
      </w:r>
    </w:p>
    <w:p w14:paraId="7902F0E8" w14:textId="1E439EC3" w:rsidR="00174FA6" w:rsidRPr="009D0B3A" w:rsidRDefault="00174FA6" w:rsidP="000D01BC">
      <w:pPr>
        <w:pStyle w:val="Indent"/>
        <w:ind w:firstLine="783"/>
      </w:pPr>
      <w:r w:rsidRPr="009D0B3A">
        <w:t>2.</w:t>
      </w:r>
      <w:r w:rsidRPr="009D0B3A">
        <w:tab/>
        <w:t>D</w:t>
      </w:r>
      <w:r w:rsidR="009B541E" w:rsidRPr="009D0B3A">
        <w:t>e demander</w:t>
      </w:r>
      <w:r w:rsidRPr="009D0B3A">
        <w:t xml:space="preserve"> également </w:t>
      </w:r>
      <w:r w:rsidR="009B541E" w:rsidRPr="009D0B3A">
        <w:t xml:space="preserve">à </w:t>
      </w:r>
      <w:r w:rsidRPr="009D0B3A">
        <w:t>l</w:t>
      </w:r>
      <w:r w:rsidR="00AA6A89" w:rsidRPr="009D0B3A">
        <w:t>’</w:t>
      </w:r>
      <w:r w:rsidRPr="009D0B3A">
        <w:t xml:space="preserve">Arménie, dans le cas où la Partie demanderait un rapport de vérification, </w:t>
      </w:r>
      <w:r w:rsidR="009B541E" w:rsidRPr="009D0B3A">
        <w:t xml:space="preserve">de </w:t>
      </w:r>
      <w:r w:rsidRPr="009D0B3A">
        <w:t>réexaminer sa demande actuelle</w:t>
      </w:r>
      <w:r w:rsidR="009B541E" w:rsidRPr="009D0B3A">
        <w:t>,</w:t>
      </w:r>
      <w:r w:rsidRPr="009D0B3A">
        <w:t xml:space="preserve"> </w:t>
      </w:r>
      <w:r w:rsidR="00EA7DF4" w:rsidRPr="009D0B3A">
        <w:t>en vue</w:t>
      </w:r>
      <w:r w:rsidR="009B541E" w:rsidRPr="009D0B3A">
        <w:t>,</w:t>
      </w:r>
      <w:r w:rsidR="00EA7DF4" w:rsidRPr="009D0B3A">
        <w:t xml:space="preserve"> </w:t>
      </w:r>
      <w:r w:rsidRPr="009D0B3A">
        <w:t xml:space="preserve">soit </w:t>
      </w:r>
      <w:r w:rsidR="00EA7DF4" w:rsidRPr="009D0B3A">
        <w:t>de</w:t>
      </w:r>
      <w:r w:rsidRPr="009D0B3A">
        <w:t xml:space="preserve"> la maintenir, soit </w:t>
      </w:r>
      <w:r w:rsidR="00EA7DF4" w:rsidRPr="009D0B3A">
        <w:t xml:space="preserve">de </w:t>
      </w:r>
      <w:r w:rsidRPr="009D0B3A">
        <w:t xml:space="preserve">soumettre une demande révisée de modification de </w:t>
      </w:r>
      <w:r w:rsidR="00EA7DF4" w:rsidRPr="009D0B3A">
        <w:t>s</w:t>
      </w:r>
      <w:r w:rsidRPr="009D0B3A">
        <w:t>a consommation de référence pour les hydrofluorocarb</w:t>
      </w:r>
      <w:r w:rsidR="00F668A4" w:rsidRPr="009D0B3A">
        <w:t>one</w:t>
      </w:r>
      <w:r w:rsidRPr="009D0B3A">
        <w:t xml:space="preserve">s, sur la base du rapport de vérification, </w:t>
      </w:r>
      <w:r w:rsidR="00EA7DF4" w:rsidRPr="009D0B3A">
        <w:t>afin qu’il l’examine</w:t>
      </w:r>
      <w:r w:rsidRPr="009D0B3A">
        <w:t>.</w:t>
      </w:r>
    </w:p>
    <w:p w14:paraId="364609C1" w14:textId="6780F42E" w:rsidR="00DE27DA" w:rsidRPr="009D0B3A" w:rsidRDefault="00DE27DA" w:rsidP="007F7B08">
      <w:pPr>
        <w:pStyle w:val="NormalNonumber"/>
        <w:jc w:val="right"/>
        <w:rPr>
          <w:b/>
          <w:bCs/>
        </w:rPr>
      </w:pPr>
      <w:r w:rsidRPr="009D0B3A">
        <w:rPr>
          <w:b/>
          <w:bCs/>
        </w:rPr>
        <w:t>Recommandation</w:t>
      </w:r>
      <w:r w:rsidR="00092B74">
        <w:rPr>
          <w:b/>
          <w:bCs/>
        </w:rPr>
        <w:t> </w:t>
      </w:r>
      <w:r w:rsidRPr="009D0B3A">
        <w:rPr>
          <w:b/>
          <w:bCs/>
        </w:rPr>
        <w:t>75/9</w:t>
      </w:r>
    </w:p>
    <w:p w14:paraId="48E55D3C" w14:textId="64DA7D7C" w:rsidR="00461A4E" w:rsidRPr="009D0B3A" w:rsidRDefault="00E122CE" w:rsidP="00E122CE">
      <w:pPr>
        <w:pStyle w:val="CH2"/>
      </w:pPr>
      <w:r>
        <w:rPr>
          <w:bCs/>
        </w:rPr>
        <w:tab/>
      </w:r>
      <w:r w:rsidR="00F02C14">
        <w:t>B</w:t>
      </w:r>
      <w:r w:rsidRPr="00852ABF">
        <w:t>.</w:t>
      </w:r>
      <w:r>
        <w:rPr>
          <w:bCs/>
        </w:rPr>
        <w:tab/>
      </w:r>
      <w:r w:rsidR="00461A4E" w:rsidRPr="009D0B3A">
        <w:rPr>
          <w:bCs/>
        </w:rPr>
        <w:t>Guinée (recommandation</w:t>
      </w:r>
      <w:r w:rsidR="00092B74">
        <w:rPr>
          <w:bCs/>
        </w:rPr>
        <w:t> </w:t>
      </w:r>
      <w:r w:rsidR="00461A4E" w:rsidRPr="009D0B3A">
        <w:rPr>
          <w:bCs/>
        </w:rPr>
        <w:t xml:space="preserve">74/13) </w:t>
      </w:r>
    </w:p>
    <w:p w14:paraId="354AB83F" w14:textId="15FC9F61" w:rsidR="000E43DF" w:rsidRPr="009D0B3A" w:rsidRDefault="000E43DF" w:rsidP="00D1054B">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bookmarkStart w:id="27" w:name="_Hlk212976778"/>
      <w:r w:rsidRPr="009D0B3A">
        <w:t>Le représentant du Secrétariat a rappelé que la Guinée avait soumis deux demandes de modification de</w:t>
      </w:r>
      <w:r w:rsidR="008E7EC0" w:rsidRPr="009D0B3A">
        <w:t xml:space="preserve"> se</w:t>
      </w:r>
      <w:r w:rsidRPr="009D0B3A">
        <w:t>s données de référence, l</w:t>
      </w:r>
      <w:r w:rsidR="00AA6A89" w:rsidRPr="009D0B3A">
        <w:t>’</w:t>
      </w:r>
      <w:r w:rsidRPr="009D0B3A">
        <w:t>une pour les HFC et l</w:t>
      </w:r>
      <w:r w:rsidR="00AA6A89" w:rsidRPr="009D0B3A">
        <w:t>’</w:t>
      </w:r>
      <w:r w:rsidRPr="009D0B3A">
        <w:t>autre pour les HCFC. Si les deux</w:t>
      </w:r>
      <w:r w:rsidR="00E24839">
        <w:t> </w:t>
      </w:r>
      <w:r w:rsidRPr="009D0B3A">
        <w:t>demandes étaient approuvées, la nouvelle</w:t>
      </w:r>
      <w:r w:rsidR="008E7EC0" w:rsidRPr="009D0B3A">
        <w:t xml:space="preserve"> consommation </w:t>
      </w:r>
      <w:r w:rsidRPr="009D0B3A">
        <w:t xml:space="preserve">de référence pour les HFC </w:t>
      </w:r>
      <w:r w:rsidR="008E7EC0" w:rsidRPr="009D0B3A">
        <w:t>s’établirait à</w:t>
      </w:r>
      <w:r w:rsidRPr="009D0B3A">
        <w:t xml:space="preserve"> 1</w:t>
      </w:r>
      <w:r w:rsidR="005B38A8">
        <w:t> </w:t>
      </w:r>
      <w:r w:rsidRPr="009D0B3A">
        <w:t>798</w:t>
      </w:r>
      <w:r w:rsidR="005B38A8">
        <w:t> </w:t>
      </w:r>
      <w:r w:rsidRPr="009D0B3A">
        <w:t>954</w:t>
      </w:r>
      <w:r w:rsidR="005B38A8">
        <w:t> </w:t>
      </w:r>
      <w:r w:rsidRPr="009D0B3A">
        <w:t xml:space="preserve">tonnes </w:t>
      </w:r>
      <w:r w:rsidR="000B7B2F" w:rsidRPr="009D0B3A">
        <w:t>d</w:t>
      </w:r>
      <w:r w:rsidR="00AA6A89" w:rsidRPr="009D0B3A">
        <w:t>’</w:t>
      </w:r>
      <w:r w:rsidRPr="009D0B3A">
        <w:t>équivalent CO</w:t>
      </w:r>
      <w:r w:rsidRPr="009D0B3A">
        <w:rPr>
          <w:vertAlign w:val="subscript"/>
        </w:rPr>
        <w:t>2</w:t>
      </w:r>
      <w:r w:rsidRPr="009D0B3A">
        <w:t>. Le Comité a</w:t>
      </w:r>
      <w:r w:rsidR="003705FC" w:rsidRPr="009D0B3A">
        <w:t>vait</w:t>
      </w:r>
      <w:r w:rsidRPr="009D0B3A">
        <w:t xml:space="preserve"> examiné la demande de révision des données de référence relatives aux HFC à sa soixante-quatorzième réunion et publié la recommandation</w:t>
      </w:r>
      <w:r w:rsidR="005B38A8">
        <w:t> </w:t>
      </w:r>
      <w:r w:rsidRPr="009D0B3A">
        <w:t xml:space="preserve">74/13, </w:t>
      </w:r>
      <w:r w:rsidR="008E7EC0" w:rsidRPr="009D0B3A">
        <w:t xml:space="preserve">dans laquelle il avait </w:t>
      </w:r>
      <w:r w:rsidRPr="009D0B3A">
        <w:t>demand</w:t>
      </w:r>
      <w:r w:rsidR="008E7EC0" w:rsidRPr="009D0B3A">
        <w:t>é</w:t>
      </w:r>
      <w:r w:rsidRPr="009D0B3A">
        <w:t xml:space="preserve"> à la Partie de fournir davantage d</w:t>
      </w:r>
      <w:r w:rsidR="00AA6A89" w:rsidRPr="009D0B3A">
        <w:t>’</w:t>
      </w:r>
      <w:r w:rsidRPr="009D0B3A">
        <w:t>informations pour étayer cette demande, ainsi que de soumettre une demande de révision des données de référence relatives aux HCFC, comme convenu précédemment et consigné dans la proposition pour la phase I de son plan de mise en œuvre de l</w:t>
      </w:r>
      <w:r w:rsidR="00AA6A89" w:rsidRPr="009D0B3A">
        <w:t>’</w:t>
      </w:r>
      <w:r w:rsidRPr="009D0B3A">
        <w:t xml:space="preserve">Amendement de Kigali relatif aux HFC pour la période 2025-2029. </w:t>
      </w:r>
      <w:bookmarkEnd w:id="27"/>
    </w:p>
    <w:p w14:paraId="6BABE1DE" w14:textId="26B1F35C" w:rsidR="004D3539" w:rsidRPr="009D0B3A" w:rsidRDefault="00921E22" w:rsidP="00921E22">
      <w:pPr>
        <w:pStyle w:val="CH3"/>
      </w:pPr>
      <w:r>
        <w:tab/>
      </w:r>
      <w:r w:rsidR="005C3624" w:rsidRPr="00852ABF">
        <w:t>1.</w:t>
      </w:r>
      <w:r>
        <w:tab/>
      </w:r>
      <w:r w:rsidR="004D3539" w:rsidRPr="009D0B3A">
        <w:rPr>
          <w:bCs/>
        </w:rPr>
        <w:t>Données de référence relatives aux HFC</w:t>
      </w:r>
    </w:p>
    <w:p w14:paraId="3F2C4AEC" w14:textId="42F8E35F" w:rsidR="000E43DF" w:rsidRPr="009D0B3A" w:rsidRDefault="008E7EC0" w:rsidP="00ED662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S’agissant</w:t>
      </w:r>
      <w:r w:rsidR="007E0741" w:rsidRPr="009D0B3A">
        <w:t xml:space="preserve"> de</w:t>
      </w:r>
      <w:r w:rsidR="00A04BF3" w:rsidRPr="009D0B3A">
        <w:t xml:space="preserve"> la demande de révision de ses données relatives aux HFC pour les années de référence 2020, 2021 et 2022, la Guinée a</w:t>
      </w:r>
      <w:r w:rsidR="000B7EB5" w:rsidRPr="009D0B3A">
        <w:t>vait</w:t>
      </w:r>
      <w:r w:rsidR="00A04BF3" w:rsidRPr="009D0B3A">
        <w:t xml:space="preserve"> depuis fourni au Secrétariat des documents provenant d</w:t>
      </w:r>
      <w:r w:rsidRPr="009D0B3A">
        <w:t>’</w:t>
      </w:r>
      <w:r w:rsidR="00A04BF3" w:rsidRPr="009D0B3A">
        <w:t xml:space="preserve">importateurs concernant les importations de HFC pour 2021 et 2022. Les entreprises avaient signalé que certaines factures ne pouvaient être fournies en raison des perturbations causées par la pandémie de COVID-19. La Partie avait également indiqué que son bureau des douanes avait </w:t>
      </w:r>
      <w:r w:rsidRPr="009D0B3A">
        <w:t>subi</w:t>
      </w:r>
      <w:r w:rsidR="00A04BF3" w:rsidRPr="009D0B3A">
        <w:t xml:space="preserve"> un incendie qui avait entraîné la perte de certains documents, notamment des permis d</w:t>
      </w:r>
      <w:r w:rsidR="00AA6A89" w:rsidRPr="009D0B3A">
        <w:t>’</w:t>
      </w:r>
      <w:r w:rsidR="00A04BF3" w:rsidRPr="009D0B3A">
        <w:t>importation et des registres douaniers. Le Secrétariat a</w:t>
      </w:r>
      <w:r w:rsidR="00CB5919" w:rsidRPr="009D0B3A">
        <w:t>vait</w:t>
      </w:r>
      <w:r w:rsidR="00A04BF3" w:rsidRPr="009D0B3A">
        <w:t xml:space="preserve"> examiné les informations fournies par la Guinée et conclu qu</w:t>
      </w:r>
      <w:r w:rsidR="00AA6A89" w:rsidRPr="009D0B3A">
        <w:t>’</w:t>
      </w:r>
      <w:r w:rsidR="00A04BF3" w:rsidRPr="009D0B3A">
        <w:t>elles justifiaient sa demande d</w:t>
      </w:r>
      <w:r w:rsidR="00AA6A89" w:rsidRPr="009D0B3A">
        <w:t>’</w:t>
      </w:r>
      <w:r w:rsidR="00A04BF3" w:rsidRPr="009D0B3A">
        <w:t>augmentation de</w:t>
      </w:r>
      <w:r w:rsidRPr="009D0B3A">
        <w:t xml:space="preserve"> se</w:t>
      </w:r>
      <w:r w:rsidR="00A04BF3" w:rsidRPr="009D0B3A">
        <w:t xml:space="preserve">s données de référence </w:t>
      </w:r>
      <w:r w:rsidRPr="009D0B3A">
        <w:t>pour les</w:t>
      </w:r>
      <w:r w:rsidR="00A04BF3" w:rsidRPr="009D0B3A">
        <w:t xml:space="preserve"> HFC.</w:t>
      </w:r>
    </w:p>
    <w:p w14:paraId="77B3968D" w14:textId="72B4EFF2" w:rsidR="009E437A" w:rsidRPr="009D0B3A" w:rsidRDefault="00566506" w:rsidP="00ED662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réponse aux questions des membres du Comité, des représentant</w:t>
      </w:r>
      <w:r w:rsidR="002F0F51" w:rsidRPr="009D0B3A">
        <w:t>(e)</w:t>
      </w:r>
      <w:r w:rsidRPr="009D0B3A">
        <w:t>s du Secrétariat ont expliqué que, bien que la Guinée n</w:t>
      </w:r>
      <w:r w:rsidR="00AA6A89" w:rsidRPr="009D0B3A">
        <w:t>’</w:t>
      </w:r>
      <w:r w:rsidRPr="009D0B3A">
        <w:t>ait pas été en mesure de fournir toutes les factures pertinentes, elle avait communiqué les rapports des sociétés importatrices, comme cela avait été le cas pour certains pays insulaires du Pacifique sur lesquels le Comité s</w:t>
      </w:r>
      <w:r w:rsidR="00AA6A89" w:rsidRPr="009D0B3A">
        <w:t>’</w:t>
      </w:r>
      <w:r w:rsidRPr="009D0B3A">
        <w:t>était penché à sa soixante-quatorzième réunion. Le Secrétariat avait analysé les informations fournies, qui précisaient le nombre de bouteilles importées, les substances qu</w:t>
      </w:r>
      <w:r w:rsidR="00AA6A89" w:rsidRPr="009D0B3A">
        <w:t>’</w:t>
      </w:r>
      <w:r w:rsidRPr="009D0B3A">
        <w:t xml:space="preserve">elles contenaient et leur poids en kilogrammes, et avait constaté que les </w:t>
      </w:r>
      <w:r w:rsidRPr="009D0B3A">
        <w:lastRenderedPageBreak/>
        <w:t>quantités correspondaient à celles déclarées par la Partie</w:t>
      </w:r>
      <w:r w:rsidR="00AA6A89" w:rsidRPr="009D0B3A">
        <w:t> ;</w:t>
      </w:r>
      <w:r w:rsidRPr="009D0B3A">
        <w:t xml:space="preserve"> ils étaient donc parvenus à la conclusion que les informations étaient suffisantes pour justifier la demande. Un membre du Comité a fait remarquer qu</w:t>
      </w:r>
      <w:r w:rsidR="00AA6A89" w:rsidRPr="009D0B3A">
        <w:t>’</w:t>
      </w:r>
      <w:r w:rsidRPr="009D0B3A">
        <w:t>il serait utile, dans des cas similaires à l</w:t>
      </w:r>
      <w:r w:rsidR="00AA6A89" w:rsidRPr="009D0B3A">
        <w:t>’</w:t>
      </w:r>
      <w:r w:rsidRPr="009D0B3A">
        <w:t xml:space="preserve">avenir, que le Comité puisse consulter toute analyse comparable effectuée par le Secrétariat. </w:t>
      </w:r>
    </w:p>
    <w:p w14:paraId="1FE5BE58" w14:textId="61378BB3" w:rsidR="00111F56" w:rsidRPr="009D0B3A" w:rsidRDefault="00030AAC" w:rsidP="00DD1001">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Certains membres du Comité ont toutefois estimé qu</w:t>
      </w:r>
      <w:r w:rsidR="00AA6A89" w:rsidRPr="009D0B3A">
        <w:t>’</w:t>
      </w:r>
      <w:r w:rsidRPr="009D0B3A">
        <w:t>il subsistait certaines divergences dans les chiffres et ont demandé pourquoi la Guinée devrait être traitée différemment de l</w:t>
      </w:r>
      <w:r w:rsidR="00AA6A89" w:rsidRPr="009D0B3A">
        <w:t>’</w:t>
      </w:r>
      <w:r w:rsidRPr="009D0B3A">
        <w:t>Arménie, pays pour lequel il existait également des disparités. D</w:t>
      </w:r>
      <w:r w:rsidR="00AA6A89" w:rsidRPr="009D0B3A">
        <w:t>’</w:t>
      </w:r>
      <w:r w:rsidRPr="009D0B3A">
        <w:t xml:space="preserve">autres membres ont souligné </w:t>
      </w:r>
      <w:r w:rsidR="00D451B2" w:rsidRPr="009D0B3A">
        <w:t>qu</w:t>
      </w:r>
      <w:r w:rsidR="004F592D" w:rsidRPr="009D0B3A">
        <w:t xml:space="preserve">e les chiffres de </w:t>
      </w:r>
      <w:r w:rsidR="003703AD" w:rsidRPr="009D0B3A">
        <w:t>l</w:t>
      </w:r>
      <w:r w:rsidR="00AA6A89" w:rsidRPr="009D0B3A">
        <w:t>’</w:t>
      </w:r>
      <w:r w:rsidR="003703AD" w:rsidRPr="009D0B3A">
        <w:t xml:space="preserve">Arménie </w:t>
      </w:r>
      <w:r w:rsidR="00781507" w:rsidRPr="009D0B3A">
        <w:t xml:space="preserve">présentaient un </w:t>
      </w:r>
      <w:r w:rsidRPr="009D0B3A">
        <w:t xml:space="preserve">écart beaucoup plus important </w:t>
      </w:r>
      <w:r w:rsidR="0037736D" w:rsidRPr="009D0B3A">
        <w:t xml:space="preserve">que ceux </w:t>
      </w:r>
      <w:r w:rsidR="003703AD" w:rsidRPr="009D0B3A">
        <w:t xml:space="preserve">de </w:t>
      </w:r>
      <w:r w:rsidRPr="009D0B3A">
        <w:t xml:space="preserve">la Guinée. Le Secrétariat a informé le Comité que les documents présentés par la Guinée </w:t>
      </w:r>
      <w:r w:rsidR="002F0F51" w:rsidRPr="009D0B3A">
        <w:t xml:space="preserve">étayaient </w:t>
      </w:r>
      <w:r w:rsidRPr="009D0B3A">
        <w:t>pleinement sa demande.</w:t>
      </w:r>
    </w:p>
    <w:p w14:paraId="58398E2F" w14:textId="5F205F91" w:rsidR="009E23F4" w:rsidRPr="009D0B3A" w:rsidRDefault="009E23F4" w:rsidP="00DD1001">
      <w:pPr>
        <w:pStyle w:val="Normalnumber"/>
        <w:numPr>
          <w:ilvl w:val="0"/>
          <w:numId w:val="17"/>
        </w:numPr>
        <w:tabs>
          <w:tab w:val="clear" w:pos="1247"/>
          <w:tab w:val="clear" w:pos="1814"/>
          <w:tab w:val="clear" w:pos="2381"/>
          <w:tab w:val="clear" w:pos="2495"/>
          <w:tab w:val="clear" w:pos="2948"/>
          <w:tab w:val="clear" w:pos="3515"/>
          <w:tab w:val="left" w:pos="2016"/>
        </w:tabs>
        <w:ind w:left="1247" w:firstLine="0"/>
        <w:rPr>
          <w:rFonts w:asciiTheme="majorBidi" w:hAnsiTheme="majorBidi" w:cstheme="majorBidi"/>
        </w:rPr>
      </w:pPr>
      <w:bookmarkStart w:id="28" w:name="_Hlk212851811"/>
      <w:bookmarkStart w:id="29" w:name="_Hlk212851399"/>
      <w:r w:rsidRPr="009D0B3A">
        <w:t xml:space="preserve">Le Comité </w:t>
      </w:r>
      <w:r w:rsidR="00625E5A" w:rsidRPr="009D0B3A">
        <w:t xml:space="preserve">est </w:t>
      </w:r>
      <w:r w:rsidRPr="009D0B3A">
        <w:t xml:space="preserve">donc </w:t>
      </w:r>
      <w:r w:rsidR="00625E5A" w:rsidRPr="009D0B3A">
        <w:t>convenu</w:t>
      </w:r>
      <w:r w:rsidR="00AA6A89" w:rsidRPr="009D0B3A">
        <w:t> :</w:t>
      </w:r>
    </w:p>
    <w:bookmarkEnd w:id="28"/>
    <w:p w14:paraId="331088C7" w14:textId="0A8106CE" w:rsidR="009E23F4" w:rsidRPr="009D0B3A" w:rsidRDefault="009E23F4" w:rsidP="008873A2">
      <w:pPr>
        <w:pStyle w:val="Indent"/>
        <w:ind w:firstLine="741"/>
      </w:pPr>
      <w:r w:rsidRPr="009D0B3A">
        <w:rPr>
          <w:i/>
          <w:iCs/>
        </w:rPr>
        <w:t>Notant avec satisfaction</w:t>
      </w:r>
      <w:r w:rsidRPr="009D0B3A">
        <w:t xml:space="preserve"> l</w:t>
      </w:r>
      <w:r w:rsidR="002F0F51" w:rsidRPr="009D0B3A">
        <w:t xml:space="preserve">es informations </w:t>
      </w:r>
      <w:r w:rsidRPr="009D0B3A">
        <w:t>présentée</w:t>
      </w:r>
      <w:r w:rsidR="002F0F51" w:rsidRPr="009D0B3A">
        <w:t>s</w:t>
      </w:r>
      <w:r w:rsidRPr="009D0B3A">
        <w:t xml:space="preserve"> par l</w:t>
      </w:r>
      <w:r w:rsidR="002B17AC" w:rsidRPr="009D0B3A">
        <w:t>a Guinée</w:t>
      </w:r>
      <w:r w:rsidRPr="009D0B3A">
        <w:t xml:space="preserve"> </w:t>
      </w:r>
      <w:r w:rsidR="002F0F51" w:rsidRPr="009D0B3A">
        <w:t>à l’appui de sa demande de</w:t>
      </w:r>
      <w:r w:rsidRPr="009D0B3A">
        <w:t xml:space="preserve"> révision de ses données de consommation de substances réglementées du groupe I de l</w:t>
      </w:r>
      <w:r w:rsidR="00AA6A89" w:rsidRPr="009D0B3A">
        <w:t>’</w:t>
      </w:r>
      <w:r w:rsidRPr="009D0B3A">
        <w:t>Annexe</w:t>
      </w:r>
      <w:r w:rsidR="000012FC">
        <w:t> </w:t>
      </w:r>
      <w:r w:rsidRPr="009D0B3A">
        <w:t>F (hydrofluorocarbones) pour les années de référence 2020, 2021 et 2022,</w:t>
      </w:r>
    </w:p>
    <w:p w14:paraId="1C5BFCC2" w14:textId="142CFDAE" w:rsidR="009E23F4" w:rsidRPr="009D0B3A" w:rsidRDefault="002F0F51" w:rsidP="008873A2">
      <w:pPr>
        <w:pStyle w:val="Indent"/>
        <w:ind w:firstLine="769"/>
      </w:pPr>
      <w:r w:rsidRPr="009D0B3A">
        <w:rPr>
          <w:i/>
          <w:iCs/>
        </w:rPr>
        <w:t xml:space="preserve">Notant </w:t>
      </w:r>
      <w:r w:rsidRPr="009D0B3A">
        <w:t xml:space="preserve">que </w:t>
      </w:r>
      <w:r w:rsidR="009E23F4" w:rsidRPr="009D0B3A">
        <w:t>la décision</w:t>
      </w:r>
      <w:r w:rsidR="000012FC">
        <w:t> </w:t>
      </w:r>
      <w:r w:rsidR="009E23F4" w:rsidRPr="009D0B3A">
        <w:t>XV/19 définit la méthod</w:t>
      </w:r>
      <w:r w:rsidR="005E7ECE" w:rsidRPr="009D0B3A">
        <w:t xml:space="preserve">ologie </w:t>
      </w:r>
      <w:r w:rsidR="00B17C8F" w:rsidRPr="009D0B3A">
        <w:t xml:space="preserve">à suivre </w:t>
      </w:r>
      <w:r w:rsidR="009E23F4" w:rsidRPr="009D0B3A">
        <w:t>pour les demandes de révision des données de référence,</w:t>
      </w:r>
    </w:p>
    <w:p w14:paraId="0FFC5660" w14:textId="33FBB280" w:rsidR="009E23F4" w:rsidRPr="009D0B3A" w:rsidRDefault="009E23F4" w:rsidP="008873A2">
      <w:pPr>
        <w:pStyle w:val="Indent"/>
        <w:ind w:firstLine="783"/>
      </w:pPr>
      <w:r w:rsidRPr="009D0B3A">
        <w:rPr>
          <w:i/>
          <w:iCs/>
        </w:rPr>
        <w:t>Se félicitant</w:t>
      </w:r>
      <w:r w:rsidRPr="009D0B3A">
        <w:t xml:space="preserve"> des efforts consentis par la Guinée pour présenter les informations demandées dans la décision</w:t>
      </w:r>
      <w:r w:rsidR="007C49CF">
        <w:t> </w:t>
      </w:r>
      <w:r w:rsidRPr="009D0B3A">
        <w:t>XV/19,</w:t>
      </w:r>
    </w:p>
    <w:p w14:paraId="5E8A67AE" w14:textId="19F3C918" w:rsidR="009E23F4" w:rsidRPr="009D0B3A" w:rsidRDefault="009E23F4" w:rsidP="00A6505B">
      <w:pPr>
        <w:pStyle w:val="Indent"/>
        <w:ind w:firstLine="811"/>
      </w:pPr>
      <w:r w:rsidRPr="009D0B3A">
        <w:t>De transmettre à la trente-septième</w:t>
      </w:r>
      <w:r w:rsidR="000F0116">
        <w:t> </w:t>
      </w:r>
      <w:r w:rsidRPr="009D0B3A">
        <w:t>Réunion des Parties au Protocole de</w:t>
      </w:r>
      <w:r w:rsidR="00747BA2">
        <w:t> </w:t>
      </w:r>
      <w:r w:rsidRPr="009D0B3A">
        <w:t>Montréal relatif à des substances qui appauvrissent la couche d</w:t>
      </w:r>
      <w:r w:rsidR="00AA6A89" w:rsidRPr="009D0B3A">
        <w:t>’</w:t>
      </w:r>
      <w:r w:rsidRPr="009D0B3A">
        <w:t>ozone, pour examen, le projet de décision figurant à la section</w:t>
      </w:r>
      <w:r w:rsidR="007928C2">
        <w:t> </w:t>
      </w:r>
      <w:r w:rsidRPr="009D0B3A">
        <w:t>H de l</w:t>
      </w:r>
      <w:r w:rsidR="00AA6A89" w:rsidRPr="009D0B3A">
        <w:t>’</w:t>
      </w:r>
      <w:r w:rsidRPr="009D0B3A">
        <w:t>annexe</w:t>
      </w:r>
      <w:r w:rsidR="007928C2">
        <w:t> </w:t>
      </w:r>
      <w:r w:rsidRPr="009D0B3A">
        <w:t>I du présent</w:t>
      </w:r>
      <w:r w:rsidR="007928C2">
        <w:t> </w:t>
      </w:r>
      <w:r w:rsidRPr="009D0B3A">
        <w:t>rapport, aux termes duquel la trente-septième</w:t>
      </w:r>
      <w:r w:rsidR="007C7157">
        <w:t> </w:t>
      </w:r>
      <w:r w:rsidRPr="009D0B3A">
        <w:t>Réunion des Parties approuverait la demande présentée par la Guinée aux fins de révision de ses données de consommation d</w:t>
      </w:r>
      <w:r w:rsidR="00AA6A89" w:rsidRPr="009D0B3A">
        <w:t>’</w:t>
      </w:r>
      <w:r w:rsidRPr="009D0B3A">
        <w:t>hydrofluorocarbones pour les années de référence 2020, 2021 et 2022, à 1 896</w:t>
      </w:r>
      <w:r w:rsidR="007C7157">
        <w:t> </w:t>
      </w:r>
      <w:r w:rsidRPr="009D0B3A">
        <w:t>234 tonnes d</w:t>
      </w:r>
      <w:r w:rsidR="00AA6A89" w:rsidRPr="009D0B3A">
        <w:t>’</w:t>
      </w:r>
      <w:r w:rsidRPr="009D0B3A">
        <w:t>équivalent CO</w:t>
      </w:r>
      <w:r w:rsidRPr="009D0B3A">
        <w:rPr>
          <w:vertAlign w:val="subscript"/>
        </w:rPr>
        <w:t>2</w:t>
      </w:r>
      <w:r w:rsidRPr="009D0B3A">
        <w:t>, 1 728</w:t>
      </w:r>
      <w:r w:rsidR="009C53F3">
        <w:t> </w:t>
      </w:r>
      <w:r w:rsidRPr="009D0B3A">
        <w:t>541</w:t>
      </w:r>
      <w:r w:rsidR="00466DBB">
        <w:t> </w:t>
      </w:r>
      <w:r w:rsidRPr="009D0B3A">
        <w:t>tonnes d</w:t>
      </w:r>
      <w:r w:rsidR="00AA6A89" w:rsidRPr="009D0B3A">
        <w:t>’</w:t>
      </w:r>
      <w:r w:rsidRPr="009D0B3A">
        <w:t>équivalent CO</w:t>
      </w:r>
      <w:r w:rsidRPr="009D0B3A">
        <w:rPr>
          <w:vertAlign w:val="subscript"/>
        </w:rPr>
        <w:t>2</w:t>
      </w:r>
      <w:r w:rsidRPr="009D0B3A">
        <w:t xml:space="preserve"> et 1 715</w:t>
      </w:r>
      <w:r w:rsidR="009C53F3">
        <w:t> </w:t>
      </w:r>
      <w:r w:rsidRPr="009D0B3A">
        <w:t>084</w:t>
      </w:r>
      <w:r w:rsidR="00466DBB">
        <w:t> </w:t>
      </w:r>
      <w:r w:rsidRPr="009D0B3A">
        <w:t>tonnes d</w:t>
      </w:r>
      <w:r w:rsidR="00AA6A89" w:rsidRPr="009D0B3A">
        <w:t>’</w:t>
      </w:r>
      <w:r w:rsidRPr="009D0B3A">
        <w:t>équivalent CO</w:t>
      </w:r>
      <w:r w:rsidRPr="009D0B3A">
        <w:rPr>
          <w:vertAlign w:val="subscript"/>
        </w:rPr>
        <w:t>2</w:t>
      </w:r>
      <w:r w:rsidRPr="009D0B3A">
        <w:t>, respectivement.</w:t>
      </w:r>
      <w:bookmarkEnd w:id="29"/>
    </w:p>
    <w:p w14:paraId="2CDD1335" w14:textId="084CAE1C" w:rsidR="000E43DF" w:rsidRPr="009D0B3A" w:rsidRDefault="00924771" w:rsidP="00924771">
      <w:pPr>
        <w:pStyle w:val="Recommendation"/>
      </w:pPr>
      <w:r w:rsidRPr="009D0B3A">
        <w:t>Recommandation</w:t>
      </w:r>
      <w:r w:rsidR="00D630E4">
        <w:t> </w:t>
      </w:r>
      <w:r w:rsidRPr="009D0B3A">
        <w:t>75/10</w:t>
      </w:r>
    </w:p>
    <w:p w14:paraId="66D22621" w14:textId="5672E220" w:rsidR="004D3539" w:rsidRPr="009D0B3A" w:rsidRDefault="001628C2" w:rsidP="001628C2">
      <w:pPr>
        <w:pStyle w:val="CH3"/>
      </w:pPr>
      <w:r>
        <w:rPr>
          <w:bCs/>
        </w:rPr>
        <w:tab/>
      </w:r>
      <w:r w:rsidR="009F4DD0">
        <w:t>2</w:t>
      </w:r>
      <w:r w:rsidRPr="00852ABF">
        <w:t>.</w:t>
      </w:r>
      <w:r>
        <w:rPr>
          <w:bCs/>
        </w:rPr>
        <w:tab/>
      </w:r>
      <w:r w:rsidR="004D3539" w:rsidRPr="009D0B3A">
        <w:rPr>
          <w:bCs/>
        </w:rPr>
        <w:t>Données de référence relatives aux HCFC</w:t>
      </w:r>
    </w:p>
    <w:p w14:paraId="1308DE03" w14:textId="2D106FAB" w:rsidR="00030AAC" w:rsidRPr="009D0B3A" w:rsidRDefault="002F0F51" w:rsidP="001D27D1">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S’agissant de la demande de la Guinée tendant</w:t>
      </w:r>
      <w:r w:rsidR="008F0DB4" w:rsidRPr="009D0B3A">
        <w:t xml:space="preserve"> à modifier ses données de référence relatives </w:t>
      </w:r>
      <w:r w:rsidR="00FF5687" w:rsidRPr="009D0B3A">
        <w:t xml:space="preserve">aux </w:t>
      </w:r>
      <w:r w:rsidR="008F0DB4" w:rsidRPr="009D0B3A">
        <w:t>HCFC, le Secrétariat a</w:t>
      </w:r>
      <w:r w:rsidR="00B23846" w:rsidRPr="009D0B3A">
        <w:t>vait</w:t>
      </w:r>
      <w:r w:rsidR="008F0DB4" w:rsidRPr="009D0B3A">
        <w:t xml:space="preserve"> analysé les informations fournies et </w:t>
      </w:r>
      <w:r w:rsidR="00B23846" w:rsidRPr="009D0B3A">
        <w:t>était</w:t>
      </w:r>
      <w:r w:rsidR="008F0DB4" w:rsidRPr="009D0B3A">
        <w:t xml:space="preserve"> parvenu à la conclusion qu</w:t>
      </w:r>
      <w:r w:rsidR="00AA6A89" w:rsidRPr="009D0B3A">
        <w:t>’</w:t>
      </w:r>
      <w:r w:rsidR="008F0DB4" w:rsidRPr="009D0B3A">
        <w:t>elles justifiaient l</w:t>
      </w:r>
      <w:r w:rsidRPr="009D0B3A">
        <w:t>’importante</w:t>
      </w:r>
      <w:r w:rsidR="008F0DB4" w:rsidRPr="009D0B3A">
        <w:t xml:space="preserve"> réduction du niveau de consommation de référence demandée par la Guinée.</w:t>
      </w:r>
    </w:p>
    <w:p w14:paraId="46F17666" w14:textId="08709FE9" w:rsidR="00924771" w:rsidRPr="009D0B3A" w:rsidRDefault="00924771" w:rsidP="001D27D1">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Comité</w:t>
      </w:r>
      <w:r w:rsidR="006E2B7E" w:rsidRPr="009D0B3A">
        <w:t xml:space="preserve"> est donc convenu</w:t>
      </w:r>
      <w:r w:rsidR="00AA6A89" w:rsidRPr="009D0B3A">
        <w:t> :</w:t>
      </w:r>
      <w:r w:rsidRPr="009D0B3A">
        <w:t xml:space="preserve"> </w:t>
      </w:r>
    </w:p>
    <w:p w14:paraId="38580816" w14:textId="575D21FF" w:rsidR="00924771" w:rsidRPr="009D0B3A" w:rsidRDefault="00924771" w:rsidP="00727B50">
      <w:pPr>
        <w:pStyle w:val="Indent"/>
        <w:ind w:firstLine="769"/>
      </w:pPr>
      <w:r w:rsidRPr="009D0B3A">
        <w:rPr>
          <w:i/>
          <w:iCs/>
        </w:rPr>
        <w:t xml:space="preserve">Notant avec satisfaction </w:t>
      </w:r>
      <w:r w:rsidR="00724A9D" w:rsidRPr="009D0B3A">
        <w:t xml:space="preserve">les informations </w:t>
      </w:r>
      <w:r w:rsidRPr="009D0B3A">
        <w:t>présentée</w:t>
      </w:r>
      <w:r w:rsidR="00724A9D" w:rsidRPr="009D0B3A">
        <w:t>s</w:t>
      </w:r>
      <w:r w:rsidRPr="009D0B3A">
        <w:t xml:space="preserve"> par la Guinée </w:t>
      </w:r>
      <w:r w:rsidR="002F0F51" w:rsidRPr="009D0B3A">
        <w:t>à l’appui</w:t>
      </w:r>
      <w:r w:rsidRPr="009D0B3A">
        <w:t xml:space="preserve"> de </w:t>
      </w:r>
      <w:r w:rsidR="00BB2C3D" w:rsidRPr="009D0B3A">
        <w:t>sa demande de</w:t>
      </w:r>
      <w:r w:rsidRPr="009D0B3A">
        <w:t xml:space="preserve"> révision de ses données de consommation de substances réglementées du groupe</w:t>
      </w:r>
      <w:r w:rsidR="003D3011">
        <w:t> </w:t>
      </w:r>
      <w:r w:rsidRPr="009D0B3A">
        <w:t>I de l</w:t>
      </w:r>
      <w:r w:rsidR="00AA6A89" w:rsidRPr="009D0B3A">
        <w:t>’</w:t>
      </w:r>
      <w:r w:rsidRPr="009D0B3A">
        <w:t>Annexe</w:t>
      </w:r>
      <w:r w:rsidR="00D630E4">
        <w:t> </w:t>
      </w:r>
      <w:r w:rsidRPr="009D0B3A">
        <w:t>C (hydro</w:t>
      </w:r>
      <w:r w:rsidR="00300924" w:rsidRPr="009D0B3A">
        <w:t>chloro</w:t>
      </w:r>
      <w:r w:rsidRPr="009D0B3A">
        <w:t>fluorocarbones) pour les années de référence 2009 et 2010,</w:t>
      </w:r>
    </w:p>
    <w:p w14:paraId="243B1673" w14:textId="1E47AF0F" w:rsidR="00924771" w:rsidRPr="009D0B3A" w:rsidRDefault="002F0F51" w:rsidP="00727B50">
      <w:pPr>
        <w:pStyle w:val="Indent"/>
        <w:ind w:firstLine="769"/>
      </w:pPr>
      <w:r w:rsidRPr="009D0B3A">
        <w:rPr>
          <w:i/>
          <w:iCs/>
        </w:rPr>
        <w:t>Notant</w:t>
      </w:r>
      <w:r w:rsidRPr="009D0B3A">
        <w:t xml:space="preserve"> que </w:t>
      </w:r>
      <w:r w:rsidR="00924771" w:rsidRPr="009D0B3A">
        <w:t>la décision</w:t>
      </w:r>
      <w:r w:rsidR="00D630E4">
        <w:t> </w:t>
      </w:r>
      <w:r w:rsidR="00924771" w:rsidRPr="009D0B3A">
        <w:t>XV/19 définit la méthod</w:t>
      </w:r>
      <w:r w:rsidR="00B23846" w:rsidRPr="009D0B3A">
        <w:t>ologie</w:t>
      </w:r>
      <w:r w:rsidR="00924771" w:rsidRPr="009D0B3A">
        <w:t xml:space="preserve"> </w:t>
      </w:r>
      <w:r w:rsidR="00B17C8F" w:rsidRPr="009D0B3A">
        <w:t xml:space="preserve">à suivre </w:t>
      </w:r>
      <w:r w:rsidR="00924771" w:rsidRPr="009D0B3A">
        <w:t>pour les demandes de révision des données de référence,</w:t>
      </w:r>
    </w:p>
    <w:p w14:paraId="09D9072F" w14:textId="03E94B85" w:rsidR="00924771" w:rsidRPr="009D0B3A" w:rsidRDefault="00924771" w:rsidP="00727B50">
      <w:pPr>
        <w:pStyle w:val="Indent"/>
        <w:ind w:firstLine="741"/>
      </w:pPr>
      <w:r w:rsidRPr="009D0B3A">
        <w:rPr>
          <w:i/>
          <w:iCs/>
        </w:rPr>
        <w:t>Se félicitant</w:t>
      </w:r>
      <w:r w:rsidRPr="009D0B3A">
        <w:t xml:space="preserve"> des efforts consentis par la Guinée pour présenter les informations demandées dans la décision</w:t>
      </w:r>
      <w:r w:rsidR="00D630E4">
        <w:t> </w:t>
      </w:r>
      <w:r w:rsidRPr="009D0B3A">
        <w:t>XV/19,</w:t>
      </w:r>
    </w:p>
    <w:p w14:paraId="65F53B89" w14:textId="692B10E7" w:rsidR="00924771" w:rsidRPr="009D0B3A" w:rsidRDefault="00924771" w:rsidP="00727B50">
      <w:pPr>
        <w:pStyle w:val="Indent"/>
        <w:ind w:firstLine="755"/>
      </w:pPr>
      <w:r w:rsidRPr="009D0B3A">
        <w:t>De transmettre à la trente-septième</w:t>
      </w:r>
      <w:r w:rsidR="00D630E4">
        <w:t> </w:t>
      </w:r>
      <w:r w:rsidRPr="009D0B3A">
        <w:t>Réunion des Parties au Protocole de</w:t>
      </w:r>
      <w:r w:rsidR="002413D4">
        <w:t> </w:t>
      </w:r>
      <w:r w:rsidRPr="009D0B3A">
        <w:t>Montréal relatif à des substances qui appauvrissent la couche d</w:t>
      </w:r>
      <w:r w:rsidR="00AA6A89" w:rsidRPr="009D0B3A">
        <w:t>’</w:t>
      </w:r>
      <w:r w:rsidRPr="009D0B3A">
        <w:t>ozone, pour examen, le projet de décision</w:t>
      </w:r>
      <w:r w:rsidR="006519DA" w:rsidRPr="009D0B3A">
        <w:t xml:space="preserve"> reproduit </w:t>
      </w:r>
      <w:r w:rsidRPr="009D0B3A">
        <w:t>à la section</w:t>
      </w:r>
      <w:r w:rsidR="009E715F">
        <w:t> </w:t>
      </w:r>
      <w:r w:rsidRPr="009D0B3A">
        <w:t>H de l</w:t>
      </w:r>
      <w:r w:rsidR="00AA6A89" w:rsidRPr="009D0B3A">
        <w:t>’</w:t>
      </w:r>
      <w:r w:rsidRPr="009D0B3A">
        <w:t>annexe</w:t>
      </w:r>
      <w:r w:rsidR="009E715F">
        <w:t> </w:t>
      </w:r>
      <w:r w:rsidRPr="009D0B3A">
        <w:t>I du présent</w:t>
      </w:r>
      <w:r w:rsidR="009E715F">
        <w:t> </w:t>
      </w:r>
      <w:r w:rsidRPr="009D0B3A">
        <w:t>rapport, aux termes duquel la trente-septième Réunion des Parties approuverait la demande présentée par la Guinée aux fins de révision de ses données de consommation d</w:t>
      </w:r>
      <w:r w:rsidR="00AA6A89" w:rsidRPr="009D0B3A">
        <w:t>’</w:t>
      </w:r>
      <w:r w:rsidRPr="009D0B3A">
        <w:t>hydro</w:t>
      </w:r>
      <w:r w:rsidR="007C0C25" w:rsidRPr="009D0B3A">
        <w:t>chloro</w:t>
      </w:r>
      <w:r w:rsidRPr="009D0B3A">
        <w:t>fluorocarbones pour les années de référence 2009 et 2010, à 1,03 tonnes PDO, (33</w:t>
      </w:r>
      <w:r w:rsidR="004E0781">
        <w:t> </w:t>
      </w:r>
      <w:r w:rsidRPr="009D0B3A">
        <w:t>756</w:t>
      </w:r>
      <w:r w:rsidR="00AA236A">
        <w:t>,</w:t>
      </w:r>
      <w:r w:rsidRPr="009D0B3A">
        <w:t>50</w:t>
      </w:r>
      <w:r w:rsidR="004E0781">
        <w:t> </w:t>
      </w:r>
      <w:r w:rsidRPr="009D0B3A">
        <w:t>tonnes d</w:t>
      </w:r>
      <w:r w:rsidR="00AA6A89" w:rsidRPr="009D0B3A">
        <w:t>’</w:t>
      </w:r>
      <w:r w:rsidRPr="009D0B3A">
        <w:t>équivalent CO</w:t>
      </w:r>
      <w:r w:rsidRPr="009D0B3A">
        <w:rPr>
          <w:vertAlign w:val="subscript"/>
        </w:rPr>
        <w:t>2</w:t>
      </w:r>
      <w:r w:rsidRPr="009D0B3A">
        <w:t>) et à 0,75 tonnes PDO (24</w:t>
      </w:r>
      <w:r w:rsidR="00050462">
        <w:t> </w:t>
      </w:r>
      <w:r w:rsidRPr="009D0B3A">
        <w:t>706</w:t>
      </w:r>
      <w:r w:rsidR="00AA236A">
        <w:t>,</w:t>
      </w:r>
      <w:r w:rsidRPr="009D0B3A">
        <w:t>50</w:t>
      </w:r>
      <w:r w:rsidR="00050462">
        <w:t> </w:t>
      </w:r>
      <w:r w:rsidRPr="009D0B3A">
        <w:t>tonnes d</w:t>
      </w:r>
      <w:r w:rsidR="00AA6A89" w:rsidRPr="009D0B3A">
        <w:t>’</w:t>
      </w:r>
      <w:r w:rsidRPr="009D0B3A">
        <w:t>équivalent CO</w:t>
      </w:r>
      <w:r w:rsidRPr="009D0B3A">
        <w:rPr>
          <w:vertAlign w:val="subscript"/>
        </w:rPr>
        <w:t>2</w:t>
      </w:r>
      <w:r w:rsidRPr="009D0B3A">
        <w:t>), respectivement.</w:t>
      </w:r>
    </w:p>
    <w:p w14:paraId="53B429AB" w14:textId="0CF1C774" w:rsidR="001A3BC9" w:rsidRPr="009D0B3A" w:rsidRDefault="00F72227" w:rsidP="00F72227">
      <w:pPr>
        <w:pStyle w:val="Recommendation"/>
      </w:pPr>
      <w:r w:rsidRPr="009D0B3A">
        <w:t>Recommandation</w:t>
      </w:r>
      <w:r w:rsidR="00E413DF">
        <w:t> </w:t>
      </w:r>
      <w:r w:rsidRPr="009D0B3A">
        <w:t>75/11</w:t>
      </w:r>
    </w:p>
    <w:p w14:paraId="5D9915CB" w14:textId="3C9A85B8" w:rsidR="006275CB" w:rsidRPr="009D0B3A" w:rsidRDefault="002A6646" w:rsidP="002A6646">
      <w:pPr>
        <w:pStyle w:val="CH2"/>
      </w:pPr>
      <w:r>
        <w:tab/>
      </w:r>
      <w:r w:rsidR="00CE1DA1">
        <w:t>C</w:t>
      </w:r>
      <w:r>
        <w:t>.</w:t>
      </w:r>
      <w:r>
        <w:tab/>
      </w:r>
      <w:r w:rsidR="006275CB" w:rsidRPr="009D0B3A">
        <w:rPr>
          <w:bCs/>
        </w:rPr>
        <w:t>Maroc</w:t>
      </w:r>
    </w:p>
    <w:p w14:paraId="54E60634" w14:textId="7602545B" w:rsidR="006275CB" w:rsidRPr="009D0B3A" w:rsidRDefault="006275CB" w:rsidP="00D8261D">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Maroc avait présenté une demande de révision de ses données concernant sa consommation de HFC pour les années de référence 2020, 2021 et 2022. La révision proposée représenterait une augmentation de 889 244</w:t>
      </w:r>
      <w:r w:rsidR="00E413DF">
        <w:t> </w:t>
      </w:r>
      <w:r w:rsidRPr="009D0B3A">
        <w:t>tonnes d</w:t>
      </w:r>
      <w:r w:rsidR="00AA6A89" w:rsidRPr="009D0B3A">
        <w:t>’</w:t>
      </w:r>
      <w:r w:rsidRPr="009D0B3A">
        <w:t>équivalent CO</w:t>
      </w:r>
      <w:r w:rsidRPr="009D0B3A">
        <w:rPr>
          <w:vertAlign w:val="subscript"/>
        </w:rPr>
        <w:t>2</w:t>
      </w:r>
      <w:r w:rsidRPr="009D0B3A">
        <w:t xml:space="preserve"> (soit une hausse de 42</w:t>
      </w:r>
      <w:r w:rsidR="00CE1598">
        <w:t> </w:t>
      </w:r>
      <w:r w:rsidRPr="009D0B3A">
        <w:t>%) par</w:t>
      </w:r>
      <w:r w:rsidR="00D72616">
        <w:t> </w:t>
      </w:r>
      <w:r w:rsidRPr="009D0B3A">
        <w:t>rapport au niveau de référence initial. Conformément à la décision</w:t>
      </w:r>
      <w:r w:rsidR="00E413DF">
        <w:t> </w:t>
      </w:r>
      <w:r w:rsidRPr="009D0B3A">
        <w:t>XV/19, le Maroc avait expliqué que les données de référence utilisées pour sa communication de données au titre de l</w:t>
      </w:r>
      <w:r w:rsidR="00AA6A89" w:rsidRPr="009D0B3A">
        <w:t>’</w:t>
      </w:r>
      <w:r w:rsidRPr="009D0B3A">
        <w:t>article</w:t>
      </w:r>
      <w:r w:rsidR="003741D1">
        <w:t> </w:t>
      </w:r>
      <w:r w:rsidRPr="009D0B3A">
        <w:t xml:space="preserve">7 étaient </w:t>
      </w:r>
      <w:r w:rsidR="00FB7A4E" w:rsidRPr="009D0B3A">
        <w:lastRenderedPageBreak/>
        <w:t xml:space="preserve">fondées </w:t>
      </w:r>
      <w:r w:rsidRPr="009D0B3A">
        <w:t xml:space="preserve">sur une estimation </w:t>
      </w:r>
      <w:r w:rsidR="00FB7A4E" w:rsidRPr="009D0B3A">
        <w:t xml:space="preserve">tirée </w:t>
      </w:r>
      <w:r w:rsidRPr="009D0B3A">
        <w:t>d</w:t>
      </w:r>
      <w:r w:rsidR="00AA6A89" w:rsidRPr="009D0B3A">
        <w:t>’</w:t>
      </w:r>
      <w:r w:rsidRPr="009D0B3A">
        <w:t>une enquête menée dans le cadre du projet d</w:t>
      </w:r>
      <w:r w:rsidR="00AA6A89" w:rsidRPr="009D0B3A">
        <w:t>’</w:t>
      </w:r>
      <w:r w:rsidRPr="009D0B3A">
        <w:t>activités habilitantes pour la ratification de l</w:t>
      </w:r>
      <w:r w:rsidR="00AA6A89" w:rsidRPr="009D0B3A">
        <w:t>’</w:t>
      </w:r>
      <w:r w:rsidRPr="009D0B3A">
        <w:t>Amendement de</w:t>
      </w:r>
      <w:r w:rsidR="004426FF">
        <w:t> </w:t>
      </w:r>
      <w:r w:rsidRPr="009D0B3A">
        <w:t>Kigali et sur les données d</w:t>
      </w:r>
      <w:r w:rsidR="00AA6A89" w:rsidRPr="009D0B3A">
        <w:t>’</w:t>
      </w:r>
      <w:r w:rsidRPr="009D0B3A">
        <w:t>importation communiquées au Secrétariat par les pays exportateurs vers le Maroc. Selon les codes douaniers du Système harmonisé de désignation et de codification des marchandises pour les mélanges de HFC, introduits en 2021, les substances étaient classées par groupe de produits, ce qui ne permettait pas de suivre chaque substance. De plus, les données pour 2022 n</w:t>
      </w:r>
      <w:r w:rsidR="00AA6A89" w:rsidRPr="009D0B3A">
        <w:t>’</w:t>
      </w:r>
      <w:r w:rsidRPr="009D0B3A">
        <w:t>incluaient pas les mélanges de HFC, et le système douanier n</w:t>
      </w:r>
      <w:r w:rsidR="00AA6A89" w:rsidRPr="009D0B3A">
        <w:t>’</w:t>
      </w:r>
      <w:r w:rsidRPr="009D0B3A">
        <w:t>avait été adapté qu</w:t>
      </w:r>
      <w:r w:rsidR="00AA6A89" w:rsidRPr="009D0B3A">
        <w:t>’</w:t>
      </w:r>
      <w:r w:rsidRPr="009D0B3A">
        <w:t>en 2023 pour permettre la classification individuelle des mélanges. La Partie avait fourni des factures d</w:t>
      </w:r>
      <w:r w:rsidR="00AA6A89" w:rsidRPr="009D0B3A">
        <w:t>’</w:t>
      </w:r>
      <w:r w:rsidRPr="009D0B3A">
        <w:t>importation et d</w:t>
      </w:r>
      <w:r w:rsidR="00AA6A89" w:rsidRPr="009D0B3A">
        <w:t>’</w:t>
      </w:r>
      <w:r w:rsidRPr="009D0B3A">
        <w:t>exportation confirmant les données révisées</w:t>
      </w:r>
      <w:r w:rsidR="009F7A59" w:rsidRPr="009D0B3A">
        <w:t>, l</w:t>
      </w:r>
      <w:r w:rsidR="00FB7A4E" w:rsidRPr="009D0B3A">
        <w:t>a phase</w:t>
      </w:r>
      <w:r w:rsidRPr="009D0B3A">
        <w:t xml:space="preserve"> I proposée dans le cadre d</w:t>
      </w:r>
      <w:r w:rsidR="00FB7A4E" w:rsidRPr="009D0B3A">
        <w:t>e son</w:t>
      </w:r>
      <w:r w:rsidRPr="009D0B3A">
        <w:t xml:space="preserve"> plan de mise en œuvre de l</w:t>
      </w:r>
      <w:r w:rsidR="00AA6A89" w:rsidRPr="009D0B3A">
        <w:t>’</w:t>
      </w:r>
      <w:r w:rsidRPr="009D0B3A">
        <w:t>Amendement de</w:t>
      </w:r>
      <w:r w:rsidR="004426FF">
        <w:t> </w:t>
      </w:r>
      <w:r w:rsidRPr="009D0B3A">
        <w:t>Kigali relatif aux HFC</w:t>
      </w:r>
      <w:r w:rsidR="005C796E" w:rsidRPr="009D0B3A">
        <w:t xml:space="preserve">, </w:t>
      </w:r>
      <w:r w:rsidRPr="009D0B3A">
        <w:t>l</w:t>
      </w:r>
      <w:r w:rsidR="00AA6A89" w:rsidRPr="009D0B3A">
        <w:t>’</w:t>
      </w:r>
      <w:r w:rsidRPr="009D0B3A">
        <w:t>édition 2022 d</w:t>
      </w:r>
      <w:r w:rsidR="00AA6A89" w:rsidRPr="009D0B3A">
        <w:t>’</w:t>
      </w:r>
      <w:r w:rsidRPr="009D0B3A">
        <w:t xml:space="preserve">un recueil des tarifs douaniers applicables aux importations et des </w:t>
      </w:r>
      <w:r w:rsidR="005E66F5" w:rsidRPr="009D0B3A">
        <w:t>modèle</w:t>
      </w:r>
      <w:r w:rsidR="001E0DCD" w:rsidRPr="009D0B3A">
        <w:t xml:space="preserve">s </w:t>
      </w:r>
      <w:r w:rsidRPr="009D0B3A">
        <w:t>de questionnaires utilisés dans le cadre de l</w:t>
      </w:r>
      <w:r w:rsidR="00AA6A89" w:rsidRPr="009D0B3A">
        <w:t>’</w:t>
      </w:r>
      <w:r w:rsidRPr="009D0B3A">
        <w:t xml:space="preserve">enquête pour déterminer </w:t>
      </w:r>
      <w:r w:rsidR="00FB7A4E" w:rsidRPr="009D0B3A">
        <w:t>s</w:t>
      </w:r>
      <w:r w:rsidRPr="009D0B3A">
        <w:t xml:space="preserve">a consommation de HFC et de leurs mélanges entre 2019 et 2023. </w:t>
      </w:r>
    </w:p>
    <w:p w14:paraId="009ABCF2" w14:textId="732BD93C" w:rsidR="000C39E5" w:rsidRPr="009D0B3A" w:rsidRDefault="000C39E5" w:rsidP="000E5A5F">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bookmarkStart w:id="30" w:name="_Hlk212851970"/>
      <w:r w:rsidRPr="009D0B3A">
        <w:t>Le Comité</w:t>
      </w:r>
      <w:r w:rsidR="005E66F5" w:rsidRPr="009D0B3A">
        <w:t xml:space="preserve"> est donc convenu</w:t>
      </w:r>
      <w:r w:rsidR="00AA6A89" w:rsidRPr="009D0B3A">
        <w:t> :</w:t>
      </w:r>
    </w:p>
    <w:bookmarkEnd w:id="30"/>
    <w:p w14:paraId="4B4F3873" w14:textId="64347143" w:rsidR="000C39E5" w:rsidRPr="009D0B3A" w:rsidRDefault="000C39E5" w:rsidP="005D15C8">
      <w:pPr>
        <w:pStyle w:val="Indent"/>
        <w:ind w:firstLine="769"/>
      </w:pPr>
      <w:r w:rsidRPr="009D0B3A">
        <w:rPr>
          <w:i/>
          <w:iCs/>
        </w:rPr>
        <w:t>Notant avec satisfaction</w:t>
      </w:r>
      <w:r w:rsidRPr="009D0B3A">
        <w:t xml:space="preserve"> l</w:t>
      </w:r>
      <w:r w:rsidR="00110037" w:rsidRPr="009D0B3A">
        <w:t>es informations</w:t>
      </w:r>
      <w:r w:rsidRPr="009D0B3A">
        <w:t xml:space="preserve"> présentée</w:t>
      </w:r>
      <w:r w:rsidR="00110037" w:rsidRPr="009D0B3A">
        <w:t>s</w:t>
      </w:r>
      <w:r w:rsidRPr="009D0B3A">
        <w:t xml:space="preserve"> par le Maroc </w:t>
      </w:r>
      <w:r w:rsidR="00971DB2" w:rsidRPr="009D0B3A">
        <w:t>à l’appui</w:t>
      </w:r>
      <w:r w:rsidRPr="009D0B3A">
        <w:t xml:space="preserve"> de </w:t>
      </w:r>
      <w:r w:rsidR="00971DB2" w:rsidRPr="009D0B3A">
        <w:t>sa demande de</w:t>
      </w:r>
      <w:r w:rsidRPr="009D0B3A">
        <w:t xml:space="preserve"> révision de ses données de consommation de substances réglementées du groupe</w:t>
      </w:r>
      <w:r w:rsidR="00736D58">
        <w:t> </w:t>
      </w:r>
      <w:r w:rsidRPr="009D0B3A">
        <w:t>I de l</w:t>
      </w:r>
      <w:r w:rsidR="00AA6A89" w:rsidRPr="009D0B3A">
        <w:t>’</w:t>
      </w:r>
      <w:r w:rsidRPr="009D0B3A">
        <w:t>Annexe</w:t>
      </w:r>
      <w:r w:rsidR="00736D58">
        <w:t> </w:t>
      </w:r>
      <w:r w:rsidRPr="009D0B3A">
        <w:t>F (hydrofluorocarbones) pour les années de référence 2020, 2021 et 2022,</w:t>
      </w:r>
    </w:p>
    <w:p w14:paraId="393577E2" w14:textId="7010AC90" w:rsidR="000C39E5" w:rsidRPr="009D0B3A" w:rsidRDefault="00971DB2" w:rsidP="005D15C8">
      <w:pPr>
        <w:pStyle w:val="Indent"/>
        <w:ind w:firstLine="755"/>
      </w:pPr>
      <w:r w:rsidRPr="009D0B3A">
        <w:rPr>
          <w:i/>
          <w:iCs/>
        </w:rPr>
        <w:t>Notant</w:t>
      </w:r>
      <w:r w:rsidRPr="009D0B3A">
        <w:t xml:space="preserve"> que </w:t>
      </w:r>
      <w:r w:rsidR="000C39E5" w:rsidRPr="009D0B3A">
        <w:t>la décision</w:t>
      </w:r>
      <w:r w:rsidR="00534435">
        <w:t> </w:t>
      </w:r>
      <w:r w:rsidR="000C39E5" w:rsidRPr="009D0B3A">
        <w:t>XV/19 définit la méthod</w:t>
      </w:r>
      <w:r w:rsidR="00650FF7" w:rsidRPr="009D0B3A">
        <w:t>ologie</w:t>
      </w:r>
      <w:r w:rsidR="000C39E5" w:rsidRPr="009D0B3A">
        <w:t xml:space="preserve"> à suivre pour les demandes de révision des données de référence,</w:t>
      </w:r>
    </w:p>
    <w:p w14:paraId="5344F1D1" w14:textId="01CFE583" w:rsidR="000C39E5" w:rsidRPr="009D0B3A" w:rsidRDefault="000C39E5" w:rsidP="005D15C8">
      <w:pPr>
        <w:pStyle w:val="Indent"/>
        <w:ind w:firstLine="755"/>
      </w:pPr>
      <w:r w:rsidRPr="009D0B3A">
        <w:rPr>
          <w:i/>
          <w:iCs/>
        </w:rPr>
        <w:t>Se félicitan</w:t>
      </w:r>
      <w:r w:rsidRPr="009D0B3A">
        <w:t>t des efforts consentis par le Maroc pour présenter les informations demandées dans la décision</w:t>
      </w:r>
      <w:r w:rsidR="00534435">
        <w:t> </w:t>
      </w:r>
      <w:r w:rsidRPr="009D0B3A">
        <w:t>XV/19,</w:t>
      </w:r>
    </w:p>
    <w:p w14:paraId="16FDBB2A" w14:textId="4B88163D" w:rsidR="000C39E5" w:rsidRPr="009D0B3A" w:rsidRDefault="000C39E5" w:rsidP="00503C64">
      <w:pPr>
        <w:pStyle w:val="Indent"/>
        <w:ind w:firstLine="727"/>
      </w:pPr>
      <w:r w:rsidRPr="009D0B3A">
        <w:t>De transmettre à la trente-septième</w:t>
      </w:r>
      <w:r w:rsidR="00BE2985">
        <w:t> </w:t>
      </w:r>
      <w:r w:rsidRPr="009D0B3A">
        <w:t>Réunion des Parties au Protocole de</w:t>
      </w:r>
      <w:r w:rsidR="00926D14">
        <w:t> </w:t>
      </w:r>
      <w:r w:rsidRPr="009D0B3A">
        <w:t>Montréal relatif à des substances qui appauvrissent la couche d</w:t>
      </w:r>
      <w:r w:rsidR="00AA6A89" w:rsidRPr="009D0B3A">
        <w:t>’</w:t>
      </w:r>
      <w:r w:rsidRPr="009D0B3A">
        <w:t>ozone, pour examen, le projet de décision figurant à la section</w:t>
      </w:r>
      <w:r w:rsidR="009472AA">
        <w:t> </w:t>
      </w:r>
      <w:r w:rsidRPr="009D0B3A">
        <w:t>H de l</w:t>
      </w:r>
      <w:r w:rsidR="00AA6A89" w:rsidRPr="009D0B3A">
        <w:t>’</w:t>
      </w:r>
      <w:r w:rsidRPr="009D0B3A">
        <w:t>annexe</w:t>
      </w:r>
      <w:r w:rsidR="009472AA">
        <w:t> </w:t>
      </w:r>
      <w:r w:rsidRPr="009D0B3A">
        <w:t>I du présent</w:t>
      </w:r>
      <w:r w:rsidR="00824DA4">
        <w:t> </w:t>
      </w:r>
      <w:r w:rsidRPr="009D0B3A">
        <w:t>rapport, aux termes duquel la trente-septième Réunion des Parties approuverait la demande présentée par le Maroc aux fins de révision de ses données de consommation d</w:t>
      </w:r>
      <w:r w:rsidR="00AA6A89" w:rsidRPr="009D0B3A">
        <w:t>’</w:t>
      </w:r>
      <w:r w:rsidRPr="009D0B3A">
        <w:t>hydrofluorocarbones pour les années de référence 2020, 2021 et 2022, à 2</w:t>
      </w:r>
      <w:r w:rsidR="00736350">
        <w:t> </w:t>
      </w:r>
      <w:r w:rsidRPr="009D0B3A">
        <w:t>602</w:t>
      </w:r>
      <w:r w:rsidR="00736350">
        <w:t> </w:t>
      </w:r>
      <w:r w:rsidRPr="009D0B3A">
        <w:t>515 tonnes d</w:t>
      </w:r>
      <w:r w:rsidR="00AA6A89" w:rsidRPr="009D0B3A">
        <w:t>’</w:t>
      </w:r>
      <w:r w:rsidRPr="009D0B3A">
        <w:t>équivalent CO</w:t>
      </w:r>
      <w:r w:rsidRPr="009D0B3A">
        <w:rPr>
          <w:vertAlign w:val="subscript"/>
        </w:rPr>
        <w:t>2</w:t>
      </w:r>
      <w:r w:rsidRPr="009D0B3A">
        <w:t>, 1</w:t>
      </w:r>
      <w:r w:rsidR="00824DA4">
        <w:t> </w:t>
      </w:r>
      <w:r w:rsidRPr="009D0B3A">
        <w:t>648</w:t>
      </w:r>
      <w:r w:rsidR="00824DA4">
        <w:t> </w:t>
      </w:r>
      <w:r w:rsidRPr="009D0B3A">
        <w:t>604</w:t>
      </w:r>
      <w:r w:rsidR="00824DA4">
        <w:t> </w:t>
      </w:r>
      <w:r w:rsidRPr="009D0B3A">
        <w:t>tonnes d</w:t>
      </w:r>
      <w:r w:rsidR="00AA6A89" w:rsidRPr="009D0B3A">
        <w:t>’</w:t>
      </w:r>
      <w:r w:rsidRPr="009D0B3A">
        <w:t>équivalent CO</w:t>
      </w:r>
      <w:r w:rsidRPr="009D0B3A">
        <w:rPr>
          <w:vertAlign w:val="subscript"/>
        </w:rPr>
        <w:t>2</w:t>
      </w:r>
      <w:r w:rsidRPr="009D0B3A">
        <w:t xml:space="preserve"> et 2</w:t>
      </w:r>
      <w:r w:rsidR="00F814B0">
        <w:t> </w:t>
      </w:r>
      <w:r w:rsidRPr="009D0B3A">
        <w:t>169</w:t>
      </w:r>
      <w:r w:rsidR="00F814B0">
        <w:t> </w:t>
      </w:r>
      <w:r w:rsidRPr="009D0B3A">
        <w:t>487</w:t>
      </w:r>
      <w:r w:rsidR="00F814B0">
        <w:t> </w:t>
      </w:r>
      <w:r w:rsidRPr="009D0B3A">
        <w:t>tonnes d</w:t>
      </w:r>
      <w:r w:rsidR="00AA6A89" w:rsidRPr="009D0B3A">
        <w:t>’</w:t>
      </w:r>
      <w:r w:rsidRPr="009D0B3A">
        <w:t>équivalent CO</w:t>
      </w:r>
      <w:r w:rsidRPr="009D0B3A">
        <w:rPr>
          <w:vertAlign w:val="subscript"/>
        </w:rPr>
        <w:t>2</w:t>
      </w:r>
      <w:r w:rsidRPr="009D0B3A">
        <w:t>, respectivement.</w:t>
      </w:r>
    </w:p>
    <w:p w14:paraId="09614D4D" w14:textId="0848F205" w:rsidR="000C39E5" w:rsidRPr="009D0B3A" w:rsidRDefault="00BD7923" w:rsidP="00BD7923">
      <w:pPr>
        <w:pStyle w:val="Recommendation"/>
      </w:pPr>
      <w:r w:rsidRPr="009D0B3A">
        <w:t>Recommandation 75/12</w:t>
      </w:r>
    </w:p>
    <w:p w14:paraId="798FE481" w14:textId="661C82DA" w:rsidR="006275CB" w:rsidRPr="009D0B3A" w:rsidRDefault="00413C39" w:rsidP="00413C39">
      <w:pPr>
        <w:pStyle w:val="CH2"/>
      </w:pPr>
      <w:r>
        <w:rPr>
          <w:bCs/>
        </w:rPr>
        <w:tab/>
      </w:r>
      <w:r w:rsidR="005200D1">
        <w:rPr>
          <w:bCs/>
        </w:rPr>
        <w:t>D</w:t>
      </w:r>
      <w:r>
        <w:rPr>
          <w:bCs/>
        </w:rPr>
        <w:t>.</w:t>
      </w:r>
      <w:r>
        <w:rPr>
          <w:bCs/>
        </w:rPr>
        <w:tab/>
      </w:r>
      <w:r w:rsidR="006275CB" w:rsidRPr="009D0B3A">
        <w:rPr>
          <w:bCs/>
        </w:rPr>
        <w:t>Bosnie-Herzégovine</w:t>
      </w:r>
    </w:p>
    <w:p w14:paraId="203E2219" w14:textId="0A81D456" w:rsidR="006275CB" w:rsidRPr="009D0B3A" w:rsidRDefault="006275CB" w:rsidP="00600763">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La Bosnie-Herzégovine avait présenté deux demandes</w:t>
      </w:r>
      <w:r w:rsidR="00AA6A89" w:rsidRPr="009D0B3A">
        <w:t> :</w:t>
      </w:r>
      <w:r w:rsidRPr="009D0B3A">
        <w:t xml:space="preserve"> l</w:t>
      </w:r>
      <w:r w:rsidR="00AA6A89" w:rsidRPr="009D0B3A">
        <w:t>’</w:t>
      </w:r>
      <w:r w:rsidRPr="009D0B3A">
        <w:t xml:space="preserve">une </w:t>
      </w:r>
      <w:r w:rsidR="003536A4" w:rsidRPr="009D0B3A">
        <w:t xml:space="preserve">tendant </w:t>
      </w:r>
      <w:r w:rsidRPr="009D0B3A">
        <w:t>à réviser ses données de consommation de HCFC pour l</w:t>
      </w:r>
      <w:r w:rsidR="00AA6A89" w:rsidRPr="009D0B3A">
        <w:t>’</w:t>
      </w:r>
      <w:r w:rsidRPr="009D0B3A">
        <w:t>année de référence 2009 et l</w:t>
      </w:r>
      <w:r w:rsidR="00AA6A89" w:rsidRPr="009D0B3A">
        <w:t>’</w:t>
      </w:r>
      <w:r w:rsidRPr="009D0B3A">
        <w:t xml:space="preserve">autre </w:t>
      </w:r>
      <w:r w:rsidR="003536A4" w:rsidRPr="009D0B3A">
        <w:t xml:space="preserve">tendant </w:t>
      </w:r>
      <w:r w:rsidRPr="009D0B3A">
        <w:t>à réviser ses données de consommation de HFC pour l</w:t>
      </w:r>
      <w:r w:rsidR="00AA6A89" w:rsidRPr="009D0B3A">
        <w:t>’</w:t>
      </w:r>
      <w:r w:rsidRPr="009D0B3A">
        <w:t>année de référence 2022.</w:t>
      </w:r>
    </w:p>
    <w:p w14:paraId="0AAEEEE1" w14:textId="6B252851" w:rsidR="006275CB" w:rsidRPr="009D0B3A" w:rsidRDefault="00FF4EBE" w:rsidP="00FF4EBE">
      <w:pPr>
        <w:pStyle w:val="CH3"/>
        <w:spacing w:before="160"/>
      </w:pPr>
      <w:r>
        <w:rPr>
          <w:bCs/>
        </w:rPr>
        <w:tab/>
      </w:r>
      <w:r w:rsidR="00773439" w:rsidRPr="00852ABF">
        <w:t>1.</w:t>
      </w:r>
      <w:r>
        <w:rPr>
          <w:bCs/>
        </w:rPr>
        <w:tab/>
      </w:r>
      <w:r w:rsidR="006275CB" w:rsidRPr="009D0B3A">
        <w:rPr>
          <w:bCs/>
        </w:rPr>
        <w:t>Données de référence relatives aux HCFC</w:t>
      </w:r>
    </w:p>
    <w:p w14:paraId="740EE063" w14:textId="251AC346" w:rsidR="006275CB" w:rsidRPr="009D0B3A" w:rsidRDefault="006275CB" w:rsidP="005A3F04">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La Bosnie-Herzégovine avait présenté une demande de révision de ses données concernant sa consommation de H</w:t>
      </w:r>
      <w:r w:rsidR="00426CE1" w:rsidRPr="009D0B3A">
        <w:t>C</w:t>
      </w:r>
      <w:r w:rsidRPr="009D0B3A">
        <w:t>FC pour l</w:t>
      </w:r>
      <w:r w:rsidR="00AA6A89" w:rsidRPr="009D0B3A">
        <w:t>’</w:t>
      </w:r>
      <w:r w:rsidRPr="009D0B3A">
        <w:t>année de référence 2009. L</w:t>
      </w:r>
      <w:r w:rsidR="003536A4" w:rsidRPr="009D0B3A">
        <w:t>e niveau</w:t>
      </w:r>
      <w:r w:rsidRPr="009D0B3A">
        <w:t xml:space="preserve"> de référence révisé </w:t>
      </w:r>
      <w:r w:rsidR="003536A4" w:rsidRPr="009D0B3A">
        <w:t xml:space="preserve">afficherait </w:t>
      </w:r>
      <w:r w:rsidRPr="009D0B3A">
        <w:t>une augmentation de 0,18</w:t>
      </w:r>
      <w:r w:rsidR="00C441E2">
        <w:t> </w:t>
      </w:r>
      <w:r w:rsidRPr="009D0B3A">
        <w:t>tonne de substances appauvrissant la couche d</w:t>
      </w:r>
      <w:r w:rsidR="00AA6A89" w:rsidRPr="009D0B3A">
        <w:t>’</w:t>
      </w:r>
      <w:r w:rsidRPr="009D0B3A">
        <w:t>ozone (3</w:t>
      </w:r>
      <w:r w:rsidR="00CE1598">
        <w:t> </w:t>
      </w:r>
      <w:r w:rsidRPr="009D0B3A">
        <w:t>%) et de 6</w:t>
      </w:r>
      <w:r w:rsidR="00C441E2">
        <w:t> </w:t>
      </w:r>
      <w:r w:rsidRPr="009D0B3A">
        <w:t>154</w:t>
      </w:r>
      <w:r w:rsidR="00C441E2">
        <w:t> </w:t>
      </w:r>
      <w:r w:rsidRPr="009D0B3A">
        <w:t>tonnes d</w:t>
      </w:r>
      <w:r w:rsidR="00AA6A89" w:rsidRPr="009D0B3A">
        <w:t>’</w:t>
      </w:r>
      <w:r w:rsidRPr="009D0B3A">
        <w:t>équivalent CO</w:t>
      </w:r>
      <w:r w:rsidRPr="009D0B3A">
        <w:rPr>
          <w:vertAlign w:val="subscript"/>
        </w:rPr>
        <w:t>2</w:t>
      </w:r>
      <w:r w:rsidRPr="009D0B3A">
        <w:t xml:space="preserve"> (5,5</w:t>
      </w:r>
      <w:r w:rsidR="00CE1598">
        <w:t> </w:t>
      </w:r>
      <w:r w:rsidRPr="009D0B3A">
        <w:t>%) par rapport à la consommation initiale pour 2009. Conformément à la décision</w:t>
      </w:r>
      <w:r w:rsidR="00C60767">
        <w:t> </w:t>
      </w:r>
      <w:r w:rsidRPr="009D0B3A">
        <w:t>XV/19, la Bosnie-Herzégovine avait expliqué qu</w:t>
      </w:r>
      <w:r w:rsidR="00AA6A89" w:rsidRPr="009D0B3A">
        <w:t>’</w:t>
      </w:r>
      <w:r w:rsidRPr="009D0B3A">
        <w:t>il y avait eu une erreur dans le chiffre communiqué pour une exportation effectuée par une entreprise en 2009. La Partie avait précisé que la société n</w:t>
      </w:r>
      <w:r w:rsidR="00AA6A89" w:rsidRPr="009D0B3A">
        <w:t>’</w:t>
      </w:r>
      <w:r w:rsidRPr="009D0B3A">
        <w:t>avait effectué qu</w:t>
      </w:r>
      <w:r w:rsidR="00AA6A89" w:rsidRPr="009D0B3A">
        <w:t>’</w:t>
      </w:r>
      <w:r w:rsidRPr="009D0B3A">
        <w:t xml:space="preserve">une seule exportation de cette quantité, et que celle-ci avait eu lieu en 2010, ce qui avait été confirmé par </w:t>
      </w:r>
      <w:r w:rsidR="003536A4" w:rsidRPr="009D0B3A">
        <w:t>des échanges</w:t>
      </w:r>
      <w:r w:rsidRPr="009D0B3A">
        <w:t xml:space="preserve"> avec le service national de l</w:t>
      </w:r>
      <w:r w:rsidR="00AA6A89" w:rsidRPr="009D0B3A">
        <w:t>’</w:t>
      </w:r>
      <w:r w:rsidRPr="009D0B3A">
        <w:t>ozone de Serbie, des documents douaniers et une déclaration signée par la société.</w:t>
      </w:r>
    </w:p>
    <w:p w14:paraId="17B9816A" w14:textId="4FACA0BF" w:rsidR="001E2C00" w:rsidRPr="009D0B3A" w:rsidRDefault="001E2C00" w:rsidP="002C0110">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bookmarkStart w:id="31" w:name="_Hlk212852120"/>
      <w:r w:rsidRPr="009D0B3A">
        <w:t>Le Comité</w:t>
      </w:r>
      <w:r w:rsidR="006A0B5B" w:rsidRPr="009D0B3A">
        <w:t xml:space="preserve"> </w:t>
      </w:r>
      <w:r w:rsidR="009630EC" w:rsidRPr="009D0B3A">
        <w:t>est donc convenu</w:t>
      </w:r>
      <w:r w:rsidR="00AA6A89" w:rsidRPr="009D0B3A">
        <w:t> :</w:t>
      </w:r>
    </w:p>
    <w:bookmarkEnd w:id="31"/>
    <w:p w14:paraId="42A6753B" w14:textId="6202E508" w:rsidR="001E2C00" w:rsidRPr="009D0B3A" w:rsidRDefault="00DB42D5" w:rsidP="00595EA1">
      <w:pPr>
        <w:pStyle w:val="Indent"/>
        <w:ind w:firstLine="769"/>
      </w:pPr>
      <w:r w:rsidRPr="009D0B3A">
        <w:rPr>
          <w:i/>
          <w:iCs/>
        </w:rPr>
        <w:t>Notant</w:t>
      </w:r>
      <w:r w:rsidR="001E2C00" w:rsidRPr="009D0B3A">
        <w:rPr>
          <w:i/>
          <w:iCs/>
        </w:rPr>
        <w:t xml:space="preserve"> avec satisfaction</w:t>
      </w:r>
      <w:r w:rsidR="001E2C00" w:rsidRPr="009D0B3A">
        <w:t xml:space="preserve"> </w:t>
      </w:r>
      <w:r w:rsidRPr="009D0B3A">
        <w:t>les informations</w:t>
      </w:r>
      <w:r w:rsidR="001E2C00" w:rsidRPr="009D0B3A">
        <w:t xml:space="preserve"> présentée</w:t>
      </w:r>
      <w:r w:rsidRPr="009D0B3A">
        <w:t>s</w:t>
      </w:r>
      <w:r w:rsidR="001E2C00" w:rsidRPr="009D0B3A">
        <w:t xml:space="preserve"> par la </w:t>
      </w:r>
      <w:r w:rsidR="0050705E" w:rsidRPr="009D0B3A">
        <w:t xml:space="preserve">Bosnie-Herzégovine </w:t>
      </w:r>
      <w:r w:rsidR="00AE201F" w:rsidRPr="009D0B3A">
        <w:t>à l’appui</w:t>
      </w:r>
      <w:r w:rsidR="001E2C00" w:rsidRPr="009D0B3A">
        <w:t xml:space="preserve"> de </w:t>
      </w:r>
      <w:r w:rsidR="00AE201F" w:rsidRPr="009D0B3A">
        <w:t>sa demande de</w:t>
      </w:r>
      <w:r w:rsidR="001E2C00" w:rsidRPr="009D0B3A">
        <w:t xml:space="preserve"> révision de ses données de consommation de substances réglementées du groupe I de l</w:t>
      </w:r>
      <w:r w:rsidR="00AA6A89" w:rsidRPr="009D0B3A">
        <w:t>’</w:t>
      </w:r>
      <w:r w:rsidR="001E2C00" w:rsidRPr="009D0B3A">
        <w:t>Annexe</w:t>
      </w:r>
      <w:r w:rsidR="00C60767">
        <w:t> </w:t>
      </w:r>
      <w:r w:rsidR="001E2C00" w:rsidRPr="009D0B3A">
        <w:t>C (hydro</w:t>
      </w:r>
      <w:r w:rsidR="00E34A15" w:rsidRPr="009D0B3A">
        <w:t>chloro</w:t>
      </w:r>
      <w:r w:rsidR="001E2C00" w:rsidRPr="009D0B3A">
        <w:t>fluorocarbones) pour l</w:t>
      </w:r>
      <w:r w:rsidR="00AA6A89" w:rsidRPr="009D0B3A">
        <w:t>’</w:t>
      </w:r>
      <w:r w:rsidR="001E2C00" w:rsidRPr="009D0B3A">
        <w:t>année de référence 2009,</w:t>
      </w:r>
    </w:p>
    <w:p w14:paraId="06EC3B58" w14:textId="3EED7E2C" w:rsidR="001E2C00" w:rsidRPr="009D0B3A" w:rsidRDefault="00AE201F" w:rsidP="00595EA1">
      <w:pPr>
        <w:pStyle w:val="Indent"/>
        <w:ind w:firstLine="713"/>
      </w:pPr>
      <w:r w:rsidRPr="009D0B3A">
        <w:rPr>
          <w:i/>
          <w:iCs/>
        </w:rPr>
        <w:t xml:space="preserve">Notant </w:t>
      </w:r>
      <w:r w:rsidRPr="009D0B3A">
        <w:t xml:space="preserve">que </w:t>
      </w:r>
      <w:r w:rsidR="001E2C00" w:rsidRPr="009D0B3A">
        <w:t>la décision</w:t>
      </w:r>
      <w:r w:rsidR="00C60767">
        <w:t> </w:t>
      </w:r>
      <w:r w:rsidR="001E2C00" w:rsidRPr="009D0B3A">
        <w:t>XV/19 définit la méthod</w:t>
      </w:r>
      <w:r w:rsidR="008369A9" w:rsidRPr="009D0B3A">
        <w:t>ologie</w:t>
      </w:r>
      <w:r w:rsidR="001E2C00" w:rsidRPr="009D0B3A">
        <w:t xml:space="preserve"> à suivre pour les demandes de révision des données de référence,</w:t>
      </w:r>
    </w:p>
    <w:p w14:paraId="2FAD4974" w14:textId="227DF511" w:rsidR="001E2C00" w:rsidRPr="009D0B3A" w:rsidRDefault="001E2C00" w:rsidP="00595EA1">
      <w:pPr>
        <w:pStyle w:val="Indent"/>
        <w:ind w:firstLine="713"/>
      </w:pPr>
      <w:r w:rsidRPr="009D0B3A">
        <w:rPr>
          <w:i/>
          <w:iCs/>
        </w:rPr>
        <w:t>Se félicitant</w:t>
      </w:r>
      <w:r w:rsidRPr="009D0B3A">
        <w:t xml:space="preserve"> des efforts consentis par la Bosnie-Herzégovine pour présenter les informations demandées dans la décision</w:t>
      </w:r>
      <w:r w:rsidR="00771DA1">
        <w:t> </w:t>
      </w:r>
      <w:r w:rsidRPr="009D0B3A">
        <w:t>XV/19,</w:t>
      </w:r>
    </w:p>
    <w:p w14:paraId="25E7C09B" w14:textId="08991A08" w:rsidR="001E2C00" w:rsidRPr="009D0B3A" w:rsidRDefault="001E2C00" w:rsidP="00156506">
      <w:pPr>
        <w:pStyle w:val="Indent"/>
        <w:ind w:firstLine="713"/>
      </w:pPr>
      <w:r w:rsidRPr="009D0B3A">
        <w:t>De transmettre à la trente-septième</w:t>
      </w:r>
      <w:r w:rsidR="006E7DFD">
        <w:t> </w:t>
      </w:r>
      <w:r w:rsidRPr="009D0B3A">
        <w:t>Réunion des Parties au Protocole de</w:t>
      </w:r>
      <w:r w:rsidR="006E7DFD">
        <w:t> </w:t>
      </w:r>
      <w:r w:rsidRPr="009D0B3A">
        <w:t>Montréal relatif à des substances qui appauvrissent la couche d</w:t>
      </w:r>
      <w:r w:rsidR="00AA6A89" w:rsidRPr="009D0B3A">
        <w:t>’</w:t>
      </w:r>
      <w:r w:rsidRPr="009D0B3A">
        <w:t>ozone, pour examen, le projet de décision figurant à la section</w:t>
      </w:r>
      <w:r w:rsidR="00824D3A">
        <w:t> </w:t>
      </w:r>
      <w:r w:rsidRPr="009D0B3A">
        <w:t>H de l</w:t>
      </w:r>
      <w:r w:rsidR="00AA6A89" w:rsidRPr="009D0B3A">
        <w:t>’</w:t>
      </w:r>
      <w:r w:rsidRPr="009D0B3A">
        <w:t>annexe</w:t>
      </w:r>
      <w:r w:rsidR="00E33D13">
        <w:t> </w:t>
      </w:r>
      <w:r w:rsidRPr="009D0B3A">
        <w:t>I du présent</w:t>
      </w:r>
      <w:r w:rsidR="00641093">
        <w:t> </w:t>
      </w:r>
      <w:r w:rsidRPr="009D0B3A">
        <w:t>rapport, aux termes duquel la trente-septième</w:t>
      </w:r>
      <w:r w:rsidR="00E72E6F">
        <w:t> </w:t>
      </w:r>
      <w:r w:rsidRPr="009D0B3A">
        <w:t xml:space="preserve">Réunion des Parties approuverait la demande présentée par la Bosnie-Herzégovine aux fins de révision de ses données de </w:t>
      </w:r>
      <w:r w:rsidRPr="009D0B3A">
        <w:lastRenderedPageBreak/>
        <w:t>consommation d</w:t>
      </w:r>
      <w:r w:rsidR="00AA6A89" w:rsidRPr="009D0B3A">
        <w:t>’</w:t>
      </w:r>
      <w:r w:rsidRPr="009D0B3A">
        <w:t>hydro</w:t>
      </w:r>
      <w:r w:rsidR="005D1B2D" w:rsidRPr="009D0B3A">
        <w:t>chloro</w:t>
      </w:r>
      <w:r w:rsidRPr="009D0B3A">
        <w:t>fluorocarbones pour l</w:t>
      </w:r>
      <w:r w:rsidR="00AA6A89" w:rsidRPr="009D0B3A">
        <w:t>’</w:t>
      </w:r>
      <w:r w:rsidRPr="009D0B3A">
        <w:t>année de référence 2009 à 5,96</w:t>
      </w:r>
      <w:r w:rsidR="00B308CF">
        <w:t> </w:t>
      </w:r>
      <w:r w:rsidRPr="009D0B3A">
        <w:t>tonnes PDO, (117</w:t>
      </w:r>
      <w:r w:rsidR="00B308CF">
        <w:t> </w:t>
      </w:r>
      <w:r w:rsidRPr="009D0B3A">
        <w:t>966,60</w:t>
      </w:r>
      <w:r w:rsidR="00B308CF">
        <w:t> </w:t>
      </w:r>
      <w:r w:rsidRPr="009D0B3A">
        <w:t>tonnes d</w:t>
      </w:r>
      <w:r w:rsidR="00AA6A89" w:rsidRPr="009D0B3A">
        <w:t>’</w:t>
      </w:r>
      <w:r w:rsidRPr="009D0B3A">
        <w:t>équivalent CO</w:t>
      </w:r>
      <w:r w:rsidRPr="009D0B3A">
        <w:rPr>
          <w:vertAlign w:val="subscript"/>
        </w:rPr>
        <w:t>2</w:t>
      </w:r>
      <w:r w:rsidRPr="009D0B3A">
        <w:t>).</w:t>
      </w:r>
    </w:p>
    <w:p w14:paraId="3CA01BF7" w14:textId="3AA329B2" w:rsidR="001E2C00" w:rsidRPr="009D0B3A" w:rsidRDefault="001E2C00" w:rsidP="001E2C00">
      <w:pPr>
        <w:pStyle w:val="Recommendation"/>
      </w:pPr>
      <w:r w:rsidRPr="009D0B3A">
        <w:t>Recommandation</w:t>
      </w:r>
      <w:r w:rsidR="00245D72">
        <w:t> </w:t>
      </w:r>
      <w:r w:rsidRPr="009D0B3A">
        <w:t>75/13</w:t>
      </w:r>
    </w:p>
    <w:p w14:paraId="4FCB6F56" w14:textId="58CBEA6D" w:rsidR="006275CB" w:rsidRPr="009D0B3A" w:rsidRDefault="005B33F1" w:rsidP="005B33F1">
      <w:pPr>
        <w:pStyle w:val="CH3"/>
      </w:pPr>
      <w:r>
        <w:rPr>
          <w:bCs/>
        </w:rPr>
        <w:tab/>
      </w:r>
      <w:r w:rsidR="006B3988">
        <w:rPr>
          <w:bCs/>
        </w:rPr>
        <w:t>2</w:t>
      </w:r>
      <w:r>
        <w:rPr>
          <w:bCs/>
        </w:rPr>
        <w:t>.</w:t>
      </w:r>
      <w:r>
        <w:rPr>
          <w:bCs/>
        </w:rPr>
        <w:tab/>
      </w:r>
      <w:r w:rsidR="006275CB" w:rsidRPr="009D0B3A">
        <w:rPr>
          <w:bCs/>
        </w:rPr>
        <w:t>Données de référence relatives aux HFC</w:t>
      </w:r>
    </w:p>
    <w:p w14:paraId="4A7B0764" w14:textId="251AF725" w:rsidR="006275CB" w:rsidRPr="009D0B3A" w:rsidRDefault="006275CB" w:rsidP="006F468B">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La Bosnie-Herzégovine avait présenté une demande de révision de ses données concernant sa consommation de HFC pour l</w:t>
      </w:r>
      <w:r w:rsidR="00AA6A89" w:rsidRPr="009D0B3A">
        <w:t>’</w:t>
      </w:r>
      <w:r w:rsidRPr="009D0B3A">
        <w:t>année de référence 2022. La révision proposée représenterait une augmentation de 61</w:t>
      </w:r>
      <w:r w:rsidR="003503FA">
        <w:t> </w:t>
      </w:r>
      <w:r w:rsidRPr="009D0B3A">
        <w:t>763</w:t>
      </w:r>
      <w:r w:rsidR="003503FA">
        <w:t> </w:t>
      </w:r>
      <w:r w:rsidRPr="009D0B3A">
        <w:t>tonnes d</w:t>
      </w:r>
      <w:r w:rsidR="00AA6A89" w:rsidRPr="009D0B3A">
        <w:t>’</w:t>
      </w:r>
      <w:r w:rsidRPr="009D0B3A">
        <w:t>équivalent CO</w:t>
      </w:r>
      <w:r w:rsidRPr="009D0B3A">
        <w:rPr>
          <w:vertAlign w:val="subscript"/>
        </w:rPr>
        <w:t>2</w:t>
      </w:r>
      <w:r w:rsidRPr="009D0B3A">
        <w:t xml:space="preserve"> (soit 4,6</w:t>
      </w:r>
      <w:r w:rsidR="00CE1598">
        <w:t> </w:t>
      </w:r>
      <w:r w:rsidRPr="009D0B3A">
        <w:t>%) par rapport au niveau de référence initial pour 2022. Conformément à la décision</w:t>
      </w:r>
      <w:r w:rsidR="00FB3C99">
        <w:t> </w:t>
      </w:r>
      <w:r w:rsidRPr="009D0B3A">
        <w:t>XV/19, la Bosnie-Herzégovine avait expliqué qu</w:t>
      </w:r>
      <w:r w:rsidR="00AA6A89" w:rsidRPr="009D0B3A">
        <w:t>’</w:t>
      </w:r>
      <w:r w:rsidRPr="009D0B3A">
        <w:t>une importation effectuée par une entreprise en 2022 avait été enregistrée par erreur sous l</w:t>
      </w:r>
      <w:r w:rsidR="00AA6A89" w:rsidRPr="009D0B3A">
        <w:t>’</w:t>
      </w:r>
      <w:r w:rsidRPr="009D0B3A">
        <w:t>année 2023 en raison d</w:t>
      </w:r>
      <w:r w:rsidR="00AA6A89" w:rsidRPr="009D0B3A">
        <w:t>’</w:t>
      </w:r>
      <w:r w:rsidRPr="009D0B3A">
        <w:t>un dédouanement tardif et que, dans le cas d</w:t>
      </w:r>
      <w:r w:rsidR="00AA6A89" w:rsidRPr="009D0B3A">
        <w:t>’</w:t>
      </w:r>
      <w:r w:rsidRPr="009D0B3A">
        <w:t>une autre entreprise, un</w:t>
      </w:r>
      <w:r w:rsidR="00110037" w:rsidRPr="009D0B3A">
        <w:t>(e)</w:t>
      </w:r>
      <w:r w:rsidRPr="009D0B3A">
        <w:t xml:space="preserve"> agent</w:t>
      </w:r>
      <w:r w:rsidR="00110037" w:rsidRPr="009D0B3A">
        <w:t>(e)</w:t>
      </w:r>
      <w:r w:rsidRPr="009D0B3A">
        <w:t xml:space="preserve"> des douanes avait utilisé des codes tarifaires incorrects. La Partie avait fourni des documents prouvant l</w:t>
      </w:r>
      <w:r w:rsidR="00AA6A89" w:rsidRPr="009D0B3A">
        <w:t>’</w:t>
      </w:r>
      <w:r w:rsidRPr="009D0B3A">
        <w:t>enregistrement incorrect des importations de 2022, y</w:t>
      </w:r>
      <w:r w:rsidR="00545566">
        <w:t> </w:t>
      </w:r>
      <w:r w:rsidRPr="009D0B3A">
        <w:t>compris une liste de colisage provenant de Chine pour 2022</w:t>
      </w:r>
      <w:r w:rsidR="00DC6431" w:rsidRPr="009D0B3A">
        <w:t>,</w:t>
      </w:r>
      <w:r w:rsidRPr="009D0B3A">
        <w:t xml:space="preserve"> une note de la Chine pour 2022 au titre de la Convention relative au contrat de transport international de marchandises par route</w:t>
      </w:r>
      <w:r w:rsidR="00DC6431" w:rsidRPr="009D0B3A">
        <w:t>,</w:t>
      </w:r>
      <w:r w:rsidRPr="009D0B3A">
        <w:t xml:space="preserve"> un rapport officiel d</w:t>
      </w:r>
      <w:r w:rsidR="00AA6A89" w:rsidRPr="009D0B3A">
        <w:t>’</w:t>
      </w:r>
      <w:r w:rsidRPr="009D0B3A">
        <w:t>un importateur pour 2022</w:t>
      </w:r>
      <w:r w:rsidR="009F5A37" w:rsidRPr="009D0B3A">
        <w:t>,</w:t>
      </w:r>
      <w:r w:rsidRPr="009D0B3A">
        <w:t xml:space="preserve"> la liste de colisage provenant de Chine pour l</w:t>
      </w:r>
      <w:r w:rsidR="00AA6A89" w:rsidRPr="009D0B3A">
        <w:t>’</w:t>
      </w:r>
      <w:r w:rsidRPr="009D0B3A">
        <w:t>importation présumée de 2023</w:t>
      </w:r>
      <w:r w:rsidR="009F5A37" w:rsidRPr="009D0B3A">
        <w:t>,</w:t>
      </w:r>
      <w:r w:rsidRPr="009D0B3A">
        <w:t xml:space="preserve"> des informations fournies par l</w:t>
      </w:r>
      <w:r w:rsidR="00AA6A89" w:rsidRPr="009D0B3A">
        <w:t>’</w:t>
      </w:r>
      <w:r w:rsidRPr="009D0B3A">
        <w:t>importateur pour 2023 et un rapport douanier issu du système électronique indiquant les importations réalisées par l</w:t>
      </w:r>
      <w:r w:rsidR="00AA6A89" w:rsidRPr="009D0B3A">
        <w:t>’</w:t>
      </w:r>
      <w:r w:rsidRPr="009D0B3A">
        <w:t>entreprise en 2022.</w:t>
      </w:r>
    </w:p>
    <w:p w14:paraId="6724A0C4" w14:textId="7C1135D1" w:rsidR="003127A9" w:rsidRPr="009D0B3A" w:rsidRDefault="003127A9" w:rsidP="00094B0E">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Comité</w:t>
      </w:r>
      <w:r w:rsidR="00270BB3" w:rsidRPr="009D0B3A">
        <w:t xml:space="preserve"> est donc convenu</w:t>
      </w:r>
      <w:r w:rsidR="00AA6A89" w:rsidRPr="009D0B3A">
        <w:t> :</w:t>
      </w:r>
    </w:p>
    <w:p w14:paraId="03387764" w14:textId="114D7AF1" w:rsidR="003127A9" w:rsidRPr="009D0B3A" w:rsidRDefault="008348B2" w:rsidP="00EA20F4">
      <w:pPr>
        <w:pStyle w:val="Indent"/>
        <w:ind w:firstLine="769"/>
      </w:pPr>
      <w:r w:rsidRPr="009D0B3A">
        <w:rPr>
          <w:i/>
          <w:iCs/>
        </w:rPr>
        <w:t>Notant</w:t>
      </w:r>
      <w:r w:rsidR="003127A9" w:rsidRPr="009D0B3A">
        <w:rPr>
          <w:i/>
          <w:iCs/>
        </w:rPr>
        <w:t xml:space="preserve"> avec satisfaction</w:t>
      </w:r>
      <w:r w:rsidR="003127A9" w:rsidRPr="009D0B3A">
        <w:t xml:space="preserve"> </w:t>
      </w:r>
      <w:r w:rsidRPr="009D0B3A">
        <w:t>l</w:t>
      </w:r>
      <w:r w:rsidR="003127A9" w:rsidRPr="009D0B3A">
        <w:t xml:space="preserve">es informations </w:t>
      </w:r>
      <w:r w:rsidRPr="009D0B3A">
        <w:t xml:space="preserve">présentées </w:t>
      </w:r>
      <w:r w:rsidR="003127A9" w:rsidRPr="009D0B3A">
        <w:t>par la Bosnie-Herzégovine à l</w:t>
      </w:r>
      <w:r w:rsidR="00AA6A89" w:rsidRPr="009D0B3A">
        <w:t>’</w:t>
      </w:r>
      <w:r w:rsidR="003127A9" w:rsidRPr="009D0B3A">
        <w:t>appui de sa demande de révision de ses données de consommation de substances réglementées du groupe</w:t>
      </w:r>
      <w:r w:rsidR="00357D95">
        <w:t> </w:t>
      </w:r>
      <w:r w:rsidR="003127A9" w:rsidRPr="009D0B3A">
        <w:t>I de l</w:t>
      </w:r>
      <w:r w:rsidR="00AA6A89" w:rsidRPr="009D0B3A">
        <w:t>’</w:t>
      </w:r>
      <w:r w:rsidR="003127A9" w:rsidRPr="009D0B3A">
        <w:t>Annexe</w:t>
      </w:r>
      <w:r w:rsidR="00357D95">
        <w:t> </w:t>
      </w:r>
      <w:r w:rsidR="003127A9" w:rsidRPr="009D0B3A">
        <w:t>F (hydrofluorocarbones) pour l</w:t>
      </w:r>
      <w:r w:rsidR="00AA6A89" w:rsidRPr="009D0B3A">
        <w:t>’</w:t>
      </w:r>
      <w:r w:rsidR="003127A9" w:rsidRPr="009D0B3A">
        <w:t>année de référence 2022,</w:t>
      </w:r>
    </w:p>
    <w:p w14:paraId="2848F84B" w14:textId="5655BB10" w:rsidR="003127A9" w:rsidRPr="009D0B3A" w:rsidRDefault="00110037" w:rsidP="00EA20F4">
      <w:pPr>
        <w:pStyle w:val="Indent"/>
        <w:ind w:firstLine="769"/>
      </w:pPr>
      <w:r w:rsidRPr="009D0B3A">
        <w:rPr>
          <w:i/>
          <w:iCs/>
        </w:rPr>
        <w:t>Notant</w:t>
      </w:r>
      <w:r w:rsidRPr="009D0B3A">
        <w:t xml:space="preserve"> que </w:t>
      </w:r>
      <w:r w:rsidR="003127A9" w:rsidRPr="009D0B3A">
        <w:t>la décision</w:t>
      </w:r>
      <w:r w:rsidR="009F4370">
        <w:t> </w:t>
      </w:r>
      <w:r w:rsidR="003127A9" w:rsidRPr="009D0B3A">
        <w:t>XV/19 définit la méthod</w:t>
      </w:r>
      <w:r w:rsidR="00666E59" w:rsidRPr="009D0B3A">
        <w:t>o</w:t>
      </w:r>
      <w:r w:rsidR="00093D28" w:rsidRPr="009D0B3A">
        <w:t>logie</w:t>
      </w:r>
      <w:r w:rsidR="003127A9" w:rsidRPr="009D0B3A">
        <w:t xml:space="preserve"> à suivre pour les demandes de révision des données de référence,</w:t>
      </w:r>
    </w:p>
    <w:p w14:paraId="126A1B3C" w14:textId="64987E6A" w:rsidR="003127A9" w:rsidRPr="009D0B3A" w:rsidRDefault="003127A9" w:rsidP="00EA20F4">
      <w:pPr>
        <w:pStyle w:val="Indent"/>
        <w:ind w:firstLine="797"/>
      </w:pPr>
      <w:r w:rsidRPr="009D0B3A">
        <w:rPr>
          <w:i/>
          <w:iCs/>
        </w:rPr>
        <w:t>Se félicitant</w:t>
      </w:r>
      <w:r w:rsidRPr="009D0B3A">
        <w:t xml:space="preserve"> des efforts consentis par la Bosnie-Herzégovine pour présenter les informations demandées dans la décision</w:t>
      </w:r>
      <w:r w:rsidR="0066388B">
        <w:t> </w:t>
      </w:r>
      <w:r w:rsidRPr="009D0B3A">
        <w:t>XV/19,</w:t>
      </w:r>
    </w:p>
    <w:p w14:paraId="0BA389F1" w14:textId="16F9C659" w:rsidR="003127A9" w:rsidRPr="009D0B3A" w:rsidRDefault="003127A9" w:rsidP="00045748">
      <w:pPr>
        <w:pStyle w:val="Indent"/>
        <w:ind w:firstLine="783"/>
        <w:rPr>
          <w:rFonts w:asciiTheme="majorBidi" w:eastAsiaTheme="minorEastAsia" w:hAnsiTheme="majorBidi" w:cstheme="majorBidi"/>
          <w:bCs/>
          <w:kern w:val="2"/>
          <w14:ligatures w14:val="standardContextual"/>
        </w:rPr>
      </w:pPr>
      <w:r w:rsidRPr="009D0B3A">
        <w:t>De transmettre à la trente-septième</w:t>
      </w:r>
      <w:r w:rsidR="00C92D87">
        <w:t> </w:t>
      </w:r>
      <w:r w:rsidRPr="009D0B3A">
        <w:t>Réunion des Parties au Protocole de</w:t>
      </w:r>
      <w:r w:rsidR="003029E3">
        <w:t> </w:t>
      </w:r>
      <w:r w:rsidRPr="009D0B3A">
        <w:t>Montréal relatif à des substances qui appauvrissent la couche d</w:t>
      </w:r>
      <w:r w:rsidR="00AA6A89" w:rsidRPr="009D0B3A">
        <w:t>’</w:t>
      </w:r>
      <w:r w:rsidRPr="009D0B3A">
        <w:t>ozone, pour examen, le projet de décision figurant à la section</w:t>
      </w:r>
      <w:r w:rsidR="00742293">
        <w:t> </w:t>
      </w:r>
      <w:r w:rsidRPr="009D0B3A">
        <w:t>H de l</w:t>
      </w:r>
      <w:r w:rsidR="00AA6A89" w:rsidRPr="009D0B3A">
        <w:t>’</w:t>
      </w:r>
      <w:r w:rsidRPr="009D0B3A">
        <w:t>annexe</w:t>
      </w:r>
      <w:r w:rsidR="00742293">
        <w:t> </w:t>
      </w:r>
      <w:r w:rsidRPr="009D0B3A">
        <w:t>I du présent</w:t>
      </w:r>
      <w:r w:rsidR="00742293">
        <w:t> </w:t>
      </w:r>
      <w:r w:rsidRPr="009D0B3A">
        <w:t>rapport, aux termes duquel la trente-septième</w:t>
      </w:r>
      <w:r w:rsidR="0053155B">
        <w:t> </w:t>
      </w:r>
      <w:r w:rsidRPr="009D0B3A">
        <w:t>Réunion des Parties approuverait la demande présentée par la Bosnie-Herzégovine aux fins de révision de ses données de consommation d</w:t>
      </w:r>
      <w:r w:rsidR="00AA6A89" w:rsidRPr="009D0B3A">
        <w:t>’</w:t>
      </w:r>
      <w:r w:rsidRPr="009D0B3A">
        <w:t>hydrofluorocarbones pour l</w:t>
      </w:r>
      <w:r w:rsidR="00AA6A89" w:rsidRPr="009D0B3A">
        <w:t>’</w:t>
      </w:r>
      <w:r w:rsidRPr="009D0B3A">
        <w:t>année de référence 2022, à 1</w:t>
      </w:r>
      <w:r w:rsidR="0053155B">
        <w:t> </w:t>
      </w:r>
      <w:r w:rsidRPr="009D0B3A">
        <w:t>402</w:t>
      </w:r>
      <w:r w:rsidR="0053155B">
        <w:t> </w:t>
      </w:r>
      <w:r w:rsidRPr="009D0B3A">
        <w:t>682</w:t>
      </w:r>
      <w:r w:rsidR="00660F3C">
        <w:t> </w:t>
      </w:r>
      <w:r w:rsidRPr="009D0B3A">
        <w:t>tonnes d</w:t>
      </w:r>
      <w:r w:rsidR="00AA6A89" w:rsidRPr="009D0B3A">
        <w:t>’</w:t>
      </w:r>
      <w:r w:rsidRPr="009D0B3A">
        <w:t>équivalent CO</w:t>
      </w:r>
      <w:r w:rsidRPr="009D0B3A">
        <w:rPr>
          <w:vertAlign w:val="subscript"/>
        </w:rPr>
        <w:t>2</w:t>
      </w:r>
      <w:r w:rsidRPr="009D0B3A">
        <w:t>.</w:t>
      </w:r>
    </w:p>
    <w:p w14:paraId="6370C99B" w14:textId="1DD4274A" w:rsidR="003127A9" w:rsidRPr="009D0B3A" w:rsidRDefault="003127A9" w:rsidP="003127A9">
      <w:pPr>
        <w:pStyle w:val="Recommendation"/>
      </w:pPr>
      <w:r w:rsidRPr="009D0B3A">
        <w:t>Recommandation</w:t>
      </w:r>
      <w:r w:rsidR="00AA3F86">
        <w:t> </w:t>
      </w:r>
      <w:r w:rsidRPr="009D0B3A">
        <w:t>75/14</w:t>
      </w:r>
    </w:p>
    <w:p w14:paraId="1C16B30C" w14:textId="0B4AD9FC" w:rsidR="006275CB" w:rsidRPr="009D0B3A" w:rsidRDefault="00D9722F" w:rsidP="00D9722F">
      <w:pPr>
        <w:pStyle w:val="CH2"/>
      </w:pPr>
      <w:r>
        <w:rPr>
          <w:bCs/>
        </w:rPr>
        <w:tab/>
      </w:r>
      <w:r w:rsidR="00B226A2">
        <w:rPr>
          <w:bCs/>
        </w:rPr>
        <w:t>E</w:t>
      </w:r>
      <w:r>
        <w:rPr>
          <w:bCs/>
        </w:rPr>
        <w:t>.</w:t>
      </w:r>
      <w:r>
        <w:rPr>
          <w:bCs/>
        </w:rPr>
        <w:tab/>
      </w:r>
      <w:r w:rsidR="006275CB" w:rsidRPr="009D0B3A">
        <w:rPr>
          <w:bCs/>
        </w:rPr>
        <w:t>Brésil</w:t>
      </w:r>
    </w:p>
    <w:p w14:paraId="2DDF9C91" w14:textId="43149953" w:rsidR="006275CB" w:rsidRPr="009D0B3A" w:rsidRDefault="006275CB" w:rsidP="0014479A">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Brésil avait présenté une demande de révision de ses données concernant sa consommation de HFC pour l</w:t>
      </w:r>
      <w:r w:rsidR="00AA6A89" w:rsidRPr="009D0B3A">
        <w:t>’</w:t>
      </w:r>
      <w:r w:rsidRPr="009D0B3A">
        <w:t>année de référence 2022. La révision proposée représenterait une baisse de 10</w:t>
      </w:r>
      <w:r w:rsidR="008E48E0">
        <w:t> </w:t>
      </w:r>
      <w:r w:rsidRPr="009D0B3A">
        <w:t>340</w:t>
      </w:r>
      <w:r w:rsidR="008E48E0">
        <w:t> </w:t>
      </w:r>
      <w:r w:rsidRPr="009D0B3A">
        <w:t>564</w:t>
      </w:r>
      <w:r w:rsidR="008E48E0">
        <w:t> </w:t>
      </w:r>
      <w:r w:rsidRPr="009D0B3A">
        <w:t>tonnes d</w:t>
      </w:r>
      <w:r w:rsidR="00AA6A89" w:rsidRPr="009D0B3A">
        <w:t>’</w:t>
      </w:r>
      <w:r w:rsidRPr="009D0B3A">
        <w:t>équivalent CO</w:t>
      </w:r>
      <w:r w:rsidRPr="009D0B3A">
        <w:rPr>
          <w:vertAlign w:val="subscript"/>
        </w:rPr>
        <w:t>2</w:t>
      </w:r>
      <w:r w:rsidRPr="009D0B3A">
        <w:t xml:space="preserve"> (soit 12</w:t>
      </w:r>
      <w:r w:rsidR="00CE1598">
        <w:t> </w:t>
      </w:r>
      <w:r w:rsidRPr="009D0B3A">
        <w:t>%) par rapport au niveau de référence initial pour 2022. Conformément à la décision</w:t>
      </w:r>
      <w:r w:rsidR="006635F3">
        <w:t> </w:t>
      </w:r>
      <w:r w:rsidRPr="009D0B3A">
        <w:t>XV/19, le Brésil avait expliqué qu</w:t>
      </w:r>
      <w:r w:rsidR="00AA6A89" w:rsidRPr="009D0B3A">
        <w:t>’</w:t>
      </w:r>
      <w:r w:rsidRPr="009D0B3A">
        <w:t>après la soumission des données pour 2022, plusieurs licences d</w:t>
      </w:r>
      <w:r w:rsidR="00AA6A89" w:rsidRPr="009D0B3A">
        <w:t>’</w:t>
      </w:r>
      <w:r w:rsidRPr="009D0B3A">
        <w:t>exportation avaient été annulées ou avaient expiré parce qu</w:t>
      </w:r>
      <w:r w:rsidR="00AA6A89" w:rsidRPr="009D0B3A">
        <w:t>’</w:t>
      </w:r>
      <w:r w:rsidRPr="009D0B3A">
        <w:t>elles n</w:t>
      </w:r>
      <w:r w:rsidR="00AA6A89" w:rsidRPr="009D0B3A">
        <w:t>’</w:t>
      </w:r>
      <w:r w:rsidRPr="009D0B3A">
        <w:t>avaient pas été utilisées dans le délai prescrit de 180</w:t>
      </w:r>
      <w:r w:rsidR="00363AC3">
        <w:t> </w:t>
      </w:r>
      <w:r w:rsidRPr="009D0B3A">
        <w:t>jours. Cela avait conduit à une réduction des valeurs initialement déclarées. La Partie avait également expliqué que le cycle d</w:t>
      </w:r>
      <w:r w:rsidR="00AA6A89" w:rsidRPr="009D0B3A">
        <w:t>’</w:t>
      </w:r>
      <w:r w:rsidRPr="009D0B3A">
        <w:t>importation de 2022 avait été entièrement achevé et que toutes les données relatives aux licences d</w:t>
      </w:r>
      <w:r w:rsidR="00AA6A89" w:rsidRPr="009D0B3A">
        <w:t>’</w:t>
      </w:r>
      <w:r w:rsidRPr="009D0B3A">
        <w:t>importation avaient été dûment examinées par l</w:t>
      </w:r>
      <w:r w:rsidR="00AA6A89" w:rsidRPr="009D0B3A">
        <w:t>’</w:t>
      </w:r>
      <w:r w:rsidR="002E2119" w:rsidRPr="009D0B3A">
        <w:t>organisme</w:t>
      </w:r>
      <w:r w:rsidRPr="009D0B3A">
        <w:t xml:space="preserve"> national chargé de gérer le système d</w:t>
      </w:r>
      <w:r w:rsidR="00AA6A89" w:rsidRPr="009D0B3A">
        <w:t>’</w:t>
      </w:r>
      <w:r w:rsidRPr="009D0B3A">
        <w:t>octroi de licences d</w:t>
      </w:r>
      <w:r w:rsidR="00AA6A89" w:rsidRPr="009D0B3A">
        <w:t>’</w:t>
      </w:r>
      <w:r w:rsidRPr="009D0B3A">
        <w:t>importation et par le Ministère de l</w:t>
      </w:r>
      <w:r w:rsidR="00AA6A89" w:rsidRPr="009D0B3A">
        <w:t>’</w:t>
      </w:r>
      <w:r w:rsidRPr="009D0B3A">
        <w:t>environnement et des changements climatiques. La méthodologie utilisée pour recueillir les nouveaux chiffres et en vérifier l</w:t>
      </w:r>
      <w:r w:rsidR="00AA6A89" w:rsidRPr="009D0B3A">
        <w:t>’</w:t>
      </w:r>
      <w:r w:rsidRPr="009D0B3A">
        <w:t>exactitude comprenait une analyse exhaustive de toutes les licences d</w:t>
      </w:r>
      <w:r w:rsidR="00AA6A89" w:rsidRPr="009D0B3A">
        <w:t>’</w:t>
      </w:r>
      <w:r w:rsidRPr="009D0B3A">
        <w:t>importation délivrées en 2022 et ayant expiré la même année. La Partie avait fourni des documents à l</w:t>
      </w:r>
      <w:r w:rsidR="00AA6A89" w:rsidRPr="009D0B3A">
        <w:t>’</w:t>
      </w:r>
      <w:r w:rsidRPr="009D0B3A">
        <w:t xml:space="preserve">appui de sa demande, notamment les registres du système électronique utilisé par le Brésil qui contenaient des informations sur toutes les licences </w:t>
      </w:r>
      <w:r w:rsidR="00603958" w:rsidRPr="009D0B3A">
        <w:t>octroyées</w:t>
      </w:r>
      <w:r w:rsidR="000D59AE" w:rsidRPr="009D0B3A">
        <w:t xml:space="preserve"> </w:t>
      </w:r>
      <w:r w:rsidRPr="009D0B3A">
        <w:t>par la Partie.</w:t>
      </w:r>
    </w:p>
    <w:p w14:paraId="361AB979" w14:textId="376585E0" w:rsidR="005246D5" w:rsidRPr="009D0B3A" w:rsidRDefault="005246D5" w:rsidP="0054440F">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bookmarkStart w:id="32" w:name="_Hlk212852324"/>
      <w:r w:rsidRPr="009D0B3A">
        <w:t>Le Comité</w:t>
      </w:r>
      <w:r w:rsidR="00B52442" w:rsidRPr="009D0B3A">
        <w:t xml:space="preserve"> est donc convenu</w:t>
      </w:r>
      <w:r w:rsidR="00AA6A89" w:rsidRPr="009D0B3A">
        <w:t> :</w:t>
      </w:r>
    </w:p>
    <w:bookmarkEnd w:id="32"/>
    <w:p w14:paraId="3A4A3A9D" w14:textId="0D583137" w:rsidR="005246D5" w:rsidRPr="009D0B3A" w:rsidRDefault="002E2119" w:rsidP="00EA19CA">
      <w:pPr>
        <w:pStyle w:val="Indent"/>
        <w:ind w:firstLine="741"/>
      </w:pPr>
      <w:r w:rsidRPr="009D0B3A">
        <w:rPr>
          <w:i/>
          <w:iCs/>
        </w:rPr>
        <w:t>Notant</w:t>
      </w:r>
      <w:r w:rsidR="005246D5" w:rsidRPr="009D0B3A">
        <w:rPr>
          <w:i/>
          <w:iCs/>
        </w:rPr>
        <w:t xml:space="preserve"> avec satisfaction</w:t>
      </w:r>
      <w:r w:rsidR="005246D5" w:rsidRPr="009D0B3A">
        <w:t xml:space="preserve"> </w:t>
      </w:r>
      <w:r w:rsidRPr="009D0B3A">
        <w:t>l</w:t>
      </w:r>
      <w:r w:rsidR="005246D5" w:rsidRPr="009D0B3A">
        <w:t xml:space="preserve">es informations </w:t>
      </w:r>
      <w:r w:rsidRPr="009D0B3A">
        <w:t xml:space="preserve">présentées </w:t>
      </w:r>
      <w:r w:rsidR="005246D5" w:rsidRPr="009D0B3A">
        <w:t>par le Brésil à l</w:t>
      </w:r>
      <w:r w:rsidR="00AA6A89" w:rsidRPr="009D0B3A">
        <w:t>’</w:t>
      </w:r>
      <w:r w:rsidR="005246D5" w:rsidRPr="009D0B3A">
        <w:t>appui de sa demande de révision de ses données de consommation de substances réglementées du groupe</w:t>
      </w:r>
      <w:r w:rsidR="00F63469">
        <w:t> </w:t>
      </w:r>
      <w:r w:rsidR="005246D5" w:rsidRPr="009D0B3A">
        <w:t>I de l</w:t>
      </w:r>
      <w:r w:rsidR="00AA6A89" w:rsidRPr="009D0B3A">
        <w:t>’</w:t>
      </w:r>
      <w:r w:rsidR="005246D5" w:rsidRPr="009D0B3A">
        <w:t>Annexe</w:t>
      </w:r>
      <w:r w:rsidR="00F63469">
        <w:t> </w:t>
      </w:r>
      <w:r w:rsidR="005246D5" w:rsidRPr="009D0B3A">
        <w:t>F (hydrofluorocarbones) pour l</w:t>
      </w:r>
      <w:r w:rsidR="00AA6A89" w:rsidRPr="009D0B3A">
        <w:t>’</w:t>
      </w:r>
      <w:r w:rsidR="005246D5" w:rsidRPr="009D0B3A">
        <w:t>année de référence 2022,</w:t>
      </w:r>
    </w:p>
    <w:p w14:paraId="4CB762D7" w14:textId="7865FFB7" w:rsidR="005246D5" w:rsidRPr="009D0B3A" w:rsidRDefault="002E2119" w:rsidP="00EA19CA">
      <w:pPr>
        <w:pStyle w:val="Indent"/>
        <w:ind w:firstLine="713"/>
      </w:pPr>
      <w:r w:rsidRPr="009D0B3A">
        <w:rPr>
          <w:i/>
          <w:iCs/>
        </w:rPr>
        <w:t>Notant</w:t>
      </w:r>
      <w:r w:rsidRPr="009D0B3A">
        <w:t xml:space="preserve"> que </w:t>
      </w:r>
      <w:r w:rsidR="005246D5" w:rsidRPr="009D0B3A">
        <w:t>la décision</w:t>
      </w:r>
      <w:r w:rsidR="00CC22D7">
        <w:t> </w:t>
      </w:r>
      <w:r w:rsidR="005246D5" w:rsidRPr="009D0B3A">
        <w:t>XV/19 définit la méthod</w:t>
      </w:r>
      <w:r w:rsidR="009D528C" w:rsidRPr="009D0B3A">
        <w:t>ologie</w:t>
      </w:r>
      <w:r w:rsidR="005246D5" w:rsidRPr="009D0B3A">
        <w:t xml:space="preserve"> à suivre pour les demandes de révision des données de référence,</w:t>
      </w:r>
    </w:p>
    <w:p w14:paraId="3257A8B9" w14:textId="7FCB1125" w:rsidR="005246D5" w:rsidRPr="009D0B3A" w:rsidRDefault="005246D5" w:rsidP="005246D5">
      <w:pPr>
        <w:pStyle w:val="Indent"/>
      </w:pPr>
      <w:r w:rsidRPr="009D0B3A">
        <w:rPr>
          <w:i/>
          <w:iCs/>
        </w:rPr>
        <w:lastRenderedPageBreak/>
        <w:t>Se félicitant</w:t>
      </w:r>
      <w:r w:rsidRPr="009D0B3A">
        <w:t xml:space="preserve"> des efforts consentis par le Brésil pour présenter les informations demandées dans la décision</w:t>
      </w:r>
      <w:r w:rsidR="0042445F">
        <w:t> </w:t>
      </w:r>
      <w:r w:rsidRPr="009D0B3A">
        <w:t>XV/19,</w:t>
      </w:r>
    </w:p>
    <w:p w14:paraId="67F09A25" w14:textId="7CAECCFA" w:rsidR="005246D5" w:rsidRPr="009D0B3A" w:rsidRDefault="005246D5" w:rsidP="005246D5">
      <w:pPr>
        <w:pStyle w:val="Indent"/>
        <w:rPr>
          <w:iCs/>
        </w:rPr>
      </w:pPr>
      <w:r w:rsidRPr="009D0B3A">
        <w:t>De transmettre à la trente-septième</w:t>
      </w:r>
      <w:r w:rsidR="0042445F">
        <w:t> </w:t>
      </w:r>
      <w:r w:rsidRPr="009D0B3A">
        <w:t>Réunion des Parties au Protocole de</w:t>
      </w:r>
      <w:r w:rsidR="00CC04BC">
        <w:t> </w:t>
      </w:r>
      <w:r w:rsidRPr="009D0B3A">
        <w:t>Montréal relatif à des substances qui appauvrissent la couche d</w:t>
      </w:r>
      <w:r w:rsidR="00AA6A89" w:rsidRPr="009D0B3A">
        <w:t>’</w:t>
      </w:r>
      <w:r w:rsidRPr="009D0B3A">
        <w:t>ozone, pour examen, le projet de décision figurant à la section H de l</w:t>
      </w:r>
      <w:r w:rsidR="00AA6A89" w:rsidRPr="009D0B3A">
        <w:t>’</w:t>
      </w:r>
      <w:r w:rsidRPr="009D0B3A">
        <w:t>annexe</w:t>
      </w:r>
      <w:r w:rsidR="00CC04BC">
        <w:t> </w:t>
      </w:r>
      <w:r w:rsidRPr="009D0B3A">
        <w:t>I du présent</w:t>
      </w:r>
      <w:r w:rsidR="00C77B9D">
        <w:t> </w:t>
      </w:r>
      <w:r w:rsidRPr="009D0B3A">
        <w:t>rapport, aux termes duquel la trente-septième Réunion des Parties approuverait la demande présentée par le Brésil aux fins de révision de ses données de consommation d</w:t>
      </w:r>
      <w:r w:rsidR="00AA6A89" w:rsidRPr="009D0B3A">
        <w:t>’</w:t>
      </w:r>
      <w:r w:rsidRPr="009D0B3A">
        <w:t>hydrofluorocarbones pour l</w:t>
      </w:r>
      <w:r w:rsidR="00AA6A89" w:rsidRPr="009D0B3A">
        <w:t>’</w:t>
      </w:r>
      <w:r w:rsidRPr="009D0B3A">
        <w:t>année de référence 2022, à 79</w:t>
      </w:r>
      <w:r w:rsidR="00493252">
        <w:t> </w:t>
      </w:r>
      <w:r w:rsidRPr="009D0B3A">
        <w:t>416</w:t>
      </w:r>
      <w:r w:rsidR="00493252">
        <w:t> </w:t>
      </w:r>
      <w:r w:rsidRPr="009D0B3A">
        <w:t>087</w:t>
      </w:r>
      <w:r w:rsidR="00493252">
        <w:t> </w:t>
      </w:r>
      <w:r w:rsidRPr="009D0B3A">
        <w:t>tonnes d</w:t>
      </w:r>
      <w:r w:rsidR="00AA6A89" w:rsidRPr="009D0B3A">
        <w:t>’</w:t>
      </w:r>
      <w:r w:rsidRPr="009D0B3A">
        <w:t>équivalent CO</w:t>
      </w:r>
      <w:r w:rsidRPr="009D0B3A">
        <w:rPr>
          <w:vertAlign w:val="subscript"/>
        </w:rPr>
        <w:t>2</w:t>
      </w:r>
      <w:r w:rsidRPr="009D0B3A">
        <w:t>).</w:t>
      </w:r>
    </w:p>
    <w:p w14:paraId="46C62C38" w14:textId="2FC07561" w:rsidR="005246D5" w:rsidRPr="009D0B3A" w:rsidRDefault="005246D5" w:rsidP="005246D5">
      <w:pPr>
        <w:pStyle w:val="Recommendation"/>
      </w:pPr>
      <w:r w:rsidRPr="009D0B3A">
        <w:t>Recommandation</w:t>
      </w:r>
      <w:r w:rsidR="006128ED">
        <w:t> </w:t>
      </w:r>
      <w:r w:rsidRPr="009D0B3A">
        <w:t>75/15</w:t>
      </w:r>
    </w:p>
    <w:p w14:paraId="144F5D31" w14:textId="27DA16CC" w:rsidR="006275CB" w:rsidRPr="009D0B3A" w:rsidRDefault="006275CB" w:rsidP="006275CB">
      <w:pPr>
        <w:pStyle w:val="CH2"/>
      </w:pPr>
      <w:r w:rsidRPr="009D0B3A">
        <w:tab/>
      </w:r>
      <w:r w:rsidR="008A2EA2" w:rsidRPr="009D0B3A">
        <w:rPr>
          <w:bCs/>
        </w:rPr>
        <w:t>F.</w:t>
      </w:r>
      <w:r w:rsidR="009E5D97" w:rsidRPr="009D0B3A">
        <w:tab/>
      </w:r>
      <w:r w:rsidRPr="009D0B3A">
        <w:rPr>
          <w:bCs/>
        </w:rPr>
        <w:t>Somalie</w:t>
      </w:r>
    </w:p>
    <w:p w14:paraId="43B6E8A8" w14:textId="0A6D6EBE" w:rsidR="006275CB" w:rsidRPr="009D0B3A" w:rsidRDefault="006275CB" w:rsidP="00043F1A">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La Somalie avait présenté une demande de révision de ses données concernant sa consommation de HFC pour l</w:t>
      </w:r>
      <w:r w:rsidR="00AA6A89" w:rsidRPr="009D0B3A">
        <w:t>’</w:t>
      </w:r>
      <w:r w:rsidRPr="009D0B3A">
        <w:t>année de référence 2022. La révision proposée représenterait une augmentation de 600 824</w:t>
      </w:r>
      <w:r w:rsidR="0060346B">
        <w:t> </w:t>
      </w:r>
      <w:r w:rsidRPr="009D0B3A">
        <w:t>tonnes d</w:t>
      </w:r>
      <w:r w:rsidR="00AA6A89" w:rsidRPr="009D0B3A">
        <w:t>’</w:t>
      </w:r>
      <w:r w:rsidRPr="009D0B3A">
        <w:t>équivalent CO</w:t>
      </w:r>
      <w:r w:rsidRPr="00043F1A">
        <w:t>2</w:t>
      </w:r>
      <w:r w:rsidRPr="009D0B3A">
        <w:t xml:space="preserve"> (soit 172</w:t>
      </w:r>
      <w:r w:rsidR="00CE1598">
        <w:t> </w:t>
      </w:r>
      <w:r w:rsidRPr="009D0B3A">
        <w:t>%) par rapport au</w:t>
      </w:r>
      <w:r w:rsidR="005369A2" w:rsidRPr="009D0B3A">
        <w:t xml:space="preserve">x données </w:t>
      </w:r>
      <w:r w:rsidRPr="009D0B3A">
        <w:t>initial</w:t>
      </w:r>
      <w:r w:rsidR="005369A2" w:rsidRPr="009D0B3A">
        <w:t>es de consommation</w:t>
      </w:r>
      <w:r w:rsidRPr="009D0B3A">
        <w:t xml:space="preserve"> pour 2022. Conformément à la décision</w:t>
      </w:r>
      <w:r w:rsidR="0060346B">
        <w:t> </w:t>
      </w:r>
      <w:r w:rsidRPr="009D0B3A">
        <w:t>XV/19, la Somalie avait expliqué que les données de référence initiales pour les HFC avaient montré des niveaux de consommation nettement inférieurs à ceux des années précédentes, malgré une augmentation constante de la quantité d</w:t>
      </w:r>
      <w:r w:rsidR="00AA6A89" w:rsidRPr="009D0B3A">
        <w:t>’</w:t>
      </w:r>
      <w:r w:rsidRPr="009D0B3A">
        <w:t xml:space="preserve">équipements de réfrigération et de climatisation </w:t>
      </w:r>
      <w:r w:rsidR="00304A39" w:rsidRPr="009D0B3A">
        <w:t>en service</w:t>
      </w:r>
      <w:r w:rsidRPr="009D0B3A">
        <w:t xml:space="preserve">. Les données actualisées avaient été recueillies </w:t>
      </w:r>
      <w:r w:rsidR="00304A39" w:rsidRPr="009D0B3A">
        <w:t>dans le cadre d’</w:t>
      </w:r>
      <w:r w:rsidRPr="009D0B3A">
        <w:t>une approche de vérification</w:t>
      </w:r>
      <w:r w:rsidR="00304A39" w:rsidRPr="009D0B3A">
        <w:t xml:space="preserve"> exhaustive et systématique</w:t>
      </w:r>
      <w:r w:rsidRPr="009D0B3A">
        <w:t>, qui avait permis d</w:t>
      </w:r>
      <w:r w:rsidR="00AA6A89" w:rsidRPr="009D0B3A">
        <w:t>’</w:t>
      </w:r>
      <w:r w:rsidRPr="009D0B3A">
        <w:t>évaluer la consommation et la gestion des HFC dans le pays. Le processus a</w:t>
      </w:r>
      <w:r w:rsidR="00304A39" w:rsidRPr="009D0B3A">
        <w:t>vait</w:t>
      </w:r>
      <w:r w:rsidRPr="009D0B3A">
        <w:t xml:space="preserve"> permis de garantir la collecte de données fiables à l</w:t>
      </w:r>
      <w:r w:rsidR="00AA6A89" w:rsidRPr="009D0B3A">
        <w:t>’</w:t>
      </w:r>
      <w:r w:rsidRPr="009D0B3A">
        <w:t>aide d</w:t>
      </w:r>
      <w:r w:rsidR="00AA6A89" w:rsidRPr="009D0B3A">
        <w:t>’</w:t>
      </w:r>
      <w:r w:rsidRPr="009D0B3A">
        <w:t xml:space="preserve">outils </w:t>
      </w:r>
      <w:r w:rsidR="00304A39" w:rsidRPr="009D0B3A">
        <w:t>normalisés, dans un souci</w:t>
      </w:r>
      <w:r w:rsidRPr="009D0B3A">
        <w:t xml:space="preserve"> </w:t>
      </w:r>
      <w:r w:rsidR="00304A39" w:rsidRPr="009D0B3A">
        <w:t>de</w:t>
      </w:r>
      <w:r w:rsidRPr="009D0B3A">
        <w:t xml:space="preserve"> cohérence et </w:t>
      </w:r>
      <w:r w:rsidR="00304A39" w:rsidRPr="009D0B3A">
        <w:t>d</w:t>
      </w:r>
      <w:r w:rsidR="00AA6A89" w:rsidRPr="009D0B3A">
        <w:t>’</w:t>
      </w:r>
      <w:r w:rsidRPr="009D0B3A">
        <w:t>exactitude. La Partie n</w:t>
      </w:r>
      <w:r w:rsidR="00AA6A89" w:rsidRPr="009D0B3A">
        <w:t>’</w:t>
      </w:r>
      <w:r w:rsidRPr="009D0B3A">
        <w:t>avait fourni que le rapport relatif à la vérification susmentionnée pour étayer sa demande.</w:t>
      </w:r>
    </w:p>
    <w:p w14:paraId="17554C52" w14:textId="1BD35162" w:rsidR="00D9198F" w:rsidRPr="009D0B3A" w:rsidRDefault="00D9198F" w:rsidP="00043F1A">
      <w:pPr>
        <w:pStyle w:val="Normalnumber"/>
        <w:numPr>
          <w:ilvl w:val="0"/>
          <w:numId w:val="17"/>
        </w:numPr>
        <w:tabs>
          <w:tab w:val="clear" w:pos="1247"/>
          <w:tab w:val="clear" w:pos="1814"/>
          <w:tab w:val="clear" w:pos="2381"/>
          <w:tab w:val="clear" w:pos="2495"/>
          <w:tab w:val="clear" w:pos="2948"/>
          <w:tab w:val="clear" w:pos="3515"/>
          <w:tab w:val="left" w:pos="2016"/>
        </w:tabs>
        <w:ind w:left="1247" w:firstLine="0"/>
        <w:rPr>
          <w:rFonts w:asciiTheme="majorBidi" w:hAnsiTheme="majorBidi" w:cstheme="majorBidi"/>
        </w:rPr>
      </w:pPr>
      <w:r w:rsidRPr="009D0B3A">
        <w:t>Le Comité</w:t>
      </w:r>
      <w:r w:rsidR="005F36F2" w:rsidRPr="009D0B3A">
        <w:t xml:space="preserve"> est donc convenu</w:t>
      </w:r>
      <w:r w:rsidR="00AA6A89" w:rsidRPr="009D0B3A">
        <w:t> :</w:t>
      </w:r>
    </w:p>
    <w:p w14:paraId="3E5D996A" w14:textId="4615896F" w:rsidR="00D9198F" w:rsidRPr="009D0B3A" w:rsidRDefault="00D9198F" w:rsidP="00E663D2">
      <w:pPr>
        <w:pStyle w:val="Indent"/>
        <w:ind w:firstLine="769"/>
      </w:pPr>
      <w:r w:rsidRPr="009D0B3A">
        <w:rPr>
          <w:i/>
          <w:iCs/>
        </w:rPr>
        <w:t>Prenant note</w:t>
      </w:r>
      <w:r w:rsidRPr="009D0B3A">
        <w:t xml:space="preserve"> de la demande présentée par la Somalie aux fins de révision de ses données actuelles de consommation de substances réglementées du groupe</w:t>
      </w:r>
      <w:r w:rsidR="0060346B">
        <w:t> </w:t>
      </w:r>
      <w:r w:rsidRPr="009D0B3A">
        <w:t>I de l</w:t>
      </w:r>
      <w:r w:rsidR="00AA6A89" w:rsidRPr="009D0B3A">
        <w:t>’</w:t>
      </w:r>
      <w:r w:rsidRPr="009D0B3A">
        <w:t>Annexe</w:t>
      </w:r>
      <w:r w:rsidR="0060346B">
        <w:t> </w:t>
      </w:r>
      <w:r w:rsidRPr="009D0B3A">
        <w:t>F (hydrofluorocarbones) pour l</w:t>
      </w:r>
      <w:r w:rsidR="00AA6A89" w:rsidRPr="009D0B3A">
        <w:t>’</w:t>
      </w:r>
      <w:r w:rsidRPr="009D0B3A">
        <w:t>année de référence 2022,</w:t>
      </w:r>
    </w:p>
    <w:p w14:paraId="27D3571E" w14:textId="471E93C6" w:rsidR="00D9198F" w:rsidRPr="009D0B3A" w:rsidRDefault="00D9198F" w:rsidP="00E663D2">
      <w:pPr>
        <w:pStyle w:val="Indent"/>
        <w:ind w:firstLine="741"/>
      </w:pPr>
      <w:r w:rsidRPr="009D0B3A">
        <w:rPr>
          <w:i/>
          <w:iCs/>
        </w:rPr>
        <w:t>Rappelant</w:t>
      </w:r>
      <w:r w:rsidRPr="009D0B3A">
        <w:t xml:space="preserve"> la décision</w:t>
      </w:r>
      <w:r w:rsidR="0060346B">
        <w:t> </w:t>
      </w:r>
      <w:r w:rsidRPr="009D0B3A">
        <w:t xml:space="preserve">XV/19, qui définit la méthodologie </w:t>
      </w:r>
      <w:r w:rsidR="004730E3" w:rsidRPr="009D0B3A">
        <w:t xml:space="preserve">à suivre </w:t>
      </w:r>
      <w:r w:rsidRPr="009D0B3A">
        <w:t>pour les demandes de révision des données de référence,</w:t>
      </w:r>
    </w:p>
    <w:p w14:paraId="71C1EB0B" w14:textId="624560C5" w:rsidR="00D9198F" w:rsidRPr="009D0B3A" w:rsidRDefault="00D9198F" w:rsidP="00E663D2">
      <w:pPr>
        <w:pStyle w:val="Indent"/>
        <w:ind w:firstLine="741"/>
      </w:pPr>
      <w:r w:rsidRPr="009D0B3A">
        <w:rPr>
          <w:i/>
          <w:iCs/>
        </w:rPr>
        <w:t>Notant avec satisfaction</w:t>
      </w:r>
      <w:r w:rsidRPr="009D0B3A">
        <w:t xml:space="preserve"> les informations fournies par la Somalie à l</w:t>
      </w:r>
      <w:r w:rsidR="00AA6A89" w:rsidRPr="009D0B3A">
        <w:t>’</w:t>
      </w:r>
      <w:r w:rsidRPr="009D0B3A">
        <w:t>appui de sa demande de révision de ses données de référence,</w:t>
      </w:r>
    </w:p>
    <w:p w14:paraId="3762FA56" w14:textId="0830F977" w:rsidR="00D9198F" w:rsidRPr="009D0B3A" w:rsidRDefault="00D9198F" w:rsidP="00E663D2">
      <w:pPr>
        <w:pStyle w:val="Indent"/>
        <w:ind w:firstLine="713"/>
      </w:pPr>
      <w:r w:rsidRPr="009D0B3A">
        <w:rPr>
          <w:i/>
          <w:iCs/>
        </w:rPr>
        <w:t xml:space="preserve">Notant </w:t>
      </w:r>
      <w:r w:rsidRPr="009D0B3A">
        <w:t xml:space="preserve">toutefois </w:t>
      </w:r>
      <w:r w:rsidR="00304A39" w:rsidRPr="009D0B3A">
        <w:t>qu’il a</w:t>
      </w:r>
      <w:r w:rsidRPr="009D0B3A">
        <w:t xml:space="preserve"> jugé que les informations soumises ne suffisaient pas pour lui permettre d</w:t>
      </w:r>
      <w:r w:rsidR="00AA6A89" w:rsidRPr="009D0B3A">
        <w:t>’</w:t>
      </w:r>
      <w:r w:rsidRPr="009D0B3A">
        <w:t>approuver les modifications demandées par cette Partie,</w:t>
      </w:r>
    </w:p>
    <w:p w14:paraId="6B2A79F3" w14:textId="734576C3" w:rsidR="00D9198F" w:rsidRPr="009D0B3A" w:rsidRDefault="00D9198F" w:rsidP="004549DF">
      <w:pPr>
        <w:pStyle w:val="Indent"/>
        <w:ind w:firstLine="713"/>
      </w:pPr>
      <w:r w:rsidRPr="009D0B3A">
        <w:t>1.</w:t>
      </w:r>
      <w:r w:rsidRPr="009D0B3A">
        <w:tab/>
      </w:r>
      <w:r w:rsidR="00304A39" w:rsidRPr="009D0B3A">
        <w:t xml:space="preserve">De demander à </w:t>
      </w:r>
      <w:r w:rsidRPr="009D0B3A">
        <w:t xml:space="preserve">la Somalie </w:t>
      </w:r>
      <w:r w:rsidR="00304A39" w:rsidRPr="009D0B3A">
        <w:t xml:space="preserve">de </w:t>
      </w:r>
      <w:r w:rsidRPr="009D0B3A">
        <w:t>soumettre au Secrétariat de l</w:t>
      </w:r>
      <w:r w:rsidR="00AA6A89" w:rsidRPr="009D0B3A">
        <w:t>’</w:t>
      </w:r>
      <w:r w:rsidR="00304A39" w:rsidRPr="009D0B3A">
        <w:t>o</w:t>
      </w:r>
      <w:r w:rsidRPr="009D0B3A">
        <w:t xml:space="preserve">zone les informations manquantes </w:t>
      </w:r>
      <w:r w:rsidR="00304A39" w:rsidRPr="009D0B3A">
        <w:t xml:space="preserve">qui sont </w:t>
      </w:r>
      <w:r w:rsidRPr="009D0B3A">
        <w:t>nécessaires pour répondre aux exigences de la décision</w:t>
      </w:r>
      <w:r w:rsidR="0060346B">
        <w:t> </w:t>
      </w:r>
      <w:r w:rsidRPr="009D0B3A">
        <w:t>XV/19, afin d</w:t>
      </w:r>
      <w:r w:rsidR="00AA6A89" w:rsidRPr="009D0B3A">
        <w:t>’</w:t>
      </w:r>
      <w:r w:rsidRPr="009D0B3A">
        <w:t xml:space="preserve">étayer solidement sa demande de révision de ses données de </w:t>
      </w:r>
      <w:r w:rsidR="00304A39" w:rsidRPr="009D0B3A">
        <w:t>référence s</w:t>
      </w:r>
      <w:r w:rsidRPr="009D0B3A">
        <w:t>ur les hydrofluorocarbones, dès que possible et de préférence le 31</w:t>
      </w:r>
      <w:r w:rsidR="0060346B">
        <w:t> </w:t>
      </w:r>
      <w:r w:rsidRPr="009D0B3A">
        <w:t>mars 2026 au plus tard, de sorte qu</w:t>
      </w:r>
      <w:r w:rsidR="00304A39" w:rsidRPr="009D0B3A">
        <w:t>’il</w:t>
      </w:r>
      <w:r w:rsidRPr="009D0B3A">
        <w:t xml:space="preserve"> l</w:t>
      </w:r>
      <w:r w:rsidR="00AA6A89" w:rsidRPr="009D0B3A">
        <w:t>’</w:t>
      </w:r>
      <w:r w:rsidRPr="009D0B3A">
        <w:t>examine à sa soixante</w:t>
      </w:r>
      <w:r w:rsidR="000270BB">
        <w:noBreakHyphen/>
      </w:r>
      <w:r w:rsidRPr="009D0B3A">
        <w:t>seizième</w:t>
      </w:r>
      <w:r w:rsidR="0060346B">
        <w:t> </w:t>
      </w:r>
      <w:r w:rsidRPr="009D0B3A">
        <w:t>réunion,</w:t>
      </w:r>
    </w:p>
    <w:p w14:paraId="57954EC5" w14:textId="7297AEC7" w:rsidR="00D9198F" w:rsidRPr="009D0B3A" w:rsidRDefault="00D9198F" w:rsidP="004549DF">
      <w:pPr>
        <w:pStyle w:val="Indent"/>
        <w:ind w:firstLine="713"/>
      </w:pPr>
      <w:r w:rsidRPr="009D0B3A">
        <w:t>2.</w:t>
      </w:r>
      <w:r w:rsidRPr="009D0B3A">
        <w:tab/>
        <w:t xml:space="preserve">De </w:t>
      </w:r>
      <w:r w:rsidR="00304A39" w:rsidRPr="009D0B3A">
        <w:t xml:space="preserve">demander </w:t>
      </w:r>
      <w:r w:rsidRPr="009D0B3A">
        <w:t xml:space="preserve">également </w:t>
      </w:r>
      <w:r w:rsidR="00304A39" w:rsidRPr="009D0B3A">
        <w:t xml:space="preserve">à </w:t>
      </w:r>
      <w:r w:rsidRPr="009D0B3A">
        <w:t>la Somalie, au cas où les informations requises pour étayer sa demande de révision de ses données de référence seraient confidentielles, de communiquer ces informations au Secrétariat de la manière prévue au paragraphe</w:t>
      </w:r>
      <w:r w:rsidR="00D16986">
        <w:t> </w:t>
      </w:r>
      <w:r w:rsidRPr="009D0B3A">
        <w:t>2 de la décision</w:t>
      </w:r>
      <w:r w:rsidR="00D16986">
        <w:t> </w:t>
      </w:r>
      <w:r w:rsidRPr="009D0B3A">
        <w:t xml:space="preserve">I/11, afin de garantir la préservation du secret professionnel et de leur confidentialité </w:t>
      </w:r>
      <w:r w:rsidR="00304A39" w:rsidRPr="009D0B3A">
        <w:t>lorsqu’elles lui seront présentées</w:t>
      </w:r>
      <w:r w:rsidRPr="009D0B3A">
        <w:t>.</w:t>
      </w:r>
    </w:p>
    <w:p w14:paraId="0D8C8333" w14:textId="3CC8E0F0" w:rsidR="00D9198F" w:rsidRPr="009D0B3A" w:rsidRDefault="00D9198F" w:rsidP="00D9198F">
      <w:pPr>
        <w:pStyle w:val="Recommendation"/>
      </w:pPr>
      <w:r w:rsidRPr="009D0B3A">
        <w:t>Recommandation</w:t>
      </w:r>
      <w:r w:rsidR="00D16986">
        <w:t> </w:t>
      </w:r>
      <w:r w:rsidRPr="009D0B3A">
        <w:t>75/16</w:t>
      </w:r>
    </w:p>
    <w:p w14:paraId="69E325E1" w14:textId="6EF9F884" w:rsidR="006275CB" w:rsidRPr="009D0B3A" w:rsidRDefault="00285CA5" w:rsidP="00285CA5">
      <w:pPr>
        <w:pStyle w:val="CH1"/>
      </w:pPr>
      <w:r>
        <w:rPr>
          <w:bCs/>
        </w:rPr>
        <w:tab/>
      </w:r>
      <w:r w:rsidR="00BD1A78">
        <w:rPr>
          <w:bCs/>
        </w:rPr>
        <w:t>V</w:t>
      </w:r>
      <w:r>
        <w:rPr>
          <w:bCs/>
        </w:rPr>
        <w:t>III.</w:t>
      </w:r>
      <w:r>
        <w:rPr>
          <w:bCs/>
        </w:rPr>
        <w:tab/>
      </w:r>
      <w:r w:rsidR="006275CB" w:rsidRPr="009D0B3A">
        <w:rPr>
          <w:bCs/>
        </w:rPr>
        <w:t>Mise en place de systèmes d</w:t>
      </w:r>
      <w:r w:rsidR="00AA6A89" w:rsidRPr="009D0B3A">
        <w:rPr>
          <w:bCs/>
        </w:rPr>
        <w:t>’</w:t>
      </w:r>
      <w:r w:rsidR="006275CB" w:rsidRPr="009D0B3A">
        <w:rPr>
          <w:bCs/>
        </w:rPr>
        <w:t>octroi de licences au titre du</w:t>
      </w:r>
      <w:r w:rsidR="00A217C6">
        <w:rPr>
          <w:bCs/>
        </w:rPr>
        <w:t> </w:t>
      </w:r>
      <w:r w:rsidR="006275CB" w:rsidRPr="009D0B3A">
        <w:rPr>
          <w:bCs/>
        </w:rPr>
        <w:t xml:space="preserve">paragraphe 2 </w:t>
      </w:r>
      <w:r w:rsidR="006275CB" w:rsidRPr="009D0B3A">
        <w:rPr>
          <w:bCs/>
          <w:i/>
          <w:iCs/>
        </w:rPr>
        <w:t>bis</w:t>
      </w:r>
      <w:r w:rsidR="006275CB" w:rsidRPr="009D0B3A">
        <w:rPr>
          <w:bCs/>
        </w:rPr>
        <w:t xml:space="preserve"> de l</w:t>
      </w:r>
      <w:r w:rsidR="00AA6A89" w:rsidRPr="009D0B3A">
        <w:rPr>
          <w:bCs/>
        </w:rPr>
        <w:t>’</w:t>
      </w:r>
      <w:r w:rsidR="006275CB" w:rsidRPr="009D0B3A">
        <w:rPr>
          <w:bCs/>
        </w:rPr>
        <w:t>article 4B du Protocole de</w:t>
      </w:r>
      <w:r w:rsidR="004E66AE">
        <w:rPr>
          <w:bCs/>
        </w:rPr>
        <w:t> </w:t>
      </w:r>
      <w:r w:rsidR="006275CB" w:rsidRPr="009D0B3A">
        <w:rPr>
          <w:bCs/>
        </w:rPr>
        <w:t>Montréal (décision</w:t>
      </w:r>
      <w:r w:rsidR="00D16986">
        <w:rPr>
          <w:bCs/>
        </w:rPr>
        <w:t> </w:t>
      </w:r>
      <w:r w:rsidR="006275CB" w:rsidRPr="009D0B3A">
        <w:rPr>
          <w:bCs/>
        </w:rPr>
        <w:t>XXXVI/15 et recommandation</w:t>
      </w:r>
      <w:r w:rsidR="00D16986">
        <w:rPr>
          <w:bCs/>
        </w:rPr>
        <w:t> </w:t>
      </w:r>
      <w:r w:rsidR="006275CB" w:rsidRPr="009D0B3A">
        <w:rPr>
          <w:bCs/>
        </w:rPr>
        <w:t>74/14)</w:t>
      </w:r>
    </w:p>
    <w:p w14:paraId="4A311024" w14:textId="5D1FBF3F" w:rsidR="006275CB" w:rsidRPr="009D0B3A" w:rsidRDefault="006275CB" w:rsidP="00F75DCF">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présentant ce point, le Président a attiré l</w:t>
      </w:r>
      <w:r w:rsidR="00AA6A89" w:rsidRPr="009D0B3A">
        <w:t>’</w:t>
      </w:r>
      <w:r w:rsidRPr="009D0B3A">
        <w:t>attention</w:t>
      </w:r>
      <w:r w:rsidR="009B6BC2" w:rsidRPr="009D0B3A">
        <w:t xml:space="preserve"> des participant(e)s</w:t>
      </w:r>
      <w:r w:rsidRPr="009D0B3A">
        <w:t xml:space="preserve"> sur le rapport du Secrétariat concernant l</w:t>
      </w:r>
      <w:r w:rsidR="00AA6A89" w:rsidRPr="009D0B3A">
        <w:t>’</w:t>
      </w:r>
      <w:r w:rsidRPr="009D0B3A">
        <w:t>état d</w:t>
      </w:r>
      <w:r w:rsidR="00F528CA" w:rsidRPr="009D0B3A">
        <w:t>e mise en œuvre</w:t>
      </w:r>
      <w:r w:rsidRPr="009D0B3A">
        <w:t xml:space="preserve"> des systèmes d</w:t>
      </w:r>
      <w:r w:rsidR="00AA6A89" w:rsidRPr="009D0B3A">
        <w:t>’</w:t>
      </w:r>
      <w:r w:rsidRPr="009D0B3A">
        <w:t>octroi de licences pour les HFC (UNEP/OzL.Pro/ImpCom/75/R.5). L</w:t>
      </w:r>
      <w:r w:rsidR="00AC4496" w:rsidRPr="009D0B3A">
        <w:t>a</w:t>
      </w:r>
      <w:r w:rsidRPr="009D0B3A">
        <w:t xml:space="preserve"> représentant</w:t>
      </w:r>
      <w:r w:rsidR="00AC4496" w:rsidRPr="009D0B3A">
        <w:t>e</w:t>
      </w:r>
      <w:r w:rsidRPr="009D0B3A">
        <w:t xml:space="preserve"> du Secrétariat a informé le Comité que depuis la publication du document le 29</w:t>
      </w:r>
      <w:r w:rsidR="00211800">
        <w:t> </w:t>
      </w:r>
      <w:r w:rsidRPr="009D0B3A">
        <w:t xml:space="preserve">août 2025, cinq autres </w:t>
      </w:r>
      <w:r w:rsidR="00EF64F5" w:rsidRPr="009D0B3A">
        <w:t>P</w:t>
      </w:r>
      <w:r w:rsidRPr="009D0B3A">
        <w:t>arties au Protocole de</w:t>
      </w:r>
      <w:r w:rsidR="00211800">
        <w:t> </w:t>
      </w:r>
      <w:r w:rsidRPr="009D0B3A">
        <w:t>Montréal avaient ratifié l</w:t>
      </w:r>
      <w:r w:rsidR="00AA6A89" w:rsidRPr="009D0B3A">
        <w:t>’</w:t>
      </w:r>
      <w:r w:rsidRPr="009D0B3A">
        <w:t>Amendement de Kigali. Au 30 octobre, sur les 169</w:t>
      </w:r>
      <w:r w:rsidR="00211800">
        <w:t> </w:t>
      </w:r>
      <w:r w:rsidRPr="009D0B3A">
        <w:t>Parties qui avaient ratifié l</w:t>
      </w:r>
      <w:r w:rsidR="00AA6A89" w:rsidRPr="009D0B3A">
        <w:t>’</w:t>
      </w:r>
      <w:r w:rsidRPr="009D0B3A">
        <w:t xml:space="preserve">Amendement de Kigali, 160 avaient informé le Secrétariat de la mise en place et </w:t>
      </w:r>
      <w:r w:rsidR="00E61F90" w:rsidRPr="009D0B3A">
        <w:t xml:space="preserve">du fonctionnement </w:t>
      </w:r>
      <w:r w:rsidRPr="009D0B3A">
        <w:t>de leur système d</w:t>
      </w:r>
      <w:r w:rsidR="00AA6A89" w:rsidRPr="009D0B3A">
        <w:t>’</w:t>
      </w:r>
      <w:r w:rsidRPr="009D0B3A">
        <w:t xml:space="preserve">octroi de licences. </w:t>
      </w:r>
      <w:r w:rsidR="00F905C5" w:rsidRPr="009D0B3A">
        <w:t>Parmi c</w:t>
      </w:r>
      <w:r w:rsidRPr="009D0B3A">
        <w:t>es 160</w:t>
      </w:r>
      <w:r w:rsidR="00C6097B">
        <w:t> </w:t>
      </w:r>
      <w:r w:rsidR="00F905C5" w:rsidRPr="009D0B3A">
        <w:t>P</w:t>
      </w:r>
      <w:r w:rsidRPr="009D0B3A">
        <w:t xml:space="preserve">arties </w:t>
      </w:r>
      <w:r w:rsidR="00F905C5" w:rsidRPr="009D0B3A">
        <w:t xml:space="preserve">figuraient </w:t>
      </w:r>
      <w:r w:rsidRPr="009D0B3A">
        <w:t>42</w:t>
      </w:r>
      <w:r w:rsidR="00C6097B">
        <w:t> </w:t>
      </w:r>
      <w:r w:rsidRPr="009D0B3A">
        <w:t>Parties non visées à l</w:t>
      </w:r>
      <w:r w:rsidR="00AA6A89" w:rsidRPr="009D0B3A">
        <w:t>’</w:t>
      </w:r>
      <w:r w:rsidRPr="009D0B3A">
        <w:t>article</w:t>
      </w:r>
      <w:r w:rsidR="00C6097B">
        <w:t> </w:t>
      </w:r>
      <w:r w:rsidRPr="009D0B3A">
        <w:t>5 et 118</w:t>
      </w:r>
      <w:r w:rsidR="00A23979">
        <w:t> </w:t>
      </w:r>
      <w:r w:rsidRPr="009D0B3A">
        <w:t>Parties visées à l</w:t>
      </w:r>
      <w:r w:rsidR="00AA6A89" w:rsidRPr="009D0B3A">
        <w:t>’</w:t>
      </w:r>
      <w:r w:rsidRPr="009D0B3A">
        <w:t>article</w:t>
      </w:r>
      <w:r w:rsidR="00A23979">
        <w:t> </w:t>
      </w:r>
      <w:r w:rsidRPr="009D0B3A">
        <w:t>5. Quatre autres Parties qui n</w:t>
      </w:r>
      <w:r w:rsidR="00AA6A89" w:rsidRPr="009D0B3A">
        <w:t>’</w:t>
      </w:r>
      <w:r w:rsidRPr="009D0B3A">
        <w:t>avaient pas encore ratifié l</w:t>
      </w:r>
      <w:r w:rsidR="00AA6A89" w:rsidRPr="009D0B3A">
        <w:t>’</w:t>
      </w:r>
      <w:r w:rsidRPr="009D0B3A">
        <w:t>Amendement de Kigali avaient également rendu compte de la mise en place de leur système d</w:t>
      </w:r>
      <w:r w:rsidR="00AA6A89" w:rsidRPr="009D0B3A">
        <w:t>’</w:t>
      </w:r>
      <w:r w:rsidRPr="009D0B3A">
        <w:t xml:space="preserve">octroi de licences. </w:t>
      </w:r>
    </w:p>
    <w:p w14:paraId="57450207" w14:textId="48B1B9D7" w:rsidR="006275CB" w:rsidRPr="009D0B3A" w:rsidRDefault="006275CB" w:rsidP="00CB648C">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lastRenderedPageBreak/>
        <w:t>En tout, sur les 169</w:t>
      </w:r>
      <w:r w:rsidR="00A23979">
        <w:t> </w:t>
      </w:r>
      <w:r w:rsidRPr="009D0B3A">
        <w:t>Parties qui avaient ratifié l</w:t>
      </w:r>
      <w:r w:rsidR="00AA6A89" w:rsidRPr="009D0B3A">
        <w:t>’</w:t>
      </w:r>
      <w:r w:rsidRPr="009D0B3A">
        <w:t>Amendement de Kigali, 9 n</w:t>
      </w:r>
      <w:r w:rsidR="00AA6A89" w:rsidRPr="009D0B3A">
        <w:t>’</w:t>
      </w:r>
      <w:r w:rsidRPr="009D0B3A">
        <w:t xml:space="preserve">avaient pas encore </w:t>
      </w:r>
      <w:r w:rsidR="00C9330F" w:rsidRPr="009D0B3A">
        <w:t>fait rapport</w:t>
      </w:r>
      <w:r w:rsidRPr="009D0B3A">
        <w:t xml:space="preserve"> sur la mise en place et l</w:t>
      </w:r>
      <w:r w:rsidR="000C60F1" w:rsidRPr="009D0B3A">
        <w:t>e fonctionnement</w:t>
      </w:r>
      <w:r w:rsidRPr="009D0B3A">
        <w:t xml:space="preserve"> de leur système d</w:t>
      </w:r>
      <w:r w:rsidR="00AA6A89" w:rsidRPr="009D0B3A">
        <w:t>’</w:t>
      </w:r>
      <w:r w:rsidRPr="009D0B3A">
        <w:t>octroi de licences. Pour quatre de ces neuf</w:t>
      </w:r>
      <w:r w:rsidR="0084752A">
        <w:t> </w:t>
      </w:r>
      <w:r w:rsidRPr="009D0B3A">
        <w:t>Parties, à savoir l</w:t>
      </w:r>
      <w:r w:rsidR="00AA6A89" w:rsidRPr="009D0B3A">
        <w:t>’</w:t>
      </w:r>
      <w:r w:rsidRPr="009D0B3A">
        <w:t xml:space="preserve">Angola, Djibouti, Saint-Marin et Oman, le délai de présentation de rapports </w:t>
      </w:r>
      <w:r w:rsidR="00561A15" w:rsidRPr="009D0B3A">
        <w:t xml:space="preserve">sur le sujet </w:t>
      </w:r>
      <w:r w:rsidRPr="009D0B3A">
        <w:t>était dépassé. Les cinq</w:t>
      </w:r>
      <w:r w:rsidR="0084752A">
        <w:t> </w:t>
      </w:r>
      <w:r w:rsidRPr="009D0B3A">
        <w:t xml:space="preserve">autres </w:t>
      </w:r>
      <w:r w:rsidR="00DC3D84" w:rsidRPr="009D0B3A">
        <w:t>P</w:t>
      </w:r>
      <w:r w:rsidRPr="009D0B3A">
        <w:t xml:space="preserve">arties, </w:t>
      </w:r>
      <w:r w:rsidR="00F70B1B" w:rsidRPr="009D0B3A">
        <w:t>c</w:t>
      </w:r>
      <w:r w:rsidR="00AA6A89" w:rsidRPr="009D0B3A">
        <w:t>’</w:t>
      </w:r>
      <w:r w:rsidR="00F70B1B" w:rsidRPr="009D0B3A">
        <w:t xml:space="preserve">est-à-dire </w:t>
      </w:r>
      <w:r w:rsidR="00DC3D84" w:rsidRPr="009D0B3A">
        <w:t xml:space="preserve">l’Arabie saoudite, </w:t>
      </w:r>
      <w:r w:rsidRPr="009D0B3A">
        <w:t xml:space="preserve">le Brunéi Darussalam, </w:t>
      </w:r>
      <w:r w:rsidR="00DC3D84" w:rsidRPr="009D0B3A">
        <w:t xml:space="preserve">le Pakistan, </w:t>
      </w:r>
      <w:r w:rsidRPr="009D0B3A">
        <w:t>la République centrafricaine</w:t>
      </w:r>
      <w:r w:rsidR="00DC3D84" w:rsidRPr="009D0B3A">
        <w:t xml:space="preserve"> et </w:t>
      </w:r>
      <w:r w:rsidRPr="009D0B3A">
        <w:t xml:space="preserve">Saint-Kitts-et-Nevis, étaient encore dans les délais impartis pour la remise de </w:t>
      </w:r>
      <w:r w:rsidR="00561A15" w:rsidRPr="009D0B3A">
        <w:t xml:space="preserve">tels </w:t>
      </w:r>
      <w:r w:rsidRPr="009D0B3A">
        <w:t>rapport</w:t>
      </w:r>
      <w:r w:rsidR="00561A15" w:rsidRPr="009D0B3A">
        <w:t>s</w:t>
      </w:r>
      <w:r w:rsidRPr="009D0B3A">
        <w:t>.</w:t>
      </w:r>
    </w:p>
    <w:p w14:paraId="0D6BB54A" w14:textId="6B8D8672" w:rsidR="006275CB" w:rsidRPr="009D0B3A" w:rsidRDefault="006275CB" w:rsidP="00CB648C">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ce qui concern</w:t>
      </w:r>
      <w:r w:rsidR="00241481" w:rsidRPr="009D0B3A">
        <w:t>ait</w:t>
      </w:r>
      <w:r w:rsidRPr="009D0B3A">
        <w:t xml:space="preserve"> le suivi de la décision</w:t>
      </w:r>
      <w:r w:rsidR="00A23979">
        <w:t> </w:t>
      </w:r>
      <w:r w:rsidRPr="009D0B3A">
        <w:t>XXXVI/15, relative à l</w:t>
      </w:r>
      <w:r w:rsidR="00AA6A89" w:rsidRPr="009D0B3A">
        <w:t>’</w:t>
      </w:r>
      <w:r w:rsidRPr="009D0B3A">
        <w:t>état d</w:t>
      </w:r>
      <w:r w:rsidR="00AA6A89" w:rsidRPr="009D0B3A">
        <w:t>’</w:t>
      </w:r>
      <w:r w:rsidRPr="009D0B3A">
        <w:t>avancement de la mise en place de systèmes d</w:t>
      </w:r>
      <w:r w:rsidR="00AA6A89" w:rsidRPr="009D0B3A">
        <w:t>’</w:t>
      </w:r>
      <w:r w:rsidRPr="009D0B3A">
        <w:t xml:space="preserve">octroi de licences au titre </w:t>
      </w:r>
      <w:r w:rsidR="006E3E0E" w:rsidRPr="009D0B3A">
        <w:t>du paragraphe</w:t>
      </w:r>
      <w:r w:rsidR="00A23979">
        <w:t> </w:t>
      </w:r>
      <w:r w:rsidR="006E3E0E" w:rsidRPr="009D0B3A">
        <w:t xml:space="preserve">2 </w:t>
      </w:r>
      <w:r w:rsidR="006E3E0E" w:rsidRPr="00CB648C">
        <w:t>bis</w:t>
      </w:r>
      <w:r w:rsidR="006E3E0E" w:rsidRPr="009D0B3A">
        <w:t xml:space="preserve"> </w:t>
      </w:r>
      <w:r w:rsidRPr="009D0B3A">
        <w:t>de l</w:t>
      </w:r>
      <w:r w:rsidR="00AA6A89" w:rsidRPr="009D0B3A">
        <w:t>’</w:t>
      </w:r>
      <w:r w:rsidRPr="009D0B3A">
        <w:t>article</w:t>
      </w:r>
      <w:r w:rsidR="00A23979">
        <w:t> </w:t>
      </w:r>
      <w:r w:rsidRPr="009D0B3A">
        <w:t>4B du Protocole de</w:t>
      </w:r>
      <w:r w:rsidR="00A23979">
        <w:t> </w:t>
      </w:r>
      <w:r w:rsidRPr="009D0B3A">
        <w:t>Montréal et de la recommandation</w:t>
      </w:r>
      <w:r w:rsidR="00A23979">
        <w:t> </w:t>
      </w:r>
      <w:r w:rsidRPr="009D0B3A">
        <w:t>74/14, l</w:t>
      </w:r>
      <w:r w:rsidR="00AA6A89" w:rsidRPr="009D0B3A">
        <w:t>’</w:t>
      </w:r>
      <w:r w:rsidRPr="009D0B3A">
        <w:t xml:space="preserve">une des Parties </w:t>
      </w:r>
      <w:r w:rsidR="00181D12" w:rsidRPr="009D0B3A">
        <w:t>visées dans</w:t>
      </w:r>
      <w:r w:rsidRPr="009D0B3A">
        <w:t xml:space="preserve"> l</w:t>
      </w:r>
      <w:r w:rsidR="00AA6A89" w:rsidRPr="009D0B3A">
        <w:t>’</w:t>
      </w:r>
      <w:r w:rsidRPr="009D0B3A">
        <w:t>annexe de la décision, à savoir le Kenya, avait rendu compte de la mise en place et du fonctionnement de son système d</w:t>
      </w:r>
      <w:r w:rsidR="00AA6A89" w:rsidRPr="009D0B3A">
        <w:t>’</w:t>
      </w:r>
      <w:r w:rsidRPr="009D0B3A">
        <w:t>octroi de licences pour les HFC. Elle avait volontairement soumis une copie de ses nouvelles réglementations. L</w:t>
      </w:r>
      <w:r w:rsidR="00AA6A89" w:rsidRPr="009D0B3A">
        <w:t>’</w:t>
      </w:r>
      <w:r w:rsidRPr="009D0B3A">
        <w:t>Angola avait informé le Secrétariat qu</w:t>
      </w:r>
      <w:r w:rsidR="00AA6A89" w:rsidRPr="009D0B3A">
        <w:t>’</w:t>
      </w:r>
      <w:r w:rsidRPr="009D0B3A">
        <w:t>il travaillait à la mise en place de son système d</w:t>
      </w:r>
      <w:r w:rsidR="00AA6A89" w:rsidRPr="009D0B3A">
        <w:t>’</w:t>
      </w:r>
      <w:r w:rsidRPr="009D0B3A">
        <w:t>octroi de licences et qu</w:t>
      </w:r>
      <w:r w:rsidR="00AA6A89" w:rsidRPr="009D0B3A">
        <w:t>’</w:t>
      </w:r>
      <w:r w:rsidRPr="009D0B3A">
        <w:t xml:space="preserve">il soumettrait les informations requises </w:t>
      </w:r>
      <w:r w:rsidR="00181D12" w:rsidRPr="009D0B3A">
        <w:t xml:space="preserve">en </w:t>
      </w:r>
      <w:r w:rsidRPr="009D0B3A">
        <w:t>septembre 2025</w:t>
      </w:r>
      <w:r w:rsidR="00181D12" w:rsidRPr="009D0B3A">
        <w:t xml:space="preserve"> au plus tard</w:t>
      </w:r>
      <w:r w:rsidRPr="009D0B3A">
        <w:t>. Néanmoins, le Secrétariat n</w:t>
      </w:r>
      <w:r w:rsidR="00AA6A89" w:rsidRPr="009D0B3A">
        <w:t>’</w:t>
      </w:r>
      <w:r w:rsidRPr="009D0B3A">
        <w:t xml:space="preserve">avait encore reçu aucune </w:t>
      </w:r>
      <w:r w:rsidR="00181D12" w:rsidRPr="009D0B3A">
        <w:t>information à ce titre</w:t>
      </w:r>
      <w:r w:rsidRPr="009D0B3A">
        <w:t>. Saint-Marin n</w:t>
      </w:r>
      <w:r w:rsidR="00AA6A89" w:rsidRPr="009D0B3A">
        <w:t>’</w:t>
      </w:r>
      <w:r w:rsidRPr="009D0B3A">
        <w:t>a</w:t>
      </w:r>
      <w:r w:rsidR="006A4D5B" w:rsidRPr="009D0B3A">
        <w:t>vait</w:t>
      </w:r>
      <w:r w:rsidRPr="009D0B3A">
        <w:t xml:space="preserve"> pas répondu aux courriels de suivi envoyés par le Secrétariat en août et octobre 2025 concernant la recommandation</w:t>
      </w:r>
      <w:r w:rsidR="00BB37D5">
        <w:t> </w:t>
      </w:r>
      <w:r w:rsidRPr="009D0B3A">
        <w:t>74/14. Les Émirats arabes unis avaient fait état de la mise en place et du fonctionnement de leur système d</w:t>
      </w:r>
      <w:r w:rsidR="00AA6A89" w:rsidRPr="009D0B3A">
        <w:t>’</w:t>
      </w:r>
      <w:r w:rsidRPr="009D0B3A">
        <w:t xml:space="preserve">octroi de licences et Djibouti avait informé le Secrétariat </w:t>
      </w:r>
      <w:r w:rsidR="00181D12" w:rsidRPr="009D0B3A">
        <w:t>avoir élaboré</w:t>
      </w:r>
      <w:r w:rsidRPr="009D0B3A">
        <w:t xml:space="preserve"> un projet de décret sur </w:t>
      </w:r>
      <w:r w:rsidR="00867F37" w:rsidRPr="009D0B3A">
        <w:t xml:space="preserve">la réglementation </w:t>
      </w:r>
      <w:r w:rsidRPr="009D0B3A">
        <w:t xml:space="preserve">des HFC, </w:t>
      </w:r>
      <w:r w:rsidR="00181D12" w:rsidRPr="009D0B3A">
        <w:t>lequel</w:t>
      </w:r>
      <w:r w:rsidRPr="009D0B3A">
        <w:t xml:space="preserve"> était en cours d</w:t>
      </w:r>
      <w:r w:rsidR="00AA6A89" w:rsidRPr="009D0B3A">
        <w:t>’</w:t>
      </w:r>
      <w:r w:rsidRPr="009D0B3A">
        <w:t xml:space="preserve">examen et </w:t>
      </w:r>
      <w:r w:rsidR="00181D12" w:rsidRPr="009D0B3A">
        <w:t>serait</w:t>
      </w:r>
      <w:r w:rsidRPr="009D0B3A">
        <w:t xml:space="preserve"> soumis pour adoption au début </w:t>
      </w:r>
      <w:r w:rsidR="00181D12" w:rsidRPr="009D0B3A">
        <w:t>la législature à venir</w:t>
      </w:r>
      <w:r w:rsidRPr="009D0B3A">
        <w:t xml:space="preserve"> </w:t>
      </w:r>
      <w:r w:rsidR="00181D12" w:rsidRPr="009D0B3A">
        <w:t>(</w:t>
      </w:r>
      <w:r w:rsidRPr="009D0B3A">
        <w:t>septembre-octobre 2025</w:t>
      </w:r>
      <w:r w:rsidR="00181D12" w:rsidRPr="009D0B3A">
        <w:t>)</w:t>
      </w:r>
      <w:r w:rsidRPr="009D0B3A">
        <w:t>. Le Secrétariat n</w:t>
      </w:r>
      <w:r w:rsidR="00AA6A89" w:rsidRPr="009D0B3A">
        <w:t>’</w:t>
      </w:r>
      <w:r w:rsidRPr="009D0B3A">
        <w:t xml:space="preserve">avait reçu aucune autre </w:t>
      </w:r>
      <w:r w:rsidR="00181D12" w:rsidRPr="009D0B3A">
        <w:t>information nouvelle</w:t>
      </w:r>
      <w:r w:rsidRPr="009D0B3A">
        <w:t>.</w:t>
      </w:r>
    </w:p>
    <w:p w14:paraId="78169D30" w14:textId="55A4BC2E" w:rsidR="006275CB" w:rsidRPr="009D0B3A" w:rsidRDefault="006275CB" w:rsidP="00CB648C">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réponse à la proposition d</w:t>
      </w:r>
      <w:r w:rsidR="00AA6A89" w:rsidRPr="009D0B3A">
        <w:t>’</w:t>
      </w:r>
      <w:r w:rsidRPr="009D0B3A">
        <w:t xml:space="preserve">un membre </w:t>
      </w:r>
      <w:r w:rsidR="00731B70" w:rsidRPr="009D0B3A">
        <w:t>tendant à ce que</w:t>
      </w:r>
      <w:r w:rsidRPr="009D0B3A">
        <w:t xml:space="preserve"> le Comité en</w:t>
      </w:r>
      <w:r w:rsidR="00731B70" w:rsidRPr="009D0B3A">
        <w:t>g</w:t>
      </w:r>
      <w:r w:rsidRPr="009D0B3A">
        <w:t>age les Parties qui ne l</w:t>
      </w:r>
      <w:r w:rsidR="00AA6A89" w:rsidRPr="009D0B3A">
        <w:t>’</w:t>
      </w:r>
      <w:r w:rsidRPr="009D0B3A">
        <w:t>avaient pas encore fait à ratifier l</w:t>
      </w:r>
      <w:r w:rsidR="00AA6A89" w:rsidRPr="009D0B3A">
        <w:t>’</w:t>
      </w:r>
      <w:r w:rsidRPr="009D0B3A">
        <w:t>Amendement de Kigali, un autre membre a estimé qu</w:t>
      </w:r>
      <w:r w:rsidR="00AA6A89" w:rsidRPr="009D0B3A">
        <w:t>’</w:t>
      </w:r>
      <w:r w:rsidRPr="009D0B3A">
        <w:t>il serait préférable d</w:t>
      </w:r>
      <w:r w:rsidR="00AA6A89" w:rsidRPr="009D0B3A">
        <w:t>’</w:t>
      </w:r>
      <w:r w:rsidRPr="009D0B3A">
        <w:t>inclure ce texte dans une décision qui serait adoptée par la trente-septième</w:t>
      </w:r>
      <w:r w:rsidR="00BB37D5">
        <w:t> </w:t>
      </w:r>
      <w:r w:rsidRPr="009D0B3A">
        <w:t>Réunion des Parties.</w:t>
      </w:r>
    </w:p>
    <w:p w14:paraId="16993B51" w14:textId="1ED8C3E1" w:rsidR="006275CB" w:rsidRPr="009D0B3A" w:rsidRDefault="006275CB" w:rsidP="00D868D8">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Un</w:t>
      </w:r>
      <w:r w:rsidR="00AC4496" w:rsidRPr="009D0B3A">
        <w:t>e</w:t>
      </w:r>
      <w:r w:rsidRPr="009D0B3A">
        <w:t xml:space="preserve"> représentant</w:t>
      </w:r>
      <w:r w:rsidR="00AC4496" w:rsidRPr="009D0B3A">
        <w:t>e</w:t>
      </w:r>
      <w:r w:rsidRPr="009D0B3A">
        <w:t xml:space="preserve"> a jugé raisonnable la date limite proposée, à savoir le 31</w:t>
      </w:r>
      <w:r w:rsidR="00BB37D5">
        <w:t> </w:t>
      </w:r>
      <w:r w:rsidRPr="009D0B3A">
        <w:t>mars 2026, pour fournir au Secrétariat des informations sur la mise en place et le fonctionnement de</w:t>
      </w:r>
      <w:r w:rsidR="00731B70" w:rsidRPr="009D0B3A">
        <w:t>s</w:t>
      </w:r>
      <w:r w:rsidRPr="009D0B3A">
        <w:t xml:space="preserve"> systèmes d</w:t>
      </w:r>
      <w:r w:rsidR="00AA6A89" w:rsidRPr="009D0B3A">
        <w:t>’</w:t>
      </w:r>
      <w:r w:rsidRPr="009D0B3A">
        <w:t>octroi de licences. Compte tenu de l</w:t>
      </w:r>
      <w:r w:rsidR="00AA6A89" w:rsidRPr="009D0B3A">
        <w:t>’</w:t>
      </w:r>
      <w:r w:rsidRPr="009D0B3A">
        <w:t>absence prolongée de réponse de la part de l</w:t>
      </w:r>
      <w:r w:rsidR="00AA6A89" w:rsidRPr="009D0B3A">
        <w:t>’</w:t>
      </w:r>
      <w:r w:rsidRPr="009D0B3A">
        <w:t>Angola et de Saint-Marin, un membre, appuyé par un autre, a proposé que des représentant</w:t>
      </w:r>
      <w:r w:rsidR="00731B70" w:rsidRPr="009D0B3A">
        <w:t>(e)</w:t>
      </w:r>
      <w:r w:rsidRPr="009D0B3A">
        <w:t>s soient invité</w:t>
      </w:r>
      <w:r w:rsidR="00731B70" w:rsidRPr="009D0B3A">
        <w:t>(e)</w:t>
      </w:r>
      <w:r w:rsidRPr="009D0B3A">
        <w:t>s à la soixante</w:t>
      </w:r>
      <w:r w:rsidR="000218B3">
        <w:noBreakHyphen/>
      </w:r>
      <w:r w:rsidRPr="009D0B3A">
        <w:t>seizième</w:t>
      </w:r>
      <w:r w:rsidR="00F17E0F">
        <w:t> </w:t>
      </w:r>
      <w:r w:rsidRPr="009D0B3A">
        <w:t xml:space="preserve">réunion afin de fournir des informations en </w:t>
      </w:r>
      <w:r w:rsidR="00731B70" w:rsidRPr="009D0B3A">
        <w:t>présentiel</w:t>
      </w:r>
      <w:r w:rsidRPr="009D0B3A">
        <w:t xml:space="preserve">. </w:t>
      </w:r>
    </w:p>
    <w:p w14:paraId="0F855617" w14:textId="7068F7F2" w:rsidR="006275CB" w:rsidRPr="009D0B3A" w:rsidRDefault="006275CB" w:rsidP="00D868D8">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Plus tard au cours de la réunion, le représentant du Secrétariat a informé le Comité que l</w:t>
      </w:r>
      <w:r w:rsidR="00AA6A89" w:rsidRPr="009D0B3A">
        <w:t>’</w:t>
      </w:r>
      <w:r w:rsidRPr="009D0B3A">
        <w:t>Angola avait fourni des informations supplémentaires précisant que l</w:t>
      </w:r>
      <w:r w:rsidR="004E3849" w:rsidRPr="009D0B3A">
        <w:t xml:space="preserve">a Partie </w:t>
      </w:r>
      <w:r w:rsidRPr="009D0B3A">
        <w:t>disposait en fait d</w:t>
      </w:r>
      <w:r w:rsidR="00AA6A89" w:rsidRPr="009D0B3A">
        <w:t>’</w:t>
      </w:r>
      <w:r w:rsidRPr="009D0B3A">
        <w:t>un système d</w:t>
      </w:r>
      <w:r w:rsidR="00AA6A89" w:rsidRPr="009D0B3A">
        <w:t>’</w:t>
      </w:r>
      <w:r w:rsidRPr="009D0B3A">
        <w:t>octroi de licences pour les HFC. Il avait été élaboré sur la base de son ancien système d</w:t>
      </w:r>
      <w:r w:rsidR="00AA6A89" w:rsidRPr="009D0B3A">
        <w:t>’</w:t>
      </w:r>
      <w:r w:rsidRPr="009D0B3A">
        <w:t>octroi de licences pour les HCFC, même s</w:t>
      </w:r>
      <w:r w:rsidR="00731B70" w:rsidRPr="009D0B3A">
        <w:t xml:space="preserve">i </w:t>
      </w:r>
      <w:r w:rsidRPr="009D0B3A">
        <w:t>de nouvelles difficultés</w:t>
      </w:r>
      <w:r w:rsidR="00731B70" w:rsidRPr="009D0B3A">
        <w:t xml:space="preserve"> s’étaient faites jour</w:t>
      </w:r>
      <w:r w:rsidRPr="009D0B3A">
        <w:t>, notamment en ce qui concernait les mélanges</w:t>
      </w:r>
      <w:r w:rsidR="00624D07" w:rsidRPr="009D0B3A">
        <w:t>.</w:t>
      </w:r>
      <w:r w:rsidRPr="009D0B3A">
        <w:t xml:space="preserve"> Les membres du Comité sont convenus que, puisqu</w:t>
      </w:r>
      <w:r w:rsidR="00AA6A89" w:rsidRPr="009D0B3A">
        <w:t>’</w:t>
      </w:r>
      <w:r w:rsidRPr="009D0B3A">
        <w:t>ils n</w:t>
      </w:r>
      <w:r w:rsidR="00AA6A89" w:rsidRPr="009D0B3A">
        <w:t>’</w:t>
      </w:r>
      <w:r w:rsidRPr="009D0B3A">
        <w:t>avaient pas fixé de date limite pour la soumission d</w:t>
      </w:r>
      <w:r w:rsidR="00731B70" w:rsidRPr="009D0B3A">
        <w:t>’</w:t>
      </w:r>
      <w:r w:rsidRPr="009D0B3A">
        <w:t>informations sur les systèmes d</w:t>
      </w:r>
      <w:r w:rsidR="00AA6A89" w:rsidRPr="009D0B3A">
        <w:t>’</w:t>
      </w:r>
      <w:r w:rsidRPr="009D0B3A">
        <w:t xml:space="preserve">octroi de licences, contrairement à la communication de données, il </w:t>
      </w:r>
      <w:r w:rsidR="00731B70" w:rsidRPr="009D0B3A">
        <w:t>conviendrait</w:t>
      </w:r>
      <w:r w:rsidRPr="009D0B3A">
        <w:t xml:space="preserve"> de supprimer les références à l</w:t>
      </w:r>
      <w:r w:rsidR="00AA6A89" w:rsidRPr="009D0B3A">
        <w:t>’</w:t>
      </w:r>
      <w:r w:rsidRPr="009D0B3A">
        <w:t xml:space="preserve">Angola dans le projet de décision. </w:t>
      </w:r>
    </w:p>
    <w:p w14:paraId="094464A9" w14:textId="4FF37ADC" w:rsidR="006275CB" w:rsidRPr="009D0B3A" w:rsidRDefault="006275CB" w:rsidP="00D868D8">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Le Comité</w:t>
      </w:r>
      <w:r w:rsidR="00996442" w:rsidRPr="009D0B3A">
        <w:t xml:space="preserve"> est donc convenu</w:t>
      </w:r>
      <w:r w:rsidR="00AA6A89" w:rsidRPr="009D0B3A">
        <w:t> :</w:t>
      </w:r>
    </w:p>
    <w:p w14:paraId="1FD652A1" w14:textId="2F15D373" w:rsidR="006275CB" w:rsidRPr="009D0B3A" w:rsidRDefault="006275CB" w:rsidP="00593AD8">
      <w:pPr>
        <w:pStyle w:val="Normal-pool"/>
        <w:tabs>
          <w:tab w:val="clear" w:pos="1247"/>
          <w:tab w:val="clear" w:pos="1871"/>
          <w:tab w:val="clear" w:pos="2495"/>
          <w:tab w:val="clear" w:pos="3119"/>
          <w:tab w:val="clear" w:pos="3742"/>
          <w:tab w:val="clear" w:pos="4366"/>
        </w:tabs>
        <w:spacing w:after="120"/>
        <w:ind w:left="1247" w:firstLine="741"/>
      </w:pPr>
      <w:r w:rsidRPr="009D0B3A">
        <w:t>a)</w:t>
      </w:r>
      <w:r w:rsidRPr="009D0B3A">
        <w:tab/>
      </w:r>
      <w:r w:rsidRPr="000D5E0F">
        <w:t>De prendre note avec satisfaction</w:t>
      </w:r>
      <w:r w:rsidRPr="009D0B3A">
        <w:t xml:space="preserve"> d</w:t>
      </w:r>
      <w:r w:rsidR="006968F7" w:rsidRPr="009D0B3A">
        <w:t>u</w:t>
      </w:r>
      <w:r w:rsidRPr="009D0B3A">
        <w:t xml:space="preserve"> rapport sur l</w:t>
      </w:r>
      <w:r w:rsidR="00AA6A89" w:rsidRPr="009D0B3A">
        <w:t>’</w:t>
      </w:r>
      <w:r w:rsidRPr="009D0B3A">
        <w:t xml:space="preserve">état de mise en </w:t>
      </w:r>
      <w:r w:rsidR="00561A15" w:rsidRPr="009D0B3A">
        <w:t xml:space="preserve">œuvre </w:t>
      </w:r>
      <w:r w:rsidRPr="009D0B3A">
        <w:t>de</w:t>
      </w:r>
      <w:r w:rsidR="00561A15" w:rsidRPr="009D0B3A">
        <w:t>s</w:t>
      </w:r>
      <w:r w:rsidRPr="009D0B3A">
        <w:t xml:space="preserve"> systèmes d</w:t>
      </w:r>
      <w:r w:rsidR="00AA6A89" w:rsidRPr="009D0B3A">
        <w:t>’</w:t>
      </w:r>
      <w:r w:rsidRPr="009D0B3A">
        <w:t>octroi de licences pour les hydrofluorocarbones, conformément au paragraphe</w:t>
      </w:r>
      <w:r w:rsidR="00F17E0F">
        <w:t> </w:t>
      </w:r>
      <w:r w:rsidRPr="009D0B3A">
        <w:t xml:space="preserve">2 </w:t>
      </w:r>
      <w:r w:rsidRPr="009D0B3A">
        <w:rPr>
          <w:i/>
          <w:iCs/>
        </w:rPr>
        <w:t>bis</w:t>
      </w:r>
      <w:r w:rsidRPr="009D0B3A">
        <w:t xml:space="preserve"> de l</w:t>
      </w:r>
      <w:r w:rsidR="00AA6A89" w:rsidRPr="009D0B3A">
        <w:t>’</w:t>
      </w:r>
      <w:r w:rsidRPr="009D0B3A">
        <w:t>article</w:t>
      </w:r>
      <w:r w:rsidR="00F17E0F">
        <w:t> </w:t>
      </w:r>
      <w:r w:rsidRPr="009D0B3A">
        <w:t>4B du Protocole de Montréal</w:t>
      </w:r>
      <w:r w:rsidR="00AA6A89" w:rsidRPr="009D0B3A">
        <w:t> ;</w:t>
      </w:r>
    </w:p>
    <w:p w14:paraId="7C2CBCE8" w14:textId="70915C3F" w:rsidR="006275CB" w:rsidRPr="009D0B3A" w:rsidRDefault="006275CB" w:rsidP="00593AD8">
      <w:pPr>
        <w:pStyle w:val="Normal-pool"/>
        <w:tabs>
          <w:tab w:val="clear" w:pos="1247"/>
          <w:tab w:val="clear" w:pos="1871"/>
          <w:tab w:val="clear" w:pos="2495"/>
          <w:tab w:val="clear" w:pos="3119"/>
          <w:tab w:val="clear" w:pos="3742"/>
          <w:tab w:val="clear" w:pos="4366"/>
        </w:tabs>
        <w:spacing w:after="120"/>
        <w:ind w:left="1247" w:firstLine="741"/>
      </w:pPr>
      <w:r w:rsidRPr="009D0B3A">
        <w:t>b)</w:t>
      </w:r>
      <w:r w:rsidRPr="009D0B3A">
        <w:tab/>
        <w:t>De transmettre, pour examen par la trente-septième</w:t>
      </w:r>
      <w:r w:rsidR="00F17E0F">
        <w:t> </w:t>
      </w:r>
      <w:r w:rsidRPr="009D0B3A">
        <w:t>Réunion des Parties au Protocole de</w:t>
      </w:r>
      <w:r w:rsidR="00425802">
        <w:t> </w:t>
      </w:r>
      <w:r w:rsidRPr="009D0B3A">
        <w:t xml:space="preserve">Montréal, le projet de décision figurant </w:t>
      </w:r>
      <w:r w:rsidR="00B045A1" w:rsidRPr="009D0B3A">
        <w:t xml:space="preserve">dans </w:t>
      </w:r>
      <w:r w:rsidRPr="009D0B3A">
        <w:t>la section</w:t>
      </w:r>
      <w:r w:rsidR="00425802">
        <w:t> </w:t>
      </w:r>
      <w:r w:rsidRPr="009D0B3A">
        <w:t>I de l</w:t>
      </w:r>
      <w:r w:rsidR="00AA6A89" w:rsidRPr="009D0B3A">
        <w:t>’</w:t>
      </w:r>
      <w:r w:rsidRPr="009D0B3A">
        <w:t>annexe</w:t>
      </w:r>
      <w:r w:rsidR="00425802">
        <w:t> </w:t>
      </w:r>
      <w:r w:rsidRPr="009D0B3A">
        <w:t>I du présent</w:t>
      </w:r>
      <w:r w:rsidR="00425802">
        <w:t> </w:t>
      </w:r>
      <w:r w:rsidRPr="009D0B3A">
        <w:t>rapport lequel, entre autres, indiqu</w:t>
      </w:r>
      <w:r w:rsidR="00B045A1" w:rsidRPr="009D0B3A">
        <w:t>e</w:t>
      </w:r>
      <w:r w:rsidRPr="009D0B3A">
        <w:t xml:space="preserve"> le nombre de Parties au Protocole de Montréal ayant ratifié l</w:t>
      </w:r>
      <w:r w:rsidR="00AA6A89" w:rsidRPr="009D0B3A">
        <w:t>’</w:t>
      </w:r>
      <w:r w:rsidRPr="009D0B3A">
        <w:t>Amendement de Kigali qui</w:t>
      </w:r>
      <w:r w:rsidR="00B045A1" w:rsidRPr="009D0B3A">
        <w:t xml:space="preserve"> ont </w:t>
      </w:r>
      <w:r w:rsidR="00B62619" w:rsidRPr="009D0B3A">
        <w:t xml:space="preserve">rendu </w:t>
      </w:r>
      <w:r w:rsidRPr="009D0B3A">
        <w:t>compte au Secrétariat de la mise en place et du fonctionnement de systèmes d</w:t>
      </w:r>
      <w:r w:rsidR="00AA6A89" w:rsidRPr="009D0B3A">
        <w:t>’</w:t>
      </w:r>
      <w:r w:rsidRPr="009D0B3A">
        <w:t>octroi de licences pour l</w:t>
      </w:r>
      <w:r w:rsidR="00AA6A89" w:rsidRPr="009D0B3A">
        <w:t>’</w:t>
      </w:r>
      <w:r w:rsidRPr="009D0B3A">
        <w:t>importation et l</w:t>
      </w:r>
      <w:r w:rsidR="00AA6A89" w:rsidRPr="009D0B3A">
        <w:t>’</w:t>
      </w:r>
      <w:r w:rsidRPr="009D0B3A">
        <w:t>exportation de substances réglementées inscrites à l</w:t>
      </w:r>
      <w:r w:rsidR="00AA6A89" w:rsidRPr="009D0B3A">
        <w:t>’</w:t>
      </w:r>
      <w:r w:rsidRPr="009D0B3A">
        <w:t>Annexe</w:t>
      </w:r>
      <w:r w:rsidR="00E77057">
        <w:t> </w:t>
      </w:r>
      <w:r w:rsidRPr="009D0B3A">
        <w:t>F, conformément au paragraphe</w:t>
      </w:r>
      <w:r w:rsidR="00E77057">
        <w:t> </w:t>
      </w:r>
      <w:r w:rsidRPr="009D0B3A">
        <w:t>3 de l</w:t>
      </w:r>
      <w:r w:rsidR="00AA6A89" w:rsidRPr="009D0B3A">
        <w:t>’</w:t>
      </w:r>
      <w:r w:rsidRPr="009D0B3A">
        <w:t>article</w:t>
      </w:r>
      <w:r w:rsidR="00E77057">
        <w:t> </w:t>
      </w:r>
      <w:r w:rsidRPr="009D0B3A">
        <w:t>4B du Protocole de Montréal</w:t>
      </w:r>
      <w:r w:rsidR="00AA6A89" w:rsidRPr="009D0B3A">
        <w:t> ;</w:t>
      </w:r>
    </w:p>
    <w:p w14:paraId="5B5808FD" w14:textId="4F2FFB09" w:rsidR="006275CB" w:rsidRPr="009D0B3A" w:rsidRDefault="006275CB" w:rsidP="00593AD8">
      <w:pPr>
        <w:pStyle w:val="Normal-pool"/>
        <w:tabs>
          <w:tab w:val="clear" w:pos="1247"/>
          <w:tab w:val="clear" w:pos="1871"/>
          <w:tab w:val="clear" w:pos="2495"/>
          <w:tab w:val="clear" w:pos="3119"/>
          <w:tab w:val="clear" w:pos="3742"/>
          <w:tab w:val="clear" w:pos="4366"/>
        </w:tabs>
        <w:spacing w:after="120"/>
        <w:ind w:left="1247" w:firstLine="741"/>
      </w:pPr>
      <w:r w:rsidRPr="009D0B3A">
        <w:t>c)</w:t>
      </w:r>
      <w:r w:rsidRPr="009D0B3A">
        <w:tab/>
        <w:t>D</w:t>
      </w:r>
      <w:r w:rsidR="00B045A1" w:rsidRPr="009D0B3A">
        <w:t>’exhorter</w:t>
      </w:r>
      <w:r w:rsidRPr="009D0B3A">
        <w:t xml:space="preserve"> </w:t>
      </w:r>
      <w:r w:rsidR="00B045A1" w:rsidRPr="009D0B3A">
        <w:t xml:space="preserve">les </w:t>
      </w:r>
      <w:r w:rsidRPr="009D0B3A">
        <w:t>trois</w:t>
      </w:r>
      <w:r w:rsidR="00E77057">
        <w:t> </w:t>
      </w:r>
      <w:r w:rsidRPr="009D0B3A">
        <w:t xml:space="preserve">Parties </w:t>
      </w:r>
      <w:r w:rsidR="00B045A1" w:rsidRPr="009D0B3A">
        <w:t xml:space="preserve">dont la liste </w:t>
      </w:r>
      <w:r w:rsidR="008F3A1B" w:rsidRPr="009D0B3A">
        <w:t>figur</w:t>
      </w:r>
      <w:r w:rsidR="00B045A1" w:rsidRPr="009D0B3A">
        <w:t>e</w:t>
      </w:r>
      <w:r w:rsidR="008F3A1B" w:rsidRPr="009D0B3A">
        <w:t xml:space="preserve"> </w:t>
      </w:r>
      <w:r w:rsidRPr="009D0B3A">
        <w:t xml:space="preserve">dans le projet de décision reproduit </w:t>
      </w:r>
      <w:r w:rsidR="00B045A1" w:rsidRPr="009D0B3A">
        <w:t xml:space="preserve">dans </w:t>
      </w:r>
      <w:r w:rsidRPr="009D0B3A">
        <w:t>la section</w:t>
      </w:r>
      <w:r w:rsidR="00E77057">
        <w:t> </w:t>
      </w:r>
      <w:r w:rsidRPr="009D0B3A">
        <w:t>I de l</w:t>
      </w:r>
      <w:r w:rsidR="00AA6A89" w:rsidRPr="009D0B3A">
        <w:t>’</w:t>
      </w:r>
      <w:r w:rsidRPr="009D0B3A">
        <w:t>annexe</w:t>
      </w:r>
      <w:r w:rsidR="00E77057">
        <w:t> </w:t>
      </w:r>
      <w:r w:rsidRPr="009D0B3A">
        <w:t xml:space="preserve">I </w:t>
      </w:r>
      <w:r w:rsidR="00B045A1" w:rsidRPr="009D0B3A">
        <w:t xml:space="preserve">du </w:t>
      </w:r>
      <w:r w:rsidRPr="009D0B3A">
        <w:t>présent</w:t>
      </w:r>
      <w:r w:rsidR="00E66C96">
        <w:t> </w:t>
      </w:r>
      <w:r w:rsidRPr="009D0B3A">
        <w:t xml:space="preserve">rapport </w:t>
      </w:r>
      <w:r w:rsidR="00B045A1" w:rsidRPr="009D0B3A">
        <w:t xml:space="preserve">à </w:t>
      </w:r>
      <w:r w:rsidRPr="009D0B3A">
        <w:t>communiquer des informations au Secrétariat sur la mise en place et le fonctionnement de leur système d</w:t>
      </w:r>
      <w:r w:rsidR="00AA6A89" w:rsidRPr="009D0B3A">
        <w:t>’</w:t>
      </w:r>
      <w:r w:rsidRPr="009D0B3A">
        <w:t>octroi de licences, et ce</w:t>
      </w:r>
      <w:r w:rsidR="00B045A1" w:rsidRPr="009D0B3A">
        <w:t>, de toute urgence et</w:t>
      </w:r>
      <w:r w:rsidRPr="009D0B3A">
        <w:t xml:space="preserve"> le 31</w:t>
      </w:r>
      <w:r w:rsidR="00E66C96">
        <w:t> </w:t>
      </w:r>
      <w:r w:rsidRPr="009D0B3A">
        <w:t>mars</w:t>
      </w:r>
      <w:r w:rsidR="00F3432A">
        <w:t> </w:t>
      </w:r>
      <w:r w:rsidRPr="009D0B3A">
        <w:t>2026 au plus tard</w:t>
      </w:r>
      <w:r w:rsidR="00AA6A89" w:rsidRPr="009D0B3A">
        <w:t> ;</w:t>
      </w:r>
    </w:p>
    <w:p w14:paraId="5B5DC3BA" w14:textId="40192A91" w:rsidR="006275CB" w:rsidRPr="009D0B3A" w:rsidRDefault="006275CB" w:rsidP="0052644E">
      <w:pPr>
        <w:pStyle w:val="Normal-pool"/>
        <w:tabs>
          <w:tab w:val="clear" w:pos="1247"/>
          <w:tab w:val="clear" w:pos="1871"/>
          <w:tab w:val="clear" w:pos="2495"/>
          <w:tab w:val="clear" w:pos="3119"/>
          <w:tab w:val="clear" w:pos="3742"/>
          <w:tab w:val="clear" w:pos="4366"/>
        </w:tabs>
        <w:spacing w:after="120"/>
        <w:ind w:left="1247" w:firstLine="741"/>
      </w:pPr>
      <w:r w:rsidRPr="009D0B3A">
        <w:t>d)</w:t>
      </w:r>
      <w:r w:rsidRPr="009D0B3A">
        <w:tab/>
        <w:t>De continuer à examiner périodiquement l</w:t>
      </w:r>
      <w:r w:rsidR="00AA6A89" w:rsidRPr="009D0B3A">
        <w:t>’</w:t>
      </w:r>
      <w:r w:rsidRPr="009D0B3A">
        <w:t>état d</w:t>
      </w:r>
      <w:r w:rsidR="00AA6A89" w:rsidRPr="009D0B3A">
        <w:t>’</w:t>
      </w:r>
      <w:r w:rsidRPr="009D0B3A">
        <w:t>avancement de la mise en place de ces systèmes d</w:t>
      </w:r>
      <w:r w:rsidR="00AA6A89" w:rsidRPr="009D0B3A">
        <w:t>’</w:t>
      </w:r>
      <w:r w:rsidRPr="009D0B3A">
        <w:t>octroi de licences par toutes les Parties au Protocole de</w:t>
      </w:r>
      <w:r w:rsidR="005D0575">
        <w:t> </w:t>
      </w:r>
      <w:r w:rsidRPr="009D0B3A">
        <w:t xml:space="preserve">Montréal qui </w:t>
      </w:r>
      <w:r w:rsidR="00B045A1" w:rsidRPr="009D0B3A">
        <w:t xml:space="preserve">ont </w:t>
      </w:r>
      <w:r w:rsidRPr="009D0B3A">
        <w:t>ratifié l</w:t>
      </w:r>
      <w:r w:rsidR="00AA6A89" w:rsidRPr="009D0B3A">
        <w:t>’</w:t>
      </w:r>
      <w:r w:rsidRPr="009D0B3A">
        <w:t>Amendement de Kigali et d</w:t>
      </w:r>
      <w:r w:rsidR="00AA6A89" w:rsidRPr="009D0B3A">
        <w:t>’</w:t>
      </w:r>
      <w:r w:rsidRPr="009D0B3A">
        <w:t>envisager de formuler des recommandations appropriées à l</w:t>
      </w:r>
      <w:r w:rsidR="00AA6A89" w:rsidRPr="009D0B3A">
        <w:t>’</w:t>
      </w:r>
      <w:r w:rsidRPr="009D0B3A">
        <w:t>intention des Parties, comme prévu au paragraphe</w:t>
      </w:r>
      <w:r w:rsidR="005D0575">
        <w:t> </w:t>
      </w:r>
      <w:r w:rsidRPr="009D0B3A">
        <w:t>4 de l</w:t>
      </w:r>
      <w:r w:rsidR="00AA6A89" w:rsidRPr="009D0B3A">
        <w:t>’</w:t>
      </w:r>
      <w:r w:rsidRPr="009D0B3A">
        <w:t>article</w:t>
      </w:r>
      <w:r w:rsidR="005D0575">
        <w:t> </w:t>
      </w:r>
      <w:r w:rsidRPr="009D0B3A">
        <w:t>4B du Protocole.</w:t>
      </w:r>
    </w:p>
    <w:p w14:paraId="372A8D0A" w14:textId="6C960CB2" w:rsidR="006275CB" w:rsidRPr="009D0B3A" w:rsidRDefault="006275CB" w:rsidP="005110A5">
      <w:pPr>
        <w:pStyle w:val="Recommendation"/>
      </w:pPr>
      <w:r w:rsidRPr="009D0B3A">
        <w:t>Recommandation</w:t>
      </w:r>
      <w:r w:rsidR="005D0575">
        <w:t> </w:t>
      </w:r>
      <w:r w:rsidRPr="009D0B3A">
        <w:t>75/17</w:t>
      </w:r>
    </w:p>
    <w:p w14:paraId="19FA01A5" w14:textId="4595C139" w:rsidR="00CE7C79" w:rsidRPr="009D0B3A" w:rsidRDefault="0019371E" w:rsidP="0019371E">
      <w:pPr>
        <w:pStyle w:val="CH1"/>
      </w:pPr>
      <w:r>
        <w:rPr>
          <w:bCs/>
        </w:rPr>
        <w:lastRenderedPageBreak/>
        <w:tab/>
        <w:t>I</w:t>
      </w:r>
      <w:r w:rsidR="00F9281C">
        <w:rPr>
          <w:bCs/>
        </w:rPr>
        <w:t>X</w:t>
      </w:r>
      <w:r>
        <w:rPr>
          <w:bCs/>
        </w:rPr>
        <w:t>.</w:t>
      </w:r>
      <w:r>
        <w:rPr>
          <w:bCs/>
        </w:rPr>
        <w:tab/>
      </w:r>
      <w:r w:rsidR="008E5A3A" w:rsidRPr="009D0B3A">
        <w:rPr>
          <w:bCs/>
        </w:rPr>
        <w:t xml:space="preserve">Problèmes </w:t>
      </w:r>
      <w:r w:rsidR="00CE7C79" w:rsidRPr="009D0B3A">
        <w:rPr>
          <w:bCs/>
        </w:rPr>
        <w:t xml:space="preserve">systémiques </w:t>
      </w:r>
      <w:r w:rsidR="008E5A3A" w:rsidRPr="009D0B3A">
        <w:rPr>
          <w:bCs/>
        </w:rPr>
        <w:t xml:space="preserve">liés </w:t>
      </w:r>
      <w:r w:rsidR="00CE7C79" w:rsidRPr="009D0B3A">
        <w:rPr>
          <w:bCs/>
        </w:rPr>
        <w:t>au respect des dispositions (décision</w:t>
      </w:r>
      <w:r w:rsidR="005D0575">
        <w:rPr>
          <w:bCs/>
        </w:rPr>
        <w:t> </w:t>
      </w:r>
      <w:r w:rsidR="00CE7C79" w:rsidRPr="009D0B3A">
        <w:rPr>
          <w:bCs/>
        </w:rPr>
        <w:t>XXXVI/9, par. 6)</w:t>
      </w:r>
    </w:p>
    <w:p w14:paraId="3BDFFCDE" w14:textId="5ED77CEE" w:rsidR="003F4982" w:rsidRPr="009D0B3A" w:rsidRDefault="00CE7C79" w:rsidP="0045640F">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 xml:space="preserve">En introduisant ce point, le Président a rappelé au Comité que le Secrétariat </w:t>
      </w:r>
      <w:r w:rsidR="008E5A3A" w:rsidRPr="009D0B3A">
        <w:t xml:space="preserve">lui </w:t>
      </w:r>
      <w:r w:rsidRPr="009D0B3A">
        <w:t xml:space="preserve">avait présenté, </w:t>
      </w:r>
      <w:r w:rsidR="008E5A3A" w:rsidRPr="009D0B3A">
        <w:t>à sa</w:t>
      </w:r>
      <w:r w:rsidRPr="009D0B3A">
        <w:t xml:space="preserve"> soixante-quatorzième</w:t>
      </w:r>
      <w:r w:rsidR="004D1E79">
        <w:t> </w:t>
      </w:r>
      <w:r w:rsidRPr="009D0B3A">
        <w:t>réunion, le document sur l</w:t>
      </w:r>
      <w:r w:rsidR="00AA6A89" w:rsidRPr="009D0B3A">
        <w:t>’</w:t>
      </w:r>
      <w:r w:rsidRPr="009D0B3A">
        <w:t xml:space="preserve">analyse des </w:t>
      </w:r>
      <w:r w:rsidR="00C95954" w:rsidRPr="009D0B3A">
        <w:t xml:space="preserve">problèmes </w:t>
      </w:r>
      <w:r w:rsidRPr="009D0B3A">
        <w:t xml:space="preserve">systémiques </w:t>
      </w:r>
      <w:r w:rsidR="00C95954" w:rsidRPr="009D0B3A">
        <w:t xml:space="preserve">liés </w:t>
      </w:r>
      <w:r w:rsidRPr="009D0B3A">
        <w:t>au respect des dispositions</w:t>
      </w:r>
      <w:r w:rsidR="00C95954" w:rsidRPr="009D0B3A">
        <w:t xml:space="preserve"> à partir</w:t>
      </w:r>
      <w:r w:rsidR="00BC4693" w:rsidRPr="009D0B3A">
        <w:t xml:space="preserve"> des </w:t>
      </w:r>
      <w:r w:rsidRPr="009D0B3A">
        <w:t xml:space="preserve">cas examinés par le Comité au cours des </w:t>
      </w:r>
      <w:r w:rsidR="00C95954" w:rsidRPr="009D0B3A">
        <w:t>10</w:t>
      </w:r>
      <w:r w:rsidR="004D1E79">
        <w:t> </w:t>
      </w:r>
      <w:r w:rsidRPr="009D0B3A">
        <w:t>dernières années (UNEP/OzL.Pro/ImpCom/74/R.5), et que les membres avaient eu l</w:t>
      </w:r>
      <w:r w:rsidR="00AA6A89" w:rsidRPr="009D0B3A">
        <w:t>’</w:t>
      </w:r>
      <w:r w:rsidRPr="009D0B3A">
        <w:t>occasion d</w:t>
      </w:r>
      <w:r w:rsidR="00AA6A89" w:rsidRPr="009D0B3A">
        <w:t>’</w:t>
      </w:r>
      <w:r w:rsidRPr="009D0B3A">
        <w:t>en discuter brièvement à cette occasion. Il prévoyait de résumer le document dans un</w:t>
      </w:r>
      <w:r w:rsidR="00C95954" w:rsidRPr="009D0B3A">
        <w:t xml:space="preserve"> bref exposé</w:t>
      </w:r>
      <w:r w:rsidRPr="009D0B3A">
        <w:t xml:space="preserve"> lors de la réunion informelle des Parties au Protocole de</w:t>
      </w:r>
      <w:r w:rsidR="004D1E79">
        <w:t> </w:t>
      </w:r>
      <w:r w:rsidRPr="009D0B3A">
        <w:t>Montréal</w:t>
      </w:r>
      <w:r w:rsidR="00C95954" w:rsidRPr="009D0B3A">
        <w:t>,</w:t>
      </w:r>
      <w:r w:rsidRPr="009D0B3A">
        <w:t xml:space="preserve"> le 2</w:t>
      </w:r>
      <w:r w:rsidR="004D1E79">
        <w:t> </w:t>
      </w:r>
      <w:r w:rsidRPr="009D0B3A">
        <w:t xml:space="preserve">novembre 2025, et a invité les membres du Comité à faire part de leurs </w:t>
      </w:r>
      <w:r w:rsidR="00C95954" w:rsidRPr="009D0B3A">
        <w:t>observations</w:t>
      </w:r>
      <w:r w:rsidRPr="009D0B3A">
        <w:t>. Les membres du Comité ont remercié le Secrétariat pour le travail considérable accompli dans la rédaction du document et ont déclaré qu</w:t>
      </w:r>
      <w:r w:rsidR="00AA6A89" w:rsidRPr="009D0B3A">
        <w:t>’</w:t>
      </w:r>
      <w:r w:rsidRPr="009D0B3A">
        <w:t>il constituait une contribution précieuse pour les discussions qui auraient lieu lors de la réunion informelle.</w:t>
      </w:r>
    </w:p>
    <w:p w14:paraId="58330079" w14:textId="3A9D662E" w:rsidR="00921757" w:rsidRPr="009D0B3A" w:rsidRDefault="004558DF" w:rsidP="0045640F">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ce qui concern</w:t>
      </w:r>
      <w:r w:rsidR="004B40EE" w:rsidRPr="009D0B3A">
        <w:t>ait</w:t>
      </w:r>
      <w:r w:rsidRPr="009D0B3A">
        <w:t xml:space="preserve"> la communication de données au titre de l</w:t>
      </w:r>
      <w:r w:rsidR="00AA6A89" w:rsidRPr="009D0B3A">
        <w:t>’</w:t>
      </w:r>
      <w:r w:rsidRPr="009D0B3A">
        <w:t>article</w:t>
      </w:r>
      <w:r w:rsidR="004D1E79">
        <w:t> </w:t>
      </w:r>
      <w:r w:rsidRPr="009D0B3A">
        <w:t>7, un membre a estimé qu</w:t>
      </w:r>
      <w:r w:rsidR="00AA6A89" w:rsidRPr="009D0B3A">
        <w:t>’</w:t>
      </w:r>
      <w:r w:rsidRPr="009D0B3A">
        <w:t>il serait utile que les Parties soient informées de la décision du Comité d</w:t>
      </w:r>
      <w:r w:rsidR="00AA6A89" w:rsidRPr="009D0B3A">
        <w:t>’</w:t>
      </w:r>
      <w:r w:rsidRPr="009D0B3A">
        <w:t xml:space="preserve">introduire une date limite dans le projet de décision sur la communication des données, </w:t>
      </w:r>
      <w:r w:rsidR="00B13B5E" w:rsidRPr="009D0B3A">
        <w:t>ainsi qu’il en avait été question</w:t>
      </w:r>
      <w:r w:rsidR="00AE23AB" w:rsidRPr="009D0B3A">
        <w:t xml:space="preserve"> </w:t>
      </w:r>
      <w:r w:rsidR="00B13B5E" w:rsidRPr="009D0B3A">
        <w:t>au titre du</w:t>
      </w:r>
      <w:r w:rsidR="0077224A" w:rsidRPr="009D0B3A">
        <w:t xml:space="preserve"> </w:t>
      </w:r>
      <w:r w:rsidRPr="009D0B3A">
        <w:t>point</w:t>
      </w:r>
      <w:r w:rsidR="00AE6143">
        <w:t> </w:t>
      </w:r>
      <w:r w:rsidRPr="009D0B3A">
        <w:t>3 de l</w:t>
      </w:r>
      <w:r w:rsidR="00AA6A89" w:rsidRPr="009D0B3A">
        <w:t>’</w:t>
      </w:r>
      <w:r w:rsidRPr="009D0B3A">
        <w:t xml:space="preserve">ordre du jour. Cela permettrait au Président de mettre en évidence les difficultés qui résultaient de la communication tardive des données. Un autre membre a suggéré de mettre en avant la conclusion du Comité, adoptée </w:t>
      </w:r>
      <w:r w:rsidR="00B13B5E" w:rsidRPr="009D0B3A">
        <w:t>à sa</w:t>
      </w:r>
      <w:r w:rsidRPr="009D0B3A">
        <w:t xml:space="preserve"> soixante-quatorzième</w:t>
      </w:r>
      <w:r w:rsidR="00AE6143">
        <w:t> </w:t>
      </w:r>
      <w:r w:rsidRPr="009D0B3A">
        <w:t>réunion, de ne pas autoriser la soumission de données provisoires. Il a également suggéré de mentionner la diminution, au cours des dernières années, du nombre de Parties ayant soumis leur rapport avant le 30</w:t>
      </w:r>
      <w:r w:rsidR="00CF5FC0">
        <w:t> </w:t>
      </w:r>
      <w:r w:rsidRPr="009D0B3A">
        <w:t>juin, et d</w:t>
      </w:r>
      <w:r w:rsidR="00AA6A89" w:rsidRPr="009D0B3A">
        <w:t>’</w:t>
      </w:r>
      <w:r w:rsidRPr="009D0B3A">
        <w:t>en</w:t>
      </w:r>
      <w:r w:rsidR="00B13B5E" w:rsidRPr="009D0B3A">
        <w:t>g</w:t>
      </w:r>
      <w:r w:rsidRPr="009D0B3A">
        <w:t>ager les Parties à respecter cette échéance.</w:t>
      </w:r>
    </w:p>
    <w:p w14:paraId="160155CF" w14:textId="78B589DB" w:rsidR="00CE7C79" w:rsidRPr="009D0B3A" w:rsidRDefault="00A461DC" w:rsidP="00F60850">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ce qui concern</w:t>
      </w:r>
      <w:r w:rsidR="001B2E19" w:rsidRPr="009D0B3A">
        <w:t>ait</w:t>
      </w:r>
      <w:r w:rsidRPr="009D0B3A">
        <w:t xml:space="preserve"> les systèmes d</w:t>
      </w:r>
      <w:r w:rsidR="00AA6A89" w:rsidRPr="009D0B3A">
        <w:t>’</w:t>
      </w:r>
      <w:r w:rsidRPr="009D0B3A">
        <w:t>octroi de licences d</w:t>
      </w:r>
      <w:r w:rsidR="00AA6A89" w:rsidRPr="009D0B3A">
        <w:t>’</w:t>
      </w:r>
      <w:r w:rsidRPr="009D0B3A">
        <w:t>importation et d</w:t>
      </w:r>
      <w:r w:rsidR="00AA6A89" w:rsidRPr="009D0B3A">
        <w:t>’</w:t>
      </w:r>
      <w:r w:rsidRPr="009D0B3A">
        <w:t>exportation, certains membres</w:t>
      </w:r>
      <w:r w:rsidR="008262E5" w:rsidRPr="009D0B3A">
        <w:t xml:space="preserve"> avaien</w:t>
      </w:r>
      <w:r w:rsidRPr="009D0B3A">
        <w:t>t déclaré qu</w:t>
      </w:r>
      <w:r w:rsidR="00AA6A89" w:rsidRPr="009D0B3A">
        <w:t>’</w:t>
      </w:r>
      <w:r w:rsidRPr="009D0B3A">
        <w:t>il serait utile de disposer de plus d</w:t>
      </w:r>
      <w:r w:rsidR="00AA6A89" w:rsidRPr="009D0B3A">
        <w:t>’</w:t>
      </w:r>
      <w:r w:rsidRPr="009D0B3A">
        <w:t xml:space="preserve">informations sur le fonctionnement des systèmes </w:t>
      </w:r>
      <w:r w:rsidR="00E77456" w:rsidRPr="009D0B3A">
        <w:t>d</w:t>
      </w:r>
      <w:r w:rsidR="00AA6A89" w:rsidRPr="009D0B3A">
        <w:t>’</w:t>
      </w:r>
      <w:r w:rsidR="00E77456" w:rsidRPr="009D0B3A">
        <w:t xml:space="preserve">octroi </w:t>
      </w:r>
      <w:r w:rsidRPr="009D0B3A">
        <w:t xml:space="preserve">de licences des Parties plutôt que de se contenter de savoir si elles en </w:t>
      </w:r>
      <w:r w:rsidR="002910DE" w:rsidRPr="009D0B3A">
        <w:t xml:space="preserve">étaient dotées </w:t>
      </w:r>
      <w:r w:rsidRPr="009D0B3A">
        <w:t>ou pas. L</w:t>
      </w:r>
      <w:r w:rsidR="00AA6A89" w:rsidRPr="009D0B3A">
        <w:t>’</w:t>
      </w:r>
      <w:r w:rsidRPr="009D0B3A">
        <w:t>un d</w:t>
      </w:r>
      <w:r w:rsidR="00AA6A89" w:rsidRPr="009D0B3A">
        <w:t>’</w:t>
      </w:r>
      <w:r w:rsidRPr="009D0B3A">
        <w:t xml:space="preserve">eux a </w:t>
      </w:r>
      <w:r w:rsidR="001962FB" w:rsidRPr="009D0B3A">
        <w:t xml:space="preserve">mis en avant </w:t>
      </w:r>
      <w:r w:rsidRPr="009D0B3A">
        <w:t>le libellé du paragraphe</w:t>
      </w:r>
      <w:r w:rsidR="00AE6143">
        <w:t> </w:t>
      </w:r>
      <w:r w:rsidRPr="009D0B3A">
        <w:t>3 de l</w:t>
      </w:r>
      <w:r w:rsidR="00AA6A89" w:rsidRPr="009D0B3A">
        <w:t>’</w:t>
      </w:r>
      <w:r w:rsidRPr="009D0B3A">
        <w:t>article</w:t>
      </w:r>
      <w:r w:rsidR="00E41B76">
        <w:t> </w:t>
      </w:r>
      <w:r w:rsidRPr="009D0B3A">
        <w:t>4B du Protocole de</w:t>
      </w:r>
      <w:r w:rsidR="00E41B76">
        <w:t> </w:t>
      </w:r>
      <w:r w:rsidRPr="009D0B3A">
        <w:t>Montréal, qui exigeait des Parties qu</w:t>
      </w:r>
      <w:r w:rsidR="00AA6A89" w:rsidRPr="009D0B3A">
        <w:t>’</w:t>
      </w:r>
      <w:r w:rsidRPr="009D0B3A">
        <w:t xml:space="preserve">elles </w:t>
      </w:r>
      <w:r w:rsidR="002910DE" w:rsidRPr="009D0B3A">
        <w:t>fassent rapport</w:t>
      </w:r>
      <w:r w:rsidRPr="009D0B3A">
        <w:t xml:space="preserve"> «</w:t>
      </w:r>
      <w:r w:rsidR="00E41B76">
        <w:t> </w:t>
      </w:r>
      <w:r w:rsidR="002910DE" w:rsidRPr="009D0B3A">
        <w:t xml:space="preserve">sur </w:t>
      </w:r>
      <w:r w:rsidRPr="009D0B3A">
        <w:t xml:space="preserve">la mise en place et </w:t>
      </w:r>
      <w:r w:rsidR="002910DE" w:rsidRPr="009D0B3A">
        <w:t xml:space="preserve">le </w:t>
      </w:r>
      <w:r w:rsidRPr="009D0B3A">
        <w:t xml:space="preserve">fonctionnement </w:t>
      </w:r>
      <w:r w:rsidR="002910DE" w:rsidRPr="009D0B3A">
        <w:t>dudit</w:t>
      </w:r>
      <w:r w:rsidRPr="009D0B3A">
        <w:t xml:space="preserve"> système</w:t>
      </w:r>
      <w:r w:rsidR="007F6E4C" w:rsidRPr="009D0B3A">
        <w:t> </w:t>
      </w:r>
      <w:r w:rsidRPr="009D0B3A">
        <w:t xml:space="preserve">», et non pas seulement </w:t>
      </w:r>
      <w:r w:rsidR="002910DE" w:rsidRPr="009D0B3A">
        <w:t xml:space="preserve">sur </w:t>
      </w:r>
      <w:r w:rsidRPr="009D0B3A">
        <w:t>sa mise en place. Il a suggéré qu</w:t>
      </w:r>
      <w:r w:rsidR="00AA6A89" w:rsidRPr="009D0B3A">
        <w:t>’</w:t>
      </w:r>
      <w:r w:rsidRPr="009D0B3A">
        <w:t>il serait peut-être possible d</w:t>
      </w:r>
      <w:r w:rsidR="00AA6A89" w:rsidRPr="009D0B3A">
        <w:t>’</w:t>
      </w:r>
      <w:r w:rsidRPr="009D0B3A">
        <w:t>analyser les caractéristiques des systèmes d</w:t>
      </w:r>
      <w:r w:rsidR="00AA6A89" w:rsidRPr="009D0B3A">
        <w:t>’</w:t>
      </w:r>
      <w:r w:rsidRPr="009D0B3A">
        <w:t>octroi de licences communiquées au Secrétariat, puis d</w:t>
      </w:r>
      <w:r w:rsidR="00AA6A89" w:rsidRPr="009D0B3A">
        <w:t>’</w:t>
      </w:r>
      <w:r w:rsidRPr="009D0B3A">
        <w:t xml:space="preserve">établir une liste de contrôle de celles </w:t>
      </w:r>
      <w:r w:rsidR="00183B8C" w:rsidRPr="009D0B3A">
        <w:t xml:space="preserve">dont </w:t>
      </w:r>
      <w:r w:rsidRPr="009D0B3A">
        <w:t xml:space="preserve">les Parties pourraient être invitées à </w:t>
      </w:r>
      <w:r w:rsidR="00183B8C" w:rsidRPr="009D0B3A">
        <w:t xml:space="preserve">rendre compte </w:t>
      </w:r>
      <w:r w:rsidRPr="009D0B3A">
        <w:t>lors</w:t>
      </w:r>
      <w:r w:rsidR="00183B8C" w:rsidRPr="009D0B3A">
        <w:t xml:space="preserve"> de la mise</w:t>
      </w:r>
      <w:r w:rsidRPr="009D0B3A">
        <w:t xml:space="preserve"> en place </w:t>
      </w:r>
      <w:r w:rsidR="00183B8C" w:rsidRPr="009D0B3A">
        <w:t>d’</w:t>
      </w:r>
      <w:r w:rsidRPr="009D0B3A">
        <w:t>un nouveau système d</w:t>
      </w:r>
      <w:r w:rsidR="00AA6A89" w:rsidRPr="009D0B3A">
        <w:t>’</w:t>
      </w:r>
      <w:r w:rsidRPr="009D0B3A">
        <w:t>octroi de licences. Un autre membre a suggéré d</w:t>
      </w:r>
      <w:r w:rsidR="00AA6A89" w:rsidRPr="009D0B3A">
        <w:t>’</w:t>
      </w:r>
      <w:r w:rsidRPr="009D0B3A">
        <w:t xml:space="preserve">examiner comment </w:t>
      </w:r>
      <w:r w:rsidR="00F627CE" w:rsidRPr="009D0B3A">
        <w:t>c</w:t>
      </w:r>
      <w:r w:rsidRPr="009D0B3A">
        <w:t xml:space="preserve">es systèmes pourraient être appliqués aux achats en ligne de substances réglementées. Plusieurs membres ont </w:t>
      </w:r>
      <w:r w:rsidR="00183B8C" w:rsidRPr="009D0B3A">
        <w:t>souligné qu’il fallait que l</w:t>
      </w:r>
      <w:r w:rsidRPr="009D0B3A">
        <w:t>es systèmes d</w:t>
      </w:r>
      <w:r w:rsidR="00AA6A89" w:rsidRPr="009D0B3A">
        <w:t>’</w:t>
      </w:r>
      <w:r w:rsidRPr="009D0B3A">
        <w:t>octroi de licences et autres réglementations</w:t>
      </w:r>
      <w:r w:rsidR="00183B8C" w:rsidRPr="009D0B3A">
        <w:t xml:space="preserve"> soient réellement appliqués</w:t>
      </w:r>
      <w:r w:rsidRPr="009D0B3A">
        <w:t xml:space="preserve">. </w:t>
      </w:r>
    </w:p>
    <w:p w14:paraId="6A34AF34" w14:textId="40605321" w:rsidR="00CE7C79" w:rsidRPr="009D0B3A" w:rsidRDefault="00EE6190" w:rsidP="00F60850">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En ce qui concern</w:t>
      </w:r>
      <w:r w:rsidR="00B2415A" w:rsidRPr="009D0B3A">
        <w:t>ait</w:t>
      </w:r>
      <w:r w:rsidRPr="009D0B3A">
        <w:t xml:space="preserve"> le respect des mesures de réglementation, un membre a </w:t>
      </w:r>
      <w:r w:rsidR="0047322B" w:rsidRPr="009D0B3A">
        <w:t xml:space="preserve">mis en lumière </w:t>
      </w:r>
      <w:r w:rsidRPr="009D0B3A">
        <w:t>le problème des mélanges de HFC et les difficultés rencontrées par les importateurs pour communiquer des données précises à leur sujet. Un autre a attiré l</w:t>
      </w:r>
      <w:r w:rsidR="00AA6A89" w:rsidRPr="009D0B3A">
        <w:t>’</w:t>
      </w:r>
      <w:r w:rsidRPr="009D0B3A">
        <w:t>attention</w:t>
      </w:r>
      <w:r w:rsidR="0047322B" w:rsidRPr="009D0B3A">
        <w:t xml:space="preserve"> des participant(e)s</w:t>
      </w:r>
      <w:r w:rsidRPr="009D0B3A">
        <w:t xml:space="preserve"> sur le fait que les délais de communication des données arrivaient à échéance toujours très peu de temps avant les réunions du Comité d</w:t>
      </w:r>
      <w:r w:rsidR="00AA6A89" w:rsidRPr="009D0B3A">
        <w:t>’</w:t>
      </w:r>
      <w:r w:rsidRPr="009D0B3A">
        <w:t xml:space="preserve">application et de la Réunion des Parties, ce qui compliquait le processus </w:t>
      </w:r>
      <w:r w:rsidR="00B61BD5" w:rsidRPr="009D0B3A">
        <w:t>d</w:t>
      </w:r>
      <w:r w:rsidR="00AA6A89" w:rsidRPr="009D0B3A">
        <w:t>’</w:t>
      </w:r>
      <w:r w:rsidR="00B61BD5" w:rsidRPr="009D0B3A">
        <w:t xml:space="preserve">examen de </w:t>
      </w:r>
      <w:r w:rsidRPr="009D0B3A">
        <w:t xml:space="preserve">la situation des </w:t>
      </w:r>
      <w:r w:rsidR="0090715C" w:rsidRPr="009D0B3A">
        <w:t>P</w:t>
      </w:r>
      <w:r w:rsidRPr="009D0B3A">
        <w:t>arties en matière de respect. Il n</w:t>
      </w:r>
      <w:r w:rsidR="00AA6A89" w:rsidRPr="009D0B3A">
        <w:t>’</w:t>
      </w:r>
      <w:r w:rsidRPr="009D0B3A">
        <w:t>avait toutefois pas de solution à proposer.</w:t>
      </w:r>
    </w:p>
    <w:p w14:paraId="7709CD94" w14:textId="55D2E38D" w:rsidR="003D7CDE" w:rsidRPr="009D0B3A" w:rsidRDefault="004E2800" w:rsidP="00F60850">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S</w:t>
      </w:r>
      <w:r w:rsidR="00AA6A89" w:rsidRPr="009D0B3A">
        <w:t>’</w:t>
      </w:r>
      <w:r w:rsidRPr="009D0B3A">
        <w:t>agissant d</w:t>
      </w:r>
      <w:r w:rsidR="003D7CDE" w:rsidRPr="009D0B3A">
        <w:t>es modifications apportées aux données de référence, deux</w:t>
      </w:r>
      <w:r w:rsidR="000A33F8">
        <w:t> </w:t>
      </w:r>
      <w:r w:rsidR="003D7CDE" w:rsidRPr="009D0B3A">
        <w:t>membres ont fait remarquer que si certaines des modifications demandées par les Parties pouvaient être traitées très facilement, cela était beaucoup plus difficile pour d</w:t>
      </w:r>
      <w:r w:rsidR="00AA6A89" w:rsidRPr="009D0B3A">
        <w:t>’</w:t>
      </w:r>
      <w:r w:rsidR="003D7CDE" w:rsidRPr="009D0B3A">
        <w:t xml:space="preserve">autres, </w:t>
      </w:r>
      <w:r w:rsidR="0047322B" w:rsidRPr="009D0B3A">
        <w:t>qui avaient généralement comme</w:t>
      </w:r>
      <w:r w:rsidR="003D7CDE" w:rsidRPr="009D0B3A">
        <w:t xml:space="preserve"> point commun des faiblesses </w:t>
      </w:r>
      <w:r w:rsidR="00CB18CC" w:rsidRPr="009D0B3A">
        <w:t xml:space="preserve">au niveau des </w:t>
      </w:r>
      <w:r w:rsidR="003D7CDE" w:rsidRPr="009D0B3A">
        <w:t xml:space="preserve">contrôles douaniers, </w:t>
      </w:r>
      <w:r w:rsidR="00CB18CC" w:rsidRPr="009D0B3A">
        <w:t xml:space="preserve">de </w:t>
      </w:r>
      <w:r w:rsidR="003D7CDE" w:rsidRPr="009D0B3A">
        <w:t>l</w:t>
      </w:r>
      <w:r w:rsidR="00AA6A89" w:rsidRPr="009D0B3A">
        <w:t>’</w:t>
      </w:r>
      <w:r w:rsidR="003D7CDE" w:rsidRPr="009D0B3A">
        <w:t xml:space="preserve">octroi de licences et </w:t>
      </w:r>
      <w:r w:rsidR="00CB18CC" w:rsidRPr="009D0B3A">
        <w:t xml:space="preserve">de </w:t>
      </w:r>
      <w:r w:rsidR="003D7CDE" w:rsidRPr="009D0B3A">
        <w:t>l</w:t>
      </w:r>
      <w:r w:rsidR="00AA6A89" w:rsidRPr="009D0B3A">
        <w:t>’</w:t>
      </w:r>
      <w:r w:rsidR="003D7CDE" w:rsidRPr="009D0B3A">
        <w:t>application de</w:t>
      </w:r>
      <w:r w:rsidR="0047322B" w:rsidRPr="009D0B3A">
        <w:t>s règlementations</w:t>
      </w:r>
      <w:r w:rsidR="003D7CDE" w:rsidRPr="009D0B3A">
        <w:t>. Un autre a attiré l</w:t>
      </w:r>
      <w:r w:rsidR="00AA6A89" w:rsidRPr="009D0B3A">
        <w:t>’</w:t>
      </w:r>
      <w:r w:rsidR="003D7CDE" w:rsidRPr="009D0B3A">
        <w:t xml:space="preserve">attention </w:t>
      </w:r>
      <w:r w:rsidR="0047322B" w:rsidRPr="009D0B3A">
        <w:t xml:space="preserve">des participant(e)s </w:t>
      </w:r>
      <w:r w:rsidR="003D7CDE" w:rsidRPr="009D0B3A">
        <w:t>sur le problème de la transmission d</w:t>
      </w:r>
      <w:r w:rsidR="00AA6A89" w:rsidRPr="009D0B3A">
        <w:t>’</w:t>
      </w:r>
      <w:r w:rsidR="003D7CDE" w:rsidRPr="009D0B3A">
        <w:t xml:space="preserve">informations inexactes ou tardives par les </w:t>
      </w:r>
      <w:r w:rsidR="0047322B" w:rsidRPr="009D0B3A">
        <w:t xml:space="preserve">services des </w:t>
      </w:r>
      <w:r w:rsidR="003D7CDE" w:rsidRPr="009D0B3A">
        <w:t>douanes.</w:t>
      </w:r>
    </w:p>
    <w:p w14:paraId="67330442" w14:textId="78F8188F" w:rsidR="00121ACB" w:rsidRPr="009D0B3A" w:rsidRDefault="0047322B" w:rsidP="00F60850">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Par ailleurs</w:t>
      </w:r>
      <w:r w:rsidR="00121ACB" w:rsidRPr="009D0B3A">
        <w:t>, un membre a fait observer que</w:t>
      </w:r>
      <w:r w:rsidRPr="009D0B3A">
        <w:t>,</w:t>
      </w:r>
      <w:r w:rsidR="00121ACB" w:rsidRPr="009D0B3A">
        <w:t xml:space="preserve"> </w:t>
      </w:r>
      <w:r w:rsidR="00CE41D6" w:rsidRPr="009D0B3A">
        <w:t>souvent</w:t>
      </w:r>
      <w:r w:rsidRPr="009D0B3A">
        <w:t>,</w:t>
      </w:r>
      <w:r w:rsidR="00CE41D6" w:rsidRPr="009D0B3A">
        <w:t xml:space="preserve"> </w:t>
      </w:r>
      <w:r w:rsidR="00121ACB" w:rsidRPr="009D0B3A">
        <w:t xml:space="preserve">lorsque les Parties rencontraient des difficultés pour collecter des données ou se conformer à leurs mesures de réglementation, le problème </w:t>
      </w:r>
      <w:r w:rsidR="0044385F" w:rsidRPr="009D0B3A">
        <w:t>é</w:t>
      </w:r>
      <w:r w:rsidR="00386C12" w:rsidRPr="009D0B3A">
        <w:t xml:space="preserve">tait </w:t>
      </w:r>
      <w:r w:rsidR="00A03682" w:rsidRPr="009D0B3A">
        <w:t xml:space="preserve">en premier lieu </w:t>
      </w:r>
      <w:r w:rsidR="008504EF" w:rsidRPr="009D0B3A">
        <w:t xml:space="preserve">mis en évidence </w:t>
      </w:r>
      <w:r w:rsidR="00121ACB" w:rsidRPr="009D0B3A">
        <w:t>dans leurs rapports au secrétariat du Fonds multilatéral ou aux organismes d</w:t>
      </w:r>
      <w:r w:rsidR="00AA6A89" w:rsidRPr="009D0B3A">
        <w:t>’</w:t>
      </w:r>
      <w:r w:rsidR="00121ACB" w:rsidRPr="009D0B3A">
        <w:t xml:space="preserve">exécution. Il se demandait </w:t>
      </w:r>
      <w:r w:rsidR="00022D4A" w:rsidRPr="009D0B3A">
        <w:t>s</w:t>
      </w:r>
      <w:r w:rsidR="00AA6A89" w:rsidRPr="009D0B3A">
        <w:t>’</w:t>
      </w:r>
      <w:r w:rsidR="00022D4A" w:rsidRPr="009D0B3A">
        <w:t xml:space="preserve">il ne serait pas possible </w:t>
      </w:r>
      <w:r w:rsidR="00381E0E" w:rsidRPr="009D0B3A">
        <w:t>d</w:t>
      </w:r>
      <w:r w:rsidR="009F0672" w:rsidRPr="009D0B3A">
        <w:t xml:space="preserve">e les </w:t>
      </w:r>
      <w:r w:rsidR="00B57250" w:rsidRPr="009D0B3A">
        <w:t xml:space="preserve">signaler </w:t>
      </w:r>
      <w:r w:rsidR="00381E0E" w:rsidRPr="009D0B3A">
        <w:t xml:space="preserve">plus rapidement </w:t>
      </w:r>
      <w:r w:rsidR="00774ACC" w:rsidRPr="009D0B3A">
        <w:t xml:space="preserve">à </w:t>
      </w:r>
      <w:r w:rsidR="00381E0E" w:rsidRPr="009D0B3A">
        <w:t>l</w:t>
      </w:r>
      <w:r w:rsidR="00AA6A89" w:rsidRPr="009D0B3A">
        <w:t>’</w:t>
      </w:r>
      <w:r w:rsidR="00381E0E" w:rsidRPr="009D0B3A">
        <w:t xml:space="preserve">attention </w:t>
      </w:r>
      <w:r w:rsidR="00723FC7" w:rsidRPr="009D0B3A">
        <w:t xml:space="preserve">du </w:t>
      </w:r>
      <w:r w:rsidR="00121ACB" w:rsidRPr="009D0B3A">
        <w:t>Comité d</w:t>
      </w:r>
      <w:r w:rsidR="00AA6A89" w:rsidRPr="009D0B3A">
        <w:t>’</w:t>
      </w:r>
      <w:r w:rsidR="00121ACB" w:rsidRPr="009D0B3A">
        <w:t>application.</w:t>
      </w:r>
    </w:p>
    <w:p w14:paraId="19BB4517" w14:textId="1F4BD944" w:rsidR="00121ACB" w:rsidRPr="009D0B3A" w:rsidRDefault="00211FC4" w:rsidP="00F60850">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D35C59">
        <w:t>Le Président a remercié</w:t>
      </w:r>
      <w:r w:rsidRPr="009D0B3A">
        <w:t xml:space="preserve"> tous les membres du Comité </w:t>
      </w:r>
      <w:r w:rsidR="00C15FE7" w:rsidRPr="009D0B3A">
        <w:t xml:space="preserve">de </w:t>
      </w:r>
      <w:r w:rsidRPr="009D0B3A">
        <w:t>leurs contributions et a déclaré qu</w:t>
      </w:r>
      <w:r w:rsidR="00AA6A89" w:rsidRPr="009D0B3A">
        <w:t>’</w:t>
      </w:r>
      <w:r w:rsidRPr="009D0B3A">
        <w:t xml:space="preserve">il comptait les intégrer dans sa contribution aux </w:t>
      </w:r>
      <w:r w:rsidR="0047322B" w:rsidRPr="009D0B3A">
        <w:t xml:space="preserve">débats </w:t>
      </w:r>
      <w:r w:rsidR="00A52C9D" w:rsidRPr="009D0B3A">
        <w:t>qui aur</w:t>
      </w:r>
      <w:r w:rsidR="0047322B" w:rsidRPr="009D0B3A">
        <w:t>aie</w:t>
      </w:r>
      <w:r w:rsidR="00A52C9D" w:rsidRPr="009D0B3A">
        <w:t xml:space="preserve">nt lieu </w:t>
      </w:r>
      <w:r w:rsidRPr="009D0B3A">
        <w:t>lors de la réunion informelle des Parties.</w:t>
      </w:r>
    </w:p>
    <w:p w14:paraId="446A4626" w14:textId="55628956" w:rsidR="001555C7" w:rsidRPr="009D0B3A" w:rsidRDefault="00EA6ACA" w:rsidP="000C5A72">
      <w:pPr>
        <w:pStyle w:val="CH1"/>
      </w:pPr>
      <w:r>
        <w:rPr>
          <w:bCs/>
        </w:rPr>
        <w:tab/>
      </w:r>
      <w:r w:rsidR="00E234BD">
        <w:rPr>
          <w:bCs/>
        </w:rPr>
        <w:t>X</w:t>
      </w:r>
      <w:r>
        <w:rPr>
          <w:bCs/>
        </w:rPr>
        <w:t>.</w:t>
      </w:r>
      <w:r>
        <w:rPr>
          <w:bCs/>
        </w:rPr>
        <w:tab/>
      </w:r>
      <w:r w:rsidR="00277305" w:rsidRPr="009D0B3A">
        <w:rPr>
          <w:bCs/>
        </w:rPr>
        <w:t>Questions diverses</w:t>
      </w:r>
    </w:p>
    <w:p w14:paraId="678E6588" w14:textId="5C2676C5" w:rsidR="008B44CE" w:rsidRPr="009D0B3A" w:rsidRDefault="00061519" w:rsidP="00CB5AC1">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Aucune autre question n</w:t>
      </w:r>
      <w:r w:rsidR="00AA6A89" w:rsidRPr="009D0B3A">
        <w:t>’</w:t>
      </w:r>
      <w:r w:rsidRPr="009D0B3A">
        <w:t>a été soulevée.</w:t>
      </w:r>
    </w:p>
    <w:p w14:paraId="3C11F500" w14:textId="5D32AFDA" w:rsidR="001555C7" w:rsidRPr="009D0B3A" w:rsidRDefault="00807370" w:rsidP="00807370">
      <w:pPr>
        <w:pStyle w:val="CH1"/>
      </w:pPr>
      <w:r>
        <w:rPr>
          <w:bCs/>
        </w:rPr>
        <w:lastRenderedPageBreak/>
        <w:tab/>
      </w:r>
      <w:r w:rsidR="00AC1605">
        <w:rPr>
          <w:bCs/>
        </w:rPr>
        <w:t>X</w:t>
      </w:r>
      <w:r>
        <w:rPr>
          <w:bCs/>
        </w:rPr>
        <w:t>I.</w:t>
      </w:r>
      <w:r>
        <w:rPr>
          <w:bCs/>
        </w:rPr>
        <w:tab/>
      </w:r>
      <w:r w:rsidR="00277305" w:rsidRPr="009D0B3A">
        <w:rPr>
          <w:bCs/>
        </w:rPr>
        <w:t>Adoption des recommandations et du rapport de la réunion</w:t>
      </w:r>
    </w:p>
    <w:p w14:paraId="070AA1C9" w14:textId="2EEB1425" w:rsidR="00816542" w:rsidRPr="009D0B3A" w:rsidRDefault="00B07AFE" w:rsidP="00F932D0">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bookmarkStart w:id="33" w:name="_Hlk180703829"/>
      <w:r w:rsidRPr="009D0B3A">
        <w:t>Le Comité a approuvé les recommandations figurant dans le présent</w:t>
      </w:r>
      <w:r w:rsidR="000A33F8">
        <w:t> </w:t>
      </w:r>
      <w:r w:rsidRPr="009D0B3A">
        <w:t>rapport et est convenu de confier l</w:t>
      </w:r>
      <w:r w:rsidR="00B13D47" w:rsidRPr="009D0B3A">
        <w:t>’élaboration</w:t>
      </w:r>
      <w:r w:rsidRPr="009D0B3A">
        <w:t xml:space="preserve"> et l</w:t>
      </w:r>
      <w:r w:rsidR="00AA6A89" w:rsidRPr="009D0B3A">
        <w:t>’</w:t>
      </w:r>
      <w:r w:rsidRPr="009D0B3A">
        <w:t>approbation du rapport de la réunion à son Président, en consultation avec le Secrétariat.</w:t>
      </w:r>
      <w:bookmarkEnd w:id="33"/>
    </w:p>
    <w:p w14:paraId="17F0D645" w14:textId="7A30EE81" w:rsidR="001555C7" w:rsidRPr="009D0B3A" w:rsidRDefault="00667D2F" w:rsidP="00667D2F">
      <w:pPr>
        <w:pStyle w:val="CH1"/>
      </w:pPr>
      <w:r>
        <w:rPr>
          <w:bCs/>
        </w:rPr>
        <w:tab/>
      </w:r>
      <w:r w:rsidR="00313A91">
        <w:rPr>
          <w:bCs/>
        </w:rPr>
        <w:t>X</w:t>
      </w:r>
      <w:r>
        <w:rPr>
          <w:bCs/>
        </w:rPr>
        <w:t>II.</w:t>
      </w:r>
      <w:r>
        <w:rPr>
          <w:bCs/>
        </w:rPr>
        <w:tab/>
      </w:r>
      <w:r w:rsidR="00277305" w:rsidRPr="009D0B3A">
        <w:rPr>
          <w:bCs/>
        </w:rPr>
        <w:t>Clôture de la réunion</w:t>
      </w:r>
    </w:p>
    <w:p w14:paraId="20A12CE8" w14:textId="70D388EA" w:rsidR="00B63951" w:rsidRPr="009D0B3A" w:rsidRDefault="00B9097B" w:rsidP="00B32E2A">
      <w:pPr>
        <w:pStyle w:val="Normalnumber"/>
        <w:numPr>
          <w:ilvl w:val="0"/>
          <w:numId w:val="17"/>
        </w:numPr>
        <w:tabs>
          <w:tab w:val="clear" w:pos="1247"/>
          <w:tab w:val="clear" w:pos="1814"/>
          <w:tab w:val="clear" w:pos="2381"/>
          <w:tab w:val="clear" w:pos="2495"/>
          <w:tab w:val="clear" w:pos="2948"/>
          <w:tab w:val="clear" w:pos="3515"/>
          <w:tab w:val="left" w:pos="2016"/>
        </w:tabs>
        <w:ind w:left="1247" w:firstLine="0"/>
      </w:pPr>
      <w:r w:rsidRPr="009D0B3A">
        <w:t>Après l</w:t>
      </w:r>
      <w:r w:rsidR="00AA6A89" w:rsidRPr="009D0B3A">
        <w:t>’</w:t>
      </w:r>
      <w:r w:rsidRPr="009D0B3A">
        <w:t>échange de courtoisies d</w:t>
      </w:r>
      <w:r w:rsidR="00AA6A89" w:rsidRPr="009D0B3A">
        <w:t>’</w:t>
      </w:r>
      <w:r w:rsidRPr="009D0B3A">
        <w:t>usage, le Président a prononcé la clôture de la réunion le samedi 1</w:t>
      </w:r>
      <w:r w:rsidRPr="009D0B3A">
        <w:rPr>
          <w:vertAlign w:val="superscript"/>
        </w:rPr>
        <w:t>er</w:t>
      </w:r>
      <w:r w:rsidR="000A33F8">
        <w:rPr>
          <w:vertAlign w:val="superscript"/>
        </w:rPr>
        <w:t> </w:t>
      </w:r>
      <w:r w:rsidRPr="009D0B3A">
        <w:t>novembre 2025 à 16</w:t>
      </w:r>
      <w:r w:rsidR="000A33F8">
        <w:t> </w:t>
      </w:r>
      <w:r w:rsidRPr="009D0B3A">
        <w:t>h</w:t>
      </w:r>
      <w:r w:rsidR="000A33F8">
        <w:t> </w:t>
      </w:r>
      <w:r w:rsidRPr="009D0B3A">
        <w:t xml:space="preserve">30. </w:t>
      </w:r>
    </w:p>
    <w:p w14:paraId="563816C5" w14:textId="47DC9B91" w:rsidR="00F16A0C" w:rsidRPr="009D0B3A" w:rsidRDefault="00F16A0C">
      <w:pPr>
        <w:tabs>
          <w:tab w:val="clear" w:pos="1247"/>
          <w:tab w:val="clear" w:pos="1814"/>
          <w:tab w:val="clear" w:pos="2381"/>
          <w:tab w:val="clear" w:pos="2948"/>
          <w:tab w:val="clear" w:pos="3515"/>
        </w:tabs>
        <w:spacing w:after="160" w:line="259" w:lineRule="auto"/>
      </w:pPr>
      <w:r w:rsidRPr="009D0B3A">
        <w:br w:type="page"/>
      </w:r>
    </w:p>
    <w:p w14:paraId="6F697313" w14:textId="6DCD8A03" w:rsidR="00F16A0C" w:rsidRPr="009D0B3A" w:rsidRDefault="00F16A0C" w:rsidP="00F16A0C">
      <w:pPr>
        <w:pStyle w:val="ZZAnxheader"/>
      </w:pPr>
      <w:r w:rsidRPr="009D0B3A">
        <w:lastRenderedPageBreak/>
        <w:t>Annexe</w:t>
      </w:r>
      <w:r w:rsidR="009C0136">
        <w:t> </w:t>
      </w:r>
      <w:r w:rsidRPr="009D0B3A">
        <w:t>I</w:t>
      </w:r>
    </w:p>
    <w:p w14:paraId="3B7087E7" w14:textId="741819C9" w:rsidR="00F16A0C" w:rsidRPr="009D0B3A" w:rsidRDefault="00F16A0C" w:rsidP="00F16A0C">
      <w:pPr>
        <w:pStyle w:val="ZZAnxtitle"/>
      </w:pPr>
      <w:r w:rsidRPr="009D0B3A">
        <w:t>Projets de décision transmis par le Comité d</w:t>
      </w:r>
      <w:r w:rsidR="00AA6A89" w:rsidRPr="009D0B3A">
        <w:t>’</w:t>
      </w:r>
      <w:r w:rsidRPr="009D0B3A">
        <w:t>application de</w:t>
      </w:r>
      <w:r w:rsidR="004E66AE">
        <w:t> </w:t>
      </w:r>
      <w:r w:rsidRPr="009D0B3A">
        <w:t>la</w:t>
      </w:r>
      <w:r w:rsidR="004E66AE">
        <w:t> </w:t>
      </w:r>
      <w:r w:rsidRPr="009D0B3A">
        <w:t>procédure applicable en cas de non-respect du Protocole de</w:t>
      </w:r>
      <w:r w:rsidR="00923587">
        <w:t> </w:t>
      </w:r>
      <w:r w:rsidRPr="009D0B3A">
        <w:t>Montréal, à ses soixante-quatorzième et soixante</w:t>
      </w:r>
      <w:r w:rsidR="00547844">
        <w:noBreakHyphen/>
      </w:r>
      <w:r w:rsidRPr="009D0B3A">
        <w:t>quinzième</w:t>
      </w:r>
      <w:r w:rsidR="009C0136">
        <w:t> </w:t>
      </w:r>
      <w:r w:rsidRPr="009D0B3A">
        <w:t>réunions, à la trente-septième</w:t>
      </w:r>
      <w:r w:rsidR="009C0136">
        <w:t> </w:t>
      </w:r>
      <w:r w:rsidRPr="009D0B3A">
        <w:t>Réunion des</w:t>
      </w:r>
      <w:r w:rsidR="008B30D6">
        <w:t> </w:t>
      </w:r>
      <w:r w:rsidRPr="009D0B3A">
        <w:t>Parties au</w:t>
      </w:r>
      <w:r w:rsidR="009C0136">
        <w:t> </w:t>
      </w:r>
      <w:r w:rsidRPr="009D0B3A">
        <w:t>Protocole de</w:t>
      </w:r>
      <w:r w:rsidR="006E4C6A">
        <w:t> </w:t>
      </w:r>
      <w:r w:rsidRPr="009D0B3A">
        <w:t>Montréal pour examen</w:t>
      </w:r>
    </w:p>
    <w:p w14:paraId="788CFFF2" w14:textId="76D7D645" w:rsidR="003E09D8" w:rsidRPr="009D0B3A" w:rsidRDefault="00026068" w:rsidP="00026068">
      <w:pPr>
        <w:pStyle w:val="CH2"/>
      </w:pPr>
      <w:r>
        <w:tab/>
      </w:r>
      <w:r w:rsidR="00CE530B">
        <w:t>A.</w:t>
      </w:r>
      <w:r>
        <w:tab/>
      </w:r>
      <w:r w:rsidR="003E09D8" w:rsidRPr="009D0B3A">
        <w:rPr>
          <w:bCs/>
        </w:rPr>
        <w:t>Projet de décision</w:t>
      </w:r>
      <w:r w:rsidR="000F73CF">
        <w:rPr>
          <w:bCs/>
        </w:rPr>
        <w:t> </w:t>
      </w:r>
      <w:r w:rsidR="003E09D8" w:rsidRPr="009D0B3A">
        <w:rPr>
          <w:bCs/>
        </w:rPr>
        <w:t>XXXVII/[--]</w:t>
      </w:r>
      <w:r w:rsidR="00AA6A89" w:rsidRPr="009D0B3A">
        <w:rPr>
          <w:bCs/>
        </w:rPr>
        <w:t> :</w:t>
      </w:r>
      <w:r w:rsidR="003E09D8" w:rsidRPr="009D0B3A">
        <w:rPr>
          <w:bCs/>
        </w:rPr>
        <w:t xml:space="preserve"> Données et informations communiquées par</w:t>
      </w:r>
      <w:r w:rsidR="00C27321">
        <w:rPr>
          <w:bCs/>
        </w:rPr>
        <w:t> </w:t>
      </w:r>
      <w:r w:rsidR="003E09D8" w:rsidRPr="009D0B3A">
        <w:rPr>
          <w:bCs/>
        </w:rPr>
        <w:t>les Parties en application de l</w:t>
      </w:r>
      <w:r w:rsidR="00AA6A89" w:rsidRPr="009D0B3A">
        <w:rPr>
          <w:bCs/>
        </w:rPr>
        <w:t>’</w:t>
      </w:r>
      <w:r w:rsidR="003E09D8" w:rsidRPr="009D0B3A">
        <w:rPr>
          <w:bCs/>
        </w:rPr>
        <w:t>article</w:t>
      </w:r>
      <w:r w:rsidR="000F73CF">
        <w:rPr>
          <w:bCs/>
        </w:rPr>
        <w:t> </w:t>
      </w:r>
      <w:r w:rsidR="003E09D8" w:rsidRPr="009D0B3A">
        <w:rPr>
          <w:bCs/>
        </w:rPr>
        <w:t>7 du Protocole de</w:t>
      </w:r>
      <w:r w:rsidR="000F73CF">
        <w:rPr>
          <w:bCs/>
        </w:rPr>
        <w:t> </w:t>
      </w:r>
      <w:r w:rsidR="003E09D8" w:rsidRPr="009D0B3A">
        <w:rPr>
          <w:bCs/>
        </w:rPr>
        <w:t>Montréal</w:t>
      </w:r>
    </w:p>
    <w:p w14:paraId="27B92481" w14:textId="71BEB193" w:rsidR="002E3FBC" w:rsidRPr="009D0B3A" w:rsidRDefault="002E3FBC" w:rsidP="002E3FBC">
      <w:pPr>
        <w:pStyle w:val="NormalNonumber"/>
        <w:tabs>
          <w:tab w:val="clear" w:pos="1247"/>
          <w:tab w:val="clear" w:pos="1871"/>
          <w:tab w:val="clear" w:pos="2495"/>
          <w:tab w:val="clear" w:pos="3119"/>
          <w:tab w:val="clear" w:pos="3742"/>
          <w:tab w:val="clear" w:pos="4366"/>
        </w:tabs>
        <w:spacing w:before="240"/>
        <w:ind w:firstLine="624"/>
        <w:rPr>
          <w:i/>
          <w:iCs/>
        </w:rPr>
      </w:pPr>
      <w:r w:rsidRPr="009D0B3A">
        <w:rPr>
          <w:i/>
          <w:iCs/>
        </w:rPr>
        <w:t>La trente-septième</w:t>
      </w:r>
      <w:r w:rsidR="000F73CF">
        <w:rPr>
          <w:i/>
          <w:iCs/>
        </w:rPr>
        <w:t> </w:t>
      </w:r>
      <w:r w:rsidRPr="009D0B3A">
        <w:rPr>
          <w:i/>
          <w:iCs/>
        </w:rPr>
        <w:t xml:space="preserve">Réunion des Parties décide </w:t>
      </w:r>
    </w:p>
    <w:p w14:paraId="4C8D557E" w14:textId="4AB0CD70" w:rsidR="003E09D8" w:rsidRPr="009D0B3A" w:rsidRDefault="003E09D8" w:rsidP="00143F38">
      <w:pPr>
        <w:pStyle w:val="NormalNonumber"/>
        <w:numPr>
          <w:ilvl w:val="0"/>
          <w:numId w:val="18"/>
        </w:numPr>
        <w:tabs>
          <w:tab w:val="clear" w:pos="1247"/>
          <w:tab w:val="clear" w:pos="1871"/>
          <w:tab w:val="clear" w:pos="2495"/>
          <w:tab w:val="clear" w:pos="3119"/>
          <w:tab w:val="clear" w:pos="3742"/>
          <w:tab w:val="clear" w:pos="4366"/>
        </w:tabs>
        <w:ind w:left="1247" w:firstLine="624"/>
      </w:pPr>
      <w:r w:rsidRPr="006F1763">
        <w:t>De noter</w:t>
      </w:r>
      <w:r w:rsidRPr="009D0B3A">
        <w:t xml:space="preserve"> que 194</w:t>
      </w:r>
      <w:r w:rsidR="000F73CF">
        <w:t> </w:t>
      </w:r>
      <w:r w:rsidRPr="009D0B3A">
        <w:t>Parties sur les 198 qui auraient dû communiquer leurs données pour 2024 l</w:t>
      </w:r>
      <w:r w:rsidR="00AA6A89" w:rsidRPr="009D0B3A">
        <w:t>’</w:t>
      </w:r>
      <w:r w:rsidRPr="009D0B3A">
        <w:t>avaient fait avant le 31</w:t>
      </w:r>
      <w:r w:rsidR="000F73CF">
        <w:t> </w:t>
      </w:r>
      <w:r w:rsidRPr="009D0B3A">
        <w:t>octobre 2025, que 123 Parties l</w:t>
      </w:r>
      <w:r w:rsidR="00AA6A89" w:rsidRPr="009D0B3A">
        <w:t>’</w:t>
      </w:r>
      <w:r w:rsidRPr="009D0B3A">
        <w:t>avaient fait au moyen du système d</w:t>
      </w:r>
      <w:r w:rsidR="00AA6A89" w:rsidRPr="009D0B3A">
        <w:t>’</w:t>
      </w:r>
      <w:r w:rsidRPr="009D0B3A">
        <w:t>établissement des rapports en ligne et que 170</w:t>
      </w:r>
      <w:r w:rsidR="006848BE" w:rsidRPr="009D0B3A">
        <w:t xml:space="preserve"> </w:t>
      </w:r>
      <w:r w:rsidRPr="009D0B3A">
        <w:t>avaient communiqué leurs données avant le 30</w:t>
      </w:r>
      <w:r w:rsidR="000F73CF">
        <w:t> </w:t>
      </w:r>
      <w:r w:rsidRPr="009D0B3A">
        <w:t>septembre 2025, conformément au paragraphe</w:t>
      </w:r>
      <w:r w:rsidR="000F73CF">
        <w:t> </w:t>
      </w:r>
      <w:r w:rsidRPr="009D0B3A">
        <w:t>3 de l</w:t>
      </w:r>
      <w:r w:rsidR="00AA6A89" w:rsidRPr="009D0B3A">
        <w:t>’</w:t>
      </w:r>
      <w:r w:rsidRPr="009D0B3A">
        <w:t>article</w:t>
      </w:r>
      <w:r w:rsidR="000F73CF">
        <w:t> </w:t>
      </w:r>
      <w:r w:rsidRPr="009D0B3A">
        <w:t>7 du Protocole de</w:t>
      </w:r>
      <w:r w:rsidR="000F73CF">
        <w:t> </w:t>
      </w:r>
      <w:r w:rsidRPr="009D0B3A">
        <w:t>Montréal relatif à des substances qui appauvrissent la couche d</w:t>
      </w:r>
      <w:r w:rsidR="00AA6A89" w:rsidRPr="009D0B3A">
        <w:t>’</w:t>
      </w:r>
      <w:r w:rsidRPr="009D0B3A">
        <w:t>ozone</w:t>
      </w:r>
      <w:r w:rsidR="00AA6A89" w:rsidRPr="009D0B3A">
        <w:t> ;</w:t>
      </w:r>
    </w:p>
    <w:p w14:paraId="65159A4A" w14:textId="5F8A6DDF" w:rsidR="003E09D8" w:rsidRPr="009D0B3A" w:rsidRDefault="003E09D8" w:rsidP="00143F38">
      <w:pPr>
        <w:pStyle w:val="NormalNonumber"/>
        <w:numPr>
          <w:ilvl w:val="0"/>
          <w:numId w:val="18"/>
        </w:numPr>
        <w:tabs>
          <w:tab w:val="clear" w:pos="1247"/>
          <w:tab w:val="clear" w:pos="1871"/>
          <w:tab w:val="clear" w:pos="2495"/>
          <w:tab w:val="clear" w:pos="3119"/>
          <w:tab w:val="clear" w:pos="3742"/>
          <w:tab w:val="clear" w:pos="4366"/>
        </w:tabs>
        <w:ind w:left="1247" w:firstLine="624"/>
      </w:pPr>
      <w:r w:rsidRPr="006F1763">
        <w:t>De noter avec satisfaction</w:t>
      </w:r>
      <w:r w:rsidRPr="009D0B3A">
        <w:t xml:space="preserve"> que 74 de ces Parties avaient communiqué leurs données pour 2024 avant le 30</w:t>
      </w:r>
      <w:r w:rsidR="000F73CF">
        <w:t> </w:t>
      </w:r>
      <w:r w:rsidRPr="009D0B3A">
        <w:t>juin 2025, comme elles avaient été invitées à le faire dans la décision</w:t>
      </w:r>
      <w:r w:rsidR="000F73CF">
        <w:t> </w:t>
      </w:r>
      <w:r w:rsidRPr="009D0B3A">
        <w:t>XV/15, sachant que la communication des données avant le 30 juin de chaque année facilite considérablement le travail du Comité</w:t>
      </w:r>
      <w:r w:rsidR="000F73CF">
        <w:t> </w:t>
      </w:r>
      <w:r w:rsidRPr="009D0B3A">
        <w:t>exécutif du Fonds multilatéral aux fins d</w:t>
      </w:r>
      <w:r w:rsidR="00AA6A89" w:rsidRPr="009D0B3A">
        <w:t>’</w:t>
      </w:r>
      <w:r w:rsidRPr="009D0B3A">
        <w:t>application du Protocole de Montréal, qui aide les Parties visées au paragraphe</w:t>
      </w:r>
      <w:r w:rsidR="000F73CF">
        <w:t> </w:t>
      </w:r>
      <w:r w:rsidRPr="009D0B3A">
        <w:t>1 de l</w:t>
      </w:r>
      <w:r w:rsidR="00AA6A89" w:rsidRPr="009D0B3A">
        <w:t>’</w:t>
      </w:r>
      <w:r w:rsidRPr="009D0B3A">
        <w:t>article</w:t>
      </w:r>
      <w:r w:rsidR="000F73CF">
        <w:t> </w:t>
      </w:r>
      <w:r w:rsidRPr="009D0B3A">
        <w:t>5 du Protocole à respecter les mesures de réglementation prévues par le Protocole</w:t>
      </w:r>
      <w:r w:rsidR="00AA6A89" w:rsidRPr="009D0B3A">
        <w:t> ;</w:t>
      </w:r>
    </w:p>
    <w:p w14:paraId="08CCE8B8" w14:textId="3207DB77" w:rsidR="003E09D8" w:rsidRPr="009D0B3A" w:rsidRDefault="003E09D8" w:rsidP="00143F38">
      <w:pPr>
        <w:pStyle w:val="NormalNonumber"/>
        <w:numPr>
          <w:ilvl w:val="0"/>
          <w:numId w:val="18"/>
        </w:numPr>
        <w:tabs>
          <w:tab w:val="clear" w:pos="1247"/>
          <w:tab w:val="clear" w:pos="1871"/>
          <w:tab w:val="clear" w:pos="2495"/>
          <w:tab w:val="clear" w:pos="3119"/>
          <w:tab w:val="clear" w:pos="3742"/>
          <w:tab w:val="clear" w:pos="4366"/>
        </w:tabs>
        <w:ind w:left="1247" w:firstLine="624"/>
      </w:pPr>
      <w:r w:rsidRPr="008F1476">
        <w:t>De noter avec préoccupation</w:t>
      </w:r>
      <w:r w:rsidRPr="009D0B3A">
        <w:t xml:space="preserve"> que quatre Parties, à savoir l</w:t>
      </w:r>
      <w:r w:rsidR="00AA6A89" w:rsidRPr="009D0B3A">
        <w:t>’</w:t>
      </w:r>
      <w:r w:rsidRPr="009D0B3A">
        <w:t>Arménie, les Comores, l</w:t>
      </w:r>
      <w:r w:rsidR="00AA6A89" w:rsidRPr="009D0B3A">
        <w:t>’</w:t>
      </w:r>
      <w:r w:rsidRPr="009D0B3A">
        <w:t>Islande et Sao Tomé-et-Principe, n</w:t>
      </w:r>
      <w:r w:rsidR="00AA6A89" w:rsidRPr="009D0B3A">
        <w:t>’</w:t>
      </w:r>
      <w:r w:rsidRPr="009D0B3A">
        <w:t>avaient pas communiqué leurs données pour 2024 avant le 31</w:t>
      </w:r>
      <w:r w:rsidR="000F73CF">
        <w:t> </w:t>
      </w:r>
      <w:r w:rsidRPr="009D0B3A">
        <w:t>octobre 2025, et qu</w:t>
      </w:r>
      <w:r w:rsidR="00AA6A89" w:rsidRPr="009D0B3A">
        <w:t>’</w:t>
      </w:r>
      <w:r w:rsidRPr="009D0B3A">
        <w:t>elles se trouvaient ainsi en situation de non-respect de leur obligation de communiquer des données au titre du paragraphe</w:t>
      </w:r>
      <w:r w:rsidR="000F73CF">
        <w:t> </w:t>
      </w:r>
      <w:r w:rsidRPr="009D0B3A">
        <w:t>3 de l</w:t>
      </w:r>
      <w:r w:rsidR="00AA6A89" w:rsidRPr="009D0B3A">
        <w:t>’</w:t>
      </w:r>
      <w:r w:rsidRPr="009D0B3A">
        <w:t>article</w:t>
      </w:r>
      <w:r w:rsidR="000F73CF">
        <w:t> </w:t>
      </w:r>
      <w:r w:rsidRPr="009D0B3A">
        <w:t>7 du Protocole de</w:t>
      </w:r>
      <w:r w:rsidR="000F73CF">
        <w:t> </w:t>
      </w:r>
      <w:r w:rsidRPr="009D0B3A">
        <w:t>Montréal tant que le Secrétariat de l</w:t>
      </w:r>
      <w:r w:rsidR="00AA6A89" w:rsidRPr="009D0B3A">
        <w:t>’</w:t>
      </w:r>
      <w:r w:rsidRPr="009D0B3A">
        <w:t>ozone n</w:t>
      </w:r>
      <w:r w:rsidR="00AA6A89" w:rsidRPr="009D0B3A">
        <w:t>’</w:t>
      </w:r>
      <w:r w:rsidRPr="009D0B3A">
        <w:t>aura pas reçu les données manquantes</w:t>
      </w:r>
      <w:r w:rsidR="00AA6A89" w:rsidRPr="009D0B3A">
        <w:t> ;</w:t>
      </w:r>
    </w:p>
    <w:p w14:paraId="38089A89" w14:textId="239F2B11" w:rsidR="003E09D8" w:rsidRPr="009D0B3A" w:rsidRDefault="003E09D8" w:rsidP="00143F38">
      <w:pPr>
        <w:pStyle w:val="NormalNonumber"/>
        <w:numPr>
          <w:ilvl w:val="0"/>
          <w:numId w:val="18"/>
        </w:numPr>
        <w:tabs>
          <w:tab w:val="clear" w:pos="1247"/>
          <w:tab w:val="clear" w:pos="1871"/>
          <w:tab w:val="clear" w:pos="2495"/>
          <w:tab w:val="clear" w:pos="3119"/>
          <w:tab w:val="clear" w:pos="3742"/>
          <w:tab w:val="clear" w:pos="4366"/>
        </w:tabs>
        <w:ind w:left="1247" w:firstLine="624"/>
      </w:pPr>
      <w:r w:rsidRPr="008F1476">
        <w:t>De rappeler</w:t>
      </w:r>
      <w:r w:rsidRPr="009D0B3A">
        <w:t xml:space="preserve"> que tout retard dans la communication des données par les Parties nuit à l</w:t>
      </w:r>
      <w:r w:rsidR="00AA6A89" w:rsidRPr="009D0B3A">
        <w:t>’</w:t>
      </w:r>
      <w:r w:rsidRPr="009D0B3A">
        <w:t>efficacité du contrôle et de l</w:t>
      </w:r>
      <w:r w:rsidR="00AA6A89" w:rsidRPr="009D0B3A">
        <w:t>’</w:t>
      </w:r>
      <w:r w:rsidRPr="009D0B3A">
        <w:t>évaluation du respect par les Parties de leurs obligations au titre du Protocole de Montréal</w:t>
      </w:r>
      <w:r w:rsidR="00AA6A89" w:rsidRPr="009D0B3A">
        <w:t> ;</w:t>
      </w:r>
    </w:p>
    <w:p w14:paraId="3D1D3C62" w14:textId="5A002697" w:rsidR="003E09D8" w:rsidRPr="009D0B3A" w:rsidRDefault="003E09D8" w:rsidP="00143F38">
      <w:pPr>
        <w:pStyle w:val="NormalNonumber"/>
        <w:numPr>
          <w:ilvl w:val="0"/>
          <w:numId w:val="18"/>
        </w:numPr>
        <w:tabs>
          <w:tab w:val="clear" w:pos="1247"/>
          <w:tab w:val="clear" w:pos="1871"/>
          <w:tab w:val="clear" w:pos="2495"/>
          <w:tab w:val="clear" w:pos="3119"/>
          <w:tab w:val="clear" w:pos="3742"/>
          <w:tab w:val="clear" w:pos="4366"/>
        </w:tabs>
        <w:ind w:left="1247" w:firstLine="624"/>
      </w:pPr>
      <w:r w:rsidRPr="008F1476">
        <w:t>D</w:t>
      </w:r>
      <w:r w:rsidR="00AA6A89" w:rsidRPr="008F1476">
        <w:t>’</w:t>
      </w:r>
      <w:r w:rsidRPr="008F1476">
        <w:t>engager vivement</w:t>
      </w:r>
      <w:r w:rsidRPr="009D0B3A">
        <w:t xml:space="preserve"> les Parties mentionnées au paragraphe</w:t>
      </w:r>
      <w:r w:rsidR="000F73CF">
        <w:t> </w:t>
      </w:r>
      <w:r w:rsidRPr="009D0B3A">
        <w:t>3 ci-dessus qui ne l</w:t>
      </w:r>
      <w:r w:rsidR="00AA6A89" w:rsidRPr="009D0B3A">
        <w:t>’</w:t>
      </w:r>
      <w:r w:rsidRPr="009D0B3A">
        <w:t>ont pas encore fait à communiquer dès que possible les données requises au Secrétariat</w:t>
      </w:r>
      <w:r w:rsidR="00AA6A89" w:rsidRPr="009D0B3A">
        <w:t> ;</w:t>
      </w:r>
    </w:p>
    <w:p w14:paraId="25A24170" w14:textId="2E0E5006" w:rsidR="003E09D8" w:rsidRPr="009D0B3A" w:rsidRDefault="003E09D8" w:rsidP="00143F38">
      <w:pPr>
        <w:pStyle w:val="NormalNonumber"/>
        <w:numPr>
          <w:ilvl w:val="0"/>
          <w:numId w:val="18"/>
        </w:numPr>
        <w:tabs>
          <w:tab w:val="clear" w:pos="1247"/>
          <w:tab w:val="clear" w:pos="1871"/>
          <w:tab w:val="clear" w:pos="2495"/>
          <w:tab w:val="clear" w:pos="3119"/>
          <w:tab w:val="clear" w:pos="3742"/>
          <w:tab w:val="clear" w:pos="4366"/>
        </w:tabs>
        <w:ind w:left="1247" w:firstLine="624"/>
      </w:pPr>
      <w:r w:rsidRPr="008F1476">
        <w:t>De prier</w:t>
      </w:r>
      <w:r w:rsidRPr="009D0B3A">
        <w:t xml:space="preserve"> le Comité d</w:t>
      </w:r>
      <w:r w:rsidR="00AA6A89" w:rsidRPr="009D0B3A">
        <w:t>’</w:t>
      </w:r>
      <w:r w:rsidRPr="009D0B3A">
        <w:t>application de la procédure applicable en cas de non-respect du Protocole de Montréal de revoir la situation de ces Parties à sa soixante-seizième réunion</w:t>
      </w:r>
      <w:r w:rsidR="00AA6A89" w:rsidRPr="009D0B3A">
        <w:t> ;</w:t>
      </w:r>
    </w:p>
    <w:p w14:paraId="5CB52440" w14:textId="504BAC3A" w:rsidR="003E09D8" w:rsidRPr="009D0B3A" w:rsidRDefault="003E09D8" w:rsidP="00143F38">
      <w:pPr>
        <w:pStyle w:val="NormalNonumber"/>
        <w:numPr>
          <w:ilvl w:val="0"/>
          <w:numId w:val="18"/>
        </w:numPr>
        <w:tabs>
          <w:tab w:val="clear" w:pos="1247"/>
          <w:tab w:val="clear" w:pos="1871"/>
          <w:tab w:val="clear" w:pos="2495"/>
          <w:tab w:val="clear" w:pos="3119"/>
          <w:tab w:val="clear" w:pos="3742"/>
          <w:tab w:val="clear" w:pos="4366"/>
        </w:tabs>
        <w:ind w:left="1247" w:firstLine="624"/>
      </w:pPr>
      <w:r w:rsidRPr="008F1476">
        <w:t>D</w:t>
      </w:r>
      <w:r w:rsidR="00AA6A89" w:rsidRPr="008F1476">
        <w:t>’</w:t>
      </w:r>
      <w:r w:rsidRPr="008F1476">
        <w:t>engager</w:t>
      </w:r>
      <w:r w:rsidRPr="009D0B3A">
        <w:t xml:space="preserve"> les Parties à continuer de communiquer leurs données de consommation et de production dès qu</w:t>
      </w:r>
      <w:r w:rsidR="00AA6A89" w:rsidRPr="009D0B3A">
        <w:t>’</w:t>
      </w:r>
      <w:r w:rsidRPr="009D0B3A">
        <w:t>elles sont disponibles, de préférence avant le 30 juin de chaque année, comme demandé dans la décision</w:t>
      </w:r>
      <w:r w:rsidR="000F73CF">
        <w:t> </w:t>
      </w:r>
      <w:r w:rsidRPr="009D0B3A">
        <w:t>XV/15 et dans les décisions ultérieures sur la question.</w:t>
      </w:r>
    </w:p>
    <w:p w14:paraId="02DCC48C" w14:textId="2D555B30" w:rsidR="003E09D8" w:rsidRPr="009D0B3A" w:rsidRDefault="00836E83" w:rsidP="00836E83">
      <w:pPr>
        <w:pStyle w:val="CH2"/>
      </w:pPr>
      <w:r>
        <w:tab/>
        <w:t>B.</w:t>
      </w:r>
      <w:r>
        <w:tab/>
      </w:r>
      <w:r w:rsidR="003E09D8" w:rsidRPr="009D0B3A">
        <w:rPr>
          <w:bCs/>
        </w:rPr>
        <w:t>Projet de décision XXXVII/[--]</w:t>
      </w:r>
      <w:r w:rsidR="00AA6A89" w:rsidRPr="009D0B3A">
        <w:rPr>
          <w:bCs/>
        </w:rPr>
        <w:t> :</w:t>
      </w:r>
      <w:r w:rsidR="003E09D8" w:rsidRPr="009D0B3A">
        <w:rPr>
          <w:bCs/>
        </w:rPr>
        <w:t xml:space="preserve"> Non-respect du Protocole de Montréal par</w:t>
      </w:r>
      <w:r w:rsidR="00E25959">
        <w:rPr>
          <w:bCs/>
        </w:rPr>
        <w:t> </w:t>
      </w:r>
      <w:r w:rsidR="003E09D8" w:rsidRPr="009D0B3A">
        <w:rPr>
          <w:bCs/>
        </w:rPr>
        <w:t>la</w:t>
      </w:r>
      <w:r w:rsidR="00E25959">
        <w:rPr>
          <w:bCs/>
        </w:rPr>
        <w:t> </w:t>
      </w:r>
      <w:r w:rsidR="003E09D8" w:rsidRPr="009D0B3A">
        <w:rPr>
          <w:bCs/>
        </w:rPr>
        <w:t>République populaire démocratique de Corée</w:t>
      </w:r>
    </w:p>
    <w:p w14:paraId="372D4063" w14:textId="398AEDB1" w:rsidR="002E3FBC" w:rsidRPr="009D0B3A" w:rsidRDefault="002E3FBC" w:rsidP="003E09D8">
      <w:pPr>
        <w:tabs>
          <w:tab w:val="clear" w:pos="1247"/>
          <w:tab w:val="clear" w:pos="1814"/>
          <w:tab w:val="clear" w:pos="2381"/>
          <w:tab w:val="clear" w:pos="2948"/>
          <w:tab w:val="clear" w:pos="3515"/>
          <w:tab w:val="left" w:pos="624"/>
        </w:tabs>
        <w:adjustRightInd w:val="0"/>
        <w:snapToGrid w:val="0"/>
        <w:spacing w:after="120"/>
        <w:ind w:left="1247" w:firstLine="624"/>
        <w:rPr>
          <w:i/>
          <w:iCs/>
        </w:rPr>
      </w:pPr>
      <w:r w:rsidRPr="009D0B3A">
        <w:rPr>
          <w:i/>
          <w:iCs/>
        </w:rPr>
        <w:t>La trente-septième Réunion des Parties</w:t>
      </w:r>
      <w:r w:rsidRPr="00B14B3E">
        <w:t>,</w:t>
      </w:r>
    </w:p>
    <w:p w14:paraId="703EF760" w14:textId="26ECEEE2"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Rappelant</w:t>
      </w:r>
      <w:r w:rsidRPr="009D0B3A">
        <w:t xml:space="preserve"> la décision</w:t>
      </w:r>
      <w:r w:rsidR="000F73CF">
        <w:t> </w:t>
      </w:r>
      <w:r w:rsidRPr="009D0B3A">
        <w:t>XXXII/6, dans laquelle la trente-deuxième</w:t>
      </w:r>
      <w:r w:rsidR="000F73CF">
        <w:t> </w:t>
      </w:r>
      <w:r w:rsidRPr="009D0B3A">
        <w:t>Réunion des Parties au Protocole de</w:t>
      </w:r>
      <w:r w:rsidR="000F73CF">
        <w:t> </w:t>
      </w:r>
      <w:r w:rsidRPr="009D0B3A">
        <w:t>Montréal relatif à des substances qui appauvrissent la couche d</w:t>
      </w:r>
      <w:r w:rsidR="00AA6A89" w:rsidRPr="009D0B3A">
        <w:t>’</w:t>
      </w:r>
      <w:r w:rsidRPr="009D0B3A">
        <w:t>ozone</w:t>
      </w:r>
      <w:r w:rsidR="001B3532" w:rsidRPr="009D0B3A">
        <w:t xml:space="preserve"> a</w:t>
      </w:r>
      <w:r w:rsidR="009A2D99" w:rsidRPr="009D0B3A">
        <w:t>vait</w:t>
      </w:r>
      <w:r w:rsidRPr="009D0B3A">
        <w:t xml:space="preserve"> noté que la République populaire démocratique de Corée n</w:t>
      </w:r>
      <w:r w:rsidR="00AA6A89" w:rsidRPr="009D0B3A">
        <w:t>’</w:t>
      </w:r>
      <w:r w:rsidRPr="009D0B3A">
        <w:t>avait pas respecté les mesures de réglementation prévues par le Protocole concernant la production et la consommation d</w:t>
      </w:r>
      <w:r w:rsidR="00AA6A89" w:rsidRPr="009D0B3A">
        <w:t>’</w:t>
      </w:r>
      <w:r w:rsidRPr="009D0B3A">
        <w:t>hydrochlorofluorocarbones en 2019, tout en prenant note avec satisfaction du plan d</w:t>
      </w:r>
      <w:r w:rsidR="00AA6A89" w:rsidRPr="009D0B3A">
        <w:t>’</w:t>
      </w:r>
      <w:r w:rsidRPr="009D0B3A">
        <w:t xml:space="preserve">action présenté par la Partie visant à assurer son retour en 2023 à une situation de respect de ces mesures, </w:t>
      </w:r>
    </w:p>
    <w:p w14:paraId="3AA51F80" w14:textId="7E4FCE8E"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Notant avec préoccupation</w:t>
      </w:r>
      <w:r w:rsidRPr="009D0B3A">
        <w:t xml:space="preserve"> que la République populaire démocratique de Corée a déclaré, pour l</w:t>
      </w:r>
      <w:r w:rsidR="00AA6A89" w:rsidRPr="009D0B3A">
        <w:t>’</w:t>
      </w:r>
      <w:r w:rsidRPr="009D0B3A">
        <w:t>année 2021, une production annuelle de 24,81</w:t>
      </w:r>
      <w:r w:rsidR="000F73CF">
        <w:t> </w:t>
      </w:r>
      <w:r w:rsidRPr="009D0B3A">
        <w:t>tonnes d</w:t>
      </w:r>
      <w:r w:rsidR="00AA6A89" w:rsidRPr="009D0B3A">
        <w:t>’</w:t>
      </w:r>
      <w:r w:rsidRPr="009D0B3A">
        <w:t>équivalent en potentiel de destruction de l</w:t>
      </w:r>
      <w:r w:rsidR="00AA6A89" w:rsidRPr="009D0B3A">
        <w:t>’</w:t>
      </w:r>
      <w:r w:rsidRPr="009D0B3A">
        <w:t>ozone (tonnes PDO) et une consommation annuelle de 58,03</w:t>
      </w:r>
      <w:r w:rsidR="000F73CF">
        <w:t> </w:t>
      </w:r>
      <w:r w:rsidRPr="009D0B3A">
        <w:t>tonnes PDO d</w:t>
      </w:r>
      <w:r w:rsidR="00AA6A89" w:rsidRPr="009D0B3A">
        <w:t>’</w:t>
      </w:r>
      <w:r w:rsidRPr="009D0B3A">
        <w:t>hydrochlorofluorocarbones, ce qui est supérieur à son engagement énoncé dans la décision</w:t>
      </w:r>
      <w:r w:rsidR="000F73CF">
        <w:t> </w:t>
      </w:r>
      <w:r w:rsidRPr="009D0B3A">
        <w:t xml:space="preserve">XXXII/6 </w:t>
      </w:r>
      <w:r w:rsidRPr="009D0B3A">
        <w:lastRenderedPageBreak/>
        <w:t>à réduire sa production et sa consommation d</w:t>
      </w:r>
      <w:r w:rsidR="00AA6A89" w:rsidRPr="009D0B3A">
        <w:t>’</w:t>
      </w:r>
      <w:r w:rsidRPr="009D0B3A">
        <w:t>hydrochlorofluorocarbones de manière à ne pas dépasser 24,80 tonnes PDO et 58,00 tonnes PDO, respectivement,</w:t>
      </w:r>
    </w:p>
    <w:p w14:paraId="6BB6547A" w14:textId="255E95CC"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 xml:space="preserve">Notant également avec préoccupation </w:t>
      </w:r>
      <w:r w:rsidRPr="009D0B3A">
        <w:t>que la République populaire démocratique de Corée a déclaré, pour l</w:t>
      </w:r>
      <w:r w:rsidR="00AA6A89" w:rsidRPr="009D0B3A">
        <w:t>’</w:t>
      </w:r>
      <w:r w:rsidRPr="009D0B3A">
        <w:t>année 2023, une production annuelle de 24,77</w:t>
      </w:r>
      <w:r w:rsidR="00DB443F">
        <w:t> </w:t>
      </w:r>
      <w:r w:rsidRPr="009D0B3A">
        <w:t>tonnes PDO et une consommation annuelle de 57,76</w:t>
      </w:r>
      <w:r w:rsidR="00DB443F">
        <w:t> </w:t>
      </w:r>
      <w:r w:rsidRPr="009D0B3A">
        <w:t>tonnes PDO d</w:t>
      </w:r>
      <w:r w:rsidR="00AA6A89" w:rsidRPr="009D0B3A">
        <w:t>’</w:t>
      </w:r>
      <w:r w:rsidRPr="009D0B3A">
        <w:t>hydrochlorofluorocarbones, ce qui est supérieur à son engagement énoncé dans la décision</w:t>
      </w:r>
      <w:r w:rsidR="004D7B90">
        <w:t> </w:t>
      </w:r>
      <w:r w:rsidRPr="009D0B3A">
        <w:t>XXXII/6 à réduire sa production et sa consommation d</w:t>
      </w:r>
      <w:r w:rsidR="00AA6A89" w:rsidRPr="009D0B3A">
        <w:t>’</w:t>
      </w:r>
      <w:r w:rsidRPr="009D0B3A">
        <w:t>hydrochlorofluorocarbones de manière à ne pas dépasser 0</w:t>
      </w:r>
      <w:r w:rsidR="004D7B90">
        <w:t> </w:t>
      </w:r>
      <w:r w:rsidRPr="009D0B3A">
        <w:t>tonnes PDO et 33,20</w:t>
      </w:r>
      <w:r w:rsidR="004D7B90">
        <w:t> </w:t>
      </w:r>
      <w:r w:rsidRPr="009D0B3A">
        <w:t>tonnes PDO, respectivement,</w:t>
      </w:r>
    </w:p>
    <w:p w14:paraId="4CD3CA80" w14:textId="34344A4E"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49545B">
        <w:rPr>
          <w:i/>
          <w:iCs/>
        </w:rPr>
        <w:t xml:space="preserve">Notant </w:t>
      </w:r>
      <w:r w:rsidR="002C56C9" w:rsidRPr="0049545B">
        <w:rPr>
          <w:i/>
          <w:iCs/>
        </w:rPr>
        <w:t>en outre</w:t>
      </w:r>
      <w:r w:rsidRPr="0049545B">
        <w:rPr>
          <w:i/>
          <w:iCs/>
        </w:rPr>
        <w:t xml:space="preserve"> avec préoccupation</w:t>
      </w:r>
      <w:r w:rsidRPr="00EE2F8C">
        <w:t xml:space="preserve"> que la République</w:t>
      </w:r>
      <w:r w:rsidRPr="009D0B3A">
        <w:t xml:space="preserve"> populaire démocratique de Corée a déclaré, pour l</w:t>
      </w:r>
      <w:r w:rsidR="00AA6A89" w:rsidRPr="009D0B3A">
        <w:t>’</w:t>
      </w:r>
      <w:r w:rsidRPr="009D0B3A">
        <w:t>année 2024, une production annuelle de 21,61</w:t>
      </w:r>
      <w:r w:rsidR="00205499">
        <w:t> </w:t>
      </w:r>
      <w:r w:rsidRPr="009D0B3A">
        <w:t>tonnes PDO et une consommation annuelle de 51,43</w:t>
      </w:r>
      <w:r w:rsidR="00205499">
        <w:t> </w:t>
      </w:r>
      <w:r w:rsidRPr="009D0B3A">
        <w:t>tonnes PDO d</w:t>
      </w:r>
      <w:r w:rsidR="00AA6A89" w:rsidRPr="009D0B3A">
        <w:t>’</w:t>
      </w:r>
      <w:r w:rsidRPr="009D0B3A">
        <w:t>hydrochlorofluorocarbones, ce qui est supérieur à son engagement énoncé dans la décision</w:t>
      </w:r>
      <w:r w:rsidR="00205499">
        <w:t> </w:t>
      </w:r>
      <w:r w:rsidRPr="009D0B3A">
        <w:t>XXXII/6 à réduire sa production et sa consommation d</w:t>
      </w:r>
      <w:r w:rsidR="00AA6A89" w:rsidRPr="009D0B3A">
        <w:t>’</w:t>
      </w:r>
      <w:r w:rsidRPr="009D0B3A">
        <w:t>hydrochlorofluorocarbones de manière à ne pas dépasser 17,9 tonnes PDO et 50,7</w:t>
      </w:r>
      <w:r w:rsidR="00205499">
        <w:t> </w:t>
      </w:r>
      <w:r w:rsidRPr="009D0B3A">
        <w:t>tonnes PDO, respectivement,</w:t>
      </w:r>
    </w:p>
    <w:p w14:paraId="740C65D7" w14:textId="4C7F4E24"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 xml:space="preserve">Constatant avec une vive inquiétude </w:t>
      </w:r>
      <w:r w:rsidRPr="009D0B3A">
        <w:t>qu</w:t>
      </w:r>
      <w:r w:rsidR="00AA6A89" w:rsidRPr="009D0B3A">
        <w:t>’</w:t>
      </w:r>
      <w:r w:rsidRPr="009D0B3A">
        <w:t>en dépit de plusieurs demandes formulées par le Comité d</w:t>
      </w:r>
      <w:r w:rsidR="00AA6A89" w:rsidRPr="009D0B3A">
        <w:t>’</w:t>
      </w:r>
      <w:r w:rsidRPr="009D0B3A">
        <w:t>application de la procédure applicable en cas de non-respect du Protocole de Montréal dans ses recommandations</w:t>
      </w:r>
      <w:r w:rsidR="00205499">
        <w:t> </w:t>
      </w:r>
      <w:r w:rsidRPr="009D0B3A">
        <w:t>68/4, 69/4, 70/2, 72/3 et 74/2 et de rappels répétés adressés par le Secrétariat de l</w:t>
      </w:r>
      <w:r w:rsidR="00AA6A89" w:rsidRPr="009D0B3A">
        <w:t>’</w:t>
      </w:r>
      <w:r w:rsidRPr="009D0B3A">
        <w:t>ozone, la République populaire démocratique de Corée n</w:t>
      </w:r>
      <w:r w:rsidR="00AA6A89" w:rsidRPr="009D0B3A">
        <w:t>’</w:t>
      </w:r>
      <w:r w:rsidRPr="009D0B3A">
        <w:t>a pas fourni d</w:t>
      </w:r>
      <w:r w:rsidR="00AA6A89" w:rsidRPr="009D0B3A">
        <w:t>’</w:t>
      </w:r>
      <w:r w:rsidRPr="009D0B3A">
        <w:t>explication sur les écarts constatés dans les données communiquées pour 2021, n</w:t>
      </w:r>
      <w:r w:rsidR="00AA6A89" w:rsidRPr="009D0B3A">
        <w:t>’</w:t>
      </w:r>
      <w:r w:rsidRPr="009D0B3A">
        <w:t>a pas présenté de plan d</w:t>
      </w:r>
      <w:r w:rsidR="00AA6A89" w:rsidRPr="009D0B3A">
        <w:t>’</w:t>
      </w:r>
      <w:r w:rsidRPr="009D0B3A">
        <w:t>action révisé pour assurer son retour à une situation de respect et n</w:t>
      </w:r>
      <w:r w:rsidR="00AA6A89" w:rsidRPr="009D0B3A">
        <w:t>’</w:t>
      </w:r>
      <w:r w:rsidRPr="009D0B3A">
        <w:t>a pas présenté de rapport sur ses efforts visant à mettre en place des politiques nationales supplémentaires pour faciliter l</w:t>
      </w:r>
      <w:r w:rsidR="00AA6A89" w:rsidRPr="009D0B3A">
        <w:t>’</w:t>
      </w:r>
      <w:r w:rsidRPr="009D0B3A">
        <w:t>élimination progressive des hydrochlorofluorocarbones, comme elle avait été vivement engagée à le faire dans les décisions</w:t>
      </w:r>
      <w:r w:rsidR="0018616B">
        <w:t> </w:t>
      </w:r>
      <w:r w:rsidRPr="009D0B3A">
        <w:t>XXXV/18 et XXXVI/16,</w:t>
      </w:r>
    </w:p>
    <w:p w14:paraId="1AABE50A" w14:textId="2622CE31"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 xml:space="preserve">Constatant également avec une vive inquiétude </w:t>
      </w:r>
      <w:r w:rsidRPr="009D0B3A">
        <w:t>que la République populaire démocratique de Corée n</w:t>
      </w:r>
      <w:r w:rsidR="00AA6A89" w:rsidRPr="009D0B3A">
        <w:t>’</w:t>
      </w:r>
      <w:r w:rsidRPr="009D0B3A">
        <w:t>a pas fourni d</w:t>
      </w:r>
      <w:r w:rsidR="00AA6A89" w:rsidRPr="009D0B3A">
        <w:t>’</w:t>
      </w:r>
      <w:r w:rsidRPr="009D0B3A">
        <w:t>explication sur les écarts constatés dans les données communiquées pour 2023</w:t>
      </w:r>
      <w:r w:rsidR="00CF23A6">
        <w:t> </w:t>
      </w:r>
      <w:r w:rsidRPr="009D0B3A">
        <w:t>et 2024, comme elle avait été vivement engagée à le faire par le Comité d</w:t>
      </w:r>
      <w:r w:rsidR="00AA6A89" w:rsidRPr="009D0B3A">
        <w:t>’</w:t>
      </w:r>
      <w:r w:rsidRPr="009D0B3A">
        <w:t>application dans sa recommandation</w:t>
      </w:r>
      <w:r w:rsidR="005F72B6">
        <w:t> </w:t>
      </w:r>
      <w:r w:rsidRPr="009D0B3A">
        <w:t>74/2,</w:t>
      </w:r>
    </w:p>
    <w:p w14:paraId="4F7E74BE" w14:textId="6E84B964"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8D0FBF">
        <w:rPr>
          <w:i/>
          <w:iCs/>
        </w:rPr>
        <w:t xml:space="preserve">Rappelant </w:t>
      </w:r>
      <w:r w:rsidRPr="009D0B3A">
        <w:t>les décisions</w:t>
      </w:r>
      <w:r w:rsidR="005F72B6">
        <w:t> </w:t>
      </w:r>
      <w:r w:rsidRPr="009D0B3A">
        <w:t>XXXII/6, XXXV/18 et XXXVI/16, dans lesquelles la Réunion des Parties a averti la République populaire démocratique de Corée que, conformément au point</w:t>
      </w:r>
      <w:r w:rsidR="005F72B6">
        <w:t> </w:t>
      </w:r>
      <w:r w:rsidRPr="009D0B3A">
        <w:t>B de la liste indicative des mesures que pourrait prendre la Réunion des Parties en cas de non-respect, au cas où elle manquerait de revenir à une situation de respect, la Réunion des Parties envisagerait de prendre des mesures conformément au point C de cette liste, y</w:t>
      </w:r>
      <w:r w:rsidR="00545566">
        <w:t> </w:t>
      </w:r>
      <w:r w:rsidRPr="009D0B3A">
        <w:t>compris la possibilité d</w:t>
      </w:r>
      <w:r w:rsidR="00AA6A89" w:rsidRPr="009D0B3A">
        <w:t>’</w:t>
      </w:r>
      <w:r w:rsidRPr="009D0B3A">
        <w:t>une action prévue à l</w:t>
      </w:r>
      <w:r w:rsidR="00AA6A89" w:rsidRPr="009D0B3A">
        <w:t>’</w:t>
      </w:r>
      <w:r w:rsidRPr="009D0B3A">
        <w:t>article</w:t>
      </w:r>
      <w:r w:rsidR="005F72B6">
        <w:t> </w:t>
      </w:r>
      <w:r w:rsidRPr="009D0B3A">
        <w:t>4 du Protocole de</w:t>
      </w:r>
      <w:r w:rsidR="005F72B6">
        <w:t> </w:t>
      </w:r>
      <w:r w:rsidRPr="009D0B3A">
        <w:t>Montréal, visant notamment à faire en sorte que cesse l</w:t>
      </w:r>
      <w:r w:rsidR="00AA6A89" w:rsidRPr="009D0B3A">
        <w:t>’</w:t>
      </w:r>
      <w:r w:rsidRPr="009D0B3A">
        <w:t>approvisionnement en hydrochlorofluorocarbones à l</w:t>
      </w:r>
      <w:r w:rsidR="00AA6A89" w:rsidRPr="009D0B3A">
        <w:t>’</w:t>
      </w:r>
      <w:r w:rsidRPr="009D0B3A">
        <w:t>origine du non-respect, afin que les Parties exportatrices ne contribuent pas à perpétuer la situation de non-respect</w:t>
      </w:r>
      <w:r w:rsidR="00AA6A89" w:rsidRPr="009D0B3A">
        <w:t> ;</w:t>
      </w:r>
    </w:p>
    <w:p w14:paraId="41517B22" w14:textId="01E12A70"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i/>
          <w:iCs/>
        </w:rPr>
      </w:pPr>
      <w:r w:rsidRPr="00EB5C7C">
        <w:rPr>
          <w:i/>
          <w:iCs/>
        </w:rPr>
        <w:t>Décide</w:t>
      </w:r>
      <w:r w:rsidR="00AA6A89" w:rsidRPr="00EB5C7C">
        <w:rPr>
          <w:i/>
          <w:iCs/>
        </w:rPr>
        <w:t> </w:t>
      </w:r>
      <w:r w:rsidR="00AA6A89" w:rsidRPr="000D2783">
        <w:t>:</w:t>
      </w:r>
    </w:p>
    <w:p w14:paraId="6DEDA695" w14:textId="3C8769E1" w:rsidR="003E09D8" w:rsidRPr="009D0B3A" w:rsidRDefault="003E09D8" w:rsidP="00143F38">
      <w:pPr>
        <w:pStyle w:val="NormalNonumber"/>
        <w:numPr>
          <w:ilvl w:val="0"/>
          <w:numId w:val="20"/>
        </w:numPr>
        <w:tabs>
          <w:tab w:val="clear" w:pos="1247"/>
          <w:tab w:val="clear" w:pos="1871"/>
          <w:tab w:val="clear" w:pos="2495"/>
          <w:tab w:val="clear" w:pos="3119"/>
          <w:tab w:val="clear" w:pos="3742"/>
          <w:tab w:val="clear" w:pos="4366"/>
        </w:tabs>
        <w:ind w:left="1247" w:firstLine="624"/>
      </w:pPr>
      <w:r w:rsidRPr="009D0B3A">
        <w:t>Afin d</w:t>
      </w:r>
      <w:r w:rsidR="00AA6A89" w:rsidRPr="009D0B3A">
        <w:t>’</w:t>
      </w:r>
      <w:r w:rsidRPr="009D0B3A">
        <w:t>aider la République populaire démocratique de Corée à revenir à une situation de respect des mesures de réglementation des hydrochlorofluorocarbones prévues par le Protocole de</w:t>
      </w:r>
      <w:r w:rsidR="00ED1333">
        <w:t> </w:t>
      </w:r>
      <w:r w:rsidRPr="009D0B3A">
        <w:t>Montréal, de convenir de suspendre, conformément au point C de la liste indicative des mesures que pourrait prendre la Réunion des Parties en cas de non-respect du Protocole, les droits et privilèges des Parties au Protocole en ce qui concerne le commerce des hydrochlorofluorocarbones, qui sont les substances à l</w:t>
      </w:r>
      <w:r w:rsidR="00AA6A89" w:rsidRPr="009D0B3A">
        <w:t>’</w:t>
      </w:r>
      <w:r w:rsidRPr="009D0B3A">
        <w:t>origine du non-respect, entre la République populaire démocratique de Corée et d</w:t>
      </w:r>
      <w:r w:rsidR="00AA6A89" w:rsidRPr="009D0B3A">
        <w:t>’</w:t>
      </w:r>
      <w:r w:rsidRPr="009D0B3A">
        <w:t>autres Parties au Protocole, de sorte qu</w:t>
      </w:r>
      <w:r w:rsidR="00AA6A89" w:rsidRPr="009D0B3A">
        <w:t>’</w:t>
      </w:r>
      <w:r w:rsidRPr="009D0B3A">
        <w:t>aucun commerce de ce type ne soit autorisé au titre du Protocole</w:t>
      </w:r>
      <w:r w:rsidR="00AA6A89" w:rsidRPr="009D0B3A">
        <w:t> ;</w:t>
      </w:r>
    </w:p>
    <w:p w14:paraId="511C9D29" w14:textId="5866EA17" w:rsidR="003E09D8" w:rsidRPr="009D0B3A" w:rsidRDefault="003E09D8" w:rsidP="00143F38">
      <w:pPr>
        <w:pStyle w:val="NormalNonumber"/>
        <w:numPr>
          <w:ilvl w:val="0"/>
          <w:numId w:val="20"/>
        </w:numPr>
        <w:tabs>
          <w:tab w:val="clear" w:pos="1247"/>
          <w:tab w:val="clear" w:pos="1871"/>
          <w:tab w:val="clear" w:pos="2495"/>
          <w:tab w:val="clear" w:pos="3119"/>
          <w:tab w:val="clear" w:pos="3742"/>
          <w:tab w:val="clear" w:pos="4366"/>
        </w:tabs>
        <w:ind w:left="1247" w:firstLine="624"/>
      </w:pPr>
      <w:r w:rsidRPr="009D0B3A">
        <w:t>Que la suspension du commerce visée au paragraphe</w:t>
      </w:r>
      <w:r w:rsidR="00ED1333">
        <w:t> </w:t>
      </w:r>
      <w:r w:rsidRPr="009D0B3A">
        <w:t xml:space="preserve">1 </w:t>
      </w:r>
      <w:r w:rsidR="004160C8" w:rsidRPr="009D0B3A">
        <w:t xml:space="preserve">ci-dessus </w:t>
      </w:r>
      <w:r w:rsidRPr="009D0B3A">
        <w:t>sera maintenue jusqu</w:t>
      </w:r>
      <w:r w:rsidR="00AA6A89" w:rsidRPr="009D0B3A">
        <w:t>’</w:t>
      </w:r>
      <w:r w:rsidRPr="009D0B3A">
        <w:t>à ce que la République populaire démocratique de Corée revienne à une situation de respect des mesures de réglementation des hydrochlorofluorocarbones prévues par le Protocole de Montréal, comme l</w:t>
      </w:r>
      <w:r w:rsidR="00AA6A89" w:rsidRPr="009D0B3A">
        <w:t>’</w:t>
      </w:r>
      <w:r w:rsidRPr="009D0B3A">
        <w:t>a recommandé le Comité d</w:t>
      </w:r>
      <w:r w:rsidR="00AA6A89" w:rsidRPr="009D0B3A">
        <w:t>’</w:t>
      </w:r>
      <w:r w:rsidRPr="009D0B3A">
        <w:t>application sur la base des données communiquées conformément à l</w:t>
      </w:r>
      <w:r w:rsidR="00AA6A89" w:rsidRPr="009D0B3A">
        <w:t>’</w:t>
      </w:r>
      <w:r w:rsidRPr="009D0B3A">
        <w:t>article</w:t>
      </w:r>
      <w:r w:rsidR="00ED1333">
        <w:t> </w:t>
      </w:r>
      <w:r w:rsidRPr="009D0B3A">
        <w:t>7, ou jusqu</w:t>
      </w:r>
      <w:r w:rsidR="00AA6A89" w:rsidRPr="009D0B3A">
        <w:t>’</w:t>
      </w:r>
      <w:r w:rsidRPr="009D0B3A">
        <w:t>à ce que la Réunion des Parties en décide autrement.</w:t>
      </w:r>
    </w:p>
    <w:p w14:paraId="29D1E5A2" w14:textId="381D6C2B" w:rsidR="00435F9F" w:rsidRPr="009D0B3A" w:rsidRDefault="00C452C1" w:rsidP="00C452C1">
      <w:pPr>
        <w:pStyle w:val="CH2"/>
      </w:pPr>
      <w:r>
        <w:rPr>
          <w:bCs/>
        </w:rPr>
        <w:tab/>
      </w:r>
      <w:r w:rsidR="00045FBE">
        <w:rPr>
          <w:bCs/>
        </w:rPr>
        <w:t>C</w:t>
      </w:r>
      <w:r>
        <w:rPr>
          <w:bCs/>
        </w:rPr>
        <w:t>.</w:t>
      </w:r>
      <w:r>
        <w:rPr>
          <w:bCs/>
        </w:rPr>
        <w:tab/>
      </w:r>
      <w:r w:rsidR="00435F9F" w:rsidRPr="009D0B3A">
        <w:rPr>
          <w:bCs/>
        </w:rPr>
        <w:t>Projet de décision XXXVII/[--]</w:t>
      </w:r>
      <w:r w:rsidR="00AA6A89" w:rsidRPr="009D0B3A">
        <w:rPr>
          <w:bCs/>
        </w:rPr>
        <w:t> :</w:t>
      </w:r>
      <w:r w:rsidR="00435F9F" w:rsidRPr="009D0B3A">
        <w:rPr>
          <w:bCs/>
        </w:rPr>
        <w:t xml:space="preserve"> Respect par la Libye des engagements énoncés dans son plan d</w:t>
      </w:r>
      <w:r w:rsidR="00AA6A89" w:rsidRPr="009D0B3A">
        <w:rPr>
          <w:bCs/>
        </w:rPr>
        <w:t>’</w:t>
      </w:r>
      <w:r w:rsidR="00435F9F" w:rsidRPr="009D0B3A">
        <w:rPr>
          <w:bCs/>
        </w:rPr>
        <w:t>action pour revenir à une situation de respect</w:t>
      </w:r>
    </w:p>
    <w:p w14:paraId="7BA2BC64" w14:textId="229F660D" w:rsidR="003630BB" w:rsidRPr="009D0B3A" w:rsidRDefault="003630BB" w:rsidP="00435F9F">
      <w:pPr>
        <w:pStyle w:val="NormalNonumber"/>
        <w:tabs>
          <w:tab w:val="clear" w:pos="1247"/>
          <w:tab w:val="clear" w:pos="1871"/>
          <w:tab w:val="clear" w:pos="2495"/>
          <w:tab w:val="clear" w:pos="3119"/>
          <w:tab w:val="clear" w:pos="3742"/>
          <w:tab w:val="clear" w:pos="4366"/>
        </w:tabs>
        <w:spacing w:line="220" w:lineRule="atLeast"/>
        <w:ind w:firstLine="624"/>
        <w:rPr>
          <w:i/>
          <w:iCs/>
        </w:rPr>
      </w:pPr>
      <w:r w:rsidRPr="009D0B3A">
        <w:rPr>
          <w:i/>
          <w:iCs/>
        </w:rPr>
        <w:t>La trente-septième Réunion des Parties</w:t>
      </w:r>
      <w:r w:rsidRPr="00ED1333">
        <w:t>,</w:t>
      </w:r>
    </w:p>
    <w:p w14:paraId="74634FAA" w14:textId="14E4A99A" w:rsidR="00435F9F" w:rsidRPr="009D0B3A" w:rsidRDefault="00435F9F" w:rsidP="00435F9F">
      <w:pPr>
        <w:pStyle w:val="NormalNonumber"/>
        <w:tabs>
          <w:tab w:val="clear" w:pos="1247"/>
          <w:tab w:val="clear" w:pos="1871"/>
          <w:tab w:val="clear" w:pos="2495"/>
          <w:tab w:val="clear" w:pos="3119"/>
          <w:tab w:val="clear" w:pos="3742"/>
          <w:tab w:val="clear" w:pos="4366"/>
        </w:tabs>
        <w:spacing w:line="220" w:lineRule="atLeast"/>
        <w:ind w:firstLine="624"/>
      </w:pPr>
      <w:r w:rsidRPr="009D0B3A">
        <w:rPr>
          <w:i/>
          <w:iCs/>
        </w:rPr>
        <w:t xml:space="preserve">Notant </w:t>
      </w:r>
      <w:r w:rsidRPr="009D0B3A">
        <w:t>que la Libye a présenté un plan d</w:t>
      </w:r>
      <w:r w:rsidR="00AA6A89" w:rsidRPr="009D0B3A">
        <w:t>’</w:t>
      </w:r>
      <w:r w:rsidRPr="009D0B3A">
        <w:t>action visant à assurer son retour à une situation de respect des mesures de réglementation de la consommation d</w:t>
      </w:r>
      <w:r w:rsidR="00AA6A89" w:rsidRPr="009D0B3A">
        <w:t>’</w:t>
      </w:r>
      <w:r w:rsidRPr="009D0B3A">
        <w:t>hydrochlorofluorocarbones prévues par le Protocole de Montréal relatif à des substances qui appauvrissent la couche d</w:t>
      </w:r>
      <w:r w:rsidR="00AA6A89" w:rsidRPr="009D0B3A">
        <w:t>’</w:t>
      </w:r>
      <w:r w:rsidRPr="009D0B3A">
        <w:t>ozone pour 2022 et les années suivantes, ainsi que l</w:t>
      </w:r>
      <w:r w:rsidR="00AA6A89" w:rsidRPr="009D0B3A">
        <w:t>’</w:t>
      </w:r>
      <w:r w:rsidRPr="009D0B3A">
        <w:t>a souligné la vingt-septième Réunion des Parties dans sa décision</w:t>
      </w:r>
      <w:r w:rsidR="002A2725">
        <w:t> </w:t>
      </w:r>
      <w:r w:rsidRPr="009D0B3A">
        <w:t>XXVII/11,</w:t>
      </w:r>
    </w:p>
    <w:p w14:paraId="20F42877" w14:textId="688CB7A9" w:rsidR="00435F9F" w:rsidRPr="009D0B3A" w:rsidRDefault="00435F9F" w:rsidP="00435F9F">
      <w:pPr>
        <w:pStyle w:val="NormalNonumber"/>
        <w:tabs>
          <w:tab w:val="clear" w:pos="1247"/>
          <w:tab w:val="clear" w:pos="1871"/>
          <w:tab w:val="clear" w:pos="2495"/>
          <w:tab w:val="clear" w:pos="3119"/>
          <w:tab w:val="clear" w:pos="3742"/>
          <w:tab w:val="clear" w:pos="4366"/>
        </w:tabs>
        <w:spacing w:line="220" w:lineRule="atLeast"/>
        <w:ind w:firstLine="624"/>
      </w:pPr>
      <w:r w:rsidRPr="009D0B3A">
        <w:rPr>
          <w:i/>
          <w:iCs/>
        </w:rPr>
        <w:lastRenderedPageBreak/>
        <w:t xml:space="preserve">Notant également </w:t>
      </w:r>
      <w:r w:rsidRPr="009D0B3A">
        <w:t>que le plan d</w:t>
      </w:r>
      <w:r w:rsidR="00AA6A89" w:rsidRPr="009D0B3A">
        <w:t>’</w:t>
      </w:r>
      <w:r w:rsidRPr="009D0B3A">
        <w:t>action présenté par la Libye comprenait des engagements à surveiller l</w:t>
      </w:r>
      <w:r w:rsidR="00AA6A89" w:rsidRPr="009D0B3A">
        <w:t>’</w:t>
      </w:r>
      <w:r w:rsidRPr="009D0B3A">
        <w:t>application de son système d</w:t>
      </w:r>
      <w:r w:rsidR="00AA6A89" w:rsidRPr="009D0B3A">
        <w:t>’</w:t>
      </w:r>
      <w:r w:rsidRPr="009D0B3A">
        <w:t>octroi de licences pour les importations et les exportations de substances appauvrissant la couche d</w:t>
      </w:r>
      <w:r w:rsidR="00AA6A89" w:rsidRPr="009D0B3A">
        <w:t>’</w:t>
      </w:r>
      <w:r w:rsidRPr="009D0B3A">
        <w:t>ozone, ainsi qu</w:t>
      </w:r>
      <w:r w:rsidR="00AA6A89" w:rsidRPr="009D0B3A">
        <w:t>’</w:t>
      </w:r>
      <w:r w:rsidRPr="009D0B3A">
        <w:t>à interdire dans un proche avenir la circulation sur le marché d</w:t>
      </w:r>
      <w:r w:rsidR="00AA6A89" w:rsidRPr="009D0B3A">
        <w:t>’</w:t>
      </w:r>
      <w:r w:rsidRPr="009D0B3A">
        <w:t>appareils de climatisation contenant des hydrochlorofluorocarbones et à envisager d</w:t>
      </w:r>
      <w:r w:rsidR="00AA6A89" w:rsidRPr="009D0B3A">
        <w:t>’</w:t>
      </w:r>
      <w:r w:rsidRPr="009D0B3A">
        <w:t>en interdire l</w:t>
      </w:r>
      <w:r w:rsidR="00AA6A89" w:rsidRPr="009D0B3A">
        <w:t>’</w:t>
      </w:r>
      <w:r w:rsidRPr="009D0B3A">
        <w:t>importation,</w:t>
      </w:r>
    </w:p>
    <w:p w14:paraId="51C132DF" w14:textId="04BA88C3" w:rsidR="00435F9F" w:rsidRPr="009D0B3A" w:rsidRDefault="00435F9F" w:rsidP="00435F9F">
      <w:pPr>
        <w:pStyle w:val="NormalNonumber"/>
        <w:tabs>
          <w:tab w:val="clear" w:pos="1247"/>
          <w:tab w:val="clear" w:pos="1871"/>
          <w:tab w:val="clear" w:pos="2495"/>
          <w:tab w:val="clear" w:pos="3119"/>
          <w:tab w:val="clear" w:pos="3742"/>
          <w:tab w:val="clear" w:pos="4366"/>
        </w:tabs>
        <w:spacing w:line="220" w:lineRule="atLeast"/>
        <w:ind w:firstLine="624"/>
      </w:pPr>
      <w:r w:rsidRPr="009D0B3A">
        <w:rPr>
          <w:i/>
          <w:iCs/>
        </w:rPr>
        <w:t>Notant en outre</w:t>
      </w:r>
      <w:r w:rsidRPr="009D0B3A">
        <w:t xml:space="preserve"> que la Libye a respecté les engagements pris dans le cadre de son plan d</w:t>
      </w:r>
      <w:r w:rsidR="00AA6A89" w:rsidRPr="009D0B3A">
        <w:t>’</w:t>
      </w:r>
      <w:r w:rsidRPr="009D0B3A">
        <w:t>action pour assurer son retour à une situation de respect, comme indiqué dans la décision</w:t>
      </w:r>
      <w:r w:rsidR="002A2725">
        <w:t> </w:t>
      </w:r>
      <w:r w:rsidRPr="009D0B3A">
        <w:t>XXVII/11,</w:t>
      </w:r>
    </w:p>
    <w:p w14:paraId="7BC98673" w14:textId="6C2A4873" w:rsidR="00435F9F" w:rsidRPr="000D2783" w:rsidRDefault="00435F9F" w:rsidP="00435F9F">
      <w:pPr>
        <w:pStyle w:val="NormalNonumber"/>
        <w:tabs>
          <w:tab w:val="clear" w:pos="1247"/>
          <w:tab w:val="clear" w:pos="1871"/>
          <w:tab w:val="clear" w:pos="2495"/>
          <w:tab w:val="clear" w:pos="3119"/>
          <w:tab w:val="clear" w:pos="3742"/>
          <w:tab w:val="clear" w:pos="4366"/>
        </w:tabs>
        <w:spacing w:line="220" w:lineRule="atLeast"/>
        <w:ind w:firstLine="624"/>
      </w:pPr>
      <w:bookmarkStart w:id="34" w:name="_Hlk212155491"/>
      <w:r w:rsidRPr="009D0B3A">
        <w:rPr>
          <w:i/>
          <w:iCs/>
        </w:rPr>
        <w:t>Décide</w:t>
      </w:r>
      <w:r w:rsidR="00AA6A89" w:rsidRPr="009D0B3A">
        <w:rPr>
          <w:i/>
          <w:iCs/>
        </w:rPr>
        <w:t> </w:t>
      </w:r>
      <w:r w:rsidR="00AA6A89" w:rsidRPr="000D2783">
        <w:t>:</w:t>
      </w:r>
    </w:p>
    <w:bookmarkEnd w:id="34"/>
    <w:p w14:paraId="7D37EA20" w14:textId="24219345" w:rsidR="00435F9F" w:rsidRPr="009D0B3A" w:rsidRDefault="00435F9F" w:rsidP="00143F38">
      <w:pPr>
        <w:pStyle w:val="NormalNonumber"/>
        <w:numPr>
          <w:ilvl w:val="0"/>
          <w:numId w:val="19"/>
        </w:numPr>
        <w:tabs>
          <w:tab w:val="clear" w:pos="1247"/>
          <w:tab w:val="clear" w:pos="1871"/>
          <w:tab w:val="clear" w:pos="2495"/>
          <w:tab w:val="clear" w:pos="3119"/>
          <w:tab w:val="clear" w:pos="3742"/>
          <w:tab w:val="clear" w:pos="4366"/>
        </w:tabs>
        <w:ind w:left="1247" w:firstLine="624"/>
      </w:pPr>
      <w:r w:rsidRPr="009D0B3A">
        <w:t>Qu</w:t>
      </w:r>
      <w:r w:rsidR="00AA6A89" w:rsidRPr="009D0B3A">
        <w:t>’</w:t>
      </w:r>
      <w:r w:rsidRPr="009D0B3A">
        <w:t>aucune mesure supplémentaire n</w:t>
      </w:r>
      <w:r w:rsidR="00AA6A89" w:rsidRPr="009D0B3A">
        <w:t>’</w:t>
      </w:r>
      <w:r w:rsidRPr="009D0B3A">
        <w:t>est nécessaire puisque cette Partie est revenue à une situation de respect des mesures de réglementation des hydrochlorofluorocarbones prévues par le Protocole de Montréal</w:t>
      </w:r>
      <w:r w:rsidR="00C50197" w:rsidRPr="009D0B3A">
        <w:t xml:space="preserve"> </w:t>
      </w:r>
      <w:r w:rsidRPr="009D0B3A">
        <w:t>et des autres engagements énoncés dans son plan d</w:t>
      </w:r>
      <w:r w:rsidR="00AA6A89" w:rsidRPr="009D0B3A">
        <w:t>’</w:t>
      </w:r>
      <w:r w:rsidRPr="009D0B3A">
        <w:t>action visant à assurer son retour à une situation de respect</w:t>
      </w:r>
      <w:r w:rsidR="00AA6A89" w:rsidRPr="009D0B3A">
        <w:t> ;</w:t>
      </w:r>
    </w:p>
    <w:p w14:paraId="651DD3AB" w14:textId="7DA63464" w:rsidR="00435F9F" w:rsidRPr="009D0B3A" w:rsidRDefault="00435F9F" w:rsidP="00143F38">
      <w:pPr>
        <w:pStyle w:val="NormalNonumber"/>
        <w:numPr>
          <w:ilvl w:val="0"/>
          <w:numId w:val="19"/>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exhorter la Partie à continuer de s</w:t>
      </w:r>
      <w:r w:rsidR="00AA6A89" w:rsidRPr="009D0B3A">
        <w:t>’</w:t>
      </w:r>
      <w:r w:rsidRPr="009D0B3A">
        <w:t>acquitter de ses obligations au titre du Protocole de Montréal.</w:t>
      </w:r>
    </w:p>
    <w:p w14:paraId="0415EFD0" w14:textId="5C1F2C86" w:rsidR="003E09D8" w:rsidRPr="009D0B3A" w:rsidRDefault="00C452C1" w:rsidP="00C452C1">
      <w:pPr>
        <w:pStyle w:val="CH2"/>
      </w:pPr>
      <w:r>
        <w:rPr>
          <w:bCs/>
        </w:rPr>
        <w:tab/>
      </w:r>
      <w:r w:rsidR="00DF4192">
        <w:rPr>
          <w:bCs/>
        </w:rPr>
        <w:t>D</w:t>
      </w:r>
      <w:r>
        <w:rPr>
          <w:bCs/>
        </w:rPr>
        <w:t>.</w:t>
      </w:r>
      <w:r>
        <w:rPr>
          <w:bCs/>
        </w:rPr>
        <w:tab/>
      </w:r>
      <w:r w:rsidR="003E09D8" w:rsidRPr="009D0B3A">
        <w:rPr>
          <w:bCs/>
        </w:rPr>
        <w:t>Projet de décision XXXVII/[--]</w:t>
      </w:r>
      <w:r w:rsidR="00AA6A89" w:rsidRPr="009D0B3A">
        <w:rPr>
          <w:bCs/>
        </w:rPr>
        <w:t> :</w:t>
      </w:r>
      <w:r w:rsidR="003E09D8" w:rsidRPr="009D0B3A">
        <w:rPr>
          <w:bCs/>
        </w:rPr>
        <w:t xml:space="preserve"> Non-respect du Protocole de Montréal par</w:t>
      </w:r>
      <w:r w:rsidR="000D75ED">
        <w:rPr>
          <w:bCs/>
        </w:rPr>
        <w:t> </w:t>
      </w:r>
      <w:r w:rsidR="003E09D8" w:rsidRPr="009D0B3A">
        <w:rPr>
          <w:bCs/>
        </w:rPr>
        <w:t>Saint-Vincent-et-les Grenadines</w:t>
      </w:r>
    </w:p>
    <w:p w14:paraId="2107BAED" w14:textId="77777777" w:rsidR="00004BE9" w:rsidRPr="009D0B3A" w:rsidRDefault="00004BE9" w:rsidP="003E09D8">
      <w:pPr>
        <w:tabs>
          <w:tab w:val="clear" w:pos="1247"/>
          <w:tab w:val="clear" w:pos="1814"/>
          <w:tab w:val="clear" w:pos="2381"/>
          <w:tab w:val="clear" w:pos="2948"/>
          <w:tab w:val="clear" w:pos="3515"/>
          <w:tab w:val="left" w:pos="624"/>
        </w:tabs>
        <w:adjustRightInd w:val="0"/>
        <w:snapToGrid w:val="0"/>
        <w:spacing w:after="120"/>
        <w:ind w:left="1247" w:firstLine="624"/>
        <w:rPr>
          <w:i/>
          <w:iCs/>
        </w:rPr>
      </w:pPr>
      <w:r w:rsidRPr="009D0B3A">
        <w:rPr>
          <w:i/>
          <w:iCs/>
        </w:rPr>
        <w:t>La trente-septième Réunion des Parties</w:t>
      </w:r>
      <w:r w:rsidRPr="00B26863">
        <w:t>,</w:t>
      </w:r>
    </w:p>
    <w:p w14:paraId="36C96407" w14:textId="2563CB04"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 xml:space="preserve">Notant </w:t>
      </w:r>
      <w:r w:rsidRPr="009D0B3A">
        <w:t>que Saint-Vincent-et-les Grenadines a adhéré au Protocole de</w:t>
      </w:r>
      <w:r w:rsidR="002A2725">
        <w:t> </w:t>
      </w:r>
      <w:r w:rsidRPr="009D0B3A">
        <w:t>Montréal relatif à des substances qui appauvrissent la couche d</w:t>
      </w:r>
      <w:r w:rsidR="00AA6A89" w:rsidRPr="009D0B3A">
        <w:t>’</w:t>
      </w:r>
      <w:r w:rsidRPr="009D0B3A">
        <w:t>ozone, à l</w:t>
      </w:r>
      <w:r w:rsidR="00AA6A89" w:rsidRPr="009D0B3A">
        <w:t>’</w:t>
      </w:r>
      <w:r w:rsidRPr="009D0B3A">
        <w:t>Amendement de Londres et à l</w:t>
      </w:r>
      <w:r w:rsidR="00AA6A89" w:rsidRPr="009D0B3A">
        <w:t>’</w:t>
      </w:r>
      <w:r w:rsidRPr="009D0B3A">
        <w:t>Amendement de Copenhague le 2</w:t>
      </w:r>
      <w:r w:rsidR="00996D7C">
        <w:t> </w:t>
      </w:r>
      <w:r w:rsidRPr="009D0B3A">
        <w:t>décembre 1996 et à l</w:t>
      </w:r>
      <w:r w:rsidR="00AA6A89" w:rsidRPr="009D0B3A">
        <w:t>’</w:t>
      </w:r>
      <w:r w:rsidRPr="009D0B3A">
        <w:t>Amendement de Montréal et à l</w:t>
      </w:r>
      <w:r w:rsidR="00AA6A89" w:rsidRPr="009D0B3A">
        <w:t>’</w:t>
      </w:r>
      <w:r w:rsidRPr="009D0B3A">
        <w:t>Amendement de Beijing le 11</w:t>
      </w:r>
      <w:r w:rsidR="00996D7C">
        <w:t> </w:t>
      </w:r>
      <w:r w:rsidRPr="009D0B3A">
        <w:t>mai 2009, a ratifié l</w:t>
      </w:r>
      <w:r w:rsidR="00AA6A89" w:rsidRPr="009D0B3A">
        <w:t>’</w:t>
      </w:r>
      <w:r w:rsidRPr="009D0B3A">
        <w:t>Amendement de Kigali le 7</w:t>
      </w:r>
      <w:r w:rsidR="00996D7C">
        <w:t> </w:t>
      </w:r>
      <w:r w:rsidRPr="009D0B3A">
        <w:t>novembre 2022 et est classée parmi les Parties visées au paragraphe</w:t>
      </w:r>
      <w:r w:rsidR="00996D7C">
        <w:t> </w:t>
      </w:r>
      <w:r w:rsidRPr="009D0B3A">
        <w:t>1 de l</w:t>
      </w:r>
      <w:r w:rsidR="00AA6A89" w:rsidRPr="009D0B3A">
        <w:t>’</w:t>
      </w:r>
      <w:r w:rsidRPr="009D0B3A">
        <w:t>article</w:t>
      </w:r>
      <w:r w:rsidR="00996D7C">
        <w:t> </w:t>
      </w:r>
      <w:r w:rsidRPr="009D0B3A">
        <w:t>5 du Protocole,</w:t>
      </w:r>
      <w:bookmarkStart w:id="35" w:name="_Hlk212834015"/>
      <w:bookmarkEnd w:id="35"/>
    </w:p>
    <w:p w14:paraId="670F2D0B" w14:textId="3DB0A58A"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Notant également</w:t>
      </w:r>
      <w:r w:rsidRPr="009D0B3A">
        <w:t xml:space="preserve"> que le Comité</w:t>
      </w:r>
      <w:r w:rsidR="00996D7C">
        <w:t> </w:t>
      </w:r>
      <w:r w:rsidRPr="009D0B3A">
        <w:t>exécutif du Fonds multilatéral pour l</w:t>
      </w:r>
      <w:r w:rsidR="00AA6A89" w:rsidRPr="009D0B3A">
        <w:t>’</w:t>
      </w:r>
      <w:r w:rsidRPr="009D0B3A">
        <w:t>application du Protocole de</w:t>
      </w:r>
      <w:r w:rsidR="00996D7C">
        <w:t> </w:t>
      </w:r>
      <w:r w:rsidRPr="009D0B3A">
        <w:t>Montréal a approuvé le versement par le Fonds multilatéral d</w:t>
      </w:r>
      <w:r w:rsidR="00AA6A89" w:rsidRPr="009D0B3A">
        <w:t>’</w:t>
      </w:r>
      <w:r w:rsidRPr="009D0B3A">
        <w:t>un montant de 1 780 193</w:t>
      </w:r>
      <w:r w:rsidR="00EC3107">
        <w:t> </w:t>
      </w:r>
      <w:r w:rsidRPr="009D0B3A">
        <w:t>dollars, conformément à l</w:t>
      </w:r>
      <w:r w:rsidR="00AA6A89" w:rsidRPr="009D0B3A">
        <w:t>’</w:t>
      </w:r>
      <w:r w:rsidRPr="009D0B3A">
        <w:t>article</w:t>
      </w:r>
      <w:r w:rsidR="00EC3107">
        <w:t> </w:t>
      </w:r>
      <w:r w:rsidRPr="009D0B3A">
        <w:t>10 du Protocole, pour permettre à Saint-Vincent-et-les Grenadines de respecter ses engagements,</w:t>
      </w:r>
    </w:p>
    <w:p w14:paraId="4C3FEA4B" w14:textId="4AD52FFC"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 xml:space="preserve">Notant en outre </w:t>
      </w:r>
      <w:r w:rsidRPr="009D0B3A">
        <w:t>que la consommation annuelle de 45 975</w:t>
      </w:r>
      <w:r w:rsidR="00EC3107">
        <w:t> </w:t>
      </w:r>
      <w:r w:rsidRPr="009D0B3A">
        <w:t>tonnes d</w:t>
      </w:r>
      <w:r w:rsidR="00AA6A89" w:rsidRPr="009D0B3A">
        <w:t>’</w:t>
      </w:r>
      <w:r w:rsidRPr="009D0B3A">
        <w:t>équivalent CO</w:t>
      </w:r>
      <w:r w:rsidRPr="009D0B3A">
        <w:rPr>
          <w:vertAlign w:val="subscript"/>
        </w:rPr>
        <w:t>2</w:t>
      </w:r>
      <w:r w:rsidRPr="009D0B3A">
        <w:t xml:space="preserve"> de substances réglementées de l</w:t>
      </w:r>
      <w:r w:rsidR="00AA6A89" w:rsidRPr="009D0B3A">
        <w:t>’</w:t>
      </w:r>
      <w:r w:rsidRPr="009D0B3A">
        <w:t>Annexe</w:t>
      </w:r>
      <w:r w:rsidR="0041321F">
        <w:t> </w:t>
      </w:r>
      <w:r w:rsidRPr="009D0B3A">
        <w:t>F du Protocole de</w:t>
      </w:r>
      <w:r w:rsidR="0041321F">
        <w:t> </w:t>
      </w:r>
      <w:r w:rsidRPr="009D0B3A">
        <w:t>Montréal (hydrofluorocarbones) déclarée par Saint-Vincent-et-les Grenadines pour 2024 dépasse sa consommation maximale autorisée, qui était de 25 280</w:t>
      </w:r>
      <w:r w:rsidR="0041321F">
        <w:t> </w:t>
      </w:r>
      <w:r w:rsidRPr="009D0B3A">
        <w:t>tonnes d</w:t>
      </w:r>
      <w:r w:rsidR="00AA6A89" w:rsidRPr="009D0B3A">
        <w:t>’</w:t>
      </w:r>
      <w:r w:rsidRPr="009D0B3A">
        <w:t>équivalent CO</w:t>
      </w:r>
      <w:r w:rsidRPr="009D0B3A">
        <w:rPr>
          <w:vertAlign w:val="subscript"/>
        </w:rPr>
        <w:t>2</w:t>
      </w:r>
      <w:r w:rsidRPr="009D0B3A">
        <w:t xml:space="preserve"> de substances réglementées pour cette année, et que cette Partie n</w:t>
      </w:r>
      <w:r w:rsidR="00AA6A89" w:rsidRPr="009D0B3A">
        <w:t>’</w:t>
      </w:r>
      <w:r w:rsidRPr="009D0B3A">
        <w:t>a donc pas respecté les mesures de réglementation prévues par le Protocole de</w:t>
      </w:r>
      <w:r w:rsidR="0041321F">
        <w:t> </w:t>
      </w:r>
      <w:r w:rsidRPr="009D0B3A">
        <w:t>Montréal pour la consommation d</w:t>
      </w:r>
      <w:r w:rsidR="00AA6A89" w:rsidRPr="009D0B3A">
        <w:t>’</w:t>
      </w:r>
      <w:r w:rsidRPr="009D0B3A">
        <w:t>hydrofluorocarbones,</w:t>
      </w:r>
      <w:bookmarkStart w:id="36" w:name="_Hlk212159668"/>
      <w:bookmarkEnd w:id="36"/>
    </w:p>
    <w:p w14:paraId="4B0C1D48" w14:textId="0C16601F"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Décide</w:t>
      </w:r>
      <w:r w:rsidR="00AA6A89" w:rsidRPr="009D0B3A">
        <w:rPr>
          <w:i/>
          <w:iCs/>
        </w:rPr>
        <w:t> </w:t>
      </w:r>
      <w:r w:rsidR="00AA6A89" w:rsidRPr="000D2783">
        <w:t>:</w:t>
      </w:r>
    </w:p>
    <w:p w14:paraId="2ACC2B6C" w14:textId="26C69CB0" w:rsidR="003E09D8" w:rsidRPr="009D0B3A" w:rsidRDefault="003E09D8" w:rsidP="00143F38">
      <w:pPr>
        <w:pStyle w:val="NormalNonumber"/>
        <w:numPr>
          <w:ilvl w:val="0"/>
          <w:numId w:val="22"/>
        </w:numPr>
        <w:tabs>
          <w:tab w:val="clear" w:pos="1247"/>
          <w:tab w:val="clear" w:pos="1871"/>
          <w:tab w:val="clear" w:pos="2495"/>
          <w:tab w:val="clear" w:pos="3119"/>
          <w:tab w:val="clear" w:pos="3742"/>
          <w:tab w:val="clear" w:pos="4366"/>
        </w:tabs>
        <w:ind w:left="1247" w:firstLine="624"/>
      </w:pPr>
      <w:r w:rsidRPr="00EC412B">
        <w:t>De noter avec satisfaction</w:t>
      </w:r>
      <w:r w:rsidRPr="009D0B3A">
        <w:t xml:space="preserve"> que Saint-Vincent-et-les Grenadines a présenté une explication de son non-respect et un plan d</w:t>
      </w:r>
      <w:r w:rsidR="00AA6A89" w:rsidRPr="009D0B3A">
        <w:t>’</w:t>
      </w:r>
      <w:r w:rsidRPr="009D0B3A">
        <w:t>action visant à assurer son retour en 2035 à une situation de respect des mesures de réglementation de la consommation d</w:t>
      </w:r>
      <w:r w:rsidR="00AA6A89" w:rsidRPr="009D0B3A">
        <w:t>’</w:t>
      </w:r>
      <w:r w:rsidRPr="009D0B3A">
        <w:t>hydrofluorocarbones prévues par le Protocole de</w:t>
      </w:r>
      <w:r w:rsidR="0041321F">
        <w:t> </w:t>
      </w:r>
      <w:r w:rsidRPr="009D0B3A">
        <w:t>Montréal relatif à des substances qui appauvrissent la couche d</w:t>
      </w:r>
      <w:r w:rsidR="00AA6A89" w:rsidRPr="009D0B3A">
        <w:t>’</w:t>
      </w:r>
      <w:r w:rsidRPr="009D0B3A">
        <w:t>ozone</w:t>
      </w:r>
      <w:r w:rsidR="00AA6A89" w:rsidRPr="009D0B3A">
        <w:t> ;</w:t>
      </w:r>
    </w:p>
    <w:p w14:paraId="75AAA705" w14:textId="7F147275" w:rsidR="003E09D8" w:rsidRPr="009D0B3A" w:rsidRDefault="003E09D8" w:rsidP="00143F38">
      <w:pPr>
        <w:pStyle w:val="NormalNonumber"/>
        <w:numPr>
          <w:ilvl w:val="0"/>
          <w:numId w:val="22"/>
        </w:numPr>
        <w:tabs>
          <w:tab w:val="clear" w:pos="1247"/>
          <w:tab w:val="clear" w:pos="1871"/>
          <w:tab w:val="clear" w:pos="2495"/>
          <w:tab w:val="clear" w:pos="3119"/>
          <w:tab w:val="clear" w:pos="3742"/>
          <w:tab w:val="clear" w:pos="4366"/>
        </w:tabs>
        <w:ind w:left="1247" w:firstLine="624"/>
      </w:pPr>
      <w:r w:rsidRPr="00EC412B">
        <w:t>De noter</w:t>
      </w:r>
      <w:r w:rsidRPr="009D0B3A">
        <w:t xml:space="preserve"> que le plan d</w:t>
      </w:r>
      <w:r w:rsidR="00AA6A89" w:rsidRPr="009D0B3A">
        <w:t>’</w:t>
      </w:r>
      <w:r w:rsidRPr="009D0B3A">
        <w:t>action présenté prévoit un long délai pour le retour de la Partie à une situation de respect</w:t>
      </w:r>
      <w:r w:rsidR="00AA6A89" w:rsidRPr="009D0B3A">
        <w:t> ;</w:t>
      </w:r>
    </w:p>
    <w:p w14:paraId="2ED67463" w14:textId="5A578941" w:rsidR="003E09D8" w:rsidRPr="009D0B3A" w:rsidRDefault="003E09D8" w:rsidP="00143F38">
      <w:pPr>
        <w:pStyle w:val="NormalNonumber"/>
        <w:numPr>
          <w:ilvl w:val="0"/>
          <w:numId w:val="22"/>
        </w:numPr>
        <w:tabs>
          <w:tab w:val="clear" w:pos="1247"/>
          <w:tab w:val="clear" w:pos="1871"/>
          <w:tab w:val="clear" w:pos="2495"/>
          <w:tab w:val="clear" w:pos="3119"/>
          <w:tab w:val="clear" w:pos="3742"/>
          <w:tab w:val="clear" w:pos="4366"/>
        </w:tabs>
        <w:ind w:left="1247" w:firstLine="624"/>
      </w:pPr>
      <w:r w:rsidRPr="00F81D3F">
        <w:t>De demander</w:t>
      </w:r>
      <w:r w:rsidRPr="009D0B3A">
        <w:t xml:space="preserve"> à Saint-Vincent-et-les-Grenadines de présenter un plan d</w:t>
      </w:r>
      <w:r w:rsidR="00AA6A89" w:rsidRPr="009D0B3A">
        <w:t>’</w:t>
      </w:r>
      <w:r w:rsidRPr="009D0B3A">
        <w:t>action révisé après l</w:t>
      </w:r>
      <w:r w:rsidR="00AA6A89" w:rsidRPr="009D0B3A">
        <w:t>’</w:t>
      </w:r>
      <w:r w:rsidRPr="009D0B3A">
        <w:t>approbation de son plan de mise en œuvre de</w:t>
      </w:r>
      <w:r w:rsidR="00E461A8" w:rsidRPr="009D0B3A">
        <w:t xml:space="preserve"> l’Amendement de</w:t>
      </w:r>
      <w:r w:rsidRPr="009D0B3A">
        <w:t xml:space="preserve"> Kigali </w:t>
      </w:r>
      <w:r w:rsidR="00F3422B" w:rsidRPr="009D0B3A">
        <w:t>relatif</w:t>
      </w:r>
      <w:r w:rsidR="00E461A8" w:rsidRPr="009D0B3A">
        <w:t xml:space="preserve"> aux hydrofluorocarbones </w:t>
      </w:r>
      <w:r w:rsidRPr="009D0B3A">
        <w:t>par le Comité exécutif du Fonds multilatéral aux fins d</w:t>
      </w:r>
      <w:r w:rsidR="00AA6A89" w:rsidRPr="009D0B3A">
        <w:t>’</w:t>
      </w:r>
      <w:r w:rsidRPr="009D0B3A">
        <w:t>application du Protocole de Montréal</w:t>
      </w:r>
      <w:r w:rsidR="00AA6A89" w:rsidRPr="009D0B3A">
        <w:t> ;</w:t>
      </w:r>
    </w:p>
    <w:p w14:paraId="743BC052" w14:textId="2B966993" w:rsidR="003E09D8" w:rsidRPr="009D0B3A" w:rsidRDefault="003E09D8" w:rsidP="00143F38">
      <w:pPr>
        <w:pStyle w:val="NormalNonumber"/>
        <w:numPr>
          <w:ilvl w:val="0"/>
          <w:numId w:val="22"/>
        </w:numPr>
        <w:tabs>
          <w:tab w:val="clear" w:pos="1247"/>
          <w:tab w:val="clear" w:pos="1871"/>
          <w:tab w:val="clear" w:pos="2495"/>
          <w:tab w:val="clear" w:pos="3119"/>
          <w:tab w:val="clear" w:pos="3742"/>
          <w:tab w:val="clear" w:pos="4366"/>
        </w:tabs>
        <w:ind w:left="1247" w:firstLine="624"/>
      </w:pPr>
      <w:r w:rsidRPr="00F81D3F">
        <w:t>De prier instamment</w:t>
      </w:r>
      <w:r w:rsidRPr="009D0B3A">
        <w:t xml:space="preserve"> Saint-Vincent-et-les Grenadines de collaborer avec les organismes d</w:t>
      </w:r>
      <w:r w:rsidR="00AA6A89" w:rsidRPr="009D0B3A">
        <w:t>’</w:t>
      </w:r>
      <w:r w:rsidRPr="009D0B3A">
        <w:t>exécution compétents pour élaborer son plan d</w:t>
      </w:r>
      <w:r w:rsidR="00AA6A89" w:rsidRPr="009D0B3A">
        <w:t>’</w:t>
      </w:r>
      <w:r w:rsidRPr="009D0B3A">
        <w:t>action visant à réduire progressivement sa consommation et sa production d</w:t>
      </w:r>
      <w:r w:rsidR="00AA6A89" w:rsidRPr="009D0B3A">
        <w:t>’</w:t>
      </w:r>
      <w:r w:rsidRPr="009D0B3A">
        <w:t>hydrofluorocarbones</w:t>
      </w:r>
      <w:r w:rsidR="00AA6A89" w:rsidRPr="009D0B3A">
        <w:t> ;</w:t>
      </w:r>
    </w:p>
    <w:p w14:paraId="334DF922" w14:textId="688E33B7" w:rsidR="003E09D8" w:rsidRPr="009D0B3A" w:rsidRDefault="003E09D8" w:rsidP="00143F38">
      <w:pPr>
        <w:pStyle w:val="NormalNonumber"/>
        <w:numPr>
          <w:ilvl w:val="0"/>
          <w:numId w:val="22"/>
        </w:numPr>
        <w:tabs>
          <w:tab w:val="clear" w:pos="1247"/>
          <w:tab w:val="clear" w:pos="1871"/>
          <w:tab w:val="clear" w:pos="2495"/>
          <w:tab w:val="clear" w:pos="3119"/>
          <w:tab w:val="clear" w:pos="3742"/>
          <w:tab w:val="clear" w:pos="4366"/>
        </w:tabs>
        <w:ind w:left="1247" w:firstLine="624"/>
      </w:pPr>
      <w:r w:rsidRPr="0071122C">
        <w:t>De suivre</w:t>
      </w:r>
      <w:r w:rsidRPr="009D0B3A">
        <w:t xml:space="preserve"> de près les progrès accomplis par Saint-Vincent-et-les Grenadines pour s</w:t>
      </w:r>
      <w:r w:rsidR="00AA6A89" w:rsidRPr="009D0B3A">
        <w:t>’</w:t>
      </w:r>
      <w:r w:rsidRPr="009D0B3A">
        <w:t>acquitter de ses obligations au titre du Protocole de Montréal. Dans la mesure où la Partie s</w:t>
      </w:r>
      <w:r w:rsidR="00AA6A89" w:rsidRPr="009D0B3A">
        <w:t>’</w:t>
      </w:r>
      <w:r w:rsidRPr="009D0B3A">
        <w:t>efforce de respecter les mesures de réglementation expressément prévues par le Protocole et y parvient, il convient de continuer de la traiter de la même manière que toute autre Partie respectueuse de ses obligations. À cet égard, Saint-Vincent-et-les Grenadines devrait continuer de bénéficier d</w:t>
      </w:r>
      <w:r w:rsidR="00AA6A89" w:rsidRPr="009D0B3A">
        <w:t>’</w:t>
      </w:r>
      <w:r w:rsidRPr="009D0B3A">
        <w:t>une assistance internationale pour lui permettre de s</w:t>
      </w:r>
      <w:r w:rsidR="00AA6A89" w:rsidRPr="009D0B3A">
        <w:t>’</w:t>
      </w:r>
      <w:r w:rsidRPr="009D0B3A">
        <w:t>acquitter de ces engagements, conformément au point A de la liste indicative des mesures que pourrait prendre la Réunion des Parties en cas de non-respect</w:t>
      </w:r>
      <w:r w:rsidR="00AA6A89" w:rsidRPr="009D0B3A">
        <w:t> ;</w:t>
      </w:r>
    </w:p>
    <w:p w14:paraId="515B640B" w14:textId="534C73A4" w:rsidR="003E09D8" w:rsidRPr="009D0B3A" w:rsidRDefault="003E09D8" w:rsidP="00143F38">
      <w:pPr>
        <w:pStyle w:val="NormalNonumber"/>
        <w:numPr>
          <w:ilvl w:val="0"/>
          <w:numId w:val="22"/>
        </w:numPr>
        <w:tabs>
          <w:tab w:val="clear" w:pos="1247"/>
          <w:tab w:val="clear" w:pos="1871"/>
          <w:tab w:val="clear" w:pos="2495"/>
          <w:tab w:val="clear" w:pos="3119"/>
          <w:tab w:val="clear" w:pos="3742"/>
          <w:tab w:val="clear" w:pos="4366"/>
        </w:tabs>
        <w:ind w:left="1247" w:firstLine="624"/>
      </w:pPr>
      <w:r w:rsidRPr="0071122C">
        <w:lastRenderedPageBreak/>
        <w:t>D</w:t>
      </w:r>
      <w:r w:rsidR="00AA6A89" w:rsidRPr="0071122C">
        <w:t>’</w:t>
      </w:r>
      <w:r w:rsidR="00A53346" w:rsidRPr="0071122C">
        <w:t xml:space="preserve">avertir </w:t>
      </w:r>
      <w:r w:rsidRPr="009D0B3A">
        <w:t>Saint-Vincent-et-les Grenadines</w:t>
      </w:r>
      <w:r w:rsidR="00A53346" w:rsidRPr="009D0B3A">
        <w:t xml:space="preserve"> que</w:t>
      </w:r>
      <w:r w:rsidRPr="009D0B3A">
        <w:t>, conformément au point</w:t>
      </w:r>
      <w:r w:rsidR="00512565">
        <w:t> </w:t>
      </w:r>
      <w:r w:rsidRPr="009D0B3A">
        <w:t xml:space="preserve">B de la liste indicative des mesures que pourrait prendre la Réunion des Parties en cas de non-respect, au cas où </w:t>
      </w:r>
      <w:r w:rsidR="003F4704" w:rsidRPr="009D0B3A">
        <w:t xml:space="preserve">la Partie </w:t>
      </w:r>
      <w:r w:rsidRPr="009D0B3A">
        <w:t xml:space="preserve">manquerait de revenir à une situation de respect, </w:t>
      </w:r>
      <w:r w:rsidR="003F4704" w:rsidRPr="009D0B3A">
        <w:t xml:space="preserve">les </w:t>
      </w:r>
      <w:r w:rsidRPr="009D0B3A">
        <w:t>Parties envisagerait de prendre des mesures conformément au point</w:t>
      </w:r>
      <w:r w:rsidR="00512565">
        <w:t> </w:t>
      </w:r>
      <w:r w:rsidRPr="009D0B3A">
        <w:t>C de cette liste</w:t>
      </w:r>
      <w:r w:rsidR="00B93654" w:rsidRPr="009D0B3A">
        <w:t>. Ces mesures pourraient comporter</w:t>
      </w:r>
      <w:r w:rsidRPr="009D0B3A">
        <w:t xml:space="preserve"> la possibilité d</w:t>
      </w:r>
      <w:r w:rsidR="00AA6A89" w:rsidRPr="009D0B3A">
        <w:t>’</w:t>
      </w:r>
      <w:r w:rsidRPr="009D0B3A">
        <w:t>une action prévue à l</w:t>
      </w:r>
      <w:r w:rsidR="00AA6A89" w:rsidRPr="009D0B3A">
        <w:t>’</w:t>
      </w:r>
      <w:r w:rsidRPr="009D0B3A">
        <w:t>article</w:t>
      </w:r>
      <w:r w:rsidR="00512565">
        <w:t> </w:t>
      </w:r>
      <w:r w:rsidRPr="009D0B3A">
        <w:t>4, visant notamment à faire en sorte que cesse l</w:t>
      </w:r>
      <w:r w:rsidR="00AA6A89" w:rsidRPr="009D0B3A">
        <w:t>’</w:t>
      </w:r>
      <w:r w:rsidRPr="009D0B3A">
        <w:t>approvisionnement en hydrofluorocarbones à l</w:t>
      </w:r>
      <w:r w:rsidR="00AA6A89" w:rsidRPr="009D0B3A">
        <w:t>’</w:t>
      </w:r>
      <w:r w:rsidRPr="009D0B3A">
        <w:t xml:space="preserve">origine du non-respect, </w:t>
      </w:r>
      <w:r w:rsidR="00231836" w:rsidRPr="009D0B3A">
        <w:t xml:space="preserve">et que </w:t>
      </w:r>
      <w:r w:rsidRPr="009D0B3A">
        <w:t xml:space="preserve">les Parties exportatrices ne contribuent pas à perpétuer </w:t>
      </w:r>
      <w:r w:rsidR="00231836" w:rsidRPr="009D0B3A">
        <w:t xml:space="preserve">une </w:t>
      </w:r>
      <w:r w:rsidRPr="009D0B3A">
        <w:t>situation de non-respect</w:t>
      </w:r>
      <w:r w:rsidR="00E91917" w:rsidRPr="009D0B3A">
        <w:t>.</w:t>
      </w:r>
    </w:p>
    <w:p w14:paraId="3A19D9E8" w14:textId="378E141C" w:rsidR="003E09D8" w:rsidRPr="009D0B3A" w:rsidRDefault="00916177" w:rsidP="00916177">
      <w:pPr>
        <w:pStyle w:val="CH2"/>
      </w:pPr>
      <w:bookmarkStart w:id="37" w:name="_Hlk212847520"/>
      <w:r>
        <w:rPr>
          <w:bCs/>
        </w:rPr>
        <w:tab/>
      </w:r>
      <w:r w:rsidR="002F331A">
        <w:rPr>
          <w:bCs/>
        </w:rPr>
        <w:t>E</w:t>
      </w:r>
      <w:r>
        <w:rPr>
          <w:bCs/>
        </w:rPr>
        <w:t>.</w:t>
      </w:r>
      <w:r>
        <w:rPr>
          <w:bCs/>
        </w:rPr>
        <w:tab/>
      </w:r>
      <w:r w:rsidR="003E09D8" w:rsidRPr="009D0B3A">
        <w:rPr>
          <w:bCs/>
        </w:rPr>
        <w:t>Projet de décision XXXVII/[--]</w:t>
      </w:r>
      <w:r w:rsidR="00AA6A89" w:rsidRPr="009D0B3A">
        <w:rPr>
          <w:bCs/>
        </w:rPr>
        <w:t> :</w:t>
      </w:r>
      <w:r w:rsidR="003E09D8" w:rsidRPr="009D0B3A">
        <w:rPr>
          <w:bCs/>
        </w:rPr>
        <w:t xml:space="preserve"> Non-respect du Protocole de Montréal par</w:t>
      </w:r>
      <w:r w:rsidR="005051FA">
        <w:rPr>
          <w:bCs/>
        </w:rPr>
        <w:t> </w:t>
      </w:r>
      <w:r w:rsidR="003E09D8" w:rsidRPr="009D0B3A">
        <w:rPr>
          <w:bCs/>
        </w:rPr>
        <w:t>le</w:t>
      </w:r>
      <w:r w:rsidR="005051FA">
        <w:rPr>
          <w:bCs/>
        </w:rPr>
        <w:t> </w:t>
      </w:r>
      <w:r w:rsidR="003E09D8" w:rsidRPr="009D0B3A">
        <w:rPr>
          <w:bCs/>
        </w:rPr>
        <w:t>Tadjikistan</w:t>
      </w:r>
    </w:p>
    <w:bookmarkEnd w:id="37"/>
    <w:p w14:paraId="18A86CF6" w14:textId="77777777" w:rsidR="00000EB8" w:rsidRPr="009D0B3A" w:rsidRDefault="00000EB8" w:rsidP="00000EB8">
      <w:pPr>
        <w:tabs>
          <w:tab w:val="clear" w:pos="1247"/>
          <w:tab w:val="clear" w:pos="1814"/>
          <w:tab w:val="clear" w:pos="2381"/>
          <w:tab w:val="clear" w:pos="2948"/>
          <w:tab w:val="clear" w:pos="3515"/>
          <w:tab w:val="left" w:pos="624"/>
        </w:tabs>
        <w:adjustRightInd w:val="0"/>
        <w:snapToGrid w:val="0"/>
        <w:spacing w:after="120"/>
        <w:ind w:left="1247" w:firstLine="624"/>
        <w:rPr>
          <w:i/>
          <w:iCs/>
        </w:rPr>
      </w:pPr>
      <w:r w:rsidRPr="009D0B3A">
        <w:rPr>
          <w:i/>
          <w:iCs/>
        </w:rPr>
        <w:t>La trente-septième Réunion des Parties</w:t>
      </w:r>
      <w:r w:rsidRPr="003C043B">
        <w:t>,</w:t>
      </w:r>
    </w:p>
    <w:p w14:paraId="24725F0B" w14:textId="5939A3C6" w:rsidR="003E09D8" w:rsidRPr="009D0B3A" w:rsidRDefault="003E09D8" w:rsidP="000021C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Notant</w:t>
      </w:r>
      <w:r w:rsidRPr="009D0B3A">
        <w:t xml:space="preserve"> que </w:t>
      </w:r>
      <w:r w:rsidR="0007421D" w:rsidRPr="009D0B3A">
        <w:t>le Tadjikistan</w:t>
      </w:r>
      <w:r w:rsidRPr="009D0B3A">
        <w:t xml:space="preserve"> a adhéré au Protocole de</w:t>
      </w:r>
      <w:r w:rsidR="00512565">
        <w:t> </w:t>
      </w:r>
      <w:r w:rsidRPr="009D0B3A">
        <w:t>Montréal relatif à des substances qui appauvrissent la couche d</w:t>
      </w:r>
      <w:r w:rsidR="00AA6A89" w:rsidRPr="009D0B3A">
        <w:t>’</w:t>
      </w:r>
      <w:r w:rsidRPr="009D0B3A">
        <w:t>ozone et à l</w:t>
      </w:r>
      <w:r w:rsidR="00AA6A89" w:rsidRPr="009D0B3A">
        <w:t>’</w:t>
      </w:r>
      <w:r w:rsidRPr="009D0B3A">
        <w:t>Amendement de Londres le 7</w:t>
      </w:r>
      <w:r w:rsidR="00512565">
        <w:t> </w:t>
      </w:r>
      <w:r w:rsidRPr="009D0B3A">
        <w:t xml:space="preserve">janvier 1998 </w:t>
      </w:r>
      <w:r w:rsidR="00EA6529" w:rsidRPr="009D0B3A">
        <w:t xml:space="preserve">et à </w:t>
      </w:r>
      <w:r w:rsidRPr="009D0B3A">
        <w:t>l</w:t>
      </w:r>
      <w:r w:rsidR="00AA6A89" w:rsidRPr="009D0B3A">
        <w:t>’</w:t>
      </w:r>
      <w:r w:rsidRPr="009D0B3A">
        <w:t>Amendement de Copenhague, à l</w:t>
      </w:r>
      <w:r w:rsidR="00AA6A89" w:rsidRPr="009D0B3A">
        <w:t>’</w:t>
      </w:r>
      <w:r w:rsidRPr="009D0B3A">
        <w:t>Amendement de Montréal et à l</w:t>
      </w:r>
      <w:r w:rsidR="00AA6A89" w:rsidRPr="009D0B3A">
        <w:t>’</w:t>
      </w:r>
      <w:r w:rsidRPr="009D0B3A">
        <w:t>Amendement de Beijing le 7</w:t>
      </w:r>
      <w:r w:rsidR="00512565">
        <w:t> </w:t>
      </w:r>
      <w:r w:rsidRPr="009D0B3A">
        <w:t>mai 2009, a ratifié l</w:t>
      </w:r>
      <w:r w:rsidR="00AA6A89" w:rsidRPr="009D0B3A">
        <w:t>’</w:t>
      </w:r>
      <w:r w:rsidRPr="009D0B3A">
        <w:t>Amendement de Kigali le 29</w:t>
      </w:r>
      <w:r w:rsidR="00512565">
        <w:t> </w:t>
      </w:r>
      <w:r w:rsidRPr="009D0B3A">
        <w:t xml:space="preserve">juin 2022 et est classée parmi les Parties </w:t>
      </w:r>
      <w:r w:rsidR="004A3BA4" w:rsidRPr="009D0B3A">
        <w:t xml:space="preserve">non </w:t>
      </w:r>
      <w:r w:rsidRPr="009D0B3A">
        <w:t>visées au paragraphe</w:t>
      </w:r>
      <w:r w:rsidR="00512565">
        <w:t> </w:t>
      </w:r>
      <w:r w:rsidRPr="009D0B3A">
        <w:t>1 de l</w:t>
      </w:r>
      <w:r w:rsidR="00AA6A89" w:rsidRPr="009D0B3A">
        <w:t>’</w:t>
      </w:r>
      <w:r w:rsidRPr="009D0B3A">
        <w:t>article</w:t>
      </w:r>
      <w:r w:rsidR="00512565">
        <w:t> </w:t>
      </w:r>
      <w:r w:rsidRPr="009D0B3A">
        <w:t>5 du Protocole,</w:t>
      </w:r>
    </w:p>
    <w:p w14:paraId="52B4EF34" w14:textId="4FE7CBBA" w:rsidR="003E09D8" w:rsidRPr="009D0B3A" w:rsidRDefault="003E09D8" w:rsidP="000021C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 xml:space="preserve">Notant </w:t>
      </w:r>
      <w:r w:rsidR="004A3BA4" w:rsidRPr="009D0B3A">
        <w:rPr>
          <w:i/>
          <w:iCs/>
        </w:rPr>
        <w:t xml:space="preserve">également </w:t>
      </w:r>
      <w:r w:rsidRPr="009D0B3A">
        <w:t>que</w:t>
      </w:r>
      <w:r w:rsidR="00350BFA" w:rsidRPr="009D0B3A">
        <w:t xml:space="preserve"> le Tadjikistan a déclaré, pour 2023, </w:t>
      </w:r>
      <w:r w:rsidRPr="009D0B3A">
        <w:t>consommation annuelle de 457</w:t>
      </w:r>
      <w:r w:rsidR="00512565">
        <w:t> </w:t>
      </w:r>
      <w:r w:rsidRPr="009D0B3A">
        <w:t>613</w:t>
      </w:r>
      <w:r w:rsidR="00512565">
        <w:t> </w:t>
      </w:r>
      <w:r w:rsidRPr="009D0B3A">
        <w:t>tonnes d</w:t>
      </w:r>
      <w:r w:rsidR="00AA6A89" w:rsidRPr="009D0B3A">
        <w:t>’</w:t>
      </w:r>
      <w:r w:rsidRPr="009D0B3A">
        <w:t>équivalent CO</w:t>
      </w:r>
      <w:r w:rsidRPr="009D0B3A">
        <w:rPr>
          <w:vertAlign w:val="subscript"/>
        </w:rPr>
        <w:t>2</w:t>
      </w:r>
      <w:r w:rsidRPr="009D0B3A">
        <w:t xml:space="preserve"> de substances réglementées de l</w:t>
      </w:r>
      <w:r w:rsidR="00AA6A89" w:rsidRPr="009D0B3A">
        <w:t>’</w:t>
      </w:r>
      <w:r w:rsidRPr="009D0B3A">
        <w:t>Annexe</w:t>
      </w:r>
      <w:r w:rsidR="001D300A">
        <w:t> </w:t>
      </w:r>
      <w:r w:rsidRPr="009D0B3A">
        <w:t>F du Protocole de</w:t>
      </w:r>
      <w:r w:rsidR="001D300A">
        <w:t> </w:t>
      </w:r>
      <w:r w:rsidRPr="009D0B3A">
        <w:t>Montréal (hydrofluorocarbones)</w:t>
      </w:r>
      <w:r w:rsidR="00CF4A54" w:rsidRPr="009D0B3A">
        <w:t>,</w:t>
      </w:r>
      <w:r w:rsidRPr="009D0B3A">
        <w:t xml:space="preserve"> dépass</w:t>
      </w:r>
      <w:r w:rsidR="00CF4A54" w:rsidRPr="009D0B3A">
        <w:t>ant</w:t>
      </w:r>
      <w:r w:rsidRPr="009D0B3A">
        <w:t xml:space="preserve"> sa consommation maximale autorisée, qui était de 424</w:t>
      </w:r>
      <w:r w:rsidR="001D300A">
        <w:t> </w:t>
      </w:r>
      <w:r w:rsidRPr="009D0B3A">
        <w:t>270</w:t>
      </w:r>
      <w:r w:rsidR="001D300A">
        <w:t> </w:t>
      </w:r>
      <w:r w:rsidRPr="009D0B3A">
        <w:t>tonnes d</w:t>
      </w:r>
      <w:r w:rsidR="00AA6A89" w:rsidRPr="009D0B3A">
        <w:t>’</w:t>
      </w:r>
      <w:r w:rsidRPr="009D0B3A">
        <w:t>équivalent CO</w:t>
      </w:r>
      <w:r w:rsidRPr="009D0B3A">
        <w:rPr>
          <w:vertAlign w:val="subscript"/>
        </w:rPr>
        <w:t>2</w:t>
      </w:r>
      <w:r w:rsidRPr="009D0B3A">
        <w:t xml:space="preserve"> d</w:t>
      </w:r>
      <w:r w:rsidR="00AA6A89" w:rsidRPr="009D0B3A">
        <w:t>’</w:t>
      </w:r>
      <w:r w:rsidRPr="009D0B3A">
        <w:t>hydrofluorocarbones pour</w:t>
      </w:r>
      <w:r w:rsidR="00B64E56" w:rsidRPr="009D0B3A">
        <w:t xml:space="preserve"> cette année</w:t>
      </w:r>
      <w:r w:rsidRPr="009D0B3A">
        <w:t>, et que cette Partie n</w:t>
      </w:r>
      <w:r w:rsidR="00AA6A89" w:rsidRPr="009D0B3A">
        <w:t>’</w:t>
      </w:r>
      <w:r w:rsidRPr="009D0B3A">
        <w:t>a donc pas respecté les mesures de réglementation prévues par le Protocole de</w:t>
      </w:r>
      <w:r w:rsidR="00183761">
        <w:t> </w:t>
      </w:r>
      <w:r w:rsidRPr="009D0B3A">
        <w:t>Montréal pour la consommation d</w:t>
      </w:r>
      <w:r w:rsidR="00AA6A89" w:rsidRPr="009D0B3A">
        <w:t>’</w:t>
      </w:r>
      <w:r w:rsidRPr="009D0B3A">
        <w:t>hydrofluorocarbones,</w:t>
      </w:r>
    </w:p>
    <w:p w14:paraId="02497F4D" w14:textId="0CF1D8B4"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i/>
        </w:rPr>
      </w:pPr>
      <w:r w:rsidRPr="009D0B3A">
        <w:rPr>
          <w:i/>
          <w:iCs/>
        </w:rPr>
        <w:t>Décide</w:t>
      </w:r>
      <w:r w:rsidR="00AA6A89" w:rsidRPr="009D0B3A">
        <w:rPr>
          <w:i/>
          <w:iCs/>
        </w:rPr>
        <w:t> </w:t>
      </w:r>
      <w:r w:rsidR="00AA6A89" w:rsidRPr="000D2783">
        <w:t>:</w:t>
      </w:r>
    </w:p>
    <w:p w14:paraId="58A5658B" w14:textId="4F43D30A" w:rsidR="003E09D8" w:rsidRPr="009D0B3A" w:rsidRDefault="003E09D8" w:rsidP="00143F38">
      <w:pPr>
        <w:pStyle w:val="NormalNonumber"/>
        <w:numPr>
          <w:ilvl w:val="0"/>
          <w:numId w:val="23"/>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inviter le Tadjikistan à présenter au Secrétariat de l</w:t>
      </w:r>
      <w:r w:rsidR="00AA6A89" w:rsidRPr="009D0B3A">
        <w:t>’</w:t>
      </w:r>
      <w:r w:rsidRPr="009D0B3A">
        <w:t>ozone, de toute urgence et le 31</w:t>
      </w:r>
      <w:r w:rsidR="00183761">
        <w:t> </w:t>
      </w:r>
      <w:r w:rsidRPr="009D0B3A">
        <w:t>mars 2026 au plus tard, pour examen par le Comité d</w:t>
      </w:r>
      <w:r w:rsidR="00AA6A89" w:rsidRPr="009D0B3A">
        <w:t>’</w:t>
      </w:r>
      <w:r w:rsidRPr="009D0B3A">
        <w:t>application de la procédure applicable en cas de non-respect du Protocole de</w:t>
      </w:r>
      <w:r w:rsidR="00C93133">
        <w:t> </w:t>
      </w:r>
      <w:r w:rsidRPr="009D0B3A">
        <w:t>Montréal relatif à des substances qui appauvrissent la couche d</w:t>
      </w:r>
      <w:r w:rsidR="00AA6A89" w:rsidRPr="009D0B3A">
        <w:t>’</w:t>
      </w:r>
      <w:r w:rsidRPr="009D0B3A">
        <w:t>ozone à sa soixante-seizième</w:t>
      </w:r>
      <w:r w:rsidR="00C93133">
        <w:t> </w:t>
      </w:r>
      <w:r w:rsidRPr="009D0B3A">
        <w:t>réunion, un plan d</w:t>
      </w:r>
      <w:r w:rsidR="00AA6A89" w:rsidRPr="009D0B3A">
        <w:t>’</w:t>
      </w:r>
      <w:r w:rsidRPr="009D0B3A">
        <w:t>action qui énonce des objectifs assortis de délais pour assurer un prompt retour de la Partie à une situation de respect de ses obligations relatives aux hydrofluorocarbones au titre du Protocole, ainsi que les politiques qu</w:t>
      </w:r>
      <w:r w:rsidR="00AA6A89" w:rsidRPr="009D0B3A">
        <w:t>’</w:t>
      </w:r>
      <w:r w:rsidRPr="009D0B3A">
        <w:t>elle adoptera à l</w:t>
      </w:r>
      <w:r w:rsidR="00AA6A89" w:rsidRPr="009D0B3A">
        <w:t>’</w:t>
      </w:r>
      <w:r w:rsidRPr="009D0B3A">
        <w:t>appui de ses efforts de mise en œuvre</w:t>
      </w:r>
      <w:r w:rsidR="00AA6A89" w:rsidRPr="009D0B3A">
        <w:t> ;</w:t>
      </w:r>
    </w:p>
    <w:p w14:paraId="5C3564A8" w14:textId="006B0E52" w:rsidR="003E09D8" w:rsidRPr="009D0B3A" w:rsidRDefault="003E09D8" w:rsidP="00143F38">
      <w:pPr>
        <w:pStyle w:val="NormalNonumber"/>
        <w:numPr>
          <w:ilvl w:val="0"/>
          <w:numId w:val="23"/>
        </w:numPr>
        <w:tabs>
          <w:tab w:val="clear" w:pos="1247"/>
          <w:tab w:val="clear" w:pos="1871"/>
          <w:tab w:val="clear" w:pos="2495"/>
          <w:tab w:val="clear" w:pos="3119"/>
          <w:tab w:val="clear" w:pos="3742"/>
          <w:tab w:val="clear" w:pos="4366"/>
        </w:tabs>
        <w:ind w:left="1247" w:firstLine="624"/>
      </w:pPr>
      <w:r w:rsidRPr="009D0B3A">
        <w:t xml:space="preserve">De suivre de près les progrès accomplis par le Tadjikistan dans la réduction progressive des hydrofluorocarbones. Dans la mesure où </w:t>
      </w:r>
      <w:r w:rsidR="00F41AC1" w:rsidRPr="009D0B3A">
        <w:t xml:space="preserve">le Tadjikistan </w:t>
      </w:r>
      <w:r w:rsidRPr="009D0B3A">
        <w:t>s</w:t>
      </w:r>
      <w:r w:rsidR="00AA6A89" w:rsidRPr="009D0B3A">
        <w:t>’</w:t>
      </w:r>
      <w:r w:rsidRPr="009D0B3A">
        <w:t>efforce de respecter les mesures de réglementation expressément prévues par le Protocole</w:t>
      </w:r>
      <w:r w:rsidR="009E7912" w:rsidRPr="009D0B3A">
        <w:t xml:space="preserve"> de Montréal</w:t>
      </w:r>
      <w:r w:rsidR="00AA6A89" w:rsidRPr="009D0B3A">
        <w:t xml:space="preserve"> </w:t>
      </w:r>
      <w:r w:rsidRPr="009D0B3A">
        <w:t>et y parvient, il convient de continuer de l</w:t>
      </w:r>
      <w:r w:rsidR="00FB4017" w:rsidRPr="009D0B3A">
        <w:t>e</w:t>
      </w:r>
      <w:r w:rsidRPr="009D0B3A">
        <w:t xml:space="preserve"> traiter de la même manière que toute autre Partie respectueuse de ses obligations. À cet égard, le Tadjikistan devrait continuer de bénéficier d</w:t>
      </w:r>
      <w:r w:rsidR="00AA6A89" w:rsidRPr="009D0B3A">
        <w:t>’</w:t>
      </w:r>
      <w:r w:rsidRPr="009D0B3A">
        <w:t>une assistance internationale pour lui permettre de s</w:t>
      </w:r>
      <w:r w:rsidR="00AA6A89" w:rsidRPr="009D0B3A">
        <w:t>’</w:t>
      </w:r>
      <w:r w:rsidRPr="009D0B3A">
        <w:t xml:space="preserve">acquitter de </w:t>
      </w:r>
      <w:r w:rsidR="003039C7" w:rsidRPr="009D0B3A">
        <w:t>s</w:t>
      </w:r>
      <w:r w:rsidRPr="009D0B3A">
        <w:t>es engagements, conformément au point A de la liste indicative des mesures que pourrait prendre la Réunion des Parties en cas de non-respect</w:t>
      </w:r>
      <w:r w:rsidR="00AA6A89" w:rsidRPr="009D0B3A">
        <w:t> ;</w:t>
      </w:r>
    </w:p>
    <w:p w14:paraId="076365BD" w14:textId="6F790609" w:rsidR="003E09D8" w:rsidRPr="009D0B3A" w:rsidRDefault="008B3269" w:rsidP="00143F38">
      <w:pPr>
        <w:pStyle w:val="NormalNonumber"/>
        <w:numPr>
          <w:ilvl w:val="0"/>
          <w:numId w:val="23"/>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avertir le Tadjikistan que, conformément au point</w:t>
      </w:r>
      <w:r w:rsidR="00C93133">
        <w:t> </w:t>
      </w:r>
      <w:r w:rsidRPr="009D0B3A">
        <w:t>B de la liste indicative des mesures que pourrait prendre la Réunion des Parties, au cas où la Partie manquerait de revenir à une situation de respect en temps voulu, la Réunion des Parties envisagerait de prendre des mesures conformément au point C de cette liste. Ces mesures pourraient comporter la possibilité d</w:t>
      </w:r>
      <w:r w:rsidR="00AA6A89" w:rsidRPr="009D0B3A">
        <w:t>’</w:t>
      </w:r>
      <w:r w:rsidRPr="009D0B3A">
        <w:t>une action prévue à l</w:t>
      </w:r>
      <w:r w:rsidR="00AA6A89" w:rsidRPr="009D0B3A">
        <w:t>’</w:t>
      </w:r>
      <w:r w:rsidRPr="009D0B3A">
        <w:t>article</w:t>
      </w:r>
      <w:r w:rsidR="00C93133">
        <w:t> </w:t>
      </w:r>
      <w:r w:rsidRPr="009D0B3A">
        <w:t>4, visant notamment à faire en sorte que cesse l</w:t>
      </w:r>
      <w:r w:rsidR="00AA6A89" w:rsidRPr="009D0B3A">
        <w:t>’</w:t>
      </w:r>
      <w:r w:rsidRPr="009D0B3A">
        <w:t>approvisionnement en hydrofluorocarbones à l</w:t>
      </w:r>
      <w:r w:rsidR="00AA6A89" w:rsidRPr="009D0B3A">
        <w:t>’</w:t>
      </w:r>
      <w:r w:rsidRPr="009D0B3A">
        <w:t>origine du non-respect, et que les Parties exportatrices ne contribuent pas à perpétuer une situation de non-respec</w:t>
      </w:r>
      <w:r w:rsidR="003E09D8" w:rsidRPr="009D0B3A">
        <w:t>t</w:t>
      </w:r>
      <w:r w:rsidR="00E91917" w:rsidRPr="009D0B3A">
        <w:t>.</w:t>
      </w:r>
    </w:p>
    <w:p w14:paraId="0B42BBEF" w14:textId="613A4632" w:rsidR="003E09D8" w:rsidRPr="009D0B3A" w:rsidRDefault="00EC781F" w:rsidP="00EC781F">
      <w:pPr>
        <w:pStyle w:val="CH2"/>
      </w:pPr>
      <w:r>
        <w:rPr>
          <w:bCs/>
        </w:rPr>
        <w:tab/>
      </w:r>
      <w:r w:rsidR="00DE38B8">
        <w:t>F.</w:t>
      </w:r>
      <w:r>
        <w:rPr>
          <w:bCs/>
        </w:rPr>
        <w:tab/>
      </w:r>
      <w:r w:rsidR="003E09D8" w:rsidRPr="009D0B3A">
        <w:rPr>
          <w:bCs/>
        </w:rPr>
        <w:t>Projet de décision XXXVII/[--]</w:t>
      </w:r>
      <w:r w:rsidR="00AA6A89" w:rsidRPr="009D0B3A">
        <w:rPr>
          <w:bCs/>
        </w:rPr>
        <w:t> :</w:t>
      </w:r>
      <w:r w:rsidR="003E09D8" w:rsidRPr="009D0B3A">
        <w:rPr>
          <w:bCs/>
        </w:rPr>
        <w:t xml:space="preserve"> Non-respect du Protocole de Montréal par</w:t>
      </w:r>
      <w:r w:rsidR="00B77ECA">
        <w:rPr>
          <w:bCs/>
        </w:rPr>
        <w:t> </w:t>
      </w:r>
      <w:r w:rsidR="003E09D8" w:rsidRPr="009D0B3A">
        <w:rPr>
          <w:bCs/>
        </w:rPr>
        <w:t>la</w:t>
      </w:r>
      <w:r w:rsidR="00B77ECA">
        <w:rPr>
          <w:bCs/>
        </w:rPr>
        <w:t> </w:t>
      </w:r>
      <w:r w:rsidR="003E09D8" w:rsidRPr="009D0B3A">
        <w:rPr>
          <w:bCs/>
        </w:rPr>
        <w:t>Zambie</w:t>
      </w:r>
    </w:p>
    <w:p w14:paraId="0990BB02" w14:textId="77777777" w:rsidR="00F800CA" w:rsidRPr="009D0B3A" w:rsidRDefault="00F800CA" w:rsidP="00F800CA">
      <w:pPr>
        <w:tabs>
          <w:tab w:val="clear" w:pos="1247"/>
          <w:tab w:val="clear" w:pos="1814"/>
          <w:tab w:val="clear" w:pos="2381"/>
          <w:tab w:val="clear" w:pos="2948"/>
          <w:tab w:val="clear" w:pos="3515"/>
          <w:tab w:val="left" w:pos="624"/>
        </w:tabs>
        <w:adjustRightInd w:val="0"/>
        <w:snapToGrid w:val="0"/>
        <w:spacing w:after="120"/>
        <w:ind w:left="1247" w:firstLine="624"/>
        <w:rPr>
          <w:i/>
          <w:iCs/>
        </w:rPr>
      </w:pPr>
      <w:r w:rsidRPr="009D0B3A">
        <w:rPr>
          <w:i/>
          <w:iCs/>
        </w:rPr>
        <w:t>La trente-septième Réunion des Parties</w:t>
      </w:r>
      <w:r w:rsidRPr="00F504DE">
        <w:t>,</w:t>
      </w:r>
    </w:p>
    <w:p w14:paraId="5222A75B" w14:textId="4B392AD2"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Notant</w:t>
      </w:r>
      <w:r w:rsidRPr="009D0B3A">
        <w:t xml:space="preserve"> que la Zambie a adhéré au Protocole de</w:t>
      </w:r>
      <w:r w:rsidR="006D5787">
        <w:t> </w:t>
      </w:r>
      <w:r w:rsidRPr="009D0B3A">
        <w:t>Montréal relatif à des substances qui appauvrissent la couche d</w:t>
      </w:r>
      <w:r w:rsidR="00AA6A89" w:rsidRPr="009D0B3A">
        <w:t>’</w:t>
      </w:r>
      <w:r w:rsidRPr="009D0B3A">
        <w:t>ozone le 24</w:t>
      </w:r>
      <w:r w:rsidR="006D5787">
        <w:t> </w:t>
      </w:r>
      <w:r w:rsidRPr="009D0B3A">
        <w:t xml:space="preserve">janvier 1990, </w:t>
      </w:r>
      <w:r w:rsidR="00F45943" w:rsidRPr="009D0B3A">
        <w:t xml:space="preserve">a </w:t>
      </w:r>
      <w:r w:rsidRPr="009D0B3A">
        <w:t>ratifié l</w:t>
      </w:r>
      <w:r w:rsidR="00AA6A89" w:rsidRPr="009D0B3A">
        <w:t>’</w:t>
      </w:r>
      <w:r w:rsidRPr="009D0B3A">
        <w:t>Amendement de Londres le</w:t>
      </w:r>
      <w:r w:rsidR="000D2783">
        <w:t> </w:t>
      </w:r>
      <w:r w:rsidRPr="009D0B3A">
        <w:t>15</w:t>
      </w:r>
      <w:r w:rsidR="000D2783">
        <w:t> </w:t>
      </w:r>
      <w:r w:rsidRPr="009D0B3A">
        <w:t>avril</w:t>
      </w:r>
      <w:r w:rsidR="000D2783">
        <w:t> </w:t>
      </w:r>
      <w:r w:rsidRPr="009D0B3A">
        <w:t>1994</w:t>
      </w:r>
      <w:r w:rsidR="00C3750A" w:rsidRPr="009D0B3A">
        <w:t xml:space="preserve">, </w:t>
      </w:r>
      <w:r w:rsidR="006A6E71" w:rsidRPr="009D0B3A">
        <w:t xml:space="preserve">a </w:t>
      </w:r>
      <w:r w:rsidRPr="009D0B3A">
        <w:t>a</w:t>
      </w:r>
      <w:r w:rsidR="00C3750A" w:rsidRPr="009D0B3A">
        <w:t>ccepté</w:t>
      </w:r>
      <w:r w:rsidRPr="009D0B3A">
        <w:t xml:space="preserve"> l</w:t>
      </w:r>
      <w:r w:rsidR="00AA6A89" w:rsidRPr="009D0B3A">
        <w:t>’</w:t>
      </w:r>
      <w:r w:rsidRPr="009D0B3A">
        <w:t>Amendement de Copenhague, l</w:t>
      </w:r>
      <w:r w:rsidR="00AA6A89" w:rsidRPr="009D0B3A">
        <w:t>’</w:t>
      </w:r>
      <w:r w:rsidRPr="009D0B3A">
        <w:t>Amendement de</w:t>
      </w:r>
      <w:r w:rsidR="007416C7">
        <w:t> </w:t>
      </w:r>
      <w:r w:rsidRPr="009D0B3A">
        <w:t>Montréal et l</w:t>
      </w:r>
      <w:r w:rsidR="00AA6A89" w:rsidRPr="009D0B3A">
        <w:t>’</w:t>
      </w:r>
      <w:r w:rsidRPr="009D0B3A">
        <w:t>Amendement de Beijing le 11</w:t>
      </w:r>
      <w:r w:rsidR="007416C7">
        <w:t> </w:t>
      </w:r>
      <w:r w:rsidRPr="009D0B3A">
        <w:t>octobre 2007, a ratifié l</w:t>
      </w:r>
      <w:r w:rsidR="00AA6A89" w:rsidRPr="009D0B3A">
        <w:t>’</w:t>
      </w:r>
      <w:r w:rsidRPr="009D0B3A">
        <w:t>Amendement de Kigali le 15</w:t>
      </w:r>
      <w:r w:rsidR="007416C7">
        <w:t> </w:t>
      </w:r>
      <w:r w:rsidRPr="009D0B3A">
        <w:t>mars 2021 et est classée parmi les Parties visées au paragraphe 1 de l</w:t>
      </w:r>
      <w:r w:rsidR="00AA6A89" w:rsidRPr="009D0B3A">
        <w:t>’</w:t>
      </w:r>
      <w:r w:rsidRPr="009D0B3A">
        <w:t>article</w:t>
      </w:r>
      <w:r w:rsidR="007416C7">
        <w:t> </w:t>
      </w:r>
      <w:r w:rsidRPr="009D0B3A">
        <w:t>5 du Protocole,</w:t>
      </w:r>
    </w:p>
    <w:p w14:paraId="167B3443" w14:textId="031D7192"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Notant également</w:t>
      </w:r>
      <w:r w:rsidRPr="009D0B3A">
        <w:t xml:space="preserve"> que la </w:t>
      </w:r>
      <w:r w:rsidR="005A640E" w:rsidRPr="009D0B3A">
        <w:t>Zambie</w:t>
      </w:r>
      <w:r w:rsidR="00CA167E" w:rsidRPr="009D0B3A">
        <w:t xml:space="preserve"> a déclaré, pour 2024, une </w:t>
      </w:r>
      <w:r w:rsidRPr="009D0B3A">
        <w:t>consommation annuelle de 857</w:t>
      </w:r>
      <w:r w:rsidR="000D2783">
        <w:t> </w:t>
      </w:r>
      <w:r w:rsidRPr="009D0B3A">
        <w:t>857</w:t>
      </w:r>
      <w:r w:rsidR="006010AC">
        <w:t> </w:t>
      </w:r>
      <w:r w:rsidRPr="009D0B3A">
        <w:t>tonnes d</w:t>
      </w:r>
      <w:r w:rsidR="00AA6A89" w:rsidRPr="009D0B3A">
        <w:t>’</w:t>
      </w:r>
      <w:r w:rsidRPr="009D0B3A">
        <w:t>équivalent CO</w:t>
      </w:r>
      <w:r w:rsidRPr="009D0B3A">
        <w:rPr>
          <w:vertAlign w:val="subscript"/>
        </w:rPr>
        <w:t>2</w:t>
      </w:r>
      <w:r w:rsidRPr="009D0B3A">
        <w:t xml:space="preserve"> de substances réglementées de l</w:t>
      </w:r>
      <w:r w:rsidR="00AA6A89" w:rsidRPr="009D0B3A">
        <w:t>’</w:t>
      </w:r>
      <w:r w:rsidRPr="009D0B3A">
        <w:t>Annexe</w:t>
      </w:r>
      <w:r w:rsidR="006D38E6">
        <w:t> </w:t>
      </w:r>
      <w:r w:rsidRPr="009D0B3A">
        <w:t>F du Protocole de</w:t>
      </w:r>
      <w:r w:rsidR="006D38E6">
        <w:t> </w:t>
      </w:r>
      <w:r w:rsidRPr="009D0B3A">
        <w:t>Montréal (hydrofluorocarbones)</w:t>
      </w:r>
      <w:r w:rsidR="002A02BE" w:rsidRPr="009D0B3A">
        <w:t xml:space="preserve">, </w:t>
      </w:r>
      <w:r w:rsidRPr="009D0B3A">
        <w:t>dépass</w:t>
      </w:r>
      <w:r w:rsidR="002A02BE" w:rsidRPr="009D0B3A">
        <w:t>ant</w:t>
      </w:r>
      <w:r w:rsidRPr="009D0B3A">
        <w:t xml:space="preserve"> sa consommation maximale autorisée, qui était de 699</w:t>
      </w:r>
      <w:r w:rsidR="006D38E6">
        <w:t> </w:t>
      </w:r>
      <w:r w:rsidRPr="009D0B3A">
        <w:t>513</w:t>
      </w:r>
      <w:r w:rsidR="006D38E6">
        <w:t> </w:t>
      </w:r>
      <w:r w:rsidRPr="009D0B3A">
        <w:t>tonnes d</w:t>
      </w:r>
      <w:r w:rsidR="00AA6A89" w:rsidRPr="009D0B3A">
        <w:t>’</w:t>
      </w:r>
      <w:r w:rsidRPr="009D0B3A">
        <w:t>équivalent CO</w:t>
      </w:r>
      <w:r w:rsidRPr="009D0B3A">
        <w:rPr>
          <w:vertAlign w:val="subscript"/>
        </w:rPr>
        <w:t>2</w:t>
      </w:r>
      <w:r w:rsidRPr="009D0B3A">
        <w:t xml:space="preserve"> d</w:t>
      </w:r>
      <w:r w:rsidR="00AA6A89" w:rsidRPr="009D0B3A">
        <w:t>’</w:t>
      </w:r>
      <w:r w:rsidRPr="009D0B3A">
        <w:t>hydrofluorocarbones pour</w:t>
      </w:r>
      <w:r w:rsidR="002A02BE" w:rsidRPr="009D0B3A">
        <w:t xml:space="preserve"> cette année</w:t>
      </w:r>
      <w:r w:rsidRPr="009D0B3A">
        <w:t>, et que cette Partie n</w:t>
      </w:r>
      <w:r w:rsidR="00AA6A89" w:rsidRPr="009D0B3A">
        <w:t>’</w:t>
      </w:r>
      <w:r w:rsidRPr="009D0B3A">
        <w:t xml:space="preserve">a donc pas respecté les </w:t>
      </w:r>
      <w:r w:rsidRPr="009D0B3A">
        <w:lastRenderedPageBreak/>
        <w:t>mesures de réglementation prévues par le Protocole de</w:t>
      </w:r>
      <w:r w:rsidR="006D38E6">
        <w:t> </w:t>
      </w:r>
      <w:r w:rsidRPr="009D0B3A">
        <w:t>Montréal pour la consommation d</w:t>
      </w:r>
      <w:r w:rsidR="00AA6A89" w:rsidRPr="009D0B3A">
        <w:t>’</w:t>
      </w:r>
      <w:r w:rsidRPr="009D0B3A">
        <w:t>hydrofluorocarbones,</w:t>
      </w:r>
    </w:p>
    <w:p w14:paraId="0F90BEE4" w14:textId="03B17281"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i/>
        </w:rPr>
      </w:pPr>
      <w:r w:rsidRPr="009D0B3A">
        <w:rPr>
          <w:i/>
          <w:iCs/>
        </w:rPr>
        <w:t>Décide</w:t>
      </w:r>
      <w:r w:rsidR="00AA6A89" w:rsidRPr="009D0B3A">
        <w:rPr>
          <w:i/>
          <w:iCs/>
        </w:rPr>
        <w:t> </w:t>
      </w:r>
      <w:r w:rsidR="00AA6A89" w:rsidRPr="000D2783">
        <w:t>:</w:t>
      </w:r>
    </w:p>
    <w:p w14:paraId="3EF7EE6B" w14:textId="165F059A" w:rsidR="003E09D8" w:rsidRPr="009D0B3A" w:rsidRDefault="003E09D8" w:rsidP="00143F38">
      <w:pPr>
        <w:pStyle w:val="NormalNonumber"/>
        <w:numPr>
          <w:ilvl w:val="0"/>
          <w:numId w:val="24"/>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engager vivement la Zambie à fournir des explications justifiant l</w:t>
      </w:r>
      <w:r w:rsidR="00AA6A89" w:rsidRPr="009D0B3A">
        <w:t>’</w:t>
      </w:r>
      <w:r w:rsidRPr="009D0B3A">
        <w:t>écart constaté, de toute urgence et le 31</w:t>
      </w:r>
      <w:r w:rsidR="006D38E6">
        <w:t> </w:t>
      </w:r>
      <w:r w:rsidRPr="009D0B3A">
        <w:t>mars 2026 au plus tard, et, s</w:t>
      </w:r>
      <w:r w:rsidR="00AA6A89" w:rsidRPr="009D0B3A">
        <w:t>’</w:t>
      </w:r>
      <w:r w:rsidRPr="009D0B3A">
        <w:t>il y a lieu, de présenter avant cette date un plan d</w:t>
      </w:r>
      <w:r w:rsidR="00AA6A89" w:rsidRPr="009D0B3A">
        <w:t>’</w:t>
      </w:r>
      <w:r w:rsidRPr="009D0B3A">
        <w:t>action qui énonce des objectifs assortis de délais pour assurer un prompt retour de la Partie à une situation de respect de ses obligations relatives aux hydrofluorocarbones au titre du Protocole de</w:t>
      </w:r>
      <w:r w:rsidR="006D38E6">
        <w:t> </w:t>
      </w:r>
      <w:r w:rsidRPr="009D0B3A">
        <w:t>Montréal relatif à des substances qui appauvrissent la couche d</w:t>
      </w:r>
      <w:r w:rsidR="00AA6A89" w:rsidRPr="009D0B3A">
        <w:t>’</w:t>
      </w:r>
      <w:r w:rsidRPr="009D0B3A">
        <w:t>ozone, ainsi que les politiques qu</w:t>
      </w:r>
      <w:r w:rsidR="00AA6A89" w:rsidRPr="009D0B3A">
        <w:t>’</w:t>
      </w:r>
      <w:r w:rsidRPr="009D0B3A">
        <w:t>elle adoptera à l</w:t>
      </w:r>
      <w:r w:rsidR="00AA6A89" w:rsidRPr="009D0B3A">
        <w:t>’</w:t>
      </w:r>
      <w:r w:rsidRPr="009D0B3A">
        <w:t>appui de ses efforts de mise en œuvre, de sorte que le Comité d</w:t>
      </w:r>
      <w:r w:rsidR="00AA6A89" w:rsidRPr="009D0B3A">
        <w:t>’</w:t>
      </w:r>
      <w:r w:rsidRPr="009D0B3A">
        <w:t>application de la procédure applicable en cas de non-respect du Protocole de Montréal les examine à sa soixante-seizième réunion</w:t>
      </w:r>
      <w:r w:rsidR="00AA6A89" w:rsidRPr="009D0B3A">
        <w:t> ;</w:t>
      </w:r>
    </w:p>
    <w:p w14:paraId="4882648C" w14:textId="43CB5ECF" w:rsidR="003E09D8" w:rsidRPr="009D0B3A" w:rsidRDefault="003E09D8" w:rsidP="00143F38">
      <w:pPr>
        <w:pStyle w:val="NormalNonumber"/>
        <w:numPr>
          <w:ilvl w:val="0"/>
          <w:numId w:val="24"/>
        </w:numPr>
        <w:tabs>
          <w:tab w:val="clear" w:pos="1247"/>
          <w:tab w:val="clear" w:pos="1871"/>
          <w:tab w:val="clear" w:pos="2495"/>
          <w:tab w:val="clear" w:pos="3119"/>
          <w:tab w:val="clear" w:pos="3742"/>
          <w:tab w:val="clear" w:pos="4366"/>
        </w:tabs>
        <w:ind w:left="1247" w:firstLine="624"/>
      </w:pPr>
      <w:r w:rsidRPr="009D0B3A">
        <w:t xml:space="preserve">De suivre de près les progrès accomplis par la Zambie dans la réduction progressive des hydrofluorocarbones. Dans la mesure où la </w:t>
      </w:r>
      <w:r w:rsidR="00D45696" w:rsidRPr="009D0B3A">
        <w:t xml:space="preserve">Zambie </w:t>
      </w:r>
      <w:r w:rsidRPr="009D0B3A">
        <w:t>s</w:t>
      </w:r>
      <w:r w:rsidR="00AA6A89" w:rsidRPr="009D0B3A">
        <w:t>’</w:t>
      </w:r>
      <w:r w:rsidRPr="009D0B3A">
        <w:t xml:space="preserve">efforce de respecter les mesures de réglementation expressément prévues par le Protocole </w:t>
      </w:r>
      <w:r w:rsidR="00A56A89" w:rsidRPr="009D0B3A">
        <w:t xml:space="preserve">de Montréal </w:t>
      </w:r>
      <w:r w:rsidRPr="009D0B3A">
        <w:t>et y parvient, il convient de continuer de la traiter de la même manière que toute autre Partie respectueuse de ses obligations. À cet égard, la Zambie devrait continuer de bénéficier d</w:t>
      </w:r>
      <w:r w:rsidR="00AA6A89" w:rsidRPr="009D0B3A">
        <w:t>’</w:t>
      </w:r>
      <w:r w:rsidRPr="009D0B3A">
        <w:t>une assistance internationale pour lui permettre de s</w:t>
      </w:r>
      <w:r w:rsidR="00AA6A89" w:rsidRPr="009D0B3A">
        <w:t>’</w:t>
      </w:r>
      <w:r w:rsidRPr="009D0B3A">
        <w:t xml:space="preserve">acquitter de </w:t>
      </w:r>
      <w:r w:rsidR="00275374" w:rsidRPr="009D0B3A">
        <w:t>s</w:t>
      </w:r>
      <w:r w:rsidRPr="009D0B3A">
        <w:t>es engagements, conformément au point A de la liste indicative des mesures que pourrait prendre la Réunion des Parties en cas de non-respect</w:t>
      </w:r>
      <w:r w:rsidR="00AA6A89" w:rsidRPr="009D0B3A">
        <w:t> ;</w:t>
      </w:r>
    </w:p>
    <w:p w14:paraId="4D583B5B" w14:textId="35153CC4" w:rsidR="003E09D8" w:rsidRPr="009D0B3A" w:rsidRDefault="009F0158" w:rsidP="00143F38">
      <w:pPr>
        <w:pStyle w:val="NormalNonumber"/>
        <w:numPr>
          <w:ilvl w:val="0"/>
          <w:numId w:val="24"/>
        </w:numPr>
        <w:tabs>
          <w:tab w:val="clear" w:pos="1247"/>
          <w:tab w:val="clear" w:pos="1871"/>
          <w:tab w:val="clear" w:pos="2495"/>
          <w:tab w:val="clear" w:pos="3119"/>
          <w:tab w:val="clear" w:pos="3742"/>
          <w:tab w:val="clear" w:pos="4366"/>
        </w:tabs>
        <w:ind w:left="1247" w:firstLine="624"/>
        <w:rPr>
          <w:i/>
          <w:iCs/>
        </w:rPr>
      </w:pPr>
      <w:r w:rsidRPr="009D0B3A">
        <w:t>D</w:t>
      </w:r>
      <w:r w:rsidR="00AA6A89" w:rsidRPr="009D0B3A">
        <w:t>’</w:t>
      </w:r>
      <w:r w:rsidRPr="009D0B3A">
        <w:t xml:space="preserve">avertir </w:t>
      </w:r>
      <w:r w:rsidR="003E09D8" w:rsidRPr="009D0B3A">
        <w:t>la Zambie</w:t>
      </w:r>
      <w:r w:rsidRPr="009D0B3A">
        <w:t xml:space="preserve"> que</w:t>
      </w:r>
      <w:r w:rsidR="003E09D8" w:rsidRPr="009D0B3A">
        <w:t>, conformément au point</w:t>
      </w:r>
      <w:r w:rsidR="006D38E6">
        <w:t> </w:t>
      </w:r>
      <w:r w:rsidR="003E09D8" w:rsidRPr="009D0B3A">
        <w:t xml:space="preserve">B de la liste indicative des mesures </w:t>
      </w:r>
      <w:r w:rsidR="00A56A89" w:rsidRPr="009D0B3A">
        <w:t>que pourrait prendre la Réunio</w:t>
      </w:r>
      <w:r w:rsidR="00680ED9" w:rsidRPr="009D0B3A">
        <w:t xml:space="preserve">n des Parties, </w:t>
      </w:r>
      <w:r w:rsidR="003E09D8" w:rsidRPr="009D0B3A">
        <w:t xml:space="preserve">au cas où </w:t>
      </w:r>
      <w:r w:rsidR="006F18AA" w:rsidRPr="009D0B3A">
        <w:t xml:space="preserve">la Partie </w:t>
      </w:r>
      <w:r w:rsidR="003E09D8" w:rsidRPr="009D0B3A">
        <w:t>manquerait de revenir à une situation de respect</w:t>
      </w:r>
      <w:r w:rsidR="00394A6E" w:rsidRPr="009D0B3A">
        <w:t xml:space="preserve"> en temps voulu</w:t>
      </w:r>
      <w:r w:rsidR="003E09D8" w:rsidRPr="009D0B3A">
        <w:t>, la Réunion des Parties envisagerait de prendre des mesures conformément au point C de cette liste</w:t>
      </w:r>
      <w:r w:rsidR="00680ED9" w:rsidRPr="009D0B3A">
        <w:t xml:space="preserve">. Ces mesures pourraient comporter </w:t>
      </w:r>
      <w:r w:rsidR="003E09D8" w:rsidRPr="009D0B3A">
        <w:t>la possibilité d</w:t>
      </w:r>
      <w:r w:rsidR="00AA6A89" w:rsidRPr="009D0B3A">
        <w:t>’</w:t>
      </w:r>
      <w:r w:rsidR="003E09D8" w:rsidRPr="009D0B3A">
        <w:t>une action prévue à l</w:t>
      </w:r>
      <w:r w:rsidR="00AA6A89" w:rsidRPr="009D0B3A">
        <w:t>’</w:t>
      </w:r>
      <w:r w:rsidR="003E09D8" w:rsidRPr="009D0B3A">
        <w:t>article</w:t>
      </w:r>
      <w:r w:rsidR="005C7505">
        <w:t> </w:t>
      </w:r>
      <w:r w:rsidR="003E09D8" w:rsidRPr="009D0B3A">
        <w:t>4, visant notamment à faire en sorte que cesse l</w:t>
      </w:r>
      <w:r w:rsidR="00AA6A89" w:rsidRPr="009D0B3A">
        <w:t>’</w:t>
      </w:r>
      <w:r w:rsidR="003E09D8" w:rsidRPr="009D0B3A">
        <w:t>approvisionnement en hydrofluorocarbones à l</w:t>
      </w:r>
      <w:r w:rsidR="00AA6A89" w:rsidRPr="009D0B3A">
        <w:t>’</w:t>
      </w:r>
      <w:r w:rsidR="003E09D8" w:rsidRPr="009D0B3A">
        <w:t xml:space="preserve">origine du non-respect, afin que les Parties exportatrices ne contribuent pas </w:t>
      </w:r>
      <w:r w:rsidR="00AB5E78" w:rsidRPr="009D0B3A">
        <w:t xml:space="preserve">à </w:t>
      </w:r>
      <w:r w:rsidR="003E09D8" w:rsidRPr="009D0B3A">
        <w:t xml:space="preserve">perpétuer </w:t>
      </w:r>
      <w:r w:rsidR="00AB5E78" w:rsidRPr="009D0B3A">
        <w:t>une</w:t>
      </w:r>
      <w:r w:rsidR="003E09D8" w:rsidRPr="009D0B3A">
        <w:t xml:space="preserve"> situation de non-respect</w:t>
      </w:r>
      <w:r w:rsidR="00E91917" w:rsidRPr="009D0B3A">
        <w:t>.</w:t>
      </w:r>
    </w:p>
    <w:p w14:paraId="32DEB3B3" w14:textId="14307049" w:rsidR="003C5174" w:rsidRPr="009D0B3A" w:rsidRDefault="00E76CA2" w:rsidP="00E76CA2">
      <w:pPr>
        <w:pStyle w:val="CH2"/>
      </w:pPr>
      <w:r>
        <w:rPr>
          <w:bCs/>
        </w:rPr>
        <w:tab/>
      </w:r>
      <w:r w:rsidR="00657F46">
        <w:rPr>
          <w:bCs/>
        </w:rPr>
        <w:t>G.</w:t>
      </w:r>
      <w:r>
        <w:rPr>
          <w:bCs/>
        </w:rPr>
        <w:tab/>
      </w:r>
      <w:r w:rsidR="003C5174" w:rsidRPr="009D0B3A">
        <w:rPr>
          <w:bCs/>
        </w:rPr>
        <w:t>Projet de décision XXXVII/[--]</w:t>
      </w:r>
      <w:r w:rsidR="00AA6A89" w:rsidRPr="009D0B3A">
        <w:rPr>
          <w:bCs/>
        </w:rPr>
        <w:t> :</w:t>
      </w:r>
      <w:r w:rsidR="003C5174" w:rsidRPr="009D0B3A">
        <w:rPr>
          <w:bCs/>
        </w:rPr>
        <w:t xml:space="preserve"> Non-respect du Protocole de Montréal par</w:t>
      </w:r>
      <w:r w:rsidR="00B267CE">
        <w:rPr>
          <w:bCs/>
        </w:rPr>
        <w:t> </w:t>
      </w:r>
      <w:r w:rsidR="003C5174" w:rsidRPr="009D0B3A">
        <w:rPr>
          <w:bCs/>
        </w:rPr>
        <w:t>le</w:t>
      </w:r>
      <w:r w:rsidR="00B267CE">
        <w:rPr>
          <w:bCs/>
        </w:rPr>
        <w:t> </w:t>
      </w:r>
      <w:r w:rsidR="003C5174" w:rsidRPr="009D0B3A">
        <w:rPr>
          <w:bCs/>
        </w:rPr>
        <w:t>Mali</w:t>
      </w:r>
    </w:p>
    <w:p w14:paraId="01B66D91" w14:textId="156C8CDD" w:rsidR="00775FCB" w:rsidRPr="009D0B3A" w:rsidRDefault="00775FCB" w:rsidP="00775FCB">
      <w:pPr>
        <w:tabs>
          <w:tab w:val="clear" w:pos="1247"/>
          <w:tab w:val="clear" w:pos="1814"/>
          <w:tab w:val="clear" w:pos="2381"/>
          <w:tab w:val="clear" w:pos="2948"/>
          <w:tab w:val="clear" w:pos="3515"/>
          <w:tab w:val="left" w:pos="624"/>
        </w:tabs>
        <w:adjustRightInd w:val="0"/>
        <w:snapToGrid w:val="0"/>
        <w:spacing w:after="120"/>
        <w:ind w:left="1247" w:firstLine="624"/>
        <w:rPr>
          <w:i/>
          <w:iCs/>
        </w:rPr>
      </w:pPr>
      <w:r w:rsidRPr="009D0B3A">
        <w:rPr>
          <w:i/>
          <w:iCs/>
        </w:rPr>
        <w:t>La trente-septième</w:t>
      </w:r>
      <w:r w:rsidR="006D38E6">
        <w:rPr>
          <w:i/>
          <w:iCs/>
        </w:rPr>
        <w:t> </w:t>
      </w:r>
      <w:r w:rsidRPr="009D0B3A">
        <w:rPr>
          <w:i/>
          <w:iCs/>
        </w:rPr>
        <w:t>Réunion des Parties</w:t>
      </w:r>
      <w:r w:rsidRPr="00714F05">
        <w:t>,</w:t>
      </w:r>
    </w:p>
    <w:p w14:paraId="24A097EC" w14:textId="79C14B9D" w:rsidR="003C5174" w:rsidRPr="009D0B3A" w:rsidRDefault="003C5174" w:rsidP="003C5174">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 xml:space="preserve">Notant </w:t>
      </w:r>
      <w:r w:rsidRPr="009D0B3A">
        <w:t>que le Mali a adhéré au Protocole de Montréal relatif à des substances qui appauvrissent la couche d</w:t>
      </w:r>
      <w:r w:rsidR="00AA6A89" w:rsidRPr="009D0B3A">
        <w:t>’</w:t>
      </w:r>
      <w:r w:rsidRPr="009D0B3A">
        <w:t>ozone et à l</w:t>
      </w:r>
      <w:r w:rsidR="00AA6A89" w:rsidRPr="009D0B3A">
        <w:t>’</w:t>
      </w:r>
      <w:r w:rsidRPr="009D0B3A">
        <w:t>Amendement de Londres le 28</w:t>
      </w:r>
      <w:r w:rsidR="006D38E6">
        <w:t> </w:t>
      </w:r>
      <w:r w:rsidRPr="009D0B3A">
        <w:t>octobre 1994</w:t>
      </w:r>
      <w:r w:rsidR="005C2C27" w:rsidRPr="009D0B3A">
        <w:t xml:space="preserve">, a accepté </w:t>
      </w:r>
      <w:r w:rsidRPr="009D0B3A">
        <w:t>l</w:t>
      </w:r>
      <w:r w:rsidR="00AA6A89" w:rsidRPr="009D0B3A">
        <w:t>’</w:t>
      </w:r>
      <w:r w:rsidRPr="009D0B3A">
        <w:t>Amendement de Copenhague et l</w:t>
      </w:r>
      <w:r w:rsidR="00AA6A89" w:rsidRPr="009D0B3A">
        <w:t>’</w:t>
      </w:r>
      <w:r w:rsidRPr="009D0B3A">
        <w:t>Amendement de Montréal le 7</w:t>
      </w:r>
      <w:r w:rsidR="006D38E6">
        <w:t> </w:t>
      </w:r>
      <w:r w:rsidRPr="009D0B3A">
        <w:t xml:space="preserve">mars 2003, </w:t>
      </w:r>
      <w:r w:rsidR="005C2C27" w:rsidRPr="009D0B3A">
        <w:t>l</w:t>
      </w:r>
      <w:r w:rsidR="00AA6A89" w:rsidRPr="009D0B3A">
        <w:t>’</w:t>
      </w:r>
      <w:r w:rsidRPr="009D0B3A">
        <w:t>Amendement de Beijing le 25</w:t>
      </w:r>
      <w:r w:rsidR="006D38E6">
        <w:t> </w:t>
      </w:r>
      <w:r w:rsidRPr="009D0B3A">
        <w:t>mars 2004 et l</w:t>
      </w:r>
      <w:r w:rsidR="00AA6A89" w:rsidRPr="009D0B3A">
        <w:t>’</w:t>
      </w:r>
      <w:r w:rsidRPr="009D0B3A">
        <w:t>Amendement de Kigali le 31</w:t>
      </w:r>
      <w:r w:rsidR="006D38E6">
        <w:t> </w:t>
      </w:r>
      <w:r w:rsidRPr="009D0B3A">
        <w:t xml:space="preserve">mars 2017 et est classé parmi les Parties visées au paragraphe </w:t>
      </w:r>
      <w:r w:rsidR="00F12A91">
        <w:t>1</w:t>
      </w:r>
      <w:r w:rsidR="00284ECC">
        <w:t xml:space="preserve"> </w:t>
      </w:r>
      <w:r w:rsidRPr="009D0B3A">
        <w:t>de l</w:t>
      </w:r>
      <w:r w:rsidR="00AA6A89" w:rsidRPr="009D0B3A">
        <w:t>’</w:t>
      </w:r>
      <w:r w:rsidRPr="009D0B3A">
        <w:t>article</w:t>
      </w:r>
      <w:r w:rsidR="00AB0AAD">
        <w:t> </w:t>
      </w:r>
      <w:r w:rsidRPr="009D0B3A">
        <w:t>5 du Protocole,</w:t>
      </w:r>
    </w:p>
    <w:p w14:paraId="3FF0FB62" w14:textId="604CB3DF" w:rsidR="003C5174" w:rsidRPr="009D0B3A" w:rsidRDefault="003C5174" w:rsidP="003C5174">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Notant également</w:t>
      </w:r>
      <w:r w:rsidRPr="009D0B3A">
        <w:t xml:space="preserve"> que </w:t>
      </w:r>
      <w:r w:rsidR="00C6320F" w:rsidRPr="009D0B3A">
        <w:t>le Mali a déclaré, pour 2024, une</w:t>
      </w:r>
      <w:r w:rsidRPr="009D0B3A">
        <w:t xml:space="preserve"> consommation annuelle de 1</w:t>
      </w:r>
      <w:r w:rsidR="00875E3F">
        <w:t> </w:t>
      </w:r>
      <w:r w:rsidRPr="009D0B3A">
        <w:t>773</w:t>
      </w:r>
      <w:r w:rsidR="00875E3F">
        <w:t> </w:t>
      </w:r>
      <w:r w:rsidRPr="009D0B3A">
        <w:t>126</w:t>
      </w:r>
      <w:r w:rsidR="00875E3F">
        <w:t> </w:t>
      </w:r>
      <w:r w:rsidRPr="009D0B3A">
        <w:t>tonnes d</w:t>
      </w:r>
      <w:r w:rsidR="00AA6A89" w:rsidRPr="009D0B3A">
        <w:t>’</w:t>
      </w:r>
      <w:r w:rsidRPr="009D0B3A">
        <w:t>équivalent CO</w:t>
      </w:r>
      <w:r w:rsidRPr="009D0B3A">
        <w:rPr>
          <w:vertAlign w:val="subscript"/>
        </w:rPr>
        <w:t>2</w:t>
      </w:r>
      <w:r w:rsidRPr="009D0B3A">
        <w:t xml:space="preserve"> de substances réglementées de l</w:t>
      </w:r>
      <w:r w:rsidR="00AA6A89" w:rsidRPr="009D0B3A">
        <w:t>’</w:t>
      </w:r>
      <w:r w:rsidRPr="009D0B3A">
        <w:t>Annexe F du Protocole de Montréal (hydrofluorocarbones)</w:t>
      </w:r>
      <w:r w:rsidR="00F1777B" w:rsidRPr="009D0B3A">
        <w:t xml:space="preserve">, </w:t>
      </w:r>
      <w:r w:rsidRPr="009D0B3A">
        <w:t>dépass</w:t>
      </w:r>
      <w:r w:rsidR="00F1777B" w:rsidRPr="009D0B3A">
        <w:t>ant</w:t>
      </w:r>
      <w:r w:rsidRPr="009D0B3A">
        <w:t xml:space="preserve"> sa consommation maximale autorisée, qui était de 399</w:t>
      </w:r>
      <w:r w:rsidR="00DA04E4">
        <w:t> </w:t>
      </w:r>
      <w:r w:rsidRPr="009D0B3A">
        <w:t>935</w:t>
      </w:r>
      <w:r w:rsidR="00DA04E4">
        <w:t> </w:t>
      </w:r>
      <w:r w:rsidRPr="009D0B3A">
        <w:t>tonnes d</w:t>
      </w:r>
      <w:r w:rsidR="00AA6A89" w:rsidRPr="009D0B3A">
        <w:t>’</w:t>
      </w:r>
      <w:r w:rsidRPr="009D0B3A">
        <w:t>équivalent CO</w:t>
      </w:r>
      <w:r w:rsidRPr="009D0B3A">
        <w:rPr>
          <w:vertAlign w:val="subscript"/>
        </w:rPr>
        <w:t>2</w:t>
      </w:r>
      <w:r w:rsidRPr="009D0B3A">
        <w:t xml:space="preserve"> d</w:t>
      </w:r>
      <w:r w:rsidR="00AA6A89" w:rsidRPr="009D0B3A">
        <w:t>’</w:t>
      </w:r>
      <w:r w:rsidRPr="009D0B3A">
        <w:t>hydrofluorocarbones pour</w:t>
      </w:r>
      <w:r w:rsidR="00B21A5C" w:rsidRPr="009D0B3A">
        <w:t>2024</w:t>
      </w:r>
      <w:r w:rsidRPr="009D0B3A">
        <w:t>, et que cette Partie n</w:t>
      </w:r>
      <w:r w:rsidR="00AA6A89" w:rsidRPr="009D0B3A">
        <w:t>’</w:t>
      </w:r>
      <w:r w:rsidRPr="009D0B3A">
        <w:t>a donc pas respecté les mesures de réglementation prévues par le Protocole pour la consommation d</w:t>
      </w:r>
      <w:r w:rsidR="00AA6A89" w:rsidRPr="009D0B3A">
        <w:t>’</w:t>
      </w:r>
      <w:r w:rsidRPr="009D0B3A">
        <w:t>hydrofluorocarbones,</w:t>
      </w:r>
    </w:p>
    <w:p w14:paraId="1AE8BB1A" w14:textId="07D03EEA" w:rsidR="003C5174" w:rsidRPr="009D0B3A" w:rsidRDefault="003C5174" w:rsidP="003C5174">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Notant en outre</w:t>
      </w:r>
      <w:r w:rsidRPr="009D0B3A">
        <w:t xml:space="preserve"> que le Mali a indiqué son intention de demander une révision de ses données de référence pour les hydrofluorocarbones, mais qu</w:t>
      </w:r>
      <w:r w:rsidR="00AA6A89" w:rsidRPr="009D0B3A">
        <w:t>’</w:t>
      </w:r>
      <w:r w:rsidRPr="009D0B3A">
        <w:t>il n</w:t>
      </w:r>
      <w:r w:rsidR="00AA6A89" w:rsidRPr="009D0B3A">
        <w:t>’</w:t>
      </w:r>
      <w:r w:rsidRPr="009D0B3A">
        <w:t>a pas encore fourni les informations demandées au titre de la décision</w:t>
      </w:r>
      <w:r w:rsidR="00DA04E4">
        <w:t> </w:t>
      </w:r>
      <w:r w:rsidRPr="009D0B3A">
        <w:t>XV/19 pour étayer sa demande en ce sens,</w:t>
      </w:r>
    </w:p>
    <w:p w14:paraId="6D5EA42B" w14:textId="69373EA2" w:rsidR="003C5174" w:rsidRPr="009D0B3A" w:rsidRDefault="003C5174" w:rsidP="003C5174">
      <w:pPr>
        <w:tabs>
          <w:tab w:val="clear" w:pos="1247"/>
          <w:tab w:val="clear" w:pos="1814"/>
          <w:tab w:val="clear" w:pos="2381"/>
          <w:tab w:val="clear" w:pos="2948"/>
          <w:tab w:val="clear" w:pos="3515"/>
          <w:tab w:val="left" w:pos="624"/>
        </w:tabs>
        <w:adjustRightInd w:val="0"/>
        <w:snapToGrid w:val="0"/>
        <w:spacing w:after="120"/>
        <w:ind w:left="1247" w:firstLine="624"/>
        <w:rPr>
          <w:i/>
        </w:rPr>
      </w:pPr>
      <w:r w:rsidRPr="009D0B3A">
        <w:rPr>
          <w:i/>
          <w:iCs/>
        </w:rPr>
        <w:t>Décide</w:t>
      </w:r>
      <w:r w:rsidR="00AA6A89" w:rsidRPr="009D0B3A">
        <w:rPr>
          <w:i/>
          <w:iCs/>
        </w:rPr>
        <w:t> </w:t>
      </w:r>
      <w:r w:rsidR="00AA6A89" w:rsidRPr="000D2783">
        <w:t>:</w:t>
      </w:r>
    </w:p>
    <w:p w14:paraId="62CCE9A6" w14:textId="634087E5" w:rsidR="003C5174" w:rsidRPr="009D0B3A" w:rsidRDefault="003C5174" w:rsidP="00143F38">
      <w:pPr>
        <w:pStyle w:val="NormalNonumber"/>
        <w:numPr>
          <w:ilvl w:val="0"/>
          <w:numId w:val="21"/>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inviter le Mali à présenter au Secrétariat de l</w:t>
      </w:r>
      <w:r w:rsidR="00AA6A89" w:rsidRPr="009D0B3A">
        <w:t>’</w:t>
      </w:r>
      <w:r w:rsidRPr="009D0B3A">
        <w:t>ozone, de toute urgence et le 31</w:t>
      </w:r>
      <w:r w:rsidR="00DA04E4">
        <w:t> </w:t>
      </w:r>
      <w:r w:rsidRPr="009D0B3A">
        <w:t>mars</w:t>
      </w:r>
      <w:r w:rsidR="00284ECC">
        <w:t> </w:t>
      </w:r>
      <w:r w:rsidRPr="009D0B3A">
        <w:t>2026 au plus tard, pour examen par le Comité d</w:t>
      </w:r>
      <w:r w:rsidR="00AA6A89" w:rsidRPr="009D0B3A">
        <w:t>’</w:t>
      </w:r>
      <w:r w:rsidRPr="009D0B3A">
        <w:t>application de la procédure applicable en</w:t>
      </w:r>
      <w:r w:rsidR="005069DF" w:rsidRPr="009D0B3A">
        <w:t xml:space="preserve"> </w:t>
      </w:r>
      <w:r w:rsidRPr="009D0B3A">
        <w:t>cas de non-respect du Protocole de Montréal relatif à des substances qui appauvrissent la couche d</w:t>
      </w:r>
      <w:r w:rsidR="00AA6A89" w:rsidRPr="009D0B3A">
        <w:t>’</w:t>
      </w:r>
      <w:r w:rsidRPr="009D0B3A">
        <w:t>ozone à sa soixante-seizième</w:t>
      </w:r>
      <w:r w:rsidR="004C607F">
        <w:t> </w:t>
      </w:r>
      <w:r w:rsidRPr="009D0B3A">
        <w:t>réunion, soit une demande de révision de ses données sur les hydrofluorocarbones pour les années de référence, y</w:t>
      </w:r>
      <w:r w:rsidR="00400FA2">
        <w:t> </w:t>
      </w:r>
      <w:r w:rsidRPr="009D0B3A">
        <w:t>compris les informations demandées au titre de la décision</w:t>
      </w:r>
      <w:r w:rsidR="004C607F">
        <w:t> </w:t>
      </w:r>
      <w:r w:rsidRPr="009D0B3A">
        <w:t>XV/19 pour étayer sa demande en ce sens, soit un plan d</w:t>
      </w:r>
      <w:r w:rsidR="00AA6A89" w:rsidRPr="009D0B3A">
        <w:t>’</w:t>
      </w:r>
      <w:r w:rsidRPr="009D0B3A">
        <w:t>action qui énonce des objectifs assortis de délais pour assurer un prompt retour de la Partie à une situation de respect de ses obligations relatives aux hydrofluorocarbones au titre du Protocole, ainsi que les politiques qu</w:t>
      </w:r>
      <w:r w:rsidR="00AA6A89" w:rsidRPr="009D0B3A">
        <w:t>’</w:t>
      </w:r>
      <w:r w:rsidRPr="009D0B3A">
        <w:t>elle adoptera à l</w:t>
      </w:r>
      <w:r w:rsidR="00AA6A89" w:rsidRPr="009D0B3A">
        <w:t>’</w:t>
      </w:r>
      <w:r w:rsidRPr="009D0B3A">
        <w:t>appui de ses efforts de mise en œuvre</w:t>
      </w:r>
      <w:r w:rsidR="00AA6A89" w:rsidRPr="009D0B3A">
        <w:t> ;</w:t>
      </w:r>
    </w:p>
    <w:p w14:paraId="6A2C7206" w14:textId="4C699EF5" w:rsidR="003C5174" w:rsidRPr="009D0B3A" w:rsidRDefault="003C5174" w:rsidP="00143F38">
      <w:pPr>
        <w:pStyle w:val="NormalNonumber"/>
        <w:numPr>
          <w:ilvl w:val="0"/>
          <w:numId w:val="21"/>
        </w:numPr>
        <w:tabs>
          <w:tab w:val="clear" w:pos="1247"/>
          <w:tab w:val="clear" w:pos="1871"/>
          <w:tab w:val="clear" w:pos="2495"/>
          <w:tab w:val="clear" w:pos="3119"/>
          <w:tab w:val="clear" w:pos="3742"/>
          <w:tab w:val="clear" w:pos="4366"/>
        </w:tabs>
        <w:ind w:left="1247" w:firstLine="624"/>
      </w:pPr>
      <w:r w:rsidRPr="009D0B3A">
        <w:t>De suivre de près les progrès accomplis par le Mali dans la réduction progressive des hydrofluorocarbones. Dans la mesure où le Mali fournit les informations visées au paragraphe 1</w:t>
      </w:r>
      <w:r w:rsidR="00D63D04" w:rsidRPr="009D0B3A">
        <w:t xml:space="preserve"> ci</w:t>
      </w:r>
      <w:r w:rsidR="00BE623A">
        <w:noBreakHyphen/>
      </w:r>
      <w:r w:rsidR="00D63D04" w:rsidRPr="009D0B3A">
        <w:t>dessus</w:t>
      </w:r>
      <w:r w:rsidRPr="009D0B3A">
        <w:t xml:space="preserve">, il convient de continuer à le traiter de la même manière que toute autre Partie respectueuse </w:t>
      </w:r>
      <w:r w:rsidRPr="009D0B3A">
        <w:lastRenderedPageBreak/>
        <w:t>de ses obligations. À cet égard, le Mali devrait continuer de bénéficier d</w:t>
      </w:r>
      <w:r w:rsidR="00AA6A89" w:rsidRPr="009D0B3A">
        <w:t>’</w:t>
      </w:r>
      <w:r w:rsidRPr="009D0B3A">
        <w:t>une assistance internationale pour lui permettre de s</w:t>
      </w:r>
      <w:r w:rsidR="00AA6A89" w:rsidRPr="009D0B3A">
        <w:t>’</w:t>
      </w:r>
      <w:r w:rsidRPr="009D0B3A">
        <w:t>acquitter de ses engagements, conformément au point A de la liste indicative des mesures que pourrait prendre la Réunion des Parties en cas de non-respect.</w:t>
      </w:r>
    </w:p>
    <w:p w14:paraId="00844F23" w14:textId="721E2C56" w:rsidR="003E09D8" w:rsidRPr="009D0B3A" w:rsidRDefault="00966F74" w:rsidP="00966F74">
      <w:pPr>
        <w:pStyle w:val="CH2"/>
      </w:pPr>
      <w:r>
        <w:rPr>
          <w:bCs/>
        </w:rPr>
        <w:tab/>
        <w:t>H.</w:t>
      </w:r>
      <w:r>
        <w:rPr>
          <w:bCs/>
        </w:rPr>
        <w:tab/>
      </w:r>
      <w:r w:rsidR="003E09D8" w:rsidRPr="009D0B3A">
        <w:rPr>
          <w:bCs/>
        </w:rPr>
        <w:t>Projet de décision XXXVII/[--]</w:t>
      </w:r>
      <w:r w:rsidR="00AA6A89" w:rsidRPr="009D0B3A">
        <w:rPr>
          <w:bCs/>
        </w:rPr>
        <w:t> :</w:t>
      </w:r>
      <w:r w:rsidR="003E09D8" w:rsidRPr="009D0B3A">
        <w:rPr>
          <w:bCs/>
        </w:rPr>
        <w:t xml:space="preserve"> Demandes de révision des données de</w:t>
      </w:r>
      <w:r w:rsidR="00150789">
        <w:rPr>
          <w:bCs/>
        </w:rPr>
        <w:t> </w:t>
      </w:r>
      <w:r w:rsidR="003E09D8" w:rsidRPr="009D0B3A">
        <w:rPr>
          <w:bCs/>
        </w:rPr>
        <w:t>référence présentées par la Bosnie-Herzégovine, le Brésil, la Guinée, les</w:t>
      </w:r>
      <w:r w:rsidR="00150789">
        <w:rPr>
          <w:bCs/>
        </w:rPr>
        <w:t> </w:t>
      </w:r>
      <w:r w:rsidR="003E09D8" w:rsidRPr="009D0B3A">
        <w:rPr>
          <w:bCs/>
        </w:rPr>
        <w:t>Îles Marshall, Kiribati, le Maroc, Nauru, le Nigéria, Nioué, les Tuvalu et</w:t>
      </w:r>
      <w:r w:rsidR="001E76B5">
        <w:rPr>
          <w:bCs/>
        </w:rPr>
        <w:t> </w:t>
      </w:r>
      <w:r w:rsidR="003E09D8" w:rsidRPr="009D0B3A">
        <w:rPr>
          <w:bCs/>
        </w:rPr>
        <w:t>Vanuatu</w:t>
      </w:r>
      <w:r w:rsidR="003E09D8" w:rsidRPr="009D0B3A">
        <w:t xml:space="preserve"> </w:t>
      </w:r>
      <w:bookmarkStart w:id="38" w:name="_Hlk212981327"/>
    </w:p>
    <w:bookmarkEnd w:id="38"/>
    <w:p w14:paraId="6EDC96BA" w14:textId="7357D818"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rPr>
          <w:i/>
          <w:iCs/>
        </w:rPr>
      </w:pPr>
      <w:r w:rsidRPr="009D0B3A">
        <w:rPr>
          <w:i/>
          <w:iCs/>
        </w:rPr>
        <w:t>La trente-septième</w:t>
      </w:r>
      <w:r w:rsidR="004C607F">
        <w:rPr>
          <w:i/>
          <w:iCs/>
        </w:rPr>
        <w:t> </w:t>
      </w:r>
      <w:r w:rsidRPr="009D0B3A">
        <w:rPr>
          <w:i/>
          <w:iCs/>
        </w:rPr>
        <w:t>Réunion des Parties</w:t>
      </w:r>
      <w:r w:rsidRPr="00B61B96">
        <w:t>,</w:t>
      </w:r>
    </w:p>
    <w:p w14:paraId="1F8F5370" w14:textId="2B71B73C"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tab/>
      </w:r>
      <w:r w:rsidRPr="009D0B3A">
        <w:rPr>
          <w:i/>
          <w:iCs/>
        </w:rPr>
        <w:t xml:space="preserve">Notant </w:t>
      </w:r>
      <w:r w:rsidRPr="009D0B3A">
        <w:t>que, dans sa décision</w:t>
      </w:r>
      <w:r w:rsidR="004C607F">
        <w:t> </w:t>
      </w:r>
      <w:r w:rsidRPr="009D0B3A">
        <w:t>XIII/15, la treizième</w:t>
      </w:r>
      <w:r w:rsidR="004C607F">
        <w:t> </w:t>
      </w:r>
      <w:r w:rsidRPr="009D0B3A">
        <w:t>Réunion des Parties au Protocole de</w:t>
      </w:r>
      <w:r w:rsidR="004F57C6">
        <w:t> </w:t>
      </w:r>
      <w:r w:rsidRPr="009D0B3A">
        <w:t>Montréal relatif à des substances qui appauvrissent la couche d</w:t>
      </w:r>
      <w:r w:rsidR="00AA6A89" w:rsidRPr="009D0B3A">
        <w:t>’</w:t>
      </w:r>
      <w:r w:rsidRPr="009D0B3A">
        <w:t>ozone a décidé de conseiller aux Parties qui demandent que soient modifiées les données communiquées pour les années de référence de présenter une demande à cet effet au Comité d</w:t>
      </w:r>
      <w:r w:rsidR="00AA6A89" w:rsidRPr="009D0B3A">
        <w:t>’</w:t>
      </w:r>
      <w:r w:rsidRPr="009D0B3A">
        <w:t>application de la procédure applicable en cas de non-respect du Protocole de</w:t>
      </w:r>
      <w:r w:rsidR="00F50C3E">
        <w:t> </w:t>
      </w:r>
      <w:r w:rsidRPr="009D0B3A">
        <w:t>Montréal, qui établira</w:t>
      </w:r>
      <w:r w:rsidR="00D63D04" w:rsidRPr="009D0B3A">
        <w:t>it</w:t>
      </w:r>
      <w:r w:rsidRPr="009D0B3A">
        <w:t>, en collaboration avec le Secrétariat du Protocole de</w:t>
      </w:r>
      <w:r w:rsidR="006F6E55">
        <w:t> </w:t>
      </w:r>
      <w:r w:rsidRPr="009D0B3A">
        <w:t>Montréal et le Comité</w:t>
      </w:r>
      <w:r w:rsidR="006F6E55">
        <w:t> </w:t>
      </w:r>
      <w:r w:rsidRPr="009D0B3A">
        <w:t>exécutif du Fonds multilatéral aux fins d</w:t>
      </w:r>
      <w:r w:rsidR="00AA6A89" w:rsidRPr="009D0B3A">
        <w:t>’</w:t>
      </w:r>
      <w:r w:rsidRPr="009D0B3A">
        <w:t>application du Protocole de</w:t>
      </w:r>
      <w:r w:rsidR="00E15F16">
        <w:t> </w:t>
      </w:r>
      <w:r w:rsidRPr="009D0B3A">
        <w:t>Montréal, si les modifications proposées sont justifiées, en vue de les soumettre à la Réunion des Parties pour approbation,</w:t>
      </w:r>
    </w:p>
    <w:p w14:paraId="5880A3E9" w14:textId="16329A8A" w:rsidR="003E09D8" w:rsidRPr="009D0B3A" w:rsidRDefault="003E09D8" w:rsidP="003E09D8">
      <w:pPr>
        <w:tabs>
          <w:tab w:val="clear" w:pos="1247"/>
          <w:tab w:val="clear" w:pos="1814"/>
          <w:tab w:val="clear" w:pos="2381"/>
          <w:tab w:val="clear" w:pos="2948"/>
          <w:tab w:val="clear" w:pos="3515"/>
          <w:tab w:val="left" w:pos="624"/>
        </w:tabs>
        <w:adjustRightInd w:val="0"/>
        <w:snapToGrid w:val="0"/>
        <w:spacing w:after="120"/>
        <w:ind w:left="1247" w:firstLine="624"/>
      </w:pPr>
      <w:r w:rsidRPr="009D0B3A">
        <w:tab/>
      </w:r>
      <w:r w:rsidRPr="009D0B3A">
        <w:rPr>
          <w:i/>
          <w:iCs/>
        </w:rPr>
        <w:t>Notant également</w:t>
      </w:r>
      <w:r w:rsidRPr="009D0B3A">
        <w:t xml:space="preserve"> que la décision</w:t>
      </w:r>
      <w:r w:rsidR="00B26BB5">
        <w:t> </w:t>
      </w:r>
      <w:r w:rsidRPr="009D0B3A">
        <w:t>XV/19 définit la méthodologie à suivre pour de telles demandes,</w:t>
      </w:r>
    </w:p>
    <w:p w14:paraId="5A1D12A3" w14:textId="5EBA49FF" w:rsidR="003E09D8" w:rsidRPr="009D0B3A" w:rsidRDefault="003E09D8" w:rsidP="000021C8">
      <w:pPr>
        <w:tabs>
          <w:tab w:val="clear" w:pos="1247"/>
          <w:tab w:val="clear" w:pos="1814"/>
          <w:tab w:val="clear" w:pos="2381"/>
          <w:tab w:val="clear" w:pos="2948"/>
          <w:tab w:val="clear" w:pos="3515"/>
          <w:tab w:val="left" w:pos="624"/>
        </w:tabs>
        <w:adjustRightInd w:val="0"/>
        <w:snapToGrid w:val="0"/>
        <w:spacing w:after="120"/>
        <w:ind w:left="1247" w:firstLine="624"/>
        <w:rPr>
          <w:i/>
          <w:iCs/>
        </w:rPr>
      </w:pPr>
      <w:r w:rsidRPr="009D0B3A">
        <w:rPr>
          <w:i/>
          <w:iCs/>
        </w:rPr>
        <w:t>Décide</w:t>
      </w:r>
      <w:r w:rsidR="00AA6A89" w:rsidRPr="009D0B3A">
        <w:rPr>
          <w:i/>
          <w:iCs/>
        </w:rPr>
        <w:t> </w:t>
      </w:r>
      <w:r w:rsidR="00AA6A89" w:rsidRPr="000D2783">
        <w:t>:</w:t>
      </w:r>
    </w:p>
    <w:p w14:paraId="2860CDC2" w14:textId="4827EF99"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bookmarkStart w:id="39" w:name="_Hlk211330762"/>
      <w:r w:rsidRPr="009D0B3A">
        <w:t>Que la Bosnie-Herzégovine a présenté, conformément à la décision</w:t>
      </w:r>
      <w:r w:rsidR="00B61B96">
        <w:t> </w:t>
      </w:r>
      <w:r w:rsidRPr="009D0B3A">
        <w:t>XV/19, des informations suffisantes pour justifier sa demande de révision des données communiquées pour l</w:t>
      </w:r>
      <w:r w:rsidR="00AA6A89" w:rsidRPr="009D0B3A">
        <w:t>’</w:t>
      </w:r>
      <w:r w:rsidRPr="009D0B3A">
        <w:t>année 2009 concernant sa consommation d</w:t>
      </w:r>
      <w:r w:rsidR="00AA6A89" w:rsidRPr="009D0B3A">
        <w:t>’</w:t>
      </w:r>
      <w:r w:rsidRPr="009D0B3A">
        <w:t>hydrochlorofluorocarbones, qui sont prises en compte dans le calcul du niveau de référence des Parties visées à l</w:t>
      </w:r>
      <w:r w:rsidR="00AA6A89" w:rsidRPr="009D0B3A">
        <w:t>’</w:t>
      </w:r>
      <w:r w:rsidRPr="009D0B3A">
        <w:t>article 5 appartenant au groupe 1 défini dans l</w:t>
      </w:r>
      <w:r w:rsidR="00AA6A89" w:rsidRPr="009D0B3A">
        <w:t>’</w:t>
      </w:r>
      <w:r w:rsidRPr="009D0B3A">
        <w:t>Amendement de Kigali au Protocole de Montréal relatif à des substances qui appauvrissent la couche d</w:t>
      </w:r>
      <w:r w:rsidR="00AA6A89" w:rsidRPr="009D0B3A">
        <w:t>’</w:t>
      </w:r>
      <w:r w:rsidRPr="009D0B3A">
        <w:t>ozone</w:t>
      </w:r>
      <w:r w:rsidR="00AA6A89" w:rsidRPr="009D0B3A">
        <w:t> ;</w:t>
      </w:r>
    </w:p>
    <w:p w14:paraId="24C25D73" w14:textId="441EFA7E"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approuver la demande présentée par la Bosnie-Herzégovine et de réviser ses données pour l</w:t>
      </w:r>
      <w:r w:rsidR="00AA6A89" w:rsidRPr="009D0B3A">
        <w:t>’</w:t>
      </w:r>
      <w:r w:rsidRPr="009D0B3A">
        <w:t>année de référence 2009 concernant sa consommation d</w:t>
      </w:r>
      <w:r w:rsidR="00AA6A89" w:rsidRPr="009D0B3A">
        <w:t>’</w:t>
      </w:r>
      <w:r w:rsidRPr="009D0B3A">
        <w:t>hydrochlorofluorocarbones, comme indiqué dans le tableau ci-après</w:t>
      </w:r>
      <w:r w:rsidR="00AA6A89" w:rsidRPr="009D0B3A">
        <w:t>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630"/>
        <w:gridCol w:w="1630"/>
        <w:gridCol w:w="1460"/>
        <w:gridCol w:w="1460"/>
      </w:tblGrid>
      <w:tr w:rsidR="003E09D8" w:rsidRPr="009D0B3A" w14:paraId="0C744716" w14:textId="77777777" w:rsidTr="00333421">
        <w:trPr>
          <w:trHeight w:val="57"/>
          <w:jc w:val="right"/>
        </w:trPr>
        <w:tc>
          <w:tcPr>
            <w:tcW w:w="2127" w:type="dxa"/>
            <w:vMerge w:val="restart"/>
            <w:tcBorders>
              <w:top w:val="single" w:sz="4" w:space="0" w:color="auto"/>
              <w:bottom w:val="single" w:sz="12" w:space="0" w:color="auto"/>
            </w:tcBorders>
            <w:vAlign w:val="bottom"/>
          </w:tcPr>
          <w:p w14:paraId="4F87D3AD" w14:textId="77777777" w:rsidR="003E09D8" w:rsidRPr="009D0B3A" w:rsidRDefault="003E09D8" w:rsidP="004B556F">
            <w:pPr>
              <w:pStyle w:val="Normal-pool-Table"/>
              <w:spacing w:before="20"/>
            </w:pPr>
            <w:r w:rsidRPr="009D0B3A">
              <w:rPr>
                <w:i/>
                <w:iCs/>
                <w:color w:val="000000"/>
              </w:rPr>
              <w:t>Partie/année</w:t>
            </w:r>
          </w:p>
        </w:tc>
        <w:tc>
          <w:tcPr>
            <w:tcW w:w="3260" w:type="dxa"/>
            <w:gridSpan w:val="2"/>
            <w:tcBorders>
              <w:top w:val="single" w:sz="4" w:space="0" w:color="auto"/>
              <w:bottom w:val="single" w:sz="4" w:space="0" w:color="auto"/>
            </w:tcBorders>
          </w:tcPr>
          <w:p w14:paraId="28D077F4" w14:textId="77777777" w:rsidR="003E09D8" w:rsidRPr="009D0B3A" w:rsidRDefault="003E09D8" w:rsidP="004B556F">
            <w:pPr>
              <w:pStyle w:val="Normal-pool-Table"/>
              <w:spacing w:before="20"/>
              <w:jc w:val="center"/>
              <w:rPr>
                <w:i/>
                <w:iCs/>
              </w:rPr>
            </w:pPr>
            <w:r w:rsidRPr="009D0B3A">
              <w:rPr>
                <w:i/>
                <w:iCs/>
                <w:color w:val="000000"/>
              </w:rPr>
              <w:t>Précédentes données pour les HCFC</w:t>
            </w:r>
          </w:p>
        </w:tc>
        <w:tc>
          <w:tcPr>
            <w:tcW w:w="2920" w:type="dxa"/>
            <w:gridSpan w:val="2"/>
            <w:tcBorders>
              <w:top w:val="single" w:sz="4" w:space="0" w:color="auto"/>
              <w:bottom w:val="single" w:sz="4" w:space="0" w:color="auto"/>
            </w:tcBorders>
            <w:vAlign w:val="bottom"/>
          </w:tcPr>
          <w:p w14:paraId="609698E4" w14:textId="77777777" w:rsidR="003E09D8" w:rsidRPr="009D0B3A" w:rsidRDefault="003E09D8" w:rsidP="004B556F">
            <w:pPr>
              <w:pStyle w:val="Normal-pool-Table"/>
              <w:spacing w:before="20"/>
              <w:jc w:val="center"/>
              <w:rPr>
                <w:i/>
                <w:iCs/>
              </w:rPr>
            </w:pPr>
            <w:r w:rsidRPr="009D0B3A">
              <w:rPr>
                <w:i/>
                <w:iCs/>
                <w:color w:val="000000"/>
              </w:rPr>
              <w:t>Nouvelles données pour les HCFC</w:t>
            </w:r>
          </w:p>
        </w:tc>
      </w:tr>
      <w:tr w:rsidR="003E09D8" w:rsidRPr="009D0B3A" w14:paraId="71933A69" w14:textId="77777777" w:rsidTr="00333421">
        <w:trPr>
          <w:trHeight w:val="57"/>
          <w:jc w:val="right"/>
        </w:trPr>
        <w:tc>
          <w:tcPr>
            <w:tcW w:w="2127" w:type="dxa"/>
            <w:vMerge/>
            <w:tcBorders>
              <w:bottom w:val="single" w:sz="12" w:space="0" w:color="auto"/>
            </w:tcBorders>
            <w:vAlign w:val="bottom"/>
          </w:tcPr>
          <w:p w14:paraId="63D7CBD1" w14:textId="77777777" w:rsidR="003E09D8" w:rsidRPr="009D0B3A" w:rsidRDefault="003E09D8" w:rsidP="004B556F">
            <w:pPr>
              <w:pStyle w:val="Normal-pool-Table"/>
              <w:spacing w:before="20"/>
            </w:pPr>
          </w:p>
        </w:tc>
        <w:tc>
          <w:tcPr>
            <w:tcW w:w="1630" w:type="dxa"/>
            <w:tcBorders>
              <w:top w:val="single" w:sz="4" w:space="0" w:color="auto"/>
              <w:bottom w:val="single" w:sz="4" w:space="0" w:color="auto"/>
            </w:tcBorders>
          </w:tcPr>
          <w:p w14:paraId="68B2ECF0" w14:textId="77777777" w:rsidR="003E09D8" w:rsidRPr="009D0B3A" w:rsidRDefault="003E09D8" w:rsidP="004B556F">
            <w:pPr>
              <w:pStyle w:val="Normal-pool-Table"/>
              <w:spacing w:before="20"/>
              <w:jc w:val="right"/>
              <w:rPr>
                <w:i/>
                <w:iCs/>
              </w:rPr>
            </w:pPr>
            <w:r w:rsidRPr="009D0B3A">
              <w:rPr>
                <w:i/>
                <w:iCs/>
                <w:color w:val="000000"/>
              </w:rPr>
              <w:t>Tonnes PDO</w:t>
            </w:r>
          </w:p>
        </w:tc>
        <w:tc>
          <w:tcPr>
            <w:tcW w:w="1630" w:type="dxa"/>
            <w:tcBorders>
              <w:top w:val="single" w:sz="4" w:space="0" w:color="auto"/>
              <w:bottom w:val="single" w:sz="4" w:space="0" w:color="auto"/>
            </w:tcBorders>
            <w:vAlign w:val="bottom"/>
          </w:tcPr>
          <w:p w14:paraId="33388F20" w14:textId="0CD5CBC3" w:rsidR="003E09D8" w:rsidRPr="009D0B3A" w:rsidRDefault="003E09D8" w:rsidP="004B556F">
            <w:pPr>
              <w:pStyle w:val="Normal-pool-Table"/>
              <w:spacing w:before="20"/>
              <w:jc w:val="right"/>
              <w:rPr>
                <w:i/>
                <w:iCs/>
              </w:rPr>
            </w:pPr>
            <w:r w:rsidRPr="009D0B3A">
              <w:rPr>
                <w:i/>
                <w:iCs/>
                <w:color w:val="000000"/>
              </w:rPr>
              <w:t>Tonnes d</w:t>
            </w:r>
            <w:r w:rsidR="00AA6A89" w:rsidRPr="009D0B3A">
              <w:rPr>
                <w:i/>
                <w:iCs/>
                <w:color w:val="000000"/>
              </w:rPr>
              <w:t>’</w:t>
            </w:r>
            <w:r w:rsidRPr="009D0B3A">
              <w:rPr>
                <w:i/>
                <w:iCs/>
                <w:color w:val="000000"/>
              </w:rPr>
              <w:t>éqCO</w:t>
            </w:r>
            <w:r w:rsidRPr="009D0B3A">
              <w:rPr>
                <w:i/>
                <w:iCs/>
                <w:color w:val="000000"/>
                <w:vertAlign w:val="subscript"/>
              </w:rPr>
              <w:t>2</w:t>
            </w:r>
          </w:p>
        </w:tc>
        <w:tc>
          <w:tcPr>
            <w:tcW w:w="1460" w:type="dxa"/>
            <w:tcBorders>
              <w:top w:val="single" w:sz="4" w:space="0" w:color="auto"/>
              <w:bottom w:val="single" w:sz="4" w:space="0" w:color="auto"/>
            </w:tcBorders>
            <w:vAlign w:val="bottom"/>
          </w:tcPr>
          <w:p w14:paraId="1BD79399" w14:textId="77777777" w:rsidR="003E09D8" w:rsidRPr="009D0B3A" w:rsidRDefault="003E09D8" w:rsidP="004B556F">
            <w:pPr>
              <w:pStyle w:val="Normal-pool-Table"/>
              <w:spacing w:before="20"/>
              <w:jc w:val="right"/>
              <w:rPr>
                <w:i/>
                <w:iCs/>
              </w:rPr>
            </w:pPr>
            <w:r w:rsidRPr="009D0B3A">
              <w:rPr>
                <w:i/>
                <w:iCs/>
                <w:color w:val="000000"/>
              </w:rPr>
              <w:t>Tonnes PDO</w:t>
            </w:r>
          </w:p>
        </w:tc>
        <w:tc>
          <w:tcPr>
            <w:tcW w:w="1460" w:type="dxa"/>
            <w:tcBorders>
              <w:top w:val="single" w:sz="4" w:space="0" w:color="auto"/>
              <w:bottom w:val="single" w:sz="4" w:space="0" w:color="auto"/>
            </w:tcBorders>
          </w:tcPr>
          <w:p w14:paraId="3846074F" w14:textId="125C10FF" w:rsidR="003E09D8" w:rsidRPr="009D0B3A" w:rsidRDefault="003E09D8" w:rsidP="004B556F">
            <w:pPr>
              <w:pStyle w:val="Normal-pool-Table"/>
              <w:spacing w:before="20"/>
              <w:jc w:val="right"/>
              <w:rPr>
                <w:i/>
                <w:iCs/>
              </w:rPr>
            </w:pPr>
            <w:r w:rsidRPr="009D0B3A">
              <w:rPr>
                <w:i/>
                <w:iCs/>
                <w:color w:val="000000"/>
              </w:rPr>
              <w:t>Tonnes d</w:t>
            </w:r>
            <w:r w:rsidR="00AA6A89" w:rsidRPr="009D0B3A">
              <w:rPr>
                <w:i/>
                <w:iCs/>
                <w:color w:val="000000"/>
              </w:rPr>
              <w:t>’</w:t>
            </w:r>
            <w:r w:rsidRPr="009D0B3A">
              <w:rPr>
                <w:i/>
                <w:iCs/>
                <w:color w:val="000000"/>
              </w:rPr>
              <w:t>éqCO</w:t>
            </w:r>
            <w:r w:rsidRPr="009D0B3A">
              <w:rPr>
                <w:i/>
                <w:iCs/>
                <w:color w:val="000000"/>
                <w:vertAlign w:val="subscript"/>
              </w:rPr>
              <w:t>2</w:t>
            </w:r>
          </w:p>
        </w:tc>
      </w:tr>
      <w:tr w:rsidR="003E09D8" w:rsidRPr="009D0B3A" w14:paraId="1AB26DA6" w14:textId="77777777" w:rsidTr="00333421">
        <w:trPr>
          <w:trHeight w:val="57"/>
          <w:jc w:val="right"/>
        </w:trPr>
        <w:tc>
          <w:tcPr>
            <w:tcW w:w="2127" w:type="dxa"/>
            <w:vMerge/>
            <w:tcBorders>
              <w:bottom w:val="single" w:sz="12" w:space="0" w:color="auto"/>
            </w:tcBorders>
          </w:tcPr>
          <w:p w14:paraId="3834D0BF" w14:textId="77777777" w:rsidR="003E09D8" w:rsidRPr="009D0B3A" w:rsidRDefault="003E09D8" w:rsidP="004B556F">
            <w:pPr>
              <w:pStyle w:val="Normal-pool-Table"/>
              <w:spacing w:before="20"/>
              <w:rPr>
                <w:i/>
                <w:iCs/>
              </w:rPr>
            </w:pPr>
          </w:p>
        </w:tc>
        <w:tc>
          <w:tcPr>
            <w:tcW w:w="1630" w:type="dxa"/>
            <w:tcBorders>
              <w:top w:val="single" w:sz="4" w:space="0" w:color="auto"/>
              <w:bottom w:val="single" w:sz="12" w:space="0" w:color="auto"/>
            </w:tcBorders>
          </w:tcPr>
          <w:p w14:paraId="5D38F9F0" w14:textId="77777777" w:rsidR="003E09D8" w:rsidRPr="009D0B3A" w:rsidRDefault="003E09D8" w:rsidP="004B556F">
            <w:pPr>
              <w:pStyle w:val="Normal-pool-Table"/>
              <w:spacing w:before="20"/>
              <w:jc w:val="right"/>
              <w:rPr>
                <w:i/>
                <w:iCs/>
              </w:rPr>
            </w:pPr>
            <w:r w:rsidRPr="009D0B3A">
              <w:rPr>
                <w:i/>
                <w:iCs/>
                <w:color w:val="000000"/>
              </w:rPr>
              <w:t>2009</w:t>
            </w:r>
          </w:p>
        </w:tc>
        <w:tc>
          <w:tcPr>
            <w:tcW w:w="1630" w:type="dxa"/>
            <w:tcBorders>
              <w:top w:val="single" w:sz="4" w:space="0" w:color="auto"/>
              <w:bottom w:val="single" w:sz="12" w:space="0" w:color="auto"/>
            </w:tcBorders>
          </w:tcPr>
          <w:p w14:paraId="6DD9621F" w14:textId="77777777" w:rsidR="003E09D8" w:rsidRPr="009D0B3A" w:rsidRDefault="003E09D8" w:rsidP="004B556F">
            <w:pPr>
              <w:pStyle w:val="Normal-pool-Table"/>
              <w:spacing w:before="20"/>
              <w:jc w:val="right"/>
              <w:rPr>
                <w:i/>
                <w:iCs/>
              </w:rPr>
            </w:pPr>
            <w:r w:rsidRPr="009D0B3A">
              <w:rPr>
                <w:i/>
                <w:iCs/>
                <w:color w:val="000000"/>
              </w:rPr>
              <w:t>2009</w:t>
            </w:r>
          </w:p>
        </w:tc>
        <w:tc>
          <w:tcPr>
            <w:tcW w:w="1460" w:type="dxa"/>
            <w:tcBorders>
              <w:top w:val="single" w:sz="4" w:space="0" w:color="auto"/>
              <w:bottom w:val="single" w:sz="12" w:space="0" w:color="auto"/>
            </w:tcBorders>
          </w:tcPr>
          <w:p w14:paraId="47963BB8" w14:textId="77777777" w:rsidR="003E09D8" w:rsidRPr="009D0B3A" w:rsidRDefault="003E09D8" w:rsidP="004B556F">
            <w:pPr>
              <w:pStyle w:val="Normal-pool-Table"/>
              <w:spacing w:before="20"/>
              <w:jc w:val="right"/>
              <w:rPr>
                <w:i/>
                <w:iCs/>
              </w:rPr>
            </w:pPr>
            <w:r w:rsidRPr="009D0B3A">
              <w:rPr>
                <w:i/>
                <w:iCs/>
                <w:color w:val="000000"/>
              </w:rPr>
              <w:t>2009</w:t>
            </w:r>
          </w:p>
        </w:tc>
        <w:tc>
          <w:tcPr>
            <w:tcW w:w="1460" w:type="dxa"/>
            <w:tcBorders>
              <w:top w:val="single" w:sz="4" w:space="0" w:color="auto"/>
              <w:bottom w:val="single" w:sz="12" w:space="0" w:color="auto"/>
            </w:tcBorders>
          </w:tcPr>
          <w:p w14:paraId="697DD071" w14:textId="77777777" w:rsidR="003E09D8" w:rsidRPr="009D0B3A" w:rsidRDefault="003E09D8" w:rsidP="004B556F">
            <w:pPr>
              <w:pStyle w:val="Normal-pool-Table"/>
              <w:spacing w:before="20"/>
              <w:jc w:val="right"/>
              <w:rPr>
                <w:i/>
                <w:iCs/>
              </w:rPr>
            </w:pPr>
            <w:r w:rsidRPr="009D0B3A">
              <w:rPr>
                <w:i/>
                <w:iCs/>
                <w:color w:val="000000"/>
              </w:rPr>
              <w:t>2009</w:t>
            </w:r>
          </w:p>
        </w:tc>
      </w:tr>
      <w:tr w:rsidR="003E09D8" w:rsidRPr="009D0B3A" w14:paraId="3B5EE14C" w14:textId="77777777" w:rsidTr="00333421">
        <w:trPr>
          <w:trHeight w:val="57"/>
          <w:jc w:val="right"/>
        </w:trPr>
        <w:tc>
          <w:tcPr>
            <w:tcW w:w="2127" w:type="dxa"/>
            <w:tcBorders>
              <w:top w:val="single" w:sz="12" w:space="0" w:color="auto"/>
              <w:bottom w:val="single" w:sz="12" w:space="0" w:color="auto"/>
            </w:tcBorders>
          </w:tcPr>
          <w:p w14:paraId="4A2530AD" w14:textId="77777777" w:rsidR="003E09D8" w:rsidRPr="009D0B3A" w:rsidRDefault="003E09D8" w:rsidP="004B556F">
            <w:pPr>
              <w:pStyle w:val="Normal-pool-Table"/>
              <w:spacing w:before="20"/>
            </w:pPr>
            <w:r w:rsidRPr="009D0B3A">
              <w:rPr>
                <w:color w:val="000000"/>
              </w:rPr>
              <w:t>Bosnie-Herzégovine</w:t>
            </w:r>
          </w:p>
        </w:tc>
        <w:tc>
          <w:tcPr>
            <w:tcW w:w="1630" w:type="dxa"/>
            <w:tcBorders>
              <w:top w:val="single" w:sz="12" w:space="0" w:color="auto"/>
              <w:bottom w:val="single" w:sz="12" w:space="0" w:color="auto"/>
            </w:tcBorders>
          </w:tcPr>
          <w:p w14:paraId="0FC93F9B" w14:textId="77777777" w:rsidR="003E09D8" w:rsidRPr="009D0B3A" w:rsidRDefault="003E09D8" w:rsidP="004B556F">
            <w:pPr>
              <w:pStyle w:val="Normal-pool-Table"/>
              <w:spacing w:before="20"/>
              <w:jc w:val="right"/>
            </w:pPr>
            <w:r w:rsidRPr="009D0B3A">
              <w:rPr>
                <w:color w:val="000000"/>
              </w:rPr>
              <w:t>5,78</w:t>
            </w:r>
          </w:p>
        </w:tc>
        <w:tc>
          <w:tcPr>
            <w:tcW w:w="1630" w:type="dxa"/>
            <w:tcBorders>
              <w:top w:val="single" w:sz="12" w:space="0" w:color="auto"/>
              <w:bottom w:val="single" w:sz="12" w:space="0" w:color="auto"/>
            </w:tcBorders>
          </w:tcPr>
          <w:p w14:paraId="3699E038" w14:textId="77777777" w:rsidR="003E09D8" w:rsidRPr="009D0B3A" w:rsidRDefault="003E09D8" w:rsidP="004B556F">
            <w:pPr>
              <w:pStyle w:val="Normal-pool-Table"/>
              <w:spacing w:before="20"/>
              <w:jc w:val="right"/>
            </w:pPr>
            <w:r w:rsidRPr="009D0B3A">
              <w:rPr>
                <w:color w:val="000000"/>
              </w:rPr>
              <w:t>111 812,6</w:t>
            </w:r>
          </w:p>
        </w:tc>
        <w:tc>
          <w:tcPr>
            <w:tcW w:w="1460" w:type="dxa"/>
            <w:tcBorders>
              <w:top w:val="single" w:sz="12" w:space="0" w:color="auto"/>
              <w:bottom w:val="single" w:sz="12" w:space="0" w:color="auto"/>
            </w:tcBorders>
          </w:tcPr>
          <w:p w14:paraId="483BA60D" w14:textId="77777777" w:rsidR="003E09D8" w:rsidRPr="009D0B3A" w:rsidRDefault="003E09D8" w:rsidP="004B556F">
            <w:pPr>
              <w:pStyle w:val="Normal-pool-Table"/>
              <w:spacing w:before="20"/>
              <w:jc w:val="right"/>
            </w:pPr>
            <w:r w:rsidRPr="009D0B3A">
              <w:rPr>
                <w:color w:val="000000"/>
              </w:rPr>
              <w:t>5,96</w:t>
            </w:r>
          </w:p>
        </w:tc>
        <w:tc>
          <w:tcPr>
            <w:tcW w:w="1460" w:type="dxa"/>
            <w:tcBorders>
              <w:top w:val="single" w:sz="12" w:space="0" w:color="auto"/>
              <w:bottom w:val="single" w:sz="12" w:space="0" w:color="auto"/>
            </w:tcBorders>
          </w:tcPr>
          <w:p w14:paraId="335E152B" w14:textId="77777777" w:rsidR="003E09D8" w:rsidRPr="009D0B3A" w:rsidRDefault="003E09D8" w:rsidP="004B556F">
            <w:pPr>
              <w:pStyle w:val="Normal-pool-Table"/>
              <w:spacing w:before="20"/>
              <w:jc w:val="right"/>
            </w:pPr>
            <w:r w:rsidRPr="009D0B3A">
              <w:rPr>
                <w:color w:val="000000"/>
              </w:rPr>
              <w:t>117 966,6</w:t>
            </w:r>
          </w:p>
        </w:tc>
      </w:tr>
    </w:tbl>
    <w:p w14:paraId="41F5EFCF" w14:textId="5FC06C8C" w:rsidR="003E09D8" w:rsidRPr="009D0B3A" w:rsidRDefault="003E09D8" w:rsidP="003E09D8">
      <w:pPr>
        <w:tabs>
          <w:tab w:val="left" w:pos="624"/>
          <w:tab w:val="left" w:pos="1871"/>
          <w:tab w:val="left" w:pos="2495"/>
          <w:tab w:val="left" w:pos="3119"/>
          <w:tab w:val="left" w:pos="3742"/>
          <w:tab w:val="left" w:pos="4366"/>
          <w:tab w:val="left" w:pos="4990"/>
        </w:tabs>
        <w:spacing w:before="60" w:after="120"/>
        <w:ind w:left="1247"/>
        <w:rPr>
          <w:i/>
          <w:sz w:val="17"/>
          <w:szCs w:val="17"/>
        </w:rPr>
      </w:pPr>
      <w:r w:rsidRPr="009D0B3A">
        <w:rPr>
          <w:sz w:val="17"/>
          <w:szCs w:val="17"/>
        </w:rPr>
        <w:tab/>
      </w:r>
      <w:r w:rsidRPr="009D0B3A">
        <w:rPr>
          <w:i/>
          <w:iCs/>
          <w:sz w:val="17"/>
          <w:szCs w:val="17"/>
        </w:rPr>
        <w:t>Abréviations</w:t>
      </w:r>
      <w:r w:rsidR="00AA6A89" w:rsidRPr="009D0B3A">
        <w:rPr>
          <w:sz w:val="17"/>
          <w:szCs w:val="17"/>
        </w:rPr>
        <w:t> :</w:t>
      </w:r>
      <w:r w:rsidRPr="009D0B3A">
        <w:rPr>
          <w:sz w:val="17"/>
          <w:szCs w:val="17"/>
        </w:rPr>
        <w:t xml:space="preserve"> éqCO</w:t>
      </w:r>
      <w:r w:rsidRPr="009D0B3A">
        <w:rPr>
          <w:sz w:val="17"/>
          <w:szCs w:val="17"/>
          <w:vertAlign w:val="subscript"/>
        </w:rPr>
        <w:t>2</w:t>
      </w:r>
      <w:r w:rsidRPr="009D0B3A">
        <w:rPr>
          <w:sz w:val="17"/>
          <w:szCs w:val="17"/>
        </w:rPr>
        <w:t xml:space="preserve"> = équivalent dioxyde de carbone</w:t>
      </w:r>
      <w:r w:rsidR="00AA6A89" w:rsidRPr="009D0B3A">
        <w:rPr>
          <w:sz w:val="17"/>
          <w:szCs w:val="17"/>
        </w:rPr>
        <w:t> ;</w:t>
      </w:r>
      <w:r w:rsidRPr="009D0B3A">
        <w:rPr>
          <w:sz w:val="17"/>
          <w:szCs w:val="17"/>
        </w:rPr>
        <w:t xml:space="preserve"> HCFC = hydrochlorofluorocarbones</w:t>
      </w:r>
      <w:r w:rsidR="00AA6A89" w:rsidRPr="009D0B3A">
        <w:rPr>
          <w:sz w:val="17"/>
          <w:szCs w:val="17"/>
        </w:rPr>
        <w:t> ;</w:t>
      </w:r>
      <w:r w:rsidRPr="009D0B3A">
        <w:rPr>
          <w:sz w:val="17"/>
          <w:szCs w:val="17"/>
        </w:rPr>
        <w:t xml:space="preserve"> PDO = potentiel de destruction de l</w:t>
      </w:r>
      <w:r w:rsidR="00AA6A89" w:rsidRPr="009D0B3A">
        <w:rPr>
          <w:sz w:val="17"/>
          <w:szCs w:val="17"/>
        </w:rPr>
        <w:t>’</w:t>
      </w:r>
      <w:r w:rsidRPr="009D0B3A">
        <w:rPr>
          <w:sz w:val="17"/>
          <w:szCs w:val="17"/>
        </w:rPr>
        <w:t>ozone.</w:t>
      </w:r>
    </w:p>
    <w:bookmarkEnd w:id="39"/>
    <w:p w14:paraId="12FDB1D1" w14:textId="326C877E"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spacing w:before="120"/>
        <w:ind w:left="1247" w:firstLine="624"/>
      </w:pPr>
      <w:r w:rsidRPr="009D0B3A">
        <w:t>Que la Bosnie-Herzégovine a présenté, conformément à la décision</w:t>
      </w:r>
      <w:r w:rsidR="00BD62F5">
        <w:t> </w:t>
      </w:r>
      <w:r w:rsidRPr="009D0B3A">
        <w:t>XV/19, des informations suffisantes pour justifier sa demande de révision des données communiquées pour l</w:t>
      </w:r>
      <w:r w:rsidR="00AA6A89" w:rsidRPr="009D0B3A">
        <w:t>’</w:t>
      </w:r>
      <w:r w:rsidRPr="009D0B3A">
        <w:t>année 2022 concernant sa consommation d</w:t>
      </w:r>
      <w:r w:rsidR="00AA6A89" w:rsidRPr="009D0B3A">
        <w:t>’</w:t>
      </w:r>
      <w:r w:rsidRPr="009D0B3A">
        <w:t>hydrofluorocarbones, qui sont prises en compte dans le calcul du niveau de référence des Parties visées à l</w:t>
      </w:r>
      <w:r w:rsidR="00AA6A89" w:rsidRPr="009D0B3A">
        <w:t>’</w:t>
      </w:r>
      <w:r w:rsidRPr="009D0B3A">
        <w:t>article</w:t>
      </w:r>
      <w:r w:rsidR="00BD62F5">
        <w:t> </w:t>
      </w:r>
      <w:r w:rsidRPr="009D0B3A">
        <w:t>5 appartenant au groupe</w:t>
      </w:r>
      <w:r w:rsidR="00BD62F5">
        <w:t> </w:t>
      </w:r>
      <w:r w:rsidRPr="009D0B3A">
        <w:t>1 défini dans l</w:t>
      </w:r>
      <w:r w:rsidR="00AA6A89" w:rsidRPr="009D0B3A">
        <w:t>’</w:t>
      </w:r>
      <w:r w:rsidRPr="009D0B3A">
        <w:t>Amendement de Kigali au Protocole de</w:t>
      </w:r>
      <w:r w:rsidR="00A41502">
        <w:t> </w:t>
      </w:r>
      <w:r w:rsidRPr="009D0B3A">
        <w:t>Montréal relatif à des substances qui appauvrissent la couche d</w:t>
      </w:r>
      <w:r w:rsidR="00AA6A89" w:rsidRPr="009D0B3A">
        <w:t>’</w:t>
      </w:r>
      <w:r w:rsidRPr="009D0B3A">
        <w:t>ozone</w:t>
      </w:r>
      <w:r w:rsidR="00AA6A89" w:rsidRPr="009D0B3A">
        <w:t> ;</w:t>
      </w:r>
    </w:p>
    <w:p w14:paraId="299B5BB2" w14:textId="25EAA9CC"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approuver la demande présentée par la Bosnie-Herzégovine et de réviser ses données pour l</w:t>
      </w:r>
      <w:r w:rsidR="00AA6A89" w:rsidRPr="009D0B3A">
        <w:t>’</w:t>
      </w:r>
      <w:r w:rsidRPr="009D0B3A">
        <w:t>année de référence 2022 concernant sa consommation d</w:t>
      </w:r>
      <w:r w:rsidR="00AA6A89" w:rsidRPr="009D0B3A">
        <w:t>’</w:t>
      </w:r>
      <w:r w:rsidRPr="009D0B3A">
        <w:t>hydrofluorocarbones, comme indiqué dans le tableau ci-après</w:t>
      </w:r>
      <w:r w:rsidR="00AA6A89" w:rsidRPr="009D0B3A">
        <w:t>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019"/>
        <w:gridCol w:w="3020"/>
      </w:tblGrid>
      <w:tr w:rsidR="003E09D8" w:rsidRPr="001451D6" w14:paraId="7492578A" w14:textId="77777777" w:rsidTr="00333421">
        <w:trPr>
          <w:trHeight w:val="57"/>
          <w:jc w:val="right"/>
        </w:trPr>
        <w:tc>
          <w:tcPr>
            <w:tcW w:w="2268" w:type="dxa"/>
            <w:vMerge w:val="restart"/>
            <w:tcBorders>
              <w:top w:val="single" w:sz="4" w:space="0" w:color="auto"/>
              <w:bottom w:val="single" w:sz="12" w:space="0" w:color="auto"/>
            </w:tcBorders>
            <w:vAlign w:val="bottom"/>
          </w:tcPr>
          <w:p w14:paraId="48197B0E" w14:textId="77777777" w:rsidR="003E09D8" w:rsidRPr="001451D6" w:rsidRDefault="003E09D8" w:rsidP="00333421">
            <w:pPr>
              <w:pStyle w:val="Normal-pool-Table"/>
            </w:pPr>
            <w:r w:rsidRPr="001451D6">
              <w:rPr>
                <w:i/>
                <w:iCs/>
                <w:color w:val="000000"/>
              </w:rPr>
              <w:t>Partie/année</w:t>
            </w:r>
          </w:p>
        </w:tc>
        <w:tc>
          <w:tcPr>
            <w:tcW w:w="3019" w:type="dxa"/>
            <w:tcBorders>
              <w:top w:val="single" w:sz="4" w:space="0" w:color="auto"/>
              <w:bottom w:val="single" w:sz="4" w:space="0" w:color="auto"/>
            </w:tcBorders>
            <w:vAlign w:val="bottom"/>
          </w:tcPr>
          <w:p w14:paraId="14929531" w14:textId="064A328C" w:rsidR="003E09D8" w:rsidRPr="001451D6" w:rsidRDefault="003E09D8" w:rsidP="00333421">
            <w:pPr>
              <w:pStyle w:val="Normal-pool-Table"/>
              <w:jc w:val="center"/>
            </w:pPr>
            <w:r w:rsidRPr="001451D6">
              <w:rPr>
                <w:i/>
                <w:iCs/>
                <w:color w:val="000000"/>
              </w:rPr>
              <w:t>Précédentes données pour les HFC (en tonnes d</w:t>
            </w:r>
            <w:r w:rsidR="00AA6A89" w:rsidRPr="001451D6">
              <w:rPr>
                <w:i/>
                <w:iCs/>
                <w:color w:val="000000"/>
              </w:rPr>
              <w:t>’</w:t>
            </w:r>
            <w:r w:rsidRPr="001451D6">
              <w:rPr>
                <w:i/>
                <w:iCs/>
                <w:color w:val="000000"/>
              </w:rPr>
              <w:t>éqCO</w:t>
            </w:r>
            <w:r w:rsidRPr="001451D6">
              <w:rPr>
                <w:i/>
                <w:iCs/>
                <w:color w:val="000000"/>
                <w:vertAlign w:val="subscript"/>
              </w:rPr>
              <w:t>2</w:t>
            </w:r>
            <w:r w:rsidRPr="001451D6">
              <w:rPr>
                <w:i/>
                <w:iCs/>
                <w:color w:val="000000"/>
              </w:rPr>
              <w:t>)</w:t>
            </w:r>
          </w:p>
        </w:tc>
        <w:tc>
          <w:tcPr>
            <w:tcW w:w="3020" w:type="dxa"/>
            <w:tcBorders>
              <w:top w:val="single" w:sz="4" w:space="0" w:color="auto"/>
              <w:bottom w:val="single" w:sz="4" w:space="0" w:color="auto"/>
            </w:tcBorders>
            <w:vAlign w:val="bottom"/>
          </w:tcPr>
          <w:p w14:paraId="567228C1" w14:textId="5CB2AF4A" w:rsidR="003E09D8" w:rsidRPr="001451D6" w:rsidRDefault="003E09D8" w:rsidP="00333421">
            <w:pPr>
              <w:pStyle w:val="Normal-pool-Table"/>
              <w:jc w:val="center"/>
            </w:pPr>
            <w:r w:rsidRPr="001451D6">
              <w:rPr>
                <w:i/>
                <w:iCs/>
                <w:color w:val="000000"/>
              </w:rPr>
              <w:t>Nouvelles données pour les HFC (en</w:t>
            </w:r>
            <w:r w:rsidR="00D72616">
              <w:rPr>
                <w:i/>
                <w:iCs/>
                <w:color w:val="000000"/>
              </w:rPr>
              <w:t> </w:t>
            </w:r>
            <w:r w:rsidRPr="001451D6">
              <w:rPr>
                <w:i/>
                <w:iCs/>
                <w:color w:val="000000"/>
              </w:rPr>
              <w:t>tonnes d</w:t>
            </w:r>
            <w:r w:rsidR="00AA6A89" w:rsidRPr="001451D6">
              <w:rPr>
                <w:i/>
                <w:iCs/>
                <w:color w:val="000000"/>
              </w:rPr>
              <w:t>’</w:t>
            </w:r>
            <w:r w:rsidRPr="001451D6">
              <w:rPr>
                <w:i/>
                <w:iCs/>
                <w:color w:val="000000"/>
              </w:rPr>
              <w:t>éqCO</w:t>
            </w:r>
            <w:r w:rsidRPr="001451D6">
              <w:rPr>
                <w:i/>
                <w:iCs/>
                <w:color w:val="000000"/>
                <w:vertAlign w:val="subscript"/>
              </w:rPr>
              <w:t>2</w:t>
            </w:r>
            <w:r w:rsidRPr="001451D6">
              <w:rPr>
                <w:i/>
                <w:iCs/>
                <w:color w:val="000000"/>
              </w:rPr>
              <w:t>)</w:t>
            </w:r>
          </w:p>
        </w:tc>
      </w:tr>
      <w:tr w:rsidR="003E09D8" w:rsidRPr="001451D6" w14:paraId="120ECE23" w14:textId="77777777" w:rsidTr="00333421">
        <w:trPr>
          <w:trHeight w:val="57"/>
          <w:jc w:val="right"/>
        </w:trPr>
        <w:tc>
          <w:tcPr>
            <w:tcW w:w="2268" w:type="dxa"/>
            <w:vMerge/>
            <w:tcBorders>
              <w:bottom w:val="single" w:sz="12" w:space="0" w:color="auto"/>
            </w:tcBorders>
          </w:tcPr>
          <w:p w14:paraId="2D354AC3" w14:textId="77777777" w:rsidR="003E09D8" w:rsidRPr="001451D6" w:rsidRDefault="003E09D8" w:rsidP="00333421">
            <w:pPr>
              <w:pStyle w:val="Normal-pool-Table"/>
              <w:rPr>
                <w:i/>
                <w:iCs/>
              </w:rPr>
            </w:pPr>
          </w:p>
        </w:tc>
        <w:tc>
          <w:tcPr>
            <w:tcW w:w="3019" w:type="dxa"/>
            <w:tcBorders>
              <w:top w:val="single" w:sz="4" w:space="0" w:color="auto"/>
              <w:bottom w:val="single" w:sz="12" w:space="0" w:color="auto"/>
            </w:tcBorders>
          </w:tcPr>
          <w:p w14:paraId="7081D774" w14:textId="77777777" w:rsidR="003E09D8" w:rsidRPr="001451D6" w:rsidRDefault="003E09D8" w:rsidP="00333421">
            <w:pPr>
              <w:pStyle w:val="Normal-pool-Table"/>
              <w:jc w:val="right"/>
              <w:rPr>
                <w:i/>
                <w:iCs/>
              </w:rPr>
            </w:pPr>
            <w:r w:rsidRPr="001451D6">
              <w:rPr>
                <w:i/>
                <w:iCs/>
                <w:color w:val="000000"/>
              </w:rPr>
              <w:t>2022</w:t>
            </w:r>
          </w:p>
        </w:tc>
        <w:tc>
          <w:tcPr>
            <w:tcW w:w="3020" w:type="dxa"/>
            <w:tcBorders>
              <w:top w:val="single" w:sz="4" w:space="0" w:color="auto"/>
              <w:bottom w:val="single" w:sz="12" w:space="0" w:color="auto"/>
            </w:tcBorders>
          </w:tcPr>
          <w:p w14:paraId="40337B52" w14:textId="77777777" w:rsidR="003E09D8" w:rsidRPr="001451D6" w:rsidRDefault="003E09D8" w:rsidP="00333421">
            <w:pPr>
              <w:pStyle w:val="Normal-pool-Table"/>
              <w:jc w:val="right"/>
              <w:rPr>
                <w:i/>
                <w:iCs/>
              </w:rPr>
            </w:pPr>
            <w:r w:rsidRPr="001451D6">
              <w:rPr>
                <w:i/>
                <w:iCs/>
                <w:color w:val="000000"/>
              </w:rPr>
              <w:t>2022</w:t>
            </w:r>
          </w:p>
        </w:tc>
      </w:tr>
      <w:tr w:rsidR="003E09D8" w:rsidRPr="009D0B3A" w14:paraId="041A9101" w14:textId="77777777" w:rsidTr="00333421">
        <w:trPr>
          <w:trHeight w:val="57"/>
          <w:jc w:val="right"/>
        </w:trPr>
        <w:tc>
          <w:tcPr>
            <w:tcW w:w="2268" w:type="dxa"/>
            <w:tcBorders>
              <w:top w:val="single" w:sz="12" w:space="0" w:color="auto"/>
              <w:bottom w:val="single" w:sz="12" w:space="0" w:color="auto"/>
            </w:tcBorders>
          </w:tcPr>
          <w:p w14:paraId="5D06C3EB" w14:textId="77777777" w:rsidR="003E09D8" w:rsidRPr="001451D6" w:rsidRDefault="003E09D8" w:rsidP="00333421">
            <w:pPr>
              <w:pStyle w:val="Normal-pool-Table"/>
            </w:pPr>
            <w:r w:rsidRPr="001451D6">
              <w:rPr>
                <w:color w:val="000000"/>
              </w:rPr>
              <w:t>Bosnie-Herzégovine</w:t>
            </w:r>
          </w:p>
        </w:tc>
        <w:tc>
          <w:tcPr>
            <w:tcW w:w="3019" w:type="dxa"/>
            <w:tcBorders>
              <w:top w:val="single" w:sz="12" w:space="0" w:color="auto"/>
              <w:bottom w:val="single" w:sz="12" w:space="0" w:color="auto"/>
            </w:tcBorders>
          </w:tcPr>
          <w:p w14:paraId="6796F8D8" w14:textId="77777777" w:rsidR="003E09D8" w:rsidRPr="001451D6" w:rsidRDefault="003E09D8" w:rsidP="00333421">
            <w:pPr>
              <w:pStyle w:val="Normal-pool-Table"/>
              <w:jc w:val="right"/>
            </w:pPr>
            <w:r w:rsidRPr="001451D6">
              <w:rPr>
                <w:color w:val="000000"/>
              </w:rPr>
              <w:t>1 340 919</w:t>
            </w:r>
          </w:p>
        </w:tc>
        <w:tc>
          <w:tcPr>
            <w:tcW w:w="3020" w:type="dxa"/>
            <w:tcBorders>
              <w:top w:val="single" w:sz="12" w:space="0" w:color="auto"/>
              <w:bottom w:val="single" w:sz="12" w:space="0" w:color="auto"/>
            </w:tcBorders>
          </w:tcPr>
          <w:p w14:paraId="25D55495" w14:textId="77777777" w:rsidR="003E09D8" w:rsidRPr="009D0B3A" w:rsidRDefault="003E09D8" w:rsidP="00333421">
            <w:pPr>
              <w:pStyle w:val="Normal-pool-Table"/>
              <w:jc w:val="right"/>
            </w:pPr>
            <w:r w:rsidRPr="001451D6">
              <w:rPr>
                <w:color w:val="000000"/>
              </w:rPr>
              <w:t>1 402 682</w:t>
            </w:r>
          </w:p>
        </w:tc>
      </w:tr>
    </w:tbl>
    <w:p w14:paraId="0A3981AC" w14:textId="1427D01A" w:rsidR="003E09D8" w:rsidRPr="009D0B3A" w:rsidRDefault="003E09D8" w:rsidP="003E09D8">
      <w:pPr>
        <w:tabs>
          <w:tab w:val="left" w:pos="624"/>
          <w:tab w:val="left" w:pos="1871"/>
          <w:tab w:val="left" w:pos="2495"/>
          <w:tab w:val="left" w:pos="3119"/>
          <w:tab w:val="left" w:pos="3742"/>
          <w:tab w:val="left" w:pos="4366"/>
          <w:tab w:val="left" w:pos="4990"/>
        </w:tabs>
        <w:spacing w:before="60" w:after="120"/>
        <w:ind w:left="1247"/>
        <w:rPr>
          <w:sz w:val="17"/>
          <w:szCs w:val="17"/>
        </w:rPr>
      </w:pPr>
      <w:r w:rsidRPr="009D0B3A">
        <w:rPr>
          <w:sz w:val="17"/>
          <w:szCs w:val="17"/>
        </w:rPr>
        <w:tab/>
      </w:r>
      <w:r w:rsidRPr="009D0B3A">
        <w:rPr>
          <w:i/>
          <w:iCs/>
          <w:sz w:val="17"/>
          <w:szCs w:val="17"/>
        </w:rPr>
        <w:t>Abréviations</w:t>
      </w:r>
      <w:r w:rsidR="00AA6A89" w:rsidRPr="009D0B3A">
        <w:rPr>
          <w:sz w:val="17"/>
          <w:szCs w:val="17"/>
        </w:rPr>
        <w:t> :</w:t>
      </w:r>
      <w:r w:rsidRPr="009D0B3A">
        <w:rPr>
          <w:sz w:val="17"/>
          <w:szCs w:val="17"/>
        </w:rPr>
        <w:t xml:space="preserve"> éqCO</w:t>
      </w:r>
      <w:r w:rsidRPr="009D0B3A">
        <w:rPr>
          <w:sz w:val="17"/>
          <w:szCs w:val="17"/>
          <w:vertAlign w:val="subscript"/>
        </w:rPr>
        <w:t>2</w:t>
      </w:r>
      <w:r w:rsidRPr="009D0B3A">
        <w:rPr>
          <w:sz w:val="17"/>
          <w:szCs w:val="17"/>
        </w:rPr>
        <w:t xml:space="preserve"> = équivalent dioxyde de carbone</w:t>
      </w:r>
      <w:r w:rsidR="00AA6A89" w:rsidRPr="009D0B3A">
        <w:rPr>
          <w:sz w:val="17"/>
          <w:szCs w:val="17"/>
        </w:rPr>
        <w:t> ;</w:t>
      </w:r>
      <w:r w:rsidRPr="009D0B3A">
        <w:rPr>
          <w:sz w:val="17"/>
          <w:szCs w:val="17"/>
        </w:rPr>
        <w:t xml:space="preserve"> HFC – hydrofluorocarbones.</w:t>
      </w:r>
    </w:p>
    <w:p w14:paraId="5B3060B3" w14:textId="71CDE485"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spacing w:before="120"/>
        <w:ind w:left="1247" w:firstLine="624"/>
      </w:pPr>
      <w:r w:rsidRPr="009D0B3A">
        <w:t>Que le Brésil a présenté, conformément à la décision</w:t>
      </w:r>
      <w:r w:rsidR="00223770">
        <w:t> </w:t>
      </w:r>
      <w:r w:rsidRPr="009D0B3A">
        <w:t>XV/19, des informations suffisantes pour justifier sa demande de révision des données communiquées pour l</w:t>
      </w:r>
      <w:r w:rsidR="00AA6A89" w:rsidRPr="009D0B3A">
        <w:t>’</w:t>
      </w:r>
      <w:r w:rsidRPr="009D0B3A">
        <w:t>année 2022 concernant sa consommation d</w:t>
      </w:r>
      <w:r w:rsidR="00AA6A89" w:rsidRPr="009D0B3A">
        <w:t>’</w:t>
      </w:r>
      <w:r w:rsidRPr="009D0B3A">
        <w:t>hydrofluorocarbones, qui sont prises en compte dans le calcul du niveau de référence des Parties visées à l</w:t>
      </w:r>
      <w:r w:rsidR="00AA6A89" w:rsidRPr="009D0B3A">
        <w:t>’</w:t>
      </w:r>
      <w:r w:rsidRPr="009D0B3A">
        <w:t>article</w:t>
      </w:r>
      <w:r w:rsidR="00223770">
        <w:t> </w:t>
      </w:r>
      <w:r w:rsidRPr="009D0B3A">
        <w:t>5 appartenant au groupe 1 défini dans l</w:t>
      </w:r>
      <w:r w:rsidR="00AA6A89" w:rsidRPr="009D0B3A">
        <w:t>’</w:t>
      </w:r>
      <w:r w:rsidRPr="009D0B3A">
        <w:t>Amendement de Kigali au Protocole de Montréal relatif à des substances qui appauvrissent la couche d</w:t>
      </w:r>
      <w:r w:rsidR="00AA6A89" w:rsidRPr="009D0B3A">
        <w:t>’</w:t>
      </w:r>
      <w:r w:rsidRPr="009D0B3A">
        <w:t>ozone</w:t>
      </w:r>
      <w:r w:rsidR="00AA6A89" w:rsidRPr="009D0B3A">
        <w:t> ;</w:t>
      </w:r>
    </w:p>
    <w:p w14:paraId="69FA9C39" w14:textId="120CB965"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r w:rsidRPr="009D0B3A">
        <w:lastRenderedPageBreak/>
        <w:t>D</w:t>
      </w:r>
      <w:r w:rsidR="00AA6A89" w:rsidRPr="009D0B3A">
        <w:t>’</w:t>
      </w:r>
      <w:r w:rsidRPr="009D0B3A">
        <w:t>approuver la demande présentée par le Brésil et de réviser ses données pour l</w:t>
      </w:r>
      <w:r w:rsidR="00AA6A89" w:rsidRPr="009D0B3A">
        <w:t>’</w:t>
      </w:r>
      <w:r w:rsidRPr="009D0B3A">
        <w:t>année de référence 2022 concernant sa consommation d</w:t>
      </w:r>
      <w:r w:rsidR="00AA6A89" w:rsidRPr="009D0B3A">
        <w:t>’</w:t>
      </w:r>
      <w:r w:rsidRPr="009D0B3A">
        <w:t>hydrofluorocarbones, comme indiqué dans le tableau ci-après</w:t>
      </w:r>
      <w:r w:rsidR="00AA6A89" w:rsidRPr="009D0B3A">
        <w:t>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986"/>
        <w:gridCol w:w="2769"/>
      </w:tblGrid>
      <w:tr w:rsidR="003E09D8" w:rsidRPr="009D0B3A" w14:paraId="1E1B1896" w14:textId="77777777" w:rsidTr="00333421">
        <w:trPr>
          <w:trHeight w:val="57"/>
          <w:jc w:val="right"/>
        </w:trPr>
        <w:tc>
          <w:tcPr>
            <w:tcW w:w="2552" w:type="dxa"/>
            <w:vMerge w:val="restart"/>
            <w:tcBorders>
              <w:top w:val="single" w:sz="4" w:space="0" w:color="auto"/>
              <w:bottom w:val="single" w:sz="12" w:space="0" w:color="auto"/>
            </w:tcBorders>
            <w:vAlign w:val="bottom"/>
          </w:tcPr>
          <w:p w14:paraId="4E4837CF" w14:textId="77777777" w:rsidR="003E09D8" w:rsidRPr="009D0B3A" w:rsidRDefault="003E09D8" w:rsidP="004B556F">
            <w:pPr>
              <w:pStyle w:val="Normal-pool-Table"/>
              <w:spacing w:before="20"/>
              <w:rPr>
                <w:i/>
                <w:iCs/>
              </w:rPr>
            </w:pPr>
            <w:r w:rsidRPr="009D0B3A">
              <w:rPr>
                <w:i/>
                <w:iCs/>
                <w:color w:val="000000"/>
              </w:rPr>
              <w:t>Partie/année</w:t>
            </w:r>
          </w:p>
        </w:tc>
        <w:tc>
          <w:tcPr>
            <w:tcW w:w="2986" w:type="dxa"/>
            <w:tcBorders>
              <w:top w:val="single" w:sz="4" w:space="0" w:color="auto"/>
              <w:bottom w:val="single" w:sz="4" w:space="0" w:color="auto"/>
            </w:tcBorders>
            <w:vAlign w:val="bottom"/>
          </w:tcPr>
          <w:p w14:paraId="4391D8C4" w14:textId="30F01AFB" w:rsidR="003E09D8" w:rsidRPr="009D0B3A" w:rsidRDefault="003E09D8" w:rsidP="004B556F">
            <w:pPr>
              <w:pStyle w:val="Normal-pool-Table"/>
              <w:spacing w:before="20"/>
              <w:jc w:val="center"/>
              <w:rPr>
                <w:i/>
                <w:iCs/>
              </w:rPr>
            </w:pPr>
            <w:r w:rsidRPr="009D0B3A">
              <w:rPr>
                <w:i/>
                <w:iCs/>
                <w:color w:val="000000"/>
              </w:rPr>
              <w:t>Précédentes données pour les HFC (en tonnes d</w:t>
            </w:r>
            <w:r w:rsidR="00AA6A89" w:rsidRPr="009D0B3A">
              <w:rPr>
                <w:i/>
                <w:iCs/>
                <w:color w:val="000000"/>
              </w:rPr>
              <w:t>’</w:t>
            </w:r>
            <w:r w:rsidRPr="009D0B3A">
              <w:rPr>
                <w:i/>
                <w:iCs/>
                <w:color w:val="000000"/>
              </w:rPr>
              <w:t>éqCO</w:t>
            </w:r>
            <w:r w:rsidRPr="009D0B3A">
              <w:rPr>
                <w:i/>
                <w:iCs/>
                <w:color w:val="000000"/>
                <w:vertAlign w:val="subscript"/>
              </w:rPr>
              <w:t>2</w:t>
            </w:r>
            <w:r w:rsidRPr="009D0B3A">
              <w:rPr>
                <w:i/>
                <w:iCs/>
                <w:color w:val="000000"/>
              </w:rPr>
              <w:t>)</w:t>
            </w:r>
          </w:p>
        </w:tc>
        <w:tc>
          <w:tcPr>
            <w:tcW w:w="2769" w:type="dxa"/>
            <w:tcBorders>
              <w:top w:val="single" w:sz="4" w:space="0" w:color="auto"/>
              <w:bottom w:val="single" w:sz="4" w:space="0" w:color="auto"/>
            </w:tcBorders>
            <w:vAlign w:val="bottom"/>
          </w:tcPr>
          <w:p w14:paraId="4D35A581" w14:textId="0BEC4916" w:rsidR="003E09D8" w:rsidRPr="009D0B3A" w:rsidRDefault="003E09D8" w:rsidP="004B556F">
            <w:pPr>
              <w:pStyle w:val="Normal-pool-Table"/>
              <w:spacing w:before="20"/>
              <w:jc w:val="center"/>
              <w:rPr>
                <w:i/>
                <w:iCs/>
              </w:rPr>
            </w:pPr>
            <w:r w:rsidRPr="009D0B3A">
              <w:rPr>
                <w:i/>
                <w:iCs/>
                <w:color w:val="000000"/>
              </w:rPr>
              <w:t>Nouvelles données pour les HFC (en tonnes d</w:t>
            </w:r>
            <w:r w:rsidR="00AA6A89" w:rsidRPr="009D0B3A">
              <w:rPr>
                <w:i/>
                <w:iCs/>
                <w:color w:val="000000"/>
              </w:rPr>
              <w:t>’</w:t>
            </w:r>
            <w:r w:rsidRPr="009D0B3A">
              <w:rPr>
                <w:i/>
                <w:iCs/>
                <w:color w:val="000000"/>
              </w:rPr>
              <w:t>éqCO</w:t>
            </w:r>
            <w:r w:rsidRPr="009D0B3A">
              <w:rPr>
                <w:i/>
                <w:iCs/>
                <w:color w:val="000000"/>
                <w:vertAlign w:val="subscript"/>
              </w:rPr>
              <w:t>2</w:t>
            </w:r>
            <w:r w:rsidRPr="009D0B3A">
              <w:rPr>
                <w:i/>
                <w:iCs/>
                <w:color w:val="000000"/>
              </w:rPr>
              <w:t>)</w:t>
            </w:r>
          </w:p>
        </w:tc>
      </w:tr>
      <w:tr w:rsidR="003E09D8" w:rsidRPr="009D0B3A" w14:paraId="590AB098" w14:textId="77777777" w:rsidTr="00333421">
        <w:trPr>
          <w:trHeight w:val="57"/>
          <w:jc w:val="right"/>
        </w:trPr>
        <w:tc>
          <w:tcPr>
            <w:tcW w:w="2552" w:type="dxa"/>
            <w:vMerge/>
            <w:tcBorders>
              <w:top w:val="single" w:sz="12" w:space="0" w:color="auto"/>
              <w:bottom w:val="single" w:sz="12" w:space="0" w:color="auto"/>
            </w:tcBorders>
          </w:tcPr>
          <w:p w14:paraId="108AFA5A" w14:textId="77777777" w:rsidR="003E09D8" w:rsidRPr="009D0B3A" w:rsidRDefault="003E09D8" w:rsidP="004B556F">
            <w:pPr>
              <w:pStyle w:val="Normal-pool-Table"/>
              <w:spacing w:before="20"/>
              <w:rPr>
                <w:i/>
                <w:iCs/>
              </w:rPr>
            </w:pPr>
          </w:p>
        </w:tc>
        <w:tc>
          <w:tcPr>
            <w:tcW w:w="2986" w:type="dxa"/>
            <w:tcBorders>
              <w:top w:val="single" w:sz="4" w:space="0" w:color="auto"/>
              <w:bottom w:val="single" w:sz="12" w:space="0" w:color="auto"/>
            </w:tcBorders>
          </w:tcPr>
          <w:p w14:paraId="3EB30997" w14:textId="77777777" w:rsidR="003E09D8" w:rsidRPr="009D0B3A" w:rsidRDefault="003E09D8" w:rsidP="004B556F">
            <w:pPr>
              <w:pStyle w:val="Normal-pool-Table"/>
              <w:spacing w:before="20"/>
              <w:jc w:val="right"/>
              <w:rPr>
                <w:i/>
                <w:iCs/>
              </w:rPr>
            </w:pPr>
            <w:r w:rsidRPr="009D0B3A">
              <w:rPr>
                <w:i/>
                <w:iCs/>
                <w:color w:val="000000"/>
              </w:rPr>
              <w:t>2022</w:t>
            </w:r>
          </w:p>
        </w:tc>
        <w:tc>
          <w:tcPr>
            <w:tcW w:w="2769" w:type="dxa"/>
            <w:tcBorders>
              <w:top w:val="single" w:sz="4" w:space="0" w:color="auto"/>
              <w:bottom w:val="single" w:sz="12" w:space="0" w:color="auto"/>
            </w:tcBorders>
          </w:tcPr>
          <w:p w14:paraId="7583B6DA" w14:textId="77777777" w:rsidR="003E09D8" w:rsidRPr="009D0B3A" w:rsidRDefault="003E09D8" w:rsidP="004B556F">
            <w:pPr>
              <w:pStyle w:val="Normal-pool-Table"/>
              <w:spacing w:before="20"/>
              <w:jc w:val="right"/>
              <w:rPr>
                <w:i/>
                <w:iCs/>
              </w:rPr>
            </w:pPr>
            <w:r w:rsidRPr="009D0B3A">
              <w:rPr>
                <w:i/>
                <w:iCs/>
                <w:color w:val="000000"/>
              </w:rPr>
              <w:t>2022</w:t>
            </w:r>
          </w:p>
        </w:tc>
      </w:tr>
      <w:tr w:rsidR="003E09D8" w:rsidRPr="009D0B3A" w14:paraId="06F44DD6" w14:textId="77777777" w:rsidTr="00333421">
        <w:trPr>
          <w:trHeight w:val="57"/>
          <w:jc w:val="right"/>
        </w:trPr>
        <w:tc>
          <w:tcPr>
            <w:tcW w:w="2552" w:type="dxa"/>
            <w:tcBorders>
              <w:top w:val="single" w:sz="12" w:space="0" w:color="auto"/>
              <w:bottom w:val="single" w:sz="12" w:space="0" w:color="auto"/>
            </w:tcBorders>
          </w:tcPr>
          <w:p w14:paraId="0A25AA89" w14:textId="77777777" w:rsidR="003E09D8" w:rsidRPr="009D0B3A" w:rsidRDefault="003E09D8" w:rsidP="004B556F">
            <w:pPr>
              <w:pStyle w:val="Normal-pool-Table"/>
              <w:spacing w:before="20"/>
            </w:pPr>
            <w:r w:rsidRPr="009D0B3A">
              <w:rPr>
                <w:color w:val="000000"/>
              </w:rPr>
              <w:t>Brésil</w:t>
            </w:r>
          </w:p>
        </w:tc>
        <w:tc>
          <w:tcPr>
            <w:tcW w:w="2986" w:type="dxa"/>
            <w:tcBorders>
              <w:top w:val="single" w:sz="12" w:space="0" w:color="auto"/>
              <w:bottom w:val="single" w:sz="12" w:space="0" w:color="auto"/>
            </w:tcBorders>
          </w:tcPr>
          <w:p w14:paraId="620C1226" w14:textId="77777777" w:rsidR="003E09D8" w:rsidRPr="009D0B3A" w:rsidRDefault="003E09D8" w:rsidP="004B556F">
            <w:pPr>
              <w:pStyle w:val="Normal-pool-Table"/>
              <w:spacing w:before="20"/>
              <w:jc w:val="right"/>
            </w:pPr>
            <w:r w:rsidRPr="009D0B3A">
              <w:rPr>
                <w:color w:val="000000"/>
              </w:rPr>
              <w:t>89 756 651</w:t>
            </w:r>
          </w:p>
        </w:tc>
        <w:tc>
          <w:tcPr>
            <w:tcW w:w="2769" w:type="dxa"/>
            <w:tcBorders>
              <w:top w:val="single" w:sz="12" w:space="0" w:color="auto"/>
              <w:bottom w:val="single" w:sz="12" w:space="0" w:color="auto"/>
            </w:tcBorders>
          </w:tcPr>
          <w:p w14:paraId="0421277B" w14:textId="77777777" w:rsidR="003E09D8" w:rsidRPr="009D0B3A" w:rsidRDefault="003E09D8" w:rsidP="004B556F">
            <w:pPr>
              <w:pStyle w:val="Normal-pool-Table"/>
              <w:spacing w:before="20"/>
              <w:jc w:val="right"/>
            </w:pPr>
            <w:r w:rsidRPr="009D0B3A">
              <w:rPr>
                <w:color w:val="000000"/>
              </w:rPr>
              <w:t>79 416 087</w:t>
            </w:r>
          </w:p>
        </w:tc>
      </w:tr>
    </w:tbl>
    <w:p w14:paraId="655ACE67" w14:textId="17E14373" w:rsidR="003E09D8" w:rsidRPr="009D0B3A" w:rsidRDefault="003E09D8" w:rsidP="003E09D8">
      <w:pPr>
        <w:tabs>
          <w:tab w:val="left" w:pos="624"/>
          <w:tab w:val="left" w:pos="1871"/>
          <w:tab w:val="left" w:pos="2495"/>
          <w:tab w:val="left" w:pos="3119"/>
          <w:tab w:val="left" w:pos="3742"/>
          <w:tab w:val="left" w:pos="4366"/>
          <w:tab w:val="left" w:pos="4990"/>
        </w:tabs>
        <w:spacing w:before="60" w:after="120"/>
        <w:ind w:left="1247"/>
        <w:rPr>
          <w:sz w:val="17"/>
          <w:szCs w:val="17"/>
        </w:rPr>
      </w:pPr>
      <w:r w:rsidRPr="009D0B3A">
        <w:rPr>
          <w:sz w:val="17"/>
          <w:szCs w:val="17"/>
        </w:rPr>
        <w:tab/>
      </w:r>
      <w:r w:rsidRPr="009D0B3A">
        <w:rPr>
          <w:i/>
          <w:iCs/>
          <w:sz w:val="17"/>
          <w:szCs w:val="17"/>
        </w:rPr>
        <w:t>Abréviations</w:t>
      </w:r>
      <w:r w:rsidR="00AA6A89" w:rsidRPr="009D0B3A">
        <w:rPr>
          <w:sz w:val="17"/>
          <w:szCs w:val="17"/>
        </w:rPr>
        <w:t> :</w:t>
      </w:r>
      <w:r w:rsidRPr="009D0B3A">
        <w:rPr>
          <w:sz w:val="17"/>
          <w:szCs w:val="17"/>
        </w:rPr>
        <w:t xml:space="preserve"> éqCO</w:t>
      </w:r>
      <w:r w:rsidRPr="009D0B3A">
        <w:rPr>
          <w:sz w:val="17"/>
          <w:szCs w:val="17"/>
          <w:vertAlign w:val="subscript"/>
        </w:rPr>
        <w:t>2</w:t>
      </w:r>
      <w:r w:rsidRPr="009D0B3A">
        <w:rPr>
          <w:sz w:val="17"/>
          <w:szCs w:val="17"/>
        </w:rPr>
        <w:t xml:space="preserve"> = équivalent dioxyde de carbone</w:t>
      </w:r>
      <w:r w:rsidR="00AA6A89" w:rsidRPr="009D0B3A">
        <w:rPr>
          <w:sz w:val="17"/>
          <w:szCs w:val="17"/>
        </w:rPr>
        <w:t> ;</w:t>
      </w:r>
      <w:r w:rsidRPr="009D0B3A">
        <w:rPr>
          <w:sz w:val="17"/>
          <w:szCs w:val="17"/>
        </w:rPr>
        <w:t xml:space="preserve"> HFC – hydrofluorocarbones.</w:t>
      </w:r>
    </w:p>
    <w:p w14:paraId="67AD2014" w14:textId="091C648B"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spacing w:before="120"/>
        <w:ind w:left="1247" w:firstLine="624"/>
      </w:pPr>
      <w:r w:rsidRPr="009D0B3A">
        <w:t>Que la Guinée a présenté, conformément à la décision</w:t>
      </w:r>
      <w:r w:rsidR="00BA2CA0">
        <w:t> </w:t>
      </w:r>
      <w:r w:rsidRPr="009D0B3A">
        <w:t xml:space="preserve">XV/19, des informations suffisantes pour justifier sa demande de révision des données communiquées pour </w:t>
      </w:r>
      <w:r w:rsidR="00E04549" w:rsidRPr="009D0B3A">
        <w:t>les années</w:t>
      </w:r>
      <w:r w:rsidRPr="009D0B3A">
        <w:t xml:space="preserve"> 2009 et 2010 concernant sa consommation d</w:t>
      </w:r>
      <w:r w:rsidR="00AA6A89" w:rsidRPr="009D0B3A">
        <w:t>’</w:t>
      </w:r>
      <w:r w:rsidRPr="009D0B3A">
        <w:t>hydrochlo</w:t>
      </w:r>
      <w:r w:rsidR="00AA6A89" w:rsidRPr="009D0B3A">
        <w:t>ro</w:t>
      </w:r>
      <w:r w:rsidRPr="009D0B3A">
        <w:t>fluorocarbones, qui sont prises en compte dans le calcul du niveau de référence des Parties visées à l</w:t>
      </w:r>
      <w:r w:rsidR="00AA6A89" w:rsidRPr="009D0B3A">
        <w:t>’</w:t>
      </w:r>
      <w:r w:rsidRPr="009D0B3A">
        <w:t>article</w:t>
      </w:r>
      <w:r w:rsidR="00DF7206">
        <w:t> </w:t>
      </w:r>
      <w:r w:rsidRPr="009D0B3A">
        <w:t>5 appartenant au groupe 1 défini dans l</w:t>
      </w:r>
      <w:r w:rsidR="00AA6A89" w:rsidRPr="009D0B3A">
        <w:t>’</w:t>
      </w:r>
      <w:r w:rsidRPr="009D0B3A">
        <w:t>Amendement de Kigali au Protocole de Montréal relatif à des substances qui appauvrissent la couche d</w:t>
      </w:r>
      <w:r w:rsidR="00AA6A89" w:rsidRPr="009D0B3A">
        <w:t>’</w:t>
      </w:r>
      <w:r w:rsidRPr="009D0B3A">
        <w:t>ozone</w:t>
      </w:r>
      <w:r w:rsidR="00AA6A89" w:rsidRPr="009D0B3A">
        <w:t> ;</w:t>
      </w:r>
    </w:p>
    <w:p w14:paraId="77B49739" w14:textId="091517A6"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approuver la demande présentée par la Guinée et de réviser ses données pour les</w:t>
      </w:r>
      <w:r w:rsidR="00020D70" w:rsidRPr="009D0B3A">
        <w:t xml:space="preserve"> </w:t>
      </w:r>
      <w:r w:rsidRPr="009D0B3A">
        <w:t>années de référence 2009 et 2010 concernant sa consommation d</w:t>
      </w:r>
      <w:r w:rsidR="00AA6A89" w:rsidRPr="009D0B3A">
        <w:t>’</w:t>
      </w:r>
      <w:r w:rsidRPr="009D0B3A">
        <w:t xml:space="preserve">hydrochlorofluorocarbones, </w:t>
      </w:r>
      <w:r w:rsidR="00AA6A89" w:rsidRPr="009D0B3A">
        <w:t>comme indiqué</w:t>
      </w:r>
      <w:r w:rsidRPr="009D0B3A">
        <w:t xml:space="preserve"> dans le tableau ci-après</w:t>
      </w:r>
      <w:r w:rsidR="00AA6A89" w:rsidRPr="009D0B3A">
        <w:t>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851"/>
        <w:gridCol w:w="850"/>
        <w:gridCol w:w="993"/>
        <w:gridCol w:w="850"/>
        <w:gridCol w:w="836"/>
        <w:gridCol w:w="576"/>
        <w:gridCol w:w="846"/>
        <w:gridCol w:w="846"/>
      </w:tblGrid>
      <w:tr w:rsidR="003E09D8" w:rsidRPr="009D0B3A" w14:paraId="18D73D14" w14:textId="77777777" w:rsidTr="00333421">
        <w:trPr>
          <w:trHeight w:val="57"/>
          <w:jc w:val="right"/>
        </w:trPr>
        <w:tc>
          <w:tcPr>
            <w:tcW w:w="1696" w:type="dxa"/>
            <w:vMerge w:val="restart"/>
            <w:vAlign w:val="bottom"/>
          </w:tcPr>
          <w:p w14:paraId="661A5E7D" w14:textId="77777777" w:rsidR="003E09D8" w:rsidRPr="009D0B3A" w:rsidRDefault="003E09D8" w:rsidP="004B556F">
            <w:pPr>
              <w:pStyle w:val="Normal-pool-Table"/>
              <w:spacing w:before="20"/>
              <w:rPr>
                <w:i/>
              </w:rPr>
            </w:pPr>
            <w:r w:rsidRPr="009D0B3A">
              <w:rPr>
                <w:i/>
                <w:iCs/>
                <w:color w:val="000000"/>
              </w:rPr>
              <w:t>Partie/année</w:t>
            </w:r>
          </w:p>
        </w:tc>
        <w:tc>
          <w:tcPr>
            <w:tcW w:w="3544" w:type="dxa"/>
            <w:gridSpan w:val="4"/>
            <w:tcBorders>
              <w:bottom w:val="single" w:sz="4" w:space="0" w:color="auto"/>
            </w:tcBorders>
          </w:tcPr>
          <w:p w14:paraId="1CA7DA1F" w14:textId="77777777" w:rsidR="003E09D8" w:rsidRPr="009D0B3A" w:rsidRDefault="003E09D8" w:rsidP="004B556F">
            <w:pPr>
              <w:pStyle w:val="Normal-pool-Table"/>
              <w:spacing w:before="20"/>
              <w:jc w:val="center"/>
              <w:rPr>
                <w:i/>
                <w:iCs/>
              </w:rPr>
            </w:pPr>
            <w:r w:rsidRPr="009D0B3A">
              <w:rPr>
                <w:i/>
                <w:iCs/>
                <w:color w:val="000000"/>
              </w:rPr>
              <w:t>Précédentes données pour les HCFC</w:t>
            </w:r>
          </w:p>
        </w:tc>
        <w:tc>
          <w:tcPr>
            <w:tcW w:w="3104" w:type="dxa"/>
            <w:gridSpan w:val="4"/>
            <w:tcBorders>
              <w:bottom w:val="single" w:sz="4" w:space="0" w:color="auto"/>
            </w:tcBorders>
            <w:vAlign w:val="bottom"/>
          </w:tcPr>
          <w:p w14:paraId="6E67A2A3" w14:textId="77777777" w:rsidR="003E09D8" w:rsidRPr="009D0B3A" w:rsidRDefault="003E09D8" w:rsidP="004B556F">
            <w:pPr>
              <w:pStyle w:val="Normal-pool-Table"/>
              <w:spacing w:before="20"/>
              <w:jc w:val="center"/>
              <w:rPr>
                <w:i/>
                <w:iCs/>
              </w:rPr>
            </w:pPr>
            <w:r w:rsidRPr="009D0B3A">
              <w:rPr>
                <w:i/>
                <w:iCs/>
                <w:color w:val="000000"/>
              </w:rPr>
              <w:t>Nouvelles données pour les HCFC</w:t>
            </w:r>
          </w:p>
        </w:tc>
      </w:tr>
      <w:tr w:rsidR="003E09D8" w:rsidRPr="009D0B3A" w14:paraId="50AD9F49" w14:textId="77777777" w:rsidTr="00333421">
        <w:trPr>
          <w:trHeight w:val="57"/>
          <w:jc w:val="right"/>
        </w:trPr>
        <w:tc>
          <w:tcPr>
            <w:tcW w:w="1696" w:type="dxa"/>
            <w:vMerge/>
            <w:vAlign w:val="bottom"/>
          </w:tcPr>
          <w:p w14:paraId="144EF778" w14:textId="77777777" w:rsidR="003E09D8" w:rsidRPr="009D0B3A" w:rsidRDefault="003E09D8" w:rsidP="004B556F">
            <w:pPr>
              <w:pStyle w:val="Normal-pool-Table"/>
              <w:spacing w:before="20"/>
            </w:pPr>
          </w:p>
        </w:tc>
        <w:tc>
          <w:tcPr>
            <w:tcW w:w="1701" w:type="dxa"/>
            <w:gridSpan w:val="2"/>
            <w:tcBorders>
              <w:top w:val="single" w:sz="4" w:space="0" w:color="auto"/>
              <w:bottom w:val="single" w:sz="4" w:space="0" w:color="auto"/>
            </w:tcBorders>
          </w:tcPr>
          <w:p w14:paraId="347869D9" w14:textId="77777777" w:rsidR="003E09D8" w:rsidRPr="009D0B3A" w:rsidRDefault="003E09D8" w:rsidP="004B556F">
            <w:pPr>
              <w:pStyle w:val="Normal-pool-Table"/>
              <w:spacing w:before="20"/>
              <w:jc w:val="center"/>
              <w:rPr>
                <w:i/>
                <w:iCs/>
              </w:rPr>
            </w:pPr>
            <w:r w:rsidRPr="009D0B3A">
              <w:rPr>
                <w:i/>
                <w:iCs/>
                <w:color w:val="000000"/>
              </w:rPr>
              <w:t>Tonnes PDO</w:t>
            </w:r>
          </w:p>
        </w:tc>
        <w:tc>
          <w:tcPr>
            <w:tcW w:w="1843" w:type="dxa"/>
            <w:gridSpan w:val="2"/>
            <w:tcBorders>
              <w:top w:val="single" w:sz="4" w:space="0" w:color="auto"/>
              <w:bottom w:val="single" w:sz="4" w:space="0" w:color="auto"/>
            </w:tcBorders>
            <w:vAlign w:val="bottom"/>
          </w:tcPr>
          <w:p w14:paraId="0A81669A" w14:textId="5D3B4EA1" w:rsidR="003E09D8" w:rsidRPr="009D0B3A" w:rsidRDefault="003E09D8" w:rsidP="004B556F">
            <w:pPr>
              <w:pStyle w:val="Normal-pool-Table"/>
              <w:spacing w:before="20"/>
              <w:jc w:val="center"/>
              <w:rPr>
                <w:i/>
                <w:iCs/>
              </w:rPr>
            </w:pPr>
            <w:r w:rsidRPr="009D0B3A">
              <w:rPr>
                <w:i/>
                <w:iCs/>
                <w:color w:val="000000"/>
              </w:rPr>
              <w:t>Tonnes d</w:t>
            </w:r>
            <w:r w:rsidR="00AA6A89" w:rsidRPr="009D0B3A">
              <w:rPr>
                <w:i/>
                <w:iCs/>
                <w:color w:val="000000"/>
              </w:rPr>
              <w:t>’</w:t>
            </w:r>
            <w:r w:rsidRPr="009D0B3A">
              <w:rPr>
                <w:i/>
                <w:iCs/>
                <w:color w:val="000000"/>
              </w:rPr>
              <w:t>éqCO</w:t>
            </w:r>
            <w:r w:rsidRPr="009D0B3A">
              <w:rPr>
                <w:i/>
                <w:iCs/>
                <w:color w:val="000000"/>
                <w:vertAlign w:val="subscript"/>
              </w:rPr>
              <w:t>2</w:t>
            </w:r>
          </w:p>
        </w:tc>
        <w:tc>
          <w:tcPr>
            <w:tcW w:w="1412" w:type="dxa"/>
            <w:gridSpan w:val="2"/>
            <w:tcBorders>
              <w:top w:val="single" w:sz="4" w:space="0" w:color="auto"/>
              <w:bottom w:val="single" w:sz="4" w:space="0" w:color="auto"/>
            </w:tcBorders>
            <w:vAlign w:val="bottom"/>
          </w:tcPr>
          <w:p w14:paraId="2149E156" w14:textId="77777777" w:rsidR="003E09D8" w:rsidRPr="009D0B3A" w:rsidRDefault="003E09D8" w:rsidP="004B556F">
            <w:pPr>
              <w:pStyle w:val="Normal-pool-Table"/>
              <w:spacing w:before="20"/>
              <w:jc w:val="center"/>
              <w:rPr>
                <w:i/>
                <w:iCs/>
              </w:rPr>
            </w:pPr>
            <w:r w:rsidRPr="009D0B3A">
              <w:rPr>
                <w:i/>
                <w:iCs/>
                <w:color w:val="000000"/>
              </w:rPr>
              <w:t>Tonnes PDO</w:t>
            </w:r>
          </w:p>
        </w:tc>
        <w:tc>
          <w:tcPr>
            <w:tcW w:w="1692" w:type="dxa"/>
            <w:gridSpan w:val="2"/>
            <w:tcBorders>
              <w:top w:val="single" w:sz="4" w:space="0" w:color="auto"/>
              <w:bottom w:val="single" w:sz="4" w:space="0" w:color="auto"/>
            </w:tcBorders>
          </w:tcPr>
          <w:p w14:paraId="2A566D58" w14:textId="265F6EEF" w:rsidR="003E09D8" w:rsidRPr="009D0B3A" w:rsidRDefault="003E09D8" w:rsidP="004B556F">
            <w:pPr>
              <w:pStyle w:val="Normal-pool-Table"/>
              <w:spacing w:before="20"/>
              <w:jc w:val="center"/>
              <w:rPr>
                <w:i/>
                <w:iCs/>
              </w:rPr>
            </w:pPr>
            <w:r w:rsidRPr="009D0B3A">
              <w:rPr>
                <w:i/>
                <w:iCs/>
                <w:color w:val="000000"/>
              </w:rPr>
              <w:t>Tonnes d</w:t>
            </w:r>
            <w:r w:rsidR="00AA6A89" w:rsidRPr="009D0B3A">
              <w:rPr>
                <w:i/>
                <w:iCs/>
                <w:color w:val="000000"/>
              </w:rPr>
              <w:t>’</w:t>
            </w:r>
            <w:r w:rsidRPr="009D0B3A">
              <w:rPr>
                <w:i/>
                <w:iCs/>
                <w:color w:val="000000"/>
              </w:rPr>
              <w:t>éqCO</w:t>
            </w:r>
            <w:r w:rsidRPr="009D0B3A">
              <w:rPr>
                <w:i/>
                <w:iCs/>
                <w:color w:val="000000"/>
                <w:vertAlign w:val="subscript"/>
              </w:rPr>
              <w:t>2</w:t>
            </w:r>
          </w:p>
        </w:tc>
      </w:tr>
      <w:tr w:rsidR="003E09D8" w:rsidRPr="009D0B3A" w14:paraId="36E03773" w14:textId="77777777" w:rsidTr="00333421">
        <w:trPr>
          <w:trHeight w:val="57"/>
          <w:jc w:val="right"/>
        </w:trPr>
        <w:tc>
          <w:tcPr>
            <w:tcW w:w="1696" w:type="dxa"/>
            <w:vMerge/>
            <w:tcBorders>
              <w:bottom w:val="single" w:sz="12" w:space="0" w:color="auto"/>
            </w:tcBorders>
          </w:tcPr>
          <w:p w14:paraId="2FC496F3" w14:textId="77777777" w:rsidR="003E09D8" w:rsidRPr="009D0B3A" w:rsidRDefault="003E09D8" w:rsidP="004B556F">
            <w:pPr>
              <w:pStyle w:val="Normal-pool-Table"/>
              <w:spacing w:before="20"/>
              <w:rPr>
                <w:iCs/>
              </w:rPr>
            </w:pPr>
          </w:p>
        </w:tc>
        <w:tc>
          <w:tcPr>
            <w:tcW w:w="851" w:type="dxa"/>
            <w:tcBorders>
              <w:top w:val="single" w:sz="4" w:space="0" w:color="auto"/>
              <w:bottom w:val="single" w:sz="12" w:space="0" w:color="auto"/>
            </w:tcBorders>
          </w:tcPr>
          <w:p w14:paraId="23DFC38B" w14:textId="77777777" w:rsidR="003E09D8" w:rsidRPr="009D0B3A" w:rsidRDefault="003E09D8" w:rsidP="004B556F">
            <w:pPr>
              <w:pStyle w:val="Normal-pool-Table"/>
              <w:spacing w:before="20"/>
              <w:jc w:val="right"/>
              <w:rPr>
                <w:i/>
              </w:rPr>
            </w:pPr>
            <w:r w:rsidRPr="009D0B3A">
              <w:rPr>
                <w:i/>
                <w:iCs/>
                <w:color w:val="000000"/>
              </w:rPr>
              <w:t>2009</w:t>
            </w:r>
          </w:p>
        </w:tc>
        <w:tc>
          <w:tcPr>
            <w:tcW w:w="850" w:type="dxa"/>
            <w:tcBorders>
              <w:top w:val="single" w:sz="4" w:space="0" w:color="auto"/>
              <w:bottom w:val="single" w:sz="12" w:space="0" w:color="auto"/>
            </w:tcBorders>
          </w:tcPr>
          <w:p w14:paraId="5A5D681D" w14:textId="77777777" w:rsidR="003E09D8" w:rsidRPr="009D0B3A" w:rsidRDefault="003E09D8" w:rsidP="004B556F">
            <w:pPr>
              <w:pStyle w:val="Normal-pool-Table"/>
              <w:spacing w:before="20"/>
              <w:jc w:val="right"/>
              <w:rPr>
                <w:i/>
              </w:rPr>
            </w:pPr>
            <w:r w:rsidRPr="009D0B3A">
              <w:rPr>
                <w:i/>
                <w:iCs/>
                <w:color w:val="000000"/>
              </w:rPr>
              <w:t>2010</w:t>
            </w:r>
          </w:p>
        </w:tc>
        <w:tc>
          <w:tcPr>
            <w:tcW w:w="993" w:type="dxa"/>
            <w:tcBorders>
              <w:top w:val="single" w:sz="4" w:space="0" w:color="auto"/>
              <w:bottom w:val="single" w:sz="12" w:space="0" w:color="auto"/>
            </w:tcBorders>
          </w:tcPr>
          <w:p w14:paraId="4C6FF85A" w14:textId="77777777" w:rsidR="003E09D8" w:rsidRPr="009D0B3A" w:rsidRDefault="003E09D8" w:rsidP="004B556F">
            <w:pPr>
              <w:pStyle w:val="Normal-pool-Table"/>
              <w:spacing w:before="20"/>
              <w:jc w:val="right"/>
              <w:rPr>
                <w:i/>
              </w:rPr>
            </w:pPr>
            <w:r w:rsidRPr="009D0B3A">
              <w:rPr>
                <w:i/>
                <w:iCs/>
                <w:color w:val="000000"/>
              </w:rPr>
              <w:t>2009</w:t>
            </w:r>
          </w:p>
        </w:tc>
        <w:tc>
          <w:tcPr>
            <w:tcW w:w="850" w:type="dxa"/>
            <w:tcBorders>
              <w:top w:val="single" w:sz="4" w:space="0" w:color="auto"/>
              <w:bottom w:val="single" w:sz="12" w:space="0" w:color="auto"/>
            </w:tcBorders>
          </w:tcPr>
          <w:p w14:paraId="7E976A09" w14:textId="77777777" w:rsidR="003E09D8" w:rsidRPr="009D0B3A" w:rsidRDefault="003E09D8" w:rsidP="004B556F">
            <w:pPr>
              <w:pStyle w:val="Normal-pool-Table"/>
              <w:spacing w:before="20"/>
              <w:jc w:val="right"/>
              <w:rPr>
                <w:i/>
              </w:rPr>
            </w:pPr>
            <w:r w:rsidRPr="009D0B3A">
              <w:rPr>
                <w:i/>
                <w:iCs/>
                <w:color w:val="000000"/>
              </w:rPr>
              <w:t>2010</w:t>
            </w:r>
          </w:p>
        </w:tc>
        <w:tc>
          <w:tcPr>
            <w:tcW w:w="836" w:type="dxa"/>
            <w:tcBorders>
              <w:top w:val="single" w:sz="4" w:space="0" w:color="auto"/>
              <w:bottom w:val="single" w:sz="12" w:space="0" w:color="auto"/>
            </w:tcBorders>
          </w:tcPr>
          <w:p w14:paraId="11CBD734" w14:textId="77777777" w:rsidR="003E09D8" w:rsidRPr="009D0B3A" w:rsidRDefault="003E09D8" w:rsidP="004B556F">
            <w:pPr>
              <w:pStyle w:val="Normal-pool-Table"/>
              <w:spacing w:before="20"/>
              <w:jc w:val="right"/>
              <w:rPr>
                <w:i/>
              </w:rPr>
            </w:pPr>
            <w:r w:rsidRPr="009D0B3A">
              <w:rPr>
                <w:i/>
                <w:iCs/>
                <w:color w:val="000000"/>
              </w:rPr>
              <w:t>2009</w:t>
            </w:r>
          </w:p>
        </w:tc>
        <w:tc>
          <w:tcPr>
            <w:tcW w:w="576" w:type="dxa"/>
            <w:tcBorders>
              <w:top w:val="single" w:sz="4" w:space="0" w:color="auto"/>
              <w:bottom w:val="single" w:sz="12" w:space="0" w:color="auto"/>
            </w:tcBorders>
          </w:tcPr>
          <w:p w14:paraId="540BAA00" w14:textId="77777777" w:rsidR="003E09D8" w:rsidRPr="009D0B3A" w:rsidRDefault="003E09D8" w:rsidP="004B556F">
            <w:pPr>
              <w:pStyle w:val="Normal-pool-Table"/>
              <w:spacing w:before="20"/>
              <w:jc w:val="right"/>
              <w:rPr>
                <w:i/>
              </w:rPr>
            </w:pPr>
            <w:r w:rsidRPr="009D0B3A">
              <w:rPr>
                <w:i/>
                <w:iCs/>
                <w:color w:val="000000"/>
              </w:rPr>
              <w:t>2010</w:t>
            </w:r>
          </w:p>
        </w:tc>
        <w:tc>
          <w:tcPr>
            <w:tcW w:w="846" w:type="dxa"/>
            <w:tcBorders>
              <w:top w:val="single" w:sz="4" w:space="0" w:color="auto"/>
              <w:bottom w:val="single" w:sz="12" w:space="0" w:color="auto"/>
            </w:tcBorders>
          </w:tcPr>
          <w:p w14:paraId="5E85A01C" w14:textId="77777777" w:rsidR="003E09D8" w:rsidRPr="009D0B3A" w:rsidRDefault="003E09D8" w:rsidP="004B556F">
            <w:pPr>
              <w:pStyle w:val="Normal-pool-Table"/>
              <w:spacing w:before="20"/>
              <w:jc w:val="right"/>
              <w:rPr>
                <w:i/>
              </w:rPr>
            </w:pPr>
            <w:r w:rsidRPr="009D0B3A">
              <w:rPr>
                <w:i/>
                <w:iCs/>
                <w:color w:val="000000"/>
              </w:rPr>
              <w:t>2009</w:t>
            </w:r>
          </w:p>
        </w:tc>
        <w:tc>
          <w:tcPr>
            <w:tcW w:w="846" w:type="dxa"/>
            <w:tcBorders>
              <w:top w:val="single" w:sz="4" w:space="0" w:color="auto"/>
              <w:bottom w:val="single" w:sz="12" w:space="0" w:color="auto"/>
            </w:tcBorders>
          </w:tcPr>
          <w:p w14:paraId="475C3168" w14:textId="77777777" w:rsidR="003E09D8" w:rsidRPr="009D0B3A" w:rsidRDefault="003E09D8" w:rsidP="004B556F">
            <w:pPr>
              <w:pStyle w:val="Normal-pool-Table"/>
              <w:spacing w:before="20"/>
              <w:jc w:val="right"/>
              <w:rPr>
                <w:i/>
              </w:rPr>
            </w:pPr>
            <w:r w:rsidRPr="009D0B3A">
              <w:rPr>
                <w:i/>
                <w:iCs/>
                <w:color w:val="000000"/>
              </w:rPr>
              <w:t>2010</w:t>
            </w:r>
          </w:p>
        </w:tc>
      </w:tr>
      <w:tr w:rsidR="003E09D8" w:rsidRPr="009D0B3A" w14:paraId="4EB817A1" w14:textId="77777777" w:rsidTr="00333421">
        <w:trPr>
          <w:trHeight w:val="57"/>
          <w:jc w:val="right"/>
        </w:trPr>
        <w:tc>
          <w:tcPr>
            <w:tcW w:w="1696" w:type="dxa"/>
            <w:tcBorders>
              <w:top w:val="single" w:sz="12" w:space="0" w:color="auto"/>
              <w:bottom w:val="single" w:sz="12" w:space="0" w:color="auto"/>
            </w:tcBorders>
          </w:tcPr>
          <w:p w14:paraId="52BC1A5B" w14:textId="77777777" w:rsidR="003E09D8" w:rsidRPr="009D0B3A" w:rsidRDefault="003E09D8" w:rsidP="004B556F">
            <w:pPr>
              <w:pStyle w:val="Normal-pool-Table"/>
              <w:spacing w:before="20"/>
            </w:pPr>
            <w:bookmarkStart w:id="40" w:name="_Hlk210390584"/>
            <w:r w:rsidRPr="009D0B3A">
              <w:rPr>
                <w:color w:val="000000"/>
              </w:rPr>
              <w:t>Guinée</w:t>
            </w:r>
          </w:p>
        </w:tc>
        <w:tc>
          <w:tcPr>
            <w:tcW w:w="851" w:type="dxa"/>
            <w:tcBorders>
              <w:top w:val="single" w:sz="12" w:space="0" w:color="auto"/>
              <w:bottom w:val="single" w:sz="12" w:space="0" w:color="auto"/>
            </w:tcBorders>
          </w:tcPr>
          <w:p w14:paraId="154BFE43" w14:textId="77777777" w:rsidR="003E09D8" w:rsidRPr="009D0B3A" w:rsidRDefault="003E09D8" w:rsidP="004B556F">
            <w:pPr>
              <w:pStyle w:val="Normal-pool-Table"/>
              <w:spacing w:before="20"/>
              <w:jc w:val="right"/>
              <w:rPr>
                <w:color w:val="000000"/>
              </w:rPr>
            </w:pPr>
            <w:r w:rsidRPr="009D0B3A">
              <w:rPr>
                <w:color w:val="000000"/>
              </w:rPr>
              <w:t>21,77</w:t>
            </w:r>
          </w:p>
        </w:tc>
        <w:tc>
          <w:tcPr>
            <w:tcW w:w="850" w:type="dxa"/>
            <w:tcBorders>
              <w:top w:val="single" w:sz="12" w:space="0" w:color="auto"/>
              <w:bottom w:val="single" w:sz="12" w:space="0" w:color="auto"/>
            </w:tcBorders>
          </w:tcPr>
          <w:p w14:paraId="1F6604B8" w14:textId="77777777" w:rsidR="003E09D8" w:rsidRPr="009D0B3A" w:rsidRDefault="003E09D8" w:rsidP="004B556F">
            <w:pPr>
              <w:pStyle w:val="Normal-pool-Table"/>
              <w:spacing w:before="20"/>
              <w:jc w:val="right"/>
              <w:rPr>
                <w:color w:val="000000"/>
              </w:rPr>
            </w:pPr>
            <w:r w:rsidRPr="009D0B3A">
              <w:rPr>
                <w:color w:val="000000"/>
              </w:rPr>
              <w:t>23,45</w:t>
            </w:r>
          </w:p>
        </w:tc>
        <w:tc>
          <w:tcPr>
            <w:tcW w:w="993" w:type="dxa"/>
            <w:tcBorders>
              <w:top w:val="single" w:sz="12" w:space="0" w:color="auto"/>
              <w:bottom w:val="single" w:sz="12" w:space="0" w:color="auto"/>
            </w:tcBorders>
          </w:tcPr>
          <w:p w14:paraId="27CFB90C" w14:textId="77777777" w:rsidR="003E09D8" w:rsidRPr="009D0B3A" w:rsidRDefault="003E09D8" w:rsidP="004B556F">
            <w:pPr>
              <w:pStyle w:val="Normal-pool-Table"/>
              <w:spacing w:before="20"/>
              <w:jc w:val="right"/>
            </w:pPr>
            <w:r w:rsidRPr="009D0B3A">
              <w:rPr>
                <w:color w:val="000000"/>
              </w:rPr>
              <w:t>716 542,8</w:t>
            </w:r>
          </w:p>
        </w:tc>
        <w:tc>
          <w:tcPr>
            <w:tcW w:w="850" w:type="dxa"/>
            <w:tcBorders>
              <w:top w:val="single" w:sz="12" w:space="0" w:color="auto"/>
              <w:bottom w:val="single" w:sz="12" w:space="0" w:color="auto"/>
            </w:tcBorders>
          </w:tcPr>
          <w:p w14:paraId="66FACFA8" w14:textId="77777777" w:rsidR="003E09D8" w:rsidRPr="009D0B3A" w:rsidRDefault="003E09D8" w:rsidP="004B556F">
            <w:pPr>
              <w:pStyle w:val="Normal-pool-Table"/>
              <w:spacing w:before="20"/>
              <w:jc w:val="right"/>
            </w:pPr>
            <w:r w:rsidRPr="009D0B3A">
              <w:rPr>
                <w:color w:val="000000"/>
              </w:rPr>
              <w:t>771 603</w:t>
            </w:r>
          </w:p>
        </w:tc>
        <w:tc>
          <w:tcPr>
            <w:tcW w:w="836" w:type="dxa"/>
            <w:tcBorders>
              <w:top w:val="single" w:sz="12" w:space="0" w:color="auto"/>
              <w:bottom w:val="single" w:sz="12" w:space="0" w:color="auto"/>
            </w:tcBorders>
          </w:tcPr>
          <w:p w14:paraId="3EFD591E" w14:textId="77777777" w:rsidR="003E09D8" w:rsidRPr="009D0B3A" w:rsidRDefault="003E09D8" w:rsidP="004B556F">
            <w:pPr>
              <w:pStyle w:val="Normal-pool-Table"/>
              <w:spacing w:before="20"/>
              <w:jc w:val="right"/>
            </w:pPr>
            <w:r w:rsidRPr="009D0B3A">
              <w:rPr>
                <w:color w:val="000000"/>
              </w:rPr>
              <w:t>1,03</w:t>
            </w:r>
          </w:p>
        </w:tc>
        <w:tc>
          <w:tcPr>
            <w:tcW w:w="576" w:type="dxa"/>
            <w:tcBorders>
              <w:top w:val="single" w:sz="12" w:space="0" w:color="auto"/>
              <w:bottom w:val="single" w:sz="12" w:space="0" w:color="auto"/>
            </w:tcBorders>
          </w:tcPr>
          <w:p w14:paraId="18509BC2" w14:textId="77777777" w:rsidR="003E09D8" w:rsidRPr="009D0B3A" w:rsidRDefault="003E09D8" w:rsidP="004B556F">
            <w:pPr>
              <w:pStyle w:val="Normal-pool-Table"/>
              <w:spacing w:before="20"/>
              <w:jc w:val="right"/>
            </w:pPr>
            <w:r w:rsidRPr="009D0B3A">
              <w:rPr>
                <w:color w:val="000000"/>
              </w:rPr>
              <w:t>0,75</w:t>
            </w:r>
          </w:p>
        </w:tc>
        <w:tc>
          <w:tcPr>
            <w:tcW w:w="846" w:type="dxa"/>
            <w:tcBorders>
              <w:top w:val="single" w:sz="12" w:space="0" w:color="auto"/>
              <w:bottom w:val="single" w:sz="12" w:space="0" w:color="auto"/>
            </w:tcBorders>
          </w:tcPr>
          <w:p w14:paraId="67741C5E" w14:textId="77777777" w:rsidR="003E09D8" w:rsidRPr="009D0B3A" w:rsidRDefault="003E09D8" w:rsidP="004B556F">
            <w:pPr>
              <w:pStyle w:val="Normal-pool-Table"/>
              <w:spacing w:before="20"/>
              <w:jc w:val="right"/>
            </w:pPr>
            <w:r w:rsidRPr="009D0B3A">
              <w:rPr>
                <w:color w:val="000000"/>
              </w:rPr>
              <w:t>33 756,5</w:t>
            </w:r>
          </w:p>
        </w:tc>
        <w:tc>
          <w:tcPr>
            <w:tcW w:w="846" w:type="dxa"/>
            <w:tcBorders>
              <w:top w:val="single" w:sz="12" w:space="0" w:color="auto"/>
              <w:bottom w:val="single" w:sz="12" w:space="0" w:color="auto"/>
            </w:tcBorders>
          </w:tcPr>
          <w:p w14:paraId="6C713982" w14:textId="77777777" w:rsidR="003E09D8" w:rsidRPr="009D0B3A" w:rsidRDefault="003E09D8" w:rsidP="004B556F">
            <w:pPr>
              <w:pStyle w:val="Normal-pool-Table"/>
              <w:spacing w:before="20"/>
              <w:jc w:val="right"/>
            </w:pPr>
            <w:r w:rsidRPr="009D0B3A">
              <w:rPr>
                <w:color w:val="000000"/>
              </w:rPr>
              <w:t>24 706,5</w:t>
            </w:r>
          </w:p>
        </w:tc>
      </w:tr>
    </w:tbl>
    <w:bookmarkEnd w:id="40"/>
    <w:p w14:paraId="076F4872" w14:textId="5A985DEC" w:rsidR="003E09D8" w:rsidRPr="009D0B3A" w:rsidRDefault="003E09D8" w:rsidP="003E09D8">
      <w:pPr>
        <w:tabs>
          <w:tab w:val="left" w:pos="624"/>
          <w:tab w:val="left" w:pos="1871"/>
          <w:tab w:val="left" w:pos="2495"/>
          <w:tab w:val="left" w:pos="3119"/>
          <w:tab w:val="left" w:pos="3742"/>
          <w:tab w:val="left" w:pos="4366"/>
          <w:tab w:val="left" w:pos="4990"/>
        </w:tabs>
        <w:spacing w:before="60" w:after="120"/>
        <w:ind w:left="1247"/>
        <w:rPr>
          <w:sz w:val="17"/>
          <w:szCs w:val="17"/>
        </w:rPr>
      </w:pPr>
      <w:r w:rsidRPr="009D0B3A">
        <w:rPr>
          <w:sz w:val="17"/>
          <w:szCs w:val="17"/>
        </w:rPr>
        <w:tab/>
      </w:r>
      <w:r w:rsidRPr="009D0B3A">
        <w:rPr>
          <w:i/>
          <w:iCs/>
          <w:sz w:val="17"/>
          <w:szCs w:val="17"/>
        </w:rPr>
        <w:t>Abréviations</w:t>
      </w:r>
      <w:r w:rsidR="00AA6A89" w:rsidRPr="009D0B3A">
        <w:rPr>
          <w:sz w:val="17"/>
          <w:szCs w:val="17"/>
        </w:rPr>
        <w:t> :</w:t>
      </w:r>
      <w:r w:rsidRPr="009D0B3A">
        <w:rPr>
          <w:sz w:val="17"/>
          <w:szCs w:val="17"/>
        </w:rPr>
        <w:t xml:space="preserve"> éqCO</w:t>
      </w:r>
      <w:r w:rsidRPr="009D0B3A">
        <w:rPr>
          <w:sz w:val="17"/>
          <w:szCs w:val="17"/>
          <w:vertAlign w:val="subscript"/>
        </w:rPr>
        <w:t>2</w:t>
      </w:r>
      <w:r w:rsidRPr="009D0B3A">
        <w:rPr>
          <w:sz w:val="17"/>
          <w:szCs w:val="17"/>
        </w:rPr>
        <w:t xml:space="preserve"> = équivalent dioxyde de carbone</w:t>
      </w:r>
      <w:r w:rsidR="00AA6A89" w:rsidRPr="009D0B3A">
        <w:rPr>
          <w:sz w:val="17"/>
          <w:szCs w:val="17"/>
        </w:rPr>
        <w:t> ;</w:t>
      </w:r>
      <w:r w:rsidRPr="009D0B3A">
        <w:rPr>
          <w:sz w:val="17"/>
          <w:szCs w:val="17"/>
        </w:rPr>
        <w:t xml:space="preserve"> HCFC = hydrochlorofluorocarbones</w:t>
      </w:r>
      <w:r w:rsidR="00AA6A89" w:rsidRPr="009D0B3A">
        <w:rPr>
          <w:sz w:val="17"/>
          <w:szCs w:val="17"/>
        </w:rPr>
        <w:t> ;</w:t>
      </w:r>
      <w:r w:rsidRPr="009D0B3A">
        <w:rPr>
          <w:sz w:val="17"/>
          <w:szCs w:val="17"/>
        </w:rPr>
        <w:t xml:space="preserve"> PDO = potentiel de destruction de l</w:t>
      </w:r>
      <w:r w:rsidR="00AA6A89" w:rsidRPr="009D0B3A">
        <w:rPr>
          <w:sz w:val="17"/>
          <w:szCs w:val="17"/>
        </w:rPr>
        <w:t>’</w:t>
      </w:r>
      <w:r w:rsidRPr="009D0B3A">
        <w:rPr>
          <w:sz w:val="17"/>
          <w:szCs w:val="17"/>
        </w:rPr>
        <w:t>ozone.</w:t>
      </w:r>
    </w:p>
    <w:p w14:paraId="533ADF6E" w14:textId="296DB700"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spacing w:before="120"/>
        <w:ind w:left="1247" w:firstLine="624"/>
      </w:pPr>
      <w:r w:rsidRPr="009D0B3A">
        <w:t>Que la Guinée a présenté, conformément à la décision</w:t>
      </w:r>
      <w:r w:rsidR="00DB1459">
        <w:t> </w:t>
      </w:r>
      <w:r w:rsidRPr="009D0B3A">
        <w:t>XV/19, des informations suffisantes pour justifier sa demande de révision des données communiquées pour les année</w:t>
      </w:r>
      <w:r w:rsidR="004915FB" w:rsidRPr="009D0B3A">
        <w:t>s</w:t>
      </w:r>
      <w:r w:rsidRPr="009D0B3A">
        <w:t xml:space="preserve"> 2020, 2021 et 2022 concernant sa consommation d</w:t>
      </w:r>
      <w:r w:rsidR="00AA6A89" w:rsidRPr="009D0B3A">
        <w:t>’</w:t>
      </w:r>
      <w:r w:rsidRPr="009D0B3A">
        <w:t>hydrofluorocarbones, qui sont prises en compte dans le calcul du niveau de référence des Parties visées à l</w:t>
      </w:r>
      <w:r w:rsidR="00AA6A89" w:rsidRPr="009D0B3A">
        <w:t>’</w:t>
      </w:r>
      <w:r w:rsidRPr="009D0B3A">
        <w:t>article</w:t>
      </w:r>
      <w:r w:rsidR="008A0EAD">
        <w:t> </w:t>
      </w:r>
      <w:r w:rsidRPr="009D0B3A">
        <w:t>5 appartenant au groupe</w:t>
      </w:r>
      <w:r w:rsidR="00F2159C">
        <w:t> </w:t>
      </w:r>
      <w:r w:rsidRPr="009D0B3A">
        <w:t>1 défini dans l</w:t>
      </w:r>
      <w:r w:rsidR="00AA6A89" w:rsidRPr="009D0B3A">
        <w:t>’</w:t>
      </w:r>
      <w:r w:rsidRPr="009D0B3A">
        <w:t>Amendement de Kigali au Protocole de</w:t>
      </w:r>
      <w:r w:rsidR="00B36EED">
        <w:t> </w:t>
      </w:r>
      <w:r w:rsidRPr="009D0B3A">
        <w:t>Montréal relatif à des substances qui appauvrissent la couche d</w:t>
      </w:r>
      <w:r w:rsidR="00AA6A89" w:rsidRPr="009D0B3A">
        <w:t>’</w:t>
      </w:r>
      <w:r w:rsidRPr="009D0B3A">
        <w:t>ozone</w:t>
      </w:r>
      <w:r w:rsidR="00AA6A89" w:rsidRPr="009D0B3A">
        <w:t> ;</w:t>
      </w:r>
    </w:p>
    <w:p w14:paraId="149A6AA3" w14:textId="5DA8A4DE"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approuver la demande présentée par la Guinée et de réviser ses données pour les années de référence 2020, 2021 et 2022 concernant sa consommation d</w:t>
      </w:r>
      <w:r w:rsidR="00AA6A89" w:rsidRPr="009D0B3A">
        <w:t>’</w:t>
      </w:r>
      <w:r w:rsidRPr="009D0B3A">
        <w:t>hydrofluorocarbones, comme</w:t>
      </w:r>
      <w:r w:rsidR="00A901F8" w:rsidRPr="009D0B3A">
        <w:t xml:space="preserve"> </w:t>
      </w:r>
      <w:r w:rsidRPr="009D0B3A">
        <w:t>indiqué dans le tableau ci-après</w:t>
      </w:r>
      <w:r w:rsidR="00AA6A89" w:rsidRPr="009D0B3A">
        <w:t>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
        <w:gridCol w:w="1198"/>
        <w:gridCol w:w="1198"/>
        <w:gridCol w:w="1199"/>
        <w:gridCol w:w="1198"/>
        <w:gridCol w:w="1198"/>
        <w:gridCol w:w="1199"/>
      </w:tblGrid>
      <w:tr w:rsidR="003E09D8" w:rsidRPr="009D0B3A" w14:paraId="6DB999E2" w14:textId="77777777" w:rsidTr="00516847">
        <w:trPr>
          <w:jc w:val="right"/>
        </w:trPr>
        <w:tc>
          <w:tcPr>
            <w:tcW w:w="1117" w:type="dxa"/>
            <w:vMerge w:val="restart"/>
            <w:tcBorders>
              <w:top w:val="single" w:sz="4" w:space="0" w:color="auto"/>
              <w:bottom w:val="single" w:sz="12" w:space="0" w:color="auto"/>
            </w:tcBorders>
            <w:vAlign w:val="bottom"/>
          </w:tcPr>
          <w:p w14:paraId="02F9A35E" w14:textId="77777777" w:rsidR="003E09D8" w:rsidRPr="00516847" w:rsidRDefault="003E09D8" w:rsidP="00516847">
            <w:pPr>
              <w:pStyle w:val="Normal-pool-Table"/>
              <w:spacing w:before="20" w:after="240"/>
              <w:rPr>
                <w:i/>
                <w:iCs/>
                <w:sz w:val="16"/>
                <w:szCs w:val="16"/>
              </w:rPr>
            </w:pPr>
            <w:r w:rsidRPr="00516847">
              <w:rPr>
                <w:i/>
                <w:iCs/>
                <w:color w:val="000000"/>
                <w:sz w:val="16"/>
                <w:szCs w:val="16"/>
              </w:rPr>
              <w:t>Partie/année</w:t>
            </w:r>
          </w:p>
        </w:tc>
        <w:tc>
          <w:tcPr>
            <w:tcW w:w="3595" w:type="dxa"/>
            <w:gridSpan w:val="3"/>
            <w:tcBorders>
              <w:top w:val="single" w:sz="4" w:space="0" w:color="auto"/>
              <w:bottom w:val="single" w:sz="4" w:space="0" w:color="auto"/>
              <w:right w:val="single" w:sz="4" w:space="0" w:color="auto"/>
            </w:tcBorders>
            <w:vAlign w:val="bottom"/>
          </w:tcPr>
          <w:p w14:paraId="3DFD10CF" w14:textId="3E5ED5B4" w:rsidR="003E09D8" w:rsidRPr="009D0B3A" w:rsidRDefault="003E09D8" w:rsidP="004B556F">
            <w:pPr>
              <w:pStyle w:val="Normal-pool-Table"/>
              <w:spacing w:before="20"/>
              <w:jc w:val="center"/>
              <w:rPr>
                <w:i/>
                <w:iCs/>
              </w:rPr>
            </w:pPr>
            <w:r w:rsidRPr="009D0B3A">
              <w:rPr>
                <w:i/>
                <w:iCs/>
                <w:color w:val="000000"/>
              </w:rPr>
              <w:t xml:space="preserve">Précédentes données pour les HFC </w:t>
            </w:r>
            <w:r w:rsidR="00516847">
              <w:rPr>
                <w:i/>
                <w:iCs/>
                <w:color w:val="000000"/>
              </w:rPr>
              <w:br/>
            </w:r>
            <w:r w:rsidRPr="009D0B3A">
              <w:rPr>
                <w:i/>
                <w:iCs/>
                <w:color w:val="000000"/>
              </w:rPr>
              <w:t>(en tonnes d</w:t>
            </w:r>
            <w:r w:rsidR="00AA6A89" w:rsidRPr="009D0B3A">
              <w:rPr>
                <w:i/>
                <w:iCs/>
                <w:color w:val="000000"/>
              </w:rPr>
              <w:t>’</w:t>
            </w:r>
            <w:r w:rsidRPr="009D0B3A">
              <w:rPr>
                <w:i/>
                <w:iCs/>
                <w:color w:val="000000"/>
              </w:rPr>
              <w:t>éqCO</w:t>
            </w:r>
            <w:r w:rsidRPr="009D0B3A">
              <w:rPr>
                <w:i/>
                <w:iCs/>
                <w:color w:val="000000"/>
                <w:vertAlign w:val="subscript"/>
              </w:rPr>
              <w:t>2</w:t>
            </w:r>
            <w:r w:rsidRPr="009D0B3A">
              <w:rPr>
                <w:i/>
                <w:iCs/>
                <w:color w:val="000000"/>
              </w:rPr>
              <w:t>)</w:t>
            </w:r>
          </w:p>
        </w:tc>
        <w:tc>
          <w:tcPr>
            <w:tcW w:w="3595" w:type="dxa"/>
            <w:gridSpan w:val="3"/>
            <w:tcBorders>
              <w:top w:val="single" w:sz="4" w:space="0" w:color="auto"/>
              <w:left w:val="single" w:sz="4" w:space="0" w:color="auto"/>
              <w:bottom w:val="single" w:sz="4" w:space="0" w:color="auto"/>
            </w:tcBorders>
            <w:vAlign w:val="bottom"/>
          </w:tcPr>
          <w:p w14:paraId="307AAFDE" w14:textId="6978C81A" w:rsidR="003E09D8" w:rsidRPr="009D0B3A" w:rsidRDefault="003E09D8" w:rsidP="004B556F">
            <w:pPr>
              <w:pStyle w:val="Normal-pool-Table"/>
              <w:spacing w:before="20"/>
              <w:jc w:val="center"/>
              <w:rPr>
                <w:i/>
                <w:iCs/>
              </w:rPr>
            </w:pPr>
            <w:r w:rsidRPr="009D0B3A">
              <w:rPr>
                <w:i/>
                <w:iCs/>
                <w:color w:val="000000"/>
              </w:rPr>
              <w:t xml:space="preserve">Nouvelles données pour les HFC </w:t>
            </w:r>
            <w:r w:rsidR="00516847">
              <w:rPr>
                <w:i/>
                <w:iCs/>
                <w:color w:val="000000"/>
              </w:rPr>
              <w:br/>
            </w:r>
            <w:r w:rsidRPr="009D0B3A">
              <w:rPr>
                <w:i/>
                <w:iCs/>
                <w:color w:val="000000"/>
              </w:rPr>
              <w:t>(en tonnes d</w:t>
            </w:r>
            <w:r w:rsidR="00AA6A89" w:rsidRPr="009D0B3A">
              <w:rPr>
                <w:i/>
                <w:iCs/>
                <w:color w:val="000000"/>
              </w:rPr>
              <w:t>’</w:t>
            </w:r>
            <w:r w:rsidRPr="009D0B3A">
              <w:rPr>
                <w:i/>
                <w:iCs/>
                <w:color w:val="000000"/>
              </w:rPr>
              <w:t>éqCO</w:t>
            </w:r>
            <w:r w:rsidRPr="009D0B3A">
              <w:rPr>
                <w:i/>
                <w:iCs/>
                <w:color w:val="000000"/>
                <w:vertAlign w:val="subscript"/>
              </w:rPr>
              <w:t>2</w:t>
            </w:r>
            <w:r w:rsidRPr="009D0B3A">
              <w:rPr>
                <w:i/>
                <w:iCs/>
                <w:color w:val="000000"/>
              </w:rPr>
              <w:t>)</w:t>
            </w:r>
          </w:p>
        </w:tc>
      </w:tr>
      <w:tr w:rsidR="003E09D8" w:rsidRPr="009D0B3A" w14:paraId="75CFD9DF" w14:textId="77777777" w:rsidTr="00516847">
        <w:trPr>
          <w:jc w:val="right"/>
        </w:trPr>
        <w:tc>
          <w:tcPr>
            <w:tcW w:w="1117" w:type="dxa"/>
            <w:vMerge/>
            <w:tcBorders>
              <w:bottom w:val="single" w:sz="12" w:space="0" w:color="auto"/>
            </w:tcBorders>
            <w:vAlign w:val="bottom"/>
          </w:tcPr>
          <w:p w14:paraId="045162D3" w14:textId="77777777" w:rsidR="003E09D8" w:rsidRPr="009D0B3A" w:rsidRDefault="003E09D8" w:rsidP="004B556F">
            <w:pPr>
              <w:pStyle w:val="Normal-pool-Table"/>
              <w:spacing w:before="20"/>
              <w:rPr>
                <w:i/>
                <w:iCs/>
                <w:szCs w:val="18"/>
              </w:rPr>
            </w:pPr>
          </w:p>
        </w:tc>
        <w:tc>
          <w:tcPr>
            <w:tcW w:w="1198" w:type="dxa"/>
            <w:tcBorders>
              <w:top w:val="single" w:sz="4" w:space="0" w:color="auto"/>
              <w:bottom w:val="single" w:sz="12" w:space="0" w:color="auto"/>
            </w:tcBorders>
            <w:vAlign w:val="bottom"/>
          </w:tcPr>
          <w:p w14:paraId="4148E589" w14:textId="77777777" w:rsidR="003E09D8" w:rsidRPr="009D0B3A" w:rsidRDefault="003E09D8" w:rsidP="004B556F">
            <w:pPr>
              <w:pStyle w:val="Normal-pool-Table"/>
              <w:spacing w:before="20"/>
              <w:jc w:val="right"/>
              <w:rPr>
                <w:i/>
                <w:iCs/>
              </w:rPr>
            </w:pPr>
            <w:r w:rsidRPr="009D0B3A">
              <w:rPr>
                <w:i/>
                <w:iCs/>
                <w:color w:val="000000"/>
              </w:rPr>
              <w:t>2020</w:t>
            </w:r>
          </w:p>
        </w:tc>
        <w:tc>
          <w:tcPr>
            <w:tcW w:w="1198" w:type="dxa"/>
            <w:tcBorders>
              <w:top w:val="single" w:sz="4" w:space="0" w:color="auto"/>
              <w:bottom w:val="single" w:sz="12" w:space="0" w:color="auto"/>
            </w:tcBorders>
            <w:vAlign w:val="bottom"/>
          </w:tcPr>
          <w:p w14:paraId="249A8B0B" w14:textId="77777777" w:rsidR="003E09D8" w:rsidRPr="009D0B3A" w:rsidRDefault="003E09D8" w:rsidP="004B556F">
            <w:pPr>
              <w:pStyle w:val="Normal-pool-Table"/>
              <w:spacing w:before="20"/>
              <w:jc w:val="right"/>
              <w:rPr>
                <w:i/>
                <w:iCs/>
              </w:rPr>
            </w:pPr>
            <w:r w:rsidRPr="009D0B3A">
              <w:rPr>
                <w:i/>
                <w:iCs/>
                <w:color w:val="000000"/>
              </w:rPr>
              <w:t>2021</w:t>
            </w:r>
          </w:p>
        </w:tc>
        <w:tc>
          <w:tcPr>
            <w:tcW w:w="1199" w:type="dxa"/>
            <w:tcBorders>
              <w:top w:val="single" w:sz="4" w:space="0" w:color="auto"/>
              <w:bottom w:val="single" w:sz="12" w:space="0" w:color="auto"/>
              <w:right w:val="single" w:sz="4" w:space="0" w:color="auto"/>
            </w:tcBorders>
            <w:vAlign w:val="bottom"/>
          </w:tcPr>
          <w:p w14:paraId="57D4E968" w14:textId="77777777" w:rsidR="003E09D8" w:rsidRPr="009D0B3A" w:rsidRDefault="003E09D8" w:rsidP="004B556F">
            <w:pPr>
              <w:pStyle w:val="Normal-pool-Table"/>
              <w:spacing w:before="20"/>
              <w:jc w:val="right"/>
              <w:rPr>
                <w:i/>
                <w:iCs/>
              </w:rPr>
            </w:pPr>
            <w:r w:rsidRPr="009D0B3A">
              <w:rPr>
                <w:i/>
                <w:iCs/>
                <w:color w:val="000000"/>
              </w:rPr>
              <w:t>2022</w:t>
            </w:r>
          </w:p>
        </w:tc>
        <w:tc>
          <w:tcPr>
            <w:tcW w:w="1198" w:type="dxa"/>
            <w:tcBorders>
              <w:top w:val="single" w:sz="4" w:space="0" w:color="auto"/>
              <w:left w:val="single" w:sz="4" w:space="0" w:color="auto"/>
              <w:bottom w:val="single" w:sz="12" w:space="0" w:color="auto"/>
            </w:tcBorders>
            <w:vAlign w:val="bottom"/>
          </w:tcPr>
          <w:p w14:paraId="1E0B0E67" w14:textId="77777777" w:rsidR="003E09D8" w:rsidRPr="009D0B3A" w:rsidRDefault="003E09D8" w:rsidP="004B556F">
            <w:pPr>
              <w:pStyle w:val="Normal-pool-Table"/>
              <w:spacing w:before="20"/>
              <w:jc w:val="right"/>
              <w:rPr>
                <w:i/>
                <w:iCs/>
              </w:rPr>
            </w:pPr>
            <w:r w:rsidRPr="009D0B3A">
              <w:rPr>
                <w:i/>
                <w:iCs/>
                <w:color w:val="000000"/>
              </w:rPr>
              <w:t>2020</w:t>
            </w:r>
          </w:p>
        </w:tc>
        <w:tc>
          <w:tcPr>
            <w:tcW w:w="1198" w:type="dxa"/>
            <w:tcBorders>
              <w:top w:val="single" w:sz="4" w:space="0" w:color="auto"/>
              <w:bottom w:val="single" w:sz="12" w:space="0" w:color="auto"/>
            </w:tcBorders>
            <w:vAlign w:val="bottom"/>
          </w:tcPr>
          <w:p w14:paraId="2934542B" w14:textId="77777777" w:rsidR="003E09D8" w:rsidRPr="009D0B3A" w:rsidRDefault="003E09D8" w:rsidP="004B556F">
            <w:pPr>
              <w:pStyle w:val="Normal-pool-Table"/>
              <w:spacing w:before="20"/>
              <w:jc w:val="right"/>
              <w:rPr>
                <w:i/>
                <w:iCs/>
              </w:rPr>
            </w:pPr>
            <w:r w:rsidRPr="009D0B3A">
              <w:rPr>
                <w:i/>
                <w:iCs/>
                <w:color w:val="000000"/>
              </w:rPr>
              <w:t>2021</w:t>
            </w:r>
          </w:p>
        </w:tc>
        <w:tc>
          <w:tcPr>
            <w:tcW w:w="1199" w:type="dxa"/>
            <w:tcBorders>
              <w:top w:val="single" w:sz="4" w:space="0" w:color="auto"/>
              <w:bottom w:val="single" w:sz="12" w:space="0" w:color="auto"/>
            </w:tcBorders>
            <w:vAlign w:val="bottom"/>
          </w:tcPr>
          <w:p w14:paraId="578DCBCA" w14:textId="77777777" w:rsidR="003E09D8" w:rsidRPr="009D0B3A" w:rsidRDefault="003E09D8" w:rsidP="004B556F">
            <w:pPr>
              <w:pStyle w:val="Normal-pool-Table"/>
              <w:spacing w:before="20"/>
              <w:jc w:val="right"/>
              <w:rPr>
                <w:i/>
                <w:iCs/>
              </w:rPr>
            </w:pPr>
            <w:r w:rsidRPr="009D0B3A">
              <w:rPr>
                <w:i/>
                <w:iCs/>
                <w:color w:val="000000"/>
              </w:rPr>
              <w:t>2022</w:t>
            </w:r>
          </w:p>
        </w:tc>
      </w:tr>
      <w:tr w:rsidR="003E09D8" w:rsidRPr="009D0B3A" w14:paraId="0D0A8E00" w14:textId="77777777" w:rsidTr="00516847">
        <w:trPr>
          <w:jc w:val="right"/>
        </w:trPr>
        <w:tc>
          <w:tcPr>
            <w:tcW w:w="1117" w:type="dxa"/>
            <w:tcBorders>
              <w:top w:val="single" w:sz="12" w:space="0" w:color="auto"/>
              <w:bottom w:val="single" w:sz="12" w:space="0" w:color="auto"/>
            </w:tcBorders>
          </w:tcPr>
          <w:p w14:paraId="41E649E1" w14:textId="77777777" w:rsidR="003E09D8" w:rsidRPr="009D0B3A" w:rsidRDefault="003E09D8" w:rsidP="004B556F">
            <w:pPr>
              <w:pStyle w:val="Normal-pool-Table"/>
              <w:spacing w:before="20"/>
              <w:rPr>
                <w:szCs w:val="18"/>
              </w:rPr>
            </w:pPr>
            <w:r w:rsidRPr="009D0B3A">
              <w:rPr>
                <w:color w:val="000000"/>
              </w:rPr>
              <w:t>Guinée</w:t>
            </w:r>
          </w:p>
        </w:tc>
        <w:tc>
          <w:tcPr>
            <w:tcW w:w="1198" w:type="dxa"/>
            <w:tcBorders>
              <w:top w:val="single" w:sz="12" w:space="0" w:color="auto"/>
              <w:bottom w:val="single" w:sz="12" w:space="0" w:color="auto"/>
            </w:tcBorders>
          </w:tcPr>
          <w:p w14:paraId="3AAD1EF8" w14:textId="77777777" w:rsidR="003E09D8" w:rsidRPr="009D0B3A" w:rsidRDefault="003E09D8" w:rsidP="004B556F">
            <w:pPr>
              <w:pStyle w:val="Normal-pool-Table"/>
              <w:spacing w:before="20"/>
              <w:jc w:val="right"/>
            </w:pPr>
            <w:r w:rsidRPr="009D0B3A">
              <w:rPr>
                <w:color w:val="000000"/>
              </w:rPr>
              <w:t>878 384</w:t>
            </w:r>
          </w:p>
        </w:tc>
        <w:tc>
          <w:tcPr>
            <w:tcW w:w="1198" w:type="dxa"/>
            <w:tcBorders>
              <w:top w:val="single" w:sz="12" w:space="0" w:color="auto"/>
              <w:bottom w:val="single" w:sz="12" w:space="0" w:color="auto"/>
            </w:tcBorders>
          </w:tcPr>
          <w:p w14:paraId="1E89EEF5" w14:textId="77777777" w:rsidR="003E09D8" w:rsidRPr="009D0B3A" w:rsidRDefault="003E09D8" w:rsidP="004B556F">
            <w:pPr>
              <w:pStyle w:val="Normal-pool-Table"/>
              <w:spacing w:before="20"/>
              <w:jc w:val="right"/>
            </w:pPr>
            <w:r w:rsidRPr="009D0B3A">
              <w:rPr>
                <w:color w:val="000000"/>
              </w:rPr>
              <w:t>1 477 938</w:t>
            </w:r>
          </w:p>
        </w:tc>
        <w:tc>
          <w:tcPr>
            <w:tcW w:w="1199" w:type="dxa"/>
            <w:tcBorders>
              <w:top w:val="single" w:sz="12" w:space="0" w:color="auto"/>
              <w:bottom w:val="single" w:sz="12" w:space="0" w:color="auto"/>
              <w:right w:val="single" w:sz="4" w:space="0" w:color="auto"/>
            </w:tcBorders>
          </w:tcPr>
          <w:p w14:paraId="2CA0DED5" w14:textId="77777777" w:rsidR="003E09D8" w:rsidRPr="009D0B3A" w:rsidRDefault="003E09D8" w:rsidP="004B556F">
            <w:pPr>
              <w:pStyle w:val="Normal-pool-Table"/>
              <w:spacing w:before="20"/>
              <w:jc w:val="right"/>
            </w:pPr>
            <w:r w:rsidRPr="009D0B3A">
              <w:rPr>
                <w:color w:val="000000"/>
              </w:rPr>
              <w:t>1 673 662</w:t>
            </w:r>
          </w:p>
        </w:tc>
        <w:tc>
          <w:tcPr>
            <w:tcW w:w="1198" w:type="dxa"/>
            <w:tcBorders>
              <w:top w:val="single" w:sz="12" w:space="0" w:color="auto"/>
              <w:left w:val="single" w:sz="4" w:space="0" w:color="auto"/>
              <w:bottom w:val="single" w:sz="12" w:space="0" w:color="auto"/>
            </w:tcBorders>
          </w:tcPr>
          <w:p w14:paraId="32916334" w14:textId="77777777" w:rsidR="003E09D8" w:rsidRPr="009D0B3A" w:rsidRDefault="003E09D8" w:rsidP="004B556F">
            <w:pPr>
              <w:pStyle w:val="Normal-pool-Table"/>
              <w:spacing w:before="20"/>
              <w:jc w:val="right"/>
            </w:pPr>
            <w:r w:rsidRPr="009D0B3A">
              <w:rPr>
                <w:color w:val="000000"/>
              </w:rPr>
              <w:t>1 896 234</w:t>
            </w:r>
          </w:p>
        </w:tc>
        <w:tc>
          <w:tcPr>
            <w:tcW w:w="1198" w:type="dxa"/>
            <w:tcBorders>
              <w:top w:val="single" w:sz="12" w:space="0" w:color="auto"/>
              <w:bottom w:val="single" w:sz="12" w:space="0" w:color="auto"/>
            </w:tcBorders>
          </w:tcPr>
          <w:p w14:paraId="0E9782DB" w14:textId="77777777" w:rsidR="003E09D8" w:rsidRPr="009D0B3A" w:rsidRDefault="003E09D8" w:rsidP="004B556F">
            <w:pPr>
              <w:pStyle w:val="Normal-pool-Table"/>
              <w:spacing w:before="20"/>
              <w:jc w:val="right"/>
            </w:pPr>
            <w:r w:rsidRPr="009D0B3A">
              <w:rPr>
                <w:color w:val="000000"/>
              </w:rPr>
              <w:t>1 728 541</w:t>
            </w:r>
          </w:p>
        </w:tc>
        <w:tc>
          <w:tcPr>
            <w:tcW w:w="1199" w:type="dxa"/>
            <w:tcBorders>
              <w:top w:val="single" w:sz="12" w:space="0" w:color="auto"/>
              <w:bottom w:val="single" w:sz="12" w:space="0" w:color="auto"/>
            </w:tcBorders>
          </w:tcPr>
          <w:p w14:paraId="6583D18A" w14:textId="77777777" w:rsidR="003E09D8" w:rsidRPr="009D0B3A" w:rsidRDefault="003E09D8" w:rsidP="004B556F">
            <w:pPr>
              <w:pStyle w:val="Normal-pool-Table"/>
              <w:spacing w:before="20"/>
              <w:jc w:val="right"/>
            </w:pPr>
            <w:r w:rsidRPr="009D0B3A">
              <w:rPr>
                <w:color w:val="000000"/>
              </w:rPr>
              <w:t>1 715 084</w:t>
            </w:r>
          </w:p>
        </w:tc>
      </w:tr>
    </w:tbl>
    <w:p w14:paraId="68F65AEF" w14:textId="32598607" w:rsidR="003E09D8" w:rsidRPr="009D0B3A" w:rsidRDefault="003E09D8" w:rsidP="000021C8">
      <w:pPr>
        <w:tabs>
          <w:tab w:val="left" w:pos="624"/>
          <w:tab w:val="left" w:pos="1871"/>
          <w:tab w:val="left" w:pos="2495"/>
          <w:tab w:val="left" w:pos="3119"/>
          <w:tab w:val="left" w:pos="3742"/>
          <w:tab w:val="left" w:pos="4366"/>
          <w:tab w:val="left" w:pos="4990"/>
        </w:tabs>
        <w:spacing w:before="60" w:after="120"/>
        <w:ind w:left="1247"/>
        <w:rPr>
          <w:i/>
          <w:sz w:val="17"/>
          <w:szCs w:val="17"/>
        </w:rPr>
      </w:pPr>
      <w:r w:rsidRPr="009D0B3A">
        <w:rPr>
          <w:sz w:val="17"/>
          <w:szCs w:val="17"/>
        </w:rPr>
        <w:tab/>
      </w:r>
      <w:r w:rsidRPr="009D0B3A">
        <w:rPr>
          <w:i/>
          <w:iCs/>
          <w:sz w:val="17"/>
          <w:szCs w:val="17"/>
        </w:rPr>
        <w:t>Abréviations</w:t>
      </w:r>
      <w:r w:rsidR="00AA6A89" w:rsidRPr="009D0B3A">
        <w:rPr>
          <w:sz w:val="17"/>
          <w:szCs w:val="17"/>
        </w:rPr>
        <w:t> :</w:t>
      </w:r>
      <w:r w:rsidRPr="009D0B3A">
        <w:rPr>
          <w:sz w:val="17"/>
          <w:szCs w:val="17"/>
        </w:rPr>
        <w:t xml:space="preserve"> éqCO</w:t>
      </w:r>
      <w:r w:rsidRPr="009D0B3A">
        <w:rPr>
          <w:sz w:val="17"/>
          <w:szCs w:val="17"/>
          <w:vertAlign w:val="subscript"/>
        </w:rPr>
        <w:t>2</w:t>
      </w:r>
      <w:r w:rsidRPr="009D0B3A">
        <w:rPr>
          <w:sz w:val="17"/>
          <w:szCs w:val="17"/>
        </w:rPr>
        <w:t xml:space="preserve"> = équivalent dioxyde de carbone</w:t>
      </w:r>
      <w:r w:rsidR="00AA6A89" w:rsidRPr="009D0B3A">
        <w:rPr>
          <w:sz w:val="17"/>
          <w:szCs w:val="17"/>
        </w:rPr>
        <w:t> ;</w:t>
      </w:r>
      <w:r w:rsidRPr="009D0B3A">
        <w:rPr>
          <w:sz w:val="17"/>
          <w:szCs w:val="17"/>
        </w:rPr>
        <w:t xml:space="preserve"> HFC – hydrofluorocarbones. </w:t>
      </w:r>
    </w:p>
    <w:p w14:paraId="4E0B60DC" w14:textId="6910561C"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r w:rsidRPr="009D0B3A">
        <w:t xml:space="preserve">Que les Îles Marshall, Kiribati, Nauru, Nioué, les Tuvalu et Vanuatu ont </w:t>
      </w:r>
      <w:r w:rsidR="00AA6A89" w:rsidRPr="009D0B3A">
        <w:t>présenté, conformément</w:t>
      </w:r>
      <w:r w:rsidRPr="009D0B3A">
        <w:t xml:space="preserve"> à la décision XV/19, des informations suffisantes pour justifier leurs demandes de</w:t>
      </w:r>
      <w:r w:rsidR="00B46F80" w:rsidRPr="009D0B3A">
        <w:t xml:space="preserve"> </w:t>
      </w:r>
      <w:r w:rsidRPr="009D0B3A">
        <w:t>révision des données communiquées pour une partie ou la totalité des années 2020, 2021 et 2022</w:t>
      </w:r>
      <w:r w:rsidR="00B1296E" w:rsidRPr="009D0B3A">
        <w:t xml:space="preserve"> </w:t>
      </w:r>
      <w:r w:rsidRPr="009D0B3A">
        <w:t>concernant leur consommation d</w:t>
      </w:r>
      <w:r w:rsidR="00AA6A89" w:rsidRPr="009D0B3A">
        <w:t>’</w:t>
      </w:r>
      <w:r w:rsidRPr="009D0B3A">
        <w:t>hydrofluorocarbones, qui sont prises en compte dans le calcul du</w:t>
      </w:r>
      <w:r w:rsidR="00B1296E" w:rsidRPr="009D0B3A">
        <w:t xml:space="preserve"> </w:t>
      </w:r>
      <w:r w:rsidRPr="009D0B3A">
        <w:t>niveau de référence des Parties visées à l</w:t>
      </w:r>
      <w:r w:rsidR="00AA6A89" w:rsidRPr="009D0B3A">
        <w:t>’</w:t>
      </w:r>
      <w:r w:rsidRPr="009D0B3A">
        <w:t>article 5 appartenant au groupe 1 défini dans l</w:t>
      </w:r>
      <w:r w:rsidR="00AA6A89" w:rsidRPr="009D0B3A">
        <w:t>’Amendement de</w:t>
      </w:r>
      <w:r w:rsidRPr="009D0B3A">
        <w:t xml:space="preserve"> Kigali</w:t>
      </w:r>
      <w:r w:rsidR="00AA6A89" w:rsidRPr="009D0B3A">
        <w:t> ;</w:t>
      </w:r>
    </w:p>
    <w:p w14:paraId="258FB030" w14:textId="28972E03"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approuver la demande présentée par les Îles Marshall, Kiribati, Nauru, Nioué, les Tuvalu et Vanuatu et de réviser leurs données de consommation d</w:t>
      </w:r>
      <w:r w:rsidR="00AA6A89" w:rsidRPr="009D0B3A">
        <w:t>’</w:t>
      </w:r>
      <w:r w:rsidRPr="009D0B3A">
        <w:t>hydrofluorocarbones pour les années de référence, comme indiqué dans le tableau ci-après</w:t>
      </w:r>
      <w:r w:rsidR="00AA6A89" w:rsidRPr="009D0B3A">
        <w:t>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162"/>
        <w:gridCol w:w="1162"/>
        <w:gridCol w:w="1162"/>
        <w:gridCol w:w="1031"/>
        <w:gridCol w:w="1031"/>
        <w:gridCol w:w="1031"/>
      </w:tblGrid>
      <w:tr w:rsidR="003E09D8" w:rsidRPr="009D0B3A" w14:paraId="71D83925" w14:textId="77777777" w:rsidTr="00333421">
        <w:trPr>
          <w:tblHeader/>
          <w:jc w:val="right"/>
        </w:trPr>
        <w:tc>
          <w:tcPr>
            <w:tcW w:w="1728" w:type="dxa"/>
            <w:vMerge w:val="restart"/>
            <w:tcBorders>
              <w:top w:val="single" w:sz="4" w:space="0" w:color="auto"/>
            </w:tcBorders>
            <w:vAlign w:val="bottom"/>
          </w:tcPr>
          <w:p w14:paraId="1466FA3B" w14:textId="77777777" w:rsidR="003E09D8" w:rsidRPr="009D0B3A" w:rsidRDefault="003E09D8" w:rsidP="00333421">
            <w:pPr>
              <w:pStyle w:val="Normal-pool-Table"/>
              <w:rPr>
                <w:i/>
                <w:iCs/>
                <w:szCs w:val="18"/>
              </w:rPr>
            </w:pPr>
            <w:r w:rsidRPr="009D0B3A">
              <w:rPr>
                <w:i/>
                <w:iCs/>
                <w:color w:val="000000"/>
              </w:rPr>
              <w:t>Partie/année</w:t>
            </w:r>
          </w:p>
        </w:tc>
        <w:tc>
          <w:tcPr>
            <w:tcW w:w="3486" w:type="dxa"/>
            <w:gridSpan w:val="3"/>
            <w:tcBorders>
              <w:top w:val="single" w:sz="4" w:space="0" w:color="auto"/>
              <w:bottom w:val="single" w:sz="4" w:space="0" w:color="auto"/>
            </w:tcBorders>
            <w:vAlign w:val="bottom"/>
          </w:tcPr>
          <w:p w14:paraId="4D9A6646" w14:textId="7F2C2E30" w:rsidR="003E09D8" w:rsidRPr="009D0B3A" w:rsidRDefault="003E09D8" w:rsidP="00333421">
            <w:pPr>
              <w:pStyle w:val="Normal-pool-Table"/>
              <w:jc w:val="center"/>
              <w:rPr>
                <w:i/>
                <w:iCs/>
                <w:szCs w:val="18"/>
              </w:rPr>
            </w:pPr>
            <w:r w:rsidRPr="009D0B3A">
              <w:rPr>
                <w:i/>
                <w:iCs/>
                <w:color w:val="000000"/>
              </w:rPr>
              <w:t>Précédentes données pour les HFC (en</w:t>
            </w:r>
            <w:r w:rsidR="006B662A">
              <w:rPr>
                <w:i/>
                <w:iCs/>
                <w:color w:val="000000"/>
              </w:rPr>
              <w:t> </w:t>
            </w:r>
            <w:r w:rsidRPr="009D0B3A">
              <w:rPr>
                <w:i/>
                <w:iCs/>
                <w:color w:val="000000"/>
              </w:rPr>
              <w:t>tonnes d</w:t>
            </w:r>
            <w:r w:rsidR="00AA6A89" w:rsidRPr="009D0B3A">
              <w:rPr>
                <w:i/>
                <w:iCs/>
                <w:color w:val="000000"/>
              </w:rPr>
              <w:t>’</w:t>
            </w:r>
            <w:r w:rsidRPr="009D0B3A">
              <w:rPr>
                <w:i/>
                <w:iCs/>
                <w:color w:val="000000"/>
              </w:rPr>
              <w:t>éqCO</w:t>
            </w:r>
            <w:r w:rsidRPr="009D0B3A">
              <w:rPr>
                <w:i/>
                <w:iCs/>
                <w:color w:val="000000"/>
                <w:vertAlign w:val="subscript"/>
              </w:rPr>
              <w:t>2</w:t>
            </w:r>
            <w:r w:rsidRPr="009D0B3A">
              <w:rPr>
                <w:i/>
                <w:iCs/>
                <w:color w:val="000000"/>
              </w:rPr>
              <w:t>)</w:t>
            </w:r>
          </w:p>
        </w:tc>
        <w:tc>
          <w:tcPr>
            <w:tcW w:w="3093" w:type="dxa"/>
            <w:gridSpan w:val="3"/>
            <w:tcBorders>
              <w:top w:val="single" w:sz="4" w:space="0" w:color="auto"/>
              <w:bottom w:val="single" w:sz="4" w:space="0" w:color="auto"/>
            </w:tcBorders>
            <w:vAlign w:val="bottom"/>
          </w:tcPr>
          <w:p w14:paraId="37527827" w14:textId="290D0BBA" w:rsidR="003E09D8" w:rsidRPr="009D0B3A" w:rsidRDefault="003E09D8" w:rsidP="00333421">
            <w:pPr>
              <w:pStyle w:val="Normal-pool-Table"/>
              <w:jc w:val="center"/>
              <w:rPr>
                <w:i/>
                <w:iCs/>
                <w:szCs w:val="18"/>
              </w:rPr>
            </w:pPr>
            <w:r w:rsidRPr="009D0B3A">
              <w:rPr>
                <w:i/>
                <w:iCs/>
                <w:color w:val="000000"/>
              </w:rPr>
              <w:t>Nouvelles données pour les HFC (en</w:t>
            </w:r>
            <w:r w:rsidR="006B662A">
              <w:rPr>
                <w:i/>
                <w:iCs/>
                <w:color w:val="000000"/>
              </w:rPr>
              <w:t> </w:t>
            </w:r>
            <w:r w:rsidRPr="009D0B3A">
              <w:rPr>
                <w:i/>
                <w:iCs/>
                <w:color w:val="000000"/>
              </w:rPr>
              <w:t>tonnes d</w:t>
            </w:r>
            <w:r w:rsidR="00AA6A89" w:rsidRPr="009D0B3A">
              <w:rPr>
                <w:i/>
                <w:iCs/>
                <w:color w:val="000000"/>
              </w:rPr>
              <w:t>’</w:t>
            </w:r>
            <w:r w:rsidRPr="009D0B3A">
              <w:rPr>
                <w:i/>
                <w:iCs/>
                <w:color w:val="000000"/>
              </w:rPr>
              <w:t>éqCO</w:t>
            </w:r>
            <w:r w:rsidRPr="009D0B3A">
              <w:rPr>
                <w:i/>
                <w:iCs/>
                <w:color w:val="000000"/>
                <w:vertAlign w:val="subscript"/>
              </w:rPr>
              <w:t>2</w:t>
            </w:r>
            <w:r w:rsidRPr="009D0B3A">
              <w:rPr>
                <w:i/>
                <w:iCs/>
                <w:color w:val="000000"/>
              </w:rPr>
              <w:t>)</w:t>
            </w:r>
          </w:p>
        </w:tc>
      </w:tr>
      <w:tr w:rsidR="003E09D8" w:rsidRPr="009D0B3A" w14:paraId="0FA3C754" w14:textId="77777777" w:rsidTr="00333421">
        <w:trPr>
          <w:tblHeader/>
          <w:jc w:val="right"/>
        </w:trPr>
        <w:tc>
          <w:tcPr>
            <w:tcW w:w="1728" w:type="dxa"/>
            <w:vMerge/>
            <w:tcBorders>
              <w:bottom w:val="single" w:sz="12" w:space="0" w:color="auto"/>
            </w:tcBorders>
            <w:vAlign w:val="bottom"/>
          </w:tcPr>
          <w:p w14:paraId="0F153D80" w14:textId="77777777" w:rsidR="003E09D8" w:rsidRPr="009D0B3A" w:rsidRDefault="003E09D8" w:rsidP="00333421">
            <w:pPr>
              <w:pStyle w:val="Normal-pool-Table"/>
              <w:rPr>
                <w:i/>
                <w:iCs/>
                <w:szCs w:val="18"/>
              </w:rPr>
            </w:pPr>
          </w:p>
        </w:tc>
        <w:tc>
          <w:tcPr>
            <w:tcW w:w="1162" w:type="dxa"/>
            <w:tcBorders>
              <w:top w:val="single" w:sz="4" w:space="0" w:color="auto"/>
              <w:bottom w:val="single" w:sz="12" w:space="0" w:color="auto"/>
            </w:tcBorders>
            <w:vAlign w:val="bottom"/>
          </w:tcPr>
          <w:p w14:paraId="3CE5111F" w14:textId="77777777" w:rsidR="003E09D8" w:rsidRPr="009D0B3A" w:rsidRDefault="003E09D8" w:rsidP="00333421">
            <w:pPr>
              <w:pStyle w:val="Normal-pool-Table"/>
              <w:jc w:val="right"/>
              <w:rPr>
                <w:i/>
                <w:iCs/>
                <w:szCs w:val="18"/>
              </w:rPr>
            </w:pPr>
            <w:r w:rsidRPr="009D0B3A">
              <w:rPr>
                <w:i/>
                <w:iCs/>
                <w:color w:val="000000"/>
              </w:rPr>
              <w:t>2020</w:t>
            </w:r>
          </w:p>
        </w:tc>
        <w:tc>
          <w:tcPr>
            <w:tcW w:w="1162" w:type="dxa"/>
            <w:tcBorders>
              <w:top w:val="single" w:sz="4" w:space="0" w:color="auto"/>
              <w:bottom w:val="single" w:sz="12" w:space="0" w:color="auto"/>
            </w:tcBorders>
            <w:vAlign w:val="bottom"/>
          </w:tcPr>
          <w:p w14:paraId="3ACE9FE3" w14:textId="77777777" w:rsidR="003E09D8" w:rsidRPr="009D0B3A" w:rsidRDefault="003E09D8" w:rsidP="00333421">
            <w:pPr>
              <w:pStyle w:val="Normal-pool-Table"/>
              <w:jc w:val="right"/>
              <w:rPr>
                <w:i/>
                <w:iCs/>
                <w:szCs w:val="18"/>
              </w:rPr>
            </w:pPr>
            <w:r w:rsidRPr="009D0B3A">
              <w:rPr>
                <w:i/>
                <w:iCs/>
                <w:color w:val="000000"/>
              </w:rPr>
              <w:t>2021</w:t>
            </w:r>
          </w:p>
        </w:tc>
        <w:tc>
          <w:tcPr>
            <w:tcW w:w="1162" w:type="dxa"/>
            <w:tcBorders>
              <w:top w:val="single" w:sz="4" w:space="0" w:color="auto"/>
              <w:bottom w:val="single" w:sz="12" w:space="0" w:color="auto"/>
            </w:tcBorders>
            <w:vAlign w:val="bottom"/>
          </w:tcPr>
          <w:p w14:paraId="23D8A833" w14:textId="77777777" w:rsidR="003E09D8" w:rsidRPr="009D0B3A" w:rsidRDefault="003E09D8" w:rsidP="00333421">
            <w:pPr>
              <w:pStyle w:val="Normal-pool-Table"/>
              <w:jc w:val="right"/>
              <w:rPr>
                <w:i/>
                <w:iCs/>
                <w:szCs w:val="18"/>
              </w:rPr>
            </w:pPr>
            <w:r w:rsidRPr="009D0B3A">
              <w:rPr>
                <w:i/>
                <w:iCs/>
                <w:color w:val="000000"/>
              </w:rPr>
              <w:t>2022</w:t>
            </w:r>
          </w:p>
        </w:tc>
        <w:tc>
          <w:tcPr>
            <w:tcW w:w="1031" w:type="dxa"/>
            <w:tcBorders>
              <w:top w:val="single" w:sz="4" w:space="0" w:color="auto"/>
              <w:bottom w:val="single" w:sz="12" w:space="0" w:color="auto"/>
            </w:tcBorders>
            <w:vAlign w:val="bottom"/>
          </w:tcPr>
          <w:p w14:paraId="49B9731C" w14:textId="77777777" w:rsidR="003E09D8" w:rsidRPr="009D0B3A" w:rsidRDefault="003E09D8" w:rsidP="00333421">
            <w:pPr>
              <w:pStyle w:val="Normal-pool-Table"/>
              <w:jc w:val="right"/>
              <w:rPr>
                <w:i/>
                <w:iCs/>
                <w:szCs w:val="18"/>
              </w:rPr>
            </w:pPr>
            <w:r w:rsidRPr="009D0B3A">
              <w:rPr>
                <w:i/>
                <w:iCs/>
                <w:color w:val="000000"/>
              </w:rPr>
              <w:t>2020</w:t>
            </w:r>
          </w:p>
        </w:tc>
        <w:tc>
          <w:tcPr>
            <w:tcW w:w="1031" w:type="dxa"/>
            <w:tcBorders>
              <w:top w:val="single" w:sz="4" w:space="0" w:color="auto"/>
              <w:bottom w:val="single" w:sz="12" w:space="0" w:color="auto"/>
            </w:tcBorders>
            <w:vAlign w:val="bottom"/>
          </w:tcPr>
          <w:p w14:paraId="6A81D70E" w14:textId="77777777" w:rsidR="003E09D8" w:rsidRPr="009D0B3A" w:rsidRDefault="003E09D8" w:rsidP="00333421">
            <w:pPr>
              <w:pStyle w:val="Normal-pool-Table"/>
              <w:jc w:val="right"/>
              <w:rPr>
                <w:i/>
                <w:iCs/>
                <w:szCs w:val="18"/>
              </w:rPr>
            </w:pPr>
            <w:r w:rsidRPr="009D0B3A">
              <w:rPr>
                <w:i/>
                <w:iCs/>
                <w:color w:val="000000"/>
              </w:rPr>
              <w:t>2021</w:t>
            </w:r>
          </w:p>
        </w:tc>
        <w:tc>
          <w:tcPr>
            <w:tcW w:w="1031" w:type="dxa"/>
            <w:tcBorders>
              <w:top w:val="single" w:sz="4" w:space="0" w:color="auto"/>
              <w:bottom w:val="single" w:sz="12" w:space="0" w:color="auto"/>
            </w:tcBorders>
            <w:vAlign w:val="bottom"/>
          </w:tcPr>
          <w:p w14:paraId="122424C8" w14:textId="77777777" w:rsidR="003E09D8" w:rsidRPr="009D0B3A" w:rsidRDefault="003E09D8" w:rsidP="00333421">
            <w:pPr>
              <w:pStyle w:val="Normal-pool-Table"/>
              <w:jc w:val="right"/>
              <w:rPr>
                <w:i/>
                <w:iCs/>
                <w:szCs w:val="18"/>
              </w:rPr>
            </w:pPr>
            <w:r w:rsidRPr="009D0B3A">
              <w:rPr>
                <w:i/>
                <w:iCs/>
                <w:color w:val="000000"/>
              </w:rPr>
              <w:t>2022</w:t>
            </w:r>
          </w:p>
        </w:tc>
      </w:tr>
      <w:tr w:rsidR="004D3A18" w:rsidRPr="009D0B3A" w14:paraId="34402E3A" w14:textId="77777777" w:rsidTr="00F03035">
        <w:trPr>
          <w:jc w:val="right"/>
        </w:trPr>
        <w:tc>
          <w:tcPr>
            <w:tcW w:w="1728" w:type="dxa"/>
          </w:tcPr>
          <w:p w14:paraId="09BA3E5E" w14:textId="77777777" w:rsidR="004D3A18" w:rsidRPr="00726273" w:rsidRDefault="004D3A18" w:rsidP="00333421">
            <w:pPr>
              <w:pStyle w:val="Normal-pool-Table"/>
              <w:rPr>
                <w:szCs w:val="18"/>
                <w:lang w:val="en-US"/>
              </w:rPr>
            </w:pPr>
            <w:r w:rsidRPr="009D0B3A">
              <w:rPr>
                <w:color w:val="000000"/>
              </w:rPr>
              <w:t>Îles Marshall</w:t>
            </w:r>
          </w:p>
        </w:tc>
        <w:tc>
          <w:tcPr>
            <w:tcW w:w="1162" w:type="dxa"/>
          </w:tcPr>
          <w:p w14:paraId="48F75ED6" w14:textId="77777777" w:rsidR="004D3A18" w:rsidRPr="009D0B3A" w:rsidRDefault="004D3A18" w:rsidP="00333421">
            <w:pPr>
              <w:pStyle w:val="Normal-pool-Table"/>
              <w:jc w:val="right"/>
              <w:rPr>
                <w:szCs w:val="18"/>
              </w:rPr>
            </w:pPr>
            <w:r w:rsidRPr="009D0B3A">
              <w:rPr>
                <w:color w:val="000000"/>
              </w:rPr>
              <w:t>7 067</w:t>
            </w:r>
          </w:p>
        </w:tc>
        <w:tc>
          <w:tcPr>
            <w:tcW w:w="1162" w:type="dxa"/>
          </w:tcPr>
          <w:p w14:paraId="54FE048B" w14:textId="77777777" w:rsidR="004D3A18" w:rsidRPr="009D0B3A" w:rsidRDefault="004D3A18" w:rsidP="00333421">
            <w:pPr>
              <w:pStyle w:val="Normal-pool-Table"/>
              <w:jc w:val="right"/>
              <w:rPr>
                <w:szCs w:val="18"/>
              </w:rPr>
            </w:pPr>
            <w:r w:rsidRPr="009D0B3A">
              <w:rPr>
                <w:color w:val="000000"/>
              </w:rPr>
              <w:t>4 380</w:t>
            </w:r>
          </w:p>
        </w:tc>
        <w:tc>
          <w:tcPr>
            <w:tcW w:w="1162" w:type="dxa"/>
          </w:tcPr>
          <w:p w14:paraId="3001294E" w14:textId="77777777" w:rsidR="004D3A18" w:rsidRPr="009D0B3A" w:rsidRDefault="004D3A18" w:rsidP="00333421">
            <w:pPr>
              <w:pStyle w:val="Normal-pool-Table"/>
              <w:jc w:val="right"/>
              <w:rPr>
                <w:szCs w:val="18"/>
              </w:rPr>
            </w:pPr>
            <w:r w:rsidRPr="009D0B3A">
              <w:rPr>
                <w:color w:val="000000"/>
              </w:rPr>
              <w:t>6 943</w:t>
            </w:r>
          </w:p>
        </w:tc>
        <w:tc>
          <w:tcPr>
            <w:tcW w:w="1031" w:type="dxa"/>
          </w:tcPr>
          <w:p w14:paraId="379A62E3" w14:textId="77777777" w:rsidR="004D3A18" w:rsidRPr="009D0B3A" w:rsidRDefault="004D3A18" w:rsidP="00333421">
            <w:pPr>
              <w:pStyle w:val="Normal-pool-Table"/>
              <w:jc w:val="right"/>
              <w:rPr>
                <w:szCs w:val="18"/>
              </w:rPr>
            </w:pPr>
            <w:r w:rsidRPr="009D0B3A">
              <w:rPr>
                <w:color w:val="000000"/>
              </w:rPr>
              <w:t>10 922</w:t>
            </w:r>
          </w:p>
        </w:tc>
        <w:tc>
          <w:tcPr>
            <w:tcW w:w="1031" w:type="dxa"/>
          </w:tcPr>
          <w:p w14:paraId="38D0783B" w14:textId="77777777" w:rsidR="004D3A18" w:rsidRPr="009D0B3A" w:rsidRDefault="004D3A18" w:rsidP="00333421">
            <w:pPr>
              <w:pStyle w:val="Normal-pool-Table"/>
              <w:jc w:val="right"/>
              <w:rPr>
                <w:szCs w:val="18"/>
              </w:rPr>
            </w:pPr>
            <w:r w:rsidRPr="009D0B3A">
              <w:rPr>
                <w:color w:val="000000"/>
              </w:rPr>
              <w:t>13 677</w:t>
            </w:r>
          </w:p>
        </w:tc>
        <w:tc>
          <w:tcPr>
            <w:tcW w:w="1031" w:type="dxa"/>
          </w:tcPr>
          <w:p w14:paraId="30A13A23" w14:textId="77777777" w:rsidR="004D3A18" w:rsidRPr="009D0B3A" w:rsidRDefault="004D3A18" w:rsidP="00333421">
            <w:pPr>
              <w:pStyle w:val="Normal-pool-Table"/>
              <w:jc w:val="right"/>
              <w:rPr>
                <w:szCs w:val="18"/>
              </w:rPr>
            </w:pPr>
            <w:r w:rsidRPr="009D0B3A">
              <w:rPr>
                <w:color w:val="000000"/>
              </w:rPr>
              <w:t>9 095</w:t>
            </w:r>
          </w:p>
        </w:tc>
      </w:tr>
      <w:tr w:rsidR="004D3A18" w:rsidRPr="009D0B3A" w14:paraId="157353D3" w14:textId="77777777" w:rsidTr="00F03035">
        <w:trPr>
          <w:jc w:val="right"/>
        </w:trPr>
        <w:tc>
          <w:tcPr>
            <w:tcW w:w="1728" w:type="dxa"/>
          </w:tcPr>
          <w:p w14:paraId="1D3A34EC" w14:textId="77777777" w:rsidR="004D3A18" w:rsidRPr="009D0B3A" w:rsidRDefault="004D3A18" w:rsidP="00333421">
            <w:pPr>
              <w:pStyle w:val="Normal-pool-Table"/>
              <w:rPr>
                <w:szCs w:val="18"/>
              </w:rPr>
            </w:pPr>
            <w:r w:rsidRPr="009D0B3A">
              <w:rPr>
                <w:color w:val="000000"/>
              </w:rPr>
              <w:t>Kiribati</w:t>
            </w:r>
          </w:p>
        </w:tc>
        <w:tc>
          <w:tcPr>
            <w:tcW w:w="1162" w:type="dxa"/>
          </w:tcPr>
          <w:p w14:paraId="5D0D1102" w14:textId="77777777" w:rsidR="004D3A18" w:rsidRPr="009D0B3A" w:rsidRDefault="004D3A18" w:rsidP="00333421">
            <w:pPr>
              <w:pStyle w:val="Normal-pool-Table"/>
              <w:jc w:val="right"/>
              <w:rPr>
                <w:szCs w:val="18"/>
              </w:rPr>
            </w:pPr>
            <w:r w:rsidRPr="009D0B3A">
              <w:rPr>
                <w:color w:val="000000"/>
              </w:rPr>
              <w:t>7 063</w:t>
            </w:r>
          </w:p>
        </w:tc>
        <w:tc>
          <w:tcPr>
            <w:tcW w:w="1162" w:type="dxa"/>
          </w:tcPr>
          <w:p w14:paraId="59525A4F" w14:textId="77777777" w:rsidR="004D3A18" w:rsidRPr="009D0B3A" w:rsidRDefault="004D3A18" w:rsidP="00333421">
            <w:pPr>
              <w:pStyle w:val="Normal-pool-Table"/>
              <w:jc w:val="right"/>
              <w:rPr>
                <w:szCs w:val="18"/>
              </w:rPr>
            </w:pPr>
            <w:r w:rsidRPr="009D0B3A">
              <w:rPr>
                <w:color w:val="000000"/>
              </w:rPr>
              <w:t>10 471</w:t>
            </w:r>
          </w:p>
        </w:tc>
        <w:tc>
          <w:tcPr>
            <w:tcW w:w="1162" w:type="dxa"/>
          </w:tcPr>
          <w:p w14:paraId="475F67B5" w14:textId="77777777" w:rsidR="004D3A18" w:rsidRPr="009D0B3A" w:rsidRDefault="004D3A18" w:rsidP="00333421">
            <w:pPr>
              <w:pStyle w:val="Normal-pool-Table"/>
              <w:jc w:val="right"/>
              <w:rPr>
                <w:szCs w:val="18"/>
              </w:rPr>
            </w:pPr>
            <w:r w:rsidRPr="009D0B3A">
              <w:rPr>
                <w:color w:val="000000"/>
              </w:rPr>
              <w:t>3 569</w:t>
            </w:r>
          </w:p>
        </w:tc>
        <w:tc>
          <w:tcPr>
            <w:tcW w:w="1031" w:type="dxa"/>
          </w:tcPr>
          <w:p w14:paraId="321A70E2" w14:textId="77777777" w:rsidR="004D3A18" w:rsidRPr="009D0B3A" w:rsidRDefault="004D3A18" w:rsidP="00333421">
            <w:pPr>
              <w:pStyle w:val="Normal-pool-Table"/>
              <w:jc w:val="right"/>
              <w:rPr>
                <w:szCs w:val="18"/>
              </w:rPr>
            </w:pPr>
            <w:r w:rsidRPr="009D0B3A">
              <w:rPr>
                <w:color w:val="000000"/>
              </w:rPr>
              <w:t>7 063</w:t>
            </w:r>
          </w:p>
        </w:tc>
        <w:tc>
          <w:tcPr>
            <w:tcW w:w="1031" w:type="dxa"/>
          </w:tcPr>
          <w:p w14:paraId="3B6957AF" w14:textId="77777777" w:rsidR="004D3A18" w:rsidRPr="009D0B3A" w:rsidRDefault="004D3A18" w:rsidP="00333421">
            <w:pPr>
              <w:pStyle w:val="Normal-pool-Table"/>
              <w:jc w:val="right"/>
              <w:rPr>
                <w:szCs w:val="18"/>
              </w:rPr>
            </w:pPr>
            <w:r w:rsidRPr="009D0B3A">
              <w:rPr>
                <w:color w:val="000000"/>
              </w:rPr>
              <w:t>10 471</w:t>
            </w:r>
          </w:p>
        </w:tc>
        <w:tc>
          <w:tcPr>
            <w:tcW w:w="1031" w:type="dxa"/>
          </w:tcPr>
          <w:p w14:paraId="53559649" w14:textId="77777777" w:rsidR="004D3A18" w:rsidRPr="009D0B3A" w:rsidRDefault="004D3A18" w:rsidP="00333421">
            <w:pPr>
              <w:pStyle w:val="Normal-pool-Table"/>
              <w:jc w:val="right"/>
              <w:rPr>
                <w:szCs w:val="18"/>
              </w:rPr>
            </w:pPr>
            <w:r w:rsidRPr="009D0B3A">
              <w:rPr>
                <w:color w:val="000000"/>
              </w:rPr>
              <w:t>4 570</w:t>
            </w:r>
          </w:p>
        </w:tc>
      </w:tr>
      <w:tr w:rsidR="004D3A18" w:rsidRPr="009D0B3A" w14:paraId="12BB14B9" w14:textId="77777777" w:rsidTr="00333421">
        <w:trPr>
          <w:jc w:val="right"/>
        </w:trPr>
        <w:tc>
          <w:tcPr>
            <w:tcW w:w="1728" w:type="dxa"/>
          </w:tcPr>
          <w:p w14:paraId="04638F50" w14:textId="77777777" w:rsidR="004D3A18" w:rsidRPr="009D0B3A" w:rsidRDefault="004D3A18" w:rsidP="00333421">
            <w:pPr>
              <w:pStyle w:val="Normal-pool-Table"/>
              <w:rPr>
                <w:szCs w:val="18"/>
              </w:rPr>
            </w:pPr>
            <w:r w:rsidRPr="009D0B3A">
              <w:rPr>
                <w:color w:val="000000"/>
              </w:rPr>
              <w:t>Nauru</w:t>
            </w:r>
          </w:p>
        </w:tc>
        <w:tc>
          <w:tcPr>
            <w:tcW w:w="1162" w:type="dxa"/>
          </w:tcPr>
          <w:p w14:paraId="7A7D9260" w14:textId="77777777" w:rsidR="004D3A18" w:rsidRPr="009D0B3A" w:rsidRDefault="004D3A18" w:rsidP="00333421">
            <w:pPr>
              <w:pStyle w:val="Normal-pool-Table"/>
              <w:jc w:val="right"/>
              <w:rPr>
                <w:szCs w:val="18"/>
              </w:rPr>
            </w:pPr>
            <w:r w:rsidRPr="009D0B3A">
              <w:rPr>
                <w:color w:val="000000"/>
              </w:rPr>
              <w:t>335</w:t>
            </w:r>
          </w:p>
        </w:tc>
        <w:tc>
          <w:tcPr>
            <w:tcW w:w="1162" w:type="dxa"/>
          </w:tcPr>
          <w:p w14:paraId="3E65746C" w14:textId="77777777" w:rsidR="004D3A18" w:rsidRPr="009D0B3A" w:rsidRDefault="004D3A18" w:rsidP="00333421">
            <w:pPr>
              <w:pStyle w:val="Normal-pool-Table"/>
              <w:jc w:val="right"/>
              <w:rPr>
                <w:szCs w:val="18"/>
              </w:rPr>
            </w:pPr>
            <w:r w:rsidRPr="009D0B3A">
              <w:rPr>
                <w:color w:val="000000"/>
              </w:rPr>
              <w:t>1 186</w:t>
            </w:r>
          </w:p>
        </w:tc>
        <w:tc>
          <w:tcPr>
            <w:tcW w:w="1162" w:type="dxa"/>
          </w:tcPr>
          <w:p w14:paraId="55301D56" w14:textId="77777777" w:rsidR="004D3A18" w:rsidRPr="009D0B3A" w:rsidRDefault="004D3A18" w:rsidP="00333421">
            <w:pPr>
              <w:pStyle w:val="Normal-pool-Table"/>
              <w:jc w:val="right"/>
              <w:rPr>
                <w:szCs w:val="18"/>
              </w:rPr>
            </w:pPr>
            <w:r w:rsidRPr="009D0B3A">
              <w:rPr>
                <w:color w:val="000000"/>
              </w:rPr>
              <w:t>1 456</w:t>
            </w:r>
          </w:p>
        </w:tc>
        <w:tc>
          <w:tcPr>
            <w:tcW w:w="1031" w:type="dxa"/>
          </w:tcPr>
          <w:p w14:paraId="31E25EBC" w14:textId="77777777" w:rsidR="004D3A18" w:rsidRPr="009D0B3A" w:rsidRDefault="004D3A18" w:rsidP="00333421">
            <w:pPr>
              <w:pStyle w:val="Normal-pool-Table"/>
              <w:jc w:val="right"/>
              <w:rPr>
                <w:szCs w:val="18"/>
              </w:rPr>
            </w:pPr>
            <w:r w:rsidRPr="009D0B3A">
              <w:rPr>
                <w:color w:val="000000"/>
              </w:rPr>
              <w:t>1 997</w:t>
            </w:r>
          </w:p>
        </w:tc>
        <w:tc>
          <w:tcPr>
            <w:tcW w:w="1031" w:type="dxa"/>
          </w:tcPr>
          <w:p w14:paraId="54591AC0" w14:textId="77777777" w:rsidR="004D3A18" w:rsidRPr="009D0B3A" w:rsidRDefault="004D3A18" w:rsidP="00333421">
            <w:pPr>
              <w:pStyle w:val="Normal-pool-Table"/>
              <w:jc w:val="right"/>
              <w:rPr>
                <w:szCs w:val="18"/>
              </w:rPr>
            </w:pPr>
            <w:r w:rsidRPr="009D0B3A">
              <w:rPr>
                <w:color w:val="000000"/>
              </w:rPr>
              <w:t>2 175</w:t>
            </w:r>
          </w:p>
        </w:tc>
        <w:tc>
          <w:tcPr>
            <w:tcW w:w="1031" w:type="dxa"/>
          </w:tcPr>
          <w:p w14:paraId="79642A63" w14:textId="77777777" w:rsidR="004D3A18" w:rsidRPr="009D0B3A" w:rsidRDefault="004D3A18" w:rsidP="00333421">
            <w:pPr>
              <w:pStyle w:val="Normal-pool-Table"/>
              <w:jc w:val="right"/>
              <w:rPr>
                <w:szCs w:val="18"/>
              </w:rPr>
            </w:pPr>
            <w:r w:rsidRPr="009D0B3A">
              <w:rPr>
                <w:color w:val="000000"/>
              </w:rPr>
              <w:t>2 326</w:t>
            </w:r>
          </w:p>
        </w:tc>
      </w:tr>
      <w:tr w:rsidR="004D3A18" w:rsidRPr="009D0B3A" w14:paraId="186AA1B2" w14:textId="77777777" w:rsidTr="008872D4">
        <w:trPr>
          <w:jc w:val="right"/>
        </w:trPr>
        <w:tc>
          <w:tcPr>
            <w:tcW w:w="1728" w:type="dxa"/>
          </w:tcPr>
          <w:p w14:paraId="2E16C151" w14:textId="77777777" w:rsidR="004D3A18" w:rsidRPr="009D0B3A" w:rsidRDefault="004D3A18" w:rsidP="00333421">
            <w:pPr>
              <w:pStyle w:val="Normal-pool-Table"/>
              <w:rPr>
                <w:szCs w:val="18"/>
              </w:rPr>
            </w:pPr>
            <w:r w:rsidRPr="009D0B3A">
              <w:rPr>
                <w:color w:val="000000"/>
              </w:rPr>
              <w:t>Nioué</w:t>
            </w:r>
          </w:p>
        </w:tc>
        <w:tc>
          <w:tcPr>
            <w:tcW w:w="1162" w:type="dxa"/>
          </w:tcPr>
          <w:p w14:paraId="3A031E89" w14:textId="77777777" w:rsidR="004D3A18" w:rsidRPr="009D0B3A" w:rsidRDefault="004D3A18" w:rsidP="00333421">
            <w:pPr>
              <w:pStyle w:val="Normal-pool-Table"/>
              <w:jc w:val="right"/>
              <w:rPr>
                <w:szCs w:val="18"/>
              </w:rPr>
            </w:pPr>
            <w:r w:rsidRPr="009D0B3A">
              <w:rPr>
                <w:color w:val="000000"/>
              </w:rPr>
              <w:t>–</w:t>
            </w:r>
            <w:r w:rsidRPr="009D0B3A">
              <w:rPr>
                <w:rFonts w:eastAsia="Symbol"/>
                <w:color w:val="000000"/>
                <w:szCs w:val="18"/>
                <w:lang w:eastAsia="en-GB"/>
              </w:rPr>
              <w:sym w:font="Symbol" w:char="F02D"/>
            </w:r>
          </w:p>
        </w:tc>
        <w:tc>
          <w:tcPr>
            <w:tcW w:w="1162" w:type="dxa"/>
          </w:tcPr>
          <w:p w14:paraId="24B74D01" w14:textId="77777777" w:rsidR="004D3A18" w:rsidRPr="009D0B3A" w:rsidRDefault="004D3A18" w:rsidP="00333421">
            <w:pPr>
              <w:pStyle w:val="Normal-pool-Table"/>
              <w:jc w:val="right"/>
              <w:rPr>
                <w:szCs w:val="18"/>
              </w:rPr>
            </w:pPr>
            <w:r w:rsidRPr="009D0B3A">
              <w:rPr>
                <w:color w:val="000000"/>
              </w:rPr>
              <w:t>74</w:t>
            </w:r>
          </w:p>
        </w:tc>
        <w:tc>
          <w:tcPr>
            <w:tcW w:w="1162" w:type="dxa"/>
          </w:tcPr>
          <w:p w14:paraId="2711F409" w14:textId="77777777" w:rsidR="004D3A18" w:rsidRPr="009D0B3A" w:rsidRDefault="004D3A18" w:rsidP="00333421">
            <w:pPr>
              <w:pStyle w:val="Normal-pool-Table"/>
              <w:jc w:val="right"/>
              <w:rPr>
                <w:szCs w:val="18"/>
              </w:rPr>
            </w:pPr>
            <w:r w:rsidRPr="009D0B3A">
              <w:rPr>
                <w:color w:val="000000"/>
              </w:rPr>
              <w:t>–</w:t>
            </w:r>
            <w:r w:rsidRPr="009D0B3A">
              <w:rPr>
                <w:rFonts w:eastAsia="Symbol"/>
                <w:color w:val="000000"/>
                <w:szCs w:val="18"/>
                <w:lang w:eastAsia="en-GB"/>
              </w:rPr>
              <w:sym w:font="Symbol" w:char="F02D"/>
            </w:r>
          </w:p>
        </w:tc>
        <w:tc>
          <w:tcPr>
            <w:tcW w:w="1031" w:type="dxa"/>
          </w:tcPr>
          <w:p w14:paraId="76CBBA7C" w14:textId="77777777" w:rsidR="004D3A18" w:rsidRPr="009D0B3A" w:rsidRDefault="004D3A18" w:rsidP="00333421">
            <w:pPr>
              <w:pStyle w:val="Normal-pool-Table"/>
              <w:jc w:val="right"/>
              <w:rPr>
                <w:szCs w:val="18"/>
              </w:rPr>
            </w:pPr>
            <w:r w:rsidRPr="009D0B3A">
              <w:rPr>
                <w:color w:val="000000"/>
              </w:rPr>
              <w:t>–</w:t>
            </w:r>
            <w:r w:rsidRPr="009D0B3A">
              <w:rPr>
                <w:rFonts w:eastAsia="Symbol"/>
                <w:color w:val="000000"/>
                <w:szCs w:val="18"/>
                <w:lang w:eastAsia="en-GB"/>
              </w:rPr>
              <w:sym w:font="Symbol" w:char="F02D"/>
            </w:r>
          </w:p>
        </w:tc>
        <w:tc>
          <w:tcPr>
            <w:tcW w:w="1031" w:type="dxa"/>
          </w:tcPr>
          <w:p w14:paraId="00BE1040" w14:textId="77777777" w:rsidR="004D3A18" w:rsidRPr="009D0B3A" w:rsidRDefault="004D3A18" w:rsidP="00333421">
            <w:pPr>
              <w:pStyle w:val="Normal-pool-Table"/>
              <w:jc w:val="right"/>
              <w:rPr>
                <w:szCs w:val="18"/>
              </w:rPr>
            </w:pPr>
            <w:r w:rsidRPr="009D0B3A">
              <w:rPr>
                <w:color w:val="000000"/>
              </w:rPr>
              <w:t>179</w:t>
            </w:r>
          </w:p>
        </w:tc>
        <w:tc>
          <w:tcPr>
            <w:tcW w:w="1031" w:type="dxa"/>
          </w:tcPr>
          <w:p w14:paraId="16821BA1" w14:textId="77777777" w:rsidR="004D3A18" w:rsidRPr="009D0B3A" w:rsidRDefault="004D3A18" w:rsidP="00333421">
            <w:pPr>
              <w:pStyle w:val="Normal-pool-Table"/>
              <w:jc w:val="right"/>
              <w:rPr>
                <w:szCs w:val="18"/>
              </w:rPr>
            </w:pPr>
            <w:r w:rsidRPr="009D0B3A">
              <w:rPr>
                <w:color w:val="000000"/>
              </w:rPr>
              <w:t>–</w:t>
            </w:r>
            <w:r w:rsidRPr="009D0B3A">
              <w:rPr>
                <w:rFonts w:eastAsia="Symbol"/>
                <w:color w:val="000000"/>
                <w:szCs w:val="18"/>
                <w:lang w:eastAsia="en-GB"/>
              </w:rPr>
              <w:sym w:font="Symbol" w:char="F02D"/>
            </w:r>
          </w:p>
        </w:tc>
      </w:tr>
      <w:tr w:rsidR="004D3A18" w:rsidRPr="009D0B3A" w14:paraId="564EC5A5" w14:textId="77777777" w:rsidTr="00333421">
        <w:trPr>
          <w:jc w:val="right"/>
        </w:trPr>
        <w:tc>
          <w:tcPr>
            <w:tcW w:w="1728" w:type="dxa"/>
          </w:tcPr>
          <w:p w14:paraId="4DC9DD1A" w14:textId="77777777" w:rsidR="004D3A18" w:rsidRPr="009D0B3A" w:rsidRDefault="004D3A18" w:rsidP="00333421">
            <w:pPr>
              <w:pStyle w:val="Normal-pool-Table"/>
              <w:rPr>
                <w:szCs w:val="18"/>
              </w:rPr>
            </w:pPr>
            <w:r w:rsidRPr="009D0B3A">
              <w:rPr>
                <w:color w:val="000000"/>
              </w:rPr>
              <w:lastRenderedPageBreak/>
              <w:t>Tuvalu</w:t>
            </w:r>
          </w:p>
        </w:tc>
        <w:tc>
          <w:tcPr>
            <w:tcW w:w="1162" w:type="dxa"/>
          </w:tcPr>
          <w:p w14:paraId="54340FD0" w14:textId="77777777" w:rsidR="004D3A18" w:rsidRPr="009D0B3A" w:rsidRDefault="004D3A18" w:rsidP="00333421">
            <w:pPr>
              <w:pStyle w:val="Normal-pool-Table"/>
              <w:jc w:val="right"/>
              <w:rPr>
                <w:szCs w:val="18"/>
              </w:rPr>
            </w:pPr>
            <w:r w:rsidRPr="009D0B3A">
              <w:rPr>
                <w:color w:val="000000"/>
              </w:rPr>
              <w:t>296</w:t>
            </w:r>
          </w:p>
        </w:tc>
        <w:tc>
          <w:tcPr>
            <w:tcW w:w="1162" w:type="dxa"/>
          </w:tcPr>
          <w:p w14:paraId="6C4F8D27" w14:textId="77777777" w:rsidR="004D3A18" w:rsidRPr="009D0B3A" w:rsidRDefault="004D3A18" w:rsidP="00333421">
            <w:pPr>
              <w:pStyle w:val="Normal-pool-Table"/>
              <w:jc w:val="right"/>
              <w:rPr>
                <w:szCs w:val="18"/>
              </w:rPr>
            </w:pPr>
            <w:r w:rsidRPr="009D0B3A">
              <w:rPr>
                <w:color w:val="000000"/>
              </w:rPr>
              <w:t>343</w:t>
            </w:r>
          </w:p>
        </w:tc>
        <w:tc>
          <w:tcPr>
            <w:tcW w:w="1162" w:type="dxa"/>
          </w:tcPr>
          <w:p w14:paraId="42E71544" w14:textId="77777777" w:rsidR="004D3A18" w:rsidRPr="009D0B3A" w:rsidRDefault="004D3A18" w:rsidP="00333421">
            <w:pPr>
              <w:pStyle w:val="Normal-pool-Table"/>
              <w:jc w:val="right"/>
              <w:rPr>
                <w:szCs w:val="18"/>
              </w:rPr>
            </w:pPr>
            <w:r w:rsidRPr="009D0B3A">
              <w:rPr>
                <w:color w:val="000000"/>
              </w:rPr>
              <w:t>178</w:t>
            </w:r>
          </w:p>
        </w:tc>
        <w:tc>
          <w:tcPr>
            <w:tcW w:w="1031" w:type="dxa"/>
          </w:tcPr>
          <w:p w14:paraId="3627B489" w14:textId="77777777" w:rsidR="004D3A18" w:rsidRPr="009D0B3A" w:rsidRDefault="004D3A18" w:rsidP="00333421">
            <w:pPr>
              <w:pStyle w:val="Normal-pool-Table"/>
              <w:jc w:val="right"/>
              <w:rPr>
                <w:szCs w:val="18"/>
              </w:rPr>
            </w:pPr>
            <w:r w:rsidRPr="009D0B3A">
              <w:rPr>
                <w:color w:val="000000"/>
              </w:rPr>
              <w:t>647</w:t>
            </w:r>
          </w:p>
        </w:tc>
        <w:tc>
          <w:tcPr>
            <w:tcW w:w="1031" w:type="dxa"/>
          </w:tcPr>
          <w:p w14:paraId="2C45B5A6" w14:textId="77777777" w:rsidR="004D3A18" w:rsidRPr="009D0B3A" w:rsidRDefault="004D3A18" w:rsidP="00333421">
            <w:pPr>
              <w:pStyle w:val="Normal-pool-Table"/>
              <w:jc w:val="right"/>
              <w:rPr>
                <w:szCs w:val="18"/>
              </w:rPr>
            </w:pPr>
            <w:r w:rsidRPr="009D0B3A">
              <w:rPr>
                <w:color w:val="000000"/>
              </w:rPr>
              <w:t>695</w:t>
            </w:r>
          </w:p>
        </w:tc>
        <w:tc>
          <w:tcPr>
            <w:tcW w:w="1031" w:type="dxa"/>
          </w:tcPr>
          <w:p w14:paraId="09567EE5" w14:textId="77777777" w:rsidR="004D3A18" w:rsidRPr="009D0B3A" w:rsidRDefault="004D3A18" w:rsidP="00333421">
            <w:pPr>
              <w:pStyle w:val="Normal-pool-Table"/>
              <w:jc w:val="right"/>
              <w:rPr>
                <w:szCs w:val="18"/>
              </w:rPr>
            </w:pPr>
            <w:r w:rsidRPr="009D0B3A">
              <w:rPr>
                <w:color w:val="000000"/>
              </w:rPr>
              <w:t>800</w:t>
            </w:r>
          </w:p>
        </w:tc>
      </w:tr>
      <w:tr w:rsidR="004D3A18" w:rsidRPr="009D0B3A" w14:paraId="015C34E3" w14:textId="77777777" w:rsidTr="00333421">
        <w:trPr>
          <w:jc w:val="right"/>
        </w:trPr>
        <w:tc>
          <w:tcPr>
            <w:tcW w:w="1728" w:type="dxa"/>
            <w:tcBorders>
              <w:bottom w:val="single" w:sz="12" w:space="0" w:color="auto"/>
            </w:tcBorders>
          </w:tcPr>
          <w:p w14:paraId="27013C76" w14:textId="77777777" w:rsidR="004D3A18" w:rsidRPr="009D0B3A" w:rsidRDefault="004D3A18" w:rsidP="00333421">
            <w:pPr>
              <w:pStyle w:val="Normal-pool-Table"/>
              <w:rPr>
                <w:szCs w:val="18"/>
              </w:rPr>
            </w:pPr>
            <w:r w:rsidRPr="009D0B3A">
              <w:rPr>
                <w:color w:val="000000"/>
              </w:rPr>
              <w:t>Vanuatu</w:t>
            </w:r>
          </w:p>
        </w:tc>
        <w:tc>
          <w:tcPr>
            <w:tcW w:w="1162" w:type="dxa"/>
            <w:tcBorders>
              <w:bottom w:val="single" w:sz="12" w:space="0" w:color="auto"/>
            </w:tcBorders>
          </w:tcPr>
          <w:p w14:paraId="75793575" w14:textId="77777777" w:rsidR="004D3A18" w:rsidRPr="009D0B3A" w:rsidRDefault="004D3A18" w:rsidP="00333421">
            <w:pPr>
              <w:pStyle w:val="Normal-pool-Table"/>
              <w:jc w:val="right"/>
              <w:rPr>
                <w:szCs w:val="18"/>
              </w:rPr>
            </w:pPr>
            <w:r w:rsidRPr="009D0B3A">
              <w:rPr>
                <w:color w:val="000000"/>
              </w:rPr>
              <w:t>11 915</w:t>
            </w:r>
          </w:p>
        </w:tc>
        <w:tc>
          <w:tcPr>
            <w:tcW w:w="1162" w:type="dxa"/>
            <w:tcBorders>
              <w:bottom w:val="single" w:sz="12" w:space="0" w:color="auto"/>
            </w:tcBorders>
          </w:tcPr>
          <w:p w14:paraId="4604CB5B" w14:textId="77777777" w:rsidR="004D3A18" w:rsidRPr="009D0B3A" w:rsidRDefault="004D3A18" w:rsidP="00333421">
            <w:pPr>
              <w:pStyle w:val="Normal-pool-Table"/>
              <w:jc w:val="right"/>
              <w:rPr>
                <w:szCs w:val="18"/>
              </w:rPr>
            </w:pPr>
            <w:r w:rsidRPr="009D0B3A">
              <w:rPr>
                <w:color w:val="000000"/>
              </w:rPr>
              <w:t>13 781</w:t>
            </w:r>
          </w:p>
        </w:tc>
        <w:tc>
          <w:tcPr>
            <w:tcW w:w="1162" w:type="dxa"/>
            <w:tcBorders>
              <w:bottom w:val="single" w:sz="12" w:space="0" w:color="auto"/>
            </w:tcBorders>
          </w:tcPr>
          <w:p w14:paraId="40FA33A8" w14:textId="77777777" w:rsidR="004D3A18" w:rsidRPr="009D0B3A" w:rsidRDefault="004D3A18" w:rsidP="00333421">
            <w:pPr>
              <w:pStyle w:val="Normal-pool-Table"/>
              <w:jc w:val="right"/>
              <w:rPr>
                <w:szCs w:val="18"/>
              </w:rPr>
            </w:pPr>
            <w:r w:rsidRPr="009D0B3A">
              <w:rPr>
                <w:color w:val="000000"/>
              </w:rPr>
              <w:t>17 511</w:t>
            </w:r>
          </w:p>
        </w:tc>
        <w:tc>
          <w:tcPr>
            <w:tcW w:w="1031" w:type="dxa"/>
            <w:tcBorders>
              <w:bottom w:val="single" w:sz="12" w:space="0" w:color="auto"/>
            </w:tcBorders>
          </w:tcPr>
          <w:p w14:paraId="599C8673" w14:textId="77777777" w:rsidR="004D3A18" w:rsidRPr="009D0B3A" w:rsidRDefault="004D3A18" w:rsidP="00333421">
            <w:pPr>
              <w:pStyle w:val="Normal-pool-Table"/>
              <w:jc w:val="right"/>
              <w:rPr>
                <w:szCs w:val="18"/>
              </w:rPr>
            </w:pPr>
            <w:r w:rsidRPr="009D0B3A">
              <w:rPr>
                <w:color w:val="000000"/>
              </w:rPr>
              <w:t>21 055</w:t>
            </w:r>
          </w:p>
        </w:tc>
        <w:tc>
          <w:tcPr>
            <w:tcW w:w="1031" w:type="dxa"/>
            <w:tcBorders>
              <w:bottom w:val="single" w:sz="12" w:space="0" w:color="auto"/>
            </w:tcBorders>
          </w:tcPr>
          <w:p w14:paraId="64DEE27C" w14:textId="77777777" w:rsidR="004D3A18" w:rsidRPr="009D0B3A" w:rsidRDefault="004D3A18" w:rsidP="00333421">
            <w:pPr>
              <w:pStyle w:val="Normal-pool-Table"/>
              <w:jc w:val="right"/>
              <w:rPr>
                <w:szCs w:val="18"/>
              </w:rPr>
            </w:pPr>
            <w:r w:rsidRPr="009D0B3A">
              <w:rPr>
                <w:color w:val="000000"/>
              </w:rPr>
              <w:t>13 781</w:t>
            </w:r>
          </w:p>
        </w:tc>
        <w:tc>
          <w:tcPr>
            <w:tcW w:w="1031" w:type="dxa"/>
            <w:tcBorders>
              <w:bottom w:val="single" w:sz="12" w:space="0" w:color="auto"/>
            </w:tcBorders>
          </w:tcPr>
          <w:p w14:paraId="55A3A0C9" w14:textId="77777777" w:rsidR="004D3A18" w:rsidRPr="009D0B3A" w:rsidRDefault="004D3A18" w:rsidP="00333421">
            <w:pPr>
              <w:pStyle w:val="Normal-pool-Table"/>
              <w:jc w:val="right"/>
              <w:rPr>
                <w:szCs w:val="18"/>
              </w:rPr>
            </w:pPr>
            <w:r w:rsidRPr="009D0B3A">
              <w:rPr>
                <w:color w:val="000000"/>
              </w:rPr>
              <w:t>17 511</w:t>
            </w:r>
          </w:p>
        </w:tc>
      </w:tr>
    </w:tbl>
    <w:p w14:paraId="6B545013" w14:textId="1918E2DD" w:rsidR="003E09D8" w:rsidRPr="009D0B3A" w:rsidRDefault="003E09D8" w:rsidP="003E09D8">
      <w:pPr>
        <w:tabs>
          <w:tab w:val="left" w:pos="624"/>
          <w:tab w:val="left" w:pos="1871"/>
          <w:tab w:val="left" w:pos="2495"/>
          <w:tab w:val="left" w:pos="3119"/>
          <w:tab w:val="left" w:pos="3742"/>
          <w:tab w:val="left" w:pos="4366"/>
          <w:tab w:val="left" w:pos="4990"/>
        </w:tabs>
        <w:spacing w:before="60" w:after="120"/>
        <w:ind w:left="1247"/>
        <w:rPr>
          <w:i/>
          <w:sz w:val="17"/>
          <w:szCs w:val="17"/>
        </w:rPr>
      </w:pPr>
      <w:r w:rsidRPr="009D0B3A">
        <w:rPr>
          <w:sz w:val="17"/>
          <w:szCs w:val="17"/>
        </w:rPr>
        <w:tab/>
      </w:r>
      <w:r w:rsidRPr="009D0B3A">
        <w:rPr>
          <w:i/>
          <w:iCs/>
          <w:sz w:val="17"/>
          <w:szCs w:val="17"/>
        </w:rPr>
        <w:t>Abréviations</w:t>
      </w:r>
      <w:r w:rsidR="00AA6A89" w:rsidRPr="009D0B3A">
        <w:rPr>
          <w:sz w:val="17"/>
          <w:szCs w:val="17"/>
        </w:rPr>
        <w:t> :</w:t>
      </w:r>
      <w:r w:rsidRPr="009D0B3A">
        <w:rPr>
          <w:sz w:val="17"/>
          <w:szCs w:val="17"/>
        </w:rPr>
        <w:t xml:space="preserve"> éqCO</w:t>
      </w:r>
      <w:r w:rsidRPr="009D0B3A">
        <w:rPr>
          <w:sz w:val="17"/>
          <w:szCs w:val="17"/>
          <w:vertAlign w:val="subscript"/>
        </w:rPr>
        <w:t>2</w:t>
      </w:r>
      <w:r w:rsidRPr="009D0B3A">
        <w:rPr>
          <w:sz w:val="17"/>
          <w:szCs w:val="17"/>
        </w:rPr>
        <w:t xml:space="preserve"> = équivalent dioxyde de carbone</w:t>
      </w:r>
      <w:r w:rsidR="00AA6A89" w:rsidRPr="009D0B3A">
        <w:rPr>
          <w:sz w:val="17"/>
          <w:szCs w:val="17"/>
        </w:rPr>
        <w:t> ;</w:t>
      </w:r>
      <w:r w:rsidRPr="009D0B3A">
        <w:rPr>
          <w:sz w:val="17"/>
          <w:szCs w:val="17"/>
        </w:rPr>
        <w:t xml:space="preserve"> HFC – hydrofluorocarbones.</w:t>
      </w:r>
    </w:p>
    <w:p w14:paraId="1C90E463" w14:textId="5F817A46"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r w:rsidRPr="009D0B3A">
        <w:t>Que le Maroc a présenté, conformément à la décision</w:t>
      </w:r>
      <w:r w:rsidR="004F0A05">
        <w:t> </w:t>
      </w:r>
      <w:r w:rsidRPr="009D0B3A">
        <w:t>XV/19, des informations suffisantes pour justifier sa demande de révision des données communiquées pour les années 2020, 2021 et 2022 concernant sa consommation d</w:t>
      </w:r>
      <w:r w:rsidR="00AA6A89" w:rsidRPr="009D0B3A">
        <w:t>’</w:t>
      </w:r>
      <w:r w:rsidRPr="009D0B3A">
        <w:t>hydrofluorocarbones, qui sont prises en compte dans le calcul du niveau de référence des Parties visées à l</w:t>
      </w:r>
      <w:r w:rsidR="00AA6A89" w:rsidRPr="009D0B3A">
        <w:t>’</w:t>
      </w:r>
      <w:r w:rsidRPr="009D0B3A">
        <w:t>article</w:t>
      </w:r>
      <w:r w:rsidR="004F0A05">
        <w:t> </w:t>
      </w:r>
      <w:r w:rsidRPr="009D0B3A">
        <w:t>5 appartenant au groupe 1 défini dans l</w:t>
      </w:r>
      <w:r w:rsidR="00AA6A89" w:rsidRPr="009D0B3A">
        <w:t>’</w:t>
      </w:r>
      <w:r w:rsidRPr="009D0B3A">
        <w:t>Amendement de Kigali au Protocole de</w:t>
      </w:r>
      <w:r w:rsidR="004F0A05">
        <w:t> </w:t>
      </w:r>
      <w:r w:rsidRPr="009D0B3A">
        <w:t>Montréal relatif à des substances qui appauvrissent la couche d</w:t>
      </w:r>
      <w:r w:rsidR="00AA6A89" w:rsidRPr="009D0B3A">
        <w:t>’</w:t>
      </w:r>
      <w:r w:rsidRPr="009D0B3A">
        <w:t>ozone</w:t>
      </w:r>
      <w:r w:rsidR="00AA6A89" w:rsidRPr="009D0B3A">
        <w:t> ;</w:t>
      </w:r>
      <w:r w:rsidRPr="009D0B3A">
        <w:t xml:space="preserve"> </w:t>
      </w:r>
    </w:p>
    <w:p w14:paraId="7D966AA0" w14:textId="2CDB737E"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approuver la demande présentée par le Maroc et de réviser ses données pour les années de référence 2020, 2021 et 2022 concernant sa consommation d</w:t>
      </w:r>
      <w:r w:rsidR="00AA6A89" w:rsidRPr="009D0B3A">
        <w:t>’</w:t>
      </w:r>
      <w:r w:rsidRPr="009D0B3A">
        <w:t xml:space="preserve">hydrofluorocarbones, comme indiqué dans le tableau ci-après </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030"/>
        <w:gridCol w:w="1173"/>
        <w:gridCol w:w="1173"/>
        <w:gridCol w:w="1172"/>
        <w:gridCol w:w="1173"/>
        <w:gridCol w:w="1173"/>
      </w:tblGrid>
      <w:tr w:rsidR="003E09D8" w:rsidRPr="009D0B3A" w14:paraId="34E31FE5" w14:textId="77777777" w:rsidTr="00333421">
        <w:trPr>
          <w:trHeight w:val="113"/>
          <w:jc w:val="right"/>
        </w:trPr>
        <w:tc>
          <w:tcPr>
            <w:tcW w:w="1413" w:type="dxa"/>
            <w:vMerge w:val="restart"/>
            <w:tcBorders>
              <w:top w:val="single" w:sz="4" w:space="0" w:color="auto"/>
              <w:bottom w:val="single" w:sz="12" w:space="0" w:color="auto"/>
            </w:tcBorders>
            <w:vAlign w:val="bottom"/>
          </w:tcPr>
          <w:p w14:paraId="0E8572F7" w14:textId="77777777" w:rsidR="003E09D8" w:rsidRPr="009D0B3A" w:rsidRDefault="003E09D8" w:rsidP="00333421">
            <w:pPr>
              <w:pStyle w:val="Normal-pool-Table"/>
              <w:rPr>
                <w:i/>
                <w:iCs/>
              </w:rPr>
            </w:pPr>
            <w:r w:rsidRPr="009D0B3A">
              <w:rPr>
                <w:i/>
                <w:iCs/>
                <w:color w:val="000000"/>
              </w:rPr>
              <w:t>Partie/année</w:t>
            </w:r>
          </w:p>
        </w:tc>
        <w:tc>
          <w:tcPr>
            <w:tcW w:w="3376" w:type="dxa"/>
            <w:gridSpan w:val="3"/>
            <w:tcBorders>
              <w:top w:val="single" w:sz="4" w:space="0" w:color="auto"/>
              <w:bottom w:val="single" w:sz="4" w:space="0" w:color="auto"/>
              <w:right w:val="single" w:sz="4" w:space="0" w:color="auto"/>
            </w:tcBorders>
            <w:vAlign w:val="bottom"/>
          </w:tcPr>
          <w:p w14:paraId="3098245B" w14:textId="2B0ACD77" w:rsidR="003E09D8" w:rsidRPr="009D0B3A" w:rsidRDefault="003E09D8" w:rsidP="00333421">
            <w:pPr>
              <w:pStyle w:val="Normal-pool-Table"/>
              <w:jc w:val="center"/>
              <w:rPr>
                <w:i/>
                <w:iCs/>
                <w:szCs w:val="18"/>
              </w:rPr>
            </w:pPr>
            <w:r w:rsidRPr="009D0B3A">
              <w:rPr>
                <w:i/>
                <w:iCs/>
                <w:color w:val="000000"/>
              </w:rPr>
              <w:t>Précédentes données pour les HFC (en</w:t>
            </w:r>
            <w:r w:rsidR="006B662A">
              <w:rPr>
                <w:i/>
                <w:iCs/>
                <w:color w:val="000000"/>
              </w:rPr>
              <w:t> </w:t>
            </w:r>
            <w:r w:rsidRPr="009D0B3A">
              <w:rPr>
                <w:i/>
                <w:iCs/>
                <w:color w:val="000000"/>
              </w:rPr>
              <w:t>tonnes d</w:t>
            </w:r>
            <w:r w:rsidR="00AA6A89" w:rsidRPr="009D0B3A">
              <w:rPr>
                <w:i/>
                <w:iCs/>
                <w:color w:val="000000"/>
              </w:rPr>
              <w:t>’</w:t>
            </w:r>
            <w:r w:rsidRPr="009D0B3A">
              <w:rPr>
                <w:i/>
                <w:iCs/>
                <w:color w:val="000000"/>
              </w:rPr>
              <w:t>éqCO</w:t>
            </w:r>
            <w:r w:rsidRPr="009D0B3A">
              <w:rPr>
                <w:i/>
                <w:iCs/>
                <w:color w:val="000000"/>
                <w:vertAlign w:val="subscript"/>
              </w:rPr>
              <w:t>2</w:t>
            </w:r>
            <w:r w:rsidRPr="009D0B3A">
              <w:rPr>
                <w:i/>
                <w:iCs/>
                <w:color w:val="000000"/>
              </w:rPr>
              <w:t>)</w:t>
            </w:r>
          </w:p>
        </w:tc>
        <w:tc>
          <w:tcPr>
            <w:tcW w:w="3518" w:type="dxa"/>
            <w:gridSpan w:val="3"/>
            <w:tcBorders>
              <w:top w:val="single" w:sz="4" w:space="0" w:color="auto"/>
              <w:left w:val="single" w:sz="4" w:space="0" w:color="auto"/>
              <w:bottom w:val="single" w:sz="4" w:space="0" w:color="auto"/>
            </w:tcBorders>
            <w:vAlign w:val="bottom"/>
          </w:tcPr>
          <w:p w14:paraId="57B77A7E" w14:textId="46E4DA11" w:rsidR="003E09D8" w:rsidRPr="009D0B3A" w:rsidRDefault="003E09D8" w:rsidP="00333421">
            <w:pPr>
              <w:pStyle w:val="Normal-pool-Table"/>
              <w:jc w:val="center"/>
              <w:rPr>
                <w:i/>
                <w:iCs/>
                <w:szCs w:val="18"/>
              </w:rPr>
            </w:pPr>
            <w:r w:rsidRPr="009D0B3A">
              <w:rPr>
                <w:i/>
                <w:iCs/>
                <w:color w:val="000000"/>
              </w:rPr>
              <w:t>Nouvelles données pour les HFC (en</w:t>
            </w:r>
            <w:r w:rsidR="006B662A">
              <w:rPr>
                <w:i/>
                <w:iCs/>
                <w:color w:val="000000"/>
              </w:rPr>
              <w:t> </w:t>
            </w:r>
            <w:r w:rsidRPr="009D0B3A">
              <w:rPr>
                <w:i/>
                <w:iCs/>
                <w:color w:val="000000"/>
              </w:rPr>
              <w:t>tonnes</w:t>
            </w:r>
            <w:r w:rsidR="006B662A">
              <w:rPr>
                <w:i/>
                <w:iCs/>
                <w:color w:val="000000"/>
              </w:rPr>
              <w:t> </w:t>
            </w:r>
            <w:r w:rsidRPr="009D0B3A">
              <w:rPr>
                <w:i/>
                <w:iCs/>
                <w:color w:val="000000"/>
              </w:rPr>
              <w:t>d</w:t>
            </w:r>
            <w:r w:rsidR="00AA6A89" w:rsidRPr="009D0B3A">
              <w:rPr>
                <w:i/>
                <w:iCs/>
                <w:color w:val="000000"/>
              </w:rPr>
              <w:t>’</w:t>
            </w:r>
            <w:r w:rsidRPr="009D0B3A">
              <w:rPr>
                <w:i/>
                <w:iCs/>
                <w:color w:val="000000"/>
              </w:rPr>
              <w:t>éqCO</w:t>
            </w:r>
            <w:r w:rsidRPr="009D0B3A">
              <w:rPr>
                <w:i/>
                <w:iCs/>
                <w:color w:val="000000"/>
                <w:vertAlign w:val="subscript"/>
              </w:rPr>
              <w:t>2</w:t>
            </w:r>
            <w:r w:rsidRPr="009D0B3A">
              <w:rPr>
                <w:i/>
                <w:iCs/>
                <w:color w:val="000000"/>
              </w:rPr>
              <w:t>)</w:t>
            </w:r>
          </w:p>
        </w:tc>
      </w:tr>
      <w:tr w:rsidR="003E09D8" w:rsidRPr="009D0B3A" w14:paraId="3EBF2309" w14:textId="77777777" w:rsidTr="00333421">
        <w:trPr>
          <w:trHeight w:val="209"/>
          <w:jc w:val="right"/>
        </w:trPr>
        <w:tc>
          <w:tcPr>
            <w:tcW w:w="1413" w:type="dxa"/>
            <w:vMerge/>
            <w:tcBorders>
              <w:top w:val="single" w:sz="4" w:space="0" w:color="auto"/>
              <w:bottom w:val="single" w:sz="12" w:space="0" w:color="auto"/>
            </w:tcBorders>
            <w:vAlign w:val="bottom"/>
          </w:tcPr>
          <w:p w14:paraId="084B7228" w14:textId="77777777" w:rsidR="003E09D8" w:rsidRPr="009D0B3A" w:rsidRDefault="003E09D8" w:rsidP="00333421">
            <w:pPr>
              <w:pStyle w:val="Normal-pool-Table"/>
              <w:rPr>
                <w:szCs w:val="18"/>
              </w:rPr>
            </w:pPr>
          </w:p>
        </w:tc>
        <w:tc>
          <w:tcPr>
            <w:tcW w:w="1030" w:type="dxa"/>
            <w:tcBorders>
              <w:top w:val="single" w:sz="4" w:space="0" w:color="auto"/>
              <w:bottom w:val="single" w:sz="12" w:space="0" w:color="auto"/>
            </w:tcBorders>
            <w:vAlign w:val="bottom"/>
          </w:tcPr>
          <w:p w14:paraId="51671377" w14:textId="77777777" w:rsidR="003E09D8" w:rsidRPr="009D0B3A" w:rsidRDefault="003E09D8" w:rsidP="00333421">
            <w:pPr>
              <w:pStyle w:val="Normal-pool-Table"/>
              <w:jc w:val="right"/>
              <w:rPr>
                <w:i/>
                <w:iCs/>
                <w:szCs w:val="18"/>
              </w:rPr>
            </w:pPr>
            <w:r w:rsidRPr="009D0B3A">
              <w:rPr>
                <w:i/>
                <w:iCs/>
                <w:color w:val="000000"/>
              </w:rPr>
              <w:t>2020</w:t>
            </w:r>
          </w:p>
        </w:tc>
        <w:tc>
          <w:tcPr>
            <w:tcW w:w="1173" w:type="dxa"/>
            <w:tcBorders>
              <w:top w:val="single" w:sz="4" w:space="0" w:color="auto"/>
              <w:bottom w:val="single" w:sz="12" w:space="0" w:color="auto"/>
            </w:tcBorders>
            <w:vAlign w:val="bottom"/>
          </w:tcPr>
          <w:p w14:paraId="7A629923" w14:textId="77777777" w:rsidR="003E09D8" w:rsidRPr="009D0B3A" w:rsidRDefault="003E09D8" w:rsidP="00333421">
            <w:pPr>
              <w:pStyle w:val="Normal-pool-Table"/>
              <w:jc w:val="right"/>
              <w:rPr>
                <w:i/>
                <w:iCs/>
                <w:szCs w:val="18"/>
              </w:rPr>
            </w:pPr>
            <w:r w:rsidRPr="009D0B3A">
              <w:rPr>
                <w:i/>
                <w:iCs/>
                <w:color w:val="000000"/>
              </w:rPr>
              <w:t>2021</w:t>
            </w:r>
          </w:p>
        </w:tc>
        <w:tc>
          <w:tcPr>
            <w:tcW w:w="1173" w:type="dxa"/>
            <w:tcBorders>
              <w:top w:val="single" w:sz="4" w:space="0" w:color="auto"/>
              <w:bottom w:val="single" w:sz="12" w:space="0" w:color="auto"/>
              <w:right w:val="single" w:sz="4" w:space="0" w:color="auto"/>
            </w:tcBorders>
            <w:vAlign w:val="bottom"/>
          </w:tcPr>
          <w:p w14:paraId="3399DCE9" w14:textId="77777777" w:rsidR="003E09D8" w:rsidRPr="009D0B3A" w:rsidRDefault="003E09D8" w:rsidP="00333421">
            <w:pPr>
              <w:pStyle w:val="Normal-pool-Table"/>
              <w:jc w:val="right"/>
              <w:rPr>
                <w:i/>
                <w:iCs/>
                <w:szCs w:val="18"/>
              </w:rPr>
            </w:pPr>
            <w:r w:rsidRPr="009D0B3A">
              <w:rPr>
                <w:i/>
                <w:iCs/>
                <w:color w:val="000000"/>
              </w:rPr>
              <w:t>2022</w:t>
            </w:r>
          </w:p>
        </w:tc>
        <w:tc>
          <w:tcPr>
            <w:tcW w:w="1172" w:type="dxa"/>
            <w:tcBorders>
              <w:top w:val="single" w:sz="4" w:space="0" w:color="auto"/>
              <w:left w:val="single" w:sz="4" w:space="0" w:color="auto"/>
              <w:bottom w:val="single" w:sz="12" w:space="0" w:color="auto"/>
            </w:tcBorders>
            <w:vAlign w:val="bottom"/>
          </w:tcPr>
          <w:p w14:paraId="30BCA09A" w14:textId="77777777" w:rsidR="003E09D8" w:rsidRPr="009D0B3A" w:rsidRDefault="003E09D8" w:rsidP="00333421">
            <w:pPr>
              <w:pStyle w:val="Normal-pool-Table"/>
              <w:jc w:val="right"/>
              <w:rPr>
                <w:i/>
                <w:iCs/>
                <w:szCs w:val="18"/>
              </w:rPr>
            </w:pPr>
            <w:r w:rsidRPr="009D0B3A">
              <w:rPr>
                <w:i/>
                <w:iCs/>
                <w:color w:val="000000"/>
              </w:rPr>
              <w:t>2020</w:t>
            </w:r>
          </w:p>
        </w:tc>
        <w:tc>
          <w:tcPr>
            <w:tcW w:w="1173" w:type="dxa"/>
            <w:tcBorders>
              <w:top w:val="single" w:sz="4" w:space="0" w:color="auto"/>
              <w:bottom w:val="single" w:sz="12" w:space="0" w:color="auto"/>
            </w:tcBorders>
            <w:vAlign w:val="bottom"/>
          </w:tcPr>
          <w:p w14:paraId="4F69F223" w14:textId="77777777" w:rsidR="003E09D8" w:rsidRPr="009D0B3A" w:rsidRDefault="003E09D8" w:rsidP="00333421">
            <w:pPr>
              <w:pStyle w:val="Normal-pool-Table"/>
              <w:jc w:val="right"/>
              <w:rPr>
                <w:i/>
                <w:iCs/>
                <w:szCs w:val="18"/>
              </w:rPr>
            </w:pPr>
            <w:r w:rsidRPr="009D0B3A">
              <w:rPr>
                <w:i/>
                <w:iCs/>
                <w:color w:val="000000"/>
              </w:rPr>
              <w:t>2021</w:t>
            </w:r>
          </w:p>
        </w:tc>
        <w:tc>
          <w:tcPr>
            <w:tcW w:w="1173" w:type="dxa"/>
            <w:tcBorders>
              <w:top w:val="single" w:sz="4" w:space="0" w:color="auto"/>
              <w:bottom w:val="single" w:sz="12" w:space="0" w:color="auto"/>
            </w:tcBorders>
            <w:vAlign w:val="bottom"/>
          </w:tcPr>
          <w:p w14:paraId="2E7AF96A" w14:textId="77777777" w:rsidR="003E09D8" w:rsidRPr="009D0B3A" w:rsidRDefault="003E09D8" w:rsidP="00333421">
            <w:pPr>
              <w:pStyle w:val="Normal-pool-Table"/>
              <w:jc w:val="right"/>
              <w:rPr>
                <w:i/>
                <w:iCs/>
                <w:szCs w:val="18"/>
              </w:rPr>
            </w:pPr>
            <w:r w:rsidRPr="009D0B3A">
              <w:rPr>
                <w:i/>
                <w:iCs/>
                <w:color w:val="000000"/>
              </w:rPr>
              <w:t>2022</w:t>
            </w:r>
          </w:p>
        </w:tc>
      </w:tr>
      <w:tr w:rsidR="003E09D8" w:rsidRPr="009D0B3A" w14:paraId="778D7202" w14:textId="77777777" w:rsidTr="00333421">
        <w:trPr>
          <w:trHeight w:val="113"/>
          <w:jc w:val="right"/>
        </w:trPr>
        <w:tc>
          <w:tcPr>
            <w:tcW w:w="1413" w:type="dxa"/>
            <w:tcBorders>
              <w:top w:val="single" w:sz="12" w:space="0" w:color="auto"/>
              <w:bottom w:val="single" w:sz="12" w:space="0" w:color="auto"/>
            </w:tcBorders>
          </w:tcPr>
          <w:p w14:paraId="45AFEDB5" w14:textId="77777777" w:rsidR="003E09D8" w:rsidRPr="009D0B3A" w:rsidRDefault="003E09D8" w:rsidP="00333421">
            <w:pPr>
              <w:pStyle w:val="Normal-pool-Table"/>
              <w:rPr>
                <w:szCs w:val="18"/>
              </w:rPr>
            </w:pPr>
            <w:r w:rsidRPr="009D0B3A">
              <w:rPr>
                <w:color w:val="000000"/>
              </w:rPr>
              <w:t xml:space="preserve">Maroc </w:t>
            </w:r>
          </w:p>
        </w:tc>
        <w:tc>
          <w:tcPr>
            <w:tcW w:w="1030" w:type="dxa"/>
            <w:tcBorders>
              <w:top w:val="single" w:sz="12" w:space="0" w:color="auto"/>
              <w:bottom w:val="single" w:sz="12" w:space="0" w:color="auto"/>
            </w:tcBorders>
          </w:tcPr>
          <w:p w14:paraId="093EFFA4" w14:textId="77777777" w:rsidR="003E09D8" w:rsidRPr="009D0B3A" w:rsidRDefault="003E09D8" w:rsidP="00333421">
            <w:pPr>
              <w:pStyle w:val="Normal-pool-Table"/>
              <w:jc w:val="right"/>
              <w:rPr>
                <w:szCs w:val="18"/>
              </w:rPr>
            </w:pPr>
            <w:r w:rsidRPr="009D0B3A">
              <w:rPr>
                <w:color w:val="000000"/>
              </w:rPr>
              <w:t>1 687 148</w:t>
            </w:r>
          </w:p>
        </w:tc>
        <w:tc>
          <w:tcPr>
            <w:tcW w:w="1173" w:type="dxa"/>
            <w:tcBorders>
              <w:top w:val="single" w:sz="12" w:space="0" w:color="auto"/>
              <w:bottom w:val="single" w:sz="12" w:space="0" w:color="auto"/>
            </w:tcBorders>
          </w:tcPr>
          <w:p w14:paraId="50E1E39C" w14:textId="77777777" w:rsidR="003E09D8" w:rsidRPr="009D0B3A" w:rsidRDefault="003E09D8" w:rsidP="00333421">
            <w:pPr>
              <w:pStyle w:val="Normal-pool-Table"/>
              <w:jc w:val="right"/>
              <w:rPr>
                <w:szCs w:val="18"/>
              </w:rPr>
            </w:pPr>
            <w:r w:rsidRPr="009D0B3A">
              <w:rPr>
                <w:color w:val="000000"/>
              </w:rPr>
              <w:t>1 475 421</w:t>
            </w:r>
          </w:p>
        </w:tc>
        <w:tc>
          <w:tcPr>
            <w:tcW w:w="1173" w:type="dxa"/>
            <w:tcBorders>
              <w:top w:val="single" w:sz="12" w:space="0" w:color="auto"/>
              <w:bottom w:val="single" w:sz="12" w:space="0" w:color="auto"/>
              <w:right w:val="single" w:sz="4" w:space="0" w:color="auto"/>
            </w:tcBorders>
          </w:tcPr>
          <w:p w14:paraId="04E5B7E2" w14:textId="77777777" w:rsidR="003E09D8" w:rsidRPr="009D0B3A" w:rsidRDefault="003E09D8" w:rsidP="00333421">
            <w:pPr>
              <w:pStyle w:val="Normal-pool-Table"/>
              <w:jc w:val="right"/>
              <w:rPr>
                <w:szCs w:val="18"/>
              </w:rPr>
            </w:pPr>
            <w:r w:rsidRPr="009D0B3A">
              <w:rPr>
                <w:color w:val="000000"/>
              </w:rPr>
              <w:t>590 302</w:t>
            </w:r>
          </w:p>
        </w:tc>
        <w:tc>
          <w:tcPr>
            <w:tcW w:w="1172" w:type="dxa"/>
            <w:tcBorders>
              <w:top w:val="single" w:sz="12" w:space="0" w:color="auto"/>
              <w:left w:val="single" w:sz="4" w:space="0" w:color="auto"/>
              <w:bottom w:val="single" w:sz="12" w:space="0" w:color="auto"/>
            </w:tcBorders>
          </w:tcPr>
          <w:p w14:paraId="7BCC1544" w14:textId="77777777" w:rsidR="003E09D8" w:rsidRPr="009D0B3A" w:rsidRDefault="003E09D8" w:rsidP="00333421">
            <w:pPr>
              <w:pStyle w:val="Normal-pool-Table"/>
              <w:jc w:val="right"/>
              <w:rPr>
                <w:szCs w:val="18"/>
              </w:rPr>
            </w:pPr>
            <w:r w:rsidRPr="009D0B3A">
              <w:rPr>
                <w:color w:val="000000"/>
              </w:rPr>
              <w:t>2 602 515</w:t>
            </w:r>
          </w:p>
        </w:tc>
        <w:tc>
          <w:tcPr>
            <w:tcW w:w="1173" w:type="dxa"/>
            <w:tcBorders>
              <w:top w:val="single" w:sz="12" w:space="0" w:color="auto"/>
              <w:bottom w:val="single" w:sz="12" w:space="0" w:color="auto"/>
            </w:tcBorders>
          </w:tcPr>
          <w:p w14:paraId="5F58CC6F" w14:textId="77777777" w:rsidR="003E09D8" w:rsidRPr="009D0B3A" w:rsidRDefault="003E09D8" w:rsidP="00333421">
            <w:pPr>
              <w:pStyle w:val="Normal-pool-Table"/>
              <w:jc w:val="right"/>
              <w:rPr>
                <w:szCs w:val="18"/>
              </w:rPr>
            </w:pPr>
            <w:r w:rsidRPr="009D0B3A">
              <w:rPr>
                <w:color w:val="000000"/>
              </w:rPr>
              <w:t>1 648 604</w:t>
            </w:r>
          </w:p>
        </w:tc>
        <w:tc>
          <w:tcPr>
            <w:tcW w:w="1173" w:type="dxa"/>
            <w:tcBorders>
              <w:top w:val="single" w:sz="12" w:space="0" w:color="auto"/>
              <w:bottom w:val="single" w:sz="12" w:space="0" w:color="auto"/>
            </w:tcBorders>
          </w:tcPr>
          <w:p w14:paraId="6CA7AC64" w14:textId="77777777" w:rsidR="003E09D8" w:rsidRPr="009D0B3A" w:rsidRDefault="003E09D8" w:rsidP="00333421">
            <w:pPr>
              <w:pStyle w:val="Normal-pool-Table"/>
              <w:jc w:val="right"/>
              <w:rPr>
                <w:szCs w:val="18"/>
              </w:rPr>
            </w:pPr>
            <w:r w:rsidRPr="009D0B3A">
              <w:rPr>
                <w:color w:val="000000"/>
              </w:rPr>
              <w:t>2 169 487</w:t>
            </w:r>
          </w:p>
        </w:tc>
      </w:tr>
    </w:tbl>
    <w:p w14:paraId="085BB655" w14:textId="793589A3" w:rsidR="003E09D8" w:rsidRPr="009D0B3A" w:rsidRDefault="003E09D8" w:rsidP="003E09D8">
      <w:pPr>
        <w:tabs>
          <w:tab w:val="left" w:pos="624"/>
          <w:tab w:val="left" w:pos="1871"/>
          <w:tab w:val="left" w:pos="2495"/>
          <w:tab w:val="left" w:pos="3119"/>
          <w:tab w:val="left" w:pos="3742"/>
          <w:tab w:val="left" w:pos="4366"/>
          <w:tab w:val="left" w:pos="4990"/>
        </w:tabs>
        <w:spacing w:before="60" w:after="120"/>
        <w:ind w:left="1247"/>
        <w:rPr>
          <w:iCs/>
          <w:sz w:val="17"/>
          <w:szCs w:val="17"/>
        </w:rPr>
      </w:pPr>
      <w:r w:rsidRPr="009D0B3A">
        <w:rPr>
          <w:sz w:val="17"/>
          <w:szCs w:val="17"/>
        </w:rPr>
        <w:tab/>
      </w:r>
      <w:r w:rsidRPr="009D0B3A">
        <w:rPr>
          <w:i/>
          <w:iCs/>
          <w:sz w:val="17"/>
          <w:szCs w:val="17"/>
        </w:rPr>
        <w:t>Abréviations</w:t>
      </w:r>
      <w:r w:rsidR="00AA6A89" w:rsidRPr="009D0B3A">
        <w:rPr>
          <w:sz w:val="17"/>
          <w:szCs w:val="17"/>
        </w:rPr>
        <w:t> :</w:t>
      </w:r>
      <w:r w:rsidRPr="009D0B3A">
        <w:rPr>
          <w:sz w:val="17"/>
          <w:szCs w:val="17"/>
        </w:rPr>
        <w:t xml:space="preserve"> éqCO</w:t>
      </w:r>
      <w:r w:rsidRPr="009D0B3A">
        <w:rPr>
          <w:sz w:val="17"/>
          <w:szCs w:val="17"/>
          <w:vertAlign w:val="subscript"/>
        </w:rPr>
        <w:t>2</w:t>
      </w:r>
      <w:r w:rsidRPr="009D0B3A">
        <w:rPr>
          <w:sz w:val="17"/>
          <w:szCs w:val="17"/>
        </w:rPr>
        <w:t xml:space="preserve"> = équivalent dioxyde de carbone</w:t>
      </w:r>
      <w:r w:rsidR="00AA6A89" w:rsidRPr="009D0B3A">
        <w:rPr>
          <w:sz w:val="17"/>
          <w:szCs w:val="17"/>
        </w:rPr>
        <w:t> ;</w:t>
      </w:r>
      <w:r w:rsidRPr="009D0B3A">
        <w:rPr>
          <w:sz w:val="17"/>
          <w:szCs w:val="17"/>
        </w:rPr>
        <w:t xml:space="preserve"> HFC – hydrofluorocarbones.</w:t>
      </w:r>
    </w:p>
    <w:p w14:paraId="416E9B3E" w14:textId="211026DF"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r w:rsidRPr="009D0B3A">
        <w:t>Que le Nigéria a présenté, conformément à la décision</w:t>
      </w:r>
      <w:r w:rsidR="00AE09CD">
        <w:t> </w:t>
      </w:r>
      <w:r w:rsidRPr="009D0B3A">
        <w:t>XV/19, des informations</w:t>
      </w:r>
      <w:r w:rsidR="00C6533D" w:rsidRPr="009D0B3A">
        <w:t xml:space="preserve"> </w:t>
      </w:r>
      <w:r w:rsidRPr="009D0B3A">
        <w:t>suffisantes pour justifier sa demande de révision des données communiquées pour les années 2020,</w:t>
      </w:r>
      <w:r w:rsidR="00022925" w:rsidRPr="009D0B3A">
        <w:t xml:space="preserve"> </w:t>
      </w:r>
      <w:r w:rsidRPr="009D0B3A">
        <w:t>2021 et 2022 concernant sa consommation d</w:t>
      </w:r>
      <w:r w:rsidR="00AA6A89" w:rsidRPr="009D0B3A">
        <w:t>’</w:t>
      </w:r>
      <w:r w:rsidRPr="009D0B3A">
        <w:t>hydrofluorocarbones, qui sont prises en compte dans le</w:t>
      </w:r>
      <w:r w:rsidR="00022925" w:rsidRPr="009D0B3A">
        <w:t xml:space="preserve"> </w:t>
      </w:r>
      <w:r w:rsidRPr="009D0B3A">
        <w:t>calcul du niveau de référence des Parties visées à l</w:t>
      </w:r>
      <w:r w:rsidR="00AA6A89" w:rsidRPr="009D0B3A">
        <w:t>’</w:t>
      </w:r>
      <w:r w:rsidRPr="009D0B3A">
        <w:t xml:space="preserve">article 5 appartenant au groupe 1 défini </w:t>
      </w:r>
      <w:r w:rsidR="00AA6A89" w:rsidRPr="009D0B3A">
        <w:t>dans l’</w:t>
      </w:r>
      <w:r w:rsidR="00F44A63" w:rsidRPr="009D0B3A">
        <w:t>A</w:t>
      </w:r>
      <w:r w:rsidR="00AA6A89" w:rsidRPr="009D0B3A">
        <w:t>mendement</w:t>
      </w:r>
      <w:r w:rsidRPr="009D0B3A">
        <w:t xml:space="preserve"> de Kigali au Protocole de</w:t>
      </w:r>
      <w:r w:rsidR="00AE09CD">
        <w:t> </w:t>
      </w:r>
      <w:r w:rsidRPr="009D0B3A">
        <w:t>Montréal relatif à des substances qui appauvrissent la couche</w:t>
      </w:r>
      <w:r w:rsidR="006B37B0" w:rsidRPr="009D0B3A">
        <w:t xml:space="preserve"> d</w:t>
      </w:r>
      <w:r w:rsidR="00AA6A89" w:rsidRPr="009D0B3A">
        <w:t>’</w:t>
      </w:r>
      <w:r w:rsidR="006B37B0" w:rsidRPr="009D0B3A">
        <w:t>ozone</w:t>
      </w:r>
      <w:r w:rsidR="00AA6A89" w:rsidRPr="009D0B3A">
        <w:t> ;</w:t>
      </w:r>
    </w:p>
    <w:p w14:paraId="4B46747C" w14:textId="00AC6FC1" w:rsidR="003E09D8" w:rsidRPr="009D0B3A" w:rsidRDefault="003E09D8" w:rsidP="00143F38">
      <w:pPr>
        <w:pStyle w:val="NormalNonumber"/>
        <w:numPr>
          <w:ilvl w:val="0"/>
          <w:numId w:val="26"/>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approuver la demande présentée par le Nigéria et de réviser ses données pour les années de référence 2020, 2021 et 2022 concernant sa consommation d</w:t>
      </w:r>
      <w:r w:rsidR="00AA6A89" w:rsidRPr="009D0B3A">
        <w:t>’</w:t>
      </w:r>
      <w:r w:rsidRPr="009D0B3A">
        <w:t>hydrofluorocarbones, comme</w:t>
      </w:r>
      <w:r w:rsidR="00D44C01" w:rsidRPr="009D0B3A">
        <w:t xml:space="preserve"> </w:t>
      </w:r>
      <w:r w:rsidRPr="009D0B3A">
        <w:t>indiqué dans le tableau ci-après</w:t>
      </w:r>
      <w:r w:rsidR="00AA6A89" w:rsidRPr="009D0B3A">
        <w:t> :</w:t>
      </w:r>
      <w:r w:rsidRPr="009D0B3A">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030"/>
        <w:gridCol w:w="1173"/>
        <w:gridCol w:w="1173"/>
        <w:gridCol w:w="1172"/>
        <w:gridCol w:w="1173"/>
        <w:gridCol w:w="1173"/>
      </w:tblGrid>
      <w:tr w:rsidR="003E09D8" w:rsidRPr="009D0B3A" w14:paraId="22CF8729" w14:textId="77777777" w:rsidTr="00333421">
        <w:trPr>
          <w:trHeight w:val="113"/>
          <w:jc w:val="right"/>
        </w:trPr>
        <w:tc>
          <w:tcPr>
            <w:tcW w:w="1413" w:type="dxa"/>
            <w:vMerge w:val="restart"/>
            <w:tcBorders>
              <w:top w:val="single" w:sz="4" w:space="0" w:color="auto"/>
              <w:bottom w:val="single" w:sz="12" w:space="0" w:color="auto"/>
            </w:tcBorders>
            <w:vAlign w:val="bottom"/>
          </w:tcPr>
          <w:p w14:paraId="68EFA684" w14:textId="77777777" w:rsidR="003E09D8" w:rsidRPr="009D0B3A" w:rsidRDefault="003E09D8" w:rsidP="00333421">
            <w:pPr>
              <w:pStyle w:val="Normal-pool-Table"/>
              <w:rPr>
                <w:i/>
                <w:iCs/>
              </w:rPr>
            </w:pPr>
            <w:r w:rsidRPr="009D0B3A">
              <w:rPr>
                <w:i/>
                <w:iCs/>
                <w:color w:val="000000"/>
              </w:rPr>
              <w:t>Partie/année</w:t>
            </w:r>
          </w:p>
        </w:tc>
        <w:tc>
          <w:tcPr>
            <w:tcW w:w="3376" w:type="dxa"/>
            <w:gridSpan w:val="3"/>
            <w:tcBorders>
              <w:top w:val="single" w:sz="4" w:space="0" w:color="auto"/>
              <w:bottom w:val="single" w:sz="4" w:space="0" w:color="auto"/>
              <w:right w:val="single" w:sz="4" w:space="0" w:color="auto"/>
            </w:tcBorders>
            <w:vAlign w:val="bottom"/>
          </w:tcPr>
          <w:p w14:paraId="4CD3FE41" w14:textId="3C62272B" w:rsidR="003E09D8" w:rsidRPr="009D0B3A" w:rsidRDefault="003E09D8" w:rsidP="00333421">
            <w:pPr>
              <w:pStyle w:val="Normal-pool-Table"/>
              <w:jc w:val="center"/>
              <w:rPr>
                <w:i/>
                <w:iCs/>
                <w:szCs w:val="18"/>
              </w:rPr>
            </w:pPr>
            <w:r w:rsidRPr="009D0B3A">
              <w:rPr>
                <w:i/>
                <w:iCs/>
                <w:color w:val="000000"/>
              </w:rPr>
              <w:t>Précédentes données pour les HFC (en</w:t>
            </w:r>
            <w:r w:rsidR="006B662A">
              <w:rPr>
                <w:i/>
                <w:iCs/>
                <w:color w:val="000000"/>
              </w:rPr>
              <w:t> </w:t>
            </w:r>
            <w:r w:rsidRPr="009D0B3A">
              <w:rPr>
                <w:i/>
                <w:iCs/>
                <w:color w:val="000000"/>
              </w:rPr>
              <w:t>tonnes d</w:t>
            </w:r>
            <w:r w:rsidR="00AA6A89" w:rsidRPr="009D0B3A">
              <w:rPr>
                <w:i/>
                <w:iCs/>
                <w:color w:val="000000"/>
              </w:rPr>
              <w:t>’</w:t>
            </w:r>
            <w:r w:rsidRPr="009D0B3A">
              <w:rPr>
                <w:i/>
                <w:iCs/>
                <w:color w:val="000000"/>
              </w:rPr>
              <w:t>éqCO</w:t>
            </w:r>
            <w:r w:rsidRPr="009D0B3A">
              <w:rPr>
                <w:i/>
                <w:iCs/>
                <w:color w:val="000000"/>
                <w:vertAlign w:val="subscript"/>
              </w:rPr>
              <w:t>2</w:t>
            </w:r>
            <w:r w:rsidRPr="009D0B3A">
              <w:rPr>
                <w:i/>
                <w:iCs/>
                <w:color w:val="000000"/>
              </w:rPr>
              <w:t>)</w:t>
            </w:r>
          </w:p>
        </w:tc>
        <w:tc>
          <w:tcPr>
            <w:tcW w:w="3518" w:type="dxa"/>
            <w:gridSpan w:val="3"/>
            <w:tcBorders>
              <w:top w:val="single" w:sz="4" w:space="0" w:color="auto"/>
              <w:left w:val="single" w:sz="4" w:space="0" w:color="auto"/>
              <w:bottom w:val="single" w:sz="4" w:space="0" w:color="auto"/>
            </w:tcBorders>
            <w:vAlign w:val="bottom"/>
          </w:tcPr>
          <w:p w14:paraId="7BCDD774" w14:textId="18A604F0" w:rsidR="003E09D8" w:rsidRPr="009D0B3A" w:rsidRDefault="003E09D8" w:rsidP="00333421">
            <w:pPr>
              <w:pStyle w:val="Normal-pool-Table"/>
              <w:jc w:val="center"/>
              <w:rPr>
                <w:i/>
                <w:iCs/>
                <w:szCs w:val="18"/>
              </w:rPr>
            </w:pPr>
            <w:r w:rsidRPr="009D0B3A">
              <w:rPr>
                <w:i/>
                <w:iCs/>
                <w:color w:val="000000"/>
              </w:rPr>
              <w:t>Nouvelles données pour les HFC (en</w:t>
            </w:r>
            <w:r w:rsidR="006B662A">
              <w:rPr>
                <w:i/>
                <w:iCs/>
                <w:color w:val="000000"/>
              </w:rPr>
              <w:t> </w:t>
            </w:r>
            <w:r w:rsidRPr="009D0B3A">
              <w:rPr>
                <w:i/>
                <w:iCs/>
                <w:color w:val="000000"/>
              </w:rPr>
              <w:t>tonnes</w:t>
            </w:r>
            <w:r w:rsidR="006B662A">
              <w:rPr>
                <w:i/>
                <w:iCs/>
                <w:color w:val="000000"/>
              </w:rPr>
              <w:t> </w:t>
            </w:r>
            <w:r w:rsidRPr="009D0B3A">
              <w:rPr>
                <w:i/>
                <w:iCs/>
                <w:color w:val="000000"/>
              </w:rPr>
              <w:t>d</w:t>
            </w:r>
            <w:r w:rsidR="00AA6A89" w:rsidRPr="009D0B3A">
              <w:rPr>
                <w:i/>
                <w:iCs/>
                <w:color w:val="000000"/>
              </w:rPr>
              <w:t>’</w:t>
            </w:r>
            <w:r w:rsidRPr="009D0B3A">
              <w:rPr>
                <w:i/>
                <w:iCs/>
                <w:color w:val="000000"/>
              </w:rPr>
              <w:t>éqCO</w:t>
            </w:r>
            <w:r w:rsidRPr="009D0B3A">
              <w:rPr>
                <w:i/>
                <w:iCs/>
                <w:color w:val="000000"/>
                <w:vertAlign w:val="subscript"/>
              </w:rPr>
              <w:t>2</w:t>
            </w:r>
            <w:r w:rsidRPr="009D0B3A">
              <w:rPr>
                <w:i/>
                <w:iCs/>
                <w:color w:val="000000"/>
              </w:rPr>
              <w:t>)</w:t>
            </w:r>
          </w:p>
        </w:tc>
      </w:tr>
      <w:tr w:rsidR="003E09D8" w:rsidRPr="009D0B3A" w14:paraId="1ADEE895" w14:textId="77777777" w:rsidTr="00333421">
        <w:trPr>
          <w:trHeight w:val="209"/>
          <w:jc w:val="right"/>
        </w:trPr>
        <w:tc>
          <w:tcPr>
            <w:tcW w:w="1413" w:type="dxa"/>
            <w:vMerge/>
            <w:tcBorders>
              <w:top w:val="single" w:sz="4" w:space="0" w:color="auto"/>
              <w:bottom w:val="single" w:sz="12" w:space="0" w:color="auto"/>
            </w:tcBorders>
            <w:vAlign w:val="bottom"/>
          </w:tcPr>
          <w:p w14:paraId="0E80F9B4" w14:textId="77777777" w:rsidR="003E09D8" w:rsidRPr="009D0B3A" w:rsidRDefault="003E09D8" w:rsidP="00333421">
            <w:pPr>
              <w:pStyle w:val="Normal-pool-Table"/>
              <w:rPr>
                <w:i/>
                <w:iCs/>
                <w:szCs w:val="18"/>
              </w:rPr>
            </w:pPr>
          </w:p>
        </w:tc>
        <w:tc>
          <w:tcPr>
            <w:tcW w:w="1030" w:type="dxa"/>
            <w:tcBorders>
              <w:top w:val="single" w:sz="4" w:space="0" w:color="auto"/>
              <w:bottom w:val="single" w:sz="12" w:space="0" w:color="auto"/>
            </w:tcBorders>
            <w:vAlign w:val="bottom"/>
          </w:tcPr>
          <w:p w14:paraId="04F81EA6" w14:textId="77777777" w:rsidR="003E09D8" w:rsidRPr="009D0B3A" w:rsidRDefault="003E09D8" w:rsidP="00333421">
            <w:pPr>
              <w:pStyle w:val="Normal-pool-Table"/>
              <w:jc w:val="right"/>
              <w:rPr>
                <w:i/>
                <w:iCs/>
                <w:szCs w:val="18"/>
              </w:rPr>
            </w:pPr>
            <w:r w:rsidRPr="009D0B3A">
              <w:rPr>
                <w:i/>
                <w:iCs/>
                <w:color w:val="000000"/>
              </w:rPr>
              <w:t>2020</w:t>
            </w:r>
          </w:p>
        </w:tc>
        <w:tc>
          <w:tcPr>
            <w:tcW w:w="1173" w:type="dxa"/>
            <w:tcBorders>
              <w:top w:val="single" w:sz="4" w:space="0" w:color="auto"/>
              <w:bottom w:val="single" w:sz="12" w:space="0" w:color="auto"/>
            </w:tcBorders>
            <w:vAlign w:val="bottom"/>
          </w:tcPr>
          <w:p w14:paraId="3DBC78E2" w14:textId="77777777" w:rsidR="003E09D8" w:rsidRPr="009D0B3A" w:rsidRDefault="003E09D8" w:rsidP="00333421">
            <w:pPr>
              <w:pStyle w:val="Normal-pool-Table"/>
              <w:jc w:val="right"/>
              <w:rPr>
                <w:i/>
                <w:iCs/>
                <w:szCs w:val="18"/>
              </w:rPr>
            </w:pPr>
            <w:r w:rsidRPr="009D0B3A">
              <w:rPr>
                <w:i/>
                <w:iCs/>
                <w:color w:val="000000"/>
              </w:rPr>
              <w:t>2021</w:t>
            </w:r>
          </w:p>
        </w:tc>
        <w:tc>
          <w:tcPr>
            <w:tcW w:w="1173" w:type="dxa"/>
            <w:tcBorders>
              <w:top w:val="single" w:sz="4" w:space="0" w:color="auto"/>
              <w:bottom w:val="single" w:sz="12" w:space="0" w:color="auto"/>
              <w:right w:val="single" w:sz="4" w:space="0" w:color="auto"/>
            </w:tcBorders>
            <w:vAlign w:val="bottom"/>
          </w:tcPr>
          <w:p w14:paraId="027640E2" w14:textId="77777777" w:rsidR="003E09D8" w:rsidRPr="009D0B3A" w:rsidRDefault="003E09D8" w:rsidP="00333421">
            <w:pPr>
              <w:pStyle w:val="Normal-pool-Table"/>
              <w:jc w:val="right"/>
              <w:rPr>
                <w:i/>
                <w:iCs/>
                <w:szCs w:val="18"/>
              </w:rPr>
            </w:pPr>
            <w:r w:rsidRPr="009D0B3A">
              <w:rPr>
                <w:i/>
                <w:iCs/>
                <w:color w:val="000000"/>
              </w:rPr>
              <w:t>2022</w:t>
            </w:r>
          </w:p>
        </w:tc>
        <w:tc>
          <w:tcPr>
            <w:tcW w:w="1172" w:type="dxa"/>
            <w:tcBorders>
              <w:top w:val="single" w:sz="4" w:space="0" w:color="auto"/>
              <w:left w:val="single" w:sz="4" w:space="0" w:color="auto"/>
              <w:bottom w:val="single" w:sz="12" w:space="0" w:color="auto"/>
            </w:tcBorders>
            <w:vAlign w:val="bottom"/>
          </w:tcPr>
          <w:p w14:paraId="0DA3DC38" w14:textId="77777777" w:rsidR="003E09D8" w:rsidRPr="009D0B3A" w:rsidRDefault="003E09D8" w:rsidP="00333421">
            <w:pPr>
              <w:pStyle w:val="Normal-pool-Table"/>
              <w:jc w:val="right"/>
              <w:rPr>
                <w:i/>
                <w:iCs/>
                <w:szCs w:val="18"/>
              </w:rPr>
            </w:pPr>
            <w:r w:rsidRPr="009D0B3A">
              <w:rPr>
                <w:i/>
                <w:iCs/>
                <w:color w:val="000000"/>
              </w:rPr>
              <w:t>2020</w:t>
            </w:r>
          </w:p>
        </w:tc>
        <w:tc>
          <w:tcPr>
            <w:tcW w:w="1173" w:type="dxa"/>
            <w:tcBorders>
              <w:top w:val="single" w:sz="4" w:space="0" w:color="auto"/>
              <w:bottom w:val="single" w:sz="12" w:space="0" w:color="auto"/>
            </w:tcBorders>
            <w:vAlign w:val="bottom"/>
          </w:tcPr>
          <w:p w14:paraId="62441A13" w14:textId="77777777" w:rsidR="003E09D8" w:rsidRPr="009D0B3A" w:rsidRDefault="003E09D8" w:rsidP="00333421">
            <w:pPr>
              <w:pStyle w:val="Normal-pool-Table"/>
              <w:jc w:val="right"/>
              <w:rPr>
                <w:i/>
                <w:iCs/>
                <w:szCs w:val="18"/>
              </w:rPr>
            </w:pPr>
            <w:r w:rsidRPr="009D0B3A">
              <w:rPr>
                <w:i/>
                <w:iCs/>
                <w:color w:val="000000"/>
              </w:rPr>
              <w:t>2021</w:t>
            </w:r>
          </w:p>
        </w:tc>
        <w:tc>
          <w:tcPr>
            <w:tcW w:w="1173" w:type="dxa"/>
            <w:tcBorders>
              <w:top w:val="single" w:sz="4" w:space="0" w:color="auto"/>
              <w:bottom w:val="single" w:sz="12" w:space="0" w:color="auto"/>
            </w:tcBorders>
            <w:vAlign w:val="bottom"/>
          </w:tcPr>
          <w:p w14:paraId="69A9318D" w14:textId="77777777" w:rsidR="003E09D8" w:rsidRPr="009D0B3A" w:rsidRDefault="003E09D8" w:rsidP="00333421">
            <w:pPr>
              <w:pStyle w:val="Normal-pool-Table"/>
              <w:jc w:val="right"/>
              <w:rPr>
                <w:i/>
                <w:iCs/>
                <w:szCs w:val="18"/>
              </w:rPr>
            </w:pPr>
            <w:r w:rsidRPr="009D0B3A">
              <w:rPr>
                <w:i/>
                <w:iCs/>
                <w:color w:val="000000"/>
              </w:rPr>
              <w:t>2022</w:t>
            </w:r>
          </w:p>
        </w:tc>
      </w:tr>
      <w:tr w:rsidR="003E09D8" w:rsidRPr="009D0B3A" w14:paraId="6708C505" w14:textId="77777777" w:rsidTr="00333421">
        <w:trPr>
          <w:trHeight w:val="113"/>
          <w:jc w:val="right"/>
        </w:trPr>
        <w:tc>
          <w:tcPr>
            <w:tcW w:w="1413" w:type="dxa"/>
            <w:tcBorders>
              <w:top w:val="single" w:sz="12" w:space="0" w:color="auto"/>
              <w:bottom w:val="single" w:sz="12" w:space="0" w:color="auto"/>
            </w:tcBorders>
          </w:tcPr>
          <w:p w14:paraId="748D675B" w14:textId="77777777" w:rsidR="003E09D8" w:rsidRPr="009D0B3A" w:rsidRDefault="003E09D8" w:rsidP="00333421">
            <w:pPr>
              <w:pStyle w:val="Normal-pool-Table"/>
              <w:rPr>
                <w:szCs w:val="18"/>
              </w:rPr>
            </w:pPr>
            <w:r w:rsidRPr="009D0B3A">
              <w:rPr>
                <w:color w:val="000000"/>
              </w:rPr>
              <w:t xml:space="preserve">Nigéria </w:t>
            </w:r>
          </w:p>
        </w:tc>
        <w:tc>
          <w:tcPr>
            <w:tcW w:w="1030" w:type="dxa"/>
            <w:tcBorders>
              <w:top w:val="single" w:sz="12" w:space="0" w:color="auto"/>
              <w:bottom w:val="single" w:sz="12" w:space="0" w:color="auto"/>
            </w:tcBorders>
          </w:tcPr>
          <w:p w14:paraId="6FC2F5FB" w14:textId="77777777" w:rsidR="003E09D8" w:rsidRPr="009D0B3A" w:rsidRDefault="003E09D8" w:rsidP="00333421">
            <w:pPr>
              <w:pStyle w:val="Normal-pool-Table"/>
              <w:jc w:val="right"/>
              <w:rPr>
                <w:szCs w:val="18"/>
              </w:rPr>
            </w:pPr>
            <w:r w:rsidRPr="009D0B3A">
              <w:rPr>
                <w:color w:val="000000"/>
              </w:rPr>
              <w:t>2 620 048</w:t>
            </w:r>
          </w:p>
        </w:tc>
        <w:tc>
          <w:tcPr>
            <w:tcW w:w="1173" w:type="dxa"/>
            <w:tcBorders>
              <w:top w:val="single" w:sz="12" w:space="0" w:color="auto"/>
              <w:bottom w:val="single" w:sz="12" w:space="0" w:color="auto"/>
            </w:tcBorders>
          </w:tcPr>
          <w:p w14:paraId="25639BFD" w14:textId="77777777" w:rsidR="003E09D8" w:rsidRPr="009D0B3A" w:rsidRDefault="003E09D8" w:rsidP="00333421">
            <w:pPr>
              <w:pStyle w:val="Normal-pool-Table"/>
              <w:jc w:val="right"/>
              <w:rPr>
                <w:szCs w:val="18"/>
              </w:rPr>
            </w:pPr>
            <w:r w:rsidRPr="009D0B3A">
              <w:rPr>
                <w:color w:val="000000"/>
              </w:rPr>
              <w:t>8 381 305</w:t>
            </w:r>
          </w:p>
        </w:tc>
        <w:tc>
          <w:tcPr>
            <w:tcW w:w="1173" w:type="dxa"/>
            <w:tcBorders>
              <w:top w:val="single" w:sz="12" w:space="0" w:color="auto"/>
              <w:bottom w:val="single" w:sz="12" w:space="0" w:color="auto"/>
              <w:right w:val="single" w:sz="4" w:space="0" w:color="auto"/>
            </w:tcBorders>
          </w:tcPr>
          <w:p w14:paraId="796411D9" w14:textId="77777777" w:rsidR="003E09D8" w:rsidRPr="009D0B3A" w:rsidRDefault="003E09D8" w:rsidP="00333421">
            <w:pPr>
              <w:pStyle w:val="Normal-pool-Table"/>
              <w:jc w:val="right"/>
              <w:rPr>
                <w:szCs w:val="18"/>
              </w:rPr>
            </w:pPr>
            <w:r w:rsidRPr="009D0B3A">
              <w:rPr>
                <w:color w:val="000000"/>
              </w:rPr>
              <w:t>17 374 682</w:t>
            </w:r>
          </w:p>
        </w:tc>
        <w:tc>
          <w:tcPr>
            <w:tcW w:w="1172" w:type="dxa"/>
            <w:tcBorders>
              <w:top w:val="single" w:sz="12" w:space="0" w:color="auto"/>
              <w:left w:val="single" w:sz="4" w:space="0" w:color="auto"/>
              <w:bottom w:val="single" w:sz="12" w:space="0" w:color="auto"/>
            </w:tcBorders>
          </w:tcPr>
          <w:p w14:paraId="0F0DA2FA" w14:textId="77777777" w:rsidR="003E09D8" w:rsidRPr="009D0B3A" w:rsidRDefault="003E09D8" w:rsidP="00333421">
            <w:pPr>
              <w:pStyle w:val="Normal-pool-Table"/>
              <w:jc w:val="right"/>
              <w:rPr>
                <w:szCs w:val="18"/>
              </w:rPr>
            </w:pPr>
            <w:r w:rsidRPr="009D0B3A">
              <w:rPr>
                <w:color w:val="000000"/>
              </w:rPr>
              <w:t>13 305 145</w:t>
            </w:r>
          </w:p>
        </w:tc>
        <w:tc>
          <w:tcPr>
            <w:tcW w:w="1173" w:type="dxa"/>
            <w:tcBorders>
              <w:top w:val="single" w:sz="12" w:space="0" w:color="auto"/>
              <w:bottom w:val="single" w:sz="12" w:space="0" w:color="auto"/>
            </w:tcBorders>
          </w:tcPr>
          <w:p w14:paraId="19320EF0" w14:textId="77777777" w:rsidR="003E09D8" w:rsidRPr="009D0B3A" w:rsidRDefault="003E09D8" w:rsidP="00333421">
            <w:pPr>
              <w:pStyle w:val="Normal-pool-Table"/>
              <w:jc w:val="right"/>
              <w:rPr>
                <w:szCs w:val="18"/>
              </w:rPr>
            </w:pPr>
            <w:r w:rsidRPr="009D0B3A">
              <w:rPr>
                <w:color w:val="000000"/>
              </w:rPr>
              <w:t>19 884 612</w:t>
            </w:r>
          </w:p>
        </w:tc>
        <w:tc>
          <w:tcPr>
            <w:tcW w:w="1173" w:type="dxa"/>
            <w:tcBorders>
              <w:top w:val="single" w:sz="12" w:space="0" w:color="auto"/>
              <w:bottom w:val="single" w:sz="12" w:space="0" w:color="auto"/>
            </w:tcBorders>
          </w:tcPr>
          <w:p w14:paraId="3073D6EB" w14:textId="77777777" w:rsidR="003E09D8" w:rsidRPr="009D0B3A" w:rsidRDefault="003E09D8" w:rsidP="00333421">
            <w:pPr>
              <w:pStyle w:val="Normal-pool-Table"/>
              <w:jc w:val="right"/>
              <w:rPr>
                <w:szCs w:val="18"/>
              </w:rPr>
            </w:pPr>
            <w:r w:rsidRPr="009D0B3A">
              <w:rPr>
                <w:color w:val="000000"/>
              </w:rPr>
              <w:t>24 582 158</w:t>
            </w:r>
          </w:p>
        </w:tc>
      </w:tr>
    </w:tbl>
    <w:p w14:paraId="567B2DE0" w14:textId="0F0429C7" w:rsidR="003E09D8" w:rsidRPr="009D0B3A" w:rsidRDefault="003E09D8" w:rsidP="003E09D8">
      <w:pPr>
        <w:tabs>
          <w:tab w:val="left" w:pos="624"/>
          <w:tab w:val="left" w:pos="1871"/>
          <w:tab w:val="left" w:pos="2495"/>
          <w:tab w:val="left" w:pos="3119"/>
          <w:tab w:val="left" w:pos="3742"/>
          <w:tab w:val="left" w:pos="4366"/>
          <w:tab w:val="left" w:pos="4990"/>
        </w:tabs>
        <w:spacing w:before="60" w:after="120"/>
        <w:ind w:left="1247"/>
        <w:rPr>
          <w:sz w:val="17"/>
          <w:szCs w:val="17"/>
        </w:rPr>
      </w:pPr>
      <w:r w:rsidRPr="009D0B3A">
        <w:rPr>
          <w:sz w:val="17"/>
          <w:szCs w:val="17"/>
        </w:rPr>
        <w:tab/>
      </w:r>
      <w:r w:rsidRPr="009D0B3A">
        <w:rPr>
          <w:i/>
          <w:iCs/>
          <w:sz w:val="17"/>
          <w:szCs w:val="17"/>
        </w:rPr>
        <w:t>Abréviations</w:t>
      </w:r>
      <w:r w:rsidR="00AA6A89" w:rsidRPr="009D0B3A">
        <w:rPr>
          <w:sz w:val="17"/>
          <w:szCs w:val="17"/>
        </w:rPr>
        <w:t> :</w:t>
      </w:r>
      <w:r w:rsidRPr="009D0B3A">
        <w:rPr>
          <w:sz w:val="17"/>
          <w:szCs w:val="17"/>
        </w:rPr>
        <w:t xml:space="preserve"> éqCO</w:t>
      </w:r>
      <w:r w:rsidRPr="009D0B3A">
        <w:rPr>
          <w:sz w:val="17"/>
          <w:szCs w:val="17"/>
          <w:vertAlign w:val="subscript"/>
        </w:rPr>
        <w:t>2</w:t>
      </w:r>
      <w:r w:rsidRPr="009D0B3A">
        <w:rPr>
          <w:sz w:val="17"/>
          <w:szCs w:val="17"/>
        </w:rPr>
        <w:t xml:space="preserve"> = équivalent dioxyde de carbone</w:t>
      </w:r>
      <w:r w:rsidR="00AA6A89" w:rsidRPr="009D0B3A">
        <w:rPr>
          <w:sz w:val="17"/>
          <w:szCs w:val="17"/>
        </w:rPr>
        <w:t> ;</w:t>
      </w:r>
      <w:r w:rsidRPr="009D0B3A">
        <w:rPr>
          <w:sz w:val="17"/>
          <w:szCs w:val="17"/>
        </w:rPr>
        <w:t xml:space="preserve"> HFC – hydrofluorocarbones. </w:t>
      </w:r>
    </w:p>
    <w:p w14:paraId="49559DDB" w14:textId="1EC9DEE2" w:rsidR="00A73BE3" w:rsidRPr="009D0B3A" w:rsidRDefault="0094659B" w:rsidP="0094659B">
      <w:pPr>
        <w:pStyle w:val="CH2"/>
        <w:rPr>
          <w:bCs/>
        </w:rPr>
      </w:pPr>
      <w:r>
        <w:rPr>
          <w:bCs/>
        </w:rPr>
        <w:tab/>
      </w:r>
      <w:r w:rsidR="000040E9">
        <w:rPr>
          <w:bCs/>
        </w:rPr>
        <w:t>I</w:t>
      </w:r>
      <w:r>
        <w:rPr>
          <w:bCs/>
        </w:rPr>
        <w:t>.</w:t>
      </w:r>
      <w:r>
        <w:rPr>
          <w:bCs/>
        </w:rPr>
        <w:tab/>
      </w:r>
      <w:r w:rsidR="00A73BE3" w:rsidRPr="009D0B3A">
        <w:rPr>
          <w:bCs/>
        </w:rPr>
        <w:t>Projet de décision XXXVII/[--]</w:t>
      </w:r>
      <w:r w:rsidR="00AA6A89" w:rsidRPr="009D0B3A">
        <w:rPr>
          <w:bCs/>
        </w:rPr>
        <w:t> :</w:t>
      </w:r>
      <w:r w:rsidR="00A73BE3" w:rsidRPr="009D0B3A">
        <w:rPr>
          <w:bCs/>
        </w:rPr>
        <w:t xml:space="preserve"> État d</w:t>
      </w:r>
      <w:r w:rsidR="00AA6A89" w:rsidRPr="009D0B3A">
        <w:rPr>
          <w:bCs/>
        </w:rPr>
        <w:t>’</w:t>
      </w:r>
      <w:r w:rsidR="00A73BE3" w:rsidRPr="009D0B3A">
        <w:rPr>
          <w:bCs/>
        </w:rPr>
        <w:t>avancement de la mise en place de</w:t>
      </w:r>
      <w:r w:rsidR="001002F2">
        <w:rPr>
          <w:bCs/>
        </w:rPr>
        <w:t> </w:t>
      </w:r>
      <w:r w:rsidR="00A73BE3" w:rsidRPr="009D0B3A">
        <w:rPr>
          <w:bCs/>
        </w:rPr>
        <w:t>systèmes d</w:t>
      </w:r>
      <w:r w:rsidR="00AA6A89" w:rsidRPr="009D0B3A">
        <w:rPr>
          <w:bCs/>
        </w:rPr>
        <w:t>’</w:t>
      </w:r>
      <w:r w:rsidR="00A73BE3" w:rsidRPr="009D0B3A">
        <w:rPr>
          <w:bCs/>
        </w:rPr>
        <w:t>octroi de licences au titre du paragraphe</w:t>
      </w:r>
      <w:r w:rsidR="00AE09CD">
        <w:rPr>
          <w:bCs/>
        </w:rPr>
        <w:t> </w:t>
      </w:r>
      <w:r w:rsidR="00A73BE3" w:rsidRPr="009D0B3A">
        <w:rPr>
          <w:bCs/>
        </w:rPr>
        <w:t xml:space="preserve">2 </w:t>
      </w:r>
      <w:r w:rsidR="00A73BE3" w:rsidRPr="009D0B3A">
        <w:rPr>
          <w:bCs/>
          <w:i/>
          <w:iCs/>
        </w:rPr>
        <w:t>bis</w:t>
      </w:r>
      <w:r w:rsidR="00A73BE3" w:rsidRPr="009D0B3A">
        <w:rPr>
          <w:bCs/>
        </w:rPr>
        <w:t xml:space="preserve"> de l</w:t>
      </w:r>
      <w:r w:rsidR="00AA6A89" w:rsidRPr="009D0B3A">
        <w:rPr>
          <w:bCs/>
        </w:rPr>
        <w:t>’</w:t>
      </w:r>
      <w:r w:rsidR="00A73BE3" w:rsidRPr="009D0B3A">
        <w:rPr>
          <w:bCs/>
        </w:rPr>
        <w:t>article 4B du</w:t>
      </w:r>
      <w:r w:rsidR="001002F2">
        <w:rPr>
          <w:bCs/>
        </w:rPr>
        <w:t> </w:t>
      </w:r>
      <w:r w:rsidR="00A73BE3" w:rsidRPr="009D0B3A">
        <w:rPr>
          <w:bCs/>
        </w:rPr>
        <w:t>Protocole de Montréal relatif à des substances qui appauvrissent la couche d</w:t>
      </w:r>
      <w:r w:rsidR="00AA6A89" w:rsidRPr="009D0B3A">
        <w:rPr>
          <w:bCs/>
        </w:rPr>
        <w:t>’</w:t>
      </w:r>
      <w:r w:rsidR="00A73BE3" w:rsidRPr="009D0B3A">
        <w:rPr>
          <w:bCs/>
        </w:rPr>
        <w:t>ozone</w:t>
      </w:r>
    </w:p>
    <w:p w14:paraId="2DAB2988" w14:textId="486D6D7B" w:rsidR="00D37379" w:rsidRPr="009D0B3A" w:rsidRDefault="00D37379" w:rsidP="00A73BE3">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La trente-septième</w:t>
      </w:r>
      <w:r w:rsidR="00AE09CD">
        <w:rPr>
          <w:i/>
          <w:iCs/>
        </w:rPr>
        <w:t> </w:t>
      </w:r>
      <w:r w:rsidRPr="009D0B3A">
        <w:rPr>
          <w:i/>
          <w:iCs/>
        </w:rPr>
        <w:t>Réunion des Parties</w:t>
      </w:r>
      <w:r w:rsidRPr="009D0B3A">
        <w:t>,</w:t>
      </w:r>
    </w:p>
    <w:p w14:paraId="7495AD47" w14:textId="44BAA8F7" w:rsidR="00A73BE3" w:rsidRPr="009D0B3A"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pPr>
      <w:r w:rsidRPr="009D0B3A">
        <w:tab/>
      </w:r>
      <w:r w:rsidRPr="009D0B3A">
        <w:rPr>
          <w:i/>
          <w:iCs/>
        </w:rPr>
        <w:t>Rappelant</w:t>
      </w:r>
      <w:r w:rsidRPr="009D0B3A">
        <w:t xml:space="preserve"> que le paragraphe</w:t>
      </w:r>
      <w:r w:rsidR="00403F49">
        <w:t> </w:t>
      </w:r>
      <w:r w:rsidRPr="009D0B3A">
        <w:t xml:space="preserve">2 </w:t>
      </w:r>
      <w:r w:rsidRPr="009D0B3A">
        <w:rPr>
          <w:i/>
          <w:iCs/>
        </w:rPr>
        <w:t>bis</w:t>
      </w:r>
      <w:r w:rsidRPr="009D0B3A">
        <w:t xml:space="preserve"> de l</w:t>
      </w:r>
      <w:r w:rsidR="00AA6A89" w:rsidRPr="009D0B3A">
        <w:t>’</w:t>
      </w:r>
      <w:r w:rsidRPr="009D0B3A">
        <w:t>article 4B du Protocole de</w:t>
      </w:r>
      <w:r w:rsidR="00403F49">
        <w:t> </w:t>
      </w:r>
      <w:r w:rsidRPr="009D0B3A">
        <w:t>Montréal relatif à des substances qui appauvrissent la couche d</w:t>
      </w:r>
      <w:r w:rsidR="00AA6A89" w:rsidRPr="009D0B3A">
        <w:t>’</w:t>
      </w:r>
      <w:r w:rsidRPr="009D0B3A">
        <w:t>ozone impose à chaque Partie d</w:t>
      </w:r>
      <w:r w:rsidR="00AA6A89" w:rsidRPr="009D0B3A">
        <w:t>’</w:t>
      </w:r>
      <w:r w:rsidRPr="009D0B3A">
        <w:t>établir et de mettre en œuvre un système d</w:t>
      </w:r>
      <w:r w:rsidR="00AA6A89" w:rsidRPr="009D0B3A">
        <w:t>’</w:t>
      </w:r>
      <w:r w:rsidRPr="009D0B3A">
        <w:t>octroi de licences pour les importations et les exportations de substances réglementées nouvelles, utilisées, recyclées ou régénérées inscrites à l</w:t>
      </w:r>
      <w:r w:rsidR="00AA6A89" w:rsidRPr="009D0B3A">
        <w:t>’</w:t>
      </w:r>
      <w:r w:rsidRPr="009D0B3A">
        <w:t>Annexe</w:t>
      </w:r>
      <w:r w:rsidR="00715E83">
        <w:t> </w:t>
      </w:r>
      <w:r w:rsidRPr="009D0B3A">
        <w:t>F du Protocole,</w:t>
      </w:r>
    </w:p>
    <w:p w14:paraId="2D256B04" w14:textId="4A6DEAC3" w:rsidR="00A73BE3" w:rsidRPr="009D0B3A"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pPr>
      <w:r w:rsidRPr="009D0B3A">
        <w:tab/>
      </w:r>
      <w:r w:rsidRPr="009D0B3A">
        <w:rPr>
          <w:i/>
          <w:iCs/>
        </w:rPr>
        <w:t>Notant avec satisfaction</w:t>
      </w:r>
      <w:r w:rsidRPr="009D0B3A">
        <w:t xml:space="preserve"> que 161 des 169</w:t>
      </w:r>
      <w:r w:rsidR="00715E83">
        <w:t> </w:t>
      </w:r>
      <w:r w:rsidRPr="009D0B3A">
        <w:t>Parties au Protocole de</w:t>
      </w:r>
      <w:r w:rsidR="002D784F">
        <w:t> </w:t>
      </w:r>
      <w:r w:rsidRPr="009D0B3A">
        <w:t>Montréal qui ont ratifié, accepté ou approuvé l</w:t>
      </w:r>
      <w:r w:rsidR="00AA6A89" w:rsidRPr="009D0B3A">
        <w:t>’</w:t>
      </w:r>
      <w:r w:rsidRPr="009D0B3A">
        <w:t>Amendement de Kigali au Protocole ont rendu compte de la mise en place et du fonctionnement d</w:t>
      </w:r>
      <w:r w:rsidR="00AA6A89" w:rsidRPr="009D0B3A">
        <w:t>’</w:t>
      </w:r>
      <w:r w:rsidRPr="009D0B3A">
        <w:t>un système d</w:t>
      </w:r>
      <w:r w:rsidR="00AA6A89" w:rsidRPr="009D0B3A">
        <w:t>’</w:t>
      </w:r>
      <w:r w:rsidRPr="009D0B3A">
        <w:t>octroi de licences pour les importations et les exportations de substances réglementées inscrites à l</w:t>
      </w:r>
      <w:r w:rsidR="00AA6A89" w:rsidRPr="009D0B3A">
        <w:t>’</w:t>
      </w:r>
      <w:r w:rsidRPr="009D0B3A">
        <w:t>Annexe</w:t>
      </w:r>
      <w:r w:rsidR="009F2574">
        <w:t> </w:t>
      </w:r>
      <w:r w:rsidRPr="009D0B3A">
        <w:t>F, comme l</w:t>
      </w:r>
      <w:r w:rsidR="00AA6A89" w:rsidRPr="009D0B3A">
        <w:t>’</w:t>
      </w:r>
      <w:r w:rsidRPr="009D0B3A">
        <w:t>exige cet Amendement, et que quatre</w:t>
      </w:r>
      <w:r w:rsidR="009F2574">
        <w:t> </w:t>
      </w:r>
      <w:r w:rsidRPr="009D0B3A">
        <w:t>Parties qui n</w:t>
      </w:r>
      <w:r w:rsidR="00AA6A89" w:rsidRPr="009D0B3A">
        <w:t>’</w:t>
      </w:r>
      <w:r w:rsidRPr="009D0B3A">
        <w:t>ont pas encore ratifié l</w:t>
      </w:r>
      <w:r w:rsidR="00AA6A89" w:rsidRPr="009D0B3A">
        <w:t>’</w:t>
      </w:r>
      <w:r w:rsidRPr="009D0B3A">
        <w:t>Amendement de Kigali ont également déclaré avoir mis en place un tel système,</w:t>
      </w:r>
    </w:p>
    <w:p w14:paraId="0F87336D" w14:textId="4D64B1CC" w:rsidR="00A73BE3" w:rsidRPr="009D0B3A"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rPr>
          <w:color w:val="000000"/>
        </w:rPr>
      </w:pPr>
      <w:r w:rsidRPr="009D0B3A">
        <w:tab/>
      </w:r>
      <w:r w:rsidRPr="009D0B3A">
        <w:rPr>
          <w:i/>
          <w:iCs/>
        </w:rPr>
        <w:t xml:space="preserve">Notant </w:t>
      </w:r>
      <w:r w:rsidRPr="009D0B3A">
        <w:t>cependant que Djibouti, Oman et Saint-Marin n</w:t>
      </w:r>
      <w:r w:rsidR="00AA6A89" w:rsidRPr="009D0B3A">
        <w:t>’</w:t>
      </w:r>
      <w:r w:rsidRPr="009D0B3A">
        <w:t>ont pas encore rendu compte au Secrétariat de l</w:t>
      </w:r>
      <w:r w:rsidR="00AA6A89" w:rsidRPr="009D0B3A">
        <w:t>’</w:t>
      </w:r>
      <w:r w:rsidRPr="009D0B3A">
        <w:t>ozone de la mise en place et du fonctionnement de leur système d</w:t>
      </w:r>
      <w:r w:rsidR="00AA6A89" w:rsidRPr="009D0B3A">
        <w:t>’</w:t>
      </w:r>
      <w:r w:rsidRPr="009D0B3A">
        <w:t>octroi de licences conformément au paragraphe</w:t>
      </w:r>
      <w:r w:rsidR="0053146D">
        <w:t> </w:t>
      </w:r>
      <w:r w:rsidRPr="009D0B3A">
        <w:t>3 de l</w:t>
      </w:r>
      <w:r w:rsidR="00AA6A89" w:rsidRPr="009D0B3A">
        <w:t>’</w:t>
      </w:r>
      <w:r w:rsidRPr="009D0B3A">
        <w:t>article</w:t>
      </w:r>
      <w:r w:rsidR="0053146D">
        <w:t> </w:t>
      </w:r>
      <w:r w:rsidRPr="009D0B3A">
        <w:t>4B,</w:t>
      </w:r>
    </w:p>
    <w:p w14:paraId="50CC8E33" w14:textId="4660ABFB" w:rsidR="00A73BE3" w:rsidRPr="009D0B3A"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pPr>
      <w:r w:rsidRPr="009D0B3A">
        <w:lastRenderedPageBreak/>
        <w:tab/>
      </w:r>
      <w:r w:rsidRPr="009D0B3A">
        <w:rPr>
          <w:i/>
          <w:iCs/>
        </w:rPr>
        <w:t>Notant avec préoccupation</w:t>
      </w:r>
      <w:r w:rsidRPr="009D0B3A">
        <w:t xml:space="preserve"> que l</w:t>
      </w:r>
      <w:r w:rsidR="00AA6A89" w:rsidRPr="009D0B3A">
        <w:t>’</w:t>
      </w:r>
      <w:r w:rsidRPr="009D0B3A">
        <w:t>une des Parties susvisées, à savoir Saint-Marin, a accepté l</w:t>
      </w:r>
      <w:r w:rsidR="00AA6A89" w:rsidRPr="009D0B3A">
        <w:t>’</w:t>
      </w:r>
      <w:r w:rsidRPr="009D0B3A">
        <w:t>Amendement de Kigali en 2020 et n</w:t>
      </w:r>
      <w:r w:rsidR="00AA6A89" w:rsidRPr="009D0B3A">
        <w:t>’</w:t>
      </w:r>
      <w:r w:rsidRPr="009D0B3A">
        <w:t>a pas encore rendu compte de la mise en place et du fonctionnement de son système d</w:t>
      </w:r>
      <w:r w:rsidR="00AA6A89" w:rsidRPr="009D0B3A">
        <w:t>’</w:t>
      </w:r>
      <w:r w:rsidRPr="009D0B3A">
        <w:t>octroi de licences conformément au paragraphe</w:t>
      </w:r>
      <w:r w:rsidR="00260688">
        <w:t> </w:t>
      </w:r>
      <w:r w:rsidRPr="009D0B3A">
        <w:t>3 de l</w:t>
      </w:r>
      <w:r w:rsidR="00AA6A89" w:rsidRPr="009D0B3A">
        <w:t>’</w:t>
      </w:r>
      <w:r w:rsidRPr="009D0B3A">
        <w:t>article</w:t>
      </w:r>
      <w:r w:rsidR="00A57A51">
        <w:t> </w:t>
      </w:r>
      <w:r w:rsidRPr="009D0B3A">
        <w:t>4B,</w:t>
      </w:r>
    </w:p>
    <w:p w14:paraId="52781DCE" w14:textId="770DB941" w:rsidR="00A73BE3" w:rsidRPr="009D0B3A"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pPr>
      <w:r w:rsidRPr="009D0B3A">
        <w:tab/>
      </w:r>
      <w:r w:rsidRPr="009D0B3A">
        <w:rPr>
          <w:i/>
          <w:iCs/>
        </w:rPr>
        <w:t>Sachant</w:t>
      </w:r>
      <w:r w:rsidRPr="009D0B3A">
        <w:t xml:space="preserve"> que les systèmes d</w:t>
      </w:r>
      <w:r w:rsidR="00AA6A89" w:rsidRPr="009D0B3A">
        <w:t>’</w:t>
      </w:r>
      <w:r w:rsidRPr="009D0B3A">
        <w:t>octroi de licences permettent de recueillir et de vérifier les données, de contrôler les importations et les exportations de substances réglementées et de prévenir le commerce illicite,</w:t>
      </w:r>
    </w:p>
    <w:p w14:paraId="651C5B86" w14:textId="42640560" w:rsidR="00A73BE3" w:rsidRPr="009D0B3A"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pPr>
      <w:r w:rsidRPr="009D0B3A">
        <w:tab/>
      </w:r>
      <w:r w:rsidRPr="009D0B3A">
        <w:rPr>
          <w:i/>
          <w:iCs/>
        </w:rPr>
        <w:t xml:space="preserve">Sachant également </w:t>
      </w:r>
      <w:r w:rsidRPr="009D0B3A">
        <w:t>que l</w:t>
      </w:r>
      <w:r w:rsidR="00AA6A89" w:rsidRPr="009D0B3A">
        <w:t>’</w:t>
      </w:r>
      <w:r w:rsidRPr="009D0B3A">
        <w:t>élimination progressive par les Parties de la plupart des substances réglementées s</w:t>
      </w:r>
      <w:r w:rsidR="00AA6A89" w:rsidRPr="009D0B3A">
        <w:t>’</w:t>
      </w:r>
      <w:r w:rsidRPr="009D0B3A">
        <w:t>explique largement par l</w:t>
      </w:r>
      <w:r w:rsidR="00AA6A89" w:rsidRPr="009D0B3A">
        <w:t>’</w:t>
      </w:r>
      <w:r w:rsidRPr="009D0B3A">
        <w:t>établissement et la mise en œuvre de systèmes d</w:t>
      </w:r>
      <w:r w:rsidR="00AA6A89" w:rsidRPr="009D0B3A">
        <w:t>’</w:t>
      </w:r>
      <w:r w:rsidRPr="009D0B3A">
        <w:t>octroi de licences qui permettent de contrôler les importations et les exportations de substances appauvrissant la couche d</w:t>
      </w:r>
      <w:r w:rsidR="00AA6A89" w:rsidRPr="009D0B3A">
        <w:t>’</w:t>
      </w:r>
      <w:r w:rsidRPr="009D0B3A">
        <w:t>ozone,</w:t>
      </w:r>
    </w:p>
    <w:p w14:paraId="0BF00EE8" w14:textId="6BCB1D27" w:rsidR="00A73BE3" w:rsidRPr="009D0B3A" w:rsidRDefault="00A73BE3" w:rsidP="00A73BE3">
      <w:pPr>
        <w:tabs>
          <w:tab w:val="clear" w:pos="1247"/>
          <w:tab w:val="clear" w:pos="1814"/>
          <w:tab w:val="clear" w:pos="2381"/>
          <w:tab w:val="clear" w:pos="2948"/>
          <w:tab w:val="clear" w:pos="3515"/>
          <w:tab w:val="left" w:pos="624"/>
        </w:tabs>
        <w:adjustRightInd w:val="0"/>
        <w:snapToGrid w:val="0"/>
        <w:spacing w:after="120"/>
        <w:ind w:left="1247" w:firstLine="624"/>
      </w:pPr>
      <w:r w:rsidRPr="009D0B3A">
        <w:rPr>
          <w:i/>
          <w:iCs/>
        </w:rPr>
        <w:t>Décide</w:t>
      </w:r>
      <w:r w:rsidR="00AA6A89" w:rsidRPr="009D0B3A">
        <w:rPr>
          <w:i/>
          <w:iCs/>
        </w:rPr>
        <w:t> </w:t>
      </w:r>
      <w:r w:rsidR="00AA6A89" w:rsidRPr="006B662A">
        <w:t>:</w:t>
      </w:r>
    </w:p>
    <w:p w14:paraId="13788AFD" w14:textId="7B402022" w:rsidR="00A73BE3" w:rsidRPr="009D0B3A" w:rsidRDefault="00A73BE3" w:rsidP="00143F38">
      <w:pPr>
        <w:pStyle w:val="NormalNonumber"/>
        <w:numPr>
          <w:ilvl w:val="0"/>
          <w:numId w:val="25"/>
        </w:numPr>
        <w:tabs>
          <w:tab w:val="clear" w:pos="1247"/>
          <w:tab w:val="clear" w:pos="1871"/>
          <w:tab w:val="clear" w:pos="2495"/>
          <w:tab w:val="clear" w:pos="3119"/>
          <w:tab w:val="clear" w:pos="3742"/>
          <w:tab w:val="clear" w:pos="4366"/>
        </w:tabs>
        <w:ind w:left="1247" w:firstLine="624"/>
      </w:pPr>
      <w:r w:rsidRPr="009D0B3A">
        <w:t>De prendre note avec satisfaction des efforts déployés par les Parties pour établir et mettre en œuvre des systèmes d</w:t>
      </w:r>
      <w:r w:rsidR="00AA6A89" w:rsidRPr="009D0B3A">
        <w:t>’</w:t>
      </w:r>
      <w:r w:rsidRPr="009D0B3A">
        <w:t>octroi de licences pour les substances réglementées inscrites à l</w:t>
      </w:r>
      <w:r w:rsidR="00AA6A89" w:rsidRPr="009D0B3A">
        <w:t>’</w:t>
      </w:r>
      <w:r w:rsidRPr="009D0B3A">
        <w:t>Annexe F, conformément au paragraphe</w:t>
      </w:r>
      <w:r w:rsidR="0037641A">
        <w:t> </w:t>
      </w:r>
      <w:r w:rsidRPr="009D0B3A">
        <w:t xml:space="preserve">2 </w:t>
      </w:r>
      <w:r w:rsidRPr="009D0B3A">
        <w:rPr>
          <w:i/>
          <w:iCs/>
        </w:rPr>
        <w:t>bis</w:t>
      </w:r>
      <w:r w:rsidRPr="009D0B3A">
        <w:t xml:space="preserve"> de l</w:t>
      </w:r>
      <w:r w:rsidR="00AA6A89" w:rsidRPr="009D0B3A">
        <w:t>’</w:t>
      </w:r>
      <w:r w:rsidRPr="009D0B3A">
        <w:t>article</w:t>
      </w:r>
      <w:r w:rsidR="00804101">
        <w:t> </w:t>
      </w:r>
      <w:r w:rsidRPr="009D0B3A">
        <w:t>4B du Protocole de</w:t>
      </w:r>
      <w:r w:rsidR="004A2F4E">
        <w:t> </w:t>
      </w:r>
      <w:r w:rsidRPr="009D0B3A">
        <w:t>Montréal relatif à des substances qui appauvrissent la couche d</w:t>
      </w:r>
      <w:r w:rsidR="00AA6A89" w:rsidRPr="009D0B3A">
        <w:t>’</w:t>
      </w:r>
      <w:r w:rsidRPr="009D0B3A">
        <w:t>ozone</w:t>
      </w:r>
      <w:r w:rsidR="00AA6A89" w:rsidRPr="009D0B3A">
        <w:t> ;</w:t>
      </w:r>
    </w:p>
    <w:p w14:paraId="1278C1F0" w14:textId="2D326A01" w:rsidR="00A73BE3" w:rsidRPr="009D0B3A" w:rsidRDefault="00A73BE3" w:rsidP="00143F38">
      <w:pPr>
        <w:pStyle w:val="NormalNonumber"/>
        <w:numPr>
          <w:ilvl w:val="0"/>
          <w:numId w:val="25"/>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engager vivement Djibouti, Oman et Saint-Marin à communiquer de toute urgence au Secrétariat de l</w:t>
      </w:r>
      <w:r w:rsidR="00AA6A89" w:rsidRPr="009D0B3A">
        <w:t>’</w:t>
      </w:r>
      <w:r w:rsidRPr="009D0B3A">
        <w:t>ozone, et au plus tard le 31</w:t>
      </w:r>
      <w:r w:rsidR="008069BE">
        <w:t> </w:t>
      </w:r>
      <w:r w:rsidRPr="009D0B3A">
        <w:t>mars 2026, des informations sur la mise en place et le fonctionnement de leur système d</w:t>
      </w:r>
      <w:r w:rsidR="00AA6A89" w:rsidRPr="009D0B3A">
        <w:t>’</w:t>
      </w:r>
      <w:r w:rsidRPr="009D0B3A">
        <w:t>octroi de licences, afin que le Comité d</w:t>
      </w:r>
      <w:r w:rsidR="00AA6A89" w:rsidRPr="009D0B3A">
        <w:t>’</w:t>
      </w:r>
      <w:r w:rsidRPr="009D0B3A">
        <w:t>application de la procédure applicable en cas de non-respect du Protocole de Montréal puisse les examiner à sa soixante</w:t>
      </w:r>
      <w:r w:rsidR="00A61B88">
        <w:noBreakHyphen/>
      </w:r>
      <w:r w:rsidRPr="009D0B3A">
        <w:t>seizième</w:t>
      </w:r>
      <w:r w:rsidR="00A61B88">
        <w:t> </w:t>
      </w:r>
      <w:r w:rsidRPr="009D0B3A">
        <w:t>réunion</w:t>
      </w:r>
      <w:r w:rsidR="00AA6A89" w:rsidRPr="009D0B3A">
        <w:t> ;</w:t>
      </w:r>
    </w:p>
    <w:p w14:paraId="3DB4C63D" w14:textId="7A19C3ED" w:rsidR="00A73BE3" w:rsidRPr="009D0B3A" w:rsidRDefault="00A73BE3" w:rsidP="00143F38">
      <w:pPr>
        <w:pStyle w:val="NormalNonumber"/>
        <w:numPr>
          <w:ilvl w:val="0"/>
          <w:numId w:val="25"/>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inviter Saint-Marin à se faire représenter à la soixante-seizième</w:t>
      </w:r>
      <w:r w:rsidR="00C61AE4">
        <w:t> </w:t>
      </w:r>
      <w:r w:rsidRPr="009D0B3A">
        <w:t>réunion du Comité d</w:t>
      </w:r>
      <w:r w:rsidR="00AA6A89" w:rsidRPr="009D0B3A">
        <w:t>’</w:t>
      </w:r>
      <w:r w:rsidRPr="009D0B3A">
        <w:t>application, à moins que la Partie ne rende compte, avant la réunion, de la mise en place et du fonctionnement de son système d</w:t>
      </w:r>
      <w:r w:rsidR="00AA6A89" w:rsidRPr="009D0B3A">
        <w:t>’</w:t>
      </w:r>
      <w:r w:rsidRPr="009D0B3A">
        <w:t>octroi de licences conformément au paragraphe</w:t>
      </w:r>
      <w:r w:rsidR="00835BA1">
        <w:t> </w:t>
      </w:r>
      <w:r w:rsidRPr="009D0B3A">
        <w:t xml:space="preserve">2 </w:t>
      </w:r>
      <w:r w:rsidRPr="009D0B3A">
        <w:rPr>
          <w:i/>
          <w:iCs/>
        </w:rPr>
        <w:t>bis</w:t>
      </w:r>
      <w:r w:rsidRPr="009D0B3A">
        <w:t xml:space="preserve"> de l</w:t>
      </w:r>
      <w:r w:rsidR="00AA6A89" w:rsidRPr="009D0B3A">
        <w:t>’</w:t>
      </w:r>
      <w:r w:rsidRPr="009D0B3A">
        <w:t>article</w:t>
      </w:r>
      <w:r w:rsidR="00715AFF">
        <w:t> </w:t>
      </w:r>
      <w:r w:rsidRPr="009D0B3A">
        <w:t>4B</w:t>
      </w:r>
      <w:r w:rsidR="00615FE9">
        <w:t> </w:t>
      </w:r>
      <w:r w:rsidRPr="009D0B3A">
        <w:t>du Protocole de Montréal</w:t>
      </w:r>
      <w:r w:rsidR="00AA6A89" w:rsidRPr="009D0B3A">
        <w:t> ;</w:t>
      </w:r>
    </w:p>
    <w:p w14:paraId="5B25F8E3" w14:textId="521F05C0" w:rsidR="00A73BE3" w:rsidRPr="009D0B3A" w:rsidRDefault="00A73BE3" w:rsidP="00143F38">
      <w:pPr>
        <w:pStyle w:val="NormalNonumber"/>
        <w:numPr>
          <w:ilvl w:val="0"/>
          <w:numId w:val="25"/>
        </w:numPr>
        <w:tabs>
          <w:tab w:val="clear" w:pos="1247"/>
          <w:tab w:val="clear" w:pos="1871"/>
          <w:tab w:val="clear" w:pos="2495"/>
          <w:tab w:val="clear" w:pos="3119"/>
          <w:tab w:val="clear" w:pos="3742"/>
          <w:tab w:val="clear" w:pos="4366"/>
        </w:tabs>
        <w:ind w:left="1247" w:firstLine="624"/>
      </w:pPr>
      <w:r w:rsidRPr="009D0B3A">
        <w:t>D</w:t>
      </w:r>
      <w:r w:rsidR="00AA6A89" w:rsidRPr="009D0B3A">
        <w:t>’</w:t>
      </w:r>
      <w:r w:rsidRPr="009D0B3A">
        <w:t>engager vivement toutes les Parties au Protocole de</w:t>
      </w:r>
      <w:r w:rsidR="005C70D7">
        <w:t> </w:t>
      </w:r>
      <w:r w:rsidRPr="009D0B3A">
        <w:t>Montréal qui ratifient, acceptent ou approuvent l</w:t>
      </w:r>
      <w:r w:rsidR="00AA6A89" w:rsidRPr="009D0B3A">
        <w:t>’</w:t>
      </w:r>
      <w:r w:rsidRPr="009D0B3A">
        <w:t>Amendement de Kigali à établir et à mettre en œuvre leur système d</w:t>
      </w:r>
      <w:r w:rsidR="00AA6A89" w:rsidRPr="009D0B3A">
        <w:t>’</w:t>
      </w:r>
      <w:r w:rsidRPr="009D0B3A">
        <w:t>octroi de licences pour les importations et les exportations de substances réglementées inscrites à l</w:t>
      </w:r>
      <w:r w:rsidR="00AA6A89" w:rsidRPr="009D0B3A">
        <w:t>’</w:t>
      </w:r>
      <w:r w:rsidRPr="009D0B3A">
        <w:t>Annexe</w:t>
      </w:r>
      <w:r w:rsidR="00536765">
        <w:t> </w:t>
      </w:r>
      <w:r w:rsidRPr="009D0B3A">
        <w:t>F du Protocole dans un délai de trois mois à compter de la date d</w:t>
      </w:r>
      <w:r w:rsidR="00AA6A89" w:rsidRPr="009D0B3A">
        <w:t>’</w:t>
      </w:r>
      <w:r w:rsidRPr="009D0B3A">
        <w:t>entrée en vigueur de l</w:t>
      </w:r>
      <w:r w:rsidR="00AA6A89" w:rsidRPr="009D0B3A">
        <w:t>’</w:t>
      </w:r>
      <w:r w:rsidRPr="009D0B3A">
        <w:t>Amendement de Kigali à leur égard et de rendre compte au Secrétariat de la mise en place et du fonctionnement d</w:t>
      </w:r>
      <w:r w:rsidR="00AA6A89" w:rsidRPr="009D0B3A">
        <w:t>’</w:t>
      </w:r>
      <w:r w:rsidRPr="009D0B3A">
        <w:t>un tel système dans un délai de trois mois à compter de la date d</w:t>
      </w:r>
      <w:r w:rsidR="00AA6A89" w:rsidRPr="009D0B3A">
        <w:t>’</w:t>
      </w:r>
      <w:r w:rsidRPr="009D0B3A">
        <w:t>établissement de ce dernier</w:t>
      </w:r>
      <w:r w:rsidR="00AA6A89" w:rsidRPr="009D0B3A">
        <w:t> ;</w:t>
      </w:r>
    </w:p>
    <w:p w14:paraId="5AC9F76D" w14:textId="06A2C54D" w:rsidR="00A73BE3" w:rsidRPr="009D0B3A" w:rsidRDefault="00A73BE3" w:rsidP="00143F38">
      <w:pPr>
        <w:pStyle w:val="NormalNonumber"/>
        <w:numPr>
          <w:ilvl w:val="0"/>
          <w:numId w:val="25"/>
        </w:numPr>
        <w:tabs>
          <w:tab w:val="clear" w:pos="1247"/>
          <w:tab w:val="clear" w:pos="1871"/>
          <w:tab w:val="clear" w:pos="2495"/>
          <w:tab w:val="clear" w:pos="3119"/>
          <w:tab w:val="clear" w:pos="3742"/>
          <w:tab w:val="clear" w:pos="4366"/>
        </w:tabs>
        <w:ind w:left="1247" w:firstLine="624"/>
      </w:pPr>
      <w:r w:rsidRPr="009D0B3A">
        <w:t>De prier le Secrétariat d</w:t>
      </w:r>
      <w:r w:rsidR="00AA6A89" w:rsidRPr="009D0B3A">
        <w:t>’</w:t>
      </w:r>
      <w:r w:rsidRPr="009D0B3A">
        <w:t>établir et de diffuser périodiquement à toutes les Parties la liste des Parties ayant fait rapport sur leur système d</w:t>
      </w:r>
      <w:r w:rsidR="00AA6A89" w:rsidRPr="009D0B3A">
        <w:t>’</w:t>
      </w:r>
      <w:r w:rsidRPr="009D0B3A">
        <w:t>octroi de licences et de communiquer cette information au Comité d</w:t>
      </w:r>
      <w:r w:rsidR="00AA6A89" w:rsidRPr="009D0B3A">
        <w:t>’</w:t>
      </w:r>
      <w:r w:rsidRPr="009D0B3A">
        <w:t>application, afin que celui-ci l</w:t>
      </w:r>
      <w:r w:rsidR="00AA6A89" w:rsidRPr="009D0B3A">
        <w:t>’</w:t>
      </w:r>
      <w:r w:rsidRPr="009D0B3A">
        <w:t>examine et formule des recommandations appropriées à l</w:t>
      </w:r>
      <w:r w:rsidR="00AA6A89" w:rsidRPr="009D0B3A">
        <w:t>’</w:t>
      </w:r>
      <w:r w:rsidRPr="009D0B3A">
        <w:t>intention des Parties, comme prévu au paragraphe</w:t>
      </w:r>
      <w:r w:rsidR="00997098">
        <w:t> </w:t>
      </w:r>
      <w:r w:rsidRPr="009D0B3A">
        <w:t>4 de l</w:t>
      </w:r>
      <w:r w:rsidR="00AA6A89" w:rsidRPr="009D0B3A">
        <w:t>’</w:t>
      </w:r>
      <w:r w:rsidRPr="009D0B3A">
        <w:t>article</w:t>
      </w:r>
      <w:r w:rsidR="00F23F37">
        <w:t> </w:t>
      </w:r>
      <w:r w:rsidRPr="009D0B3A">
        <w:t>4B du Protocole de</w:t>
      </w:r>
      <w:r w:rsidR="00F23F37">
        <w:t> </w:t>
      </w:r>
      <w:r w:rsidRPr="009D0B3A">
        <w:t>Montréal.</w:t>
      </w:r>
    </w:p>
    <w:p w14:paraId="174F555F" w14:textId="77777777" w:rsidR="00D63E9D" w:rsidRPr="009D0B3A" w:rsidRDefault="00D63E9D" w:rsidP="00AB0CD2">
      <w:pPr>
        <w:pStyle w:val="Normal-pool"/>
        <w:rPr>
          <w:szCs w:val="22"/>
        </w:rPr>
      </w:pPr>
      <w:bookmarkStart w:id="41" w:name="_Hlk150878534"/>
      <w:r w:rsidRPr="009D0B3A">
        <w:br w:type="page"/>
      </w:r>
    </w:p>
    <w:p w14:paraId="3816A176" w14:textId="20A17121" w:rsidR="004F289F" w:rsidRPr="009D0B3A" w:rsidRDefault="004F289F" w:rsidP="00404025">
      <w:pPr>
        <w:pStyle w:val="ZZAnxheader"/>
      </w:pPr>
      <w:r w:rsidRPr="009D0B3A">
        <w:lastRenderedPageBreak/>
        <w:t>Annexe</w:t>
      </w:r>
      <w:r w:rsidR="00F80D82">
        <w:t> </w:t>
      </w:r>
      <w:r w:rsidRPr="009D0B3A">
        <w:t>I</w:t>
      </w:r>
      <w:r w:rsidR="002156E5" w:rsidRPr="009D0B3A">
        <w:t>I</w:t>
      </w:r>
      <w:r w:rsidRPr="009D0B3A">
        <w:rPr>
          <w:b w:val="0"/>
          <w:bCs w:val="0"/>
        </w:rPr>
        <w:footnoteReference w:customMarkFollows="1" w:id="2"/>
        <w:t>*</w:t>
      </w:r>
      <w:bookmarkStart w:id="42" w:name="_Hlk76459712"/>
      <w:bookmarkStart w:id="43" w:name="_Hlk69114350"/>
      <w:bookmarkEnd w:id="42"/>
      <w:bookmarkEnd w:id="43"/>
    </w:p>
    <w:p w14:paraId="310F0072" w14:textId="77777777" w:rsidR="00975BB5" w:rsidRPr="009D0B3A" w:rsidRDefault="004F289F" w:rsidP="004F289F">
      <w:pPr>
        <w:pStyle w:val="ZZAnxtitle"/>
        <w:spacing w:after="200"/>
        <w:sectPr w:rsidR="00975BB5" w:rsidRPr="009D0B3A" w:rsidSect="009D0B3A">
          <w:headerReference w:type="even" r:id="rId12"/>
          <w:headerReference w:type="default" r:id="rId13"/>
          <w:footerReference w:type="even" r:id="rId14"/>
          <w:footerReference w:type="default" r:id="rId15"/>
          <w:footerReference w:type="first" r:id="rId16"/>
          <w:type w:val="continuous"/>
          <w:pgSz w:w="11907" w:h="16839"/>
          <w:pgMar w:top="907" w:right="992" w:bottom="1418" w:left="1418" w:header="539" w:footer="975" w:gutter="0"/>
          <w:cols w:space="708"/>
          <w:titlePg/>
          <w:docGrid w:linePitch="360"/>
        </w:sectPr>
      </w:pPr>
      <w:r w:rsidRPr="009D0B3A">
        <w:t>Liste des participant(e)s</w:t>
      </w:r>
    </w:p>
    <w:p w14:paraId="2A0685ED" w14:textId="7A24D6FA" w:rsidR="00E13C2C" w:rsidRPr="009D0B3A" w:rsidRDefault="00E13C2C" w:rsidP="00E13C2C">
      <w:pPr>
        <w:pStyle w:val="CH2"/>
        <w:tabs>
          <w:tab w:val="clear" w:pos="1871"/>
          <w:tab w:val="clear" w:pos="2495"/>
          <w:tab w:val="clear" w:pos="3119"/>
          <w:tab w:val="clear" w:pos="3742"/>
          <w:tab w:val="clear" w:pos="4366"/>
          <w:tab w:val="left" w:pos="1814"/>
          <w:tab w:val="left" w:pos="2381"/>
          <w:tab w:val="left" w:pos="2948"/>
          <w:tab w:val="left" w:pos="3515"/>
          <w:tab w:val="left" w:pos="4082"/>
        </w:tabs>
      </w:pPr>
      <w:r w:rsidRPr="009D0B3A">
        <w:tab/>
      </w:r>
      <w:r w:rsidRPr="009D0B3A">
        <w:tab/>
      </w:r>
      <w:r w:rsidRPr="009D0B3A">
        <w:rPr>
          <w:bCs/>
        </w:rPr>
        <w:t>Membres du Comité d</w:t>
      </w:r>
      <w:r w:rsidR="00AA6A89" w:rsidRPr="009D0B3A">
        <w:rPr>
          <w:bCs/>
        </w:rPr>
        <w:t>’</w:t>
      </w:r>
      <w:r w:rsidRPr="009D0B3A">
        <w:rPr>
          <w:bCs/>
        </w:rPr>
        <w:t>application</w:t>
      </w:r>
    </w:p>
    <w:p w14:paraId="56844257" w14:textId="77777777" w:rsidR="00C67BBE" w:rsidRPr="009D0B3A" w:rsidRDefault="00C67BBE" w:rsidP="00E13C2C">
      <w:pPr>
        <w:pStyle w:val="CH3"/>
        <w:keepNext w:val="0"/>
        <w:keepLines w:val="0"/>
        <w:spacing w:before="120"/>
        <w:ind w:left="2494"/>
        <w:sectPr w:rsidR="00C67BBE" w:rsidRPr="009D0B3A" w:rsidSect="009D0B3A">
          <w:type w:val="continuous"/>
          <w:pgSz w:w="11907" w:h="16839"/>
          <w:pgMar w:top="907" w:right="992" w:bottom="1418" w:left="1418" w:header="539" w:footer="975" w:gutter="0"/>
          <w:cols w:space="708"/>
          <w:docGrid w:linePitch="360"/>
        </w:sectPr>
      </w:pPr>
    </w:p>
    <w:p w14:paraId="2D9871B5" w14:textId="77777777" w:rsidR="00D921A5" w:rsidRPr="00101267" w:rsidRDefault="00D921A5" w:rsidP="00D921A5">
      <w:pPr>
        <w:pStyle w:val="CH3"/>
        <w:keepNext w:val="0"/>
        <w:keepLines w:val="0"/>
        <w:spacing w:before="120"/>
        <w:ind w:firstLine="0"/>
      </w:pPr>
      <w:r w:rsidRPr="00101267">
        <w:rPr>
          <w:bCs/>
        </w:rPr>
        <w:t>Arabie saoudite</w:t>
      </w:r>
    </w:p>
    <w:p w14:paraId="4C4EEF11" w14:textId="77777777" w:rsidR="00D921A5" w:rsidRPr="00101267" w:rsidRDefault="00D921A5" w:rsidP="00D921A5">
      <w:pPr>
        <w:spacing w:after="120"/>
        <w:ind w:left="1247"/>
        <w:rPr>
          <w:bCs/>
        </w:rPr>
      </w:pPr>
      <w:r w:rsidRPr="00101267">
        <w:rPr>
          <w:bCs/>
        </w:rPr>
        <w:t>Mr. Ali Tumayhi</w:t>
      </w:r>
      <w:r w:rsidRPr="00101267">
        <w:rPr>
          <w:bCs/>
        </w:rPr>
        <w:br/>
        <w:t>Director/National Ozone Officer</w:t>
      </w:r>
      <w:r w:rsidRPr="00101267">
        <w:rPr>
          <w:bCs/>
        </w:rPr>
        <w:br/>
        <w:t>National Ozone Unit</w:t>
      </w:r>
      <w:r w:rsidRPr="00101267">
        <w:rPr>
          <w:bCs/>
        </w:rPr>
        <w:br/>
        <w:t>National Center for Environmental Compliance</w:t>
      </w:r>
      <w:r w:rsidRPr="00101267">
        <w:rPr>
          <w:bCs/>
        </w:rPr>
        <w:br/>
      </w:r>
      <w:r w:rsidRPr="00101267">
        <w:rPr>
          <w:rStyle w:val="Hyperlink"/>
          <w:bCs/>
          <w:color w:val="auto"/>
        </w:rPr>
        <w:t>Riyadh</w:t>
      </w:r>
      <w:r w:rsidRPr="00101267">
        <w:rPr>
          <w:bCs/>
        </w:rPr>
        <w:br/>
        <w:t>Saudi Arabia</w:t>
      </w:r>
      <w:r w:rsidRPr="00101267" w:rsidDel="00287E8A">
        <w:t xml:space="preserve"> </w:t>
      </w:r>
      <w:r w:rsidRPr="00101267">
        <w:br/>
        <w:t xml:space="preserve">Courriel : </w:t>
      </w:r>
      <w:hyperlink r:id="rId17" w:history="1">
        <w:r w:rsidRPr="00101267">
          <w:rPr>
            <w:rStyle w:val="Hyperlink"/>
          </w:rPr>
          <w:t>a.tumayhi@ncec.gov.sa</w:t>
        </w:r>
      </w:hyperlink>
      <w:hyperlink r:id="rId18" w:history="1"/>
    </w:p>
    <w:p w14:paraId="5483B00B" w14:textId="77777777" w:rsidR="00D164E5" w:rsidRPr="00A544B1" w:rsidRDefault="00D164E5" w:rsidP="00D164E5">
      <w:pPr>
        <w:keepNext/>
        <w:keepLines/>
        <w:ind w:left="1247"/>
        <w:rPr>
          <w:bCs/>
          <w:lang w:val="en-GB"/>
        </w:rPr>
      </w:pPr>
      <w:r w:rsidRPr="00A544B1">
        <w:rPr>
          <w:bCs/>
          <w:lang w:val="en-GB"/>
        </w:rPr>
        <w:t>Mr. Majed Abdulrahman Almufadda</w:t>
      </w:r>
      <w:r w:rsidRPr="00A544B1">
        <w:rPr>
          <w:bCs/>
          <w:lang w:val="en-GB"/>
        </w:rPr>
        <w:br/>
        <w:t>General Manager</w:t>
      </w:r>
      <w:r w:rsidRPr="00A544B1">
        <w:rPr>
          <w:bCs/>
          <w:lang w:val="en-GB"/>
        </w:rPr>
        <w:br/>
        <w:t xml:space="preserve">Ozone and </w:t>
      </w:r>
      <w:r w:rsidRPr="00A544B1">
        <w:rPr>
          <w:rStyle w:val="Hyperlink"/>
          <w:bCs/>
          <w:color w:val="auto"/>
          <w:lang w:val="en-GB"/>
        </w:rPr>
        <w:t>Chemical</w:t>
      </w:r>
      <w:r w:rsidRPr="00A544B1">
        <w:rPr>
          <w:bCs/>
          <w:lang w:val="en-GB"/>
        </w:rPr>
        <w:t xml:space="preserve"> Department</w:t>
      </w:r>
      <w:r w:rsidRPr="00A544B1">
        <w:rPr>
          <w:bCs/>
          <w:lang w:val="en-GB"/>
        </w:rPr>
        <w:br/>
        <w:t>National Center for Environmental Compliance</w:t>
      </w:r>
      <w:r w:rsidRPr="00A544B1">
        <w:rPr>
          <w:bCs/>
          <w:lang w:val="en-GB"/>
        </w:rPr>
        <w:br/>
        <w:t>Riyadh 1324</w:t>
      </w:r>
      <w:r w:rsidRPr="00A544B1">
        <w:rPr>
          <w:bCs/>
          <w:lang w:val="en-GB"/>
        </w:rPr>
        <w:br/>
        <w:t>Saudi Arabia</w:t>
      </w:r>
      <w:r w:rsidRPr="00A544B1">
        <w:rPr>
          <w:bCs/>
          <w:lang w:val="en-GB"/>
        </w:rPr>
        <w:br/>
      </w:r>
      <w:r w:rsidRPr="00A544B1">
        <w:rPr>
          <w:lang w:val="en-GB"/>
        </w:rPr>
        <w:t xml:space="preserve">Courriel : </w:t>
      </w:r>
      <w:hyperlink r:id="rId19" w:history="1">
        <w:r w:rsidRPr="00A544B1">
          <w:rPr>
            <w:rStyle w:val="Hyperlink"/>
            <w:lang w:val="en-GB"/>
          </w:rPr>
          <w:t>malmufadda@ncec.gov.sa</w:t>
        </w:r>
      </w:hyperlink>
      <w:hyperlink r:id="rId20" w:history="1"/>
    </w:p>
    <w:p w14:paraId="573D08ED" w14:textId="45ECA42C" w:rsidR="004F289F" w:rsidRPr="009D0B3A" w:rsidRDefault="008D5A91" w:rsidP="00C67BBE">
      <w:pPr>
        <w:pStyle w:val="CH3"/>
        <w:keepNext w:val="0"/>
        <w:keepLines w:val="0"/>
        <w:spacing w:before="120"/>
        <w:ind w:firstLine="0"/>
      </w:pPr>
      <w:r w:rsidRPr="009D0B3A">
        <w:rPr>
          <w:bCs/>
        </w:rPr>
        <w:t>Bénin</w:t>
      </w:r>
    </w:p>
    <w:p w14:paraId="6869A023" w14:textId="79055237" w:rsidR="00F83858" w:rsidRPr="009D0B3A" w:rsidRDefault="008D5A91" w:rsidP="00E13C2C">
      <w:pPr>
        <w:ind w:left="1247"/>
      </w:pPr>
      <w:r w:rsidRPr="009D0B3A">
        <w:t xml:space="preserve">Mme Yvette Gauthe Épouse Boko </w:t>
      </w:r>
      <w:r w:rsidR="00F83858" w:rsidRPr="009D0B3A">
        <w:t xml:space="preserve">Point focal Titulaire </w:t>
      </w:r>
    </w:p>
    <w:p w14:paraId="789E317E" w14:textId="3BA6A822" w:rsidR="0087283E" w:rsidRPr="009D0B3A" w:rsidRDefault="008D5A91" w:rsidP="00E13C2C">
      <w:pPr>
        <w:ind w:left="1247"/>
      </w:pPr>
      <w:r w:rsidRPr="009D0B3A">
        <w:t>Direction générale de l</w:t>
      </w:r>
      <w:r w:rsidR="00AA6A89" w:rsidRPr="009D0B3A">
        <w:t>’</w:t>
      </w:r>
      <w:r w:rsidRPr="009D0B3A">
        <w:t xml:space="preserve">environnement et du climat </w:t>
      </w:r>
    </w:p>
    <w:p w14:paraId="3B5F9332" w14:textId="03613F4E" w:rsidR="0087283E" w:rsidRPr="009D0B3A" w:rsidRDefault="008D5A91" w:rsidP="00E13C2C">
      <w:pPr>
        <w:ind w:left="1247"/>
      </w:pPr>
      <w:r w:rsidRPr="009D0B3A">
        <w:t xml:space="preserve">Ministère du </w:t>
      </w:r>
      <w:r w:rsidR="00287E8A" w:rsidRPr="009D0B3A">
        <w:t>c</w:t>
      </w:r>
      <w:r w:rsidRPr="009D0B3A">
        <w:t xml:space="preserve">adre de vie et des </w:t>
      </w:r>
      <w:r w:rsidR="00287E8A" w:rsidRPr="009D0B3A">
        <w:t>t</w:t>
      </w:r>
      <w:r w:rsidRPr="009D0B3A">
        <w:t xml:space="preserve">ransports en charge du </w:t>
      </w:r>
      <w:r w:rsidR="00287E8A" w:rsidRPr="009D0B3A">
        <w:t>d</w:t>
      </w:r>
      <w:r w:rsidRPr="009D0B3A">
        <w:t xml:space="preserve">éveloppement durable </w:t>
      </w:r>
    </w:p>
    <w:p w14:paraId="4E6359F2" w14:textId="77777777" w:rsidR="0087283E" w:rsidRPr="009D0B3A" w:rsidRDefault="008D5A91" w:rsidP="00E13C2C">
      <w:pPr>
        <w:ind w:left="1247"/>
      </w:pPr>
      <w:r w:rsidRPr="009D0B3A">
        <w:t xml:space="preserve">Cotonou </w:t>
      </w:r>
    </w:p>
    <w:p w14:paraId="2D3B43D7" w14:textId="6BCE2032" w:rsidR="00A158C8" w:rsidRPr="009D0B3A" w:rsidRDefault="008D5A91" w:rsidP="00E13C2C">
      <w:pPr>
        <w:ind w:left="1247"/>
      </w:pPr>
      <w:r w:rsidRPr="009D0B3A">
        <w:t xml:space="preserve">Bénin </w:t>
      </w:r>
      <w:r w:rsidR="00287E8A" w:rsidRPr="009D0B3A">
        <w:br/>
      </w:r>
      <w:r w:rsidRPr="009D0B3A">
        <w:t>Courriel</w:t>
      </w:r>
      <w:r w:rsidR="00AA6A89" w:rsidRPr="009D0B3A">
        <w:t> :</w:t>
      </w:r>
      <w:r w:rsidRPr="009D0B3A">
        <w:t xml:space="preserve"> </w:t>
      </w:r>
      <w:hyperlink r:id="rId21" w:history="1">
        <w:r w:rsidR="00287E8A" w:rsidRPr="009D0B3A">
          <w:rPr>
            <w:rStyle w:val="Hyperlink"/>
          </w:rPr>
          <w:t>yvettegauthe@yahoo.fr</w:t>
        </w:r>
      </w:hyperlink>
      <w:hyperlink r:id="rId22" w:history="1"/>
    </w:p>
    <w:bookmarkEnd w:id="41"/>
    <w:p w14:paraId="4041C3FB" w14:textId="77777777" w:rsidR="008D5A91" w:rsidRPr="009D0B3A" w:rsidRDefault="008D5A91" w:rsidP="00C67BBE">
      <w:pPr>
        <w:pStyle w:val="CH3"/>
        <w:keepNext w:val="0"/>
        <w:keepLines w:val="0"/>
        <w:spacing w:before="120"/>
        <w:ind w:firstLine="0"/>
      </w:pPr>
      <w:r w:rsidRPr="009D0B3A">
        <w:rPr>
          <w:bCs/>
        </w:rPr>
        <w:t>Chili</w:t>
      </w:r>
    </w:p>
    <w:p w14:paraId="250D296D" w14:textId="3FEA405D" w:rsidR="000B65B8" w:rsidRPr="00376050" w:rsidRDefault="008D5A91" w:rsidP="002E5CAA">
      <w:pPr>
        <w:spacing w:after="120"/>
        <w:ind w:left="1247"/>
        <w:rPr>
          <w:lang w:val="es-ES"/>
        </w:rPr>
      </w:pPr>
      <w:r w:rsidRPr="00376050">
        <w:rPr>
          <w:lang w:val="es-ES"/>
        </w:rPr>
        <w:t>H.E. M. Patricio Aguirre</w:t>
      </w:r>
      <w:r w:rsidR="008E778F">
        <w:rPr>
          <w:lang w:val="es-ES"/>
        </w:rPr>
        <w:br/>
      </w:r>
      <w:r w:rsidR="00287E8A" w:rsidRPr="00376050">
        <w:rPr>
          <w:rStyle w:val="Hyperlink"/>
          <w:color w:val="auto"/>
          <w:lang w:val="es-ES"/>
        </w:rPr>
        <w:t>Embajador</w:t>
      </w:r>
      <w:r w:rsidR="00287E8A" w:rsidRPr="00376050">
        <w:rPr>
          <w:lang w:val="es-ES"/>
        </w:rPr>
        <w:t>, Representante Permanente ante ONU Ambiente</w:t>
      </w:r>
      <w:r w:rsidR="00287E8A" w:rsidRPr="00376050">
        <w:rPr>
          <w:lang w:val="es-ES"/>
        </w:rPr>
        <w:br/>
        <w:t>Embajada de Chile en Kenia</w:t>
      </w:r>
      <w:r w:rsidR="00287E8A" w:rsidRPr="00376050">
        <w:rPr>
          <w:lang w:val="es-ES"/>
        </w:rPr>
        <w:br/>
        <w:t>Ministerio de Relaciones Exteriores</w:t>
      </w:r>
      <w:r w:rsidR="00287E8A" w:rsidRPr="00376050" w:rsidDel="00287E8A">
        <w:rPr>
          <w:lang w:val="es-ES"/>
        </w:rPr>
        <w:t xml:space="preserve"> </w:t>
      </w:r>
      <w:r w:rsidRPr="00376050">
        <w:rPr>
          <w:lang w:val="es-ES"/>
        </w:rPr>
        <w:t>Nairobi</w:t>
      </w:r>
      <w:r w:rsidR="00287E8A" w:rsidRPr="00376050">
        <w:rPr>
          <w:lang w:val="es-ES"/>
        </w:rPr>
        <w:br/>
      </w:r>
      <w:r w:rsidRPr="00376050">
        <w:rPr>
          <w:lang w:val="es-ES"/>
        </w:rPr>
        <w:t xml:space="preserve">Kenya </w:t>
      </w:r>
      <w:r w:rsidR="002E5CAA" w:rsidRPr="00376050">
        <w:rPr>
          <w:lang w:val="es-ES"/>
        </w:rPr>
        <w:br/>
      </w:r>
      <w:r w:rsidRPr="00376050">
        <w:rPr>
          <w:lang w:val="es-ES"/>
        </w:rPr>
        <w:t>Courriel</w:t>
      </w:r>
      <w:r w:rsidR="00AA6A89" w:rsidRPr="00376050">
        <w:rPr>
          <w:lang w:val="es-ES"/>
        </w:rPr>
        <w:t> :</w:t>
      </w:r>
      <w:r w:rsidRPr="00376050">
        <w:rPr>
          <w:lang w:val="es-ES"/>
        </w:rPr>
        <w:t xml:space="preserve"> </w:t>
      </w:r>
      <w:hyperlink r:id="rId23" w:history="1">
        <w:r w:rsidR="00287E8A" w:rsidRPr="00376050">
          <w:rPr>
            <w:rStyle w:val="Hyperlink"/>
            <w:lang w:val="es-ES"/>
          </w:rPr>
          <w:t>paguirrev@minrel.gob.cl</w:t>
        </w:r>
      </w:hyperlink>
      <w:hyperlink r:id="rId24" w:history="1"/>
      <w:r w:rsidR="00287E8A" w:rsidRPr="00376050">
        <w:rPr>
          <w:lang w:val="es-ES"/>
        </w:rPr>
        <w:t xml:space="preserve"> </w:t>
      </w:r>
    </w:p>
    <w:p w14:paraId="6096369F" w14:textId="620B95C1" w:rsidR="00287E8A" w:rsidRPr="00376050" w:rsidRDefault="008D5A91" w:rsidP="00E13C2C">
      <w:pPr>
        <w:ind w:left="1247"/>
        <w:rPr>
          <w:lang w:val="es-ES"/>
        </w:rPr>
      </w:pPr>
      <w:r w:rsidRPr="00376050">
        <w:rPr>
          <w:lang w:val="es-ES"/>
        </w:rPr>
        <w:t>M</w:t>
      </w:r>
      <w:r w:rsidR="00287E8A" w:rsidRPr="00376050">
        <w:rPr>
          <w:lang w:val="es-ES"/>
        </w:rPr>
        <w:t>s.</w:t>
      </w:r>
      <w:r w:rsidRPr="00376050">
        <w:rPr>
          <w:lang w:val="es-ES"/>
        </w:rPr>
        <w:t xml:space="preserve"> Claudia Paratori Cortés </w:t>
      </w:r>
      <w:r w:rsidR="00287E8A" w:rsidRPr="00376050">
        <w:rPr>
          <w:bCs/>
          <w:lang w:val="es-ES"/>
        </w:rPr>
        <w:t>Coordinator of the Ozone Unit</w:t>
      </w:r>
      <w:r w:rsidR="00287E8A" w:rsidRPr="00376050">
        <w:rPr>
          <w:bCs/>
          <w:lang w:val="es-ES"/>
        </w:rPr>
        <w:br/>
        <w:t>Division of Climate Change</w:t>
      </w:r>
      <w:r w:rsidR="00287E8A" w:rsidRPr="00376050">
        <w:rPr>
          <w:bCs/>
          <w:lang w:val="es-ES"/>
        </w:rPr>
        <w:br/>
      </w:r>
      <w:r w:rsidR="00287E8A" w:rsidRPr="00376050">
        <w:rPr>
          <w:rStyle w:val="Hyperlink"/>
          <w:bCs/>
          <w:color w:val="auto"/>
          <w:lang w:val="es-ES"/>
        </w:rPr>
        <w:t>Ministerio</w:t>
      </w:r>
      <w:r w:rsidR="00287E8A" w:rsidRPr="00376050">
        <w:rPr>
          <w:bCs/>
          <w:lang w:val="es-ES"/>
        </w:rPr>
        <w:t xml:space="preserve"> del Medio Ambiente</w:t>
      </w:r>
      <w:r w:rsidR="00287E8A" w:rsidRPr="00376050" w:rsidDel="00287E8A">
        <w:rPr>
          <w:lang w:val="es-ES"/>
        </w:rPr>
        <w:t xml:space="preserve"> </w:t>
      </w:r>
    </w:p>
    <w:p w14:paraId="5785A477" w14:textId="63D9A097" w:rsidR="000B65B8" w:rsidRPr="00376050" w:rsidRDefault="008D5A91" w:rsidP="00E13C2C">
      <w:pPr>
        <w:ind w:left="1247"/>
        <w:rPr>
          <w:bCs/>
          <w:lang w:val="es-ES"/>
        </w:rPr>
      </w:pPr>
      <w:r w:rsidRPr="00376050">
        <w:rPr>
          <w:lang w:val="es-ES"/>
        </w:rPr>
        <w:t>Santiago</w:t>
      </w:r>
      <w:r w:rsidR="00287E8A" w:rsidRPr="00376050">
        <w:rPr>
          <w:lang w:val="es-ES"/>
        </w:rPr>
        <w:br/>
      </w:r>
      <w:r w:rsidRPr="00376050">
        <w:rPr>
          <w:lang w:val="es-ES"/>
        </w:rPr>
        <w:t>Chil</w:t>
      </w:r>
      <w:r w:rsidR="00287E8A" w:rsidRPr="00376050">
        <w:rPr>
          <w:lang w:val="es-ES"/>
        </w:rPr>
        <w:t>e</w:t>
      </w:r>
      <w:r w:rsidRPr="00376050">
        <w:rPr>
          <w:lang w:val="es-ES"/>
        </w:rPr>
        <w:t xml:space="preserve"> Courriel</w:t>
      </w:r>
      <w:r w:rsidR="00AA6A89" w:rsidRPr="00376050">
        <w:rPr>
          <w:lang w:val="es-ES"/>
        </w:rPr>
        <w:t> :</w:t>
      </w:r>
      <w:r w:rsidRPr="00376050">
        <w:rPr>
          <w:lang w:val="es-ES"/>
        </w:rPr>
        <w:t xml:space="preserve"> </w:t>
      </w:r>
      <w:hyperlink r:id="rId25" w:history="1">
        <w:r w:rsidR="00287E8A" w:rsidRPr="00376050">
          <w:rPr>
            <w:rStyle w:val="Hyperlink"/>
            <w:lang w:val="es-ES"/>
          </w:rPr>
          <w:t>cparatori@mma.gob.cl</w:t>
        </w:r>
      </w:hyperlink>
      <w:hyperlink r:id="rId26" w:history="1"/>
      <w:r w:rsidR="00287E8A" w:rsidRPr="00376050">
        <w:rPr>
          <w:lang w:val="es-ES"/>
        </w:rPr>
        <w:t xml:space="preserve"> </w:t>
      </w:r>
    </w:p>
    <w:p w14:paraId="7866EF2B" w14:textId="77777777" w:rsidR="00A73B20" w:rsidRDefault="00A73B20" w:rsidP="007C6436">
      <w:pPr>
        <w:pStyle w:val="CH3"/>
        <w:keepNext w:val="0"/>
        <w:keepLines w:val="0"/>
        <w:spacing w:before="120"/>
        <w:ind w:firstLine="0"/>
        <w:rPr>
          <w:bCs/>
        </w:rPr>
      </w:pPr>
    </w:p>
    <w:p w14:paraId="0289D4C2" w14:textId="77777777" w:rsidR="00A73B20" w:rsidRDefault="00A73B20" w:rsidP="007C6436">
      <w:pPr>
        <w:pStyle w:val="CH3"/>
        <w:keepNext w:val="0"/>
        <w:keepLines w:val="0"/>
        <w:spacing w:before="120"/>
        <w:ind w:firstLine="0"/>
        <w:rPr>
          <w:bCs/>
        </w:rPr>
      </w:pPr>
    </w:p>
    <w:p w14:paraId="31E377A6" w14:textId="77777777" w:rsidR="00A73B20" w:rsidRDefault="00A73B20" w:rsidP="007C6436">
      <w:pPr>
        <w:pStyle w:val="CH3"/>
        <w:keepNext w:val="0"/>
        <w:keepLines w:val="0"/>
        <w:spacing w:before="120"/>
        <w:ind w:firstLine="0"/>
        <w:rPr>
          <w:bCs/>
        </w:rPr>
      </w:pPr>
    </w:p>
    <w:p w14:paraId="78E7C34D" w14:textId="77777777" w:rsidR="00A73B20" w:rsidRDefault="00A73B20" w:rsidP="007C6436">
      <w:pPr>
        <w:pStyle w:val="CH3"/>
        <w:keepNext w:val="0"/>
        <w:keepLines w:val="0"/>
        <w:spacing w:before="120"/>
        <w:ind w:firstLine="0"/>
        <w:rPr>
          <w:bCs/>
        </w:rPr>
      </w:pPr>
    </w:p>
    <w:p w14:paraId="3948C258" w14:textId="4064DFBA" w:rsidR="007C6436" w:rsidRPr="00101267" w:rsidRDefault="007C6436" w:rsidP="007C6436">
      <w:pPr>
        <w:pStyle w:val="CH3"/>
        <w:keepNext w:val="0"/>
        <w:keepLines w:val="0"/>
        <w:spacing w:before="120"/>
        <w:ind w:firstLine="0"/>
      </w:pPr>
      <w:r w:rsidRPr="00101267">
        <w:rPr>
          <w:bCs/>
        </w:rPr>
        <w:t>États-Unis d’Amérique</w:t>
      </w:r>
    </w:p>
    <w:p w14:paraId="37547054" w14:textId="77777777" w:rsidR="007C6436" w:rsidRPr="00A544B1" w:rsidRDefault="007C6436" w:rsidP="007C6436">
      <w:pPr>
        <w:ind w:left="1247"/>
        <w:rPr>
          <w:bCs/>
          <w:lang w:val="en-GB"/>
        </w:rPr>
      </w:pPr>
      <w:r w:rsidRPr="00A544B1">
        <w:rPr>
          <w:bCs/>
          <w:lang w:val="en-GB"/>
        </w:rPr>
        <w:t>Ms. Karen Bianco</w:t>
      </w:r>
      <w:r w:rsidRPr="00A544B1">
        <w:rPr>
          <w:bCs/>
          <w:lang w:val="en-GB"/>
        </w:rPr>
        <w:br/>
        <w:t>Acting Assistant General Counsel</w:t>
      </w:r>
      <w:r w:rsidRPr="00A544B1">
        <w:rPr>
          <w:bCs/>
          <w:lang w:val="en-GB"/>
        </w:rPr>
        <w:br/>
        <w:t>Office of General Counsel</w:t>
      </w:r>
      <w:r w:rsidRPr="00A544B1">
        <w:rPr>
          <w:bCs/>
          <w:lang w:val="en-GB"/>
        </w:rPr>
        <w:br/>
        <w:t>U.S. Environmental Protection Agency</w:t>
      </w:r>
      <w:r w:rsidRPr="00A544B1">
        <w:rPr>
          <w:bCs/>
          <w:lang w:val="en-GB"/>
        </w:rPr>
        <w:br/>
        <w:t>Washington D.C. 20460</w:t>
      </w:r>
      <w:r w:rsidRPr="00A544B1">
        <w:rPr>
          <w:bCs/>
          <w:lang w:val="en-GB"/>
        </w:rPr>
        <w:br/>
        <w:t xml:space="preserve">United </w:t>
      </w:r>
      <w:r w:rsidRPr="00A544B1">
        <w:rPr>
          <w:rStyle w:val="Hyperlink"/>
          <w:bCs/>
          <w:color w:val="auto"/>
          <w:lang w:val="en-GB"/>
        </w:rPr>
        <w:t>States</w:t>
      </w:r>
      <w:r w:rsidRPr="00A544B1">
        <w:rPr>
          <w:bCs/>
          <w:lang w:val="en-GB"/>
        </w:rPr>
        <w:t xml:space="preserve"> of America</w:t>
      </w:r>
      <w:r w:rsidRPr="00A544B1" w:rsidDel="00287E8A">
        <w:rPr>
          <w:lang w:val="en-GB"/>
        </w:rPr>
        <w:t xml:space="preserve"> </w:t>
      </w:r>
      <w:r>
        <w:rPr>
          <w:lang w:val="en-GB"/>
        </w:rPr>
        <w:br/>
      </w:r>
      <w:r w:rsidRPr="00A544B1">
        <w:rPr>
          <w:lang w:val="en-GB"/>
        </w:rPr>
        <w:t xml:space="preserve">Courriel : </w:t>
      </w:r>
      <w:hyperlink r:id="rId27" w:history="1">
        <w:r w:rsidRPr="00A544B1">
          <w:rPr>
            <w:rStyle w:val="Hyperlink"/>
            <w:lang w:val="en-GB"/>
          </w:rPr>
          <w:t>bianco.karen@epa.gov</w:t>
        </w:r>
      </w:hyperlink>
      <w:hyperlink r:id="rId28" w:history="1"/>
    </w:p>
    <w:p w14:paraId="04DB4094" w14:textId="77777777" w:rsidR="007C6436" w:rsidRPr="00101267" w:rsidRDefault="007C6436" w:rsidP="007C6436">
      <w:pPr>
        <w:pStyle w:val="CH3"/>
        <w:spacing w:before="120"/>
        <w:ind w:firstLine="0"/>
        <w:rPr>
          <w:lang w:val="en-GB"/>
        </w:rPr>
      </w:pPr>
      <w:r w:rsidRPr="00101267">
        <w:rPr>
          <w:bCs/>
          <w:lang w:val="en-GB"/>
        </w:rPr>
        <w:t>Iran (République islamique d’)</w:t>
      </w:r>
    </w:p>
    <w:p w14:paraId="6A491DB8" w14:textId="77777777" w:rsidR="007C6436" w:rsidRPr="002E5CAA" w:rsidRDefault="007C6436" w:rsidP="007C6436">
      <w:pPr>
        <w:keepNext/>
        <w:keepLines/>
        <w:ind w:left="1247"/>
        <w:rPr>
          <w:bCs/>
          <w:lang w:val="en-GB"/>
        </w:rPr>
      </w:pPr>
      <w:r w:rsidRPr="002E5CAA">
        <w:rPr>
          <w:bCs/>
          <w:lang w:val="en-GB"/>
        </w:rPr>
        <w:t xml:space="preserve">Mr. Hossein Shahbaz </w:t>
      </w:r>
      <w:r w:rsidRPr="002E5CAA">
        <w:rPr>
          <w:bCs/>
          <w:lang w:val="en-GB"/>
        </w:rPr>
        <w:br/>
        <w:t>Director of Ozone Layer Protection Unit</w:t>
      </w:r>
      <w:r w:rsidRPr="002E5CAA">
        <w:rPr>
          <w:bCs/>
          <w:lang w:val="en-GB"/>
        </w:rPr>
        <w:br/>
      </w:r>
      <w:r w:rsidRPr="002E5CAA">
        <w:rPr>
          <w:rStyle w:val="Hyperlink"/>
          <w:bCs/>
          <w:color w:val="auto"/>
          <w:lang w:val="en-GB"/>
        </w:rPr>
        <w:t>Ozone</w:t>
      </w:r>
      <w:r w:rsidRPr="002E5CAA">
        <w:rPr>
          <w:bCs/>
          <w:lang w:val="en-GB"/>
        </w:rPr>
        <w:t xml:space="preserve"> Layer Protection Unit</w:t>
      </w:r>
      <w:r w:rsidRPr="002E5CAA">
        <w:rPr>
          <w:bCs/>
          <w:lang w:val="en-GB"/>
        </w:rPr>
        <w:br/>
        <w:t>Ministry of Environment</w:t>
      </w:r>
      <w:r w:rsidRPr="002E5CAA">
        <w:rPr>
          <w:bCs/>
          <w:lang w:val="en-GB"/>
        </w:rPr>
        <w:br/>
        <w:t>Tehran</w:t>
      </w:r>
      <w:r w:rsidRPr="002E5CAA">
        <w:rPr>
          <w:bCs/>
          <w:lang w:val="en-GB"/>
        </w:rPr>
        <w:br/>
        <w:t>Iran (Islamic Republic of)</w:t>
      </w:r>
      <w:r w:rsidRPr="002E5CAA">
        <w:rPr>
          <w:bCs/>
          <w:lang w:val="en-GB"/>
        </w:rPr>
        <w:br/>
      </w:r>
      <w:r w:rsidRPr="002E5CAA">
        <w:rPr>
          <w:lang w:val="en-GB"/>
        </w:rPr>
        <w:t xml:space="preserve">Courriel : </w:t>
      </w:r>
      <w:hyperlink r:id="rId29" w:history="1">
        <w:r w:rsidRPr="002E5CAA">
          <w:rPr>
            <w:rStyle w:val="Hyperlink"/>
            <w:lang w:val="en-GB"/>
          </w:rPr>
          <w:t>info@iranozone.ir</w:t>
        </w:r>
      </w:hyperlink>
      <w:hyperlink r:id="rId30" w:history="1"/>
    </w:p>
    <w:p w14:paraId="149832CB" w14:textId="77777777" w:rsidR="008F77CE" w:rsidRPr="00A544B1" w:rsidRDefault="008F77CE" w:rsidP="008F77CE">
      <w:pPr>
        <w:pStyle w:val="CH3"/>
        <w:keepNext w:val="0"/>
        <w:keepLines w:val="0"/>
        <w:spacing w:before="120"/>
        <w:ind w:firstLine="0"/>
        <w:rPr>
          <w:lang w:val="en-GB"/>
        </w:rPr>
      </w:pPr>
      <w:r w:rsidRPr="00A544B1">
        <w:rPr>
          <w:bCs/>
          <w:lang w:val="en-GB"/>
        </w:rPr>
        <w:t>Kenya</w:t>
      </w:r>
    </w:p>
    <w:p w14:paraId="2DE14088" w14:textId="74CEACE7" w:rsidR="008F77CE" w:rsidRPr="00A544B1" w:rsidRDefault="008F77CE" w:rsidP="008F77CE">
      <w:pPr>
        <w:ind w:left="1247"/>
        <w:rPr>
          <w:lang w:val="en-GB"/>
        </w:rPr>
      </w:pPr>
      <w:r w:rsidRPr="00A544B1">
        <w:rPr>
          <w:bCs/>
          <w:lang w:val="en-GB"/>
        </w:rPr>
        <w:t>Mr. Marindany Leonard Kirui</w:t>
      </w:r>
      <w:r w:rsidRPr="00A544B1">
        <w:rPr>
          <w:bCs/>
          <w:lang w:val="en-GB"/>
        </w:rPr>
        <w:br/>
        <w:t>Coordinator</w:t>
      </w:r>
      <w:r w:rsidRPr="00A544B1">
        <w:rPr>
          <w:bCs/>
          <w:lang w:val="en-GB"/>
        </w:rPr>
        <w:br/>
      </w:r>
      <w:r w:rsidRPr="00A544B1">
        <w:rPr>
          <w:rStyle w:val="Hyperlink"/>
          <w:bCs/>
          <w:color w:val="auto"/>
          <w:lang w:val="en-GB"/>
        </w:rPr>
        <w:t>National</w:t>
      </w:r>
      <w:r w:rsidRPr="00A544B1">
        <w:rPr>
          <w:bCs/>
          <w:lang w:val="en-GB"/>
        </w:rPr>
        <w:t xml:space="preserve"> Ozone Unit</w:t>
      </w:r>
      <w:r w:rsidRPr="00A544B1">
        <w:rPr>
          <w:bCs/>
          <w:lang w:val="en-GB"/>
        </w:rPr>
        <w:br/>
        <w:t>Ministry of Environment, Climate Change and Forestry</w:t>
      </w:r>
      <w:r w:rsidR="005B405A">
        <w:rPr>
          <w:bCs/>
          <w:lang w:val="en-GB"/>
        </w:rPr>
        <w:br/>
      </w:r>
      <w:r w:rsidRPr="00A544B1">
        <w:rPr>
          <w:lang w:val="en-GB"/>
        </w:rPr>
        <w:t xml:space="preserve">Kenya </w:t>
      </w:r>
    </w:p>
    <w:p w14:paraId="35757062" w14:textId="77777777" w:rsidR="008F77CE" w:rsidRPr="002E5CAA" w:rsidRDefault="008F77CE" w:rsidP="008F77CE">
      <w:pPr>
        <w:ind w:left="1247"/>
        <w:rPr>
          <w:bCs/>
          <w:lang w:val="en-GB"/>
        </w:rPr>
      </w:pPr>
      <w:r w:rsidRPr="002E5CAA">
        <w:rPr>
          <w:lang w:val="en-GB"/>
        </w:rPr>
        <w:t>Courriel :</w:t>
      </w:r>
      <w:hyperlink r:id="rId31" w:history="1">
        <w:r w:rsidRPr="002E5CAA">
          <w:rPr>
            <w:rStyle w:val="Hyperlink"/>
            <w:lang w:val="en-GB"/>
          </w:rPr>
          <w:t>marindanykirui@yahoo.com</w:t>
        </w:r>
      </w:hyperlink>
      <w:r w:rsidRPr="002E5CAA">
        <w:rPr>
          <w:lang w:val="en-GB"/>
        </w:rPr>
        <w:t xml:space="preserve">, </w:t>
      </w:r>
      <w:hyperlink r:id="rId32" w:history="1">
        <w:r w:rsidRPr="002E5CAA">
          <w:rPr>
            <w:rStyle w:val="Hyperlink"/>
            <w:lang w:val="en-GB"/>
          </w:rPr>
          <w:t>mkirui@environment.go.ke</w:t>
        </w:r>
      </w:hyperlink>
      <w:hyperlink r:id="rId33" w:history="1"/>
      <w:hyperlink r:id="rId34" w:history="1"/>
    </w:p>
    <w:p w14:paraId="52B934A2" w14:textId="77777777" w:rsidR="008F77CE" w:rsidRPr="00101267" w:rsidRDefault="008F77CE" w:rsidP="008F77CE">
      <w:pPr>
        <w:pStyle w:val="CH3"/>
        <w:keepNext w:val="0"/>
        <w:keepLines w:val="0"/>
        <w:spacing w:before="120"/>
        <w:ind w:firstLine="0"/>
        <w:rPr>
          <w:lang w:val="en-GB"/>
        </w:rPr>
      </w:pPr>
      <w:r w:rsidRPr="00101267">
        <w:rPr>
          <w:bCs/>
          <w:lang w:val="en-GB"/>
        </w:rPr>
        <w:t>Monténégro</w:t>
      </w:r>
    </w:p>
    <w:p w14:paraId="26251387" w14:textId="77777777" w:rsidR="008F77CE" w:rsidRPr="00101267" w:rsidRDefault="008F77CE" w:rsidP="008F77CE">
      <w:pPr>
        <w:ind w:left="1247"/>
        <w:rPr>
          <w:lang w:val="en-GB"/>
        </w:rPr>
      </w:pPr>
      <w:r w:rsidRPr="00101267">
        <w:rPr>
          <w:bCs/>
          <w:lang w:val="en-GB"/>
        </w:rPr>
        <w:t>Ms. Tatjana Boljevic</w:t>
      </w:r>
      <w:r w:rsidRPr="00101267">
        <w:rPr>
          <w:bCs/>
          <w:lang w:val="en-GB"/>
        </w:rPr>
        <w:br/>
        <w:t>Senior Adviser / National Focal Point for Vienna Convention &amp; Montreal Protocol</w:t>
      </w:r>
      <w:r w:rsidRPr="00101267">
        <w:rPr>
          <w:bCs/>
          <w:lang w:val="en-GB"/>
        </w:rPr>
        <w:br/>
        <w:t>Environmental Protection Agency</w:t>
      </w:r>
      <w:r w:rsidRPr="00101267" w:rsidDel="00287E8A">
        <w:rPr>
          <w:lang w:val="en-GB"/>
        </w:rPr>
        <w:t xml:space="preserve"> </w:t>
      </w:r>
      <w:r w:rsidRPr="00101267">
        <w:rPr>
          <w:lang w:val="en-GB"/>
        </w:rPr>
        <w:t>Podgorica</w:t>
      </w:r>
    </w:p>
    <w:p w14:paraId="776AF25D" w14:textId="77777777" w:rsidR="008F77CE" w:rsidRPr="009D0B3A" w:rsidRDefault="008F77CE" w:rsidP="008F77CE">
      <w:pPr>
        <w:ind w:left="1247"/>
      </w:pPr>
      <w:r w:rsidRPr="00101267">
        <w:rPr>
          <w:lang w:val="en-GB"/>
        </w:rPr>
        <w:t xml:space="preserve"> </w:t>
      </w:r>
      <w:r w:rsidRPr="009D0B3A">
        <w:t xml:space="preserve">Monténégro </w:t>
      </w:r>
    </w:p>
    <w:p w14:paraId="5CE0CF32" w14:textId="77777777" w:rsidR="008F77CE" w:rsidRPr="009D0B3A" w:rsidRDefault="008F77CE" w:rsidP="008F77CE">
      <w:pPr>
        <w:ind w:left="1247"/>
        <w:rPr>
          <w:bCs/>
        </w:rPr>
      </w:pPr>
      <w:r w:rsidRPr="009D0B3A">
        <w:t xml:space="preserve">Courriel : </w:t>
      </w:r>
      <w:hyperlink r:id="rId35" w:history="1">
        <w:r w:rsidRPr="009D0B3A">
          <w:rPr>
            <w:rStyle w:val="Hyperlink"/>
          </w:rPr>
          <w:t>tatjana.djurcevic@epa.org.me</w:t>
        </w:r>
      </w:hyperlink>
      <w:hyperlink r:id="rId36" w:history="1"/>
    </w:p>
    <w:p w14:paraId="34C00C8F" w14:textId="77777777" w:rsidR="00170157" w:rsidRPr="00A544B1" w:rsidRDefault="00170157" w:rsidP="00170157">
      <w:pPr>
        <w:pStyle w:val="CH3"/>
        <w:keepNext w:val="0"/>
        <w:keepLines w:val="0"/>
        <w:spacing w:before="120"/>
        <w:ind w:firstLine="0"/>
        <w:rPr>
          <w:lang w:val="en-GB"/>
        </w:rPr>
      </w:pPr>
      <w:r w:rsidRPr="00A544B1">
        <w:rPr>
          <w:bCs/>
          <w:lang w:val="en-GB"/>
        </w:rPr>
        <w:t>Pays-Bas (Royaume des)</w:t>
      </w:r>
    </w:p>
    <w:p w14:paraId="7932F219" w14:textId="77777777" w:rsidR="004930D1" w:rsidRDefault="00170157" w:rsidP="00170157">
      <w:pPr>
        <w:spacing w:after="120"/>
        <w:ind w:left="1247"/>
      </w:pPr>
      <w:r w:rsidRPr="00A544B1">
        <w:rPr>
          <w:bCs/>
          <w:lang w:val="en-GB"/>
        </w:rPr>
        <w:t>Mr. Ralph Brieskorn</w:t>
      </w:r>
      <w:r w:rsidRPr="00A544B1">
        <w:rPr>
          <w:bCs/>
          <w:lang w:val="en-GB"/>
        </w:rPr>
        <w:br/>
        <w:t>Team Leader EU Climate Policy and Montreal Protocol</w:t>
      </w:r>
      <w:r w:rsidRPr="00A544B1">
        <w:rPr>
          <w:bCs/>
          <w:lang w:val="en-GB"/>
        </w:rPr>
        <w:br/>
        <w:t>Climate Policy Directorate</w:t>
      </w:r>
      <w:r w:rsidRPr="00A544B1">
        <w:rPr>
          <w:bCs/>
          <w:lang w:val="en-GB"/>
        </w:rPr>
        <w:br/>
        <w:t>Ministry of Climate Policy and Green Growth</w:t>
      </w:r>
      <w:r w:rsidRPr="00A544B1">
        <w:rPr>
          <w:bCs/>
          <w:lang w:val="en-GB"/>
        </w:rPr>
        <w:br/>
        <w:t>The Hague</w:t>
      </w:r>
      <w:r w:rsidRPr="00A544B1">
        <w:rPr>
          <w:bCs/>
          <w:lang w:val="en-GB"/>
        </w:rPr>
        <w:br/>
        <w:t>Netherlands (Kingdom of the)</w:t>
      </w:r>
      <w:r w:rsidR="00EE791C">
        <w:rPr>
          <w:bCs/>
          <w:lang w:val="en-GB"/>
        </w:rPr>
        <w:br/>
      </w:r>
      <w:r w:rsidRPr="00A544B1">
        <w:rPr>
          <w:lang w:val="en-GB"/>
        </w:rPr>
        <w:t xml:space="preserve">Courriel : </w:t>
      </w:r>
      <w:hyperlink r:id="rId37" w:history="1">
        <w:r w:rsidRPr="00A544B1">
          <w:rPr>
            <w:rStyle w:val="Hyperlink"/>
            <w:lang w:val="en-GB"/>
          </w:rPr>
          <w:t>r.l.f.brieskorn@minezk.nl</w:t>
        </w:r>
      </w:hyperlink>
    </w:p>
    <w:p w14:paraId="46AE9DB8" w14:textId="44512CDD" w:rsidR="00170157" w:rsidRPr="00A544B1" w:rsidRDefault="00170157" w:rsidP="00170157">
      <w:pPr>
        <w:spacing w:after="120"/>
        <w:ind w:left="1247"/>
        <w:rPr>
          <w:bCs/>
          <w:lang w:val="en-GB"/>
        </w:rPr>
      </w:pPr>
      <w:hyperlink r:id="rId38" w:history="1"/>
    </w:p>
    <w:p w14:paraId="33E57888" w14:textId="77777777" w:rsidR="00170157" w:rsidRPr="00A544B1" w:rsidRDefault="00170157" w:rsidP="00170157">
      <w:pPr>
        <w:ind w:left="1247"/>
        <w:rPr>
          <w:lang w:val="en-GB"/>
        </w:rPr>
      </w:pPr>
      <w:r w:rsidRPr="00A544B1">
        <w:rPr>
          <w:lang w:val="en-GB"/>
        </w:rPr>
        <w:lastRenderedPageBreak/>
        <w:t xml:space="preserve">Mr. Martijn Hildebrand </w:t>
      </w:r>
    </w:p>
    <w:p w14:paraId="054DC756" w14:textId="77777777" w:rsidR="00170157" w:rsidRPr="00A544B1" w:rsidRDefault="00170157" w:rsidP="00170157">
      <w:pPr>
        <w:ind w:left="1247"/>
        <w:rPr>
          <w:bCs/>
          <w:lang w:val="en-GB"/>
        </w:rPr>
      </w:pPr>
      <w:r w:rsidRPr="00A544B1">
        <w:rPr>
          <w:bCs/>
          <w:lang w:val="en-GB"/>
        </w:rPr>
        <w:t>Senior Policy Advisor</w:t>
      </w:r>
      <w:r w:rsidRPr="00A544B1">
        <w:rPr>
          <w:bCs/>
          <w:lang w:val="en-GB"/>
        </w:rPr>
        <w:br/>
        <w:t>Department of Waterways and Public Works</w:t>
      </w:r>
      <w:r w:rsidRPr="00A544B1">
        <w:rPr>
          <w:bCs/>
          <w:lang w:val="en-GB"/>
        </w:rPr>
        <w:br/>
        <w:t>Ministry of Infrastructure and Water Management</w:t>
      </w:r>
      <w:r w:rsidRPr="00A544B1">
        <w:rPr>
          <w:bCs/>
          <w:lang w:val="en-GB"/>
        </w:rPr>
        <w:br/>
        <w:t>The Hague</w:t>
      </w:r>
      <w:r w:rsidRPr="00A544B1">
        <w:rPr>
          <w:bCs/>
          <w:lang w:val="en-GB"/>
        </w:rPr>
        <w:br/>
      </w:r>
      <w:r w:rsidRPr="00A544B1">
        <w:rPr>
          <w:rStyle w:val="Hyperlink"/>
          <w:bCs/>
          <w:color w:val="auto"/>
          <w:lang w:val="en-GB"/>
        </w:rPr>
        <w:t>Netherlands</w:t>
      </w:r>
      <w:r w:rsidRPr="00A544B1">
        <w:rPr>
          <w:bCs/>
          <w:lang w:val="en-GB"/>
        </w:rPr>
        <w:t xml:space="preserve"> (Kingdom of the)</w:t>
      </w:r>
      <w:r w:rsidRPr="00A544B1">
        <w:rPr>
          <w:lang w:val="en-GB"/>
        </w:rPr>
        <w:br/>
        <w:t xml:space="preserve">Courriel : </w:t>
      </w:r>
      <w:hyperlink r:id="rId39" w:history="1">
        <w:r w:rsidRPr="00A544B1">
          <w:rPr>
            <w:rStyle w:val="Hyperlink"/>
            <w:lang w:val="en-GB"/>
          </w:rPr>
          <w:t>martijn.hildebrand@rws.nl</w:t>
        </w:r>
      </w:hyperlink>
      <w:hyperlink r:id="rId40" w:history="1"/>
    </w:p>
    <w:p w14:paraId="68D368DE" w14:textId="77777777" w:rsidR="00F21CBA" w:rsidRPr="00376050" w:rsidRDefault="00F21CBA" w:rsidP="00F21CBA">
      <w:pPr>
        <w:pStyle w:val="CH3"/>
        <w:keepNext w:val="0"/>
        <w:keepLines w:val="0"/>
        <w:spacing w:before="120"/>
        <w:ind w:firstLine="0"/>
        <w:rPr>
          <w:lang w:val="es-ES"/>
        </w:rPr>
      </w:pPr>
      <w:r w:rsidRPr="00376050">
        <w:rPr>
          <w:bCs/>
          <w:lang w:val="es-ES"/>
        </w:rPr>
        <w:t>République dominicaine</w:t>
      </w:r>
    </w:p>
    <w:p w14:paraId="116AE9A3" w14:textId="77777777" w:rsidR="00F21CBA" w:rsidRPr="00376050" w:rsidRDefault="00F21CBA" w:rsidP="00F21CBA">
      <w:pPr>
        <w:ind w:left="1247"/>
        <w:rPr>
          <w:lang w:val="es-ES"/>
        </w:rPr>
      </w:pPr>
      <w:r w:rsidRPr="00376050">
        <w:rPr>
          <w:lang w:val="es-ES"/>
        </w:rPr>
        <w:t>Mr. Mario José Pérez Núñez</w:t>
      </w:r>
      <w:r w:rsidRPr="00376050">
        <w:rPr>
          <w:lang w:val="es-ES"/>
        </w:rPr>
        <w:br/>
        <w:t>Director del Programa Nacional para la Protección de la Capa de Ozono y Punto Focal Técnico</w:t>
      </w:r>
      <w:r w:rsidRPr="00376050">
        <w:rPr>
          <w:lang w:val="es-ES"/>
        </w:rPr>
        <w:br/>
      </w:r>
      <w:r w:rsidRPr="00376050">
        <w:rPr>
          <w:rStyle w:val="Hyperlink"/>
          <w:color w:val="auto"/>
          <w:lang w:val="es-ES"/>
        </w:rPr>
        <w:t>Ministerio</w:t>
      </w:r>
      <w:r w:rsidRPr="00376050">
        <w:rPr>
          <w:lang w:val="es-ES"/>
        </w:rPr>
        <w:t xml:space="preserve"> de Ambiente y Recursos Naturales</w:t>
      </w:r>
      <w:r w:rsidRPr="00376050">
        <w:rPr>
          <w:lang w:val="es-ES"/>
        </w:rPr>
        <w:br/>
        <w:t>Santo Domingo</w:t>
      </w:r>
      <w:r w:rsidRPr="00376050">
        <w:rPr>
          <w:lang w:val="es-ES"/>
        </w:rPr>
        <w:br/>
        <w:t>Dominican Republic</w:t>
      </w:r>
    </w:p>
    <w:p w14:paraId="4D91D5A6" w14:textId="75F5C38B" w:rsidR="00F21CBA" w:rsidRPr="009D0B3A" w:rsidRDefault="00F21CBA" w:rsidP="00F21CBA">
      <w:pPr>
        <w:ind w:left="1247"/>
      </w:pPr>
      <w:r w:rsidRPr="009D0B3A">
        <w:t xml:space="preserve">Courriel : </w:t>
      </w:r>
      <w:hyperlink r:id="rId41" w:history="1">
        <w:r w:rsidRPr="009D0B3A">
          <w:rPr>
            <w:rStyle w:val="Hyperlink"/>
          </w:rPr>
          <w:t>Mario.Perez@ambiente.gob.do</w:t>
        </w:r>
      </w:hyperlink>
      <w:hyperlink r:id="rId42" w:history="1"/>
    </w:p>
    <w:p w14:paraId="0EFCE52E" w14:textId="6AD85CD2" w:rsidR="008D5A91" w:rsidRPr="00376050" w:rsidRDefault="008D5A91" w:rsidP="00C67BBE">
      <w:pPr>
        <w:pStyle w:val="CH3"/>
        <w:keepNext w:val="0"/>
        <w:keepLines w:val="0"/>
        <w:spacing w:before="120"/>
        <w:ind w:firstLine="0"/>
        <w:rPr>
          <w:lang w:val="es-ES"/>
        </w:rPr>
      </w:pPr>
      <w:r w:rsidRPr="00376050">
        <w:rPr>
          <w:bCs/>
          <w:lang w:val="es-ES"/>
        </w:rPr>
        <w:t>Tchéquie</w:t>
      </w:r>
    </w:p>
    <w:p w14:paraId="1ED525D4" w14:textId="5366E66C" w:rsidR="003D5B10" w:rsidRPr="00101267" w:rsidRDefault="00287E8A" w:rsidP="00E13C2C">
      <w:pPr>
        <w:ind w:left="1247"/>
        <w:rPr>
          <w:bCs/>
        </w:rPr>
      </w:pPr>
      <w:r w:rsidRPr="00101267">
        <w:rPr>
          <w:bCs/>
        </w:rPr>
        <w:t>Mr. Matěj Mrlina</w:t>
      </w:r>
      <w:r w:rsidRPr="00101267">
        <w:rPr>
          <w:bCs/>
        </w:rPr>
        <w:br/>
        <w:t>Director</w:t>
      </w:r>
      <w:r w:rsidRPr="00101267">
        <w:rPr>
          <w:bCs/>
        </w:rPr>
        <w:br/>
        <w:t>Internal Services Department</w:t>
      </w:r>
      <w:r w:rsidRPr="00101267">
        <w:rPr>
          <w:bCs/>
        </w:rPr>
        <w:br/>
      </w:r>
      <w:r w:rsidRPr="00101267">
        <w:rPr>
          <w:rStyle w:val="Hyperlink"/>
          <w:bCs/>
          <w:color w:val="auto"/>
        </w:rPr>
        <w:t>Czech</w:t>
      </w:r>
      <w:r w:rsidRPr="00101267">
        <w:rPr>
          <w:bCs/>
        </w:rPr>
        <w:t xml:space="preserve"> Environmental Inspectorate</w:t>
      </w:r>
      <w:r w:rsidRPr="00101267">
        <w:rPr>
          <w:bCs/>
        </w:rPr>
        <w:br/>
        <w:t>Czechia</w:t>
      </w:r>
      <w:r w:rsidRPr="00101267">
        <w:rPr>
          <w:bCs/>
        </w:rPr>
        <w:br/>
      </w:r>
      <w:r w:rsidR="00AA6A89" w:rsidRPr="00101267">
        <w:t>Courriel :</w:t>
      </w:r>
      <w:r w:rsidR="008D5A91" w:rsidRPr="00101267">
        <w:t xml:space="preserve"> </w:t>
      </w:r>
      <w:hyperlink r:id="rId43" w:history="1">
        <w:r w:rsidRPr="00101267">
          <w:rPr>
            <w:rStyle w:val="Hyperlink"/>
          </w:rPr>
          <w:t>matej.mrlina@cizp.gov.cz</w:t>
        </w:r>
      </w:hyperlink>
      <w:hyperlink r:id="rId44" w:history="1"/>
    </w:p>
    <w:p w14:paraId="2AF1DC52" w14:textId="77777777" w:rsidR="00C67BBE" w:rsidRPr="00101267" w:rsidRDefault="00C67BBE" w:rsidP="00C25773">
      <w:pPr>
        <w:pStyle w:val="CH2"/>
        <w:tabs>
          <w:tab w:val="clear" w:pos="1871"/>
          <w:tab w:val="clear" w:pos="2495"/>
          <w:tab w:val="clear" w:pos="3119"/>
          <w:tab w:val="clear" w:pos="3742"/>
          <w:tab w:val="clear" w:pos="4366"/>
          <w:tab w:val="left" w:pos="1814"/>
          <w:tab w:val="left" w:pos="2381"/>
          <w:tab w:val="left" w:pos="2948"/>
          <w:tab w:val="left" w:pos="3515"/>
          <w:tab w:val="left" w:pos="4082"/>
        </w:tabs>
        <w:sectPr w:rsidR="00C67BBE" w:rsidRPr="00101267" w:rsidSect="009D0B3A">
          <w:type w:val="continuous"/>
          <w:pgSz w:w="11907" w:h="16839"/>
          <w:pgMar w:top="907" w:right="992" w:bottom="1418" w:left="1418" w:header="539" w:footer="975" w:gutter="0"/>
          <w:cols w:num="2" w:space="708"/>
          <w:docGrid w:linePitch="360"/>
        </w:sectPr>
      </w:pPr>
    </w:p>
    <w:p w14:paraId="1F18058B" w14:textId="1A05759D" w:rsidR="00C25773" w:rsidRPr="009D0B3A" w:rsidRDefault="00C25773" w:rsidP="00C25773">
      <w:pPr>
        <w:pStyle w:val="CH2"/>
        <w:tabs>
          <w:tab w:val="clear" w:pos="1871"/>
          <w:tab w:val="clear" w:pos="2495"/>
          <w:tab w:val="clear" w:pos="3119"/>
          <w:tab w:val="clear" w:pos="3742"/>
          <w:tab w:val="clear" w:pos="4366"/>
          <w:tab w:val="left" w:pos="1814"/>
          <w:tab w:val="left" w:pos="2381"/>
          <w:tab w:val="left" w:pos="2948"/>
          <w:tab w:val="left" w:pos="3515"/>
          <w:tab w:val="left" w:pos="4082"/>
        </w:tabs>
      </w:pPr>
      <w:r w:rsidRPr="00101267">
        <w:tab/>
      </w:r>
      <w:r w:rsidRPr="00101267">
        <w:tab/>
      </w:r>
      <w:r w:rsidRPr="009D0B3A">
        <w:rPr>
          <w:bCs/>
        </w:rPr>
        <w:t>Observateur</w:t>
      </w:r>
      <w:r w:rsidR="00287E8A" w:rsidRPr="009D0B3A">
        <w:rPr>
          <w:bCs/>
        </w:rPr>
        <w:t>(rice)</w:t>
      </w:r>
      <w:r w:rsidRPr="009D0B3A">
        <w:rPr>
          <w:bCs/>
        </w:rPr>
        <w:t>s</w:t>
      </w:r>
      <w:r w:rsidRPr="009D0B3A">
        <w:t xml:space="preserve"> </w:t>
      </w:r>
    </w:p>
    <w:p w14:paraId="74B9CE25" w14:textId="77777777" w:rsidR="00C67BBE" w:rsidRPr="009D0B3A" w:rsidRDefault="00C67BBE" w:rsidP="00905657">
      <w:pPr>
        <w:pStyle w:val="CH3"/>
        <w:keepNext w:val="0"/>
        <w:keepLines w:val="0"/>
        <w:spacing w:before="120"/>
        <w:ind w:left="2494"/>
        <w:sectPr w:rsidR="00C67BBE" w:rsidRPr="009D0B3A" w:rsidSect="009D0B3A">
          <w:type w:val="continuous"/>
          <w:pgSz w:w="11907" w:h="16839"/>
          <w:pgMar w:top="907" w:right="992" w:bottom="1418" w:left="1418" w:header="539" w:footer="975" w:gutter="0"/>
          <w:cols w:space="708"/>
          <w:docGrid w:linePitch="360"/>
        </w:sectPr>
      </w:pPr>
    </w:p>
    <w:p w14:paraId="2FFDF2B0" w14:textId="5E6FBF8F" w:rsidR="00C25773" w:rsidRPr="009D0B3A" w:rsidRDefault="00C25773" w:rsidP="00C67BBE">
      <w:pPr>
        <w:pStyle w:val="CH3"/>
        <w:keepNext w:val="0"/>
        <w:keepLines w:val="0"/>
        <w:spacing w:before="120"/>
        <w:ind w:firstLine="0"/>
      </w:pPr>
      <w:r w:rsidRPr="009D0B3A">
        <w:rPr>
          <w:bCs/>
        </w:rPr>
        <w:t>Secrétariat du Fonds multilatéral</w:t>
      </w:r>
    </w:p>
    <w:p w14:paraId="2048144F" w14:textId="1E474533" w:rsidR="00365C89" w:rsidRPr="009D0B3A" w:rsidRDefault="00C25773" w:rsidP="00905657">
      <w:pPr>
        <w:spacing w:after="120"/>
        <w:ind w:left="1247"/>
        <w:rPr>
          <w:rStyle w:val="Hyperlink"/>
        </w:rPr>
      </w:pPr>
      <w:r w:rsidRPr="009D0B3A">
        <w:t>Mme Tina Birmpili</w:t>
      </w:r>
      <w:r w:rsidR="00287E8A" w:rsidRPr="009D0B3A">
        <w:br/>
      </w:r>
      <w:r w:rsidRPr="009D0B3A">
        <w:t>Directrice générale</w:t>
      </w:r>
      <w:r w:rsidR="00287E8A" w:rsidRPr="009D0B3A">
        <w:br/>
      </w:r>
      <w:r w:rsidRPr="009D0B3A">
        <w:t>Secrétariat du Fonds multilatéral Montréal, Québec H3B 4W5</w:t>
      </w:r>
      <w:r w:rsidR="00287E8A" w:rsidRPr="009D0B3A">
        <w:br/>
      </w:r>
      <w:r w:rsidRPr="009D0B3A">
        <w:t>Canada</w:t>
      </w:r>
      <w:r w:rsidR="00287E8A" w:rsidRPr="009D0B3A">
        <w:br/>
      </w:r>
      <w:r w:rsidRPr="009D0B3A">
        <w:t>Courriel</w:t>
      </w:r>
      <w:r w:rsidR="00AA6A89" w:rsidRPr="009D0B3A">
        <w:t> :</w:t>
      </w:r>
      <w:r w:rsidRPr="009D0B3A">
        <w:t xml:space="preserve"> </w:t>
      </w:r>
      <w:hyperlink r:id="rId45" w:history="1">
        <w:r w:rsidR="00287E8A" w:rsidRPr="009D0B3A">
          <w:rPr>
            <w:rStyle w:val="Hyperlink"/>
          </w:rPr>
          <w:t>tina.birmpili@un.org</w:t>
        </w:r>
      </w:hyperlink>
      <w:hyperlink r:id="rId46" w:history="1"/>
    </w:p>
    <w:p w14:paraId="1F318608" w14:textId="33DA23AD" w:rsidR="00365C89" w:rsidRPr="009D0B3A" w:rsidRDefault="00C25773" w:rsidP="00E13C2C">
      <w:pPr>
        <w:ind w:left="1247"/>
        <w:rPr>
          <w:bCs/>
        </w:rPr>
      </w:pPr>
      <w:r w:rsidRPr="009D0B3A">
        <w:t>M. Balaji Natarajan</w:t>
      </w:r>
      <w:r w:rsidR="00287E8A" w:rsidRPr="009D0B3A">
        <w:br/>
      </w:r>
      <w:r w:rsidRPr="009D0B3A">
        <w:t>Spécialiste</w:t>
      </w:r>
      <w:r w:rsidR="00B33E43" w:rsidRPr="009D0B3A">
        <w:t xml:space="preserve"> hors classe</w:t>
      </w:r>
      <w:r w:rsidRPr="009D0B3A">
        <w:t xml:space="preserve"> de la gestion de programme</w:t>
      </w:r>
      <w:r w:rsidR="00287E8A" w:rsidRPr="009D0B3A">
        <w:br/>
      </w:r>
      <w:r w:rsidRPr="009D0B3A">
        <w:t>Secrétariat du Fonds multilatéral Montréal, Québec H3B 4W5</w:t>
      </w:r>
      <w:r w:rsidR="00B33E43" w:rsidRPr="009D0B3A">
        <w:br/>
      </w:r>
      <w:r w:rsidRPr="009D0B3A">
        <w:t>Canada</w:t>
      </w:r>
      <w:r w:rsidR="00B33E43" w:rsidRPr="009D0B3A">
        <w:br/>
      </w:r>
      <w:r w:rsidRPr="009D0B3A">
        <w:t>Courriel</w:t>
      </w:r>
      <w:r w:rsidR="00AA6A89" w:rsidRPr="009D0B3A">
        <w:t> :</w:t>
      </w:r>
      <w:r w:rsidRPr="009D0B3A">
        <w:t xml:space="preserve"> </w:t>
      </w:r>
      <w:hyperlink r:id="rId47" w:history="1">
        <w:r w:rsidR="00287E8A" w:rsidRPr="009D0B3A">
          <w:rPr>
            <w:rStyle w:val="Hyperlink"/>
          </w:rPr>
          <w:t>balaji.natarajan@un.org</w:t>
        </w:r>
      </w:hyperlink>
      <w:hyperlink r:id="rId48" w:history="1"/>
      <w:r w:rsidR="00287E8A" w:rsidRPr="009D0B3A">
        <w:t xml:space="preserve"> </w:t>
      </w:r>
    </w:p>
    <w:p w14:paraId="35BD17DD" w14:textId="345C660D" w:rsidR="00C25773" w:rsidRPr="009D0B3A" w:rsidRDefault="00C25773" w:rsidP="00C67BBE">
      <w:pPr>
        <w:pStyle w:val="CH3"/>
        <w:keepNext w:val="0"/>
        <w:keepLines w:val="0"/>
        <w:spacing w:before="120"/>
        <w:ind w:firstLine="0"/>
      </w:pPr>
      <w:r w:rsidRPr="009D0B3A">
        <w:rPr>
          <w:bCs/>
        </w:rPr>
        <w:t>Comité exécutif du Fonds multilatéral</w:t>
      </w:r>
    </w:p>
    <w:p w14:paraId="5E006F9F" w14:textId="203C3E40" w:rsidR="00365C89" w:rsidRPr="001B5F12" w:rsidRDefault="00B33E43" w:rsidP="002E5CAA">
      <w:pPr>
        <w:spacing w:after="120"/>
        <w:ind w:left="1247"/>
        <w:rPr>
          <w:lang w:val="en-GB"/>
        </w:rPr>
      </w:pPr>
      <w:r w:rsidRPr="001B5F12">
        <w:rPr>
          <w:bCs/>
          <w:lang w:val="en-GB"/>
        </w:rPr>
        <w:t>Mr. Alessandro Giuliano Peru (Président)</w:t>
      </w:r>
      <w:r w:rsidRPr="001B5F12">
        <w:rPr>
          <w:bCs/>
          <w:lang w:val="en-GB"/>
        </w:rPr>
        <w:br/>
        <w:t>National Focal Point</w:t>
      </w:r>
      <w:r w:rsidRPr="001B5F12">
        <w:rPr>
          <w:bCs/>
          <w:lang w:val="en-GB"/>
        </w:rPr>
        <w:br/>
      </w:r>
      <w:r w:rsidRPr="001B5F12">
        <w:rPr>
          <w:rStyle w:val="Hyperlink"/>
          <w:bCs/>
          <w:color w:val="auto"/>
          <w:lang w:val="en-GB"/>
        </w:rPr>
        <w:t>SOGESID</w:t>
      </w:r>
      <w:r w:rsidRPr="001B5F12">
        <w:rPr>
          <w:bCs/>
          <w:lang w:val="en-GB"/>
        </w:rPr>
        <w:t xml:space="preserve"> S.p.A. Technical Assistance Unit</w:t>
      </w:r>
      <w:r w:rsidRPr="001B5F12">
        <w:rPr>
          <w:bCs/>
          <w:lang w:val="en-GB"/>
        </w:rPr>
        <w:br/>
        <w:t>Directorate-General for European and International Affairs and Sustainable Finance</w:t>
      </w:r>
      <w:r w:rsidRPr="001B5F12">
        <w:rPr>
          <w:bCs/>
          <w:lang w:val="en-GB"/>
        </w:rPr>
        <w:br/>
        <w:t xml:space="preserve">Ministry of Environment and Energy Security </w:t>
      </w:r>
      <w:r w:rsidRPr="001B5F12">
        <w:rPr>
          <w:bCs/>
          <w:lang w:val="en-GB"/>
        </w:rPr>
        <w:br/>
        <w:t xml:space="preserve">Rome </w:t>
      </w:r>
      <w:r w:rsidRPr="001B5F12">
        <w:rPr>
          <w:bCs/>
          <w:lang w:val="en-GB"/>
        </w:rPr>
        <w:br/>
        <w:t>Italy</w:t>
      </w:r>
      <w:r w:rsidR="00C25773" w:rsidRPr="001B5F12">
        <w:rPr>
          <w:lang w:val="en-GB"/>
        </w:rPr>
        <w:t xml:space="preserve"> </w:t>
      </w:r>
      <w:r w:rsidR="002E5CAA" w:rsidRPr="001B5F12">
        <w:rPr>
          <w:lang w:val="en-GB"/>
        </w:rPr>
        <w:br/>
      </w:r>
      <w:r w:rsidR="00C25773" w:rsidRPr="001B5F12">
        <w:rPr>
          <w:lang w:val="en-GB"/>
        </w:rPr>
        <w:t>Courriel</w:t>
      </w:r>
      <w:r w:rsidR="00AA6A89" w:rsidRPr="001B5F12">
        <w:rPr>
          <w:lang w:val="en-GB"/>
        </w:rPr>
        <w:t> :</w:t>
      </w:r>
      <w:r w:rsidR="00231FB0">
        <w:rPr>
          <w:lang w:val="en-GB"/>
        </w:rPr>
        <w:t xml:space="preserve"> </w:t>
      </w:r>
      <w:hyperlink r:id="rId49" w:history="1">
        <w:r w:rsidR="00231FB0" w:rsidRPr="00EA60CB">
          <w:rPr>
            <w:rStyle w:val="Hyperlink"/>
            <w:sz w:val="19"/>
            <w:szCs w:val="19"/>
            <w:lang w:val="en-GB"/>
          </w:rPr>
          <w:t>peru.alessandro@mase.gov.it</w:t>
        </w:r>
      </w:hyperlink>
      <w:r w:rsidR="001B5F12" w:rsidRPr="00796FC3">
        <w:rPr>
          <w:sz w:val="19"/>
          <w:szCs w:val="19"/>
          <w:lang w:val="en-GB"/>
        </w:rPr>
        <w:t>,</w:t>
      </w:r>
      <w:r w:rsidR="00C25773" w:rsidRPr="001B5F12">
        <w:rPr>
          <w:lang w:val="en-GB"/>
        </w:rPr>
        <w:t xml:space="preserve"> </w:t>
      </w:r>
      <w:hyperlink r:id="rId50" w:history="1">
        <w:r w:rsidR="00287E8A" w:rsidRPr="001B5F12">
          <w:rPr>
            <w:rStyle w:val="Hyperlink"/>
            <w:lang w:val="en-GB"/>
          </w:rPr>
          <w:t>g.peru@sogesid.it</w:t>
        </w:r>
      </w:hyperlink>
      <w:hyperlink r:id="rId51" w:history="1"/>
      <w:hyperlink r:id="rId52" w:history="1"/>
    </w:p>
    <w:p w14:paraId="4CDA1353" w14:textId="34FAD511" w:rsidR="007470DF" w:rsidRPr="00A544B1" w:rsidRDefault="00891F8B" w:rsidP="00E13C2C">
      <w:pPr>
        <w:ind w:left="1247"/>
        <w:rPr>
          <w:bCs/>
          <w:lang w:val="en-GB"/>
        </w:rPr>
      </w:pPr>
      <w:r w:rsidRPr="00A544B1">
        <w:rPr>
          <w:bCs/>
          <w:lang w:val="en-GB"/>
        </w:rPr>
        <w:t>Mr. Mathatela Augustinus Ntsatsi (Vice-Chair)</w:t>
      </w:r>
      <w:r w:rsidRPr="00A544B1">
        <w:rPr>
          <w:bCs/>
          <w:lang w:val="en-GB"/>
        </w:rPr>
        <w:br/>
        <w:t>National Ozone Officer</w:t>
      </w:r>
      <w:r w:rsidRPr="00A544B1">
        <w:rPr>
          <w:bCs/>
          <w:lang w:val="en-GB"/>
        </w:rPr>
        <w:br/>
        <w:t xml:space="preserve">Ministry of </w:t>
      </w:r>
      <w:r w:rsidRPr="00A544B1">
        <w:rPr>
          <w:rStyle w:val="Hyperlink"/>
          <w:bCs/>
          <w:color w:val="auto"/>
          <w:lang w:val="en-GB"/>
        </w:rPr>
        <w:t>Environment</w:t>
      </w:r>
      <w:r w:rsidRPr="00A544B1">
        <w:rPr>
          <w:bCs/>
          <w:lang w:val="en-GB"/>
        </w:rPr>
        <w:t xml:space="preserve"> and Forestry</w:t>
      </w:r>
      <w:r w:rsidRPr="00A544B1">
        <w:rPr>
          <w:bCs/>
          <w:lang w:val="en-GB"/>
        </w:rPr>
        <w:br/>
        <w:t>Maseru</w:t>
      </w:r>
      <w:r w:rsidRPr="00A544B1">
        <w:rPr>
          <w:bCs/>
          <w:lang w:val="en-GB"/>
        </w:rPr>
        <w:br/>
        <w:t>Lesotho</w:t>
      </w:r>
      <w:r w:rsidRPr="00A544B1">
        <w:rPr>
          <w:bCs/>
          <w:lang w:val="en-GB"/>
        </w:rPr>
        <w:br/>
      </w:r>
      <w:r w:rsidR="00C25773" w:rsidRPr="00A544B1">
        <w:rPr>
          <w:lang w:val="en-GB"/>
        </w:rPr>
        <w:t>Courriel</w:t>
      </w:r>
      <w:r w:rsidR="00AA6A89" w:rsidRPr="00A544B1">
        <w:rPr>
          <w:lang w:val="en-GB"/>
        </w:rPr>
        <w:t> :</w:t>
      </w:r>
      <w:r w:rsidR="00C25773" w:rsidRPr="00A544B1">
        <w:rPr>
          <w:lang w:val="en-GB"/>
        </w:rPr>
        <w:t xml:space="preserve"> </w:t>
      </w:r>
      <w:hyperlink r:id="rId53" w:history="1">
        <w:r w:rsidR="00287E8A" w:rsidRPr="00A544B1">
          <w:rPr>
            <w:rStyle w:val="Hyperlink"/>
            <w:lang w:val="en-GB"/>
          </w:rPr>
          <w:t>ntsatsimathatela@gmail.com</w:t>
        </w:r>
      </w:hyperlink>
      <w:hyperlink r:id="rId54" w:history="1"/>
    </w:p>
    <w:p w14:paraId="6882FD1F" w14:textId="337FF32A" w:rsidR="00C25773" w:rsidRPr="00A544B1" w:rsidRDefault="00C25773" w:rsidP="005F2549">
      <w:pPr>
        <w:pStyle w:val="CH3"/>
        <w:spacing w:before="120"/>
        <w:ind w:firstLine="0"/>
        <w:rPr>
          <w:lang w:val="en-GB"/>
        </w:rPr>
      </w:pPr>
      <w:r w:rsidRPr="00A544B1">
        <w:rPr>
          <w:bCs/>
          <w:lang w:val="en-GB"/>
        </w:rPr>
        <w:t>Banque mondiale</w:t>
      </w:r>
    </w:p>
    <w:p w14:paraId="474B79A3" w14:textId="5C6DF1C9" w:rsidR="00365C89" w:rsidRPr="00A544B1" w:rsidRDefault="00891F8B" w:rsidP="005F2549">
      <w:pPr>
        <w:keepNext/>
        <w:keepLines/>
        <w:spacing w:after="120"/>
        <w:ind w:left="1247"/>
        <w:rPr>
          <w:bCs/>
          <w:lang w:val="en-GB"/>
        </w:rPr>
      </w:pPr>
      <w:r w:rsidRPr="00A544B1">
        <w:rPr>
          <w:bCs/>
          <w:lang w:val="en-GB"/>
        </w:rPr>
        <w:t>Mr. Thanavat Junchaya</w:t>
      </w:r>
      <w:r w:rsidRPr="00A544B1">
        <w:rPr>
          <w:bCs/>
          <w:lang w:val="en-GB"/>
        </w:rPr>
        <w:br/>
        <w:t>Senior Environmental Engineer</w:t>
      </w:r>
      <w:r w:rsidRPr="00A544B1">
        <w:rPr>
          <w:bCs/>
          <w:lang w:val="en-GB"/>
        </w:rPr>
        <w:br/>
        <w:t>Environment, Natural Resources and Blue Economy</w:t>
      </w:r>
      <w:r w:rsidRPr="00A544B1">
        <w:rPr>
          <w:bCs/>
          <w:lang w:val="en-GB"/>
        </w:rPr>
        <w:br/>
        <w:t>The World Bank</w:t>
      </w:r>
      <w:r w:rsidRPr="00A544B1">
        <w:rPr>
          <w:bCs/>
          <w:lang w:val="en-GB"/>
        </w:rPr>
        <w:br/>
        <w:t>Washington, DC 20433</w:t>
      </w:r>
      <w:r w:rsidRPr="00A544B1">
        <w:rPr>
          <w:bCs/>
          <w:lang w:val="en-GB"/>
        </w:rPr>
        <w:br/>
        <w:t>United States of America</w:t>
      </w:r>
      <w:r w:rsidRPr="00A544B1" w:rsidDel="00891F8B">
        <w:rPr>
          <w:lang w:val="en-GB"/>
        </w:rPr>
        <w:t xml:space="preserve"> </w:t>
      </w:r>
      <w:r w:rsidR="002E5CAA">
        <w:rPr>
          <w:lang w:val="en-GB"/>
        </w:rPr>
        <w:br/>
      </w:r>
      <w:r w:rsidR="00AA6A89" w:rsidRPr="00A544B1">
        <w:rPr>
          <w:lang w:val="en-GB"/>
        </w:rPr>
        <w:t>Courriel :</w:t>
      </w:r>
      <w:r w:rsidR="00C25773" w:rsidRPr="00A544B1">
        <w:rPr>
          <w:lang w:val="en-GB"/>
        </w:rPr>
        <w:t xml:space="preserve"> </w:t>
      </w:r>
      <w:hyperlink r:id="rId55" w:history="1">
        <w:r w:rsidR="00287E8A" w:rsidRPr="00A544B1">
          <w:rPr>
            <w:rStyle w:val="Hyperlink"/>
            <w:lang w:val="en-GB"/>
          </w:rPr>
          <w:t>tjunchaya@worldbank.org</w:t>
        </w:r>
      </w:hyperlink>
      <w:hyperlink r:id="rId56" w:history="1"/>
    </w:p>
    <w:p w14:paraId="549CBDB9" w14:textId="11D22B82" w:rsidR="00365C89" w:rsidRPr="00A544B1" w:rsidRDefault="00891F8B" w:rsidP="00E13C2C">
      <w:pPr>
        <w:ind w:left="1247"/>
        <w:rPr>
          <w:bCs/>
          <w:lang w:val="en-GB"/>
        </w:rPr>
      </w:pPr>
      <w:r w:rsidRPr="00A544B1">
        <w:rPr>
          <w:bCs/>
          <w:lang w:val="en-GB"/>
        </w:rPr>
        <w:t>Mr. Jiang Ru</w:t>
      </w:r>
      <w:r w:rsidRPr="00A544B1">
        <w:rPr>
          <w:bCs/>
          <w:lang w:val="en-GB"/>
        </w:rPr>
        <w:br/>
        <w:t>Practice Manager</w:t>
      </w:r>
      <w:r w:rsidRPr="00A544B1">
        <w:rPr>
          <w:bCs/>
          <w:lang w:val="en-GB"/>
        </w:rPr>
        <w:br/>
        <w:t>Environment and Corporate Responsibility</w:t>
      </w:r>
      <w:r w:rsidRPr="00A544B1">
        <w:rPr>
          <w:bCs/>
          <w:lang w:val="en-GB"/>
        </w:rPr>
        <w:br/>
        <w:t xml:space="preserve">The World </w:t>
      </w:r>
      <w:r w:rsidRPr="00A544B1">
        <w:rPr>
          <w:rStyle w:val="Hyperlink"/>
          <w:bCs/>
          <w:color w:val="auto"/>
          <w:lang w:val="en-GB"/>
        </w:rPr>
        <w:t>Bank</w:t>
      </w:r>
      <w:r w:rsidRPr="00A544B1">
        <w:rPr>
          <w:bCs/>
          <w:lang w:val="en-GB"/>
        </w:rPr>
        <w:br/>
        <w:t>Washington, DC 20433</w:t>
      </w:r>
      <w:r w:rsidRPr="00A544B1">
        <w:rPr>
          <w:bCs/>
          <w:lang w:val="en-GB"/>
        </w:rPr>
        <w:br/>
        <w:t>United States of America</w:t>
      </w:r>
      <w:r w:rsidR="002E5CAA">
        <w:rPr>
          <w:bCs/>
          <w:lang w:val="en-GB"/>
        </w:rPr>
        <w:br/>
      </w:r>
      <w:r w:rsidR="00C25773" w:rsidRPr="00A544B1">
        <w:rPr>
          <w:lang w:val="en-GB"/>
        </w:rPr>
        <w:t>Courriel</w:t>
      </w:r>
      <w:r w:rsidR="00AA6A89" w:rsidRPr="00A544B1">
        <w:rPr>
          <w:lang w:val="en-GB"/>
        </w:rPr>
        <w:t> :</w:t>
      </w:r>
      <w:r w:rsidR="00C25773" w:rsidRPr="00A544B1">
        <w:rPr>
          <w:lang w:val="en-GB"/>
        </w:rPr>
        <w:t xml:space="preserve"> </w:t>
      </w:r>
      <w:hyperlink r:id="rId57" w:history="1">
        <w:r w:rsidR="00287E8A" w:rsidRPr="00A544B1">
          <w:rPr>
            <w:rStyle w:val="Hyperlink"/>
            <w:lang w:val="en-GB"/>
          </w:rPr>
          <w:t>jru@worldbank.org</w:t>
        </w:r>
      </w:hyperlink>
      <w:hyperlink r:id="rId58" w:history="1"/>
    </w:p>
    <w:p w14:paraId="1F405684" w14:textId="1A710802" w:rsidR="00C25773" w:rsidRPr="009D0B3A" w:rsidRDefault="00C25773" w:rsidP="00C67BBE">
      <w:pPr>
        <w:pStyle w:val="CH3"/>
        <w:keepNext w:val="0"/>
        <w:keepLines w:val="0"/>
        <w:spacing w:before="120"/>
        <w:ind w:firstLine="0"/>
      </w:pPr>
      <w:r w:rsidRPr="009D0B3A">
        <w:rPr>
          <w:bCs/>
        </w:rPr>
        <w:t>Programme des Nations</w:t>
      </w:r>
      <w:r w:rsidR="00545566">
        <w:rPr>
          <w:bCs/>
        </w:rPr>
        <w:t> </w:t>
      </w:r>
      <w:r w:rsidRPr="009D0B3A">
        <w:rPr>
          <w:bCs/>
        </w:rPr>
        <w:t>Unies pour le développement</w:t>
      </w:r>
    </w:p>
    <w:p w14:paraId="3CDC32AF" w14:textId="74AB1524" w:rsidR="007470DF" w:rsidRPr="00A544B1" w:rsidRDefault="00891F8B" w:rsidP="00E13C2C">
      <w:pPr>
        <w:ind w:left="1247"/>
        <w:rPr>
          <w:bCs/>
          <w:lang w:val="en-GB"/>
        </w:rPr>
      </w:pPr>
      <w:r w:rsidRPr="00A544B1">
        <w:rPr>
          <w:bCs/>
          <w:lang w:val="en-GB"/>
        </w:rPr>
        <w:t>Ms. Paloma Somohano</w:t>
      </w:r>
      <w:r w:rsidRPr="00A544B1">
        <w:rPr>
          <w:bCs/>
          <w:lang w:val="en-GB"/>
        </w:rPr>
        <w:br/>
        <w:t>Programme Specialist</w:t>
      </w:r>
      <w:r w:rsidRPr="00A544B1">
        <w:rPr>
          <w:bCs/>
          <w:lang w:val="en-GB"/>
        </w:rPr>
        <w:br/>
        <w:t>Montreal Protocol / Chemicals and Waste Unit</w:t>
      </w:r>
      <w:r w:rsidRPr="00A544B1">
        <w:rPr>
          <w:bCs/>
          <w:lang w:val="en-GB"/>
        </w:rPr>
        <w:br/>
        <w:t xml:space="preserve">United </w:t>
      </w:r>
      <w:r w:rsidRPr="00A544B1">
        <w:rPr>
          <w:rStyle w:val="Hyperlink"/>
          <w:bCs/>
          <w:color w:val="auto"/>
          <w:lang w:val="en-GB"/>
        </w:rPr>
        <w:t>Nations</w:t>
      </w:r>
      <w:r w:rsidRPr="00A544B1">
        <w:rPr>
          <w:bCs/>
          <w:lang w:val="en-GB"/>
        </w:rPr>
        <w:t xml:space="preserve"> Development Programme</w:t>
      </w:r>
      <w:r w:rsidRPr="00A544B1">
        <w:rPr>
          <w:bCs/>
          <w:lang w:val="en-GB"/>
        </w:rPr>
        <w:br/>
        <w:t>New York</w:t>
      </w:r>
      <w:r w:rsidRPr="00A544B1">
        <w:rPr>
          <w:bCs/>
          <w:lang w:val="en-GB"/>
        </w:rPr>
        <w:br/>
        <w:t>United States of America</w:t>
      </w:r>
      <w:r w:rsidR="00287E8A" w:rsidRPr="00A544B1">
        <w:rPr>
          <w:lang w:val="en-GB"/>
        </w:rPr>
        <w:br/>
      </w:r>
      <w:r w:rsidR="00C25773" w:rsidRPr="00A544B1">
        <w:rPr>
          <w:lang w:val="en-GB"/>
        </w:rPr>
        <w:t>Courriel</w:t>
      </w:r>
      <w:r w:rsidR="00AA6A89" w:rsidRPr="00A544B1">
        <w:rPr>
          <w:lang w:val="en-GB"/>
        </w:rPr>
        <w:t> :</w:t>
      </w:r>
      <w:hyperlink r:id="rId59" w:history="1">
        <w:r w:rsidR="002E5CAA" w:rsidRPr="00AD0B3F">
          <w:rPr>
            <w:rStyle w:val="Hyperlink"/>
            <w:lang w:val="en-GB"/>
          </w:rPr>
          <w:t>paloma.somohano@undp.org</w:t>
        </w:r>
      </w:hyperlink>
      <w:hyperlink r:id="rId60" w:history="1"/>
      <w:r w:rsidR="00287E8A" w:rsidRPr="00A544B1">
        <w:rPr>
          <w:lang w:val="en-GB"/>
        </w:rPr>
        <w:t xml:space="preserve"> </w:t>
      </w:r>
    </w:p>
    <w:p w14:paraId="0C54932D" w14:textId="5441109B" w:rsidR="00C25773" w:rsidRPr="009D0B3A" w:rsidRDefault="00C25773" w:rsidP="005F2549">
      <w:pPr>
        <w:pStyle w:val="CH3"/>
        <w:spacing w:before="120"/>
        <w:ind w:firstLine="0"/>
      </w:pPr>
      <w:r w:rsidRPr="009D0B3A">
        <w:rPr>
          <w:bCs/>
        </w:rPr>
        <w:lastRenderedPageBreak/>
        <w:t>Programme des Nations</w:t>
      </w:r>
      <w:r w:rsidR="00545566">
        <w:rPr>
          <w:bCs/>
        </w:rPr>
        <w:t> </w:t>
      </w:r>
      <w:r w:rsidRPr="009D0B3A">
        <w:rPr>
          <w:bCs/>
        </w:rPr>
        <w:t>Unies pour l</w:t>
      </w:r>
      <w:r w:rsidR="00AA6A89" w:rsidRPr="009D0B3A">
        <w:rPr>
          <w:bCs/>
        </w:rPr>
        <w:t>’</w:t>
      </w:r>
      <w:r w:rsidRPr="009D0B3A">
        <w:rPr>
          <w:bCs/>
        </w:rPr>
        <w:t>environnement</w:t>
      </w:r>
    </w:p>
    <w:p w14:paraId="132BF718" w14:textId="2C7463DE" w:rsidR="00C25773" w:rsidRPr="00A544B1" w:rsidRDefault="00891F8B" w:rsidP="009A7CD1">
      <w:pPr>
        <w:keepNext/>
        <w:keepLines/>
        <w:spacing w:after="120"/>
        <w:ind w:left="1247"/>
        <w:rPr>
          <w:bCs/>
          <w:lang w:val="en-GB"/>
        </w:rPr>
      </w:pPr>
      <w:r w:rsidRPr="00A544B1">
        <w:rPr>
          <w:bCs/>
          <w:lang w:val="en-GB"/>
        </w:rPr>
        <w:t>Mr. James Curlin</w:t>
      </w:r>
      <w:r w:rsidRPr="00A544B1">
        <w:rPr>
          <w:bCs/>
          <w:lang w:val="en-GB"/>
        </w:rPr>
        <w:br/>
        <w:t>Head of OzonAction</w:t>
      </w:r>
      <w:r w:rsidRPr="00A544B1">
        <w:rPr>
          <w:bCs/>
          <w:lang w:val="en-GB"/>
        </w:rPr>
        <w:br/>
        <w:t>Law Division</w:t>
      </w:r>
      <w:r w:rsidRPr="00A544B1">
        <w:rPr>
          <w:bCs/>
          <w:lang w:val="en-GB"/>
        </w:rPr>
        <w:br/>
        <w:t xml:space="preserve">United </w:t>
      </w:r>
      <w:r w:rsidRPr="00A544B1">
        <w:rPr>
          <w:rStyle w:val="Hyperlink"/>
          <w:bCs/>
          <w:color w:val="auto"/>
          <w:lang w:val="en-GB"/>
        </w:rPr>
        <w:t>Nations</w:t>
      </w:r>
      <w:r w:rsidRPr="00A544B1">
        <w:rPr>
          <w:bCs/>
          <w:lang w:val="en-GB"/>
        </w:rPr>
        <w:t xml:space="preserve"> Environment Programme</w:t>
      </w:r>
      <w:r w:rsidRPr="00A544B1">
        <w:rPr>
          <w:lang w:val="en-GB"/>
        </w:rPr>
        <w:br/>
      </w:r>
      <w:r w:rsidR="00C25773" w:rsidRPr="00A544B1">
        <w:rPr>
          <w:lang w:val="en-GB"/>
        </w:rPr>
        <w:t>Courriel</w:t>
      </w:r>
      <w:r w:rsidR="00AA6A89" w:rsidRPr="00A544B1">
        <w:rPr>
          <w:lang w:val="en-GB"/>
        </w:rPr>
        <w:t> :</w:t>
      </w:r>
      <w:r w:rsidR="00C25773" w:rsidRPr="00A544B1">
        <w:rPr>
          <w:lang w:val="en-GB"/>
        </w:rPr>
        <w:t xml:space="preserve"> </w:t>
      </w:r>
      <w:hyperlink r:id="rId61" w:history="1">
        <w:r w:rsidRPr="00A544B1">
          <w:rPr>
            <w:rStyle w:val="Hyperlink"/>
            <w:lang w:val="en-GB"/>
          </w:rPr>
          <w:t>jim.curlin@un.org</w:t>
        </w:r>
      </w:hyperlink>
    </w:p>
    <w:p w14:paraId="2C4D8E9C" w14:textId="7C487A9C" w:rsidR="00876091" w:rsidRPr="00A544B1" w:rsidRDefault="00891F8B" w:rsidP="005F2549">
      <w:pPr>
        <w:keepNext/>
        <w:keepLines/>
        <w:spacing w:after="120"/>
        <w:ind w:left="1247"/>
        <w:rPr>
          <w:lang w:val="en-GB"/>
        </w:rPr>
      </w:pPr>
      <w:r w:rsidRPr="00A544B1">
        <w:rPr>
          <w:bCs/>
          <w:lang w:val="en-GB"/>
        </w:rPr>
        <w:t>Ms. Tatiana Terekhova</w:t>
      </w:r>
      <w:r w:rsidRPr="00A544B1">
        <w:rPr>
          <w:bCs/>
          <w:lang w:val="en-GB"/>
        </w:rPr>
        <w:br/>
        <w:t>Capacity Building Manager</w:t>
      </w:r>
      <w:r w:rsidRPr="00A544B1">
        <w:rPr>
          <w:bCs/>
          <w:lang w:val="en-GB"/>
        </w:rPr>
        <w:br/>
        <w:t>OzonAction UNEP</w:t>
      </w:r>
      <w:r w:rsidRPr="00A544B1">
        <w:rPr>
          <w:bCs/>
          <w:lang w:val="en-GB"/>
        </w:rPr>
        <w:br/>
        <w:t>United Nations Environment Programme</w:t>
      </w:r>
      <w:r w:rsidRPr="00A544B1" w:rsidDel="00891F8B">
        <w:rPr>
          <w:lang w:val="en-GB"/>
        </w:rPr>
        <w:t xml:space="preserve"> </w:t>
      </w:r>
      <w:r w:rsidR="002E5CAA">
        <w:rPr>
          <w:lang w:val="en-GB"/>
        </w:rPr>
        <w:br/>
      </w:r>
      <w:r w:rsidR="00876091" w:rsidRPr="00A544B1">
        <w:rPr>
          <w:lang w:val="en-GB"/>
        </w:rPr>
        <w:t>Courriel</w:t>
      </w:r>
      <w:r w:rsidR="00AA6A89" w:rsidRPr="00A544B1">
        <w:rPr>
          <w:lang w:val="en-GB"/>
        </w:rPr>
        <w:t> :</w:t>
      </w:r>
      <w:r w:rsidR="00876091" w:rsidRPr="00A544B1">
        <w:rPr>
          <w:lang w:val="en-GB"/>
        </w:rPr>
        <w:t xml:space="preserve"> </w:t>
      </w:r>
      <w:hyperlink r:id="rId62" w:history="1">
        <w:r w:rsidRPr="00A544B1">
          <w:rPr>
            <w:rStyle w:val="Hyperlink"/>
            <w:lang w:val="en-GB"/>
          </w:rPr>
          <w:t>tatiana.terekhova@un.org</w:t>
        </w:r>
      </w:hyperlink>
      <w:hyperlink r:id="rId63" w:history="1"/>
    </w:p>
    <w:p w14:paraId="299FEDDC" w14:textId="7E8835EA" w:rsidR="009F13E3" w:rsidRPr="00A544B1" w:rsidRDefault="00891F8B" w:rsidP="005F2549">
      <w:pPr>
        <w:keepNext/>
        <w:keepLines/>
        <w:spacing w:after="120"/>
        <w:ind w:left="1247"/>
        <w:rPr>
          <w:bCs/>
          <w:lang w:val="en-GB"/>
        </w:rPr>
      </w:pPr>
      <w:r w:rsidRPr="00A544B1">
        <w:rPr>
          <w:bCs/>
          <w:lang w:val="en-GB"/>
        </w:rPr>
        <w:t>Mr. Yamar Guisse</w:t>
      </w:r>
      <w:r w:rsidRPr="00A544B1">
        <w:rPr>
          <w:bCs/>
          <w:lang w:val="en-GB"/>
        </w:rPr>
        <w:br/>
        <w:t>Regional Coordinator, Francophone</w:t>
      </w:r>
      <w:r w:rsidRPr="00A544B1">
        <w:rPr>
          <w:bCs/>
          <w:lang w:val="en-GB"/>
        </w:rPr>
        <w:br/>
        <w:t xml:space="preserve">United </w:t>
      </w:r>
      <w:r w:rsidRPr="00A544B1">
        <w:rPr>
          <w:rStyle w:val="Hyperlink"/>
          <w:bCs/>
          <w:color w:val="auto"/>
          <w:lang w:val="en-GB"/>
        </w:rPr>
        <w:t>Nations</w:t>
      </w:r>
      <w:r w:rsidRPr="00A544B1">
        <w:rPr>
          <w:bCs/>
          <w:lang w:val="en-GB"/>
        </w:rPr>
        <w:t xml:space="preserve"> Environment Programme</w:t>
      </w:r>
      <w:r w:rsidRPr="00A544B1">
        <w:rPr>
          <w:bCs/>
          <w:lang w:val="en-GB"/>
        </w:rPr>
        <w:br/>
        <w:t>Nairobi</w:t>
      </w:r>
      <w:r w:rsidRPr="00A544B1">
        <w:rPr>
          <w:bCs/>
          <w:lang w:val="en-GB"/>
        </w:rPr>
        <w:br/>
        <w:t>Kenya</w:t>
      </w:r>
      <w:r w:rsidRPr="00A544B1">
        <w:rPr>
          <w:lang w:val="en-GB"/>
        </w:rPr>
        <w:br/>
      </w:r>
      <w:r w:rsidR="00C25773" w:rsidRPr="00A544B1">
        <w:rPr>
          <w:lang w:val="en-GB"/>
        </w:rPr>
        <w:t>Courriel</w:t>
      </w:r>
      <w:r w:rsidR="00AA6A89" w:rsidRPr="00A544B1">
        <w:rPr>
          <w:lang w:val="en-GB"/>
        </w:rPr>
        <w:t> :</w:t>
      </w:r>
      <w:r w:rsidR="00C25773" w:rsidRPr="00A544B1">
        <w:rPr>
          <w:lang w:val="en-GB"/>
        </w:rPr>
        <w:t xml:space="preserve"> </w:t>
      </w:r>
      <w:hyperlink r:id="rId64" w:history="1">
        <w:r w:rsidRPr="00A544B1">
          <w:rPr>
            <w:rStyle w:val="Hyperlink"/>
            <w:lang w:val="en-GB"/>
          </w:rPr>
          <w:t>guisse@un.org</w:t>
        </w:r>
      </w:hyperlink>
      <w:hyperlink r:id="rId65" w:history="1"/>
    </w:p>
    <w:p w14:paraId="2961A6D7" w14:textId="19ABDA8D" w:rsidR="004A0F43" w:rsidRPr="00A544B1" w:rsidRDefault="00891F8B" w:rsidP="007E5A30">
      <w:pPr>
        <w:spacing w:after="120"/>
        <w:ind w:left="1247"/>
        <w:rPr>
          <w:bCs/>
          <w:lang w:val="en-GB"/>
        </w:rPr>
      </w:pPr>
      <w:r w:rsidRPr="00A544B1">
        <w:rPr>
          <w:bCs/>
          <w:lang w:val="en-GB"/>
        </w:rPr>
        <w:t>Mr. Patrick Salifu</w:t>
      </w:r>
      <w:r w:rsidRPr="00A544B1">
        <w:rPr>
          <w:bCs/>
          <w:lang w:val="en-GB"/>
        </w:rPr>
        <w:br/>
        <w:t>Regional Coordinator, Anglophone</w:t>
      </w:r>
      <w:r w:rsidRPr="00A544B1">
        <w:rPr>
          <w:bCs/>
          <w:lang w:val="en-GB"/>
        </w:rPr>
        <w:br/>
        <w:t>United Nations Environment Programme</w:t>
      </w:r>
      <w:r w:rsidRPr="00A544B1">
        <w:rPr>
          <w:bCs/>
          <w:lang w:val="en-GB"/>
        </w:rPr>
        <w:br/>
      </w:r>
      <w:r w:rsidRPr="00A544B1">
        <w:rPr>
          <w:rStyle w:val="Hyperlink"/>
          <w:bCs/>
          <w:color w:val="auto"/>
          <w:lang w:val="en-GB"/>
        </w:rPr>
        <w:t>Nairobi</w:t>
      </w:r>
      <w:r w:rsidRPr="00A544B1">
        <w:rPr>
          <w:bCs/>
          <w:lang w:val="en-GB"/>
        </w:rPr>
        <w:t xml:space="preserve"> 00100</w:t>
      </w:r>
      <w:r w:rsidRPr="00A544B1">
        <w:rPr>
          <w:bCs/>
          <w:lang w:val="en-GB"/>
        </w:rPr>
        <w:br/>
        <w:t>Kenya</w:t>
      </w:r>
      <w:r w:rsidRPr="00A544B1">
        <w:rPr>
          <w:lang w:val="en-GB"/>
        </w:rPr>
        <w:br/>
      </w:r>
      <w:r w:rsidR="00C25773" w:rsidRPr="00A544B1">
        <w:rPr>
          <w:lang w:val="en-GB"/>
        </w:rPr>
        <w:t>Courriel</w:t>
      </w:r>
      <w:r w:rsidR="00AA6A89" w:rsidRPr="00A544B1">
        <w:rPr>
          <w:lang w:val="en-GB"/>
        </w:rPr>
        <w:t> :</w:t>
      </w:r>
      <w:r w:rsidR="00C25773" w:rsidRPr="00A544B1">
        <w:rPr>
          <w:lang w:val="en-GB"/>
        </w:rPr>
        <w:t xml:space="preserve"> </w:t>
      </w:r>
      <w:hyperlink r:id="rId66" w:history="1">
        <w:r w:rsidRPr="00A544B1">
          <w:rPr>
            <w:rStyle w:val="Hyperlink"/>
            <w:lang w:val="en-GB"/>
          </w:rPr>
          <w:t>patrick.salifu@unep.org</w:t>
        </w:r>
      </w:hyperlink>
      <w:hyperlink r:id="rId67" w:history="1"/>
      <w:r w:rsidRPr="00A544B1">
        <w:rPr>
          <w:lang w:val="en-GB"/>
        </w:rPr>
        <w:t xml:space="preserve"> </w:t>
      </w:r>
    </w:p>
    <w:p w14:paraId="57EBD1FE" w14:textId="153EE3F2" w:rsidR="00C25773" w:rsidRPr="009D0B3A" w:rsidRDefault="00891F8B" w:rsidP="00E13C2C">
      <w:pPr>
        <w:ind w:left="1247"/>
        <w:rPr>
          <w:bCs/>
        </w:rPr>
      </w:pPr>
      <w:r w:rsidRPr="009D0B3A">
        <w:rPr>
          <w:bCs/>
        </w:rPr>
        <w:t>Mr. Moussa Barry</w:t>
      </w:r>
      <w:r w:rsidRPr="009D0B3A">
        <w:rPr>
          <w:bCs/>
        </w:rPr>
        <w:br/>
        <w:t>Programme Officer</w:t>
      </w:r>
      <w:r w:rsidRPr="009D0B3A">
        <w:rPr>
          <w:bCs/>
        </w:rPr>
        <w:br/>
        <w:t>UNEP, OzonAction</w:t>
      </w:r>
      <w:r w:rsidRPr="009D0B3A">
        <w:rPr>
          <w:bCs/>
        </w:rPr>
        <w:br/>
        <w:t>United Nations Environment Programme</w:t>
      </w:r>
      <w:r w:rsidRPr="009D0B3A">
        <w:rPr>
          <w:bCs/>
        </w:rPr>
        <w:br/>
        <w:t>Nairobi 00100</w:t>
      </w:r>
      <w:r w:rsidRPr="009D0B3A">
        <w:rPr>
          <w:bCs/>
        </w:rPr>
        <w:br/>
        <w:t>Kenya</w:t>
      </w:r>
      <w:r w:rsidRPr="009D0B3A">
        <w:rPr>
          <w:bCs/>
        </w:rPr>
        <w:br/>
      </w:r>
      <w:r w:rsidR="00C25773" w:rsidRPr="009D0B3A">
        <w:t>Courriel</w:t>
      </w:r>
      <w:r w:rsidR="00AA6A89" w:rsidRPr="009D0B3A">
        <w:t> :</w:t>
      </w:r>
      <w:r w:rsidR="00C25773" w:rsidRPr="009D0B3A">
        <w:t xml:space="preserve"> </w:t>
      </w:r>
      <w:hyperlink r:id="rId68" w:history="1">
        <w:r w:rsidRPr="009D0B3A">
          <w:rPr>
            <w:rStyle w:val="Hyperlink"/>
          </w:rPr>
          <w:t>moussa.barry@un.org</w:t>
        </w:r>
      </w:hyperlink>
    </w:p>
    <w:p w14:paraId="7A993511" w14:textId="0C60AA6E" w:rsidR="00C25773" w:rsidRPr="009D0B3A" w:rsidRDefault="00C25773" w:rsidP="00C67BBE">
      <w:pPr>
        <w:pStyle w:val="CH3"/>
        <w:keepNext w:val="0"/>
        <w:keepLines w:val="0"/>
        <w:spacing w:before="120"/>
        <w:ind w:firstLine="0"/>
      </w:pPr>
      <w:r w:rsidRPr="009D0B3A">
        <w:rPr>
          <w:bCs/>
        </w:rPr>
        <w:t>Organisation des Nations</w:t>
      </w:r>
      <w:r w:rsidR="00545566">
        <w:rPr>
          <w:bCs/>
        </w:rPr>
        <w:t> </w:t>
      </w:r>
      <w:r w:rsidRPr="009D0B3A">
        <w:rPr>
          <w:bCs/>
        </w:rPr>
        <w:t>Unies pour le développement industriel</w:t>
      </w:r>
    </w:p>
    <w:p w14:paraId="7F104D89" w14:textId="2274D90E" w:rsidR="00C25773" w:rsidRPr="00376050" w:rsidRDefault="00891F8B" w:rsidP="007E5A30">
      <w:pPr>
        <w:spacing w:after="120"/>
        <w:ind w:left="1247"/>
        <w:rPr>
          <w:bCs/>
          <w:lang w:val="en-US"/>
        </w:rPr>
      </w:pPr>
      <w:r w:rsidRPr="00376050">
        <w:rPr>
          <w:bCs/>
          <w:lang w:val="en-US"/>
        </w:rPr>
        <w:t>Ms. Liazzat Rabbiosi</w:t>
      </w:r>
      <w:r w:rsidRPr="00376050">
        <w:rPr>
          <w:bCs/>
          <w:lang w:val="en-US"/>
        </w:rPr>
        <w:br/>
        <w:t>Chief</w:t>
      </w:r>
      <w:r w:rsidRPr="00376050">
        <w:rPr>
          <w:bCs/>
          <w:lang w:val="en-US"/>
        </w:rPr>
        <w:br/>
        <w:t>Montreal Protocol Unit</w:t>
      </w:r>
      <w:r w:rsidRPr="00376050">
        <w:rPr>
          <w:bCs/>
          <w:lang w:val="en-US"/>
        </w:rPr>
        <w:br/>
        <w:t>United Nations Industrial Development Organization</w:t>
      </w:r>
      <w:r w:rsidRPr="00376050">
        <w:rPr>
          <w:bCs/>
          <w:lang w:val="en-US"/>
        </w:rPr>
        <w:br/>
        <w:t>Vienna 1400</w:t>
      </w:r>
      <w:r w:rsidRPr="00376050">
        <w:rPr>
          <w:bCs/>
          <w:lang w:val="en-US"/>
        </w:rPr>
        <w:br/>
        <w:t>Austria</w:t>
      </w:r>
      <w:r w:rsidRPr="00376050">
        <w:rPr>
          <w:lang w:val="en-US"/>
        </w:rPr>
        <w:br/>
      </w:r>
      <w:r w:rsidR="00C25773" w:rsidRPr="00376050">
        <w:rPr>
          <w:lang w:val="en-US"/>
        </w:rPr>
        <w:t>Courriel</w:t>
      </w:r>
      <w:r w:rsidR="00AA6A89" w:rsidRPr="00376050">
        <w:rPr>
          <w:lang w:val="en-US"/>
        </w:rPr>
        <w:t> :</w:t>
      </w:r>
      <w:r w:rsidR="00C25773" w:rsidRPr="00376050">
        <w:rPr>
          <w:lang w:val="en-US"/>
        </w:rPr>
        <w:t xml:space="preserve"> </w:t>
      </w:r>
      <w:hyperlink r:id="rId69" w:history="1">
        <w:r w:rsidRPr="00376050">
          <w:rPr>
            <w:rStyle w:val="Hyperlink"/>
            <w:lang w:val="en-US"/>
          </w:rPr>
          <w:t>rabbiosi@un.org</w:t>
        </w:r>
      </w:hyperlink>
      <w:r w:rsidR="00C25773" w:rsidRPr="00376050">
        <w:rPr>
          <w:lang w:val="en-US"/>
        </w:rPr>
        <w:t xml:space="preserve">, </w:t>
      </w:r>
      <w:hyperlink r:id="rId70" w:history="1">
        <w:r w:rsidRPr="00376050">
          <w:rPr>
            <w:rStyle w:val="Hyperlink"/>
            <w:lang w:val="en-US"/>
          </w:rPr>
          <w:t>L.Rabbiosi@unido.org</w:t>
        </w:r>
      </w:hyperlink>
      <w:hyperlink r:id="rId71" w:history="1"/>
      <w:hyperlink r:id="rId72" w:history="1"/>
    </w:p>
    <w:p w14:paraId="50F6727E" w14:textId="2E83D22C" w:rsidR="004A0F43" w:rsidRPr="00376050" w:rsidRDefault="00891F8B" w:rsidP="00E13C2C">
      <w:pPr>
        <w:ind w:left="1247"/>
        <w:rPr>
          <w:bCs/>
          <w:lang w:val="en-US"/>
        </w:rPr>
      </w:pPr>
      <w:r w:rsidRPr="00376050">
        <w:rPr>
          <w:bCs/>
          <w:lang w:val="en-US"/>
        </w:rPr>
        <w:t>Mr. Oluyomi Banjo</w:t>
      </w:r>
      <w:r w:rsidRPr="00376050">
        <w:rPr>
          <w:bCs/>
          <w:lang w:val="en-US"/>
        </w:rPr>
        <w:br/>
      </w:r>
      <w:r w:rsidRPr="00376050">
        <w:rPr>
          <w:rStyle w:val="Hyperlink"/>
          <w:bCs/>
          <w:color w:val="auto"/>
          <w:lang w:val="en-US"/>
        </w:rPr>
        <w:t>Environment</w:t>
      </w:r>
      <w:r w:rsidRPr="00376050">
        <w:rPr>
          <w:bCs/>
          <w:lang w:val="en-US"/>
        </w:rPr>
        <w:t xml:space="preserve"> Expert</w:t>
      </w:r>
      <w:r w:rsidRPr="00376050">
        <w:rPr>
          <w:bCs/>
          <w:lang w:val="en-US"/>
        </w:rPr>
        <w:br/>
        <w:t>Montreal Protocol</w:t>
      </w:r>
      <w:r w:rsidRPr="00376050">
        <w:rPr>
          <w:bCs/>
          <w:lang w:val="en-US"/>
        </w:rPr>
        <w:br/>
        <w:t>United Nations Industrial Development Organization</w:t>
      </w:r>
      <w:r w:rsidRPr="00376050">
        <w:rPr>
          <w:bCs/>
          <w:lang w:val="en-US"/>
        </w:rPr>
        <w:br/>
        <w:t>Vienna 1400</w:t>
      </w:r>
      <w:r w:rsidRPr="00376050">
        <w:rPr>
          <w:bCs/>
          <w:lang w:val="en-US"/>
        </w:rPr>
        <w:br/>
        <w:t>Austria</w:t>
      </w:r>
      <w:r w:rsidRPr="00376050" w:rsidDel="00891F8B">
        <w:rPr>
          <w:lang w:val="en-US"/>
        </w:rPr>
        <w:t xml:space="preserve"> </w:t>
      </w:r>
      <w:r w:rsidRPr="00376050">
        <w:rPr>
          <w:lang w:val="en-US"/>
        </w:rPr>
        <w:br/>
      </w:r>
      <w:r w:rsidR="00C25773" w:rsidRPr="00376050">
        <w:rPr>
          <w:lang w:val="en-US"/>
        </w:rPr>
        <w:t>Courriel</w:t>
      </w:r>
      <w:r w:rsidR="00AA6A89" w:rsidRPr="00376050">
        <w:rPr>
          <w:lang w:val="en-US"/>
        </w:rPr>
        <w:t> :</w:t>
      </w:r>
      <w:r w:rsidR="00C25773" w:rsidRPr="00376050">
        <w:rPr>
          <w:lang w:val="en-US"/>
        </w:rPr>
        <w:t xml:space="preserve"> </w:t>
      </w:r>
      <w:hyperlink r:id="rId73" w:history="1">
        <w:r w:rsidRPr="00376050">
          <w:rPr>
            <w:rStyle w:val="Hyperlink"/>
            <w:lang w:val="en-US"/>
          </w:rPr>
          <w:t>o.banjo@unido.org</w:t>
        </w:r>
      </w:hyperlink>
      <w:hyperlink r:id="rId74" w:history="1"/>
    </w:p>
    <w:p w14:paraId="17264DA4" w14:textId="77777777" w:rsidR="00C67BBE" w:rsidRPr="00376050" w:rsidRDefault="00C67BBE" w:rsidP="00C25773">
      <w:pPr>
        <w:pStyle w:val="CH2"/>
        <w:tabs>
          <w:tab w:val="clear" w:pos="1871"/>
          <w:tab w:val="clear" w:pos="2495"/>
          <w:tab w:val="clear" w:pos="3119"/>
          <w:tab w:val="clear" w:pos="3742"/>
          <w:tab w:val="clear" w:pos="4366"/>
          <w:tab w:val="left" w:pos="1814"/>
          <w:tab w:val="left" w:pos="2381"/>
          <w:tab w:val="left" w:pos="2948"/>
          <w:tab w:val="left" w:pos="3515"/>
          <w:tab w:val="left" w:pos="4082"/>
        </w:tabs>
        <w:rPr>
          <w:lang w:val="en-US"/>
        </w:rPr>
        <w:sectPr w:rsidR="00C67BBE" w:rsidRPr="00376050" w:rsidSect="009D0B3A">
          <w:type w:val="continuous"/>
          <w:pgSz w:w="11907" w:h="16839"/>
          <w:pgMar w:top="907" w:right="992" w:bottom="1418" w:left="1418" w:header="539" w:footer="975" w:gutter="0"/>
          <w:cols w:num="2" w:space="708"/>
          <w:docGrid w:linePitch="360"/>
        </w:sectPr>
      </w:pPr>
    </w:p>
    <w:p w14:paraId="73CD63D4" w14:textId="46CA34BD" w:rsidR="00C25773" w:rsidRPr="00376050" w:rsidRDefault="00C25773" w:rsidP="00C25773">
      <w:pPr>
        <w:pStyle w:val="CH2"/>
        <w:tabs>
          <w:tab w:val="clear" w:pos="1871"/>
          <w:tab w:val="clear" w:pos="2495"/>
          <w:tab w:val="clear" w:pos="3119"/>
          <w:tab w:val="clear" w:pos="3742"/>
          <w:tab w:val="clear" w:pos="4366"/>
          <w:tab w:val="left" w:pos="1814"/>
          <w:tab w:val="left" w:pos="2381"/>
          <w:tab w:val="left" w:pos="2948"/>
          <w:tab w:val="left" w:pos="3515"/>
          <w:tab w:val="left" w:pos="4082"/>
        </w:tabs>
        <w:rPr>
          <w:lang w:val="en-US"/>
        </w:rPr>
      </w:pPr>
      <w:r w:rsidRPr="00376050">
        <w:rPr>
          <w:lang w:val="en-US"/>
        </w:rPr>
        <w:tab/>
      </w:r>
      <w:r w:rsidRPr="00376050">
        <w:rPr>
          <w:lang w:val="en-US"/>
        </w:rPr>
        <w:tab/>
      </w:r>
      <w:r w:rsidRPr="00376050">
        <w:rPr>
          <w:bCs/>
          <w:lang w:val="en-US"/>
        </w:rPr>
        <w:t>Secrétariat de l</w:t>
      </w:r>
      <w:r w:rsidR="00AA6A89" w:rsidRPr="00376050">
        <w:rPr>
          <w:bCs/>
          <w:lang w:val="en-US"/>
        </w:rPr>
        <w:t>’</w:t>
      </w:r>
      <w:r w:rsidRPr="00376050">
        <w:rPr>
          <w:bCs/>
          <w:lang w:val="en-US"/>
        </w:rPr>
        <w:t>ozone</w:t>
      </w:r>
    </w:p>
    <w:p w14:paraId="28A25D42" w14:textId="77777777" w:rsidR="00C67BBE" w:rsidRPr="00376050" w:rsidRDefault="00C67BBE" w:rsidP="007E5A30">
      <w:pPr>
        <w:spacing w:after="120"/>
        <w:ind w:left="1247"/>
        <w:rPr>
          <w:bCs/>
          <w:lang w:val="en-US"/>
        </w:rPr>
        <w:sectPr w:rsidR="00C67BBE" w:rsidRPr="00376050" w:rsidSect="009D0B3A">
          <w:type w:val="continuous"/>
          <w:pgSz w:w="11907" w:h="16839"/>
          <w:pgMar w:top="907" w:right="992" w:bottom="1418" w:left="1418" w:header="539" w:footer="975" w:gutter="0"/>
          <w:cols w:space="708"/>
          <w:docGrid w:linePitch="360"/>
        </w:sectPr>
      </w:pPr>
    </w:p>
    <w:p w14:paraId="23BD29B7" w14:textId="13036756" w:rsidR="004A0F43" w:rsidRPr="00101267" w:rsidRDefault="00891F8B" w:rsidP="007E5A30">
      <w:pPr>
        <w:spacing w:after="120"/>
        <w:ind w:left="1247"/>
        <w:rPr>
          <w:bCs/>
          <w:lang w:val="en-US"/>
        </w:rPr>
      </w:pPr>
      <w:r w:rsidRPr="00101267">
        <w:rPr>
          <w:bCs/>
          <w:lang w:val="en-US"/>
        </w:rPr>
        <w:t>Ms. Megumi Seki Nakamura</w:t>
      </w:r>
      <w:r w:rsidRPr="00101267">
        <w:rPr>
          <w:bCs/>
          <w:lang w:val="en-US"/>
        </w:rPr>
        <w:br/>
        <w:t>Executive Secretary</w:t>
      </w:r>
      <w:r w:rsidRPr="00101267">
        <w:rPr>
          <w:bCs/>
          <w:lang w:val="en-US"/>
        </w:rPr>
        <w:br/>
        <w:t>Ozone Secretariat</w:t>
      </w:r>
      <w:r w:rsidRPr="00101267">
        <w:rPr>
          <w:bCs/>
          <w:lang w:val="en-US"/>
        </w:rPr>
        <w:br/>
      </w:r>
      <w:r w:rsidRPr="00101267">
        <w:rPr>
          <w:rStyle w:val="Hyperlink"/>
          <w:bCs/>
          <w:color w:val="auto"/>
          <w:lang w:val="en-US"/>
        </w:rPr>
        <w:t>Nairobi</w:t>
      </w:r>
      <w:r w:rsidRPr="00101267">
        <w:rPr>
          <w:bCs/>
          <w:lang w:val="en-US"/>
        </w:rPr>
        <w:t xml:space="preserve"> 00100</w:t>
      </w:r>
      <w:r w:rsidRPr="00101267">
        <w:rPr>
          <w:bCs/>
          <w:lang w:val="en-US"/>
        </w:rPr>
        <w:br/>
        <w:t>Kenya</w:t>
      </w:r>
      <w:r w:rsidRPr="00101267">
        <w:rPr>
          <w:bCs/>
          <w:lang w:val="en-US"/>
        </w:rPr>
        <w:br/>
      </w:r>
      <w:r w:rsidR="00C25773" w:rsidRPr="00101267">
        <w:rPr>
          <w:lang w:val="en-US"/>
        </w:rPr>
        <w:t>Courriel</w:t>
      </w:r>
      <w:r w:rsidR="00AA6A89" w:rsidRPr="00101267">
        <w:rPr>
          <w:lang w:val="en-US"/>
        </w:rPr>
        <w:t> :</w:t>
      </w:r>
      <w:r w:rsidR="00C25773" w:rsidRPr="00101267">
        <w:rPr>
          <w:lang w:val="en-US"/>
        </w:rPr>
        <w:t xml:space="preserve"> </w:t>
      </w:r>
      <w:hyperlink r:id="rId75" w:history="1">
        <w:r w:rsidRPr="00101267">
          <w:rPr>
            <w:rStyle w:val="Hyperlink"/>
            <w:lang w:val="en-US"/>
          </w:rPr>
          <w:t>meg.seki@un.org</w:t>
        </w:r>
      </w:hyperlink>
      <w:hyperlink r:id="rId76" w:history="1"/>
    </w:p>
    <w:p w14:paraId="5C6DE00C" w14:textId="25C44DE1" w:rsidR="004A0F43" w:rsidRPr="00101267" w:rsidRDefault="00891F8B" w:rsidP="006068B7">
      <w:pPr>
        <w:spacing w:after="120"/>
        <w:ind w:left="1247"/>
        <w:rPr>
          <w:bCs/>
          <w:lang w:val="en-US"/>
        </w:rPr>
      </w:pPr>
      <w:r w:rsidRPr="00101267">
        <w:rPr>
          <w:bCs/>
          <w:lang w:val="en-US"/>
        </w:rPr>
        <w:t>Mr. Pablo Moscoso de la Cuba</w:t>
      </w:r>
      <w:r w:rsidRPr="00101267">
        <w:rPr>
          <w:bCs/>
          <w:lang w:val="en-US"/>
        </w:rPr>
        <w:br/>
        <w:t>Senior Legal Officer</w:t>
      </w:r>
      <w:r w:rsidRPr="00101267">
        <w:rPr>
          <w:bCs/>
          <w:lang w:val="en-US"/>
        </w:rPr>
        <w:br/>
        <w:t>Ozone Secretariat</w:t>
      </w:r>
      <w:r w:rsidRPr="00101267">
        <w:rPr>
          <w:bCs/>
          <w:lang w:val="en-US"/>
        </w:rPr>
        <w:br/>
        <w:t xml:space="preserve">Nairobi </w:t>
      </w:r>
      <w:r w:rsidRPr="00101267">
        <w:rPr>
          <w:rStyle w:val="Hyperlink"/>
          <w:bCs/>
          <w:color w:val="auto"/>
          <w:lang w:val="en-US"/>
        </w:rPr>
        <w:t>00100</w:t>
      </w:r>
      <w:r w:rsidRPr="00101267">
        <w:rPr>
          <w:bCs/>
          <w:lang w:val="en-US"/>
        </w:rPr>
        <w:br/>
        <w:t>Kenya</w:t>
      </w:r>
      <w:r w:rsidRPr="00101267">
        <w:rPr>
          <w:lang w:val="en-US"/>
        </w:rPr>
        <w:br/>
      </w:r>
      <w:r w:rsidR="00C25773" w:rsidRPr="00101267">
        <w:rPr>
          <w:lang w:val="en-US"/>
        </w:rPr>
        <w:t>Courriel</w:t>
      </w:r>
      <w:r w:rsidR="00AA6A89" w:rsidRPr="00101267">
        <w:rPr>
          <w:lang w:val="en-US"/>
        </w:rPr>
        <w:t> :</w:t>
      </w:r>
      <w:r w:rsidR="00C25773" w:rsidRPr="00101267">
        <w:rPr>
          <w:lang w:val="en-US"/>
        </w:rPr>
        <w:t xml:space="preserve"> </w:t>
      </w:r>
      <w:hyperlink r:id="rId77" w:history="1">
        <w:r w:rsidRPr="00101267">
          <w:rPr>
            <w:rStyle w:val="Hyperlink"/>
            <w:lang w:val="en-US"/>
          </w:rPr>
          <w:t>pablo.moscosodelacuba@un.org</w:t>
        </w:r>
      </w:hyperlink>
      <w:hyperlink r:id="rId78" w:history="1"/>
      <w:r w:rsidRPr="00101267">
        <w:rPr>
          <w:lang w:val="en-US"/>
        </w:rPr>
        <w:t xml:space="preserve"> </w:t>
      </w:r>
    </w:p>
    <w:p w14:paraId="4CBDEF92" w14:textId="65BF6EAB" w:rsidR="004A0F43" w:rsidRPr="00A544B1" w:rsidRDefault="00891F8B" w:rsidP="006068B7">
      <w:pPr>
        <w:spacing w:after="120"/>
        <w:ind w:left="1247"/>
        <w:rPr>
          <w:lang w:val="en-GB"/>
        </w:rPr>
      </w:pPr>
      <w:r w:rsidRPr="00A544B1">
        <w:rPr>
          <w:bCs/>
          <w:lang w:val="en-GB"/>
        </w:rPr>
        <w:t>Mr. Gerald Mutisya</w:t>
      </w:r>
      <w:r w:rsidRPr="00A544B1">
        <w:rPr>
          <w:bCs/>
          <w:lang w:val="en-GB"/>
        </w:rPr>
        <w:br/>
        <w:t>Programme Officer (Reporting, Data and Analysis)</w:t>
      </w:r>
      <w:r w:rsidRPr="00A544B1">
        <w:rPr>
          <w:bCs/>
          <w:lang w:val="en-GB"/>
        </w:rPr>
        <w:br/>
        <w:t>Ozone Secretariat</w:t>
      </w:r>
      <w:r w:rsidRPr="00A544B1">
        <w:rPr>
          <w:bCs/>
          <w:lang w:val="en-GB"/>
        </w:rPr>
        <w:br/>
        <w:t>Nairobi 00100</w:t>
      </w:r>
      <w:r w:rsidRPr="00A544B1">
        <w:rPr>
          <w:bCs/>
          <w:lang w:val="en-GB"/>
        </w:rPr>
        <w:br/>
      </w:r>
      <w:r w:rsidRPr="00A544B1">
        <w:rPr>
          <w:lang w:val="en-GB"/>
        </w:rPr>
        <w:t>Kenya</w:t>
      </w:r>
      <w:r w:rsidRPr="00A544B1">
        <w:rPr>
          <w:lang w:val="en-GB"/>
        </w:rPr>
        <w:br/>
      </w:r>
      <w:r w:rsidR="00C25773" w:rsidRPr="00A544B1">
        <w:rPr>
          <w:lang w:val="en-GB"/>
        </w:rPr>
        <w:t>Courriel</w:t>
      </w:r>
      <w:r w:rsidR="00AA6A89" w:rsidRPr="00A544B1">
        <w:rPr>
          <w:lang w:val="en-GB"/>
        </w:rPr>
        <w:t> :</w:t>
      </w:r>
      <w:r w:rsidR="00C25773" w:rsidRPr="00A544B1">
        <w:rPr>
          <w:lang w:val="en-GB"/>
        </w:rPr>
        <w:t xml:space="preserve"> </w:t>
      </w:r>
      <w:hyperlink r:id="rId79" w:history="1">
        <w:r w:rsidRPr="00A544B1">
          <w:rPr>
            <w:rStyle w:val="Hyperlink"/>
            <w:lang w:val="en-GB"/>
          </w:rPr>
          <w:t>gerald.mutisya@un.org</w:t>
        </w:r>
      </w:hyperlink>
      <w:hyperlink r:id="rId80" w:history="1"/>
      <w:r w:rsidRPr="00A544B1">
        <w:rPr>
          <w:lang w:val="en-GB"/>
        </w:rPr>
        <w:t xml:space="preserve"> </w:t>
      </w:r>
    </w:p>
    <w:p w14:paraId="536C3B4D" w14:textId="1C00A73E" w:rsidR="004A0F43" w:rsidRPr="00A544B1" w:rsidRDefault="00891F8B" w:rsidP="006068B7">
      <w:pPr>
        <w:spacing w:after="120"/>
        <w:ind w:left="1247"/>
        <w:rPr>
          <w:lang w:val="en-GB"/>
        </w:rPr>
      </w:pPr>
      <w:r w:rsidRPr="00A544B1">
        <w:rPr>
          <w:lang w:val="en-GB"/>
        </w:rPr>
        <w:t>Ms. Frida Muriithi</w:t>
      </w:r>
      <w:r w:rsidRPr="00A544B1">
        <w:rPr>
          <w:lang w:val="en-GB"/>
        </w:rPr>
        <w:br/>
        <w:t>Policy Associate, United Nations Volunteer (UNV)</w:t>
      </w:r>
      <w:r w:rsidRPr="00A544B1">
        <w:rPr>
          <w:lang w:val="en-GB"/>
        </w:rPr>
        <w:br/>
        <w:t>Ozone Secretariat</w:t>
      </w:r>
      <w:r w:rsidRPr="00A544B1">
        <w:rPr>
          <w:lang w:val="en-GB"/>
        </w:rPr>
        <w:br/>
      </w:r>
      <w:r w:rsidRPr="00A544B1">
        <w:rPr>
          <w:rStyle w:val="Hyperlink"/>
          <w:color w:val="auto"/>
          <w:lang w:val="en-GB"/>
        </w:rPr>
        <w:t>Nairobi</w:t>
      </w:r>
      <w:r w:rsidRPr="00A544B1">
        <w:rPr>
          <w:lang w:val="en-GB"/>
        </w:rPr>
        <w:t xml:space="preserve"> 00100</w:t>
      </w:r>
      <w:r w:rsidRPr="00A544B1">
        <w:rPr>
          <w:lang w:val="en-GB"/>
        </w:rPr>
        <w:br/>
        <w:t>Kenya</w:t>
      </w:r>
      <w:r w:rsidRPr="00A544B1">
        <w:rPr>
          <w:lang w:val="en-GB"/>
        </w:rPr>
        <w:br/>
      </w:r>
      <w:r w:rsidR="00C25773" w:rsidRPr="00A544B1">
        <w:rPr>
          <w:lang w:val="en-GB"/>
        </w:rPr>
        <w:t>Courriel</w:t>
      </w:r>
      <w:r w:rsidR="00AA6A89" w:rsidRPr="00A544B1">
        <w:rPr>
          <w:lang w:val="en-GB"/>
        </w:rPr>
        <w:t> :</w:t>
      </w:r>
      <w:r w:rsidR="00C25773" w:rsidRPr="00A544B1">
        <w:rPr>
          <w:lang w:val="en-GB"/>
        </w:rPr>
        <w:t xml:space="preserve"> </w:t>
      </w:r>
      <w:hyperlink r:id="rId81" w:history="1">
        <w:r w:rsidRPr="00A544B1">
          <w:rPr>
            <w:rStyle w:val="Hyperlink"/>
            <w:lang w:val="en-GB"/>
          </w:rPr>
          <w:t>frida.muriithi@un.org</w:t>
        </w:r>
      </w:hyperlink>
      <w:hyperlink r:id="rId82" w:history="1"/>
    </w:p>
    <w:p w14:paraId="78F2CB34" w14:textId="59CDBA12" w:rsidR="004A0F43" w:rsidRPr="00A544B1" w:rsidRDefault="00891F8B" w:rsidP="001515EE">
      <w:pPr>
        <w:spacing w:after="120"/>
        <w:ind w:left="1247"/>
        <w:rPr>
          <w:lang w:val="en-GB"/>
        </w:rPr>
      </w:pPr>
      <w:r w:rsidRPr="00A544B1">
        <w:rPr>
          <w:lang w:val="en-GB"/>
        </w:rPr>
        <w:t>Ms. Martha Mulumba</w:t>
      </w:r>
      <w:r w:rsidRPr="00A544B1">
        <w:rPr>
          <w:lang w:val="en-GB"/>
        </w:rPr>
        <w:br/>
        <w:t>Senior Information Systems Assistant</w:t>
      </w:r>
      <w:r w:rsidRPr="00A544B1">
        <w:rPr>
          <w:lang w:val="en-GB"/>
        </w:rPr>
        <w:br/>
        <w:t>Ozone Secretariat</w:t>
      </w:r>
      <w:r w:rsidRPr="00A544B1">
        <w:rPr>
          <w:lang w:val="en-GB"/>
        </w:rPr>
        <w:br/>
        <w:t>Nairobi 00100</w:t>
      </w:r>
      <w:r w:rsidRPr="00A544B1">
        <w:rPr>
          <w:lang w:val="en-GB"/>
        </w:rPr>
        <w:br/>
        <w:t>Kenya</w:t>
      </w:r>
      <w:r w:rsidRPr="00A544B1">
        <w:rPr>
          <w:lang w:val="en-GB"/>
        </w:rPr>
        <w:br/>
      </w:r>
      <w:r w:rsidR="00C25773" w:rsidRPr="00A544B1">
        <w:rPr>
          <w:lang w:val="en-GB"/>
        </w:rPr>
        <w:t>Courriel</w:t>
      </w:r>
      <w:r w:rsidR="00AA6A89" w:rsidRPr="00A544B1">
        <w:rPr>
          <w:lang w:val="en-GB"/>
        </w:rPr>
        <w:t> :</w:t>
      </w:r>
      <w:r w:rsidR="00C25773" w:rsidRPr="00A544B1">
        <w:rPr>
          <w:lang w:val="en-GB"/>
        </w:rPr>
        <w:t xml:space="preserve"> </w:t>
      </w:r>
      <w:hyperlink r:id="rId83" w:history="1">
        <w:r w:rsidRPr="00A544B1">
          <w:rPr>
            <w:rStyle w:val="Hyperlink"/>
            <w:lang w:val="en-GB"/>
          </w:rPr>
          <w:t>martha.mulumba@un.org</w:t>
        </w:r>
      </w:hyperlink>
      <w:hyperlink r:id="rId84" w:history="1"/>
    </w:p>
    <w:p w14:paraId="692B0C1A" w14:textId="58BDC344" w:rsidR="00C25773" w:rsidRPr="009D0B3A" w:rsidRDefault="00891F8B" w:rsidP="00E13C2C">
      <w:pPr>
        <w:ind w:left="1247"/>
      </w:pPr>
      <w:r w:rsidRPr="009D0B3A">
        <w:t>Ms. Jacqueline Nyanjui</w:t>
      </w:r>
      <w:r w:rsidRPr="009D0B3A">
        <w:br/>
        <w:t>Administrative Assistant</w:t>
      </w:r>
      <w:r w:rsidRPr="009D0B3A">
        <w:br/>
        <w:t>Ozone Secretariat</w:t>
      </w:r>
      <w:r w:rsidRPr="009D0B3A">
        <w:br/>
        <w:t xml:space="preserve">Nairobi </w:t>
      </w:r>
      <w:r w:rsidRPr="009D0B3A">
        <w:rPr>
          <w:rStyle w:val="Hyperlink"/>
          <w:color w:val="auto"/>
        </w:rPr>
        <w:t>00100</w:t>
      </w:r>
      <w:r w:rsidRPr="009D0B3A">
        <w:br/>
        <w:t>Kenya</w:t>
      </w:r>
      <w:r w:rsidRPr="009D0B3A" w:rsidDel="00891F8B">
        <w:t xml:space="preserve"> </w:t>
      </w:r>
      <w:r w:rsidR="00850C2E">
        <w:br/>
      </w:r>
      <w:r w:rsidR="00C25773" w:rsidRPr="009D0B3A">
        <w:t>Courriel</w:t>
      </w:r>
      <w:r w:rsidR="00AA6A89" w:rsidRPr="009D0B3A">
        <w:t> :</w:t>
      </w:r>
      <w:r w:rsidR="00C25773" w:rsidRPr="009D0B3A">
        <w:t xml:space="preserve"> </w:t>
      </w:r>
      <w:hyperlink r:id="rId85" w:history="1">
        <w:r w:rsidRPr="009D0B3A">
          <w:rPr>
            <w:rStyle w:val="Hyperlink"/>
          </w:rPr>
          <w:t>jacqueline.nyanjui@un.org</w:t>
        </w:r>
      </w:hyperlink>
      <w:hyperlink r:id="rId86" w:history="1"/>
    </w:p>
    <w:p w14:paraId="3C26610F" w14:textId="77777777" w:rsidR="004A0F43" w:rsidRPr="009D0B3A" w:rsidRDefault="004A0F43" w:rsidP="00E13C2C">
      <w:pPr>
        <w:ind w:left="1247"/>
      </w:pPr>
    </w:p>
    <w:p w14:paraId="77E06AF0" w14:textId="77777777" w:rsidR="00C67BBE" w:rsidRPr="009D0B3A" w:rsidRDefault="00C67BBE" w:rsidP="008D5A91">
      <w:pPr>
        <w:pStyle w:val="Normal-pool"/>
        <w:sectPr w:rsidR="00C67BBE" w:rsidRPr="009D0B3A" w:rsidSect="009D0B3A">
          <w:type w:val="continuous"/>
          <w:pgSz w:w="11907" w:h="16839"/>
          <w:pgMar w:top="907" w:right="992" w:bottom="1418" w:left="1418" w:header="539" w:footer="975" w:gutter="0"/>
          <w:cols w:num="2"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E842CE" w:rsidRPr="009D0B3A" w14:paraId="0F03528D" w14:textId="77777777" w:rsidTr="00E842CE">
        <w:tc>
          <w:tcPr>
            <w:tcW w:w="1897" w:type="dxa"/>
          </w:tcPr>
          <w:p w14:paraId="705A1758" w14:textId="77777777" w:rsidR="00E842CE" w:rsidRPr="009D0B3A" w:rsidRDefault="00E842CE" w:rsidP="00E842CE">
            <w:pPr>
              <w:pStyle w:val="Normal-pool"/>
              <w:spacing w:before="520"/>
            </w:pPr>
          </w:p>
        </w:tc>
        <w:tc>
          <w:tcPr>
            <w:tcW w:w="1897" w:type="dxa"/>
          </w:tcPr>
          <w:p w14:paraId="4B3E7BE3" w14:textId="77777777" w:rsidR="00E842CE" w:rsidRPr="009D0B3A" w:rsidRDefault="00E842CE" w:rsidP="00E842CE">
            <w:pPr>
              <w:pStyle w:val="Normal-pool"/>
              <w:spacing w:before="520"/>
            </w:pPr>
          </w:p>
        </w:tc>
        <w:tc>
          <w:tcPr>
            <w:tcW w:w="1897" w:type="dxa"/>
            <w:tcBorders>
              <w:bottom w:val="single" w:sz="4" w:space="0" w:color="auto"/>
            </w:tcBorders>
          </w:tcPr>
          <w:p w14:paraId="3723831D" w14:textId="77777777" w:rsidR="00E842CE" w:rsidRPr="009D0B3A" w:rsidRDefault="00E842CE" w:rsidP="00E842CE">
            <w:pPr>
              <w:pStyle w:val="Normal-pool"/>
              <w:spacing w:before="520"/>
            </w:pPr>
          </w:p>
        </w:tc>
        <w:tc>
          <w:tcPr>
            <w:tcW w:w="1898" w:type="dxa"/>
          </w:tcPr>
          <w:p w14:paraId="6869CC98" w14:textId="77777777" w:rsidR="00E842CE" w:rsidRPr="009D0B3A" w:rsidRDefault="00E842CE" w:rsidP="00E842CE">
            <w:pPr>
              <w:pStyle w:val="Normal-pool"/>
              <w:spacing w:before="520"/>
            </w:pPr>
          </w:p>
        </w:tc>
        <w:tc>
          <w:tcPr>
            <w:tcW w:w="1898" w:type="dxa"/>
          </w:tcPr>
          <w:p w14:paraId="3DDAD3FC" w14:textId="77777777" w:rsidR="00E842CE" w:rsidRPr="009D0B3A" w:rsidRDefault="00E842CE" w:rsidP="00E842CE">
            <w:pPr>
              <w:pStyle w:val="Normal-pool"/>
              <w:spacing w:before="520"/>
            </w:pPr>
          </w:p>
        </w:tc>
      </w:tr>
    </w:tbl>
    <w:p w14:paraId="2E025E1F" w14:textId="09794B42" w:rsidR="00E842CE" w:rsidRPr="009D0B3A" w:rsidRDefault="00E842CE" w:rsidP="00211A42">
      <w:pPr>
        <w:pStyle w:val="Normal-pool"/>
      </w:pPr>
    </w:p>
    <w:sectPr w:rsidR="00E842CE" w:rsidRPr="009D0B3A" w:rsidSect="009D0B3A">
      <w:type w:val="continuous"/>
      <w:pgSz w:w="11907" w:h="16839"/>
      <w:pgMar w:top="907" w:right="992" w:bottom="1418" w:left="1418" w:header="53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858C" w14:textId="77777777" w:rsidR="009A0A39" w:rsidRPr="009D0B3A" w:rsidRDefault="009A0A39" w:rsidP="009B03BB">
      <w:r w:rsidRPr="009D0B3A">
        <w:separator/>
      </w:r>
    </w:p>
  </w:endnote>
  <w:endnote w:type="continuationSeparator" w:id="0">
    <w:p w14:paraId="7A569213" w14:textId="77777777" w:rsidR="009A0A39" w:rsidRPr="009D0B3A" w:rsidRDefault="009A0A39" w:rsidP="009B03BB">
      <w:r w:rsidRPr="009D0B3A">
        <w:continuationSeparator/>
      </w:r>
    </w:p>
  </w:endnote>
  <w:endnote w:type="continuationNotice" w:id="1">
    <w:p w14:paraId="2FAE95DA" w14:textId="77777777" w:rsidR="009A0A39" w:rsidRPr="009D0B3A" w:rsidRDefault="009A0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F2B9" w14:textId="6A44CC3B" w:rsidR="00C91EEB" w:rsidRPr="009D0B3A" w:rsidRDefault="009D0B3A" w:rsidP="009D0B3A">
    <w:pPr>
      <w:pStyle w:val="Footer-pool"/>
    </w:pPr>
    <w:r w:rsidRPr="009D0B3A">
      <w:fldChar w:fldCharType="begin"/>
    </w:r>
    <w:r w:rsidRPr="009D0B3A">
      <w:instrText xml:space="preserve"> PAGE </w:instrText>
    </w:r>
    <w:r w:rsidRPr="009D0B3A">
      <w:fldChar w:fldCharType="separate"/>
    </w:r>
    <w:r w:rsidRPr="009D0B3A">
      <w:rPr>
        <w:noProof/>
      </w:rPr>
      <w:t>31</w:t>
    </w:r>
    <w:r w:rsidRPr="009D0B3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9608" w14:textId="14897769" w:rsidR="00C91EEB" w:rsidRPr="009D0B3A" w:rsidRDefault="009D0B3A" w:rsidP="009D0B3A">
    <w:pPr>
      <w:pStyle w:val="Footer-pool"/>
      <w:jc w:val="right"/>
    </w:pPr>
    <w:r w:rsidRPr="009D0B3A">
      <w:fldChar w:fldCharType="begin"/>
    </w:r>
    <w:r w:rsidRPr="009D0B3A">
      <w:instrText xml:space="preserve"> PAGE \* MERGEFORMAT </w:instrText>
    </w:r>
    <w:r w:rsidRPr="009D0B3A">
      <w:fldChar w:fldCharType="separate"/>
    </w:r>
    <w:r w:rsidRPr="009D0B3A">
      <w:rPr>
        <w:noProof/>
      </w:rPr>
      <w:t>32</w:t>
    </w:r>
    <w:r w:rsidRPr="009D0B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B551" w14:textId="7351DE87" w:rsidR="00C91EEB" w:rsidRPr="009D0B3A" w:rsidRDefault="009D0B3A" w:rsidP="009D0B3A">
    <w:pPr>
      <w:pStyle w:val="Footer-jobnumber"/>
    </w:pPr>
    <w:bookmarkStart w:id="44" w:name="FooterJobDate"/>
    <w:r w:rsidRPr="009D0B3A">
      <w:t>K</w:t>
    </w:r>
    <w:r w:rsidR="00496E86">
      <w:t>2518266</w:t>
    </w:r>
    <w:r w:rsidRPr="009D0B3A">
      <w:t>[F]</w:t>
    </w:r>
    <w:r w:rsidRPr="009D0B3A">
      <w:tab/>
    </w:r>
    <w:r w:rsidR="00D1464C">
      <w:t>13</w:t>
    </w:r>
    <w:r w:rsidRPr="009D0B3A">
      <w:t>0326</w:t>
    </w:r>
    <w:bookmarkEnd w:id="4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90F8" w14:textId="77777777" w:rsidR="009A0A39" w:rsidRPr="009D0B3A" w:rsidRDefault="009A0A39" w:rsidP="009D0B3A">
      <w:pPr>
        <w:pStyle w:val="Footnote-Separator"/>
        <w:ind w:left="624"/>
        <w:rPr>
          <w:szCs w:val="18"/>
        </w:rPr>
      </w:pPr>
      <w:r w:rsidRPr="009D0B3A">
        <w:separator/>
      </w:r>
    </w:p>
  </w:footnote>
  <w:footnote w:type="continuationSeparator" w:id="0">
    <w:p w14:paraId="2AC309D0" w14:textId="77777777" w:rsidR="009A0A39" w:rsidRPr="009D0B3A" w:rsidRDefault="009A0A39" w:rsidP="009D0B3A">
      <w:pPr>
        <w:pStyle w:val="Footnote-Separator"/>
      </w:pPr>
      <w:r w:rsidRPr="009D0B3A">
        <w:continuationSeparator/>
      </w:r>
    </w:p>
  </w:footnote>
  <w:footnote w:type="continuationNotice" w:id="1">
    <w:p w14:paraId="48BC38D1" w14:textId="77777777" w:rsidR="009A0A39" w:rsidRPr="009D0B3A" w:rsidRDefault="009A0A39" w:rsidP="009D0B3A">
      <w:pPr>
        <w:pStyle w:val="ASpacer"/>
      </w:pPr>
    </w:p>
  </w:footnote>
  <w:footnote w:id="2">
    <w:p w14:paraId="46B16091" w14:textId="55F2E997" w:rsidR="004F289F" w:rsidRPr="009D0B3A" w:rsidRDefault="004F289F" w:rsidP="009D0B3A">
      <w:pPr>
        <w:pStyle w:val="Footnote-Text"/>
      </w:pPr>
      <w:r w:rsidRPr="009D0B3A">
        <w:t>* La version originale anglaise de la présente annexe n</w:t>
      </w:r>
      <w:r w:rsidR="00AA6A89" w:rsidRPr="009D0B3A">
        <w:t>’</w:t>
      </w:r>
      <w:r w:rsidRPr="009D0B3A">
        <w:t>a pas été revue par les services d</w:t>
      </w:r>
      <w:r w:rsidR="00AA6A89" w:rsidRPr="009D0B3A">
        <w:t>’</w:t>
      </w:r>
      <w:r w:rsidRPr="009D0B3A">
        <w:t>édition.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6BD3" w14:textId="656332EC" w:rsidR="004F289F" w:rsidRPr="009D0B3A" w:rsidRDefault="009D0B3A" w:rsidP="009D0B3A">
    <w:pPr>
      <w:pStyle w:val="Header-pool"/>
    </w:pPr>
    <w:r w:rsidRPr="009D0B3A">
      <w:rPr>
        <w:noProof/>
      </w:rPr>
      <w:fldChar w:fldCharType="begin"/>
    </w:r>
    <w:r w:rsidRPr="009D0B3A">
      <w:rPr>
        <w:noProof/>
      </w:rPr>
      <w:instrText xml:space="preserve"> StyleRef A_Symbol </w:instrText>
    </w:r>
    <w:r w:rsidRPr="009D0B3A">
      <w:rPr>
        <w:noProof/>
      </w:rPr>
      <w:fldChar w:fldCharType="separate"/>
    </w:r>
    <w:r w:rsidR="002C1268">
      <w:rPr>
        <w:noProof/>
      </w:rPr>
      <w:t>UNEP/OzL.Pro/ImpCom/75/6</w:t>
    </w:r>
    <w:r w:rsidRPr="009D0B3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8133" w14:textId="369193CE" w:rsidR="004F289F" w:rsidRPr="009D0B3A" w:rsidRDefault="009D0B3A" w:rsidP="009D0B3A">
    <w:pPr>
      <w:pStyle w:val="Header-pool"/>
      <w:jc w:val="right"/>
    </w:pPr>
    <w:r w:rsidRPr="009D0B3A">
      <w:rPr>
        <w:noProof/>
      </w:rPr>
      <w:fldChar w:fldCharType="begin"/>
    </w:r>
    <w:r w:rsidRPr="009D0B3A">
      <w:rPr>
        <w:noProof/>
      </w:rPr>
      <w:instrText xml:space="preserve"> StyleRef A_Symbol </w:instrText>
    </w:r>
    <w:r w:rsidRPr="009D0B3A">
      <w:rPr>
        <w:noProof/>
      </w:rPr>
      <w:fldChar w:fldCharType="separate"/>
    </w:r>
    <w:r w:rsidR="002C1268">
      <w:rPr>
        <w:noProof/>
      </w:rPr>
      <w:t>UNEP/OzL.Pro/ImpCom/75/6</w:t>
    </w:r>
    <w:r w:rsidRPr="009D0B3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0C3D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E2D9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C509C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B3E16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1405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FE16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7255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B2F4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42E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24715E6"/>
    <w:multiLevelType w:val="hybridMultilevel"/>
    <w:tmpl w:val="8A5A3DD4"/>
    <w:lvl w:ilvl="0" w:tplc="6C149E78">
      <w:start w:val="1"/>
      <w:numFmt w:val="upperRoman"/>
      <w:lvlText w:val="%1."/>
      <w:lvlJc w:val="right"/>
      <w:pPr>
        <w:ind w:left="1020" w:hanging="360"/>
      </w:pPr>
    </w:lvl>
    <w:lvl w:ilvl="1" w:tplc="07581BAC">
      <w:start w:val="1"/>
      <w:numFmt w:val="upperRoman"/>
      <w:lvlText w:val="%2."/>
      <w:lvlJc w:val="right"/>
      <w:pPr>
        <w:ind w:left="1020" w:hanging="360"/>
      </w:pPr>
    </w:lvl>
    <w:lvl w:ilvl="2" w:tplc="DB5630FA">
      <w:start w:val="1"/>
      <w:numFmt w:val="upperRoman"/>
      <w:lvlText w:val="%3."/>
      <w:lvlJc w:val="right"/>
      <w:pPr>
        <w:ind w:left="1020" w:hanging="360"/>
      </w:pPr>
    </w:lvl>
    <w:lvl w:ilvl="3" w:tplc="3E1C3F92">
      <w:start w:val="1"/>
      <w:numFmt w:val="upperRoman"/>
      <w:lvlText w:val="%4."/>
      <w:lvlJc w:val="right"/>
      <w:pPr>
        <w:ind w:left="1020" w:hanging="360"/>
      </w:pPr>
    </w:lvl>
    <w:lvl w:ilvl="4" w:tplc="342243CA">
      <w:start w:val="1"/>
      <w:numFmt w:val="upperRoman"/>
      <w:lvlText w:val="%5."/>
      <w:lvlJc w:val="right"/>
      <w:pPr>
        <w:ind w:left="1020" w:hanging="360"/>
      </w:pPr>
    </w:lvl>
    <w:lvl w:ilvl="5" w:tplc="18444022">
      <w:start w:val="1"/>
      <w:numFmt w:val="upperRoman"/>
      <w:lvlText w:val="%6."/>
      <w:lvlJc w:val="right"/>
      <w:pPr>
        <w:ind w:left="1020" w:hanging="360"/>
      </w:pPr>
    </w:lvl>
    <w:lvl w:ilvl="6" w:tplc="C9BE1878">
      <w:start w:val="1"/>
      <w:numFmt w:val="upperRoman"/>
      <w:lvlText w:val="%7."/>
      <w:lvlJc w:val="right"/>
      <w:pPr>
        <w:ind w:left="1020" w:hanging="360"/>
      </w:pPr>
    </w:lvl>
    <w:lvl w:ilvl="7" w:tplc="387C7248">
      <w:start w:val="1"/>
      <w:numFmt w:val="upperRoman"/>
      <w:lvlText w:val="%8."/>
      <w:lvlJc w:val="right"/>
      <w:pPr>
        <w:ind w:left="1020" w:hanging="360"/>
      </w:pPr>
    </w:lvl>
    <w:lvl w:ilvl="8" w:tplc="C400E5CC">
      <w:start w:val="1"/>
      <w:numFmt w:val="upperRoman"/>
      <w:lvlText w:val="%9."/>
      <w:lvlJc w:val="right"/>
      <w:pPr>
        <w:ind w:left="1020" w:hanging="360"/>
      </w:pPr>
    </w:lvl>
  </w:abstractNum>
  <w:abstractNum w:abstractNumId="12" w15:restartNumberingAfterBreak="0">
    <w:nsid w:val="0C8C0E5E"/>
    <w:multiLevelType w:val="hybridMultilevel"/>
    <w:tmpl w:val="A708486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14135479"/>
    <w:multiLevelType w:val="hybridMultilevel"/>
    <w:tmpl w:val="DE0C02A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268E5E42"/>
    <w:multiLevelType w:val="hybridMultilevel"/>
    <w:tmpl w:val="A664F45E"/>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A54A10"/>
    <w:multiLevelType w:val="hybridMultilevel"/>
    <w:tmpl w:val="048A731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399F51D1"/>
    <w:multiLevelType w:val="hybridMultilevel"/>
    <w:tmpl w:val="023888A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9" w15:restartNumberingAfterBreak="0">
    <w:nsid w:val="433D40C4"/>
    <w:multiLevelType w:val="hybridMultilevel"/>
    <w:tmpl w:val="CCB84F3C"/>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1" w15:restartNumberingAfterBreak="0">
    <w:nsid w:val="5D2466B5"/>
    <w:multiLevelType w:val="hybridMultilevel"/>
    <w:tmpl w:val="B874E7E0"/>
    <w:lvl w:ilvl="0" w:tplc="90D022EA">
      <w:start w:val="1"/>
      <w:numFmt w:val="lowerLetter"/>
      <w:lvlText w:val="%1)"/>
      <w:lvlJc w:val="left"/>
      <w:pPr>
        <w:ind w:left="2231" w:hanging="36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22" w15:restartNumberingAfterBreak="0">
    <w:nsid w:val="63E93F8C"/>
    <w:multiLevelType w:val="hybridMultilevel"/>
    <w:tmpl w:val="8A8CB4A2"/>
    <w:lvl w:ilvl="0" w:tplc="361C272A">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3" w15:restartNumberingAfterBreak="0">
    <w:nsid w:val="69B93D4C"/>
    <w:multiLevelType w:val="hybridMultilevel"/>
    <w:tmpl w:val="7FA8E71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6DFD435B"/>
    <w:multiLevelType w:val="hybridMultilevel"/>
    <w:tmpl w:val="5B7C05B4"/>
    <w:lvl w:ilvl="0" w:tplc="348ADCCC">
      <w:start w:val="1"/>
      <w:numFmt w:val="decimal"/>
      <w:lvlText w:val="%1."/>
      <w:lvlJc w:val="left"/>
      <w:pPr>
        <w:ind w:left="5605" w:hanging="360"/>
      </w:pPr>
      <w:rPr>
        <w:i w:val="0"/>
        <w:iCs w:val="0"/>
        <w:sz w:val="20"/>
        <w:szCs w:val="2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6"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 w15:restartNumberingAfterBreak="0">
    <w:nsid w:val="7E3927D4"/>
    <w:multiLevelType w:val="hybridMultilevel"/>
    <w:tmpl w:val="30E2D33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num w:numId="1" w16cid:durableId="1281914380">
    <w:abstractNumId w:val="20"/>
  </w:num>
  <w:num w:numId="2" w16cid:durableId="361825416">
    <w:abstractNumId w:val="25"/>
  </w:num>
  <w:num w:numId="3" w16cid:durableId="13531493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652758">
    <w:abstractNumId w:val="9"/>
  </w:num>
  <w:num w:numId="5" w16cid:durableId="473525020">
    <w:abstractNumId w:val="7"/>
  </w:num>
  <w:num w:numId="6" w16cid:durableId="643848839">
    <w:abstractNumId w:val="6"/>
  </w:num>
  <w:num w:numId="7" w16cid:durableId="1582182925">
    <w:abstractNumId w:val="5"/>
  </w:num>
  <w:num w:numId="8" w16cid:durableId="1421100152">
    <w:abstractNumId w:val="4"/>
  </w:num>
  <w:num w:numId="9" w16cid:durableId="728579193">
    <w:abstractNumId w:val="8"/>
  </w:num>
  <w:num w:numId="10" w16cid:durableId="215288690">
    <w:abstractNumId w:val="3"/>
  </w:num>
  <w:num w:numId="11" w16cid:durableId="418021188">
    <w:abstractNumId w:val="2"/>
  </w:num>
  <w:num w:numId="12" w16cid:durableId="914585986">
    <w:abstractNumId w:val="1"/>
  </w:num>
  <w:num w:numId="13" w16cid:durableId="569197997">
    <w:abstractNumId w:val="0"/>
  </w:num>
  <w:num w:numId="14" w16cid:durableId="1933662228">
    <w:abstractNumId w:val="16"/>
  </w:num>
  <w:num w:numId="15" w16cid:durableId="1991909117">
    <w:abstractNumId w:val="10"/>
  </w:num>
  <w:num w:numId="16" w16cid:durableId="1138956019">
    <w:abstractNumId w:val="14"/>
  </w:num>
  <w:num w:numId="17" w16cid:durableId="988170835">
    <w:abstractNumId w:val="12"/>
  </w:num>
  <w:num w:numId="18" w16cid:durableId="1948728696">
    <w:abstractNumId w:val="23"/>
  </w:num>
  <w:num w:numId="19" w16cid:durableId="220333120">
    <w:abstractNumId w:val="19"/>
  </w:num>
  <w:num w:numId="20" w16cid:durableId="1488671273">
    <w:abstractNumId w:val="18"/>
  </w:num>
  <w:num w:numId="21" w16cid:durableId="1273634150">
    <w:abstractNumId w:val="27"/>
  </w:num>
  <w:num w:numId="22" w16cid:durableId="2079201858">
    <w:abstractNumId w:val="13"/>
  </w:num>
  <w:num w:numId="23" w16cid:durableId="1055399177">
    <w:abstractNumId w:val="15"/>
  </w:num>
  <w:num w:numId="24" w16cid:durableId="1385983122">
    <w:abstractNumId w:val="22"/>
  </w:num>
  <w:num w:numId="25" w16cid:durableId="648706617">
    <w:abstractNumId w:val="17"/>
  </w:num>
  <w:num w:numId="26" w16cid:durableId="190845011">
    <w:abstractNumId w:val="24"/>
  </w:num>
  <w:num w:numId="27" w16cid:durableId="172189591">
    <w:abstractNumId w:val="21"/>
  </w:num>
  <w:num w:numId="28" w16cid:durableId="97261235">
    <w:abstractNumId w:val="26"/>
  </w:num>
  <w:num w:numId="29" w16cid:durableId="63297869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BB"/>
    <w:rsid w:val="00000121"/>
    <w:rsid w:val="000002C9"/>
    <w:rsid w:val="00000364"/>
    <w:rsid w:val="00000EB8"/>
    <w:rsid w:val="00000FAE"/>
    <w:rsid w:val="000012FC"/>
    <w:rsid w:val="000019C6"/>
    <w:rsid w:val="000019E9"/>
    <w:rsid w:val="00001C75"/>
    <w:rsid w:val="000021C8"/>
    <w:rsid w:val="00003570"/>
    <w:rsid w:val="00003588"/>
    <w:rsid w:val="00003B3E"/>
    <w:rsid w:val="00003F16"/>
    <w:rsid w:val="000040E9"/>
    <w:rsid w:val="00004369"/>
    <w:rsid w:val="000049C5"/>
    <w:rsid w:val="00004BE9"/>
    <w:rsid w:val="000052FD"/>
    <w:rsid w:val="000054F0"/>
    <w:rsid w:val="00005944"/>
    <w:rsid w:val="0000648E"/>
    <w:rsid w:val="00006B4A"/>
    <w:rsid w:val="00007214"/>
    <w:rsid w:val="0000721B"/>
    <w:rsid w:val="000074F8"/>
    <w:rsid w:val="000108EE"/>
    <w:rsid w:val="0001181C"/>
    <w:rsid w:val="00011BB6"/>
    <w:rsid w:val="000122BB"/>
    <w:rsid w:val="00012BE6"/>
    <w:rsid w:val="00012E15"/>
    <w:rsid w:val="00012EB1"/>
    <w:rsid w:val="0001348C"/>
    <w:rsid w:val="00013648"/>
    <w:rsid w:val="00014025"/>
    <w:rsid w:val="00014533"/>
    <w:rsid w:val="00014617"/>
    <w:rsid w:val="00014B4C"/>
    <w:rsid w:val="00014C93"/>
    <w:rsid w:val="000151A4"/>
    <w:rsid w:val="00015816"/>
    <w:rsid w:val="00016AE0"/>
    <w:rsid w:val="0001778C"/>
    <w:rsid w:val="00020253"/>
    <w:rsid w:val="000204BE"/>
    <w:rsid w:val="00020C90"/>
    <w:rsid w:val="00020D70"/>
    <w:rsid w:val="000215D4"/>
    <w:rsid w:val="000218B3"/>
    <w:rsid w:val="00022664"/>
    <w:rsid w:val="00022925"/>
    <w:rsid w:val="00022D4A"/>
    <w:rsid w:val="000234F5"/>
    <w:rsid w:val="00023572"/>
    <w:rsid w:val="00023EC7"/>
    <w:rsid w:val="00024708"/>
    <w:rsid w:val="00024A2E"/>
    <w:rsid w:val="00025277"/>
    <w:rsid w:val="000258B7"/>
    <w:rsid w:val="00025B2A"/>
    <w:rsid w:val="00026068"/>
    <w:rsid w:val="00026111"/>
    <w:rsid w:val="000262B8"/>
    <w:rsid w:val="0002647E"/>
    <w:rsid w:val="000266E4"/>
    <w:rsid w:val="000270BB"/>
    <w:rsid w:val="000277EB"/>
    <w:rsid w:val="0003030B"/>
    <w:rsid w:val="000308AC"/>
    <w:rsid w:val="00030945"/>
    <w:rsid w:val="00030AAC"/>
    <w:rsid w:val="00030E5C"/>
    <w:rsid w:val="00031189"/>
    <w:rsid w:val="000314D6"/>
    <w:rsid w:val="0003157B"/>
    <w:rsid w:val="0003169F"/>
    <w:rsid w:val="00031CFF"/>
    <w:rsid w:val="000328DA"/>
    <w:rsid w:val="00032BA5"/>
    <w:rsid w:val="00032C01"/>
    <w:rsid w:val="00032CF2"/>
    <w:rsid w:val="00033326"/>
    <w:rsid w:val="0003351E"/>
    <w:rsid w:val="00033EAB"/>
    <w:rsid w:val="0003423C"/>
    <w:rsid w:val="00034417"/>
    <w:rsid w:val="00034883"/>
    <w:rsid w:val="00035CCB"/>
    <w:rsid w:val="00036C52"/>
    <w:rsid w:val="00036DF0"/>
    <w:rsid w:val="00036EF5"/>
    <w:rsid w:val="00037B44"/>
    <w:rsid w:val="00040139"/>
    <w:rsid w:val="0004093E"/>
    <w:rsid w:val="00042406"/>
    <w:rsid w:val="0004256B"/>
    <w:rsid w:val="000433BB"/>
    <w:rsid w:val="00043F1A"/>
    <w:rsid w:val="00043F3D"/>
    <w:rsid w:val="00044662"/>
    <w:rsid w:val="0004475C"/>
    <w:rsid w:val="00044864"/>
    <w:rsid w:val="00045748"/>
    <w:rsid w:val="00045DEE"/>
    <w:rsid w:val="00045E80"/>
    <w:rsid w:val="00045FBE"/>
    <w:rsid w:val="00046603"/>
    <w:rsid w:val="000469CE"/>
    <w:rsid w:val="00047125"/>
    <w:rsid w:val="0004770A"/>
    <w:rsid w:val="000477E8"/>
    <w:rsid w:val="00047A2C"/>
    <w:rsid w:val="00047C06"/>
    <w:rsid w:val="00050462"/>
    <w:rsid w:val="000506B4"/>
    <w:rsid w:val="000509ED"/>
    <w:rsid w:val="00050AC3"/>
    <w:rsid w:val="00051114"/>
    <w:rsid w:val="00051691"/>
    <w:rsid w:val="00053231"/>
    <w:rsid w:val="000532F1"/>
    <w:rsid w:val="0005342B"/>
    <w:rsid w:val="00053517"/>
    <w:rsid w:val="0005392F"/>
    <w:rsid w:val="00053AC5"/>
    <w:rsid w:val="00053E08"/>
    <w:rsid w:val="00055327"/>
    <w:rsid w:val="00056016"/>
    <w:rsid w:val="000562DB"/>
    <w:rsid w:val="000563AC"/>
    <w:rsid w:val="00056438"/>
    <w:rsid w:val="0005645F"/>
    <w:rsid w:val="00056B04"/>
    <w:rsid w:val="0005712C"/>
    <w:rsid w:val="000579EE"/>
    <w:rsid w:val="0006073A"/>
    <w:rsid w:val="000610F3"/>
    <w:rsid w:val="00061519"/>
    <w:rsid w:val="00062C7F"/>
    <w:rsid w:val="00063DA1"/>
    <w:rsid w:val="000642B9"/>
    <w:rsid w:val="0006473A"/>
    <w:rsid w:val="00064BB9"/>
    <w:rsid w:val="00064BC4"/>
    <w:rsid w:val="0006524C"/>
    <w:rsid w:val="00066804"/>
    <w:rsid w:val="00066E26"/>
    <w:rsid w:val="00066F55"/>
    <w:rsid w:val="000672D4"/>
    <w:rsid w:val="000678EF"/>
    <w:rsid w:val="00067EA4"/>
    <w:rsid w:val="00070095"/>
    <w:rsid w:val="000703D8"/>
    <w:rsid w:val="00070813"/>
    <w:rsid w:val="00071409"/>
    <w:rsid w:val="00071969"/>
    <w:rsid w:val="00071E0F"/>
    <w:rsid w:val="00071E75"/>
    <w:rsid w:val="00072735"/>
    <w:rsid w:val="00072D8E"/>
    <w:rsid w:val="00072EBF"/>
    <w:rsid w:val="0007421D"/>
    <w:rsid w:val="000746B1"/>
    <w:rsid w:val="00074B49"/>
    <w:rsid w:val="000757A3"/>
    <w:rsid w:val="0007587B"/>
    <w:rsid w:val="0007645C"/>
    <w:rsid w:val="000772A0"/>
    <w:rsid w:val="00077AF1"/>
    <w:rsid w:val="00077F2A"/>
    <w:rsid w:val="0008011A"/>
    <w:rsid w:val="00080C32"/>
    <w:rsid w:val="00081F25"/>
    <w:rsid w:val="00082F26"/>
    <w:rsid w:val="000833C7"/>
    <w:rsid w:val="00083470"/>
    <w:rsid w:val="0008437E"/>
    <w:rsid w:val="000843B7"/>
    <w:rsid w:val="000845E7"/>
    <w:rsid w:val="000848D7"/>
    <w:rsid w:val="00084FA8"/>
    <w:rsid w:val="0008596A"/>
    <w:rsid w:val="0008754D"/>
    <w:rsid w:val="00090671"/>
    <w:rsid w:val="00090EE0"/>
    <w:rsid w:val="0009134E"/>
    <w:rsid w:val="0009264F"/>
    <w:rsid w:val="0009287D"/>
    <w:rsid w:val="00092B74"/>
    <w:rsid w:val="00093C96"/>
    <w:rsid w:val="00093D28"/>
    <w:rsid w:val="00094646"/>
    <w:rsid w:val="00094B0E"/>
    <w:rsid w:val="00094E45"/>
    <w:rsid w:val="00094F67"/>
    <w:rsid w:val="000950FE"/>
    <w:rsid w:val="00095436"/>
    <w:rsid w:val="00096475"/>
    <w:rsid w:val="00096499"/>
    <w:rsid w:val="000964E8"/>
    <w:rsid w:val="00096C7D"/>
    <w:rsid w:val="00096DB7"/>
    <w:rsid w:val="00096F42"/>
    <w:rsid w:val="000976B4"/>
    <w:rsid w:val="000A10E6"/>
    <w:rsid w:val="000A12E3"/>
    <w:rsid w:val="000A13F6"/>
    <w:rsid w:val="000A178B"/>
    <w:rsid w:val="000A19EA"/>
    <w:rsid w:val="000A1FC7"/>
    <w:rsid w:val="000A2204"/>
    <w:rsid w:val="000A2708"/>
    <w:rsid w:val="000A3206"/>
    <w:rsid w:val="000A33F8"/>
    <w:rsid w:val="000A3D4B"/>
    <w:rsid w:val="000A4190"/>
    <w:rsid w:val="000A4723"/>
    <w:rsid w:val="000A4CAD"/>
    <w:rsid w:val="000A58A0"/>
    <w:rsid w:val="000A5A0C"/>
    <w:rsid w:val="000A5D37"/>
    <w:rsid w:val="000A6FCC"/>
    <w:rsid w:val="000A711A"/>
    <w:rsid w:val="000A72BA"/>
    <w:rsid w:val="000A7FB5"/>
    <w:rsid w:val="000B004A"/>
    <w:rsid w:val="000B053C"/>
    <w:rsid w:val="000B05DC"/>
    <w:rsid w:val="000B0ABD"/>
    <w:rsid w:val="000B0DA3"/>
    <w:rsid w:val="000B0EA5"/>
    <w:rsid w:val="000B1094"/>
    <w:rsid w:val="000B150A"/>
    <w:rsid w:val="000B198C"/>
    <w:rsid w:val="000B1A56"/>
    <w:rsid w:val="000B2092"/>
    <w:rsid w:val="000B234F"/>
    <w:rsid w:val="000B2CBA"/>
    <w:rsid w:val="000B3428"/>
    <w:rsid w:val="000B348A"/>
    <w:rsid w:val="000B3558"/>
    <w:rsid w:val="000B3938"/>
    <w:rsid w:val="000B3C88"/>
    <w:rsid w:val="000B4930"/>
    <w:rsid w:val="000B4A1C"/>
    <w:rsid w:val="000B4DD8"/>
    <w:rsid w:val="000B5980"/>
    <w:rsid w:val="000B62A0"/>
    <w:rsid w:val="000B62B4"/>
    <w:rsid w:val="000B65B8"/>
    <w:rsid w:val="000B6FED"/>
    <w:rsid w:val="000B7158"/>
    <w:rsid w:val="000B7B15"/>
    <w:rsid w:val="000B7B2F"/>
    <w:rsid w:val="000B7E2F"/>
    <w:rsid w:val="000B7EB5"/>
    <w:rsid w:val="000C039E"/>
    <w:rsid w:val="000C131C"/>
    <w:rsid w:val="000C13FA"/>
    <w:rsid w:val="000C19D5"/>
    <w:rsid w:val="000C1CEB"/>
    <w:rsid w:val="000C2F15"/>
    <w:rsid w:val="000C39E5"/>
    <w:rsid w:val="000C3A89"/>
    <w:rsid w:val="000C3F77"/>
    <w:rsid w:val="000C4B7C"/>
    <w:rsid w:val="000C4F55"/>
    <w:rsid w:val="000C4FEB"/>
    <w:rsid w:val="000C5A72"/>
    <w:rsid w:val="000C60F1"/>
    <w:rsid w:val="000C620D"/>
    <w:rsid w:val="000C76E5"/>
    <w:rsid w:val="000D01BC"/>
    <w:rsid w:val="000D03C7"/>
    <w:rsid w:val="000D0916"/>
    <w:rsid w:val="000D1251"/>
    <w:rsid w:val="000D12AF"/>
    <w:rsid w:val="000D1BB3"/>
    <w:rsid w:val="000D2142"/>
    <w:rsid w:val="000D24F5"/>
    <w:rsid w:val="000D26FB"/>
    <w:rsid w:val="000D2783"/>
    <w:rsid w:val="000D3F0E"/>
    <w:rsid w:val="000D4290"/>
    <w:rsid w:val="000D4B1D"/>
    <w:rsid w:val="000D4B30"/>
    <w:rsid w:val="000D51D8"/>
    <w:rsid w:val="000D59AE"/>
    <w:rsid w:val="000D5E0F"/>
    <w:rsid w:val="000D69B5"/>
    <w:rsid w:val="000D6C71"/>
    <w:rsid w:val="000D6F41"/>
    <w:rsid w:val="000D75ED"/>
    <w:rsid w:val="000E0150"/>
    <w:rsid w:val="000E070B"/>
    <w:rsid w:val="000E0A3A"/>
    <w:rsid w:val="000E14F0"/>
    <w:rsid w:val="000E18BA"/>
    <w:rsid w:val="000E1AD4"/>
    <w:rsid w:val="000E1D61"/>
    <w:rsid w:val="000E2763"/>
    <w:rsid w:val="000E2C6D"/>
    <w:rsid w:val="000E328D"/>
    <w:rsid w:val="000E33AE"/>
    <w:rsid w:val="000E3AAF"/>
    <w:rsid w:val="000E3B17"/>
    <w:rsid w:val="000E3B27"/>
    <w:rsid w:val="000E43DF"/>
    <w:rsid w:val="000E4C08"/>
    <w:rsid w:val="000E4D89"/>
    <w:rsid w:val="000E52DF"/>
    <w:rsid w:val="000E5A5F"/>
    <w:rsid w:val="000E5C65"/>
    <w:rsid w:val="000E638A"/>
    <w:rsid w:val="000E6411"/>
    <w:rsid w:val="000E656A"/>
    <w:rsid w:val="000E68AB"/>
    <w:rsid w:val="000E6B81"/>
    <w:rsid w:val="000E6E28"/>
    <w:rsid w:val="000E726E"/>
    <w:rsid w:val="000E74E5"/>
    <w:rsid w:val="000E7972"/>
    <w:rsid w:val="000E7A88"/>
    <w:rsid w:val="000E7B92"/>
    <w:rsid w:val="000F0116"/>
    <w:rsid w:val="000F0879"/>
    <w:rsid w:val="000F0BD2"/>
    <w:rsid w:val="000F0FD3"/>
    <w:rsid w:val="000F14A3"/>
    <w:rsid w:val="000F1592"/>
    <w:rsid w:val="000F1E14"/>
    <w:rsid w:val="000F225E"/>
    <w:rsid w:val="000F2410"/>
    <w:rsid w:val="000F2716"/>
    <w:rsid w:val="000F286E"/>
    <w:rsid w:val="000F2C39"/>
    <w:rsid w:val="000F3DB1"/>
    <w:rsid w:val="000F404D"/>
    <w:rsid w:val="000F45A6"/>
    <w:rsid w:val="000F498B"/>
    <w:rsid w:val="000F5985"/>
    <w:rsid w:val="000F64F0"/>
    <w:rsid w:val="000F65F7"/>
    <w:rsid w:val="000F6C9B"/>
    <w:rsid w:val="000F73CF"/>
    <w:rsid w:val="001002F2"/>
    <w:rsid w:val="001008F6"/>
    <w:rsid w:val="00101267"/>
    <w:rsid w:val="00102464"/>
    <w:rsid w:val="0010251F"/>
    <w:rsid w:val="00102C2B"/>
    <w:rsid w:val="00102D95"/>
    <w:rsid w:val="00103045"/>
    <w:rsid w:val="00103108"/>
    <w:rsid w:val="00103C39"/>
    <w:rsid w:val="00103C5E"/>
    <w:rsid w:val="001047C8"/>
    <w:rsid w:val="0010492A"/>
    <w:rsid w:val="001049C2"/>
    <w:rsid w:val="00105074"/>
    <w:rsid w:val="0010556D"/>
    <w:rsid w:val="00106E28"/>
    <w:rsid w:val="00107535"/>
    <w:rsid w:val="001078C6"/>
    <w:rsid w:val="00107F03"/>
    <w:rsid w:val="00110037"/>
    <w:rsid w:val="00110CB5"/>
    <w:rsid w:val="00111F56"/>
    <w:rsid w:val="001132B5"/>
    <w:rsid w:val="00113553"/>
    <w:rsid w:val="001137FD"/>
    <w:rsid w:val="00113A7D"/>
    <w:rsid w:val="00114227"/>
    <w:rsid w:val="001147EE"/>
    <w:rsid w:val="0011488E"/>
    <w:rsid w:val="00114F5D"/>
    <w:rsid w:val="001155FE"/>
    <w:rsid w:val="001157FF"/>
    <w:rsid w:val="001159B0"/>
    <w:rsid w:val="00115C5D"/>
    <w:rsid w:val="00116684"/>
    <w:rsid w:val="001166A9"/>
    <w:rsid w:val="00116E17"/>
    <w:rsid w:val="00117598"/>
    <w:rsid w:val="001178B0"/>
    <w:rsid w:val="00117ECF"/>
    <w:rsid w:val="0012027D"/>
    <w:rsid w:val="0012028D"/>
    <w:rsid w:val="00120EE7"/>
    <w:rsid w:val="00121453"/>
    <w:rsid w:val="001216EB"/>
    <w:rsid w:val="00121ACB"/>
    <w:rsid w:val="0012217A"/>
    <w:rsid w:val="001224C1"/>
    <w:rsid w:val="00122704"/>
    <w:rsid w:val="001228C4"/>
    <w:rsid w:val="00123286"/>
    <w:rsid w:val="001238BB"/>
    <w:rsid w:val="0012486E"/>
    <w:rsid w:val="0012536C"/>
    <w:rsid w:val="00125F7A"/>
    <w:rsid w:val="00126284"/>
    <w:rsid w:val="0012638F"/>
    <w:rsid w:val="001276A6"/>
    <w:rsid w:val="001307D9"/>
    <w:rsid w:val="001339FF"/>
    <w:rsid w:val="0013404C"/>
    <w:rsid w:val="001340B9"/>
    <w:rsid w:val="00134147"/>
    <w:rsid w:val="00134187"/>
    <w:rsid w:val="001347B4"/>
    <w:rsid w:val="00134A23"/>
    <w:rsid w:val="00134C04"/>
    <w:rsid w:val="00135F8D"/>
    <w:rsid w:val="00135FB7"/>
    <w:rsid w:val="00136161"/>
    <w:rsid w:val="001362F9"/>
    <w:rsid w:val="00136827"/>
    <w:rsid w:val="00136D76"/>
    <w:rsid w:val="001372ED"/>
    <w:rsid w:val="00137C3F"/>
    <w:rsid w:val="00137F98"/>
    <w:rsid w:val="001400D5"/>
    <w:rsid w:val="001409B5"/>
    <w:rsid w:val="0014119E"/>
    <w:rsid w:val="00141ADE"/>
    <w:rsid w:val="00141FDF"/>
    <w:rsid w:val="00142980"/>
    <w:rsid w:val="00143119"/>
    <w:rsid w:val="0014343A"/>
    <w:rsid w:val="00143F38"/>
    <w:rsid w:val="00144100"/>
    <w:rsid w:val="001442BF"/>
    <w:rsid w:val="00144792"/>
    <w:rsid w:val="0014479A"/>
    <w:rsid w:val="001451D6"/>
    <w:rsid w:val="001459D8"/>
    <w:rsid w:val="00146141"/>
    <w:rsid w:val="00146441"/>
    <w:rsid w:val="0014670F"/>
    <w:rsid w:val="00146BD7"/>
    <w:rsid w:val="00150505"/>
    <w:rsid w:val="00150789"/>
    <w:rsid w:val="001515EE"/>
    <w:rsid w:val="0015163D"/>
    <w:rsid w:val="00151A91"/>
    <w:rsid w:val="00151BE2"/>
    <w:rsid w:val="00151F40"/>
    <w:rsid w:val="00152232"/>
    <w:rsid w:val="001524BB"/>
    <w:rsid w:val="0015253A"/>
    <w:rsid w:val="00152A46"/>
    <w:rsid w:val="001535B1"/>
    <w:rsid w:val="00153609"/>
    <w:rsid w:val="001539C8"/>
    <w:rsid w:val="00153D67"/>
    <w:rsid w:val="001540FD"/>
    <w:rsid w:val="00155578"/>
    <w:rsid w:val="001555C7"/>
    <w:rsid w:val="0015621E"/>
    <w:rsid w:val="00156506"/>
    <w:rsid w:val="0015668A"/>
    <w:rsid w:val="0015684A"/>
    <w:rsid w:val="00157707"/>
    <w:rsid w:val="00157B79"/>
    <w:rsid w:val="0016047E"/>
    <w:rsid w:val="00160566"/>
    <w:rsid w:val="00160FEE"/>
    <w:rsid w:val="001618E7"/>
    <w:rsid w:val="00162075"/>
    <w:rsid w:val="001628C2"/>
    <w:rsid w:val="00162E0F"/>
    <w:rsid w:val="0016343C"/>
    <w:rsid w:val="0016411F"/>
    <w:rsid w:val="001648F5"/>
    <w:rsid w:val="001649BE"/>
    <w:rsid w:val="00165329"/>
    <w:rsid w:val="00165459"/>
    <w:rsid w:val="00165509"/>
    <w:rsid w:val="00165551"/>
    <w:rsid w:val="00165BF5"/>
    <w:rsid w:val="0016614B"/>
    <w:rsid w:val="00166A36"/>
    <w:rsid w:val="00166E3E"/>
    <w:rsid w:val="0016736B"/>
    <w:rsid w:val="001677EA"/>
    <w:rsid w:val="00170108"/>
    <w:rsid w:val="00170157"/>
    <w:rsid w:val="00170274"/>
    <w:rsid w:val="00170D71"/>
    <w:rsid w:val="00171858"/>
    <w:rsid w:val="001718CB"/>
    <w:rsid w:val="00171DC9"/>
    <w:rsid w:val="0017291B"/>
    <w:rsid w:val="00172BC3"/>
    <w:rsid w:val="00172C46"/>
    <w:rsid w:val="00172DAB"/>
    <w:rsid w:val="00172E40"/>
    <w:rsid w:val="00174250"/>
    <w:rsid w:val="0017452D"/>
    <w:rsid w:val="00174FA6"/>
    <w:rsid w:val="00175039"/>
    <w:rsid w:val="00175787"/>
    <w:rsid w:val="00175803"/>
    <w:rsid w:val="00175D97"/>
    <w:rsid w:val="00176305"/>
    <w:rsid w:val="0017692D"/>
    <w:rsid w:val="001772B4"/>
    <w:rsid w:val="00177AB4"/>
    <w:rsid w:val="00180158"/>
    <w:rsid w:val="00180BA8"/>
    <w:rsid w:val="00180BCC"/>
    <w:rsid w:val="00181D12"/>
    <w:rsid w:val="00182181"/>
    <w:rsid w:val="0018219B"/>
    <w:rsid w:val="00182750"/>
    <w:rsid w:val="00183106"/>
    <w:rsid w:val="001831BF"/>
    <w:rsid w:val="001832D5"/>
    <w:rsid w:val="0018349A"/>
    <w:rsid w:val="001836BB"/>
    <w:rsid w:val="00183761"/>
    <w:rsid w:val="001839AB"/>
    <w:rsid w:val="00183B69"/>
    <w:rsid w:val="00183B8C"/>
    <w:rsid w:val="0018616B"/>
    <w:rsid w:val="00190700"/>
    <w:rsid w:val="0019099A"/>
    <w:rsid w:val="00190B7E"/>
    <w:rsid w:val="00190C17"/>
    <w:rsid w:val="00190E02"/>
    <w:rsid w:val="00190E10"/>
    <w:rsid w:val="00191304"/>
    <w:rsid w:val="001916A9"/>
    <w:rsid w:val="00191AD5"/>
    <w:rsid w:val="0019201E"/>
    <w:rsid w:val="00192124"/>
    <w:rsid w:val="00192321"/>
    <w:rsid w:val="001923AC"/>
    <w:rsid w:val="00193013"/>
    <w:rsid w:val="0019371E"/>
    <w:rsid w:val="00193A91"/>
    <w:rsid w:val="00193F3A"/>
    <w:rsid w:val="00194040"/>
    <w:rsid w:val="001946CA"/>
    <w:rsid w:val="001962FB"/>
    <w:rsid w:val="00196BB3"/>
    <w:rsid w:val="001971F4"/>
    <w:rsid w:val="001979E5"/>
    <w:rsid w:val="00197C0B"/>
    <w:rsid w:val="001A00EA"/>
    <w:rsid w:val="001A1557"/>
    <w:rsid w:val="001A17D5"/>
    <w:rsid w:val="001A19EE"/>
    <w:rsid w:val="001A34CF"/>
    <w:rsid w:val="001A3627"/>
    <w:rsid w:val="001A389B"/>
    <w:rsid w:val="001A3944"/>
    <w:rsid w:val="001A3BC9"/>
    <w:rsid w:val="001A4396"/>
    <w:rsid w:val="001A4688"/>
    <w:rsid w:val="001A4A31"/>
    <w:rsid w:val="001A4E6D"/>
    <w:rsid w:val="001A5DA1"/>
    <w:rsid w:val="001A614D"/>
    <w:rsid w:val="001A616E"/>
    <w:rsid w:val="001A633D"/>
    <w:rsid w:val="001A644D"/>
    <w:rsid w:val="001A6A94"/>
    <w:rsid w:val="001A6E4A"/>
    <w:rsid w:val="001A7E4B"/>
    <w:rsid w:val="001A7F51"/>
    <w:rsid w:val="001B04B8"/>
    <w:rsid w:val="001B06D0"/>
    <w:rsid w:val="001B10EC"/>
    <w:rsid w:val="001B2479"/>
    <w:rsid w:val="001B2498"/>
    <w:rsid w:val="001B2E19"/>
    <w:rsid w:val="001B3039"/>
    <w:rsid w:val="001B3532"/>
    <w:rsid w:val="001B3D73"/>
    <w:rsid w:val="001B5379"/>
    <w:rsid w:val="001B55A4"/>
    <w:rsid w:val="001B5F12"/>
    <w:rsid w:val="001B6314"/>
    <w:rsid w:val="001B6463"/>
    <w:rsid w:val="001B6542"/>
    <w:rsid w:val="001B6960"/>
    <w:rsid w:val="001B6B33"/>
    <w:rsid w:val="001B6CCE"/>
    <w:rsid w:val="001B73D0"/>
    <w:rsid w:val="001B752E"/>
    <w:rsid w:val="001C0D8A"/>
    <w:rsid w:val="001C14A1"/>
    <w:rsid w:val="001C2196"/>
    <w:rsid w:val="001C25C3"/>
    <w:rsid w:val="001C27FA"/>
    <w:rsid w:val="001C2E8E"/>
    <w:rsid w:val="001C30DB"/>
    <w:rsid w:val="001C35B6"/>
    <w:rsid w:val="001C3714"/>
    <w:rsid w:val="001C3927"/>
    <w:rsid w:val="001C3EF9"/>
    <w:rsid w:val="001C45B5"/>
    <w:rsid w:val="001C4641"/>
    <w:rsid w:val="001C46BE"/>
    <w:rsid w:val="001C4D76"/>
    <w:rsid w:val="001C571B"/>
    <w:rsid w:val="001C5AFE"/>
    <w:rsid w:val="001C5BB9"/>
    <w:rsid w:val="001C6999"/>
    <w:rsid w:val="001C6FC8"/>
    <w:rsid w:val="001C7A43"/>
    <w:rsid w:val="001D078F"/>
    <w:rsid w:val="001D0BF8"/>
    <w:rsid w:val="001D115D"/>
    <w:rsid w:val="001D2619"/>
    <w:rsid w:val="001D27D1"/>
    <w:rsid w:val="001D28D6"/>
    <w:rsid w:val="001D300A"/>
    <w:rsid w:val="001D340C"/>
    <w:rsid w:val="001D35E5"/>
    <w:rsid w:val="001D39A4"/>
    <w:rsid w:val="001D484E"/>
    <w:rsid w:val="001D489B"/>
    <w:rsid w:val="001D52D0"/>
    <w:rsid w:val="001D5AC8"/>
    <w:rsid w:val="001D5B7D"/>
    <w:rsid w:val="001D5C67"/>
    <w:rsid w:val="001D5E7C"/>
    <w:rsid w:val="001D6334"/>
    <w:rsid w:val="001D6E2E"/>
    <w:rsid w:val="001E0103"/>
    <w:rsid w:val="001E0380"/>
    <w:rsid w:val="001E0D51"/>
    <w:rsid w:val="001E0DCD"/>
    <w:rsid w:val="001E11B9"/>
    <w:rsid w:val="001E1C8C"/>
    <w:rsid w:val="001E2602"/>
    <w:rsid w:val="001E2C00"/>
    <w:rsid w:val="001E2CB2"/>
    <w:rsid w:val="001E2CD0"/>
    <w:rsid w:val="001E4745"/>
    <w:rsid w:val="001E4907"/>
    <w:rsid w:val="001E4E90"/>
    <w:rsid w:val="001E50C2"/>
    <w:rsid w:val="001E5508"/>
    <w:rsid w:val="001E5A0E"/>
    <w:rsid w:val="001E6B2A"/>
    <w:rsid w:val="001E6CFE"/>
    <w:rsid w:val="001E7431"/>
    <w:rsid w:val="001E76B5"/>
    <w:rsid w:val="001F00A0"/>
    <w:rsid w:val="001F0595"/>
    <w:rsid w:val="001F0F98"/>
    <w:rsid w:val="001F1EE3"/>
    <w:rsid w:val="001F36F0"/>
    <w:rsid w:val="001F4150"/>
    <w:rsid w:val="001F4A6F"/>
    <w:rsid w:val="001F4B15"/>
    <w:rsid w:val="001F57AF"/>
    <w:rsid w:val="001F64FC"/>
    <w:rsid w:val="001F6957"/>
    <w:rsid w:val="001F6E5F"/>
    <w:rsid w:val="001F747D"/>
    <w:rsid w:val="0020025F"/>
    <w:rsid w:val="002003B8"/>
    <w:rsid w:val="00200647"/>
    <w:rsid w:val="0020132C"/>
    <w:rsid w:val="002017CB"/>
    <w:rsid w:val="0020268D"/>
    <w:rsid w:val="00202B84"/>
    <w:rsid w:val="00202BD8"/>
    <w:rsid w:val="00202BFF"/>
    <w:rsid w:val="00202F84"/>
    <w:rsid w:val="00203D96"/>
    <w:rsid w:val="00203F66"/>
    <w:rsid w:val="002048EF"/>
    <w:rsid w:val="00204A68"/>
    <w:rsid w:val="0020519F"/>
    <w:rsid w:val="00205250"/>
    <w:rsid w:val="00205472"/>
    <w:rsid w:val="00205499"/>
    <w:rsid w:val="002054E5"/>
    <w:rsid w:val="00205872"/>
    <w:rsid w:val="00205C7C"/>
    <w:rsid w:val="00206326"/>
    <w:rsid w:val="002069FC"/>
    <w:rsid w:val="00206CDF"/>
    <w:rsid w:val="002100E3"/>
    <w:rsid w:val="002101D3"/>
    <w:rsid w:val="0021070F"/>
    <w:rsid w:val="00210D06"/>
    <w:rsid w:val="00211800"/>
    <w:rsid w:val="00211A42"/>
    <w:rsid w:val="00211ECE"/>
    <w:rsid w:val="00211FC4"/>
    <w:rsid w:val="00212003"/>
    <w:rsid w:val="00212A94"/>
    <w:rsid w:val="00213AA6"/>
    <w:rsid w:val="00213B67"/>
    <w:rsid w:val="002143BA"/>
    <w:rsid w:val="00214871"/>
    <w:rsid w:val="0021506B"/>
    <w:rsid w:val="002156E5"/>
    <w:rsid w:val="00216458"/>
    <w:rsid w:val="00216A99"/>
    <w:rsid w:val="00217275"/>
    <w:rsid w:val="00217E6E"/>
    <w:rsid w:val="0022024A"/>
    <w:rsid w:val="002207DB"/>
    <w:rsid w:val="00221157"/>
    <w:rsid w:val="0022138B"/>
    <w:rsid w:val="002214B1"/>
    <w:rsid w:val="002221AB"/>
    <w:rsid w:val="00222237"/>
    <w:rsid w:val="00222A7A"/>
    <w:rsid w:val="0022352A"/>
    <w:rsid w:val="00223770"/>
    <w:rsid w:val="0022481C"/>
    <w:rsid w:val="00225A9B"/>
    <w:rsid w:val="00226755"/>
    <w:rsid w:val="00227411"/>
    <w:rsid w:val="00227C05"/>
    <w:rsid w:val="00227F03"/>
    <w:rsid w:val="00231836"/>
    <w:rsid w:val="00231FB0"/>
    <w:rsid w:val="00232504"/>
    <w:rsid w:val="00232571"/>
    <w:rsid w:val="00232D9A"/>
    <w:rsid w:val="00233432"/>
    <w:rsid w:val="002338EB"/>
    <w:rsid w:val="002346CB"/>
    <w:rsid w:val="002349AE"/>
    <w:rsid w:val="00234E2F"/>
    <w:rsid w:val="0023572E"/>
    <w:rsid w:val="00235837"/>
    <w:rsid w:val="0023633A"/>
    <w:rsid w:val="00236817"/>
    <w:rsid w:val="00236D16"/>
    <w:rsid w:val="002375B7"/>
    <w:rsid w:val="00237CCD"/>
    <w:rsid w:val="00237FDA"/>
    <w:rsid w:val="00241032"/>
    <w:rsid w:val="002413D4"/>
    <w:rsid w:val="00241464"/>
    <w:rsid w:val="00241481"/>
    <w:rsid w:val="00241686"/>
    <w:rsid w:val="0024236A"/>
    <w:rsid w:val="00242714"/>
    <w:rsid w:val="00242A06"/>
    <w:rsid w:val="0024339F"/>
    <w:rsid w:val="00243FA5"/>
    <w:rsid w:val="002443C2"/>
    <w:rsid w:val="002444F2"/>
    <w:rsid w:val="00244C43"/>
    <w:rsid w:val="00244D88"/>
    <w:rsid w:val="00245A77"/>
    <w:rsid w:val="00245D72"/>
    <w:rsid w:val="00245F2F"/>
    <w:rsid w:val="0024631F"/>
    <w:rsid w:val="002463D7"/>
    <w:rsid w:val="002463E1"/>
    <w:rsid w:val="002469DC"/>
    <w:rsid w:val="00246F39"/>
    <w:rsid w:val="0024733A"/>
    <w:rsid w:val="002473D0"/>
    <w:rsid w:val="002505D4"/>
    <w:rsid w:val="0025140E"/>
    <w:rsid w:val="00252466"/>
    <w:rsid w:val="002529C3"/>
    <w:rsid w:val="00252DC0"/>
    <w:rsid w:val="00252F84"/>
    <w:rsid w:val="00253281"/>
    <w:rsid w:val="0025354A"/>
    <w:rsid w:val="002539A1"/>
    <w:rsid w:val="002547B2"/>
    <w:rsid w:val="002568F2"/>
    <w:rsid w:val="00257440"/>
    <w:rsid w:val="00257F9B"/>
    <w:rsid w:val="0026003E"/>
    <w:rsid w:val="002603A0"/>
    <w:rsid w:val="00260688"/>
    <w:rsid w:val="002608D7"/>
    <w:rsid w:val="00261CAA"/>
    <w:rsid w:val="002625F2"/>
    <w:rsid w:val="00262D69"/>
    <w:rsid w:val="00262F71"/>
    <w:rsid w:val="00263D80"/>
    <w:rsid w:val="00263F33"/>
    <w:rsid w:val="002649A4"/>
    <w:rsid w:val="00264A3E"/>
    <w:rsid w:val="00264A6C"/>
    <w:rsid w:val="00264C64"/>
    <w:rsid w:val="00264FDF"/>
    <w:rsid w:val="00265313"/>
    <w:rsid w:val="00265555"/>
    <w:rsid w:val="00265D5B"/>
    <w:rsid w:val="00265DAE"/>
    <w:rsid w:val="00266464"/>
    <w:rsid w:val="00267204"/>
    <w:rsid w:val="00267740"/>
    <w:rsid w:val="00270274"/>
    <w:rsid w:val="00270285"/>
    <w:rsid w:val="00270306"/>
    <w:rsid w:val="00270507"/>
    <w:rsid w:val="00270715"/>
    <w:rsid w:val="00270BB3"/>
    <w:rsid w:val="00271084"/>
    <w:rsid w:val="00272560"/>
    <w:rsid w:val="002725A2"/>
    <w:rsid w:val="00272858"/>
    <w:rsid w:val="00272A50"/>
    <w:rsid w:val="00272AE0"/>
    <w:rsid w:val="00272F3C"/>
    <w:rsid w:val="00272F3E"/>
    <w:rsid w:val="002736C1"/>
    <w:rsid w:val="0027382B"/>
    <w:rsid w:val="002741E7"/>
    <w:rsid w:val="002742E4"/>
    <w:rsid w:val="0027436F"/>
    <w:rsid w:val="00274BB1"/>
    <w:rsid w:val="00275374"/>
    <w:rsid w:val="002753D2"/>
    <w:rsid w:val="002757AC"/>
    <w:rsid w:val="00275D7A"/>
    <w:rsid w:val="0027688D"/>
    <w:rsid w:val="00277305"/>
    <w:rsid w:val="0027746B"/>
    <w:rsid w:val="00277702"/>
    <w:rsid w:val="00277BF2"/>
    <w:rsid w:val="0028043A"/>
    <w:rsid w:val="002804BC"/>
    <w:rsid w:val="002816D2"/>
    <w:rsid w:val="00281937"/>
    <w:rsid w:val="0028284E"/>
    <w:rsid w:val="00282880"/>
    <w:rsid w:val="00282B9C"/>
    <w:rsid w:val="00283409"/>
    <w:rsid w:val="002843B2"/>
    <w:rsid w:val="00284956"/>
    <w:rsid w:val="002849C1"/>
    <w:rsid w:val="00284ECC"/>
    <w:rsid w:val="00285502"/>
    <w:rsid w:val="002856CD"/>
    <w:rsid w:val="00285CA5"/>
    <w:rsid w:val="0028610E"/>
    <w:rsid w:val="00286396"/>
    <w:rsid w:val="00287106"/>
    <w:rsid w:val="00287E8A"/>
    <w:rsid w:val="0029064B"/>
    <w:rsid w:val="0029072F"/>
    <w:rsid w:val="002908F5"/>
    <w:rsid w:val="002910DE"/>
    <w:rsid w:val="0029137B"/>
    <w:rsid w:val="00291DDD"/>
    <w:rsid w:val="00292C25"/>
    <w:rsid w:val="0029315D"/>
    <w:rsid w:val="002931D9"/>
    <w:rsid w:val="00293247"/>
    <w:rsid w:val="00293267"/>
    <w:rsid w:val="00294180"/>
    <w:rsid w:val="00294331"/>
    <w:rsid w:val="002947C7"/>
    <w:rsid w:val="002948D9"/>
    <w:rsid w:val="002959E7"/>
    <w:rsid w:val="00295E22"/>
    <w:rsid w:val="002960D8"/>
    <w:rsid w:val="00297042"/>
    <w:rsid w:val="00297494"/>
    <w:rsid w:val="0029760B"/>
    <w:rsid w:val="002978C1"/>
    <w:rsid w:val="00297A56"/>
    <w:rsid w:val="002A0003"/>
    <w:rsid w:val="002A028B"/>
    <w:rsid w:val="002A02BE"/>
    <w:rsid w:val="002A134A"/>
    <w:rsid w:val="002A13EE"/>
    <w:rsid w:val="002A1DED"/>
    <w:rsid w:val="002A1E49"/>
    <w:rsid w:val="002A2725"/>
    <w:rsid w:val="002A283D"/>
    <w:rsid w:val="002A2B30"/>
    <w:rsid w:val="002A3AAA"/>
    <w:rsid w:val="002A47DE"/>
    <w:rsid w:val="002A4CFD"/>
    <w:rsid w:val="002A4F1F"/>
    <w:rsid w:val="002A5100"/>
    <w:rsid w:val="002A590B"/>
    <w:rsid w:val="002A5BAC"/>
    <w:rsid w:val="002A5DB6"/>
    <w:rsid w:val="002A5F78"/>
    <w:rsid w:val="002A605E"/>
    <w:rsid w:val="002A6646"/>
    <w:rsid w:val="002A6B88"/>
    <w:rsid w:val="002A74B4"/>
    <w:rsid w:val="002A7517"/>
    <w:rsid w:val="002A759E"/>
    <w:rsid w:val="002A78A8"/>
    <w:rsid w:val="002B0142"/>
    <w:rsid w:val="002B0A1E"/>
    <w:rsid w:val="002B0C30"/>
    <w:rsid w:val="002B17AC"/>
    <w:rsid w:val="002B1819"/>
    <w:rsid w:val="002B2225"/>
    <w:rsid w:val="002B2960"/>
    <w:rsid w:val="002B3CD8"/>
    <w:rsid w:val="002B53F9"/>
    <w:rsid w:val="002B57F3"/>
    <w:rsid w:val="002B5CCD"/>
    <w:rsid w:val="002B61FA"/>
    <w:rsid w:val="002B647B"/>
    <w:rsid w:val="002B6775"/>
    <w:rsid w:val="002B6939"/>
    <w:rsid w:val="002B69CC"/>
    <w:rsid w:val="002B7250"/>
    <w:rsid w:val="002B7BE0"/>
    <w:rsid w:val="002C0110"/>
    <w:rsid w:val="002C092A"/>
    <w:rsid w:val="002C0E7D"/>
    <w:rsid w:val="002C1268"/>
    <w:rsid w:val="002C1B99"/>
    <w:rsid w:val="002C3029"/>
    <w:rsid w:val="002C3280"/>
    <w:rsid w:val="002C3386"/>
    <w:rsid w:val="002C35B9"/>
    <w:rsid w:val="002C39C4"/>
    <w:rsid w:val="002C40C9"/>
    <w:rsid w:val="002C420E"/>
    <w:rsid w:val="002C47C5"/>
    <w:rsid w:val="002C4C61"/>
    <w:rsid w:val="002C56C9"/>
    <w:rsid w:val="002C66AC"/>
    <w:rsid w:val="002C7F09"/>
    <w:rsid w:val="002D0245"/>
    <w:rsid w:val="002D0994"/>
    <w:rsid w:val="002D1217"/>
    <w:rsid w:val="002D1A58"/>
    <w:rsid w:val="002D1D8D"/>
    <w:rsid w:val="002D1E99"/>
    <w:rsid w:val="002D2935"/>
    <w:rsid w:val="002D2CC1"/>
    <w:rsid w:val="002D31A6"/>
    <w:rsid w:val="002D32E1"/>
    <w:rsid w:val="002D3D67"/>
    <w:rsid w:val="002D6235"/>
    <w:rsid w:val="002D6AA9"/>
    <w:rsid w:val="002D7091"/>
    <w:rsid w:val="002D70FC"/>
    <w:rsid w:val="002D753E"/>
    <w:rsid w:val="002D784F"/>
    <w:rsid w:val="002D7B09"/>
    <w:rsid w:val="002E0268"/>
    <w:rsid w:val="002E0751"/>
    <w:rsid w:val="002E1431"/>
    <w:rsid w:val="002E1A75"/>
    <w:rsid w:val="002E2119"/>
    <w:rsid w:val="002E2271"/>
    <w:rsid w:val="002E2329"/>
    <w:rsid w:val="002E35A4"/>
    <w:rsid w:val="002E3BFE"/>
    <w:rsid w:val="002E3D9F"/>
    <w:rsid w:val="002E3FBC"/>
    <w:rsid w:val="002E4E51"/>
    <w:rsid w:val="002E4FB8"/>
    <w:rsid w:val="002E58DB"/>
    <w:rsid w:val="002E5CAA"/>
    <w:rsid w:val="002E608D"/>
    <w:rsid w:val="002E6967"/>
    <w:rsid w:val="002E7873"/>
    <w:rsid w:val="002F0F51"/>
    <w:rsid w:val="002F1484"/>
    <w:rsid w:val="002F21A3"/>
    <w:rsid w:val="002F287C"/>
    <w:rsid w:val="002F331A"/>
    <w:rsid w:val="002F3325"/>
    <w:rsid w:val="002F38A2"/>
    <w:rsid w:val="002F3C42"/>
    <w:rsid w:val="002F44AE"/>
    <w:rsid w:val="002F5423"/>
    <w:rsid w:val="002F5B66"/>
    <w:rsid w:val="002F5F5B"/>
    <w:rsid w:val="002F7B67"/>
    <w:rsid w:val="003000B2"/>
    <w:rsid w:val="003000C5"/>
    <w:rsid w:val="00300689"/>
    <w:rsid w:val="003007ED"/>
    <w:rsid w:val="00300924"/>
    <w:rsid w:val="00300F1D"/>
    <w:rsid w:val="00300F9F"/>
    <w:rsid w:val="00301AEA"/>
    <w:rsid w:val="00301ECE"/>
    <w:rsid w:val="00301FED"/>
    <w:rsid w:val="0030222D"/>
    <w:rsid w:val="003029E3"/>
    <w:rsid w:val="003035CC"/>
    <w:rsid w:val="003039C7"/>
    <w:rsid w:val="00303C30"/>
    <w:rsid w:val="00303CA5"/>
    <w:rsid w:val="00304654"/>
    <w:rsid w:val="00304A39"/>
    <w:rsid w:val="0030532C"/>
    <w:rsid w:val="003054ED"/>
    <w:rsid w:val="00305836"/>
    <w:rsid w:val="00305EC6"/>
    <w:rsid w:val="00306A5B"/>
    <w:rsid w:val="00307ABB"/>
    <w:rsid w:val="00307F55"/>
    <w:rsid w:val="0031017D"/>
    <w:rsid w:val="00310A59"/>
    <w:rsid w:val="003113E7"/>
    <w:rsid w:val="003113EE"/>
    <w:rsid w:val="003113F5"/>
    <w:rsid w:val="00311861"/>
    <w:rsid w:val="00311B40"/>
    <w:rsid w:val="0031268C"/>
    <w:rsid w:val="003126B6"/>
    <w:rsid w:val="003126EB"/>
    <w:rsid w:val="003126F7"/>
    <w:rsid w:val="003127A9"/>
    <w:rsid w:val="0031285F"/>
    <w:rsid w:val="003136EB"/>
    <w:rsid w:val="00313A91"/>
    <w:rsid w:val="0031400E"/>
    <w:rsid w:val="003140A1"/>
    <w:rsid w:val="00314136"/>
    <w:rsid w:val="0031415F"/>
    <w:rsid w:val="003146E1"/>
    <w:rsid w:val="003147D9"/>
    <w:rsid w:val="00314C72"/>
    <w:rsid w:val="00316584"/>
    <w:rsid w:val="00316623"/>
    <w:rsid w:val="003167E1"/>
    <w:rsid w:val="00316BF1"/>
    <w:rsid w:val="00316F60"/>
    <w:rsid w:val="003171EE"/>
    <w:rsid w:val="0031728B"/>
    <w:rsid w:val="0031738B"/>
    <w:rsid w:val="00317CDB"/>
    <w:rsid w:val="0032092F"/>
    <w:rsid w:val="003215DF"/>
    <w:rsid w:val="00322252"/>
    <w:rsid w:val="00322364"/>
    <w:rsid w:val="0032238C"/>
    <w:rsid w:val="00322E2F"/>
    <w:rsid w:val="00323050"/>
    <w:rsid w:val="003232B1"/>
    <w:rsid w:val="003233D5"/>
    <w:rsid w:val="003238AE"/>
    <w:rsid w:val="00323C39"/>
    <w:rsid w:val="00323C5E"/>
    <w:rsid w:val="003240D1"/>
    <w:rsid w:val="00325B0C"/>
    <w:rsid w:val="00325CD9"/>
    <w:rsid w:val="00325E96"/>
    <w:rsid w:val="003261D5"/>
    <w:rsid w:val="0032682C"/>
    <w:rsid w:val="00326F90"/>
    <w:rsid w:val="003279B5"/>
    <w:rsid w:val="00327A89"/>
    <w:rsid w:val="0033077A"/>
    <w:rsid w:val="0033096B"/>
    <w:rsid w:val="00330AB3"/>
    <w:rsid w:val="00331202"/>
    <w:rsid w:val="0033122C"/>
    <w:rsid w:val="003318CC"/>
    <w:rsid w:val="0033205E"/>
    <w:rsid w:val="00332128"/>
    <w:rsid w:val="0033231B"/>
    <w:rsid w:val="0033245C"/>
    <w:rsid w:val="0033258F"/>
    <w:rsid w:val="00332AA8"/>
    <w:rsid w:val="00332DBA"/>
    <w:rsid w:val="0033317F"/>
    <w:rsid w:val="00333421"/>
    <w:rsid w:val="003335C4"/>
    <w:rsid w:val="00333EF5"/>
    <w:rsid w:val="0033457E"/>
    <w:rsid w:val="0033464D"/>
    <w:rsid w:val="003348F3"/>
    <w:rsid w:val="003350F4"/>
    <w:rsid w:val="0033513E"/>
    <w:rsid w:val="00335A7F"/>
    <w:rsid w:val="00336C5E"/>
    <w:rsid w:val="003371AD"/>
    <w:rsid w:val="0033755C"/>
    <w:rsid w:val="003377CC"/>
    <w:rsid w:val="0033795E"/>
    <w:rsid w:val="0034028A"/>
    <w:rsid w:val="003408A1"/>
    <w:rsid w:val="00340FAC"/>
    <w:rsid w:val="003415EF"/>
    <w:rsid w:val="0034170C"/>
    <w:rsid w:val="0034205B"/>
    <w:rsid w:val="00342628"/>
    <w:rsid w:val="0034299A"/>
    <w:rsid w:val="00343918"/>
    <w:rsid w:val="00343936"/>
    <w:rsid w:val="00343C03"/>
    <w:rsid w:val="00343C4A"/>
    <w:rsid w:val="00344B0C"/>
    <w:rsid w:val="00345D66"/>
    <w:rsid w:val="00346362"/>
    <w:rsid w:val="003463DD"/>
    <w:rsid w:val="003468DB"/>
    <w:rsid w:val="00346C7C"/>
    <w:rsid w:val="0034728F"/>
    <w:rsid w:val="00347D1C"/>
    <w:rsid w:val="00350277"/>
    <w:rsid w:val="0035030D"/>
    <w:rsid w:val="003503FA"/>
    <w:rsid w:val="003509EA"/>
    <w:rsid w:val="00350A14"/>
    <w:rsid w:val="00350ADD"/>
    <w:rsid w:val="00350BFA"/>
    <w:rsid w:val="00351587"/>
    <w:rsid w:val="00351620"/>
    <w:rsid w:val="0035164D"/>
    <w:rsid w:val="003516B9"/>
    <w:rsid w:val="00351E03"/>
    <w:rsid w:val="00352A76"/>
    <w:rsid w:val="0035321A"/>
    <w:rsid w:val="003536A4"/>
    <w:rsid w:val="00353E3A"/>
    <w:rsid w:val="00354572"/>
    <w:rsid w:val="00354666"/>
    <w:rsid w:val="00354BCE"/>
    <w:rsid w:val="00354BD3"/>
    <w:rsid w:val="00355163"/>
    <w:rsid w:val="003551D8"/>
    <w:rsid w:val="00357CF2"/>
    <w:rsid w:val="00357D95"/>
    <w:rsid w:val="00357F02"/>
    <w:rsid w:val="00360327"/>
    <w:rsid w:val="00360BEC"/>
    <w:rsid w:val="003611C5"/>
    <w:rsid w:val="003614E9"/>
    <w:rsid w:val="00362851"/>
    <w:rsid w:val="003629B8"/>
    <w:rsid w:val="003630BB"/>
    <w:rsid w:val="003635B5"/>
    <w:rsid w:val="003635B8"/>
    <w:rsid w:val="00363AC3"/>
    <w:rsid w:val="00363F74"/>
    <w:rsid w:val="003640A9"/>
    <w:rsid w:val="0036417D"/>
    <w:rsid w:val="00364464"/>
    <w:rsid w:val="003645E1"/>
    <w:rsid w:val="0036493B"/>
    <w:rsid w:val="00365018"/>
    <w:rsid w:val="003659CD"/>
    <w:rsid w:val="00365C89"/>
    <w:rsid w:val="00367DDE"/>
    <w:rsid w:val="00367F61"/>
    <w:rsid w:val="003703AD"/>
    <w:rsid w:val="003705FC"/>
    <w:rsid w:val="00370A67"/>
    <w:rsid w:val="00370F9F"/>
    <w:rsid w:val="003710DF"/>
    <w:rsid w:val="003716BE"/>
    <w:rsid w:val="003717A6"/>
    <w:rsid w:val="00371971"/>
    <w:rsid w:val="00371E6B"/>
    <w:rsid w:val="00371FB8"/>
    <w:rsid w:val="003723A6"/>
    <w:rsid w:val="00372446"/>
    <w:rsid w:val="003725DE"/>
    <w:rsid w:val="00372788"/>
    <w:rsid w:val="00372A6E"/>
    <w:rsid w:val="00373F5B"/>
    <w:rsid w:val="003741D1"/>
    <w:rsid w:val="00374CB2"/>
    <w:rsid w:val="00374DED"/>
    <w:rsid w:val="00375415"/>
    <w:rsid w:val="00376050"/>
    <w:rsid w:val="0037641A"/>
    <w:rsid w:val="00376AC9"/>
    <w:rsid w:val="00376BB7"/>
    <w:rsid w:val="00377208"/>
    <w:rsid w:val="0037736D"/>
    <w:rsid w:val="003773BA"/>
    <w:rsid w:val="003775F7"/>
    <w:rsid w:val="00377AC6"/>
    <w:rsid w:val="00377AC8"/>
    <w:rsid w:val="00377B56"/>
    <w:rsid w:val="0038069E"/>
    <w:rsid w:val="0038111E"/>
    <w:rsid w:val="0038117E"/>
    <w:rsid w:val="00381602"/>
    <w:rsid w:val="00381608"/>
    <w:rsid w:val="0038186A"/>
    <w:rsid w:val="00381A4C"/>
    <w:rsid w:val="00381E0E"/>
    <w:rsid w:val="0038236B"/>
    <w:rsid w:val="00382B98"/>
    <w:rsid w:val="0038370D"/>
    <w:rsid w:val="0038436A"/>
    <w:rsid w:val="003848C5"/>
    <w:rsid w:val="00384D38"/>
    <w:rsid w:val="00384DA0"/>
    <w:rsid w:val="0038576E"/>
    <w:rsid w:val="00385DAD"/>
    <w:rsid w:val="003860B2"/>
    <w:rsid w:val="003864F8"/>
    <w:rsid w:val="003869C8"/>
    <w:rsid w:val="00386B03"/>
    <w:rsid w:val="00386C12"/>
    <w:rsid w:val="00386E89"/>
    <w:rsid w:val="00387155"/>
    <w:rsid w:val="00390C5D"/>
    <w:rsid w:val="003911BE"/>
    <w:rsid w:val="0039362C"/>
    <w:rsid w:val="00393A1C"/>
    <w:rsid w:val="00393FEB"/>
    <w:rsid w:val="00394326"/>
    <w:rsid w:val="00394A6E"/>
    <w:rsid w:val="00395611"/>
    <w:rsid w:val="00396264"/>
    <w:rsid w:val="00396A7A"/>
    <w:rsid w:val="003A0C6A"/>
    <w:rsid w:val="003A10A7"/>
    <w:rsid w:val="003A1193"/>
    <w:rsid w:val="003A2389"/>
    <w:rsid w:val="003A2A85"/>
    <w:rsid w:val="003A3275"/>
    <w:rsid w:val="003A3918"/>
    <w:rsid w:val="003A3B73"/>
    <w:rsid w:val="003A3EBD"/>
    <w:rsid w:val="003A4ABD"/>
    <w:rsid w:val="003A4B3E"/>
    <w:rsid w:val="003A4CB1"/>
    <w:rsid w:val="003A56D3"/>
    <w:rsid w:val="003A61A6"/>
    <w:rsid w:val="003A656C"/>
    <w:rsid w:val="003A71A3"/>
    <w:rsid w:val="003A71C2"/>
    <w:rsid w:val="003A75A5"/>
    <w:rsid w:val="003B1001"/>
    <w:rsid w:val="003B1416"/>
    <w:rsid w:val="003B239B"/>
    <w:rsid w:val="003B26AE"/>
    <w:rsid w:val="003B30D8"/>
    <w:rsid w:val="003B3263"/>
    <w:rsid w:val="003B395A"/>
    <w:rsid w:val="003B48BD"/>
    <w:rsid w:val="003B5981"/>
    <w:rsid w:val="003B5C96"/>
    <w:rsid w:val="003B5E01"/>
    <w:rsid w:val="003B6014"/>
    <w:rsid w:val="003B6674"/>
    <w:rsid w:val="003B69D6"/>
    <w:rsid w:val="003B6B2B"/>
    <w:rsid w:val="003B75B9"/>
    <w:rsid w:val="003C043B"/>
    <w:rsid w:val="003C111D"/>
    <w:rsid w:val="003C1229"/>
    <w:rsid w:val="003C14ED"/>
    <w:rsid w:val="003C1954"/>
    <w:rsid w:val="003C1AB1"/>
    <w:rsid w:val="003C22B4"/>
    <w:rsid w:val="003C3BB2"/>
    <w:rsid w:val="003C3C85"/>
    <w:rsid w:val="003C3F6E"/>
    <w:rsid w:val="003C3FA9"/>
    <w:rsid w:val="003C4686"/>
    <w:rsid w:val="003C4C20"/>
    <w:rsid w:val="003C5174"/>
    <w:rsid w:val="003C5500"/>
    <w:rsid w:val="003C66DD"/>
    <w:rsid w:val="003C6F00"/>
    <w:rsid w:val="003C732C"/>
    <w:rsid w:val="003C7357"/>
    <w:rsid w:val="003C73D8"/>
    <w:rsid w:val="003C77AE"/>
    <w:rsid w:val="003C7B75"/>
    <w:rsid w:val="003C7EE4"/>
    <w:rsid w:val="003D0827"/>
    <w:rsid w:val="003D0E12"/>
    <w:rsid w:val="003D0F16"/>
    <w:rsid w:val="003D171C"/>
    <w:rsid w:val="003D1758"/>
    <w:rsid w:val="003D1A9B"/>
    <w:rsid w:val="003D1BE4"/>
    <w:rsid w:val="003D1C5C"/>
    <w:rsid w:val="003D278B"/>
    <w:rsid w:val="003D2D39"/>
    <w:rsid w:val="003D3011"/>
    <w:rsid w:val="003D42BB"/>
    <w:rsid w:val="003D4445"/>
    <w:rsid w:val="003D5B10"/>
    <w:rsid w:val="003D5EAC"/>
    <w:rsid w:val="003D6076"/>
    <w:rsid w:val="003D618F"/>
    <w:rsid w:val="003D66BA"/>
    <w:rsid w:val="003D6A69"/>
    <w:rsid w:val="003D76EB"/>
    <w:rsid w:val="003D782B"/>
    <w:rsid w:val="003D7C6D"/>
    <w:rsid w:val="003D7CDE"/>
    <w:rsid w:val="003D7E77"/>
    <w:rsid w:val="003D7FA3"/>
    <w:rsid w:val="003E0957"/>
    <w:rsid w:val="003E09D8"/>
    <w:rsid w:val="003E1F41"/>
    <w:rsid w:val="003E23C8"/>
    <w:rsid w:val="003E2460"/>
    <w:rsid w:val="003E2CDA"/>
    <w:rsid w:val="003E2D0F"/>
    <w:rsid w:val="003E3547"/>
    <w:rsid w:val="003E4010"/>
    <w:rsid w:val="003E42BF"/>
    <w:rsid w:val="003E454D"/>
    <w:rsid w:val="003E66E5"/>
    <w:rsid w:val="003E72D5"/>
    <w:rsid w:val="003E7465"/>
    <w:rsid w:val="003E7524"/>
    <w:rsid w:val="003E7725"/>
    <w:rsid w:val="003E7971"/>
    <w:rsid w:val="003F057B"/>
    <w:rsid w:val="003F0753"/>
    <w:rsid w:val="003F0E0C"/>
    <w:rsid w:val="003F0EC7"/>
    <w:rsid w:val="003F1588"/>
    <w:rsid w:val="003F161D"/>
    <w:rsid w:val="003F2248"/>
    <w:rsid w:val="003F2628"/>
    <w:rsid w:val="003F2837"/>
    <w:rsid w:val="003F3EB1"/>
    <w:rsid w:val="003F4175"/>
    <w:rsid w:val="003F4704"/>
    <w:rsid w:val="003F4982"/>
    <w:rsid w:val="003F65C5"/>
    <w:rsid w:val="003F66B4"/>
    <w:rsid w:val="003F6B00"/>
    <w:rsid w:val="00400A9F"/>
    <w:rsid w:val="00400FA2"/>
    <w:rsid w:val="00401AD6"/>
    <w:rsid w:val="004027E8"/>
    <w:rsid w:val="00402B28"/>
    <w:rsid w:val="00403585"/>
    <w:rsid w:val="004037E2"/>
    <w:rsid w:val="00403DE5"/>
    <w:rsid w:val="00403F49"/>
    <w:rsid w:val="00404025"/>
    <w:rsid w:val="004045FE"/>
    <w:rsid w:val="004046A4"/>
    <w:rsid w:val="004054E3"/>
    <w:rsid w:val="00405928"/>
    <w:rsid w:val="0040656C"/>
    <w:rsid w:val="00406AA6"/>
    <w:rsid w:val="00406D88"/>
    <w:rsid w:val="004072D9"/>
    <w:rsid w:val="004078E7"/>
    <w:rsid w:val="004104AF"/>
    <w:rsid w:val="004105A6"/>
    <w:rsid w:val="004108FD"/>
    <w:rsid w:val="00411183"/>
    <w:rsid w:val="004119BD"/>
    <w:rsid w:val="00411FD4"/>
    <w:rsid w:val="00412161"/>
    <w:rsid w:val="00412331"/>
    <w:rsid w:val="00412A1E"/>
    <w:rsid w:val="00412C84"/>
    <w:rsid w:val="0041321F"/>
    <w:rsid w:val="00413C39"/>
    <w:rsid w:val="00413EDD"/>
    <w:rsid w:val="0041444B"/>
    <w:rsid w:val="00414830"/>
    <w:rsid w:val="0041484F"/>
    <w:rsid w:val="0041580B"/>
    <w:rsid w:val="00415D08"/>
    <w:rsid w:val="004160C8"/>
    <w:rsid w:val="004166C2"/>
    <w:rsid w:val="00417024"/>
    <w:rsid w:val="0042090B"/>
    <w:rsid w:val="004209B3"/>
    <w:rsid w:val="00420DEF"/>
    <w:rsid w:val="00421218"/>
    <w:rsid w:val="00421E17"/>
    <w:rsid w:val="004223F4"/>
    <w:rsid w:val="004227FD"/>
    <w:rsid w:val="0042445F"/>
    <w:rsid w:val="00424CF3"/>
    <w:rsid w:val="00425802"/>
    <w:rsid w:val="00426C28"/>
    <w:rsid w:val="00426C30"/>
    <w:rsid w:val="00426CE1"/>
    <w:rsid w:val="0042727F"/>
    <w:rsid w:val="0043086C"/>
    <w:rsid w:val="00430B34"/>
    <w:rsid w:val="00430BF4"/>
    <w:rsid w:val="004311C9"/>
    <w:rsid w:val="0043123C"/>
    <w:rsid w:val="00432599"/>
    <w:rsid w:val="00432BC0"/>
    <w:rsid w:val="004334CE"/>
    <w:rsid w:val="004336B2"/>
    <w:rsid w:val="0043380B"/>
    <w:rsid w:val="00433EB3"/>
    <w:rsid w:val="0043430A"/>
    <w:rsid w:val="004349F9"/>
    <w:rsid w:val="00434BEE"/>
    <w:rsid w:val="00434FD4"/>
    <w:rsid w:val="004351D5"/>
    <w:rsid w:val="00435491"/>
    <w:rsid w:val="004359F9"/>
    <w:rsid w:val="00435F9F"/>
    <w:rsid w:val="004362CF"/>
    <w:rsid w:val="00436A9A"/>
    <w:rsid w:val="00436FEC"/>
    <w:rsid w:val="004374D1"/>
    <w:rsid w:val="00437C1B"/>
    <w:rsid w:val="00440142"/>
    <w:rsid w:val="004409B4"/>
    <w:rsid w:val="004410C7"/>
    <w:rsid w:val="00441804"/>
    <w:rsid w:val="0044191D"/>
    <w:rsid w:val="00441ED5"/>
    <w:rsid w:val="00442486"/>
    <w:rsid w:val="0044262E"/>
    <w:rsid w:val="004426FF"/>
    <w:rsid w:val="00442BBB"/>
    <w:rsid w:val="0044385F"/>
    <w:rsid w:val="0044423F"/>
    <w:rsid w:val="0044436A"/>
    <w:rsid w:val="004444CF"/>
    <w:rsid w:val="004446CE"/>
    <w:rsid w:val="00444A20"/>
    <w:rsid w:val="00444A90"/>
    <w:rsid w:val="00445F08"/>
    <w:rsid w:val="004464A7"/>
    <w:rsid w:val="00446670"/>
    <w:rsid w:val="00446E92"/>
    <w:rsid w:val="00446ED5"/>
    <w:rsid w:val="00447526"/>
    <w:rsid w:val="00447CC9"/>
    <w:rsid w:val="00447F24"/>
    <w:rsid w:val="00450DD3"/>
    <w:rsid w:val="00450E2B"/>
    <w:rsid w:val="004514B7"/>
    <w:rsid w:val="004528A8"/>
    <w:rsid w:val="00452AC7"/>
    <w:rsid w:val="004531FB"/>
    <w:rsid w:val="00454185"/>
    <w:rsid w:val="004549DF"/>
    <w:rsid w:val="004558DF"/>
    <w:rsid w:val="00455AA8"/>
    <w:rsid w:val="0045640F"/>
    <w:rsid w:val="00456908"/>
    <w:rsid w:val="00456A97"/>
    <w:rsid w:val="0045750D"/>
    <w:rsid w:val="00457609"/>
    <w:rsid w:val="00457D72"/>
    <w:rsid w:val="0046029F"/>
    <w:rsid w:val="00460379"/>
    <w:rsid w:val="0046037F"/>
    <w:rsid w:val="004604F5"/>
    <w:rsid w:val="00460538"/>
    <w:rsid w:val="00460705"/>
    <w:rsid w:val="00460FC6"/>
    <w:rsid w:val="00460FCE"/>
    <w:rsid w:val="00461A4E"/>
    <w:rsid w:val="00461A83"/>
    <w:rsid w:val="00462056"/>
    <w:rsid w:val="0046217B"/>
    <w:rsid w:val="004622E0"/>
    <w:rsid w:val="00462BD2"/>
    <w:rsid w:val="0046375A"/>
    <w:rsid w:val="00463903"/>
    <w:rsid w:val="00463DAE"/>
    <w:rsid w:val="00463EC0"/>
    <w:rsid w:val="00463EEC"/>
    <w:rsid w:val="004643FC"/>
    <w:rsid w:val="00464AF4"/>
    <w:rsid w:val="00464AFF"/>
    <w:rsid w:val="00464D87"/>
    <w:rsid w:val="00465947"/>
    <w:rsid w:val="004659FA"/>
    <w:rsid w:val="004663F3"/>
    <w:rsid w:val="004664E0"/>
    <w:rsid w:val="004665C6"/>
    <w:rsid w:val="00466659"/>
    <w:rsid w:val="0046666D"/>
    <w:rsid w:val="004666E4"/>
    <w:rsid w:val="00466DBB"/>
    <w:rsid w:val="0046792D"/>
    <w:rsid w:val="004706A8"/>
    <w:rsid w:val="00470ABF"/>
    <w:rsid w:val="00471390"/>
    <w:rsid w:val="0047161D"/>
    <w:rsid w:val="00472437"/>
    <w:rsid w:val="00472863"/>
    <w:rsid w:val="00472EDD"/>
    <w:rsid w:val="0047300F"/>
    <w:rsid w:val="004730E3"/>
    <w:rsid w:val="0047322B"/>
    <w:rsid w:val="00474557"/>
    <w:rsid w:val="0047490E"/>
    <w:rsid w:val="004752D3"/>
    <w:rsid w:val="004752F9"/>
    <w:rsid w:val="00475610"/>
    <w:rsid w:val="00475744"/>
    <w:rsid w:val="0047593D"/>
    <w:rsid w:val="00476577"/>
    <w:rsid w:val="00476696"/>
    <w:rsid w:val="00476F93"/>
    <w:rsid w:val="00477699"/>
    <w:rsid w:val="00477745"/>
    <w:rsid w:val="00480014"/>
    <w:rsid w:val="00480F65"/>
    <w:rsid w:val="00481F2E"/>
    <w:rsid w:val="004831B6"/>
    <w:rsid w:val="00483366"/>
    <w:rsid w:val="004843B3"/>
    <w:rsid w:val="00484B62"/>
    <w:rsid w:val="00484BF5"/>
    <w:rsid w:val="00484E0A"/>
    <w:rsid w:val="0048520C"/>
    <w:rsid w:val="00485770"/>
    <w:rsid w:val="004857C6"/>
    <w:rsid w:val="00485812"/>
    <w:rsid w:val="00485CCD"/>
    <w:rsid w:val="004863DF"/>
    <w:rsid w:val="00486D19"/>
    <w:rsid w:val="00486D30"/>
    <w:rsid w:val="004874C9"/>
    <w:rsid w:val="004875E9"/>
    <w:rsid w:val="004877FC"/>
    <w:rsid w:val="00487BC1"/>
    <w:rsid w:val="0049004E"/>
    <w:rsid w:val="004915FB"/>
    <w:rsid w:val="004918EF"/>
    <w:rsid w:val="0049224A"/>
    <w:rsid w:val="004930D1"/>
    <w:rsid w:val="00493252"/>
    <w:rsid w:val="004932A1"/>
    <w:rsid w:val="004935E3"/>
    <w:rsid w:val="00493D03"/>
    <w:rsid w:val="00493D9F"/>
    <w:rsid w:val="00494869"/>
    <w:rsid w:val="00494F9E"/>
    <w:rsid w:val="0049545B"/>
    <w:rsid w:val="00495C25"/>
    <w:rsid w:val="0049674D"/>
    <w:rsid w:val="00496AE2"/>
    <w:rsid w:val="00496E86"/>
    <w:rsid w:val="00497123"/>
    <w:rsid w:val="004A0F43"/>
    <w:rsid w:val="004A19EA"/>
    <w:rsid w:val="004A1C30"/>
    <w:rsid w:val="004A207D"/>
    <w:rsid w:val="004A2EA3"/>
    <w:rsid w:val="004A2F4E"/>
    <w:rsid w:val="004A3BA4"/>
    <w:rsid w:val="004A4034"/>
    <w:rsid w:val="004A4AAB"/>
    <w:rsid w:val="004A4C19"/>
    <w:rsid w:val="004A562C"/>
    <w:rsid w:val="004A60AF"/>
    <w:rsid w:val="004A687D"/>
    <w:rsid w:val="004A6C91"/>
    <w:rsid w:val="004A7239"/>
    <w:rsid w:val="004A7C88"/>
    <w:rsid w:val="004B0006"/>
    <w:rsid w:val="004B00EF"/>
    <w:rsid w:val="004B1807"/>
    <w:rsid w:val="004B1E50"/>
    <w:rsid w:val="004B1EFF"/>
    <w:rsid w:val="004B2FC6"/>
    <w:rsid w:val="004B3C42"/>
    <w:rsid w:val="004B40EE"/>
    <w:rsid w:val="004B4916"/>
    <w:rsid w:val="004B4EAD"/>
    <w:rsid w:val="004B50F4"/>
    <w:rsid w:val="004B556F"/>
    <w:rsid w:val="004B5B01"/>
    <w:rsid w:val="004B671E"/>
    <w:rsid w:val="004B6CE3"/>
    <w:rsid w:val="004B7645"/>
    <w:rsid w:val="004B78C1"/>
    <w:rsid w:val="004C0099"/>
    <w:rsid w:val="004C03B7"/>
    <w:rsid w:val="004C07C3"/>
    <w:rsid w:val="004C0AB8"/>
    <w:rsid w:val="004C102B"/>
    <w:rsid w:val="004C444E"/>
    <w:rsid w:val="004C4FA4"/>
    <w:rsid w:val="004C524D"/>
    <w:rsid w:val="004C5833"/>
    <w:rsid w:val="004C5B34"/>
    <w:rsid w:val="004C5EF8"/>
    <w:rsid w:val="004C607F"/>
    <w:rsid w:val="004C64F0"/>
    <w:rsid w:val="004C6F5D"/>
    <w:rsid w:val="004C7007"/>
    <w:rsid w:val="004C7300"/>
    <w:rsid w:val="004D0935"/>
    <w:rsid w:val="004D10C2"/>
    <w:rsid w:val="004D11BA"/>
    <w:rsid w:val="004D12E1"/>
    <w:rsid w:val="004D160A"/>
    <w:rsid w:val="004D1B24"/>
    <w:rsid w:val="004D1E79"/>
    <w:rsid w:val="004D2D8E"/>
    <w:rsid w:val="004D3371"/>
    <w:rsid w:val="004D3539"/>
    <w:rsid w:val="004D3A18"/>
    <w:rsid w:val="004D4A58"/>
    <w:rsid w:val="004D53CA"/>
    <w:rsid w:val="004D6490"/>
    <w:rsid w:val="004D6522"/>
    <w:rsid w:val="004D65B3"/>
    <w:rsid w:val="004D6B34"/>
    <w:rsid w:val="004D7B90"/>
    <w:rsid w:val="004E02D7"/>
    <w:rsid w:val="004E02EF"/>
    <w:rsid w:val="004E0781"/>
    <w:rsid w:val="004E0990"/>
    <w:rsid w:val="004E0B6F"/>
    <w:rsid w:val="004E0CED"/>
    <w:rsid w:val="004E116B"/>
    <w:rsid w:val="004E1FBE"/>
    <w:rsid w:val="004E20D4"/>
    <w:rsid w:val="004E2623"/>
    <w:rsid w:val="004E2800"/>
    <w:rsid w:val="004E2C8F"/>
    <w:rsid w:val="004E2E92"/>
    <w:rsid w:val="004E3849"/>
    <w:rsid w:val="004E3FD3"/>
    <w:rsid w:val="004E4DAD"/>
    <w:rsid w:val="004E5CB3"/>
    <w:rsid w:val="004E6238"/>
    <w:rsid w:val="004E64F1"/>
    <w:rsid w:val="004E66AE"/>
    <w:rsid w:val="004E67AC"/>
    <w:rsid w:val="004E68BF"/>
    <w:rsid w:val="004E6A44"/>
    <w:rsid w:val="004E7037"/>
    <w:rsid w:val="004E7C9A"/>
    <w:rsid w:val="004E7F5F"/>
    <w:rsid w:val="004F0038"/>
    <w:rsid w:val="004F0058"/>
    <w:rsid w:val="004F0A05"/>
    <w:rsid w:val="004F0DC7"/>
    <w:rsid w:val="004F0E93"/>
    <w:rsid w:val="004F1635"/>
    <w:rsid w:val="004F22FA"/>
    <w:rsid w:val="004F289F"/>
    <w:rsid w:val="004F309E"/>
    <w:rsid w:val="004F4EF5"/>
    <w:rsid w:val="004F4FDF"/>
    <w:rsid w:val="004F509E"/>
    <w:rsid w:val="004F50C9"/>
    <w:rsid w:val="004F563E"/>
    <w:rsid w:val="004F57C6"/>
    <w:rsid w:val="004F592D"/>
    <w:rsid w:val="004F5ECC"/>
    <w:rsid w:val="004F6060"/>
    <w:rsid w:val="004F7844"/>
    <w:rsid w:val="004F7DDE"/>
    <w:rsid w:val="00500AA5"/>
    <w:rsid w:val="00500FB2"/>
    <w:rsid w:val="00501E3A"/>
    <w:rsid w:val="005023C6"/>
    <w:rsid w:val="00502A50"/>
    <w:rsid w:val="00503C64"/>
    <w:rsid w:val="005043C2"/>
    <w:rsid w:val="005051FA"/>
    <w:rsid w:val="005053D0"/>
    <w:rsid w:val="005057DE"/>
    <w:rsid w:val="00505A5A"/>
    <w:rsid w:val="00505C52"/>
    <w:rsid w:val="00505F57"/>
    <w:rsid w:val="005069DF"/>
    <w:rsid w:val="0050700B"/>
    <w:rsid w:val="0050705E"/>
    <w:rsid w:val="00507CDD"/>
    <w:rsid w:val="00507ED1"/>
    <w:rsid w:val="00510027"/>
    <w:rsid w:val="00510266"/>
    <w:rsid w:val="0051080C"/>
    <w:rsid w:val="005108A6"/>
    <w:rsid w:val="005110A5"/>
    <w:rsid w:val="00511957"/>
    <w:rsid w:val="00512565"/>
    <w:rsid w:val="00512719"/>
    <w:rsid w:val="00512E9D"/>
    <w:rsid w:val="005130F6"/>
    <w:rsid w:val="0051319B"/>
    <w:rsid w:val="005133CB"/>
    <w:rsid w:val="00513974"/>
    <w:rsid w:val="00513F51"/>
    <w:rsid w:val="00513F67"/>
    <w:rsid w:val="00513FDE"/>
    <w:rsid w:val="0051563B"/>
    <w:rsid w:val="0051575D"/>
    <w:rsid w:val="00515ADF"/>
    <w:rsid w:val="00515E4B"/>
    <w:rsid w:val="00516847"/>
    <w:rsid w:val="005168C4"/>
    <w:rsid w:val="00516A25"/>
    <w:rsid w:val="00516BF0"/>
    <w:rsid w:val="00516FA9"/>
    <w:rsid w:val="00517D24"/>
    <w:rsid w:val="005200D1"/>
    <w:rsid w:val="00520D97"/>
    <w:rsid w:val="00520F7D"/>
    <w:rsid w:val="00521333"/>
    <w:rsid w:val="005214E3"/>
    <w:rsid w:val="0052170A"/>
    <w:rsid w:val="00521E0E"/>
    <w:rsid w:val="005246D5"/>
    <w:rsid w:val="005251ED"/>
    <w:rsid w:val="00525268"/>
    <w:rsid w:val="005254FE"/>
    <w:rsid w:val="00525CD6"/>
    <w:rsid w:val="00526019"/>
    <w:rsid w:val="0052644E"/>
    <w:rsid w:val="0052750E"/>
    <w:rsid w:val="00527610"/>
    <w:rsid w:val="00527DD8"/>
    <w:rsid w:val="0053087B"/>
    <w:rsid w:val="0053146D"/>
    <w:rsid w:val="0053155B"/>
    <w:rsid w:val="0053159A"/>
    <w:rsid w:val="00532764"/>
    <w:rsid w:val="00532B5E"/>
    <w:rsid w:val="00532C8C"/>
    <w:rsid w:val="00532D2E"/>
    <w:rsid w:val="00532E31"/>
    <w:rsid w:val="005335C9"/>
    <w:rsid w:val="00533984"/>
    <w:rsid w:val="00534065"/>
    <w:rsid w:val="00534435"/>
    <w:rsid w:val="00534544"/>
    <w:rsid w:val="00534FBD"/>
    <w:rsid w:val="005352F1"/>
    <w:rsid w:val="005355AE"/>
    <w:rsid w:val="0053579D"/>
    <w:rsid w:val="00535A0B"/>
    <w:rsid w:val="005361B8"/>
    <w:rsid w:val="0053644B"/>
    <w:rsid w:val="00536765"/>
    <w:rsid w:val="005369A2"/>
    <w:rsid w:val="00536CAA"/>
    <w:rsid w:val="00540AD3"/>
    <w:rsid w:val="0054135D"/>
    <w:rsid w:val="005425B6"/>
    <w:rsid w:val="00543833"/>
    <w:rsid w:val="0054396C"/>
    <w:rsid w:val="0054440F"/>
    <w:rsid w:val="005452B9"/>
    <w:rsid w:val="00545566"/>
    <w:rsid w:val="005455A0"/>
    <w:rsid w:val="005455A6"/>
    <w:rsid w:val="0054578F"/>
    <w:rsid w:val="0054652A"/>
    <w:rsid w:val="00546868"/>
    <w:rsid w:val="0054757E"/>
    <w:rsid w:val="005477B0"/>
    <w:rsid w:val="005477F7"/>
    <w:rsid w:val="00547844"/>
    <w:rsid w:val="00547952"/>
    <w:rsid w:val="005503A1"/>
    <w:rsid w:val="00551E4D"/>
    <w:rsid w:val="00552412"/>
    <w:rsid w:val="00552844"/>
    <w:rsid w:val="00552AA4"/>
    <w:rsid w:val="0055353D"/>
    <w:rsid w:val="0055380F"/>
    <w:rsid w:val="00553D6E"/>
    <w:rsid w:val="00553F95"/>
    <w:rsid w:val="00555DAD"/>
    <w:rsid w:val="00555F1F"/>
    <w:rsid w:val="00556B09"/>
    <w:rsid w:val="00557733"/>
    <w:rsid w:val="00557BF4"/>
    <w:rsid w:val="00557D0A"/>
    <w:rsid w:val="00560183"/>
    <w:rsid w:val="0056171B"/>
    <w:rsid w:val="00561812"/>
    <w:rsid w:val="00561A15"/>
    <w:rsid w:val="00561B36"/>
    <w:rsid w:val="00562139"/>
    <w:rsid w:val="0056277D"/>
    <w:rsid w:val="0056281E"/>
    <w:rsid w:val="00563A7F"/>
    <w:rsid w:val="00563FC7"/>
    <w:rsid w:val="00564ACA"/>
    <w:rsid w:val="00564E3B"/>
    <w:rsid w:val="005651DF"/>
    <w:rsid w:val="0056537E"/>
    <w:rsid w:val="0056561B"/>
    <w:rsid w:val="00565741"/>
    <w:rsid w:val="00565C6C"/>
    <w:rsid w:val="00565F0C"/>
    <w:rsid w:val="00566477"/>
    <w:rsid w:val="00566506"/>
    <w:rsid w:val="00566BA1"/>
    <w:rsid w:val="005670F3"/>
    <w:rsid w:val="00567179"/>
    <w:rsid w:val="00571312"/>
    <w:rsid w:val="005721AA"/>
    <w:rsid w:val="00572521"/>
    <w:rsid w:val="0057410C"/>
    <w:rsid w:val="005741EC"/>
    <w:rsid w:val="00574215"/>
    <w:rsid w:val="00574345"/>
    <w:rsid w:val="0057451C"/>
    <w:rsid w:val="0057467C"/>
    <w:rsid w:val="0057496E"/>
    <w:rsid w:val="0057511F"/>
    <w:rsid w:val="00575FA2"/>
    <w:rsid w:val="00576931"/>
    <w:rsid w:val="00576FDE"/>
    <w:rsid w:val="0057718A"/>
    <w:rsid w:val="0057765A"/>
    <w:rsid w:val="005776FB"/>
    <w:rsid w:val="00577D05"/>
    <w:rsid w:val="00577EA7"/>
    <w:rsid w:val="00580E1A"/>
    <w:rsid w:val="00581274"/>
    <w:rsid w:val="00581345"/>
    <w:rsid w:val="00581869"/>
    <w:rsid w:val="00582070"/>
    <w:rsid w:val="00582267"/>
    <w:rsid w:val="00582F6C"/>
    <w:rsid w:val="005833F6"/>
    <w:rsid w:val="00583FA9"/>
    <w:rsid w:val="00584E90"/>
    <w:rsid w:val="00584FE9"/>
    <w:rsid w:val="00585082"/>
    <w:rsid w:val="005852F8"/>
    <w:rsid w:val="00585AD2"/>
    <w:rsid w:val="00586B9A"/>
    <w:rsid w:val="00586BD2"/>
    <w:rsid w:val="005918A6"/>
    <w:rsid w:val="00591D76"/>
    <w:rsid w:val="00592557"/>
    <w:rsid w:val="00593163"/>
    <w:rsid w:val="00593AD8"/>
    <w:rsid w:val="00593D6A"/>
    <w:rsid w:val="005943FE"/>
    <w:rsid w:val="00594640"/>
    <w:rsid w:val="005948FD"/>
    <w:rsid w:val="00594DC3"/>
    <w:rsid w:val="00595EA1"/>
    <w:rsid w:val="005961FF"/>
    <w:rsid w:val="005970D2"/>
    <w:rsid w:val="005979EB"/>
    <w:rsid w:val="005A0630"/>
    <w:rsid w:val="005A0BE6"/>
    <w:rsid w:val="005A0FE3"/>
    <w:rsid w:val="005A1255"/>
    <w:rsid w:val="005A14F9"/>
    <w:rsid w:val="005A1894"/>
    <w:rsid w:val="005A1BAE"/>
    <w:rsid w:val="005A23AD"/>
    <w:rsid w:val="005A25FD"/>
    <w:rsid w:val="005A27B4"/>
    <w:rsid w:val="005A2E79"/>
    <w:rsid w:val="005A2FEE"/>
    <w:rsid w:val="005A348A"/>
    <w:rsid w:val="005A38A4"/>
    <w:rsid w:val="005A3BDF"/>
    <w:rsid w:val="005A3F04"/>
    <w:rsid w:val="005A451E"/>
    <w:rsid w:val="005A4827"/>
    <w:rsid w:val="005A4A42"/>
    <w:rsid w:val="005A4A55"/>
    <w:rsid w:val="005A5881"/>
    <w:rsid w:val="005A5E35"/>
    <w:rsid w:val="005A640E"/>
    <w:rsid w:val="005A664B"/>
    <w:rsid w:val="005A690A"/>
    <w:rsid w:val="005A69D3"/>
    <w:rsid w:val="005A6CBF"/>
    <w:rsid w:val="005A6D76"/>
    <w:rsid w:val="005A6E46"/>
    <w:rsid w:val="005A7491"/>
    <w:rsid w:val="005A7B71"/>
    <w:rsid w:val="005B055C"/>
    <w:rsid w:val="005B1F73"/>
    <w:rsid w:val="005B2971"/>
    <w:rsid w:val="005B2BD4"/>
    <w:rsid w:val="005B2F3C"/>
    <w:rsid w:val="005B30A8"/>
    <w:rsid w:val="005B3345"/>
    <w:rsid w:val="005B33F1"/>
    <w:rsid w:val="005B3535"/>
    <w:rsid w:val="005B3538"/>
    <w:rsid w:val="005B3684"/>
    <w:rsid w:val="005B38A8"/>
    <w:rsid w:val="005B405A"/>
    <w:rsid w:val="005B4A05"/>
    <w:rsid w:val="005B4FAD"/>
    <w:rsid w:val="005B5074"/>
    <w:rsid w:val="005B57B0"/>
    <w:rsid w:val="005B5D41"/>
    <w:rsid w:val="005B5ED1"/>
    <w:rsid w:val="005B630D"/>
    <w:rsid w:val="005B6800"/>
    <w:rsid w:val="005B6B43"/>
    <w:rsid w:val="005B733D"/>
    <w:rsid w:val="005B7784"/>
    <w:rsid w:val="005B77D8"/>
    <w:rsid w:val="005B7EA1"/>
    <w:rsid w:val="005C0A5A"/>
    <w:rsid w:val="005C0A8D"/>
    <w:rsid w:val="005C0DEE"/>
    <w:rsid w:val="005C0F6D"/>
    <w:rsid w:val="005C1020"/>
    <w:rsid w:val="005C1B8F"/>
    <w:rsid w:val="005C236E"/>
    <w:rsid w:val="005C2579"/>
    <w:rsid w:val="005C25EE"/>
    <w:rsid w:val="005C2B8E"/>
    <w:rsid w:val="005C2C27"/>
    <w:rsid w:val="005C33E1"/>
    <w:rsid w:val="005C34ED"/>
    <w:rsid w:val="005C3624"/>
    <w:rsid w:val="005C368F"/>
    <w:rsid w:val="005C41DD"/>
    <w:rsid w:val="005C43C3"/>
    <w:rsid w:val="005C44CD"/>
    <w:rsid w:val="005C4FD9"/>
    <w:rsid w:val="005C59EC"/>
    <w:rsid w:val="005C5F4F"/>
    <w:rsid w:val="005C70D7"/>
    <w:rsid w:val="005C7505"/>
    <w:rsid w:val="005C796E"/>
    <w:rsid w:val="005C7EFC"/>
    <w:rsid w:val="005D0575"/>
    <w:rsid w:val="005D0937"/>
    <w:rsid w:val="005D0B22"/>
    <w:rsid w:val="005D15C8"/>
    <w:rsid w:val="005D197B"/>
    <w:rsid w:val="005D1B2D"/>
    <w:rsid w:val="005D1FB3"/>
    <w:rsid w:val="005D2A72"/>
    <w:rsid w:val="005D3EF0"/>
    <w:rsid w:val="005D3F90"/>
    <w:rsid w:val="005D43C0"/>
    <w:rsid w:val="005D457D"/>
    <w:rsid w:val="005D5133"/>
    <w:rsid w:val="005D5846"/>
    <w:rsid w:val="005D5C7F"/>
    <w:rsid w:val="005D6961"/>
    <w:rsid w:val="005D6A31"/>
    <w:rsid w:val="005D6A3C"/>
    <w:rsid w:val="005D6C82"/>
    <w:rsid w:val="005D75BB"/>
    <w:rsid w:val="005D7D8C"/>
    <w:rsid w:val="005E00C0"/>
    <w:rsid w:val="005E0540"/>
    <w:rsid w:val="005E067E"/>
    <w:rsid w:val="005E0B5B"/>
    <w:rsid w:val="005E1B64"/>
    <w:rsid w:val="005E1BD3"/>
    <w:rsid w:val="005E3441"/>
    <w:rsid w:val="005E346A"/>
    <w:rsid w:val="005E43C5"/>
    <w:rsid w:val="005E47BD"/>
    <w:rsid w:val="005E48F5"/>
    <w:rsid w:val="005E4AC3"/>
    <w:rsid w:val="005E5210"/>
    <w:rsid w:val="005E5DF4"/>
    <w:rsid w:val="005E66F5"/>
    <w:rsid w:val="005E687A"/>
    <w:rsid w:val="005E69B0"/>
    <w:rsid w:val="005E6CEC"/>
    <w:rsid w:val="005E75C1"/>
    <w:rsid w:val="005E7ECE"/>
    <w:rsid w:val="005E7F45"/>
    <w:rsid w:val="005F012E"/>
    <w:rsid w:val="005F0829"/>
    <w:rsid w:val="005F11DF"/>
    <w:rsid w:val="005F1234"/>
    <w:rsid w:val="005F1C45"/>
    <w:rsid w:val="005F1E9B"/>
    <w:rsid w:val="005F2549"/>
    <w:rsid w:val="005F2B3E"/>
    <w:rsid w:val="005F2E1F"/>
    <w:rsid w:val="005F36F2"/>
    <w:rsid w:val="005F4086"/>
    <w:rsid w:val="005F4251"/>
    <w:rsid w:val="005F4B0E"/>
    <w:rsid w:val="005F518C"/>
    <w:rsid w:val="005F5AC5"/>
    <w:rsid w:val="005F64A0"/>
    <w:rsid w:val="005F6737"/>
    <w:rsid w:val="005F69F0"/>
    <w:rsid w:val="005F6ADB"/>
    <w:rsid w:val="005F72B6"/>
    <w:rsid w:val="005F754D"/>
    <w:rsid w:val="005F7B5F"/>
    <w:rsid w:val="005F7C56"/>
    <w:rsid w:val="00600590"/>
    <w:rsid w:val="00600763"/>
    <w:rsid w:val="00600F0B"/>
    <w:rsid w:val="006010AC"/>
    <w:rsid w:val="0060152F"/>
    <w:rsid w:val="00601623"/>
    <w:rsid w:val="00601782"/>
    <w:rsid w:val="00601A4F"/>
    <w:rsid w:val="00601E64"/>
    <w:rsid w:val="00601F54"/>
    <w:rsid w:val="0060232C"/>
    <w:rsid w:val="006024CE"/>
    <w:rsid w:val="0060346B"/>
    <w:rsid w:val="00603519"/>
    <w:rsid w:val="00603958"/>
    <w:rsid w:val="00603CDB"/>
    <w:rsid w:val="00603F7E"/>
    <w:rsid w:val="006041F6"/>
    <w:rsid w:val="0060450F"/>
    <w:rsid w:val="0060501B"/>
    <w:rsid w:val="0060521B"/>
    <w:rsid w:val="006068B7"/>
    <w:rsid w:val="00606C4E"/>
    <w:rsid w:val="006103F8"/>
    <w:rsid w:val="0061053D"/>
    <w:rsid w:val="00610AB8"/>
    <w:rsid w:val="0061121D"/>
    <w:rsid w:val="0061225E"/>
    <w:rsid w:val="00612615"/>
    <w:rsid w:val="006128ED"/>
    <w:rsid w:val="00612D32"/>
    <w:rsid w:val="00612D40"/>
    <w:rsid w:val="00612E2B"/>
    <w:rsid w:val="00612E9F"/>
    <w:rsid w:val="00613606"/>
    <w:rsid w:val="00613D2A"/>
    <w:rsid w:val="00615C52"/>
    <w:rsid w:val="00615FE9"/>
    <w:rsid w:val="006162DD"/>
    <w:rsid w:val="006166C2"/>
    <w:rsid w:val="00616D52"/>
    <w:rsid w:val="00616FA7"/>
    <w:rsid w:val="00617A6D"/>
    <w:rsid w:val="00617CCA"/>
    <w:rsid w:val="00620979"/>
    <w:rsid w:val="00620A9B"/>
    <w:rsid w:val="00620B24"/>
    <w:rsid w:val="00620E92"/>
    <w:rsid w:val="00620F71"/>
    <w:rsid w:val="006210A8"/>
    <w:rsid w:val="006211C0"/>
    <w:rsid w:val="00621676"/>
    <w:rsid w:val="00621ABE"/>
    <w:rsid w:val="00621B32"/>
    <w:rsid w:val="00621E02"/>
    <w:rsid w:val="00622131"/>
    <w:rsid w:val="006222D6"/>
    <w:rsid w:val="00622929"/>
    <w:rsid w:val="006231E9"/>
    <w:rsid w:val="0062343F"/>
    <w:rsid w:val="0062389D"/>
    <w:rsid w:val="00624C30"/>
    <w:rsid w:val="00624D07"/>
    <w:rsid w:val="00624FAF"/>
    <w:rsid w:val="006257DC"/>
    <w:rsid w:val="00625E5A"/>
    <w:rsid w:val="0062666B"/>
    <w:rsid w:val="0062677F"/>
    <w:rsid w:val="00626865"/>
    <w:rsid w:val="006268D2"/>
    <w:rsid w:val="00626B7C"/>
    <w:rsid w:val="00627114"/>
    <w:rsid w:val="006272D5"/>
    <w:rsid w:val="006275CB"/>
    <w:rsid w:val="00627691"/>
    <w:rsid w:val="00630F50"/>
    <w:rsid w:val="00630F87"/>
    <w:rsid w:val="00631510"/>
    <w:rsid w:val="006315D6"/>
    <w:rsid w:val="006317EE"/>
    <w:rsid w:val="00631E72"/>
    <w:rsid w:val="00632DB8"/>
    <w:rsid w:val="0063371B"/>
    <w:rsid w:val="006339EE"/>
    <w:rsid w:val="0063416D"/>
    <w:rsid w:val="00634574"/>
    <w:rsid w:val="00634E8E"/>
    <w:rsid w:val="00635163"/>
    <w:rsid w:val="00635442"/>
    <w:rsid w:val="00635906"/>
    <w:rsid w:val="00636168"/>
    <w:rsid w:val="00636266"/>
    <w:rsid w:val="00636A66"/>
    <w:rsid w:val="00636DA5"/>
    <w:rsid w:val="00637322"/>
    <w:rsid w:val="00637391"/>
    <w:rsid w:val="00637EDC"/>
    <w:rsid w:val="00640168"/>
    <w:rsid w:val="006402B4"/>
    <w:rsid w:val="0064040B"/>
    <w:rsid w:val="006407D5"/>
    <w:rsid w:val="00640844"/>
    <w:rsid w:val="00640BCF"/>
    <w:rsid w:val="00640FAE"/>
    <w:rsid w:val="0064102A"/>
    <w:rsid w:val="00641093"/>
    <w:rsid w:val="0064110A"/>
    <w:rsid w:val="006413FB"/>
    <w:rsid w:val="00641A1D"/>
    <w:rsid w:val="00641E5B"/>
    <w:rsid w:val="006424A5"/>
    <w:rsid w:val="00643542"/>
    <w:rsid w:val="0064416E"/>
    <w:rsid w:val="006445B4"/>
    <w:rsid w:val="006466DA"/>
    <w:rsid w:val="00646749"/>
    <w:rsid w:val="00647610"/>
    <w:rsid w:val="00647C14"/>
    <w:rsid w:val="00647E57"/>
    <w:rsid w:val="006502D6"/>
    <w:rsid w:val="00650558"/>
    <w:rsid w:val="00650FF7"/>
    <w:rsid w:val="006519DA"/>
    <w:rsid w:val="00651B6E"/>
    <w:rsid w:val="00651C29"/>
    <w:rsid w:val="006520A5"/>
    <w:rsid w:val="0065212D"/>
    <w:rsid w:val="00652FD0"/>
    <w:rsid w:val="0065371D"/>
    <w:rsid w:val="00653C2D"/>
    <w:rsid w:val="00654702"/>
    <w:rsid w:val="006549B0"/>
    <w:rsid w:val="00654FFA"/>
    <w:rsid w:val="00655AB6"/>
    <w:rsid w:val="00655C62"/>
    <w:rsid w:val="00657D07"/>
    <w:rsid w:val="00657E66"/>
    <w:rsid w:val="00657F46"/>
    <w:rsid w:val="00660E64"/>
    <w:rsid w:val="00660F3C"/>
    <w:rsid w:val="0066239C"/>
    <w:rsid w:val="00662EFE"/>
    <w:rsid w:val="006635F3"/>
    <w:rsid w:val="00663834"/>
    <w:rsid w:val="0066388B"/>
    <w:rsid w:val="00664A18"/>
    <w:rsid w:val="006651C9"/>
    <w:rsid w:val="006651DA"/>
    <w:rsid w:val="00665488"/>
    <w:rsid w:val="006658B1"/>
    <w:rsid w:val="00665ECF"/>
    <w:rsid w:val="006662FE"/>
    <w:rsid w:val="00666814"/>
    <w:rsid w:val="00666DFD"/>
    <w:rsid w:val="00666E59"/>
    <w:rsid w:val="0066730F"/>
    <w:rsid w:val="006677F4"/>
    <w:rsid w:val="00667D2F"/>
    <w:rsid w:val="006707EC"/>
    <w:rsid w:val="00670FB6"/>
    <w:rsid w:val="006711DD"/>
    <w:rsid w:val="006719BB"/>
    <w:rsid w:val="006719E4"/>
    <w:rsid w:val="00671CBC"/>
    <w:rsid w:val="0067271A"/>
    <w:rsid w:val="0067277B"/>
    <w:rsid w:val="006727E3"/>
    <w:rsid w:val="00672D72"/>
    <w:rsid w:val="00672E04"/>
    <w:rsid w:val="00673727"/>
    <w:rsid w:val="00674CB5"/>
    <w:rsid w:val="0067506F"/>
    <w:rsid w:val="00675478"/>
    <w:rsid w:val="00675F8E"/>
    <w:rsid w:val="00676580"/>
    <w:rsid w:val="00676848"/>
    <w:rsid w:val="00676AD7"/>
    <w:rsid w:val="006776E5"/>
    <w:rsid w:val="00677C45"/>
    <w:rsid w:val="00677DB3"/>
    <w:rsid w:val="00680071"/>
    <w:rsid w:val="00680554"/>
    <w:rsid w:val="006805ED"/>
    <w:rsid w:val="00680ED9"/>
    <w:rsid w:val="006810B7"/>
    <w:rsid w:val="0068148A"/>
    <w:rsid w:val="006814E6"/>
    <w:rsid w:val="0068151B"/>
    <w:rsid w:val="00681713"/>
    <w:rsid w:val="00681AD2"/>
    <w:rsid w:val="00681B7A"/>
    <w:rsid w:val="0068295B"/>
    <w:rsid w:val="00682A7B"/>
    <w:rsid w:val="006834B2"/>
    <w:rsid w:val="006836A5"/>
    <w:rsid w:val="006836DB"/>
    <w:rsid w:val="00683C09"/>
    <w:rsid w:val="00683DCD"/>
    <w:rsid w:val="00683FC0"/>
    <w:rsid w:val="006845CA"/>
    <w:rsid w:val="006848BE"/>
    <w:rsid w:val="00684CDD"/>
    <w:rsid w:val="006854BD"/>
    <w:rsid w:val="0068594A"/>
    <w:rsid w:val="00685981"/>
    <w:rsid w:val="00685B02"/>
    <w:rsid w:val="00685F37"/>
    <w:rsid w:val="00686237"/>
    <w:rsid w:val="006862DD"/>
    <w:rsid w:val="006867AB"/>
    <w:rsid w:val="00686B16"/>
    <w:rsid w:val="00686BF2"/>
    <w:rsid w:val="0068759E"/>
    <w:rsid w:val="00687A21"/>
    <w:rsid w:val="00687C21"/>
    <w:rsid w:val="00690B7E"/>
    <w:rsid w:val="00691C04"/>
    <w:rsid w:val="00692135"/>
    <w:rsid w:val="00692DDE"/>
    <w:rsid w:val="00692EB4"/>
    <w:rsid w:val="00693064"/>
    <w:rsid w:val="00693CC4"/>
    <w:rsid w:val="006940BB"/>
    <w:rsid w:val="006941BF"/>
    <w:rsid w:val="0069482E"/>
    <w:rsid w:val="00695142"/>
    <w:rsid w:val="006955B2"/>
    <w:rsid w:val="006956DE"/>
    <w:rsid w:val="00695715"/>
    <w:rsid w:val="00695BA6"/>
    <w:rsid w:val="00695D86"/>
    <w:rsid w:val="00695E06"/>
    <w:rsid w:val="00695E97"/>
    <w:rsid w:val="006968F7"/>
    <w:rsid w:val="00696A26"/>
    <w:rsid w:val="00696B1E"/>
    <w:rsid w:val="00696FE6"/>
    <w:rsid w:val="006973DA"/>
    <w:rsid w:val="006976EB"/>
    <w:rsid w:val="006A07B4"/>
    <w:rsid w:val="006A0994"/>
    <w:rsid w:val="006A0B5B"/>
    <w:rsid w:val="006A0B5E"/>
    <w:rsid w:val="006A10FF"/>
    <w:rsid w:val="006A1A93"/>
    <w:rsid w:val="006A1C6B"/>
    <w:rsid w:val="006A1F03"/>
    <w:rsid w:val="006A21A7"/>
    <w:rsid w:val="006A26BF"/>
    <w:rsid w:val="006A37C6"/>
    <w:rsid w:val="006A3D2C"/>
    <w:rsid w:val="006A3DB8"/>
    <w:rsid w:val="006A3DFC"/>
    <w:rsid w:val="006A425C"/>
    <w:rsid w:val="006A4D5B"/>
    <w:rsid w:val="006A57CB"/>
    <w:rsid w:val="006A58F7"/>
    <w:rsid w:val="006A59BB"/>
    <w:rsid w:val="006A5A85"/>
    <w:rsid w:val="006A6166"/>
    <w:rsid w:val="006A6217"/>
    <w:rsid w:val="006A6E71"/>
    <w:rsid w:val="006A70F4"/>
    <w:rsid w:val="006A722A"/>
    <w:rsid w:val="006B0093"/>
    <w:rsid w:val="006B045F"/>
    <w:rsid w:val="006B1327"/>
    <w:rsid w:val="006B1857"/>
    <w:rsid w:val="006B1F89"/>
    <w:rsid w:val="006B2467"/>
    <w:rsid w:val="006B30E1"/>
    <w:rsid w:val="006B32E4"/>
    <w:rsid w:val="006B33BC"/>
    <w:rsid w:val="006B37B0"/>
    <w:rsid w:val="006B3988"/>
    <w:rsid w:val="006B3BA8"/>
    <w:rsid w:val="006B3D8E"/>
    <w:rsid w:val="006B40B6"/>
    <w:rsid w:val="006B50C2"/>
    <w:rsid w:val="006B516A"/>
    <w:rsid w:val="006B5CFC"/>
    <w:rsid w:val="006B662A"/>
    <w:rsid w:val="006B6E3F"/>
    <w:rsid w:val="006B727C"/>
    <w:rsid w:val="006B7920"/>
    <w:rsid w:val="006B798F"/>
    <w:rsid w:val="006C05D9"/>
    <w:rsid w:val="006C0B10"/>
    <w:rsid w:val="006C15CA"/>
    <w:rsid w:val="006C15D0"/>
    <w:rsid w:val="006C1F9E"/>
    <w:rsid w:val="006C3077"/>
    <w:rsid w:val="006C3812"/>
    <w:rsid w:val="006C3F4D"/>
    <w:rsid w:val="006C435E"/>
    <w:rsid w:val="006C4522"/>
    <w:rsid w:val="006C470F"/>
    <w:rsid w:val="006C4F61"/>
    <w:rsid w:val="006C4F64"/>
    <w:rsid w:val="006C54A3"/>
    <w:rsid w:val="006C5558"/>
    <w:rsid w:val="006C5974"/>
    <w:rsid w:val="006C5C1C"/>
    <w:rsid w:val="006C5DCE"/>
    <w:rsid w:val="006C5F07"/>
    <w:rsid w:val="006C64DE"/>
    <w:rsid w:val="006C66E7"/>
    <w:rsid w:val="006C6CFA"/>
    <w:rsid w:val="006C6DBC"/>
    <w:rsid w:val="006C6E87"/>
    <w:rsid w:val="006C6EC6"/>
    <w:rsid w:val="006C7CD5"/>
    <w:rsid w:val="006D00F4"/>
    <w:rsid w:val="006D1012"/>
    <w:rsid w:val="006D1474"/>
    <w:rsid w:val="006D1734"/>
    <w:rsid w:val="006D1A16"/>
    <w:rsid w:val="006D1B26"/>
    <w:rsid w:val="006D1FC8"/>
    <w:rsid w:val="006D3461"/>
    <w:rsid w:val="006D38E6"/>
    <w:rsid w:val="006D3FFB"/>
    <w:rsid w:val="006D4D32"/>
    <w:rsid w:val="006D544E"/>
    <w:rsid w:val="006D5787"/>
    <w:rsid w:val="006D655C"/>
    <w:rsid w:val="006D65A1"/>
    <w:rsid w:val="006D65EC"/>
    <w:rsid w:val="006D7A4B"/>
    <w:rsid w:val="006D7DD2"/>
    <w:rsid w:val="006E122A"/>
    <w:rsid w:val="006E15D7"/>
    <w:rsid w:val="006E1829"/>
    <w:rsid w:val="006E1A22"/>
    <w:rsid w:val="006E21D5"/>
    <w:rsid w:val="006E2A54"/>
    <w:rsid w:val="006E2AD8"/>
    <w:rsid w:val="006E2B7E"/>
    <w:rsid w:val="006E3D5F"/>
    <w:rsid w:val="006E3E0E"/>
    <w:rsid w:val="006E4001"/>
    <w:rsid w:val="006E4C6A"/>
    <w:rsid w:val="006E505E"/>
    <w:rsid w:val="006E52CD"/>
    <w:rsid w:val="006E5C10"/>
    <w:rsid w:val="006E6556"/>
    <w:rsid w:val="006E6C9B"/>
    <w:rsid w:val="006E7A48"/>
    <w:rsid w:val="006E7DFD"/>
    <w:rsid w:val="006F00C8"/>
    <w:rsid w:val="006F07E4"/>
    <w:rsid w:val="006F084E"/>
    <w:rsid w:val="006F0BE3"/>
    <w:rsid w:val="006F12FF"/>
    <w:rsid w:val="006F130E"/>
    <w:rsid w:val="006F152C"/>
    <w:rsid w:val="006F1763"/>
    <w:rsid w:val="006F18AA"/>
    <w:rsid w:val="006F1AA7"/>
    <w:rsid w:val="006F22E3"/>
    <w:rsid w:val="006F2D5E"/>
    <w:rsid w:val="006F2FCD"/>
    <w:rsid w:val="006F32CD"/>
    <w:rsid w:val="006F3AEE"/>
    <w:rsid w:val="006F3EB1"/>
    <w:rsid w:val="006F44C7"/>
    <w:rsid w:val="006F468B"/>
    <w:rsid w:val="006F4B75"/>
    <w:rsid w:val="006F51DF"/>
    <w:rsid w:val="006F5339"/>
    <w:rsid w:val="006F606D"/>
    <w:rsid w:val="006F6493"/>
    <w:rsid w:val="006F6798"/>
    <w:rsid w:val="006F6E55"/>
    <w:rsid w:val="006F78F6"/>
    <w:rsid w:val="00700472"/>
    <w:rsid w:val="00700985"/>
    <w:rsid w:val="00700CCF"/>
    <w:rsid w:val="0070122A"/>
    <w:rsid w:val="0070139B"/>
    <w:rsid w:val="00701F31"/>
    <w:rsid w:val="00703573"/>
    <w:rsid w:val="0070377C"/>
    <w:rsid w:val="007049FA"/>
    <w:rsid w:val="00705311"/>
    <w:rsid w:val="00705D99"/>
    <w:rsid w:val="00705EE5"/>
    <w:rsid w:val="0070617F"/>
    <w:rsid w:val="00706F29"/>
    <w:rsid w:val="00706FD4"/>
    <w:rsid w:val="00707012"/>
    <w:rsid w:val="0070798D"/>
    <w:rsid w:val="00707A02"/>
    <w:rsid w:val="0071022E"/>
    <w:rsid w:val="00710596"/>
    <w:rsid w:val="00710720"/>
    <w:rsid w:val="00710B9C"/>
    <w:rsid w:val="0071122C"/>
    <w:rsid w:val="00711597"/>
    <w:rsid w:val="00712E39"/>
    <w:rsid w:val="007130FE"/>
    <w:rsid w:val="00713763"/>
    <w:rsid w:val="00713A21"/>
    <w:rsid w:val="00713ABB"/>
    <w:rsid w:val="00713B4F"/>
    <w:rsid w:val="00714382"/>
    <w:rsid w:val="00714434"/>
    <w:rsid w:val="007147DF"/>
    <w:rsid w:val="0071495E"/>
    <w:rsid w:val="00714F05"/>
    <w:rsid w:val="0071530E"/>
    <w:rsid w:val="007154B5"/>
    <w:rsid w:val="00715649"/>
    <w:rsid w:val="00715AFF"/>
    <w:rsid w:val="00715E55"/>
    <w:rsid w:val="00715E83"/>
    <w:rsid w:val="00716A28"/>
    <w:rsid w:val="00720487"/>
    <w:rsid w:val="00720789"/>
    <w:rsid w:val="0072109B"/>
    <w:rsid w:val="00721D28"/>
    <w:rsid w:val="007221A0"/>
    <w:rsid w:val="007221A7"/>
    <w:rsid w:val="00722D27"/>
    <w:rsid w:val="00722DDD"/>
    <w:rsid w:val="00723430"/>
    <w:rsid w:val="00723BC5"/>
    <w:rsid w:val="00723BF3"/>
    <w:rsid w:val="00723F37"/>
    <w:rsid w:val="00723F9D"/>
    <w:rsid w:val="00723FC7"/>
    <w:rsid w:val="00724083"/>
    <w:rsid w:val="007248BD"/>
    <w:rsid w:val="00724903"/>
    <w:rsid w:val="00724A9D"/>
    <w:rsid w:val="007251DA"/>
    <w:rsid w:val="00725545"/>
    <w:rsid w:val="007255B2"/>
    <w:rsid w:val="0072588D"/>
    <w:rsid w:val="00726031"/>
    <w:rsid w:val="00726273"/>
    <w:rsid w:val="00726470"/>
    <w:rsid w:val="007267B8"/>
    <w:rsid w:val="007267DF"/>
    <w:rsid w:val="00726952"/>
    <w:rsid w:val="00726FA5"/>
    <w:rsid w:val="007277BE"/>
    <w:rsid w:val="00727B50"/>
    <w:rsid w:val="00727C97"/>
    <w:rsid w:val="00727D3B"/>
    <w:rsid w:val="00730B64"/>
    <w:rsid w:val="00731458"/>
    <w:rsid w:val="00731B70"/>
    <w:rsid w:val="00731BBF"/>
    <w:rsid w:val="007321BF"/>
    <w:rsid w:val="00732664"/>
    <w:rsid w:val="00733142"/>
    <w:rsid w:val="0073314A"/>
    <w:rsid w:val="00733811"/>
    <w:rsid w:val="00734026"/>
    <w:rsid w:val="00734AFB"/>
    <w:rsid w:val="007356B4"/>
    <w:rsid w:val="00735985"/>
    <w:rsid w:val="00735E12"/>
    <w:rsid w:val="00736177"/>
    <w:rsid w:val="00736350"/>
    <w:rsid w:val="00736709"/>
    <w:rsid w:val="00736853"/>
    <w:rsid w:val="00736D58"/>
    <w:rsid w:val="007373B0"/>
    <w:rsid w:val="00737C09"/>
    <w:rsid w:val="00737D11"/>
    <w:rsid w:val="00740296"/>
    <w:rsid w:val="00740D45"/>
    <w:rsid w:val="007415D2"/>
    <w:rsid w:val="007416C7"/>
    <w:rsid w:val="007417DD"/>
    <w:rsid w:val="00741833"/>
    <w:rsid w:val="00741CA9"/>
    <w:rsid w:val="007420CE"/>
    <w:rsid w:val="00742293"/>
    <w:rsid w:val="007423ED"/>
    <w:rsid w:val="00742A6E"/>
    <w:rsid w:val="00742E5C"/>
    <w:rsid w:val="00743020"/>
    <w:rsid w:val="00743787"/>
    <w:rsid w:val="007439E3"/>
    <w:rsid w:val="00743E66"/>
    <w:rsid w:val="00744EFF"/>
    <w:rsid w:val="007453E0"/>
    <w:rsid w:val="00745FF7"/>
    <w:rsid w:val="007462DC"/>
    <w:rsid w:val="00746651"/>
    <w:rsid w:val="00746DA6"/>
    <w:rsid w:val="00746FB9"/>
    <w:rsid w:val="007470DF"/>
    <w:rsid w:val="00747B7C"/>
    <w:rsid w:val="00747BA2"/>
    <w:rsid w:val="00750959"/>
    <w:rsid w:val="0075100F"/>
    <w:rsid w:val="00751897"/>
    <w:rsid w:val="00752291"/>
    <w:rsid w:val="007524CB"/>
    <w:rsid w:val="00752CD2"/>
    <w:rsid w:val="00752DEA"/>
    <w:rsid w:val="00752FD5"/>
    <w:rsid w:val="00753580"/>
    <w:rsid w:val="00753A40"/>
    <w:rsid w:val="0075511A"/>
    <w:rsid w:val="00755876"/>
    <w:rsid w:val="007559FC"/>
    <w:rsid w:val="007564F4"/>
    <w:rsid w:val="0075760D"/>
    <w:rsid w:val="007576FC"/>
    <w:rsid w:val="00757A62"/>
    <w:rsid w:val="00757FCD"/>
    <w:rsid w:val="00760745"/>
    <w:rsid w:val="00760A8A"/>
    <w:rsid w:val="00760ED8"/>
    <w:rsid w:val="00761397"/>
    <w:rsid w:val="00761BB1"/>
    <w:rsid w:val="007627D7"/>
    <w:rsid w:val="00762FAC"/>
    <w:rsid w:val="0076364D"/>
    <w:rsid w:val="007642D6"/>
    <w:rsid w:val="0076462B"/>
    <w:rsid w:val="00764D01"/>
    <w:rsid w:val="00765139"/>
    <w:rsid w:val="00767485"/>
    <w:rsid w:val="0076795C"/>
    <w:rsid w:val="00767A57"/>
    <w:rsid w:val="00767A80"/>
    <w:rsid w:val="00767BC2"/>
    <w:rsid w:val="00770523"/>
    <w:rsid w:val="0077099B"/>
    <w:rsid w:val="00771356"/>
    <w:rsid w:val="0077148B"/>
    <w:rsid w:val="00771752"/>
    <w:rsid w:val="00771BBF"/>
    <w:rsid w:val="00771D6D"/>
    <w:rsid w:val="00771DA1"/>
    <w:rsid w:val="0077224A"/>
    <w:rsid w:val="007728F7"/>
    <w:rsid w:val="00772C5D"/>
    <w:rsid w:val="00772E06"/>
    <w:rsid w:val="00773439"/>
    <w:rsid w:val="0077347A"/>
    <w:rsid w:val="007736F0"/>
    <w:rsid w:val="00773CE6"/>
    <w:rsid w:val="00774958"/>
    <w:rsid w:val="00774ACC"/>
    <w:rsid w:val="00774E25"/>
    <w:rsid w:val="007751B0"/>
    <w:rsid w:val="0077595D"/>
    <w:rsid w:val="00775CA2"/>
    <w:rsid w:val="00775FCB"/>
    <w:rsid w:val="00776381"/>
    <w:rsid w:val="0077643B"/>
    <w:rsid w:val="0077748B"/>
    <w:rsid w:val="007774ED"/>
    <w:rsid w:val="0078090D"/>
    <w:rsid w:val="00780C46"/>
    <w:rsid w:val="00780D89"/>
    <w:rsid w:val="00781165"/>
    <w:rsid w:val="00781507"/>
    <w:rsid w:val="00781623"/>
    <w:rsid w:val="00781BBD"/>
    <w:rsid w:val="00781DEB"/>
    <w:rsid w:val="00782F86"/>
    <w:rsid w:val="00783A7B"/>
    <w:rsid w:val="00784026"/>
    <w:rsid w:val="007843C8"/>
    <w:rsid w:val="007844AE"/>
    <w:rsid w:val="007856C3"/>
    <w:rsid w:val="00785FAA"/>
    <w:rsid w:val="00787595"/>
    <w:rsid w:val="007877A4"/>
    <w:rsid w:val="00787BF4"/>
    <w:rsid w:val="00787E23"/>
    <w:rsid w:val="00790055"/>
    <w:rsid w:val="00790309"/>
    <w:rsid w:val="00791555"/>
    <w:rsid w:val="0079195D"/>
    <w:rsid w:val="007919B3"/>
    <w:rsid w:val="00791A05"/>
    <w:rsid w:val="00791A2B"/>
    <w:rsid w:val="00791E9D"/>
    <w:rsid w:val="00791F71"/>
    <w:rsid w:val="00792318"/>
    <w:rsid w:val="00792576"/>
    <w:rsid w:val="007927D7"/>
    <w:rsid w:val="007928C2"/>
    <w:rsid w:val="007941E0"/>
    <w:rsid w:val="007948CE"/>
    <w:rsid w:val="00794CDA"/>
    <w:rsid w:val="00794E97"/>
    <w:rsid w:val="007950C5"/>
    <w:rsid w:val="007962F9"/>
    <w:rsid w:val="0079687A"/>
    <w:rsid w:val="007968F8"/>
    <w:rsid w:val="00796FC3"/>
    <w:rsid w:val="007A0D49"/>
    <w:rsid w:val="007A12E4"/>
    <w:rsid w:val="007A16C6"/>
    <w:rsid w:val="007A197B"/>
    <w:rsid w:val="007A1FD3"/>
    <w:rsid w:val="007A31D2"/>
    <w:rsid w:val="007A34FD"/>
    <w:rsid w:val="007A41D4"/>
    <w:rsid w:val="007A4AE2"/>
    <w:rsid w:val="007A4C11"/>
    <w:rsid w:val="007A4CAD"/>
    <w:rsid w:val="007A506D"/>
    <w:rsid w:val="007A5457"/>
    <w:rsid w:val="007A5850"/>
    <w:rsid w:val="007A5CB1"/>
    <w:rsid w:val="007A5D0B"/>
    <w:rsid w:val="007A6870"/>
    <w:rsid w:val="007A6CB8"/>
    <w:rsid w:val="007A7528"/>
    <w:rsid w:val="007A7561"/>
    <w:rsid w:val="007A79C4"/>
    <w:rsid w:val="007A7B84"/>
    <w:rsid w:val="007B01C5"/>
    <w:rsid w:val="007B04A4"/>
    <w:rsid w:val="007B0954"/>
    <w:rsid w:val="007B0C08"/>
    <w:rsid w:val="007B18B7"/>
    <w:rsid w:val="007B2130"/>
    <w:rsid w:val="007B43AD"/>
    <w:rsid w:val="007B472F"/>
    <w:rsid w:val="007B4B17"/>
    <w:rsid w:val="007B5293"/>
    <w:rsid w:val="007B56FF"/>
    <w:rsid w:val="007B5784"/>
    <w:rsid w:val="007B5E32"/>
    <w:rsid w:val="007B6353"/>
    <w:rsid w:val="007B6452"/>
    <w:rsid w:val="007B64E9"/>
    <w:rsid w:val="007B65B3"/>
    <w:rsid w:val="007B6AFF"/>
    <w:rsid w:val="007B7424"/>
    <w:rsid w:val="007B7557"/>
    <w:rsid w:val="007B792B"/>
    <w:rsid w:val="007B79C0"/>
    <w:rsid w:val="007B7C59"/>
    <w:rsid w:val="007B7FC5"/>
    <w:rsid w:val="007C0550"/>
    <w:rsid w:val="007C0622"/>
    <w:rsid w:val="007C0C25"/>
    <w:rsid w:val="007C0D23"/>
    <w:rsid w:val="007C1BA1"/>
    <w:rsid w:val="007C229C"/>
    <w:rsid w:val="007C33DC"/>
    <w:rsid w:val="007C35C7"/>
    <w:rsid w:val="007C35CD"/>
    <w:rsid w:val="007C3859"/>
    <w:rsid w:val="007C3B0A"/>
    <w:rsid w:val="007C49CF"/>
    <w:rsid w:val="007C4AD6"/>
    <w:rsid w:val="007C5BE4"/>
    <w:rsid w:val="007C6436"/>
    <w:rsid w:val="007C65A3"/>
    <w:rsid w:val="007C669D"/>
    <w:rsid w:val="007C67FB"/>
    <w:rsid w:val="007C6896"/>
    <w:rsid w:val="007C7157"/>
    <w:rsid w:val="007C74C6"/>
    <w:rsid w:val="007D0097"/>
    <w:rsid w:val="007D00F2"/>
    <w:rsid w:val="007D0669"/>
    <w:rsid w:val="007D09E6"/>
    <w:rsid w:val="007D0A9D"/>
    <w:rsid w:val="007D1211"/>
    <w:rsid w:val="007D13D4"/>
    <w:rsid w:val="007D18A4"/>
    <w:rsid w:val="007D19DE"/>
    <w:rsid w:val="007D1A63"/>
    <w:rsid w:val="007D1B10"/>
    <w:rsid w:val="007D1BCD"/>
    <w:rsid w:val="007D2001"/>
    <w:rsid w:val="007D2173"/>
    <w:rsid w:val="007D21CB"/>
    <w:rsid w:val="007D21ED"/>
    <w:rsid w:val="007D2B8A"/>
    <w:rsid w:val="007D49B4"/>
    <w:rsid w:val="007D5139"/>
    <w:rsid w:val="007D51F1"/>
    <w:rsid w:val="007D687B"/>
    <w:rsid w:val="007D6D39"/>
    <w:rsid w:val="007D728B"/>
    <w:rsid w:val="007D7BED"/>
    <w:rsid w:val="007E0741"/>
    <w:rsid w:val="007E076D"/>
    <w:rsid w:val="007E0BE2"/>
    <w:rsid w:val="007E103B"/>
    <w:rsid w:val="007E169A"/>
    <w:rsid w:val="007E173C"/>
    <w:rsid w:val="007E2076"/>
    <w:rsid w:val="007E2401"/>
    <w:rsid w:val="007E26BE"/>
    <w:rsid w:val="007E2C9C"/>
    <w:rsid w:val="007E2DA0"/>
    <w:rsid w:val="007E43B2"/>
    <w:rsid w:val="007E4662"/>
    <w:rsid w:val="007E4DA8"/>
    <w:rsid w:val="007E5A30"/>
    <w:rsid w:val="007E65E5"/>
    <w:rsid w:val="007E695D"/>
    <w:rsid w:val="007E6DC7"/>
    <w:rsid w:val="007E7C78"/>
    <w:rsid w:val="007F097C"/>
    <w:rsid w:val="007F09D3"/>
    <w:rsid w:val="007F18FC"/>
    <w:rsid w:val="007F1FC5"/>
    <w:rsid w:val="007F239C"/>
    <w:rsid w:val="007F267A"/>
    <w:rsid w:val="007F3A47"/>
    <w:rsid w:val="007F3FD1"/>
    <w:rsid w:val="007F4949"/>
    <w:rsid w:val="007F4998"/>
    <w:rsid w:val="007F50DE"/>
    <w:rsid w:val="007F53E3"/>
    <w:rsid w:val="007F5924"/>
    <w:rsid w:val="007F61B3"/>
    <w:rsid w:val="007F64FF"/>
    <w:rsid w:val="007F6583"/>
    <w:rsid w:val="007F6AD1"/>
    <w:rsid w:val="007F6E4C"/>
    <w:rsid w:val="007F70A2"/>
    <w:rsid w:val="007F711D"/>
    <w:rsid w:val="007F792A"/>
    <w:rsid w:val="007F7B08"/>
    <w:rsid w:val="007F7CFE"/>
    <w:rsid w:val="007F7DE9"/>
    <w:rsid w:val="0080027F"/>
    <w:rsid w:val="00800DBF"/>
    <w:rsid w:val="008016DF"/>
    <w:rsid w:val="00801A72"/>
    <w:rsid w:val="00801B3B"/>
    <w:rsid w:val="00801B59"/>
    <w:rsid w:val="00801D47"/>
    <w:rsid w:val="00801EE5"/>
    <w:rsid w:val="008020BB"/>
    <w:rsid w:val="0080234D"/>
    <w:rsid w:val="00802A21"/>
    <w:rsid w:val="00803856"/>
    <w:rsid w:val="00804101"/>
    <w:rsid w:val="00804208"/>
    <w:rsid w:val="00804D9D"/>
    <w:rsid w:val="00805005"/>
    <w:rsid w:val="00805DFA"/>
    <w:rsid w:val="00806125"/>
    <w:rsid w:val="008063C8"/>
    <w:rsid w:val="008069BE"/>
    <w:rsid w:val="00806F4B"/>
    <w:rsid w:val="00807370"/>
    <w:rsid w:val="00807535"/>
    <w:rsid w:val="00807F5B"/>
    <w:rsid w:val="00810981"/>
    <w:rsid w:val="00811214"/>
    <w:rsid w:val="008113A0"/>
    <w:rsid w:val="00811D01"/>
    <w:rsid w:val="00811DF4"/>
    <w:rsid w:val="0081234A"/>
    <w:rsid w:val="0081296D"/>
    <w:rsid w:val="008138B1"/>
    <w:rsid w:val="00813C6E"/>
    <w:rsid w:val="00813DD8"/>
    <w:rsid w:val="0081420B"/>
    <w:rsid w:val="008143C2"/>
    <w:rsid w:val="00814B72"/>
    <w:rsid w:val="00814D8E"/>
    <w:rsid w:val="00815883"/>
    <w:rsid w:val="00815B65"/>
    <w:rsid w:val="00815D56"/>
    <w:rsid w:val="00816441"/>
    <w:rsid w:val="00816542"/>
    <w:rsid w:val="00816A42"/>
    <w:rsid w:val="0081715C"/>
    <w:rsid w:val="00817E73"/>
    <w:rsid w:val="00817F59"/>
    <w:rsid w:val="00817F92"/>
    <w:rsid w:val="00820D12"/>
    <w:rsid w:val="00820E9E"/>
    <w:rsid w:val="00820EBA"/>
    <w:rsid w:val="00821029"/>
    <w:rsid w:val="00821F24"/>
    <w:rsid w:val="00822279"/>
    <w:rsid w:val="008227B6"/>
    <w:rsid w:val="00823704"/>
    <w:rsid w:val="00823840"/>
    <w:rsid w:val="008238CC"/>
    <w:rsid w:val="00824375"/>
    <w:rsid w:val="008248F8"/>
    <w:rsid w:val="00824D3A"/>
    <w:rsid w:val="00824DA4"/>
    <w:rsid w:val="00824DE9"/>
    <w:rsid w:val="00824FB1"/>
    <w:rsid w:val="00825178"/>
    <w:rsid w:val="008252F0"/>
    <w:rsid w:val="00825349"/>
    <w:rsid w:val="008262E5"/>
    <w:rsid w:val="00826744"/>
    <w:rsid w:val="00826CF4"/>
    <w:rsid w:val="00826EB5"/>
    <w:rsid w:val="008270AD"/>
    <w:rsid w:val="0082746E"/>
    <w:rsid w:val="008277EF"/>
    <w:rsid w:val="00827EDA"/>
    <w:rsid w:val="00830012"/>
    <w:rsid w:val="00830E73"/>
    <w:rsid w:val="008315F6"/>
    <w:rsid w:val="00831FA8"/>
    <w:rsid w:val="0083211D"/>
    <w:rsid w:val="00832834"/>
    <w:rsid w:val="00832B98"/>
    <w:rsid w:val="00832BBF"/>
    <w:rsid w:val="00833265"/>
    <w:rsid w:val="008332DE"/>
    <w:rsid w:val="008335D8"/>
    <w:rsid w:val="00833D51"/>
    <w:rsid w:val="00833D56"/>
    <w:rsid w:val="00833E48"/>
    <w:rsid w:val="00834288"/>
    <w:rsid w:val="008348B2"/>
    <w:rsid w:val="008349F7"/>
    <w:rsid w:val="00834A91"/>
    <w:rsid w:val="00834B7C"/>
    <w:rsid w:val="0083523B"/>
    <w:rsid w:val="00835799"/>
    <w:rsid w:val="00835BA1"/>
    <w:rsid w:val="008361FE"/>
    <w:rsid w:val="00836394"/>
    <w:rsid w:val="008369A9"/>
    <w:rsid w:val="00836ACE"/>
    <w:rsid w:val="00836E83"/>
    <w:rsid w:val="00837C9D"/>
    <w:rsid w:val="00840AFE"/>
    <w:rsid w:val="008414F9"/>
    <w:rsid w:val="00841E3E"/>
    <w:rsid w:val="0084267F"/>
    <w:rsid w:val="00843209"/>
    <w:rsid w:val="008433BF"/>
    <w:rsid w:val="0084343B"/>
    <w:rsid w:val="008445BA"/>
    <w:rsid w:val="0084488C"/>
    <w:rsid w:val="00844D7C"/>
    <w:rsid w:val="00846887"/>
    <w:rsid w:val="008468F8"/>
    <w:rsid w:val="008469F5"/>
    <w:rsid w:val="0084752A"/>
    <w:rsid w:val="008500EB"/>
    <w:rsid w:val="008503F2"/>
    <w:rsid w:val="008504EF"/>
    <w:rsid w:val="0085080A"/>
    <w:rsid w:val="00850C2E"/>
    <w:rsid w:val="00850E2A"/>
    <w:rsid w:val="008529F8"/>
    <w:rsid w:val="00852ABF"/>
    <w:rsid w:val="00852F48"/>
    <w:rsid w:val="00853530"/>
    <w:rsid w:val="00853938"/>
    <w:rsid w:val="00853B2A"/>
    <w:rsid w:val="00855291"/>
    <w:rsid w:val="008552D7"/>
    <w:rsid w:val="00855728"/>
    <w:rsid w:val="00856061"/>
    <w:rsid w:val="008566D5"/>
    <w:rsid w:val="00857DD9"/>
    <w:rsid w:val="00860019"/>
    <w:rsid w:val="008613C8"/>
    <w:rsid w:val="008622F6"/>
    <w:rsid w:val="00862A03"/>
    <w:rsid w:val="00862A38"/>
    <w:rsid w:val="0086401D"/>
    <w:rsid w:val="008649F8"/>
    <w:rsid w:val="00864ED2"/>
    <w:rsid w:val="00864F5C"/>
    <w:rsid w:val="00865DBD"/>
    <w:rsid w:val="00866AC6"/>
    <w:rsid w:val="00867F37"/>
    <w:rsid w:val="00870222"/>
    <w:rsid w:val="0087040F"/>
    <w:rsid w:val="008720BF"/>
    <w:rsid w:val="00872176"/>
    <w:rsid w:val="008726D2"/>
    <w:rsid w:val="0087278F"/>
    <w:rsid w:val="0087283E"/>
    <w:rsid w:val="00872CE3"/>
    <w:rsid w:val="008730AE"/>
    <w:rsid w:val="00873465"/>
    <w:rsid w:val="0087385B"/>
    <w:rsid w:val="00873BC2"/>
    <w:rsid w:val="008742C1"/>
    <w:rsid w:val="00874743"/>
    <w:rsid w:val="00875A4B"/>
    <w:rsid w:val="00875E3F"/>
    <w:rsid w:val="00876091"/>
    <w:rsid w:val="008769F3"/>
    <w:rsid w:val="00876F56"/>
    <w:rsid w:val="0087759F"/>
    <w:rsid w:val="00880363"/>
    <w:rsid w:val="00880432"/>
    <w:rsid w:val="008808B2"/>
    <w:rsid w:val="00880A93"/>
    <w:rsid w:val="008819BB"/>
    <w:rsid w:val="00881A3D"/>
    <w:rsid w:val="00882387"/>
    <w:rsid w:val="00883681"/>
    <w:rsid w:val="00883A1E"/>
    <w:rsid w:val="00883A77"/>
    <w:rsid w:val="00884626"/>
    <w:rsid w:val="0088471D"/>
    <w:rsid w:val="008849DB"/>
    <w:rsid w:val="00884B31"/>
    <w:rsid w:val="00884DD2"/>
    <w:rsid w:val="008851A1"/>
    <w:rsid w:val="00885538"/>
    <w:rsid w:val="00886046"/>
    <w:rsid w:val="00886220"/>
    <w:rsid w:val="008864DC"/>
    <w:rsid w:val="008864F5"/>
    <w:rsid w:val="00886868"/>
    <w:rsid w:val="00886C5D"/>
    <w:rsid w:val="00886FE1"/>
    <w:rsid w:val="008872D4"/>
    <w:rsid w:val="008873A2"/>
    <w:rsid w:val="00887F92"/>
    <w:rsid w:val="00890C17"/>
    <w:rsid w:val="00890F3C"/>
    <w:rsid w:val="00891123"/>
    <w:rsid w:val="008913C3"/>
    <w:rsid w:val="00891618"/>
    <w:rsid w:val="00891910"/>
    <w:rsid w:val="00891F8B"/>
    <w:rsid w:val="0089227B"/>
    <w:rsid w:val="00892671"/>
    <w:rsid w:val="00892734"/>
    <w:rsid w:val="00893106"/>
    <w:rsid w:val="00893A19"/>
    <w:rsid w:val="008944C6"/>
    <w:rsid w:val="008947D5"/>
    <w:rsid w:val="008948D6"/>
    <w:rsid w:val="00895181"/>
    <w:rsid w:val="00895730"/>
    <w:rsid w:val="0089578F"/>
    <w:rsid w:val="00895831"/>
    <w:rsid w:val="008959CB"/>
    <w:rsid w:val="0089601D"/>
    <w:rsid w:val="00896749"/>
    <w:rsid w:val="00896B07"/>
    <w:rsid w:val="00896B4D"/>
    <w:rsid w:val="0089704E"/>
    <w:rsid w:val="00897140"/>
    <w:rsid w:val="00897699"/>
    <w:rsid w:val="00897935"/>
    <w:rsid w:val="00897C51"/>
    <w:rsid w:val="008A004A"/>
    <w:rsid w:val="008A039F"/>
    <w:rsid w:val="008A0EAD"/>
    <w:rsid w:val="008A124D"/>
    <w:rsid w:val="008A1284"/>
    <w:rsid w:val="008A1429"/>
    <w:rsid w:val="008A1785"/>
    <w:rsid w:val="008A1A8F"/>
    <w:rsid w:val="008A1CAD"/>
    <w:rsid w:val="008A2390"/>
    <w:rsid w:val="008A24A2"/>
    <w:rsid w:val="008A2522"/>
    <w:rsid w:val="008A29FA"/>
    <w:rsid w:val="008A2EA2"/>
    <w:rsid w:val="008A379D"/>
    <w:rsid w:val="008A38A3"/>
    <w:rsid w:val="008A3F0B"/>
    <w:rsid w:val="008A4C25"/>
    <w:rsid w:val="008A514B"/>
    <w:rsid w:val="008A5CFF"/>
    <w:rsid w:val="008A75B7"/>
    <w:rsid w:val="008B0D7F"/>
    <w:rsid w:val="008B11E3"/>
    <w:rsid w:val="008B1277"/>
    <w:rsid w:val="008B139A"/>
    <w:rsid w:val="008B178D"/>
    <w:rsid w:val="008B17ED"/>
    <w:rsid w:val="008B186A"/>
    <w:rsid w:val="008B305C"/>
    <w:rsid w:val="008B30C4"/>
    <w:rsid w:val="008B30D6"/>
    <w:rsid w:val="008B3269"/>
    <w:rsid w:val="008B44CE"/>
    <w:rsid w:val="008B4C4E"/>
    <w:rsid w:val="008B4FB0"/>
    <w:rsid w:val="008B5AF9"/>
    <w:rsid w:val="008B60DA"/>
    <w:rsid w:val="008B63B5"/>
    <w:rsid w:val="008B6CFC"/>
    <w:rsid w:val="008B6DD0"/>
    <w:rsid w:val="008B721A"/>
    <w:rsid w:val="008B756A"/>
    <w:rsid w:val="008B78D4"/>
    <w:rsid w:val="008C06BF"/>
    <w:rsid w:val="008C0C6B"/>
    <w:rsid w:val="008C1139"/>
    <w:rsid w:val="008C158A"/>
    <w:rsid w:val="008C1AEC"/>
    <w:rsid w:val="008C29A2"/>
    <w:rsid w:val="008C2EEB"/>
    <w:rsid w:val="008C2FD0"/>
    <w:rsid w:val="008C30CD"/>
    <w:rsid w:val="008C3145"/>
    <w:rsid w:val="008C3227"/>
    <w:rsid w:val="008C492F"/>
    <w:rsid w:val="008C4DBF"/>
    <w:rsid w:val="008C537E"/>
    <w:rsid w:val="008C56D0"/>
    <w:rsid w:val="008C5709"/>
    <w:rsid w:val="008C577B"/>
    <w:rsid w:val="008C5C76"/>
    <w:rsid w:val="008C62AE"/>
    <w:rsid w:val="008C64B0"/>
    <w:rsid w:val="008C6C9D"/>
    <w:rsid w:val="008C6F2E"/>
    <w:rsid w:val="008C73F9"/>
    <w:rsid w:val="008C7972"/>
    <w:rsid w:val="008D0009"/>
    <w:rsid w:val="008D0433"/>
    <w:rsid w:val="008D0FBF"/>
    <w:rsid w:val="008D1A7A"/>
    <w:rsid w:val="008D1E72"/>
    <w:rsid w:val="008D21F1"/>
    <w:rsid w:val="008D2387"/>
    <w:rsid w:val="008D2F21"/>
    <w:rsid w:val="008D3404"/>
    <w:rsid w:val="008D35BB"/>
    <w:rsid w:val="008D3996"/>
    <w:rsid w:val="008D46DE"/>
    <w:rsid w:val="008D589C"/>
    <w:rsid w:val="008D59E9"/>
    <w:rsid w:val="008D5A91"/>
    <w:rsid w:val="008D645F"/>
    <w:rsid w:val="008D6988"/>
    <w:rsid w:val="008D6D26"/>
    <w:rsid w:val="008D6D8D"/>
    <w:rsid w:val="008D6FB8"/>
    <w:rsid w:val="008D70C8"/>
    <w:rsid w:val="008D7C27"/>
    <w:rsid w:val="008E085A"/>
    <w:rsid w:val="008E0CEC"/>
    <w:rsid w:val="008E0E7F"/>
    <w:rsid w:val="008E0FBE"/>
    <w:rsid w:val="008E158A"/>
    <w:rsid w:val="008E175D"/>
    <w:rsid w:val="008E19A7"/>
    <w:rsid w:val="008E1F2F"/>
    <w:rsid w:val="008E2943"/>
    <w:rsid w:val="008E2AD7"/>
    <w:rsid w:val="008E2D74"/>
    <w:rsid w:val="008E41BE"/>
    <w:rsid w:val="008E41C9"/>
    <w:rsid w:val="008E42AF"/>
    <w:rsid w:val="008E4654"/>
    <w:rsid w:val="008E48E0"/>
    <w:rsid w:val="008E57A6"/>
    <w:rsid w:val="008E57D5"/>
    <w:rsid w:val="008E5A3A"/>
    <w:rsid w:val="008E5D81"/>
    <w:rsid w:val="008E623B"/>
    <w:rsid w:val="008E6275"/>
    <w:rsid w:val="008E6ADD"/>
    <w:rsid w:val="008E778F"/>
    <w:rsid w:val="008E7EC0"/>
    <w:rsid w:val="008E7FAF"/>
    <w:rsid w:val="008F007D"/>
    <w:rsid w:val="008F0410"/>
    <w:rsid w:val="008F0A6C"/>
    <w:rsid w:val="008F0DB4"/>
    <w:rsid w:val="008F10BB"/>
    <w:rsid w:val="008F1476"/>
    <w:rsid w:val="008F16F4"/>
    <w:rsid w:val="008F174F"/>
    <w:rsid w:val="008F1C63"/>
    <w:rsid w:val="008F2778"/>
    <w:rsid w:val="008F27D3"/>
    <w:rsid w:val="008F2EEF"/>
    <w:rsid w:val="008F3079"/>
    <w:rsid w:val="008F3A1B"/>
    <w:rsid w:val="008F3DFC"/>
    <w:rsid w:val="008F4598"/>
    <w:rsid w:val="008F475C"/>
    <w:rsid w:val="008F4DFB"/>
    <w:rsid w:val="008F5519"/>
    <w:rsid w:val="008F5EC2"/>
    <w:rsid w:val="008F71DF"/>
    <w:rsid w:val="008F77CE"/>
    <w:rsid w:val="008F7FAB"/>
    <w:rsid w:val="00900B9A"/>
    <w:rsid w:val="009011BA"/>
    <w:rsid w:val="009014A1"/>
    <w:rsid w:val="009018B6"/>
    <w:rsid w:val="0090354C"/>
    <w:rsid w:val="00903ABA"/>
    <w:rsid w:val="00903CDE"/>
    <w:rsid w:val="00903F73"/>
    <w:rsid w:val="009040BB"/>
    <w:rsid w:val="009040D4"/>
    <w:rsid w:val="0090526A"/>
    <w:rsid w:val="00905657"/>
    <w:rsid w:val="00905C97"/>
    <w:rsid w:val="0090683A"/>
    <w:rsid w:val="00906CDB"/>
    <w:rsid w:val="0090715C"/>
    <w:rsid w:val="00907491"/>
    <w:rsid w:val="00907A0F"/>
    <w:rsid w:val="00907D39"/>
    <w:rsid w:val="009114CF"/>
    <w:rsid w:val="00912082"/>
    <w:rsid w:val="0091248D"/>
    <w:rsid w:val="00912D20"/>
    <w:rsid w:val="00913CD2"/>
    <w:rsid w:val="009142CE"/>
    <w:rsid w:val="009151EF"/>
    <w:rsid w:val="009152EF"/>
    <w:rsid w:val="009154A2"/>
    <w:rsid w:val="00915689"/>
    <w:rsid w:val="00916177"/>
    <w:rsid w:val="0091649C"/>
    <w:rsid w:val="009166D0"/>
    <w:rsid w:val="0091786A"/>
    <w:rsid w:val="00917E79"/>
    <w:rsid w:val="00917E88"/>
    <w:rsid w:val="009209D5"/>
    <w:rsid w:val="00921757"/>
    <w:rsid w:val="009218FC"/>
    <w:rsid w:val="009219A5"/>
    <w:rsid w:val="00921E22"/>
    <w:rsid w:val="00922982"/>
    <w:rsid w:val="00922D06"/>
    <w:rsid w:val="00922ED4"/>
    <w:rsid w:val="00923587"/>
    <w:rsid w:val="009235F8"/>
    <w:rsid w:val="009239CD"/>
    <w:rsid w:val="00924771"/>
    <w:rsid w:val="00925000"/>
    <w:rsid w:val="00925099"/>
    <w:rsid w:val="00925775"/>
    <w:rsid w:val="00925DCC"/>
    <w:rsid w:val="00925DE7"/>
    <w:rsid w:val="00926387"/>
    <w:rsid w:val="00926D14"/>
    <w:rsid w:val="00927857"/>
    <w:rsid w:val="00930005"/>
    <w:rsid w:val="009310DB"/>
    <w:rsid w:val="009314A1"/>
    <w:rsid w:val="0093154D"/>
    <w:rsid w:val="0093161E"/>
    <w:rsid w:val="00931BFA"/>
    <w:rsid w:val="00931CE5"/>
    <w:rsid w:val="00931F83"/>
    <w:rsid w:val="00932584"/>
    <w:rsid w:val="00932745"/>
    <w:rsid w:val="00933579"/>
    <w:rsid w:val="00933FD0"/>
    <w:rsid w:val="00934528"/>
    <w:rsid w:val="009354F1"/>
    <w:rsid w:val="00935874"/>
    <w:rsid w:val="00936727"/>
    <w:rsid w:val="009367FD"/>
    <w:rsid w:val="009376B3"/>
    <w:rsid w:val="0094027D"/>
    <w:rsid w:val="009405FA"/>
    <w:rsid w:val="00940786"/>
    <w:rsid w:val="009410AC"/>
    <w:rsid w:val="009412AF"/>
    <w:rsid w:val="00941C87"/>
    <w:rsid w:val="00941E3B"/>
    <w:rsid w:val="009422DF"/>
    <w:rsid w:val="009422FA"/>
    <w:rsid w:val="00942FDC"/>
    <w:rsid w:val="0094456C"/>
    <w:rsid w:val="00945396"/>
    <w:rsid w:val="009455DC"/>
    <w:rsid w:val="00945918"/>
    <w:rsid w:val="0094614B"/>
    <w:rsid w:val="00946341"/>
    <w:rsid w:val="00946381"/>
    <w:rsid w:val="0094659B"/>
    <w:rsid w:val="0094661F"/>
    <w:rsid w:val="009469A5"/>
    <w:rsid w:val="00946A21"/>
    <w:rsid w:val="009472AA"/>
    <w:rsid w:val="00947CE3"/>
    <w:rsid w:val="00947F9D"/>
    <w:rsid w:val="00950082"/>
    <w:rsid w:val="0095025D"/>
    <w:rsid w:val="0095086F"/>
    <w:rsid w:val="00951577"/>
    <w:rsid w:val="00951596"/>
    <w:rsid w:val="00951809"/>
    <w:rsid w:val="00951E63"/>
    <w:rsid w:val="00951FB3"/>
    <w:rsid w:val="00952067"/>
    <w:rsid w:val="00952FE6"/>
    <w:rsid w:val="00953598"/>
    <w:rsid w:val="00953C6E"/>
    <w:rsid w:val="00954B43"/>
    <w:rsid w:val="00954B4D"/>
    <w:rsid w:val="00955FAF"/>
    <w:rsid w:val="00956500"/>
    <w:rsid w:val="00957436"/>
    <w:rsid w:val="00957FB6"/>
    <w:rsid w:val="00960549"/>
    <w:rsid w:val="0096070C"/>
    <w:rsid w:val="009612D0"/>
    <w:rsid w:val="00961506"/>
    <w:rsid w:val="00961651"/>
    <w:rsid w:val="009617FD"/>
    <w:rsid w:val="00962149"/>
    <w:rsid w:val="009627A2"/>
    <w:rsid w:val="00962AA0"/>
    <w:rsid w:val="00962D08"/>
    <w:rsid w:val="009630EC"/>
    <w:rsid w:val="00963282"/>
    <w:rsid w:val="00963312"/>
    <w:rsid w:val="0096370D"/>
    <w:rsid w:val="0096400E"/>
    <w:rsid w:val="00964E90"/>
    <w:rsid w:val="009656C1"/>
    <w:rsid w:val="00966357"/>
    <w:rsid w:val="00966548"/>
    <w:rsid w:val="00966E86"/>
    <w:rsid w:val="00966F74"/>
    <w:rsid w:val="00967970"/>
    <w:rsid w:val="0097001E"/>
    <w:rsid w:val="009706B6"/>
    <w:rsid w:val="00970713"/>
    <w:rsid w:val="00970C1B"/>
    <w:rsid w:val="00970E26"/>
    <w:rsid w:val="00971151"/>
    <w:rsid w:val="00971C04"/>
    <w:rsid w:val="00971DA6"/>
    <w:rsid w:val="00971DB2"/>
    <w:rsid w:val="009726EA"/>
    <w:rsid w:val="0097296C"/>
    <w:rsid w:val="00972E23"/>
    <w:rsid w:val="00973099"/>
    <w:rsid w:val="009730C7"/>
    <w:rsid w:val="00973E34"/>
    <w:rsid w:val="00974F66"/>
    <w:rsid w:val="00975440"/>
    <w:rsid w:val="00975761"/>
    <w:rsid w:val="009758FD"/>
    <w:rsid w:val="009759F5"/>
    <w:rsid w:val="00975BB5"/>
    <w:rsid w:val="009763C9"/>
    <w:rsid w:val="009764E4"/>
    <w:rsid w:val="00976965"/>
    <w:rsid w:val="00976D84"/>
    <w:rsid w:val="00976F94"/>
    <w:rsid w:val="009773D6"/>
    <w:rsid w:val="00977BB6"/>
    <w:rsid w:val="00980944"/>
    <w:rsid w:val="00980BF4"/>
    <w:rsid w:val="00980EFC"/>
    <w:rsid w:val="009813FE"/>
    <w:rsid w:val="009819FA"/>
    <w:rsid w:val="0098213B"/>
    <w:rsid w:val="00982314"/>
    <w:rsid w:val="00982470"/>
    <w:rsid w:val="009824AC"/>
    <w:rsid w:val="0098315C"/>
    <w:rsid w:val="009838A4"/>
    <w:rsid w:val="009847C0"/>
    <w:rsid w:val="00984D6C"/>
    <w:rsid w:val="0098555D"/>
    <w:rsid w:val="00985644"/>
    <w:rsid w:val="00985DB9"/>
    <w:rsid w:val="00986541"/>
    <w:rsid w:val="00986775"/>
    <w:rsid w:val="00986970"/>
    <w:rsid w:val="00986CBE"/>
    <w:rsid w:val="00987295"/>
    <w:rsid w:val="00987609"/>
    <w:rsid w:val="00987C3C"/>
    <w:rsid w:val="00987FF3"/>
    <w:rsid w:val="0099013F"/>
    <w:rsid w:val="0099019A"/>
    <w:rsid w:val="009901FD"/>
    <w:rsid w:val="00990CAF"/>
    <w:rsid w:val="00991655"/>
    <w:rsid w:val="0099216F"/>
    <w:rsid w:val="009923DA"/>
    <w:rsid w:val="0099279E"/>
    <w:rsid w:val="00992992"/>
    <w:rsid w:val="00992AB8"/>
    <w:rsid w:val="00992D85"/>
    <w:rsid w:val="00992F1E"/>
    <w:rsid w:val="00993B7E"/>
    <w:rsid w:val="00993B9D"/>
    <w:rsid w:val="00993D67"/>
    <w:rsid w:val="00994875"/>
    <w:rsid w:val="00995410"/>
    <w:rsid w:val="00995B8C"/>
    <w:rsid w:val="00996442"/>
    <w:rsid w:val="0099681D"/>
    <w:rsid w:val="00996A46"/>
    <w:rsid w:val="00996C57"/>
    <w:rsid w:val="00996D7C"/>
    <w:rsid w:val="00997098"/>
    <w:rsid w:val="00997299"/>
    <w:rsid w:val="00997CC6"/>
    <w:rsid w:val="009A0286"/>
    <w:rsid w:val="009A09C0"/>
    <w:rsid w:val="009A0A39"/>
    <w:rsid w:val="009A107C"/>
    <w:rsid w:val="009A13ED"/>
    <w:rsid w:val="009A1552"/>
    <w:rsid w:val="009A1C41"/>
    <w:rsid w:val="009A1F7C"/>
    <w:rsid w:val="009A2706"/>
    <w:rsid w:val="009A2D99"/>
    <w:rsid w:val="009A50C0"/>
    <w:rsid w:val="009A6188"/>
    <w:rsid w:val="009A6272"/>
    <w:rsid w:val="009A6440"/>
    <w:rsid w:val="009A75C1"/>
    <w:rsid w:val="009A7CD1"/>
    <w:rsid w:val="009B03BB"/>
    <w:rsid w:val="009B0955"/>
    <w:rsid w:val="009B0C1C"/>
    <w:rsid w:val="009B143A"/>
    <w:rsid w:val="009B18CF"/>
    <w:rsid w:val="009B2280"/>
    <w:rsid w:val="009B290B"/>
    <w:rsid w:val="009B2FB5"/>
    <w:rsid w:val="009B31BB"/>
    <w:rsid w:val="009B32B1"/>
    <w:rsid w:val="009B41E5"/>
    <w:rsid w:val="009B492F"/>
    <w:rsid w:val="009B541E"/>
    <w:rsid w:val="009B6397"/>
    <w:rsid w:val="009B6894"/>
    <w:rsid w:val="009B6BC2"/>
    <w:rsid w:val="009B6E25"/>
    <w:rsid w:val="009B7925"/>
    <w:rsid w:val="009B79B1"/>
    <w:rsid w:val="009C0136"/>
    <w:rsid w:val="009C07AF"/>
    <w:rsid w:val="009C0B60"/>
    <w:rsid w:val="009C1230"/>
    <w:rsid w:val="009C158F"/>
    <w:rsid w:val="009C2A0D"/>
    <w:rsid w:val="009C2BB6"/>
    <w:rsid w:val="009C34D6"/>
    <w:rsid w:val="009C4A63"/>
    <w:rsid w:val="009C4DBE"/>
    <w:rsid w:val="009C536D"/>
    <w:rsid w:val="009C53F3"/>
    <w:rsid w:val="009C61D1"/>
    <w:rsid w:val="009C68A1"/>
    <w:rsid w:val="009C6BC0"/>
    <w:rsid w:val="009C6CEF"/>
    <w:rsid w:val="009C7A71"/>
    <w:rsid w:val="009D0068"/>
    <w:rsid w:val="009D073E"/>
    <w:rsid w:val="009D0B3A"/>
    <w:rsid w:val="009D101B"/>
    <w:rsid w:val="009D1E24"/>
    <w:rsid w:val="009D264F"/>
    <w:rsid w:val="009D3AE8"/>
    <w:rsid w:val="009D4A09"/>
    <w:rsid w:val="009D528C"/>
    <w:rsid w:val="009D538D"/>
    <w:rsid w:val="009D6231"/>
    <w:rsid w:val="009D67B4"/>
    <w:rsid w:val="009D6951"/>
    <w:rsid w:val="009D6B97"/>
    <w:rsid w:val="009E04D1"/>
    <w:rsid w:val="009E0B2C"/>
    <w:rsid w:val="009E0B6E"/>
    <w:rsid w:val="009E0D86"/>
    <w:rsid w:val="009E0F06"/>
    <w:rsid w:val="009E12ED"/>
    <w:rsid w:val="009E1B5E"/>
    <w:rsid w:val="009E23F4"/>
    <w:rsid w:val="009E2462"/>
    <w:rsid w:val="009E252D"/>
    <w:rsid w:val="009E278A"/>
    <w:rsid w:val="009E2C0B"/>
    <w:rsid w:val="009E2EDB"/>
    <w:rsid w:val="009E3191"/>
    <w:rsid w:val="009E437A"/>
    <w:rsid w:val="009E49C0"/>
    <w:rsid w:val="009E49E4"/>
    <w:rsid w:val="009E5797"/>
    <w:rsid w:val="009E5B95"/>
    <w:rsid w:val="009E5D97"/>
    <w:rsid w:val="009E5F38"/>
    <w:rsid w:val="009E69AC"/>
    <w:rsid w:val="009E6B88"/>
    <w:rsid w:val="009E715F"/>
    <w:rsid w:val="009E7912"/>
    <w:rsid w:val="009E7A16"/>
    <w:rsid w:val="009E7FB9"/>
    <w:rsid w:val="009F0158"/>
    <w:rsid w:val="009F034D"/>
    <w:rsid w:val="009F0672"/>
    <w:rsid w:val="009F0771"/>
    <w:rsid w:val="009F0851"/>
    <w:rsid w:val="009F10A9"/>
    <w:rsid w:val="009F11DA"/>
    <w:rsid w:val="009F137D"/>
    <w:rsid w:val="009F13E3"/>
    <w:rsid w:val="009F1FC8"/>
    <w:rsid w:val="009F2425"/>
    <w:rsid w:val="009F2574"/>
    <w:rsid w:val="009F34D3"/>
    <w:rsid w:val="009F3AC1"/>
    <w:rsid w:val="009F3F72"/>
    <w:rsid w:val="009F4370"/>
    <w:rsid w:val="009F479D"/>
    <w:rsid w:val="009F4DD0"/>
    <w:rsid w:val="009F5304"/>
    <w:rsid w:val="009F5618"/>
    <w:rsid w:val="009F5A02"/>
    <w:rsid w:val="009F5A37"/>
    <w:rsid w:val="009F7A59"/>
    <w:rsid w:val="009F7B13"/>
    <w:rsid w:val="009F7F0F"/>
    <w:rsid w:val="009F7F28"/>
    <w:rsid w:val="00A0036F"/>
    <w:rsid w:val="00A005FF"/>
    <w:rsid w:val="00A0096E"/>
    <w:rsid w:val="00A00B6A"/>
    <w:rsid w:val="00A00B73"/>
    <w:rsid w:val="00A011E2"/>
    <w:rsid w:val="00A029BC"/>
    <w:rsid w:val="00A02BE0"/>
    <w:rsid w:val="00A03178"/>
    <w:rsid w:val="00A03682"/>
    <w:rsid w:val="00A03957"/>
    <w:rsid w:val="00A03DB3"/>
    <w:rsid w:val="00A04BF3"/>
    <w:rsid w:val="00A061BC"/>
    <w:rsid w:val="00A066BC"/>
    <w:rsid w:val="00A06CE0"/>
    <w:rsid w:val="00A07B71"/>
    <w:rsid w:val="00A07D2D"/>
    <w:rsid w:val="00A10B95"/>
    <w:rsid w:val="00A115AB"/>
    <w:rsid w:val="00A11761"/>
    <w:rsid w:val="00A11B54"/>
    <w:rsid w:val="00A120F6"/>
    <w:rsid w:val="00A123AC"/>
    <w:rsid w:val="00A12E23"/>
    <w:rsid w:val="00A13008"/>
    <w:rsid w:val="00A134E5"/>
    <w:rsid w:val="00A139DD"/>
    <w:rsid w:val="00A142A1"/>
    <w:rsid w:val="00A157AE"/>
    <w:rsid w:val="00A158C8"/>
    <w:rsid w:val="00A15A7B"/>
    <w:rsid w:val="00A15CAB"/>
    <w:rsid w:val="00A15D14"/>
    <w:rsid w:val="00A1626F"/>
    <w:rsid w:val="00A17395"/>
    <w:rsid w:val="00A1755D"/>
    <w:rsid w:val="00A1755E"/>
    <w:rsid w:val="00A17E5E"/>
    <w:rsid w:val="00A17EB1"/>
    <w:rsid w:val="00A20501"/>
    <w:rsid w:val="00A20A64"/>
    <w:rsid w:val="00A20D63"/>
    <w:rsid w:val="00A20ECF"/>
    <w:rsid w:val="00A217C6"/>
    <w:rsid w:val="00A21C2B"/>
    <w:rsid w:val="00A21D26"/>
    <w:rsid w:val="00A22039"/>
    <w:rsid w:val="00A233FD"/>
    <w:rsid w:val="00A238CA"/>
    <w:rsid w:val="00A23979"/>
    <w:rsid w:val="00A24BE2"/>
    <w:rsid w:val="00A24E14"/>
    <w:rsid w:val="00A25990"/>
    <w:rsid w:val="00A266E2"/>
    <w:rsid w:val="00A2682D"/>
    <w:rsid w:val="00A27C48"/>
    <w:rsid w:val="00A27E56"/>
    <w:rsid w:val="00A27EEF"/>
    <w:rsid w:val="00A302CA"/>
    <w:rsid w:val="00A306E1"/>
    <w:rsid w:val="00A30B00"/>
    <w:rsid w:val="00A31BBE"/>
    <w:rsid w:val="00A31C84"/>
    <w:rsid w:val="00A3327A"/>
    <w:rsid w:val="00A3435F"/>
    <w:rsid w:val="00A343A2"/>
    <w:rsid w:val="00A346FE"/>
    <w:rsid w:val="00A34F7F"/>
    <w:rsid w:val="00A355FE"/>
    <w:rsid w:val="00A357D8"/>
    <w:rsid w:val="00A3678A"/>
    <w:rsid w:val="00A36938"/>
    <w:rsid w:val="00A37B21"/>
    <w:rsid w:val="00A37FBC"/>
    <w:rsid w:val="00A40138"/>
    <w:rsid w:val="00A4029C"/>
    <w:rsid w:val="00A40473"/>
    <w:rsid w:val="00A40503"/>
    <w:rsid w:val="00A40F7E"/>
    <w:rsid w:val="00A412B4"/>
    <w:rsid w:val="00A41502"/>
    <w:rsid w:val="00A41742"/>
    <w:rsid w:val="00A41916"/>
    <w:rsid w:val="00A4259C"/>
    <w:rsid w:val="00A42606"/>
    <w:rsid w:val="00A42778"/>
    <w:rsid w:val="00A438AD"/>
    <w:rsid w:val="00A43C28"/>
    <w:rsid w:val="00A43E21"/>
    <w:rsid w:val="00A44C22"/>
    <w:rsid w:val="00A450A2"/>
    <w:rsid w:val="00A4514D"/>
    <w:rsid w:val="00A45607"/>
    <w:rsid w:val="00A45824"/>
    <w:rsid w:val="00A45D63"/>
    <w:rsid w:val="00A460C0"/>
    <w:rsid w:val="00A461DC"/>
    <w:rsid w:val="00A46524"/>
    <w:rsid w:val="00A471B7"/>
    <w:rsid w:val="00A51AB1"/>
    <w:rsid w:val="00A5236A"/>
    <w:rsid w:val="00A52C9D"/>
    <w:rsid w:val="00A53346"/>
    <w:rsid w:val="00A544B1"/>
    <w:rsid w:val="00A55051"/>
    <w:rsid w:val="00A55359"/>
    <w:rsid w:val="00A55708"/>
    <w:rsid w:val="00A55B94"/>
    <w:rsid w:val="00A55C2C"/>
    <w:rsid w:val="00A56A89"/>
    <w:rsid w:val="00A5754B"/>
    <w:rsid w:val="00A577F6"/>
    <w:rsid w:val="00A57A51"/>
    <w:rsid w:val="00A57D85"/>
    <w:rsid w:val="00A60533"/>
    <w:rsid w:val="00A6094C"/>
    <w:rsid w:val="00A60D6A"/>
    <w:rsid w:val="00A6172C"/>
    <w:rsid w:val="00A61B88"/>
    <w:rsid w:val="00A61CD2"/>
    <w:rsid w:val="00A61CE1"/>
    <w:rsid w:val="00A62489"/>
    <w:rsid w:val="00A625AD"/>
    <w:rsid w:val="00A626A3"/>
    <w:rsid w:val="00A62F77"/>
    <w:rsid w:val="00A633F6"/>
    <w:rsid w:val="00A63C50"/>
    <w:rsid w:val="00A64317"/>
    <w:rsid w:val="00A64532"/>
    <w:rsid w:val="00A64B65"/>
    <w:rsid w:val="00A64C4A"/>
    <w:rsid w:val="00A64F4A"/>
    <w:rsid w:val="00A6505B"/>
    <w:rsid w:val="00A65339"/>
    <w:rsid w:val="00A6593A"/>
    <w:rsid w:val="00A65F0D"/>
    <w:rsid w:val="00A6633A"/>
    <w:rsid w:val="00A6678F"/>
    <w:rsid w:val="00A66B1B"/>
    <w:rsid w:val="00A66C08"/>
    <w:rsid w:val="00A66FDB"/>
    <w:rsid w:val="00A67013"/>
    <w:rsid w:val="00A67A2F"/>
    <w:rsid w:val="00A70110"/>
    <w:rsid w:val="00A703FB"/>
    <w:rsid w:val="00A708B0"/>
    <w:rsid w:val="00A708BE"/>
    <w:rsid w:val="00A709D3"/>
    <w:rsid w:val="00A70B60"/>
    <w:rsid w:val="00A714E9"/>
    <w:rsid w:val="00A717DE"/>
    <w:rsid w:val="00A720B9"/>
    <w:rsid w:val="00A723FE"/>
    <w:rsid w:val="00A725AC"/>
    <w:rsid w:val="00A72DC2"/>
    <w:rsid w:val="00A7320D"/>
    <w:rsid w:val="00A73576"/>
    <w:rsid w:val="00A73679"/>
    <w:rsid w:val="00A73B20"/>
    <w:rsid w:val="00A73BE3"/>
    <w:rsid w:val="00A73F9D"/>
    <w:rsid w:val="00A7450D"/>
    <w:rsid w:val="00A745D2"/>
    <w:rsid w:val="00A74C3E"/>
    <w:rsid w:val="00A74E71"/>
    <w:rsid w:val="00A74F4B"/>
    <w:rsid w:val="00A76095"/>
    <w:rsid w:val="00A761D4"/>
    <w:rsid w:val="00A76BBB"/>
    <w:rsid w:val="00A77765"/>
    <w:rsid w:val="00A779E4"/>
    <w:rsid w:val="00A77C98"/>
    <w:rsid w:val="00A77EE3"/>
    <w:rsid w:val="00A80A89"/>
    <w:rsid w:val="00A81A37"/>
    <w:rsid w:val="00A83060"/>
    <w:rsid w:val="00A834AF"/>
    <w:rsid w:val="00A83666"/>
    <w:rsid w:val="00A84A72"/>
    <w:rsid w:val="00A85573"/>
    <w:rsid w:val="00A85772"/>
    <w:rsid w:val="00A858DA"/>
    <w:rsid w:val="00A85AB2"/>
    <w:rsid w:val="00A86667"/>
    <w:rsid w:val="00A866E0"/>
    <w:rsid w:val="00A866E5"/>
    <w:rsid w:val="00A86860"/>
    <w:rsid w:val="00A877BD"/>
    <w:rsid w:val="00A87CC7"/>
    <w:rsid w:val="00A901F8"/>
    <w:rsid w:val="00A902B7"/>
    <w:rsid w:val="00A90481"/>
    <w:rsid w:val="00A906B1"/>
    <w:rsid w:val="00A90DC0"/>
    <w:rsid w:val="00A90EDF"/>
    <w:rsid w:val="00A90F1A"/>
    <w:rsid w:val="00A92154"/>
    <w:rsid w:val="00A921D3"/>
    <w:rsid w:val="00A921EA"/>
    <w:rsid w:val="00A930E7"/>
    <w:rsid w:val="00A9384F"/>
    <w:rsid w:val="00A93CA4"/>
    <w:rsid w:val="00A946A7"/>
    <w:rsid w:val="00A9549D"/>
    <w:rsid w:val="00A96655"/>
    <w:rsid w:val="00A966EF"/>
    <w:rsid w:val="00A96842"/>
    <w:rsid w:val="00A96B67"/>
    <w:rsid w:val="00A974A3"/>
    <w:rsid w:val="00AA0282"/>
    <w:rsid w:val="00AA036C"/>
    <w:rsid w:val="00AA0471"/>
    <w:rsid w:val="00AA138D"/>
    <w:rsid w:val="00AA13E9"/>
    <w:rsid w:val="00AA15A9"/>
    <w:rsid w:val="00AA184C"/>
    <w:rsid w:val="00AA1B5B"/>
    <w:rsid w:val="00AA236A"/>
    <w:rsid w:val="00AA27AC"/>
    <w:rsid w:val="00AA2F79"/>
    <w:rsid w:val="00AA3826"/>
    <w:rsid w:val="00AA3E2D"/>
    <w:rsid w:val="00AA3F86"/>
    <w:rsid w:val="00AA3FFE"/>
    <w:rsid w:val="00AA426E"/>
    <w:rsid w:val="00AA4830"/>
    <w:rsid w:val="00AA4A10"/>
    <w:rsid w:val="00AA51EB"/>
    <w:rsid w:val="00AA5DD5"/>
    <w:rsid w:val="00AA68EC"/>
    <w:rsid w:val="00AA6A89"/>
    <w:rsid w:val="00AA71A6"/>
    <w:rsid w:val="00AA7775"/>
    <w:rsid w:val="00AA7AE5"/>
    <w:rsid w:val="00AB004B"/>
    <w:rsid w:val="00AB0174"/>
    <w:rsid w:val="00AB08FA"/>
    <w:rsid w:val="00AB0AAD"/>
    <w:rsid w:val="00AB0CD2"/>
    <w:rsid w:val="00AB0E38"/>
    <w:rsid w:val="00AB1012"/>
    <w:rsid w:val="00AB10B0"/>
    <w:rsid w:val="00AB2013"/>
    <w:rsid w:val="00AB24CE"/>
    <w:rsid w:val="00AB274A"/>
    <w:rsid w:val="00AB2EEB"/>
    <w:rsid w:val="00AB3851"/>
    <w:rsid w:val="00AB3B47"/>
    <w:rsid w:val="00AB3B7B"/>
    <w:rsid w:val="00AB4B2B"/>
    <w:rsid w:val="00AB4B90"/>
    <w:rsid w:val="00AB5292"/>
    <w:rsid w:val="00AB58E0"/>
    <w:rsid w:val="00AB5A03"/>
    <w:rsid w:val="00AB5E78"/>
    <w:rsid w:val="00AB603E"/>
    <w:rsid w:val="00AB6AA6"/>
    <w:rsid w:val="00AB78D0"/>
    <w:rsid w:val="00AB7CAF"/>
    <w:rsid w:val="00AB7E5F"/>
    <w:rsid w:val="00AC04B6"/>
    <w:rsid w:val="00AC05F9"/>
    <w:rsid w:val="00AC0A9D"/>
    <w:rsid w:val="00AC0ACB"/>
    <w:rsid w:val="00AC1589"/>
    <w:rsid w:val="00AC1605"/>
    <w:rsid w:val="00AC1C69"/>
    <w:rsid w:val="00AC21A9"/>
    <w:rsid w:val="00AC2612"/>
    <w:rsid w:val="00AC2653"/>
    <w:rsid w:val="00AC2ADC"/>
    <w:rsid w:val="00AC3698"/>
    <w:rsid w:val="00AC3811"/>
    <w:rsid w:val="00AC426D"/>
    <w:rsid w:val="00AC438F"/>
    <w:rsid w:val="00AC4496"/>
    <w:rsid w:val="00AC45E3"/>
    <w:rsid w:val="00AC4666"/>
    <w:rsid w:val="00AC5CBE"/>
    <w:rsid w:val="00AC64BA"/>
    <w:rsid w:val="00AC6CF2"/>
    <w:rsid w:val="00AC6D24"/>
    <w:rsid w:val="00AC7437"/>
    <w:rsid w:val="00AC7FFB"/>
    <w:rsid w:val="00AD0097"/>
    <w:rsid w:val="00AD03BF"/>
    <w:rsid w:val="00AD0925"/>
    <w:rsid w:val="00AD0C17"/>
    <w:rsid w:val="00AD1142"/>
    <w:rsid w:val="00AD1BDF"/>
    <w:rsid w:val="00AD1D1E"/>
    <w:rsid w:val="00AD1DFF"/>
    <w:rsid w:val="00AD3255"/>
    <w:rsid w:val="00AD3897"/>
    <w:rsid w:val="00AD50F9"/>
    <w:rsid w:val="00AD5417"/>
    <w:rsid w:val="00AD6035"/>
    <w:rsid w:val="00AD649E"/>
    <w:rsid w:val="00AD6AC9"/>
    <w:rsid w:val="00AD7431"/>
    <w:rsid w:val="00AD7F0E"/>
    <w:rsid w:val="00AE01C2"/>
    <w:rsid w:val="00AE09CD"/>
    <w:rsid w:val="00AE0E23"/>
    <w:rsid w:val="00AE181E"/>
    <w:rsid w:val="00AE1C55"/>
    <w:rsid w:val="00AE201F"/>
    <w:rsid w:val="00AE23AB"/>
    <w:rsid w:val="00AE28DC"/>
    <w:rsid w:val="00AE3257"/>
    <w:rsid w:val="00AE3669"/>
    <w:rsid w:val="00AE3D5E"/>
    <w:rsid w:val="00AE4995"/>
    <w:rsid w:val="00AE4DC3"/>
    <w:rsid w:val="00AE542F"/>
    <w:rsid w:val="00AE5593"/>
    <w:rsid w:val="00AE59DA"/>
    <w:rsid w:val="00AE5A8A"/>
    <w:rsid w:val="00AE6143"/>
    <w:rsid w:val="00AE62E1"/>
    <w:rsid w:val="00AE6602"/>
    <w:rsid w:val="00AE6D09"/>
    <w:rsid w:val="00AE7293"/>
    <w:rsid w:val="00AE7C88"/>
    <w:rsid w:val="00AF01C3"/>
    <w:rsid w:val="00AF01C4"/>
    <w:rsid w:val="00AF1088"/>
    <w:rsid w:val="00AF1B96"/>
    <w:rsid w:val="00AF21AF"/>
    <w:rsid w:val="00AF251E"/>
    <w:rsid w:val="00AF26E4"/>
    <w:rsid w:val="00AF2CAE"/>
    <w:rsid w:val="00AF30A5"/>
    <w:rsid w:val="00AF30E8"/>
    <w:rsid w:val="00AF3350"/>
    <w:rsid w:val="00AF3B3C"/>
    <w:rsid w:val="00AF44AC"/>
    <w:rsid w:val="00AF4900"/>
    <w:rsid w:val="00AF4C91"/>
    <w:rsid w:val="00AF4EE6"/>
    <w:rsid w:val="00AF5734"/>
    <w:rsid w:val="00AF65E5"/>
    <w:rsid w:val="00AF678E"/>
    <w:rsid w:val="00AF6931"/>
    <w:rsid w:val="00AF6A88"/>
    <w:rsid w:val="00AF6AD0"/>
    <w:rsid w:val="00B0139F"/>
    <w:rsid w:val="00B0192A"/>
    <w:rsid w:val="00B01F30"/>
    <w:rsid w:val="00B020DD"/>
    <w:rsid w:val="00B02BFD"/>
    <w:rsid w:val="00B03082"/>
    <w:rsid w:val="00B0312B"/>
    <w:rsid w:val="00B03616"/>
    <w:rsid w:val="00B036AB"/>
    <w:rsid w:val="00B036BC"/>
    <w:rsid w:val="00B0392C"/>
    <w:rsid w:val="00B03AD0"/>
    <w:rsid w:val="00B04563"/>
    <w:rsid w:val="00B045A1"/>
    <w:rsid w:val="00B04F32"/>
    <w:rsid w:val="00B054FD"/>
    <w:rsid w:val="00B056A5"/>
    <w:rsid w:val="00B05BB0"/>
    <w:rsid w:val="00B05D21"/>
    <w:rsid w:val="00B06C15"/>
    <w:rsid w:val="00B06FDF"/>
    <w:rsid w:val="00B07524"/>
    <w:rsid w:val="00B07AFE"/>
    <w:rsid w:val="00B07BEA"/>
    <w:rsid w:val="00B07CA7"/>
    <w:rsid w:val="00B10B5F"/>
    <w:rsid w:val="00B10B6D"/>
    <w:rsid w:val="00B10F9B"/>
    <w:rsid w:val="00B11436"/>
    <w:rsid w:val="00B11505"/>
    <w:rsid w:val="00B11691"/>
    <w:rsid w:val="00B1296E"/>
    <w:rsid w:val="00B13818"/>
    <w:rsid w:val="00B13B5E"/>
    <w:rsid w:val="00B13D47"/>
    <w:rsid w:val="00B146B5"/>
    <w:rsid w:val="00B147D2"/>
    <w:rsid w:val="00B1480B"/>
    <w:rsid w:val="00B14B3E"/>
    <w:rsid w:val="00B154B3"/>
    <w:rsid w:val="00B15F45"/>
    <w:rsid w:val="00B16064"/>
    <w:rsid w:val="00B165E0"/>
    <w:rsid w:val="00B16703"/>
    <w:rsid w:val="00B173EA"/>
    <w:rsid w:val="00B176D9"/>
    <w:rsid w:val="00B17C8F"/>
    <w:rsid w:val="00B17CF0"/>
    <w:rsid w:val="00B17F40"/>
    <w:rsid w:val="00B219BA"/>
    <w:rsid w:val="00B21A5C"/>
    <w:rsid w:val="00B21DFA"/>
    <w:rsid w:val="00B226A2"/>
    <w:rsid w:val="00B23408"/>
    <w:rsid w:val="00B23846"/>
    <w:rsid w:val="00B2415A"/>
    <w:rsid w:val="00B247C1"/>
    <w:rsid w:val="00B2513F"/>
    <w:rsid w:val="00B2541B"/>
    <w:rsid w:val="00B25894"/>
    <w:rsid w:val="00B25B09"/>
    <w:rsid w:val="00B2603B"/>
    <w:rsid w:val="00B267CE"/>
    <w:rsid w:val="00B26863"/>
    <w:rsid w:val="00B26BB5"/>
    <w:rsid w:val="00B26F7C"/>
    <w:rsid w:val="00B2766E"/>
    <w:rsid w:val="00B277F8"/>
    <w:rsid w:val="00B30539"/>
    <w:rsid w:val="00B3082A"/>
    <w:rsid w:val="00B308CF"/>
    <w:rsid w:val="00B308D8"/>
    <w:rsid w:val="00B31352"/>
    <w:rsid w:val="00B313D4"/>
    <w:rsid w:val="00B31C15"/>
    <w:rsid w:val="00B32E2A"/>
    <w:rsid w:val="00B33893"/>
    <w:rsid w:val="00B33E43"/>
    <w:rsid w:val="00B34500"/>
    <w:rsid w:val="00B34D09"/>
    <w:rsid w:val="00B354BC"/>
    <w:rsid w:val="00B3628A"/>
    <w:rsid w:val="00B36EED"/>
    <w:rsid w:val="00B37343"/>
    <w:rsid w:val="00B37474"/>
    <w:rsid w:val="00B37C6E"/>
    <w:rsid w:val="00B37EFF"/>
    <w:rsid w:val="00B411AF"/>
    <w:rsid w:val="00B41596"/>
    <w:rsid w:val="00B416F5"/>
    <w:rsid w:val="00B4224F"/>
    <w:rsid w:val="00B43391"/>
    <w:rsid w:val="00B44936"/>
    <w:rsid w:val="00B44B6E"/>
    <w:rsid w:val="00B451B3"/>
    <w:rsid w:val="00B45A4D"/>
    <w:rsid w:val="00B4604F"/>
    <w:rsid w:val="00B465E6"/>
    <w:rsid w:val="00B46F80"/>
    <w:rsid w:val="00B470C6"/>
    <w:rsid w:val="00B50908"/>
    <w:rsid w:val="00B5130C"/>
    <w:rsid w:val="00B513F3"/>
    <w:rsid w:val="00B52442"/>
    <w:rsid w:val="00B52F08"/>
    <w:rsid w:val="00B53260"/>
    <w:rsid w:val="00B533C1"/>
    <w:rsid w:val="00B534B0"/>
    <w:rsid w:val="00B53AD8"/>
    <w:rsid w:val="00B5414A"/>
    <w:rsid w:val="00B5421B"/>
    <w:rsid w:val="00B5451D"/>
    <w:rsid w:val="00B55296"/>
    <w:rsid w:val="00B553F2"/>
    <w:rsid w:val="00B5593D"/>
    <w:rsid w:val="00B55ABF"/>
    <w:rsid w:val="00B55C05"/>
    <w:rsid w:val="00B56A8D"/>
    <w:rsid w:val="00B56B07"/>
    <w:rsid w:val="00B57055"/>
    <w:rsid w:val="00B57250"/>
    <w:rsid w:val="00B5737C"/>
    <w:rsid w:val="00B60CAF"/>
    <w:rsid w:val="00B619B7"/>
    <w:rsid w:val="00B61B96"/>
    <w:rsid w:val="00B61BD5"/>
    <w:rsid w:val="00B61EF4"/>
    <w:rsid w:val="00B61F36"/>
    <w:rsid w:val="00B622C9"/>
    <w:rsid w:val="00B62619"/>
    <w:rsid w:val="00B62C89"/>
    <w:rsid w:val="00B63319"/>
    <w:rsid w:val="00B635BE"/>
    <w:rsid w:val="00B63951"/>
    <w:rsid w:val="00B63B46"/>
    <w:rsid w:val="00B6438E"/>
    <w:rsid w:val="00B6457B"/>
    <w:rsid w:val="00B6490B"/>
    <w:rsid w:val="00B64E56"/>
    <w:rsid w:val="00B6586A"/>
    <w:rsid w:val="00B669A5"/>
    <w:rsid w:val="00B7022E"/>
    <w:rsid w:val="00B70886"/>
    <w:rsid w:val="00B70C1D"/>
    <w:rsid w:val="00B7318F"/>
    <w:rsid w:val="00B735A1"/>
    <w:rsid w:val="00B7397D"/>
    <w:rsid w:val="00B7472D"/>
    <w:rsid w:val="00B74E56"/>
    <w:rsid w:val="00B7587A"/>
    <w:rsid w:val="00B75AA1"/>
    <w:rsid w:val="00B766A5"/>
    <w:rsid w:val="00B76A51"/>
    <w:rsid w:val="00B7712D"/>
    <w:rsid w:val="00B77ECA"/>
    <w:rsid w:val="00B77F6E"/>
    <w:rsid w:val="00B8019A"/>
    <w:rsid w:val="00B80E8C"/>
    <w:rsid w:val="00B81162"/>
    <w:rsid w:val="00B812B0"/>
    <w:rsid w:val="00B814C2"/>
    <w:rsid w:val="00B81660"/>
    <w:rsid w:val="00B82FA5"/>
    <w:rsid w:val="00B8362E"/>
    <w:rsid w:val="00B836FA"/>
    <w:rsid w:val="00B8378E"/>
    <w:rsid w:val="00B83A3D"/>
    <w:rsid w:val="00B8425D"/>
    <w:rsid w:val="00B84AB9"/>
    <w:rsid w:val="00B85D91"/>
    <w:rsid w:val="00B8665A"/>
    <w:rsid w:val="00B9044B"/>
    <w:rsid w:val="00B90777"/>
    <w:rsid w:val="00B90807"/>
    <w:rsid w:val="00B9097B"/>
    <w:rsid w:val="00B90C3A"/>
    <w:rsid w:val="00B90DB4"/>
    <w:rsid w:val="00B90EE9"/>
    <w:rsid w:val="00B90F8C"/>
    <w:rsid w:val="00B911FE"/>
    <w:rsid w:val="00B91FAA"/>
    <w:rsid w:val="00B91FEC"/>
    <w:rsid w:val="00B925F5"/>
    <w:rsid w:val="00B93654"/>
    <w:rsid w:val="00B93AB3"/>
    <w:rsid w:val="00B93D71"/>
    <w:rsid w:val="00B94A4B"/>
    <w:rsid w:val="00B94E5B"/>
    <w:rsid w:val="00B9542A"/>
    <w:rsid w:val="00B95719"/>
    <w:rsid w:val="00B957DE"/>
    <w:rsid w:val="00B9587E"/>
    <w:rsid w:val="00B96546"/>
    <w:rsid w:val="00B96D69"/>
    <w:rsid w:val="00B96DB0"/>
    <w:rsid w:val="00B97030"/>
    <w:rsid w:val="00B97885"/>
    <w:rsid w:val="00BA07C0"/>
    <w:rsid w:val="00BA0C41"/>
    <w:rsid w:val="00BA1FBF"/>
    <w:rsid w:val="00BA2CA0"/>
    <w:rsid w:val="00BA2DE3"/>
    <w:rsid w:val="00BA313D"/>
    <w:rsid w:val="00BA33FB"/>
    <w:rsid w:val="00BA3D67"/>
    <w:rsid w:val="00BA42D2"/>
    <w:rsid w:val="00BA44AF"/>
    <w:rsid w:val="00BA4AB4"/>
    <w:rsid w:val="00BA4D1A"/>
    <w:rsid w:val="00BA5438"/>
    <w:rsid w:val="00BA6EC3"/>
    <w:rsid w:val="00BA7567"/>
    <w:rsid w:val="00BB010F"/>
    <w:rsid w:val="00BB1372"/>
    <w:rsid w:val="00BB159A"/>
    <w:rsid w:val="00BB1627"/>
    <w:rsid w:val="00BB172A"/>
    <w:rsid w:val="00BB1FDA"/>
    <w:rsid w:val="00BB22FB"/>
    <w:rsid w:val="00BB26EB"/>
    <w:rsid w:val="00BB2B7C"/>
    <w:rsid w:val="00BB2BAD"/>
    <w:rsid w:val="00BB2C3D"/>
    <w:rsid w:val="00BB2FC9"/>
    <w:rsid w:val="00BB307E"/>
    <w:rsid w:val="00BB37D5"/>
    <w:rsid w:val="00BB3A44"/>
    <w:rsid w:val="00BB3C3A"/>
    <w:rsid w:val="00BB3DA4"/>
    <w:rsid w:val="00BB438A"/>
    <w:rsid w:val="00BB5080"/>
    <w:rsid w:val="00BB5087"/>
    <w:rsid w:val="00BB51FE"/>
    <w:rsid w:val="00BB5F01"/>
    <w:rsid w:val="00BB62EA"/>
    <w:rsid w:val="00BB63BB"/>
    <w:rsid w:val="00BB6612"/>
    <w:rsid w:val="00BB6B20"/>
    <w:rsid w:val="00BB6E82"/>
    <w:rsid w:val="00BB75DF"/>
    <w:rsid w:val="00BB7748"/>
    <w:rsid w:val="00BB7932"/>
    <w:rsid w:val="00BB7D23"/>
    <w:rsid w:val="00BB7D45"/>
    <w:rsid w:val="00BC03F3"/>
    <w:rsid w:val="00BC08A0"/>
    <w:rsid w:val="00BC0A7F"/>
    <w:rsid w:val="00BC0FB9"/>
    <w:rsid w:val="00BC1546"/>
    <w:rsid w:val="00BC294F"/>
    <w:rsid w:val="00BC300E"/>
    <w:rsid w:val="00BC3524"/>
    <w:rsid w:val="00BC4090"/>
    <w:rsid w:val="00BC4693"/>
    <w:rsid w:val="00BC4725"/>
    <w:rsid w:val="00BC4A50"/>
    <w:rsid w:val="00BC4DA2"/>
    <w:rsid w:val="00BC569B"/>
    <w:rsid w:val="00BC6E22"/>
    <w:rsid w:val="00BC73A4"/>
    <w:rsid w:val="00BC79D3"/>
    <w:rsid w:val="00BC7EBC"/>
    <w:rsid w:val="00BD008D"/>
    <w:rsid w:val="00BD0319"/>
    <w:rsid w:val="00BD11BF"/>
    <w:rsid w:val="00BD1804"/>
    <w:rsid w:val="00BD1A78"/>
    <w:rsid w:val="00BD2F2D"/>
    <w:rsid w:val="00BD314F"/>
    <w:rsid w:val="00BD374C"/>
    <w:rsid w:val="00BD3AFD"/>
    <w:rsid w:val="00BD54F1"/>
    <w:rsid w:val="00BD5B71"/>
    <w:rsid w:val="00BD62F5"/>
    <w:rsid w:val="00BD6826"/>
    <w:rsid w:val="00BD7187"/>
    <w:rsid w:val="00BD755C"/>
    <w:rsid w:val="00BD7850"/>
    <w:rsid w:val="00BD7854"/>
    <w:rsid w:val="00BD7923"/>
    <w:rsid w:val="00BE034F"/>
    <w:rsid w:val="00BE0584"/>
    <w:rsid w:val="00BE0872"/>
    <w:rsid w:val="00BE1C7F"/>
    <w:rsid w:val="00BE2985"/>
    <w:rsid w:val="00BE3947"/>
    <w:rsid w:val="00BE40E2"/>
    <w:rsid w:val="00BE4CA3"/>
    <w:rsid w:val="00BE548D"/>
    <w:rsid w:val="00BE623A"/>
    <w:rsid w:val="00BE6C8D"/>
    <w:rsid w:val="00BE6D53"/>
    <w:rsid w:val="00BE6EAD"/>
    <w:rsid w:val="00BE765C"/>
    <w:rsid w:val="00BE7D86"/>
    <w:rsid w:val="00BF01E3"/>
    <w:rsid w:val="00BF0CA9"/>
    <w:rsid w:val="00BF0E37"/>
    <w:rsid w:val="00BF114B"/>
    <w:rsid w:val="00BF1253"/>
    <w:rsid w:val="00BF1861"/>
    <w:rsid w:val="00BF1A4D"/>
    <w:rsid w:val="00BF1E53"/>
    <w:rsid w:val="00BF2A36"/>
    <w:rsid w:val="00BF3919"/>
    <w:rsid w:val="00BF3ECB"/>
    <w:rsid w:val="00BF43C1"/>
    <w:rsid w:val="00BF44BE"/>
    <w:rsid w:val="00BF4B84"/>
    <w:rsid w:val="00BF5465"/>
    <w:rsid w:val="00BF55B7"/>
    <w:rsid w:val="00BF6A30"/>
    <w:rsid w:val="00BF6B77"/>
    <w:rsid w:val="00BF704B"/>
    <w:rsid w:val="00BF73FE"/>
    <w:rsid w:val="00BF7B66"/>
    <w:rsid w:val="00BF7CF2"/>
    <w:rsid w:val="00C00420"/>
    <w:rsid w:val="00C01278"/>
    <w:rsid w:val="00C014B2"/>
    <w:rsid w:val="00C016B7"/>
    <w:rsid w:val="00C016CA"/>
    <w:rsid w:val="00C01BC8"/>
    <w:rsid w:val="00C0203E"/>
    <w:rsid w:val="00C02B5F"/>
    <w:rsid w:val="00C02E52"/>
    <w:rsid w:val="00C0306E"/>
    <w:rsid w:val="00C037AE"/>
    <w:rsid w:val="00C03891"/>
    <w:rsid w:val="00C04156"/>
    <w:rsid w:val="00C0426D"/>
    <w:rsid w:val="00C046E5"/>
    <w:rsid w:val="00C05A3A"/>
    <w:rsid w:val="00C05E37"/>
    <w:rsid w:val="00C062F4"/>
    <w:rsid w:val="00C063A3"/>
    <w:rsid w:val="00C06598"/>
    <w:rsid w:val="00C06B67"/>
    <w:rsid w:val="00C0710C"/>
    <w:rsid w:val="00C07166"/>
    <w:rsid w:val="00C07923"/>
    <w:rsid w:val="00C07A3B"/>
    <w:rsid w:val="00C10170"/>
    <w:rsid w:val="00C1035A"/>
    <w:rsid w:val="00C10C7A"/>
    <w:rsid w:val="00C10D2D"/>
    <w:rsid w:val="00C115AB"/>
    <w:rsid w:val="00C116DE"/>
    <w:rsid w:val="00C11E9A"/>
    <w:rsid w:val="00C11F9B"/>
    <w:rsid w:val="00C12DA9"/>
    <w:rsid w:val="00C12DBF"/>
    <w:rsid w:val="00C12E5E"/>
    <w:rsid w:val="00C13383"/>
    <w:rsid w:val="00C13E65"/>
    <w:rsid w:val="00C1410C"/>
    <w:rsid w:val="00C141C5"/>
    <w:rsid w:val="00C1474A"/>
    <w:rsid w:val="00C148D7"/>
    <w:rsid w:val="00C14D93"/>
    <w:rsid w:val="00C1533F"/>
    <w:rsid w:val="00C15620"/>
    <w:rsid w:val="00C15CC7"/>
    <w:rsid w:val="00C15E2B"/>
    <w:rsid w:val="00C15FE7"/>
    <w:rsid w:val="00C17035"/>
    <w:rsid w:val="00C173CF"/>
    <w:rsid w:val="00C17466"/>
    <w:rsid w:val="00C204C9"/>
    <w:rsid w:val="00C209AC"/>
    <w:rsid w:val="00C210F2"/>
    <w:rsid w:val="00C21482"/>
    <w:rsid w:val="00C21819"/>
    <w:rsid w:val="00C21B4E"/>
    <w:rsid w:val="00C223C5"/>
    <w:rsid w:val="00C226BA"/>
    <w:rsid w:val="00C23681"/>
    <w:rsid w:val="00C2386D"/>
    <w:rsid w:val="00C2421B"/>
    <w:rsid w:val="00C24E90"/>
    <w:rsid w:val="00C25003"/>
    <w:rsid w:val="00C25651"/>
    <w:rsid w:val="00C25773"/>
    <w:rsid w:val="00C259E7"/>
    <w:rsid w:val="00C26372"/>
    <w:rsid w:val="00C26557"/>
    <w:rsid w:val="00C26AC2"/>
    <w:rsid w:val="00C27321"/>
    <w:rsid w:val="00C273AB"/>
    <w:rsid w:val="00C279AB"/>
    <w:rsid w:val="00C27D39"/>
    <w:rsid w:val="00C30026"/>
    <w:rsid w:val="00C312ED"/>
    <w:rsid w:val="00C31B25"/>
    <w:rsid w:val="00C324AC"/>
    <w:rsid w:val="00C329C9"/>
    <w:rsid w:val="00C32BED"/>
    <w:rsid w:val="00C32BF1"/>
    <w:rsid w:val="00C33047"/>
    <w:rsid w:val="00C33483"/>
    <w:rsid w:val="00C33641"/>
    <w:rsid w:val="00C33F57"/>
    <w:rsid w:val="00C3439B"/>
    <w:rsid w:val="00C34A27"/>
    <w:rsid w:val="00C34B6C"/>
    <w:rsid w:val="00C36166"/>
    <w:rsid w:val="00C36174"/>
    <w:rsid w:val="00C369DF"/>
    <w:rsid w:val="00C36DE0"/>
    <w:rsid w:val="00C36ED9"/>
    <w:rsid w:val="00C374B5"/>
    <w:rsid w:val="00C3750A"/>
    <w:rsid w:val="00C37756"/>
    <w:rsid w:val="00C3778D"/>
    <w:rsid w:val="00C37898"/>
    <w:rsid w:val="00C408D5"/>
    <w:rsid w:val="00C40E6B"/>
    <w:rsid w:val="00C4110D"/>
    <w:rsid w:val="00C41178"/>
    <w:rsid w:val="00C426C9"/>
    <w:rsid w:val="00C42AD3"/>
    <w:rsid w:val="00C43573"/>
    <w:rsid w:val="00C4366C"/>
    <w:rsid w:val="00C43AF1"/>
    <w:rsid w:val="00C43F42"/>
    <w:rsid w:val="00C441E2"/>
    <w:rsid w:val="00C4434C"/>
    <w:rsid w:val="00C44A6F"/>
    <w:rsid w:val="00C451F6"/>
    <w:rsid w:val="00C452C1"/>
    <w:rsid w:val="00C45E01"/>
    <w:rsid w:val="00C46C2C"/>
    <w:rsid w:val="00C47093"/>
    <w:rsid w:val="00C50197"/>
    <w:rsid w:val="00C50D51"/>
    <w:rsid w:val="00C50E84"/>
    <w:rsid w:val="00C50EEC"/>
    <w:rsid w:val="00C51060"/>
    <w:rsid w:val="00C510DA"/>
    <w:rsid w:val="00C513E0"/>
    <w:rsid w:val="00C52285"/>
    <w:rsid w:val="00C52542"/>
    <w:rsid w:val="00C52B6A"/>
    <w:rsid w:val="00C52FC1"/>
    <w:rsid w:val="00C535EC"/>
    <w:rsid w:val="00C5457C"/>
    <w:rsid w:val="00C54AF0"/>
    <w:rsid w:val="00C5529A"/>
    <w:rsid w:val="00C552A4"/>
    <w:rsid w:val="00C56F3E"/>
    <w:rsid w:val="00C578F6"/>
    <w:rsid w:val="00C57D0C"/>
    <w:rsid w:val="00C57E97"/>
    <w:rsid w:val="00C60221"/>
    <w:rsid w:val="00C60767"/>
    <w:rsid w:val="00C6097B"/>
    <w:rsid w:val="00C60A03"/>
    <w:rsid w:val="00C60C30"/>
    <w:rsid w:val="00C617E0"/>
    <w:rsid w:val="00C61AE4"/>
    <w:rsid w:val="00C61C57"/>
    <w:rsid w:val="00C61E2D"/>
    <w:rsid w:val="00C62064"/>
    <w:rsid w:val="00C6239E"/>
    <w:rsid w:val="00C62F12"/>
    <w:rsid w:val="00C63004"/>
    <w:rsid w:val="00C630A9"/>
    <w:rsid w:val="00C6320F"/>
    <w:rsid w:val="00C6334C"/>
    <w:rsid w:val="00C641BD"/>
    <w:rsid w:val="00C64940"/>
    <w:rsid w:val="00C64DC4"/>
    <w:rsid w:val="00C6533D"/>
    <w:rsid w:val="00C65439"/>
    <w:rsid w:val="00C6582E"/>
    <w:rsid w:val="00C65856"/>
    <w:rsid w:val="00C667E6"/>
    <w:rsid w:val="00C678B3"/>
    <w:rsid w:val="00C67BBE"/>
    <w:rsid w:val="00C716A8"/>
    <w:rsid w:val="00C71A4A"/>
    <w:rsid w:val="00C720DC"/>
    <w:rsid w:val="00C73775"/>
    <w:rsid w:val="00C73CB2"/>
    <w:rsid w:val="00C73D70"/>
    <w:rsid w:val="00C7430F"/>
    <w:rsid w:val="00C74821"/>
    <w:rsid w:val="00C74CC1"/>
    <w:rsid w:val="00C74E7B"/>
    <w:rsid w:val="00C753CD"/>
    <w:rsid w:val="00C75E7D"/>
    <w:rsid w:val="00C7658C"/>
    <w:rsid w:val="00C76AA2"/>
    <w:rsid w:val="00C76C02"/>
    <w:rsid w:val="00C77165"/>
    <w:rsid w:val="00C7736B"/>
    <w:rsid w:val="00C77717"/>
    <w:rsid w:val="00C7784A"/>
    <w:rsid w:val="00C77B9D"/>
    <w:rsid w:val="00C803D0"/>
    <w:rsid w:val="00C812AD"/>
    <w:rsid w:val="00C8143B"/>
    <w:rsid w:val="00C8152F"/>
    <w:rsid w:val="00C81743"/>
    <w:rsid w:val="00C8227A"/>
    <w:rsid w:val="00C82799"/>
    <w:rsid w:val="00C84AA2"/>
    <w:rsid w:val="00C84E3E"/>
    <w:rsid w:val="00C85015"/>
    <w:rsid w:val="00C8578B"/>
    <w:rsid w:val="00C85EA2"/>
    <w:rsid w:val="00C86158"/>
    <w:rsid w:val="00C866F9"/>
    <w:rsid w:val="00C8716C"/>
    <w:rsid w:val="00C872DC"/>
    <w:rsid w:val="00C872F9"/>
    <w:rsid w:val="00C90248"/>
    <w:rsid w:val="00C90FA3"/>
    <w:rsid w:val="00C914E1"/>
    <w:rsid w:val="00C91BC3"/>
    <w:rsid w:val="00C91EEB"/>
    <w:rsid w:val="00C92468"/>
    <w:rsid w:val="00C92D77"/>
    <w:rsid w:val="00C92D87"/>
    <w:rsid w:val="00C92F32"/>
    <w:rsid w:val="00C93133"/>
    <w:rsid w:val="00C9330F"/>
    <w:rsid w:val="00C93373"/>
    <w:rsid w:val="00C936B3"/>
    <w:rsid w:val="00C93CBA"/>
    <w:rsid w:val="00C93FF2"/>
    <w:rsid w:val="00C946D3"/>
    <w:rsid w:val="00C94CB3"/>
    <w:rsid w:val="00C9530A"/>
    <w:rsid w:val="00C95954"/>
    <w:rsid w:val="00C95978"/>
    <w:rsid w:val="00C961E2"/>
    <w:rsid w:val="00C963F1"/>
    <w:rsid w:val="00C965D7"/>
    <w:rsid w:val="00C97537"/>
    <w:rsid w:val="00C97591"/>
    <w:rsid w:val="00CA166C"/>
    <w:rsid w:val="00CA167E"/>
    <w:rsid w:val="00CA1A5A"/>
    <w:rsid w:val="00CA241B"/>
    <w:rsid w:val="00CA25AF"/>
    <w:rsid w:val="00CA2892"/>
    <w:rsid w:val="00CA2EAD"/>
    <w:rsid w:val="00CA30BE"/>
    <w:rsid w:val="00CA3A70"/>
    <w:rsid w:val="00CA3B9D"/>
    <w:rsid w:val="00CA3CDE"/>
    <w:rsid w:val="00CA44D6"/>
    <w:rsid w:val="00CA48FE"/>
    <w:rsid w:val="00CA5F69"/>
    <w:rsid w:val="00CA62E8"/>
    <w:rsid w:val="00CA6971"/>
    <w:rsid w:val="00CA6D01"/>
    <w:rsid w:val="00CB0099"/>
    <w:rsid w:val="00CB075B"/>
    <w:rsid w:val="00CB0B7E"/>
    <w:rsid w:val="00CB18CC"/>
    <w:rsid w:val="00CB1C54"/>
    <w:rsid w:val="00CB2D71"/>
    <w:rsid w:val="00CB2D98"/>
    <w:rsid w:val="00CB3551"/>
    <w:rsid w:val="00CB3AEC"/>
    <w:rsid w:val="00CB4319"/>
    <w:rsid w:val="00CB48F6"/>
    <w:rsid w:val="00CB4FDD"/>
    <w:rsid w:val="00CB5919"/>
    <w:rsid w:val="00CB5AC1"/>
    <w:rsid w:val="00CB5C4C"/>
    <w:rsid w:val="00CB648C"/>
    <w:rsid w:val="00CB7346"/>
    <w:rsid w:val="00CC033A"/>
    <w:rsid w:val="00CC04BC"/>
    <w:rsid w:val="00CC04CC"/>
    <w:rsid w:val="00CC0FA4"/>
    <w:rsid w:val="00CC111F"/>
    <w:rsid w:val="00CC18E7"/>
    <w:rsid w:val="00CC1936"/>
    <w:rsid w:val="00CC1DF8"/>
    <w:rsid w:val="00CC1FF3"/>
    <w:rsid w:val="00CC22D7"/>
    <w:rsid w:val="00CC2648"/>
    <w:rsid w:val="00CC4004"/>
    <w:rsid w:val="00CC47D7"/>
    <w:rsid w:val="00CC4B24"/>
    <w:rsid w:val="00CC4F4E"/>
    <w:rsid w:val="00CC5103"/>
    <w:rsid w:val="00CC5C47"/>
    <w:rsid w:val="00CC601A"/>
    <w:rsid w:val="00CC60E2"/>
    <w:rsid w:val="00CC6DA3"/>
    <w:rsid w:val="00CC73EB"/>
    <w:rsid w:val="00CC7A2D"/>
    <w:rsid w:val="00CC7E92"/>
    <w:rsid w:val="00CD0C19"/>
    <w:rsid w:val="00CD0EBD"/>
    <w:rsid w:val="00CD1260"/>
    <w:rsid w:val="00CD18D5"/>
    <w:rsid w:val="00CD2070"/>
    <w:rsid w:val="00CD266B"/>
    <w:rsid w:val="00CD2BE7"/>
    <w:rsid w:val="00CD3566"/>
    <w:rsid w:val="00CD39FC"/>
    <w:rsid w:val="00CD3A5A"/>
    <w:rsid w:val="00CD4555"/>
    <w:rsid w:val="00CD45DC"/>
    <w:rsid w:val="00CD4A10"/>
    <w:rsid w:val="00CD4D5A"/>
    <w:rsid w:val="00CD50DC"/>
    <w:rsid w:val="00CD554E"/>
    <w:rsid w:val="00CD6192"/>
    <w:rsid w:val="00CD6A62"/>
    <w:rsid w:val="00CD75DE"/>
    <w:rsid w:val="00CD7E34"/>
    <w:rsid w:val="00CE04BA"/>
    <w:rsid w:val="00CE06C5"/>
    <w:rsid w:val="00CE0BAB"/>
    <w:rsid w:val="00CE0EAA"/>
    <w:rsid w:val="00CE1598"/>
    <w:rsid w:val="00CE15C2"/>
    <w:rsid w:val="00CE1879"/>
    <w:rsid w:val="00CE1932"/>
    <w:rsid w:val="00CE1A4F"/>
    <w:rsid w:val="00CE1DA1"/>
    <w:rsid w:val="00CE2012"/>
    <w:rsid w:val="00CE28A8"/>
    <w:rsid w:val="00CE2D45"/>
    <w:rsid w:val="00CE2E46"/>
    <w:rsid w:val="00CE2EE4"/>
    <w:rsid w:val="00CE31FD"/>
    <w:rsid w:val="00CE3765"/>
    <w:rsid w:val="00CE3810"/>
    <w:rsid w:val="00CE393F"/>
    <w:rsid w:val="00CE3FF5"/>
    <w:rsid w:val="00CE41D6"/>
    <w:rsid w:val="00CE47FB"/>
    <w:rsid w:val="00CE530B"/>
    <w:rsid w:val="00CE5696"/>
    <w:rsid w:val="00CE59FC"/>
    <w:rsid w:val="00CE5E58"/>
    <w:rsid w:val="00CE6119"/>
    <w:rsid w:val="00CE704A"/>
    <w:rsid w:val="00CE7C79"/>
    <w:rsid w:val="00CE7F5E"/>
    <w:rsid w:val="00CF00F0"/>
    <w:rsid w:val="00CF0778"/>
    <w:rsid w:val="00CF07C6"/>
    <w:rsid w:val="00CF0B4B"/>
    <w:rsid w:val="00CF1439"/>
    <w:rsid w:val="00CF196D"/>
    <w:rsid w:val="00CF1B1E"/>
    <w:rsid w:val="00CF1C20"/>
    <w:rsid w:val="00CF23A6"/>
    <w:rsid w:val="00CF3621"/>
    <w:rsid w:val="00CF418C"/>
    <w:rsid w:val="00CF4482"/>
    <w:rsid w:val="00CF4A54"/>
    <w:rsid w:val="00CF57CC"/>
    <w:rsid w:val="00CF5A10"/>
    <w:rsid w:val="00CF5FC0"/>
    <w:rsid w:val="00CF66E4"/>
    <w:rsid w:val="00CF6851"/>
    <w:rsid w:val="00CF7A2B"/>
    <w:rsid w:val="00CF7C12"/>
    <w:rsid w:val="00CF7DCA"/>
    <w:rsid w:val="00D00257"/>
    <w:rsid w:val="00D00DB1"/>
    <w:rsid w:val="00D00EB7"/>
    <w:rsid w:val="00D01325"/>
    <w:rsid w:val="00D02603"/>
    <w:rsid w:val="00D0267F"/>
    <w:rsid w:val="00D02B4E"/>
    <w:rsid w:val="00D0328B"/>
    <w:rsid w:val="00D049DE"/>
    <w:rsid w:val="00D04DA7"/>
    <w:rsid w:val="00D05632"/>
    <w:rsid w:val="00D0579A"/>
    <w:rsid w:val="00D05EEB"/>
    <w:rsid w:val="00D070AB"/>
    <w:rsid w:val="00D0776C"/>
    <w:rsid w:val="00D077ED"/>
    <w:rsid w:val="00D07C61"/>
    <w:rsid w:val="00D10048"/>
    <w:rsid w:val="00D104B5"/>
    <w:rsid w:val="00D1054B"/>
    <w:rsid w:val="00D10788"/>
    <w:rsid w:val="00D10D12"/>
    <w:rsid w:val="00D111AB"/>
    <w:rsid w:val="00D12844"/>
    <w:rsid w:val="00D129D3"/>
    <w:rsid w:val="00D13B10"/>
    <w:rsid w:val="00D13C89"/>
    <w:rsid w:val="00D140EF"/>
    <w:rsid w:val="00D14325"/>
    <w:rsid w:val="00D1464C"/>
    <w:rsid w:val="00D14B79"/>
    <w:rsid w:val="00D15394"/>
    <w:rsid w:val="00D155A3"/>
    <w:rsid w:val="00D15A6C"/>
    <w:rsid w:val="00D15EAA"/>
    <w:rsid w:val="00D164E5"/>
    <w:rsid w:val="00D16986"/>
    <w:rsid w:val="00D169D7"/>
    <w:rsid w:val="00D16B23"/>
    <w:rsid w:val="00D16CBF"/>
    <w:rsid w:val="00D16DEF"/>
    <w:rsid w:val="00D17DC6"/>
    <w:rsid w:val="00D2044D"/>
    <w:rsid w:val="00D20C3D"/>
    <w:rsid w:val="00D2132A"/>
    <w:rsid w:val="00D21C50"/>
    <w:rsid w:val="00D223F5"/>
    <w:rsid w:val="00D24325"/>
    <w:rsid w:val="00D24452"/>
    <w:rsid w:val="00D24DC2"/>
    <w:rsid w:val="00D24EF9"/>
    <w:rsid w:val="00D2641B"/>
    <w:rsid w:val="00D26B61"/>
    <w:rsid w:val="00D273A2"/>
    <w:rsid w:val="00D27A1D"/>
    <w:rsid w:val="00D31700"/>
    <w:rsid w:val="00D31BF6"/>
    <w:rsid w:val="00D31E19"/>
    <w:rsid w:val="00D31E1A"/>
    <w:rsid w:val="00D32BC5"/>
    <w:rsid w:val="00D33763"/>
    <w:rsid w:val="00D33DDE"/>
    <w:rsid w:val="00D344DF"/>
    <w:rsid w:val="00D3488D"/>
    <w:rsid w:val="00D349E8"/>
    <w:rsid w:val="00D3532C"/>
    <w:rsid w:val="00D35494"/>
    <w:rsid w:val="00D35A01"/>
    <w:rsid w:val="00D35C59"/>
    <w:rsid w:val="00D36529"/>
    <w:rsid w:val="00D37053"/>
    <w:rsid w:val="00D37379"/>
    <w:rsid w:val="00D37AA7"/>
    <w:rsid w:val="00D37FCD"/>
    <w:rsid w:val="00D408DE"/>
    <w:rsid w:val="00D41132"/>
    <w:rsid w:val="00D41317"/>
    <w:rsid w:val="00D416A8"/>
    <w:rsid w:val="00D416FF"/>
    <w:rsid w:val="00D41BE1"/>
    <w:rsid w:val="00D4229D"/>
    <w:rsid w:val="00D42D8E"/>
    <w:rsid w:val="00D42F3B"/>
    <w:rsid w:val="00D4316F"/>
    <w:rsid w:val="00D43335"/>
    <w:rsid w:val="00D44176"/>
    <w:rsid w:val="00D444F4"/>
    <w:rsid w:val="00D44B2E"/>
    <w:rsid w:val="00D44C01"/>
    <w:rsid w:val="00D44D3C"/>
    <w:rsid w:val="00D451B2"/>
    <w:rsid w:val="00D45696"/>
    <w:rsid w:val="00D45BF0"/>
    <w:rsid w:val="00D46554"/>
    <w:rsid w:val="00D4662E"/>
    <w:rsid w:val="00D46F12"/>
    <w:rsid w:val="00D47517"/>
    <w:rsid w:val="00D47B54"/>
    <w:rsid w:val="00D500E0"/>
    <w:rsid w:val="00D52A70"/>
    <w:rsid w:val="00D52E8F"/>
    <w:rsid w:val="00D5337E"/>
    <w:rsid w:val="00D53BC0"/>
    <w:rsid w:val="00D53CF5"/>
    <w:rsid w:val="00D547C6"/>
    <w:rsid w:val="00D54B05"/>
    <w:rsid w:val="00D553D5"/>
    <w:rsid w:val="00D55B69"/>
    <w:rsid w:val="00D55DB3"/>
    <w:rsid w:val="00D55E0C"/>
    <w:rsid w:val="00D5656E"/>
    <w:rsid w:val="00D565B0"/>
    <w:rsid w:val="00D56AA5"/>
    <w:rsid w:val="00D571DF"/>
    <w:rsid w:val="00D6019F"/>
    <w:rsid w:val="00D60408"/>
    <w:rsid w:val="00D60AA7"/>
    <w:rsid w:val="00D616B0"/>
    <w:rsid w:val="00D61D73"/>
    <w:rsid w:val="00D6209C"/>
    <w:rsid w:val="00D62954"/>
    <w:rsid w:val="00D63018"/>
    <w:rsid w:val="00D630E4"/>
    <w:rsid w:val="00D63388"/>
    <w:rsid w:val="00D63410"/>
    <w:rsid w:val="00D63D04"/>
    <w:rsid w:val="00D63E9D"/>
    <w:rsid w:val="00D64426"/>
    <w:rsid w:val="00D6486C"/>
    <w:rsid w:val="00D648DC"/>
    <w:rsid w:val="00D64C8E"/>
    <w:rsid w:val="00D64D4D"/>
    <w:rsid w:val="00D6582D"/>
    <w:rsid w:val="00D66286"/>
    <w:rsid w:val="00D66D3E"/>
    <w:rsid w:val="00D67455"/>
    <w:rsid w:val="00D67E32"/>
    <w:rsid w:val="00D67EF4"/>
    <w:rsid w:val="00D700AC"/>
    <w:rsid w:val="00D706DD"/>
    <w:rsid w:val="00D707F1"/>
    <w:rsid w:val="00D70B5A"/>
    <w:rsid w:val="00D70E8C"/>
    <w:rsid w:val="00D7121E"/>
    <w:rsid w:val="00D71B2E"/>
    <w:rsid w:val="00D72616"/>
    <w:rsid w:val="00D728B7"/>
    <w:rsid w:val="00D72CBF"/>
    <w:rsid w:val="00D72EEB"/>
    <w:rsid w:val="00D733B7"/>
    <w:rsid w:val="00D734EE"/>
    <w:rsid w:val="00D7352C"/>
    <w:rsid w:val="00D73795"/>
    <w:rsid w:val="00D743C9"/>
    <w:rsid w:val="00D7471A"/>
    <w:rsid w:val="00D7515B"/>
    <w:rsid w:val="00D76FD3"/>
    <w:rsid w:val="00D77327"/>
    <w:rsid w:val="00D77586"/>
    <w:rsid w:val="00D777C6"/>
    <w:rsid w:val="00D77FA2"/>
    <w:rsid w:val="00D8145E"/>
    <w:rsid w:val="00D81D69"/>
    <w:rsid w:val="00D81E02"/>
    <w:rsid w:val="00D8261D"/>
    <w:rsid w:val="00D8316D"/>
    <w:rsid w:val="00D831A9"/>
    <w:rsid w:val="00D854D0"/>
    <w:rsid w:val="00D8589A"/>
    <w:rsid w:val="00D859D7"/>
    <w:rsid w:val="00D862B5"/>
    <w:rsid w:val="00D8650E"/>
    <w:rsid w:val="00D865F7"/>
    <w:rsid w:val="00D868D8"/>
    <w:rsid w:val="00D870D4"/>
    <w:rsid w:val="00D8710E"/>
    <w:rsid w:val="00D87529"/>
    <w:rsid w:val="00D876B0"/>
    <w:rsid w:val="00D87A13"/>
    <w:rsid w:val="00D87B68"/>
    <w:rsid w:val="00D90378"/>
    <w:rsid w:val="00D90BC0"/>
    <w:rsid w:val="00D90C81"/>
    <w:rsid w:val="00D910AA"/>
    <w:rsid w:val="00D91274"/>
    <w:rsid w:val="00D91843"/>
    <w:rsid w:val="00D9194F"/>
    <w:rsid w:val="00D9198F"/>
    <w:rsid w:val="00D921A5"/>
    <w:rsid w:val="00D924EF"/>
    <w:rsid w:val="00D926E1"/>
    <w:rsid w:val="00D92776"/>
    <w:rsid w:val="00D92920"/>
    <w:rsid w:val="00D93C71"/>
    <w:rsid w:val="00D93C8A"/>
    <w:rsid w:val="00D93EF6"/>
    <w:rsid w:val="00D948D7"/>
    <w:rsid w:val="00D94A5C"/>
    <w:rsid w:val="00D94F47"/>
    <w:rsid w:val="00D9663A"/>
    <w:rsid w:val="00D96F1D"/>
    <w:rsid w:val="00D9722F"/>
    <w:rsid w:val="00D97E15"/>
    <w:rsid w:val="00DA004B"/>
    <w:rsid w:val="00DA04E4"/>
    <w:rsid w:val="00DA0683"/>
    <w:rsid w:val="00DA0E70"/>
    <w:rsid w:val="00DA14B4"/>
    <w:rsid w:val="00DA2246"/>
    <w:rsid w:val="00DA2A35"/>
    <w:rsid w:val="00DA3395"/>
    <w:rsid w:val="00DA3B73"/>
    <w:rsid w:val="00DA43A5"/>
    <w:rsid w:val="00DA4815"/>
    <w:rsid w:val="00DA4A02"/>
    <w:rsid w:val="00DA4C6F"/>
    <w:rsid w:val="00DA4CE4"/>
    <w:rsid w:val="00DA54A0"/>
    <w:rsid w:val="00DA56FA"/>
    <w:rsid w:val="00DA5997"/>
    <w:rsid w:val="00DA64D2"/>
    <w:rsid w:val="00DA6605"/>
    <w:rsid w:val="00DA7198"/>
    <w:rsid w:val="00DA744A"/>
    <w:rsid w:val="00DA785F"/>
    <w:rsid w:val="00DA78DD"/>
    <w:rsid w:val="00DA7FC3"/>
    <w:rsid w:val="00DB027C"/>
    <w:rsid w:val="00DB0963"/>
    <w:rsid w:val="00DB1211"/>
    <w:rsid w:val="00DB1459"/>
    <w:rsid w:val="00DB27D1"/>
    <w:rsid w:val="00DB3F23"/>
    <w:rsid w:val="00DB41AC"/>
    <w:rsid w:val="00DB42D5"/>
    <w:rsid w:val="00DB443F"/>
    <w:rsid w:val="00DB512F"/>
    <w:rsid w:val="00DB562E"/>
    <w:rsid w:val="00DB56B7"/>
    <w:rsid w:val="00DB5DBB"/>
    <w:rsid w:val="00DB66C5"/>
    <w:rsid w:val="00DC0695"/>
    <w:rsid w:val="00DC1BAE"/>
    <w:rsid w:val="00DC28DF"/>
    <w:rsid w:val="00DC2B02"/>
    <w:rsid w:val="00DC2DD5"/>
    <w:rsid w:val="00DC3D84"/>
    <w:rsid w:val="00DC4074"/>
    <w:rsid w:val="00DC4B6D"/>
    <w:rsid w:val="00DC4EF5"/>
    <w:rsid w:val="00DC53C5"/>
    <w:rsid w:val="00DC548E"/>
    <w:rsid w:val="00DC5571"/>
    <w:rsid w:val="00DC5C21"/>
    <w:rsid w:val="00DC60ED"/>
    <w:rsid w:val="00DC625B"/>
    <w:rsid w:val="00DC6431"/>
    <w:rsid w:val="00DC66CD"/>
    <w:rsid w:val="00DC6814"/>
    <w:rsid w:val="00DC6A0B"/>
    <w:rsid w:val="00DC7247"/>
    <w:rsid w:val="00DC795C"/>
    <w:rsid w:val="00DC7D57"/>
    <w:rsid w:val="00DD0AFA"/>
    <w:rsid w:val="00DD0F21"/>
    <w:rsid w:val="00DD0F30"/>
    <w:rsid w:val="00DD0F70"/>
    <w:rsid w:val="00DD1001"/>
    <w:rsid w:val="00DD17A1"/>
    <w:rsid w:val="00DD1DE2"/>
    <w:rsid w:val="00DD22C4"/>
    <w:rsid w:val="00DD2529"/>
    <w:rsid w:val="00DD2728"/>
    <w:rsid w:val="00DD2A98"/>
    <w:rsid w:val="00DD3523"/>
    <w:rsid w:val="00DD3605"/>
    <w:rsid w:val="00DD4F7A"/>
    <w:rsid w:val="00DD502A"/>
    <w:rsid w:val="00DD50A6"/>
    <w:rsid w:val="00DD564E"/>
    <w:rsid w:val="00DD57B5"/>
    <w:rsid w:val="00DD5F44"/>
    <w:rsid w:val="00DD6569"/>
    <w:rsid w:val="00DD7EDA"/>
    <w:rsid w:val="00DD7F39"/>
    <w:rsid w:val="00DE0941"/>
    <w:rsid w:val="00DE0BA8"/>
    <w:rsid w:val="00DE1161"/>
    <w:rsid w:val="00DE1417"/>
    <w:rsid w:val="00DE174D"/>
    <w:rsid w:val="00DE1A47"/>
    <w:rsid w:val="00DE1E8C"/>
    <w:rsid w:val="00DE22B3"/>
    <w:rsid w:val="00DE271E"/>
    <w:rsid w:val="00DE27DA"/>
    <w:rsid w:val="00DE38B8"/>
    <w:rsid w:val="00DE3C29"/>
    <w:rsid w:val="00DE46A8"/>
    <w:rsid w:val="00DE5730"/>
    <w:rsid w:val="00DE5F5F"/>
    <w:rsid w:val="00DE676E"/>
    <w:rsid w:val="00DE695E"/>
    <w:rsid w:val="00DE7253"/>
    <w:rsid w:val="00DE766D"/>
    <w:rsid w:val="00DE7A06"/>
    <w:rsid w:val="00DF0327"/>
    <w:rsid w:val="00DF085D"/>
    <w:rsid w:val="00DF0DD4"/>
    <w:rsid w:val="00DF14FC"/>
    <w:rsid w:val="00DF210A"/>
    <w:rsid w:val="00DF21AE"/>
    <w:rsid w:val="00DF24CD"/>
    <w:rsid w:val="00DF2563"/>
    <w:rsid w:val="00DF2803"/>
    <w:rsid w:val="00DF2D87"/>
    <w:rsid w:val="00DF332D"/>
    <w:rsid w:val="00DF40C7"/>
    <w:rsid w:val="00DF4192"/>
    <w:rsid w:val="00DF50DA"/>
    <w:rsid w:val="00DF586D"/>
    <w:rsid w:val="00DF5AEB"/>
    <w:rsid w:val="00DF5DC7"/>
    <w:rsid w:val="00DF66D6"/>
    <w:rsid w:val="00DF671B"/>
    <w:rsid w:val="00DF702D"/>
    <w:rsid w:val="00DF70E2"/>
    <w:rsid w:val="00DF7206"/>
    <w:rsid w:val="00DF79AD"/>
    <w:rsid w:val="00E00641"/>
    <w:rsid w:val="00E00D8C"/>
    <w:rsid w:val="00E01149"/>
    <w:rsid w:val="00E01437"/>
    <w:rsid w:val="00E0172C"/>
    <w:rsid w:val="00E02B3E"/>
    <w:rsid w:val="00E035C4"/>
    <w:rsid w:val="00E03E7A"/>
    <w:rsid w:val="00E03ED8"/>
    <w:rsid w:val="00E042AA"/>
    <w:rsid w:val="00E04549"/>
    <w:rsid w:val="00E0460F"/>
    <w:rsid w:val="00E048F2"/>
    <w:rsid w:val="00E04C83"/>
    <w:rsid w:val="00E04D12"/>
    <w:rsid w:val="00E05A68"/>
    <w:rsid w:val="00E06230"/>
    <w:rsid w:val="00E06CEE"/>
    <w:rsid w:val="00E07669"/>
    <w:rsid w:val="00E07B1F"/>
    <w:rsid w:val="00E07C76"/>
    <w:rsid w:val="00E108B1"/>
    <w:rsid w:val="00E10BAA"/>
    <w:rsid w:val="00E11B9A"/>
    <w:rsid w:val="00E1204A"/>
    <w:rsid w:val="00E122CE"/>
    <w:rsid w:val="00E122DE"/>
    <w:rsid w:val="00E12E12"/>
    <w:rsid w:val="00E135E2"/>
    <w:rsid w:val="00E13C2C"/>
    <w:rsid w:val="00E14258"/>
    <w:rsid w:val="00E14720"/>
    <w:rsid w:val="00E14743"/>
    <w:rsid w:val="00E14AA8"/>
    <w:rsid w:val="00E14C2B"/>
    <w:rsid w:val="00E14E4E"/>
    <w:rsid w:val="00E150EC"/>
    <w:rsid w:val="00E15315"/>
    <w:rsid w:val="00E15F16"/>
    <w:rsid w:val="00E1617F"/>
    <w:rsid w:val="00E162B3"/>
    <w:rsid w:val="00E1653B"/>
    <w:rsid w:val="00E1668F"/>
    <w:rsid w:val="00E172B9"/>
    <w:rsid w:val="00E17B02"/>
    <w:rsid w:val="00E2003F"/>
    <w:rsid w:val="00E20109"/>
    <w:rsid w:val="00E201E6"/>
    <w:rsid w:val="00E21689"/>
    <w:rsid w:val="00E21C38"/>
    <w:rsid w:val="00E21C78"/>
    <w:rsid w:val="00E21D0E"/>
    <w:rsid w:val="00E22B2B"/>
    <w:rsid w:val="00E234BD"/>
    <w:rsid w:val="00E23611"/>
    <w:rsid w:val="00E23CAC"/>
    <w:rsid w:val="00E23E75"/>
    <w:rsid w:val="00E242FF"/>
    <w:rsid w:val="00E24839"/>
    <w:rsid w:val="00E24A1A"/>
    <w:rsid w:val="00E251D6"/>
    <w:rsid w:val="00E25959"/>
    <w:rsid w:val="00E2627D"/>
    <w:rsid w:val="00E26693"/>
    <w:rsid w:val="00E26948"/>
    <w:rsid w:val="00E26C7B"/>
    <w:rsid w:val="00E26E3A"/>
    <w:rsid w:val="00E27ED8"/>
    <w:rsid w:val="00E30138"/>
    <w:rsid w:val="00E3018E"/>
    <w:rsid w:val="00E30FA8"/>
    <w:rsid w:val="00E31471"/>
    <w:rsid w:val="00E31EF6"/>
    <w:rsid w:val="00E32465"/>
    <w:rsid w:val="00E3382F"/>
    <w:rsid w:val="00E33D13"/>
    <w:rsid w:val="00E34187"/>
    <w:rsid w:val="00E34A15"/>
    <w:rsid w:val="00E35048"/>
    <w:rsid w:val="00E355B4"/>
    <w:rsid w:val="00E35825"/>
    <w:rsid w:val="00E35C42"/>
    <w:rsid w:val="00E36510"/>
    <w:rsid w:val="00E36C0C"/>
    <w:rsid w:val="00E36C6B"/>
    <w:rsid w:val="00E36EF3"/>
    <w:rsid w:val="00E40953"/>
    <w:rsid w:val="00E4103B"/>
    <w:rsid w:val="00E4107F"/>
    <w:rsid w:val="00E413DF"/>
    <w:rsid w:val="00E41B76"/>
    <w:rsid w:val="00E41C12"/>
    <w:rsid w:val="00E41EBD"/>
    <w:rsid w:val="00E42D70"/>
    <w:rsid w:val="00E4359F"/>
    <w:rsid w:val="00E439FF"/>
    <w:rsid w:val="00E43BF7"/>
    <w:rsid w:val="00E448AB"/>
    <w:rsid w:val="00E4506E"/>
    <w:rsid w:val="00E45287"/>
    <w:rsid w:val="00E45644"/>
    <w:rsid w:val="00E461A8"/>
    <w:rsid w:val="00E46B0E"/>
    <w:rsid w:val="00E47169"/>
    <w:rsid w:val="00E4770A"/>
    <w:rsid w:val="00E4774B"/>
    <w:rsid w:val="00E479D8"/>
    <w:rsid w:val="00E503EE"/>
    <w:rsid w:val="00E50CBA"/>
    <w:rsid w:val="00E50F31"/>
    <w:rsid w:val="00E51235"/>
    <w:rsid w:val="00E51243"/>
    <w:rsid w:val="00E5265D"/>
    <w:rsid w:val="00E537C6"/>
    <w:rsid w:val="00E5422E"/>
    <w:rsid w:val="00E54359"/>
    <w:rsid w:val="00E5453A"/>
    <w:rsid w:val="00E5461A"/>
    <w:rsid w:val="00E54FC4"/>
    <w:rsid w:val="00E555C0"/>
    <w:rsid w:val="00E55DF7"/>
    <w:rsid w:val="00E568BF"/>
    <w:rsid w:val="00E56C00"/>
    <w:rsid w:val="00E57555"/>
    <w:rsid w:val="00E57600"/>
    <w:rsid w:val="00E5766B"/>
    <w:rsid w:val="00E576C7"/>
    <w:rsid w:val="00E57874"/>
    <w:rsid w:val="00E57E5E"/>
    <w:rsid w:val="00E606EB"/>
    <w:rsid w:val="00E60700"/>
    <w:rsid w:val="00E60D28"/>
    <w:rsid w:val="00E61F90"/>
    <w:rsid w:val="00E620A2"/>
    <w:rsid w:val="00E62642"/>
    <w:rsid w:val="00E62CDC"/>
    <w:rsid w:val="00E63136"/>
    <w:rsid w:val="00E6491E"/>
    <w:rsid w:val="00E64B88"/>
    <w:rsid w:val="00E65B0B"/>
    <w:rsid w:val="00E65D6B"/>
    <w:rsid w:val="00E66204"/>
    <w:rsid w:val="00E663D2"/>
    <w:rsid w:val="00E66AA0"/>
    <w:rsid w:val="00E66C96"/>
    <w:rsid w:val="00E6739C"/>
    <w:rsid w:val="00E701B2"/>
    <w:rsid w:val="00E70A90"/>
    <w:rsid w:val="00E70CE3"/>
    <w:rsid w:val="00E70FD5"/>
    <w:rsid w:val="00E711B1"/>
    <w:rsid w:val="00E712ED"/>
    <w:rsid w:val="00E719F5"/>
    <w:rsid w:val="00E729AA"/>
    <w:rsid w:val="00E729C8"/>
    <w:rsid w:val="00E72ADD"/>
    <w:rsid w:val="00E72E6F"/>
    <w:rsid w:val="00E731E0"/>
    <w:rsid w:val="00E749E2"/>
    <w:rsid w:val="00E75229"/>
    <w:rsid w:val="00E753FF"/>
    <w:rsid w:val="00E75AE5"/>
    <w:rsid w:val="00E75D4E"/>
    <w:rsid w:val="00E75F4D"/>
    <w:rsid w:val="00E76006"/>
    <w:rsid w:val="00E76104"/>
    <w:rsid w:val="00E7640D"/>
    <w:rsid w:val="00E76CA2"/>
    <w:rsid w:val="00E76E5A"/>
    <w:rsid w:val="00E77057"/>
    <w:rsid w:val="00E772C8"/>
    <w:rsid w:val="00E77456"/>
    <w:rsid w:val="00E77B3F"/>
    <w:rsid w:val="00E77C97"/>
    <w:rsid w:val="00E80529"/>
    <w:rsid w:val="00E8073C"/>
    <w:rsid w:val="00E80B85"/>
    <w:rsid w:val="00E811CE"/>
    <w:rsid w:val="00E8166B"/>
    <w:rsid w:val="00E81675"/>
    <w:rsid w:val="00E822B5"/>
    <w:rsid w:val="00E838DB"/>
    <w:rsid w:val="00E842CE"/>
    <w:rsid w:val="00E843D0"/>
    <w:rsid w:val="00E853E2"/>
    <w:rsid w:val="00E85BD6"/>
    <w:rsid w:val="00E86B29"/>
    <w:rsid w:val="00E877C2"/>
    <w:rsid w:val="00E903D0"/>
    <w:rsid w:val="00E91917"/>
    <w:rsid w:val="00E91DB5"/>
    <w:rsid w:val="00E91FC6"/>
    <w:rsid w:val="00E925CB"/>
    <w:rsid w:val="00E93A9A"/>
    <w:rsid w:val="00E93AF2"/>
    <w:rsid w:val="00E93D37"/>
    <w:rsid w:val="00E94B48"/>
    <w:rsid w:val="00E951C7"/>
    <w:rsid w:val="00E95E66"/>
    <w:rsid w:val="00E967EE"/>
    <w:rsid w:val="00E978D3"/>
    <w:rsid w:val="00E9795E"/>
    <w:rsid w:val="00E97AF9"/>
    <w:rsid w:val="00E97D5F"/>
    <w:rsid w:val="00EA0585"/>
    <w:rsid w:val="00EA0BEB"/>
    <w:rsid w:val="00EA0F53"/>
    <w:rsid w:val="00EA1166"/>
    <w:rsid w:val="00EA11EA"/>
    <w:rsid w:val="00EA19CA"/>
    <w:rsid w:val="00EA20F4"/>
    <w:rsid w:val="00EA2240"/>
    <w:rsid w:val="00EA23A6"/>
    <w:rsid w:val="00EA2408"/>
    <w:rsid w:val="00EA2E23"/>
    <w:rsid w:val="00EA36E5"/>
    <w:rsid w:val="00EA3E0D"/>
    <w:rsid w:val="00EA49B0"/>
    <w:rsid w:val="00EA4B9B"/>
    <w:rsid w:val="00EA4C36"/>
    <w:rsid w:val="00EA512C"/>
    <w:rsid w:val="00EA5270"/>
    <w:rsid w:val="00EA53FD"/>
    <w:rsid w:val="00EA633D"/>
    <w:rsid w:val="00EA6529"/>
    <w:rsid w:val="00EA69A1"/>
    <w:rsid w:val="00EA6ACA"/>
    <w:rsid w:val="00EA6BB1"/>
    <w:rsid w:val="00EA6EDC"/>
    <w:rsid w:val="00EA6F50"/>
    <w:rsid w:val="00EA70FB"/>
    <w:rsid w:val="00EA7DF4"/>
    <w:rsid w:val="00EA7E76"/>
    <w:rsid w:val="00EA7F22"/>
    <w:rsid w:val="00EB061E"/>
    <w:rsid w:val="00EB07D6"/>
    <w:rsid w:val="00EB09AF"/>
    <w:rsid w:val="00EB1259"/>
    <w:rsid w:val="00EB1C2E"/>
    <w:rsid w:val="00EB2EBE"/>
    <w:rsid w:val="00EB3126"/>
    <w:rsid w:val="00EB3671"/>
    <w:rsid w:val="00EB3A2C"/>
    <w:rsid w:val="00EB3CD1"/>
    <w:rsid w:val="00EB5C7C"/>
    <w:rsid w:val="00EB6AB8"/>
    <w:rsid w:val="00EB6AEA"/>
    <w:rsid w:val="00EB6DCF"/>
    <w:rsid w:val="00EB756F"/>
    <w:rsid w:val="00EB78F1"/>
    <w:rsid w:val="00EC01AA"/>
    <w:rsid w:val="00EC0659"/>
    <w:rsid w:val="00EC0955"/>
    <w:rsid w:val="00EC0E8B"/>
    <w:rsid w:val="00EC0F52"/>
    <w:rsid w:val="00EC1116"/>
    <w:rsid w:val="00EC213F"/>
    <w:rsid w:val="00EC23FC"/>
    <w:rsid w:val="00EC24AC"/>
    <w:rsid w:val="00EC26F5"/>
    <w:rsid w:val="00EC27FC"/>
    <w:rsid w:val="00EC294A"/>
    <w:rsid w:val="00EC3107"/>
    <w:rsid w:val="00EC325A"/>
    <w:rsid w:val="00EC3645"/>
    <w:rsid w:val="00EC412B"/>
    <w:rsid w:val="00EC50BB"/>
    <w:rsid w:val="00EC55F8"/>
    <w:rsid w:val="00EC5EDE"/>
    <w:rsid w:val="00EC66AA"/>
    <w:rsid w:val="00EC690B"/>
    <w:rsid w:val="00EC6B67"/>
    <w:rsid w:val="00EC6D0A"/>
    <w:rsid w:val="00EC71A0"/>
    <w:rsid w:val="00EC781F"/>
    <w:rsid w:val="00EC7EC8"/>
    <w:rsid w:val="00EC7ED5"/>
    <w:rsid w:val="00ED0099"/>
    <w:rsid w:val="00ED0D34"/>
    <w:rsid w:val="00ED1333"/>
    <w:rsid w:val="00ED14FE"/>
    <w:rsid w:val="00ED1626"/>
    <w:rsid w:val="00ED2124"/>
    <w:rsid w:val="00ED234C"/>
    <w:rsid w:val="00ED2368"/>
    <w:rsid w:val="00ED2CC4"/>
    <w:rsid w:val="00ED3216"/>
    <w:rsid w:val="00ED370A"/>
    <w:rsid w:val="00ED3759"/>
    <w:rsid w:val="00ED38E5"/>
    <w:rsid w:val="00ED3907"/>
    <w:rsid w:val="00ED397A"/>
    <w:rsid w:val="00ED3D13"/>
    <w:rsid w:val="00ED3FF9"/>
    <w:rsid w:val="00ED4130"/>
    <w:rsid w:val="00ED5C8A"/>
    <w:rsid w:val="00ED5DAF"/>
    <w:rsid w:val="00ED63B1"/>
    <w:rsid w:val="00ED6623"/>
    <w:rsid w:val="00ED6D36"/>
    <w:rsid w:val="00ED7D04"/>
    <w:rsid w:val="00ED7D5A"/>
    <w:rsid w:val="00EE1D2E"/>
    <w:rsid w:val="00EE22BD"/>
    <w:rsid w:val="00EE2969"/>
    <w:rsid w:val="00EE2F8C"/>
    <w:rsid w:val="00EE3144"/>
    <w:rsid w:val="00EE3A71"/>
    <w:rsid w:val="00EE3CC6"/>
    <w:rsid w:val="00EE4160"/>
    <w:rsid w:val="00EE5649"/>
    <w:rsid w:val="00EE6152"/>
    <w:rsid w:val="00EE6190"/>
    <w:rsid w:val="00EE689E"/>
    <w:rsid w:val="00EE6F32"/>
    <w:rsid w:val="00EE791C"/>
    <w:rsid w:val="00EF03C1"/>
    <w:rsid w:val="00EF03C9"/>
    <w:rsid w:val="00EF1902"/>
    <w:rsid w:val="00EF1943"/>
    <w:rsid w:val="00EF27F7"/>
    <w:rsid w:val="00EF3773"/>
    <w:rsid w:val="00EF3888"/>
    <w:rsid w:val="00EF38BE"/>
    <w:rsid w:val="00EF3B3E"/>
    <w:rsid w:val="00EF3C26"/>
    <w:rsid w:val="00EF3C5A"/>
    <w:rsid w:val="00EF3FCA"/>
    <w:rsid w:val="00EF4817"/>
    <w:rsid w:val="00EF4BE8"/>
    <w:rsid w:val="00EF500B"/>
    <w:rsid w:val="00EF5522"/>
    <w:rsid w:val="00EF5772"/>
    <w:rsid w:val="00EF61BB"/>
    <w:rsid w:val="00EF64F5"/>
    <w:rsid w:val="00EF6C0B"/>
    <w:rsid w:val="00EF739D"/>
    <w:rsid w:val="00EF7597"/>
    <w:rsid w:val="00EF792B"/>
    <w:rsid w:val="00F0048E"/>
    <w:rsid w:val="00F011C3"/>
    <w:rsid w:val="00F012C2"/>
    <w:rsid w:val="00F018D3"/>
    <w:rsid w:val="00F0239F"/>
    <w:rsid w:val="00F02510"/>
    <w:rsid w:val="00F025E0"/>
    <w:rsid w:val="00F02B3F"/>
    <w:rsid w:val="00F02C14"/>
    <w:rsid w:val="00F03035"/>
    <w:rsid w:val="00F03BBB"/>
    <w:rsid w:val="00F043B2"/>
    <w:rsid w:val="00F051AE"/>
    <w:rsid w:val="00F059BD"/>
    <w:rsid w:val="00F05EC3"/>
    <w:rsid w:val="00F05F2E"/>
    <w:rsid w:val="00F0672C"/>
    <w:rsid w:val="00F06BB6"/>
    <w:rsid w:val="00F06D94"/>
    <w:rsid w:val="00F07750"/>
    <w:rsid w:val="00F1069A"/>
    <w:rsid w:val="00F10A82"/>
    <w:rsid w:val="00F10ACD"/>
    <w:rsid w:val="00F10C3C"/>
    <w:rsid w:val="00F10D44"/>
    <w:rsid w:val="00F1100F"/>
    <w:rsid w:val="00F118CF"/>
    <w:rsid w:val="00F12632"/>
    <w:rsid w:val="00F12A6B"/>
    <w:rsid w:val="00F12A91"/>
    <w:rsid w:val="00F12EAC"/>
    <w:rsid w:val="00F12F75"/>
    <w:rsid w:val="00F14946"/>
    <w:rsid w:val="00F14B14"/>
    <w:rsid w:val="00F14B8F"/>
    <w:rsid w:val="00F15B6B"/>
    <w:rsid w:val="00F1660F"/>
    <w:rsid w:val="00F16A0C"/>
    <w:rsid w:val="00F17124"/>
    <w:rsid w:val="00F1777B"/>
    <w:rsid w:val="00F17E0F"/>
    <w:rsid w:val="00F17F86"/>
    <w:rsid w:val="00F20E21"/>
    <w:rsid w:val="00F20E4F"/>
    <w:rsid w:val="00F212C0"/>
    <w:rsid w:val="00F2159C"/>
    <w:rsid w:val="00F21783"/>
    <w:rsid w:val="00F219FE"/>
    <w:rsid w:val="00F21CBA"/>
    <w:rsid w:val="00F22920"/>
    <w:rsid w:val="00F22C8D"/>
    <w:rsid w:val="00F23C7C"/>
    <w:rsid w:val="00F23F37"/>
    <w:rsid w:val="00F2469F"/>
    <w:rsid w:val="00F251F4"/>
    <w:rsid w:val="00F252EF"/>
    <w:rsid w:val="00F259BB"/>
    <w:rsid w:val="00F26620"/>
    <w:rsid w:val="00F26BC6"/>
    <w:rsid w:val="00F26C34"/>
    <w:rsid w:val="00F2760B"/>
    <w:rsid w:val="00F27AC4"/>
    <w:rsid w:val="00F30072"/>
    <w:rsid w:val="00F3061B"/>
    <w:rsid w:val="00F30A79"/>
    <w:rsid w:val="00F30E2B"/>
    <w:rsid w:val="00F310E9"/>
    <w:rsid w:val="00F313CE"/>
    <w:rsid w:val="00F3179A"/>
    <w:rsid w:val="00F319CB"/>
    <w:rsid w:val="00F333E4"/>
    <w:rsid w:val="00F3349D"/>
    <w:rsid w:val="00F3422B"/>
    <w:rsid w:val="00F3432A"/>
    <w:rsid w:val="00F3464D"/>
    <w:rsid w:val="00F34A99"/>
    <w:rsid w:val="00F34EFE"/>
    <w:rsid w:val="00F34FAA"/>
    <w:rsid w:val="00F354DC"/>
    <w:rsid w:val="00F354F8"/>
    <w:rsid w:val="00F35737"/>
    <w:rsid w:val="00F35789"/>
    <w:rsid w:val="00F36571"/>
    <w:rsid w:val="00F36AE2"/>
    <w:rsid w:val="00F36CD1"/>
    <w:rsid w:val="00F3781A"/>
    <w:rsid w:val="00F4039A"/>
    <w:rsid w:val="00F4080A"/>
    <w:rsid w:val="00F40945"/>
    <w:rsid w:val="00F41107"/>
    <w:rsid w:val="00F41270"/>
    <w:rsid w:val="00F41571"/>
    <w:rsid w:val="00F41AC1"/>
    <w:rsid w:val="00F41D60"/>
    <w:rsid w:val="00F42224"/>
    <w:rsid w:val="00F42C00"/>
    <w:rsid w:val="00F43241"/>
    <w:rsid w:val="00F43438"/>
    <w:rsid w:val="00F43693"/>
    <w:rsid w:val="00F44A63"/>
    <w:rsid w:val="00F44AAE"/>
    <w:rsid w:val="00F44D64"/>
    <w:rsid w:val="00F452F7"/>
    <w:rsid w:val="00F45943"/>
    <w:rsid w:val="00F45DCA"/>
    <w:rsid w:val="00F472AB"/>
    <w:rsid w:val="00F472E1"/>
    <w:rsid w:val="00F47720"/>
    <w:rsid w:val="00F504DE"/>
    <w:rsid w:val="00F50858"/>
    <w:rsid w:val="00F50C3E"/>
    <w:rsid w:val="00F5119A"/>
    <w:rsid w:val="00F528CA"/>
    <w:rsid w:val="00F52C01"/>
    <w:rsid w:val="00F52DF7"/>
    <w:rsid w:val="00F52F7F"/>
    <w:rsid w:val="00F532F1"/>
    <w:rsid w:val="00F54273"/>
    <w:rsid w:val="00F54FD3"/>
    <w:rsid w:val="00F551E6"/>
    <w:rsid w:val="00F55BBA"/>
    <w:rsid w:val="00F575AA"/>
    <w:rsid w:val="00F57752"/>
    <w:rsid w:val="00F57890"/>
    <w:rsid w:val="00F57D92"/>
    <w:rsid w:val="00F57E3B"/>
    <w:rsid w:val="00F6002E"/>
    <w:rsid w:val="00F6035A"/>
    <w:rsid w:val="00F6075E"/>
    <w:rsid w:val="00F60850"/>
    <w:rsid w:val="00F609BD"/>
    <w:rsid w:val="00F61386"/>
    <w:rsid w:val="00F621F0"/>
    <w:rsid w:val="00F62463"/>
    <w:rsid w:val="00F627CE"/>
    <w:rsid w:val="00F6283E"/>
    <w:rsid w:val="00F62EA4"/>
    <w:rsid w:val="00F63469"/>
    <w:rsid w:val="00F637F1"/>
    <w:rsid w:val="00F640C6"/>
    <w:rsid w:val="00F64284"/>
    <w:rsid w:val="00F648D4"/>
    <w:rsid w:val="00F6498A"/>
    <w:rsid w:val="00F64F04"/>
    <w:rsid w:val="00F64FA0"/>
    <w:rsid w:val="00F6594F"/>
    <w:rsid w:val="00F659BB"/>
    <w:rsid w:val="00F65C63"/>
    <w:rsid w:val="00F663CE"/>
    <w:rsid w:val="00F668A4"/>
    <w:rsid w:val="00F66D17"/>
    <w:rsid w:val="00F66D93"/>
    <w:rsid w:val="00F67A6C"/>
    <w:rsid w:val="00F70312"/>
    <w:rsid w:val="00F70B1B"/>
    <w:rsid w:val="00F71183"/>
    <w:rsid w:val="00F71B15"/>
    <w:rsid w:val="00F72227"/>
    <w:rsid w:val="00F726AB"/>
    <w:rsid w:val="00F72BE5"/>
    <w:rsid w:val="00F73B24"/>
    <w:rsid w:val="00F73FFC"/>
    <w:rsid w:val="00F7436A"/>
    <w:rsid w:val="00F74698"/>
    <w:rsid w:val="00F75050"/>
    <w:rsid w:val="00F75290"/>
    <w:rsid w:val="00F753C6"/>
    <w:rsid w:val="00F754D5"/>
    <w:rsid w:val="00F7597A"/>
    <w:rsid w:val="00F75DCF"/>
    <w:rsid w:val="00F75F32"/>
    <w:rsid w:val="00F76236"/>
    <w:rsid w:val="00F76431"/>
    <w:rsid w:val="00F7698F"/>
    <w:rsid w:val="00F76BAB"/>
    <w:rsid w:val="00F76E1E"/>
    <w:rsid w:val="00F77038"/>
    <w:rsid w:val="00F77CA0"/>
    <w:rsid w:val="00F800CA"/>
    <w:rsid w:val="00F80D82"/>
    <w:rsid w:val="00F814B0"/>
    <w:rsid w:val="00F818AC"/>
    <w:rsid w:val="00F818C7"/>
    <w:rsid w:val="00F81D04"/>
    <w:rsid w:val="00F81D3F"/>
    <w:rsid w:val="00F821CA"/>
    <w:rsid w:val="00F825A9"/>
    <w:rsid w:val="00F82762"/>
    <w:rsid w:val="00F82F45"/>
    <w:rsid w:val="00F831E9"/>
    <w:rsid w:val="00F83363"/>
    <w:rsid w:val="00F83668"/>
    <w:rsid w:val="00F83814"/>
    <w:rsid w:val="00F83858"/>
    <w:rsid w:val="00F83C2F"/>
    <w:rsid w:val="00F85973"/>
    <w:rsid w:val="00F85CDD"/>
    <w:rsid w:val="00F85EEB"/>
    <w:rsid w:val="00F86D0A"/>
    <w:rsid w:val="00F87342"/>
    <w:rsid w:val="00F87834"/>
    <w:rsid w:val="00F8787A"/>
    <w:rsid w:val="00F87F43"/>
    <w:rsid w:val="00F87FC3"/>
    <w:rsid w:val="00F905C5"/>
    <w:rsid w:val="00F90885"/>
    <w:rsid w:val="00F91FB4"/>
    <w:rsid w:val="00F92067"/>
    <w:rsid w:val="00F921DC"/>
    <w:rsid w:val="00F923DB"/>
    <w:rsid w:val="00F9247E"/>
    <w:rsid w:val="00F9281C"/>
    <w:rsid w:val="00F92A58"/>
    <w:rsid w:val="00F92F4B"/>
    <w:rsid w:val="00F932D0"/>
    <w:rsid w:val="00F93383"/>
    <w:rsid w:val="00F945CA"/>
    <w:rsid w:val="00F94624"/>
    <w:rsid w:val="00F94CDE"/>
    <w:rsid w:val="00F95312"/>
    <w:rsid w:val="00F95B90"/>
    <w:rsid w:val="00F96007"/>
    <w:rsid w:val="00F9663A"/>
    <w:rsid w:val="00F968BC"/>
    <w:rsid w:val="00F96C67"/>
    <w:rsid w:val="00F96F21"/>
    <w:rsid w:val="00F97487"/>
    <w:rsid w:val="00F975E8"/>
    <w:rsid w:val="00F97D26"/>
    <w:rsid w:val="00FA00BE"/>
    <w:rsid w:val="00FA0D34"/>
    <w:rsid w:val="00FA0FC9"/>
    <w:rsid w:val="00FA1892"/>
    <w:rsid w:val="00FA19D1"/>
    <w:rsid w:val="00FA1CC6"/>
    <w:rsid w:val="00FA1D55"/>
    <w:rsid w:val="00FA29F7"/>
    <w:rsid w:val="00FA2A23"/>
    <w:rsid w:val="00FA2BCE"/>
    <w:rsid w:val="00FA3CE8"/>
    <w:rsid w:val="00FA3F04"/>
    <w:rsid w:val="00FA3F7E"/>
    <w:rsid w:val="00FA4299"/>
    <w:rsid w:val="00FA44C0"/>
    <w:rsid w:val="00FA5219"/>
    <w:rsid w:val="00FA5B94"/>
    <w:rsid w:val="00FA65E9"/>
    <w:rsid w:val="00FA70BD"/>
    <w:rsid w:val="00FA7A96"/>
    <w:rsid w:val="00FB06C7"/>
    <w:rsid w:val="00FB0718"/>
    <w:rsid w:val="00FB119F"/>
    <w:rsid w:val="00FB1726"/>
    <w:rsid w:val="00FB22A1"/>
    <w:rsid w:val="00FB2C11"/>
    <w:rsid w:val="00FB3C99"/>
    <w:rsid w:val="00FB3D54"/>
    <w:rsid w:val="00FB4017"/>
    <w:rsid w:val="00FB411B"/>
    <w:rsid w:val="00FB45D1"/>
    <w:rsid w:val="00FB4883"/>
    <w:rsid w:val="00FB4DBF"/>
    <w:rsid w:val="00FB599A"/>
    <w:rsid w:val="00FB59D1"/>
    <w:rsid w:val="00FB5FB8"/>
    <w:rsid w:val="00FB6365"/>
    <w:rsid w:val="00FB659A"/>
    <w:rsid w:val="00FB7208"/>
    <w:rsid w:val="00FB7A4E"/>
    <w:rsid w:val="00FC00A1"/>
    <w:rsid w:val="00FC0620"/>
    <w:rsid w:val="00FC0EF4"/>
    <w:rsid w:val="00FC1BB5"/>
    <w:rsid w:val="00FC2E01"/>
    <w:rsid w:val="00FC3250"/>
    <w:rsid w:val="00FC32D4"/>
    <w:rsid w:val="00FC5F4A"/>
    <w:rsid w:val="00FC7203"/>
    <w:rsid w:val="00FC7581"/>
    <w:rsid w:val="00FC7F07"/>
    <w:rsid w:val="00FD089B"/>
    <w:rsid w:val="00FD0C13"/>
    <w:rsid w:val="00FD0EA5"/>
    <w:rsid w:val="00FD1241"/>
    <w:rsid w:val="00FD13A9"/>
    <w:rsid w:val="00FD14C3"/>
    <w:rsid w:val="00FD1FB1"/>
    <w:rsid w:val="00FD22A7"/>
    <w:rsid w:val="00FD22E5"/>
    <w:rsid w:val="00FD29EF"/>
    <w:rsid w:val="00FD2AA1"/>
    <w:rsid w:val="00FD2DA3"/>
    <w:rsid w:val="00FD360A"/>
    <w:rsid w:val="00FD3BFB"/>
    <w:rsid w:val="00FD3E4E"/>
    <w:rsid w:val="00FD3F8E"/>
    <w:rsid w:val="00FD50FA"/>
    <w:rsid w:val="00FD524A"/>
    <w:rsid w:val="00FD6131"/>
    <w:rsid w:val="00FD61EA"/>
    <w:rsid w:val="00FD668F"/>
    <w:rsid w:val="00FD694E"/>
    <w:rsid w:val="00FD6D54"/>
    <w:rsid w:val="00FD73E3"/>
    <w:rsid w:val="00FD73F4"/>
    <w:rsid w:val="00FD74A8"/>
    <w:rsid w:val="00FE0029"/>
    <w:rsid w:val="00FE0B98"/>
    <w:rsid w:val="00FE1404"/>
    <w:rsid w:val="00FE15EF"/>
    <w:rsid w:val="00FE1941"/>
    <w:rsid w:val="00FE2500"/>
    <w:rsid w:val="00FE25F5"/>
    <w:rsid w:val="00FE2EE2"/>
    <w:rsid w:val="00FE3F8E"/>
    <w:rsid w:val="00FE4114"/>
    <w:rsid w:val="00FE4F9C"/>
    <w:rsid w:val="00FE52F7"/>
    <w:rsid w:val="00FE620F"/>
    <w:rsid w:val="00FE6621"/>
    <w:rsid w:val="00FE6E46"/>
    <w:rsid w:val="00FE7490"/>
    <w:rsid w:val="00FE775A"/>
    <w:rsid w:val="00FE7DB8"/>
    <w:rsid w:val="00FF0C8A"/>
    <w:rsid w:val="00FF0FBA"/>
    <w:rsid w:val="00FF101F"/>
    <w:rsid w:val="00FF1E1C"/>
    <w:rsid w:val="00FF2FA0"/>
    <w:rsid w:val="00FF3478"/>
    <w:rsid w:val="00FF3D1E"/>
    <w:rsid w:val="00FF419B"/>
    <w:rsid w:val="00FF439D"/>
    <w:rsid w:val="00FF4775"/>
    <w:rsid w:val="00FF47BA"/>
    <w:rsid w:val="00FF4EBE"/>
    <w:rsid w:val="00FF4FFD"/>
    <w:rsid w:val="00FF5037"/>
    <w:rsid w:val="00FF515F"/>
    <w:rsid w:val="00FF5687"/>
    <w:rsid w:val="00FF5CFA"/>
    <w:rsid w:val="00FF5E37"/>
    <w:rsid w:val="00FF6997"/>
    <w:rsid w:val="00FF7266"/>
    <w:rsid w:val="00FF7FE2"/>
    <w:rsid w:val="017BC192"/>
    <w:rsid w:val="01E92649"/>
    <w:rsid w:val="02AADD26"/>
    <w:rsid w:val="03A43561"/>
    <w:rsid w:val="03F3997E"/>
    <w:rsid w:val="04F3A491"/>
    <w:rsid w:val="065D66D4"/>
    <w:rsid w:val="0698CECF"/>
    <w:rsid w:val="08A49FEB"/>
    <w:rsid w:val="0B7AA8DB"/>
    <w:rsid w:val="14729102"/>
    <w:rsid w:val="16CF9F24"/>
    <w:rsid w:val="17E4A9C5"/>
    <w:rsid w:val="181D8DD9"/>
    <w:rsid w:val="1C9541E0"/>
    <w:rsid w:val="200D71B9"/>
    <w:rsid w:val="215A5997"/>
    <w:rsid w:val="32F742D6"/>
    <w:rsid w:val="3532DB77"/>
    <w:rsid w:val="3B3E781A"/>
    <w:rsid w:val="3C48A8D4"/>
    <w:rsid w:val="3EE17061"/>
    <w:rsid w:val="4325D3BC"/>
    <w:rsid w:val="44A44096"/>
    <w:rsid w:val="459FA0F5"/>
    <w:rsid w:val="480CAE36"/>
    <w:rsid w:val="49D38814"/>
    <w:rsid w:val="4ED62541"/>
    <w:rsid w:val="4F0D7F2D"/>
    <w:rsid w:val="526CAEA3"/>
    <w:rsid w:val="53598C98"/>
    <w:rsid w:val="54AF4E80"/>
    <w:rsid w:val="55F1F280"/>
    <w:rsid w:val="572EF34F"/>
    <w:rsid w:val="5EDF1501"/>
    <w:rsid w:val="63ADD74D"/>
    <w:rsid w:val="68932FAD"/>
    <w:rsid w:val="6C2C0FA0"/>
    <w:rsid w:val="6D731896"/>
    <w:rsid w:val="6F7ADE6B"/>
    <w:rsid w:val="6FF2EDC4"/>
    <w:rsid w:val="702E6EBF"/>
    <w:rsid w:val="71E936EE"/>
    <w:rsid w:val="74109454"/>
    <w:rsid w:val="75AC71F4"/>
    <w:rsid w:val="7B784C0D"/>
    <w:rsid w:val="7E8851FF"/>
    <w:rsid w:val="7F6FBC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DB87D"/>
  <w15:chartTrackingRefBased/>
  <w15:docId w15:val="{8DAB6F86-6EE7-2C4D-AB83-9427C937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B3A"/>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eastAsia="en-US"/>
      <w14:ligatures w14:val="none"/>
    </w:rPr>
  </w:style>
  <w:style w:type="paragraph" w:styleId="Heading1">
    <w:name w:val="heading 1"/>
    <w:basedOn w:val="CH1"/>
    <w:next w:val="Normalnumber"/>
    <w:link w:val="Heading1Char"/>
    <w:rsid w:val="009D0B3A"/>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9D0B3A"/>
    <w:pPr>
      <w:numPr>
        <w:numId w:val="14"/>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9D0B3A"/>
    <w:pPr>
      <w:numPr>
        <w:numId w:val="15"/>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9D0B3A"/>
    <w:pPr>
      <w:numPr>
        <w:numId w:val="28"/>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9D0B3A"/>
    <w:pPr>
      <w:numPr>
        <w:numId w:val="16"/>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9D0B3A"/>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9D0B3A"/>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9D0B3A"/>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9D0B3A"/>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B3A"/>
    <w:rPr>
      <w:rFonts w:ascii="Times New Roman" w:eastAsia="Times New Roman" w:hAnsi="Times New Roman" w:cs="Times New Roman"/>
      <w:b/>
      <w:kern w:val="0"/>
      <w:sz w:val="28"/>
      <w:szCs w:val="28"/>
      <w14:ligatures w14:val="none"/>
    </w:rPr>
  </w:style>
  <w:style w:type="character" w:customStyle="1" w:styleId="Heading2Char">
    <w:name w:val="Heading 2 Char"/>
    <w:basedOn w:val="DefaultParagraphFont"/>
    <w:link w:val="Heading2"/>
    <w:rsid w:val="009D0B3A"/>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rsid w:val="009D0B3A"/>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rsid w:val="009D0B3A"/>
    <w:rPr>
      <w:rFonts w:ascii="Times New Roman" w:eastAsia="Times New Roman" w:hAnsi="Times New Roman" w:cs="Times New Roman"/>
      <w:b/>
      <w:kern w:val="0"/>
      <w:sz w:val="20"/>
      <w:szCs w:val="20"/>
      <w:lang w:eastAsia="en-US"/>
      <w14:ligatures w14:val="none"/>
    </w:rPr>
  </w:style>
  <w:style w:type="character" w:customStyle="1" w:styleId="Heading5Char">
    <w:name w:val="Heading 5 Char"/>
    <w:basedOn w:val="DefaultParagraphFont"/>
    <w:link w:val="Heading5"/>
    <w:rsid w:val="009D0B3A"/>
    <w:rPr>
      <w:rFonts w:ascii="Times New Roman" w:eastAsia="Times New Roman" w:hAnsi="Times New Roman" w:cs="Times New Roman"/>
      <w:b/>
      <w:kern w:val="0"/>
      <w:sz w:val="20"/>
      <w:szCs w:val="20"/>
      <w14:ligatures w14:val="none"/>
    </w:rPr>
  </w:style>
  <w:style w:type="character" w:customStyle="1" w:styleId="Heading6Char">
    <w:name w:val="Heading 6 Char"/>
    <w:basedOn w:val="DefaultParagraphFont"/>
    <w:link w:val="Heading6"/>
    <w:rsid w:val="009D0B3A"/>
    <w:rPr>
      <w:rFonts w:ascii="Times New Roman" w:eastAsia="Times New Roman" w:hAnsi="Times New Roman" w:cs="Times New Roman"/>
      <w:bCs/>
      <w:kern w:val="0"/>
      <w:sz w:val="24"/>
      <w:szCs w:val="20"/>
      <w14:ligatures w14:val="none"/>
    </w:rPr>
  </w:style>
  <w:style w:type="character" w:customStyle="1" w:styleId="Heading7Char">
    <w:name w:val="Heading 7 Char"/>
    <w:basedOn w:val="DefaultParagraphFont"/>
    <w:link w:val="Heading7"/>
    <w:rsid w:val="009D0B3A"/>
    <w:rPr>
      <w:rFonts w:ascii="Times New Roman" w:eastAsia="Times New Roman" w:hAnsi="Times New Roman" w:cs="Times New Roman"/>
      <w:b/>
      <w:snapToGrid w:val="0"/>
      <w:kern w:val="0"/>
      <w:sz w:val="20"/>
      <w:szCs w:val="20"/>
      <w:u w:val="single"/>
      <w14:ligatures w14:val="none"/>
    </w:rPr>
  </w:style>
  <w:style w:type="character" w:customStyle="1" w:styleId="Heading8Char">
    <w:name w:val="Heading 8 Char"/>
    <w:basedOn w:val="DefaultParagraphFont"/>
    <w:link w:val="Heading8"/>
    <w:rsid w:val="009D0B3A"/>
    <w:rPr>
      <w:rFonts w:ascii="Times New Roman" w:eastAsia="Times New Roman" w:hAnsi="Times New Roman" w:cs="Times New Roman"/>
      <w:b/>
      <w:snapToGrid w:val="0"/>
      <w:kern w:val="0"/>
      <w:sz w:val="20"/>
      <w:szCs w:val="20"/>
      <w:u w:val="single"/>
      <w14:ligatures w14:val="none"/>
    </w:rPr>
  </w:style>
  <w:style w:type="character" w:customStyle="1" w:styleId="Heading9Char">
    <w:name w:val="Heading 9 Char"/>
    <w:basedOn w:val="DefaultParagraphFont"/>
    <w:link w:val="Heading9"/>
    <w:rsid w:val="009D0B3A"/>
    <w:rPr>
      <w:rFonts w:ascii="Times New Roman" w:eastAsia="Times New Roman" w:hAnsi="Times New Roman" w:cs="Times New Roman"/>
      <w:snapToGrid w:val="0"/>
      <w:kern w:val="0"/>
      <w:sz w:val="20"/>
      <w:szCs w:val="20"/>
      <w:u w:val="single"/>
      <w:lang w:eastAsia="en-US"/>
      <w14:ligatures w14:val="none"/>
    </w:rPr>
  </w:style>
  <w:style w:type="character" w:styleId="PageNumber">
    <w:name w:val="page number"/>
    <w:semiHidden/>
    <w:rsid w:val="009D0B3A"/>
    <w:rPr>
      <w:rFonts w:ascii="Times New Roman" w:hAnsi="Times New Roman"/>
      <w:b/>
      <w:sz w:val="18"/>
      <w:lang w:val="fr-FR"/>
    </w:rPr>
  </w:style>
  <w:style w:type="table" w:customStyle="1" w:styleId="Tabledocright">
    <w:name w:val="Table_doc_right"/>
    <w:basedOn w:val="TableNormal"/>
    <w:rsid w:val="009D0B3A"/>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9D0B3A"/>
    <w:pPr>
      <w:ind w:left="1000"/>
    </w:pPr>
    <w:rPr>
      <w:sz w:val="18"/>
      <w:szCs w:val="18"/>
    </w:rPr>
  </w:style>
  <w:style w:type="paragraph" w:styleId="TOC7">
    <w:name w:val="toc 7"/>
    <w:basedOn w:val="Normal"/>
    <w:next w:val="Normal"/>
    <w:autoRedefine/>
    <w:semiHidden/>
    <w:rsid w:val="009D0B3A"/>
    <w:pPr>
      <w:ind w:left="1200"/>
    </w:pPr>
    <w:rPr>
      <w:sz w:val="18"/>
      <w:szCs w:val="18"/>
    </w:rPr>
  </w:style>
  <w:style w:type="paragraph" w:styleId="TOC8">
    <w:name w:val="toc 8"/>
    <w:basedOn w:val="Normal"/>
    <w:next w:val="Normal"/>
    <w:autoRedefine/>
    <w:semiHidden/>
    <w:rsid w:val="009D0B3A"/>
    <w:pPr>
      <w:ind w:left="1400"/>
    </w:pPr>
    <w:rPr>
      <w:sz w:val="18"/>
      <w:szCs w:val="18"/>
    </w:rPr>
  </w:style>
  <w:style w:type="paragraph" w:styleId="TOC9">
    <w:name w:val="toc 9"/>
    <w:basedOn w:val="Normal"/>
    <w:next w:val="Normal"/>
    <w:autoRedefine/>
    <w:semiHidden/>
    <w:rsid w:val="009D0B3A"/>
    <w:pPr>
      <w:ind w:left="1600"/>
    </w:pPr>
    <w:rPr>
      <w:sz w:val="18"/>
      <w:szCs w:val="18"/>
    </w:rPr>
  </w:style>
  <w:style w:type="paragraph" w:customStyle="1" w:styleId="Titlefigure">
    <w:name w:val="Title_figure"/>
    <w:basedOn w:val="Titletable"/>
    <w:next w:val="NormalNonumber"/>
    <w:rsid w:val="009D0B3A"/>
    <w:rPr>
      <w:bCs w:val="0"/>
    </w:rPr>
  </w:style>
  <w:style w:type="paragraph" w:styleId="TableofFigures">
    <w:name w:val="table of figures"/>
    <w:basedOn w:val="Normal"/>
    <w:next w:val="Normal"/>
    <w:autoRedefine/>
    <w:semiHidden/>
    <w:rsid w:val="009D0B3A"/>
    <w:pPr>
      <w:ind w:left="1814" w:hanging="567"/>
    </w:pPr>
  </w:style>
  <w:style w:type="paragraph" w:customStyle="1" w:styleId="CH1">
    <w:name w:val="CH1"/>
    <w:basedOn w:val="Normal-pool"/>
    <w:next w:val="CH2"/>
    <w:link w:val="CH1Char"/>
    <w:qFormat/>
    <w:rsid w:val="009D0B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9D0B3A"/>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9D0B3A"/>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9D0B3A"/>
    <w:pPr>
      <w:keepNext/>
      <w:keepLines/>
      <w:tabs>
        <w:tab w:val="clear" w:pos="624"/>
        <w:tab w:val="right" w:pos="851"/>
      </w:tabs>
      <w:suppressAutoHyphens/>
      <w:spacing w:after="120"/>
      <w:ind w:left="1247" w:right="284" w:hanging="1247"/>
    </w:pPr>
    <w:rPr>
      <w:b/>
    </w:rPr>
  </w:style>
  <w:style w:type="table" w:customStyle="1" w:styleId="Footertable">
    <w:name w:val="Footer_table"/>
    <w:basedOn w:val="TableNormal"/>
    <w:semiHidden/>
    <w:rsid w:val="009D0B3A"/>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9D0B3A"/>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20109"/>
    <w:pPr>
      <w:tabs>
        <w:tab w:val="left" w:pos="4321"/>
        <w:tab w:val="right" w:pos="8641"/>
      </w:tabs>
      <w:spacing w:before="60"/>
    </w:pPr>
    <w:rPr>
      <w:b/>
      <w:sz w:val="18"/>
    </w:rPr>
  </w:style>
  <w:style w:type="paragraph" w:customStyle="1" w:styleId="Footer-pool">
    <w:name w:val="Footer-pool"/>
    <w:basedOn w:val="Normal"/>
    <w:next w:val="Normal"/>
    <w:rsid w:val="009D0B3A"/>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9D0B3A"/>
    <w:pPr>
      <w:pBdr>
        <w:bottom w:val="single" w:sz="4" w:space="1" w:color="auto"/>
      </w:pBdr>
      <w:tabs>
        <w:tab w:val="center" w:pos="4536"/>
        <w:tab w:val="right" w:pos="9072"/>
      </w:tabs>
      <w:spacing w:after="120"/>
    </w:pPr>
    <w:rPr>
      <w:b/>
      <w:sz w:val="18"/>
    </w:rPr>
  </w:style>
  <w:style w:type="paragraph" w:customStyle="1" w:styleId="Normal-pool">
    <w:name w:val="Normal-pool"/>
    <w:link w:val="Normal-poolChar"/>
    <w:qFormat/>
    <w:rsid w:val="009D0B3A"/>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
    <w:rsid w:val="009D0B3A"/>
    <w:rPr>
      <w:rFonts w:ascii="Times New Roman" w:hAnsi="Times New Roman"/>
      <w:color w:val="auto"/>
      <w:sz w:val="20"/>
      <w:szCs w:val="18"/>
      <w:vertAlign w:val="superscript"/>
      <w:lang w:val="fr-FR"/>
    </w:rPr>
  </w:style>
  <w:style w:type="paragraph" w:styleId="FootnoteText">
    <w:name w:val="footnote text"/>
    <w:basedOn w:val="Normal"/>
    <w:link w:val="FootnoteTextChar"/>
    <w:semiHidden/>
    <w:rsid w:val="009D0B3A"/>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637391"/>
    <w:rPr>
      <w:rFonts w:ascii="Times New Roman" w:eastAsia="Times New Roman" w:hAnsi="Times New Roman" w:cs="Times New Roman"/>
      <w:kern w:val="0"/>
      <w:sz w:val="18"/>
      <w:szCs w:val="20"/>
      <w:lang w:val="fr-FR" w:eastAsia="en-US"/>
      <w14:ligatures w14:val="none"/>
    </w:rPr>
  </w:style>
  <w:style w:type="table" w:customStyle="1" w:styleId="AATable">
    <w:name w:val="AA_Table"/>
    <w:basedOn w:val="TableNormal"/>
    <w:semiHidden/>
    <w:rsid w:val="00E20109"/>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9D0B3A"/>
    <w:pPr>
      <w:keepNext/>
      <w:keepLines/>
      <w:suppressAutoHyphens/>
    </w:pPr>
    <w:rPr>
      <w:b/>
    </w:rPr>
  </w:style>
  <w:style w:type="paragraph" w:customStyle="1" w:styleId="AATitle2">
    <w:name w:val="AA_Title2"/>
    <w:basedOn w:val="AATitle"/>
    <w:qFormat/>
    <w:rsid w:val="009D0B3A"/>
    <w:pPr>
      <w:keepNext w:val="0"/>
      <w:keepLines w:val="0"/>
      <w:spacing w:before="120" w:after="120"/>
    </w:pPr>
  </w:style>
  <w:style w:type="paragraph" w:customStyle="1" w:styleId="BBTitle">
    <w:name w:val="BB_Title"/>
    <w:basedOn w:val="Normal-pool"/>
    <w:link w:val="BBTitleChar"/>
    <w:qFormat/>
    <w:rsid w:val="009D0B3A"/>
    <w:pPr>
      <w:keepNext/>
      <w:keepLines/>
      <w:suppressAutoHyphens/>
      <w:spacing w:before="320" w:after="240"/>
      <w:ind w:left="1247" w:right="567"/>
    </w:pPr>
    <w:rPr>
      <w:b/>
      <w:sz w:val="28"/>
      <w:szCs w:val="28"/>
    </w:rPr>
  </w:style>
  <w:style w:type="paragraph" w:styleId="Footer">
    <w:name w:val="footer"/>
    <w:basedOn w:val="Normal"/>
    <w:link w:val="FooterChar"/>
    <w:unhideWhenUsed/>
    <w:rsid w:val="009D0B3A"/>
    <w:pPr>
      <w:tabs>
        <w:tab w:val="right" w:pos="8641"/>
      </w:tabs>
      <w:spacing w:after="120"/>
    </w:pPr>
    <w:rPr>
      <w:b/>
      <w:sz w:val="18"/>
    </w:rPr>
  </w:style>
  <w:style w:type="character" w:customStyle="1" w:styleId="FooterChar">
    <w:name w:val="Footer Char"/>
    <w:basedOn w:val="DefaultParagraphFont"/>
    <w:link w:val="Footer"/>
    <w:rsid w:val="009D0B3A"/>
    <w:rPr>
      <w:rFonts w:ascii="Times New Roman" w:eastAsia="Times New Roman" w:hAnsi="Times New Roman" w:cs="Times New Roman"/>
      <w:b/>
      <w:kern w:val="0"/>
      <w:sz w:val="18"/>
      <w:szCs w:val="20"/>
      <w:lang w:val="fr-FR" w:eastAsia="en-US"/>
      <w14:ligatures w14:val="none"/>
    </w:rPr>
  </w:style>
  <w:style w:type="paragraph" w:styleId="Header">
    <w:name w:val="header"/>
    <w:basedOn w:val="Normal"/>
    <w:next w:val="Header-pool"/>
    <w:link w:val="HeaderChar"/>
    <w:semiHidden/>
    <w:rsid w:val="009D0B3A"/>
    <w:pPr>
      <w:pBdr>
        <w:bottom w:val="single" w:sz="4" w:space="1" w:color="auto"/>
      </w:pBdr>
      <w:tabs>
        <w:tab w:val="left" w:pos="624"/>
        <w:tab w:val="left" w:pos="1871"/>
        <w:tab w:val="left" w:pos="2495"/>
        <w:tab w:val="left" w:pos="3119"/>
        <w:tab w:val="left" w:pos="3742"/>
        <w:tab w:val="left" w:pos="4366"/>
        <w:tab w:val="center" w:pos="4536"/>
        <w:tab w:val="right" w:pos="9072"/>
      </w:tabs>
      <w:spacing w:after="120"/>
    </w:pPr>
    <w:rPr>
      <w:b/>
      <w:sz w:val="18"/>
    </w:rPr>
  </w:style>
  <w:style w:type="character" w:customStyle="1" w:styleId="HeaderChar">
    <w:name w:val="Header Char"/>
    <w:basedOn w:val="DefaultParagraphFont"/>
    <w:link w:val="Header"/>
    <w:semiHidden/>
    <w:rsid w:val="009D0B3A"/>
    <w:rPr>
      <w:rFonts w:ascii="Times New Roman" w:eastAsia="Times New Roman" w:hAnsi="Times New Roman" w:cs="Times New Roman"/>
      <w:b/>
      <w:kern w:val="0"/>
      <w:sz w:val="18"/>
      <w:szCs w:val="20"/>
      <w:lang w:val="fr-FR" w:eastAsia="en-US"/>
      <w14:ligatures w14:val="none"/>
    </w:rPr>
  </w:style>
  <w:style w:type="character" w:styleId="Hyperlink">
    <w:name w:val="Hyperlink"/>
    <w:basedOn w:val="DefaultParagraphFont"/>
    <w:uiPriority w:val="99"/>
    <w:rsid w:val="009D0B3A"/>
    <w:rPr>
      <w:color w:val="0000FF"/>
      <w:u w:val="none"/>
      <w:lang w:val="fr-FR"/>
    </w:rPr>
  </w:style>
  <w:style w:type="numbering" w:customStyle="1" w:styleId="Normallist">
    <w:name w:val="Normal_list"/>
    <w:basedOn w:val="NoList"/>
    <w:rsid w:val="009D0B3A"/>
    <w:pPr>
      <w:numPr>
        <w:numId w:val="1"/>
      </w:numPr>
    </w:pPr>
  </w:style>
  <w:style w:type="paragraph" w:customStyle="1" w:styleId="NormalNonumber">
    <w:name w:val="Normal_No_number"/>
    <w:basedOn w:val="Normal-pool"/>
    <w:link w:val="NormalNonumberChar"/>
    <w:qFormat/>
    <w:rsid w:val="009D0B3A"/>
    <w:pPr>
      <w:spacing w:after="120"/>
      <w:ind w:left="1247"/>
    </w:pPr>
  </w:style>
  <w:style w:type="paragraph" w:customStyle="1" w:styleId="Normalnumber">
    <w:name w:val="Normal_number"/>
    <w:basedOn w:val="Normal"/>
    <w:link w:val="NormalnumberChar"/>
    <w:qFormat/>
    <w:rsid w:val="009D0B3A"/>
    <w:pPr>
      <w:numPr>
        <w:numId w:val="3"/>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9D0B3A"/>
    <w:pPr>
      <w:keepNext/>
      <w:keepLines/>
      <w:suppressAutoHyphens/>
      <w:spacing w:after="60"/>
      <w:ind w:left="1247"/>
    </w:pPr>
    <w:rPr>
      <w:b/>
      <w:bCs/>
    </w:rPr>
  </w:style>
  <w:style w:type="paragraph" w:styleId="TOC1">
    <w:name w:val="toc 1"/>
    <w:basedOn w:val="Normal"/>
    <w:next w:val="Normal"/>
    <w:autoRedefine/>
    <w:uiPriority w:val="39"/>
    <w:unhideWhenUsed/>
    <w:rsid w:val="009D0B3A"/>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9D0B3A"/>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9D0B3A"/>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9D0B3A"/>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9D0B3A"/>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9D0B3A"/>
    <w:rPr>
      <w:b/>
      <w:bCs/>
      <w:sz w:val="28"/>
      <w:szCs w:val="22"/>
    </w:rPr>
  </w:style>
  <w:style w:type="paragraph" w:customStyle="1" w:styleId="ZZAnxtitle">
    <w:name w:val="ZZ_Anx_title"/>
    <w:basedOn w:val="Normal-pool"/>
    <w:rsid w:val="009D0B3A"/>
    <w:pPr>
      <w:spacing w:before="360" w:after="120"/>
      <w:ind w:left="1247"/>
    </w:pPr>
    <w:rPr>
      <w:b/>
      <w:bCs/>
      <w:sz w:val="28"/>
      <w:szCs w:val="26"/>
    </w:rPr>
  </w:style>
  <w:style w:type="paragraph" w:styleId="NormalWeb">
    <w:name w:val="Normal (Web)"/>
    <w:basedOn w:val="Normal"/>
    <w:uiPriority w:val="99"/>
    <w:semiHidden/>
    <w:unhideWhenUsed/>
    <w:rsid w:val="00E2010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9D0B3A"/>
    <w:pPr>
      <w:spacing w:before="40" w:after="40"/>
    </w:pPr>
    <w:rPr>
      <w:sz w:val="18"/>
    </w:rPr>
  </w:style>
  <w:style w:type="paragraph" w:customStyle="1" w:styleId="Footnote-Text">
    <w:name w:val="Footnote-Text"/>
    <w:basedOn w:val="Normal-pool"/>
    <w:rsid w:val="009D0B3A"/>
    <w:pPr>
      <w:spacing w:before="20" w:after="40"/>
      <w:ind w:left="1247"/>
    </w:pPr>
    <w:rPr>
      <w:sz w:val="18"/>
    </w:rPr>
  </w:style>
  <w:style w:type="character" w:customStyle="1" w:styleId="Normal-poolChar">
    <w:name w:val="Normal-pool Char"/>
    <w:link w:val="Normal-pool"/>
    <w:locked/>
    <w:rsid w:val="009B03BB"/>
    <w:rPr>
      <w:rFonts w:ascii="Times New Roman" w:eastAsia="SimSun" w:hAnsi="Times New Roman" w:cs="Times New Roman"/>
      <w:kern w:val="0"/>
      <w:sz w:val="20"/>
      <w:szCs w:val="20"/>
      <w14:ligatures w14:val="none"/>
    </w:rPr>
  </w:style>
  <w:style w:type="paragraph" w:customStyle="1" w:styleId="AConvName">
    <w:name w:val="A_ConvName"/>
    <w:basedOn w:val="Normal-pool"/>
    <w:next w:val="Normal-pool"/>
    <w:rsid w:val="009D0B3A"/>
    <w:pPr>
      <w:tabs>
        <w:tab w:val="clear" w:pos="1247"/>
      </w:tabs>
      <w:spacing w:before="120" w:after="240"/>
    </w:pPr>
    <w:rPr>
      <w:rFonts w:ascii="Arial" w:hAnsi="Arial"/>
      <w:b/>
      <w:sz w:val="28"/>
    </w:rPr>
  </w:style>
  <w:style w:type="paragraph" w:customStyle="1" w:styleId="ASymbol">
    <w:name w:val="A_Symbol"/>
    <w:basedOn w:val="Normal-pool"/>
    <w:rsid w:val="009D0B3A"/>
    <w:pPr>
      <w:tabs>
        <w:tab w:val="clear" w:pos="1247"/>
      </w:tabs>
    </w:pPr>
  </w:style>
  <w:style w:type="paragraph" w:customStyle="1" w:styleId="AText">
    <w:name w:val="A_Text"/>
    <w:basedOn w:val="Normal-pool"/>
    <w:rsid w:val="009D0B3A"/>
    <w:pPr>
      <w:spacing w:before="120"/>
    </w:pPr>
  </w:style>
  <w:style w:type="paragraph" w:customStyle="1" w:styleId="ATwoLetters">
    <w:name w:val="A_TwoLetters"/>
    <w:basedOn w:val="Normal-pool"/>
    <w:next w:val="Normal-pool"/>
    <w:rsid w:val="009D0B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9D0B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20109"/>
    <w:rPr>
      <w:rFonts w:ascii="Tahoma" w:hAnsi="Tahoma" w:cs="Tahoma"/>
      <w:sz w:val="16"/>
      <w:szCs w:val="16"/>
    </w:rPr>
  </w:style>
  <w:style w:type="character" w:customStyle="1" w:styleId="BalloonTextChar">
    <w:name w:val="Balloon Text Char"/>
    <w:basedOn w:val="DefaultParagraphFont"/>
    <w:link w:val="BalloonText"/>
    <w:rsid w:val="00E20109"/>
    <w:rPr>
      <w:rFonts w:ascii="Tahoma" w:eastAsia="Times New Roman" w:hAnsi="Tahoma" w:cs="Tahoma"/>
      <w:kern w:val="0"/>
      <w:sz w:val="16"/>
      <w:szCs w:val="16"/>
      <w:lang w:val="fr-FR" w:eastAsia="en-US"/>
      <w14:ligatures w14:val="none"/>
    </w:rPr>
  </w:style>
  <w:style w:type="character" w:styleId="CommentReference">
    <w:name w:val="annotation reference"/>
    <w:basedOn w:val="DefaultParagraphFont"/>
    <w:semiHidden/>
    <w:unhideWhenUsed/>
    <w:rsid w:val="009D0B3A"/>
    <w:rPr>
      <w:sz w:val="16"/>
      <w:szCs w:val="16"/>
      <w:lang w:val="fr-FR"/>
    </w:rPr>
  </w:style>
  <w:style w:type="paragraph" w:styleId="CommentText">
    <w:name w:val="annotation text"/>
    <w:basedOn w:val="Normal"/>
    <w:link w:val="CommentTextChar"/>
    <w:unhideWhenUsed/>
    <w:rsid w:val="009D0B3A"/>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9D0B3A"/>
    <w:rPr>
      <w:rFonts w:ascii="Times New Roman" w:eastAsia="Times New Roman" w:hAnsi="Times New Roman" w:cs="Times New Roman"/>
      <w:kern w:val="0"/>
      <w:sz w:val="20"/>
      <w:szCs w:val="20"/>
      <w:lang w:val="fr-FR" w:eastAsia="en-US"/>
      <w14:ligatures w14:val="none"/>
    </w:rPr>
  </w:style>
  <w:style w:type="paragraph" w:styleId="CommentSubject">
    <w:name w:val="annotation subject"/>
    <w:basedOn w:val="CommentText"/>
    <w:next w:val="CommentText"/>
    <w:link w:val="CommentSubjectChar"/>
    <w:semiHidden/>
    <w:unhideWhenUsed/>
    <w:rsid w:val="009D0B3A"/>
    <w:rPr>
      <w:b/>
      <w:bCs/>
    </w:rPr>
  </w:style>
  <w:style w:type="character" w:customStyle="1" w:styleId="CommentSubjectChar">
    <w:name w:val="Comment Subject Char"/>
    <w:basedOn w:val="CommentTextChar"/>
    <w:link w:val="CommentSubject"/>
    <w:semiHidden/>
    <w:rsid w:val="009D0B3A"/>
    <w:rPr>
      <w:rFonts w:ascii="Times New Roman" w:eastAsia="Times New Roman" w:hAnsi="Times New Roman" w:cs="Times New Roman"/>
      <w:b/>
      <w:bCs/>
      <w:kern w:val="0"/>
      <w:sz w:val="20"/>
      <w:szCs w:val="20"/>
      <w:lang w:val="fr-FR" w:eastAsia="en-US"/>
      <w14:ligatures w14:val="none"/>
    </w:rPr>
  </w:style>
  <w:style w:type="character" w:styleId="FollowedHyperlink">
    <w:name w:val="FollowedHyperlink"/>
    <w:uiPriority w:val="99"/>
    <w:semiHidden/>
    <w:rsid w:val="009D0B3A"/>
    <w:rPr>
      <w:color w:val="0000FF"/>
      <w:u w:val="none"/>
      <w:lang w:val="fr-FR"/>
    </w:rPr>
  </w:style>
  <w:style w:type="paragraph" w:styleId="ListParagraph">
    <w:name w:val="List Paragraph"/>
    <w:basedOn w:val="Normal"/>
    <w:uiPriority w:val="34"/>
    <w:qFormat/>
    <w:rsid w:val="00E20109"/>
    <w:pPr>
      <w:ind w:left="720"/>
      <w:contextualSpacing/>
    </w:pPr>
  </w:style>
  <w:style w:type="paragraph" w:styleId="NoSpacing">
    <w:name w:val="No Spacing"/>
    <w:uiPriority w:val="1"/>
    <w:semiHidden/>
    <w:qFormat/>
    <w:rsid w:val="00E20109"/>
    <w:pPr>
      <w:spacing w:after="0" w:line="240" w:lineRule="auto"/>
    </w:pPr>
    <w:rPr>
      <w:rFonts w:eastAsiaTheme="minorHAnsi"/>
      <w:kern w:val="0"/>
      <w:lang w:eastAsia="en-US"/>
      <w14:ligatures w14:val="none"/>
    </w:rPr>
  </w:style>
  <w:style w:type="character" w:customStyle="1" w:styleId="NormalnumberChar">
    <w:name w:val="Normal_number Char"/>
    <w:link w:val="Normalnumber"/>
    <w:rsid w:val="009D0B3A"/>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E20109"/>
    <w:rPr>
      <w:color w:val="808080"/>
      <w:lang w:val="fr-FR"/>
    </w:rPr>
  </w:style>
  <w:style w:type="table" w:styleId="TableGrid">
    <w:name w:val="Table Grid"/>
    <w:basedOn w:val="TableNormal"/>
    <w:rsid w:val="00E2010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9D0B3A"/>
    <w:pPr>
      <w:spacing w:before="120" w:after="240"/>
    </w:pPr>
    <w:rPr>
      <w:rFonts w:eastAsia="Times New Roman"/>
    </w:rPr>
  </w:style>
  <w:style w:type="character" w:customStyle="1" w:styleId="ALogoChar">
    <w:name w:val="A_Logo Char"/>
    <w:basedOn w:val="DefaultParagraphFont"/>
    <w:link w:val="ALogo"/>
    <w:rsid w:val="009D0B3A"/>
    <w:rPr>
      <w:rFonts w:ascii="Times New Roman" w:eastAsia="Times New Roman" w:hAnsi="Times New Roman" w:cs="Times New Roman"/>
      <w:kern w:val="0"/>
      <w:sz w:val="20"/>
      <w:szCs w:val="20"/>
      <w:lang w:val="fr-FR"/>
      <w14:ligatures w14:val="none"/>
    </w:rPr>
  </w:style>
  <w:style w:type="paragraph" w:customStyle="1" w:styleId="ASpacer">
    <w:name w:val="A_Spacer"/>
    <w:basedOn w:val="Normal-pool"/>
    <w:link w:val="ASpacerChar"/>
    <w:qFormat/>
    <w:rsid w:val="009D0B3A"/>
    <w:rPr>
      <w:rFonts w:eastAsia="Times New Roman"/>
      <w:sz w:val="2"/>
    </w:rPr>
  </w:style>
  <w:style w:type="character" w:customStyle="1" w:styleId="ASpacerChar">
    <w:name w:val="A_Spacer Char"/>
    <w:basedOn w:val="DefaultParagraphFont"/>
    <w:link w:val="ASpacer"/>
    <w:rsid w:val="009D0B3A"/>
    <w:rPr>
      <w:rFonts w:ascii="Times New Roman" w:eastAsia="Times New Roman" w:hAnsi="Times New Roman" w:cs="Times New Roman"/>
      <w:kern w:val="0"/>
      <w:sz w:val="2"/>
      <w:szCs w:val="20"/>
      <w:lang w:val="fr-FR"/>
      <w14:ligatures w14:val="none"/>
    </w:rPr>
  </w:style>
  <w:style w:type="paragraph" w:customStyle="1" w:styleId="AATitle1">
    <w:name w:val="AA_Title1"/>
    <w:basedOn w:val="Normal-pool"/>
    <w:qFormat/>
    <w:rsid w:val="009D0B3A"/>
  </w:style>
  <w:style w:type="character" w:styleId="UnresolvedMention">
    <w:name w:val="Unresolved Mention"/>
    <w:basedOn w:val="DefaultParagraphFont"/>
    <w:uiPriority w:val="99"/>
    <w:semiHidden/>
    <w:rsid w:val="00E20109"/>
    <w:rPr>
      <w:color w:val="605E5C"/>
      <w:shd w:val="clear" w:color="auto" w:fill="E1DFDD"/>
      <w:lang w:val="fr-FR"/>
    </w:rPr>
  </w:style>
  <w:style w:type="paragraph" w:customStyle="1" w:styleId="ANormal">
    <w:name w:val="A_Normal"/>
    <w:basedOn w:val="Normal-pool"/>
    <w:qFormat/>
    <w:rsid w:val="009D0B3A"/>
    <w:rPr>
      <w:rFonts w:eastAsia="Times New Roman"/>
    </w:rPr>
  </w:style>
  <w:style w:type="paragraph" w:customStyle="1" w:styleId="AText0">
    <w:name w:val="A_Text0"/>
    <w:basedOn w:val="AText"/>
    <w:next w:val="Normal-pool"/>
    <w:qFormat/>
    <w:rsid w:val="009D0B3A"/>
    <w:pPr>
      <w:spacing w:before="0" w:after="120"/>
    </w:pPr>
    <w:rPr>
      <w:rFonts w:eastAsia="Times New Roman"/>
    </w:rPr>
  </w:style>
  <w:style w:type="paragraph" w:styleId="Bibliography">
    <w:name w:val="Bibliography"/>
    <w:basedOn w:val="Normal"/>
    <w:next w:val="Normal"/>
    <w:uiPriority w:val="37"/>
    <w:semiHidden/>
    <w:unhideWhenUsed/>
    <w:rsid w:val="009B03BB"/>
  </w:style>
  <w:style w:type="paragraph" w:styleId="BlockText">
    <w:name w:val="Block Text"/>
    <w:basedOn w:val="Normal"/>
    <w:uiPriority w:val="99"/>
    <w:semiHidden/>
    <w:unhideWhenUsed/>
    <w:rsid w:val="009B03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9B03BB"/>
    <w:pPr>
      <w:spacing w:after="120"/>
    </w:pPr>
  </w:style>
  <w:style w:type="character" w:customStyle="1" w:styleId="BodyTextChar">
    <w:name w:val="Body Text Char"/>
    <w:basedOn w:val="DefaultParagraphFont"/>
    <w:link w:val="BodyText"/>
    <w:uiPriority w:val="99"/>
    <w:semiHidden/>
    <w:rsid w:val="009B03BB"/>
    <w:rPr>
      <w:rFonts w:ascii="Times New Roman" w:eastAsia="Times New Roman" w:hAnsi="Times New Roman" w:cs="Times New Roman"/>
      <w:kern w:val="0"/>
      <w:sz w:val="20"/>
      <w:szCs w:val="20"/>
      <w:lang w:val="fr-FR" w:eastAsia="en-US"/>
      <w14:ligatures w14:val="none"/>
    </w:rPr>
  </w:style>
  <w:style w:type="paragraph" w:styleId="BodyText2">
    <w:name w:val="Body Text 2"/>
    <w:basedOn w:val="Normal"/>
    <w:link w:val="BodyText2Char"/>
    <w:uiPriority w:val="99"/>
    <w:semiHidden/>
    <w:unhideWhenUsed/>
    <w:rsid w:val="009B03BB"/>
    <w:pPr>
      <w:spacing w:after="120" w:line="480" w:lineRule="auto"/>
    </w:pPr>
  </w:style>
  <w:style w:type="character" w:customStyle="1" w:styleId="BodyText2Char">
    <w:name w:val="Body Text 2 Char"/>
    <w:basedOn w:val="DefaultParagraphFont"/>
    <w:link w:val="BodyText2"/>
    <w:uiPriority w:val="99"/>
    <w:semiHidden/>
    <w:rsid w:val="009B03BB"/>
    <w:rPr>
      <w:rFonts w:ascii="Times New Roman" w:eastAsia="Times New Roman" w:hAnsi="Times New Roman" w:cs="Times New Roman"/>
      <w:kern w:val="0"/>
      <w:sz w:val="20"/>
      <w:szCs w:val="20"/>
      <w:lang w:val="fr-FR" w:eastAsia="en-US"/>
      <w14:ligatures w14:val="none"/>
    </w:rPr>
  </w:style>
  <w:style w:type="paragraph" w:styleId="BodyText3">
    <w:name w:val="Body Text 3"/>
    <w:basedOn w:val="Normal"/>
    <w:link w:val="BodyText3Char"/>
    <w:uiPriority w:val="99"/>
    <w:semiHidden/>
    <w:unhideWhenUsed/>
    <w:rsid w:val="009B03BB"/>
    <w:pPr>
      <w:spacing w:after="120"/>
    </w:pPr>
    <w:rPr>
      <w:sz w:val="16"/>
      <w:szCs w:val="16"/>
    </w:rPr>
  </w:style>
  <w:style w:type="character" w:customStyle="1" w:styleId="BodyText3Char">
    <w:name w:val="Body Text 3 Char"/>
    <w:basedOn w:val="DefaultParagraphFont"/>
    <w:link w:val="BodyText3"/>
    <w:uiPriority w:val="99"/>
    <w:semiHidden/>
    <w:rsid w:val="009B03BB"/>
    <w:rPr>
      <w:rFonts w:ascii="Times New Roman" w:eastAsia="Times New Roman" w:hAnsi="Times New Roman" w:cs="Times New Roman"/>
      <w:kern w:val="0"/>
      <w:sz w:val="16"/>
      <w:szCs w:val="16"/>
      <w:lang w:val="fr-FR" w:eastAsia="en-US"/>
      <w14:ligatures w14:val="none"/>
    </w:rPr>
  </w:style>
  <w:style w:type="paragraph" w:styleId="BodyTextFirstIndent">
    <w:name w:val="Body Text First Indent"/>
    <w:basedOn w:val="BodyText"/>
    <w:link w:val="BodyTextFirstIndentChar"/>
    <w:uiPriority w:val="99"/>
    <w:semiHidden/>
    <w:unhideWhenUsed/>
    <w:rsid w:val="009B03BB"/>
    <w:pPr>
      <w:spacing w:after="0"/>
      <w:ind w:firstLine="360"/>
    </w:pPr>
  </w:style>
  <w:style w:type="character" w:customStyle="1" w:styleId="BodyTextFirstIndentChar">
    <w:name w:val="Body Text First Indent Char"/>
    <w:basedOn w:val="BodyTextChar"/>
    <w:link w:val="BodyTextFirstIndent"/>
    <w:uiPriority w:val="99"/>
    <w:semiHidden/>
    <w:rsid w:val="009B03BB"/>
    <w:rPr>
      <w:rFonts w:ascii="Times New Roman" w:eastAsia="Times New Roman" w:hAnsi="Times New Roman" w:cs="Times New Roman"/>
      <w:kern w:val="0"/>
      <w:sz w:val="20"/>
      <w:szCs w:val="20"/>
      <w:lang w:val="fr-FR" w:eastAsia="en-US"/>
      <w14:ligatures w14:val="none"/>
    </w:rPr>
  </w:style>
  <w:style w:type="paragraph" w:styleId="BodyTextIndent">
    <w:name w:val="Body Text Indent"/>
    <w:basedOn w:val="Normal"/>
    <w:link w:val="BodyTextIndentChar"/>
    <w:uiPriority w:val="99"/>
    <w:semiHidden/>
    <w:unhideWhenUsed/>
    <w:rsid w:val="009B03BB"/>
    <w:pPr>
      <w:spacing w:after="120"/>
      <w:ind w:left="283"/>
    </w:pPr>
  </w:style>
  <w:style w:type="character" w:customStyle="1" w:styleId="BodyTextIndentChar">
    <w:name w:val="Body Text Indent Char"/>
    <w:basedOn w:val="DefaultParagraphFont"/>
    <w:link w:val="BodyTextIndent"/>
    <w:uiPriority w:val="99"/>
    <w:semiHidden/>
    <w:rsid w:val="009B03BB"/>
    <w:rPr>
      <w:rFonts w:ascii="Times New Roman" w:eastAsia="Times New Roman" w:hAnsi="Times New Roman" w:cs="Times New Roman"/>
      <w:kern w:val="0"/>
      <w:sz w:val="20"/>
      <w:szCs w:val="20"/>
      <w:lang w:val="fr-FR" w:eastAsia="en-US"/>
      <w14:ligatures w14:val="none"/>
    </w:rPr>
  </w:style>
  <w:style w:type="paragraph" w:styleId="BodyTextFirstIndent2">
    <w:name w:val="Body Text First Indent 2"/>
    <w:basedOn w:val="BodyTextIndent"/>
    <w:link w:val="BodyTextFirstIndent2Char"/>
    <w:uiPriority w:val="99"/>
    <w:semiHidden/>
    <w:unhideWhenUsed/>
    <w:rsid w:val="009B03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9B03BB"/>
    <w:rPr>
      <w:rFonts w:ascii="Times New Roman" w:eastAsia="Times New Roman" w:hAnsi="Times New Roman" w:cs="Times New Roman"/>
      <w:kern w:val="0"/>
      <w:sz w:val="20"/>
      <w:szCs w:val="20"/>
      <w:lang w:val="fr-FR" w:eastAsia="en-US"/>
      <w14:ligatures w14:val="none"/>
    </w:rPr>
  </w:style>
  <w:style w:type="paragraph" w:styleId="BodyTextIndent2">
    <w:name w:val="Body Text Indent 2"/>
    <w:basedOn w:val="Normal"/>
    <w:link w:val="BodyTextIndent2Char"/>
    <w:uiPriority w:val="99"/>
    <w:semiHidden/>
    <w:unhideWhenUsed/>
    <w:rsid w:val="009B03BB"/>
    <w:pPr>
      <w:spacing w:after="120" w:line="480" w:lineRule="auto"/>
      <w:ind w:left="283"/>
    </w:pPr>
  </w:style>
  <w:style w:type="character" w:customStyle="1" w:styleId="BodyTextIndent2Char">
    <w:name w:val="Body Text Indent 2 Char"/>
    <w:basedOn w:val="DefaultParagraphFont"/>
    <w:link w:val="BodyTextIndent2"/>
    <w:uiPriority w:val="99"/>
    <w:semiHidden/>
    <w:rsid w:val="009B03BB"/>
    <w:rPr>
      <w:rFonts w:ascii="Times New Roman" w:eastAsia="Times New Roman" w:hAnsi="Times New Roman" w:cs="Times New Roman"/>
      <w:kern w:val="0"/>
      <w:sz w:val="20"/>
      <w:szCs w:val="20"/>
      <w:lang w:val="fr-FR" w:eastAsia="en-US"/>
      <w14:ligatures w14:val="none"/>
    </w:rPr>
  </w:style>
  <w:style w:type="paragraph" w:styleId="BodyTextIndent3">
    <w:name w:val="Body Text Indent 3"/>
    <w:basedOn w:val="Normal"/>
    <w:link w:val="BodyTextIndent3Char"/>
    <w:uiPriority w:val="99"/>
    <w:semiHidden/>
    <w:unhideWhenUsed/>
    <w:rsid w:val="009B03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B03BB"/>
    <w:rPr>
      <w:rFonts w:ascii="Times New Roman" w:eastAsia="Times New Roman" w:hAnsi="Times New Roman" w:cs="Times New Roman"/>
      <w:kern w:val="0"/>
      <w:sz w:val="16"/>
      <w:szCs w:val="16"/>
      <w:lang w:val="fr-FR" w:eastAsia="en-US"/>
      <w14:ligatures w14:val="none"/>
    </w:rPr>
  </w:style>
  <w:style w:type="character" w:styleId="BookTitle">
    <w:name w:val="Book Title"/>
    <w:basedOn w:val="DefaultParagraphFont"/>
    <w:uiPriority w:val="33"/>
    <w:semiHidden/>
    <w:qFormat/>
    <w:rsid w:val="009B03BB"/>
    <w:rPr>
      <w:b/>
      <w:bCs/>
      <w:i/>
      <w:iCs/>
      <w:spacing w:val="5"/>
      <w:lang w:val="fr-FR"/>
    </w:rPr>
  </w:style>
  <w:style w:type="paragraph" w:styleId="Caption">
    <w:name w:val="caption"/>
    <w:basedOn w:val="Normal"/>
    <w:next w:val="Normal"/>
    <w:uiPriority w:val="35"/>
    <w:semiHidden/>
    <w:unhideWhenUsed/>
    <w:qFormat/>
    <w:rsid w:val="009B03BB"/>
    <w:pPr>
      <w:spacing w:after="200"/>
    </w:pPr>
    <w:rPr>
      <w:i/>
      <w:iCs/>
      <w:color w:val="44546A" w:themeColor="text2"/>
      <w:sz w:val="18"/>
      <w:szCs w:val="18"/>
    </w:rPr>
  </w:style>
  <w:style w:type="paragraph" w:styleId="Closing">
    <w:name w:val="Closing"/>
    <w:basedOn w:val="Normal"/>
    <w:link w:val="ClosingChar"/>
    <w:uiPriority w:val="99"/>
    <w:semiHidden/>
    <w:unhideWhenUsed/>
    <w:rsid w:val="009B03BB"/>
    <w:pPr>
      <w:ind w:left="4252"/>
    </w:pPr>
  </w:style>
  <w:style w:type="character" w:customStyle="1" w:styleId="ClosingChar">
    <w:name w:val="Closing Char"/>
    <w:basedOn w:val="DefaultParagraphFont"/>
    <w:link w:val="Closing"/>
    <w:uiPriority w:val="99"/>
    <w:semiHidden/>
    <w:rsid w:val="009B03BB"/>
    <w:rPr>
      <w:rFonts w:ascii="Times New Roman" w:eastAsia="Times New Roman" w:hAnsi="Times New Roman" w:cs="Times New Roman"/>
      <w:kern w:val="0"/>
      <w:sz w:val="20"/>
      <w:szCs w:val="20"/>
      <w:lang w:val="fr-FR" w:eastAsia="en-US"/>
      <w14:ligatures w14:val="none"/>
    </w:rPr>
  </w:style>
  <w:style w:type="table" w:styleId="ColorfulGrid">
    <w:name w:val="Colorful Grid"/>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B03B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B03B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B03B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B03B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B03BB"/>
  </w:style>
  <w:style w:type="character" w:customStyle="1" w:styleId="DateChar">
    <w:name w:val="Date Char"/>
    <w:basedOn w:val="DefaultParagraphFont"/>
    <w:link w:val="Date"/>
    <w:uiPriority w:val="99"/>
    <w:semiHidden/>
    <w:rsid w:val="009B03BB"/>
    <w:rPr>
      <w:rFonts w:ascii="Times New Roman" w:eastAsia="Times New Roman" w:hAnsi="Times New Roman" w:cs="Times New Roman"/>
      <w:kern w:val="0"/>
      <w:sz w:val="20"/>
      <w:szCs w:val="20"/>
      <w:lang w:val="fr-FR" w:eastAsia="en-US"/>
      <w14:ligatures w14:val="none"/>
    </w:rPr>
  </w:style>
  <w:style w:type="paragraph" w:styleId="DocumentMap">
    <w:name w:val="Document Map"/>
    <w:basedOn w:val="Normal"/>
    <w:link w:val="DocumentMapChar"/>
    <w:uiPriority w:val="99"/>
    <w:semiHidden/>
    <w:unhideWhenUsed/>
    <w:rsid w:val="009B03B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B03BB"/>
    <w:rPr>
      <w:rFonts w:ascii="Segoe UI" w:eastAsia="Times New Roman" w:hAnsi="Segoe UI" w:cs="Segoe UI"/>
      <w:kern w:val="0"/>
      <w:sz w:val="16"/>
      <w:szCs w:val="16"/>
      <w:lang w:val="fr-FR" w:eastAsia="en-US"/>
      <w14:ligatures w14:val="none"/>
    </w:rPr>
  </w:style>
  <w:style w:type="paragraph" w:styleId="E-mailSignature">
    <w:name w:val="E-mail Signature"/>
    <w:basedOn w:val="Normal"/>
    <w:link w:val="E-mailSignatureChar"/>
    <w:uiPriority w:val="99"/>
    <w:semiHidden/>
    <w:unhideWhenUsed/>
    <w:rsid w:val="009B03BB"/>
  </w:style>
  <w:style w:type="character" w:customStyle="1" w:styleId="E-mailSignatureChar">
    <w:name w:val="E-mail Signature Char"/>
    <w:basedOn w:val="DefaultParagraphFont"/>
    <w:link w:val="E-mailSignature"/>
    <w:uiPriority w:val="99"/>
    <w:semiHidden/>
    <w:rsid w:val="009B03BB"/>
    <w:rPr>
      <w:rFonts w:ascii="Times New Roman" w:eastAsia="Times New Roman" w:hAnsi="Times New Roman" w:cs="Times New Roman"/>
      <w:kern w:val="0"/>
      <w:sz w:val="20"/>
      <w:szCs w:val="20"/>
      <w:lang w:val="fr-FR" w:eastAsia="en-US"/>
      <w14:ligatures w14:val="none"/>
    </w:rPr>
  </w:style>
  <w:style w:type="character" w:styleId="Emphasis">
    <w:name w:val="Emphasis"/>
    <w:basedOn w:val="DefaultParagraphFont"/>
    <w:uiPriority w:val="20"/>
    <w:semiHidden/>
    <w:qFormat/>
    <w:rsid w:val="009B03BB"/>
    <w:rPr>
      <w:i/>
      <w:iCs/>
      <w:lang w:val="fr-FR"/>
    </w:rPr>
  </w:style>
  <w:style w:type="character" w:styleId="EndnoteReference">
    <w:name w:val="endnote reference"/>
    <w:basedOn w:val="DefaultParagraphFont"/>
    <w:uiPriority w:val="99"/>
    <w:semiHidden/>
    <w:unhideWhenUsed/>
    <w:rsid w:val="009B03BB"/>
    <w:rPr>
      <w:vertAlign w:val="superscript"/>
      <w:lang w:val="fr-FR"/>
    </w:rPr>
  </w:style>
  <w:style w:type="paragraph" w:styleId="EndnoteText">
    <w:name w:val="endnote text"/>
    <w:basedOn w:val="Normal"/>
    <w:link w:val="EndnoteTextChar"/>
    <w:uiPriority w:val="99"/>
    <w:semiHidden/>
    <w:unhideWhenUsed/>
    <w:rsid w:val="009B03BB"/>
  </w:style>
  <w:style w:type="character" w:customStyle="1" w:styleId="EndnoteTextChar">
    <w:name w:val="Endnote Text Char"/>
    <w:basedOn w:val="DefaultParagraphFont"/>
    <w:link w:val="EndnoteText"/>
    <w:uiPriority w:val="99"/>
    <w:semiHidden/>
    <w:rsid w:val="009B03BB"/>
    <w:rPr>
      <w:rFonts w:ascii="Times New Roman" w:eastAsia="Times New Roman" w:hAnsi="Times New Roman" w:cs="Times New Roman"/>
      <w:kern w:val="0"/>
      <w:sz w:val="20"/>
      <w:szCs w:val="20"/>
      <w:lang w:val="fr-FR" w:eastAsia="en-US"/>
      <w14:ligatures w14:val="none"/>
    </w:rPr>
  </w:style>
  <w:style w:type="paragraph" w:styleId="EnvelopeAddress">
    <w:name w:val="envelope address"/>
    <w:basedOn w:val="Normal"/>
    <w:uiPriority w:val="99"/>
    <w:semiHidden/>
    <w:unhideWhenUsed/>
    <w:rsid w:val="009B03BB"/>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9"/>
    <w:semiHidden/>
    <w:unhideWhenUsed/>
    <w:rsid w:val="009B03BB"/>
    <w:rPr>
      <w:rFonts w:asciiTheme="majorHAnsi" w:eastAsiaTheme="majorEastAsia" w:hAnsiTheme="majorHAnsi" w:cstheme="majorBidi"/>
    </w:rPr>
  </w:style>
  <w:style w:type="table" w:styleId="GridTable1Light">
    <w:name w:val="Grid Table 1 Light"/>
    <w:basedOn w:val="TableNormal"/>
    <w:uiPriority w:val="46"/>
    <w:rsid w:val="009B03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B03B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B03B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B03B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B03B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B03B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B03B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B03B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B03B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9B03B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B03B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B03B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B03B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B03B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9B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B0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B03B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9B03B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B03B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B03B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B03B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9B03B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B0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B03B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9B03B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B03B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B03B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B03B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9B03B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9B03BB"/>
    <w:rPr>
      <w:color w:val="2B579A"/>
      <w:shd w:val="clear" w:color="auto" w:fill="E1DFDD"/>
      <w:lang w:val="fr-FR"/>
    </w:rPr>
  </w:style>
  <w:style w:type="character" w:styleId="HTMLAcronym">
    <w:name w:val="HTML Acronym"/>
    <w:basedOn w:val="DefaultParagraphFont"/>
    <w:uiPriority w:val="99"/>
    <w:semiHidden/>
    <w:unhideWhenUsed/>
    <w:rsid w:val="009B03BB"/>
    <w:rPr>
      <w:lang w:val="fr-FR"/>
    </w:rPr>
  </w:style>
  <w:style w:type="paragraph" w:styleId="HTMLAddress">
    <w:name w:val="HTML Address"/>
    <w:basedOn w:val="Normal"/>
    <w:link w:val="HTMLAddressChar"/>
    <w:uiPriority w:val="99"/>
    <w:semiHidden/>
    <w:unhideWhenUsed/>
    <w:rsid w:val="009B03BB"/>
    <w:rPr>
      <w:i/>
      <w:iCs/>
    </w:rPr>
  </w:style>
  <w:style w:type="character" w:customStyle="1" w:styleId="HTMLAddressChar">
    <w:name w:val="HTML Address Char"/>
    <w:basedOn w:val="DefaultParagraphFont"/>
    <w:link w:val="HTMLAddress"/>
    <w:uiPriority w:val="99"/>
    <w:semiHidden/>
    <w:rsid w:val="009B03BB"/>
    <w:rPr>
      <w:rFonts w:ascii="Times New Roman" w:eastAsia="Times New Roman" w:hAnsi="Times New Roman" w:cs="Times New Roman"/>
      <w:i/>
      <w:iCs/>
      <w:kern w:val="0"/>
      <w:sz w:val="20"/>
      <w:szCs w:val="20"/>
      <w:lang w:val="fr-FR" w:eastAsia="en-US"/>
      <w14:ligatures w14:val="none"/>
    </w:rPr>
  </w:style>
  <w:style w:type="character" w:styleId="HTMLCite">
    <w:name w:val="HTML Cite"/>
    <w:basedOn w:val="DefaultParagraphFont"/>
    <w:uiPriority w:val="99"/>
    <w:semiHidden/>
    <w:unhideWhenUsed/>
    <w:rsid w:val="009B03BB"/>
    <w:rPr>
      <w:i/>
      <w:iCs/>
      <w:lang w:val="fr-FR"/>
    </w:rPr>
  </w:style>
  <w:style w:type="character" w:styleId="HTMLCode">
    <w:name w:val="HTML Code"/>
    <w:basedOn w:val="DefaultParagraphFont"/>
    <w:uiPriority w:val="99"/>
    <w:semiHidden/>
    <w:unhideWhenUsed/>
    <w:rsid w:val="009B03BB"/>
    <w:rPr>
      <w:rFonts w:ascii="Consolas" w:hAnsi="Consolas"/>
      <w:sz w:val="20"/>
      <w:szCs w:val="20"/>
      <w:lang w:val="fr-FR"/>
    </w:rPr>
  </w:style>
  <w:style w:type="character" w:styleId="HTMLDefinition">
    <w:name w:val="HTML Definition"/>
    <w:basedOn w:val="DefaultParagraphFont"/>
    <w:uiPriority w:val="99"/>
    <w:semiHidden/>
    <w:unhideWhenUsed/>
    <w:rsid w:val="009B03BB"/>
    <w:rPr>
      <w:i/>
      <w:iCs/>
      <w:lang w:val="fr-FR"/>
    </w:rPr>
  </w:style>
  <w:style w:type="character" w:styleId="HTMLKeyboard">
    <w:name w:val="HTML Keyboard"/>
    <w:basedOn w:val="DefaultParagraphFont"/>
    <w:uiPriority w:val="99"/>
    <w:semiHidden/>
    <w:unhideWhenUsed/>
    <w:rsid w:val="009B03BB"/>
    <w:rPr>
      <w:rFonts w:ascii="Consolas" w:hAnsi="Consolas"/>
      <w:sz w:val="20"/>
      <w:szCs w:val="20"/>
      <w:lang w:val="fr-FR"/>
    </w:rPr>
  </w:style>
  <w:style w:type="paragraph" w:styleId="HTMLPreformatted">
    <w:name w:val="HTML Preformatted"/>
    <w:basedOn w:val="Normal"/>
    <w:link w:val="HTMLPreformattedChar"/>
    <w:uiPriority w:val="99"/>
    <w:semiHidden/>
    <w:unhideWhenUsed/>
    <w:rsid w:val="009B03BB"/>
    <w:rPr>
      <w:rFonts w:ascii="Consolas" w:hAnsi="Consolas"/>
    </w:rPr>
  </w:style>
  <w:style w:type="character" w:customStyle="1" w:styleId="HTMLPreformattedChar">
    <w:name w:val="HTML Preformatted Char"/>
    <w:basedOn w:val="DefaultParagraphFont"/>
    <w:link w:val="HTMLPreformatted"/>
    <w:uiPriority w:val="99"/>
    <w:semiHidden/>
    <w:rsid w:val="009B03BB"/>
    <w:rPr>
      <w:rFonts w:ascii="Consolas" w:eastAsia="Times New Roman" w:hAnsi="Consolas" w:cs="Times New Roman"/>
      <w:kern w:val="0"/>
      <w:sz w:val="20"/>
      <w:szCs w:val="20"/>
      <w:lang w:val="fr-FR" w:eastAsia="en-US"/>
      <w14:ligatures w14:val="none"/>
    </w:rPr>
  </w:style>
  <w:style w:type="character" w:styleId="HTMLSample">
    <w:name w:val="HTML Sample"/>
    <w:basedOn w:val="DefaultParagraphFont"/>
    <w:uiPriority w:val="99"/>
    <w:semiHidden/>
    <w:unhideWhenUsed/>
    <w:rsid w:val="009B03BB"/>
    <w:rPr>
      <w:rFonts w:ascii="Consolas" w:hAnsi="Consolas"/>
      <w:sz w:val="24"/>
      <w:szCs w:val="24"/>
      <w:lang w:val="fr-FR"/>
    </w:rPr>
  </w:style>
  <w:style w:type="character" w:styleId="HTMLTypewriter">
    <w:name w:val="HTML Typewriter"/>
    <w:basedOn w:val="DefaultParagraphFont"/>
    <w:uiPriority w:val="99"/>
    <w:semiHidden/>
    <w:unhideWhenUsed/>
    <w:rsid w:val="009B03BB"/>
    <w:rPr>
      <w:rFonts w:ascii="Consolas" w:hAnsi="Consolas"/>
      <w:sz w:val="20"/>
      <w:szCs w:val="20"/>
      <w:lang w:val="fr-FR"/>
    </w:rPr>
  </w:style>
  <w:style w:type="character" w:styleId="HTMLVariable">
    <w:name w:val="HTML Variable"/>
    <w:basedOn w:val="DefaultParagraphFont"/>
    <w:uiPriority w:val="99"/>
    <w:semiHidden/>
    <w:unhideWhenUsed/>
    <w:rsid w:val="009B03BB"/>
    <w:rPr>
      <w:i/>
      <w:iCs/>
      <w:lang w:val="fr-FR"/>
    </w:rPr>
  </w:style>
  <w:style w:type="paragraph" w:styleId="Index1">
    <w:name w:val="index 1"/>
    <w:basedOn w:val="Normal"/>
    <w:next w:val="Normal"/>
    <w:autoRedefine/>
    <w:uiPriority w:val="99"/>
    <w:semiHidden/>
    <w:unhideWhenUsed/>
    <w:rsid w:val="009B03BB"/>
    <w:pPr>
      <w:ind w:left="200" w:hanging="200"/>
    </w:pPr>
  </w:style>
  <w:style w:type="paragraph" w:styleId="Index2">
    <w:name w:val="index 2"/>
    <w:basedOn w:val="Normal"/>
    <w:next w:val="Normal"/>
    <w:autoRedefine/>
    <w:uiPriority w:val="99"/>
    <w:semiHidden/>
    <w:unhideWhenUsed/>
    <w:rsid w:val="009B03BB"/>
    <w:pPr>
      <w:ind w:left="400" w:hanging="200"/>
    </w:pPr>
  </w:style>
  <w:style w:type="paragraph" w:styleId="Index3">
    <w:name w:val="index 3"/>
    <w:basedOn w:val="Normal"/>
    <w:next w:val="Normal"/>
    <w:autoRedefine/>
    <w:uiPriority w:val="99"/>
    <w:semiHidden/>
    <w:unhideWhenUsed/>
    <w:rsid w:val="009B03BB"/>
    <w:pPr>
      <w:ind w:left="600" w:hanging="200"/>
    </w:pPr>
  </w:style>
  <w:style w:type="paragraph" w:styleId="Index4">
    <w:name w:val="index 4"/>
    <w:basedOn w:val="Normal"/>
    <w:next w:val="Normal"/>
    <w:autoRedefine/>
    <w:uiPriority w:val="99"/>
    <w:semiHidden/>
    <w:unhideWhenUsed/>
    <w:rsid w:val="009B03BB"/>
    <w:pPr>
      <w:ind w:left="800" w:hanging="200"/>
    </w:pPr>
  </w:style>
  <w:style w:type="paragraph" w:styleId="Index5">
    <w:name w:val="index 5"/>
    <w:basedOn w:val="Normal"/>
    <w:next w:val="Normal"/>
    <w:autoRedefine/>
    <w:uiPriority w:val="99"/>
    <w:semiHidden/>
    <w:unhideWhenUsed/>
    <w:rsid w:val="009B03BB"/>
    <w:pPr>
      <w:ind w:left="1000" w:hanging="200"/>
    </w:pPr>
  </w:style>
  <w:style w:type="paragraph" w:styleId="Index6">
    <w:name w:val="index 6"/>
    <w:basedOn w:val="Normal"/>
    <w:next w:val="Normal"/>
    <w:autoRedefine/>
    <w:uiPriority w:val="99"/>
    <w:semiHidden/>
    <w:unhideWhenUsed/>
    <w:rsid w:val="009B03BB"/>
    <w:pPr>
      <w:ind w:left="1200" w:hanging="200"/>
    </w:pPr>
  </w:style>
  <w:style w:type="paragraph" w:styleId="Index7">
    <w:name w:val="index 7"/>
    <w:basedOn w:val="Normal"/>
    <w:next w:val="Normal"/>
    <w:autoRedefine/>
    <w:uiPriority w:val="99"/>
    <w:semiHidden/>
    <w:unhideWhenUsed/>
    <w:rsid w:val="009B03BB"/>
    <w:pPr>
      <w:ind w:left="1400" w:hanging="200"/>
    </w:pPr>
  </w:style>
  <w:style w:type="paragraph" w:styleId="Index8">
    <w:name w:val="index 8"/>
    <w:basedOn w:val="Normal"/>
    <w:next w:val="Normal"/>
    <w:autoRedefine/>
    <w:uiPriority w:val="99"/>
    <w:semiHidden/>
    <w:unhideWhenUsed/>
    <w:rsid w:val="009B03BB"/>
    <w:pPr>
      <w:ind w:left="1600" w:hanging="200"/>
    </w:pPr>
  </w:style>
  <w:style w:type="paragraph" w:styleId="Index9">
    <w:name w:val="index 9"/>
    <w:basedOn w:val="Normal"/>
    <w:next w:val="Normal"/>
    <w:autoRedefine/>
    <w:uiPriority w:val="99"/>
    <w:semiHidden/>
    <w:unhideWhenUsed/>
    <w:rsid w:val="009B03BB"/>
    <w:pPr>
      <w:ind w:left="1800" w:hanging="200"/>
    </w:pPr>
  </w:style>
  <w:style w:type="paragraph" w:styleId="IndexHeading">
    <w:name w:val="index heading"/>
    <w:basedOn w:val="Normal"/>
    <w:next w:val="Index1"/>
    <w:uiPriority w:val="99"/>
    <w:semiHidden/>
    <w:unhideWhenUsed/>
    <w:rsid w:val="009B03B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B03BB"/>
    <w:rPr>
      <w:i/>
      <w:iCs/>
      <w:color w:val="4472C4" w:themeColor="accent1"/>
      <w:lang w:val="fr-FR"/>
    </w:rPr>
  </w:style>
  <w:style w:type="paragraph" w:styleId="IntenseQuote">
    <w:name w:val="Intense Quote"/>
    <w:basedOn w:val="Normal"/>
    <w:next w:val="Normal"/>
    <w:link w:val="IntenseQuoteChar"/>
    <w:uiPriority w:val="30"/>
    <w:semiHidden/>
    <w:qFormat/>
    <w:rsid w:val="009B03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637391"/>
    <w:rPr>
      <w:rFonts w:ascii="Times New Roman" w:eastAsia="Times New Roman" w:hAnsi="Times New Roman" w:cs="Times New Roman"/>
      <w:i/>
      <w:iCs/>
      <w:color w:val="4472C4" w:themeColor="accent1"/>
      <w:kern w:val="0"/>
      <w:sz w:val="20"/>
      <w:szCs w:val="20"/>
      <w:lang w:val="fr-FR" w:eastAsia="en-US"/>
      <w14:ligatures w14:val="none"/>
    </w:rPr>
  </w:style>
  <w:style w:type="character" w:styleId="IntenseReference">
    <w:name w:val="Intense Reference"/>
    <w:basedOn w:val="DefaultParagraphFont"/>
    <w:uiPriority w:val="32"/>
    <w:semiHidden/>
    <w:qFormat/>
    <w:rsid w:val="009B03BB"/>
    <w:rPr>
      <w:b/>
      <w:bCs/>
      <w:smallCaps/>
      <w:color w:val="4472C4" w:themeColor="accent1"/>
      <w:spacing w:val="5"/>
      <w:lang w:val="fr-FR"/>
    </w:rPr>
  </w:style>
  <w:style w:type="table" w:styleId="LightGrid">
    <w:name w:val="Light Grid"/>
    <w:basedOn w:val="TableNormal"/>
    <w:uiPriority w:val="62"/>
    <w:semiHidden/>
    <w:unhideWhenUsed/>
    <w:rsid w:val="009B0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B03B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B03B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B03B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B03B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B03B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B03B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B03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B03B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B03B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B03B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B03B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B03B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B03B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B03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B03B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B03B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B03B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B03B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B03B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B03B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B03BB"/>
    <w:rPr>
      <w:lang w:val="fr-FR"/>
    </w:rPr>
  </w:style>
  <w:style w:type="paragraph" w:styleId="List">
    <w:name w:val="List"/>
    <w:basedOn w:val="Normal"/>
    <w:uiPriority w:val="99"/>
    <w:semiHidden/>
    <w:unhideWhenUsed/>
    <w:rsid w:val="009B03BB"/>
    <w:pPr>
      <w:ind w:left="283" w:hanging="283"/>
      <w:contextualSpacing/>
    </w:pPr>
  </w:style>
  <w:style w:type="paragraph" w:styleId="List2">
    <w:name w:val="List 2"/>
    <w:basedOn w:val="Normal"/>
    <w:uiPriority w:val="99"/>
    <w:semiHidden/>
    <w:unhideWhenUsed/>
    <w:rsid w:val="009B03BB"/>
    <w:pPr>
      <w:ind w:left="566" w:hanging="283"/>
      <w:contextualSpacing/>
    </w:pPr>
  </w:style>
  <w:style w:type="paragraph" w:styleId="List3">
    <w:name w:val="List 3"/>
    <w:basedOn w:val="Normal"/>
    <w:uiPriority w:val="99"/>
    <w:semiHidden/>
    <w:unhideWhenUsed/>
    <w:rsid w:val="009B03BB"/>
    <w:pPr>
      <w:ind w:left="849" w:hanging="283"/>
      <w:contextualSpacing/>
    </w:pPr>
  </w:style>
  <w:style w:type="paragraph" w:styleId="List4">
    <w:name w:val="List 4"/>
    <w:basedOn w:val="Normal"/>
    <w:uiPriority w:val="99"/>
    <w:semiHidden/>
    <w:unhideWhenUsed/>
    <w:rsid w:val="009B03BB"/>
    <w:pPr>
      <w:ind w:left="1132" w:hanging="283"/>
      <w:contextualSpacing/>
    </w:pPr>
  </w:style>
  <w:style w:type="paragraph" w:styleId="List5">
    <w:name w:val="List 5"/>
    <w:basedOn w:val="Normal"/>
    <w:uiPriority w:val="99"/>
    <w:semiHidden/>
    <w:unhideWhenUsed/>
    <w:rsid w:val="009B03BB"/>
    <w:pPr>
      <w:ind w:left="1415" w:hanging="283"/>
      <w:contextualSpacing/>
    </w:pPr>
  </w:style>
  <w:style w:type="paragraph" w:styleId="ListBullet">
    <w:name w:val="List Bullet"/>
    <w:basedOn w:val="Normal"/>
    <w:uiPriority w:val="99"/>
    <w:semiHidden/>
    <w:unhideWhenUsed/>
    <w:rsid w:val="009B03BB"/>
    <w:pPr>
      <w:numPr>
        <w:numId w:val="4"/>
      </w:numPr>
      <w:contextualSpacing/>
    </w:pPr>
  </w:style>
  <w:style w:type="paragraph" w:styleId="ListBullet2">
    <w:name w:val="List Bullet 2"/>
    <w:basedOn w:val="Normal"/>
    <w:uiPriority w:val="99"/>
    <w:semiHidden/>
    <w:unhideWhenUsed/>
    <w:rsid w:val="009B03BB"/>
    <w:pPr>
      <w:numPr>
        <w:numId w:val="5"/>
      </w:numPr>
      <w:contextualSpacing/>
    </w:pPr>
  </w:style>
  <w:style w:type="paragraph" w:styleId="ListBullet3">
    <w:name w:val="List Bullet 3"/>
    <w:basedOn w:val="Normal"/>
    <w:uiPriority w:val="99"/>
    <w:semiHidden/>
    <w:unhideWhenUsed/>
    <w:rsid w:val="009B03BB"/>
    <w:pPr>
      <w:numPr>
        <w:numId w:val="6"/>
      </w:numPr>
      <w:contextualSpacing/>
    </w:pPr>
  </w:style>
  <w:style w:type="paragraph" w:styleId="ListBullet4">
    <w:name w:val="List Bullet 4"/>
    <w:basedOn w:val="Normal"/>
    <w:uiPriority w:val="99"/>
    <w:semiHidden/>
    <w:unhideWhenUsed/>
    <w:rsid w:val="009B03BB"/>
    <w:pPr>
      <w:numPr>
        <w:numId w:val="7"/>
      </w:numPr>
      <w:contextualSpacing/>
    </w:pPr>
  </w:style>
  <w:style w:type="paragraph" w:styleId="ListBullet5">
    <w:name w:val="List Bullet 5"/>
    <w:basedOn w:val="Normal"/>
    <w:uiPriority w:val="99"/>
    <w:semiHidden/>
    <w:unhideWhenUsed/>
    <w:rsid w:val="009B03BB"/>
    <w:pPr>
      <w:numPr>
        <w:numId w:val="8"/>
      </w:numPr>
      <w:contextualSpacing/>
    </w:pPr>
  </w:style>
  <w:style w:type="paragraph" w:styleId="ListContinue">
    <w:name w:val="List Continue"/>
    <w:basedOn w:val="Normal"/>
    <w:uiPriority w:val="99"/>
    <w:semiHidden/>
    <w:unhideWhenUsed/>
    <w:rsid w:val="009B03BB"/>
    <w:pPr>
      <w:spacing w:after="120"/>
      <w:ind w:left="283"/>
      <w:contextualSpacing/>
    </w:pPr>
  </w:style>
  <w:style w:type="paragraph" w:styleId="ListContinue2">
    <w:name w:val="List Continue 2"/>
    <w:basedOn w:val="Normal"/>
    <w:uiPriority w:val="99"/>
    <w:semiHidden/>
    <w:unhideWhenUsed/>
    <w:rsid w:val="009B03BB"/>
    <w:pPr>
      <w:spacing w:after="120"/>
      <w:ind w:left="566"/>
      <w:contextualSpacing/>
    </w:pPr>
  </w:style>
  <w:style w:type="paragraph" w:styleId="ListContinue3">
    <w:name w:val="List Continue 3"/>
    <w:basedOn w:val="Normal"/>
    <w:uiPriority w:val="99"/>
    <w:semiHidden/>
    <w:unhideWhenUsed/>
    <w:rsid w:val="009B03BB"/>
    <w:pPr>
      <w:spacing w:after="120"/>
      <w:ind w:left="849"/>
      <w:contextualSpacing/>
    </w:pPr>
  </w:style>
  <w:style w:type="paragraph" w:styleId="ListContinue4">
    <w:name w:val="List Continue 4"/>
    <w:basedOn w:val="Normal"/>
    <w:uiPriority w:val="99"/>
    <w:semiHidden/>
    <w:unhideWhenUsed/>
    <w:rsid w:val="009B03BB"/>
    <w:pPr>
      <w:spacing w:after="120"/>
      <w:ind w:left="1132"/>
      <w:contextualSpacing/>
    </w:pPr>
  </w:style>
  <w:style w:type="paragraph" w:styleId="ListContinue5">
    <w:name w:val="List Continue 5"/>
    <w:basedOn w:val="Normal"/>
    <w:uiPriority w:val="99"/>
    <w:semiHidden/>
    <w:unhideWhenUsed/>
    <w:rsid w:val="009B03BB"/>
    <w:pPr>
      <w:spacing w:after="120"/>
      <w:ind w:left="1415"/>
      <w:contextualSpacing/>
    </w:pPr>
  </w:style>
  <w:style w:type="paragraph" w:styleId="ListNumber">
    <w:name w:val="List Number"/>
    <w:basedOn w:val="Normal"/>
    <w:semiHidden/>
    <w:rsid w:val="009D0B3A"/>
    <w:pPr>
      <w:numPr>
        <w:numId w:val="9"/>
      </w:numPr>
      <w:contextualSpacing/>
    </w:pPr>
  </w:style>
  <w:style w:type="paragraph" w:styleId="ListNumber2">
    <w:name w:val="List Number 2"/>
    <w:basedOn w:val="Normal"/>
    <w:uiPriority w:val="99"/>
    <w:semiHidden/>
    <w:unhideWhenUsed/>
    <w:rsid w:val="009B03BB"/>
    <w:pPr>
      <w:numPr>
        <w:numId w:val="10"/>
      </w:numPr>
      <w:contextualSpacing/>
    </w:pPr>
  </w:style>
  <w:style w:type="paragraph" w:styleId="ListNumber3">
    <w:name w:val="List Number 3"/>
    <w:basedOn w:val="Normal"/>
    <w:uiPriority w:val="99"/>
    <w:semiHidden/>
    <w:unhideWhenUsed/>
    <w:rsid w:val="009B03BB"/>
    <w:pPr>
      <w:numPr>
        <w:numId w:val="11"/>
      </w:numPr>
      <w:contextualSpacing/>
    </w:pPr>
  </w:style>
  <w:style w:type="paragraph" w:styleId="ListNumber4">
    <w:name w:val="List Number 4"/>
    <w:basedOn w:val="Normal"/>
    <w:uiPriority w:val="99"/>
    <w:semiHidden/>
    <w:unhideWhenUsed/>
    <w:rsid w:val="009B03BB"/>
    <w:pPr>
      <w:numPr>
        <w:numId w:val="12"/>
      </w:numPr>
      <w:contextualSpacing/>
    </w:pPr>
  </w:style>
  <w:style w:type="paragraph" w:styleId="ListNumber5">
    <w:name w:val="List Number 5"/>
    <w:basedOn w:val="Normal"/>
    <w:uiPriority w:val="99"/>
    <w:semiHidden/>
    <w:unhideWhenUsed/>
    <w:rsid w:val="009B03BB"/>
    <w:pPr>
      <w:numPr>
        <w:numId w:val="13"/>
      </w:numPr>
      <w:contextualSpacing/>
    </w:pPr>
  </w:style>
  <w:style w:type="table" w:styleId="ListTable1Light">
    <w:name w:val="List Table 1 Light"/>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9B03B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B03B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B03B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9B03B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B03B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B03B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B03B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9B03B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B03B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B03B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B03B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B03B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B03B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B03B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9B03B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B03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B03B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9B03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B03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B03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B03B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9B03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B03B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B03B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B03B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B03B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B03B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B03B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B03B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B03B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B03B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9B03B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B03B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B03B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B03B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9B03B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B03B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B03B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B03B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B03B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B03B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B03B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B03B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B03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9B03BB"/>
    <w:rPr>
      <w:rFonts w:ascii="Consolas" w:eastAsia="Times New Roman" w:hAnsi="Consolas" w:cs="Times New Roman"/>
      <w:kern w:val="0"/>
      <w:sz w:val="20"/>
      <w:szCs w:val="20"/>
      <w:lang w:val="fr-FR" w:eastAsia="en-US"/>
      <w14:ligatures w14:val="none"/>
    </w:rPr>
  </w:style>
  <w:style w:type="table" w:styleId="MediumGrid1">
    <w:name w:val="Medium Grid 1"/>
    <w:basedOn w:val="TableNormal"/>
    <w:uiPriority w:val="67"/>
    <w:semiHidden/>
    <w:unhideWhenUsed/>
    <w:rsid w:val="009B0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B03B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B03B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B03B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B03B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B03B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B03B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B0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B03B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B03B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B03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B03B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B03B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B03B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B03B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B03B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B03B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B03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9B03BB"/>
    <w:rPr>
      <w:color w:val="2B579A"/>
      <w:shd w:val="clear" w:color="auto" w:fill="E1DFDD"/>
      <w:lang w:val="fr-FR"/>
    </w:rPr>
  </w:style>
  <w:style w:type="paragraph" w:styleId="MessageHeader">
    <w:name w:val="Message Header"/>
    <w:basedOn w:val="Normal"/>
    <w:link w:val="MessageHeaderChar"/>
    <w:uiPriority w:val="99"/>
    <w:semiHidden/>
    <w:unhideWhenUsed/>
    <w:rsid w:val="009B03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B03BB"/>
    <w:rPr>
      <w:rFonts w:asciiTheme="majorHAnsi" w:eastAsiaTheme="majorEastAsia" w:hAnsiTheme="majorHAnsi" w:cstheme="majorBidi"/>
      <w:kern w:val="0"/>
      <w:sz w:val="20"/>
      <w:szCs w:val="20"/>
      <w:shd w:val="pct20" w:color="auto" w:fill="auto"/>
      <w:lang w:val="fr-FR" w:eastAsia="en-US"/>
      <w14:ligatures w14:val="none"/>
    </w:rPr>
  </w:style>
  <w:style w:type="paragraph" w:styleId="NormalIndent">
    <w:name w:val="Normal Indent"/>
    <w:basedOn w:val="Normal"/>
    <w:uiPriority w:val="99"/>
    <w:semiHidden/>
    <w:unhideWhenUsed/>
    <w:rsid w:val="009B03BB"/>
    <w:pPr>
      <w:ind w:left="708"/>
    </w:pPr>
  </w:style>
  <w:style w:type="paragraph" w:styleId="NoteHeading">
    <w:name w:val="Note Heading"/>
    <w:basedOn w:val="Normal"/>
    <w:next w:val="Normal"/>
    <w:link w:val="NoteHeadingChar"/>
    <w:uiPriority w:val="99"/>
    <w:semiHidden/>
    <w:unhideWhenUsed/>
    <w:rsid w:val="009B03BB"/>
  </w:style>
  <w:style w:type="character" w:customStyle="1" w:styleId="NoteHeadingChar">
    <w:name w:val="Note Heading Char"/>
    <w:basedOn w:val="DefaultParagraphFont"/>
    <w:link w:val="NoteHeading"/>
    <w:uiPriority w:val="99"/>
    <w:semiHidden/>
    <w:rsid w:val="009B03BB"/>
    <w:rPr>
      <w:rFonts w:ascii="Times New Roman" w:eastAsia="Times New Roman" w:hAnsi="Times New Roman" w:cs="Times New Roman"/>
      <w:kern w:val="0"/>
      <w:sz w:val="20"/>
      <w:szCs w:val="20"/>
      <w:lang w:val="fr-FR" w:eastAsia="en-US"/>
      <w14:ligatures w14:val="none"/>
    </w:rPr>
  </w:style>
  <w:style w:type="table" w:styleId="PlainTable1">
    <w:name w:val="Plain Table 1"/>
    <w:basedOn w:val="TableNormal"/>
    <w:uiPriority w:val="41"/>
    <w:rsid w:val="009B03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03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B03BB"/>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B03B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B03B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B03BB"/>
    <w:rPr>
      <w:rFonts w:ascii="Consolas" w:hAnsi="Consolas"/>
      <w:sz w:val="21"/>
      <w:szCs w:val="21"/>
    </w:rPr>
  </w:style>
  <w:style w:type="character" w:customStyle="1" w:styleId="PlainTextChar">
    <w:name w:val="Plain Text Char"/>
    <w:basedOn w:val="DefaultParagraphFont"/>
    <w:link w:val="PlainText"/>
    <w:uiPriority w:val="99"/>
    <w:semiHidden/>
    <w:rsid w:val="009B03BB"/>
    <w:rPr>
      <w:rFonts w:ascii="Consolas" w:eastAsia="Times New Roman" w:hAnsi="Consolas" w:cs="Times New Roman"/>
      <w:kern w:val="0"/>
      <w:sz w:val="21"/>
      <w:szCs w:val="21"/>
      <w:lang w:val="fr-FR" w:eastAsia="en-US"/>
      <w14:ligatures w14:val="none"/>
    </w:rPr>
  </w:style>
  <w:style w:type="paragraph" w:styleId="Quote">
    <w:name w:val="Quote"/>
    <w:basedOn w:val="Normal"/>
    <w:next w:val="Normal"/>
    <w:link w:val="QuoteChar"/>
    <w:uiPriority w:val="29"/>
    <w:semiHidden/>
    <w:qFormat/>
    <w:rsid w:val="009B03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37391"/>
    <w:rPr>
      <w:rFonts w:ascii="Times New Roman" w:eastAsia="Times New Roman" w:hAnsi="Times New Roman" w:cs="Times New Roman"/>
      <w:i/>
      <w:iCs/>
      <w:color w:val="404040" w:themeColor="text1" w:themeTint="BF"/>
      <w:kern w:val="0"/>
      <w:sz w:val="20"/>
      <w:szCs w:val="20"/>
      <w:lang w:val="fr-FR" w:eastAsia="en-US"/>
      <w14:ligatures w14:val="none"/>
    </w:rPr>
  </w:style>
  <w:style w:type="paragraph" w:styleId="Salutation">
    <w:name w:val="Salutation"/>
    <w:basedOn w:val="Normal"/>
    <w:next w:val="Normal"/>
    <w:link w:val="SalutationChar"/>
    <w:uiPriority w:val="99"/>
    <w:semiHidden/>
    <w:unhideWhenUsed/>
    <w:rsid w:val="009B03BB"/>
  </w:style>
  <w:style w:type="character" w:customStyle="1" w:styleId="SalutationChar">
    <w:name w:val="Salutation Char"/>
    <w:basedOn w:val="DefaultParagraphFont"/>
    <w:link w:val="Salutation"/>
    <w:uiPriority w:val="99"/>
    <w:semiHidden/>
    <w:rsid w:val="009B03BB"/>
    <w:rPr>
      <w:rFonts w:ascii="Times New Roman" w:eastAsia="Times New Roman" w:hAnsi="Times New Roman" w:cs="Times New Roman"/>
      <w:kern w:val="0"/>
      <w:sz w:val="20"/>
      <w:szCs w:val="20"/>
      <w:lang w:val="fr-FR" w:eastAsia="en-US"/>
      <w14:ligatures w14:val="none"/>
    </w:rPr>
  </w:style>
  <w:style w:type="paragraph" w:styleId="Signature">
    <w:name w:val="Signature"/>
    <w:basedOn w:val="Normal"/>
    <w:link w:val="SignatureChar"/>
    <w:uiPriority w:val="99"/>
    <w:semiHidden/>
    <w:unhideWhenUsed/>
    <w:rsid w:val="009B03BB"/>
    <w:pPr>
      <w:ind w:left="4252"/>
    </w:pPr>
  </w:style>
  <w:style w:type="character" w:customStyle="1" w:styleId="SignatureChar">
    <w:name w:val="Signature Char"/>
    <w:basedOn w:val="DefaultParagraphFont"/>
    <w:link w:val="Signature"/>
    <w:uiPriority w:val="99"/>
    <w:semiHidden/>
    <w:rsid w:val="009B03BB"/>
    <w:rPr>
      <w:rFonts w:ascii="Times New Roman" w:eastAsia="Times New Roman" w:hAnsi="Times New Roman" w:cs="Times New Roman"/>
      <w:kern w:val="0"/>
      <w:sz w:val="20"/>
      <w:szCs w:val="20"/>
      <w:lang w:val="fr-FR" w:eastAsia="en-US"/>
      <w14:ligatures w14:val="none"/>
    </w:rPr>
  </w:style>
  <w:style w:type="character" w:styleId="SmartHyperlink">
    <w:name w:val="Smart Hyperlink"/>
    <w:basedOn w:val="DefaultParagraphFont"/>
    <w:uiPriority w:val="99"/>
    <w:semiHidden/>
    <w:unhideWhenUsed/>
    <w:rsid w:val="009B03BB"/>
    <w:rPr>
      <w:u w:val="dotted"/>
      <w:lang w:val="fr-FR"/>
    </w:rPr>
  </w:style>
  <w:style w:type="character" w:styleId="SmartLink">
    <w:name w:val="Smart Link"/>
    <w:basedOn w:val="DefaultParagraphFont"/>
    <w:uiPriority w:val="99"/>
    <w:semiHidden/>
    <w:unhideWhenUsed/>
    <w:rsid w:val="009B03BB"/>
    <w:rPr>
      <w:color w:val="0000FF"/>
      <w:u w:val="single"/>
      <w:shd w:val="clear" w:color="auto" w:fill="F3F2F1"/>
      <w:lang w:val="fr-FR"/>
    </w:rPr>
  </w:style>
  <w:style w:type="character" w:styleId="Strong">
    <w:name w:val="Strong"/>
    <w:basedOn w:val="DefaultParagraphFont"/>
    <w:uiPriority w:val="22"/>
    <w:semiHidden/>
    <w:qFormat/>
    <w:rsid w:val="009B03BB"/>
    <w:rPr>
      <w:b/>
      <w:bCs/>
      <w:lang w:val="fr-FR"/>
    </w:rPr>
  </w:style>
  <w:style w:type="paragraph" w:styleId="Subtitle">
    <w:name w:val="Subtitle"/>
    <w:basedOn w:val="Normal"/>
    <w:next w:val="Normal"/>
    <w:link w:val="SubtitleChar"/>
    <w:uiPriority w:val="11"/>
    <w:semiHidden/>
    <w:qFormat/>
    <w:rsid w:val="009B03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637391"/>
    <w:rPr>
      <w:color w:val="5A5A5A" w:themeColor="text1" w:themeTint="A5"/>
      <w:spacing w:val="15"/>
      <w:kern w:val="0"/>
      <w:lang w:val="fr-FR" w:eastAsia="en-US"/>
      <w14:ligatures w14:val="none"/>
    </w:rPr>
  </w:style>
  <w:style w:type="character" w:styleId="SubtleEmphasis">
    <w:name w:val="Subtle Emphasis"/>
    <w:basedOn w:val="DefaultParagraphFont"/>
    <w:uiPriority w:val="19"/>
    <w:semiHidden/>
    <w:qFormat/>
    <w:rsid w:val="009B03BB"/>
    <w:rPr>
      <w:i/>
      <w:iCs/>
      <w:color w:val="404040" w:themeColor="text1" w:themeTint="BF"/>
      <w:lang w:val="fr-FR"/>
    </w:rPr>
  </w:style>
  <w:style w:type="character" w:styleId="SubtleReference">
    <w:name w:val="Subtle Reference"/>
    <w:basedOn w:val="DefaultParagraphFont"/>
    <w:uiPriority w:val="31"/>
    <w:semiHidden/>
    <w:qFormat/>
    <w:rsid w:val="009B03BB"/>
    <w:rPr>
      <w:smallCaps/>
      <w:color w:val="5A5A5A" w:themeColor="text1" w:themeTint="A5"/>
      <w:lang w:val="fr-FR"/>
    </w:rPr>
  </w:style>
  <w:style w:type="table" w:styleId="Table3Deffects1">
    <w:name w:val="Table 3D effects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B03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B03BB"/>
    <w:pPr>
      <w:ind w:left="200" w:hanging="200"/>
    </w:pPr>
  </w:style>
  <w:style w:type="table" w:styleId="TableProfessional">
    <w:name w:val="Table Professional"/>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B03BB"/>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B03B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637391"/>
    <w:rPr>
      <w:rFonts w:asciiTheme="majorHAnsi" w:eastAsiaTheme="majorEastAsia" w:hAnsiTheme="majorHAnsi" w:cstheme="majorBidi"/>
      <w:spacing w:val="-10"/>
      <w:kern w:val="28"/>
      <w:sz w:val="56"/>
      <w:szCs w:val="56"/>
      <w:lang w:val="fr-FR" w:eastAsia="en-US"/>
      <w14:ligatures w14:val="none"/>
    </w:rPr>
  </w:style>
  <w:style w:type="paragraph" w:styleId="TOAHeading">
    <w:name w:val="toa heading"/>
    <w:basedOn w:val="Normal"/>
    <w:next w:val="Normal"/>
    <w:uiPriority w:val="99"/>
    <w:semiHidden/>
    <w:unhideWhenUsed/>
    <w:rsid w:val="009B03BB"/>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9B03BB"/>
    <w:pPr>
      <w:numPr>
        <w:numId w:val="0"/>
      </w:numPr>
      <w:spacing w:after="0"/>
      <w:outlineLvl w:val="9"/>
    </w:pPr>
    <w:rPr>
      <w:rFonts w:asciiTheme="majorHAnsi" w:eastAsiaTheme="majorEastAsia" w:hAnsiTheme="majorHAnsi" w:cstheme="majorBidi"/>
      <w:b w:val="0"/>
      <w:color w:val="2F5496" w:themeColor="accent1" w:themeShade="BF"/>
      <w:sz w:val="32"/>
      <w:szCs w:val="32"/>
    </w:rPr>
  </w:style>
  <w:style w:type="paragraph" w:styleId="Revision">
    <w:name w:val="Revision"/>
    <w:hidden/>
    <w:uiPriority w:val="99"/>
    <w:semiHidden/>
    <w:rsid w:val="00CE1932"/>
    <w:pPr>
      <w:spacing w:after="0" w:line="240" w:lineRule="auto"/>
    </w:pPr>
    <w:rPr>
      <w:rFonts w:ascii="Times New Roman" w:eastAsia="Times New Roman" w:hAnsi="Times New Roman" w:cs="Times New Roman"/>
      <w:kern w:val="0"/>
      <w:sz w:val="20"/>
      <w:szCs w:val="20"/>
      <w:lang w:val="en-GB" w:eastAsia="en-US"/>
      <w14:ligatures w14:val="none"/>
    </w:rPr>
  </w:style>
  <w:style w:type="character" w:customStyle="1" w:styleId="BBTitleChar">
    <w:name w:val="BB_Title Char"/>
    <w:link w:val="BBTitle"/>
    <w:rsid w:val="00525CD6"/>
    <w:rPr>
      <w:rFonts w:ascii="Times New Roman" w:eastAsia="SimSun" w:hAnsi="Times New Roman" w:cs="Times New Roman"/>
      <w:b/>
      <w:kern w:val="0"/>
      <w:sz w:val="28"/>
      <w:szCs w:val="28"/>
      <w14:ligatures w14:val="none"/>
    </w:rPr>
  </w:style>
  <w:style w:type="character" w:customStyle="1" w:styleId="CH1Char">
    <w:name w:val="CH1 Char"/>
    <w:link w:val="CH1"/>
    <w:rsid w:val="00525CD6"/>
    <w:rPr>
      <w:rFonts w:ascii="Times New Roman" w:eastAsia="SimSun" w:hAnsi="Times New Roman" w:cs="Times New Roman"/>
      <w:b/>
      <w:kern w:val="0"/>
      <w:sz w:val="28"/>
      <w:szCs w:val="28"/>
      <w14:ligatures w14:val="none"/>
    </w:rPr>
  </w:style>
  <w:style w:type="numbering" w:customStyle="1" w:styleId="Normallist2">
    <w:name w:val="Normal_list2"/>
    <w:basedOn w:val="NoList"/>
    <w:rsid w:val="00525CD6"/>
  </w:style>
  <w:style w:type="paragraph" w:customStyle="1" w:styleId="Recommendation">
    <w:name w:val="Recommendation"/>
    <w:basedOn w:val="Normalnumber"/>
    <w:qFormat/>
    <w:rsid w:val="00F012C2"/>
    <w:pPr>
      <w:numPr>
        <w:numId w:val="0"/>
      </w:numPr>
      <w:jc w:val="right"/>
    </w:pPr>
    <w:rPr>
      <w:b/>
      <w:bCs/>
    </w:rPr>
  </w:style>
  <w:style w:type="character" w:customStyle="1" w:styleId="NormalNonumberChar">
    <w:name w:val="Normal_No_number Char"/>
    <w:link w:val="NormalNonumber"/>
    <w:rsid w:val="00C90248"/>
    <w:rPr>
      <w:rFonts w:ascii="Times New Roman" w:eastAsia="SimSun" w:hAnsi="Times New Roman" w:cs="Times New Roman"/>
      <w:kern w:val="0"/>
      <w:sz w:val="20"/>
      <w:szCs w:val="20"/>
      <w14:ligatures w14:val="none"/>
    </w:rPr>
  </w:style>
  <w:style w:type="character" w:customStyle="1" w:styleId="CH3Char">
    <w:name w:val="CH3 Char"/>
    <w:link w:val="CH3"/>
    <w:locked/>
    <w:rsid w:val="003B5C96"/>
    <w:rPr>
      <w:rFonts w:ascii="Times New Roman" w:eastAsia="SimSun" w:hAnsi="Times New Roman" w:cs="Times New Roman"/>
      <w:b/>
      <w:kern w:val="0"/>
      <w:sz w:val="20"/>
      <w:szCs w:val="20"/>
      <w14:ligatures w14:val="none"/>
    </w:rPr>
  </w:style>
  <w:style w:type="character" w:customStyle="1" w:styleId="FooterChar1">
    <w:name w:val="Footer Char1"/>
    <w:basedOn w:val="DefaultParagraphFont"/>
    <w:rsid w:val="00E20109"/>
    <w:rPr>
      <w:rFonts w:ascii="Times New Roman" w:eastAsia="Times New Roman" w:hAnsi="Times New Roman" w:cs="Times New Roman"/>
      <w:b/>
      <w:kern w:val="0"/>
      <w:sz w:val="18"/>
      <w:szCs w:val="20"/>
      <w:lang w:val="fr-FR" w:eastAsia="en-US"/>
      <w14:ligatures w14:val="none"/>
    </w:rPr>
  </w:style>
  <w:style w:type="character" w:customStyle="1" w:styleId="normaltextrun">
    <w:name w:val="normaltextrun"/>
    <w:basedOn w:val="DefaultParagraphFont"/>
    <w:rsid w:val="007277BE"/>
    <w:rPr>
      <w:lang w:val="fr-FR"/>
    </w:rPr>
  </w:style>
  <w:style w:type="paragraph" w:customStyle="1" w:styleId="Footer-jobnumber">
    <w:name w:val="Footer-jobnumber"/>
    <w:basedOn w:val="Normal-pool"/>
    <w:qFormat/>
    <w:rsid w:val="009D0B3A"/>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character" w:customStyle="1" w:styleId="ContentControls">
    <w:name w:val="ContentControls"/>
    <w:basedOn w:val="DefaultParagraphFont"/>
    <w:uiPriority w:val="1"/>
    <w:rsid w:val="00DA64D2"/>
    <w:rPr>
      <w:rFonts w:eastAsiaTheme="minorEastAsia"/>
      <w:color w:val="000000" w:themeColor="text1"/>
      <w:lang w:val="fr-FR" w:eastAsia="zh-CN"/>
    </w:rPr>
  </w:style>
  <w:style w:type="paragraph" w:customStyle="1" w:styleId="Footnote-Separator">
    <w:name w:val="Footnote-Separator"/>
    <w:basedOn w:val="Normal-pool"/>
    <w:next w:val="Footnote-Text"/>
    <w:unhideWhenUsed/>
    <w:qFormat/>
    <w:rsid w:val="009D0B3A"/>
    <w:pPr>
      <w:spacing w:before="60"/>
    </w:pPr>
    <w:rPr>
      <w:sz w:val="18"/>
    </w:rPr>
  </w:style>
  <w:style w:type="paragraph" w:customStyle="1" w:styleId="Indent">
    <w:name w:val="Indent"/>
    <w:basedOn w:val="NormalNonumber"/>
    <w:qFormat/>
    <w:rsid w:val="0077595D"/>
    <w:pPr>
      <w:ind w:firstLine="624"/>
    </w:pPr>
  </w:style>
  <w:style w:type="character" w:customStyle="1" w:styleId="CH2Char">
    <w:name w:val="CH2 Char"/>
    <w:link w:val="CH2"/>
    <w:locked/>
    <w:rsid w:val="006275CB"/>
    <w:rPr>
      <w:rFonts w:ascii="Times New Roman" w:eastAsia="SimSun" w:hAnsi="Times New Roman" w:cs="Times New Roman"/>
      <w:b/>
      <w:kern w:val="0"/>
      <w:sz w:val="24"/>
      <w:szCs w:val="24"/>
      <w14:ligatures w14:val="none"/>
    </w:rPr>
  </w:style>
  <w:style w:type="paragraph" w:customStyle="1" w:styleId="LOPL2Group">
    <w:name w:val="LOP L2 Group"/>
    <w:rsid w:val="008D5A91"/>
    <w:pPr>
      <w:keepNext/>
      <w:keepLines/>
      <w:spacing w:after="200" w:line="276" w:lineRule="auto"/>
    </w:pPr>
    <w:rPr>
      <w:rFonts w:ascii="Arial" w:hAnsi="Arial"/>
      <w:b/>
      <w:kern w:val="0"/>
      <w:u w:val="single"/>
      <w:lang w:eastAsia="en-US"/>
      <w14:ligatures w14:val="none"/>
    </w:rPr>
  </w:style>
  <w:style w:type="table" w:customStyle="1" w:styleId="LOPTable">
    <w:name w:val="LOP Table"/>
    <w:rsid w:val="00C25773"/>
    <w:pPr>
      <w:spacing w:after="200" w:line="276" w:lineRule="auto"/>
    </w:pPr>
    <w:rPr>
      <w:rFonts w:ascii="Arial" w:hAnsi="Arial"/>
      <w:kern w:val="0"/>
      <w:lang w:eastAsia="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046">
      <w:bodyDiv w:val="1"/>
      <w:marLeft w:val="0"/>
      <w:marRight w:val="0"/>
      <w:marTop w:val="0"/>
      <w:marBottom w:val="0"/>
      <w:divBdr>
        <w:top w:val="none" w:sz="0" w:space="0" w:color="auto"/>
        <w:left w:val="none" w:sz="0" w:space="0" w:color="auto"/>
        <w:bottom w:val="none" w:sz="0" w:space="0" w:color="auto"/>
        <w:right w:val="none" w:sz="0" w:space="0" w:color="auto"/>
      </w:divBdr>
      <w:divsChild>
        <w:div w:id="216816625">
          <w:marLeft w:val="1080"/>
          <w:marRight w:val="0"/>
          <w:marTop w:val="100"/>
          <w:marBottom w:val="120"/>
          <w:divBdr>
            <w:top w:val="none" w:sz="0" w:space="0" w:color="auto"/>
            <w:left w:val="none" w:sz="0" w:space="0" w:color="auto"/>
            <w:bottom w:val="none" w:sz="0" w:space="0" w:color="auto"/>
            <w:right w:val="none" w:sz="0" w:space="0" w:color="auto"/>
          </w:divBdr>
        </w:div>
        <w:div w:id="1809397626">
          <w:marLeft w:val="1080"/>
          <w:marRight w:val="0"/>
          <w:marTop w:val="100"/>
          <w:marBottom w:val="120"/>
          <w:divBdr>
            <w:top w:val="none" w:sz="0" w:space="0" w:color="auto"/>
            <w:left w:val="none" w:sz="0" w:space="0" w:color="auto"/>
            <w:bottom w:val="none" w:sz="0" w:space="0" w:color="auto"/>
            <w:right w:val="none" w:sz="0" w:space="0" w:color="auto"/>
          </w:divBdr>
        </w:div>
        <w:div w:id="1892688088">
          <w:marLeft w:val="1080"/>
          <w:marRight w:val="0"/>
          <w:marTop w:val="100"/>
          <w:marBottom w:val="120"/>
          <w:divBdr>
            <w:top w:val="none" w:sz="0" w:space="0" w:color="auto"/>
            <w:left w:val="none" w:sz="0" w:space="0" w:color="auto"/>
            <w:bottom w:val="none" w:sz="0" w:space="0" w:color="auto"/>
            <w:right w:val="none" w:sz="0" w:space="0" w:color="auto"/>
          </w:divBdr>
        </w:div>
        <w:div w:id="2002274009">
          <w:marLeft w:val="1080"/>
          <w:marRight w:val="0"/>
          <w:marTop w:val="100"/>
          <w:marBottom w:val="120"/>
          <w:divBdr>
            <w:top w:val="none" w:sz="0" w:space="0" w:color="auto"/>
            <w:left w:val="none" w:sz="0" w:space="0" w:color="auto"/>
            <w:bottom w:val="none" w:sz="0" w:space="0" w:color="auto"/>
            <w:right w:val="none" w:sz="0" w:space="0" w:color="auto"/>
          </w:divBdr>
        </w:div>
      </w:divsChild>
    </w:div>
    <w:div w:id="247467649">
      <w:bodyDiv w:val="1"/>
      <w:marLeft w:val="0"/>
      <w:marRight w:val="0"/>
      <w:marTop w:val="0"/>
      <w:marBottom w:val="0"/>
      <w:divBdr>
        <w:top w:val="none" w:sz="0" w:space="0" w:color="auto"/>
        <w:left w:val="none" w:sz="0" w:space="0" w:color="auto"/>
        <w:bottom w:val="none" w:sz="0" w:space="0" w:color="auto"/>
        <w:right w:val="none" w:sz="0" w:space="0" w:color="auto"/>
      </w:divBdr>
    </w:div>
    <w:div w:id="503130664">
      <w:bodyDiv w:val="1"/>
      <w:marLeft w:val="0"/>
      <w:marRight w:val="0"/>
      <w:marTop w:val="0"/>
      <w:marBottom w:val="0"/>
      <w:divBdr>
        <w:top w:val="none" w:sz="0" w:space="0" w:color="auto"/>
        <w:left w:val="none" w:sz="0" w:space="0" w:color="auto"/>
        <w:bottom w:val="none" w:sz="0" w:space="0" w:color="auto"/>
        <w:right w:val="none" w:sz="0" w:space="0" w:color="auto"/>
      </w:divBdr>
      <w:divsChild>
        <w:div w:id="13847493">
          <w:marLeft w:val="547"/>
          <w:marRight w:val="0"/>
          <w:marTop w:val="120"/>
          <w:marBottom w:val="120"/>
          <w:divBdr>
            <w:top w:val="none" w:sz="0" w:space="0" w:color="auto"/>
            <w:left w:val="none" w:sz="0" w:space="0" w:color="auto"/>
            <w:bottom w:val="none" w:sz="0" w:space="0" w:color="auto"/>
            <w:right w:val="none" w:sz="0" w:space="0" w:color="auto"/>
          </w:divBdr>
        </w:div>
        <w:div w:id="350303164">
          <w:marLeft w:val="547"/>
          <w:marRight w:val="0"/>
          <w:marTop w:val="120"/>
          <w:marBottom w:val="120"/>
          <w:divBdr>
            <w:top w:val="none" w:sz="0" w:space="0" w:color="auto"/>
            <w:left w:val="none" w:sz="0" w:space="0" w:color="auto"/>
            <w:bottom w:val="none" w:sz="0" w:space="0" w:color="auto"/>
            <w:right w:val="none" w:sz="0" w:space="0" w:color="auto"/>
          </w:divBdr>
        </w:div>
        <w:div w:id="1786584400">
          <w:marLeft w:val="547"/>
          <w:marRight w:val="0"/>
          <w:marTop w:val="120"/>
          <w:marBottom w:val="120"/>
          <w:divBdr>
            <w:top w:val="none" w:sz="0" w:space="0" w:color="auto"/>
            <w:left w:val="none" w:sz="0" w:space="0" w:color="auto"/>
            <w:bottom w:val="none" w:sz="0" w:space="0" w:color="auto"/>
            <w:right w:val="none" w:sz="0" w:space="0" w:color="auto"/>
          </w:divBdr>
        </w:div>
        <w:div w:id="1936283763">
          <w:marLeft w:val="547"/>
          <w:marRight w:val="0"/>
          <w:marTop w:val="120"/>
          <w:marBottom w:val="120"/>
          <w:divBdr>
            <w:top w:val="none" w:sz="0" w:space="0" w:color="auto"/>
            <w:left w:val="none" w:sz="0" w:space="0" w:color="auto"/>
            <w:bottom w:val="none" w:sz="0" w:space="0" w:color="auto"/>
            <w:right w:val="none" w:sz="0" w:space="0" w:color="auto"/>
          </w:divBdr>
        </w:div>
      </w:divsChild>
    </w:div>
    <w:div w:id="521283712">
      <w:bodyDiv w:val="1"/>
      <w:marLeft w:val="0"/>
      <w:marRight w:val="0"/>
      <w:marTop w:val="0"/>
      <w:marBottom w:val="0"/>
      <w:divBdr>
        <w:top w:val="none" w:sz="0" w:space="0" w:color="auto"/>
        <w:left w:val="none" w:sz="0" w:space="0" w:color="auto"/>
        <w:bottom w:val="none" w:sz="0" w:space="0" w:color="auto"/>
        <w:right w:val="none" w:sz="0" w:space="0" w:color="auto"/>
      </w:divBdr>
      <w:divsChild>
        <w:div w:id="722993745">
          <w:marLeft w:val="432"/>
          <w:marRight w:val="0"/>
          <w:marTop w:val="0"/>
          <w:marBottom w:val="120"/>
          <w:divBdr>
            <w:top w:val="none" w:sz="0" w:space="0" w:color="auto"/>
            <w:left w:val="none" w:sz="0" w:space="0" w:color="auto"/>
            <w:bottom w:val="none" w:sz="0" w:space="0" w:color="auto"/>
            <w:right w:val="none" w:sz="0" w:space="0" w:color="auto"/>
          </w:divBdr>
        </w:div>
        <w:div w:id="1881626948">
          <w:marLeft w:val="432"/>
          <w:marRight w:val="0"/>
          <w:marTop w:val="0"/>
          <w:marBottom w:val="120"/>
          <w:divBdr>
            <w:top w:val="none" w:sz="0" w:space="0" w:color="auto"/>
            <w:left w:val="none" w:sz="0" w:space="0" w:color="auto"/>
            <w:bottom w:val="none" w:sz="0" w:space="0" w:color="auto"/>
            <w:right w:val="none" w:sz="0" w:space="0" w:color="auto"/>
          </w:divBdr>
        </w:div>
      </w:divsChild>
    </w:div>
    <w:div w:id="718089680">
      <w:bodyDiv w:val="1"/>
      <w:marLeft w:val="0"/>
      <w:marRight w:val="0"/>
      <w:marTop w:val="0"/>
      <w:marBottom w:val="0"/>
      <w:divBdr>
        <w:top w:val="none" w:sz="0" w:space="0" w:color="auto"/>
        <w:left w:val="none" w:sz="0" w:space="0" w:color="auto"/>
        <w:bottom w:val="none" w:sz="0" w:space="0" w:color="auto"/>
        <w:right w:val="none" w:sz="0" w:space="0" w:color="auto"/>
      </w:divBdr>
    </w:div>
    <w:div w:id="972949435">
      <w:bodyDiv w:val="1"/>
      <w:marLeft w:val="0"/>
      <w:marRight w:val="0"/>
      <w:marTop w:val="0"/>
      <w:marBottom w:val="0"/>
      <w:divBdr>
        <w:top w:val="none" w:sz="0" w:space="0" w:color="auto"/>
        <w:left w:val="none" w:sz="0" w:space="0" w:color="auto"/>
        <w:bottom w:val="none" w:sz="0" w:space="0" w:color="auto"/>
        <w:right w:val="none" w:sz="0" w:space="0" w:color="auto"/>
      </w:divBdr>
      <w:divsChild>
        <w:div w:id="981035636">
          <w:marLeft w:val="547"/>
          <w:marRight w:val="0"/>
          <w:marTop w:val="0"/>
          <w:marBottom w:val="240"/>
          <w:divBdr>
            <w:top w:val="none" w:sz="0" w:space="0" w:color="auto"/>
            <w:left w:val="none" w:sz="0" w:space="0" w:color="auto"/>
            <w:bottom w:val="none" w:sz="0" w:space="0" w:color="auto"/>
            <w:right w:val="none" w:sz="0" w:space="0" w:color="auto"/>
          </w:divBdr>
        </w:div>
        <w:div w:id="1466242169">
          <w:marLeft w:val="547"/>
          <w:marRight w:val="0"/>
          <w:marTop w:val="0"/>
          <w:marBottom w:val="240"/>
          <w:divBdr>
            <w:top w:val="none" w:sz="0" w:space="0" w:color="auto"/>
            <w:left w:val="none" w:sz="0" w:space="0" w:color="auto"/>
            <w:bottom w:val="none" w:sz="0" w:space="0" w:color="auto"/>
            <w:right w:val="none" w:sz="0" w:space="0" w:color="auto"/>
          </w:divBdr>
        </w:div>
        <w:div w:id="2088258216">
          <w:marLeft w:val="547"/>
          <w:marRight w:val="0"/>
          <w:marTop w:val="0"/>
          <w:marBottom w:val="240"/>
          <w:divBdr>
            <w:top w:val="none" w:sz="0" w:space="0" w:color="auto"/>
            <w:left w:val="none" w:sz="0" w:space="0" w:color="auto"/>
            <w:bottom w:val="none" w:sz="0" w:space="0" w:color="auto"/>
            <w:right w:val="none" w:sz="0" w:space="0" w:color="auto"/>
          </w:divBdr>
        </w:div>
      </w:divsChild>
    </w:div>
    <w:div w:id="1004358195">
      <w:bodyDiv w:val="1"/>
      <w:marLeft w:val="0"/>
      <w:marRight w:val="0"/>
      <w:marTop w:val="0"/>
      <w:marBottom w:val="0"/>
      <w:divBdr>
        <w:top w:val="none" w:sz="0" w:space="0" w:color="auto"/>
        <w:left w:val="none" w:sz="0" w:space="0" w:color="auto"/>
        <w:bottom w:val="none" w:sz="0" w:space="0" w:color="auto"/>
        <w:right w:val="none" w:sz="0" w:space="0" w:color="auto"/>
      </w:divBdr>
      <w:divsChild>
        <w:div w:id="704403369">
          <w:marLeft w:val="1080"/>
          <w:marRight w:val="0"/>
          <w:marTop w:val="100"/>
          <w:marBottom w:val="120"/>
          <w:divBdr>
            <w:top w:val="none" w:sz="0" w:space="0" w:color="auto"/>
            <w:left w:val="none" w:sz="0" w:space="0" w:color="auto"/>
            <w:bottom w:val="none" w:sz="0" w:space="0" w:color="auto"/>
            <w:right w:val="none" w:sz="0" w:space="0" w:color="auto"/>
          </w:divBdr>
        </w:div>
        <w:div w:id="2038390782">
          <w:marLeft w:val="1080"/>
          <w:marRight w:val="0"/>
          <w:marTop w:val="100"/>
          <w:marBottom w:val="120"/>
          <w:divBdr>
            <w:top w:val="none" w:sz="0" w:space="0" w:color="auto"/>
            <w:left w:val="none" w:sz="0" w:space="0" w:color="auto"/>
            <w:bottom w:val="none" w:sz="0" w:space="0" w:color="auto"/>
            <w:right w:val="none" w:sz="0" w:space="0" w:color="auto"/>
          </w:divBdr>
        </w:div>
        <w:div w:id="2046517358">
          <w:marLeft w:val="1080"/>
          <w:marRight w:val="0"/>
          <w:marTop w:val="100"/>
          <w:marBottom w:val="120"/>
          <w:divBdr>
            <w:top w:val="none" w:sz="0" w:space="0" w:color="auto"/>
            <w:left w:val="none" w:sz="0" w:space="0" w:color="auto"/>
            <w:bottom w:val="none" w:sz="0" w:space="0" w:color="auto"/>
            <w:right w:val="none" w:sz="0" w:space="0" w:color="auto"/>
          </w:divBdr>
        </w:div>
      </w:divsChild>
    </w:div>
    <w:div w:id="1041127488">
      <w:bodyDiv w:val="1"/>
      <w:marLeft w:val="0"/>
      <w:marRight w:val="0"/>
      <w:marTop w:val="0"/>
      <w:marBottom w:val="0"/>
      <w:divBdr>
        <w:top w:val="none" w:sz="0" w:space="0" w:color="auto"/>
        <w:left w:val="none" w:sz="0" w:space="0" w:color="auto"/>
        <w:bottom w:val="none" w:sz="0" w:space="0" w:color="auto"/>
        <w:right w:val="none" w:sz="0" w:space="0" w:color="auto"/>
      </w:divBdr>
      <w:divsChild>
        <w:div w:id="314183934">
          <w:marLeft w:val="547"/>
          <w:marRight w:val="0"/>
          <w:marTop w:val="0"/>
          <w:marBottom w:val="240"/>
          <w:divBdr>
            <w:top w:val="none" w:sz="0" w:space="0" w:color="auto"/>
            <w:left w:val="none" w:sz="0" w:space="0" w:color="auto"/>
            <w:bottom w:val="none" w:sz="0" w:space="0" w:color="auto"/>
            <w:right w:val="none" w:sz="0" w:space="0" w:color="auto"/>
          </w:divBdr>
        </w:div>
        <w:div w:id="359280924">
          <w:marLeft w:val="547"/>
          <w:marRight w:val="0"/>
          <w:marTop w:val="0"/>
          <w:marBottom w:val="240"/>
          <w:divBdr>
            <w:top w:val="none" w:sz="0" w:space="0" w:color="auto"/>
            <w:left w:val="none" w:sz="0" w:space="0" w:color="auto"/>
            <w:bottom w:val="none" w:sz="0" w:space="0" w:color="auto"/>
            <w:right w:val="none" w:sz="0" w:space="0" w:color="auto"/>
          </w:divBdr>
        </w:div>
        <w:div w:id="1457723362">
          <w:marLeft w:val="547"/>
          <w:marRight w:val="0"/>
          <w:marTop w:val="0"/>
          <w:marBottom w:val="240"/>
          <w:divBdr>
            <w:top w:val="none" w:sz="0" w:space="0" w:color="auto"/>
            <w:left w:val="none" w:sz="0" w:space="0" w:color="auto"/>
            <w:bottom w:val="none" w:sz="0" w:space="0" w:color="auto"/>
            <w:right w:val="none" w:sz="0" w:space="0" w:color="auto"/>
          </w:divBdr>
        </w:div>
      </w:divsChild>
    </w:div>
    <w:div w:id="1270351895">
      <w:bodyDiv w:val="1"/>
      <w:marLeft w:val="0"/>
      <w:marRight w:val="0"/>
      <w:marTop w:val="0"/>
      <w:marBottom w:val="0"/>
      <w:divBdr>
        <w:top w:val="none" w:sz="0" w:space="0" w:color="auto"/>
        <w:left w:val="none" w:sz="0" w:space="0" w:color="auto"/>
        <w:bottom w:val="none" w:sz="0" w:space="0" w:color="auto"/>
        <w:right w:val="none" w:sz="0" w:space="0" w:color="auto"/>
      </w:divBdr>
      <w:divsChild>
        <w:div w:id="442262360">
          <w:marLeft w:val="994"/>
          <w:marRight w:val="0"/>
          <w:marTop w:val="100"/>
          <w:marBottom w:val="120"/>
          <w:divBdr>
            <w:top w:val="none" w:sz="0" w:space="0" w:color="auto"/>
            <w:left w:val="none" w:sz="0" w:space="0" w:color="auto"/>
            <w:bottom w:val="none" w:sz="0" w:space="0" w:color="auto"/>
            <w:right w:val="none" w:sz="0" w:space="0" w:color="auto"/>
          </w:divBdr>
        </w:div>
        <w:div w:id="1308242549">
          <w:marLeft w:val="994"/>
          <w:marRight w:val="0"/>
          <w:marTop w:val="100"/>
          <w:marBottom w:val="120"/>
          <w:divBdr>
            <w:top w:val="none" w:sz="0" w:space="0" w:color="auto"/>
            <w:left w:val="none" w:sz="0" w:space="0" w:color="auto"/>
            <w:bottom w:val="none" w:sz="0" w:space="0" w:color="auto"/>
            <w:right w:val="none" w:sz="0" w:space="0" w:color="auto"/>
          </w:divBdr>
        </w:div>
        <w:div w:id="1344824769">
          <w:marLeft w:val="994"/>
          <w:marRight w:val="0"/>
          <w:marTop w:val="100"/>
          <w:marBottom w:val="120"/>
          <w:divBdr>
            <w:top w:val="none" w:sz="0" w:space="0" w:color="auto"/>
            <w:left w:val="none" w:sz="0" w:space="0" w:color="auto"/>
            <w:bottom w:val="none" w:sz="0" w:space="0" w:color="auto"/>
            <w:right w:val="none" w:sz="0" w:space="0" w:color="auto"/>
          </w:divBdr>
        </w:div>
        <w:div w:id="1903103229">
          <w:marLeft w:val="994"/>
          <w:marRight w:val="0"/>
          <w:marTop w:val="100"/>
          <w:marBottom w:val="120"/>
          <w:divBdr>
            <w:top w:val="none" w:sz="0" w:space="0" w:color="auto"/>
            <w:left w:val="none" w:sz="0" w:space="0" w:color="auto"/>
            <w:bottom w:val="none" w:sz="0" w:space="0" w:color="auto"/>
            <w:right w:val="none" w:sz="0" w:space="0" w:color="auto"/>
          </w:divBdr>
        </w:div>
      </w:divsChild>
    </w:div>
    <w:div w:id="1440758718">
      <w:bodyDiv w:val="1"/>
      <w:marLeft w:val="0"/>
      <w:marRight w:val="0"/>
      <w:marTop w:val="0"/>
      <w:marBottom w:val="0"/>
      <w:divBdr>
        <w:top w:val="none" w:sz="0" w:space="0" w:color="auto"/>
        <w:left w:val="none" w:sz="0" w:space="0" w:color="auto"/>
        <w:bottom w:val="none" w:sz="0" w:space="0" w:color="auto"/>
        <w:right w:val="none" w:sz="0" w:space="0" w:color="auto"/>
      </w:divBdr>
      <w:divsChild>
        <w:div w:id="597908484">
          <w:marLeft w:val="446"/>
          <w:marRight w:val="0"/>
          <w:marTop w:val="0"/>
          <w:marBottom w:val="0"/>
          <w:divBdr>
            <w:top w:val="none" w:sz="0" w:space="0" w:color="auto"/>
            <w:left w:val="none" w:sz="0" w:space="0" w:color="auto"/>
            <w:bottom w:val="none" w:sz="0" w:space="0" w:color="auto"/>
            <w:right w:val="none" w:sz="0" w:space="0" w:color="auto"/>
          </w:divBdr>
        </w:div>
        <w:div w:id="760176354">
          <w:marLeft w:val="446"/>
          <w:marRight w:val="0"/>
          <w:marTop w:val="0"/>
          <w:marBottom w:val="0"/>
          <w:divBdr>
            <w:top w:val="none" w:sz="0" w:space="0" w:color="auto"/>
            <w:left w:val="none" w:sz="0" w:space="0" w:color="auto"/>
            <w:bottom w:val="none" w:sz="0" w:space="0" w:color="auto"/>
            <w:right w:val="none" w:sz="0" w:space="0" w:color="auto"/>
          </w:divBdr>
        </w:div>
        <w:div w:id="970131091">
          <w:marLeft w:val="446"/>
          <w:marRight w:val="0"/>
          <w:marTop w:val="0"/>
          <w:marBottom w:val="0"/>
          <w:divBdr>
            <w:top w:val="none" w:sz="0" w:space="0" w:color="auto"/>
            <w:left w:val="none" w:sz="0" w:space="0" w:color="auto"/>
            <w:bottom w:val="none" w:sz="0" w:space="0" w:color="auto"/>
            <w:right w:val="none" w:sz="0" w:space="0" w:color="auto"/>
          </w:divBdr>
        </w:div>
        <w:div w:id="1211963515">
          <w:marLeft w:val="446"/>
          <w:marRight w:val="0"/>
          <w:marTop w:val="0"/>
          <w:marBottom w:val="0"/>
          <w:divBdr>
            <w:top w:val="none" w:sz="0" w:space="0" w:color="auto"/>
            <w:left w:val="none" w:sz="0" w:space="0" w:color="auto"/>
            <w:bottom w:val="none" w:sz="0" w:space="0" w:color="auto"/>
            <w:right w:val="none" w:sz="0" w:space="0" w:color="auto"/>
          </w:divBdr>
        </w:div>
        <w:div w:id="1399090860">
          <w:marLeft w:val="446"/>
          <w:marRight w:val="0"/>
          <w:marTop w:val="0"/>
          <w:marBottom w:val="0"/>
          <w:divBdr>
            <w:top w:val="none" w:sz="0" w:space="0" w:color="auto"/>
            <w:left w:val="none" w:sz="0" w:space="0" w:color="auto"/>
            <w:bottom w:val="none" w:sz="0" w:space="0" w:color="auto"/>
            <w:right w:val="none" w:sz="0" w:space="0" w:color="auto"/>
          </w:divBdr>
        </w:div>
        <w:div w:id="2107537382">
          <w:marLeft w:val="446"/>
          <w:marRight w:val="0"/>
          <w:marTop w:val="0"/>
          <w:marBottom w:val="0"/>
          <w:divBdr>
            <w:top w:val="none" w:sz="0" w:space="0" w:color="auto"/>
            <w:left w:val="none" w:sz="0" w:space="0" w:color="auto"/>
            <w:bottom w:val="none" w:sz="0" w:space="0" w:color="auto"/>
            <w:right w:val="none" w:sz="0" w:space="0" w:color="auto"/>
          </w:divBdr>
        </w:div>
      </w:divsChild>
    </w:div>
    <w:div w:id="1455169610">
      <w:bodyDiv w:val="1"/>
      <w:marLeft w:val="0"/>
      <w:marRight w:val="0"/>
      <w:marTop w:val="0"/>
      <w:marBottom w:val="0"/>
      <w:divBdr>
        <w:top w:val="none" w:sz="0" w:space="0" w:color="auto"/>
        <w:left w:val="none" w:sz="0" w:space="0" w:color="auto"/>
        <w:bottom w:val="none" w:sz="0" w:space="0" w:color="auto"/>
        <w:right w:val="none" w:sz="0" w:space="0" w:color="auto"/>
      </w:divBdr>
    </w:div>
    <w:div w:id="1521431039">
      <w:bodyDiv w:val="1"/>
      <w:marLeft w:val="0"/>
      <w:marRight w:val="0"/>
      <w:marTop w:val="0"/>
      <w:marBottom w:val="0"/>
      <w:divBdr>
        <w:top w:val="none" w:sz="0" w:space="0" w:color="auto"/>
        <w:left w:val="none" w:sz="0" w:space="0" w:color="auto"/>
        <w:bottom w:val="none" w:sz="0" w:space="0" w:color="auto"/>
        <w:right w:val="none" w:sz="0" w:space="0" w:color="auto"/>
      </w:divBdr>
      <w:divsChild>
        <w:div w:id="115220435">
          <w:marLeft w:val="562"/>
          <w:marRight w:val="0"/>
          <w:marTop w:val="200"/>
          <w:marBottom w:val="0"/>
          <w:divBdr>
            <w:top w:val="none" w:sz="0" w:space="0" w:color="auto"/>
            <w:left w:val="none" w:sz="0" w:space="0" w:color="auto"/>
            <w:bottom w:val="none" w:sz="0" w:space="0" w:color="auto"/>
            <w:right w:val="none" w:sz="0" w:space="0" w:color="auto"/>
          </w:divBdr>
        </w:div>
        <w:div w:id="469634758">
          <w:marLeft w:val="1325"/>
          <w:marRight w:val="0"/>
          <w:marTop w:val="240"/>
          <w:marBottom w:val="120"/>
          <w:divBdr>
            <w:top w:val="none" w:sz="0" w:space="0" w:color="auto"/>
            <w:left w:val="none" w:sz="0" w:space="0" w:color="auto"/>
            <w:bottom w:val="none" w:sz="0" w:space="0" w:color="auto"/>
            <w:right w:val="none" w:sz="0" w:space="0" w:color="auto"/>
          </w:divBdr>
        </w:div>
        <w:div w:id="585116214">
          <w:marLeft w:val="562"/>
          <w:marRight w:val="0"/>
          <w:marTop w:val="200"/>
          <w:marBottom w:val="0"/>
          <w:divBdr>
            <w:top w:val="none" w:sz="0" w:space="0" w:color="auto"/>
            <w:left w:val="none" w:sz="0" w:space="0" w:color="auto"/>
            <w:bottom w:val="none" w:sz="0" w:space="0" w:color="auto"/>
            <w:right w:val="none" w:sz="0" w:space="0" w:color="auto"/>
          </w:divBdr>
        </w:div>
        <w:div w:id="2105375585">
          <w:marLeft w:val="1325"/>
          <w:marRight w:val="0"/>
          <w:marTop w:val="240"/>
          <w:marBottom w:val="120"/>
          <w:divBdr>
            <w:top w:val="none" w:sz="0" w:space="0" w:color="auto"/>
            <w:left w:val="none" w:sz="0" w:space="0" w:color="auto"/>
            <w:bottom w:val="none" w:sz="0" w:space="0" w:color="auto"/>
            <w:right w:val="none" w:sz="0" w:space="0" w:color="auto"/>
          </w:divBdr>
        </w:div>
      </w:divsChild>
    </w:div>
    <w:div w:id="1538423759">
      <w:bodyDiv w:val="1"/>
      <w:marLeft w:val="0"/>
      <w:marRight w:val="0"/>
      <w:marTop w:val="0"/>
      <w:marBottom w:val="0"/>
      <w:divBdr>
        <w:top w:val="none" w:sz="0" w:space="0" w:color="auto"/>
        <w:left w:val="none" w:sz="0" w:space="0" w:color="auto"/>
        <w:bottom w:val="none" w:sz="0" w:space="0" w:color="auto"/>
        <w:right w:val="none" w:sz="0" w:space="0" w:color="auto"/>
      </w:divBdr>
    </w:div>
    <w:div w:id="1627930203">
      <w:bodyDiv w:val="1"/>
      <w:marLeft w:val="0"/>
      <w:marRight w:val="0"/>
      <w:marTop w:val="0"/>
      <w:marBottom w:val="0"/>
      <w:divBdr>
        <w:top w:val="none" w:sz="0" w:space="0" w:color="auto"/>
        <w:left w:val="none" w:sz="0" w:space="0" w:color="auto"/>
        <w:bottom w:val="none" w:sz="0" w:space="0" w:color="auto"/>
        <w:right w:val="none" w:sz="0" w:space="0" w:color="auto"/>
      </w:divBdr>
      <w:divsChild>
        <w:div w:id="846872046">
          <w:marLeft w:val="547"/>
          <w:marRight w:val="0"/>
          <w:marTop w:val="0"/>
          <w:marBottom w:val="240"/>
          <w:divBdr>
            <w:top w:val="none" w:sz="0" w:space="0" w:color="auto"/>
            <w:left w:val="none" w:sz="0" w:space="0" w:color="auto"/>
            <w:bottom w:val="none" w:sz="0" w:space="0" w:color="auto"/>
            <w:right w:val="none" w:sz="0" w:space="0" w:color="auto"/>
          </w:divBdr>
        </w:div>
        <w:div w:id="1248081032">
          <w:marLeft w:val="446"/>
          <w:marRight w:val="0"/>
          <w:marTop w:val="0"/>
          <w:marBottom w:val="240"/>
          <w:divBdr>
            <w:top w:val="none" w:sz="0" w:space="0" w:color="auto"/>
            <w:left w:val="none" w:sz="0" w:space="0" w:color="auto"/>
            <w:bottom w:val="none" w:sz="0" w:space="0" w:color="auto"/>
            <w:right w:val="none" w:sz="0" w:space="0" w:color="auto"/>
          </w:divBdr>
        </w:div>
        <w:div w:id="1628849096">
          <w:marLeft w:val="547"/>
          <w:marRight w:val="0"/>
          <w:marTop w:val="0"/>
          <w:marBottom w:val="240"/>
          <w:divBdr>
            <w:top w:val="none" w:sz="0" w:space="0" w:color="auto"/>
            <w:left w:val="none" w:sz="0" w:space="0" w:color="auto"/>
            <w:bottom w:val="none" w:sz="0" w:space="0" w:color="auto"/>
            <w:right w:val="none" w:sz="0" w:space="0" w:color="auto"/>
          </w:divBdr>
        </w:div>
        <w:div w:id="2128961537">
          <w:marLeft w:val="547"/>
          <w:marRight w:val="0"/>
          <w:marTop w:val="0"/>
          <w:marBottom w:val="240"/>
          <w:divBdr>
            <w:top w:val="none" w:sz="0" w:space="0" w:color="auto"/>
            <w:left w:val="none" w:sz="0" w:space="0" w:color="auto"/>
            <w:bottom w:val="none" w:sz="0" w:space="0" w:color="auto"/>
            <w:right w:val="none" w:sz="0" w:space="0" w:color="auto"/>
          </w:divBdr>
        </w:div>
      </w:divsChild>
    </w:div>
    <w:div w:id="1699812792">
      <w:bodyDiv w:val="1"/>
      <w:marLeft w:val="0"/>
      <w:marRight w:val="0"/>
      <w:marTop w:val="0"/>
      <w:marBottom w:val="0"/>
      <w:divBdr>
        <w:top w:val="none" w:sz="0" w:space="0" w:color="auto"/>
        <w:left w:val="none" w:sz="0" w:space="0" w:color="auto"/>
        <w:bottom w:val="none" w:sz="0" w:space="0" w:color="auto"/>
        <w:right w:val="none" w:sz="0" w:space="0" w:color="auto"/>
      </w:divBdr>
    </w:div>
    <w:div w:id="1897009111">
      <w:bodyDiv w:val="1"/>
      <w:marLeft w:val="0"/>
      <w:marRight w:val="0"/>
      <w:marTop w:val="0"/>
      <w:marBottom w:val="0"/>
      <w:divBdr>
        <w:top w:val="none" w:sz="0" w:space="0" w:color="auto"/>
        <w:left w:val="none" w:sz="0" w:space="0" w:color="auto"/>
        <w:bottom w:val="none" w:sz="0" w:space="0" w:color="auto"/>
        <w:right w:val="none" w:sz="0" w:space="0" w:color="auto"/>
      </w:divBdr>
      <w:divsChild>
        <w:div w:id="269121264">
          <w:marLeft w:val="547"/>
          <w:marRight w:val="0"/>
          <w:marTop w:val="0"/>
          <w:marBottom w:val="240"/>
          <w:divBdr>
            <w:top w:val="none" w:sz="0" w:space="0" w:color="auto"/>
            <w:left w:val="none" w:sz="0" w:space="0" w:color="auto"/>
            <w:bottom w:val="none" w:sz="0" w:space="0" w:color="auto"/>
            <w:right w:val="none" w:sz="0" w:space="0" w:color="auto"/>
          </w:divBdr>
        </w:div>
        <w:div w:id="716781678">
          <w:marLeft w:val="547"/>
          <w:marRight w:val="0"/>
          <w:marTop w:val="0"/>
          <w:marBottom w:val="240"/>
          <w:divBdr>
            <w:top w:val="none" w:sz="0" w:space="0" w:color="auto"/>
            <w:left w:val="none" w:sz="0" w:space="0" w:color="auto"/>
            <w:bottom w:val="none" w:sz="0" w:space="0" w:color="auto"/>
            <w:right w:val="none" w:sz="0" w:space="0" w:color="auto"/>
          </w:divBdr>
        </w:div>
        <w:div w:id="1991784444">
          <w:marLeft w:val="547"/>
          <w:marRight w:val="0"/>
          <w:marTop w:val="0"/>
          <w:marBottom w:val="240"/>
          <w:divBdr>
            <w:top w:val="none" w:sz="0" w:space="0" w:color="auto"/>
            <w:left w:val="none" w:sz="0" w:space="0" w:color="auto"/>
            <w:bottom w:val="none" w:sz="0" w:space="0" w:color="auto"/>
            <w:right w:val="none" w:sz="0" w:space="0" w:color="auto"/>
          </w:divBdr>
        </w:div>
      </w:divsChild>
    </w:div>
    <w:div w:id="2063820675">
      <w:bodyDiv w:val="1"/>
      <w:marLeft w:val="0"/>
      <w:marRight w:val="0"/>
      <w:marTop w:val="0"/>
      <w:marBottom w:val="0"/>
      <w:divBdr>
        <w:top w:val="none" w:sz="0" w:space="0" w:color="auto"/>
        <w:left w:val="none" w:sz="0" w:space="0" w:color="auto"/>
        <w:bottom w:val="none" w:sz="0" w:space="0" w:color="auto"/>
        <w:right w:val="none" w:sz="0" w:space="0" w:color="auto"/>
      </w:divBdr>
      <w:divsChild>
        <w:div w:id="896934007">
          <w:marLeft w:val="547"/>
          <w:marRight w:val="0"/>
          <w:marTop w:val="0"/>
          <w:marBottom w:val="240"/>
          <w:divBdr>
            <w:top w:val="none" w:sz="0" w:space="0" w:color="auto"/>
            <w:left w:val="none" w:sz="0" w:space="0" w:color="auto"/>
            <w:bottom w:val="none" w:sz="0" w:space="0" w:color="auto"/>
            <w:right w:val="none" w:sz="0" w:space="0" w:color="auto"/>
          </w:divBdr>
        </w:div>
        <w:div w:id="1076825201">
          <w:marLeft w:val="547"/>
          <w:marRight w:val="0"/>
          <w:marTop w:val="0"/>
          <w:marBottom w:val="240"/>
          <w:divBdr>
            <w:top w:val="none" w:sz="0" w:space="0" w:color="auto"/>
            <w:left w:val="none" w:sz="0" w:space="0" w:color="auto"/>
            <w:bottom w:val="none" w:sz="0" w:space="0" w:color="auto"/>
            <w:right w:val="none" w:sz="0" w:space="0" w:color="auto"/>
          </w:divBdr>
        </w:div>
        <w:div w:id="1520463195">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paratori@mma.gob.cl" TargetMode="External"/><Relationship Id="rId21" Type="http://schemas.openxmlformats.org/officeDocument/2006/relationships/hyperlink" Target="mailto:yvettegauthe@yahoo.fr" TargetMode="External"/><Relationship Id="rId42" Type="http://schemas.openxmlformats.org/officeDocument/2006/relationships/hyperlink" Target="mailto:Mario.Perez@ambiente.gob.do" TargetMode="External"/><Relationship Id="rId47" Type="http://schemas.openxmlformats.org/officeDocument/2006/relationships/hyperlink" Target="mailto:balaji.natarajan@un.org" TargetMode="External"/><Relationship Id="rId63" Type="http://schemas.openxmlformats.org/officeDocument/2006/relationships/hyperlink" Target="mailto:tatiana.terekhova@un.org" TargetMode="External"/><Relationship Id="rId68" Type="http://schemas.openxmlformats.org/officeDocument/2006/relationships/hyperlink" Target="mailto:moussa.barry@un.org" TargetMode="External"/><Relationship Id="rId84" Type="http://schemas.openxmlformats.org/officeDocument/2006/relationships/hyperlink" Target="mailto:martha.mulumba@un.org" TargetMode="External"/><Relationship Id="rId16" Type="http://schemas.openxmlformats.org/officeDocument/2006/relationships/footer" Target="footer3.xml"/><Relationship Id="rId11" Type="http://schemas.openxmlformats.org/officeDocument/2006/relationships/image" Target="media/image1.png"/><Relationship Id="rId32" Type="http://schemas.openxmlformats.org/officeDocument/2006/relationships/hyperlink" Target="mailto:mkirui@environment.go.ke" TargetMode="External"/><Relationship Id="rId37" Type="http://schemas.openxmlformats.org/officeDocument/2006/relationships/hyperlink" Target="mailto:r.l.f.brieskorn@minezk.nl" TargetMode="External"/><Relationship Id="rId53" Type="http://schemas.openxmlformats.org/officeDocument/2006/relationships/hyperlink" Target="mailto:ntsatsimathatela@gmail.com" TargetMode="External"/><Relationship Id="rId58" Type="http://schemas.openxmlformats.org/officeDocument/2006/relationships/hyperlink" Target="mailto:jru@worldbank.org" TargetMode="External"/><Relationship Id="rId74" Type="http://schemas.openxmlformats.org/officeDocument/2006/relationships/hyperlink" Target="mailto:o.banjo@unido.org" TargetMode="External"/><Relationship Id="rId79" Type="http://schemas.openxmlformats.org/officeDocument/2006/relationships/hyperlink" Target="mailto:gerald.mutisya@un.org" TargetMode="External"/><Relationship Id="rId5" Type="http://schemas.openxmlformats.org/officeDocument/2006/relationships/numbering" Target="numbering.xml"/><Relationship Id="rId19" Type="http://schemas.openxmlformats.org/officeDocument/2006/relationships/hyperlink" Target="mailto:malmufadda@ncec.gov.sa" TargetMode="External"/><Relationship Id="rId14" Type="http://schemas.openxmlformats.org/officeDocument/2006/relationships/footer" Target="footer1.xml"/><Relationship Id="rId22" Type="http://schemas.openxmlformats.org/officeDocument/2006/relationships/hyperlink" Target="mailto:yvettegauthe@yahoo.fr" TargetMode="External"/><Relationship Id="rId27" Type="http://schemas.openxmlformats.org/officeDocument/2006/relationships/hyperlink" Target="mailto:bianco.karen@epa.gov" TargetMode="External"/><Relationship Id="rId30" Type="http://schemas.openxmlformats.org/officeDocument/2006/relationships/hyperlink" Target="mailto:info@iranozone.ir" TargetMode="External"/><Relationship Id="rId35" Type="http://schemas.openxmlformats.org/officeDocument/2006/relationships/hyperlink" Target="mailto:tatjana.djurcevic@epa.org.me" TargetMode="External"/><Relationship Id="rId43" Type="http://schemas.openxmlformats.org/officeDocument/2006/relationships/hyperlink" Target="mailto:matej.mrlina@cizp.gov.cz" TargetMode="External"/><Relationship Id="rId48" Type="http://schemas.openxmlformats.org/officeDocument/2006/relationships/hyperlink" Target="mailto:balaji.natarajan@un.org" TargetMode="External"/><Relationship Id="rId56" Type="http://schemas.openxmlformats.org/officeDocument/2006/relationships/hyperlink" Target="mailto:tjunchaya@worldbank.org" TargetMode="External"/><Relationship Id="rId64" Type="http://schemas.openxmlformats.org/officeDocument/2006/relationships/hyperlink" Target="mailto:guisse@un.org" TargetMode="External"/><Relationship Id="rId69" Type="http://schemas.openxmlformats.org/officeDocument/2006/relationships/hyperlink" Target="mailto:rabbiosi@un.org" TargetMode="External"/><Relationship Id="rId77" Type="http://schemas.openxmlformats.org/officeDocument/2006/relationships/hyperlink" Target="mailto:pablo.moscosodelacuba@un.org" TargetMode="External"/><Relationship Id="rId8" Type="http://schemas.openxmlformats.org/officeDocument/2006/relationships/webSettings" Target="webSettings.xml"/><Relationship Id="rId51" Type="http://schemas.openxmlformats.org/officeDocument/2006/relationships/hyperlink" Target="mailto:peru.alessandro@mase.gov.it" TargetMode="External"/><Relationship Id="rId72" Type="http://schemas.openxmlformats.org/officeDocument/2006/relationships/hyperlink" Target="mailto:L.Rabbiosi@unido.org" TargetMode="External"/><Relationship Id="rId80" Type="http://schemas.openxmlformats.org/officeDocument/2006/relationships/hyperlink" Target="mailto:gerald.mutisya@un.org" TargetMode="External"/><Relationship Id="rId85" Type="http://schemas.openxmlformats.org/officeDocument/2006/relationships/hyperlink" Target="mailto:jacqueline.nyanjui@un.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a.tumayhi@ncec.gov.sa" TargetMode="External"/><Relationship Id="rId25" Type="http://schemas.openxmlformats.org/officeDocument/2006/relationships/hyperlink" Target="mailto:cparatori@mma.gob.cl" TargetMode="External"/><Relationship Id="rId33" Type="http://schemas.openxmlformats.org/officeDocument/2006/relationships/hyperlink" Target="mailto:marindanykirui@yahoo.com" TargetMode="External"/><Relationship Id="rId38" Type="http://schemas.openxmlformats.org/officeDocument/2006/relationships/hyperlink" Target="mailto:r.l.f.brieskorn@minezk.nl" TargetMode="External"/><Relationship Id="rId46" Type="http://schemas.openxmlformats.org/officeDocument/2006/relationships/hyperlink" Target="mailto:tina.birmpili@un.org" TargetMode="External"/><Relationship Id="rId59" Type="http://schemas.openxmlformats.org/officeDocument/2006/relationships/hyperlink" Target="mailto:paloma.somohano@undp.org" TargetMode="External"/><Relationship Id="rId67" Type="http://schemas.openxmlformats.org/officeDocument/2006/relationships/hyperlink" Target="mailto:patrick.salifu@unep.org" TargetMode="External"/><Relationship Id="rId20" Type="http://schemas.openxmlformats.org/officeDocument/2006/relationships/hyperlink" Target="mailto:malmufadda@ncec.gov.sa" TargetMode="External"/><Relationship Id="rId41" Type="http://schemas.openxmlformats.org/officeDocument/2006/relationships/hyperlink" Target="mailto:Mario.Perez@ambiente.gob.do" TargetMode="External"/><Relationship Id="rId54" Type="http://schemas.openxmlformats.org/officeDocument/2006/relationships/hyperlink" Target="mailto:ntsatsimathatela@gmail.com" TargetMode="External"/><Relationship Id="rId62" Type="http://schemas.openxmlformats.org/officeDocument/2006/relationships/hyperlink" Target="mailto:tatiana.terekhova@un.org" TargetMode="External"/><Relationship Id="rId70" Type="http://schemas.openxmlformats.org/officeDocument/2006/relationships/hyperlink" Target="mailto:L.Rabbiosi@unido.org" TargetMode="External"/><Relationship Id="rId75" Type="http://schemas.openxmlformats.org/officeDocument/2006/relationships/hyperlink" Target="mailto:meg.seki@un.org" TargetMode="External"/><Relationship Id="rId83" Type="http://schemas.openxmlformats.org/officeDocument/2006/relationships/hyperlink" Target="mailto:martha.mulumba@un.org"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paguirrev@minrel.gob.cl" TargetMode="External"/><Relationship Id="rId28" Type="http://schemas.openxmlformats.org/officeDocument/2006/relationships/hyperlink" Target="mailto:bianco.karen@epa.gov" TargetMode="External"/><Relationship Id="rId36" Type="http://schemas.openxmlformats.org/officeDocument/2006/relationships/hyperlink" Target="mailto:tatjana.djurcevic@epa.org.me" TargetMode="External"/><Relationship Id="rId49" Type="http://schemas.openxmlformats.org/officeDocument/2006/relationships/hyperlink" Target="mailto:peru.alessandro@mase.gov.it" TargetMode="External"/><Relationship Id="rId57" Type="http://schemas.openxmlformats.org/officeDocument/2006/relationships/hyperlink" Target="mailto:jru@worldbank.org" TargetMode="External"/><Relationship Id="rId10" Type="http://schemas.openxmlformats.org/officeDocument/2006/relationships/endnotes" Target="endnotes.xml"/><Relationship Id="rId31" Type="http://schemas.openxmlformats.org/officeDocument/2006/relationships/hyperlink" Target="mailto:marindanykirui@yahoo.com" TargetMode="External"/><Relationship Id="rId44" Type="http://schemas.openxmlformats.org/officeDocument/2006/relationships/hyperlink" Target="mailto:matej.mrlina@cizp.gov.cz" TargetMode="External"/><Relationship Id="rId52" Type="http://schemas.openxmlformats.org/officeDocument/2006/relationships/hyperlink" Target="mailto:g.peru@sogesid.it" TargetMode="External"/><Relationship Id="rId60" Type="http://schemas.openxmlformats.org/officeDocument/2006/relationships/hyperlink" Target="mailto:paloma.somohano@undp.org" TargetMode="External"/><Relationship Id="rId65" Type="http://schemas.openxmlformats.org/officeDocument/2006/relationships/hyperlink" Target="mailto:guisse@un.org" TargetMode="External"/><Relationship Id="rId73" Type="http://schemas.openxmlformats.org/officeDocument/2006/relationships/hyperlink" Target="mailto:o.banjo@unido.org" TargetMode="External"/><Relationship Id="rId78" Type="http://schemas.openxmlformats.org/officeDocument/2006/relationships/hyperlink" Target="mailto:pablo.moscosodelacuba@un.org" TargetMode="External"/><Relationship Id="rId81" Type="http://schemas.openxmlformats.org/officeDocument/2006/relationships/hyperlink" Target="mailto:frida.muriithi@un.org" TargetMode="External"/><Relationship Id="rId86" Type="http://schemas.openxmlformats.org/officeDocument/2006/relationships/hyperlink" Target="mailto:jacqueline.nyanjui@un.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a.tumayhi@ncec.gov.sa" TargetMode="External"/><Relationship Id="rId39" Type="http://schemas.openxmlformats.org/officeDocument/2006/relationships/hyperlink" Target="mailto:martijn.hildebrand@rws.nl" TargetMode="External"/><Relationship Id="rId34" Type="http://schemas.openxmlformats.org/officeDocument/2006/relationships/hyperlink" Target="mailto:mkirui@environment.go.ke" TargetMode="External"/><Relationship Id="rId50" Type="http://schemas.openxmlformats.org/officeDocument/2006/relationships/hyperlink" Target="mailto:g.peru@sogesid.it" TargetMode="External"/><Relationship Id="rId55" Type="http://schemas.openxmlformats.org/officeDocument/2006/relationships/hyperlink" Target="mailto:tjunchaya@worldbank.org" TargetMode="External"/><Relationship Id="rId76" Type="http://schemas.openxmlformats.org/officeDocument/2006/relationships/hyperlink" Target="mailto:meg.seki@un.org" TargetMode="External"/><Relationship Id="rId7" Type="http://schemas.openxmlformats.org/officeDocument/2006/relationships/settings" Target="settings.xml"/><Relationship Id="rId71" Type="http://schemas.openxmlformats.org/officeDocument/2006/relationships/hyperlink" Target="mailto:rabbiosi@un.org" TargetMode="External"/><Relationship Id="rId2" Type="http://schemas.openxmlformats.org/officeDocument/2006/relationships/customXml" Target="../customXml/item2.xml"/><Relationship Id="rId29" Type="http://schemas.openxmlformats.org/officeDocument/2006/relationships/hyperlink" Target="mailto:info@iranozone.ir" TargetMode="External"/><Relationship Id="rId24" Type="http://schemas.openxmlformats.org/officeDocument/2006/relationships/hyperlink" Target="mailto:paguirrev@minrel.gob.cl" TargetMode="External"/><Relationship Id="rId40" Type="http://schemas.openxmlformats.org/officeDocument/2006/relationships/hyperlink" Target="mailto:martijn.hildebrand@rws.nl" TargetMode="External"/><Relationship Id="rId45" Type="http://schemas.openxmlformats.org/officeDocument/2006/relationships/hyperlink" Target="mailto:tina.birmpili@un.org" TargetMode="External"/><Relationship Id="rId66" Type="http://schemas.openxmlformats.org/officeDocument/2006/relationships/hyperlink" Target="mailto:patrick.salifu@unep.org" TargetMode="External"/><Relationship Id="rId87" Type="http://schemas.openxmlformats.org/officeDocument/2006/relationships/fontTable" Target="fontTable.xml"/><Relationship Id="rId61" Type="http://schemas.openxmlformats.org/officeDocument/2006/relationships/hyperlink" Target="mailto:jim.curlin@un.org" TargetMode="External"/><Relationship Id="rId82" Type="http://schemas.openxmlformats.org/officeDocument/2006/relationships/hyperlink" Target="mailto:frida.muriithi@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105824-F71F-4F8A-BA23-278C53E554FD}">
  <ds:schemaRefs>
    <ds:schemaRef ds:uri="http://schemas.openxmlformats.org/officeDocument/2006/bibliography"/>
  </ds:schemaRefs>
</ds:datastoreItem>
</file>

<file path=customXml/itemProps2.xml><?xml version="1.0" encoding="utf-8"?>
<ds:datastoreItem xmlns:ds="http://schemas.openxmlformats.org/officeDocument/2006/customXml" ds:itemID="{59736254-98E9-4ACF-AD40-34879EED08AA}">
  <ds:schemaRefs>
    <ds:schemaRef ds:uri="http://schemas.microsoft.com/sharepoint/v3/contenttype/forms"/>
  </ds:schemaRefs>
</ds:datastoreItem>
</file>

<file path=customXml/itemProps3.xml><?xml version="1.0" encoding="utf-8"?>
<ds:datastoreItem xmlns:ds="http://schemas.openxmlformats.org/officeDocument/2006/customXml" ds:itemID="{D3A45F82-B947-418B-A2C5-700DB1F1A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13C55-C1BF-4957-AA72-45C99270501E}">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366</TotalTime>
  <Pages>34</Pages>
  <Words>21199</Words>
  <Characters>120840</Characters>
  <Application>Microsoft Office Word</Application>
  <DocSecurity>0</DocSecurity>
  <PresentationFormat/>
  <Lines>1007</Lines>
  <Paragraphs>283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Nomeny Rasolomanana</cp:lastModifiedBy>
  <cp:revision>122</cp:revision>
  <cp:lastPrinted>2025-12-18T06:42:00Z</cp:lastPrinted>
  <dcterms:created xsi:type="dcterms:W3CDTF">2026-03-05T05:25:00Z</dcterms:created>
  <dcterms:modified xsi:type="dcterms:W3CDTF">2026-03-11T11:29:00Z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UNEP-OZL-PRO-IMPCOM</vt:lpwstr>
  </property>
  <property fmtid="{D5CDD505-2E9C-101B-9397-08002B2CF9AE}" pid="5" name="UNONDCSTES-NoSymbol">
    <vt:lpwstr>1</vt:lpwstr>
  </property>
  <property fmtid="{D5CDD505-2E9C-101B-9397-08002B2CF9AE}" pid="6" name="UNONDCSTES-LangDistr">
    <vt:lpwstr>EN_AR-EN-FR-SP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0x0101001C49DCCFF06D044688251B3E010FA2BB</vt:lpwstr>
  </property>
  <property fmtid="{D5CDD505-2E9C-101B-9397-08002B2CF9AE}" pid="11" name="MediaServiceImageTags">
    <vt:lpwstr/>
  </property>
</Properties>
</file>