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84A5B" w:rsidRPr="00A84A5B" w14:paraId="4115DA2C" w14:textId="77777777" w:rsidTr="009570F9">
        <w:trPr>
          <w:trHeight w:val="850"/>
        </w:trPr>
        <w:tc>
          <w:tcPr>
            <w:tcW w:w="1701" w:type="dxa"/>
          </w:tcPr>
          <w:p w14:paraId="4774FCB4" w14:textId="6B64EC29" w:rsidR="00A84A5B" w:rsidRPr="00A84A5B" w:rsidRDefault="00A84A5B" w:rsidP="009570F9">
            <w:pPr>
              <w:pStyle w:val="AUnitedNations"/>
              <w:rPr>
                <w:lang w:val="es-ES_tradnl"/>
              </w:rPr>
            </w:pPr>
            <w:r w:rsidRPr="00A84A5B">
              <w:rPr>
                <w:lang w:val="es-ES_tradnl"/>
              </w:rPr>
              <w:t xml:space="preserve">NACIONES </w:t>
            </w:r>
            <w:r w:rsidRPr="00A84A5B">
              <w:rPr>
                <w:lang w:val="es-ES_tradnl"/>
              </w:rPr>
              <w:br/>
              <w:t>UNIDAS</w:t>
            </w:r>
          </w:p>
        </w:tc>
        <w:tc>
          <w:tcPr>
            <w:tcW w:w="6378" w:type="dxa"/>
          </w:tcPr>
          <w:p w14:paraId="6E0F6C44" w14:textId="77777777" w:rsidR="00A84A5B" w:rsidRPr="00A84A5B" w:rsidRDefault="00A84A5B" w:rsidP="009570F9">
            <w:pPr>
              <w:pStyle w:val="Normal-pool"/>
              <w:rPr>
                <w:lang w:val="es-ES_tradnl"/>
              </w:rPr>
            </w:pPr>
            <w:r w:rsidRPr="00A84A5B">
              <w:rPr>
                <w:noProof/>
                <w:lang w:val="es-ES_tradnl"/>
                <w14:ligatures w14:val="standardContextual"/>
              </w:rPr>
              <w:drawing>
                <wp:anchor distT="0" distB="0" distL="114300" distR="114300" simplePos="0" relativeHeight="251660288" behindDoc="0" locked="0" layoutInCell="1" allowOverlap="1" wp14:anchorId="485588D7" wp14:editId="146F6E55">
                  <wp:simplePos x="0" y="0"/>
                  <wp:positionH relativeFrom="column">
                    <wp:posOffset>-1270</wp:posOffset>
                  </wp:positionH>
                  <wp:positionV relativeFrom="paragraph">
                    <wp:posOffset>-4445</wp:posOffset>
                  </wp:positionV>
                  <wp:extent cx="1305763" cy="573559"/>
                  <wp:effectExtent l="0" t="0" r="8890" b="0"/>
                  <wp:wrapNone/>
                  <wp:docPr id="914733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33463" name=""/>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0B9559A" w14:textId="77777777" w:rsidR="00A84A5B" w:rsidRPr="00A84A5B" w:rsidRDefault="00A84A5B" w:rsidP="009570F9">
            <w:pPr>
              <w:pStyle w:val="Normal-pool"/>
              <w:rPr>
                <w:lang w:val="es-ES_tradnl"/>
              </w:rPr>
            </w:pPr>
          </w:p>
        </w:tc>
      </w:tr>
    </w:tbl>
    <w:p w14:paraId="7E5FB308" w14:textId="77777777" w:rsidR="00A84A5B" w:rsidRPr="00A84A5B" w:rsidRDefault="00A84A5B" w:rsidP="00A84A5B">
      <w:pPr>
        <w:pStyle w:val="ASpacer"/>
        <w:rPr>
          <w:lang w:val="es-ES_tradnl"/>
        </w:rPr>
      </w:pPr>
    </w:p>
    <w:tbl>
      <w:tblPr>
        <w:tblW w:w="9496" w:type="dxa"/>
        <w:tblLook w:val="0000" w:firstRow="0" w:lastRow="0" w:firstColumn="0" w:lastColumn="0" w:noHBand="0" w:noVBand="0"/>
      </w:tblPr>
      <w:tblGrid>
        <w:gridCol w:w="6378"/>
        <w:gridCol w:w="3118"/>
      </w:tblGrid>
      <w:tr w:rsidR="00A84A5B" w:rsidRPr="00A84A5B" w14:paraId="0E77BFC2" w14:textId="77777777" w:rsidTr="009570F9">
        <w:trPr>
          <w:trHeight w:val="340"/>
        </w:trPr>
        <w:tc>
          <w:tcPr>
            <w:tcW w:w="3358" w:type="pct"/>
            <w:vAlign w:val="bottom"/>
          </w:tcPr>
          <w:p w14:paraId="38642D12" w14:textId="77777777" w:rsidR="00A84A5B" w:rsidRPr="00A84A5B" w:rsidRDefault="00A84A5B" w:rsidP="009570F9">
            <w:pPr>
              <w:pStyle w:val="Normal-pool"/>
              <w:rPr>
                <w:lang w:val="es-ES_tradnl"/>
              </w:rPr>
            </w:pPr>
          </w:p>
        </w:tc>
        <w:tc>
          <w:tcPr>
            <w:tcW w:w="1642" w:type="pct"/>
            <w:noWrap/>
            <w:vAlign w:val="bottom"/>
          </w:tcPr>
          <w:p w14:paraId="7621EC6B" w14:textId="2A54BD18" w:rsidR="00A84A5B" w:rsidRPr="00A84A5B" w:rsidRDefault="00A84A5B" w:rsidP="009570F9">
            <w:pPr>
              <w:pStyle w:val="ASymbol"/>
              <w:rPr>
                <w:lang w:val="es-ES_tradnl"/>
              </w:rPr>
            </w:pPr>
            <w:r w:rsidRPr="00A84A5B">
              <w:rPr>
                <w:b/>
                <w:sz w:val="28"/>
                <w:lang w:val="es-ES_tradnl"/>
              </w:rPr>
              <w:t>UNEP</w:t>
            </w:r>
            <w:r w:rsidRPr="00A84A5B">
              <w:rPr>
                <w:lang w:val="es-ES_tradnl"/>
              </w:rPr>
              <w:t>/</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/75/6</w:t>
            </w:r>
          </w:p>
        </w:tc>
      </w:tr>
    </w:tbl>
    <w:p w14:paraId="230424C2" w14:textId="77777777" w:rsidR="00A84A5B" w:rsidRPr="00A84A5B" w:rsidRDefault="00A84A5B" w:rsidP="00A84A5B">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A84A5B" w:rsidRPr="00A84A5B" w14:paraId="46078FA0" w14:textId="77777777" w:rsidTr="009570F9">
        <w:trPr>
          <w:trHeight w:val="2098"/>
        </w:trPr>
        <w:tc>
          <w:tcPr>
            <w:tcW w:w="5386" w:type="dxa"/>
          </w:tcPr>
          <w:p w14:paraId="7102F18D" w14:textId="77777777" w:rsidR="00A84A5B" w:rsidRPr="00A84A5B" w:rsidRDefault="00A84A5B" w:rsidP="009570F9">
            <w:pPr>
              <w:pStyle w:val="AConvName"/>
              <w:rPr>
                <w:lang w:val="es-ES_tradnl"/>
              </w:rPr>
            </w:pPr>
            <w:r w:rsidRPr="00A84A5B">
              <w:rPr>
                <w:lang w:val="es-ES_tradnl"/>
              </w:rPr>
              <w:t xml:space="preserve">Protocolo de Montreal relativo </w:t>
            </w:r>
            <w:r w:rsidRPr="00A84A5B">
              <w:rPr>
                <w:lang w:val="es-ES_tradnl"/>
              </w:rPr>
              <w:br/>
              <w:t xml:space="preserve">a las Sustancias que Agotan </w:t>
            </w:r>
            <w:r w:rsidRPr="00A84A5B">
              <w:rPr>
                <w:lang w:val="es-ES_tradnl"/>
              </w:rPr>
              <w:br/>
              <w:t>la Capa de Ozono</w:t>
            </w:r>
          </w:p>
        </w:tc>
        <w:tc>
          <w:tcPr>
            <w:tcW w:w="992" w:type="dxa"/>
          </w:tcPr>
          <w:p w14:paraId="18F9AE94" w14:textId="77777777" w:rsidR="00A84A5B" w:rsidRPr="00A84A5B" w:rsidRDefault="00A84A5B" w:rsidP="009570F9">
            <w:pPr>
              <w:pStyle w:val="Normal-pool"/>
              <w:rPr>
                <w:lang w:val="es-ES_tradnl"/>
              </w:rPr>
            </w:pPr>
          </w:p>
        </w:tc>
        <w:tc>
          <w:tcPr>
            <w:tcW w:w="3118" w:type="dxa"/>
          </w:tcPr>
          <w:p w14:paraId="2A9EC1E9" w14:textId="77777777" w:rsidR="00A84A5B" w:rsidRPr="00A84A5B" w:rsidRDefault="00A84A5B" w:rsidP="00A84A5B">
            <w:pPr>
              <w:pStyle w:val="AText"/>
              <w:rPr>
                <w:lang w:val="es-ES_tradnl"/>
              </w:rPr>
            </w:pPr>
            <w:proofErr w:type="spellStart"/>
            <w:r w:rsidRPr="00A84A5B">
              <w:rPr>
                <w:color w:val="000000"/>
                <w:lang w:val="es-ES_tradnl"/>
              </w:rPr>
              <w:t>Distr</w:t>
            </w:r>
            <w:proofErr w:type="spellEnd"/>
            <w:r w:rsidRPr="00A84A5B">
              <w:rPr>
                <w:color w:val="000000"/>
                <w:lang w:val="es-ES_tradnl"/>
              </w:rPr>
              <w:t>. general</w:t>
            </w:r>
          </w:p>
          <w:p w14:paraId="2781DC04" w14:textId="77777777" w:rsidR="00A84A5B" w:rsidRPr="00A84A5B" w:rsidRDefault="00A84A5B" w:rsidP="00A84A5B">
            <w:pPr>
              <w:pStyle w:val="AText0"/>
              <w:rPr>
                <w:lang w:val="es-ES_tradnl"/>
              </w:rPr>
            </w:pPr>
            <w:r w:rsidRPr="00A84A5B">
              <w:rPr>
                <w:color w:val="000000"/>
                <w:lang w:val="es-ES_tradnl"/>
              </w:rPr>
              <w:t>12 de noviembre de 2025</w:t>
            </w:r>
          </w:p>
          <w:p w14:paraId="3808D607" w14:textId="5AC00609" w:rsidR="00A84A5B" w:rsidRPr="00A84A5B" w:rsidRDefault="00A84A5B" w:rsidP="00A84A5B">
            <w:pPr>
              <w:pStyle w:val="AText"/>
              <w:rPr>
                <w:color w:val="000000"/>
                <w:lang w:val="es-ES_tradnl"/>
              </w:rPr>
            </w:pPr>
            <w:r w:rsidRPr="00A84A5B">
              <w:rPr>
                <w:color w:val="000000"/>
                <w:lang w:val="es-ES_tradnl"/>
              </w:rPr>
              <w:t>Español</w:t>
            </w:r>
            <w:r w:rsidRPr="00A84A5B">
              <w:rPr>
                <w:color w:val="000000"/>
                <w:lang w:val="es-ES_tradnl"/>
              </w:rPr>
              <w:br/>
              <w:t xml:space="preserve">Original: inglés </w:t>
            </w:r>
          </w:p>
        </w:tc>
      </w:tr>
    </w:tbl>
    <w:p w14:paraId="2B1DD919" w14:textId="77777777" w:rsidR="00A84A5B" w:rsidRPr="00A84A5B" w:rsidRDefault="00A84A5B" w:rsidP="00A84A5B">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4961"/>
        <w:gridCol w:w="4535"/>
      </w:tblGrid>
      <w:tr w:rsidR="00A84A5B" w:rsidRPr="008353E4" w14:paraId="13193010" w14:textId="77777777" w:rsidTr="009570F9">
        <w:trPr>
          <w:trHeight w:val="57"/>
        </w:trPr>
        <w:tc>
          <w:tcPr>
            <w:tcW w:w="4961" w:type="dxa"/>
          </w:tcPr>
          <w:p w14:paraId="331E641B" w14:textId="77777777" w:rsidR="00A84A5B" w:rsidRPr="00A84A5B" w:rsidRDefault="00A84A5B" w:rsidP="009570F9">
            <w:pPr>
              <w:pStyle w:val="AATitle"/>
              <w:rPr>
                <w:lang w:val="es-ES_tradnl"/>
              </w:rPr>
            </w:pPr>
            <w:r w:rsidRPr="00A84A5B">
              <w:rPr>
                <w:lang w:val="es-ES_tradnl"/>
              </w:rPr>
              <w:t xml:space="preserve">Comité de Aplicación establecido con arreglo </w:t>
            </w:r>
            <w:r w:rsidRPr="00A84A5B">
              <w:rPr>
                <w:lang w:val="es-ES_tradnl"/>
              </w:rPr>
              <w:br/>
              <w:t xml:space="preserve">al Procedimiento relativo al Incumplimiento </w:t>
            </w:r>
            <w:r w:rsidRPr="00A84A5B">
              <w:rPr>
                <w:lang w:val="es-ES_tradnl"/>
              </w:rPr>
              <w:br/>
              <w:t xml:space="preserve">del Protocolo de Montreal </w:t>
            </w:r>
          </w:p>
          <w:p w14:paraId="2FF33959" w14:textId="77777777" w:rsidR="00A84A5B" w:rsidRPr="00A84A5B" w:rsidRDefault="00A84A5B" w:rsidP="009570F9">
            <w:pPr>
              <w:pStyle w:val="AATitle"/>
              <w:rPr>
                <w:lang w:val="es-ES_tradnl"/>
              </w:rPr>
            </w:pPr>
            <w:r w:rsidRPr="00A84A5B">
              <w:rPr>
                <w:lang w:val="es-ES_tradnl"/>
              </w:rPr>
              <w:t xml:space="preserve">75ª reunión </w:t>
            </w:r>
          </w:p>
          <w:p w14:paraId="0997CB09" w14:textId="597E6BF8" w:rsidR="00A84A5B" w:rsidRPr="00A84A5B" w:rsidRDefault="00A84A5B" w:rsidP="00A84A5B">
            <w:pPr>
              <w:pStyle w:val="AATitle1"/>
              <w:rPr>
                <w:lang w:val="es-ES_tradnl"/>
              </w:rPr>
            </w:pPr>
            <w:r w:rsidRPr="00A84A5B">
              <w:rPr>
                <w:lang w:val="es-ES_tradnl"/>
              </w:rPr>
              <w:t xml:space="preserve">Nairobi, 31 de octubre y 1 de noviembre de 2025 </w:t>
            </w:r>
          </w:p>
        </w:tc>
        <w:tc>
          <w:tcPr>
            <w:tcW w:w="4535" w:type="dxa"/>
          </w:tcPr>
          <w:p w14:paraId="1F54CBBF" w14:textId="77777777" w:rsidR="00A84A5B" w:rsidRPr="00A84A5B" w:rsidRDefault="00A84A5B" w:rsidP="009570F9">
            <w:pPr>
              <w:pStyle w:val="Normal-pool"/>
              <w:rPr>
                <w:lang w:val="es-ES_tradnl"/>
              </w:rPr>
            </w:pPr>
          </w:p>
        </w:tc>
      </w:tr>
    </w:tbl>
    <w:p w14:paraId="42C93D4D" w14:textId="1B651828" w:rsidR="00525CD6" w:rsidRPr="00A84A5B" w:rsidRDefault="0089601D" w:rsidP="00DA64D2">
      <w:pPr>
        <w:pStyle w:val="BBTitle"/>
        <w:rPr>
          <w:lang w:val="es-ES_tradnl"/>
        </w:rPr>
      </w:pPr>
      <w:r w:rsidRPr="00A84A5B">
        <w:rPr>
          <w:bCs/>
          <w:lang w:val="es-ES_tradnl"/>
        </w:rPr>
        <w:t>Informe del Comité de Aplicación establecido con arreglo al Procedimiento relativo al Incumplimiento del Protocolo de Montreal sobre la labor realizada en su 75ª reunión</w:t>
      </w:r>
    </w:p>
    <w:p w14:paraId="530A824F" w14:textId="3F7C2842" w:rsidR="00525CD6" w:rsidRPr="00A84A5B" w:rsidRDefault="00A84A5B" w:rsidP="00A84A5B">
      <w:pPr>
        <w:pStyle w:val="CH1"/>
        <w:rPr>
          <w:lang w:val="es-ES_tradnl"/>
        </w:rPr>
      </w:pPr>
      <w:r w:rsidRPr="008353E4">
        <w:rPr>
          <w:lang w:val="fr-FR"/>
        </w:rPr>
        <w:tab/>
      </w:r>
      <w:r w:rsidRPr="00852ABF">
        <w:t>I.</w:t>
      </w:r>
      <w:r w:rsidRPr="00852ABF">
        <w:tab/>
      </w:r>
      <w:r w:rsidR="00DA64D2" w:rsidRPr="00A84A5B">
        <w:rPr>
          <w:bCs/>
          <w:lang w:val="es-ES_tradnl"/>
        </w:rPr>
        <w:t>Apertura de la reunión</w:t>
      </w:r>
    </w:p>
    <w:p w14:paraId="0DBE61F7" w14:textId="15217B6B" w:rsidR="00662EFE" w:rsidRPr="00A84A5B" w:rsidRDefault="00662EFE" w:rsidP="00662EF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75ª reunión del Comité de Aplicación establecido con arreglo al Procedimiento relativo al</w:t>
      </w:r>
      <w:r w:rsidR="00D12B17">
        <w:rPr>
          <w:lang w:val="es-ES_tradnl"/>
        </w:rPr>
        <w:t> </w:t>
      </w:r>
      <w:r w:rsidRPr="00A84A5B">
        <w:rPr>
          <w:lang w:val="es-ES_tradnl"/>
        </w:rPr>
        <w:t>Incumplimiento del Protocolo de Montreal relativo a las Sustancias que Agotan la Capa de Ozono se celebró en la sede del Programa de las Naciones Unidas para el Medio Ambiente (PNUMA), en Nairobi, el 31 de octubre y el 1 de noviembre de 2025.</w:t>
      </w:r>
    </w:p>
    <w:p w14:paraId="5BC0F195" w14:textId="0630E53E" w:rsidR="00662EFE" w:rsidRPr="00A84A5B" w:rsidRDefault="00662EFE" w:rsidP="00662EF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Presidente del Comité, Martijn Hildebrand (Reino de los Países Bajos), inauguró la reunión</w:t>
      </w:r>
      <w:r w:rsidR="00A84A5B">
        <w:rPr>
          <w:lang w:val="es-ES_tradnl"/>
        </w:rPr>
        <w:t> </w:t>
      </w:r>
      <w:r w:rsidRPr="00A84A5B">
        <w:rPr>
          <w:lang w:val="es-ES_tradnl"/>
        </w:rPr>
        <w:t>a las 10.00 horas del viernes 31 de octubre de 2025.</w:t>
      </w:r>
    </w:p>
    <w:p w14:paraId="35D23F8C" w14:textId="3F39F58A" w:rsidR="005948FD" w:rsidRPr="00A84A5B" w:rsidRDefault="00662EFE" w:rsidP="00662EF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Megumi Seki, Secretaria Ejecutiva de la Secretaría del Ozono, dio la bienvenida a los miembros del Comité y los representantes de la Secretaría del Fondo Multilateral para la Aplicación del Protocolo de Montreal y sus organismos de ejecución. La oradora repasó brevemente los temas que</w:t>
      </w:r>
      <w:r w:rsidR="00A84A5B">
        <w:rPr>
          <w:lang w:val="es-ES_tradnl"/>
        </w:rPr>
        <w:t> </w:t>
      </w:r>
      <w:r w:rsidRPr="00A84A5B">
        <w:rPr>
          <w:lang w:val="es-ES_tradnl"/>
        </w:rPr>
        <w:t>el Comité examinaría durante la reunión e hizo notar que el elevado número de temas a examinar había llevado a programar una reunión de dos días por segunda vez. Tras hacer notar que, como de costumbre, el Comité tendría que acordar las recomendaciones y los proyectos de decisión que se remitirían a la 37ª Reunión de las Partes, que se celebraría la semana siguiente, la oradora recordó que</w:t>
      </w:r>
      <w:r w:rsidR="00D12B17">
        <w:rPr>
          <w:lang w:val="es-ES_tradnl"/>
        </w:rPr>
        <w:t> </w:t>
      </w:r>
      <w:r w:rsidRPr="00A84A5B">
        <w:rPr>
          <w:lang w:val="es-ES_tradnl"/>
        </w:rPr>
        <w:t>la recopilación de proyectos de decisión que remitiría el Comité incluiría el proyecto de decisión sobre</w:t>
      </w:r>
      <w:r w:rsidR="00D12B17">
        <w:rPr>
          <w:lang w:val="es-ES_tradnl"/>
        </w:rPr>
        <w:t> </w:t>
      </w:r>
      <w:r w:rsidRPr="00A84A5B">
        <w:rPr>
          <w:lang w:val="es-ES_tradnl"/>
        </w:rPr>
        <w:t>la modificación de los datos de referencia de los hidrofluorocarbonos (HFC) ya acordado por el</w:t>
      </w:r>
      <w:r w:rsidR="00D12B17">
        <w:rPr>
          <w:lang w:val="es-ES_tradnl"/>
        </w:rPr>
        <w:t> </w:t>
      </w:r>
      <w:r w:rsidRPr="00A84A5B">
        <w:rPr>
          <w:lang w:val="es-ES_tradnl"/>
        </w:rPr>
        <w:t xml:space="preserve">Comité en su 74ª reunión. El Comité examinaría varios casos, incluidos algunos que ya se habían considerado en la 74ª reunión. Casos relacionados con el estado de cumplimiento de tres planes de acción para retornar a una situación de cumplimiento; solicitudes de </w:t>
      </w:r>
      <w:r w:rsidR="002E0E27" w:rsidRPr="00A84A5B">
        <w:rPr>
          <w:lang w:val="es-ES_tradnl"/>
        </w:rPr>
        <w:t>6</w:t>
      </w:r>
      <w:r w:rsidRPr="00A84A5B">
        <w:rPr>
          <w:lang w:val="es-ES_tradnl"/>
        </w:rPr>
        <w:t xml:space="preserve"> Partes para modificar sus datos de referencia de los HFC y, en </w:t>
      </w:r>
      <w:r w:rsidR="00CA20B2" w:rsidRPr="00A84A5B">
        <w:rPr>
          <w:lang w:val="es-ES_tradnl"/>
        </w:rPr>
        <w:t>2</w:t>
      </w:r>
      <w:r w:rsidRPr="00A84A5B">
        <w:rPr>
          <w:lang w:val="es-ES_tradnl"/>
        </w:rPr>
        <w:t xml:space="preserve"> de esos casos, también de los hidroclorofluorocarbonos (HCFC); 5 casos de posible incumplimiento, entre ellos </w:t>
      </w:r>
      <w:r w:rsidR="002E0E27" w:rsidRPr="00A84A5B">
        <w:rPr>
          <w:lang w:val="es-ES_tradnl"/>
        </w:rPr>
        <w:t>1</w:t>
      </w:r>
      <w:r w:rsidRPr="00A84A5B">
        <w:rPr>
          <w:lang w:val="es-ES_tradnl"/>
        </w:rPr>
        <w:t xml:space="preserve"> Parte que ya había presentado un plan de acción para volver a la situación de cumplimiento y otra que había indicado claramente que presentaría dicho plan de acción antes de la 76ª reunión del Comité; y 4 casos de Partes que no habían informado sobre el establecimiento y funcionamiento de sistemas de concesión de licencias para los HFC, incluidos 2 a largo plazo. </w:t>
      </w:r>
    </w:p>
    <w:p w14:paraId="1400CB75" w14:textId="5CA56869" w:rsidR="00662EFE" w:rsidRPr="00A84A5B" w:rsidRDefault="00662EFE" w:rsidP="00662EF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Además, el Comité continuaría su debate, iniciado en la 74ª reunión, sobre cuestiones sistémicas relacionadas con el cumplimiento. Se esperaba que el Presidente hiciese una breve presentación al comienzo de la reunión oficiosa de las Partes sobre el fortalecimiento del Protocolo de</w:t>
      </w:r>
      <w:r w:rsidR="00A84A5B">
        <w:rPr>
          <w:lang w:val="es-ES_tradnl"/>
        </w:rPr>
        <w:t> </w:t>
      </w:r>
      <w:r w:rsidRPr="00A84A5B">
        <w:rPr>
          <w:lang w:val="es-ES_tradnl"/>
        </w:rPr>
        <w:t>Montreal, que se celebraría el 2 de noviembre de 2025, entre otras cosas sobre las cuestiones clave</w:t>
      </w:r>
      <w:r w:rsidR="00A84A5B">
        <w:rPr>
          <w:lang w:val="es-ES_tradnl"/>
        </w:rPr>
        <w:t> </w:t>
      </w:r>
      <w:r w:rsidRPr="00A84A5B">
        <w:rPr>
          <w:lang w:val="es-ES_tradnl"/>
        </w:rPr>
        <w:t xml:space="preserve">derivadas del debate del Comité. La Secretaría había logrado examinar, analizar e incluir en los documentos anteriores a la reunión toda la información recibida de las Partes pertinentes, salvo en un caso. Ese caso se refería a Malí, y la información se había enviado a los miembros del Comité por correo electrónico tras la finalización de los documentos anteriores a la reunión. Se había dado a la Parte hasta el 29 de octubre de 2025 para que proporcionase una aclaración y, al no haberlo hecho, de </w:t>
      </w:r>
      <w:r w:rsidRPr="00A84A5B">
        <w:rPr>
          <w:lang w:val="es-ES_tradnl"/>
        </w:rPr>
        <w:lastRenderedPageBreak/>
        <w:t xml:space="preserve">conformidad con el procedimiento de incumplimiento, la Secretaría había informado al Comité sobre el caso. Para concluir, la oradora aseguró a los miembros que la Secretaría estaba, como siempre, a disposición del Comité para asistirle en su labor, y que la Secretaría del Fondo Multilateral y los organismos de ejecución proporcionarían cualquier información adicional que se solicitase. </w:t>
      </w:r>
    </w:p>
    <w:p w14:paraId="59A07729" w14:textId="2608E1D7" w:rsidR="00513974" w:rsidRPr="00A84A5B" w:rsidRDefault="00A84A5B" w:rsidP="007F7B08">
      <w:pPr>
        <w:pStyle w:val="CH1"/>
        <w:rPr>
          <w:lang w:val="es-ES_tradnl"/>
        </w:rPr>
      </w:pPr>
      <w:r>
        <w:rPr>
          <w:bCs/>
          <w:lang w:val="es-ES_tradnl"/>
        </w:rPr>
        <w:tab/>
      </w:r>
      <w:r w:rsidR="007F7B08" w:rsidRPr="00A84A5B">
        <w:rPr>
          <w:bCs/>
          <w:lang w:val="es-ES_tradnl"/>
        </w:rPr>
        <w:t>II.</w:t>
      </w:r>
      <w:r w:rsidR="007F7B08" w:rsidRPr="00A84A5B">
        <w:rPr>
          <w:lang w:val="es-ES_tradnl"/>
        </w:rPr>
        <w:tab/>
      </w:r>
      <w:r w:rsidR="007F7B08" w:rsidRPr="00A84A5B">
        <w:rPr>
          <w:bCs/>
          <w:lang w:val="es-ES_tradnl"/>
        </w:rPr>
        <w:t>Aprobación del programa y organización de los trabajos</w:t>
      </w:r>
    </w:p>
    <w:p w14:paraId="256CB6B8" w14:textId="32BBD3C5" w:rsidR="009D264F" w:rsidRPr="00A84A5B" w:rsidRDefault="00A84A5B" w:rsidP="00A84A5B">
      <w:pPr>
        <w:pStyle w:val="CH2"/>
        <w:rPr>
          <w:lang w:val="es-ES_tradnl"/>
        </w:rPr>
      </w:pPr>
      <w:r w:rsidRPr="008353E4">
        <w:rPr>
          <w:lang w:val="fr-FR"/>
        </w:rPr>
        <w:tab/>
      </w:r>
      <w:r w:rsidRPr="00852ABF">
        <w:t>A.</w:t>
      </w:r>
      <w:r w:rsidRPr="00852ABF">
        <w:tab/>
      </w:r>
      <w:r w:rsidR="007F7B08" w:rsidRPr="00A84A5B">
        <w:rPr>
          <w:bCs/>
          <w:lang w:val="es-ES_tradnl"/>
        </w:rPr>
        <w:t>Asistencia</w:t>
      </w:r>
    </w:p>
    <w:p w14:paraId="5024A8BE" w14:textId="2E6DA1BB" w:rsidR="005D43C0" w:rsidRPr="00A84A5B" w:rsidRDefault="00190E02" w:rsidP="00F6002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Asistieron a la reunión representantes de los siguientes miembros del Comité: Arabia Saudita, Benin, Chequia, Chile, Estados Unidos de América, Irán (República Islámica del), Kenya, Montenegro, Países Bajos (Reino de los) y República Dominicana. </w:t>
      </w:r>
    </w:p>
    <w:p w14:paraId="0377BEB6" w14:textId="5D0AC182" w:rsidR="00190E02" w:rsidRPr="00A84A5B" w:rsidRDefault="00190E02" w:rsidP="00F6002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También asistieron a la reunión representantes de la Secretaría del Fondo Multilateral y de los</w:t>
      </w:r>
      <w:r w:rsidR="00A84A5B">
        <w:rPr>
          <w:lang w:val="es-ES_tradnl"/>
        </w:rPr>
        <w:t> </w:t>
      </w:r>
      <w:r w:rsidRPr="00A84A5B">
        <w:rPr>
          <w:lang w:val="es-ES_tradnl"/>
        </w:rPr>
        <w:t>organismos de ejecución del Fondo: el Programa de las Naciones Unidas para el Desarrollo, el PNUMA, la Organización de las Naciones Unidas para el Desarrollo Industrial y el Banco Mundial.</w:t>
      </w:r>
    </w:p>
    <w:p w14:paraId="0C7E87B3" w14:textId="49C37201" w:rsidR="000642B9" w:rsidRPr="00A84A5B" w:rsidRDefault="000642B9" w:rsidP="00F6002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el anexo II del presente informe figura la lista de los participantes.</w:t>
      </w:r>
    </w:p>
    <w:p w14:paraId="32B21480" w14:textId="30FA8B3E" w:rsidR="00616D52" w:rsidRPr="00A84A5B" w:rsidRDefault="00A84A5B" w:rsidP="00A84A5B">
      <w:pPr>
        <w:pStyle w:val="CH2"/>
        <w:rPr>
          <w:lang w:val="es-ES_tradnl"/>
        </w:rPr>
      </w:pPr>
      <w:r w:rsidRPr="008353E4">
        <w:rPr>
          <w:lang w:val="fr-FR"/>
        </w:rPr>
        <w:tab/>
        <w:t>B.</w:t>
      </w:r>
      <w:r w:rsidRPr="008353E4">
        <w:rPr>
          <w:lang w:val="fr-FR"/>
        </w:rPr>
        <w:tab/>
      </w:r>
      <w:r w:rsidR="007F7B08" w:rsidRPr="00A84A5B">
        <w:rPr>
          <w:bCs/>
          <w:lang w:val="es-ES_tradnl"/>
        </w:rPr>
        <w:t>Aprobación del programa y organización de los trabajos</w:t>
      </w:r>
    </w:p>
    <w:p w14:paraId="157977E1" w14:textId="4FB4E8EF" w:rsidR="000976B4" w:rsidRPr="00A84A5B" w:rsidRDefault="000976B4" w:rsidP="00F6002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Comité aprobó el siguiente programa a partir del programa provisional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/75/R.1):</w:t>
      </w:r>
    </w:p>
    <w:p w14:paraId="6FF8B2C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1.</w:t>
      </w:r>
      <w:r w:rsidRPr="00A84A5B">
        <w:rPr>
          <w:lang w:val="es-ES_tradnl"/>
        </w:rPr>
        <w:tab/>
        <w:t>Apertura de la reunión.</w:t>
      </w:r>
    </w:p>
    <w:p w14:paraId="32F047E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2.</w:t>
      </w:r>
      <w:r w:rsidRPr="00A84A5B">
        <w:rPr>
          <w:lang w:val="es-ES_tradnl"/>
        </w:rPr>
        <w:tab/>
        <w:t>Aprobación del programa y organización de los trabajos.</w:t>
      </w:r>
    </w:p>
    <w:p w14:paraId="470426B0"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3.</w:t>
      </w:r>
      <w:r w:rsidRPr="00A84A5B">
        <w:rPr>
          <w:lang w:val="es-ES_tradnl"/>
        </w:rPr>
        <w:tab/>
        <w:t>Presentación de la Secretaría del Ozono sobre los datos y la información proporcionados con arreglo a los artículos 7 y 9 del Protocolo de Montreal, y sobre cuestiones conexas.</w:t>
      </w:r>
    </w:p>
    <w:p w14:paraId="054D14BE"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4.</w:t>
      </w:r>
      <w:r w:rsidRPr="00A84A5B">
        <w:rPr>
          <w:lang w:val="es-ES_tradnl"/>
        </w:rPr>
        <w:tab/>
        <w:t xml:space="preserve">Presentación de la Secretaría del Fondo Multilateral para la Aplicación del Protocolo de Montreal acerca de las decisiones pertinentes del Comité Ejecutivo del Fondo y las actividades realizadas por los organismos de ejecución para facilitar el cumplimiento por las Partes. </w:t>
      </w:r>
    </w:p>
    <w:p w14:paraId="79217897"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5.</w:t>
      </w:r>
      <w:r w:rsidRPr="00A84A5B">
        <w:rPr>
          <w:lang w:val="es-ES_tradnl"/>
        </w:rPr>
        <w:tab/>
        <w:t xml:space="preserve">Seguimiento de la aplicación de decisiones anteriores de las Partes y de las recomendaciones del Comité de Aplicación relativas al incumplimiento: </w:t>
      </w:r>
    </w:p>
    <w:p w14:paraId="141C2235" w14:textId="4C373E1D"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a)</w:t>
      </w:r>
      <w:r w:rsidRPr="00A84A5B">
        <w:rPr>
          <w:lang w:val="es-ES_tradnl"/>
        </w:rPr>
        <w:tab/>
        <w:t>Obligaciones de presentación de datos con arreglo al artículo 7 (decisión</w:t>
      </w:r>
      <w:r w:rsidR="00A84A5B">
        <w:rPr>
          <w:lang w:val="es-ES_tradnl"/>
        </w:rPr>
        <w:t> </w:t>
      </w:r>
      <w:r w:rsidRPr="00A84A5B">
        <w:rPr>
          <w:lang w:val="es-ES_tradnl"/>
        </w:rPr>
        <w:t>XXXVI/13): Côte d'Ivoire (recomendación 74/1);</w:t>
      </w:r>
    </w:p>
    <w:p w14:paraId="16590D91"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b)</w:t>
      </w:r>
      <w:r w:rsidRPr="00A84A5B">
        <w:rPr>
          <w:lang w:val="es-ES_tradnl"/>
        </w:rPr>
        <w:tab/>
        <w:t>Planes de acción existentes para retornar a una situación de cumplimiento:</w:t>
      </w:r>
    </w:p>
    <w:p w14:paraId="716A43FF"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3119"/>
        <w:rPr>
          <w:lang w:val="es-ES_tradnl"/>
        </w:rPr>
      </w:pPr>
      <w:r w:rsidRPr="00A84A5B">
        <w:rPr>
          <w:lang w:val="es-ES_tradnl"/>
        </w:rPr>
        <w:t>i)</w:t>
      </w:r>
      <w:r w:rsidRPr="00A84A5B">
        <w:rPr>
          <w:lang w:val="es-ES_tradnl"/>
        </w:rPr>
        <w:tab/>
        <w:t>República Popular Democrática de Corea (recomendación 74/2);</w:t>
      </w:r>
    </w:p>
    <w:p w14:paraId="14BF830D"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3119"/>
        <w:rPr>
          <w:lang w:val="es-ES_tradnl"/>
        </w:rPr>
      </w:pPr>
      <w:proofErr w:type="spellStart"/>
      <w:r w:rsidRPr="00A84A5B">
        <w:rPr>
          <w:lang w:val="es-ES_tradnl"/>
        </w:rPr>
        <w:t>ii</w:t>
      </w:r>
      <w:proofErr w:type="spellEnd"/>
      <w:r w:rsidRPr="00A84A5B">
        <w:rPr>
          <w:lang w:val="es-ES_tradnl"/>
        </w:rPr>
        <w:t>)</w:t>
      </w:r>
      <w:r w:rsidRPr="00A84A5B">
        <w:rPr>
          <w:lang w:val="es-ES_tradnl"/>
        </w:rPr>
        <w:tab/>
        <w:t>Kazajstán (recomendación 74/3);</w:t>
      </w:r>
    </w:p>
    <w:p w14:paraId="1213557A"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3119"/>
        <w:rPr>
          <w:lang w:val="es-ES_tradnl"/>
        </w:rPr>
      </w:pPr>
      <w:proofErr w:type="spellStart"/>
      <w:r w:rsidRPr="00A84A5B">
        <w:rPr>
          <w:lang w:val="es-ES_tradnl"/>
        </w:rPr>
        <w:t>iii</w:t>
      </w:r>
      <w:proofErr w:type="spellEnd"/>
      <w:r w:rsidRPr="00A84A5B">
        <w:rPr>
          <w:lang w:val="es-ES_tradnl"/>
        </w:rPr>
        <w:t>)</w:t>
      </w:r>
      <w:r w:rsidRPr="00A84A5B">
        <w:rPr>
          <w:lang w:val="es-ES_tradnl"/>
        </w:rPr>
        <w:tab/>
        <w:t>Libia (recomendación 74/4).</w:t>
      </w:r>
    </w:p>
    <w:p w14:paraId="0AC2F54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6.</w:t>
      </w:r>
      <w:r w:rsidRPr="00A84A5B">
        <w:rPr>
          <w:lang w:val="es-ES_tradnl"/>
        </w:rPr>
        <w:tab/>
        <w:t>Examen de otras cuestiones relativas a posibles incumplimientos inferidas de la presentación de datos.</w:t>
      </w:r>
    </w:p>
    <w:p w14:paraId="7449457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7.</w:t>
      </w:r>
      <w:r w:rsidRPr="00A84A5B">
        <w:rPr>
          <w:lang w:val="es-ES_tradnl"/>
        </w:rPr>
        <w:tab/>
        <w:t>Solicitudes de modificación de los datos de referencia (decisiones XIII/15 y XV/19):</w:t>
      </w:r>
    </w:p>
    <w:p w14:paraId="39FBC74B"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a)</w:t>
      </w:r>
      <w:r w:rsidRPr="00A84A5B">
        <w:rPr>
          <w:lang w:val="es-ES_tradnl"/>
        </w:rPr>
        <w:tab/>
        <w:t>Armenia (recomendación 74/11);</w:t>
      </w:r>
    </w:p>
    <w:p w14:paraId="0B195DE5"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b)</w:t>
      </w:r>
      <w:r w:rsidRPr="00A84A5B">
        <w:rPr>
          <w:lang w:val="es-ES_tradnl"/>
        </w:rPr>
        <w:tab/>
        <w:t>Guinea (recomendación 74/13);</w:t>
      </w:r>
    </w:p>
    <w:p w14:paraId="6733BEE7"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c)</w:t>
      </w:r>
      <w:r w:rsidRPr="00A84A5B">
        <w:rPr>
          <w:lang w:val="es-ES_tradnl"/>
        </w:rPr>
        <w:tab/>
        <w:t>Marruecos;</w:t>
      </w:r>
    </w:p>
    <w:p w14:paraId="472FA445"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d)</w:t>
      </w:r>
      <w:r w:rsidRPr="00A84A5B">
        <w:rPr>
          <w:lang w:val="es-ES_tradnl"/>
        </w:rPr>
        <w:tab/>
        <w:t>Bosnia y Herzegovina;</w:t>
      </w:r>
    </w:p>
    <w:p w14:paraId="09BDCAAE"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e)</w:t>
      </w:r>
      <w:r w:rsidRPr="00A84A5B">
        <w:rPr>
          <w:lang w:val="es-ES_tradnl"/>
        </w:rPr>
        <w:tab/>
        <w:t>Brasil;</w:t>
      </w:r>
    </w:p>
    <w:p w14:paraId="51151FFF" w14:textId="77777777" w:rsidR="000976B4" w:rsidRPr="00A84A5B" w:rsidRDefault="000976B4" w:rsidP="005A6D76">
      <w:pPr>
        <w:pStyle w:val="Normalnumber"/>
        <w:numPr>
          <w:ilvl w:val="0"/>
          <w:numId w:val="0"/>
        </w:numPr>
        <w:tabs>
          <w:tab w:val="clear" w:pos="1247"/>
          <w:tab w:val="clear" w:pos="1814"/>
          <w:tab w:val="clear" w:pos="2381"/>
          <w:tab w:val="clear" w:pos="2948"/>
          <w:tab w:val="clear" w:pos="3515"/>
        </w:tabs>
        <w:ind w:left="2495"/>
        <w:rPr>
          <w:lang w:val="es-ES_tradnl"/>
        </w:rPr>
      </w:pPr>
      <w:r w:rsidRPr="00A84A5B">
        <w:rPr>
          <w:lang w:val="es-ES_tradnl"/>
        </w:rPr>
        <w:t>f)</w:t>
      </w:r>
      <w:r w:rsidRPr="00A84A5B">
        <w:rPr>
          <w:lang w:val="es-ES_tradnl"/>
        </w:rPr>
        <w:tab/>
        <w:t>Somalia.</w:t>
      </w:r>
    </w:p>
    <w:p w14:paraId="3279489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8.</w:t>
      </w:r>
      <w:r w:rsidRPr="00A84A5B">
        <w:rPr>
          <w:lang w:val="es-ES_tradnl"/>
        </w:rPr>
        <w:tab/>
        <w:t>Establecimiento de sistemas de concesión de licencias en virtud del artículo 4B, párrafo 2 bis, del Protocolo de Montreal (decisión XXXVI/15 y recomendación 74/14).</w:t>
      </w:r>
    </w:p>
    <w:p w14:paraId="71E373BE"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9.</w:t>
      </w:r>
      <w:r w:rsidRPr="00A84A5B">
        <w:rPr>
          <w:lang w:val="es-ES_tradnl"/>
        </w:rPr>
        <w:tab/>
        <w:t>Cuestiones sistémicas en relación con el cumplimiento (decisión XXXVI/9).</w:t>
      </w:r>
    </w:p>
    <w:p w14:paraId="3DDC2F84"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10.</w:t>
      </w:r>
      <w:r w:rsidRPr="00A84A5B">
        <w:rPr>
          <w:lang w:val="es-ES_tradnl"/>
        </w:rPr>
        <w:tab/>
        <w:t>Otros asuntos.</w:t>
      </w:r>
    </w:p>
    <w:p w14:paraId="4317BF95"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lastRenderedPageBreak/>
        <w:t>11.</w:t>
      </w:r>
      <w:r w:rsidRPr="00A84A5B">
        <w:rPr>
          <w:lang w:val="es-ES_tradnl"/>
        </w:rPr>
        <w:tab/>
        <w:t>Aprobación de las recomendaciones y el informe de la reunión.</w:t>
      </w:r>
    </w:p>
    <w:p w14:paraId="011D8ECD" w14:textId="77777777" w:rsidR="000976B4" w:rsidRPr="00A84A5B"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A84A5B">
        <w:rPr>
          <w:lang w:val="es-ES_tradnl"/>
        </w:rPr>
        <w:t>12.</w:t>
      </w:r>
      <w:r w:rsidRPr="00A84A5B">
        <w:rPr>
          <w:lang w:val="es-ES_tradnl"/>
        </w:rPr>
        <w:tab/>
        <w:t>Clausura de la reunión.</w:t>
      </w:r>
    </w:p>
    <w:p w14:paraId="65FBEF84" w14:textId="77777777" w:rsidR="000976B4" w:rsidRPr="00A84A5B" w:rsidRDefault="000976B4" w:rsidP="00F6002E">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Comité acordó tratar los temas del programa en orden secuencial y seguir sus procedimientos habituales.</w:t>
      </w:r>
    </w:p>
    <w:p w14:paraId="19166049" w14:textId="631F47B0" w:rsidR="00AB1012" w:rsidRPr="00A84A5B" w:rsidRDefault="00A84A5B" w:rsidP="007F7B08">
      <w:pPr>
        <w:pStyle w:val="CH1"/>
        <w:rPr>
          <w:lang w:val="es-ES_tradnl"/>
        </w:rPr>
      </w:pPr>
      <w:r>
        <w:rPr>
          <w:bCs/>
          <w:lang w:val="es-ES_tradnl"/>
        </w:rPr>
        <w:tab/>
      </w:r>
      <w:r w:rsidR="007F7B08" w:rsidRPr="00A84A5B">
        <w:rPr>
          <w:bCs/>
          <w:lang w:val="es-ES_tradnl"/>
        </w:rPr>
        <w:t>III.</w:t>
      </w:r>
      <w:r w:rsidR="007F7B08" w:rsidRPr="00A84A5B">
        <w:rPr>
          <w:lang w:val="es-ES_tradnl"/>
        </w:rPr>
        <w:tab/>
      </w:r>
      <w:r w:rsidR="007F7B08" w:rsidRPr="00A84A5B">
        <w:rPr>
          <w:bCs/>
          <w:lang w:val="es-ES_tradnl"/>
        </w:rPr>
        <w:t>Presentación de la Secretaría del Ozono sobre los datos y la información proporcionados con arreglo a los artículos 7 y 9 del Protocolo de Montreal y sobre cuestiones conexas</w:t>
      </w:r>
    </w:p>
    <w:p w14:paraId="22F5E322" w14:textId="08C2B51C" w:rsidR="00714434" w:rsidRPr="00A84A5B" w:rsidRDefault="00C02E52"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Un representante de la Secretaría hizo una exposición en la que resumió el informe de la Secretaría sobre los datos proporcionados por las Partes de conformidad con los artículos 7 y 9 del</w:t>
      </w:r>
      <w:r w:rsidR="00A84A5B">
        <w:rPr>
          <w:lang w:val="es-ES_tradnl"/>
        </w:rPr>
        <w:t> </w:t>
      </w:r>
      <w:r w:rsidRPr="00A84A5B">
        <w:rPr>
          <w:lang w:val="es-ES_tradnl"/>
        </w:rPr>
        <w:t>Protocolo de Montreal (UNEP/OzL.Pro.37/6–UNEP/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/75/2) y su adición (UNEP/OzL.Pro.37/6/Add.1–UNEP/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 xml:space="preserve">/75/2/Add.1). El orador explicó que no repetiría la información presentada al Comité en su 74ª reunión, y se limitaría a ofrecer información actualizada y datos nuevos. </w:t>
      </w:r>
      <w:bookmarkStart w:id="0" w:name="_Hlk212803035"/>
      <w:bookmarkEnd w:id="0"/>
    </w:p>
    <w:p w14:paraId="33F31DB5" w14:textId="1C639004" w:rsidR="00EE4160" w:rsidRPr="00A84A5B" w:rsidRDefault="007D2001"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lo referente a la presentación de datos con arreglo al artículo 7, un total de 185 Partes habían presentado sus datos correspondientes a 2024, de las que 135 eran Partes que operan al amparo del párrafo 1 del artículo 5 del Protocolo (Partes que operan al amparo del artículo 5) y 50 eran Partes que no operan de ese modo. De las 185 Partes, 120 habían utilizado el sistema de presentación de datos en línea y 170 habían cumplido el plazo del 30 de septiembre de 2025. Las 13 Partes que aún no</w:t>
      </w:r>
      <w:r w:rsidR="00A84A5B">
        <w:rPr>
          <w:lang w:val="es-ES_tradnl"/>
        </w:rPr>
        <w:t> </w:t>
      </w:r>
      <w:r w:rsidRPr="00A84A5B">
        <w:rPr>
          <w:lang w:val="es-ES_tradnl"/>
        </w:rPr>
        <w:t xml:space="preserve">habían cumplido sus obligaciones de presentar los datos anuales correspondientes a 2024 eran Armenia, Las Bahamas, Burundi, Cabo Verde, las Comoras, Guinea Ecuatorial, Honduras, Islandia, Myanmar, </w:t>
      </w:r>
      <w:r w:rsidR="00A84A5B" w:rsidRPr="00A84A5B">
        <w:rPr>
          <w:lang w:val="es-ES_tradnl"/>
        </w:rPr>
        <w:t>y la República Árabe Siria</w:t>
      </w:r>
      <w:r w:rsidR="00A84A5B">
        <w:rPr>
          <w:lang w:val="es-ES_tradnl"/>
        </w:rPr>
        <w:t xml:space="preserve">, </w:t>
      </w:r>
      <w:r w:rsidRPr="00A84A5B">
        <w:rPr>
          <w:lang w:val="es-ES_tradnl"/>
        </w:rPr>
        <w:t>la República de Moldova, Santo Tomé y Príncipe</w:t>
      </w:r>
      <w:r w:rsidR="00A84A5B">
        <w:rPr>
          <w:lang w:val="es-ES_tradnl"/>
        </w:rPr>
        <w:t xml:space="preserve"> y </w:t>
      </w:r>
      <w:r w:rsidRPr="00A84A5B">
        <w:rPr>
          <w:lang w:val="es-ES_tradnl"/>
        </w:rPr>
        <w:t>Surinam</w:t>
      </w:r>
      <w:r w:rsidR="00A84A5B">
        <w:rPr>
          <w:lang w:val="es-ES_tradnl"/>
        </w:rPr>
        <w:t>e</w:t>
      </w:r>
      <w:r w:rsidRPr="00A84A5B">
        <w:rPr>
          <w:lang w:val="es-ES_tradnl"/>
        </w:rPr>
        <w:t>.</w:t>
      </w:r>
    </w:p>
    <w:p w14:paraId="651FBFDC" w14:textId="5D56A7F6" w:rsidR="00632DB8" w:rsidRPr="00A84A5B" w:rsidRDefault="00781BBD"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Côte d’Ivoire, que se había incluido en la decisión XXXVI/13 como país que no había comunicado sus datos sobre HFC para 2023, había presentado la información desde entonces. Además, Papua Nueva Guinea había presentado sus datos de referencia de los HFC para 2020, 2021 y</w:t>
      </w:r>
      <w:r w:rsidR="00811032">
        <w:rPr>
          <w:lang w:val="es-ES_tradnl"/>
        </w:rPr>
        <w:t> </w:t>
      </w:r>
      <w:r w:rsidRPr="00A84A5B">
        <w:rPr>
          <w:lang w:val="es-ES_tradnl"/>
        </w:rPr>
        <w:t>2022. De las Partes que operan al amparo del artículo 5, 4 Partes del grupo 1 que habían ratificado recientemente la Enmienda de Kigali al Protocolo aún no habían comunicado los datos de HFC correspondientes a sus años de referencia, y 5 Partes del grupo 2 que habían ratificado recientemente la Enmienda de Kigali aún no habían comunicado los datos de HFC correspondientes a 2024, uno de los años de referencia para los HFC.</w:t>
      </w:r>
    </w:p>
    <w:p w14:paraId="4A14583E" w14:textId="18BC12FB" w:rsidR="00C31B25" w:rsidRPr="00A84A5B" w:rsidRDefault="00792318"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Secretaría había determinado un total de 16 Partes con posibles casos de incumplimiento, en los que el consumo o la producción notificados habían superado el límite establecido en el Protocolo y el exceso de consumo o producción no podía atribuirse a usos permitidos. En varios casos, aún se esperaban aclaraciones de las Partes en cuestión. El Comité examinaría más a fondo otros casos en el marco de los temas 6 y 7 del programa.</w:t>
      </w:r>
    </w:p>
    <w:p w14:paraId="47096E64" w14:textId="335371D3" w:rsidR="00BB51FE" w:rsidRPr="00A84A5B" w:rsidRDefault="00612E9F"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Cuatro Partes habían comunicado un exceso de producción de sustancias controladas en 2024, atribuible al almacenamiento, de conformidad con las decisiones XVIII/17 y XXII/20. España, Francia, Israel y la Unión Europea habían informado de que esos casos se referían a producción no intencional de esas sustancias, que se destinaba a la destrucción, salvo en el caso del exceso de producción de bromuro de metilo notificado por Israel, que se destinaba a la exportación para usos como materia prima en años futuros. </w:t>
      </w:r>
    </w:p>
    <w:p w14:paraId="70C58F59" w14:textId="281DE2E9" w:rsidR="00846887" w:rsidRPr="00A84A5B" w:rsidRDefault="00612E9F"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Las cuatro Partes que aún utilizaban sustancias controladas para usos como agentes de procesos, a saber, China, los Estados Unidos de América, Israel y la Unión Europea, habían comunicado los datos requeridos para 2024, junto con información sobre las tecnologías de contención utilizadas. China y la Unión Europea habían notificado además la producción o importación de sustancias destinadas a ser utilizadas como agentes de procesos; la Secretaría se pondría en contacto por escrito con los Estados Unidos de América e Israel para solicitar información sobre sus usos de agentes de procesos.</w:t>
      </w:r>
      <w:bookmarkStart w:id="1" w:name="_Hlk212796971"/>
      <w:bookmarkEnd w:id="1"/>
    </w:p>
    <w:p w14:paraId="576890B8" w14:textId="7FDE83E0" w:rsidR="00386E89" w:rsidRPr="00A84A5B" w:rsidRDefault="00846887"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En cuanto a la cumplimentación de los formularios de presentación de datos, en relación con las decisiones XXIV/14 y XXIX/18, todas las Partes que habían enviado formularios incompletos durante los últimos diez años al presentar los datos con arreglo al artículo 7 habían confirmado con posterioridad que debería haberse colocado un cero en todas las celdas en blanco de esos formularios. </w:t>
      </w:r>
      <w:bookmarkStart w:id="2" w:name="_Hlk180848975"/>
      <w:bookmarkEnd w:id="2"/>
    </w:p>
    <w:p w14:paraId="21FCD041" w14:textId="296DAE66" w:rsidR="00985DB9" w:rsidRPr="00A84A5B" w:rsidRDefault="00985DB9"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último, el orador hizo notar que, en relación con las decisiones XIII/15 y XV/19, la Secretaría había recibido solicitudes de seis Partes para la modificación de sus datos de referencia de</w:t>
      </w:r>
      <w:r w:rsidR="00D12B17">
        <w:rPr>
          <w:lang w:val="es-ES_tradnl"/>
        </w:rPr>
        <w:t> </w:t>
      </w:r>
      <w:r w:rsidRPr="00A84A5B">
        <w:rPr>
          <w:lang w:val="es-ES_tradnl"/>
        </w:rPr>
        <w:t>HFC. El Comité examinaría más a fondo la cuestión en relación con el tema 7 del programa.</w:t>
      </w:r>
    </w:p>
    <w:p w14:paraId="1B9D6DFE" w14:textId="29F6151B" w:rsidR="00E5453A" w:rsidRPr="00A84A5B" w:rsidRDefault="00E5453A"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lastRenderedPageBreak/>
        <w:t>En respuesta a las preguntas de los miembros del Comité, el orador aclaró que Papua Nueva Guinea había comunicado sus datos de referencia correspondientes a los dos años que faltaban, los Emiratos Árabes Unidos habían comunicado sus datos sobre HFC correspondientes a 2024 y Rumanía</w:t>
      </w:r>
      <w:r w:rsidR="00811032">
        <w:rPr>
          <w:lang w:val="es-ES_tradnl"/>
        </w:rPr>
        <w:t> </w:t>
      </w:r>
      <w:r w:rsidRPr="00A84A5B">
        <w:rPr>
          <w:lang w:val="es-ES_tradnl"/>
        </w:rPr>
        <w:t>había comunicado sus datos tras la finalización del documento UNEP/OzL.Pro.37/6/Add.1–UNEP/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/75/2/Add.1. El orador respondería de forma bilateral a una pregunta sobre el volumen de consumo que representan las 13 Partes que aún no han comunicado los datos correspondientes a 2024 y explicó que Tayikistán aparecía dos veces en la lista de países cuyos datos</w:t>
      </w:r>
      <w:r w:rsidR="00811032">
        <w:rPr>
          <w:lang w:val="es-ES_tradnl"/>
        </w:rPr>
        <w:t> </w:t>
      </w:r>
      <w:r w:rsidRPr="00A84A5B">
        <w:rPr>
          <w:lang w:val="es-ES_tradnl"/>
        </w:rPr>
        <w:t>indicaban un posible incumplimiento porque una línea se refería a los datos de 2023, sobre los cuales</w:t>
      </w:r>
      <w:r w:rsidR="00811032">
        <w:rPr>
          <w:lang w:val="es-ES_tradnl"/>
        </w:rPr>
        <w:t> </w:t>
      </w:r>
      <w:r w:rsidRPr="00A84A5B">
        <w:rPr>
          <w:lang w:val="es-ES_tradnl"/>
        </w:rPr>
        <w:t>la Parte ya había proporcionado aclaraciones, y la otra a los datos de 2024, sobre los que no lo había hecho.</w:t>
      </w:r>
    </w:p>
    <w:p w14:paraId="554E0E1B" w14:textId="65DEB09C" w:rsidR="00CA3B9D" w:rsidRPr="00A84A5B" w:rsidRDefault="00903F73"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Tras presentar una propuesta de proyecto de recomendación y decisión sobre la presentación de datos e información, el orador explicó que incorporaba ligeras modificaciones con respecto del texto utilizado en años anteriores. En años anteriores el Comité había remitido el proyecto de decisión con corchetes alrededor del número de Partes que habían comunicado datos, lo cual había permitido actualizar el número si las Partes habían presentado datos durante la reunión. Sin embargo, los asesores jurídicos, tanto de la Secretaría como de varias Partes, habían sugerido que ese enfoque no era deseable, ya que daba a entender que el proyecto de decisión podía volver a debatirse durante la Reunión de las Partes. Por lo tanto, se sugirió que el proyecto de decisión propuesto se remitiese a la</w:t>
      </w:r>
      <w:r w:rsidR="00D12B17">
        <w:rPr>
          <w:lang w:val="es-ES_tradnl"/>
        </w:rPr>
        <w:t> </w:t>
      </w:r>
      <w:r w:rsidRPr="00A84A5B">
        <w:rPr>
          <w:lang w:val="es-ES_tradnl"/>
        </w:rPr>
        <w:t>37ª Reunión de las Partes sin corchetes y que el número de Partes que presentasen datos se determinase en una fecha que elegiría el Comité. La fecha que figuraba en el texto propuesto era el</w:t>
      </w:r>
      <w:r w:rsidR="00D12B17">
        <w:rPr>
          <w:lang w:val="es-ES_tradnl"/>
        </w:rPr>
        <w:t> </w:t>
      </w:r>
      <w:r w:rsidRPr="00A84A5B">
        <w:rPr>
          <w:lang w:val="es-ES_tradnl"/>
        </w:rPr>
        <w:t>31</w:t>
      </w:r>
      <w:r w:rsidR="00D12B17">
        <w:rPr>
          <w:lang w:val="es-ES_tradnl"/>
        </w:rPr>
        <w:t> </w:t>
      </w:r>
      <w:r w:rsidRPr="00A84A5B">
        <w:rPr>
          <w:lang w:val="es-ES_tradnl"/>
        </w:rPr>
        <w:t>de octubre de 2025, es decir, un día antes de que el Comité aprobase sus recomendaciones.</w:t>
      </w:r>
    </w:p>
    <w:p w14:paraId="348DA016" w14:textId="46DEC238" w:rsidR="00635442" w:rsidRPr="00A84A5B" w:rsidRDefault="001677EA"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Otro representante de la Secretaría añadió que en el análisis de las cuestiones sistémicas relacionadas con el cumplimiento, que se debatiría en el marco del tema 9 del programa, se había determinado que el retraso en la presentación de datos era uno de los problemas que dificultaban la determinación de la situación de cumplimiento de las Partes. Esta cuestión también se había resaltado cuando la Secretaría había llevado a cabo un análisis de la gestión de los riesgos institucionales. La Secretaría había sugerido el 31 de octubre, ya que esa fecha permitiría al Comité incluir cifras actualizadas para la presentación de datos cuando examinase los proyectos de decisión que se anexarían a sus proyectos de recomendación el segundo día de su reunión, el 1 de noviembre. </w:t>
      </w:r>
    </w:p>
    <w:p w14:paraId="4A13EA20" w14:textId="0F2E2C23" w:rsidR="009219A5" w:rsidRPr="00A84A5B" w:rsidRDefault="00AA3FFE"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Un miembro del Comité sugirió que el proyecto de decisión incluyese una línea adicional sobre la presentación de datos en línea, con la intención de alentar a más Partes a utilizar el sistema de</w:t>
      </w:r>
      <w:r w:rsidR="00811032">
        <w:rPr>
          <w:lang w:val="es-ES_tradnl"/>
        </w:rPr>
        <w:t> </w:t>
      </w:r>
      <w:r w:rsidRPr="00A84A5B">
        <w:rPr>
          <w:lang w:val="es-ES_tradnl"/>
        </w:rPr>
        <w:t xml:space="preserve">presentación de datos en línea. Otros miembros apoyaron la propuesta. </w:t>
      </w:r>
    </w:p>
    <w:p w14:paraId="751C878B" w14:textId="10F476CD" w:rsidR="00C866F9" w:rsidRPr="00A84A5B" w:rsidRDefault="00534065" w:rsidP="00246F39">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 proyecto de decisión sobre la presentación de datos e información reproducido en la sección A del anexo I del presente informe.</w:t>
      </w:r>
      <w:bookmarkStart w:id="3" w:name="_Hlk213396948"/>
      <w:bookmarkEnd w:id="3"/>
    </w:p>
    <w:p w14:paraId="6C9FCC1E" w14:textId="00178782" w:rsidR="00996C57" w:rsidRPr="00A84A5B" w:rsidRDefault="006F5339" w:rsidP="007F7B08">
      <w:pPr>
        <w:pStyle w:val="NormalNonumber"/>
        <w:jc w:val="right"/>
        <w:rPr>
          <w:b/>
          <w:bCs/>
          <w:lang w:val="es-ES_tradnl"/>
        </w:rPr>
      </w:pPr>
      <w:r w:rsidRPr="00A84A5B">
        <w:rPr>
          <w:b/>
          <w:bCs/>
          <w:lang w:val="es-ES_tradnl"/>
        </w:rPr>
        <w:t>Recomendación 75/1</w:t>
      </w:r>
    </w:p>
    <w:p w14:paraId="382B89C2" w14:textId="57832EF6" w:rsidR="00A6593A" w:rsidRPr="00A84A5B" w:rsidRDefault="00811032" w:rsidP="007F7B08">
      <w:pPr>
        <w:pStyle w:val="CH1"/>
        <w:rPr>
          <w:lang w:val="es-ES_tradnl"/>
        </w:rPr>
      </w:pPr>
      <w:r>
        <w:rPr>
          <w:bCs/>
          <w:lang w:val="es-ES_tradnl"/>
        </w:rPr>
        <w:tab/>
      </w:r>
      <w:r w:rsidR="007F7B08" w:rsidRPr="00A84A5B">
        <w:rPr>
          <w:bCs/>
          <w:lang w:val="es-ES_tradnl"/>
        </w:rPr>
        <w:t>IV.</w:t>
      </w:r>
      <w:r w:rsidR="007F7B08" w:rsidRPr="00A84A5B">
        <w:rPr>
          <w:lang w:val="es-ES_tradnl"/>
        </w:rPr>
        <w:tab/>
      </w:r>
      <w:r w:rsidR="007F7B08" w:rsidRPr="00A84A5B">
        <w:rPr>
          <w:bCs/>
          <w:lang w:val="es-ES_tradnl"/>
        </w:rPr>
        <w:t>Presentación de la Secretaría del Fondo Multilateral para la Aplicación del Protocolo de Montreal acerca de las decisiones pertinentes del Comité Ejecutivo del Fondo y las actividades realizadas por los organismos de ejecución para facilitar el cumplimiento por las Partes</w:t>
      </w:r>
    </w:p>
    <w:p w14:paraId="0CA5088C" w14:textId="79E10C0E"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Oficial Jefe de la Secretaría del Fondo Multilateral, Tina Birmpili, informó al Comité de que no se había celebrado ninguna reunión del Comité Ejecutivo del Fondo desde la 74ª reunión del Comité de Aplicación, por lo que gran parte de la información de su presentación sería similar a la facilitada en la reunión anterior. Sin embargo, la oradora tenía la intención de resaltar algunas cuestiones que figuraban en el programa de la 97ª reunión del Comité Ejecutivo, que se celebraría del</w:t>
      </w:r>
      <w:r w:rsidR="00811032">
        <w:rPr>
          <w:lang w:val="es-ES_tradnl"/>
        </w:rPr>
        <w:t> </w:t>
      </w:r>
      <w:r w:rsidRPr="00A84A5B">
        <w:rPr>
          <w:lang w:val="es-ES_tradnl"/>
        </w:rPr>
        <w:t>1 al 5 de diciembre de 2025.</w:t>
      </w:r>
    </w:p>
    <w:p w14:paraId="32458F11" w14:textId="770313C8"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eliminación del consumo de HCFC avanzaba a buen ritmo y, según los datos presentados en virtud del artículo 7, el consumo total de HCFC de las Partes que operan al amparo del artículo 5 se situaba en el 35,9 % del nivel de base total para los HCFC. Esto significaba que se esperaba alcanzar la meta de consumo para 2025 del 32,5</w:t>
      </w:r>
      <w:r w:rsidR="00864DF7" w:rsidRPr="00A84A5B">
        <w:rPr>
          <w:lang w:val="es-ES_tradnl"/>
        </w:rPr>
        <w:t> </w:t>
      </w:r>
      <w:r w:rsidRPr="00A84A5B">
        <w:rPr>
          <w:lang w:val="es-ES_tradnl"/>
        </w:rPr>
        <w:t xml:space="preserve">% del nivel de base. </w:t>
      </w:r>
    </w:p>
    <w:p w14:paraId="318E5F76" w14:textId="103FA0A1"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los HCFC, en esos momentos la labor del Fondo Multilateral y sus organismos de</w:t>
      </w:r>
      <w:r w:rsidR="00811032">
        <w:rPr>
          <w:lang w:val="es-ES_tradnl"/>
        </w:rPr>
        <w:t> </w:t>
      </w:r>
      <w:r w:rsidRPr="00A84A5B">
        <w:rPr>
          <w:lang w:val="es-ES_tradnl"/>
        </w:rPr>
        <w:t xml:space="preserve">ejecución </w:t>
      </w:r>
      <w:proofErr w:type="gramStart"/>
      <w:r w:rsidRPr="00A84A5B">
        <w:rPr>
          <w:lang w:val="es-ES_tradnl"/>
        </w:rPr>
        <w:t>se centraba principalmente en</w:t>
      </w:r>
      <w:proofErr w:type="gramEnd"/>
      <w:r w:rsidRPr="00A84A5B">
        <w:rPr>
          <w:lang w:val="es-ES_tradnl"/>
        </w:rPr>
        <w:t xml:space="preserve"> la eliminación del HCFC-123 y las cantidades restantes de</w:t>
      </w:r>
      <w:r w:rsidR="00811032">
        <w:rPr>
          <w:lang w:val="es-ES_tradnl"/>
        </w:rPr>
        <w:t> </w:t>
      </w:r>
      <w:r w:rsidRPr="00A84A5B">
        <w:rPr>
          <w:lang w:val="es-ES_tradnl"/>
        </w:rPr>
        <w:t xml:space="preserve">HCFC-22, mediante planes de gestión de la eliminación de los HCFC. Los planes de gestión de </w:t>
      </w:r>
      <w:r w:rsidRPr="00A84A5B">
        <w:rPr>
          <w:lang w:val="es-ES_tradnl"/>
        </w:rPr>
        <w:lastRenderedPageBreak/>
        <w:t>la</w:t>
      </w:r>
      <w:r w:rsidR="00D12B17">
        <w:rPr>
          <w:lang w:val="es-ES_tradnl"/>
        </w:rPr>
        <w:t> </w:t>
      </w:r>
      <w:r w:rsidRPr="00A84A5B">
        <w:rPr>
          <w:lang w:val="es-ES_tradnl"/>
        </w:rPr>
        <w:t>eliminación de los HCFC aprobados darían lugar a la eliminación del 84,3 % del consumo de partida de HCFC y del 82,9</w:t>
      </w:r>
      <w:r w:rsidR="00A154E9" w:rsidRPr="00A84A5B">
        <w:rPr>
          <w:lang w:val="es-ES_tradnl"/>
        </w:rPr>
        <w:t> </w:t>
      </w:r>
      <w:r w:rsidRPr="00A84A5B">
        <w:rPr>
          <w:lang w:val="es-ES_tradnl"/>
        </w:rPr>
        <w:t>% del nivel de base del consumo.</w:t>
      </w:r>
    </w:p>
    <w:p w14:paraId="3DF0F501" w14:textId="67D7DC02"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Según los datos del programa del país para 2024, tres sectores registraban el mayor consumo de HCFC: el mantenimiento de equipos de refrigeración, la fabricación de equipos de refrigeración y</w:t>
      </w:r>
      <w:r w:rsidR="00811032">
        <w:rPr>
          <w:lang w:val="es-ES_tradnl"/>
        </w:rPr>
        <w:t> </w:t>
      </w:r>
      <w:r w:rsidRPr="00A84A5B">
        <w:rPr>
          <w:lang w:val="es-ES_tradnl"/>
        </w:rPr>
        <w:t>las espumas. A medida que disminuía el consumo de HCFC en la industria manufacturera, aumentaban las necesidades de servicios mantenimiento de las Partes. La mayor parte del sector de la</w:t>
      </w:r>
      <w:r w:rsidR="00811032">
        <w:rPr>
          <w:lang w:val="es-ES_tradnl"/>
        </w:rPr>
        <w:t> </w:t>
      </w:r>
      <w:r w:rsidRPr="00A84A5B">
        <w:rPr>
          <w:lang w:val="es-ES_tradnl"/>
        </w:rPr>
        <w:t>fabricación de espumas y una gran proporción de la fabricación de sistemas de refrigeración y aire</w:t>
      </w:r>
      <w:r w:rsidR="00811032">
        <w:rPr>
          <w:lang w:val="es-ES_tradnl"/>
        </w:rPr>
        <w:t> </w:t>
      </w:r>
      <w:r w:rsidRPr="00A84A5B">
        <w:rPr>
          <w:lang w:val="es-ES_tradnl"/>
        </w:rPr>
        <w:t>acondicionado estaban en proceso de conversión, principalmente para pasar a usar tecnologías con</w:t>
      </w:r>
      <w:r w:rsidR="00811032">
        <w:rPr>
          <w:lang w:val="es-ES_tradnl"/>
        </w:rPr>
        <w:t> </w:t>
      </w:r>
      <w:r w:rsidRPr="00A84A5B">
        <w:rPr>
          <w:lang w:val="es-ES_tradnl"/>
        </w:rPr>
        <w:t>potencial de calentamiento atmosférico bajo.</w:t>
      </w:r>
    </w:p>
    <w:p w14:paraId="5FF3F79C" w14:textId="70ADE5B8"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Algunos planes de ejecución de las actividades relativas a los HFC conforme a la Enmienda de</w:t>
      </w:r>
      <w:r w:rsidR="00811032">
        <w:rPr>
          <w:lang w:val="es-ES_tradnl"/>
        </w:rPr>
        <w:t> </w:t>
      </w:r>
      <w:r w:rsidRPr="00A84A5B">
        <w:rPr>
          <w:lang w:val="es-ES_tradnl"/>
        </w:rPr>
        <w:t>Kigali también se encontraban en las etapas iniciales de ejecución. Todas las Partes que operan al amparo del artículo 5 estaban abordando las cuestiones relacionadas con el sector del mantenimiento de equipos de refrigeración, pero algunas encontraban dificultades relacionadas con la disponibilidad de algunas tecnologías alternativas en los mercados locales.</w:t>
      </w:r>
    </w:p>
    <w:p w14:paraId="2D6F0A1E" w14:textId="22AA4400"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los HFC, los datos de los programas de los países para 2024, que habían sido presentados por 119 Partes que operan al amparo del artículo 5, mostraban que los sectores con mayor consumo eran los de extinción de incendios, fabricación de equipos de refrigeración y mantenimiento de equipos de refrigeración, y que el consumo de HFC-32, HFC-134A y R410A seguía siendo relativamente elevado. Una observación importante sobre el consumo de HFC comunicado a través de los datos de los programas de los países era el hecho de que los HFC se notificaban como puros o en mezclas, pero el consumo de HFC notificado en virtud del artículo 7 se notificaba como puro, en mezclas o una combinación de ambos. Por lo tanto, la conciliación de los datos sobre HFC en virtud del artículo 7 y los comunicados en el marco de los programas de los países resultaba difícil, lo que daba lugar a una serie de iteraciones entre la Secretaría del Fondo Multilateral y los organismos de ejecución, y entre estos últimos y los países, durante el proceso de examen de los proyectos. Además, de conformidad con las decisiones 92/4 y 94/3 del Comité Ejecutivo, la Secretaría del Fondo estaba haciendo un seguimiento del suministro por las Partes de información adicional o estimaciones sobre los usos o aplicaciones más probables del HFC-23 notificado en la columna “otros” del formulario para la presentación de datos de los programas de los países.</w:t>
      </w:r>
    </w:p>
    <w:p w14:paraId="17E3F0B3" w14:textId="78FF67FF"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Una cuestión importante que debatió el Comité Ejecutivo era cómo reforzar la presentación de datos de los programas de los países. La presentación de datos en línea se había introducido en 2025 y estaba ayudando en ese sentido. La Secretaría del Fondo, con la ayuda de los organismos de ejecución, especialmente </w:t>
      </w:r>
      <w:proofErr w:type="spellStart"/>
      <w:r w:rsidRPr="00A84A5B">
        <w:rPr>
          <w:lang w:val="es-ES_tradnl"/>
        </w:rPr>
        <w:t>AcciónOzono</w:t>
      </w:r>
      <w:proofErr w:type="spellEnd"/>
      <w:r w:rsidRPr="00A84A5B">
        <w:rPr>
          <w:lang w:val="es-ES_tradnl"/>
        </w:rPr>
        <w:t xml:space="preserve"> y el Programa de Asistencia para el Cumplimiento del PNUMA, había colaborado con los países para garantizar que pudiesen presentar sus informes en línea. Una ventaja de la presentación de datos en línea era que las Partes tenían la posibilidad de comprobar las tendencias en sus datos y ver si había alguna irregularidad. Desde su creación se habían observado menos errores. Tras hacer notar que era posible que los años 2023 y 2024 no reflejasen el consumo de HFC de esos momentos, la Sra. Birmpili explicó que se habló con las Partes al respecto cuando se presentó un plan de ejecución de las actividades relativas a los HFC conforme a la Enmienda de Kigali para su país y cuando el Comité Ejecutivo examinó dicha información.</w:t>
      </w:r>
    </w:p>
    <w:p w14:paraId="1E95C7AA" w14:textId="351825B4"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Tras ofrecer una visión general de lo que examinaría el Comité Ejecutivo en su 97ª reunión, la Sra. Birmpili dijo que el valor total de los proyectos presentados ascendía a más de 110 millones de dólares</w:t>
      </w:r>
      <w:r w:rsidR="00D12B17">
        <w:rPr>
          <w:lang w:val="es-ES_tradnl"/>
        </w:rPr>
        <w:t xml:space="preserve"> de los Estados Unidos</w:t>
      </w:r>
      <w:r w:rsidRPr="00A84A5B">
        <w:rPr>
          <w:lang w:val="es-ES_tradnl"/>
        </w:rPr>
        <w:t>; había una serie de proyectos de conformidad con la decisión 96/60 sobre eficiencia energética en diferentes aplicaciones de refrigeración y aire acondicionado, tras la reciente aprobación del marco operacional sobre eficiencia energética; se seguiría trabajando en los planes de gestión de la eliminación de los HCFC y los planes de ejecución de las actividades relativas a los HFC conforme a la Enmienda de Kigali; habría un debate sobre los centros de excelencia y los centros de pruebas; un documento sobre la gestión del ciclo de vida de los refrigerantes alimentaría la reflexión sobre la conveniencia de establecer una ventanilla de financiación relacionada con este tema; el Comité Ejecutivo estaba trabajando para simplificar los requisitos de presentación de datos con el fin de aliviar</w:t>
      </w:r>
      <w:r w:rsidR="00811032">
        <w:rPr>
          <w:lang w:val="es-ES_tradnl"/>
        </w:rPr>
        <w:t> </w:t>
      </w:r>
      <w:r w:rsidRPr="00A84A5B">
        <w:rPr>
          <w:lang w:val="es-ES_tradnl"/>
        </w:rPr>
        <w:t>la carga para los países y los organismos de ejecución, y se haría una presentación sobre el marco de resultados y los indicadores del rendimiento del Fondo Multilateral.</w:t>
      </w:r>
    </w:p>
    <w:p w14:paraId="731986EB" w14:textId="1B08F817"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último, la Sra. Birmpili proporcionó más información sobre el centro de datos en línea de</w:t>
      </w:r>
      <w:r w:rsidR="00B8076A" w:rsidRPr="00A84A5B">
        <w:rPr>
          <w:lang w:val="es-ES_tradnl"/>
        </w:rPr>
        <w:t xml:space="preserve"> los</w:t>
      </w:r>
      <w:r w:rsidRPr="00A84A5B">
        <w:rPr>
          <w:lang w:val="es-ES_tradnl"/>
        </w:rPr>
        <w:t xml:space="preserve"> programa</w:t>
      </w:r>
      <w:r w:rsidR="00B8076A" w:rsidRPr="00A84A5B">
        <w:rPr>
          <w:lang w:val="es-ES_tradnl"/>
        </w:rPr>
        <w:t>s</w:t>
      </w:r>
      <w:r w:rsidRPr="00A84A5B">
        <w:rPr>
          <w:lang w:val="es-ES_tradnl"/>
        </w:rPr>
        <w:t xml:space="preserve"> de</w:t>
      </w:r>
      <w:r w:rsidR="00B8076A" w:rsidRPr="00A84A5B">
        <w:rPr>
          <w:lang w:val="es-ES_tradnl"/>
        </w:rPr>
        <w:t xml:space="preserve"> </w:t>
      </w:r>
      <w:r w:rsidRPr="00A84A5B">
        <w:rPr>
          <w:lang w:val="es-ES_tradnl"/>
        </w:rPr>
        <w:t>l</w:t>
      </w:r>
      <w:r w:rsidR="00B8076A" w:rsidRPr="00A84A5B">
        <w:rPr>
          <w:lang w:val="es-ES_tradnl"/>
        </w:rPr>
        <w:t>os</w:t>
      </w:r>
      <w:r w:rsidRPr="00A84A5B">
        <w:rPr>
          <w:lang w:val="es-ES_tradnl"/>
        </w:rPr>
        <w:t xml:space="preserve"> país</w:t>
      </w:r>
      <w:r w:rsidR="00B8076A" w:rsidRPr="00A84A5B">
        <w:rPr>
          <w:lang w:val="es-ES_tradnl"/>
        </w:rPr>
        <w:t>es</w:t>
      </w:r>
      <w:r w:rsidRPr="00A84A5B">
        <w:rPr>
          <w:lang w:val="es-ES_tradnl"/>
        </w:rPr>
        <w:t>, que se había puesto en marcha el 1 de enero de 2025 para la presentación de datos correspondientes a 2024. El sistema estaba siendo utilizado actualmente por 123 países y 118 países habían presentado oficialmente sus datos de los programas de los países para 2024 a través del sistema. A pesar de los retos relacionados con la confidencialidad de los datos, la Sra. Birmpili se mostró convencida de que el centro de datos de los programas de los países entraría en funcionamiento</w:t>
      </w:r>
      <w:r w:rsidR="00811032">
        <w:rPr>
          <w:lang w:val="es-ES_tradnl"/>
        </w:rPr>
        <w:t> </w:t>
      </w:r>
      <w:r w:rsidRPr="00A84A5B">
        <w:rPr>
          <w:lang w:val="es-ES_tradnl"/>
        </w:rPr>
        <w:t>antes de la 97ª reunión del Comité Ejecutivo.</w:t>
      </w:r>
    </w:p>
    <w:p w14:paraId="3559CE1F" w14:textId="77777777" w:rsidR="00534065" w:rsidRPr="00A84A5B"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lastRenderedPageBreak/>
        <w:t>El Comité tomó nota de la información aportada.</w:t>
      </w:r>
    </w:p>
    <w:p w14:paraId="1658F500" w14:textId="39850534" w:rsidR="001555C7" w:rsidRPr="00A84A5B" w:rsidRDefault="00811032" w:rsidP="007F7B08">
      <w:pPr>
        <w:pStyle w:val="CH1"/>
        <w:rPr>
          <w:lang w:val="es-ES_tradnl"/>
        </w:rPr>
      </w:pPr>
      <w:r>
        <w:rPr>
          <w:bCs/>
          <w:lang w:val="es-ES_tradnl"/>
        </w:rPr>
        <w:tab/>
      </w:r>
      <w:r w:rsidR="007F7B08" w:rsidRPr="00A84A5B">
        <w:rPr>
          <w:bCs/>
          <w:lang w:val="es-ES_tradnl"/>
        </w:rPr>
        <w:t>V.</w:t>
      </w:r>
      <w:r w:rsidR="007F7B08" w:rsidRPr="00A84A5B">
        <w:rPr>
          <w:lang w:val="es-ES_tradnl"/>
        </w:rPr>
        <w:tab/>
      </w:r>
      <w:r w:rsidR="007F7B08" w:rsidRPr="00A84A5B">
        <w:rPr>
          <w:bCs/>
          <w:lang w:val="es-ES_tradnl"/>
        </w:rPr>
        <w:t>Seguimiento de la aplicación de decisiones anteriores de las Partes y de las recomendaciones del Comité de Aplicación relativas al incumplimiento</w:t>
      </w:r>
    </w:p>
    <w:p w14:paraId="0F699344" w14:textId="268F1B82" w:rsidR="00B219BA" w:rsidRPr="00A84A5B" w:rsidRDefault="00311B40"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Un representante de la Secretaría presentó información sobre casos relativos al cumplimiento de las obligaciones impuestas por el Protocolo de Montreal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/75/R.3), junto con la lista de cuestiones relativas al cumplimiento que el Comité debía examinar en la reunión en curso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/75/INF/R.1) y la información presentada por las Partes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/75/INF/R.2).</w:t>
      </w:r>
      <w:bookmarkStart w:id="4" w:name="_Hlk180703408"/>
      <w:bookmarkEnd w:id="4"/>
    </w:p>
    <w:p w14:paraId="09CA88C2" w14:textId="0C2F39AB" w:rsidR="00DB512F" w:rsidRPr="00A84A5B" w:rsidRDefault="00811032" w:rsidP="00811032">
      <w:pPr>
        <w:pStyle w:val="CH2"/>
        <w:rPr>
          <w:lang w:val="es-ES_tradnl"/>
        </w:rPr>
      </w:pPr>
      <w:r w:rsidRPr="008353E4">
        <w:rPr>
          <w:lang w:val="fr-FR"/>
        </w:rPr>
        <w:tab/>
        <w:t>A.</w:t>
      </w:r>
      <w:r w:rsidRPr="008353E4">
        <w:rPr>
          <w:lang w:val="fr-FR"/>
        </w:rPr>
        <w:tab/>
      </w:r>
      <w:r w:rsidR="007F7B08" w:rsidRPr="00A84A5B">
        <w:rPr>
          <w:bCs/>
          <w:lang w:val="es-ES_tradnl"/>
        </w:rPr>
        <w:t>Obligaciones de presentación de datos con arreglo al artículo 7 (decisión XXXVI/13</w:t>
      </w:r>
      <w:proofErr w:type="gramStart"/>
      <w:r w:rsidR="007F7B08" w:rsidRPr="00A84A5B">
        <w:rPr>
          <w:bCs/>
          <w:lang w:val="es-ES_tradnl"/>
        </w:rPr>
        <w:t>):</w:t>
      </w:r>
      <w:proofErr w:type="gramEnd"/>
      <w:r w:rsidR="007F7B08" w:rsidRPr="00A84A5B">
        <w:rPr>
          <w:bCs/>
          <w:lang w:val="es-ES_tradnl"/>
        </w:rPr>
        <w:t xml:space="preserve"> Côte d</w:t>
      </w:r>
      <w:r w:rsidR="00DE220D" w:rsidRPr="00A84A5B">
        <w:rPr>
          <w:bCs/>
          <w:lang w:val="es-ES_tradnl"/>
        </w:rPr>
        <w:t>’</w:t>
      </w:r>
      <w:r w:rsidR="007F7B08" w:rsidRPr="00A84A5B">
        <w:rPr>
          <w:bCs/>
          <w:lang w:val="es-ES_tradnl"/>
        </w:rPr>
        <w:t>Ivoire (recomendación 74/1)</w:t>
      </w:r>
    </w:p>
    <w:p w14:paraId="022BC4D7" w14:textId="4E01BA28" w:rsidR="00F50858" w:rsidRPr="00A84A5B" w:rsidRDefault="00DB512F"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la decisión XXXVI/13 la 36ª Reunión de las Partes había tomado nota de que Côte</w:t>
      </w:r>
      <w:r w:rsidR="00811032">
        <w:rPr>
          <w:lang w:val="es-ES_tradnl"/>
        </w:rPr>
        <w:t> </w:t>
      </w:r>
      <w:r w:rsidRPr="00A84A5B">
        <w:rPr>
          <w:lang w:val="es-ES_tradnl"/>
        </w:rPr>
        <w:t>d</w:t>
      </w:r>
      <w:r w:rsidR="00D20EC4" w:rsidRPr="00A84A5B">
        <w:rPr>
          <w:lang w:val="es-ES_tradnl"/>
        </w:rPr>
        <w:t>’</w:t>
      </w:r>
      <w:r w:rsidRPr="00A84A5B">
        <w:rPr>
          <w:lang w:val="es-ES_tradnl"/>
        </w:rPr>
        <w:t>Ivoire, una de las Partes que había ratificado la Enmienda de Kigali, había presentado datos sobre otras sustancias controladas para 2023, pero no sobre los HFC. En su 74ª reunión el Comité había aprobado la recomendación 74/1, en la que había hecho notar con preocupación que Côte d’Ivoire no había presentado aún a la Secretaría los datos de HFC requeridos en virtud del artículo 7 correspondientes a 2023 y, por lo tanto, todavía no cumplía sus obligaciones en materia de presentación de datos con arreglo al párrafo 3 del artículo 7 del Protocolo de Montreal. En la misma recomendación el Comité había instado a Côte d’Ivoire a que presentase a la Secretaría sus datos pendientes de HFC correspondientes a 2023 con carácter prioritario, y preferiblemente antes del</w:t>
      </w:r>
      <w:r w:rsidR="00811032">
        <w:rPr>
          <w:lang w:val="es-ES_tradnl"/>
        </w:rPr>
        <w:t> </w:t>
      </w:r>
      <w:r w:rsidRPr="00A84A5B">
        <w:rPr>
          <w:lang w:val="es-ES_tradnl"/>
        </w:rPr>
        <w:t>15</w:t>
      </w:r>
      <w:r w:rsidR="00811032">
        <w:rPr>
          <w:lang w:val="es-ES_tradnl"/>
        </w:rPr>
        <w:t> </w:t>
      </w:r>
      <w:r w:rsidRPr="00A84A5B">
        <w:rPr>
          <w:lang w:val="es-ES_tradnl"/>
        </w:rPr>
        <w:t>de</w:t>
      </w:r>
      <w:r w:rsidR="00811032">
        <w:rPr>
          <w:lang w:val="es-ES_tradnl"/>
        </w:rPr>
        <w:t> </w:t>
      </w:r>
      <w:r w:rsidRPr="00A84A5B">
        <w:rPr>
          <w:lang w:val="es-ES_tradnl"/>
        </w:rPr>
        <w:t>septiembre de 2025, a fin de que el Comité pudiese evaluar, en su 75ª reunión, el estado de cumplimiento de la Parte respecto de sus obligaciones de presentación de datos. Posteriormente, Côte d</w:t>
      </w:r>
      <w:r w:rsidR="00CD5189" w:rsidRPr="00A84A5B">
        <w:rPr>
          <w:lang w:val="es-ES_tradnl"/>
        </w:rPr>
        <w:t>’</w:t>
      </w:r>
      <w:r w:rsidRPr="00A84A5B">
        <w:rPr>
          <w:lang w:val="es-ES_tradnl"/>
        </w:rPr>
        <w:t>Ivoire había presentado sus datos sobre HFC correspondientes a 2023, con arreglo al artículo 7.</w:t>
      </w:r>
    </w:p>
    <w:p w14:paraId="1EA32E4B" w14:textId="19D5BCB8" w:rsidR="00F50858" w:rsidRPr="00A84A5B" w:rsidRDefault="00F50858"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5" w:name="_Hlk171449747"/>
      <w:r w:rsidRPr="00A84A5B">
        <w:rPr>
          <w:lang w:val="es-ES_tradnl"/>
        </w:rPr>
        <w:t>Por lo tanto, el Comité convino en hacer notar con aprecio que Côte d’Ivoire había presentado a la Secretaría los datos pendientes sobre sustancias del anexo F correspondientes a 2023 de conformidad con sus obligaciones de presentación de datos con arreglo al párrafo 3 del artículo 7 del Protocolo de Montreal, como se le instaba a hacer en el párrafo 7 de la decisión XXXVI/13 y en la recomendación 74/1.</w:t>
      </w:r>
    </w:p>
    <w:bookmarkEnd w:id="5"/>
    <w:p w14:paraId="311B0B0E" w14:textId="08AAD072" w:rsidR="006D1012" w:rsidRPr="00A84A5B" w:rsidRDefault="00811032" w:rsidP="007F7B08">
      <w:pPr>
        <w:pStyle w:val="CH2"/>
        <w:rPr>
          <w:lang w:val="es-ES_tradnl"/>
        </w:rPr>
      </w:pPr>
      <w:r>
        <w:rPr>
          <w:bCs/>
          <w:lang w:val="es-ES_tradnl"/>
        </w:rPr>
        <w:tab/>
      </w:r>
      <w:r w:rsidR="007F7B08" w:rsidRPr="00A84A5B">
        <w:rPr>
          <w:bCs/>
          <w:lang w:val="es-ES_tradnl"/>
        </w:rPr>
        <w:t>B.</w:t>
      </w:r>
      <w:r w:rsidR="007F7B08" w:rsidRPr="00A84A5B">
        <w:rPr>
          <w:lang w:val="es-ES_tradnl"/>
        </w:rPr>
        <w:tab/>
      </w:r>
      <w:r w:rsidR="007F7B08" w:rsidRPr="00A84A5B">
        <w:rPr>
          <w:bCs/>
          <w:lang w:val="es-ES_tradnl"/>
        </w:rPr>
        <w:t>Planes de acción existentes para retorna</w:t>
      </w:r>
      <w:r w:rsidR="00F24184" w:rsidRPr="00A84A5B">
        <w:rPr>
          <w:bCs/>
          <w:lang w:val="es-ES_tradnl"/>
        </w:rPr>
        <w:t xml:space="preserve">r </w:t>
      </w:r>
      <w:r w:rsidR="007F7B08" w:rsidRPr="00A84A5B">
        <w:rPr>
          <w:bCs/>
          <w:lang w:val="es-ES_tradnl"/>
        </w:rPr>
        <w:t>a una situación de cumplimiento</w:t>
      </w:r>
    </w:p>
    <w:p w14:paraId="7060ACD1" w14:textId="7B88E70C" w:rsidR="00527DD8" w:rsidRPr="00A84A5B" w:rsidRDefault="00811032" w:rsidP="007F7B08">
      <w:pPr>
        <w:pStyle w:val="CH3"/>
        <w:rPr>
          <w:lang w:val="es-ES_tradnl"/>
        </w:rPr>
      </w:pPr>
      <w:r>
        <w:rPr>
          <w:bCs/>
          <w:lang w:val="es-ES_tradnl"/>
        </w:rPr>
        <w:tab/>
      </w:r>
      <w:r w:rsidR="007F7B08" w:rsidRPr="00A84A5B">
        <w:rPr>
          <w:bCs/>
          <w:lang w:val="es-ES_tradnl"/>
        </w:rPr>
        <w:t>1.</w:t>
      </w:r>
      <w:r w:rsidR="007F7B08" w:rsidRPr="00A84A5B">
        <w:rPr>
          <w:lang w:val="es-ES_tradnl"/>
        </w:rPr>
        <w:tab/>
      </w:r>
      <w:r w:rsidR="007F7B08" w:rsidRPr="00A84A5B">
        <w:rPr>
          <w:bCs/>
          <w:lang w:val="es-ES_tradnl"/>
        </w:rPr>
        <w:t>República Popular Democrática de Corea (decisiones XXXII/6 y XXXV/18)</w:t>
      </w:r>
    </w:p>
    <w:p w14:paraId="4B82154D" w14:textId="1FC01A29" w:rsidR="00B15F45" w:rsidRPr="00A84A5B" w:rsidRDefault="00B15F4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El representante de la Secretaría recordó que, en su decisión XXXII/6, la 32ª Reunión de las Partes había hecho notar con aprecio la presentación del plan de acción para que la República Popular Democrática de Corea regresase a una situación de cumplimiento respecto de sus compromisos anuales de reducción del consumo y la producción de HCFC hasta 2023. También se había invitado a la Parte a que instaurase políticas nacionales adicionales que facilitasen la eliminación de los HCFC, incluida, entre otras, la prohibición de importaciones, producción o nuevas instalaciones, junto con la certificación de los técnicos y las empresas especializados en refrigeración. </w:t>
      </w:r>
    </w:p>
    <w:p w14:paraId="220D0685" w14:textId="16980859" w:rsidR="00B15F45" w:rsidRPr="00A84A5B" w:rsidRDefault="00CE704A"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Los datos sobre los HCFC en virtud del artículo 7 que había presentado la Parte mostraban una</w:t>
      </w:r>
      <w:r w:rsidR="00811032">
        <w:rPr>
          <w:lang w:val="es-ES_tradnl"/>
        </w:rPr>
        <w:t> </w:t>
      </w:r>
      <w:r w:rsidRPr="00A84A5B">
        <w:rPr>
          <w:lang w:val="es-ES_tradnl"/>
        </w:rPr>
        <w:t xml:space="preserve">disminución continuada de los niveles de producción y consumo desde 2020, así como el cumplimiento del plan de acción para 2020 y 2022. Los datos correspondientes a 2021 habían mostrado niveles de producción y consumo ligeramente superiores a sus compromisos, mientras que los datos correspondientes a 2023 y 2024 indicaban que había superado sus compromisos para ambos años y que, por lo tanto, podía estar incumpliendo dichos compromisos y las medidas de control previstas en el Protocolo de Montreal. </w:t>
      </w:r>
    </w:p>
    <w:p w14:paraId="12A6F36C" w14:textId="79F94F6C" w:rsidR="00B15F45" w:rsidRPr="00A84A5B" w:rsidRDefault="000746B1"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Con respecto a la desviación de 2021, la Secretaría había informado al Comité en sus reuniones 72ª y 73ª, celebradas en 2024, de que durante un intercambio presencial con dos representantes de la República Popular Democrática de Corea en marzo de 2024, la Parte había explicado que la desviación de 2021 se debía a un error de cálculo por su parte. La Parte no había proporcionado más explicaciones en respuesta a las recomendaciones del Comité, pero aún podía solicitar una corrección de los datos sobre HCFC correspondientes a 2021, de conformidad con el párrafo 3 de la decisión VI/5, acompañada de una nota explicativa.</w:t>
      </w:r>
      <w:bookmarkStart w:id="6" w:name="_Hlk212817891"/>
      <w:bookmarkEnd w:id="6"/>
    </w:p>
    <w:p w14:paraId="512D39A2" w14:textId="7CB74B73" w:rsidR="000746B1" w:rsidRPr="00A84A5B" w:rsidRDefault="000746B1"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En la decisión XXXVI/16, la 36ª Reunión de las Partes había hecho notar con preocupación que la República Popular Democrática de Corea no se había atenido a sus compromisos </w:t>
      </w:r>
      <w:r w:rsidRPr="00A84A5B">
        <w:rPr>
          <w:lang w:val="es-ES_tradnl"/>
        </w:rPr>
        <w:lastRenderedPageBreak/>
        <w:t>correspondientes a 2021. La Reunión de las Partes había expresado su grave preocupación ante</w:t>
      </w:r>
      <w:r w:rsidR="00811032">
        <w:rPr>
          <w:lang w:val="es-ES_tradnl"/>
        </w:rPr>
        <w:t> </w:t>
      </w:r>
      <w:r w:rsidRPr="00A84A5B">
        <w:rPr>
          <w:lang w:val="es-ES_tradnl"/>
        </w:rPr>
        <w:t>la</w:t>
      </w:r>
      <w:r w:rsidR="00811032">
        <w:rPr>
          <w:lang w:val="es-ES_tradnl"/>
        </w:rPr>
        <w:t> </w:t>
      </w:r>
      <w:r w:rsidRPr="00A84A5B">
        <w:rPr>
          <w:lang w:val="es-ES_tradnl"/>
        </w:rPr>
        <w:t>falta</w:t>
      </w:r>
      <w:r w:rsidR="00811032">
        <w:rPr>
          <w:lang w:val="es-ES_tradnl"/>
        </w:rPr>
        <w:t> </w:t>
      </w:r>
      <w:r w:rsidRPr="00A84A5B">
        <w:rPr>
          <w:lang w:val="es-ES_tradnl"/>
        </w:rPr>
        <w:t>de comunicación de la Parte, a pesar de las distintas solicitudes del Comité en sus</w:t>
      </w:r>
      <w:r w:rsidR="00811032">
        <w:rPr>
          <w:lang w:val="es-ES_tradnl"/>
        </w:rPr>
        <w:t> </w:t>
      </w:r>
      <w:r w:rsidRPr="00A84A5B">
        <w:rPr>
          <w:lang w:val="es-ES_tradnl"/>
        </w:rPr>
        <w:t>recomendaciones 68/4, 69/4, 70/2 y 72/3 y los repetidos recordatorios de la Secretaría; y también</w:t>
      </w:r>
      <w:r w:rsidR="00811032">
        <w:rPr>
          <w:lang w:val="es-ES_tradnl"/>
        </w:rPr>
        <w:t> </w:t>
      </w:r>
      <w:r w:rsidRPr="00A84A5B">
        <w:rPr>
          <w:lang w:val="es-ES_tradnl"/>
        </w:rPr>
        <w:t>había</w:t>
      </w:r>
      <w:r w:rsidR="00811032">
        <w:rPr>
          <w:lang w:val="es-ES_tradnl"/>
        </w:rPr>
        <w:t> </w:t>
      </w:r>
      <w:r w:rsidRPr="00A84A5B">
        <w:rPr>
          <w:lang w:val="es-ES_tradnl"/>
        </w:rPr>
        <w:t xml:space="preserve">hecho notar que la Parte había presentado todos los datos con arreglo al artículo 7 correspondientes a 2022 que tenía pendientes, lo cual confirmaba que la Parte había cumplido los compromisos que figuraban en el plan de acción para retornar a la situación de cumplimiento de ese año. La Reunión de las Partes había instado a la Parte a que ofreciese con urgencia una explicación de las disparidades correspondientes a 2021, junto con los datos de 2023 con arreglo al artículo 7, a más tardar el 31 de marzo de 2025, y, si procedía, a que presentase un plan de acción revisado a fin de que el Comité lo examinase en su 74ª reunión. Por último, la Reunión de las Partes había instado a la Parte a que presentase un informe sobre los progresos realizados en sus esfuerzos por establecer políticas nacionales adicionales y la había invitado a que enviase un representante a la 74ª reunión del Comité de Aplicación. </w:t>
      </w:r>
    </w:p>
    <w:p w14:paraId="5F89248B" w14:textId="4D3F3BA7" w:rsidR="00CA25AF" w:rsidRPr="00A84A5B" w:rsidRDefault="00CE704A"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esa reunión el representante de la República Popular Democrática de Corea había hecho una declaración sobre los esfuerzos de su país por cumplir las obligaciones contraídas en virtud del Protocolo. La declaración había incluido la explicación de que la Parte se había esforzado por aplicar su plan de acción mediante la prohibición parcial de la importación de HCFC, la exploración de la posibilidad de eliminar los HCFC, el establecimiento de contactos y dispositivos institucionales relacionados con la protección de la capa de ozono y la realización de actividades de sensibilización, pero había sufrido dificultades constantes debido a la ausencia total de actividades de transferencia de tecnología y cooperación financiera de conformidad con los artículos 10 y 10A del Protocolo, que consideraba el requisito previo básico para aplicar el plan de acción.</w:t>
      </w:r>
      <w:bookmarkStart w:id="7" w:name="_Hlk212818016"/>
      <w:bookmarkStart w:id="8" w:name="_Hlk212818520"/>
      <w:bookmarkEnd w:id="7"/>
      <w:bookmarkEnd w:id="8"/>
    </w:p>
    <w:p w14:paraId="34E6B1F3" w14:textId="27765BAA" w:rsidR="00565C6C" w:rsidRPr="00A84A5B" w:rsidRDefault="00565C6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Cuando la República Popular Democrática de Corea había presentado su plan de acción para</w:t>
      </w:r>
      <w:r w:rsidR="00811032">
        <w:rPr>
          <w:lang w:val="es-ES_tradnl"/>
        </w:rPr>
        <w:t> </w:t>
      </w:r>
      <w:r w:rsidRPr="00A84A5B">
        <w:rPr>
          <w:lang w:val="es-ES_tradnl"/>
        </w:rPr>
        <w:t>volver a la situación de cumplimiento en octubre de 2020, el país había mencionado que su implementación dependería de la disponibilidad de asistencia técnica y financiera del Fondo Multilateral. Posteriormente, el representante de la Parte había mencionado al Comité en su 65ª reunión que el logro de sus metas para 2021 dependería de la finalización de determinadas actividades en el marco de la fase I de su plan de gestión de la eliminación de los HCFC. Durante su informe a la</w:t>
      </w:r>
      <w:r w:rsidR="00811032">
        <w:rPr>
          <w:lang w:val="es-ES_tradnl"/>
        </w:rPr>
        <w:t> </w:t>
      </w:r>
      <w:r w:rsidRPr="00A84A5B">
        <w:rPr>
          <w:lang w:val="es-ES_tradnl"/>
        </w:rPr>
        <w:t>32ª Reunión de las Partes, el Presidente del Comité había declarado que la aplicación del plan de acción de la Parte dependería de la disponibilidad de asistencia técnica y financiera del Fondo Multilateral.</w:t>
      </w:r>
      <w:bookmarkStart w:id="9" w:name="_Hlk212825939"/>
      <w:bookmarkEnd w:id="9"/>
    </w:p>
    <w:p w14:paraId="58A9762D" w14:textId="0B82EAB0" w:rsidR="00CA25AF" w:rsidRPr="00A84A5B" w:rsidRDefault="00FE1941"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Durante su 74ª reunión el Comité había recordado a la Parte la advertencia, recogida en el</w:t>
      </w:r>
      <w:r w:rsidR="00D12B17">
        <w:rPr>
          <w:lang w:val="es-ES_tradnl"/>
        </w:rPr>
        <w:t> </w:t>
      </w:r>
      <w:r w:rsidRPr="00A84A5B">
        <w:rPr>
          <w:lang w:val="es-ES_tradnl"/>
        </w:rPr>
        <w:t xml:space="preserve">párrafo 7 de la decisión XXXVI/16, de que, en caso de que no se regresase a una situación de cumplimiento, se podrían aplicar medidas con arreglo al punto C de la lista indicativa de medidas del procedimiento relativo al incumplimiento, entre ellas las previstas en el artículo 4 del Protocolo de Montreal, como la de disponer lo necesario para que cesase el suministro de los HCFC –las sustancias que eran objeto del incumplimiento–, de modo que las Partes exportadoras no contribuyesen a perpetuar una situación de incumplimiento. El Comité había informado a la Parte </w:t>
      </w:r>
      <w:r w:rsidR="003A5668" w:rsidRPr="00A84A5B">
        <w:rPr>
          <w:lang w:val="es-ES_tradnl"/>
        </w:rPr>
        <w:t xml:space="preserve">de </w:t>
      </w:r>
      <w:r w:rsidRPr="00A84A5B">
        <w:rPr>
          <w:lang w:val="es-ES_tradnl"/>
        </w:rPr>
        <w:t>que, si no respondía según lo solicitado en la recomendación 74/2, recomendaría a las Partes que adoptasen medidas en virtud del punto C de la lista indicativa. En las decisiones XXXII/6 y XXXV/18 ya se había advertido de modo similar a la Parte. Sin embargo, aún no se había recibido más información de</w:t>
      </w:r>
      <w:r w:rsidR="00811032">
        <w:rPr>
          <w:lang w:val="es-ES_tradnl"/>
        </w:rPr>
        <w:t> </w:t>
      </w:r>
      <w:r w:rsidRPr="00A84A5B">
        <w:rPr>
          <w:lang w:val="es-ES_tradnl"/>
        </w:rPr>
        <w:t xml:space="preserve">la Parte. </w:t>
      </w:r>
    </w:p>
    <w:p w14:paraId="29A8270B" w14:textId="24811A11" w:rsidR="00363F74" w:rsidRPr="00A84A5B" w:rsidRDefault="001224C1"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Varios miembros del Comité convinieron en que se trataba de un caso complejo y de larga duración y expresaron su parecer de que ya se habían enviado a la República Popular Democrática de</w:t>
      </w:r>
      <w:r w:rsidR="00811032">
        <w:rPr>
          <w:lang w:val="es-ES_tradnl"/>
        </w:rPr>
        <w:t> </w:t>
      </w:r>
      <w:r w:rsidRPr="00A84A5B">
        <w:rPr>
          <w:lang w:val="es-ES_tradnl"/>
        </w:rPr>
        <w:t>Corea suficientes solicitudes de información, llamamientos para que volviese a la situación de cumplimiento y advertencias. Dichos miembros hicieron notar que la Parte no había respondido a varias solicitudes de información tras la 74ª reunión del Comité y que en la recomendación 74/2 se había indicado que, si la Parte no proporcionaba las respuestas pertinentes solicitadas, el Comité recomendaría medidas más estrictas. Un representante añadió que si la Parte deseaba corregir sus datos</w:t>
      </w:r>
      <w:r w:rsidR="00811032">
        <w:rPr>
          <w:lang w:val="es-ES_tradnl"/>
        </w:rPr>
        <w:t> </w:t>
      </w:r>
      <w:r w:rsidRPr="00A84A5B">
        <w:rPr>
          <w:lang w:val="es-ES_tradnl"/>
        </w:rPr>
        <w:t>para 2021, el procedimiento adecuado para hacerlo sería solicitar una corrección a la Secretaría, acompañada de una nota explicativa, pero la Parte no lo había hecho.</w:t>
      </w:r>
    </w:p>
    <w:p w14:paraId="1248F0C5" w14:textId="2D19C743" w:rsidR="004B7645" w:rsidRPr="00A84A5B" w:rsidRDefault="004B7645"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 proyecto de decisión sobre la República Popular Democrática de Corea reproducido en la sección B del anexo I del presente informe.</w:t>
      </w:r>
    </w:p>
    <w:p w14:paraId="59FDFE88" w14:textId="18B378A1" w:rsidR="00B635BE" w:rsidRPr="00A84A5B" w:rsidRDefault="003D5EAC" w:rsidP="00F012C2">
      <w:pPr>
        <w:pStyle w:val="Recommendation"/>
        <w:rPr>
          <w:lang w:val="es-ES_tradnl"/>
        </w:rPr>
      </w:pPr>
      <w:bookmarkStart w:id="10" w:name="_Hlk213397127"/>
      <w:r w:rsidRPr="00A84A5B">
        <w:rPr>
          <w:lang w:val="es-ES_tradnl"/>
        </w:rPr>
        <w:t>Recomendación 75/2</w:t>
      </w:r>
    </w:p>
    <w:bookmarkEnd w:id="10"/>
    <w:p w14:paraId="4DCD7CA8" w14:textId="1359C82E" w:rsidR="00F85973" w:rsidRPr="00A84A5B" w:rsidRDefault="00811032" w:rsidP="00F85973">
      <w:pPr>
        <w:pStyle w:val="CH3"/>
        <w:keepNext w:val="0"/>
        <w:keepLines w:val="0"/>
        <w:rPr>
          <w:lang w:val="es-ES_tradnl"/>
        </w:rPr>
      </w:pPr>
      <w:r>
        <w:rPr>
          <w:bCs/>
          <w:lang w:val="es-ES_tradnl"/>
        </w:rPr>
        <w:tab/>
      </w:r>
      <w:r w:rsidR="00F85973" w:rsidRPr="00A84A5B">
        <w:rPr>
          <w:bCs/>
          <w:lang w:val="es-ES_tradnl"/>
        </w:rPr>
        <w:t>2.</w:t>
      </w:r>
      <w:r w:rsidR="00F85973" w:rsidRPr="00A84A5B">
        <w:rPr>
          <w:lang w:val="es-ES_tradnl"/>
        </w:rPr>
        <w:tab/>
      </w:r>
      <w:r w:rsidR="00F85973" w:rsidRPr="00A84A5B">
        <w:rPr>
          <w:bCs/>
          <w:lang w:val="es-ES_tradnl"/>
        </w:rPr>
        <w:t>Kazajstán (recomendación 74/3)</w:t>
      </w:r>
    </w:p>
    <w:p w14:paraId="17BB403F" w14:textId="0D3EC314" w:rsidR="00FD29EF" w:rsidRPr="00A84A5B"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11" w:name="_Hlk171523251"/>
      <w:r w:rsidRPr="00A84A5B">
        <w:rPr>
          <w:lang w:val="es-ES_tradnl"/>
        </w:rPr>
        <w:t xml:space="preserve">El representante de la Secretaría recordó que, en la decisión XXIX/14, relativa al incumplimiento por Kazajstán en 2015 y 2016 de las disposiciones del Protocolo de Montreal </w:t>
      </w:r>
      <w:r w:rsidRPr="00A84A5B">
        <w:rPr>
          <w:lang w:val="es-ES_tradnl"/>
        </w:rPr>
        <w:lastRenderedPageBreak/>
        <w:t>que</w:t>
      </w:r>
      <w:r w:rsidR="00D12B17">
        <w:rPr>
          <w:lang w:val="es-ES_tradnl"/>
        </w:rPr>
        <w:t> </w:t>
      </w:r>
      <w:r w:rsidRPr="00A84A5B">
        <w:rPr>
          <w:lang w:val="es-ES_tradnl"/>
        </w:rPr>
        <w:t>rigen el consumo de las sustancias controladas del grupo I del anexo C (HCFC), la 29ª Reunión de las Partes había hecho notar la presentación por parte de Kazajstán de un plan de acción revisado para garantizar el retorno de la Parte a la situación de cumplimiento, con compromisos hasta 2030 para cumplir las medidas de control del Protocolo, y había convenido en seguir vigilando de cerca los progresos de Kazajstán en relación con la aplicación de su plan de acción revisado. En el momento de</w:t>
      </w:r>
      <w:r w:rsidR="00811032">
        <w:rPr>
          <w:lang w:val="es-ES_tradnl"/>
        </w:rPr>
        <w:t> </w:t>
      </w:r>
      <w:r w:rsidRPr="00A84A5B">
        <w:rPr>
          <w:lang w:val="es-ES_tradnl"/>
        </w:rPr>
        <w:t xml:space="preserve">la 74ª reunión, la Parte no había presentado sus datos sobre el consumo de HCFC para 2024 de conformidad con el artículo 7, y el Comité, en su recomendación 74/3, había solicitado a Kazajistán que comunicase esos datos a la Secretaría a más tardar el 15 de septiembre de 2025 para que el Comité pudiese evaluar, en su 75ª reunión, la situación de cumplimiento de Kazajistán. La Parte había cumplido lo solicitado e informó de un consumo de HCFC de 0,25 toneladas para 2024. </w:t>
      </w:r>
      <w:bookmarkEnd w:id="11"/>
    </w:p>
    <w:p w14:paraId="5F3408C1" w14:textId="0701A9FC" w:rsidR="00F85973" w:rsidRPr="00A84A5B"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consiguiente, el Comité convino en hacer notar con aprecio que Kazajstán había presentado sus datos con arreglo al artículo 7 correspondientes a 2024, que confirmaban que la Parte había cumplido el compromiso que figuraba en el plan de acción para volver a una situación de cumplimiento con respecto a ese año y se recogía en la decisión XXIX/14.</w:t>
      </w:r>
    </w:p>
    <w:p w14:paraId="6A40B824" w14:textId="2BAF064A" w:rsidR="00F85973" w:rsidRPr="00A84A5B" w:rsidRDefault="00811032" w:rsidP="00F85973">
      <w:pPr>
        <w:pStyle w:val="CH3"/>
        <w:keepNext w:val="0"/>
        <w:keepLines w:val="0"/>
        <w:rPr>
          <w:lang w:val="es-ES_tradnl"/>
        </w:rPr>
      </w:pPr>
      <w:r>
        <w:rPr>
          <w:bCs/>
          <w:lang w:val="es-ES_tradnl"/>
        </w:rPr>
        <w:tab/>
      </w:r>
      <w:r w:rsidR="00F85973" w:rsidRPr="00A84A5B">
        <w:rPr>
          <w:bCs/>
          <w:lang w:val="es-ES_tradnl"/>
        </w:rPr>
        <w:t>3.</w:t>
      </w:r>
      <w:r w:rsidR="00F85973" w:rsidRPr="00A84A5B">
        <w:rPr>
          <w:lang w:val="es-ES_tradnl"/>
        </w:rPr>
        <w:tab/>
      </w:r>
      <w:r w:rsidR="00F85973" w:rsidRPr="00A84A5B">
        <w:rPr>
          <w:bCs/>
          <w:lang w:val="es-ES_tradnl"/>
        </w:rPr>
        <w:t>Libia (recomendación 74/4)</w:t>
      </w:r>
    </w:p>
    <w:p w14:paraId="4FE529B9" w14:textId="7D3C530E" w:rsidR="00F85973" w:rsidRPr="00A84A5B"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representante de la Secretaría recordó que, en la decisión XXVII/11, relativa al incumplimiento del Protocolo de Montreal por parte de Libia, la 27ª Reunión de las Partes había hecho</w:t>
      </w:r>
      <w:r w:rsidR="00D12B17">
        <w:rPr>
          <w:lang w:val="es-ES_tradnl"/>
        </w:rPr>
        <w:t> </w:t>
      </w:r>
      <w:r w:rsidRPr="00A84A5B">
        <w:rPr>
          <w:lang w:val="es-ES_tradnl"/>
        </w:rPr>
        <w:t>notar que Libia se había comprometido a imponer, en un futuro próximo, una prohibición de la adquisición de equipos de aire acondicionado que contuviesen HCFC y a considerar la posibilidad de prohibir la importación de dichos equipos. En su recomendación 74/4, el Comité había invitado a Libia a presentar información sobre los equipos de refrigeración y aire acondicionado que contuviesen HCFC ya almacenados antes de la entrada en vigor de la prohibición de importación y adquisición. También se había solicitado a la Parte que proporcionase información actualizada sobre el número de ministerios e instituciones públicas, y su situación en cuanto a la aplicación de la prohibición de adquisiciones, preferiblemente no más tarde del 15 de septiembre de 2025, para que el Comité de Aplicación la examinase en su 75ª reunión. La Parte había cumplido lo solicitado y había presentado un informe sobre los avances realizados en el cumplimiento de la prohibición de importar y adquirir equipos de aire acondicionado y refrigeración que contuviesen HCFC.</w:t>
      </w:r>
    </w:p>
    <w:p w14:paraId="257E8696" w14:textId="0FE0C230" w:rsidR="00F85973" w:rsidRPr="00A84A5B"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Según ese informe sobre la marcha de los trabajos, no </w:t>
      </w:r>
      <w:r w:rsidR="009C4BEF" w:rsidRPr="00A84A5B">
        <w:rPr>
          <w:lang w:val="es-ES_tradnl"/>
        </w:rPr>
        <w:t>había</w:t>
      </w:r>
      <w:r w:rsidRPr="00A84A5B">
        <w:rPr>
          <w:lang w:val="es-ES_tradnl"/>
        </w:rPr>
        <w:t xml:space="preserve"> existencias de equipos de aire acondicionado o refrigeración que contuviesen HCFC en el Gobierno ni en las instituciones estatales; las inspecciones ambientales realizadas en 2025 en Bengasi, Misurata y Trípoli habían confirmado que</w:t>
      </w:r>
      <w:r w:rsidR="00811032">
        <w:rPr>
          <w:lang w:val="es-ES_tradnl"/>
        </w:rPr>
        <w:t> </w:t>
      </w:r>
      <w:r w:rsidRPr="00A84A5B">
        <w:rPr>
          <w:lang w:val="es-ES_tradnl"/>
        </w:rPr>
        <w:t>solo había cantidades mínimas de unidades que contuviesen HCFC en el mercado comercial, ya que las alternativas eran más baratas y dominaban las ventas; no se habían expedido nuevas licencias de importación para equipos que utilizasen HCFC desde la adopción de la decisión núm. 165 de 2025 por parte del Ministro de Medio Ambiente, y los datos oficiales de 2024 mostraban que las unidades de HCFC-22 importadas a través del puerto de Misurata representaban solo el 0,4 % del total de las importaciones. Además, entre octubre de 2025 y septiembre de 2026 se llevaría a cabo un proyecto de estudio nacional, supervisado por la Organización de las Naciones Unidas para el Desarrollo Industrial (ONUDI), con pleno apoyo logístico y de datos por parte del Gobierno. Todos los ministerios e instituciones cumplían la directiva que prohibía las nuevas instalaciones a base de HCFC, que era jurídicamente vinculante en virtud de la Ley de Protección y Mejora del Medio Ambiente de 2003 y se</w:t>
      </w:r>
      <w:r w:rsidR="00811032">
        <w:rPr>
          <w:lang w:val="es-ES_tradnl"/>
        </w:rPr>
        <w:t> </w:t>
      </w:r>
      <w:r w:rsidRPr="00A84A5B">
        <w:rPr>
          <w:lang w:val="es-ES_tradnl"/>
        </w:rPr>
        <w:t>aplicaba mediante normas de contratación pública; la contratación pública utilizaba el criterio del precio más bajo y los equipos sin HCFC eran más baratos y estaban disponibles ampliamente; y no se</w:t>
      </w:r>
      <w:r w:rsidR="00811032">
        <w:rPr>
          <w:lang w:val="es-ES_tradnl"/>
        </w:rPr>
        <w:t> </w:t>
      </w:r>
      <w:r w:rsidRPr="00A84A5B">
        <w:rPr>
          <w:lang w:val="es-ES_tradnl"/>
        </w:rPr>
        <w:t>habían asignado presupuestos recientes para la compra de equipos considerables o nuevas instalaciones.</w:t>
      </w:r>
    </w:p>
    <w:p w14:paraId="01FDDCF2" w14:textId="47C55DCE" w:rsidR="00F85973" w:rsidRPr="00A84A5B"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Un miembro pidió más información sobre el estudio nacional que llevaría a cabo la ONUDI. La representante de la ONUDI explicó que el estudio formaba parte de un proyecto sobre la preparación de inventarios nacionales de bancos de sustancias controladas usadas o no deseadas y un plan para la gestión de dichos bancos. El proyecto había sido aprobado en el marco de la ventanilla de financiación del Fondo Multilateral establecida en la decisión 91/66 del Comité Ejecutivo. El estudio debía realizarse entre octubre de 2025 y septiembre de 2026, con la ONUDI como organismo principal encargado de su ejecución. La ONUDI había identificado y subcontratado a una agencia especializada de Egipto y estaba ayudando a la agencia a obtener los visados necesarios y organizando la logística para que pudiese realizar el estudio. Dada la difícil situación en el país, se había previsto un plazo amplio para la realización del estudio.</w:t>
      </w:r>
    </w:p>
    <w:p w14:paraId="75545DE9" w14:textId="64B4DBF5" w:rsidR="00F012C2" w:rsidRPr="00A84A5B" w:rsidRDefault="00F012C2"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 proyecto de decisión sobre Libia, reproducido en la sección C del anexo I del presente informe.</w:t>
      </w:r>
    </w:p>
    <w:p w14:paraId="7A9B8EE9" w14:textId="5D0F04E7" w:rsidR="00F012C2" w:rsidRPr="00A84A5B" w:rsidRDefault="00F012C2" w:rsidP="00F012C2">
      <w:pPr>
        <w:pStyle w:val="Recommendation"/>
        <w:rPr>
          <w:lang w:val="es-ES_tradnl"/>
        </w:rPr>
      </w:pPr>
      <w:r w:rsidRPr="00A84A5B">
        <w:rPr>
          <w:lang w:val="es-ES_tradnl"/>
        </w:rPr>
        <w:t>Recomendación 75/3</w:t>
      </w:r>
    </w:p>
    <w:p w14:paraId="10A50373" w14:textId="0A4D24AD" w:rsidR="00FE4F9C" w:rsidRPr="00A84A5B" w:rsidRDefault="00811032" w:rsidP="000021C8">
      <w:pPr>
        <w:pStyle w:val="CH1"/>
        <w:rPr>
          <w:lang w:val="es-ES_tradnl"/>
        </w:rPr>
      </w:pPr>
      <w:r>
        <w:rPr>
          <w:bCs/>
          <w:lang w:val="es-ES_tradnl"/>
        </w:rPr>
        <w:lastRenderedPageBreak/>
        <w:tab/>
      </w:r>
      <w:r w:rsidR="00FE4F9C" w:rsidRPr="00A84A5B">
        <w:rPr>
          <w:bCs/>
          <w:lang w:val="es-ES_tradnl"/>
        </w:rPr>
        <w:t>VI.</w:t>
      </w:r>
      <w:r w:rsidR="00FE4F9C" w:rsidRPr="00A84A5B">
        <w:rPr>
          <w:lang w:val="es-ES_tradnl"/>
        </w:rPr>
        <w:tab/>
      </w:r>
      <w:r w:rsidR="00FE4F9C" w:rsidRPr="00A84A5B">
        <w:rPr>
          <w:bCs/>
          <w:lang w:val="es-ES_tradnl"/>
        </w:rPr>
        <w:t>Examen de otras cuestiones relativas a posibles incumplimientos inferidas de la presentación de datos</w:t>
      </w:r>
    </w:p>
    <w:p w14:paraId="25820E59" w14:textId="4E261D38"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Al presentar el tema, el representante de la Secretaría señaló el informe de la Secretaría sobre la información relativa a los casos relacionados con el cumplimiento de las obligaciones contraídas en</w:t>
      </w:r>
      <w:r w:rsidR="00811032">
        <w:rPr>
          <w:lang w:val="es-ES_tradnl"/>
        </w:rPr>
        <w:t> </w:t>
      </w:r>
      <w:r w:rsidRPr="00A84A5B">
        <w:rPr>
          <w:lang w:val="es-ES_tradnl"/>
        </w:rPr>
        <w:t>virtud del Protocolo de Montreal relativo a las Sustancias que Agotan la Capa de Ozono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/75/R.3) y su adición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/75/R.3/Add.1). Se había enviado a los miembros información adicional sobre Malí por correo electrónico, ya que los tres meses</w:t>
      </w:r>
      <w:r w:rsidR="00811032">
        <w:rPr>
          <w:lang w:val="es-ES_tradnl"/>
        </w:rPr>
        <w:t> </w:t>
      </w:r>
      <w:r w:rsidRPr="00A84A5B">
        <w:rPr>
          <w:lang w:val="es-ES_tradnl"/>
        </w:rPr>
        <w:t>mencionados en el párrafo 3 del procedimiento de incumplimiento para que una Parte respondiese a una solicitud de la Secretaría de información adicional o resolución de la cuestión mediante medidas administrativas o contactos diplomáticos habían transcurrido solo dos días antes de</w:t>
      </w:r>
      <w:r w:rsidR="00811032">
        <w:rPr>
          <w:lang w:val="es-ES_tradnl"/>
        </w:rPr>
        <w:t> </w:t>
      </w:r>
      <w:r w:rsidRPr="00A84A5B">
        <w:rPr>
          <w:lang w:val="es-ES_tradnl"/>
        </w:rPr>
        <w:t>la reunión en curso.</w:t>
      </w:r>
    </w:p>
    <w:p w14:paraId="096D2F52" w14:textId="7A8EA487" w:rsidR="00FE4F9C" w:rsidRPr="00A84A5B" w:rsidRDefault="000021C8" w:rsidP="000021C8">
      <w:pPr>
        <w:pStyle w:val="CH3"/>
        <w:rPr>
          <w:lang w:val="es-ES_tradnl"/>
        </w:rPr>
      </w:pPr>
      <w:r w:rsidRPr="00A84A5B">
        <w:rPr>
          <w:lang w:val="es-ES_tradnl"/>
        </w:rPr>
        <w:tab/>
      </w:r>
      <w:r w:rsidRPr="00A84A5B">
        <w:rPr>
          <w:lang w:val="es-ES_tradnl"/>
        </w:rPr>
        <w:tab/>
      </w:r>
      <w:r w:rsidRPr="00A84A5B">
        <w:rPr>
          <w:bCs/>
          <w:lang w:val="es-ES_tradnl"/>
        </w:rPr>
        <w:t>Israel</w:t>
      </w:r>
    </w:p>
    <w:p w14:paraId="3CBD1F1A" w14:textId="39443F8B"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Israel había comunicado sus datos para 2024 el 30 de septiembre de 2025. El país había notificado un consumo para 2024 de 4,33 toneladas de potencial de agotamiento del ozono (PAO) de HCFC, mientras que el límite para la Parte para ese año era de 1,60 toneladas PAO. Al presentar sus datos, Israel había reconocido que su consumo superaba el límite establecido en virtud del Protocolo y</w:t>
      </w:r>
      <w:r w:rsidR="00811032">
        <w:rPr>
          <w:lang w:val="es-ES_tradnl"/>
        </w:rPr>
        <w:t> </w:t>
      </w:r>
      <w:r w:rsidRPr="00A84A5B">
        <w:rPr>
          <w:lang w:val="es-ES_tradnl"/>
        </w:rPr>
        <w:t>había declarado que el exceso de consumo se debía a circunstancias nacionales extraordinarias, relacionadas principalmente con la salud y la seguridad de la población civil en medio del conflicto armado prolongado e intenso en curso. Los HCFC fueron utilizados por los sectores de defensa y salud para mantener operaciones críticas, ya que no existían alternativas viables disponibles. Israel había declarado además que el aumento era temporal y que preveía que el consumo para 2025 se mantendría dentro de los límites. Israel también había declarado que estaba examinando activamente la necesidad de continuar con el exceso de importaciones y que el sector de la defensa aplicaría procedimientos de adquisición actualizados con el fin de garantizar que, en la medida de lo posible, las nuevas adquisiciones se basa</w:t>
      </w:r>
      <w:r w:rsidR="00287946" w:rsidRPr="00A84A5B">
        <w:rPr>
          <w:lang w:val="es-ES_tradnl"/>
        </w:rPr>
        <w:t>s</w:t>
      </w:r>
      <w:r w:rsidRPr="00A84A5B">
        <w:rPr>
          <w:lang w:val="es-ES_tradnl"/>
        </w:rPr>
        <w:t>en únicamente en equipos con refrigerantes no controlados.</w:t>
      </w:r>
    </w:p>
    <w:p w14:paraId="3E5EF8C5" w14:textId="2A9C207B"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Posteriormente, la Parte también había declarado que seguía comprometida con cumplir plenamente sus obligaciones de eliminación de los HCFC lo antes posible y que ya se había comenzado a trabajar en un plan de acción para volver a la situación de cumplimiento. La Parte no había podido finalizar el plan a tiempo para su presentación al Comité en la reunión actual.</w:t>
      </w:r>
    </w:p>
    <w:p w14:paraId="5C7A6C9D" w14:textId="47ED18F5"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representante de la Secretaría propuso que se invitase a un representante de Israel a asistir a la 76ª reunión del Comité, en la que se esperaba que el Comité examinase el plan de acción de Israel.</w:t>
      </w:r>
    </w:p>
    <w:p w14:paraId="5FA5B513" w14:textId="71FA033D" w:rsidR="00FE4F9C" w:rsidRPr="00A84A5B" w:rsidRDefault="00FE4F9C"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Comité acordó lo siguiente:</w:t>
      </w:r>
    </w:p>
    <w:p w14:paraId="22DDE68B" w14:textId="60FF5B19" w:rsidR="000C4F55" w:rsidRPr="00A84A5B" w:rsidRDefault="000C4F55" w:rsidP="009A7CD1">
      <w:pPr>
        <w:pStyle w:val="Indent"/>
        <w:numPr>
          <w:ilvl w:val="0"/>
          <w:numId w:val="397"/>
        </w:numPr>
        <w:ind w:left="1276" w:firstLine="595"/>
        <w:rPr>
          <w:lang w:val="es-ES_tradnl"/>
        </w:rPr>
      </w:pPr>
      <w:r w:rsidRPr="00A84A5B">
        <w:rPr>
          <w:lang w:val="es-ES_tradnl"/>
        </w:rPr>
        <w:t>Hacer notar la comunicación presentada por Israel en virtud del párrafo 4 del procedimiento de incumplimiento y la explicación proporcionada en relación con el consumo correspondiente a 2024 de 4,33 toneladas de potencial de agotamiento del ozono (PAO) de hidroclorofluorocarbonos por encima del límite establecido para la Parte para ese año, que era de</w:t>
      </w:r>
      <w:r w:rsidR="00811032">
        <w:rPr>
          <w:lang w:val="es-ES_tradnl"/>
        </w:rPr>
        <w:t> </w:t>
      </w:r>
      <w:r w:rsidRPr="00A84A5B">
        <w:rPr>
          <w:lang w:val="es-ES_tradnl"/>
        </w:rPr>
        <w:t>1,6</w:t>
      </w:r>
      <w:r w:rsidR="002221F9" w:rsidRPr="00A84A5B">
        <w:rPr>
          <w:lang w:val="es-ES_tradnl"/>
        </w:rPr>
        <w:t> </w:t>
      </w:r>
      <w:r w:rsidRPr="00A84A5B">
        <w:rPr>
          <w:lang w:val="es-ES_tradnl"/>
        </w:rPr>
        <w:t xml:space="preserve">toneladas PAO; </w:t>
      </w:r>
    </w:p>
    <w:p w14:paraId="35E23811" w14:textId="013ABEDC" w:rsidR="000C4F55" w:rsidRPr="00A84A5B" w:rsidRDefault="000C4F55" w:rsidP="009A7CD1">
      <w:pPr>
        <w:pStyle w:val="Indent"/>
        <w:numPr>
          <w:ilvl w:val="0"/>
          <w:numId w:val="397"/>
        </w:numPr>
        <w:ind w:left="1276" w:firstLine="595"/>
        <w:rPr>
          <w:lang w:val="es-ES_tradnl"/>
        </w:rPr>
      </w:pPr>
      <w:r w:rsidRPr="00A84A5B">
        <w:rPr>
          <w:lang w:val="es-ES_tradnl"/>
        </w:rPr>
        <w:t>Hacer notar también que la Parte había indicado que estaba elaborando un plan de acción para garantizar su retorno a la situación de cumplimiento de las medidas de control del Protocolo de Montreal relativas a los hidroclorofluorocarbonos, pero que el escaso tiempo disponible no había permitido presentar el plan para su examen por el Comité en su 75ª reunión</w:t>
      </w:r>
      <w:r w:rsidR="002E4EF6" w:rsidRPr="00A84A5B">
        <w:rPr>
          <w:lang w:val="es-ES_tradnl"/>
        </w:rPr>
        <w:t>;</w:t>
      </w:r>
    </w:p>
    <w:p w14:paraId="428DA849" w14:textId="7F010607" w:rsidR="000C4F55" w:rsidRPr="00A84A5B" w:rsidRDefault="000C4F55" w:rsidP="009A7CD1">
      <w:pPr>
        <w:pStyle w:val="Indent"/>
        <w:numPr>
          <w:ilvl w:val="0"/>
          <w:numId w:val="397"/>
        </w:numPr>
        <w:ind w:left="1276" w:firstLine="595"/>
        <w:rPr>
          <w:lang w:val="es-ES_tradnl"/>
        </w:rPr>
      </w:pPr>
      <w:r w:rsidRPr="00A84A5B">
        <w:rPr>
          <w:lang w:val="es-ES_tradnl"/>
        </w:rPr>
        <w:t>Solicitar a Israel que presente su plan de acción con carácter urgente y a más tardar el</w:t>
      </w:r>
      <w:r w:rsidR="00811032">
        <w:rPr>
          <w:lang w:val="es-ES_tradnl"/>
        </w:rPr>
        <w:t> </w:t>
      </w:r>
      <w:r w:rsidRPr="00A84A5B">
        <w:rPr>
          <w:lang w:val="es-ES_tradnl"/>
        </w:rPr>
        <w:t>31 de marzo de 2026 para que el Comité lo examine en su 76ª reunión, e invitar a Israel a que envíe un representante a dicha reunión.</w:t>
      </w:r>
    </w:p>
    <w:p w14:paraId="06EB07FE" w14:textId="6CE6F04B" w:rsidR="000C4F55" w:rsidRPr="00A84A5B" w:rsidRDefault="0077595D" w:rsidP="0077595D">
      <w:pPr>
        <w:pStyle w:val="Recommendation"/>
        <w:rPr>
          <w:lang w:val="es-ES_tradnl"/>
        </w:rPr>
      </w:pPr>
      <w:r w:rsidRPr="00A84A5B">
        <w:rPr>
          <w:lang w:val="es-ES_tradnl"/>
        </w:rPr>
        <w:t>Recomendación 75/4</w:t>
      </w:r>
    </w:p>
    <w:p w14:paraId="73208546" w14:textId="37E5EDB0" w:rsidR="00FE4F9C" w:rsidRPr="00A84A5B" w:rsidRDefault="000021C8" w:rsidP="000021C8">
      <w:pPr>
        <w:pStyle w:val="CH3"/>
        <w:rPr>
          <w:lang w:val="es-ES_tradnl"/>
        </w:rPr>
      </w:pPr>
      <w:r w:rsidRPr="00A84A5B">
        <w:rPr>
          <w:lang w:val="es-ES_tradnl"/>
        </w:rPr>
        <w:tab/>
      </w:r>
      <w:r w:rsidRPr="00A84A5B">
        <w:rPr>
          <w:lang w:val="es-ES_tradnl"/>
        </w:rPr>
        <w:tab/>
      </w:r>
      <w:r w:rsidRPr="00A84A5B">
        <w:rPr>
          <w:bCs/>
          <w:lang w:val="es-ES_tradnl"/>
        </w:rPr>
        <w:t>San Vicente y las Granadinas</w:t>
      </w:r>
    </w:p>
    <w:p w14:paraId="41A5B36F" w14:textId="5695175E"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San Vicente y las Granadinas había comunicado sus datos para 2024 el 5 de febrero de 2025. El país había notificado un consumo para 2024 de 45.975 toneladas de CO</w:t>
      </w:r>
      <w:r w:rsidRPr="00A84A5B">
        <w:rPr>
          <w:vertAlign w:val="subscript"/>
          <w:lang w:val="es-ES_tradnl"/>
        </w:rPr>
        <w:t>2</w:t>
      </w:r>
      <w:r w:rsidRPr="00A84A5B">
        <w:rPr>
          <w:lang w:val="es-ES_tradnl"/>
        </w:rPr>
        <w:t xml:space="preserve"> equivalente de HFC, mientras que su nivel de base era de 25.280 toneladas de CO</w:t>
      </w:r>
      <w:r w:rsidRPr="00A84A5B">
        <w:rPr>
          <w:vertAlign w:val="subscript"/>
          <w:lang w:val="es-ES_tradnl"/>
        </w:rPr>
        <w:t xml:space="preserve">2 </w:t>
      </w:r>
      <w:r w:rsidRPr="00A84A5B">
        <w:rPr>
          <w:lang w:val="es-ES_tradnl"/>
        </w:rPr>
        <w:t>equivalente. Por lo tanto, la Secretaría había escrito a la Parte el 25 de julio de 2025 para solicitar una aclaración. La Parte había indicado que el consumo excesivo se debía a una serie de circunstancias excepcionales que habían influido en los niveles de consumo en los años posteriores a los años de referencia. Entre esos elementos figuraban las</w:t>
      </w:r>
      <w:r w:rsidR="00811032">
        <w:rPr>
          <w:lang w:val="es-ES_tradnl"/>
        </w:rPr>
        <w:t> </w:t>
      </w:r>
      <w:r w:rsidRPr="00A84A5B">
        <w:rPr>
          <w:lang w:val="es-ES_tradnl"/>
        </w:rPr>
        <w:t xml:space="preserve">repercusiones de la erupción del volcán La </w:t>
      </w:r>
      <w:proofErr w:type="spellStart"/>
      <w:r w:rsidRPr="00A84A5B">
        <w:rPr>
          <w:lang w:val="es-ES_tradnl"/>
        </w:rPr>
        <w:t>Souffrière</w:t>
      </w:r>
      <w:proofErr w:type="spellEnd"/>
      <w:r w:rsidRPr="00A84A5B">
        <w:rPr>
          <w:lang w:val="es-ES_tradnl"/>
        </w:rPr>
        <w:t xml:space="preserve"> en 2021, inmediatamente después de la pandemia de enfermedad por coronavirus (COVID-19); la contracción económica seguida de un período de rápida recuperación caracterizado por una importante reconstrucción e inversión, y una </w:t>
      </w:r>
      <w:r w:rsidRPr="00A84A5B">
        <w:rPr>
          <w:lang w:val="es-ES_tradnl"/>
        </w:rPr>
        <w:lastRenderedPageBreak/>
        <w:t>ampliación de la capacidad de refrigeración doméstica y comercial para combatir el aumento de las temperaturas mundiales en medio del esfuerzo nacional por recuperarse de la erupción volcánica. Además, la Parte había explicado las iniciativas que había previsto como preparación de la aplicación del plan de ejecución de las actividades relativas a los HFC conforme a la Enmienda de Kigali para el país y había reafirmado su compromiso con los objetivos del Protocolo de Montreal y su Enmienda de</w:t>
      </w:r>
      <w:r w:rsidR="00156D80">
        <w:rPr>
          <w:lang w:val="es-ES_tradnl"/>
        </w:rPr>
        <w:t> </w:t>
      </w:r>
      <w:r w:rsidRPr="00A84A5B">
        <w:rPr>
          <w:lang w:val="es-ES_tradnl"/>
        </w:rPr>
        <w:t>Kigali.</w:t>
      </w:r>
    </w:p>
    <w:p w14:paraId="0CE17D79" w14:textId="236C83E7"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Además, la Parte había presentado un</w:t>
      </w:r>
      <w:r w:rsidR="000A0A4B" w:rsidRPr="00A84A5B">
        <w:rPr>
          <w:lang w:val="es-ES_tradnl"/>
        </w:rPr>
        <w:t>a propuesta de</w:t>
      </w:r>
      <w:r w:rsidRPr="00A84A5B">
        <w:rPr>
          <w:lang w:val="es-ES_tradnl"/>
        </w:rPr>
        <w:t xml:space="preserve"> plan de acción que contenía una serie de parámetros de referencia para volver a la situación de cumplimiento en 2034. La Parte también había descrito las políticas que podría implementar, como la promulgación, para 2030, de normativas revisadas para fortalecer y mantener la vigilancia y la aplicación de su sistema de cupos y concesión de licencias; la introducción, para 2030, de programas obligatorios de formación y certificación sobre el uso y manejo seguros de tecnologías alternativas para los</w:t>
      </w:r>
      <w:r w:rsidR="00DD0B5D" w:rsidRPr="00A84A5B">
        <w:rPr>
          <w:lang w:val="es-ES_tradnl"/>
        </w:rPr>
        <w:t xml:space="preserve"> técnicos</w:t>
      </w:r>
      <w:r w:rsidRPr="00A84A5B">
        <w:rPr>
          <w:lang w:val="es-ES_tradnl"/>
        </w:rPr>
        <w:t xml:space="preserve"> nuevos y los </w:t>
      </w:r>
      <w:r w:rsidR="00DD0B5D" w:rsidRPr="00A84A5B">
        <w:rPr>
          <w:lang w:val="es-ES_tradnl"/>
        </w:rPr>
        <w:t>ya</w:t>
      </w:r>
      <w:r w:rsidRPr="00A84A5B">
        <w:rPr>
          <w:lang w:val="es-ES_tradnl"/>
        </w:rPr>
        <w:t xml:space="preserve"> existentes que deseasen progresar en la estructura de certificación; la aplicación, para 2035, de una prohibición de los equipos a base de HFC con alto potencial de calentamiento atmosférico o el establecimiento de una política de reducción gradual de las importaciones de equipos a base de HFC con alto potencial de calentamiento atmosférico; la realización, para 2035, de una evaluación exhaustiva de las necesidades del mercado con el fin de fundamentar la estrategia nacional para la transición hacia alternativas sostenibles, y la realización, para 2035, de campañas de sensibilización de los interesados con el fin de aumentar la presión sobre los importadores y minoristas para que ofrezcan opciones eficientes desde el punto de vista energético y con bajo potencial de calentamiento atmosférico.</w:t>
      </w:r>
    </w:p>
    <w:p w14:paraId="41973DC2" w14:textId="7F6D6561"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Algunos miembros expresaron su preocupación por el hecho de que el plan de acción abarca</w:t>
      </w:r>
      <w:r w:rsidR="0021151D" w:rsidRPr="00A84A5B">
        <w:rPr>
          <w:lang w:val="es-ES_tradnl"/>
        </w:rPr>
        <w:t>ba</w:t>
      </w:r>
      <w:r w:rsidRPr="00A84A5B">
        <w:rPr>
          <w:lang w:val="es-ES_tradnl"/>
        </w:rPr>
        <w:t xml:space="preserve"> el período hasta 2035 y que la Parte no volvería a la situación de cumplimiento antes de 2034. El Comité solicitó a la Secretaría que se pusiese en contacto con la Parte para solicitar aclaraciones sobre</w:t>
      </w:r>
      <w:r w:rsidR="00D12B17">
        <w:rPr>
          <w:lang w:val="es-ES_tradnl"/>
        </w:rPr>
        <w:t> </w:t>
      </w:r>
      <w:r w:rsidRPr="00A84A5B">
        <w:rPr>
          <w:lang w:val="es-ES_tradnl"/>
        </w:rPr>
        <w:t>las cuestiones planteadas.</w:t>
      </w:r>
    </w:p>
    <w:p w14:paraId="62291B29" w14:textId="73E9A47B"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Posteriormente, el representante de la Secretaría informó de que se había recibido una respuesta de la Parte, por correo electrónico, y que el mensaje se había remitido a los miembros. En el mensaje San Vicente y las Granadinas indicaba los sectores en los que había realizado una evaluación rápida del sector de mantenimiento de equipos de refrigeración y aire acondicionado antes de presentar el plan de acción. Esa evaluación había detectado una gran cantidad de equipos a base de HFC que aún estaban en funcionamiento y que se esperaba que hubiesen llegado al final de su vida útil para 2035. El</w:t>
      </w:r>
      <w:r w:rsidR="00156D80">
        <w:rPr>
          <w:lang w:val="es-ES_tradnl"/>
        </w:rPr>
        <w:t> </w:t>
      </w:r>
      <w:r w:rsidRPr="00A84A5B">
        <w:rPr>
          <w:lang w:val="es-ES_tradnl"/>
        </w:rPr>
        <w:t>plazo hasta 2035 permitiría la transición del mercado hacia alternativas con bajo potencial de calentamiento atmosférico. Además, tras la recesión económica mundial derivada de la pandemia de COVID-19, el país se había embarcado en una trayectoria de desarrollo económico, especialmente en</w:t>
      </w:r>
      <w:r w:rsidR="00156D80">
        <w:rPr>
          <w:lang w:val="es-ES_tradnl"/>
        </w:rPr>
        <w:t> </w:t>
      </w:r>
      <w:r w:rsidRPr="00A84A5B">
        <w:rPr>
          <w:lang w:val="es-ES_tradnl"/>
        </w:rPr>
        <w:t>los sectores de la refrigeración y el aire acondicionado, la agricultura intensiva y el turismo. Esto había</w:t>
      </w:r>
      <w:r w:rsidR="00156D80">
        <w:rPr>
          <w:lang w:val="es-ES_tradnl"/>
        </w:rPr>
        <w:t> </w:t>
      </w:r>
      <w:r w:rsidRPr="00A84A5B">
        <w:rPr>
          <w:lang w:val="es-ES_tradnl"/>
        </w:rPr>
        <w:t>dado lugar a la construcción de un complejo turístico, hoteles y unas instalaciones portuarias modernas, así como la reconstrucción de escuelas, clínicas y otras infraestructuras gubernamentales. Además, el mensaje indicaba que San Vicente y las Granadinas, como país con un bajo volumen de consumo y pequeño Estado insular en desarrollo con oportunidades limitadas para las economías de escala, se enfrentaba a unos costos unitarios más elevados para la importación y la transición a nuevas tecnologías. Un período de transición hasta 2035 permitiría recuperar las inversiones realizadas y minimizar la carga económica para el Gobierno, las pequeñas empresas y los usuarios finales.</w:t>
      </w:r>
    </w:p>
    <w:p w14:paraId="5E03CC02" w14:textId="24DCEC1B"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una pregunta formulada por un miembro, la Oficial Jefe de la Secretaría del Fondo Multilateral dijo que la Parte aún no había presentado un plan de ejecución de las actividades relativas a los HFC conforme a la Enmienda de Kigali, pero que se le había aprobado la financiación para la preparación de dicho plan. El representante del PNUMA dijo que el plan de ejecución de las actividades relativas a los HFC conforme a la Enmienda de Kigali para el país debía presentarse al Comité Ejecutivo en su 98ª reunión. Teniendo en cuenta el plazo previsto en el plan de acción, un miembro sugirió que el plan de ejecución de las actividades relativas a los HFC conforme a la Enmienda de Kigali quizás podría ser más ambicioso.</w:t>
      </w:r>
    </w:p>
    <w:p w14:paraId="52B659F1" w14:textId="6E1F4143"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Muchos miembros consideraron que el plazo previsto en el plan de acción era demasiado largo. </w:t>
      </w:r>
      <w:proofErr w:type="gramStart"/>
      <w:r w:rsidRPr="00A84A5B">
        <w:rPr>
          <w:lang w:val="es-ES_tradnl"/>
        </w:rPr>
        <w:t>Una de ellos</w:t>
      </w:r>
      <w:proofErr w:type="gramEnd"/>
      <w:r w:rsidRPr="00A84A5B">
        <w:rPr>
          <w:lang w:val="es-ES_tradnl"/>
        </w:rPr>
        <w:t xml:space="preserve"> propuso que se pidiese a la Parte que lo acortase para que concluyese en 2029. Una</w:t>
      </w:r>
      <w:r w:rsidR="00156D80">
        <w:rPr>
          <w:lang w:val="es-ES_tradnl"/>
        </w:rPr>
        <w:t> </w:t>
      </w:r>
      <w:r w:rsidRPr="00A84A5B">
        <w:rPr>
          <w:lang w:val="es-ES_tradnl"/>
        </w:rPr>
        <w:t>miembro propuso pedir a la Parte que revisase su plan de acción, mientras que otro miembro sugirió que hacerlo solo tendría sentido después de la presentación del plan de ejecución de las actividades relativas a los HFC conforme a la Enmienda de Kigali, a fin de garantizar que el plan de</w:t>
      </w:r>
      <w:r w:rsidR="00156D80">
        <w:rPr>
          <w:lang w:val="es-ES_tradnl"/>
        </w:rPr>
        <w:t> </w:t>
      </w:r>
      <w:r w:rsidRPr="00A84A5B">
        <w:rPr>
          <w:lang w:val="es-ES_tradnl"/>
        </w:rPr>
        <w:t>acción estuviese en consonancia con dicho plan de ejecución.</w:t>
      </w:r>
    </w:p>
    <w:p w14:paraId="76176FE3" w14:textId="4A5A9536" w:rsidR="0077595D" w:rsidRPr="00A84A5B" w:rsidRDefault="0077595D"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 proyecto de decisión sobre San Vicente y las Granadinas, reproducido en la sección D del anexo I del presente informe.</w:t>
      </w:r>
    </w:p>
    <w:p w14:paraId="38A55E00" w14:textId="00F6CD4C" w:rsidR="00FE4F9C" w:rsidRPr="00A84A5B" w:rsidRDefault="0077595D" w:rsidP="0077595D">
      <w:pPr>
        <w:pStyle w:val="Recommendation"/>
        <w:rPr>
          <w:lang w:val="es-ES_tradnl"/>
        </w:rPr>
      </w:pPr>
      <w:r w:rsidRPr="00A84A5B">
        <w:rPr>
          <w:lang w:val="es-ES_tradnl"/>
        </w:rPr>
        <w:t>Recomendación 75/5</w:t>
      </w:r>
    </w:p>
    <w:p w14:paraId="3B13EB9C" w14:textId="457CD73A" w:rsidR="00FE4F9C" w:rsidRPr="00A84A5B" w:rsidRDefault="000021C8" w:rsidP="000021C8">
      <w:pPr>
        <w:pStyle w:val="CH3"/>
        <w:rPr>
          <w:lang w:val="es-ES_tradnl"/>
        </w:rPr>
      </w:pPr>
      <w:r w:rsidRPr="00A84A5B">
        <w:rPr>
          <w:lang w:val="es-ES_tradnl"/>
        </w:rPr>
        <w:lastRenderedPageBreak/>
        <w:tab/>
      </w:r>
      <w:r w:rsidRPr="00A84A5B">
        <w:rPr>
          <w:lang w:val="es-ES_tradnl"/>
        </w:rPr>
        <w:tab/>
      </w:r>
      <w:r w:rsidRPr="00A84A5B">
        <w:rPr>
          <w:bCs/>
          <w:lang w:val="es-ES_tradnl"/>
        </w:rPr>
        <w:t>Tayikistán</w:t>
      </w:r>
    </w:p>
    <w:p w14:paraId="06428FB3" w14:textId="514B42CC"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Tayikistán había comunicado sus datos para 2023 el 28 de octubre de 2024. El país había notificado un consumo correspondiente a 2023 de 457.613 toneladas de CO</w:t>
      </w:r>
      <w:r w:rsidRPr="00A84A5B">
        <w:rPr>
          <w:vertAlign w:val="subscript"/>
          <w:lang w:val="es-ES_tradnl"/>
        </w:rPr>
        <w:t>2</w:t>
      </w:r>
      <w:r w:rsidRPr="00A84A5B">
        <w:rPr>
          <w:lang w:val="es-ES_tradnl"/>
        </w:rPr>
        <w:t xml:space="preserve"> equivalente de HFC, mientras que su nivel de base era de 446.600 toneladas de CO</w:t>
      </w:r>
      <w:r w:rsidRPr="00A84A5B">
        <w:rPr>
          <w:vertAlign w:val="subscript"/>
          <w:lang w:val="es-ES_tradnl"/>
        </w:rPr>
        <w:t>2</w:t>
      </w:r>
      <w:r w:rsidRPr="00A84A5B">
        <w:rPr>
          <w:lang w:val="es-ES_tradnl"/>
        </w:rPr>
        <w:t xml:space="preserve"> equivalente. Por lo tanto, la Secretaría</w:t>
      </w:r>
      <w:r w:rsidR="00156D80">
        <w:rPr>
          <w:lang w:val="es-ES_tradnl"/>
        </w:rPr>
        <w:t> </w:t>
      </w:r>
      <w:r w:rsidRPr="00A84A5B">
        <w:rPr>
          <w:lang w:val="es-ES_tradnl"/>
        </w:rPr>
        <w:t>había escrito a la Parte el 25 de julio de 2025 para solicitar una aclaración de los datos correspondientes a 2023. En respuesta, Tayikistán había declarado que la causa principal del aumento del consumo de HFC correspondiente a 2023 eran las enmiendas y adiciones introducidas en la legislación relativa a la protección del medio ambiente, en particular la protección de la capa de ozono. Tayikistán también había expresado su plena disposición a elaborar un plan de acción para volver a</w:t>
      </w:r>
      <w:r w:rsidR="00156D80">
        <w:rPr>
          <w:lang w:val="es-ES_tradnl"/>
        </w:rPr>
        <w:t> </w:t>
      </w:r>
      <w:r w:rsidRPr="00A84A5B">
        <w:rPr>
          <w:lang w:val="es-ES_tradnl"/>
        </w:rPr>
        <w:t>la</w:t>
      </w:r>
      <w:r w:rsidR="00156D80">
        <w:rPr>
          <w:lang w:val="es-ES_tradnl"/>
        </w:rPr>
        <w:t> </w:t>
      </w:r>
      <w:r w:rsidRPr="00A84A5B">
        <w:rPr>
          <w:lang w:val="es-ES_tradnl"/>
        </w:rPr>
        <w:t>situación de pleno cumplimiento de sus obligaciones en virtud del Protocolo de Montreal. Posteriormente, el 29 de septiembre de 2025, Tayikistán había notificado un consumo excesivo de</w:t>
      </w:r>
      <w:r w:rsidR="00156D80">
        <w:rPr>
          <w:lang w:val="es-ES_tradnl"/>
        </w:rPr>
        <w:t> </w:t>
      </w:r>
      <w:r w:rsidRPr="00A84A5B">
        <w:rPr>
          <w:lang w:val="es-ES_tradnl"/>
        </w:rPr>
        <w:t>HFC correspondiente a 2024, con una cantidad de 456.901 toneladas de CO</w:t>
      </w:r>
      <w:r w:rsidRPr="00A84A5B">
        <w:rPr>
          <w:vertAlign w:val="subscript"/>
          <w:lang w:val="es-ES_tradnl"/>
        </w:rPr>
        <w:t>2</w:t>
      </w:r>
      <w:r w:rsidRPr="00A84A5B">
        <w:rPr>
          <w:lang w:val="es-ES_tradnl"/>
        </w:rPr>
        <w:t xml:space="preserve"> equivalente. La Secretaría había escrito a la Parte el 8 de octubre de 2025 y le indicó que podría plantearse la posibilidad de incluir también una respuesta a los datos comunicados en 2024 en el plan de acción que</w:t>
      </w:r>
      <w:r w:rsidR="00156D80">
        <w:rPr>
          <w:lang w:val="es-ES_tradnl"/>
        </w:rPr>
        <w:t> </w:t>
      </w:r>
      <w:r w:rsidRPr="00A84A5B">
        <w:rPr>
          <w:lang w:val="es-ES_tradnl"/>
        </w:rPr>
        <w:t xml:space="preserve">se estaba elaborando. En el momento de preparar la adición al informe de la Secretaría sobre información relativa a los casos relacionados con el cumplimiento de las obligaciones contraídas en virtud del Protocolo de Montreal, Tayikistán no había presentado un plan de acción para volver a la situación de cumplimiento. </w:t>
      </w:r>
    </w:p>
    <w:p w14:paraId="428F7934" w14:textId="7786DE8D"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Los tres meses mencionados en el párrafo 3 del procedimiento relativo al incumplimiento habían transcurrido desde que la Secretaría había escrito a la Parte sobre los datos de 2023, pero aún no habían transcurrido desde que la Secretaría había escrito sobre los datos de 2024.</w:t>
      </w:r>
    </w:p>
    <w:p w14:paraId="34F39EC4" w14:textId="7892122E" w:rsidR="006162DD" w:rsidRPr="00A84A5B" w:rsidRDefault="006162DD"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12" w:name="_Hlk212847497"/>
      <w:r w:rsidRPr="00A84A5B">
        <w:rPr>
          <w:lang w:val="es-ES_tradnl"/>
        </w:rPr>
        <w:t>En consecuencia, el Comité decidió remitir a la 37ª Reunión de las Partes, para su examen, el proyecto de decisión sobre Tayikistán, reproducido en la sección E del anexo I del presente informe.</w:t>
      </w:r>
    </w:p>
    <w:bookmarkEnd w:id="12"/>
    <w:p w14:paraId="15299C0E" w14:textId="322B72EB" w:rsidR="00FE4F9C" w:rsidRPr="00A84A5B" w:rsidRDefault="006162DD" w:rsidP="006162DD">
      <w:pPr>
        <w:pStyle w:val="Recommendation"/>
        <w:rPr>
          <w:lang w:val="es-ES_tradnl"/>
        </w:rPr>
      </w:pPr>
      <w:r w:rsidRPr="00A84A5B">
        <w:rPr>
          <w:lang w:val="es-ES_tradnl"/>
        </w:rPr>
        <w:t>Recomendación 75/6</w:t>
      </w:r>
    </w:p>
    <w:p w14:paraId="78548898" w14:textId="5F3F260B" w:rsidR="00FE4F9C" w:rsidRPr="00A84A5B" w:rsidRDefault="000021C8" w:rsidP="000021C8">
      <w:pPr>
        <w:pStyle w:val="CH3"/>
        <w:rPr>
          <w:lang w:val="es-ES_tradnl"/>
        </w:rPr>
      </w:pPr>
      <w:r w:rsidRPr="00A84A5B">
        <w:rPr>
          <w:lang w:val="es-ES_tradnl"/>
        </w:rPr>
        <w:tab/>
      </w:r>
      <w:r w:rsidRPr="00A84A5B">
        <w:rPr>
          <w:lang w:val="es-ES_tradnl"/>
        </w:rPr>
        <w:tab/>
      </w:r>
      <w:r w:rsidRPr="00A84A5B">
        <w:rPr>
          <w:bCs/>
          <w:lang w:val="es-ES_tradnl"/>
        </w:rPr>
        <w:t>Zambia</w:t>
      </w:r>
    </w:p>
    <w:p w14:paraId="5E09224F" w14:textId="77777777"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Zambia había comunicado sus datos para 2024 el 30 de mayo de 2025. El país había notificado un consumo para 2024 de 1.166.837 toneladas de CO</w:t>
      </w:r>
      <w:r w:rsidRPr="00A84A5B">
        <w:rPr>
          <w:vertAlign w:val="subscript"/>
          <w:lang w:val="es-ES_tradnl"/>
        </w:rPr>
        <w:t>2</w:t>
      </w:r>
      <w:r w:rsidRPr="00A84A5B">
        <w:rPr>
          <w:lang w:val="es-ES_tradnl"/>
        </w:rPr>
        <w:t xml:space="preserve"> equivalente de HFC, mientras que su nivel de base era de 699.513 toneladas de CO</w:t>
      </w:r>
      <w:r w:rsidRPr="00A84A5B">
        <w:rPr>
          <w:vertAlign w:val="subscript"/>
          <w:lang w:val="es-ES_tradnl"/>
        </w:rPr>
        <w:t>2</w:t>
      </w:r>
      <w:r w:rsidRPr="00A84A5B">
        <w:rPr>
          <w:lang w:val="es-ES_tradnl"/>
        </w:rPr>
        <w:t xml:space="preserve"> equivalente. La Secretaría había escrito a la Parte el 25 de julio de 2025 para solicitar una aclaración.</w:t>
      </w:r>
    </w:p>
    <w:p w14:paraId="1F760A8A" w14:textId="57D7E17A"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8 de octubre de 2025 Zambia había declarado que estaba en proceso de responder oficialmente a la consulta de la Secretaría en la que se solicitaba una aclaración sobre la situación, que</w:t>
      </w:r>
      <w:r w:rsidR="00156D80">
        <w:rPr>
          <w:lang w:val="es-ES_tradnl"/>
        </w:rPr>
        <w:t> </w:t>
      </w:r>
      <w:r w:rsidRPr="00A84A5B">
        <w:rPr>
          <w:lang w:val="es-ES_tradnl"/>
        </w:rPr>
        <w:t>la diferencia se debía a un error tipográfico y que enviaría una carta oficial para solicitar una corrección. Sin embargo, en el momento de preparar la adición al informe de la Secretaría sobre la información relativa a los casos relacionados con el cumplimiento de las obligaciones contraídas en</w:t>
      </w:r>
      <w:r w:rsidR="00156D80">
        <w:rPr>
          <w:lang w:val="es-ES_tradnl"/>
        </w:rPr>
        <w:t> </w:t>
      </w:r>
      <w:r w:rsidRPr="00A84A5B">
        <w:rPr>
          <w:lang w:val="es-ES_tradnl"/>
        </w:rPr>
        <w:t xml:space="preserve">virtud del Protocolo de Montreal, Zambia no había presentado a la Secretaría la carta en la que solicitaba la corrección, y ya habían transcurrido los tres meses mencionados en el párrafo 3 del procedimiento relativo al incumplimiento. </w:t>
      </w:r>
    </w:p>
    <w:p w14:paraId="0E7F21CF" w14:textId="3DE62F73"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Más adelante en la reunión, el representante de la Secretaría informó al Comité de que, el 31 de octubre de 2025, Zambia había presentado nuevos datos, pero que esos seguían mostrando un consumo de HFC para 2024 superior al nivel de base, que era el límite para 2024 según el Protocolo.</w:t>
      </w:r>
    </w:p>
    <w:p w14:paraId="55863627" w14:textId="42B7344E" w:rsidR="004E02D7" w:rsidRPr="00A84A5B" w:rsidRDefault="004E02D7"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 proyecto de decisión sobre Zambia, reproducido en la sección F del anexo I del presente informe.</w:t>
      </w:r>
    </w:p>
    <w:p w14:paraId="18D85B2D" w14:textId="04659E5B" w:rsidR="004E02D7" w:rsidRPr="00A84A5B" w:rsidRDefault="004E02D7" w:rsidP="004E02D7">
      <w:pPr>
        <w:pStyle w:val="Recommendation"/>
        <w:rPr>
          <w:lang w:val="es-ES_tradnl"/>
        </w:rPr>
      </w:pPr>
      <w:r w:rsidRPr="00A84A5B">
        <w:rPr>
          <w:lang w:val="es-ES_tradnl"/>
        </w:rPr>
        <w:t>Recomendación 75/7</w:t>
      </w:r>
    </w:p>
    <w:p w14:paraId="5375404B" w14:textId="101B857F" w:rsidR="00FE4F9C" w:rsidRPr="00A84A5B" w:rsidRDefault="000021C8" w:rsidP="000021C8">
      <w:pPr>
        <w:pStyle w:val="CH3"/>
        <w:rPr>
          <w:lang w:val="es-ES_tradnl"/>
        </w:rPr>
      </w:pPr>
      <w:r w:rsidRPr="00A84A5B">
        <w:rPr>
          <w:lang w:val="es-ES_tradnl"/>
        </w:rPr>
        <w:tab/>
      </w:r>
      <w:r w:rsidRPr="00A84A5B">
        <w:rPr>
          <w:lang w:val="es-ES_tradnl"/>
        </w:rPr>
        <w:tab/>
      </w:r>
      <w:r w:rsidRPr="00A84A5B">
        <w:rPr>
          <w:bCs/>
          <w:lang w:val="es-ES_tradnl"/>
        </w:rPr>
        <w:t>Malí</w:t>
      </w:r>
    </w:p>
    <w:p w14:paraId="54306F5C" w14:textId="54EF6696"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Malí había comunicado sus datos para 2024 el 21 de mayo de 2025. El país había notificado un</w:t>
      </w:r>
      <w:r w:rsidR="00156D80">
        <w:rPr>
          <w:lang w:val="es-ES_tradnl"/>
        </w:rPr>
        <w:t> </w:t>
      </w:r>
      <w:r w:rsidRPr="00A84A5B">
        <w:rPr>
          <w:lang w:val="es-ES_tradnl"/>
        </w:rPr>
        <w:t>consumo de 1.773.126 toneladas de CO</w:t>
      </w:r>
      <w:r w:rsidRPr="00A84A5B">
        <w:rPr>
          <w:vertAlign w:val="subscript"/>
          <w:lang w:val="es-ES_tradnl"/>
        </w:rPr>
        <w:t>2</w:t>
      </w:r>
      <w:r w:rsidRPr="00A84A5B">
        <w:rPr>
          <w:lang w:val="es-ES_tradnl"/>
        </w:rPr>
        <w:t xml:space="preserve"> equivalente de HFC, mientras que su nivel de base era de</w:t>
      </w:r>
      <w:r w:rsidR="00156D80">
        <w:rPr>
          <w:lang w:val="es-ES_tradnl"/>
        </w:rPr>
        <w:t> </w:t>
      </w:r>
      <w:r w:rsidRPr="00A84A5B">
        <w:rPr>
          <w:lang w:val="es-ES_tradnl"/>
        </w:rPr>
        <w:t>399.935 toneladas de CO</w:t>
      </w:r>
      <w:r w:rsidRPr="00A84A5B">
        <w:rPr>
          <w:vertAlign w:val="subscript"/>
          <w:lang w:val="es-ES_tradnl"/>
        </w:rPr>
        <w:t>2</w:t>
      </w:r>
      <w:r w:rsidRPr="00A84A5B">
        <w:rPr>
          <w:lang w:val="es-ES_tradnl"/>
        </w:rPr>
        <w:t xml:space="preserve"> equivalente. La Secretaría había escrito a la Parte el 29 de julio de 2025 para solicitar una aclaración. Malí había respondido el 9 de octubre de 2025 e indicó que entendía que los datos de 2020 a 2022, años de referencia para los HFC, eran provisionales. Durante esos años el país se había visto afectado por la pandemia de COVID-19. Los HFC no habían estado sujetos a autorizaciones de importación y se había centrado la atención en los HCFC. Un estudio realizado para la preparación del plan de ejecución de las actividades relativas a los HFC conforme a la Enmienda de Kigali para el país había revelado que los datos de 2024 reflejaban la situación actual. En el momento de preparar la adición al informe de la Secretaría sobre información relativa a los casos relacionados con el cumplimiento de las obligaciones contraídas en virtud del Protocolo de Montreal, los tres meses </w:t>
      </w:r>
      <w:r w:rsidRPr="00A84A5B">
        <w:rPr>
          <w:lang w:val="es-ES_tradnl"/>
        </w:rPr>
        <w:lastRenderedPageBreak/>
        <w:t>mencionados en el párrafo 3 del procedimiento relativo al incumplimiento no habían transcurrido, pero</w:t>
      </w:r>
      <w:r w:rsidR="00156D80">
        <w:rPr>
          <w:lang w:val="es-ES_tradnl"/>
        </w:rPr>
        <w:t> </w:t>
      </w:r>
      <w:r w:rsidRPr="00A84A5B">
        <w:rPr>
          <w:lang w:val="es-ES_tradnl"/>
        </w:rPr>
        <w:t>sí habían transcurrido el 29 de octubre de 2025.</w:t>
      </w:r>
    </w:p>
    <w:p w14:paraId="612D0EC3" w14:textId="01397EF6"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Un miembro recordó que el Comité había convenido, en su 74ª reunión, dejar de tratar como provisionales los datos presentados por las Partes y designados como tales. El representante de la Secretaría confirmó que Malí no había comunicado previamente que sus datos eran provisionales, por lo que no era una de las Partes a las que se había informado por escrito sobre la conclusión al respecto acordada por los miembros del Comité en su 74ª reunión.</w:t>
      </w:r>
    </w:p>
    <w:p w14:paraId="189C2FBA" w14:textId="58698EBA"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las preguntas de los miembros, el representante de la Secretaría declaró que Malí había dado a entender que solicitaría una modificación del nivel de base, pero que en realidad no lo había hecho. Por lo tanto, el Comité solicitó a la Secretaría que se pusiese en contacto con la Parte para solicitar aclaraciones sobre la situación.</w:t>
      </w:r>
    </w:p>
    <w:p w14:paraId="3ADFA0BA" w14:textId="2D7F4AC4" w:rsidR="00FE4F9C" w:rsidRPr="00A84A5B"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Más adelante en la reunión, el representante de la Secretaría informó al Comité de que Malí había respondido y confirmando su deseo de presentar una solicitud para modificar su nivel de base. El</w:t>
      </w:r>
      <w:r w:rsidR="00156D80">
        <w:rPr>
          <w:lang w:val="es-ES_tradnl"/>
        </w:rPr>
        <w:t> </w:t>
      </w:r>
      <w:r w:rsidRPr="00A84A5B">
        <w:rPr>
          <w:lang w:val="es-ES_tradnl"/>
        </w:rPr>
        <w:t>orador también confirmó que el correo electrónico se consideraba una comunicación oficial de la Parte, pero que esta aún no había proporcionado la documentación requerida en virtud de la decisión</w:t>
      </w:r>
      <w:r w:rsidR="00156D80">
        <w:rPr>
          <w:lang w:val="es-ES_tradnl"/>
        </w:rPr>
        <w:t> </w:t>
      </w:r>
      <w:r w:rsidRPr="00A84A5B">
        <w:rPr>
          <w:lang w:val="es-ES_tradnl"/>
        </w:rPr>
        <w:t>XV/19 para justificar su solicitud de modificar su nivel de base.</w:t>
      </w:r>
    </w:p>
    <w:p w14:paraId="466884CC" w14:textId="22523601" w:rsidR="00EA3E0D" w:rsidRPr="00A84A5B" w:rsidRDefault="00EA3E0D"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consecuencia, el Comité decidió remitir a la 37ª Reunión de las Partes, para su examen, el</w:t>
      </w:r>
      <w:r w:rsidR="00156D80">
        <w:rPr>
          <w:lang w:val="es-ES_tradnl"/>
        </w:rPr>
        <w:t> </w:t>
      </w:r>
      <w:r w:rsidRPr="00A84A5B">
        <w:rPr>
          <w:lang w:val="es-ES_tradnl"/>
        </w:rPr>
        <w:t>proyecto de decisión sobre Malí, reproducido en la sección G del anexo I del presente informe.</w:t>
      </w:r>
      <w:bookmarkStart w:id="13" w:name="_Hlk213398725"/>
      <w:bookmarkEnd w:id="13"/>
    </w:p>
    <w:p w14:paraId="32BB6844" w14:textId="00A59D7B" w:rsidR="00EA3E0D" w:rsidRPr="00A84A5B" w:rsidRDefault="00EA3E0D" w:rsidP="00EA3E0D">
      <w:pPr>
        <w:pStyle w:val="Recommendation"/>
        <w:rPr>
          <w:lang w:val="es-ES_tradnl"/>
        </w:rPr>
      </w:pPr>
      <w:r w:rsidRPr="00A84A5B">
        <w:rPr>
          <w:lang w:val="es-ES_tradnl"/>
        </w:rPr>
        <w:t>Recomendación 75/8</w:t>
      </w:r>
    </w:p>
    <w:p w14:paraId="1234F374" w14:textId="632B6A6E" w:rsidR="004A687D" w:rsidRPr="00A84A5B" w:rsidRDefault="00156D80" w:rsidP="007F7B08">
      <w:pPr>
        <w:pStyle w:val="CH1"/>
        <w:rPr>
          <w:lang w:val="es-ES_tradnl"/>
        </w:rPr>
      </w:pPr>
      <w:r>
        <w:rPr>
          <w:bCs/>
          <w:lang w:val="es-ES_tradnl"/>
        </w:rPr>
        <w:tab/>
      </w:r>
      <w:r w:rsidR="007F7B08" w:rsidRPr="00A84A5B">
        <w:rPr>
          <w:bCs/>
          <w:lang w:val="es-ES_tradnl"/>
        </w:rPr>
        <w:t>VII.</w:t>
      </w:r>
      <w:r w:rsidR="007F7B08" w:rsidRPr="00A84A5B">
        <w:rPr>
          <w:lang w:val="es-ES_tradnl"/>
        </w:rPr>
        <w:tab/>
      </w:r>
      <w:r w:rsidR="007F7B08" w:rsidRPr="00A84A5B">
        <w:rPr>
          <w:bCs/>
          <w:lang w:val="es-ES_tradnl"/>
        </w:rPr>
        <w:t>Solicitudes de modificación de los datos de referencia (decisiones</w:t>
      </w:r>
      <w:r>
        <w:rPr>
          <w:bCs/>
          <w:lang w:val="es-ES_tradnl"/>
        </w:rPr>
        <w:t> </w:t>
      </w:r>
      <w:r w:rsidR="007F7B08" w:rsidRPr="00A84A5B">
        <w:rPr>
          <w:bCs/>
          <w:lang w:val="es-ES_tradnl"/>
        </w:rPr>
        <w:t>XIII/15 y XV/19)</w:t>
      </w:r>
      <w:bookmarkStart w:id="14" w:name="_Hlk180851469"/>
      <w:bookmarkEnd w:id="14"/>
    </w:p>
    <w:p w14:paraId="21C1CEED" w14:textId="35265B98" w:rsidR="003551D8" w:rsidRPr="00A84A5B" w:rsidRDefault="00EC01AA"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Tras presentar el tema, el representante de la Secretaría señaló el informe de la Secretaría</w:t>
      </w:r>
      <w:r w:rsidR="00156D80">
        <w:rPr>
          <w:lang w:val="es-ES_tradnl"/>
        </w:rPr>
        <w:t> </w:t>
      </w:r>
      <w:r w:rsidRPr="00A84A5B">
        <w:rPr>
          <w:lang w:val="es-ES_tradnl"/>
        </w:rPr>
        <w:t>sobre</w:t>
      </w:r>
      <w:r w:rsidR="00156D80">
        <w:rPr>
          <w:lang w:val="es-ES_tradnl"/>
        </w:rPr>
        <w:t> </w:t>
      </w:r>
      <w:r w:rsidRPr="00A84A5B">
        <w:rPr>
          <w:lang w:val="es-ES_tradnl"/>
        </w:rPr>
        <w:t>las solicitudes de modificación de los datos de referencia de las Partes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/75/R.4 y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/75/R.4/Add.1), así como la nota de la</w:t>
      </w:r>
      <w:r w:rsidR="00156D80">
        <w:rPr>
          <w:lang w:val="es-ES_tradnl"/>
        </w:rPr>
        <w:t> </w:t>
      </w:r>
      <w:r w:rsidRPr="00A84A5B">
        <w:rPr>
          <w:lang w:val="es-ES_tradnl"/>
        </w:rPr>
        <w:t>Secretaría relativa a la información presentada por las Partes para su examen por el Comité en su</w:t>
      </w:r>
      <w:r w:rsidR="00156D80">
        <w:rPr>
          <w:lang w:val="es-ES_tradnl"/>
        </w:rPr>
        <w:t> </w:t>
      </w:r>
      <w:r w:rsidRPr="00A84A5B">
        <w:rPr>
          <w:lang w:val="es-ES_tradnl"/>
        </w:rPr>
        <w:t>75ª</w:t>
      </w:r>
      <w:r w:rsidR="00156D80">
        <w:rPr>
          <w:lang w:val="es-ES_tradnl"/>
        </w:rPr>
        <w:t> </w:t>
      </w:r>
      <w:r w:rsidRPr="00A84A5B">
        <w:rPr>
          <w:lang w:val="es-ES_tradnl"/>
        </w:rPr>
        <w:t>reunión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/75/INF/R.2) y sus anexos. El Comité tuvo ante sí un total de seis solicitudes presentadas por las Partes para la modificación de sus datos de referencia de los HFC. Dos de ellas también habían solicitado modificaciones en sus datos de referencia de los HCFC. El</w:t>
      </w:r>
      <w:r w:rsidR="00D12B17">
        <w:rPr>
          <w:lang w:val="es-ES_tradnl"/>
        </w:rPr>
        <w:t> </w:t>
      </w:r>
      <w:r w:rsidRPr="00A84A5B">
        <w:rPr>
          <w:lang w:val="es-ES_tradnl"/>
        </w:rPr>
        <w:t>orador recordó al Comité la metodología establecida en la decisión XV/19, que exigía a las Partes</w:t>
      </w:r>
      <w:r w:rsidR="00156D80">
        <w:rPr>
          <w:lang w:val="es-ES_tradnl"/>
        </w:rPr>
        <w:t> </w:t>
      </w:r>
      <w:r w:rsidRPr="00A84A5B">
        <w:rPr>
          <w:lang w:val="es-ES_tradnl"/>
        </w:rPr>
        <w:t>identificar el año o años de referencia que debían corregirse o modificarse, y proporcionar explicaciones sobre por qué los datos de referencia existentes eran incorrectos y por qué los cambios solicitados debían considerarse correctos, incluidos los procedimientos de recopilación y verificación de datos y los documentos de apoyo, como licencias, documentación relativa al envío y documentos de</w:t>
      </w:r>
      <w:r w:rsidR="00156D80">
        <w:rPr>
          <w:lang w:val="es-ES_tradnl"/>
        </w:rPr>
        <w:t> </w:t>
      </w:r>
      <w:r w:rsidRPr="00A84A5B">
        <w:rPr>
          <w:lang w:val="es-ES_tradnl"/>
        </w:rPr>
        <w:t>aduanas e informes de estudios.</w:t>
      </w:r>
      <w:bookmarkStart w:id="15" w:name="_Hlk213398567"/>
      <w:bookmarkStart w:id="16" w:name="_Hlk212887504"/>
      <w:bookmarkEnd w:id="15"/>
      <w:bookmarkEnd w:id="16"/>
    </w:p>
    <w:p w14:paraId="13334B24" w14:textId="2B898C8E" w:rsidR="00C05E37" w:rsidRPr="00A84A5B" w:rsidRDefault="00156D80" w:rsidP="00156D80">
      <w:pPr>
        <w:pStyle w:val="CH2"/>
        <w:rPr>
          <w:lang w:val="es-ES_tradnl"/>
        </w:rPr>
      </w:pPr>
      <w:r w:rsidRPr="008353E4">
        <w:rPr>
          <w:lang w:val="fr-FR"/>
        </w:rPr>
        <w:tab/>
      </w:r>
      <w:r w:rsidRPr="00852ABF">
        <w:t>A.</w:t>
      </w:r>
      <w:r w:rsidRPr="00852ABF">
        <w:tab/>
      </w:r>
      <w:r w:rsidR="008353E4" w:rsidRPr="00A84A5B">
        <w:rPr>
          <w:bCs/>
          <w:lang w:val="es-ES_tradnl"/>
        </w:rPr>
        <w:t>Armenia</w:t>
      </w:r>
      <w:r w:rsidR="007F7B08" w:rsidRPr="00A84A5B">
        <w:rPr>
          <w:bCs/>
          <w:lang w:val="es-ES_tradnl"/>
        </w:rPr>
        <w:t xml:space="preserve"> (recomendación 74/11)</w:t>
      </w:r>
    </w:p>
    <w:p w14:paraId="03E6BF6B" w14:textId="3B90C273" w:rsidR="004C64F0" w:rsidRPr="00A84A5B" w:rsidRDefault="00CA3A70"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17" w:name="_Hlk212903401"/>
      <w:r w:rsidRPr="00A84A5B">
        <w:rPr>
          <w:lang w:val="es-ES_tradnl"/>
        </w:rPr>
        <w:t>Armenia había solicitado la modificación de sus datos de consumo de HFC para 2020, 2021 y</w:t>
      </w:r>
      <w:r w:rsidR="00156D80">
        <w:rPr>
          <w:lang w:val="es-ES_tradnl"/>
        </w:rPr>
        <w:t> </w:t>
      </w:r>
      <w:r w:rsidRPr="00A84A5B">
        <w:rPr>
          <w:lang w:val="es-ES_tradnl"/>
        </w:rPr>
        <w:t>2022. El nivel de base modificado representaría un incremento de 266.218 toneladas de CO</w:t>
      </w:r>
      <w:r w:rsidRPr="00A84A5B">
        <w:rPr>
          <w:vertAlign w:val="subscript"/>
          <w:lang w:val="es-ES_tradnl"/>
        </w:rPr>
        <w:t>2</w:t>
      </w:r>
      <w:r w:rsidRPr="00A84A5B">
        <w:rPr>
          <w:lang w:val="es-ES_tradnl"/>
        </w:rPr>
        <w:t xml:space="preserve"> equivalente (56 %) con respecto al nivel de base inicial. La solicitud se había debatido en las reuniones</w:t>
      </w:r>
      <w:r w:rsidR="00156D80">
        <w:rPr>
          <w:lang w:val="es-ES_tradnl"/>
        </w:rPr>
        <w:t> </w:t>
      </w:r>
      <w:r w:rsidRPr="00A84A5B">
        <w:rPr>
          <w:lang w:val="es-ES_tradnl"/>
        </w:rPr>
        <w:t>72ª, 73ª y 74ª del Comité, en las que este había concluido que la información presentada por</w:t>
      </w:r>
      <w:r w:rsidR="00156D80">
        <w:rPr>
          <w:lang w:val="es-ES_tradnl"/>
        </w:rPr>
        <w:t> </w:t>
      </w:r>
      <w:r w:rsidRPr="00A84A5B">
        <w:rPr>
          <w:lang w:val="es-ES_tradnl"/>
        </w:rPr>
        <w:t>la Parte en apoyo de su solicitud de modificación de sus datos de referencia sobre los HFC no era</w:t>
      </w:r>
      <w:r w:rsidR="00156D80">
        <w:rPr>
          <w:lang w:val="es-ES_tradnl"/>
        </w:rPr>
        <w:t> </w:t>
      </w:r>
      <w:r w:rsidRPr="00A84A5B">
        <w:rPr>
          <w:lang w:val="es-ES_tradnl"/>
        </w:rPr>
        <w:t xml:space="preserve">suficiente para cumplir los requisitos de la decisión XV/19. La representante de Armenia había asistido a la 73ª reunión y había reconocido los problemas relacionados con las lagunas históricas en el control de sustancias por la Parte, la disponibilidad limitada de datos sobre mezclas y las dificultades para vigilar las compras en línea. La oradora también había informado al Comité de que la Parte estaba mejorando su sistema de seguimiento y coordinando las autoridades pertinentes para mejorar su supervisión del comercio interior y afrontar los problemas relacionados con las importaciones no declaradas y las ventas en línea. </w:t>
      </w:r>
      <w:bookmarkStart w:id="18" w:name="_Hlk213496632"/>
      <w:bookmarkStart w:id="19" w:name="_Hlk212888941"/>
      <w:bookmarkEnd w:id="17"/>
      <w:bookmarkEnd w:id="18"/>
      <w:bookmarkEnd w:id="19"/>
    </w:p>
    <w:p w14:paraId="5031F91C" w14:textId="6A673119" w:rsidR="00CE1A4F" w:rsidRPr="00A84A5B" w:rsidRDefault="004C64F0"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En su 74ª reunión el Comité había examinado los documentos presentados anteriormente por Armenia en apoyo de su solicitud, incluidas las facturas de un importador que mostraban un total de aproximadamente 33 toneladas de importaciones en 2020. Al considerar que dicha información era insuficiente, el Comité había emitido la recomendación 74/11, en la que había solicitado a Armenia que presentase la información pendiente necesaria para cumplir los requisitos de la decisión XV/19. </w:t>
      </w:r>
    </w:p>
    <w:p w14:paraId="7901BDFC" w14:textId="68B4E5E3" w:rsidR="00A412B4" w:rsidRPr="00A84A5B" w:rsidRDefault="00CE1A4F"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Tras la reunión, Armenia había presentado a la Secretaría una carta en la que explicaba las</w:t>
      </w:r>
      <w:r w:rsidR="00156D80">
        <w:rPr>
          <w:lang w:val="es-ES_tradnl"/>
        </w:rPr>
        <w:t> </w:t>
      </w:r>
      <w:r w:rsidRPr="00A84A5B">
        <w:rPr>
          <w:lang w:val="es-ES_tradnl"/>
        </w:rPr>
        <w:t xml:space="preserve">medidas que había adoptado para obtener información adicional, de conformidad con la recomendación 74/11, junto con copias de las comunicaciones entre el Ministerio de Medio Ambiente </w:t>
      </w:r>
      <w:r w:rsidRPr="00A84A5B">
        <w:rPr>
          <w:lang w:val="es-ES_tradnl"/>
        </w:rPr>
        <w:lastRenderedPageBreak/>
        <w:t xml:space="preserve">de Armenia y dos operadores de mercados electrónicos. Una de esas empresas había declarado haber entregado 7 toneladas de sustancias a Armenia entre 2020 y 2025; la empresa también se había comprometido a la prohibición completa del comercio de sustancias controladas en sus plataformas. La carta enviada por Armenia había incluido el hecho de que la empresa había obtenido esa información mediante el uso de herramientas de inteligencia artificial, pero también que no se trataba de un resumen exhaustivo. Otra empresa no había facilitado ningún dato, pero había informado a la Parte de que había tomado medidas para impedir cualquier entrega de sustancias controladas a Armenia. </w:t>
      </w:r>
    </w:p>
    <w:p w14:paraId="7F346022" w14:textId="35A88F7B" w:rsidR="001C3927" w:rsidRPr="00A84A5B" w:rsidRDefault="00C426C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Recordando que la recomendación 74/11 había incluido una solicitud a Armenia para que proporcionase información que justificase de manera significativa su solicitud, algunos miembros del Comité señalaron que la Parte no había proporcionado dicha información. Los datos proporcionados eran muy limitados y solo cubrían una pequeña parte de los niveles de consumo modificados solicitados. Otros miembros expresaron su parecer de que Armenia había realizado grandes esfuerzos para recopilar datos y sugirieron que algunos nunca estarían disponibles, principalmente debido a los acuerdos internacionales contraídos por la Parte, según los cuales no vigilaban todo el comercio transfronterizo. Dichos miembros preguntaron qué otra información podía esperar razonablemente el Comité que Armenia proporcionase. Reconociendo esos retos, los miembros del Comité expresaron su comprensión por la situación en la que se encontraba Armenia, pero señalaron que, no obstante, la Parte debía proporcionar más información para justificar la modificación de los niveles de referencia que solicitaba, de conformidad con la metodología establecida en la decisión XV/19. </w:t>
      </w:r>
    </w:p>
    <w:p w14:paraId="7ABE9077" w14:textId="1305CFA5" w:rsidR="00122704" w:rsidRPr="00A84A5B"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Por invitación del Comité, dos representantes de Armenia asistieron a la reunión. En respuesta a las preguntas de los miembros del Comité, </w:t>
      </w:r>
      <w:proofErr w:type="gramStart"/>
      <w:r w:rsidRPr="00A84A5B">
        <w:rPr>
          <w:lang w:val="es-ES_tradnl"/>
        </w:rPr>
        <w:t>una</w:t>
      </w:r>
      <w:proofErr w:type="gramEnd"/>
      <w:r w:rsidRPr="00A84A5B">
        <w:rPr>
          <w:lang w:val="es-ES_tradnl"/>
        </w:rPr>
        <w:t xml:space="preserve"> </w:t>
      </w:r>
      <w:r w:rsidR="000B0104" w:rsidRPr="00A84A5B">
        <w:rPr>
          <w:lang w:val="es-ES_tradnl"/>
        </w:rPr>
        <w:t>de los</w:t>
      </w:r>
      <w:r w:rsidR="00D348CD" w:rsidRPr="00A84A5B">
        <w:rPr>
          <w:lang w:val="es-ES_tradnl"/>
        </w:rPr>
        <w:t xml:space="preserve"> </w:t>
      </w:r>
      <w:r w:rsidRPr="00A84A5B">
        <w:rPr>
          <w:lang w:val="es-ES_tradnl"/>
        </w:rPr>
        <w:t>representante</w:t>
      </w:r>
      <w:r w:rsidR="00D348CD" w:rsidRPr="00A84A5B">
        <w:rPr>
          <w:lang w:val="es-ES_tradnl"/>
        </w:rPr>
        <w:t>s</w:t>
      </w:r>
      <w:r w:rsidRPr="00A84A5B">
        <w:rPr>
          <w:lang w:val="es-ES_tradnl"/>
        </w:rPr>
        <w:t xml:space="preserve"> explicó que los datos de referencia modificados que Armenia solicitaba se basaban en un estudio sobre el uso de HFC en el país. El estudio había calculado las cifras de consumo de diferentes subsectores, incluido el de</w:t>
      </w:r>
      <w:r w:rsidR="00743904" w:rsidRPr="00A84A5B">
        <w:rPr>
          <w:lang w:val="es-ES_tradnl"/>
        </w:rPr>
        <w:t>l</w:t>
      </w:r>
      <w:r w:rsidRPr="00A84A5B">
        <w:rPr>
          <w:lang w:val="es-ES_tradnl"/>
        </w:rPr>
        <w:t xml:space="preserve"> montaje, en el que se importaban equipos vacíos y se llenaban con refrigerantes en el país. </w:t>
      </w:r>
    </w:p>
    <w:p w14:paraId="0C43F7A8" w14:textId="75258C15" w:rsidR="00B451B3" w:rsidRPr="00A84A5B"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oradora explicó que el principal problema del uso de los datos aduaneros era el hecho de que, como miembro de la Unión Económica Euroasiática y su territorio aduanero común, Armenia no hacía un seguimiento del comercio con los demás miembros de la Unión. Cualquier movimiento de sustancias controladas dentro del territorio aduanero deb</w:t>
      </w:r>
      <w:r w:rsidR="00743904" w:rsidRPr="00A84A5B">
        <w:rPr>
          <w:lang w:val="es-ES_tradnl"/>
        </w:rPr>
        <w:t>ía</w:t>
      </w:r>
      <w:r w:rsidRPr="00A84A5B">
        <w:rPr>
          <w:lang w:val="es-ES_tradnl"/>
        </w:rPr>
        <w:t xml:space="preserve"> ir acompañado de un permiso expedido por el país de destino, pero, lamentablemente, la aplicación de ese requisito ha</w:t>
      </w:r>
      <w:r w:rsidR="00BF7336" w:rsidRPr="00A84A5B">
        <w:rPr>
          <w:lang w:val="es-ES_tradnl"/>
        </w:rPr>
        <w:t>bía</w:t>
      </w:r>
      <w:r w:rsidRPr="00A84A5B">
        <w:rPr>
          <w:lang w:val="es-ES_tradnl"/>
        </w:rPr>
        <w:t xml:space="preserve"> sido deficiente. En un futuro próximo se preveía una reunión con otros dos miembros de la Unión Económica Euroasiática, Kazajstán y Kirguistán, para abordar el problema. </w:t>
      </w:r>
    </w:p>
    <w:p w14:paraId="10D23577" w14:textId="5428AD3E" w:rsidR="001A3BC9" w:rsidRPr="00A84A5B"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otro reto era que algunas de las compras se habían realizado a través de dos mercados virtuales, ambos con sede en la Federación de Rusia; Armenia se había puesto en contacto con ambos, y aunque uno solo había podido proporcionar información limitada sobre las ventas y el otro ninguna, ambos habían prohibido la compra de sustancias controladas, desde el 18 de septiembre de 2025 y el 30 de septiembre de 2025, respectivamente. La oradora estim</w:t>
      </w:r>
      <w:r w:rsidR="008A36C1" w:rsidRPr="00A84A5B">
        <w:rPr>
          <w:lang w:val="es-ES_tradnl"/>
        </w:rPr>
        <w:t>aba</w:t>
      </w:r>
      <w:r w:rsidRPr="00A84A5B">
        <w:rPr>
          <w:lang w:val="es-ES_tradnl"/>
        </w:rPr>
        <w:t xml:space="preserve"> que el 90</w:t>
      </w:r>
      <w:r w:rsidR="00BF7336" w:rsidRPr="00A84A5B">
        <w:rPr>
          <w:lang w:val="es-ES_tradnl"/>
        </w:rPr>
        <w:t> </w:t>
      </w:r>
      <w:r w:rsidRPr="00A84A5B">
        <w:rPr>
          <w:lang w:val="es-ES_tradnl"/>
        </w:rPr>
        <w:t>% del total de las compras se había realizado a través de esos mercados virtuales.</w:t>
      </w:r>
    </w:p>
    <w:p w14:paraId="34DDEFE3" w14:textId="4D6683A0" w:rsidR="00A67013" w:rsidRPr="00A84A5B" w:rsidRDefault="00A6701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Tras la salida de los representantes de Armenia de la reunión, los miembros del Comité expresaron su solidaridad con la situación en la que se encontraba la Parte, pero expresaron su preocupación por el posible precedente que podría sentar el hecho de aceptar su solicitud, en particular para otras Partes que también eran miembros de territorios aduaneros comunes, como el de la Unión Económica Euroasiática. Era de suponer que esas Partes se enfrentaban a problemas similares en materia de vigilancia de las importaciones y exportaciones, lo cual dificultaría enormemente el cálculo de las cifras de consumo y producción necesarias para justificar sus niveles de referencia. </w:t>
      </w:r>
    </w:p>
    <w:p w14:paraId="74D66234" w14:textId="66D9BFE7" w:rsidR="00E4506E" w:rsidRPr="00A84A5B" w:rsidRDefault="00E4506E"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las preguntas, la representante de la ONUDI, que era el principal organismo de</w:t>
      </w:r>
      <w:r w:rsidR="00156D80">
        <w:rPr>
          <w:lang w:val="es-ES_tradnl"/>
        </w:rPr>
        <w:t> </w:t>
      </w:r>
      <w:r w:rsidRPr="00A84A5B">
        <w:rPr>
          <w:lang w:val="es-ES_tradnl"/>
        </w:rPr>
        <w:t>ejecución que trabajaba con Armenia, y otras Partes que solicitaban cambios en los datos de referencia, informaron al Comité de que la necesidad de modificar los datos en virtud del artículo 7 para los años de referencia se había puesto de manifiesto principalmente al comparar los datos de los estudios con los datos de las aduanas. En su revisión de unos 100 sistemas de concesión de licencias, la Secretaría había observado que el seguimiento de las ventas en los mercados virtuales se había mencionado como uno de los problemas emergentes. La oradora añadió que esto estaba respaldado por</w:t>
      </w:r>
      <w:r w:rsidR="00156D80">
        <w:rPr>
          <w:lang w:val="es-ES_tradnl"/>
        </w:rPr>
        <w:t> </w:t>
      </w:r>
      <w:r w:rsidRPr="00A84A5B">
        <w:rPr>
          <w:lang w:val="es-ES_tradnl"/>
        </w:rPr>
        <w:t xml:space="preserve">un informe reciente de </w:t>
      </w:r>
      <w:proofErr w:type="spellStart"/>
      <w:r w:rsidRPr="00A84A5B">
        <w:rPr>
          <w:lang w:val="es-ES_tradnl"/>
        </w:rPr>
        <w:t>Environmental</w:t>
      </w:r>
      <w:proofErr w:type="spellEnd"/>
      <w:r w:rsidRPr="00A84A5B">
        <w:rPr>
          <w:lang w:val="es-ES_tradnl"/>
        </w:rPr>
        <w:t xml:space="preserve"> </w:t>
      </w:r>
      <w:proofErr w:type="spellStart"/>
      <w:r w:rsidRPr="00A84A5B">
        <w:rPr>
          <w:lang w:val="es-ES_tradnl"/>
        </w:rPr>
        <w:t>Investigation</w:t>
      </w:r>
      <w:proofErr w:type="spellEnd"/>
      <w:r w:rsidRPr="00A84A5B">
        <w:rPr>
          <w:lang w:val="es-ES_tradnl"/>
        </w:rPr>
        <w:t xml:space="preserve"> Agency, que había llegado a conclusiones similares sobre los mercados virtuales que estaban empezando a ser un motivo de preocupación en lo referente al comercio y el comercio ilícito.</w:t>
      </w:r>
    </w:p>
    <w:p w14:paraId="424FF7E6" w14:textId="105BB8FB" w:rsidR="00513F67" w:rsidRPr="00A84A5B" w:rsidRDefault="00513F67"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representante del PNUMA convino en que el comercio en línea de sustancias controladas se</w:t>
      </w:r>
      <w:r w:rsidR="00156D80">
        <w:rPr>
          <w:lang w:val="es-ES_tradnl"/>
        </w:rPr>
        <w:t> </w:t>
      </w:r>
      <w:r w:rsidRPr="00A84A5B">
        <w:rPr>
          <w:lang w:val="es-ES_tradnl"/>
        </w:rPr>
        <w:t xml:space="preserve">estaba extendiendo por todo el mundo, y la cuestión se había planteado en los debates de la Red Regional de Oficiales del Ozono de Europa y Asia Central, que incluía a Armenia. Era un asunto que suscitaba una preocupación creciente debido a su potencial de socavar los sistemas de cupos y </w:t>
      </w:r>
      <w:r w:rsidRPr="00A84A5B">
        <w:rPr>
          <w:lang w:val="es-ES_tradnl"/>
        </w:rPr>
        <w:lastRenderedPageBreak/>
        <w:t xml:space="preserve">concesión de licencias. Como había declarado la representante de Armenia, su Parte tenía la intención de debatir los medios para abordarlo. El presupuesto de su organización para 2026 incluía una partida destinada al análisis del problema. Los miembros del Comité sugirieron que sería útil plantear la cuestión en la reunión oficiosa de las Partes en el Protocolo de Montreal prevista para el 2 de noviembre de 2025. </w:t>
      </w:r>
    </w:p>
    <w:p w14:paraId="2495061F" w14:textId="4C2E414C" w:rsidR="00E4506E" w:rsidRPr="00A84A5B" w:rsidRDefault="00705D9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Dado que el estudio realizado a los usuarios de HFC en Armenia parecía ser la única fuente de datos que podía utilizarse para justificar el cambio propuesto por la Parte en sus datos de referencia, un</w:t>
      </w:r>
      <w:r w:rsidR="00156D80">
        <w:rPr>
          <w:lang w:val="es-ES_tradnl"/>
        </w:rPr>
        <w:t> </w:t>
      </w:r>
      <w:r w:rsidRPr="00A84A5B">
        <w:rPr>
          <w:lang w:val="es-ES_tradnl"/>
        </w:rPr>
        <w:t>miembro del Comité preguntó si había alguna forma de verificar de manera independiente sus conclusiones. Otra miembro se mostró de acuerdo y señaló que los estudios sobre los equipos instalados y las sustancias que contienen, así como sobre las existencias, podrían arrojar cifras muy diferentes de la definición de consumo del Protocolo de Montreal, que era igual a las importaciones más la producción menos las exportaciones. Era un reto difícil, pero el Comité tenía que encontrar una solución viable por el bien de otras Partes que se encontrasen en una situación similar en el futuro.</w:t>
      </w:r>
    </w:p>
    <w:p w14:paraId="5A315DF7" w14:textId="62CD1D59" w:rsidR="00DA6605" w:rsidRPr="00A84A5B" w:rsidRDefault="00DA660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Representantes de la Secretaría del Fondo Multilateral, el Banco Mundial y el PNUMA explicaron las experiencias de sus organizaciones con los procesos de verificación, por ejemplo, en</w:t>
      </w:r>
      <w:r w:rsidR="00D12B17">
        <w:rPr>
          <w:lang w:val="es-ES_tradnl"/>
        </w:rPr>
        <w:t> </w:t>
      </w:r>
      <w:r w:rsidRPr="00A84A5B">
        <w:rPr>
          <w:lang w:val="es-ES_tradnl"/>
        </w:rPr>
        <w:t>lo</w:t>
      </w:r>
      <w:r w:rsidR="00D12B17">
        <w:rPr>
          <w:lang w:val="es-ES_tradnl"/>
        </w:rPr>
        <w:t> </w:t>
      </w:r>
      <w:r w:rsidRPr="00A84A5B">
        <w:rPr>
          <w:lang w:val="es-ES_tradnl"/>
        </w:rPr>
        <w:t xml:space="preserve">que respecta a los sistemas de concesión de licencias para las importaciones y exportaciones. Normalmente se contrataría a un experto independiente, que entrevistaría a funcionarios de aduanas, dependencias nacionales del ozono e importadores, y elaboraría informes sobre el funcionamiento del sistema de concesión de licencias, </w:t>
      </w:r>
      <w:r w:rsidR="00F02BFB" w:rsidRPr="00A84A5B">
        <w:rPr>
          <w:lang w:val="es-ES_tradnl"/>
        </w:rPr>
        <w:t xml:space="preserve">a menudo </w:t>
      </w:r>
      <w:r w:rsidRPr="00A84A5B">
        <w:rPr>
          <w:lang w:val="es-ES_tradnl"/>
        </w:rPr>
        <w:t xml:space="preserve">con sugerencias de mejora. Este ejercicio podría llevar hasta un año desde la decisión inicial de encargar el informe de verificación. Los informes de verificación rutinarios como parte de los planes de gestión de la eliminación de los HCFC de los países podrían tardar entre </w:t>
      </w:r>
      <w:r w:rsidR="00F02BFB" w:rsidRPr="00A84A5B">
        <w:rPr>
          <w:lang w:val="es-ES_tradnl"/>
        </w:rPr>
        <w:t>6</w:t>
      </w:r>
      <w:r w:rsidRPr="00A84A5B">
        <w:rPr>
          <w:lang w:val="es-ES_tradnl"/>
        </w:rPr>
        <w:t xml:space="preserve"> y </w:t>
      </w:r>
      <w:r w:rsidR="00F02BFB" w:rsidRPr="00A84A5B">
        <w:rPr>
          <w:lang w:val="es-ES_tradnl"/>
        </w:rPr>
        <w:t xml:space="preserve">9 </w:t>
      </w:r>
      <w:r w:rsidRPr="00A84A5B">
        <w:rPr>
          <w:lang w:val="es-ES_tradnl"/>
        </w:rPr>
        <w:t xml:space="preserve">meses, dependiendo de la complejidad del proceso de cotejo de los datos. </w:t>
      </w:r>
    </w:p>
    <w:p w14:paraId="52C62044" w14:textId="2CD97DF4"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Posteriormente, un miembro informó sobre las consultas oficiosas del Comité, que habían contado con la ayuda de miembros de la Secretaría del Fondo Multilateral. En el subpárrafo c) de su decisión 96/22, el Comité Ejecutivo había alentado a los países que lo deseasen a que incluyesen los años de referencia en la verificación de su consumo de HFC. El miembro explicó que, al hacerlo, Armenia podía velar por que hubiese un informe independiente sobre sus datos de referencia. Además,</w:t>
      </w:r>
      <w:r w:rsidR="00156D80">
        <w:rPr>
          <w:lang w:val="es-ES_tradnl"/>
        </w:rPr>
        <w:t> </w:t>
      </w:r>
      <w:r w:rsidRPr="00A84A5B">
        <w:rPr>
          <w:lang w:val="es-ES_tradnl"/>
        </w:rPr>
        <w:t>el proceso se financiaría a través del Fondo Multilateral. Habida cuenta de que el informe de</w:t>
      </w:r>
      <w:r w:rsidR="00156D80">
        <w:rPr>
          <w:lang w:val="es-ES_tradnl"/>
        </w:rPr>
        <w:t> </w:t>
      </w:r>
      <w:r w:rsidRPr="00A84A5B">
        <w:rPr>
          <w:lang w:val="es-ES_tradnl"/>
        </w:rPr>
        <w:t xml:space="preserve">verificación podría estar listo en 2027, Armenia podría solicitar una modificación de su nivel de base como muy pronto en la segunda reunión del Comité de Aplicación en 2027. </w:t>
      </w:r>
    </w:p>
    <w:p w14:paraId="15D0BA94" w14:textId="4763D43F"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La Oficial Jefe de la Secretaría del Fondo Multilateral explicó que existía un plan de ejecución de las actividades relativas a los HFC conforme a la Enmienda de Kigali aprobado para Armenia y que la solicitud del segundo tramo de financiación debía presentarse al Comité Ejecutivo en 2027. Esto significaba que la financiación para la verificación del primer tramo, necesaria para la aprobación del segundo tramo, tendría que aprobarse en la primera reunión del Comité Ejecutivo en 2026. Sobre esa base, el informe de verificación podría estar listo en enero de 2027 para su examen en la primera reunión del Comité Ejecutivo en 2027. Por lo tanto, la verificación debería estar disponible para que</w:t>
      </w:r>
      <w:r w:rsidR="00156D80">
        <w:rPr>
          <w:lang w:val="es-ES_tradnl"/>
        </w:rPr>
        <w:t> </w:t>
      </w:r>
      <w:r w:rsidRPr="00A84A5B">
        <w:rPr>
          <w:lang w:val="es-ES_tradnl"/>
        </w:rPr>
        <w:t>el</w:t>
      </w:r>
      <w:r w:rsidR="00156D80">
        <w:rPr>
          <w:lang w:val="es-ES_tradnl"/>
        </w:rPr>
        <w:t> </w:t>
      </w:r>
      <w:r w:rsidRPr="00A84A5B">
        <w:rPr>
          <w:lang w:val="es-ES_tradnl"/>
        </w:rPr>
        <w:t xml:space="preserve">Comité de Aplicación la examine en su segunda reunión de 2027. El Comité hizo notar que la verificación a través del Fondo Multilateral era solo una de las opciones disponibles para Armenia y que correspondía a la Parte determinar el siguiente paso. </w:t>
      </w:r>
    </w:p>
    <w:p w14:paraId="03928C7F" w14:textId="40569522"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Aunque un miembro dijo que deseaba hacer notar en el proyecto de decisión que los datos de referencia del momento seguirían siendo aplicables durante los dos años siguientes, otros miembros señalaron que el Comité no sabía exactamente cuándo se resolvería la situación. </w:t>
      </w:r>
    </w:p>
    <w:p w14:paraId="2824979D" w14:textId="2D962D95"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una pregunta formulada por una miembro, el representante de la Secretaría confirmó que Armenia aún no había presentado sus datos correspondientes a 2024. Otros miembros hicieron notar que el Comité no podía hacer ninguna suposición sobre la situación de cumplimiento de</w:t>
      </w:r>
      <w:r w:rsidR="00156D80">
        <w:rPr>
          <w:lang w:val="es-ES_tradnl"/>
        </w:rPr>
        <w:t> </w:t>
      </w:r>
      <w:r w:rsidRPr="00A84A5B">
        <w:rPr>
          <w:lang w:val="es-ES_tradnl"/>
        </w:rPr>
        <w:t>Armenia para 2024 hasta que no hubiese recibido y examinado esos datos.</w:t>
      </w:r>
    </w:p>
    <w:p w14:paraId="198523CF" w14:textId="77777777" w:rsidR="00174FA6" w:rsidRPr="00A84A5B" w:rsidRDefault="00174FA6"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consiguiente, el Comité acordó:</w:t>
      </w:r>
    </w:p>
    <w:p w14:paraId="23BB8A34" w14:textId="77777777" w:rsidR="00174FA6" w:rsidRPr="00A84A5B" w:rsidRDefault="00174FA6" w:rsidP="00174FA6">
      <w:pPr>
        <w:pStyle w:val="Indent"/>
        <w:rPr>
          <w:i/>
          <w:iCs/>
          <w:lang w:val="es-ES_tradnl"/>
        </w:rPr>
      </w:pPr>
      <w:r w:rsidRPr="00A84A5B">
        <w:rPr>
          <w:i/>
          <w:iCs/>
          <w:lang w:val="es-ES_tradnl"/>
        </w:rPr>
        <w:t xml:space="preserve">Tomando nota </w:t>
      </w:r>
      <w:r w:rsidRPr="00A84A5B">
        <w:rPr>
          <w:lang w:val="es-ES_tradnl"/>
        </w:rPr>
        <w:t xml:space="preserve">de la solicitud de Armenia relativa a la modificación de sus datos sobre el consumo de sustancias controladas del grupo I del anexo F (hidrofluorocarbonos) correspondientes a los años de referencia 2020, 2021 y 2022, </w:t>
      </w:r>
    </w:p>
    <w:p w14:paraId="6CB1A3BC" w14:textId="687CBB4C" w:rsidR="00174FA6" w:rsidRPr="00A84A5B" w:rsidRDefault="00174FA6" w:rsidP="00174FA6">
      <w:pPr>
        <w:pStyle w:val="Indent"/>
        <w:rPr>
          <w:lang w:val="es-ES_tradnl"/>
        </w:rPr>
      </w:pPr>
      <w:r w:rsidRPr="00A84A5B">
        <w:rPr>
          <w:i/>
          <w:iCs/>
          <w:lang w:val="es-ES_tradnl"/>
        </w:rPr>
        <w:t xml:space="preserve">Recordando </w:t>
      </w:r>
      <w:r w:rsidRPr="00A84A5B">
        <w:rPr>
          <w:lang w:val="es-ES_tradnl"/>
        </w:rPr>
        <w:t>la decisión XV/19, en la que se establecía la metodología que debía utilizarse para</w:t>
      </w:r>
      <w:r w:rsidR="00156D80">
        <w:rPr>
          <w:lang w:val="es-ES_tradnl"/>
        </w:rPr>
        <w:t> </w:t>
      </w:r>
      <w:r w:rsidRPr="00A84A5B">
        <w:rPr>
          <w:lang w:val="es-ES_tradnl"/>
        </w:rPr>
        <w:t xml:space="preserve">presentar solicitudes de modificación de los datos de referencia, </w:t>
      </w:r>
    </w:p>
    <w:p w14:paraId="75E361FF" w14:textId="77777777" w:rsidR="00174FA6" w:rsidRPr="00A84A5B" w:rsidRDefault="00174FA6" w:rsidP="00174FA6">
      <w:pPr>
        <w:pStyle w:val="Indent"/>
        <w:rPr>
          <w:lang w:val="es-ES_tradnl"/>
        </w:rPr>
      </w:pPr>
      <w:r w:rsidRPr="00A84A5B">
        <w:rPr>
          <w:i/>
          <w:iCs/>
          <w:lang w:val="es-ES_tradnl"/>
        </w:rPr>
        <w:t>Observando con aprecio</w:t>
      </w:r>
      <w:r w:rsidRPr="00A84A5B">
        <w:rPr>
          <w:lang w:val="es-ES_tradnl"/>
        </w:rPr>
        <w:t xml:space="preserve"> la información aportada por Armenia para justificar su solicitud de modificación de sus datos de referencia, </w:t>
      </w:r>
    </w:p>
    <w:p w14:paraId="2F3379D6" w14:textId="24420AA4" w:rsidR="00174FA6" w:rsidRPr="00A84A5B" w:rsidRDefault="00174FA6" w:rsidP="00174FA6">
      <w:pPr>
        <w:pStyle w:val="Indent"/>
        <w:rPr>
          <w:i/>
          <w:iCs/>
          <w:lang w:val="es-ES_tradnl"/>
        </w:rPr>
      </w:pPr>
      <w:r w:rsidRPr="00A84A5B">
        <w:rPr>
          <w:i/>
          <w:iCs/>
          <w:lang w:val="es-ES_tradnl"/>
        </w:rPr>
        <w:lastRenderedPageBreak/>
        <w:t>Observando</w:t>
      </w:r>
      <w:r w:rsidRPr="00A84A5B">
        <w:rPr>
          <w:lang w:val="es-ES_tradnl"/>
        </w:rPr>
        <w:t xml:space="preserve">, no obstante, que el Comité de Aplicación establecido con arreglo al Procedimiento relativo al Incumplimiento del Protocolo de Montreal, en su 75ª reunión, consideró que esa información no bastaba para que el Comité aprobase las modificaciones solicitadas por la Parte, </w:t>
      </w:r>
    </w:p>
    <w:p w14:paraId="64D5C681" w14:textId="255F609C" w:rsidR="00174FA6" w:rsidRPr="00A84A5B" w:rsidRDefault="00174FA6" w:rsidP="00174FA6">
      <w:pPr>
        <w:pStyle w:val="Indent"/>
        <w:rPr>
          <w:lang w:val="es-ES_tradnl"/>
        </w:rPr>
      </w:pPr>
      <w:r w:rsidRPr="00A84A5B">
        <w:rPr>
          <w:lang w:val="es-ES_tradnl"/>
        </w:rPr>
        <w:t>1.</w:t>
      </w:r>
      <w:r w:rsidRPr="00A84A5B">
        <w:rPr>
          <w:lang w:val="es-ES_tradnl"/>
        </w:rPr>
        <w:tab/>
        <w:t>Invitar a Armenia a que o bien presentase a la Secretaría la información pendiente necesaria para cumplir los requisitos de la decisión XV/19, a fin de fundamentar sustancialmente su solicitud de modificación de sus datos de referencia sobre los hidrofluorocarbonos, lo antes posible y,</w:t>
      </w:r>
      <w:r w:rsidR="00156D80">
        <w:rPr>
          <w:lang w:val="es-ES_tradnl"/>
        </w:rPr>
        <w:t> </w:t>
      </w:r>
      <w:r w:rsidRPr="00A84A5B">
        <w:rPr>
          <w:lang w:val="es-ES_tradnl"/>
        </w:rPr>
        <w:t>preferiblemente, no más tarde del 31 de marzo de 2026, para que el Comité de Aplicación la</w:t>
      </w:r>
      <w:r w:rsidR="00156D80">
        <w:rPr>
          <w:lang w:val="es-ES_tradnl"/>
        </w:rPr>
        <w:t> </w:t>
      </w:r>
      <w:r w:rsidRPr="00A84A5B">
        <w:rPr>
          <w:lang w:val="es-ES_tradnl"/>
        </w:rPr>
        <w:t>examin</w:t>
      </w:r>
      <w:r w:rsidR="00206370" w:rsidRPr="00A84A5B">
        <w:rPr>
          <w:lang w:val="es-ES_tradnl"/>
        </w:rPr>
        <w:t>as</w:t>
      </w:r>
      <w:r w:rsidRPr="00A84A5B">
        <w:rPr>
          <w:lang w:val="es-ES_tradnl"/>
        </w:rPr>
        <w:t>e en su 76ª reunión, o bien solicitase, en consonancia con la decisión 96/22 del Comité</w:t>
      </w:r>
      <w:r w:rsidR="00156D80">
        <w:rPr>
          <w:lang w:val="es-ES_tradnl"/>
        </w:rPr>
        <w:t> </w:t>
      </w:r>
      <w:r w:rsidRPr="00A84A5B">
        <w:rPr>
          <w:lang w:val="es-ES_tradnl"/>
        </w:rPr>
        <w:t xml:space="preserve">Ejecutivo, subpárrafo c), que se incluyesen los años de referencia en su verificación del consumo de hidrofluorocarbonos; </w:t>
      </w:r>
    </w:p>
    <w:p w14:paraId="7902F0E8" w14:textId="7B916641" w:rsidR="00174FA6" w:rsidRPr="00A84A5B" w:rsidRDefault="00174FA6" w:rsidP="00174FA6">
      <w:pPr>
        <w:pStyle w:val="Indent"/>
        <w:rPr>
          <w:lang w:val="es-ES_tradnl"/>
        </w:rPr>
      </w:pPr>
      <w:r w:rsidRPr="00A84A5B">
        <w:rPr>
          <w:lang w:val="es-ES_tradnl"/>
        </w:rPr>
        <w:t>2.</w:t>
      </w:r>
      <w:r w:rsidRPr="00A84A5B">
        <w:rPr>
          <w:lang w:val="es-ES_tradnl"/>
        </w:rPr>
        <w:tab/>
        <w:t>Invitar también a Armenia a que, en caso de que la Parte solicitase un informe de verificación, revisase su solicitud actual y o bien la mantuviese o bien presentase una solicitud modificada para un cambio en el nivel de base de los hidrofluorocarbonos, sobre la base del informe de verificación, para su examen el Comité de Aplicación.</w:t>
      </w:r>
    </w:p>
    <w:p w14:paraId="364609C1" w14:textId="01157999" w:rsidR="00DE27DA" w:rsidRPr="00A84A5B" w:rsidRDefault="00DE27DA" w:rsidP="007F7B08">
      <w:pPr>
        <w:pStyle w:val="NormalNonumber"/>
        <w:jc w:val="right"/>
        <w:rPr>
          <w:b/>
          <w:bCs/>
          <w:lang w:val="es-ES_tradnl"/>
        </w:rPr>
      </w:pPr>
      <w:r w:rsidRPr="00A84A5B">
        <w:rPr>
          <w:b/>
          <w:bCs/>
          <w:lang w:val="es-ES_tradnl"/>
        </w:rPr>
        <w:t>Recomendación 75/9</w:t>
      </w:r>
    </w:p>
    <w:p w14:paraId="48E55D3C" w14:textId="651B801C" w:rsidR="00461A4E" w:rsidRPr="00A84A5B" w:rsidRDefault="00156D80" w:rsidP="00156D80">
      <w:pPr>
        <w:pStyle w:val="CH2"/>
        <w:rPr>
          <w:lang w:val="es-ES_tradnl"/>
        </w:rPr>
      </w:pPr>
      <w:r w:rsidRPr="00852ABF">
        <w:tab/>
        <w:t>B.</w:t>
      </w:r>
      <w:r w:rsidRPr="00852ABF">
        <w:tab/>
      </w:r>
      <w:r w:rsidR="00461A4E" w:rsidRPr="00A84A5B">
        <w:rPr>
          <w:bCs/>
          <w:lang w:val="es-ES_tradnl"/>
        </w:rPr>
        <w:t>Guinea (recomendación 74/13)</w:t>
      </w:r>
    </w:p>
    <w:p w14:paraId="354AB83F" w14:textId="086A4FC0" w:rsidR="000E43DF" w:rsidRPr="00A84A5B" w:rsidRDefault="000E43DF"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20" w:name="_Hlk212976778"/>
      <w:r w:rsidRPr="00A84A5B">
        <w:rPr>
          <w:lang w:val="es-ES_tradnl"/>
        </w:rPr>
        <w:t>El representante de la Secretaría recordó que Guinea había presentado dos solicitudes de modificación de los datos de referencia, una para los HFC y otra para los HCFC. Si se aprobasen ambas solicitudes, el nuevo nivel de base de los HFC sería de 1.798.954 toneladas de CO</w:t>
      </w:r>
      <w:r w:rsidRPr="00A84A5B">
        <w:rPr>
          <w:vertAlign w:val="subscript"/>
          <w:lang w:val="es-ES_tradnl"/>
        </w:rPr>
        <w:t>2</w:t>
      </w:r>
      <w:r w:rsidRPr="00A84A5B">
        <w:rPr>
          <w:lang w:val="es-ES_tradnl"/>
        </w:rPr>
        <w:t xml:space="preserve"> equivalente. El Comité había examinado la solicitud de modificación de los datos de referencia sobre los HFC en</w:t>
      </w:r>
      <w:r w:rsidR="00156D80">
        <w:rPr>
          <w:lang w:val="es-ES_tradnl"/>
        </w:rPr>
        <w:t> </w:t>
      </w:r>
      <w:r w:rsidRPr="00A84A5B">
        <w:rPr>
          <w:lang w:val="es-ES_tradnl"/>
        </w:rPr>
        <w:t>su 74ª reunión y había emitido la recomendación 74/13, en la que se solicitaba a la Parte que proporcionase más información para justificar dicha solicitud, así como que presentase una solicitud</w:t>
      </w:r>
      <w:r w:rsidR="00156D80">
        <w:rPr>
          <w:lang w:val="es-ES_tradnl"/>
        </w:rPr>
        <w:t> </w:t>
      </w:r>
      <w:r w:rsidRPr="00A84A5B">
        <w:rPr>
          <w:lang w:val="es-ES_tradnl"/>
        </w:rPr>
        <w:t xml:space="preserve">de modificación de los datos de referencia sobre los HCFC, tal y como se había acordado y documentado anteriormente en la propuesta para la fase I de su plan de ejecución de las actividades relativas a los HFC conforme a la Enmienda de Kigali para el período 2025-2029. </w:t>
      </w:r>
      <w:bookmarkEnd w:id="20"/>
    </w:p>
    <w:p w14:paraId="6BABE1DE" w14:textId="7C0255E8" w:rsidR="004D3539" w:rsidRPr="00A84A5B" w:rsidRDefault="00156D80" w:rsidP="00156D80">
      <w:pPr>
        <w:pStyle w:val="CH3"/>
        <w:rPr>
          <w:lang w:val="es-ES_tradnl"/>
        </w:rPr>
      </w:pPr>
      <w:r w:rsidRPr="008353E4">
        <w:rPr>
          <w:lang w:val="fr-FR"/>
        </w:rPr>
        <w:tab/>
      </w:r>
      <w:r w:rsidRPr="00852ABF">
        <w:t>1.</w:t>
      </w:r>
      <w:r w:rsidRPr="00852ABF">
        <w:tab/>
      </w:r>
      <w:r w:rsidR="004D3539" w:rsidRPr="00A84A5B">
        <w:rPr>
          <w:bCs/>
          <w:lang w:val="es-ES_tradnl"/>
        </w:rPr>
        <w:t>Datos de referencia sobre HFC</w:t>
      </w:r>
    </w:p>
    <w:p w14:paraId="3F2C4AEC" w14:textId="06CC5F7F" w:rsidR="000E43DF" w:rsidRPr="00A84A5B" w:rsidRDefault="00A04BF3"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la solicitud de modificar sus datos sobre HFC para los años de referencia 2020, 2021 y 2022, Guinea había proporcionado a la Secretaría documentación de los importadores sobre las</w:t>
      </w:r>
      <w:r w:rsidR="00156D80">
        <w:rPr>
          <w:lang w:val="es-ES_tradnl"/>
        </w:rPr>
        <w:t> </w:t>
      </w:r>
      <w:r w:rsidRPr="00A84A5B">
        <w:rPr>
          <w:lang w:val="es-ES_tradnl"/>
        </w:rPr>
        <w:t>importaciones de HFC para 2021 y 2022. Las empresas habían hecho notar que no se podían proporcionar algunas facturas debido a problemas relacionados con la pandemia de COVID-19. La Parte también había mencionado que su oficina de aduanas se había visto afectada por un incendio que</w:t>
      </w:r>
      <w:r w:rsidR="00156D80">
        <w:rPr>
          <w:lang w:val="es-ES_tradnl"/>
        </w:rPr>
        <w:t> </w:t>
      </w:r>
      <w:r w:rsidRPr="00A84A5B">
        <w:rPr>
          <w:lang w:val="es-ES_tradnl"/>
        </w:rPr>
        <w:t>había provocado la pérdida de algunos documentos, entre ellos permisos de importación y registros aduaneros. La Secretaría había examinado la información proporcionada por Guinea y había</w:t>
      </w:r>
      <w:r w:rsidR="00156D80">
        <w:rPr>
          <w:lang w:val="es-ES_tradnl"/>
        </w:rPr>
        <w:t> </w:t>
      </w:r>
      <w:r w:rsidRPr="00A84A5B">
        <w:rPr>
          <w:lang w:val="es-ES_tradnl"/>
        </w:rPr>
        <w:t>concluido que justificaba su solicitud de aumento de los datos de referencia para los HFC.</w:t>
      </w:r>
    </w:p>
    <w:p w14:paraId="77B3968D" w14:textId="45D5F24C" w:rsidR="009E437A" w:rsidRPr="00A84A5B" w:rsidRDefault="00566506"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En respuesta a las preguntas formuladas por los miembros del Comité, los representantes de la Secretaría explicaron que, aunque Guinea no había podido proporcionar todas las facturas pertinentes, había facilitado informes de las empresas importadoras, al igual que algunos de los países insulares del Pacífico que el Comité había debatido en su 74ª reunión. La Secretaría había analizado la información proporcionada, en la que se especificaba el número de cilindros importados, las sustancias que contenían y su peso en kilogramos, y había comprobado que las cantidades coincidían con las declaradas por la Parte. Por lo tanto, la Secretaría había llegado a la conclusión de que la información era suficiente para justificar la solicitud. Un miembro del Comité comentó que, en casos similares en el futuro, sería útil que el Comité pudiese ver cualquier análisis similar realizado por la Secretaría. </w:t>
      </w:r>
    </w:p>
    <w:p w14:paraId="1FE5BE58" w14:textId="447B65FD" w:rsidR="00111F56" w:rsidRPr="00A84A5B" w:rsidRDefault="00030AA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No obstante, algunos miembros del Comité expresaron su parecer de que aún existían algunas discrepancias en las cifras y preguntaron por qué Guinea debía recibir un trato diferente al de Armenia, donde también había discrepancias. Otros miembros señalaron la diferencia mucho mayor entre las cifras de Armenia y las de Guinea. La Secretaría informó al Comité de que la documentación presentada por Guinea justificaba plenamente su solicitud.</w:t>
      </w:r>
    </w:p>
    <w:p w14:paraId="58398E2F" w14:textId="1D0060E7" w:rsidR="009E23F4" w:rsidRPr="00A84A5B" w:rsidRDefault="009E23F4" w:rsidP="00B43391">
      <w:pPr>
        <w:pStyle w:val="Normalnumber"/>
        <w:numPr>
          <w:ilvl w:val="0"/>
          <w:numId w:val="299"/>
        </w:numPr>
        <w:tabs>
          <w:tab w:val="clear" w:pos="1247"/>
          <w:tab w:val="clear" w:pos="1814"/>
          <w:tab w:val="clear" w:pos="2381"/>
          <w:tab w:val="clear" w:pos="2948"/>
          <w:tab w:val="clear" w:pos="3515"/>
        </w:tabs>
        <w:ind w:left="1247" w:firstLine="0"/>
        <w:rPr>
          <w:rFonts w:asciiTheme="majorBidi" w:hAnsiTheme="majorBidi" w:cstheme="majorBidi"/>
          <w:lang w:val="es-ES_tradnl"/>
        </w:rPr>
      </w:pPr>
      <w:bookmarkStart w:id="21" w:name="_Hlk212851811"/>
      <w:bookmarkStart w:id="22" w:name="_Hlk212851399"/>
      <w:r w:rsidRPr="00A84A5B">
        <w:rPr>
          <w:lang w:val="es-ES_tradnl"/>
        </w:rPr>
        <w:t>Por consiguiente, el Comité acordó:</w:t>
      </w:r>
    </w:p>
    <w:bookmarkEnd w:id="21"/>
    <w:p w14:paraId="331088C7" w14:textId="0F198A1B" w:rsidR="009E23F4" w:rsidRPr="00A84A5B" w:rsidRDefault="009E23F4" w:rsidP="009E23F4">
      <w:pPr>
        <w:pStyle w:val="Indent"/>
        <w:rPr>
          <w:lang w:val="es-ES_tradnl"/>
        </w:rPr>
      </w:pPr>
      <w:r w:rsidRPr="00A84A5B">
        <w:rPr>
          <w:i/>
          <w:iCs/>
          <w:lang w:val="es-ES_tradnl"/>
        </w:rPr>
        <w:t xml:space="preserve">Observando con aprecio </w:t>
      </w:r>
      <w:r w:rsidRPr="00A84A5B">
        <w:rPr>
          <w:lang w:val="es-ES_tradnl"/>
        </w:rPr>
        <w:t>la información aportada por Guinea para justificar su solicitud de modificación de los datos existentes sobre el consumo de sustancias controladas del grupo I del anexo F (hidrofluorocarbonos) correspondientes a los años de referencia 2020, 2021 y 2022,</w:t>
      </w:r>
    </w:p>
    <w:p w14:paraId="1C5BFCC2" w14:textId="5256F50A" w:rsidR="009E23F4" w:rsidRPr="00A84A5B" w:rsidRDefault="009E23F4" w:rsidP="009E23F4">
      <w:pPr>
        <w:pStyle w:val="Indent"/>
        <w:rPr>
          <w:lang w:val="es-ES_tradnl"/>
        </w:rPr>
      </w:pPr>
      <w:r w:rsidRPr="00A84A5B">
        <w:rPr>
          <w:i/>
          <w:iCs/>
          <w:lang w:val="es-ES_tradnl"/>
        </w:rPr>
        <w:t xml:space="preserve">Haciendo notar </w:t>
      </w:r>
      <w:r w:rsidRPr="00A84A5B">
        <w:rPr>
          <w:lang w:val="es-ES_tradnl"/>
        </w:rPr>
        <w:t>que en la decisión XV/19 se establece la metodología que había de utilizarse para cursar esas solicitudes de modificación de los datos de referencia,</w:t>
      </w:r>
    </w:p>
    <w:p w14:paraId="0FFC5660" w14:textId="6FF4FEBF" w:rsidR="009E23F4" w:rsidRPr="00A84A5B" w:rsidRDefault="009E23F4" w:rsidP="009E23F4">
      <w:pPr>
        <w:pStyle w:val="Indent"/>
        <w:rPr>
          <w:lang w:val="es-ES_tradnl"/>
        </w:rPr>
      </w:pPr>
      <w:r w:rsidRPr="00A84A5B">
        <w:rPr>
          <w:i/>
          <w:iCs/>
          <w:lang w:val="es-ES_tradnl"/>
        </w:rPr>
        <w:lastRenderedPageBreak/>
        <w:t>Observando con aprecio</w:t>
      </w:r>
      <w:r w:rsidRPr="00A84A5B">
        <w:rPr>
          <w:lang w:val="es-ES_tradnl"/>
        </w:rPr>
        <w:t xml:space="preserve"> la labor realizada por Guinea para cumplir los requisitos en materia de información establecidos en la decisión XV/19,</w:t>
      </w:r>
    </w:p>
    <w:p w14:paraId="5E8A67AE" w14:textId="4E1FD6A7" w:rsidR="009E23F4" w:rsidRPr="00A84A5B" w:rsidRDefault="009E23F4" w:rsidP="009E23F4">
      <w:pPr>
        <w:pStyle w:val="Indent"/>
        <w:rPr>
          <w:lang w:val="es-ES_tradnl"/>
        </w:rPr>
      </w:pPr>
      <w:r w:rsidRPr="00A84A5B">
        <w:rPr>
          <w:lang w:val="es-ES_tradnl"/>
        </w:rPr>
        <w:t>Someter al examen de la 37ª Reunión de las Partes en el Protocolo de Montreal relativo a las Sustancias que Agotan la Capa de Ozono el proyecto de decisión que figura en el anexo H del presente informe, por el que la 37ª Reunión de las Partes aprobaría la solicitud de Guinea relativa a la modificación de sus datos sobre el consumo de hidrofluorocarbonos correspondientes a los años de referencia 2020, 2021 y 2022, para fijarlo en 1.896.234 toneladas de CO</w:t>
      </w:r>
      <w:r w:rsidRPr="00A84A5B">
        <w:rPr>
          <w:vertAlign w:val="subscript"/>
          <w:lang w:val="es-ES_tradnl"/>
        </w:rPr>
        <w:t>2</w:t>
      </w:r>
      <w:r w:rsidRPr="00A84A5B">
        <w:rPr>
          <w:lang w:val="es-ES_tradnl"/>
        </w:rPr>
        <w:t xml:space="preserve"> equivalente, 1.728.541 toneladas de CO</w:t>
      </w:r>
      <w:r w:rsidRPr="00A84A5B">
        <w:rPr>
          <w:vertAlign w:val="subscript"/>
          <w:lang w:val="es-ES_tradnl"/>
        </w:rPr>
        <w:t>2</w:t>
      </w:r>
      <w:r w:rsidRPr="00A84A5B">
        <w:rPr>
          <w:lang w:val="es-ES_tradnl"/>
        </w:rPr>
        <w:t xml:space="preserve"> equivalente y 1.715.084 toneladas de CO</w:t>
      </w:r>
      <w:r w:rsidRPr="00A84A5B">
        <w:rPr>
          <w:vertAlign w:val="subscript"/>
          <w:lang w:val="es-ES_tradnl"/>
        </w:rPr>
        <w:t>2</w:t>
      </w:r>
      <w:r w:rsidRPr="00A84A5B">
        <w:rPr>
          <w:lang w:val="es-ES_tradnl"/>
        </w:rPr>
        <w:t xml:space="preserve"> equivalente, respectivamente.</w:t>
      </w:r>
      <w:bookmarkEnd w:id="22"/>
    </w:p>
    <w:p w14:paraId="2CDD1335" w14:textId="63E7956A" w:rsidR="000E43DF" w:rsidRPr="00A84A5B" w:rsidRDefault="00924771" w:rsidP="00924771">
      <w:pPr>
        <w:pStyle w:val="Recommendation"/>
        <w:rPr>
          <w:lang w:val="es-ES_tradnl"/>
        </w:rPr>
      </w:pPr>
      <w:r w:rsidRPr="00A84A5B">
        <w:rPr>
          <w:lang w:val="es-ES_tradnl"/>
        </w:rPr>
        <w:t>Recomendación 75/10</w:t>
      </w:r>
    </w:p>
    <w:p w14:paraId="66D22621" w14:textId="11F0E6D5" w:rsidR="004D3539" w:rsidRPr="00A84A5B" w:rsidRDefault="00F056BE" w:rsidP="00F056BE">
      <w:pPr>
        <w:pStyle w:val="CH3"/>
        <w:rPr>
          <w:lang w:val="es-ES_tradnl"/>
        </w:rPr>
      </w:pPr>
      <w:r w:rsidRPr="008353E4">
        <w:rPr>
          <w:lang w:val="fr-FR"/>
        </w:rPr>
        <w:tab/>
        <w:t>2.</w:t>
      </w:r>
      <w:r w:rsidRPr="008353E4">
        <w:rPr>
          <w:lang w:val="fr-FR"/>
        </w:rPr>
        <w:tab/>
      </w:r>
      <w:r w:rsidR="004D3539" w:rsidRPr="00A84A5B">
        <w:rPr>
          <w:bCs/>
          <w:lang w:val="es-ES_tradnl"/>
        </w:rPr>
        <w:t>Datos de referencia sobre HCFC</w:t>
      </w:r>
    </w:p>
    <w:p w14:paraId="1308DE03" w14:textId="3B5545A6" w:rsidR="00030AAC" w:rsidRPr="00A84A5B" w:rsidRDefault="008F0DB4"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la solicitud de Guinea de modificar sus datos de referencia para los HCFC, la Secretaría había analizado la información proporcionada y había llegado a la conclusión de que justificaba la reducción significativa del nivel de consumo de referencia que Guinea solicitaba.</w:t>
      </w:r>
    </w:p>
    <w:p w14:paraId="46F17666" w14:textId="77777777" w:rsidR="00924771" w:rsidRPr="00A84A5B" w:rsidRDefault="00924771"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consiguiente, el Comité acordó:</w:t>
      </w:r>
    </w:p>
    <w:p w14:paraId="38580816" w14:textId="74EE52D6" w:rsidR="00924771" w:rsidRPr="00A84A5B" w:rsidRDefault="00924771" w:rsidP="00924771">
      <w:pPr>
        <w:pStyle w:val="Indent"/>
        <w:rPr>
          <w:lang w:val="es-ES_tradnl"/>
        </w:rPr>
      </w:pPr>
      <w:r w:rsidRPr="00A84A5B">
        <w:rPr>
          <w:i/>
          <w:iCs/>
          <w:lang w:val="es-ES_tradnl"/>
        </w:rPr>
        <w:t>Observando con aprecio</w:t>
      </w:r>
      <w:r w:rsidRPr="00A84A5B">
        <w:rPr>
          <w:lang w:val="es-ES_tradnl"/>
        </w:rPr>
        <w:t xml:space="preserve"> la información aportada por Guinea para justificar su solicitud de modificación de los datos existentes sobre el consumo de sustancias controladas del grupo I del anexo</w:t>
      </w:r>
      <w:r w:rsidR="00F056BE">
        <w:rPr>
          <w:lang w:val="es-ES_tradnl"/>
        </w:rPr>
        <w:t> </w:t>
      </w:r>
      <w:r w:rsidRPr="00A84A5B">
        <w:rPr>
          <w:lang w:val="es-ES_tradnl"/>
        </w:rPr>
        <w:t>C (hidroclorofluorocarbonos) correspondientes a los años de referencia 2009 y 2010,</w:t>
      </w:r>
    </w:p>
    <w:p w14:paraId="243B1673" w14:textId="56C1C149" w:rsidR="00924771" w:rsidRPr="00A84A5B" w:rsidRDefault="00924771" w:rsidP="00924771">
      <w:pPr>
        <w:pStyle w:val="Indent"/>
        <w:rPr>
          <w:lang w:val="es-ES_tradnl"/>
        </w:rPr>
      </w:pPr>
      <w:r w:rsidRPr="00A84A5B">
        <w:rPr>
          <w:i/>
          <w:iCs/>
          <w:lang w:val="es-ES_tradnl"/>
        </w:rPr>
        <w:t xml:space="preserve">Haciendo notar </w:t>
      </w:r>
      <w:r w:rsidRPr="00A84A5B">
        <w:rPr>
          <w:lang w:val="es-ES_tradnl"/>
        </w:rPr>
        <w:t>que en la decisión XV/19 se establecía la metodología que había de utilizarse para cursar solicitudes de modificación de los datos de referencia,</w:t>
      </w:r>
    </w:p>
    <w:p w14:paraId="09D9072F" w14:textId="77777777" w:rsidR="00924771" w:rsidRPr="00A84A5B" w:rsidRDefault="00924771" w:rsidP="00924771">
      <w:pPr>
        <w:pStyle w:val="Indent"/>
        <w:rPr>
          <w:lang w:val="es-ES_tradnl"/>
        </w:rPr>
      </w:pPr>
      <w:r w:rsidRPr="00A84A5B">
        <w:rPr>
          <w:i/>
          <w:iCs/>
          <w:lang w:val="es-ES_tradnl"/>
        </w:rPr>
        <w:t>Observando con aprecio</w:t>
      </w:r>
      <w:r w:rsidRPr="00A84A5B">
        <w:rPr>
          <w:lang w:val="es-ES_tradnl"/>
        </w:rPr>
        <w:t xml:space="preserve"> la labor realizada por Guinea para cumplir los requisitos en materia de información establecidos en la decisión XV/19,</w:t>
      </w:r>
    </w:p>
    <w:p w14:paraId="65F53B89" w14:textId="43E54A57" w:rsidR="00924771" w:rsidRPr="00A84A5B" w:rsidRDefault="00924771" w:rsidP="00924771">
      <w:pPr>
        <w:pStyle w:val="Indent"/>
        <w:rPr>
          <w:lang w:val="es-ES_tradnl"/>
        </w:rPr>
      </w:pPr>
      <w:r w:rsidRPr="00A84A5B">
        <w:rPr>
          <w:lang w:val="es-ES_tradnl"/>
        </w:rPr>
        <w:t>Someter al examen de la 37ª Reunión de las Partes en el Protocolo de Montreal relativo a las</w:t>
      </w:r>
      <w:r w:rsidR="00F056BE">
        <w:rPr>
          <w:lang w:val="es-ES_tradnl"/>
        </w:rPr>
        <w:t> </w:t>
      </w:r>
      <w:r w:rsidRPr="00A84A5B">
        <w:rPr>
          <w:lang w:val="es-ES_tradnl"/>
        </w:rPr>
        <w:t xml:space="preserve">Sustancias que Agotan la Capa de Ozono el proyecto de decisión que figura en </w:t>
      </w:r>
      <w:r w:rsidR="006E4E5E" w:rsidRPr="00A84A5B">
        <w:rPr>
          <w:lang w:val="es-ES_tradnl"/>
        </w:rPr>
        <w:t>la sección</w:t>
      </w:r>
      <w:r w:rsidRPr="00A84A5B">
        <w:rPr>
          <w:lang w:val="es-ES_tradnl"/>
        </w:rPr>
        <w:t xml:space="preserve"> H del anexo</w:t>
      </w:r>
      <w:r w:rsidR="00F056BE">
        <w:rPr>
          <w:lang w:val="es-ES_tradnl"/>
        </w:rPr>
        <w:t> </w:t>
      </w:r>
      <w:r w:rsidRPr="00A84A5B">
        <w:rPr>
          <w:lang w:val="es-ES_tradnl"/>
        </w:rPr>
        <w:t>I del presente informe, por el que la 37ª Reunión de las Partes aprobaría la solicitud de Guinea relativa a la modificación de sus datos sobre el consumo de hidroclorofluorocarbonos correspondientes a los años de referencia 2009 y 2010, para fijarlo en 1,03 toneladas PAO (33.756,5 toneladas de CO</w:t>
      </w:r>
      <w:r w:rsidRPr="00A84A5B">
        <w:rPr>
          <w:vertAlign w:val="subscript"/>
          <w:lang w:val="es-ES_tradnl"/>
        </w:rPr>
        <w:t>2</w:t>
      </w:r>
      <w:r w:rsidRPr="00A84A5B">
        <w:rPr>
          <w:lang w:val="es-ES_tradnl"/>
        </w:rPr>
        <w:t xml:space="preserve"> equivalente) y 0,75 toneladas PAO (24.706,5 toneladas de CO</w:t>
      </w:r>
      <w:r w:rsidRPr="00A84A5B">
        <w:rPr>
          <w:vertAlign w:val="subscript"/>
          <w:lang w:val="es-ES_tradnl"/>
        </w:rPr>
        <w:t>2</w:t>
      </w:r>
      <w:r w:rsidRPr="00A84A5B">
        <w:rPr>
          <w:lang w:val="es-ES_tradnl"/>
        </w:rPr>
        <w:t xml:space="preserve"> equivalente), respectivamente.</w:t>
      </w:r>
    </w:p>
    <w:p w14:paraId="53B429AB" w14:textId="014D29CB" w:rsidR="001A3BC9" w:rsidRPr="00A84A5B" w:rsidRDefault="00F72227" w:rsidP="00F72227">
      <w:pPr>
        <w:pStyle w:val="Recommendation"/>
        <w:rPr>
          <w:lang w:val="es-ES_tradnl"/>
        </w:rPr>
      </w:pPr>
      <w:r w:rsidRPr="00A84A5B">
        <w:rPr>
          <w:lang w:val="es-ES_tradnl"/>
        </w:rPr>
        <w:t>Recomendación 75/11</w:t>
      </w:r>
    </w:p>
    <w:p w14:paraId="5D9915CB" w14:textId="29F95A1F" w:rsidR="006275CB" w:rsidRPr="00A84A5B" w:rsidRDefault="00F056BE" w:rsidP="00F056BE">
      <w:pPr>
        <w:pStyle w:val="CH2"/>
        <w:rPr>
          <w:lang w:val="es-ES_tradnl"/>
        </w:rPr>
      </w:pPr>
      <w:r w:rsidRPr="00852ABF">
        <w:tab/>
        <w:t>C.</w:t>
      </w:r>
      <w:r w:rsidRPr="00852ABF">
        <w:tab/>
      </w:r>
      <w:r w:rsidR="006275CB" w:rsidRPr="00A84A5B">
        <w:rPr>
          <w:bCs/>
          <w:lang w:val="es-ES_tradnl"/>
        </w:rPr>
        <w:t>Marruecos</w:t>
      </w:r>
    </w:p>
    <w:p w14:paraId="54E60634" w14:textId="630F2B6D"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Marruecos había solicitado la modificación de sus datos de consumo de HFC para los años de referencia 2020, 2021 y 2022. El nivel de base modificado representaría un incremento de 889.244 toneladas de CO</w:t>
      </w:r>
      <w:r w:rsidRPr="00A84A5B">
        <w:rPr>
          <w:vertAlign w:val="subscript"/>
          <w:lang w:val="es-ES_tradnl"/>
        </w:rPr>
        <w:t>2</w:t>
      </w:r>
      <w:r w:rsidRPr="00A84A5B">
        <w:rPr>
          <w:lang w:val="es-ES_tradnl"/>
        </w:rPr>
        <w:t xml:space="preserve"> equivalente (42 %) con respecto al nivel de base inicial. De conformidad con la decisión XV/19, Marruecos había explicado que los datos de referencia utilizados para la presentación de datos en virtud del artículo 7 se basaban en una estimación obtenida de un estudio realizado en el marco del proyecto de actividades de facilitación para la ratificación de la Enmienda de Kigali y en los datos sobre importaciones compartidos con la Secretaría por los países que exportan a Marruecos. Según los códigos aduaneros del Sistema Armonizado de Designación y Codificación de Mercancías para las mezclas de HFC, que se habían introducido en 2021, las sustancias se clasificaban por grupos</w:t>
      </w:r>
      <w:r w:rsidR="00F056BE">
        <w:rPr>
          <w:lang w:val="es-ES_tradnl"/>
        </w:rPr>
        <w:t> </w:t>
      </w:r>
      <w:r w:rsidRPr="00A84A5B">
        <w:rPr>
          <w:lang w:val="es-ES_tradnl"/>
        </w:rPr>
        <w:t>de productos, lo cual no permitía el seguimiento de sustancias individuales. Además, los datos para</w:t>
      </w:r>
      <w:r w:rsidR="00F056BE">
        <w:rPr>
          <w:lang w:val="es-ES_tradnl"/>
        </w:rPr>
        <w:t> </w:t>
      </w:r>
      <w:r w:rsidRPr="00A84A5B">
        <w:rPr>
          <w:lang w:val="es-ES_tradnl"/>
        </w:rPr>
        <w:t>2022 no incluían las mezclas de HFC, y el sistema aduanero solo se había adaptado en 2023 para</w:t>
      </w:r>
      <w:r w:rsidR="00F056BE">
        <w:rPr>
          <w:lang w:val="es-ES_tradnl"/>
        </w:rPr>
        <w:t> </w:t>
      </w:r>
      <w:r w:rsidRPr="00A84A5B">
        <w:rPr>
          <w:lang w:val="es-ES_tradnl"/>
        </w:rPr>
        <w:t>la clasificación individual de las mezclas. La Parte había facilitado facturas de importaciones y exportaciones que confirmaban los datos modificados; la fase I propuesta de su plan de ejecución de</w:t>
      </w:r>
      <w:r w:rsidR="00F056BE">
        <w:rPr>
          <w:lang w:val="es-ES_tradnl"/>
        </w:rPr>
        <w:t> </w:t>
      </w:r>
      <w:r w:rsidRPr="00A84A5B">
        <w:rPr>
          <w:lang w:val="es-ES_tradnl"/>
        </w:rPr>
        <w:t xml:space="preserve">las actividades relativas a los HFC conforme a la Enmienda de Kigali; la edición de 2022 de un compendio de aranceles aduaneros para las importaciones, y muestras de los cuestionarios empleados en el estudio para determinar el consumo de HFC y sus mezclas de la Parte entre 2019 y 2023. </w:t>
      </w:r>
    </w:p>
    <w:p w14:paraId="009ABCF2" w14:textId="77777777" w:rsidR="000C39E5" w:rsidRPr="00A84A5B" w:rsidRDefault="000C39E5"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23" w:name="_Hlk212851970"/>
      <w:r w:rsidRPr="00A84A5B">
        <w:rPr>
          <w:lang w:val="es-ES_tradnl"/>
        </w:rPr>
        <w:t>Por consiguiente, el Comité acordó:</w:t>
      </w:r>
    </w:p>
    <w:bookmarkEnd w:id="23"/>
    <w:p w14:paraId="4B4F3873" w14:textId="25BD9121" w:rsidR="000C39E5" w:rsidRPr="00A84A5B" w:rsidRDefault="000C39E5" w:rsidP="000C39E5">
      <w:pPr>
        <w:pStyle w:val="Indent"/>
        <w:rPr>
          <w:lang w:val="es-ES_tradnl"/>
        </w:rPr>
      </w:pPr>
      <w:r w:rsidRPr="00A84A5B">
        <w:rPr>
          <w:i/>
          <w:iCs/>
          <w:lang w:val="es-ES_tradnl"/>
        </w:rPr>
        <w:t>Observando con aprecio</w:t>
      </w:r>
      <w:r w:rsidRPr="00A84A5B">
        <w:rPr>
          <w:lang w:val="es-ES_tradnl"/>
        </w:rPr>
        <w:t xml:space="preserve"> la información aportada por Marruecos para justificar su solicitud de modificación de los datos existentes sobre el consumo de sustancias controladas del grupo I del anexo F (hidrofluorocarbonos) correspondientes a los años de referencia 2020, 2021 y 2022,</w:t>
      </w:r>
    </w:p>
    <w:p w14:paraId="393577E2" w14:textId="28B97F14" w:rsidR="000C39E5" w:rsidRPr="00A84A5B" w:rsidRDefault="000C39E5" w:rsidP="000C39E5">
      <w:pPr>
        <w:pStyle w:val="Indent"/>
        <w:rPr>
          <w:lang w:val="es-ES_tradnl"/>
        </w:rPr>
      </w:pPr>
      <w:r w:rsidRPr="00A84A5B">
        <w:rPr>
          <w:i/>
          <w:iCs/>
          <w:lang w:val="es-ES_tradnl"/>
        </w:rPr>
        <w:t>Haciendo notar</w:t>
      </w:r>
      <w:r w:rsidRPr="00A84A5B">
        <w:rPr>
          <w:lang w:val="es-ES_tradnl"/>
        </w:rPr>
        <w:t xml:space="preserve"> que en la decisión XV/19 se establecía la metodología que había de utilizarse para cursar solicitudes de modificación de los datos de referencia,</w:t>
      </w:r>
    </w:p>
    <w:p w14:paraId="5344F1D1" w14:textId="02B917E7" w:rsidR="000C39E5" w:rsidRPr="00A84A5B" w:rsidRDefault="000C39E5" w:rsidP="000C39E5">
      <w:pPr>
        <w:pStyle w:val="Indent"/>
        <w:rPr>
          <w:lang w:val="es-ES_tradnl"/>
        </w:rPr>
      </w:pPr>
      <w:r w:rsidRPr="00A84A5B">
        <w:rPr>
          <w:i/>
          <w:iCs/>
          <w:lang w:val="es-ES_tradnl"/>
        </w:rPr>
        <w:t>Observando con aprecio</w:t>
      </w:r>
      <w:r w:rsidRPr="00A84A5B">
        <w:rPr>
          <w:lang w:val="es-ES_tradnl"/>
        </w:rPr>
        <w:t xml:space="preserve"> la labor realizada por Marruecos para cumplir los requisitos en materia de información establecidos en la decisión XV/19,</w:t>
      </w:r>
    </w:p>
    <w:p w14:paraId="16FDBB2A" w14:textId="0FCCDDF6" w:rsidR="000C39E5" w:rsidRPr="00A84A5B" w:rsidRDefault="000C39E5" w:rsidP="000C39E5">
      <w:pPr>
        <w:pStyle w:val="Indent"/>
        <w:rPr>
          <w:lang w:val="es-ES_tradnl"/>
        </w:rPr>
      </w:pPr>
      <w:r w:rsidRPr="00A84A5B">
        <w:rPr>
          <w:lang w:val="es-ES_tradnl"/>
        </w:rPr>
        <w:lastRenderedPageBreak/>
        <w:t>Someter al examen de la 37ª Reunión de las Partes en el Protocolo de Montreal relativo a las</w:t>
      </w:r>
      <w:r w:rsidR="00F056BE">
        <w:rPr>
          <w:lang w:val="es-ES_tradnl"/>
        </w:rPr>
        <w:t> </w:t>
      </w:r>
      <w:r w:rsidRPr="00A84A5B">
        <w:rPr>
          <w:lang w:val="es-ES_tradnl"/>
        </w:rPr>
        <w:t>Sustancias que Agotan la Capa de Ozono el proyecto de decisión que figura en la sección H del</w:t>
      </w:r>
      <w:r w:rsidR="00F056BE">
        <w:rPr>
          <w:lang w:val="es-ES_tradnl"/>
        </w:rPr>
        <w:t> </w:t>
      </w:r>
      <w:r w:rsidRPr="00A84A5B">
        <w:rPr>
          <w:lang w:val="es-ES_tradnl"/>
        </w:rPr>
        <w:t>anexo</w:t>
      </w:r>
      <w:r w:rsidR="00F056BE">
        <w:rPr>
          <w:lang w:val="es-ES_tradnl"/>
        </w:rPr>
        <w:t> </w:t>
      </w:r>
      <w:r w:rsidRPr="00A84A5B">
        <w:rPr>
          <w:lang w:val="es-ES_tradnl"/>
        </w:rPr>
        <w:t>I del presente informe, por el que la 37ª Reunión de las Partes aprobaría la solicitud de</w:t>
      </w:r>
      <w:r w:rsidR="00F056BE">
        <w:rPr>
          <w:lang w:val="es-ES_tradnl"/>
        </w:rPr>
        <w:t> </w:t>
      </w:r>
      <w:r w:rsidRPr="00A84A5B">
        <w:rPr>
          <w:lang w:val="es-ES_tradnl"/>
        </w:rPr>
        <w:t>Marruecos relativa a la modificación de sus datos sobre el consumo de hidrofluorocarbonos correspondientes a los años de referencia 2020, 2021 y 2022, para fijarlo en 2.602.515 toneladas de</w:t>
      </w:r>
      <w:r w:rsidR="00F056BE">
        <w:rPr>
          <w:lang w:val="es-ES_tradnl"/>
        </w:rPr>
        <w:t> </w:t>
      </w:r>
      <w:r w:rsidRPr="00A84A5B">
        <w:rPr>
          <w:lang w:val="es-ES_tradnl"/>
        </w:rPr>
        <w:t>CO</w:t>
      </w:r>
      <w:r w:rsidRPr="00A84A5B">
        <w:rPr>
          <w:vertAlign w:val="subscript"/>
          <w:lang w:val="es-ES_tradnl"/>
        </w:rPr>
        <w:t>2</w:t>
      </w:r>
      <w:r w:rsidRPr="00A84A5B">
        <w:rPr>
          <w:lang w:val="es-ES_tradnl"/>
        </w:rPr>
        <w:t xml:space="preserve"> equivalente, 1.648.604 toneladas de CO</w:t>
      </w:r>
      <w:r w:rsidRPr="00A84A5B">
        <w:rPr>
          <w:vertAlign w:val="subscript"/>
          <w:lang w:val="es-ES_tradnl"/>
        </w:rPr>
        <w:t>2</w:t>
      </w:r>
      <w:r w:rsidRPr="00A84A5B">
        <w:rPr>
          <w:lang w:val="es-ES_tradnl"/>
        </w:rPr>
        <w:t xml:space="preserve"> equivalente y 2.169.487 toneladas de CO</w:t>
      </w:r>
      <w:r w:rsidRPr="00A84A5B">
        <w:rPr>
          <w:vertAlign w:val="subscript"/>
          <w:lang w:val="es-ES_tradnl"/>
        </w:rPr>
        <w:t>2</w:t>
      </w:r>
      <w:r w:rsidRPr="00A84A5B">
        <w:rPr>
          <w:lang w:val="es-ES_tradnl"/>
        </w:rPr>
        <w:t xml:space="preserve"> equivalente, respectivamente.</w:t>
      </w:r>
    </w:p>
    <w:p w14:paraId="09614D4D" w14:textId="0848F205" w:rsidR="000C39E5" w:rsidRPr="00A84A5B" w:rsidRDefault="00BD7923" w:rsidP="00BD7923">
      <w:pPr>
        <w:pStyle w:val="Recommendation"/>
        <w:rPr>
          <w:lang w:val="es-ES_tradnl"/>
        </w:rPr>
      </w:pPr>
      <w:r w:rsidRPr="00A84A5B">
        <w:rPr>
          <w:lang w:val="es-ES_tradnl"/>
        </w:rPr>
        <w:t>Recomendación 75/12</w:t>
      </w:r>
    </w:p>
    <w:p w14:paraId="798FE481" w14:textId="069B401D" w:rsidR="006275CB" w:rsidRPr="00A84A5B" w:rsidRDefault="00F056BE" w:rsidP="00F056BE">
      <w:pPr>
        <w:pStyle w:val="CH2"/>
        <w:rPr>
          <w:lang w:val="es-ES_tradnl"/>
        </w:rPr>
      </w:pPr>
      <w:r w:rsidRPr="00852ABF">
        <w:tab/>
        <w:t>D.</w:t>
      </w:r>
      <w:r w:rsidRPr="00852ABF">
        <w:tab/>
      </w:r>
      <w:r w:rsidR="006275CB" w:rsidRPr="00A84A5B">
        <w:rPr>
          <w:bCs/>
          <w:lang w:val="es-ES_tradnl"/>
        </w:rPr>
        <w:t>Bosnia y Herzegovina</w:t>
      </w:r>
    </w:p>
    <w:p w14:paraId="203E2219" w14:textId="47EF18EB"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Bosnia y Herzegovina </w:t>
      </w:r>
      <w:proofErr w:type="gramStart"/>
      <w:r w:rsidRPr="00A84A5B">
        <w:rPr>
          <w:lang w:val="es-ES_tradnl"/>
        </w:rPr>
        <w:t>había</w:t>
      </w:r>
      <w:proofErr w:type="gramEnd"/>
      <w:r w:rsidRPr="00A84A5B">
        <w:rPr>
          <w:lang w:val="es-ES_tradnl"/>
        </w:rPr>
        <w:t xml:space="preserve"> presentado dos solicitudes: una para modificar sus datos de consumo de HCFC para el año de referencia 2009 y otra para modificar sus datos de consumo de HFC para el año de referencia 2022.</w:t>
      </w:r>
    </w:p>
    <w:p w14:paraId="0AAEEEE1" w14:textId="6AD6585F" w:rsidR="006275CB" w:rsidRPr="00A84A5B" w:rsidRDefault="00F056BE" w:rsidP="00F056BE">
      <w:pPr>
        <w:pStyle w:val="CH3"/>
        <w:spacing w:before="160"/>
        <w:rPr>
          <w:lang w:val="es-ES_tradnl"/>
        </w:rPr>
      </w:pPr>
      <w:r w:rsidRPr="008353E4">
        <w:rPr>
          <w:lang w:val="fr-FR"/>
        </w:rPr>
        <w:tab/>
      </w:r>
      <w:r w:rsidRPr="00852ABF">
        <w:t>1.</w:t>
      </w:r>
      <w:r w:rsidRPr="00852ABF">
        <w:tab/>
      </w:r>
      <w:r w:rsidR="006275CB" w:rsidRPr="00A84A5B">
        <w:rPr>
          <w:bCs/>
          <w:lang w:val="es-ES_tradnl"/>
        </w:rPr>
        <w:t>Datos de referencia sobre HCFC</w:t>
      </w:r>
    </w:p>
    <w:p w14:paraId="740EE063" w14:textId="5C951CD1"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Bosnia y Herzegovina había solicitado la modificación de sus datos de consumo de HCFC para el año de referencia 2009. El nivel de base modificado representaría un aumento de 0,18 toneladas de potencial de agotamiento del ozono (3</w:t>
      </w:r>
      <w:r w:rsidR="00E40F54" w:rsidRPr="00A84A5B">
        <w:rPr>
          <w:lang w:val="es-ES_tradnl"/>
        </w:rPr>
        <w:t> </w:t>
      </w:r>
      <w:r w:rsidRPr="00A84A5B">
        <w:rPr>
          <w:lang w:val="es-ES_tradnl"/>
        </w:rPr>
        <w:t>%) y 6.154 toneladas de CO</w:t>
      </w:r>
      <w:r w:rsidRPr="00A84A5B">
        <w:rPr>
          <w:vertAlign w:val="subscript"/>
          <w:lang w:val="es-ES_tradnl"/>
        </w:rPr>
        <w:t>2</w:t>
      </w:r>
      <w:r w:rsidRPr="00A84A5B">
        <w:rPr>
          <w:lang w:val="es-ES_tradnl"/>
        </w:rPr>
        <w:t xml:space="preserve"> equivalente (5,5 %) con respecto al consumo inicial de 2009. De conformidad con la decisión XV/19, Bosnia y Herzegovina había explicado que se había producido un informe erróneo sobre una exportación por una empresa en 2009. La Parte había aclarado que la empresa solo había realizado una exportación por ese importe, que tuvo lugar en 2010, lo cual había sido confirmado por correspondencia con la Dependencia Nacional del Ozono de Serbia, documentación aduanera y una declaración firmada por la empresa.</w:t>
      </w:r>
    </w:p>
    <w:p w14:paraId="17B9816A" w14:textId="77777777" w:rsidR="001E2C00" w:rsidRPr="00A84A5B" w:rsidRDefault="001E2C00"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24" w:name="_Hlk212852120"/>
      <w:r w:rsidRPr="00A84A5B">
        <w:rPr>
          <w:lang w:val="es-ES_tradnl"/>
        </w:rPr>
        <w:t>Por consiguiente, el Comité acordó:</w:t>
      </w:r>
    </w:p>
    <w:bookmarkEnd w:id="24"/>
    <w:p w14:paraId="42A6753B" w14:textId="530064C7" w:rsidR="001E2C00" w:rsidRPr="00A84A5B" w:rsidRDefault="001E2C00" w:rsidP="001E2C00">
      <w:pPr>
        <w:pStyle w:val="Indent"/>
        <w:rPr>
          <w:lang w:val="es-ES_tradnl"/>
        </w:rPr>
      </w:pPr>
      <w:r w:rsidRPr="00A84A5B">
        <w:rPr>
          <w:i/>
          <w:iCs/>
          <w:lang w:val="es-ES_tradnl"/>
        </w:rPr>
        <w:t xml:space="preserve">Observando con aprecio </w:t>
      </w:r>
      <w:r w:rsidRPr="00A84A5B">
        <w:rPr>
          <w:lang w:val="es-ES_tradnl"/>
        </w:rPr>
        <w:t>la información aportada por Bosnia y Herzegovina para justificar su solicitud de modificación de los datos existentes sobre el consumo de sustancias controladas del grupo</w:t>
      </w:r>
      <w:r w:rsidR="00F056BE">
        <w:rPr>
          <w:lang w:val="es-ES_tradnl"/>
        </w:rPr>
        <w:t> </w:t>
      </w:r>
      <w:r w:rsidRPr="00A84A5B">
        <w:rPr>
          <w:lang w:val="es-ES_tradnl"/>
        </w:rPr>
        <w:t>I del anexo C (hidroclorofluorocarbonos) correspondientes al año de referencia 2009,</w:t>
      </w:r>
    </w:p>
    <w:p w14:paraId="06EC3B58" w14:textId="604589A2" w:rsidR="001E2C00" w:rsidRPr="00A84A5B" w:rsidRDefault="001E2C00" w:rsidP="001E2C00">
      <w:pPr>
        <w:pStyle w:val="Indent"/>
        <w:rPr>
          <w:lang w:val="es-ES_tradnl"/>
        </w:rPr>
      </w:pPr>
      <w:r w:rsidRPr="00A84A5B">
        <w:rPr>
          <w:i/>
          <w:iCs/>
          <w:lang w:val="es-ES_tradnl"/>
        </w:rPr>
        <w:t xml:space="preserve">Haciendo notar </w:t>
      </w:r>
      <w:r w:rsidRPr="00A84A5B">
        <w:rPr>
          <w:lang w:val="es-ES_tradnl"/>
        </w:rPr>
        <w:t>que en la decisión XV/19 se establecía la metodología que había de utilizarse</w:t>
      </w:r>
      <w:r w:rsidR="00F056BE">
        <w:rPr>
          <w:lang w:val="es-ES_tradnl"/>
        </w:rPr>
        <w:t> </w:t>
      </w:r>
      <w:r w:rsidRPr="00A84A5B">
        <w:rPr>
          <w:lang w:val="es-ES_tradnl"/>
        </w:rPr>
        <w:t>para cursar solicitudes de modificación de los datos de referencia,</w:t>
      </w:r>
    </w:p>
    <w:p w14:paraId="2FAD4974" w14:textId="6C8061D8" w:rsidR="001E2C00" w:rsidRPr="00A84A5B" w:rsidRDefault="001E2C00" w:rsidP="001E2C00">
      <w:pPr>
        <w:pStyle w:val="Indent"/>
        <w:rPr>
          <w:lang w:val="es-ES_tradnl"/>
        </w:rPr>
      </w:pPr>
      <w:r w:rsidRPr="00A84A5B">
        <w:rPr>
          <w:i/>
          <w:iCs/>
          <w:lang w:val="es-ES_tradnl"/>
        </w:rPr>
        <w:t xml:space="preserve">Observando con aprecio </w:t>
      </w:r>
      <w:r w:rsidRPr="00A84A5B">
        <w:rPr>
          <w:lang w:val="es-ES_tradnl"/>
        </w:rPr>
        <w:t>la labor realizada por Bosnia y Herzegovina para cumplir los requisitos en materia de información establecidos en la decisión XV/19,</w:t>
      </w:r>
    </w:p>
    <w:p w14:paraId="25E7C09B" w14:textId="34DED534" w:rsidR="001E2C00" w:rsidRPr="00A84A5B" w:rsidRDefault="001E2C00" w:rsidP="001E2C00">
      <w:pPr>
        <w:pStyle w:val="Indent"/>
        <w:rPr>
          <w:lang w:val="es-ES_tradnl"/>
        </w:rPr>
      </w:pPr>
      <w:r w:rsidRPr="00A84A5B">
        <w:rPr>
          <w:lang w:val="es-ES_tradnl"/>
        </w:rPr>
        <w:t>Someter al examen de la 37ª Reunión de las Partes en el Protocolo de Montreal relativo a las Sustancias que Agotan la Capa de Ozono el proyecto de decisión que figura en la sección H del anexo</w:t>
      </w:r>
      <w:r w:rsidR="00F056BE">
        <w:rPr>
          <w:lang w:val="es-ES_tradnl"/>
        </w:rPr>
        <w:t> </w:t>
      </w:r>
      <w:r w:rsidRPr="00A84A5B">
        <w:rPr>
          <w:lang w:val="es-ES_tradnl"/>
        </w:rPr>
        <w:t>I del presente informe, por el que la 37ª Reunión de las Partes aprobaría la solicitud de Bosnia y</w:t>
      </w:r>
      <w:r w:rsidR="00F056BE">
        <w:rPr>
          <w:lang w:val="es-ES_tradnl"/>
        </w:rPr>
        <w:t> </w:t>
      </w:r>
      <w:r w:rsidRPr="00A84A5B">
        <w:rPr>
          <w:lang w:val="es-ES_tradnl"/>
        </w:rPr>
        <w:t>Herzegovina relativa a la modificación de sus datos sobre el consumo de hidroclorofluorocarbonos correspondientes al año de referencia 2009, para fijarlo en 5,96 toneladas PAO (117.966,60 toneladas de CO</w:t>
      </w:r>
      <w:r w:rsidRPr="00A84A5B">
        <w:rPr>
          <w:vertAlign w:val="subscript"/>
          <w:lang w:val="es-ES_tradnl"/>
        </w:rPr>
        <w:t>2</w:t>
      </w:r>
      <w:r w:rsidRPr="00A84A5B">
        <w:rPr>
          <w:lang w:val="es-ES_tradnl"/>
        </w:rPr>
        <w:t xml:space="preserve"> equivalente).</w:t>
      </w:r>
    </w:p>
    <w:p w14:paraId="3CA01BF7" w14:textId="55F77AB2" w:rsidR="001E2C00" w:rsidRPr="00A84A5B" w:rsidRDefault="001E2C00" w:rsidP="001E2C00">
      <w:pPr>
        <w:pStyle w:val="Recommendation"/>
        <w:rPr>
          <w:lang w:val="es-ES_tradnl"/>
        </w:rPr>
      </w:pPr>
      <w:r w:rsidRPr="00A84A5B">
        <w:rPr>
          <w:lang w:val="es-ES_tradnl"/>
        </w:rPr>
        <w:t>Recomendación 75/13</w:t>
      </w:r>
    </w:p>
    <w:p w14:paraId="4FCB6F56" w14:textId="042BC4DF" w:rsidR="006275CB" w:rsidRPr="00A84A5B" w:rsidRDefault="00F056BE" w:rsidP="00F056BE">
      <w:pPr>
        <w:pStyle w:val="CH3"/>
        <w:rPr>
          <w:lang w:val="es-ES_tradnl"/>
        </w:rPr>
      </w:pPr>
      <w:r w:rsidRPr="008353E4">
        <w:rPr>
          <w:lang w:val="fr-FR"/>
        </w:rPr>
        <w:tab/>
        <w:t>2.</w:t>
      </w:r>
      <w:r w:rsidRPr="008353E4">
        <w:rPr>
          <w:lang w:val="fr-FR"/>
        </w:rPr>
        <w:tab/>
      </w:r>
      <w:r w:rsidR="006275CB" w:rsidRPr="00A84A5B">
        <w:rPr>
          <w:bCs/>
          <w:lang w:val="es-ES_tradnl"/>
        </w:rPr>
        <w:t>Datos de referencia sobre HFC</w:t>
      </w:r>
    </w:p>
    <w:p w14:paraId="4A7B0764" w14:textId="0D0BCDBC"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Bosnia y Herzegovina </w:t>
      </w:r>
      <w:proofErr w:type="gramStart"/>
      <w:r w:rsidRPr="00A84A5B">
        <w:rPr>
          <w:lang w:val="es-ES_tradnl"/>
        </w:rPr>
        <w:t>había</w:t>
      </w:r>
      <w:proofErr w:type="gramEnd"/>
      <w:r w:rsidRPr="00A84A5B">
        <w:rPr>
          <w:lang w:val="es-ES_tradnl"/>
        </w:rPr>
        <w:t xml:space="preserve"> solicitado la modificación de sus datos de consumo de HFC para</w:t>
      </w:r>
      <w:r w:rsidR="00F056BE">
        <w:rPr>
          <w:lang w:val="es-ES_tradnl"/>
        </w:rPr>
        <w:t> </w:t>
      </w:r>
      <w:r w:rsidRPr="00A84A5B">
        <w:rPr>
          <w:lang w:val="es-ES_tradnl"/>
        </w:rPr>
        <w:t>el año de referencia 2022. El nivel de base modificado representaría un incremento de 61.763 toneladas de CO</w:t>
      </w:r>
      <w:r w:rsidRPr="00A84A5B">
        <w:rPr>
          <w:vertAlign w:val="subscript"/>
          <w:lang w:val="es-ES_tradnl"/>
        </w:rPr>
        <w:t>2</w:t>
      </w:r>
      <w:r w:rsidRPr="00A84A5B">
        <w:rPr>
          <w:lang w:val="es-ES_tradnl"/>
        </w:rPr>
        <w:t xml:space="preserve"> equivalente (4,6 %) con respecto a los datos iniciales sobre el consumo para 2022. De conformidad con la decisión XV/19, Bosnia y Herzegovina había explicado que una importación realizada por una empresa en 2022 se había registrado incorrectamente en 2023 debido a un retraso en el despacho de aduana y que, en el caso de otra empresa, un oficial de aduanas había utilizado códigos arancelarios incorrectos. La Parte había proporcionado documentación que justificaba el registro incorrecto de las importaciones de 2022, incluida una lista de la carga de China para 2022; una nota de</w:t>
      </w:r>
      <w:r w:rsidR="00F056BE">
        <w:rPr>
          <w:lang w:val="es-ES_tradnl"/>
        </w:rPr>
        <w:t> </w:t>
      </w:r>
      <w:r w:rsidRPr="00A84A5B">
        <w:rPr>
          <w:lang w:val="es-ES_tradnl"/>
        </w:rPr>
        <w:t>China para 2022 en virtud del Convenio relativo al Contrato de Transporte Internacional de Mercancías por Carretera; un informe oficial de un importador para 2022; la lista de la carga procedente de China para la supuesta importación de 2023; información del importador para 2023; y un informe aduanero del sistema electrónico que indi</w:t>
      </w:r>
      <w:r w:rsidR="00005FDD" w:rsidRPr="00A84A5B">
        <w:rPr>
          <w:lang w:val="es-ES_tradnl"/>
        </w:rPr>
        <w:t>caba</w:t>
      </w:r>
      <w:r w:rsidRPr="00A84A5B">
        <w:rPr>
          <w:lang w:val="es-ES_tradnl"/>
        </w:rPr>
        <w:t xml:space="preserve"> las importaciones realizadas por la empresa en 2022.</w:t>
      </w:r>
    </w:p>
    <w:p w14:paraId="6724A0C4" w14:textId="77777777" w:rsidR="003127A9" w:rsidRPr="00A84A5B" w:rsidRDefault="003127A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Por consiguiente, el Comité acordó:</w:t>
      </w:r>
    </w:p>
    <w:p w14:paraId="03387764" w14:textId="5BCCD8C3" w:rsidR="003127A9" w:rsidRPr="00A84A5B" w:rsidRDefault="003127A9" w:rsidP="003127A9">
      <w:pPr>
        <w:pStyle w:val="Indent"/>
        <w:rPr>
          <w:lang w:val="es-ES_tradnl"/>
        </w:rPr>
      </w:pPr>
      <w:r w:rsidRPr="00A84A5B">
        <w:rPr>
          <w:i/>
          <w:iCs/>
          <w:lang w:val="es-ES_tradnl"/>
        </w:rPr>
        <w:lastRenderedPageBreak/>
        <w:t>Observando con aprecio</w:t>
      </w:r>
      <w:r w:rsidRPr="00A84A5B">
        <w:rPr>
          <w:lang w:val="es-ES_tradnl"/>
        </w:rPr>
        <w:t xml:space="preserve"> la información aportada por Bosnia y Herzegovina para justificar su</w:t>
      </w:r>
      <w:r w:rsidR="00F056BE">
        <w:rPr>
          <w:lang w:val="es-ES_tradnl"/>
        </w:rPr>
        <w:t> </w:t>
      </w:r>
      <w:r w:rsidRPr="00A84A5B">
        <w:rPr>
          <w:lang w:val="es-ES_tradnl"/>
        </w:rPr>
        <w:t>solicitud de modificación de los datos existentes sobre el consumo de sustancias controladas del grupo</w:t>
      </w:r>
      <w:r w:rsidR="00F056BE">
        <w:rPr>
          <w:lang w:val="es-ES_tradnl"/>
        </w:rPr>
        <w:t> </w:t>
      </w:r>
      <w:r w:rsidRPr="00A84A5B">
        <w:rPr>
          <w:lang w:val="es-ES_tradnl"/>
        </w:rPr>
        <w:t>I del anexo F (hidrofluorocarbonos) correspondientes al año de referencia 2022,</w:t>
      </w:r>
    </w:p>
    <w:p w14:paraId="2848F84B" w14:textId="2EF7AB85" w:rsidR="003127A9" w:rsidRPr="00A84A5B" w:rsidRDefault="003127A9" w:rsidP="003127A9">
      <w:pPr>
        <w:pStyle w:val="Indent"/>
        <w:rPr>
          <w:lang w:val="es-ES_tradnl"/>
        </w:rPr>
      </w:pPr>
      <w:r w:rsidRPr="00A84A5B">
        <w:rPr>
          <w:i/>
          <w:iCs/>
          <w:lang w:val="es-ES_tradnl"/>
        </w:rPr>
        <w:t xml:space="preserve">Haciendo notar </w:t>
      </w:r>
      <w:r w:rsidRPr="00A84A5B">
        <w:rPr>
          <w:lang w:val="es-ES_tradnl"/>
        </w:rPr>
        <w:t>que en la decisión XV/19 se establecía la metodología que había de utilizarse para cursar solicitudes de modificación de los datos de referencia,</w:t>
      </w:r>
    </w:p>
    <w:p w14:paraId="126A1B3C" w14:textId="2ED5687E" w:rsidR="003127A9" w:rsidRPr="00A84A5B" w:rsidRDefault="003127A9" w:rsidP="003127A9">
      <w:pPr>
        <w:pStyle w:val="Indent"/>
        <w:rPr>
          <w:lang w:val="es-ES_tradnl"/>
        </w:rPr>
      </w:pPr>
      <w:r w:rsidRPr="00A84A5B">
        <w:rPr>
          <w:i/>
          <w:iCs/>
          <w:lang w:val="es-ES_tradnl"/>
        </w:rPr>
        <w:t>Observando con aprecio</w:t>
      </w:r>
      <w:r w:rsidRPr="00A84A5B">
        <w:rPr>
          <w:lang w:val="es-ES_tradnl"/>
        </w:rPr>
        <w:t xml:space="preserve"> la labor realizada por Bosnia y Herzegovina para cumplir los requisitos en materia de información establecidos en la decisión XV/19,</w:t>
      </w:r>
    </w:p>
    <w:p w14:paraId="0BA389F1" w14:textId="17E84B9C" w:rsidR="003127A9" w:rsidRPr="00A84A5B" w:rsidRDefault="003127A9" w:rsidP="003127A9">
      <w:pPr>
        <w:pStyle w:val="Indent"/>
        <w:rPr>
          <w:rFonts w:asciiTheme="majorBidi" w:eastAsiaTheme="minorEastAsia" w:hAnsiTheme="majorBidi" w:cstheme="majorBidi"/>
          <w:bCs/>
          <w:kern w:val="2"/>
          <w:lang w:val="es-ES_tradnl"/>
          <w14:ligatures w14:val="standardContextual"/>
        </w:rPr>
      </w:pPr>
      <w:r w:rsidRPr="00A84A5B">
        <w:rPr>
          <w:lang w:val="es-ES_tradnl"/>
        </w:rPr>
        <w:t>Remitir, para su examen por la 37ª Reunión de las Partes en el Protocolo de Montreal relativo a las Sustancias que Agotan la Capa de Ozono de las Partes, el proyecto de decisión que figura en la sección H del anexo I del presente informe, por el que la 37ª Reunión de las Partes aprobaría la solicitud de Bosnia y Herzegovina relativa a la modificación de sus datos sobre el consumo de hidrofluorocarbonos correspondientes al año de referencia 2022, para fijarlo en 1.402.682 toneladas de CO</w:t>
      </w:r>
      <w:r w:rsidRPr="00A84A5B">
        <w:rPr>
          <w:vertAlign w:val="subscript"/>
          <w:lang w:val="es-ES_tradnl"/>
        </w:rPr>
        <w:t>2</w:t>
      </w:r>
      <w:r w:rsidRPr="00A84A5B">
        <w:rPr>
          <w:lang w:val="es-ES_tradnl"/>
        </w:rPr>
        <w:t xml:space="preserve"> equivalente.</w:t>
      </w:r>
    </w:p>
    <w:p w14:paraId="6370C99B" w14:textId="122AF3A1" w:rsidR="003127A9" w:rsidRPr="00A84A5B" w:rsidRDefault="003127A9" w:rsidP="003127A9">
      <w:pPr>
        <w:pStyle w:val="Recommendation"/>
        <w:rPr>
          <w:lang w:val="es-ES_tradnl"/>
        </w:rPr>
      </w:pPr>
      <w:r w:rsidRPr="00A84A5B">
        <w:rPr>
          <w:lang w:val="es-ES_tradnl"/>
        </w:rPr>
        <w:t>Recomendación 75/14</w:t>
      </w:r>
    </w:p>
    <w:p w14:paraId="1C16B30C" w14:textId="1D9978D8" w:rsidR="006275CB" w:rsidRPr="00A84A5B" w:rsidRDefault="00F056BE" w:rsidP="00F056BE">
      <w:pPr>
        <w:pStyle w:val="CH2"/>
        <w:rPr>
          <w:lang w:val="es-ES_tradnl"/>
        </w:rPr>
      </w:pPr>
      <w:r w:rsidRPr="00852ABF">
        <w:tab/>
        <w:t>E.</w:t>
      </w:r>
      <w:r w:rsidRPr="00852ABF">
        <w:tab/>
      </w:r>
      <w:r w:rsidR="006275CB" w:rsidRPr="00A84A5B">
        <w:rPr>
          <w:bCs/>
          <w:lang w:val="es-ES_tradnl"/>
        </w:rPr>
        <w:t>Brasil</w:t>
      </w:r>
    </w:p>
    <w:p w14:paraId="2DDF9C91" w14:textId="7C1F7857"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Brasil había solicitado la modificación de sus datos de consumo de HFC para el año de referencia 2022. El nivel de base modificado representaría un descenso de 10.340.564 toneladas de</w:t>
      </w:r>
      <w:r w:rsidR="00F056BE">
        <w:rPr>
          <w:lang w:val="es-ES_tradnl"/>
        </w:rPr>
        <w:t> </w:t>
      </w:r>
      <w:r w:rsidRPr="00A84A5B">
        <w:rPr>
          <w:lang w:val="es-ES_tradnl"/>
        </w:rPr>
        <w:t>CO</w:t>
      </w:r>
      <w:r w:rsidRPr="00A84A5B">
        <w:rPr>
          <w:vertAlign w:val="subscript"/>
          <w:lang w:val="es-ES_tradnl"/>
        </w:rPr>
        <w:t>2</w:t>
      </w:r>
      <w:r w:rsidRPr="00A84A5B">
        <w:rPr>
          <w:lang w:val="es-ES_tradnl"/>
        </w:rPr>
        <w:t xml:space="preserve"> equivalente (12</w:t>
      </w:r>
      <w:r w:rsidR="000808E7" w:rsidRPr="00A84A5B">
        <w:rPr>
          <w:lang w:val="es-ES_tradnl"/>
        </w:rPr>
        <w:t> </w:t>
      </w:r>
      <w:r w:rsidRPr="00A84A5B">
        <w:rPr>
          <w:lang w:val="es-ES_tradnl"/>
        </w:rPr>
        <w:t>%) con respecto a los datos iniciales sobre el consumo para 2022. De conformidad con la decisión XV/19, el Brasil había explicado que, tras la presentación de los datos de</w:t>
      </w:r>
      <w:r w:rsidR="00F056BE">
        <w:rPr>
          <w:lang w:val="es-ES_tradnl"/>
        </w:rPr>
        <w:t> </w:t>
      </w:r>
      <w:r w:rsidRPr="00A84A5B">
        <w:rPr>
          <w:lang w:val="es-ES_tradnl"/>
        </w:rPr>
        <w:t>2022, varias licencias de exportación habían sido canceladas o habían expirado porque no se habían utilizado dentro del plazo prescrito de 180 días. Esto había provocado una reducción de los valores inicialmente comunicados. La Parte también había explicado que el ciclo de importación de 2022 se había completado en su totalidad y que todos los datos relacionados con las licencias de importación habían sido debidamente revisados por la agencia nacional responsable de gestionar el sistema de licencias de importación y por el Ministerio de Medio Ambiente y Cambio Climático. La metodología utilizada para recopilar y verificar la exactitud de las nuevas cifras incluía un análisis exhaustivo de todas las licencias de importación expedidas y completadas en 2022. La Parte había proporcionado documentación que justificaba su solicitud, incluidos los registros del sistema electrónico utilizado por</w:t>
      </w:r>
      <w:r w:rsidR="00F056BE">
        <w:rPr>
          <w:lang w:val="es-ES_tradnl"/>
        </w:rPr>
        <w:t> </w:t>
      </w:r>
      <w:r w:rsidRPr="00A84A5B">
        <w:rPr>
          <w:lang w:val="es-ES_tradnl"/>
        </w:rPr>
        <w:t>el Brasil que contenía información sobre todas las licencias proporcionadas por la Parte.</w:t>
      </w:r>
    </w:p>
    <w:p w14:paraId="361AB979" w14:textId="77777777" w:rsidR="005246D5" w:rsidRPr="00A84A5B" w:rsidRDefault="005246D5" w:rsidP="009A7CD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25" w:name="_Hlk212852324"/>
      <w:r w:rsidRPr="00A84A5B">
        <w:rPr>
          <w:lang w:val="es-ES_tradnl"/>
        </w:rPr>
        <w:t>Por consiguiente, el Comité acordó:</w:t>
      </w:r>
    </w:p>
    <w:bookmarkEnd w:id="25"/>
    <w:p w14:paraId="3A4A3A9D" w14:textId="77777777" w:rsidR="005246D5" w:rsidRPr="00A84A5B" w:rsidRDefault="005246D5" w:rsidP="005246D5">
      <w:pPr>
        <w:pStyle w:val="Indent"/>
        <w:rPr>
          <w:lang w:val="es-ES_tradnl"/>
        </w:rPr>
      </w:pPr>
      <w:r w:rsidRPr="00A84A5B">
        <w:rPr>
          <w:i/>
          <w:iCs/>
          <w:lang w:val="es-ES_tradnl"/>
        </w:rPr>
        <w:t xml:space="preserve">Observando con aprecio </w:t>
      </w:r>
      <w:r w:rsidRPr="00A84A5B">
        <w:rPr>
          <w:lang w:val="es-ES_tradnl"/>
        </w:rPr>
        <w:t>la información aportada por el Brasil para justificar su solicitud de modificación de los datos existentes sobre el consumo de sustancias controladas del grupo I del anexo F (hidrofluorocarbonos) correspondientes al año de referencia 2022,</w:t>
      </w:r>
    </w:p>
    <w:p w14:paraId="4CB762D7" w14:textId="77777777" w:rsidR="005246D5" w:rsidRPr="00A84A5B" w:rsidRDefault="005246D5" w:rsidP="005246D5">
      <w:pPr>
        <w:pStyle w:val="Indent"/>
        <w:rPr>
          <w:lang w:val="es-ES_tradnl"/>
        </w:rPr>
      </w:pPr>
      <w:r w:rsidRPr="00A84A5B">
        <w:rPr>
          <w:i/>
          <w:iCs/>
          <w:lang w:val="es-ES_tradnl"/>
        </w:rPr>
        <w:t>Haciendo notar</w:t>
      </w:r>
      <w:r w:rsidRPr="00A84A5B">
        <w:rPr>
          <w:lang w:val="es-ES_tradnl"/>
        </w:rPr>
        <w:t xml:space="preserve"> que en la decisión XV/19 se establece la metodología que había de utilizarse para cursar esas solicitudes de modificación de los datos de referencia,</w:t>
      </w:r>
    </w:p>
    <w:p w14:paraId="3257A8B9" w14:textId="77777777" w:rsidR="005246D5" w:rsidRPr="00A84A5B" w:rsidRDefault="005246D5" w:rsidP="005246D5">
      <w:pPr>
        <w:pStyle w:val="Indent"/>
        <w:rPr>
          <w:lang w:val="es-ES_tradnl"/>
        </w:rPr>
      </w:pPr>
      <w:r w:rsidRPr="00A84A5B">
        <w:rPr>
          <w:i/>
          <w:iCs/>
          <w:lang w:val="es-ES_tradnl"/>
        </w:rPr>
        <w:t>Observando con aprecio</w:t>
      </w:r>
      <w:r w:rsidRPr="00A84A5B">
        <w:rPr>
          <w:lang w:val="es-ES_tradnl"/>
        </w:rPr>
        <w:t xml:space="preserve"> la labor realizada por el Brasil para cumplir los requisitos en materia de información establecidos en la decisión XV/19,</w:t>
      </w:r>
    </w:p>
    <w:p w14:paraId="67F09A25" w14:textId="4ED8D492" w:rsidR="005246D5" w:rsidRPr="00A84A5B" w:rsidRDefault="005246D5" w:rsidP="005246D5">
      <w:pPr>
        <w:pStyle w:val="Indent"/>
        <w:rPr>
          <w:iCs/>
          <w:lang w:val="es-ES_tradnl"/>
        </w:rPr>
      </w:pPr>
      <w:r w:rsidRPr="00A84A5B">
        <w:rPr>
          <w:lang w:val="es-ES_tradnl"/>
        </w:rPr>
        <w:t>Remitir, para su examen por la 37ª Reunión de las Partes en el Protocolo de Montreal relativo a las Sustancias que Agotan la Capa de Ozono, el proyecto de decisión que figura en la sección H del anexo I del presente informe, por el que la 37ª Reunión de las Partes aprobaría la solicitud del Brasil relativa a la modificación de sus datos sobre el consumo de hidrofluorocarbonos correspondientes al año de referencia 2022, para fijarlo en 79.416.087 toneladas de CO</w:t>
      </w:r>
      <w:r w:rsidRPr="00A84A5B">
        <w:rPr>
          <w:vertAlign w:val="subscript"/>
          <w:lang w:val="es-ES_tradnl"/>
        </w:rPr>
        <w:t>2</w:t>
      </w:r>
      <w:r w:rsidRPr="00A84A5B">
        <w:rPr>
          <w:lang w:val="es-ES_tradnl"/>
        </w:rPr>
        <w:t xml:space="preserve"> equivalente.</w:t>
      </w:r>
    </w:p>
    <w:p w14:paraId="46C62C38" w14:textId="14D12FB9" w:rsidR="005246D5" w:rsidRPr="00A84A5B" w:rsidRDefault="005246D5" w:rsidP="005246D5">
      <w:pPr>
        <w:pStyle w:val="Recommendation"/>
        <w:rPr>
          <w:lang w:val="es-ES_tradnl"/>
        </w:rPr>
      </w:pPr>
      <w:r w:rsidRPr="00A84A5B">
        <w:rPr>
          <w:lang w:val="es-ES_tradnl"/>
        </w:rPr>
        <w:t>Recomendación 75/15</w:t>
      </w:r>
    </w:p>
    <w:p w14:paraId="144F5D31" w14:textId="0F53FAFE" w:rsidR="006275CB" w:rsidRPr="00A84A5B" w:rsidRDefault="00F056BE" w:rsidP="00F056BE">
      <w:pPr>
        <w:pStyle w:val="CH2"/>
        <w:rPr>
          <w:lang w:val="es-ES_tradnl"/>
        </w:rPr>
      </w:pPr>
      <w:r w:rsidRPr="00852ABF">
        <w:tab/>
        <w:t>F.</w:t>
      </w:r>
      <w:r w:rsidRPr="00852ABF">
        <w:tab/>
      </w:r>
      <w:r w:rsidR="006275CB" w:rsidRPr="00A84A5B">
        <w:rPr>
          <w:bCs/>
          <w:lang w:val="es-ES_tradnl"/>
        </w:rPr>
        <w:t>Somalia</w:t>
      </w:r>
    </w:p>
    <w:p w14:paraId="43B6E8A8" w14:textId="7D0BA90E"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Somalia había solicitado la modificación de sus datos de consumo de HFC para el año de referencia 2022. El nivel de base modificado representaría un incremento de 600.824 toneladas de CO</w:t>
      </w:r>
      <w:r w:rsidRPr="00A84A5B">
        <w:rPr>
          <w:vertAlign w:val="subscript"/>
          <w:lang w:val="es-ES_tradnl"/>
        </w:rPr>
        <w:t>2</w:t>
      </w:r>
      <w:r w:rsidRPr="00A84A5B">
        <w:rPr>
          <w:lang w:val="es-ES_tradnl"/>
        </w:rPr>
        <w:t xml:space="preserve"> equivalente (172 %) con respecto a los datos iniciales sobre el consumo correspondientes a 2022. De conformidad con la decisión XV/19, Somalia había explicado que los datos de referencia iniciales sobre HFC habían mostrado niveles de consumo significativamente más bajos que en años anteriores, a pesar del aumento constante de la cantidad de equipos de refrigeración y aire acondicionado en uso.</w:t>
      </w:r>
      <w:r w:rsidR="00D12B17">
        <w:rPr>
          <w:lang w:val="es-ES_tradnl"/>
        </w:rPr>
        <w:t> </w:t>
      </w:r>
      <w:r w:rsidRPr="00A84A5B">
        <w:rPr>
          <w:lang w:val="es-ES_tradnl"/>
        </w:rPr>
        <w:t xml:space="preserve">Los datos actualizados se habían recopilado mediante un enfoque exhaustivo y sistemático de verificación, que había evaluado el consumo y la gestión de los HFC en el país. El proceso garantizó la recopilación de datos sólidos utilizando herramientas estandarizadas para garantizar la coherencia y la </w:t>
      </w:r>
      <w:r w:rsidRPr="00A84A5B">
        <w:rPr>
          <w:lang w:val="es-ES_tradnl"/>
        </w:rPr>
        <w:lastRenderedPageBreak/>
        <w:t>precisión. La Parte solo había presentado el informe de la verificación mencionada para fundamentar su solicitud.</w:t>
      </w:r>
    </w:p>
    <w:p w14:paraId="17554C52" w14:textId="77777777" w:rsidR="00D9198F" w:rsidRPr="00A84A5B" w:rsidRDefault="00D9198F" w:rsidP="00B43391">
      <w:pPr>
        <w:pStyle w:val="Normalnumber"/>
        <w:numPr>
          <w:ilvl w:val="0"/>
          <w:numId w:val="299"/>
        </w:numPr>
        <w:tabs>
          <w:tab w:val="clear" w:pos="1247"/>
          <w:tab w:val="clear" w:pos="1814"/>
          <w:tab w:val="clear" w:pos="2381"/>
          <w:tab w:val="clear" w:pos="2948"/>
          <w:tab w:val="clear" w:pos="3515"/>
        </w:tabs>
        <w:ind w:left="1247" w:firstLine="0"/>
        <w:rPr>
          <w:rFonts w:asciiTheme="majorBidi" w:hAnsiTheme="majorBidi" w:cstheme="majorBidi"/>
          <w:lang w:val="es-ES_tradnl"/>
        </w:rPr>
      </w:pPr>
      <w:r w:rsidRPr="00A84A5B">
        <w:rPr>
          <w:lang w:val="es-ES_tradnl"/>
        </w:rPr>
        <w:t>Por consiguiente, el Comité acordó:</w:t>
      </w:r>
    </w:p>
    <w:p w14:paraId="3E5D996A" w14:textId="159CC36F" w:rsidR="00D9198F" w:rsidRPr="00A84A5B" w:rsidRDefault="00D9198F" w:rsidP="00D9198F">
      <w:pPr>
        <w:pStyle w:val="Indent"/>
        <w:rPr>
          <w:lang w:val="es-ES_tradnl"/>
        </w:rPr>
      </w:pPr>
      <w:r w:rsidRPr="00A84A5B">
        <w:rPr>
          <w:i/>
          <w:iCs/>
          <w:lang w:val="es-ES_tradnl"/>
        </w:rPr>
        <w:t>Tomando nota</w:t>
      </w:r>
      <w:r w:rsidRPr="00A84A5B">
        <w:rPr>
          <w:lang w:val="es-ES_tradnl"/>
        </w:rPr>
        <w:t xml:space="preserve"> de la solicitud de Somalia relativa a la modificación de sus datos sobre el consumo de sustancias controladas del grupo I del anexo F (hidrofluorocarbonos) correspondientes al año de referencia 2022,</w:t>
      </w:r>
    </w:p>
    <w:p w14:paraId="27D3571E" w14:textId="2C442713" w:rsidR="00D9198F" w:rsidRPr="00A84A5B" w:rsidRDefault="00D9198F" w:rsidP="00D9198F">
      <w:pPr>
        <w:pStyle w:val="Indent"/>
        <w:rPr>
          <w:lang w:val="es-ES_tradnl"/>
        </w:rPr>
      </w:pPr>
      <w:r w:rsidRPr="00A84A5B">
        <w:rPr>
          <w:i/>
          <w:iCs/>
          <w:lang w:val="es-ES_tradnl"/>
        </w:rPr>
        <w:t xml:space="preserve">Recordando </w:t>
      </w:r>
      <w:r w:rsidRPr="00A84A5B">
        <w:rPr>
          <w:lang w:val="es-ES_tradnl"/>
        </w:rPr>
        <w:t>la decisión XV/19, en la que se establecía la metodología que debía utilizarse para</w:t>
      </w:r>
      <w:r w:rsidR="00F056BE">
        <w:rPr>
          <w:lang w:val="es-ES_tradnl"/>
        </w:rPr>
        <w:t> </w:t>
      </w:r>
      <w:r w:rsidRPr="00A84A5B">
        <w:rPr>
          <w:lang w:val="es-ES_tradnl"/>
        </w:rPr>
        <w:t>presentar solicitudes de modificación de los datos de referencia,</w:t>
      </w:r>
    </w:p>
    <w:p w14:paraId="71C1EB0B" w14:textId="7AC0A11F" w:rsidR="00D9198F" w:rsidRPr="00A84A5B" w:rsidRDefault="00D9198F" w:rsidP="00D9198F">
      <w:pPr>
        <w:pStyle w:val="Indent"/>
        <w:rPr>
          <w:lang w:val="es-ES_tradnl"/>
        </w:rPr>
      </w:pPr>
      <w:r w:rsidRPr="00A84A5B">
        <w:rPr>
          <w:i/>
          <w:iCs/>
          <w:lang w:val="es-ES_tradnl"/>
        </w:rPr>
        <w:t>Observando con aprecio</w:t>
      </w:r>
      <w:r w:rsidRPr="00A84A5B">
        <w:rPr>
          <w:lang w:val="es-ES_tradnl"/>
        </w:rPr>
        <w:t xml:space="preserve"> la información aportada por Somalia para justificar su solicitud de modificación de sus datos de referencia,</w:t>
      </w:r>
    </w:p>
    <w:p w14:paraId="3762FA56" w14:textId="16DEB4A9" w:rsidR="00D9198F" w:rsidRPr="00A84A5B" w:rsidRDefault="00D9198F" w:rsidP="00D9198F">
      <w:pPr>
        <w:pStyle w:val="Indent"/>
        <w:rPr>
          <w:lang w:val="es-ES_tradnl"/>
        </w:rPr>
      </w:pPr>
      <w:r w:rsidRPr="00A84A5B">
        <w:rPr>
          <w:i/>
          <w:iCs/>
          <w:lang w:val="es-ES_tradnl"/>
        </w:rPr>
        <w:t>Observando</w:t>
      </w:r>
      <w:r w:rsidRPr="00A84A5B">
        <w:rPr>
          <w:lang w:val="es-ES_tradnl"/>
        </w:rPr>
        <w:t>, no obstante, que el Comité de Aplicación establecido con arreglo al Procedimiento relativo al Incumplimiento del Protocolo de Montreal consideró que esa información no bastaba para que el Comité aprobase las modificaciones solicitadas por la Parte,</w:t>
      </w:r>
    </w:p>
    <w:p w14:paraId="6B2A79F3" w14:textId="6E35039A" w:rsidR="00D9198F" w:rsidRPr="00A84A5B" w:rsidRDefault="00D9198F" w:rsidP="00D9198F">
      <w:pPr>
        <w:pStyle w:val="Indent"/>
        <w:rPr>
          <w:lang w:val="es-ES_tradnl"/>
        </w:rPr>
      </w:pPr>
      <w:r w:rsidRPr="00A84A5B">
        <w:rPr>
          <w:lang w:val="es-ES_tradnl"/>
        </w:rPr>
        <w:t>1.</w:t>
      </w:r>
      <w:r w:rsidRPr="00A84A5B">
        <w:rPr>
          <w:lang w:val="es-ES_tradnl"/>
        </w:rPr>
        <w:tab/>
        <w:t>Solicitar a Somalia que presente a la Secretaría del Ozono la información pendiente necesaria para cumplir los requisitos de la decisión XV/19, a fin de fundamentar su solicitud de modificación de sus datos de referencia sobre los hidrofluorocarbonos, lo antes posible y, preferiblemente, antes del 31 de marzo de 2026, para que el Comité de Aplicación la examine en</w:t>
      </w:r>
      <w:r w:rsidR="00F056BE">
        <w:rPr>
          <w:lang w:val="es-ES_tradnl"/>
        </w:rPr>
        <w:t> </w:t>
      </w:r>
      <w:r w:rsidRPr="00A84A5B">
        <w:rPr>
          <w:lang w:val="es-ES_tradnl"/>
        </w:rPr>
        <w:t>su 76ª reunión;</w:t>
      </w:r>
    </w:p>
    <w:p w14:paraId="57954EC5" w14:textId="27E83B79" w:rsidR="00D9198F" w:rsidRPr="00A84A5B" w:rsidRDefault="00D9198F" w:rsidP="00D9198F">
      <w:pPr>
        <w:pStyle w:val="Indent"/>
        <w:rPr>
          <w:lang w:val="es-ES_tradnl"/>
        </w:rPr>
      </w:pPr>
      <w:r w:rsidRPr="00A84A5B">
        <w:rPr>
          <w:lang w:val="es-ES_tradnl"/>
        </w:rPr>
        <w:t>2.</w:t>
      </w:r>
      <w:r w:rsidRPr="00A84A5B">
        <w:rPr>
          <w:lang w:val="es-ES_tradnl"/>
        </w:rPr>
        <w:tab/>
        <w:t>Solicitar también a Somalia que, en caso de que la información necesaria para justificar su solicitud de modificación de sus datos de referencia fuese confidencial, remitiese, de conformidad con el párrafo 2 de la decisión I/11, esta información a la Secretaría, que velaría por que los datos se tratasen bajo el secreto profesional y con tratamiento confidencial al comunicársela al Comité de Aplicación.</w:t>
      </w:r>
    </w:p>
    <w:p w14:paraId="0D8C8333" w14:textId="38208394" w:rsidR="00D9198F" w:rsidRPr="00A84A5B" w:rsidRDefault="00D9198F" w:rsidP="00D9198F">
      <w:pPr>
        <w:pStyle w:val="Recommendation"/>
        <w:rPr>
          <w:lang w:val="es-ES_tradnl"/>
        </w:rPr>
      </w:pPr>
      <w:r w:rsidRPr="00A84A5B">
        <w:rPr>
          <w:lang w:val="es-ES_tradnl"/>
        </w:rPr>
        <w:t>Recomendación 75/16</w:t>
      </w:r>
    </w:p>
    <w:p w14:paraId="69E325E1" w14:textId="5951959F" w:rsidR="006275CB" w:rsidRPr="00A84A5B" w:rsidRDefault="00F056BE" w:rsidP="000021C8">
      <w:pPr>
        <w:pStyle w:val="CH1"/>
        <w:rPr>
          <w:lang w:val="es-ES_tradnl"/>
        </w:rPr>
      </w:pPr>
      <w:r>
        <w:rPr>
          <w:bCs/>
          <w:lang w:val="es-ES_tradnl"/>
        </w:rPr>
        <w:tab/>
      </w:r>
      <w:r w:rsidR="006275CB" w:rsidRPr="00A84A5B">
        <w:rPr>
          <w:bCs/>
          <w:lang w:val="es-ES_tradnl"/>
        </w:rPr>
        <w:t>VIII.</w:t>
      </w:r>
      <w:r w:rsidR="006275CB" w:rsidRPr="00A84A5B">
        <w:rPr>
          <w:lang w:val="es-ES_tradnl"/>
        </w:rPr>
        <w:tab/>
      </w:r>
      <w:r w:rsidR="006275CB" w:rsidRPr="00A84A5B">
        <w:rPr>
          <w:bCs/>
          <w:lang w:val="es-ES_tradnl"/>
        </w:rPr>
        <w:t>Establecimiento de sistemas de concesión de licencias en virtud del</w:t>
      </w:r>
      <w:r>
        <w:rPr>
          <w:bCs/>
          <w:lang w:val="es-ES_tradnl"/>
        </w:rPr>
        <w:t> </w:t>
      </w:r>
      <w:r w:rsidR="006275CB" w:rsidRPr="00A84A5B">
        <w:rPr>
          <w:bCs/>
          <w:lang w:val="es-ES_tradnl"/>
        </w:rPr>
        <w:t>artículo 4B, párrafo 2 bis, del Protocolo de Montreal (decisión</w:t>
      </w:r>
      <w:r>
        <w:rPr>
          <w:bCs/>
          <w:lang w:val="es-ES_tradnl"/>
        </w:rPr>
        <w:t> </w:t>
      </w:r>
      <w:r w:rsidR="006275CB" w:rsidRPr="00A84A5B">
        <w:rPr>
          <w:bCs/>
          <w:lang w:val="es-ES_tradnl"/>
        </w:rPr>
        <w:t>XXXVI/15 y recomendación 74/14)</w:t>
      </w:r>
    </w:p>
    <w:p w14:paraId="4A311024" w14:textId="3F967B02"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Al presentar el tema, el Presidente señaló el informe de la Secretaría sobre la situación de los sistemas de concesión de licencias para los HFC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/75/R.5). La representante de la Secretaría informó al Comité de que, desde la publicación del documento el 29 de agosto de</w:t>
      </w:r>
      <w:r w:rsidR="00F056BE">
        <w:rPr>
          <w:lang w:val="es-ES_tradnl"/>
        </w:rPr>
        <w:t> </w:t>
      </w:r>
      <w:r w:rsidRPr="00A84A5B">
        <w:rPr>
          <w:lang w:val="es-ES_tradnl"/>
        </w:rPr>
        <w:t>2025, otras cinco Partes en el Protocolo de Montreal habían ratificado la Enmienda de Kigali. A 30 de octubre, de las 169 Partes que habían ratificado la Enmienda de Kigali, 160 habían comunicado a la</w:t>
      </w:r>
      <w:r w:rsidR="00F056BE">
        <w:rPr>
          <w:lang w:val="es-ES_tradnl"/>
        </w:rPr>
        <w:t> </w:t>
      </w:r>
      <w:r w:rsidRPr="00A84A5B">
        <w:rPr>
          <w:lang w:val="es-ES_tradnl"/>
        </w:rPr>
        <w:t xml:space="preserve">Secretaría el establecimiento y funcionamiento de sus sistemas de concesión de licencias. Las 160 Partes estaban compuestas por 118 Partes que operan al amparo del artículo 5 y 42 que no operan de ese modo. Otras cuatro Partes que todavía no habían ratificado la Enmienda de Kigali también habían presentado datos sobre el establecimiento de sus sistemas de concesión de licencias. </w:t>
      </w:r>
    </w:p>
    <w:p w14:paraId="57450207" w14:textId="3E7A1BF1"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Por lo tanto, en total, 9 de las 169 Partes que habían ratificado la Enmienda de Kigali todavía no habían informado a la Secretaría sobre el establecimiento y funcionamiento de sus sistemas de concesión de licencias. Para 4 de esas 9 Partes, a saber, Angola, </w:t>
      </w:r>
      <w:proofErr w:type="spellStart"/>
      <w:r w:rsidRPr="00A84A5B">
        <w:rPr>
          <w:lang w:val="es-ES_tradnl"/>
        </w:rPr>
        <w:t>Djibouti</w:t>
      </w:r>
      <w:proofErr w:type="spellEnd"/>
      <w:r w:rsidRPr="00A84A5B">
        <w:rPr>
          <w:lang w:val="es-ES_tradnl"/>
        </w:rPr>
        <w:t xml:space="preserve">, San Marino y Omán, el plazo para presentar la información había vencido. Las otras </w:t>
      </w:r>
      <w:r w:rsidR="00277EC9" w:rsidRPr="00A84A5B">
        <w:rPr>
          <w:lang w:val="es-ES_tradnl"/>
        </w:rPr>
        <w:t>cinco</w:t>
      </w:r>
      <w:r w:rsidRPr="00A84A5B">
        <w:rPr>
          <w:lang w:val="es-ES_tradnl"/>
        </w:rPr>
        <w:t xml:space="preserve"> Partes, a saber, </w:t>
      </w:r>
      <w:proofErr w:type="spellStart"/>
      <w:r w:rsidRPr="00A84A5B">
        <w:rPr>
          <w:lang w:val="es-ES_tradnl"/>
        </w:rPr>
        <w:t>Brunei</w:t>
      </w:r>
      <w:proofErr w:type="spellEnd"/>
      <w:r w:rsidRPr="00A84A5B">
        <w:rPr>
          <w:lang w:val="es-ES_tradnl"/>
        </w:rPr>
        <w:t xml:space="preserve"> Darussalam, la República Centroafricana, el Pakistán, Saint Kitts y Nevis y la Arabia Saudita, aún estaban dentro del plazo para la presentación de datos.</w:t>
      </w:r>
    </w:p>
    <w:p w14:paraId="0D6BB54A" w14:textId="7362DC66"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relación con el seguimiento de la decisión XXXVI/15, sobre la situación del establecimiento de sistemas de concesión de licencias en virtud del artículo 4B, párrafo 2 bis, del Protocolo de Montreal, y con la recomendación 74/14, una de las Partes enumeradas en el anexo de la decisión, a saber, Kenya, había informado sobre el establecimiento y el funcionamiento de su sistema de concesión de licencias para los HFC. El país había presentado voluntariamente una copia de su</w:t>
      </w:r>
      <w:r w:rsidR="00F056BE">
        <w:rPr>
          <w:lang w:val="es-ES_tradnl"/>
        </w:rPr>
        <w:t> </w:t>
      </w:r>
      <w:r w:rsidRPr="00A84A5B">
        <w:rPr>
          <w:lang w:val="es-ES_tradnl"/>
        </w:rPr>
        <w:t>nueva normativa. Angola había informado a la Secretaría de que estaba trabajando en el establecimiento de su sistema de concesión de licencias y enviaría la información antes de septiembre de 2025. No obstante, la Secretaría aún no había recibido ninguna actualización. San Marino no había respondido a los correos electrónicos de seguimiento enviados por la Secretaría en agosto y octubre de</w:t>
      </w:r>
      <w:r w:rsidR="00F056BE">
        <w:rPr>
          <w:lang w:val="es-ES_tradnl"/>
        </w:rPr>
        <w:t> </w:t>
      </w:r>
      <w:r w:rsidRPr="00A84A5B">
        <w:rPr>
          <w:lang w:val="es-ES_tradnl"/>
        </w:rPr>
        <w:t>2025 en relación con la recomendación 74/14. Los Emiratos Árabes Unidos habían informado sobre</w:t>
      </w:r>
      <w:r w:rsidR="00F056BE">
        <w:rPr>
          <w:lang w:val="es-ES_tradnl"/>
        </w:rPr>
        <w:t> </w:t>
      </w:r>
      <w:r w:rsidRPr="00A84A5B">
        <w:rPr>
          <w:lang w:val="es-ES_tradnl"/>
        </w:rPr>
        <w:t xml:space="preserve">el establecimiento y funcionamiento de su sistema de concesión de licencias, y </w:t>
      </w:r>
      <w:proofErr w:type="spellStart"/>
      <w:r w:rsidRPr="00A84A5B">
        <w:rPr>
          <w:lang w:val="es-ES_tradnl"/>
        </w:rPr>
        <w:t>Djibouti</w:t>
      </w:r>
      <w:proofErr w:type="spellEnd"/>
      <w:r w:rsidRPr="00A84A5B">
        <w:rPr>
          <w:lang w:val="es-ES_tradnl"/>
        </w:rPr>
        <w:t xml:space="preserve"> había comunicado a la Secretaría que había elaborado un proyecto de decreto sobre el control de los HFC, que se encontraba en fase de examen y que se esperaba que se presentase para su aprobación al inicio </w:t>
      </w:r>
      <w:r w:rsidRPr="00A84A5B">
        <w:rPr>
          <w:lang w:val="es-ES_tradnl"/>
        </w:rPr>
        <w:lastRenderedPageBreak/>
        <w:t>del próximo mandato gubernamental, entre septiembre y octubre de 2025. La Secretaría no había recibido ninguna información actualizada.</w:t>
      </w:r>
    </w:p>
    <w:p w14:paraId="78169D30" w14:textId="3253D0A5"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respuesta a la sugerencia de un miembro de que el Comité alentase a las Partes que aún no lo hubiesen hecho a ratificar la Enmienda de Kigali, otro miembro expresó su parecer de que era mejor incluir ese texto en una decisión que adoptaría la 37ª Reunión de las Partes.</w:t>
      </w:r>
    </w:p>
    <w:p w14:paraId="16993B51" w14:textId="0E45AE40"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Una representante consideró razonable la fecha límite propuesta del 31 de marzo de 2026 para proporcionar información a la Secretaría sobre el establecimiento y funcionamiento de sus sistemas de concesión de licencias. Dada la prolongada falta de respuesta de Angola y San Marino, un miembro, con el apoyo de otro, propuso que se invitase a los representantes a la 76ª reunión para que proporcionasen información en persona. </w:t>
      </w:r>
    </w:p>
    <w:p w14:paraId="0F855617" w14:textId="24C31236"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Más adelante en la reunión, el representante de la Secretaría informó al Comité de que Angola</w:t>
      </w:r>
      <w:r w:rsidR="00D12B17">
        <w:rPr>
          <w:lang w:val="es-ES_tradnl"/>
        </w:rPr>
        <w:t> </w:t>
      </w:r>
      <w:r w:rsidRPr="00A84A5B">
        <w:rPr>
          <w:lang w:val="es-ES_tradnl"/>
        </w:rPr>
        <w:t>había proporcionado información adicional que aclaraba que, de hecho, la Parte contaba con un sistema de concesión de licencias de HFC en vigor. Dicho sistema se había elaborado basándose en</w:t>
      </w:r>
      <w:r w:rsidR="00D12B17">
        <w:rPr>
          <w:lang w:val="es-ES_tradnl"/>
        </w:rPr>
        <w:t> </w:t>
      </w:r>
      <w:r w:rsidRPr="00A84A5B">
        <w:rPr>
          <w:lang w:val="es-ES_tradnl"/>
        </w:rPr>
        <w:t xml:space="preserve">su anterior sistema de concesión de licencias de HCFC, aunque se enfrentaba a nuevos retos, especialmente en lo referente a las mezclas. Los miembros del Comité convinieron en que, habida cuenta de que no habían acordado una fecha límite para la presentación de información sobre los sistemas de concesión de licencias, a diferencia de lo que ocurre con la presentación de datos, sería conveniente eliminar las referencias a Angola en el proyecto de decisión. </w:t>
      </w:r>
    </w:p>
    <w:p w14:paraId="094464A9" w14:textId="77777777" w:rsidR="006275CB" w:rsidRPr="00A84A5B"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Comité acordó lo siguiente:</w:t>
      </w:r>
    </w:p>
    <w:p w14:paraId="1FD652A1" w14:textId="77777777" w:rsidR="006275CB" w:rsidRPr="00A84A5B" w:rsidRDefault="006275CB" w:rsidP="006275CB">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A84A5B">
        <w:rPr>
          <w:lang w:val="es-ES_tradnl"/>
        </w:rPr>
        <w:t>a)</w:t>
      </w:r>
      <w:r w:rsidRPr="00A84A5B">
        <w:rPr>
          <w:lang w:val="es-ES_tradnl"/>
        </w:rPr>
        <w:tab/>
        <w:t>Tomar nota con aprecio del informe sobre el estado de los sistemas de concesión de licencias para los hidrofluorocarbonos con arreglo al artículo 4B, párrafo 2 bis, del Protocolo de Montreal;</w:t>
      </w:r>
    </w:p>
    <w:p w14:paraId="7C2CBCE8" w14:textId="5AAE1BA3" w:rsidR="006275CB" w:rsidRPr="00A84A5B" w:rsidRDefault="006275CB" w:rsidP="006275CB">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A84A5B">
        <w:rPr>
          <w:lang w:val="es-ES_tradnl"/>
        </w:rPr>
        <w:t>b)</w:t>
      </w:r>
      <w:r w:rsidRPr="00A84A5B">
        <w:rPr>
          <w:lang w:val="es-ES_tradnl"/>
        </w:rPr>
        <w:tab/>
        <w:t>Remitir, para su examen por la 37ª reunión de las Partes en el Protocolo de Montreal, el proyecto de decisión que figura en la sección I del anexo I del presente informe, en el que, entre otras cosas, se consignaba el número de Partes en el Protocolo de Montreal que habían ratificado la Enmienda de Kigali y que habían comunicado a la Secretaría el establecimiento y funcionamiento de sistemas de concesión de licencias para la importación y exportación de las sustancias controladas del anexo F, de conformidad con el párrafo 3 del artículo 4B del Protocolo de Montreal.</w:t>
      </w:r>
    </w:p>
    <w:p w14:paraId="5B5808FD" w14:textId="10031DD3" w:rsidR="006275CB" w:rsidRPr="00A84A5B" w:rsidRDefault="006275CB" w:rsidP="006275CB">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A84A5B">
        <w:rPr>
          <w:lang w:val="es-ES_tradnl"/>
        </w:rPr>
        <w:t>c)</w:t>
      </w:r>
      <w:r w:rsidRPr="00A84A5B">
        <w:rPr>
          <w:lang w:val="es-ES_tradnl"/>
        </w:rPr>
        <w:tab/>
        <w:t>Instar a las tres Partes que se enumeran en el proyecto de decisión que figura en la sección I del anexo I del presente informe a que presenten información a la Secretaría sobre el establecimiento y funcionamiento de sus sistemas de concesión de licencias y que lo hagan con urgencia y no más tarde del 31 de marzo de 2026;</w:t>
      </w:r>
    </w:p>
    <w:p w14:paraId="5B5DC3BA" w14:textId="77777777" w:rsidR="006275CB" w:rsidRPr="00A84A5B" w:rsidRDefault="006275CB" w:rsidP="006275CB">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A84A5B">
        <w:rPr>
          <w:lang w:val="es-ES_tradnl"/>
        </w:rPr>
        <w:t>d)</w:t>
      </w:r>
      <w:r w:rsidRPr="00A84A5B">
        <w:rPr>
          <w:lang w:val="es-ES_tradnl"/>
        </w:rPr>
        <w:tab/>
        <w:t>Seguir examinando periódicamente la situación del establecimiento de esos sistemas de concesión de licencias por todas las Partes en el Protocolo de Montreal que hayan ratificado la Enmienda de Kigali, y considerar cualquier recomendación que resulte pertinente para las Partes, de conformidad con el artículo 4B, párrafo 4, del Protocolo.</w:t>
      </w:r>
    </w:p>
    <w:p w14:paraId="372A8D0A" w14:textId="5264A785" w:rsidR="006275CB" w:rsidRPr="00A84A5B" w:rsidRDefault="006275CB" w:rsidP="005110A5">
      <w:pPr>
        <w:pStyle w:val="Recommendation"/>
        <w:rPr>
          <w:lang w:val="es-ES_tradnl"/>
        </w:rPr>
      </w:pPr>
      <w:r w:rsidRPr="00A84A5B">
        <w:rPr>
          <w:lang w:val="es-ES_tradnl"/>
        </w:rPr>
        <w:t>Recomendación 75/17</w:t>
      </w:r>
    </w:p>
    <w:p w14:paraId="19FA01A5" w14:textId="58ABDA73" w:rsidR="00CE7C79" w:rsidRPr="00A84A5B" w:rsidRDefault="00F056BE" w:rsidP="000021C8">
      <w:pPr>
        <w:pStyle w:val="CH1"/>
        <w:rPr>
          <w:lang w:val="es-ES_tradnl"/>
        </w:rPr>
      </w:pPr>
      <w:r>
        <w:rPr>
          <w:bCs/>
          <w:lang w:val="es-ES_tradnl"/>
        </w:rPr>
        <w:tab/>
      </w:r>
      <w:r w:rsidR="00CE7C79" w:rsidRPr="00A84A5B">
        <w:rPr>
          <w:bCs/>
          <w:lang w:val="es-ES_tradnl"/>
        </w:rPr>
        <w:t>IX.</w:t>
      </w:r>
      <w:r w:rsidR="00CE7C79" w:rsidRPr="00A84A5B">
        <w:rPr>
          <w:lang w:val="es-ES_tradnl"/>
        </w:rPr>
        <w:tab/>
      </w:r>
      <w:r w:rsidR="00CE7C79" w:rsidRPr="00A84A5B">
        <w:rPr>
          <w:bCs/>
          <w:lang w:val="es-ES_tradnl"/>
        </w:rPr>
        <w:t>Cuestiones sistémicas en relación con el cumplimiento (decisión</w:t>
      </w:r>
      <w:r w:rsidR="00D12B17">
        <w:rPr>
          <w:bCs/>
          <w:lang w:val="es-ES_tradnl"/>
        </w:rPr>
        <w:t> </w:t>
      </w:r>
      <w:r w:rsidR="00CE7C79" w:rsidRPr="00A84A5B">
        <w:rPr>
          <w:bCs/>
          <w:lang w:val="es-ES_tradnl"/>
        </w:rPr>
        <w:t>XXXVI/9, párr. 6)</w:t>
      </w:r>
    </w:p>
    <w:p w14:paraId="6C5A1DB8" w14:textId="6A86BC29" w:rsidR="008315F6" w:rsidRPr="00A84A5B" w:rsidRDefault="00CE7C7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Al presentar el tema, el Presidente recordó al Comité que la Secretaría había presentado el</w:t>
      </w:r>
      <w:r w:rsidR="00F056BE">
        <w:rPr>
          <w:lang w:val="es-ES_tradnl"/>
        </w:rPr>
        <w:t> </w:t>
      </w:r>
      <w:r w:rsidRPr="00A84A5B">
        <w:rPr>
          <w:lang w:val="es-ES_tradnl"/>
        </w:rPr>
        <w:t>documento sobre el análisis de cuestiones sistémicas relacionadas con el cumplimiento sobre</w:t>
      </w:r>
      <w:r w:rsidR="00F056BE">
        <w:rPr>
          <w:lang w:val="es-ES_tradnl"/>
        </w:rPr>
        <w:t> </w:t>
      </w:r>
      <w:r w:rsidRPr="00A84A5B">
        <w:rPr>
          <w:lang w:val="es-ES_tradnl"/>
        </w:rPr>
        <w:t>la</w:t>
      </w:r>
      <w:r w:rsidR="00F056BE">
        <w:rPr>
          <w:lang w:val="es-ES_tradnl"/>
        </w:rPr>
        <w:t> </w:t>
      </w:r>
      <w:r w:rsidRPr="00A84A5B">
        <w:rPr>
          <w:lang w:val="es-ES_tradnl"/>
        </w:rPr>
        <w:t>base</w:t>
      </w:r>
      <w:r w:rsidR="00F056BE">
        <w:rPr>
          <w:lang w:val="es-ES_tradnl"/>
        </w:rPr>
        <w:t> </w:t>
      </w:r>
      <w:r w:rsidRPr="00A84A5B">
        <w:rPr>
          <w:lang w:val="es-ES_tradnl"/>
        </w:rPr>
        <w:t>de los casos examinados por el Comité durante los últimos diez años (UNEP/</w:t>
      </w:r>
      <w:proofErr w:type="spellStart"/>
      <w:r w:rsidRPr="00A84A5B">
        <w:rPr>
          <w:lang w:val="es-ES_tradnl"/>
        </w:rPr>
        <w:t>OzL.Pro</w:t>
      </w:r>
      <w:proofErr w:type="spellEnd"/>
      <w:r w:rsidRPr="00A84A5B">
        <w:rPr>
          <w:lang w:val="es-ES_tradnl"/>
        </w:rPr>
        <w:t>/</w:t>
      </w:r>
      <w:proofErr w:type="spellStart"/>
      <w:r w:rsidRPr="00A84A5B">
        <w:rPr>
          <w:lang w:val="es-ES_tradnl"/>
        </w:rPr>
        <w:t>ImpCom</w:t>
      </w:r>
      <w:proofErr w:type="spellEnd"/>
      <w:r w:rsidRPr="00A84A5B">
        <w:rPr>
          <w:lang w:val="es-ES_tradnl"/>
        </w:rPr>
        <w:t>/74/R.5) en la 74ª reunión del Comité, y que los miembros habían tenido la</w:t>
      </w:r>
      <w:r w:rsidR="00F056BE">
        <w:rPr>
          <w:lang w:val="es-ES_tradnl"/>
        </w:rPr>
        <w:t> </w:t>
      </w:r>
      <w:r w:rsidRPr="00A84A5B">
        <w:rPr>
          <w:lang w:val="es-ES_tradnl"/>
        </w:rPr>
        <w:t>oportunidad de debatirlo brevemente en esa ocasión. El orador tenía previsto resumir el documento en una breve presentación ante la reunión oficiosa de las Partes en el Protocolo de Montreal el 2 de noviembre de 2025, e invitó a los miembros del Comité a formular observaciones al respecto. Los miembros del Comité agradecieron a la Secretaría su ardua labor en la elaboración del documento y señalaron que este constituía una base valiosa para las deliberaciones de la reunión oficiosa.</w:t>
      </w:r>
    </w:p>
    <w:p w14:paraId="58330079" w14:textId="6297BF51" w:rsidR="00921757" w:rsidRPr="00A84A5B" w:rsidRDefault="004558DF"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En cuanto a la presentación de datos en virtud del artículo 7, un miembro expresó su parecer de que sería útil que las Partes conociesen la decisión del Comité de introducir una fecha límite en el proyecto de decisión sobre la presentación de datos, tal como se debatió en el marco del tema 3 del programa. Ello permitiría al Presidente resaltar las dificultades causadas por la presentación tardía de los datos. Otro miembro sugirió resaltar la conclusión del Comité, acordada en la 74ª reunión, de no permitir la presentación de datos provisionales. El orador también sugirió que se mencionase la </w:t>
      </w:r>
      <w:r w:rsidRPr="00A84A5B">
        <w:rPr>
          <w:lang w:val="es-ES_tradnl"/>
        </w:rPr>
        <w:lastRenderedPageBreak/>
        <w:t>reducción, en los últimos años, del número de Partes que presentan informes antes del 30 de junio, y se alentase a las Partes a cumplir ese plazo.</w:t>
      </w:r>
    </w:p>
    <w:p w14:paraId="160155CF" w14:textId="6785F42F" w:rsidR="00CE7C79" w:rsidRPr="00A84A5B" w:rsidRDefault="00A461DC"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los sistemas de licencias de importación y exportación, algunos miembros señalaron que sería útil disponer de más información sobre el funcionamiento de los sistemas de concesión de licencias de las Partes, en lugar de limitarse a saber si disponía o no de ellos. Uno resaltó la redacción del párrafo 3 del artículo 4B del Protocolo de Montreal, que exigía a las Partes informar del</w:t>
      </w:r>
      <w:r w:rsidR="00991B1C" w:rsidRPr="00A84A5B">
        <w:rPr>
          <w:lang w:val="es-ES_tradnl"/>
        </w:rPr>
        <w:t xml:space="preserve"> “e</w:t>
      </w:r>
      <w:r w:rsidRPr="00A84A5B">
        <w:rPr>
          <w:lang w:val="es-ES_tradnl"/>
        </w:rPr>
        <w:t>stablecimiento y el funcionamiento de dicho sistema</w:t>
      </w:r>
      <w:r w:rsidR="00991B1C" w:rsidRPr="00A84A5B">
        <w:rPr>
          <w:lang w:val="es-ES_tradnl"/>
        </w:rPr>
        <w:t>”</w:t>
      </w:r>
      <w:r w:rsidRPr="00A84A5B">
        <w:rPr>
          <w:lang w:val="es-ES_tradnl"/>
        </w:rPr>
        <w:t>, y no solo sobre su establecimiento. El orador sugirió que podría ser posible analizar las características de los sistemas de concesión de licencias comunicadas a la Secretaría y, a continuación, elaborar una lista de comprobación de las características sobre las cuales se podría solicitar a las Partes que informasen al establecer un nuevo sistema de concesión de licencias. Otro miembro sugirió que se considerase cómo los sistemas de concesión de licencias podrían abordar las compras en línea de sustancias controladas. Varios miembros señalaron la necesidad de aplicar eficazmente los sistemas de concesión de licencias y</w:t>
      </w:r>
      <w:r w:rsidR="00F056BE">
        <w:rPr>
          <w:lang w:val="es-ES_tradnl"/>
        </w:rPr>
        <w:t> </w:t>
      </w:r>
      <w:r w:rsidRPr="00A84A5B">
        <w:rPr>
          <w:lang w:val="es-ES_tradnl"/>
        </w:rPr>
        <w:t>otras</w:t>
      </w:r>
      <w:r w:rsidR="00F056BE">
        <w:rPr>
          <w:lang w:val="es-ES_tradnl"/>
        </w:rPr>
        <w:t> </w:t>
      </w:r>
      <w:r w:rsidRPr="00A84A5B">
        <w:rPr>
          <w:lang w:val="es-ES_tradnl"/>
        </w:rPr>
        <w:t xml:space="preserve">normativas. </w:t>
      </w:r>
    </w:p>
    <w:p w14:paraId="6A34AF34" w14:textId="2086742E" w:rsidR="00CE7C79" w:rsidRPr="00A84A5B" w:rsidRDefault="00EE6190"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al cumplimiento de las medidas de control, un miembro resaltó el problema de las mezclas de HFC y las dificultades a las que se enfrentan los importadores a la hora de comunicar datos precisos sobre ellas. Otro señaló el hecho de que los plazos para la presentación de datos siempre coincidían con fechas muy próximas a las reuniones del Comité de Aplicación y la Reunión de las Partes, lo que complicaba el proceso de debate sobre el estado de cumplimiento de las Partes. A pesar</w:t>
      </w:r>
      <w:r w:rsidR="00F056BE">
        <w:rPr>
          <w:lang w:val="es-ES_tradnl"/>
        </w:rPr>
        <w:t> </w:t>
      </w:r>
      <w:r w:rsidRPr="00A84A5B">
        <w:rPr>
          <w:lang w:val="es-ES_tradnl"/>
        </w:rPr>
        <w:t>de ello, el orador no tenía ninguna solución que proponer.</w:t>
      </w:r>
    </w:p>
    <w:p w14:paraId="7709CD94" w14:textId="34AC3B74" w:rsidR="003D7CDE" w:rsidRPr="00A84A5B" w:rsidRDefault="003D7CDE"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los cambios en los datos de referencia, dos miembros observaron que, si bien algunos cambios solicitados por las Partes podían abordarse con gran facilidad, otros resultaban mucho más difíciles, y la característica común solía ser la debilidad de los controles de aduanas, la</w:t>
      </w:r>
      <w:r w:rsidR="00F056BE">
        <w:rPr>
          <w:lang w:val="es-ES_tradnl"/>
        </w:rPr>
        <w:t> </w:t>
      </w:r>
      <w:r w:rsidRPr="00A84A5B">
        <w:rPr>
          <w:lang w:val="es-ES_tradnl"/>
        </w:rPr>
        <w:t>concesión de licencias y la aplicación de la ley. Otro llamó la atención sobre el problema de la transmisión inexacta o lenta de la información por parte de los organismos aduaneros.</w:t>
      </w:r>
    </w:p>
    <w:p w14:paraId="67330442" w14:textId="77C5075B" w:rsidR="00121ACB" w:rsidRPr="00A84A5B" w:rsidRDefault="00121AC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En cuanto a otros asuntos, un miembro observó que, a menudo, cuando las Partes tenían dificultades para recopilar datos o cumplir sus medidas de control, el problema se hacía evidente por primera vez en sus informes a la Secretaría del Fondo Multilateral o a los organismos de ejecución. El</w:t>
      </w:r>
      <w:r w:rsidR="00F056BE">
        <w:rPr>
          <w:lang w:val="es-ES_tradnl"/>
        </w:rPr>
        <w:t> </w:t>
      </w:r>
      <w:r w:rsidRPr="00A84A5B">
        <w:rPr>
          <w:lang w:val="es-ES_tradnl"/>
        </w:rPr>
        <w:t>orador se preguntaba si sería posible señalar estos problemas con antelación para que el Comité de Aplicación les prestase atención.</w:t>
      </w:r>
    </w:p>
    <w:p w14:paraId="19BB4517" w14:textId="0B15B1F0" w:rsidR="00121ACB" w:rsidRPr="00A84A5B" w:rsidRDefault="00211FC4"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El Presidente agradeció a todos los miembros del Comité sus contribuciones y afirmó que su intención era reflejarlas en su aportación a los debates de la reunión oficiosa de las Partes.</w:t>
      </w:r>
    </w:p>
    <w:p w14:paraId="446A4626" w14:textId="147C8D03" w:rsidR="001555C7" w:rsidRPr="00A84A5B" w:rsidRDefault="00F056BE" w:rsidP="00277305">
      <w:pPr>
        <w:pStyle w:val="CH1"/>
        <w:rPr>
          <w:lang w:val="es-ES_tradnl"/>
        </w:rPr>
      </w:pPr>
      <w:r>
        <w:rPr>
          <w:bCs/>
          <w:lang w:val="es-ES_tradnl"/>
        </w:rPr>
        <w:tab/>
      </w:r>
      <w:r w:rsidR="00277305" w:rsidRPr="00A84A5B">
        <w:rPr>
          <w:bCs/>
          <w:lang w:val="es-ES_tradnl"/>
        </w:rPr>
        <w:t>X.</w:t>
      </w:r>
      <w:r w:rsidR="00277305" w:rsidRPr="00A84A5B">
        <w:rPr>
          <w:lang w:val="es-ES_tradnl"/>
        </w:rPr>
        <w:tab/>
      </w:r>
      <w:r w:rsidR="00277305" w:rsidRPr="00A84A5B">
        <w:rPr>
          <w:bCs/>
          <w:lang w:val="es-ES_tradnl"/>
        </w:rPr>
        <w:t>Otros asuntos</w:t>
      </w:r>
    </w:p>
    <w:p w14:paraId="678E6588" w14:textId="65CFD091" w:rsidR="008B44CE" w:rsidRPr="00A84A5B" w:rsidRDefault="00061519"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No se plantearon otros asuntos.</w:t>
      </w:r>
    </w:p>
    <w:p w14:paraId="3C11F500" w14:textId="204E6564" w:rsidR="001555C7" w:rsidRPr="00A84A5B" w:rsidRDefault="00F056BE" w:rsidP="00277305">
      <w:pPr>
        <w:pStyle w:val="CH1"/>
        <w:rPr>
          <w:lang w:val="es-ES_tradnl"/>
        </w:rPr>
      </w:pPr>
      <w:r>
        <w:rPr>
          <w:bCs/>
          <w:lang w:val="es-ES_tradnl"/>
        </w:rPr>
        <w:tab/>
      </w:r>
      <w:r w:rsidR="00277305" w:rsidRPr="00A84A5B">
        <w:rPr>
          <w:bCs/>
          <w:lang w:val="es-ES_tradnl"/>
        </w:rPr>
        <w:t>XI.</w:t>
      </w:r>
      <w:r w:rsidR="00277305" w:rsidRPr="00A84A5B">
        <w:rPr>
          <w:lang w:val="es-ES_tradnl"/>
        </w:rPr>
        <w:tab/>
      </w:r>
      <w:r w:rsidR="00277305" w:rsidRPr="00A84A5B">
        <w:rPr>
          <w:bCs/>
          <w:lang w:val="es-ES_tradnl"/>
        </w:rPr>
        <w:t>Aprobación de las recomendaciones y el informe de la reunión</w:t>
      </w:r>
    </w:p>
    <w:p w14:paraId="070AA1C9" w14:textId="7A7B8296" w:rsidR="00816542" w:rsidRPr="00A84A5B" w:rsidRDefault="00B07AFE"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bookmarkStart w:id="26" w:name="_Hlk180703829"/>
      <w:r w:rsidRPr="00A84A5B">
        <w:rPr>
          <w:lang w:val="es-ES_tradnl"/>
        </w:rPr>
        <w:t>El Comité aprobó las recomendaciones que se reproducen en el presente informe y acordó encargar la finalización y la aprobación del informe de la reunión a su Presidente, quien trabajarían en consulta con la Secretaría.</w:t>
      </w:r>
      <w:bookmarkEnd w:id="26"/>
    </w:p>
    <w:p w14:paraId="17F0D645" w14:textId="2D71810C" w:rsidR="001555C7" w:rsidRPr="00A84A5B" w:rsidRDefault="00F056BE" w:rsidP="00277305">
      <w:pPr>
        <w:pStyle w:val="CH1"/>
        <w:rPr>
          <w:lang w:val="es-ES_tradnl"/>
        </w:rPr>
      </w:pPr>
      <w:r>
        <w:rPr>
          <w:bCs/>
          <w:lang w:val="es-ES_tradnl"/>
        </w:rPr>
        <w:tab/>
      </w:r>
      <w:r w:rsidR="00277305" w:rsidRPr="00A84A5B">
        <w:rPr>
          <w:bCs/>
          <w:lang w:val="es-ES_tradnl"/>
        </w:rPr>
        <w:t>XII.</w:t>
      </w:r>
      <w:r w:rsidR="00277305" w:rsidRPr="00A84A5B">
        <w:rPr>
          <w:lang w:val="es-ES_tradnl"/>
        </w:rPr>
        <w:tab/>
      </w:r>
      <w:r w:rsidR="00277305" w:rsidRPr="00A84A5B">
        <w:rPr>
          <w:bCs/>
          <w:lang w:val="es-ES_tradnl"/>
        </w:rPr>
        <w:t>Clausura de la reunión</w:t>
      </w:r>
    </w:p>
    <w:p w14:paraId="20A12CE8" w14:textId="74DE4430" w:rsidR="00B63951" w:rsidRPr="00A84A5B" w:rsidRDefault="00B9097B" w:rsidP="00B43391">
      <w:pPr>
        <w:pStyle w:val="Normalnumber"/>
        <w:numPr>
          <w:ilvl w:val="0"/>
          <w:numId w:val="299"/>
        </w:numPr>
        <w:tabs>
          <w:tab w:val="clear" w:pos="1247"/>
          <w:tab w:val="clear" w:pos="1814"/>
          <w:tab w:val="clear" w:pos="2381"/>
          <w:tab w:val="clear" w:pos="2948"/>
          <w:tab w:val="clear" w:pos="3515"/>
        </w:tabs>
        <w:ind w:left="1247" w:firstLine="0"/>
        <w:rPr>
          <w:lang w:val="es-ES_tradnl"/>
        </w:rPr>
      </w:pPr>
      <w:r w:rsidRPr="00A84A5B">
        <w:rPr>
          <w:lang w:val="es-ES_tradnl"/>
        </w:rPr>
        <w:t xml:space="preserve">Tras el acostumbrado intercambio de cortesías, el Presidente declaró clausurada la reunión a las 16.30 horas del sábado 1 de noviembre de 2025. </w:t>
      </w:r>
    </w:p>
    <w:p w14:paraId="563816C5" w14:textId="47DC9B91" w:rsidR="00F16A0C" w:rsidRPr="00A84A5B" w:rsidRDefault="00F16A0C">
      <w:pPr>
        <w:tabs>
          <w:tab w:val="clear" w:pos="1247"/>
          <w:tab w:val="clear" w:pos="1814"/>
          <w:tab w:val="clear" w:pos="2381"/>
          <w:tab w:val="clear" w:pos="2948"/>
          <w:tab w:val="clear" w:pos="3515"/>
        </w:tabs>
        <w:spacing w:after="160" w:line="259" w:lineRule="auto"/>
        <w:rPr>
          <w:lang w:val="es-ES_tradnl"/>
        </w:rPr>
      </w:pPr>
      <w:r w:rsidRPr="00A84A5B">
        <w:rPr>
          <w:lang w:val="es-ES_tradnl"/>
        </w:rPr>
        <w:br w:type="page"/>
      </w:r>
    </w:p>
    <w:p w14:paraId="6F697313" w14:textId="77777777" w:rsidR="00F16A0C" w:rsidRPr="00A84A5B" w:rsidRDefault="00F16A0C" w:rsidP="00F16A0C">
      <w:pPr>
        <w:pStyle w:val="ZZAnxheader"/>
        <w:rPr>
          <w:lang w:val="es-ES_tradnl"/>
        </w:rPr>
      </w:pPr>
      <w:r w:rsidRPr="00A84A5B">
        <w:rPr>
          <w:lang w:val="es-ES_tradnl"/>
        </w:rPr>
        <w:lastRenderedPageBreak/>
        <w:t>Anexo I</w:t>
      </w:r>
    </w:p>
    <w:p w14:paraId="3B7087E7" w14:textId="4DEEDE16" w:rsidR="00F16A0C" w:rsidRPr="00A84A5B" w:rsidRDefault="00F16A0C" w:rsidP="00F16A0C">
      <w:pPr>
        <w:pStyle w:val="ZZAnxtitle"/>
        <w:rPr>
          <w:lang w:val="es-ES_tradnl"/>
        </w:rPr>
      </w:pPr>
      <w:r w:rsidRPr="00A84A5B">
        <w:rPr>
          <w:lang w:val="es-ES_tradnl"/>
        </w:rPr>
        <w:t>Proyectos de decisión remitidos por el Comité de Aplicación establecido con arreglo al Procedimiento relativo al Incumplimiento del Protocolo de Montreal en sus reuniones 74ª y 75ª para su examen por la 37ª Reunión de las Partes en el Protocolo de Montreal</w:t>
      </w:r>
    </w:p>
    <w:p w14:paraId="788CFFF2" w14:textId="04952A87" w:rsidR="003E09D8" w:rsidRPr="00A84A5B" w:rsidRDefault="00F056BE" w:rsidP="00F056BE">
      <w:pPr>
        <w:pStyle w:val="CH2"/>
        <w:rPr>
          <w:lang w:val="es-ES_tradnl"/>
        </w:rPr>
      </w:pPr>
      <w:r w:rsidRPr="008353E4">
        <w:rPr>
          <w:lang w:val="fr-FR"/>
        </w:rPr>
        <w:tab/>
        <w:t>A.</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datos e información proporcionados por las Partes de conformidad con el artículo 7 del Protocolo de Montreal</w:t>
      </w:r>
    </w:p>
    <w:p w14:paraId="27B92481" w14:textId="39B94600" w:rsidR="002E3FBC" w:rsidRPr="00A84A5B" w:rsidRDefault="002E3FBC" w:rsidP="002E3FBC">
      <w:pPr>
        <w:pStyle w:val="NormalNonumber"/>
        <w:tabs>
          <w:tab w:val="clear" w:pos="1247"/>
          <w:tab w:val="clear" w:pos="1871"/>
          <w:tab w:val="clear" w:pos="2495"/>
          <w:tab w:val="clear" w:pos="3119"/>
          <w:tab w:val="clear" w:pos="3742"/>
          <w:tab w:val="clear" w:pos="4366"/>
        </w:tabs>
        <w:spacing w:before="240"/>
        <w:ind w:firstLine="624"/>
        <w:rPr>
          <w:i/>
          <w:iCs/>
          <w:lang w:val="es-ES_tradnl"/>
        </w:rPr>
      </w:pPr>
      <w:r w:rsidRPr="00A84A5B">
        <w:rPr>
          <w:i/>
          <w:iCs/>
          <w:lang w:val="es-ES_tradnl"/>
        </w:rPr>
        <w:t>La 37ª Reunión de las Partes decide</w:t>
      </w:r>
    </w:p>
    <w:p w14:paraId="4C8D557E" w14:textId="02CD7298"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Hacer notar que, a 31 de octubre de 2025, 194 de las 198 Partes que debían haber presentado datos correspondientes a 2024 ya lo habían hecho, que 123 de esas Partes habían presentado sus datos a través del sistema de presentación de datos en línea y que 170 Partes habían presentado sus datos antes del 30 de septiembre de 2025, de conformidad con el párrafo 3 del artículo 7 del Protocolo de Montreal relativo a las Sustancias que Agotan la Capa de Ozono;</w:t>
      </w:r>
    </w:p>
    <w:p w14:paraId="65159A4A" w14:textId="77777777"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Hacer notar con aprecio que 74 de las Partes que presentaron sus datos correspondientes a 2024 lo hicieron antes del 30 de junio de 2025, de conformidad con la exhortación formulada en la decisión XV/15, y que la presentación de datos antes del 30 de junio de cada año facilita en gran medida la labor que realiza el Comité Ejecutivo del Fondo Multilateral para la Aplicación del Protocolo de Montreal a fin de ayudar a las Partes que operan al amparo del párrafo 1 del artículo 5 del Protocolo a cumplir las medidas de control previstas en el Protocolo;</w:t>
      </w:r>
    </w:p>
    <w:p w14:paraId="08CCE8B8" w14:textId="77777777"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Observar con preocupación que, a 31 de octubre de 2025, cuatro Partes, a saber, Armenia, las Comoras, Islandia y Santo Tomé y Príncipe, no habían comunicado sus datos correspondientes a 2024 y que de resultas de ello esas Partes se encuentran en situación de incumplimiento de sus obligaciones de presentación de datos en virtud de lo dispuesto en el párrafo 3 del artículo 7 del Protocolo de Montreal hasta el momento en que la Secretaría del Ozono reciba los datos pendientes;</w:t>
      </w:r>
    </w:p>
    <w:p w14:paraId="38089A89" w14:textId="77777777"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Hacer notar que la falta de presentación oportuna de datos por las Partes impide realizar una vigilancia y evaluación eficaces del cumplimiento por las Partes de sus obligaciones dimanantes del Protocolo de Montreal;</w:t>
      </w:r>
    </w:p>
    <w:p w14:paraId="3D1D3C62" w14:textId="418608A8"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Instar a las Partes enumeradas en el párrafo 3 a que faciliten los datos requeridos a la</w:t>
      </w:r>
      <w:r w:rsidR="00F056BE">
        <w:rPr>
          <w:lang w:val="es-ES_tradnl"/>
        </w:rPr>
        <w:t> </w:t>
      </w:r>
      <w:r w:rsidRPr="00A84A5B">
        <w:rPr>
          <w:lang w:val="es-ES_tradnl"/>
        </w:rPr>
        <w:t>Secretaría lo antes posible;</w:t>
      </w:r>
    </w:p>
    <w:p w14:paraId="25A24170" w14:textId="77777777"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Solicitar al Comité de Aplicación establecido con arreglo al Procedimiento relativo al Incumplimiento del Protocolo de Montreal que examine la situación de esas Partes en su 76ª reunión;</w:t>
      </w:r>
    </w:p>
    <w:p w14:paraId="5CB52440" w14:textId="77777777" w:rsidR="003E09D8" w:rsidRPr="00A84A5B" w:rsidRDefault="003E09D8" w:rsidP="003E09D8">
      <w:pPr>
        <w:pStyle w:val="NormalNonumber"/>
        <w:numPr>
          <w:ilvl w:val="0"/>
          <w:numId w:val="305"/>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Alentar a las Partes a que continúen comunicando los datos sobre consumo y producción en cuanto dispongan de esa información y preferiblemente antes del 30 de junio de cada año, como se las alentó a hacer en la decisión XV/15 y en decisiones posteriores sobre el asunto.</w:t>
      </w:r>
    </w:p>
    <w:p w14:paraId="02DCC48C" w14:textId="4F37284F" w:rsidR="003E09D8" w:rsidRPr="00A84A5B" w:rsidRDefault="00F056BE" w:rsidP="00F056BE">
      <w:pPr>
        <w:pStyle w:val="CH2"/>
        <w:rPr>
          <w:lang w:val="es-ES_tradnl"/>
        </w:rPr>
      </w:pPr>
      <w:r w:rsidRPr="008353E4">
        <w:rPr>
          <w:lang w:val="fr-FR"/>
        </w:rPr>
        <w:tab/>
        <w:t>B.</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incumplimiento del Protocolo de Montreal por la República Popular Democrática de Corea</w:t>
      </w:r>
    </w:p>
    <w:p w14:paraId="372D4063" w14:textId="398AEDB1" w:rsidR="002E3FBC" w:rsidRPr="00A84A5B" w:rsidRDefault="002E3FBC" w:rsidP="003E09D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703EF760" w14:textId="41716B46"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Recordando </w:t>
      </w:r>
      <w:r w:rsidRPr="00A84A5B">
        <w:rPr>
          <w:lang w:val="es-ES_tradnl"/>
        </w:rPr>
        <w:t xml:space="preserve">la decisión XXXII/6, en la que la 32ª Reunión de las Partes en el Protocolo de Montreal relativo a las Sustancias que Agotan la Capa de Ozono hizo notar que la República Popular Democrática de Corea estaba en situación de incumplimiento de las medidas de control recogidas en el Protocolo relativas a la producción y el consumo de hidroclorofluorocarbonos en 2019, pero también observó con aprecio el plan de acción presentado por la Parte para asegurar que en 2023 volvería a cumplir esas medidas, </w:t>
      </w:r>
    </w:p>
    <w:p w14:paraId="3AA51F80"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Haciendo notar con preocupación</w:t>
      </w:r>
      <w:r w:rsidRPr="00A84A5B">
        <w:rPr>
          <w:lang w:val="es-ES_tradnl"/>
        </w:rPr>
        <w:t xml:space="preserve"> que la República Popular Democrática de Corea notificó, con respecto a 2021, una producción anual de 24,81 toneladas de potencial de agotamiento del ozono (toneladas PAO) de hidroclorofluorocarbonos y un consumo anual de 58,03 toneladas PAO de hidroclorofluorocarbonos, cifras que exceden su compromiso, expuesto en la decisión XXXII/6, de reducir su producción y consumo de hidroclorofluorocarbonos a no más de 24,80 toneladas PAO y 58,00 toneladas PAO, respectivamente,</w:t>
      </w:r>
    </w:p>
    <w:p w14:paraId="6BB6547A" w14:textId="13BF5255"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lastRenderedPageBreak/>
        <w:t xml:space="preserve">Haciendo notar con preocupación también </w:t>
      </w:r>
      <w:r w:rsidRPr="00A84A5B">
        <w:rPr>
          <w:lang w:val="es-ES_tradnl"/>
        </w:rPr>
        <w:t>que la República Popular Democrática de Corea notificó, con respecto a 2023, una producción anual de 24,77 toneladas PAO de hidroclorofluorocarbonos y un consumo anual de 57,76 toneladas PAO de hidroclorofluorocarbonos, cifras que exceden su compromiso, expuesto en la decisión XXXII/6, de reducir su producción y consumo de hidroclorofluorocarbonos a no más de 0 toneladas PAO y 33,20 toneladas PAO, respectivamente,</w:t>
      </w:r>
    </w:p>
    <w:p w14:paraId="4CD3CA80" w14:textId="2DC642AC"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Haciendo notar con preocupación además</w:t>
      </w:r>
      <w:r w:rsidRPr="00A84A5B">
        <w:rPr>
          <w:lang w:val="es-ES_tradnl"/>
        </w:rPr>
        <w:t xml:space="preserve"> que la República Popular Democrática de Corea notificó, con respecto a 2024, una producción anual de 21,61 toneladas PAO de hidroclorofluorocarbonos y un consumo anual de 51,43 toneladas PAO de hidroclorofluorocarbonos, cifras que exceden su compromiso, expuesto en la decisión XXXII/6, de reducir su producción y consumo de hidroclorofluorocarbonos a no más de 17,9 toneladas PAO y 50,7 toneladas PAO, respectivamente,</w:t>
      </w:r>
    </w:p>
    <w:p w14:paraId="740C65D7"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Haciendo notar con grave preocupación</w:t>
      </w:r>
      <w:r w:rsidRPr="00A84A5B">
        <w:rPr>
          <w:lang w:val="es-ES_tradnl"/>
        </w:rPr>
        <w:t xml:space="preserve"> que, a pesar de las varias solicitudes formuladas por el Comité de Aplicación establecido con arreglo al Procedimiento relativo al Incumplimiento del Protocolo de Montreal en sus recomendaciones 68/4, 69/4, 70/2, 72/3 y 74/2 y de los repetidos recordatorios de la Secretaría del Ozono, la República Popular Democrática de Corea no ha ofrecido una explicación de las divergencias en los datos notificados para 2021, no ha presentado un plan de acción revisado para garantizar su retorno a una situación de cumplimiento y no ha presentado un informe sobre los progresos realizados hacia la implantación de más políticas nacionales que faciliten la eliminación de los hidroclorofluorocarbonos, como se le había instado a hacer en las decisiones XXXV/18 y XXXVI/16,</w:t>
      </w:r>
    </w:p>
    <w:p w14:paraId="1AABE50A" w14:textId="583E6464"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Haciendo notar con grave preocupación también</w:t>
      </w:r>
      <w:r w:rsidRPr="00A84A5B">
        <w:rPr>
          <w:lang w:val="es-ES_tradnl"/>
        </w:rPr>
        <w:t xml:space="preserve"> que la República Popular Democrática de Corea no ha facilitado una explicación sobre las divergencias en los datos comunicados para 2023 y</w:t>
      </w:r>
      <w:r w:rsidR="00F056BE">
        <w:rPr>
          <w:lang w:val="es-ES_tradnl"/>
        </w:rPr>
        <w:t> </w:t>
      </w:r>
      <w:r w:rsidRPr="00A84A5B">
        <w:rPr>
          <w:lang w:val="es-ES_tradnl"/>
        </w:rPr>
        <w:t>2024, como el Comité de Aplicación le había instado a hacer en su recomendación 74/2,</w:t>
      </w:r>
    </w:p>
    <w:p w14:paraId="4F7E74BE" w14:textId="657EA211"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Recordando </w:t>
      </w:r>
      <w:r w:rsidRPr="00A84A5B">
        <w:rPr>
          <w:lang w:val="es-ES_tradnl"/>
        </w:rPr>
        <w:t>las decisiones XXXII/6, XXXV/18 y XXXVI/16, en las que las Reuniones de las Partes formularon una advertencia a la República Popular Democrática de Corea, de conformidad con el punto B de la lista indicativa de medidas que podrían adoptarse en la Reunión de las Partes en lo referente al incumplimiento, en el sentido de que, si la República Popular Democrática de Corea no volvía a la situación de cumplimiento, las Partes considerarían medidas coherentes con el punto C de la lista indicativa de medidas, entre ellas las medidas previstas en virtud del artículo 4 del Protocolo de Montreal, tales como garantizar que cesase el suministro de HCFC, las sustancias objeto del incumplimiento, para que las Partes exportadoras no contribuyesen a una situación continuada de incumplimiento;</w:t>
      </w:r>
    </w:p>
    <w:p w14:paraId="41517B22"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Decide:</w:t>
      </w:r>
    </w:p>
    <w:p w14:paraId="6DEDA695" w14:textId="40FA7730" w:rsidR="003E09D8" w:rsidRPr="00A84A5B" w:rsidRDefault="003E09D8" w:rsidP="003E09D8">
      <w:pPr>
        <w:pStyle w:val="NormalNonumber"/>
        <w:numPr>
          <w:ilvl w:val="0"/>
          <w:numId w:val="307"/>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 fin de ayudar a la República Popular Democrática de Corea a retornar a una situación de cumplimiento de las medidas de control de los hidroclorofluorocarbonos con arreglo al Protocolo de Montreal, acordar la suspensión (de conformidad con el punto C de la lista indicativa de medidas que podría adoptar la Reunión de las Partes respecto del incumplimiento del Protocolo) de los derechos y privilegios de las Partes en el Protocolo relativos al comercio de hidroclorofluorocarbonos –las sustancias que son objeto del incumplimiento– entre la República Popular Democrática de Corea y otras Partes en el Protocolo, de forma que no se permita dicho comercio en virtud del Protocolo;</w:t>
      </w:r>
    </w:p>
    <w:p w14:paraId="511C9D29" w14:textId="3E64C937" w:rsidR="003E09D8" w:rsidRPr="00A84A5B" w:rsidRDefault="003E09D8" w:rsidP="003E09D8">
      <w:pPr>
        <w:pStyle w:val="NormalNonumber"/>
        <w:numPr>
          <w:ilvl w:val="0"/>
          <w:numId w:val="307"/>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Que la suspensión del comercio a que se alude en el párrafo 1 se mantendrá hasta el momento en que la República Popular Democrática de Corea vuelva a una situación de cumplimiento respecto de las medidas de control de los hidroclorofluorocarbonos con arreglo al Protocolo de Montreal, según lo recomendado por el Comité de Aplicación sobre la base de los datos comunicados en virtud del artículo 7, o hasta que la Reunión de las Partes decida otra cosa.</w:t>
      </w:r>
    </w:p>
    <w:p w14:paraId="29D1E5A2" w14:textId="28AF1E71" w:rsidR="00435F9F" w:rsidRPr="00A84A5B" w:rsidRDefault="00F056BE" w:rsidP="00F056BE">
      <w:pPr>
        <w:pStyle w:val="CH2"/>
        <w:rPr>
          <w:lang w:val="es-ES_tradnl"/>
        </w:rPr>
      </w:pPr>
      <w:r w:rsidRPr="008353E4">
        <w:rPr>
          <w:lang w:val="fr-FR"/>
        </w:rPr>
        <w:tab/>
        <w:t>C.</w:t>
      </w:r>
      <w:r w:rsidRPr="008353E4">
        <w:rPr>
          <w:lang w:val="fr-FR"/>
        </w:rPr>
        <w:tab/>
      </w:r>
      <w:r w:rsidR="00435F9F" w:rsidRPr="00A84A5B">
        <w:rPr>
          <w:bCs/>
          <w:lang w:val="es-ES_tradnl"/>
        </w:rPr>
        <w:t>Proyecto de decisión XXXVII</w:t>
      </w:r>
      <w:proofErr w:type="gramStart"/>
      <w:r w:rsidR="00435F9F" w:rsidRPr="00A84A5B">
        <w:rPr>
          <w:bCs/>
          <w:lang w:val="es-ES_tradnl"/>
        </w:rPr>
        <w:t>/[</w:t>
      </w:r>
      <w:proofErr w:type="gramEnd"/>
      <w:r w:rsidR="00435F9F" w:rsidRPr="00A84A5B">
        <w:rPr>
          <w:bCs/>
          <w:lang w:val="es-ES_tradnl"/>
        </w:rPr>
        <w:t>--</w:t>
      </w:r>
      <w:proofErr w:type="gramStart"/>
      <w:r w:rsidR="00435F9F" w:rsidRPr="00A84A5B">
        <w:rPr>
          <w:bCs/>
          <w:lang w:val="es-ES_tradnl"/>
        </w:rPr>
        <w:t>]:</w:t>
      </w:r>
      <w:proofErr w:type="gramEnd"/>
      <w:r w:rsidR="00435F9F" w:rsidRPr="00A84A5B">
        <w:rPr>
          <w:bCs/>
          <w:lang w:val="es-ES_tradnl"/>
        </w:rPr>
        <w:t xml:space="preserve"> cumplimiento por Libia de los compromisos contraídos en virtud de su plan de acción para volver a la situación de cumplimiento</w:t>
      </w:r>
    </w:p>
    <w:p w14:paraId="7BA2BC64" w14:textId="229F660D" w:rsidR="003630BB" w:rsidRPr="00A84A5B" w:rsidRDefault="003630BB" w:rsidP="00435F9F">
      <w:pPr>
        <w:pStyle w:val="NormalNonumber"/>
        <w:tabs>
          <w:tab w:val="clear" w:pos="1247"/>
          <w:tab w:val="clear" w:pos="1871"/>
          <w:tab w:val="clear" w:pos="2495"/>
          <w:tab w:val="clear" w:pos="3119"/>
          <w:tab w:val="clear" w:pos="3742"/>
          <w:tab w:val="clear" w:pos="4366"/>
          <w:tab w:val="clear" w:pos="4990"/>
        </w:tabs>
        <w:spacing w:line="220" w:lineRule="atLeast"/>
        <w:ind w:firstLine="624"/>
        <w:rPr>
          <w:i/>
          <w:iCs/>
          <w:lang w:val="es-ES_tradnl"/>
        </w:rPr>
      </w:pPr>
      <w:r w:rsidRPr="00A84A5B">
        <w:rPr>
          <w:i/>
          <w:iCs/>
          <w:lang w:val="es-ES_tradnl"/>
        </w:rPr>
        <w:t>La 37ª Reunión de las Partes,</w:t>
      </w:r>
    </w:p>
    <w:p w14:paraId="74634FAA" w14:textId="11B58457" w:rsidR="00435F9F" w:rsidRPr="00A84A5B" w:rsidRDefault="00435F9F" w:rsidP="00435F9F">
      <w:pPr>
        <w:pStyle w:val="NormalNonumber"/>
        <w:tabs>
          <w:tab w:val="clear" w:pos="1247"/>
          <w:tab w:val="clear" w:pos="1871"/>
          <w:tab w:val="clear" w:pos="2495"/>
          <w:tab w:val="clear" w:pos="3119"/>
          <w:tab w:val="clear" w:pos="3742"/>
          <w:tab w:val="clear" w:pos="4366"/>
          <w:tab w:val="clear" w:pos="4990"/>
        </w:tabs>
        <w:spacing w:line="220" w:lineRule="atLeast"/>
        <w:ind w:firstLine="624"/>
        <w:rPr>
          <w:lang w:val="es-ES_tradnl"/>
        </w:rPr>
      </w:pPr>
      <w:r w:rsidRPr="00A84A5B">
        <w:rPr>
          <w:i/>
          <w:iCs/>
          <w:lang w:val="es-ES_tradnl"/>
        </w:rPr>
        <w:t xml:space="preserve">Observando </w:t>
      </w:r>
      <w:r w:rsidRPr="00A84A5B">
        <w:rPr>
          <w:lang w:val="es-ES_tradnl"/>
        </w:rPr>
        <w:t>que Libia presentó un plan de acción para garantizar su vuelta a una situación de cumplimiento respecto de las medidas de control del consumo de hidroclorofluorocarbonos en virtud del Protocolo de Montreal relativo a las Sustancias que Agotan la Capa de Ozono en 2022 y años posteriores, tal como señaló la 27ª Reunión de las Partes en su decisión XXVII/11,</w:t>
      </w:r>
    </w:p>
    <w:p w14:paraId="20F42877" w14:textId="77777777" w:rsidR="00435F9F" w:rsidRPr="00A84A5B" w:rsidRDefault="00435F9F" w:rsidP="00435F9F">
      <w:pPr>
        <w:pStyle w:val="NormalNonumber"/>
        <w:tabs>
          <w:tab w:val="clear" w:pos="1247"/>
          <w:tab w:val="clear" w:pos="1871"/>
          <w:tab w:val="clear" w:pos="2495"/>
          <w:tab w:val="clear" w:pos="3119"/>
          <w:tab w:val="clear" w:pos="3742"/>
          <w:tab w:val="clear" w:pos="4366"/>
          <w:tab w:val="clear" w:pos="4990"/>
        </w:tabs>
        <w:spacing w:line="220" w:lineRule="atLeast"/>
        <w:ind w:firstLine="624"/>
        <w:rPr>
          <w:lang w:val="es-ES_tradnl"/>
        </w:rPr>
      </w:pPr>
      <w:r w:rsidRPr="00A84A5B">
        <w:rPr>
          <w:i/>
          <w:iCs/>
          <w:lang w:val="es-ES_tradnl"/>
        </w:rPr>
        <w:t xml:space="preserve">Observando también </w:t>
      </w:r>
      <w:r w:rsidRPr="00A84A5B">
        <w:rPr>
          <w:lang w:val="es-ES_tradnl"/>
        </w:rPr>
        <w:t xml:space="preserve">que el plan de acción presentado por Libia incluía el compromiso de vigilar la puesta en vigor de su sistema de concesión de licencias de importación y exportación de </w:t>
      </w:r>
      <w:r w:rsidRPr="00A84A5B">
        <w:rPr>
          <w:lang w:val="es-ES_tradnl"/>
        </w:rPr>
        <w:lastRenderedPageBreak/>
        <w:t>sustancias que agotan el ozono, así como de imponer una prohibición de la adquisición de equipos de aire acondicionado que contuviesen hidroclorofluorocarbonos en el futuro cercano y estudiar la posibilidad de prohibir la importación de ese tipo de equipo,</w:t>
      </w:r>
    </w:p>
    <w:p w14:paraId="51C132DF" w14:textId="77777777" w:rsidR="00435F9F" w:rsidRPr="00A84A5B" w:rsidRDefault="00435F9F" w:rsidP="00435F9F">
      <w:pPr>
        <w:pStyle w:val="NormalNonumber"/>
        <w:tabs>
          <w:tab w:val="clear" w:pos="1247"/>
          <w:tab w:val="clear" w:pos="1871"/>
          <w:tab w:val="clear" w:pos="2495"/>
          <w:tab w:val="clear" w:pos="3119"/>
          <w:tab w:val="clear" w:pos="3742"/>
          <w:tab w:val="clear" w:pos="4366"/>
          <w:tab w:val="clear" w:pos="4990"/>
        </w:tabs>
        <w:spacing w:line="220" w:lineRule="atLeast"/>
        <w:ind w:firstLine="624"/>
        <w:rPr>
          <w:lang w:val="es-ES_tradnl"/>
        </w:rPr>
      </w:pPr>
      <w:r w:rsidRPr="00A84A5B">
        <w:rPr>
          <w:i/>
          <w:iCs/>
          <w:lang w:val="es-ES_tradnl"/>
        </w:rPr>
        <w:t>Observando además</w:t>
      </w:r>
      <w:r w:rsidRPr="00A84A5B">
        <w:rPr>
          <w:lang w:val="es-ES_tradnl"/>
        </w:rPr>
        <w:t xml:space="preserve"> que Libia se ha atenido a los compromisos contraídos en virtud de su plan de acción para volver a la situación de cumplimiento, como se señala en la decisión XXVII/11,</w:t>
      </w:r>
    </w:p>
    <w:p w14:paraId="7BC98673" w14:textId="77777777" w:rsidR="00435F9F" w:rsidRPr="00A84A5B" w:rsidRDefault="00435F9F" w:rsidP="00435F9F">
      <w:pPr>
        <w:pStyle w:val="NormalNonumber"/>
        <w:tabs>
          <w:tab w:val="clear" w:pos="1247"/>
          <w:tab w:val="clear" w:pos="1871"/>
          <w:tab w:val="clear" w:pos="2495"/>
          <w:tab w:val="clear" w:pos="3119"/>
          <w:tab w:val="clear" w:pos="3742"/>
          <w:tab w:val="clear" w:pos="4366"/>
          <w:tab w:val="clear" w:pos="4990"/>
        </w:tabs>
        <w:spacing w:line="220" w:lineRule="atLeast"/>
        <w:ind w:firstLine="624"/>
        <w:rPr>
          <w:lang w:val="es-ES_tradnl"/>
        </w:rPr>
      </w:pPr>
      <w:bookmarkStart w:id="27" w:name="_Hlk212155491"/>
      <w:r w:rsidRPr="00A84A5B">
        <w:rPr>
          <w:i/>
          <w:iCs/>
          <w:lang w:val="es-ES_tradnl"/>
        </w:rPr>
        <w:t>Decide:</w:t>
      </w:r>
    </w:p>
    <w:bookmarkEnd w:id="27"/>
    <w:p w14:paraId="7D37EA20" w14:textId="63BB3DE2" w:rsidR="00435F9F" w:rsidRPr="00A84A5B" w:rsidRDefault="00435F9F" w:rsidP="00435F9F">
      <w:pPr>
        <w:pStyle w:val="NormalNonumber"/>
        <w:numPr>
          <w:ilvl w:val="0"/>
          <w:numId w:val="306"/>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Que no es necesario seguir adoptando medidas, habida cuenta de que la Parte ha retornado a una situación de cumplimiento en relación con las medidas de control de los hidroclorofluorocarbonos en virtud del Protocolo de Montreal y los compromisos adicionales recogidos en su plan de acción para velar por su retorno a una situación de cumplimiento;</w:t>
      </w:r>
    </w:p>
    <w:p w14:paraId="651DD3AB" w14:textId="7D9A2F65" w:rsidR="00435F9F" w:rsidRPr="00A84A5B" w:rsidRDefault="00435F9F" w:rsidP="00435F9F">
      <w:pPr>
        <w:pStyle w:val="NormalNonumber"/>
        <w:numPr>
          <w:ilvl w:val="0"/>
          <w:numId w:val="306"/>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Instar a la Parte a que siga cumpliendo sus obligaciones en virtud del Protocolo de</w:t>
      </w:r>
      <w:r w:rsidR="00F056BE">
        <w:rPr>
          <w:lang w:val="es-ES_tradnl"/>
        </w:rPr>
        <w:t> </w:t>
      </w:r>
      <w:r w:rsidRPr="00A84A5B">
        <w:rPr>
          <w:lang w:val="es-ES_tradnl"/>
        </w:rPr>
        <w:t>Montreal.</w:t>
      </w:r>
    </w:p>
    <w:p w14:paraId="0415EFD0" w14:textId="3DEC3E28" w:rsidR="003E09D8" w:rsidRPr="00A84A5B" w:rsidRDefault="00F056BE" w:rsidP="00F056BE">
      <w:pPr>
        <w:pStyle w:val="CH2"/>
        <w:rPr>
          <w:lang w:val="es-ES_tradnl"/>
        </w:rPr>
      </w:pPr>
      <w:r w:rsidRPr="008353E4">
        <w:rPr>
          <w:lang w:val="fr-FR"/>
        </w:rPr>
        <w:tab/>
        <w:t>D.</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incumplimiento del Protocolo de Montreal por San Vicente y las Granadinas</w:t>
      </w:r>
    </w:p>
    <w:p w14:paraId="2107BAED" w14:textId="77777777" w:rsidR="00004BE9" w:rsidRPr="00A84A5B" w:rsidRDefault="00004BE9" w:rsidP="003E09D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36C96407" w14:textId="073AB4B4"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Observando </w:t>
      </w:r>
      <w:r w:rsidRPr="00A84A5B">
        <w:rPr>
          <w:lang w:val="es-ES_tradnl"/>
        </w:rPr>
        <w:t>que San Vicente y las Granadinas accedió al Protocolo de Montreal relativo a las Sustancias que Agotan la Capa de Ozono, a la Enmienda de Londres y a la Enmienda de Copenhague el 2 de diciembre de 1996 y a la Enmienda de Montreal y la Enmienda de Beijing el 11 de mayo de</w:t>
      </w:r>
      <w:r w:rsidR="00F056BE">
        <w:rPr>
          <w:lang w:val="es-ES_tradnl"/>
        </w:rPr>
        <w:t> </w:t>
      </w:r>
      <w:r w:rsidRPr="00A84A5B">
        <w:rPr>
          <w:lang w:val="es-ES_tradnl"/>
        </w:rPr>
        <w:t>2009, que ratificó la Enmienda de Kigali el 7 de noviembre de 2022 y que está clasificado como Parte que opera al amparo del párrafo 1 del artículo 5 del Protocolo,</w:t>
      </w:r>
      <w:bookmarkStart w:id="28" w:name="_Hlk212834015"/>
      <w:bookmarkEnd w:id="28"/>
    </w:p>
    <w:p w14:paraId="670F2D0B"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Observando también </w:t>
      </w:r>
      <w:r w:rsidRPr="00A84A5B">
        <w:rPr>
          <w:lang w:val="es-ES_tradnl"/>
        </w:rPr>
        <w:t>que el Comité Ejecutivo del Fondo Multilateral para la Aplicación del Protocolo de Montreal ha aprobado 1.780.193 dólares con cargo al Fondo Multilateral, de conformidad con el artículo 10 del Protocolo, a fin de que San Vicente y las Granadinas pueda lograr el cumplimiento del Protocolo,</w:t>
      </w:r>
    </w:p>
    <w:p w14:paraId="4C3FEA4B"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Observando además</w:t>
      </w:r>
      <w:r w:rsidRPr="00A84A5B">
        <w:rPr>
          <w:lang w:val="es-ES_tradnl"/>
        </w:rPr>
        <w:t xml:space="preserve"> que el consumo anual de 45.975 toneladas de CO</w:t>
      </w:r>
      <w:r w:rsidRPr="005B1EEB">
        <w:rPr>
          <w:vertAlign w:val="subscript"/>
          <w:lang w:val="es-ES_tradnl"/>
        </w:rPr>
        <w:t>2</w:t>
      </w:r>
      <w:r w:rsidRPr="00A84A5B">
        <w:rPr>
          <w:lang w:val="es-ES_tradnl"/>
        </w:rPr>
        <w:t xml:space="preserve"> equivalente de las sustancias controladas que figuran en el anexo F del Protocolo de Montreal (hidrofluorocarbonos) notificado por San Vicente y las Granadinas para 2024 supera el consumo máximo autorizado para la Parte de 25.280 toneladas de CO</w:t>
      </w:r>
      <w:r w:rsidRPr="00A84A5B">
        <w:rPr>
          <w:vertAlign w:val="subscript"/>
          <w:lang w:val="es-ES_tradnl"/>
        </w:rPr>
        <w:t>2</w:t>
      </w:r>
      <w:r w:rsidRPr="00A84A5B">
        <w:rPr>
          <w:lang w:val="es-ES_tradnl"/>
        </w:rPr>
        <w:t xml:space="preserve"> equivalente de sustancias controladas para ese año y que, por consiguiente, la Parte incumple las medidas de control del consumo de hidrofluorocarbonos previstas en el Protocolo de Montreal,</w:t>
      </w:r>
      <w:bookmarkStart w:id="29" w:name="_Hlk212159668"/>
      <w:bookmarkEnd w:id="29"/>
    </w:p>
    <w:p w14:paraId="4B0C1D48"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Decide:</w:t>
      </w:r>
    </w:p>
    <w:p w14:paraId="2ACC2B6C" w14:textId="77777777"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Tomar nota con aprecio de la presentación por San Vicente y las Granadinas de una explicación de su incumplimiento y de un plan de acción para garantizar su vuelta a una situación de cumplimiento respecto de las medidas de control del consumo de hidrofluorocarbonos del Protocolo de Montreal relativo a las Sustancias que Agotan la Capa de Ozono en 2035;</w:t>
      </w:r>
    </w:p>
    <w:p w14:paraId="75AAA705" w14:textId="77777777"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Tomar nota de que el plan de acción presentado incluye un plazo prolongado para que la parte vuelva a una situación de cumplimiento;</w:t>
      </w:r>
    </w:p>
    <w:p w14:paraId="2ED67463" w14:textId="6239DA0E"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Solicitar a San Vicente y las Granadinas que presente un plan de acción revisado una vez que su plan de ejecución de las actividades relativas a los hidrofluorocarbonos conforme a la Enmienda de Kigali haya sido aprobado por el Comité Ejecutivo del Fondo Multilateral para la Aplicación del Protocolo de Montreal;</w:t>
      </w:r>
    </w:p>
    <w:p w14:paraId="743BC052" w14:textId="77777777"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Instar a San Vicente y las Granadinas a trabajar con los organismos de ejecución pertinentes en la elaboración de su plan de acción para reducir el consumo y la producción de hidrofluorocarbonos;</w:t>
      </w:r>
    </w:p>
    <w:p w14:paraId="334DF922" w14:textId="77777777"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Seguir de cerca los adelantos logrados por San Vicente y las Granadinas en el cumplimiento de sus obligaciones en virtud del Protocolo de Montreal. En la medida en que la Parte procure cumplir y cumpla las medidas de control específicas previstas en el Protocolo, deberá seguir recibiendo el mismo trato que las Partes que cumplen sus obligaciones. En este sentido, San Vicente y las Granadinas debería seguir recibiendo asistencia internacional para poder cumplir sus compromisos de conformidad con el punto A de la lista indicativa de medidas que la Reunión de las Partes podría adoptar con respecto al incumplimiento;</w:t>
      </w:r>
    </w:p>
    <w:p w14:paraId="515B640B" w14:textId="77777777" w:rsidR="003E09D8" w:rsidRPr="00A84A5B" w:rsidRDefault="003E09D8" w:rsidP="003E09D8">
      <w:pPr>
        <w:pStyle w:val="NormalNonumber"/>
        <w:numPr>
          <w:ilvl w:val="0"/>
          <w:numId w:val="309"/>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Advertir a San Vicente y las Granadinas de que, de conformidad con el punto B de la lista indicativa de medidas que puede adoptar la Reunión de las Partes con respecto al incumplimiento, </w:t>
      </w:r>
      <w:r w:rsidRPr="00A84A5B">
        <w:rPr>
          <w:lang w:val="es-ES_tradnl"/>
        </w:rPr>
        <w:lastRenderedPageBreak/>
        <w:t>en caso de que San Vicente y las Granadinas no retorne a una situación de cumplimiento, las Partes considerarán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p>
    <w:p w14:paraId="3A19D9E8" w14:textId="7DC4CDE4" w:rsidR="003E09D8" w:rsidRPr="00A84A5B" w:rsidRDefault="005B1EEB" w:rsidP="005B1EEB">
      <w:pPr>
        <w:pStyle w:val="CH2"/>
        <w:rPr>
          <w:lang w:val="es-ES_tradnl"/>
        </w:rPr>
      </w:pPr>
      <w:bookmarkStart w:id="30" w:name="_Hlk212847520"/>
      <w:r w:rsidRPr="008353E4">
        <w:rPr>
          <w:lang w:val="fr-FR"/>
        </w:rPr>
        <w:tab/>
        <w:t>E.</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incumplimiento del Protocolo de Montreal por Tayikistán</w:t>
      </w:r>
    </w:p>
    <w:bookmarkEnd w:id="30"/>
    <w:p w14:paraId="18A86CF6" w14:textId="77777777" w:rsidR="00000EB8" w:rsidRPr="00A84A5B" w:rsidRDefault="00000EB8" w:rsidP="00000EB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24725F0B" w14:textId="76F8351A" w:rsidR="003E09D8" w:rsidRPr="00A84A5B"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Observando </w:t>
      </w:r>
      <w:r w:rsidRPr="00A84A5B">
        <w:rPr>
          <w:lang w:val="es-ES_tradnl"/>
        </w:rPr>
        <w:t>que Tayikistán accedió al Protocolo de Montreal relativo a las Sustancias que Agotan la Capa de Ozono y a la Enmienda de Londres el 7 de enero de 1998, y a la Enmienda de Copenhague, la Enmienda de Montreal y la Enmienda de Beijing el 7 de mayo de 2009, que ratificó la</w:t>
      </w:r>
      <w:r w:rsidR="005B1EEB">
        <w:rPr>
          <w:lang w:val="es-ES_tradnl"/>
        </w:rPr>
        <w:t> </w:t>
      </w:r>
      <w:r w:rsidRPr="00A84A5B">
        <w:rPr>
          <w:lang w:val="es-ES_tradnl"/>
        </w:rPr>
        <w:t>Enmienda de Kigali el 29 de junio de 2022 y que está clasificado como Parte que no opera al amparo del párrafo 1 del artículo 5 del Protocolo,</w:t>
      </w:r>
    </w:p>
    <w:p w14:paraId="52B4EF34" w14:textId="77777777" w:rsidR="003E09D8" w:rsidRPr="00A84A5B"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Observando también</w:t>
      </w:r>
      <w:r w:rsidRPr="00A84A5B">
        <w:rPr>
          <w:lang w:val="es-ES_tradnl"/>
        </w:rPr>
        <w:t xml:space="preserve"> que Tayikistán ha notificado, para 2023, un consumo anual de 457.613 toneladas de CO</w:t>
      </w:r>
      <w:r w:rsidRPr="00A84A5B">
        <w:rPr>
          <w:vertAlign w:val="subscript"/>
          <w:lang w:val="es-ES_tradnl"/>
        </w:rPr>
        <w:t>2</w:t>
      </w:r>
      <w:r w:rsidRPr="00A84A5B">
        <w:rPr>
          <w:lang w:val="es-ES_tradnl"/>
        </w:rPr>
        <w:t xml:space="preserve"> equivalente de las sustancias controladas que figuran en el anexo F del Protocolo de Montreal (hidrofluorocarbonos), lo que supera el consumo máximo autorizado para la Parte de 424.270 toneladas de CO</w:t>
      </w:r>
      <w:r w:rsidRPr="00A84A5B">
        <w:rPr>
          <w:vertAlign w:val="subscript"/>
          <w:lang w:val="es-ES_tradnl"/>
        </w:rPr>
        <w:t>2</w:t>
      </w:r>
      <w:r w:rsidRPr="00A84A5B">
        <w:rPr>
          <w:lang w:val="es-ES_tradnl"/>
        </w:rPr>
        <w:t xml:space="preserve"> equivalente de hidrofluorocarbonos para 2023, y que, por consiguiente, Tayikistán incumple las medidas de control del consumo de hidrofluorocarbonos previstas en el Protocolo de Montreal,</w:t>
      </w:r>
    </w:p>
    <w:p w14:paraId="02497F4D"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lang w:val="es-ES_tradnl"/>
        </w:rPr>
      </w:pPr>
      <w:r w:rsidRPr="00A84A5B">
        <w:rPr>
          <w:i/>
          <w:iCs/>
          <w:lang w:val="es-ES_tradnl"/>
        </w:rPr>
        <w:t>Decide:</w:t>
      </w:r>
    </w:p>
    <w:p w14:paraId="58A5658B" w14:textId="77777777" w:rsidR="003E09D8" w:rsidRPr="00A84A5B" w:rsidRDefault="003E09D8" w:rsidP="003E09D8">
      <w:pPr>
        <w:pStyle w:val="NormalNonumber"/>
        <w:numPr>
          <w:ilvl w:val="0"/>
          <w:numId w:val="310"/>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Solicitar a Tayikistán que presente a la Secretaría del Ozono, con carácter urgente y no más tarde del 31 de marzo de 2026, para su examen por el Comité de Aplicación establecido con arreglo al Procedimiento relativo al Incumplimiento del Protocolo de Montreal relativo a las Sustancias que Agotan la Capa de Ozono en su 76ª reunión, un plan de acción con parámetros de referencia y plazos específicos que asegure el rápido retorno de la Parte a una situación de cumplimiento respecto de sus obligaciones en materia de hidrofluorocarbonos en virtud del Protocolo, así como las medidas específicas que adoptará en apoyo de sus esfuerzos de aplicación;</w:t>
      </w:r>
    </w:p>
    <w:p w14:paraId="5C3564A8" w14:textId="01CAB68E" w:rsidR="003E09D8" w:rsidRPr="00A84A5B" w:rsidRDefault="003E09D8" w:rsidP="003E09D8">
      <w:pPr>
        <w:pStyle w:val="NormalNonumber"/>
        <w:numPr>
          <w:ilvl w:val="0"/>
          <w:numId w:val="310"/>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Seguir de cerca los adelantos logrados por Tayikistán respecto de la reducción de los hidrofluorocarbonos. En la medida en que Tayikistán procure cumplir y cumpla las medidas de control específicas previstas en el Protocolo de Montreal,</w:t>
      </w:r>
      <w:r w:rsidR="001C7B01" w:rsidRPr="00A84A5B">
        <w:rPr>
          <w:lang w:val="es-ES_tradnl"/>
        </w:rPr>
        <w:t xml:space="preserve"> el país</w:t>
      </w:r>
      <w:r w:rsidRPr="00A84A5B">
        <w:rPr>
          <w:lang w:val="es-ES_tradnl"/>
        </w:rPr>
        <w:t xml:space="preserve"> deberá seguir recibiendo el mismo trato que las Partes que cumplen sus obligaciones. En este sentido, Tayikistán debería seguir recibiendo asistencia internacional para poder cumplir sus compromisos de conformidad con el punto A de la lista indicativa de medidas que la Reunión de las Partes podría adoptar con respecto al incumplimiento;</w:t>
      </w:r>
    </w:p>
    <w:p w14:paraId="076365BD" w14:textId="3E813546" w:rsidR="003E09D8" w:rsidRPr="00A84A5B" w:rsidRDefault="003E09D8" w:rsidP="003E09D8">
      <w:pPr>
        <w:pStyle w:val="NormalNonumber"/>
        <w:numPr>
          <w:ilvl w:val="0"/>
          <w:numId w:val="310"/>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Advertir a Tayikistán de que, de conformidad con el punto B de la lista indicativa de medidas, en caso de que no retorne a una situación de cumplimiento a su debido tiempo, la Reunión de las Partes considerará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r w:rsidR="001C596D" w:rsidRPr="00A84A5B">
        <w:rPr>
          <w:lang w:val="es-ES_tradnl"/>
        </w:rPr>
        <w:t>.</w:t>
      </w:r>
    </w:p>
    <w:p w14:paraId="0B42BBEF" w14:textId="329982C7" w:rsidR="003E09D8" w:rsidRPr="00A84A5B" w:rsidRDefault="005B1EEB" w:rsidP="005B1EEB">
      <w:pPr>
        <w:pStyle w:val="CH2"/>
        <w:rPr>
          <w:lang w:val="es-ES_tradnl"/>
        </w:rPr>
      </w:pPr>
      <w:r w:rsidRPr="008353E4">
        <w:rPr>
          <w:lang w:val="fr-FR"/>
        </w:rPr>
        <w:tab/>
        <w:t>F.</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incumplimiento del Protocolo de Montreal por Zambia</w:t>
      </w:r>
    </w:p>
    <w:p w14:paraId="0990BB02" w14:textId="77777777" w:rsidR="00F800CA" w:rsidRPr="00A84A5B" w:rsidRDefault="00F800CA" w:rsidP="00F800CA">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5222A75B"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Observando </w:t>
      </w:r>
      <w:r w:rsidRPr="00A84A5B">
        <w:rPr>
          <w:lang w:val="es-ES_tradnl"/>
        </w:rPr>
        <w:t>que Zambia accedió al Protocolo de Montreal relativo a las Sustancias que Agotan la Capa de Ozono el 24 de enero de 1990, ratificó la Enmienda de Londres el 15 de abril de 1994 y accedió a la Enmienda de Copenhague, la Enmienda de Montreal y la Enmienda de Beijing el 11 de octubre de 2007, que ratificó la Enmienda de Kigali el 15 de marzo de 2021 y que está clasificado como Parte que opera al amparo del párrafo 1 del artículo 5 del Protocolo,</w:t>
      </w:r>
    </w:p>
    <w:p w14:paraId="167B3443" w14:textId="1094AFA2"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Observando también</w:t>
      </w:r>
      <w:r w:rsidRPr="00A84A5B">
        <w:rPr>
          <w:lang w:val="es-ES_tradnl"/>
        </w:rPr>
        <w:t xml:space="preserve"> que Zambia ha notificado, para 2024, un consumo anual de 857.857 toneladas de CO</w:t>
      </w:r>
      <w:r w:rsidRPr="00A84A5B">
        <w:rPr>
          <w:vertAlign w:val="subscript"/>
          <w:lang w:val="es-ES_tradnl"/>
        </w:rPr>
        <w:t>2</w:t>
      </w:r>
      <w:r w:rsidRPr="00A84A5B">
        <w:rPr>
          <w:lang w:val="es-ES_tradnl"/>
        </w:rPr>
        <w:t xml:space="preserve"> equivalente de las sustancias controladas que figuran en el anexo F del Protocolo de</w:t>
      </w:r>
      <w:r w:rsidR="00D12B17">
        <w:rPr>
          <w:lang w:val="es-ES_tradnl"/>
        </w:rPr>
        <w:t> </w:t>
      </w:r>
      <w:r w:rsidRPr="00A84A5B">
        <w:rPr>
          <w:lang w:val="es-ES_tradnl"/>
        </w:rPr>
        <w:t>Montreal (hidrofluorocarbonos), lo que supera el consumo máximo autorizado para la Parte de 699.513 toneladas de CO</w:t>
      </w:r>
      <w:r w:rsidRPr="00A84A5B">
        <w:rPr>
          <w:vertAlign w:val="subscript"/>
          <w:lang w:val="es-ES_tradnl"/>
        </w:rPr>
        <w:t>2</w:t>
      </w:r>
      <w:r w:rsidRPr="00A84A5B">
        <w:rPr>
          <w:lang w:val="es-ES_tradnl"/>
        </w:rPr>
        <w:t xml:space="preserve"> equivalente de hidrofluorocarbonos para 2024, y que, por consiguiente, Zambia incumple las medidas de control del consumo de hidrofluorocarbonos previstas en el Protocolo de Montreal,</w:t>
      </w:r>
    </w:p>
    <w:p w14:paraId="367352C6" w14:textId="77777777" w:rsidR="005B1EEB" w:rsidRDefault="005B1EEB">
      <w:pPr>
        <w:tabs>
          <w:tab w:val="clear" w:pos="1247"/>
          <w:tab w:val="clear" w:pos="1814"/>
          <w:tab w:val="clear" w:pos="2381"/>
          <w:tab w:val="clear" w:pos="2948"/>
          <w:tab w:val="clear" w:pos="3515"/>
        </w:tabs>
        <w:spacing w:after="160" w:line="259" w:lineRule="auto"/>
        <w:rPr>
          <w:i/>
          <w:iCs/>
          <w:lang w:val="es-ES_tradnl"/>
        </w:rPr>
      </w:pPr>
      <w:r>
        <w:rPr>
          <w:i/>
          <w:iCs/>
          <w:lang w:val="es-ES_tradnl"/>
        </w:rPr>
        <w:br w:type="page"/>
      </w:r>
    </w:p>
    <w:p w14:paraId="0F90BEE4" w14:textId="54FE2F8F"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lang w:val="es-ES_tradnl"/>
        </w:rPr>
      </w:pPr>
      <w:r w:rsidRPr="00A84A5B">
        <w:rPr>
          <w:i/>
          <w:iCs/>
          <w:lang w:val="es-ES_tradnl"/>
        </w:rPr>
        <w:lastRenderedPageBreak/>
        <w:t>Decide:</w:t>
      </w:r>
    </w:p>
    <w:p w14:paraId="3EF7EE6B" w14:textId="77777777" w:rsidR="003E09D8" w:rsidRPr="00A84A5B" w:rsidRDefault="003E09D8" w:rsidP="003E09D8">
      <w:pPr>
        <w:pStyle w:val="NormalNonumber"/>
        <w:numPr>
          <w:ilvl w:val="0"/>
          <w:numId w:val="311"/>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Instar a Zambia a que ofrezca una explicación de esa divergencia con carácter urgente, no más tarde del 31 de marzo de 2026, y, si procede, a que presente antes de esa fecha un plan de acción con parámetros de referencia y plazos específicos que asegure el rápido retorno de la Parte a una situación de cumplimiento respecto de sus obligaciones en materia de hidrofluorocarbonos en virtud del Protocolo de Montreal relativo a las Sustancias que Agotan la Capa de Ozono, así como las medidas específicas que adoptará en apoyo de sus esfuerzos de aplicación, para su examen por el Comité de Aplicación establecido con arreglo al Procedimiento relativo al Incumplimiento del Protocolo de Montreal en su 76ª reunión;</w:t>
      </w:r>
    </w:p>
    <w:p w14:paraId="4882648C" w14:textId="77777777" w:rsidR="003E09D8" w:rsidRPr="00A84A5B" w:rsidRDefault="003E09D8" w:rsidP="003E09D8">
      <w:pPr>
        <w:pStyle w:val="NormalNonumber"/>
        <w:numPr>
          <w:ilvl w:val="0"/>
          <w:numId w:val="311"/>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Seguir de cerca los adelantos logrados por Zambia respecto de la reducción de los hidrofluorocarbonos. En la medida en que Zambia procure cumplir y cumpla las medidas de control específicas previstas en el Protocolo de Montreal, deberá seguir recibiendo el mismo trato que las Partes que cumplen sus obligaciones. En este sentido, Zambia debería seguir recibiendo asistencia internacional para poder cumplir sus compromisos de conformidad con el punto A de la lista indicativa de medidas que la Reunión de las Partes podría adoptar con respecto al incumplimiento;</w:t>
      </w:r>
    </w:p>
    <w:p w14:paraId="4D583B5B" w14:textId="77777777" w:rsidR="003E09D8" w:rsidRPr="00A84A5B" w:rsidRDefault="003E09D8" w:rsidP="003E09D8">
      <w:pPr>
        <w:pStyle w:val="NormalNonumber"/>
        <w:numPr>
          <w:ilvl w:val="0"/>
          <w:numId w:val="311"/>
        </w:numPr>
        <w:tabs>
          <w:tab w:val="clear" w:pos="1247"/>
          <w:tab w:val="clear" w:pos="1871"/>
          <w:tab w:val="clear" w:pos="2495"/>
          <w:tab w:val="clear" w:pos="3119"/>
          <w:tab w:val="clear" w:pos="3742"/>
          <w:tab w:val="clear" w:pos="4366"/>
          <w:tab w:val="clear" w:pos="4990"/>
        </w:tabs>
        <w:ind w:left="1247" w:firstLine="624"/>
        <w:rPr>
          <w:i/>
          <w:iCs/>
          <w:lang w:val="es-ES_tradnl"/>
        </w:rPr>
      </w:pPr>
      <w:r w:rsidRPr="00A84A5B">
        <w:rPr>
          <w:lang w:val="es-ES_tradnl"/>
        </w:rPr>
        <w:t>Advertir a Zambia de que, de conformidad con el punto B de la lista indicativa de medidas, en caso de que no retorne a una situación de cumplimiento a su debido tiempo, la Reunión de las Partes considerará la posibilidad de adoptar medidas conforme al punto C de la lista indicativa de medidas, que podrían incluir las previstas en el artículo 4, tales como velar por que se ponga fin al suministro de hidrofluorocarbonos, al que se debe el incumplimiento, para que las Partes exportadoras no contribuyan a que se perpetúe una situación de incumplimiento;</w:t>
      </w:r>
    </w:p>
    <w:p w14:paraId="32DEB3B3" w14:textId="0D477ACE" w:rsidR="003C5174" w:rsidRPr="00A84A5B" w:rsidRDefault="005B1EEB" w:rsidP="005B1EEB">
      <w:pPr>
        <w:pStyle w:val="CH2"/>
        <w:rPr>
          <w:lang w:val="es-ES_tradnl"/>
        </w:rPr>
      </w:pPr>
      <w:r w:rsidRPr="008353E4">
        <w:rPr>
          <w:lang w:val="fr-FR"/>
        </w:rPr>
        <w:tab/>
        <w:t>G.</w:t>
      </w:r>
      <w:r w:rsidRPr="008353E4">
        <w:rPr>
          <w:lang w:val="fr-FR"/>
        </w:rPr>
        <w:tab/>
      </w:r>
      <w:r w:rsidR="003C5174" w:rsidRPr="00A84A5B">
        <w:rPr>
          <w:bCs/>
          <w:lang w:val="es-ES_tradnl"/>
        </w:rPr>
        <w:t>Proyecto de decisión XXXVII</w:t>
      </w:r>
      <w:proofErr w:type="gramStart"/>
      <w:r w:rsidR="003C5174" w:rsidRPr="00A84A5B">
        <w:rPr>
          <w:bCs/>
          <w:lang w:val="es-ES_tradnl"/>
        </w:rPr>
        <w:t>/[</w:t>
      </w:r>
      <w:proofErr w:type="gramEnd"/>
      <w:r w:rsidR="003C5174" w:rsidRPr="00A84A5B">
        <w:rPr>
          <w:bCs/>
          <w:lang w:val="es-ES_tradnl"/>
        </w:rPr>
        <w:t>--</w:t>
      </w:r>
      <w:proofErr w:type="gramStart"/>
      <w:r w:rsidR="003C5174" w:rsidRPr="00A84A5B">
        <w:rPr>
          <w:bCs/>
          <w:lang w:val="es-ES_tradnl"/>
        </w:rPr>
        <w:t>]:</w:t>
      </w:r>
      <w:proofErr w:type="gramEnd"/>
      <w:r w:rsidR="003C5174" w:rsidRPr="00A84A5B">
        <w:rPr>
          <w:bCs/>
          <w:lang w:val="es-ES_tradnl"/>
        </w:rPr>
        <w:t xml:space="preserve"> incumplimiento del Protocolo de Montreal por Malí</w:t>
      </w:r>
    </w:p>
    <w:p w14:paraId="01B66D91" w14:textId="77777777" w:rsidR="00775FCB" w:rsidRPr="00A84A5B" w:rsidRDefault="00775FCB" w:rsidP="00775FCB">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24A097EC" w14:textId="77777777" w:rsidR="003C5174" w:rsidRPr="00A84A5B"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 xml:space="preserve">Observando </w:t>
      </w:r>
      <w:r w:rsidRPr="00A84A5B">
        <w:rPr>
          <w:lang w:val="es-ES_tradnl"/>
        </w:rPr>
        <w:t>que Malí accedió al Protocolo de Montreal relativo a las Sustancias que Agotan la Capa de Ozono y a la Enmienda de Londres el 28 de octubre de 1994, aceptó la Enmienda de Copenhague y la Enmienda de Montreal el 7 de marzo de 2003, la Enmienda de Beijing el 25 de marzo de 2004 y la Enmienda de Kigali el 31 de marzo de 2017 y que está clasificado como Parte que opera al amparo del párrafo 1 del artículo 5 del Protocolo,</w:t>
      </w:r>
    </w:p>
    <w:p w14:paraId="3FF0FB62" w14:textId="77777777" w:rsidR="003C5174" w:rsidRPr="00A84A5B"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Observando también</w:t>
      </w:r>
      <w:r w:rsidRPr="00A84A5B">
        <w:rPr>
          <w:lang w:val="es-ES_tradnl"/>
        </w:rPr>
        <w:t xml:space="preserve"> que Malí ha notificado, para 2024, un consumo anual de 1.773.126 toneladas de CO</w:t>
      </w:r>
      <w:r w:rsidRPr="00A84A5B">
        <w:rPr>
          <w:vertAlign w:val="subscript"/>
          <w:lang w:val="es-ES_tradnl"/>
        </w:rPr>
        <w:t>2</w:t>
      </w:r>
      <w:r w:rsidRPr="00A84A5B">
        <w:rPr>
          <w:lang w:val="es-ES_tradnl"/>
        </w:rPr>
        <w:t xml:space="preserve"> equivalente de las sustancias controladas que figuran en el anexo F del Protocolo de Montreal (hidrofluorocarbonos), lo que supera el consumo máximo autorizado para la Parte de 399.935 toneladas de CO</w:t>
      </w:r>
      <w:r w:rsidRPr="00A84A5B">
        <w:rPr>
          <w:vertAlign w:val="subscript"/>
          <w:lang w:val="es-ES_tradnl"/>
        </w:rPr>
        <w:t>2</w:t>
      </w:r>
      <w:r w:rsidRPr="00A84A5B">
        <w:rPr>
          <w:lang w:val="es-ES_tradnl"/>
        </w:rPr>
        <w:t xml:space="preserve"> equivalente de hidrofluorocarbonos para 2024, y que, por consiguiente, Malí incumple las medidas de control del consumo de hidrofluorocarbonos previstas en el Protocolo,</w:t>
      </w:r>
    </w:p>
    <w:p w14:paraId="1AE8BB1A" w14:textId="0FFB68DE" w:rsidR="003C5174" w:rsidRPr="00A84A5B"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Observando además</w:t>
      </w:r>
      <w:r w:rsidRPr="00A84A5B">
        <w:rPr>
          <w:lang w:val="es-ES_tradnl"/>
        </w:rPr>
        <w:t xml:space="preserve"> que Malí ha indicado su intención de solicitar una </w:t>
      </w:r>
      <w:r w:rsidR="0073152E" w:rsidRPr="00A84A5B">
        <w:rPr>
          <w:lang w:val="es-ES_tradnl"/>
        </w:rPr>
        <w:t>modificación</w:t>
      </w:r>
      <w:r w:rsidRPr="00A84A5B">
        <w:rPr>
          <w:lang w:val="es-ES_tradnl"/>
        </w:rPr>
        <w:t xml:space="preserve"> de sus datos de referencia sobre los hidrofluorocarbonos, pero aún no ha proporcionado la información requerida en virtud de la decisión XV/19 para justificar su solicitud de modificar sus datos de referencia notificados en relación con los hidrofluorocarbonos,</w:t>
      </w:r>
    </w:p>
    <w:p w14:paraId="6D5EA42B" w14:textId="77777777" w:rsidR="003C5174" w:rsidRPr="00A84A5B"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rPr>
          <w:i/>
          <w:lang w:val="es-ES_tradnl"/>
        </w:rPr>
      </w:pPr>
      <w:r w:rsidRPr="00A84A5B">
        <w:rPr>
          <w:i/>
          <w:iCs/>
          <w:lang w:val="es-ES_tradnl"/>
        </w:rPr>
        <w:t>Decide:</w:t>
      </w:r>
    </w:p>
    <w:p w14:paraId="62CCE9A6" w14:textId="18706095" w:rsidR="003C5174" w:rsidRPr="00A84A5B" w:rsidRDefault="003C5174" w:rsidP="003C5174">
      <w:pPr>
        <w:pStyle w:val="NormalNonumber"/>
        <w:numPr>
          <w:ilvl w:val="0"/>
          <w:numId w:val="308"/>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Invitar a Malí a que presente a la Secretaría del Ozono, con carácter urgente y no más tarde del 31 de marzo de 2026, para su examen por el Comité de Aplicación establecido con arreglo al Procedimiento relativo al Incumplimiento del Protocolo de Montreal relativo a las Sustancias que Agotan la Capa de Ozono en su 76ª reunión, una solicitud para </w:t>
      </w:r>
      <w:r w:rsidR="006F5869" w:rsidRPr="00A84A5B">
        <w:rPr>
          <w:lang w:val="es-ES_tradnl"/>
        </w:rPr>
        <w:t>modificar</w:t>
      </w:r>
      <w:r w:rsidRPr="00A84A5B">
        <w:rPr>
          <w:lang w:val="es-ES_tradnl"/>
        </w:rPr>
        <w:t xml:space="preserve"> sus datos sobre hidrofluorocarbonos correspondientes a los años de referencia, incluida la información exigida en virtud de la decisión XV/19 para fundamentar su solicitud de modificación de los datos de referencia presentados en relación con los hidrofluorocarbonos, o bien un plan de acción con parámetros de referencia y plazos específicos que asegure el rápido retorno de la Parte a una situación de cumplimiento respecto de sus obligaciones en materia de hidrofluorocarbonos en virtud del Protocolo, así como las medidas específicas que adoptará en apoyo de sus esfuerzos de aplicación;</w:t>
      </w:r>
    </w:p>
    <w:p w14:paraId="6A2C7206" w14:textId="139ADE4A" w:rsidR="003C5174" w:rsidRPr="00A84A5B" w:rsidRDefault="003C5174" w:rsidP="003C5174">
      <w:pPr>
        <w:pStyle w:val="NormalNonumber"/>
        <w:numPr>
          <w:ilvl w:val="0"/>
          <w:numId w:val="308"/>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Seguir de cerca los adelantos logrados por Malí respecto de la reducción de los hidrofluorocarbonos. En la medida en que Malí facilite la información que se le invita a proporcionar en el párrafo 1, </w:t>
      </w:r>
      <w:r w:rsidR="006F5869" w:rsidRPr="00A84A5B">
        <w:rPr>
          <w:lang w:val="es-ES_tradnl"/>
        </w:rPr>
        <w:t xml:space="preserve">el país </w:t>
      </w:r>
      <w:r w:rsidRPr="00A84A5B">
        <w:rPr>
          <w:lang w:val="es-ES_tradnl"/>
        </w:rPr>
        <w:t>deberá seguir recibiendo el mismo trato que las Partes que cumplen sus obligaciones. En este sentido, Malí debería seguir recibiendo asistencia internacional para poder cumplir sus compromisos de conformidad con el punto A de la lista indicativa de medidas que la Reunión de las Partes podría adoptar con respecto al incumplimiento;</w:t>
      </w:r>
    </w:p>
    <w:p w14:paraId="00844F23" w14:textId="70EB4116" w:rsidR="003E09D8" w:rsidRPr="00A84A5B" w:rsidRDefault="005B1EEB" w:rsidP="005B1EEB">
      <w:pPr>
        <w:pStyle w:val="CH2"/>
        <w:rPr>
          <w:lang w:val="es-ES_tradnl"/>
        </w:rPr>
      </w:pPr>
      <w:r w:rsidRPr="008353E4">
        <w:rPr>
          <w:lang w:val="fr-FR"/>
        </w:rPr>
        <w:lastRenderedPageBreak/>
        <w:tab/>
        <w:t>H.</w:t>
      </w:r>
      <w:r w:rsidRPr="008353E4">
        <w:rPr>
          <w:lang w:val="fr-FR"/>
        </w:rPr>
        <w:tab/>
      </w:r>
      <w:r w:rsidR="003E09D8" w:rsidRPr="00A84A5B">
        <w:rPr>
          <w:bCs/>
          <w:lang w:val="es-ES_tradnl"/>
        </w:rPr>
        <w:t>Proyecto de decisión XXXVII</w:t>
      </w:r>
      <w:proofErr w:type="gramStart"/>
      <w:r w:rsidR="003E09D8" w:rsidRPr="00A84A5B">
        <w:rPr>
          <w:bCs/>
          <w:lang w:val="es-ES_tradnl"/>
        </w:rPr>
        <w:t>/[</w:t>
      </w:r>
      <w:proofErr w:type="gramEnd"/>
      <w:r w:rsidR="003E09D8" w:rsidRPr="00A84A5B">
        <w:rPr>
          <w:bCs/>
          <w:lang w:val="es-ES_tradnl"/>
        </w:rPr>
        <w:t>--</w:t>
      </w:r>
      <w:proofErr w:type="gramStart"/>
      <w:r w:rsidR="003E09D8" w:rsidRPr="00A84A5B">
        <w:rPr>
          <w:bCs/>
          <w:lang w:val="es-ES_tradnl"/>
        </w:rPr>
        <w:t>]:</w:t>
      </w:r>
      <w:proofErr w:type="gramEnd"/>
      <w:r w:rsidR="003E09D8" w:rsidRPr="00A84A5B">
        <w:rPr>
          <w:bCs/>
          <w:lang w:val="es-ES_tradnl"/>
        </w:rPr>
        <w:t xml:space="preserve"> solicitudes de modificación de los datos</w:t>
      </w:r>
      <w:r>
        <w:rPr>
          <w:bCs/>
          <w:lang w:val="es-ES_tradnl"/>
        </w:rPr>
        <w:t> </w:t>
      </w:r>
      <w:r w:rsidR="003E09D8" w:rsidRPr="00A84A5B">
        <w:rPr>
          <w:bCs/>
          <w:lang w:val="es-ES_tradnl"/>
        </w:rPr>
        <w:t>de referencia por Bosnia y Herzegovina, el Brasil, Guinea, las Islas Marshall, Kiribati, Marruecos, Nauru, Nigeria, Niue, Tuvalu y Vanuatu</w:t>
      </w:r>
      <w:r w:rsidR="003E09D8" w:rsidRPr="00A84A5B">
        <w:rPr>
          <w:lang w:val="es-ES_tradnl"/>
        </w:rPr>
        <w:t xml:space="preserve"> </w:t>
      </w:r>
      <w:bookmarkStart w:id="31" w:name="_Hlk212981327"/>
    </w:p>
    <w:bookmarkEnd w:id="31"/>
    <w:p w14:paraId="6EDC96BA"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La 37ª Reunión de las Partes,</w:t>
      </w:r>
    </w:p>
    <w:p w14:paraId="1F8F5370" w14:textId="3211F3E1"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 xml:space="preserve">Observando </w:t>
      </w:r>
      <w:r w:rsidRPr="00A84A5B">
        <w:rPr>
          <w:lang w:val="es-ES_tradnl"/>
        </w:rPr>
        <w:t>que, en la decisión XIII/15, la 13ª Reunión de las Partes en el Protocolo de Montreal relativo a las Sustancias que Agotan la Capa de Ozono decidió comunicar a las Partes que</w:t>
      </w:r>
      <w:r w:rsidR="005B1EEB">
        <w:rPr>
          <w:lang w:val="es-ES_tradnl"/>
        </w:rPr>
        <w:t> </w:t>
      </w:r>
      <w:r w:rsidRPr="00A84A5B">
        <w:rPr>
          <w:lang w:val="es-ES_tradnl"/>
        </w:rPr>
        <w:t>solicitasen modificaciones en los datos de referencia presentados para los años de base que presentasen sus solicitudes al Comité de Aplicación establecido con arreglo al Procedimiento relativo al Incumplimiento del Protocolo de Montreal, que a su vez trabajaría con la Secretaría del Protocolo de Montreal y el Comité Ejecutivo del Fondo Multilateral para la Aplicación del Protocolo de Montreal, para confirmar la justificación de las modificaciones y presentarlas a la Reunión de las Partes para su aprobación,</w:t>
      </w:r>
    </w:p>
    <w:p w14:paraId="5880A3E9" w14:textId="77777777" w:rsidR="003E09D8" w:rsidRPr="00A84A5B"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Observando también</w:t>
      </w:r>
      <w:r w:rsidRPr="00A84A5B">
        <w:rPr>
          <w:lang w:val="es-ES_tradnl"/>
        </w:rPr>
        <w:t xml:space="preserve"> que en la decisión XV/19 se establece la metodología que ha de utilizarse para cursar esas solicitudes,</w:t>
      </w:r>
    </w:p>
    <w:p w14:paraId="5A1D12A3" w14:textId="77777777" w:rsidR="003E09D8" w:rsidRPr="00A84A5B"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rPr>
          <w:i/>
          <w:iCs/>
          <w:lang w:val="es-ES_tradnl"/>
        </w:rPr>
      </w:pPr>
      <w:r w:rsidRPr="00A84A5B">
        <w:rPr>
          <w:i/>
          <w:iCs/>
          <w:lang w:val="es-ES_tradnl"/>
        </w:rPr>
        <w:t>Decide:</w:t>
      </w:r>
    </w:p>
    <w:p w14:paraId="2860CDC2" w14:textId="1A025ECA" w:rsidR="003E09D8" w:rsidRPr="00A84A5B" w:rsidRDefault="003E09D8" w:rsidP="000021C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bookmarkStart w:id="32" w:name="_Hlk211330762"/>
      <w:r w:rsidRPr="00A84A5B">
        <w:rPr>
          <w:lang w:val="es-ES_tradnl"/>
        </w:rPr>
        <w:t>Que Bosnia y Herzegovina ha aportado información suficiente, de conformidad con</w:t>
      </w:r>
      <w:r w:rsidR="005B1EEB">
        <w:rPr>
          <w:lang w:val="es-ES_tradnl"/>
        </w:rPr>
        <w:t> </w:t>
      </w:r>
      <w:r w:rsidRPr="00A84A5B">
        <w:rPr>
          <w:lang w:val="es-ES_tradnl"/>
        </w:rPr>
        <w:t>la</w:t>
      </w:r>
      <w:r w:rsidR="005B1EEB">
        <w:rPr>
          <w:lang w:val="es-ES_tradnl"/>
        </w:rPr>
        <w:t> </w:t>
      </w:r>
      <w:r w:rsidRPr="00A84A5B">
        <w:rPr>
          <w:lang w:val="es-ES_tradnl"/>
        </w:rPr>
        <w:t>decisión XV/19, para justificar su solicitud de modificación de sus datos sobre consumo de hidroclorofluorocarbonos correspondientes a 2009, que forman parte del nivel de base para las Partes del grupo 1 que operan al amparo del artículo 5 en virtud de la Enmienda de Kigali al Protocolo de Montreal relativo a las Sustancias que Agotan la Capa de Ozono;</w:t>
      </w:r>
    </w:p>
    <w:p w14:paraId="24C25D73"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Aprobar la solicitud de Bosnia y Herzegovina y modificar sus datos sobre el consumo de hidroclorofluorocarbonos para el año de referencia 2009, según lo indicado en el cuadro siguiente:</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701"/>
        <w:gridCol w:w="1560"/>
        <w:gridCol w:w="1644"/>
      </w:tblGrid>
      <w:tr w:rsidR="003E09D8" w:rsidRPr="008353E4" w14:paraId="0C744716" w14:textId="77777777" w:rsidTr="005B1EEB">
        <w:trPr>
          <w:trHeight w:val="57"/>
          <w:jc w:val="right"/>
        </w:trPr>
        <w:tc>
          <w:tcPr>
            <w:tcW w:w="1985" w:type="dxa"/>
            <w:vMerge w:val="restart"/>
            <w:tcBorders>
              <w:top w:val="single" w:sz="4" w:space="0" w:color="auto"/>
              <w:bottom w:val="single" w:sz="12" w:space="0" w:color="auto"/>
            </w:tcBorders>
            <w:vAlign w:val="bottom"/>
          </w:tcPr>
          <w:p w14:paraId="4F87D3AD" w14:textId="77777777" w:rsidR="003E09D8" w:rsidRPr="00A84A5B" w:rsidRDefault="003E09D8" w:rsidP="004B556F">
            <w:pPr>
              <w:pStyle w:val="Normal-pool-Table"/>
              <w:spacing w:before="20"/>
              <w:rPr>
                <w:lang w:val="es-ES_tradnl"/>
              </w:rPr>
            </w:pPr>
            <w:r w:rsidRPr="00A84A5B">
              <w:rPr>
                <w:i/>
                <w:iCs/>
                <w:color w:val="000000"/>
                <w:lang w:val="es-ES_tradnl"/>
              </w:rPr>
              <w:t>Parte/año</w:t>
            </w:r>
          </w:p>
        </w:tc>
        <w:tc>
          <w:tcPr>
            <w:tcW w:w="3118" w:type="dxa"/>
            <w:gridSpan w:val="2"/>
            <w:tcBorders>
              <w:top w:val="single" w:sz="4" w:space="0" w:color="auto"/>
              <w:bottom w:val="single" w:sz="4" w:space="0" w:color="auto"/>
            </w:tcBorders>
          </w:tcPr>
          <w:p w14:paraId="28D077F4"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Datos anteriores sobre los HCFC</w:t>
            </w:r>
          </w:p>
        </w:tc>
        <w:tc>
          <w:tcPr>
            <w:tcW w:w="3204" w:type="dxa"/>
            <w:gridSpan w:val="2"/>
            <w:tcBorders>
              <w:top w:val="single" w:sz="4" w:space="0" w:color="auto"/>
              <w:bottom w:val="single" w:sz="4" w:space="0" w:color="auto"/>
            </w:tcBorders>
            <w:vAlign w:val="bottom"/>
          </w:tcPr>
          <w:p w14:paraId="609698E4"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Nuevos datos sobre los HCFC</w:t>
            </w:r>
          </w:p>
        </w:tc>
      </w:tr>
      <w:tr w:rsidR="003E09D8" w:rsidRPr="00A84A5B" w14:paraId="71933A69" w14:textId="77777777" w:rsidTr="005B1EEB">
        <w:trPr>
          <w:trHeight w:val="57"/>
          <w:jc w:val="right"/>
        </w:trPr>
        <w:tc>
          <w:tcPr>
            <w:tcW w:w="1985" w:type="dxa"/>
            <w:vMerge/>
            <w:tcBorders>
              <w:bottom w:val="single" w:sz="12" w:space="0" w:color="auto"/>
            </w:tcBorders>
            <w:vAlign w:val="bottom"/>
          </w:tcPr>
          <w:p w14:paraId="63D7CBD1" w14:textId="77777777" w:rsidR="003E09D8" w:rsidRPr="00A84A5B" w:rsidRDefault="003E09D8" w:rsidP="004B556F">
            <w:pPr>
              <w:pStyle w:val="Normal-pool-Table"/>
              <w:spacing w:before="20"/>
              <w:rPr>
                <w:lang w:val="es-ES_tradnl"/>
              </w:rPr>
            </w:pPr>
          </w:p>
        </w:tc>
        <w:tc>
          <w:tcPr>
            <w:tcW w:w="1417" w:type="dxa"/>
            <w:tcBorders>
              <w:top w:val="single" w:sz="4" w:space="0" w:color="auto"/>
              <w:bottom w:val="single" w:sz="4" w:space="0" w:color="auto"/>
            </w:tcBorders>
          </w:tcPr>
          <w:p w14:paraId="68B2ECF0" w14:textId="77777777" w:rsidR="003E09D8" w:rsidRPr="00A84A5B" w:rsidRDefault="003E09D8" w:rsidP="004B556F">
            <w:pPr>
              <w:pStyle w:val="Normal-pool-Table"/>
              <w:spacing w:before="20"/>
              <w:jc w:val="right"/>
              <w:rPr>
                <w:i/>
                <w:iCs/>
                <w:lang w:val="es-ES_tradnl"/>
              </w:rPr>
            </w:pPr>
            <w:r w:rsidRPr="005B1EEB">
              <w:rPr>
                <w:i/>
                <w:iCs/>
                <w:color w:val="000000"/>
                <w:spacing w:val="-2"/>
                <w:lang w:val="es-ES_tradnl"/>
              </w:rPr>
              <w:t>Toneladas</w:t>
            </w:r>
            <w:r w:rsidRPr="00A84A5B">
              <w:rPr>
                <w:i/>
                <w:iCs/>
                <w:color w:val="000000"/>
                <w:lang w:val="es-ES_tradnl"/>
              </w:rPr>
              <w:t xml:space="preserve"> PAO</w:t>
            </w:r>
          </w:p>
        </w:tc>
        <w:tc>
          <w:tcPr>
            <w:tcW w:w="1701" w:type="dxa"/>
            <w:tcBorders>
              <w:top w:val="single" w:sz="4" w:space="0" w:color="auto"/>
              <w:bottom w:val="single" w:sz="4" w:space="0" w:color="auto"/>
            </w:tcBorders>
            <w:vAlign w:val="bottom"/>
          </w:tcPr>
          <w:p w14:paraId="33388F20" w14:textId="77777777" w:rsidR="003E09D8" w:rsidRPr="005B1EEB" w:rsidRDefault="003E09D8" w:rsidP="005B1EEB">
            <w:pPr>
              <w:pStyle w:val="Normal-pool-Table"/>
              <w:spacing w:before="20"/>
              <w:ind w:right="-57"/>
              <w:jc w:val="right"/>
              <w:rPr>
                <w:i/>
                <w:iCs/>
                <w:spacing w:val="-4"/>
                <w:lang w:val="es-ES_tradnl"/>
              </w:rPr>
            </w:pPr>
            <w:r w:rsidRPr="005B1EEB">
              <w:rPr>
                <w:i/>
                <w:iCs/>
                <w:color w:val="000000"/>
                <w:spacing w:val="-4"/>
                <w:lang w:val="es-ES_tradnl"/>
              </w:rPr>
              <w:t>Toneladas de CO</w:t>
            </w:r>
            <w:r w:rsidRPr="005B1EEB">
              <w:rPr>
                <w:i/>
                <w:iCs/>
                <w:color w:val="000000"/>
                <w:spacing w:val="-4"/>
                <w:vertAlign w:val="subscript"/>
                <w:lang w:val="es-ES_tradnl"/>
              </w:rPr>
              <w:t>2</w:t>
            </w:r>
            <w:r w:rsidRPr="005B1EEB">
              <w:rPr>
                <w:i/>
                <w:iCs/>
                <w:color w:val="000000"/>
                <w:spacing w:val="-4"/>
                <w:lang w:val="es-ES_tradnl"/>
              </w:rPr>
              <w:t xml:space="preserve"> </w:t>
            </w:r>
            <w:proofErr w:type="spellStart"/>
            <w:r w:rsidRPr="005B1EEB">
              <w:rPr>
                <w:i/>
                <w:iCs/>
                <w:color w:val="000000"/>
                <w:spacing w:val="-4"/>
                <w:lang w:val="es-ES_tradnl"/>
              </w:rPr>
              <w:t>eq</w:t>
            </w:r>
            <w:proofErr w:type="spellEnd"/>
          </w:p>
        </w:tc>
        <w:tc>
          <w:tcPr>
            <w:tcW w:w="1560" w:type="dxa"/>
            <w:tcBorders>
              <w:top w:val="single" w:sz="4" w:space="0" w:color="auto"/>
              <w:bottom w:val="single" w:sz="4" w:space="0" w:color="auto"/>
            </w:tcBorders>
            <w:vAlign w:val="bottom"/>
          </w:tcPr>
          <w:p w14:paraId="1BD79399" w14:textId="77777777" w:rsidR="003E09D8" w:rsidRPr="00A84A5B" w:rsidRDefault="003E09D8" w:rsidP="004B556F">
            <w:pPr>
              <w:pStyle w:val="Normal-pool-Table"/>
              <w:spacing w:before="20"/>
              <w:jc w:val="right"/>
              <w:rPr>
                <w:i/>
                <w:iCs/>
                <w:lang w:val="es-ES_tradnl"/>
              </w:rPr>
            </w:pPr>
            <w:r w:rsidRPr="00A84A5B">
              <w:rPr>
                <w:i/>
                <w:iCs/>
                <w:color w:val="000000"/>
                <w:lang w:val="es-ES_tradnl"/>
              </w:rPr>
              <w:t>Toneladas PAO</w:t>
            </w:r>
          </w:p>
        </w:tc>
        <w:tc>
          <w:tcPr>
            <w:tcW w:w="1644" w:type="dxa"/>
            <w:tcBorders>
              <w:top w:val="single" w:sz="4" w:space="0" w:color="auto"/>
              <w:bottom w:val="single" w:sz="4" w:space="0" w:color="auto"/>
            </w:tcBorders>
          </w:tcPr>
          <w:p w14:paraId="3846074F" w14:textId="77777777" w:rsidR="003E09D8" w:rsidRPr="005B1EEB" w:rsidRDefault="003E09D8" w:rsidP="005B1EEB">
            <w:pPr>
              <w:pStyle w:val="Normal-pool-Table"/>
              <w:spacing w:before="20"/>
              <w:ind w:right="-113"/>
              <w:jc w:val="right"/>
              <w:rPr>
                <w:i/>
                <w:iCs/>
                <w:spacing w:val="-4"/>
                <w:lang w:val="es-ES_tradnl"/>
              </w:rPr>
            </w:pPr>
            <w:r w:rsidRPr="005B1EEB">
              <w:rPr>
                <w:i/>
                <w:iCs/>
                <w:color w:val="000000"/>
                <w:spacing w:val="-4"/>
                <w:lang w:val="es-ES_tradnl"/>
              </w:rPr>
              <w:t>Toneladas de CO</w:t>
            </w:r>
            <w:r w:rsidRPr="005B1EEB">
              <w:rPr>
                <w:i/>
                <w:iCs/>
                <w:color w:val="000000"/>
                <w:spacing w:val="-4"/>
                <w:vertAlign w:val="subscript"/>
                <w:lang w:val="es-ES_tradnl"/>
              </w:rPr>
              <w:t>2</w:t>
            </w:r>
            <w:r w:rsidRPr="005B1EEB">
              <w:rPr>
                <w:i/>
                <w:iCs/>
                <w:color w:val="000000"/>
                <w:spacing w:val="-4"/>
                <w:lang w:val="es-ES_tradnl"/>
              </w:rPr>
              <w:t xml:space="preserve"> </w:t>
            </w:r>
            <w:proofErr w:type="spellStart"/>
            <w:r w:rsidRPr="005B1EEB">
              <w:rPr>
                <w:i/>
                <w:iCs/>
                <w:color w:val="000000"/>
                <w:spacing w:val="-4"/>
                <w:lang w:val="es-ES_tradnl"/>
              </w:rPr>
              <w:t>eq</w:t>
            </w:r>
            <w:proofErr w:type="spellEnd"/>
          </w:p>
        </w:tc>
      </w:tr>
      <w:tr w:rsidR="003E09D8" w:rsidRPr="00A84A5B" w14:paraId="1AB26DA6" w14:textId="77777777" w:rsidTr="005B1EEB">
        <w:trPr>
          <w:trHeight w:val="57"/>
          <w:jc w:val="right"/>
        </w:trPr>
        <w:tc>
          <w:tcPr>
            <w:tcW w:w="1985" w:type="dxa"/>
            <w:vMerge/>
            <w:tcBorders>
              <w:bottom w:val="single" w:sz="12" w:space="0" w:color="auto"/>
            </w:tcBorders>
          </w:tcPr>
          <w:p w14:paraId="3834D0BF" w14:textId="77777777" w:rsidR="003E09D8" w:rsidRPr="00A84A5B" w:rsidRDefault="003E09D8" w:rsidP="004B556F">
            <w:pPr>
              <w:pStyle w:val="Normal-pool-Table"/>
              <w:spacing w:before="20"/>
              <w:rPr>
                <w:i/>
                <w:iCs/>
                <w:lang w:val="es-ES_tradnl"/>
              </w:rPr>
            </w:pPr>
          </w:p>
        </w:tc>
        <w:tc>
          <w:tcPr>
            <w:tcW w:w="1417" w:type="dxa"/>
            <w:tcBorders>
              <w:top w:val="single" w:sz="4" w:space="0" w:color="auto"/>
              <w:bottom w:val="single" w:sz="12" w:space="0" w:color="auto"/>
            </w:tcBorders>
          </w:tcPr>
          <w:p w14:paraId="5D38F9F0"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2009</w:t>
            </w:r>
          </w:p>
        </w:tc>
        <w:tc>
          <w:tcPr>
            <w:tcW w:w="1701" w:type="dxa"/>
            <w:tcBorders>
              <w:top w:val="single" w:sz="4" w:space="0" w:color="auto"/>
              <w:bottom w:val="single" w:sz="12" w:space="0" w:color="auto"/>
            </w:tcBorders>
          </w:tcPr>
          <w:p w14:paraId="6DD9621F"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2009</w:t>
            </w:r>
          </w:p>
        </w:tc>
        <w:tc>
          <w:tcPr>
            <w:tcW w:w="1560" w:type="dxa"/>
            <w:tcBorders>
              <w:top w:val="single" w:sz="4" w:space="0" w:color="auto"/>
              <w:bottom w:val="single" w:sz="12" w:space="0" w:color="auto"/>
            </w:tcBorders>
          </w:tcPr>
          <w:p w14:paraId="47963BB8"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2009</w:t>
            </w:r>
          </w:p>
        </w:tc>
        <w:tc>
          <w:tcPr>
            <w:tcW w:w="1644" w:type="dxa"/>
            <w:tcBorders>
              <w:top w:val="single" w:sz="4" w:space="0" w:color="auto"/>
              <w:bottom w:val="single" w:sz="12" w:space="0" w:color="auto"/>
            </w:tcBorders>
          </w:tcPr>
          <w:p w14:paraId="697DD071"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2009</w:t>
            </w:r>
          </w:p>
        </w:tc>
      </w:tr>
      <w:tr w:rsidR="003E09D8" w:rsidRPr="00A84A5B" w14:paraId="3B5EE14C" w14:textId="77777777" w:rsidTr="005B1EEB">
        <w:trPr>
          <w:trHeight w:val="57"/>
          <w:jc w:val="right"/>
        </w:trPr>
        <w:tc>
          <w:tcPr>
            <w:tcW w:w="1985" w:type="dxa"/>
            <w:tcBorders>
              <w:top w:val="single" w:sz="12" w:space="0" w:color="auto"/>
              <w:bottom w:val="single" w:sz="12" w:space="0" w:color="auto"/>
            </w:tcBorders>
          </w:tcPr>
          <w:p w14:paraId="4A2530AD" w14:textId="77777777" w:rsidR="003E09D8" w:rsidRPr="00A84A5B" w:rsidRDefault="003E09D8" w:rsidP="004B556F">
            <w:pPr>
              <w:pStyle w:val="Normal-pool-Table"/>
              <w:spacing w:before="20"/>
              <w:rPr>
                <w:lang w:val="es-ES_tradnl"/>
              </w:rPr>
            </w:pPr>
            <w:r w:rsidRPr="00A84A5B">
              <w:rPr>
                <w:color w:val="000000"/>
                <w:lang w:val="es-ES_tradnl"/>
              </w:rPr>
              <w:t>Bosnia y Herzegovina</w:t>
            </w:r>
          </w:p>
        </w:tc>
        <w:tc>
          <w:tcPr>
            <w:tcW w:w="1417" w:type="dxa"/>
            <w:tcBorders>
              <w:top w:val="single" w:sz="12" w:space="0" w:color="auto"/>
              <w:bottom w:val="single" w:sz="12" w:space="0" w:color="auto"/>
            </w:tcBorders>
          </w:tcPr>
          <w:p w14:paraId="0FC93F9B" w14:textId="77777777" w:rsidR="003E09D8" w:rsidRPr="00A84A5B" w:rsidRDefault="003E09D8" w:rsidP="004B556F">
            <w:pPr>
              <w:pStyle w:val="Normal-pool-Table"/>
              <w:spacing w:before="20"/>
              <w:jc w:val="right"/>
              <w:rPr>
                <w:lang w:val="es-ES_tradnl"/>
              </w:rPr>
            </w:pPr>
            <w:r w:rsidRPr="00A84A5B">
              <w:rPr>
                <w:color w:val="000000"/>
                <w:lang w:val="es-ES_tradnl"/>
              </w:rPr>
              <w:t>5,78</w:t>
            </w:r>
          </w:p>
        </w:tc>
        <w:tc>
          <w:tcPr>
            <w:tcW w:w="1701" w:type="dxa"/>
            <w:tcBorders>
              <w:top w:val="single" w:sz="12" w:space="0" w:color="auto"/>
              <w:bottom w:val="single" w:sz="12" w:space="0" w:color="auto"/>
            </w:tcBorders>
          </w:tcPr>
          <w:p w14:paraId="3699E038" w14:textId="12158AEF" w:rsidR="003E09D8" w:rsidRPr="00A84A5B" w:rsidRDefault="003E09D8" w:rsidP="004B556F">
            <w:pPr>
              <w:pStyle w:val="Normal-pool-Table"/>
              <w:spacing w:before="20"/>
              <w:jc w:val="right"/>
              <w:rPr>
                <w:lang w:val="es-ES_tradnl"/>
              </w:rPr>
            </w:pPr>
            <w:r w:rsidRPr="00A84A5B">
              <w:rPr>
                <w:color w:val="000000"/>
                <w:lang w:val="es-ES_tradnl"/>
              </w:rPr>
              <w:t>111</w:t>
            </w:r>
            <w:r w:rsidR="00A849AF" w:rsidRPr="00A84A5B">
              <w:rPr>
                <w:color w:val="000000"/>
                <w:lang w:val="es-ES_tradnl"/>
              </w:rPr>
              <w:t> </w:t>
            </w:r>
            <w:r w:rsidRPr="00A84A5B">
              <w:rPr>
                <w:color w:val="000000"/>
                <w:lang w:val="es-ES_tradnl"/>
              </w:rPr>
              <w:t>812,6</w:t>
            </w:r>
          </w:p>
        </w:tc>
        <w:tc>
          <w:tcPr>
            <w:tcW w:w="1560" w:type="dxa"/>
            <w:tcBorders>
              <w:top w:val="single" w:sz="12" w:space="0" w:color="auto"/>
              <w:bottom w:val="single" w:sz="12" w:space="0" w:color="auto"/>
            </w:tcBorders>
          </w:tcPr>
          <w:p w14:paraId="483BA60D" w14:textId="77777777" w:rsidR="003E09D8" w:rsidRPr="00A84A5B" w:rsidRDefault="003E09D8" w:rsidP="004B556F">
            <w:pPr>
              <w:pStyle w:val="Normal-pool-Table"/>
              <w:spacing w:before="20"/>
              <w:jc w:val="right"/>
              <w:rPr>
                <w:lang w:val="es-ES_tradnl"/>
              </w:rPr>
            </w:pPr>
            <w:r w:rsidRPr="00A84A5B">
              <w:rPr>
                <w:color w:val="000000"/>
                <w:lang w:val="es-ES_tradnl"/>
              </w:rPr>
              <w:t>5,96</w:t>
            </w:r>
          </w:p>
        </w:tc>
        <w:tc>
          <w:tcPr>
            <w:tcW w:w="1644" w:type="dxa"/>
            <w:tcBorders>
              <w:top w:val="single" w:sz="12" w:space="0" w:color="auto"/>
              <w:bottom w:val="single" w:sz="12" w:space="0" w:color="auto"/>
            </w:tcBorders>
          </w:tcPr>
          <w:p w14:paraId="335E152B" w14:textId="410453A9" w:rsidR="003E09D8" w:rsidRPr="00A84A5B" w:rsidRDefault="003E09D8" w:rsidP="004B556F">
            <w:pPr>
              <w:pStyle w:val="Normal-pool-Table"/>
              <w:spacing w:before="20"/>
              <w:jc w:val="right"/>
              <w:rPr>
                <w:lang w:val="es-ES_tradnl"/>
              </w:rPr>
            </w:pPr>
            <w:r w:rsidRPr="00A84A5B">
              <w:rPr>
                <w:color w:val="000000"/>
                <w:lang w:val="es-ES_tradnl"/>
              </w:rPr>
              <w:t>117</w:t>
            </w:r>
            <w:r w:rsidR="00A849AF" w:rsidRPr="00A84A5B">
              <w:rPr>
                <w:color w:val="000000"/>
                <w:lang w:val="es-ES_tradnl"/>
              </w:rPr>
              <w:t> </w:t>
            </w:r>
            <w:r w:rsidRPr="00A84A5B">
              <w:rPr>
                <w:color w:val="000000"/>
                <w:lang w:val="es-ES_tradnl"/>
              </w:rPr>
              <w:t>966,6</w:t>
            </w:r>
          </w:p>
        </w:tc>
      </w:tr>
    </w:tbl>
    <w:p w14:paraId="41F5EFCF" w14:textId="72373BB2" w:rsidR="003E09D8" w:rsidRPr="005B1EEB" w:rsidRDefault="003E09D8" w:rsidP="003E09D8">
      <w:pPr>
        <w:tabs>
          <w:tab w:val="left" w:pos="624"/>
          <w:tab w:val="left" w:pos="1871"/>
          <w:tab w:val="left" w:pos="2495"/>
          <w:tab w:val="left" w:pos="3119"/>
          <w:tab w:val="left" w:pos="3742"/>
          <w:tab w:val="left" w:pos="4366"/>
          <w:tab w:val="left" w:pos="4990"/>
        </w:tabs>
        <w:spacing w:before="60" w:after="120"/>
        <w:ind w:left="1247"/>
        <w:rPr>
          <w:i/>
          <w:sz w:val="18"/>
          <w:szCs w:val="18"/>
          <w:lang w:val="es-ES_tradnl"/>
        </w:rPr>
      </w:pPr>
      <w:r w:rsidRPr="005B1EEB">
        <w:rPr>
          <w:sz w:val="18"/>
          <w:szCs w:val="18"/>
          <w:lang w:val="es-ES_tradnl"/>
        </w:rPr>
        <w:tab/>
      </w:r>
      <w:r w:rsidRPr="005B1EEB">
        <w:rPr>
          <w:i/>
          <w:iCs/>
          <w:sz w:val="18"/>
          <w:szCs w:val="18"/>
          <w:lang w:val="es-ES_tradnl"/>
        </w:rPr>
        <w:t>Abreviaciones</w:t>
      </w:r>
      <w:r w:rsidRPr="005B1EEB">
        <w:rPr>
          <w:sz w:val="18"/>
          <w:szCs w:val="18"/>
          <w:lang w:val="es-ES_tradnl"/>
        </w:rPr>
        <w:t>: CO</w:t>
      </w:r>
      <w:r w:rsidRPr="005B1EEB">
        <w:rPr>
          <w:sz w:val="18"/>
          <w:szCs w:val="18"/>
          <w:vertAlign w:val="subscript"/>
          <w:lang w:val="es-ES_tradnl"/>
        </w:rPr>
        <w:t>2</w:t>
      </w:r>
      <w:r w:rsidRPr="005B1EEB">
        <w:rPr>
          <w:sz w:val="18"/>
          <w:szCs w:val="18"/>
          <w:lang w:val="es-ES_tradnl"/>
        </w:rPr>
        <w:t xml:space="preserve"> </w:t>
      </w:r>
      <w:proofErr w:type="spellStart"/>
      <w:r w:rsidRPr="005B1EEB">
        <w:rPr>
          <w:sz w:val="18"/>
          <w:szCs w:val="18"/>
          <w:lang w:val="es-ES_tradnl"/>
        </w:rPr>
        <w:t>eq</w:t>
      </w:r>
      <w:proofErr w:type="spellEnd"/>
      <w:r w:rsidRPr="005B1EEB">
        <w:rPr>
          <w:sz w:val="18"/>
          <w:szCs w:val="18"/>
          <w:lang w:val="es-ES_tradnl"/>
        </w:rPr>
        <w:t xml:space="preserve"> = dióxido de carbono equivalente; HCFC = </w:t>
      </w:r>
      <w:proofErr w:type="spellStart"/>
      <w:r w:rsidRPr="005B1EEB">
        <w:rPr>
          <w:sz w:val="18"/>
          <w:szCs w:val="18"/>
          <w:lang w:val="es-ES_tradnl"/>
        </w:rPr>
        <w:t>hidroclorofluorocarbono</w:t>
      </w:r>
      <w:proofErr w:type="spellEnd"/>
      <w:r w:rsidRPr="005B1EEB">
        <w:rPr>
          <w:sz w:val="18"/>
          <w:szCs w:val="18"/>
          <w:lang w:val="es-ES_tradnl"/>
        </w:rPr>
        <w:t>; PAO = potencial de agotamiento del ozono.</w:t>
      </w:r>
    </w:p>
    <w:bookmarkEnd w:id="32"/>
    <w:p w14:paraId="12FDB1D1" w14:textId="1E1685A9" w:rsidR="003E09D8" w:rsidRPr="00A84A5B" w:rsidRDefault="003E09D8" w:rsidP="004B556F">
      <w:pPr>
        <w:pStyle w:val="NormalNonumber"/>
        <w:numPr>
          <w:ilvl w:val="0"/>
          <w:numId w:val="313"/>
        </w:numPr>
        <w:tabs>
          <w:tab w:val="clear" w:pos="1247"/>
          <w:tab w:val="clear" w:pos="1871"/>
          <w:tab w:val="clear" w:pos="2495"/>
          <w:tab w:val="clear" w:pos="3119"/>
          <w:tab w:val="clear" w:pos="3742"/>
          <w:tab w:val="clear" w:pos="4366"/>
          <w:tab w:val="clear" w:pos="4990"/>
        </w:tabs>
        <w:spacing w:before="120"/>
        <w:ind w:left="1247" w:firstLine="624"/>
        <w:rPr>
          <w:lang w:val="es-ES_tradnl"/>
        </w:rPr>
      </w:pPr>
      <w:r w:rsidRPr="00A84A5B">
        <w:rPr>
          <w:lang w:val="es-ES_tradnl"/>
        </w:rPr>
        <w:t>Que Bosnia y Herzegovina ha aportado información suficiente, de conformidad con</w:t>
      </w:r>
      <w:r w:rsidR="005B1EEB">
        <w:rPr>
          <w:lang w:val="es-ES_tradnl"/>
        </w:rPr>
        <w:t> </w:t>
      </w:r>
      <w:r w:rsidRPr="00A84A5B">
        <w:rPr>
          <w:lang w:val="es-ES_tradnl"/>
        </w:rPr>
        <w:t>la decisión XV/19, para justificar su solicitud de modificación de sus datos sobre consumo de hidrofluorocarbonos correspondientes a 2022, que forman parte del nivel de base para las Partes del grupo 1 que operan al amparo del artículo 5 en virtud de la Enmienda de Kigali al Protocolo de Montreal;</w:t>
      </w:r>
    </w:p>
    <w:p w14:paraId="299B5BB2"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Aprobar la solicitud de Bosnia y Herzegovina y modificar sus datos sobre el consumo de hidrofluorocarbonos para el año de base 2022, según lo indicado en el cuadro siguiente:</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019"/>
        <w:gridCol w:w="3020"/>
      </w:tblGrid>
      <w:tr w:rsidR="003E09D8" w:rsidRPr="008353E4" w14:paraId="7492578A" w14:textId="77777777" w:rsidTr="00333421">
        <w:trPr>
          <w:trHeight w:val="57"/>
          <w:jc w:val="right"/>
        </w:trPr>
        <w:tc>
          <w:tcPr>
            <w:tcW w:w="2268" w:type="dxa"/>
            <w:vMerge w:val="restart"/>
            <w:tcBorders>
              <w:top w:val="single" w:sz="4" w:space="0" w:color="auto"/>
              <w:bottom w:val="single" w:sz="12" w:space="0" w:color="auto"/>
            </w:tcBorders>
            <w:vAlign w:val="bottom"/>
          </w:tcPr>
          <w:p w14:paraId="48197B0E" w14:textId="77777777" w:rsidR="003E09D8" w:rsidRPr="00A84A5B" w:rsidRDefault="003E09D8" w:rsidP="00333421">
            <w:pPr>
              <w:pStyle w:val="Normal-pool-Table"/>
              <w:rPr>
                <w:lang w:val="es-ES_tradnl"/>
              </w:rPr>
            </w:pPr>
            <w:r w:rsidRPr="00A84A5B">
              <w:rPr>
                <w:i/>
                <w:iCs/>
                <w:color w:val="000000"/>
                <w:lang w:val="es-ES_tradnl"/>
              </w:rPr>
              <w:t>Parte/año</w:t>
            </w:r>
          </w:p>
        </w:tc>
        <w:tc>
          <w:tcPr>
            <w:tcW w:w="3019" w:type="dxa"/>
            <w:tcBorders>
              <w:top w:val="single" w:sz="4" w:space="0" w:color="auto"/>
              <w:bottom w:val="single" w:sz="4" w:space="0" w:color="auto"/>
            </w:tcBorders>
            <w:vAlign w:val="bottom"/>
          </w:tcPr>
          <w:p w14:paraId="14929531" w14:textId="77777777" w:rsidR="003E09D8" w:rsidRPr="00A84A5B" w:rsidRDefault="003E09D8" w:rsidP="00333421">
            <w:pPr>
              <w:pStyle w:val="Normal-pool-Table"/>
              <w:jc w:val="center"/>
              <w:rPr>
                <w:lang w:val="es-ES_tradnl"/>
              </w:rPr>
            </w:pPr>
            <w:r w:rsidRPr="00A84A5B">
              <w:rPr>
                <w:i/>
                <w:iCs/>
                <w:color w:val="000000"/>
                <w:lang w:val="es-ES_tradnl"/>
              </w:rPr>
              <w:t>Datos anteriores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c>
          <w:tcPr>
            <w:tcW w:w="3020" w:type="dxa"/>
            <w:tcBorders>
              <w:top w:val="single" w:sz="4" w:space="0" w:color="auto"/>
              <w:bottom w:val="single" w:sz="4" w:space="0" w:color="auto"/>
            </w:tcBorders>
            <w:vAlign w:val="bottom"/>
          </w:tcPr>
          <w:p w14:paraId="567228C1" w14:textId="61125805" w:rsidR="003E09D8" w:rsidRPr="00A84A5B" w:rsidRDefault="003E09D8" w:rsidP="00333421">
            <w:pPr>
              <w:pStyle w:val="Normal-pool-Table"/>
              <w:jc w:val="center"/>
              <w:rPr>
                <w:lang w:val="es-ES_tradnl"/>
              </w:rPr>
            </w:pPr>
            <w:r w:rsidRPr="00A84A5B">
              <w:rPr>
                <w:i/>
                <w:iCs/>
                <w:color w:val="000000"/>
                <w:lang w:val="es-ES_tradnl"/>
              </w:rPr>
              <w:t xml:space="preserve">Nuevos datos sobre HFC </w:t>
            </w:r>
            <w:r w:rsidR="005B1EEB">
              <w:rPr>
                <w:i/>
                <w:iCs/>
                <w:color w:val="000000"/>
                <w:lang w:val="es-ES_tradnl"/>
              </w:rPr>
              <w:br/>
            </w:r>
            <w:r w:rsidRPr="00A84A5B">
              <w:rPr>
                <w:i/>
                <w:iCs/>
                <w:color w:val="000000"/>
                <w:lang w:val="es-ES_tradnl"/>
              </w:rPr>
              <w:t>(toneladas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120ECE23" w14:textId="77777777" w:rsidTr="00333421">
        <w:trPr>
          <w:trHeight w:val="57"/>
          <w:jc w:val="right"/>
        </w:trPr>
        <w:tc>
          <w:tcPr>
            <w:tcW w:w="2268" w:type="dxa"/>
            <w:vMerge/>
            <w:tcBorders>
              <w:bottom w:val="single" w:sz="12" w:space="0" w:color="auto"/>
            </w:tcBorders>
          </w:tcPr>
          <w:p w14:paraId="2D354AC3" w14:textId="77777777" w:rsidR="003E09D8" w:rsidRPr="00A84A5B" w:rsidRDefault="003E09D8" w:rsidP="00333421">
            <w:pPr>
              <w:pStyle w:val="Normal-pool-Table"/>
              <w:rPr>
                <w:i/>
                <w:iCs/>
                <w:lang w:val="es-ES_tradnl"/>
              </w:rPr>
            </w:pPr>
          </w:p>
        </w:tc>
        <w:tc>
          <w:tcPr>
            <w:tcW w:w="3019" w:type="dxa"/>
            <w:tcBorders>
              <w:top w:val="single" w:sz="4" w:space="0" w:color="auto"/>
              <w:bottom w:val="single" w:sz="12" w:space="0" w:color="auto"/>
            </w:tcBorders>
          </w:tcPr>
          <w:p w14:paraId="7081D774" w14:textId="77777777" w:rsidR="003E09D8" w:rsidRPr="00A84A5B" w:rsidRDefault="003E09D8" w:rsidP="00333421">
            <w:pPr>
              <w:pStyle w:val="Normal-pool-Table"/>
              <w:jc w:val="right"/>
              <w:rPr>
                <w:i/>
                <w:iCs/>
                <w:lang w:val="es-ES_tradnl"/>
              </w:rPr>
            </w:pPr>
            <w:r w:rsidRPr="00A84A5B">
              <w:rPr>
                <w:i/>
                <w:iCs/>
                <w:color w:val="000000"/>
                <w:lang w:val="es-ES_tradnl"/>
              </w:rPr>
              <w:t>2022</w:t>
            </w:r>
          </w:p>
        </w:tc>
        <w:tc>
          <w:tcPr>
            <w:tcW w:w="3020" w:type="dxa"/>
            <w:tcBorders>
              <w:top w:val="single" w:sz="4" w:space="0" w:color="auto"/>
              <w:bottom w:val="single" w:sz="12" w:space="0" w:color="auto"/>
            </w:tcBorders>
          </w:tcPr>
          <w:p w14:paraId="40337B52" w14:textId="77777777" w:rsidR="003E09D8" w:rsidRPr="00A84A5B" w:rsidRDefault="003E09D8" w:rsidP="00333421">
            <w:pPr>
              <w:pStyle w:val="Normal-pool-Table"/>
              <w:jc w:val="right"/>
              <w:rPr>
                <w:i/>
                <w:iCs/>
                <w:lang w:val="es-ES_tradnl"/>
              </w:rPr>
            </w:pPr>
            <w:r w:rsidRPr="00A84A5B">
              <w:rPr>
                <w:i/>
                <w:iCs/>
                <w:color w:val="000000"/>
                <w:lang w:val="es-ES_tradnl"/>
              </w:rPr>
              <w:t>2022</w:t>
            </w:r>
          </w:p>
        </w:tc>
      </w:tr>
      <w:tr w:rsidR="003E09D8" w:rsidRPr="00A84A5B" w14:paraId="041A9101" w14:textId="77777777" w:rsidTr="00333421">
        <w:trPr>
          <w:trHeight w:val="57"/>
          <w:jc w:val="right"/>
        </w:trPr>
        <w:tc>
          <w:tcPr>
            <w:tcW w:w="2268" w:type="dxa"/>
            <w:tcBorders>
              <w:top w:val="single" w:sz="12" w:space="0" w:color="auto"/>
              <w:bottom w:val="single" w:sz="12" w:space="0" w:color="auto"/>
            </w:tcBorders>
          </w:tcPr>
          <w:p w14:paraId="5D06C3EB" w14:textId="77777777" w:rsidR="003E09D8" w:rsidRPr="00A84A5B" w:rsidRDefault="003E09D8" w:rsidP="00333421">
            <w:pPr>
              <w:pStyle w:val="Normal-pool-Table"/>
              <w:rPr>
                <w:lang w:val="es-ES_tradnl"/>
              </w:rPr>
            </w:pPr>
            <w:r w:rsidRPr="00A84A5B">
              <w:rPr>
                <w:color w:val="000000"/>
                <w:lang w:val="es-ES_tradnl"/>
              </w:rPr>
              <w:t>Bosnia y Herzegovina</w:t>
            </w:r>
          </w:p>
        </w:tc>
        <w:tc>
          <w:tcPr>
            <w:tcW w:w="3019" w:type="dxa"/>
            <w:tcBorders>
              <w:top w:val="single" w:sz="12" w:space="0" w:color="auto"/>
              <w:bottom w:val="single" w:sz="12" w:space="0" w:color="auto"/>
            </w:tcBorders>
          </w:tcPr>
          <w:p w14:paraId="6796F8D8" w14:textId="00678AE6" w:rsidR="003E09D8" w:rsidRPr="00A84A5B" w:rsidRDefault="003E09D8" w:rsidP="00333421">
            <w:pPr>
              <w:pStyle w:val="Normal-pool-Table"/>
              <w:jc w:val="right"/>
              <w:rPr>
                <w:lang w:val="es-ES_tradnl"/>
              </w:rPr>
            </w:pPr>
            <w:r w:rsidRPr="00A84A5B">
              <w:rPr>
                <w:color w:val="000000"/>
                <w:lang w:val="es-ES_tradnl"/>
              </w:rPr>
              <w:t>1</w:t>
            </w:r>
            <w:r w:rsidR="008B2CA5" w:rsidRPr="00A84A5B">
              <w:rPr>
                <w:color w:val="000000"/>
                <w:lang w:val="es-ES_tradnl"/>
              </w:rPr>
              <w:t> </w:t>
            </w:r>
            <w:r w:rsidRPr="00A84A5B">
              <w:rPr>
                <w:color w:val="000000"/>
                <w:lang w:val="es-ES_tradnl"/>
              </w:rPr>
              <w:t>340</w:t>
            </w:r>
            <w:r w:rsidR="008B2CA5" w:rsidRPr="00A84A5B">
              <w:rPr>
                <w:color w:val="000000"/>
                <w:lang w:val="es-ES_tradnl"/>
              </w:rPr>
              <w:t> </w:t>
            </w:r>
            <w:r w:rsidRPr="00A84A5B">
              <w:rPr>
                <w:color w:val="000000"/>
                <w:lang w:val="es-ES_tradnl"/>
              </w:rPr>
              <w:t>919</w:t>
            </w:r>
          </w:p>
        </w:tc>
        <w:tc>
          <w:tcPr>
            <w:tcW w:w="3020" w:type="dxa"/>
            <w:tcBorders>
              <w:top w:val="single" w:sz="12" w:space="0" w:color="auto"/>
              <w:bottom w:val="single" w:sz="12" w:space="0" w:color="auto"/>
            </w:tcBorders>
          </w:tcPr>
          <w:p w14:paraId="25D55495" w14:textId="610E5553" w:rsidR="003E09D8" w:rsidRPr="00A84A5B" w:rsidRDefault="003E09D8" w:rsidP="00333421">
            <w:pPr>
              <w:pStyle w:val="Normal-pool-Table"/>
              <w:jc w:val="right"/>
              <w:rPr>
                <w:lang w:val="es-ES_tradnl"/>
              </w:rPr>
            </w:pPr>
            <w:r w:rsidRPr="00A84A5B">
              <w:rPr>
                <w:color w:val="000000"/>
                <w:lang w:val="es-ES_tradnl"/>
              </w:rPr>
              <w:t>1</w:t>
            </w:r>
            <w:r w:rsidR="008B2CA5" w:rsidRPr="00A84A5B">
              <w:rPr>
                <w:color w:val="000000"/>
                <w:lang w:val="es-ES_tradnl"/>
              </w:rPr>
              <w:t> </w:t>
            </w:r>
            <w:r w:rsidRPr="00A84A5B">
              <w:rPr>
                <w:color w:val="000000"/>
                <w:lang w:val="es-ES_tradnl"/>
              </w:rPr>
              <w:t>402</w:t>
            </w:r>
            <w:r w:rsidR="008B2CA5" w:rsidRPr="00A84A5B">
              <w:rPr>
                <w:color w:val="000000"/>
                <w:lang w:val="es-ES_tradnl"/>
              </w:rPr>
              <w:t> </w:t>
            </w:r>
            <w:r w:rsidRPr="00A84A5B">
              <w:rPr>
                <w:color w:val="000000"/>
                <w:lang w:val="es-ES_tradnl"/>
              </w:rPr>
              <w:t>682</w:t>
            </w:r>
          </w:p>
        </w:tc>
      </w:tr>
    </w:tbl>
    <w:p w14:paraId="0A3981AC" w14:textId="77777777" w:rsidR="003E09D8" w:rsidRPr="005B1EEB" w:rsidRDefault="003E09D8" w:rsidP="003E09D8">
      <w:pPr>
        <w:tabs>
          <w:tab w:val="left" w:pos="624"/>
          <w:tab w:val="left" w:pos="1871"/>
          <w:tab w:val="left" w:pos="2495"/>
          <w:tab w:val="left" w:pos="3119"/>
          <w:tab w:val="left" w:pos="3742"/>
          <w:tab w:val="left" w:pos="4366"/>
          <w:tab w:val="left" w:pos="4990"/>
        </w:tabs>
        <w:spacing w:before="60" w:after="120"/>
        <w:ind w:left="1247"/>
        <w:rPr>
          <w:sz w:val="18"/>
          <w:szCs w:val="18"/>
          <w:lang w:val="es-ES_tradnl"/>
        </w:rPr>
      </w:pPr>
      <w:r w:rsidRPr="005B1EEB">
        <w:rPr>
          <w:sz w:val="18"/>
          <w:szCs w:val="18"/>
          <w:lang w:val="es-ES_tradnl"/>
        </w:rPr>
        <w:tab/>
      </w:r>
      <w:r w:rsidRPr="005B1EEB">
        <w:rPr>
          <w:i/>
          <w:iCs/>
          <w:sz w:val="18"/>
          <w:szCs w:val="18"/>
          <w:lang w:val="es-ES_tradnl"/>
        </w:rPr>
        <w:t>Abreviaciones</w:t>
      </w:r>
      <w:r w:rsidRPr="005B1EEB">
        <w:rPr>
          <w:sz w:val="18"/>
          <w:szCs w:val="18"/>
          <w:lang w:val="es-ES_tradnl"/>
        </w:rPr>
        <w:t>: CO</w:t>
      </w:r>
      <w:r w:rsidRPr="005B1EEB">
        <w:rPr>
          <w:sz w:val="18"/>
          <w:szCs w:val="18"/>
          <w:vertAlign w:val="subscript"/>
          <w:lang w:val="es-ES_tradnl"/>
        </w:rPr>
        <w:t>2</w:t>
      </w:r>
      <w:r w:rsidRPr="005B1EEB">
        <w:rPr>
          <w:sz w:val="18"/>
          <w:szCs w:val="18"/>
          <w:lang w:val="es-ES_tradnl"/>
        </w:rPr>
        <w:t xml:space="preserve"> </w:t>
      </w:r>
      <w:proofErr w:type="spellStart"/>
      <w:r w:rsidRPr="005B1EEB">
        <w:rPr>
          <w:sz w:val="18"/>
          <w:szCs w:val="18"/>
          <w:lang w:val="es-ES_tradnl"/>
        </w:rPr>
        <w:t>eq</w:t>
      </w:r>
      <w:proofErr w:type="spellEnd"/>
      <w:r w:rsidRPr="005B1EEB">
        <w:rPr>
          <w:sz w:val="18"/>
          <w:szCs w:val="18"/>
          <w:lang w:val="es-ES_tradnl"/>
        </w:rPr>
        <w:t xml:space="preserve"> = dióxido de carbono equivalente; HFC = hidrofluorocarbono.</w:t>
      </w:r>
    </w:p>
    <w:p w14:paraId="5B3060B3" w14:textId="77777777" w:rsidR="003E09D8" w:rsidRPr="00A84A5B" w:rsidRDefault="003E09D8" w:rsidP="004B556F">
      <w:pPr>
        <w:pStyle w:val="NormalNonumber"/>
        <w:numPr>
          <w:ilvl w:val="0"/>
          <w:numId w:val="313"/>
        </w:numPr>
        <w:tabs>
          <w:tab w:val="clear" w:pos="1247"/>
          <w:tab w:val="clear" w:pos="1871"/>
          <w:tab w:val="clear" w:pos="2495"/>
          <w:tab w:val="clear" w:pos="3119"/>
          <w:tab w:val="clear" w:pos="3742"/>
          <w:tab w:val="clear" w:pos="4366"/>
          <w:tab w:val="clear" w:pos="4990"/>
        </w:tabs>
        <w:spacing w:before="120"/>
        <w:ind w:left="1247" w:firstLine="624"/>
        <w:rPr>
          <w:lang w:val="es-ES_tradnl"/>
        </w:rPr>
      </w:pPr>
      <w:r w:rsidRPr="00A84A5B">
        <w:rPr>
          <w:lang w:val="es-ES_tradnl"/>
        </w:rPr>
        <w:t>Que el Brasil ha aportado información suficiente, de conformidad con la decisión XV/19, para justificar su solicitud de modificación de sus datos sobre consumo de hidrofluorocarbonos correspondientes a 2022, que forman parte del nivel de base para las Partes del grupo 1 que operan al amparo del artículo 5 en virtud de la Enmienda de Kigali al Protocolo de Montreal;</w:t>
      </w:r>
    </w:p>
    <w:p w14:paraId="69FA9C39"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Aprobar la solicitud del Brasil y modificar sus datos sobre el consumo de hidrofluorocarbonos en el año de referencia 2022, según lo indicado en el cuadro siguiente:</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86"/>
        <w:gridCol w:w="2769"/>
      </w:tblGrid>
      <w:tr w:rsidR="003E09D8" w:rsidRPr="008353E4" w14:paraId="1E1B1896" w14:textId="77777777" w:rsidTr="00333421">
        <w:trPr>
          <w:trHeight w:val="57"/>
          <w:jc w:val="right"/>
        </w:trPr>
        <w:tc>
          <w:tcPr>
            <w:tcW w:w="2552" w:type="dxa"/>
            <w:vMerge w:val="restart"/>
            <w:tcBorders>
              <w:top w:val="single" w:sz="4" w:space="0" w:color="auto"/>
              <w:bottom w:val="single" w:sz="12" w:space="0" w:color="auto"/>
            </w:tcBorders>
            <w:vAlign w:val="bottom"/>
          </w:tcPr>
          <w:p w14:paraId="4E4837CF" w14:textId="77777777" w:rsidR="003E09D8" w:rsidRPr="00A84A5B" w:rsidRDefault="003E09D8" w:rsidP="004B556F">
            <w:pPr>
              <w:pStyle w:val="Normal-pool-Table"/>
              <w:spacing w:before="20"/>
              <w:rPr>
                <w:i/>
                <w:iCs/>
                <w:lang w:val="es-ES_tradnl"/>
              </w:rPr>
            </w:pPr>
            <w:r w:rsidRPr="00A84A5B">
              <w:rPr>
                <w:i/>
                <w:iCs/>
                <w:color w:val="000000"/>
                <w:lang w:val="es-ES_tradnl"/>
              </w:rPr>
              <w:t>Parte/año</w:t>
            </w:r>
          </w:p>
        </w:tc>
        <w:tc>
          <w:tcPr>
            <w:tcW w:w="2986" w:type="dxa"/>
            <w:tcBorders>
              <w:top w:val="single" w:sz="4" w:space="0" w:color="auto"/>
              <w:bottom w:val="single" w:sz="4" w:space="0" w:color="auto"/>
            </w:tcBorders>
            <w:vAlign w:val="bottom"/>
          </w:tcPr>
          <w:p w14:paraId="4391D8C4"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Datos anteriores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c>
          <w:tcPr>
            <w:tcW w:w="2769" w:type="dxa"/>
            <w:tcBorders>
              <w:top w:val="single" w:sz="4" w:space="0" w:color="auto"/>
              <w:bottom w:val="single" w:sz="4" w:space="0" w:color="auto"/>
            </w:tcBorders>
            <w:vAlign w:val="bottom"/>
          </w:tcPr>
          <w:p w14:paraId="4D35A581"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Nuevos datos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590AB098" w14:textId="77777777" w:rsidTr="00333421">
        <w:trPr>
          <w:trHeight w:val="57"/>
          <w:jc w:val="right"/>
        </w:trPr>
        <w:tc>
          <w:tcPr>
            <w:tcW w:w="2552" w:type="dxa"/>
            <w:vMerge/>
            <w:tcBorders>
              <w:top w:val="single" w:sz="12" w:space="0" w:color="auto"/>
              <w:bottom w:val="single" w:sz="12" w:space="0" w:color="auto"/>
            </w:tcBorders>
          </w:tcPr>
          <w:p w14:paraId="108AFA5A" w14:textId="77777777" w:rsidR="003E09D8" w:rsidRPr="00A84A5B" w:rsidRDefault="003E09D8" w:rsidP="004B556F">
            <w:pPr>
              <w:pStyle w:val="Normal-pool-Table"/>
              <w:spacing w:before="20"/>
              <w:rPr>
                <w:i/>
                <w:iCs/>
                <w:lang w:val="es-ES_tradnl"/>
              </w:rPr>
            </w:pPr>
          </w:p>
        </w:tc>
        <w:tc>
          <w:tcPr>
            <w:tcW w:w="2986" w:type="dxa"/>
            <w:tcBorders>
              <w:top w:val="single" w:sz="4" w:space="0" w:color="auto"/>
              <w:bottom w:val="single" w:sz="12" w:space="0" w:color="auto"/>
            </w:tcBorders>
          </w:tcPr>
          <w:p w14:paraId="3EB30997"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2022</w:t>
            </w:r>
          </w:p>
        </w:tc>
        <w:tc>
          <w:tcPr>
            <w:tcW w:w="2769" w:type="dxa"/>
            <w:tcBorders>
              <w:top w:val="single" w:sz="4" w:space="0" w:color="auto"/>
              <w:bottom w:val="single" w:sz="12" w:space="0" w:color="auto"/>
            </w:tcBorders>
          </w:tcPr>
          <w:p w14:paraId="7583B6DA"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2022</w:t>
            </w:r>
          </w:p>
        </w:tc>
      </w:tr>
      <w:tr w:rsidR="003E09D8" w:rsidRPr="00A84A5B" w14:paraId="06F44DD6" w14:textId="77777777" w:rsidTr="00333421">
        <w:trPr>
          <w:trHeight w:val="57"/>
          <w:jc w:val="right"/>
        </w:trPr>
        <w:tc>
          <w:tcPr>
            <w:tcW w:w="2552" w:type="dxa"/>
            <w:tcBorders>
              <w:top w:val="single" w:sz="12" w:space="0" w:color="auto"/>
              <w:bottom w:val="single" w:sz="12" w:space="0" w:color="auto"/>
            </w:tcBorders>
          </w:tcPr>
          <w:p w14:paraId="0A25AA89" w14:textId="77777777" w:rsidR="003E09D8" w:rsidRPr="00A84A5B" w:rsidRDefault="003E09D8" w:rsidP="004B556F">
            <w:pPr>
              <w:pStyle w:val="Normal-pool-Table"/>
              <w:spacing w:before="20"/>
              <w:rPr>
                <w:lang w:val="es-ES_tradnl"/>
              </w:rPr>
            </w:pPr>
            <w:r w:rsidRPr="00A84A5B">
              <w:rPr>
                <w:color w:val="000000"/>
                <w:lang w:val="es-ES_tradnl"/>
              </w:rPr>
              <w:t>Brasil</w:t>
            </w:r>
          </w:p>
        </w:tc>
        <w:tc>
          <w:tcPr>
            <w:tcW w:w="2986" w:type="dxa"/>
            <w:tcBorders>
              <w:top w:val="single" w:sz="12" w:space="0" w:color="auto"/>
              <w:bottom w:val="single" w:sz="12" w:space="0" w:color="auto"/>
            </w:tcBorders>
          </w:tcPr>
          <w:p w14:paraId="620C1226" w14:textId="36F34274" w:rsidR="003E09D8" w:rsidRPr="00A84A5B" w:rsidRDefault="003E09D8" w:rsidP="004B556F">
            <w:pPr>
              <w:pStyle w:val="Normal-pool-Table"/>
              <w:spacing w:before="20"/>
              <w:jc w:val="right"/>
              <w:rPr>
                <w:lang w:val="es-ES_tradnl"/>
              </w:rPr>
            </w:pPr>
            <w:r w:rsidRPr="00A84A5B">
              <w:rPr>
                <w:color w:val="000000"/>
                <w:lang w:val="es-ES_tradnl"/>
              </w:rPr>
              <w:t>89</w:t>
            </w:r>
            <w:r w:rsidR="008B2CA5" w:rsidRPr="00A84A5B">
              <w:rPr>
                <w:color w:val="000000"/>
                <w:lang w:val="es-ES_tradnl"/>
              </w:rPr>
              <w:t> </w:t>
            </w:r>
            <w:r w:rsidRPr="00A84A5B">
              <w:rPr>
                <w:color w:val="000000"/>
                <w:lang w:val="es-ES_tradnl"/>
              </w:rPr>
              <w:t>756</w:t>
            </w:r>
            <w:r w:rsidR="008B2CA5" w:rsidRPr="00A84A5B">
              <w:rPr>
                <w:color w:val="000000"/>
                <w:lang w:val="es-ES_tradnl"/>
              </w:rPr>
              <w:t> </w:t>
            </w:r>
            <w:r w:rsidRPr="00A84A5B">
              <w:rPr>
                <w:color w:val="000000"/>
                <w:lang w:val="es-ES_tradnl"/>
              </w:rPr>
              <w:t>651</w:t>
            </w:r>
          </w:p>
        </w:tc>
        <w:tc>
          <w:tcPr>
            <w:tcW w:w="2769" w:type="dxa"/>
            <w:tcBorders>
              <w:top w:val="single" w:sz="12" w:space="0" w:color="auto"/>
              <w:bottom w:val="single" w:sz="12" w:space="0" w:color="auto"/>
            </w:tcBorders>
          </w:tcPr>
          <w:p w14:paraId="0421277B" w14:textId="7B5AE71F" w:rsidR="003E09D8" w:rsidRPr="00A84A5B" w:rsidRDefault="003E09D8" w:rsidP="004B556F">
            <w:pPr>
              <w:pStyle w:val="Normal-pool-Table"/>
              <w:spacing w:before="20"/>
              <w:jc w:val="right"/>
              <w:rPr>
                <w:lang w:val="es-ES_tradnl"/>
              </w:rPr>
            </w:pPr>
            <w:r w:rsidRPr="00A84A5B">
              <w:rPr>
                <w:color w:val="000000"/>
                <w:lang w:val="es-ES_tradnl"/>
              </w:rPr>
              <w:t>79</w:t>
            </w:r>
            <w:r w:rsidR="008B2CA5" w:rsidRPr="00A84A5B">
              <w:rPr>
                <w:color w:val="000000"/>
                <w:lang w:val="es-ES_tradnl"/>
              </w:rPr>
              <w:t> </w:t>
            </w:r>
            <w:r w:rsidRPr="00A84A5B">
              <w:rPr>
                <w:color w:val="000000"/>
                <w:lang w:val="es-ES_tradnl"/>
              </w:rPr>
              <w:t>416</w:t>
            </w:r>
            <w:r w:rsidR="008B2CA5" w:rsidRPr="00A84A5B">
              <w:rPr>
                <w:color w:val="000000"/>
                <w:lang w:val="es-ES_tradnl"/>
              </w:rPr>
              <w:t> </w:t>
            </w:r>
            <w:r w:rsidRPr="00A84A5B">
              <w:rPr>
                <w:color w:val="000000"/>
                <w:lang w:val="es-ES_tradnl"/>
              </w:rPr>
              <w:t>087</w:t>
            </w:r>
          </w:p>
        </w:tc>
      </w:tr>
    </w:tbl>
    <w:p w14:paraId="655ACE67" w14:textId="77777777" w:rsidR="003E09D8" w:rsidRPr="00D12B17" w:rsidRDefault="003E09D8" w:rsidP="003E09D8">
      <w:pPr>
        <w:tabs>
          <w:tab w:val="left" w:pos="624"/>
          <w:tab w:val="left" w:pos="1871"/>
          <w:tab w:val="left" w:pos="2495"/>
          <w:tab w:val="left" w:pos="3119"/>
          <w:tab w:val="left" w:pos="3742"/>
          <w:tab w:val="left" w:pos="4366"/>
          <w:tab w:val="left" w:pos="4990"/>
        </w:tabs>
        <w:spacing w:before="60" w:after="120"/>
        <w:ind w:left="1247"/>
        <w:rPr>
          <w:sz w:val="18"/>
          <w:szCs w:val="18"/>
          <w:lang w:val="es-ES_tradnl"/>
        </w:rPr>
      </w:pPr>
      <w:r w:rsidRPr="00A84A5B">
        <w:rPr>
          <w:lang w:val="es-ES_tradnl"/>
        </w:rPr>
        <w:tab/>
      </w:r>
      <w:r w:rsidRPr="00D12B17">
        <w:rPr>
          <w:i/>
          <w:iCs/>
          <w:sz w:val="18"/>
          <w:szCs w:val="18"/>
          <w:lang w:val="es-ES_tradnl"/>
        </w:rPr>
        <w:t>Abreviaciones</w:t>
      </w:r>
      <w:r w:rsidRPr="00D12B17">
        <w:rPr>
          <w:sz w:val="18"/>
          <w:szCs w:val="18"/>
          <w:lang w:val="es-ES_tradnl"/>
        </w:rPr>
        <w:t>: CO</w:t>
      </w:r>
      <w:r w:rsidRPr="00D12B17">
        <w:rPr>
          <w:sz w:val="18"/>
          <w:szCs w:val="18"/>
          <w:vertAlign w:val="subscript"/>
          <w:lang w:val="es-ES_tradnl"/>
        </w:rPr>
        <w:t>2</w:t>
      </w:r>
      <w:r w:rsidRPr="00D12B17">
        <w:rPr>
          <w:sz w:val="18"/>
          <w:szCs w:val="18"/>
          <w:lang w:val="es-ES_tradnl"/>
        </w:rPr>
        <w:t xml:space="preserve"> </w:t>
      </w:r>
      <w:proofErr w:type="spellStart"/>
      <w:r w:rsidRPr="00D12B17">
        <w:rPr>
          <w:sz w:val="18"/>
          <w:szCs w:val="18"/>
          <w:lang w:val="es-ES_tradnl"/>
        </w:rPr>
        <w:t>eq</w:t>
      </w:r>
      <w:proofErr w:type="spellEnd"/>
      <w:r w:rsidRPr="00D12B17">
        <w:rPr>
          <w:sz w:val="18"/>
          <w:szCs w:val="18"/>
          <w:lang w:val="es-ES_tradnl"/>
        </w:rPr>
        <w:t xml:space="preserve"> = dióxido de carbono equivalente; HFC = hidrofluorocarbono.</w:t>
      </w:r>
    </w:p>
    <w:p w14:paraId="67AD2014" w14:textId="77777777" w:rsidR="003E09D8" w:rsidRPr="00A84A5B" w:rsidRDefault="003E09D8" w:rsidP="004B556F">
      <w:pPr>
        <w:pStyle w:val="NormalNonumber"/>
        <w:numPr>
          <w:ilvl w:val="0"/>
          <w:numId w:val="313"/>
        </w:numPr>
        <w:tabs>
          <w:tab w:val="clear" w:pos="1247"/>
          <w:tab w:val="clear" w:pos="1871"/>
          <w:tab w:val="clear" w:pos="2495"/>
          <w:tab w:val="clear" w:pos="3119"/>
          <w:tab w:val="clear" w:pos="3742"/>
          <w:tab w:val="clear" w:pos="4366"/>
          <w:tab w:val="clear" w:pos="4990"/>
        </w:tabs>
        <w:spacing w:before="120"/>
        <w:ind w:left="1247" w:firstLine="624"/>
        <w:rPr>
          <w:lang w:val="es-ES_tradnl"/>
        </w:rPr>
      </w:pPr>
      <w:r w:rsidRPr="00A84A5B">
        <w:rPr>
          <w:lang w:val="es-ES_tradnl"/>
        </w:rPr>
        <w:lastRenderedPageBreak/>
        <w:t>Que Guinea ha aportado información suficiente, de conformidad con la decisión XV/19, para justificar su solicitud de modificación de sus datos sobre consumo de hidroclorofluorocarbonos correspondientes a 2009 y 2010, que forman parte del nivel de base para las Partes del grupo 1 que operan al amparo del artículo 5 en virtud de la Enmienda de Kigali al Protocolo de Montreal;</w:t>
      </w:r>
    </w:p>
    <w:p w14:paraId="77B49739"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Aprobar la solicitud de Guinea y modificar sus datos sobre el consumo de hidroclorofluorocarbonos en los años de referencia 2009 y 2010, según lo indicado en el cuadro siguiente:</w:t>
      </w:r>
    </w:p>
    <w:tbl>
      <w:tblPr>
        <w:tblStyle w:val="TableGrid"/>
        <w:tblW w:w="7938"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850"/>
        <w:gridCol w:w="993"/>
        <w:gridCol w:w="850"/>
        <w:gridCol w:w="836"/>
        <w:gridCol w:w="576"/>
        <w:gridCol w:w="846"/>
        <w:gridCol w:w="1002"/>
      </w:tblGrid>
      <w:tr w:rsidR="003E09D8" w:rsidRPr="008353E4" w14:paraId="18D73D14" w14:textId="77777777" w:rsidTr="00D91D10">
        <w:trPr>
          <w:trHeight w:val="57"/>
        </w:trPr>
        <w:tc>
          <w:tcPr>
            <w:tcW w:w="1134" w:type="dxa"/>
            <w:vMerge w:val="restart"/>
            <w:vAlign w:val="bottom"/>
          </w:tcPr>
          <w:p w14:paraId="661A5E7D" w14:textId="77777777" w:rsidR="003E09D8" w:rsidRPr="00A84A5B" w:rsidRDefault="003E09D8" w:rsidP="004B556F">
            <w:pPr>
              <w:pStyle w:val="Normal-pool-Table"/>
              <w:spacing w:before="20"/>
              <w:rPr>
                <w:i/>
                <w:lang w:val="es-ES_tradnl"/>
              </w:rPr>
            </w:pPr>
            <w:r w:rsidRPr="00A84A5B">
              <w:rPr>
                <w:i/>
                <w:iCs/>
                <w:color w:val="000000"/>
                <w:lang w:val="es-ES_tradnl"/>
              </w:rPr>
              <w:t>Parte/año</w:t>
            </w:r>
          </w:p>
        </w:tc>
        <w:tc>
          <w:tcPr>
            <w:tcW w:w="3544" w:type="dxa"/>
            <w:gridSpan w:val="4"/>
            <w:tcBorders>
              <w:bottom w:val="single" w:sz="4" w:space="0" w:color="auto"/>
            </w:tcBorders>
          </w:tcPr>
          <w:p w14:paraId="1CA7DA1F"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Datos anteriores sobre los HCFC</w:t>
            </w:r>
          </w:p>
        </w:tc>
        <w:tc>
          <w:tcPr>
            <w:tcW w:w="3260" w:type="dxa"/>
            <w:gridSpan w:val="4"/>
            <w:tcBorders>
              <w:bottom w:val="single" w:sz="4" w:space="0" w:color="auto"/>
            </w:tcBorders>
            <w:vAlign w:val="bottom"/>
          </w:tcPr>
          <w:p w14:paraId="6E67A2A3" w14:textId="77777777" w:rsidR="003E09D8" w:rsidRPr="00A84A5B" w:rsidRDefault="003E09D8" w:rsidP="004B556F">
            <w:pPr>
              <w:pStyle w:val="Normal-pool-Table"/>
              <w:spacing w:before="20"/>
              <w:jc w:val="center"/>
              <w:rPr>
                <w:i/>
                <w:iCs/>
                <w:lang w:val="es-ES_tradnl"/>
              </w:rPr>
            </w:pPr>
            <w:r w:rsidRPr="00A84A5B">
              <w:rPr>
                <w:i/>
                <w:iCs/>
                <w:color w:val="000000"/>
                <w:lang w:val="es-ES_tradnl"/>
              </w:rPr>
              <w:t>Nuevos datos sobre los HCFC</w:t>
            </w:r>
          </w:p>
        </w:tc>
      </w:tr>
      <w:tr w:rsidR="003E09D8" w:rsidRPr="00A84A5B" w14:paraId="50AD9F49" w14:textId="77777777" w:rsidTr="00D91D10">
        <w:trPr>
          <w:trHeight w:val="57"/>
        </w:trPr>
        <w:tc>
          <w:tcPr>
            <w:tcW w:w="1134" w:type="dxa"/>
            <w:vMerge/>
            <w:vAlign w:val="bottom"/>
          </w:tcPr>
          <w:p w14:paraId="144EF778" w14:textId="77777777" w:rsidR="003E09D8" w:rsidRPr="00A84A5B" w:rsidRDefault="003E09D8" w:rsidP="004B556F">
            <w:pPr>
              <w:pStyle w:val="Normal-pool-Table"/>
              <w:spacing w:before="20"/>
              <w:rPr>
                <w:lang w:val="es-ES_tradnl"/>
              </w:rPr>
            </w:pPr>
          </w:p>
        </w:tc>
        <w:tc>
          <w:tcPr>
            <w:tcW w:w="1701" w:type="dxa"/>
            <w:gridSpan w:val="2"/>
            <w:tcBorders>
              <w:top w:val="single" w:sz="4" w:space="0" w:color="auto"/>
              <w:bottom w:val="single" w:sz="4" w:space="0" w:color="auto"/>
            </w:tcBorders>
          </w:tcPr>
          <w:p w14:paraId="347869D9" w14:textId="77777777" w:rsidR="003E09D8" w:rsidRPr="00A84A5B" w:rsidRDefault="003E09D8" w:rsidP="005B1EEB">
            <w:pPr>
              <w:pStyle w:val="Normal-pool-Table"/>
              <w:spacing w:before="20"/>
              <w:ind w:right="-57"/>
              <w:jc w:val="center"/>
              <w:rPr>
                <w:i/>
                <w:iCs/>
                <w:lang w:val="es-ES_tradnl"/>
              </w:rPr>
            </w:pPr>
            <w:r w:rsidRPr="00A84A5B">
              <w:rPr>
                <w:i/>
                <w:iCs/>
                <w:color w:val="000000"/>
                <w:lang w:val="es-ES_tradnl"/>
              </w:rPr>
              <w:t>Toneladas PAO</w:t>
            </w:r>
          </w:p>
        </w:tc>
        <w:tc>
          <w:tcPr>
            <w:tcW w:w="1843" w:type="dxa"/>
            <w:gridSpan w:val="2"/>
            <w:tcBorders>
              <w:top w:val="single" w:sz="4" w:space="0" w:color="auto"/>
              <w:bottom w:val="single" w:sz="4" w:space="0" w:color="auto"/>
            </w:tcBorders>
            <w:vAlign w:val="bottom"/>
          </w:tcPr>
          <w:p w14:paraId="0A81669A" w14:textId="77777777" w:rsidR="003E09D8" w:rsidRPr="00A84A5B" w:rsidRDefault="003E09D8" w:rsidP="005B1EEB">
            <w:pPr>
              <w:pStyle w:val="Normal-pool-Table"/>
              <w:spacing w:before="20"/>
              <w:ind w:right="-57"/>
              <w:jc w:val="center"/>
              <w:rPr>
                <w:i/>
                <w:iCs/>
                <w:lang w:val="es-ES_tradnl"/>
              </w:rPr>
            </w:pPr>
            <w:r w:rsidRPr="00A84A5B">
              <w:rPr>
                <w:i/>
                <w:iCs/>
                <w:color w:val="000000"/>
                <w:lang w:val="es-ES_tradnl"/>
              </w:rPr>
              <w:t>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p>
        </w:tc>
        <w:tc>
          <w:tcPr>
            <w:tcW w:w="1412" w:type="dxa"/>
            <w:gridSpan w:val="2"/>
            <w:tcBorders>
              <w:top w:val="single" w:sz="4" w:space="0" w:color="auto"/>
              <w:bottom w:val="single" w:sz="4" w:space="0" w:color="auto"/>
            </w:tcBorders>
            <w:vAlign w:val="bottom"/>
          </w:tcPr>
          <w:p w14:paraId="2149E156" w14:textId="77777777" w:rsidR="003E09D8" w:rsidRPr="00A84A5B" w:rsidRDefault="003E09D8" w:rsidP="005B1EEB">
            <w:pPr>
              <w:pStyle w:val="Normal-pool-Table"/>
              <w:spacing w:before="20"/>
              <w:ind w:right="-57"/>
              <w:jc w:val="center"/>
              <w:rPr>
                <w:i/>
                <w:iCs/>
                <w:lang w:val="es-ES_tradnl"/>
              </w:rPr>
            </w:pPr>
            <w:r w:rsidRPr="00A84A5B">
              <w:rPr>
                <w:i/>
                <w:iCs/>
                <w:color w:val="000000"/>
                <w:lang w:val="es-ES_tradnl"/>
              </w:rPr>
              <w:t>Toneladas PAO</w:t>
            </w:r>
          </w:p>
        </w:tc>
        <w:tc>
          <w:tcPr>
            <w:tcW w:w="1848" w:type="dxa"/>
            <w:gridSpan w:val="2"/>
            <w:tcBorders>
              <w:top w:val="single" w:sz="4" w:space="0" w:color="auto"/>
              <w:bottom w:val="single" w:sz="4" w:space="0" w:color="auto"/>
            </w:tcBorders>
          </w:tcPr>
          <w:p w14:paraId="2A566D58" w14:textId="77777777" w:rsidR="003E09D8" w:rsidRPr="00A84A5B" w:rsidRDefault="003E09D8" w:rsidP="005B1EEB">
            <w:pPr>
              <w:pStyle w:val="Normal-pool-Table"/>
              <w:spacing w:before="20"/>
              <w:ind w:right="-57"/>
              <w:jc w:val="center"/>
              <w:rPr>
                <w:i/>
                <w:iCs/>
                <w:lang w:val="es-ES_tradnl"/>
              </w:rPr>
            </w:pPr>
            <w:r w:rsidRPr="00A84A5B">
              <w:rPr>
                <w:i/>
                <w:iCs/>
                <w:color w:val="000000"/>
                <w:lang w:val="es-ES_tradnl"/>
              </w:rPr>
              <w:t>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p>
        </w:tc>
      </w:tr>
      <w:tr w:rsidR="003E09D8" w:rsidRPr="00A84A5B" w14:paraId="36E03773" w14:textId="77777777" w:rsidTr="00D91D10">
        <w:trPr>
          <w:trHeight w:val="57"/>
        </w:trPr>
        <w:tc>
          <w:tcPr>
            <w:tcW w:w="1134" w:type="dxa"/>
            <w:vMerge/>
            <w:tcBorders>
              <w:bottom w:val="single" w:sz="12" w:space="0" w:color="auto"/>
            </w:tcBorders>
          </w:tcPr>
          <w:p w14:paraId="2FC496F3" w14:textId="77777777" w:rsidR="003E09D8" w:rsidRPr="00A84A5B" w:rsidRDefault="003E09D8" w:rsidP="004B556F">
            <w:pPr>
              <w:pStyle w:val="Normal-pool-Table"/>
              <w:spacing w:before="20"/>
              <w:rPr>
                <w:iCs/>
                <w:lang w:val="es-ES_tradnl"/>
              </w:rPr>
            </w:pPr>
          </w:p>
        </w:tc>
        <w:tc>
          <w:tcPr>
            <w:tcW w:w="851" w:type="dxa"/>
            <w:tcBorders>
              <w:top w:val="single" w:sz="4" w:space="0" w:color="auto"/>
              <w:bottom w:val="single" w:sz="12" w:space="0" w:color="auto"/>
            </w:tcBorders>
          </w:tcPr>
          <w:p w14:paraId="23DFC38B" w14:textId="77777777" w:rsidR="003E09D8" w:rsidRPr="00A84A5B" w:rsidRDefault="003E09D8" w:rsidP="004B556F">
            <w:pPr>
              <w:pStyle w:val="Normal-pool-Table"/>
              <w:spacing w:before="20"/>
              <w:jc w:val="right"/>
              <w:rPr>
                <w:i/>
                <w:lang w:val="es-ES_tradnl"/>
              </w:rPr>
            </w:pPr>
            <w:r w:rsidRPr="00A84A5B">
              <w:rPr>
                <w:i/>
                <w:iCs/>
                <w:color w:val="000000"/>
                <w:lang w:val="es-ES_tradnl"/>
              </w:rPr>
              <w:t>2009</w:t>
            </w:r>
          </w:p>
        </w:tc>
        <w:tc>
          <w:tcPr>
            <w:tcW w:w="850" w:type="dxa"/>
            <w:tcBorders>
              <w:top w:val="single" w:sz="4" w:space="0" w:color="auto"/>
              <w:bottom w:val="single" w:sz="12" w:space="0" w:color="auto"/>
            </w:tcBorders>
          </w:tcPr>
          <w:p w14:paraId="5A5D681D" w14:textId="77777777" w:rsidR="003E09D8" w:rsidRPr="00A84A5B" w:rsidRDefault="003E09D8" w:rsidP="004B556F">
            <w:pPr>
              <w:pStyle w:val="Normal-pool-Table"/>
              <w:spacing w:before="20"/>
              <w:jc w:val="right"/>
              <w:rPr>
                <w:i/>
                <w:lang w:val="es-ES_tradnl"/>
              </w:rPr>
            </w:pPr>
            <w:r w:rsidRPr="00A84A5B">
              <w:rPr>
                <w:i/>
                <w:iCs/>
                <w:color w:val="000000"/>
                <w:lang w:val="es-ES_tradnl"/>
              </w:rPr>
              <w:t>2010</w:t>
            </w:r>
          </w:p>
        </w:tc>
        <w:tc>
          <w:tcPr>
            <w:tcW w:w="993" w:type="dxa"/>
            <w:tcBorders>
              <w:top w:val="single" w:sz="4" w:space="0" w:color="auto"/>
              <w:bottom w:val="single" w:sz="12" w:space="0" w:color="auto"/>
            </w:tcBorders>
          </w:tcPr>
          <w:p w14:paraId="4C6FF85A" w14:textId="77777777" w:rsidR="003E09D8" w:rsidRPr="00A84A5B" w:rsidRDefault="003E09D8" w:rsidP="004B556F">
            <w:pPr>
              <w:pStyle w:val="Normal-pool-Table"/>
              <w:spacing w:before="20"/>
              <w:jc w:val="right"/>
              <w:rPr>
                <w:i/>
                <w:lang w:val="es-ES_tradnl"/>
              </w:rPr>
            </w:pPr>
            <w:r w:rsidRPr="00A84A5B">
              <w:rPr>
                <w:i/>
                <w:iCs/>
                <w:color w:val="000000"/>
                <w:lang w:val="es-ES_tradnl"/>
              </w:rPr>
              <w:t>2009</w:t>
            </w:r>
          </w:p>
        </w:tc>
        <w:tc>
          <w:tcPr>
            <w:tcW w:w="850" w:type="dxa"/>
            <w:tcBorders>
              <w:top w:val="single" w:sz="4" w:space="0" w:color="auto"/>
              <w:bottom w:val="single" w:sz="12" w:space="0" w:color="auto"/>
            </w:tcBorders>
          </w:tcPr>
          <w:p w14:paraId="7E976A09" w14:textId="77777777" w:rsidR="003E09D8" w:rsidRPr="00A84A5B" w:rsidRDefault="003E09D8" w:rsidP="004B556F">
            <w:pPr>
              <w:pStyle w:val="Normal-pool-Table"/>
              <w:spacing w:before="20"/>
              <w:jc w:val="right"/>
              <w:rPr>
                <w:i/>
                <w:lang w:val="es-ES_tradnl"/>
              </w:rPr>
            </w:pPr>
            <w:r w:rsidRPr="00A84A5B">
              <w:rPr>
                <w:i/>
                <w:iCs/>
                <w:color w:val="000000"/>
                <w:lang w:val="es-ES_tradnl"/>
              </w:rPr>
              <w:t>2010</w:t>
            </w:r>
          </w:p>
        </w:tc>
        <w:tc>
          <w:tcPr>
            <w:tcW w:w="836" w:type="dxa"/>
            <w:tcBorders>
              <w:top w:val="single" w:sz="4" w:space="0" w:color="auto"/>
              <w:bottom w:val="single" w:sz="12" w:space="0" w:color="auto"/>
            </w:tcBorders>
          </w:tcPr>
          <w:p w14:paraId="11CBD734" w14:textId="77777777" w:rsidR="003E09D8" w:rsidRPr="00A84A5B" w:rsidRDefault="003E09D8" w:rsidP="004B556F">
            <w:pPr>
              <w:pStyle w:val="Normal-pool-Table"/>
              <w:spacing w:before="20"/>
              <w:jc w:val="right"/>
              <w:rPr>
                <w:i/>
                <w:lang w:val="es-ES_tradnl"/>
              </w:rPr>
            </w:pPr>
            <w:r w:rsidRPr="00A84A5B">
              <w:rPr>
                <w:i/>
                <w:iCs/>
                <w:color w:val="000000"/>
                <w:lang w:val="es-ES_tradnl"/>
              </w:rPr>
              <w:t>2009</w:t>
            </w:r>
          </w:p>
        </w:tc>
        <w:tc>
          <w:tcPr>
            <w:tcW w:w="576" w:type="dxa"/>
            <w:tcBorders>
              <w:top w:val="single" w:sz="4" w:space="0" w:color="auto"/>
              <w:bottom w:val="single" w:sz="12" w:space="0" w:color="auto"/>
            </w:tcBorders>
          </w:tcPr>
          <w:p w14:paraId="540BAA00" w14:textId="77777777" w:rsidR="003E09D8" w:rsidRPr="00A84A5B" w:rsidRDefault="003E09D8" w:rsidP="004B556F">
            <w:pPr>
              <w:pStyle w:val="Normal-pool-Table"/>
              <w:spacing w:before="20"/>
              <w:jc w:val="right"/>
              <w:rPr>
                <w:i/>
                <w:lang w:val="es-ES_tradnl"/>
              </w:rPr>
            </w:pPr>
            <w:r w:rsidRPr="00A84A5B">
              <w:rPr>
                <w:i/>
                <w:iCs/>
                <w:color w:val="000000"/>
                <w:lang w:val="es-ES_tradnl"/>
              </w:rPr>
              <w:t>2010</w:t>
            </w:r>
          </w:p>
        </w:tc>
        <w:tc>
          <w:tcPr>
            <w:tcW w:w="846" w:type="dxa"/>
            <w:tcBorders>
              <w:top w:val="single" w:sz="4" w:space="0" w:color="auto"/>
              <w:bottom w:val="single" w:sz="12" w:space="0" w:color="auto"/>
            </w:tcBorders>
          </w:tcPr>
          <w:p w14:paraId="5E85A01C" w14:textId="77777777" w:rsidR="003E09D8" w:rsidRPr="00A84A5B" w:rsidRDefault="003E09D8" w:rsidP="004B556F">
            <w:pPr>
              <w:pStyle w:val="Normal-pool-Table"/>
              <w:spacing w:before="20"/>
              <w:jc w:val="right"/>
              <w:rPr>
                <w:i/>
                <w:lang w:val="es-ES_tradnl"/>
              </w:rPr>
            </w:pPr>
            <w:r w:rsidRPr="00A84A5B">
              <w:rPr>
                <w:i/>
                <w:iCs/>
                <w:color w:val="000000"/>
                <w:lang w:val="es-ES_tradnl"/>
              </w:rPr>
              <w:t>2009</w:t>
            </w:r>
          </w:p>
        </w:tc>
        <w:tc>
          <w:tcPr>
            <w:tcW w:w="1002" w:type="dxa"/>
            <w:tcBorders>
              <w:top w:val="single" w:sz="4" w:space="0" w:color="auto"/>
              <w:bottom w:val="single" w:sz="12" w:space="0" w:color="auto"/>
            </w:tcBorders>
          </w:tcPr>
          <w:p w14:paraId="475C3168" w14:textId="77777777" w:rsidR="003E09D8" w:rsidRPr="00A84A5B" w:rsidRDefault="003E09D8" w:rsidP="004B556F">
            <w:pPr>
              <w:pStyle w:val="Normal-pool-Table"/>
              <w:spacing w:before="20"/>
              <w:jc w:val="right"/>
              <w:rPr>
                <w:i/>
                <w:lang w:val="es-ES_tradnl"/>
              </w:rPr>
            </w:pPr>
            <w:r w:rsidRPr="00A84A5B">
              <w:rPr>
                <w:i/>
                <w:iCs/>
                <w:color w:val="000000"/>
                <w:lang w:val="es-ES_tradnl"/>
              </w:rPr>
              <w:t>2010</w:t>
            </w:r>
          </w:p>
        </w:tc>
      </w:tr>
      <w:tr w:rsidR="003E09D8" w:rsidRPr="00A84A5B" w14:paraId="4EB817A1" w14:textId="77777777" w:rsidTr="00D91D10">
        <w:trPr>
          <w:trHeight w:val="57"/>
        </w:trPr>
        <w:tc>
          <w:tcPr>
            <w:tcW w:w="1134" w:type="dxa"/>
            <w:tcBorders>
              <w:top w:val="single" w:sz="12" w:space="0" w:color="auto"/>
              <w:bottom w:val="single" w:sz="12" w:space="0" w:color="auto"/>
            </w:tcBorders>
          </w:tcPr>
          <w:p w14:paraId="52BC1A5B" w14:textId="77777777" w:rsidR="003E09D8" w:rsidRPr="00A84A5B" w:rsidRDefault="003E09D8" w:rsidP="004B556F">
            <w:pPr>
              <w:pStyle w:val="Normal-pool-Table"/>
              <w:spacing w:before="20"/>
              <w:rPr>
                <w:lang w:val="es-ES_tradnl"/>
              </w:rPr>
            </w:pPr>
            <w:bookmarkStart w:id="33" w:name="_Hlk210390584"/>
            <w:r w:rsidRPr="00A84A5B">
              <w:rPr>
                <w:color w:val="000000"/>
                <w:lang w:val="es-ES_tradnl"/>
              </w:rPr>
              <w:t>Guinea</w:t>
            </w:r>
          </w:p>
        </w:tc>
        <w:tc>
          <w:tcPr>
            <w:tcW w:w="851" w:type="dxa"/>
            <w:tcBorders>
              <w:top w:val="single" w:sz="12" w:space="0" w:color="auto"/>
              <w:bottom w:val="single" w:sz="12" w:space="0" w:color="auto"/>
            </w:tcBorders>
          </w:tcPr>
          <w:p w14:paraId="154BFE43" w14:textId="77777777" w:rsidR="003E09D8" w:rsidRPr="00A84A5B" w:rsidRDefault="003E09D8" w:rsidP="004B556F">
            <w:pPr>
              <w:pStyle w:val="Normal-pool-Table"/>
              <w:spacing w:before="20"/>
              <w:jc w:val="right"/>
              <w:rPr>
                <w:color w:val="000000"/>
                <w:lang w:val="es-ES_tradnl"/>
              </w:rPr>
            </w:pPr>
            <w:r w:rsidRPr="00A84A5B">
              <w:rPr>
                <w:color w:val="000000"/>
                <w:lang w:val="es-ES_tradnl"/>
              </w:rPr>
              <w:t>21,77</w:t>
            </w:r>
          </w:p>
        </w:tc>
        <w:tc>
          <w:tcPr>
            <w:tcW w:w="850" w:type="dxa"/>
            <w:tcBorders>
              <w:top w:val="single" w:sz="12" w:space="0" w:color="auto"/>
              <w:bottom w:val="single" w:sz="12" w:space="0" w:color="auto"/>
            </w:tcBorders>
          </w:tcPr>
          <w:p w14:paraId="1F6604B8" w14:textId="77777777" w:rsidR="003E09D8" w:rsidRPr="00A84A5B" w:rsidRDefault="003E09D8" w:rsidP="004B556F">
            <w:pPr>
              <w:pStyle w:val="Normal-pool-Table"/>
              <w:spacing w:before="20"/>
              <w:jc w:val="right"/>
              <w:rPr>
                <w:color w:val="000000"/>
                <w:lang w:val="es-ES_tradnl"/>
              </w:rPr>
            </w:pPr>
            <w:r w:rsidRPr="00A84A5B">
              <w:rPr>
                <w:color w:val="000000"/>
                <w:lang w:val="es-ES_tradnl"/>
              </w:rPr>
              <w:t>23,45</w:t>
            </w:r>
          </w:p>
        </w:tc>
        <w:tc>
          <w:tcPr>
            <w:tcW w:w="993" w:type="dxa"/>
            <w:tcBorders>
              <w:top w:val="single" w:sz="12" w:space="0" w:color="auto"/>
              <w:bottom w:val="single" w:sz="12" w:space="0" w:color="auto"/>
            </w:tcBorders>
          </w:tcPr>
          <w:p w14:paraId="27CFB90C" w14:textId="4B181A1C" w:rsidR="003E09D8" w:rsidRPr="00A84A5B" w:rsidRDefault="003E09D8" w:rsidP="004B556F">
            <w:pPr>
              <w:pStyle w:val="Normal-pool-Table"/>
              <w:spacing w:before="20"/>
              <w:jc w:val="right"/>
              <w:rPr>
                <w:lang w:val="es-ES_tradnl"/>
              </w:rPr>
            </w:pPr>
            <w:r w:rsidRPr="00A84A5B">
              <w:rPr>
                <w:color w:val="000000"/>
                <w:lang w:val="es-ES_tradnl"/>
              </w:rPr>
              <w:t>716</w:t>
            </w:r>
            <w:r w:rsidR="00CF1680" w:rsidRPr="00A84A5B">
              <w:rPr>
                <w:color w:val="000000"/>
                <w:lang w:val="es-ES_tradnl"/>
              </w:rPr>
              <w:t> </w:t>
            </w:r>
            <w:r w:rsidRPr="00A84A5B">
              <w:rPr>
                <w:color w:val="000000"/>
                <w:lang w:val="es-ES_tradnl"/>
              </w:rPr>
              <w:t>542,8</w:t>
            </w:r>
          </w:p>
        </w:tc>
        <w:tc>
          <w:tcPr>
            <w:tcW w:w="850" w:type="dxa"/>
            <w:tcBorders>
              <w:top w:val="single" w:sz="12" w:space="0" w:color="auto"/>
              <w:bottom w:val="single" w:sz="12" w:space="0" w:color="auto"/>
            </w:tcBorders>
          </w:tcPr>
          <w:p w14:paraId="66FACFA8" w14:textId="20A4CDE1" w:rsidR="003E09D8" w:rsidRPr="00A84A5B" w:rsidRDefault="003E09D8" w:rsidP="004B556F">
            <w:pPr>
              <w:pStyle w:val="Normal-pool-Table"/>
              <w:spacing w:before="20"/>
              <w:jc w:val="right"/>
              <w:rPr>
                <w:lang w:val="es-ES_tradnl"/>
              </w:rPr>
            </w:pPr>
            <w:r w:rsidRPr="00A84A5B">
              <w:rPr>
                <w:color w:val="000000"/>
                <w:lang w:val="es-ES_tradnl"/>
              </w:rPr>
              <w:t>771</w:t>
            </w:r>
            <w:r w:rsidR="00CF1680" w:rsidRPr="00A84A5B">
              <w:rPr>
                <w:color w:val="000000"/>
                <w:lang w:val="es-ES_tradnl"/>
              </w:rPr>
              <w:t> </w:t>
            </w:r>
            <w:r w:rsidRPr="00A84A5B">
              <w:rPr>
                <w:color w:val="000000"/>
                <w:lang w:val="es-ES_tradnl"/>
              </w:rPr>
              <w:t>603</w:t>
            </w:r>
          </w:p>
        </w:tc>
        <w:tc>
          <w:tcPr>
            <w:tcW w:w="836" w:type="dxa"/>
            <w:tcBorders>
              <w:top w:val="single" w:sz="12" w:space="0" w:color="auto"/>
              <w:bottom w:val="single" w:sz="12" w:space="0" w:color="auto"/>
            </w:tcBorders>
          </w:tcPr>
          <w:p w14:paraId="3EFD591E" w14:textId="77777777" w:rsidR="003E09D8" w:rsidRPr="00A84A5B" w:rsidRDefault="003E09D8" w:rsidP="004B556F">
            <w:pPr>
              <w:pStyle w:val="Normal-pool-Table"/>
              <w:spacing w:before="20"/>
              <w:jc w:val="right"/>
              <w:rPr>
                <w:lang w:val="es-ES_tradnl"/>
              </w:rPr>
            </w:pPr>
            <w:r w:rsidRPr="00A84A5B">
              <w:rPr>
                <w:color w:val="000000"/>
                <w:lang w:val="es-ES_tradnl"/>
              </w:rPr>
              <w:t>1,03</w:t>
            </w:r>
          </w:p>
        </w:tc>
        <w:tc>
          <w:tcPr>
            <w:tcW w:w="576" w:type="dxa"/>
            <w:tcBorders>
              <w:top w:val="single" w:sz="12" w:space="0" w:color="auto"/>
              <w:bottom w:val="single" w:sz="12" w:space="0" w:color="auto"/>
            </w:tcBorders>
          </w:tcPr>
          <w:p w14:paraId="18509BC2" w14:textId="77777777" w:rsidR="003E09D8" w:rsidRPr="00A84A5B" w:rsidRDefault="003E09D8" w:rsidP="004B556F">
            <w:pPr>
              <w:pStyle w:val="Normal-pool-Table"/>
              <w:spacing w:before="20"/>
              <w:jc w:val="right"/>
              <w:rPr>
                <w:lang w:val="es-ES_tradnl"/>
              </w:rPr>
            </w:pPr>
            <w:r w:rsidRPr="00A84A5B">
              <w:rPr>
                <w:color w:val="000000"/>
                <w:lang w:val="es-ES_tradnl"/>
              </w:rPr>
              <w:t>0,75</w:t>
            </w:r>
          </w:p>
        </w:tc>
        <w:tc>
          <w:tcPr>
            <w:tcW w:w="846" w:type="dxa"/>
            <w:tcBorders>
              <w:top w:val="single" w:sz="12" w:space="0" w:color="auto"/>
              <w:bottom w:val="single" w:sz="12" w:space="0" w:color="auto"/>
            </w:tcBorders>
          </w:tcPr>
          <w:p w14:paraId="67741C5E" w14:textId="22F5D117" w:rsidR="003E09D8" w:rsidRPr="00A84A5B" w:rsidRDefault="003E09D8" w:rsidP="004B556F">
            <w:pPr>
              <w:pStyle w:val="Normal-pool-Table"/>
              <w:spacing w:before="20"/>
              <w:jc w:val="right"/>
              <w:rPr>
                <w:lang w:val="es-ES_tradnl"/>
              </w:rPr>
            </w:pPr>
            <w:r w:rsidRPr="00A84A5B">
              <w:rPr>
                <w:color w:val="000000"/>
                <w:lang w:val="es-ES_tradnl"/>
              </w:rPr>
              <w:t>33</w:t>
            </w:r>
            <w:r w:rsidR="00CF1680" w:rsidRPr="00A84A5B">
              <w:rPr>
                <w:color w:val="000000"/>
                <w:lang w:val="es-ES_tradnl"/>
              </w:rPr>
              <w:t> </w:t>
            </w:r>
            <w:r w:rsidRPr="00A84A5B">
              <w:rPr>
                <w:color w:val="000000"/>
                <w:lang w:val="es-ES_tradnl"/>
              </w:rPr>
              <w:t>756,5</w:t>
            </w:r>
          </w:p>
        </w:tc>
        <w:tc>
          <w:tcPr>
            <w:tcW w:w="1002" w:type="dxa"/>
            <w:tcBorders>
              <w:top w:val="single" w:sz="12" w:space="0" w:color="auto"/>
              <w:bottom w:val="single" w:sz="12" w:space="0" w:color="auto"/>
            </w:tcBorders>
          </w:tcPr>
          <w:p w14:paraId="6C713982" w14:textId="32C507D4" w:rsidR="003E09D8" w:rsidRPr="00A84A5B" w:rsidRDefault="003E09D8" w:rsidP="004B556F">
            <w:pPr>
              <w:pStyle w:val="Normal-pool-Table"/>
              <w:spacing w:before="20"/>
              <w:jc w:val="right"/>
              <w:rPr>
                <w:lang w:val="es-ES_tradnl"/>
              </w:rPr>
            </w:pPr>
            <w:r w:rsidRPr="00A84A5B">
              <w:rPr>
                <w:color w:val="000000"/>
                <w:lang w:val="es-ES_tradnl"/>
              </w:rPr>
              <w:t>24</w:t>
            </w:r>
            <w:r w:rsidR="00CF1680" w:rsidRPr="00A84A5B">
              <w:rPr>
                <w:color w:val="000000"/>
                <w:lang w:val="es-ES_tradnl"/>
              </w:rPr>
              <w:t> </w:t>
            </w:r>
            <w:r w:rsidRPr="00A84A5B">
              <w:rPr>
                <w:color w:val="000000"/>
                <w:lang w:val="es-ES_tradnl"/>
              </w:rPr>
              <w:t>706,5</w:t>
            </w:r>
          </w:p>
        </w:tc>
      </w:tr>
    </w:tbl>
    <w:bookmarkEnd w:id="33"/>
    <w:p w14:paraId="076F4872" w14:textId="77777777" w:rsidR="003E09D8" w:rsidRPr="00D91D10" w:rsidRDefault="003E09D8" w:rsidP="003E09D8">
      <w:pPr>
        <w:tabs>
          <w:tab w:val="left" w:pos="624"/>
          <w:tab w:val="left" w:pos="1871"/>
          <w:tab w:val="left" w:pos="2495"/>
          <w:tab w:val="left" w:pos="3119"/>
          <w:tab w:val="left" w:pos="3742"/>
          <w:tab w:val="left" w:pos="4366"/>
          <w:tab w:val="left" w:pos="4990"/>
        </w:tabs>
        <w:spacing w:before="60" w:after="120"/>
        <w:ind w:left="1247"/>
        <w:rPr>
          <w:sz w:val="18"/>
          <w:szCs w:val="18"/>
          <w:lang w:val="es-ES_tradnl"/>
        </w:rPr>
      </w:pPr>
      <w:r w:rsidRPr="00D91D10">
        <w:rPr>
          <w:sz w:val="18"/>
          <w:szCs w:val="18"/>
          <w:lang w:val="es-ES_tradnl"/>
        </w:rPr>
        <w:tab/>
      </w:r>
      <w:r w:rsidRPr="00D91D10">
        <w:rPr>
          <w:i/>
          <w:iCs/>
          <w:sz w:val="18"/>
          <w:szCs w:val="18"/>
          <w:lang w:val="es-ES_tradnl"/>
        </w:rPr>
        <w:t>Abreviaciones</w:t>
      </w:r>
      <w:r w:rsidRPr="00D91D10">
        <w:rPr>
          <w:sz w:val="18"/>
          <w:szCs w:val="18"/>
          <w:lang w:val="es-ES_tradnl"/>
        </w:rPr>
        <w:t>: CO</w:t>
      </w:r>
      <w:r w:rsidRPr="00D91D10">
        <w:rPr>
          <w:sz w:val="18"/>
          <w:szCs w:val="18"/>
          <w:vertAlign w:val="subscript"/>
          <w:lang w:val="es-ES_tradnl"/>
        </w:rPr>
        <w:t>2</w:t>
      </w:r>
      <w:r w:rsidRPr="00D91D10">
        <w:rPr>
          <w:sz w:val="18"/>
          <w:szCs w:val="18"/>
          <w:lang w:val="es-ES_tradnl"/>
        </w:rPr>
        <w:t xml:space="preserve"> </w:t>
      </w:r>
      <w:proofErr w:type="spellStart"/>
      <w:r w:rsidRPr="00D91D10">
        <w:rPr>
          <w:sz w:val="18"/>
          <w:szCs w:val="18"/>
          <w:lang w:val="es-ES_tradnl"/>
        </w:rPr>
        <w:t>eq</w:t>
      </w:r>
      <w:proofErr w:type="spellEnd"/>
      <w:r w:rsidRPr="00D91D10">
        <w:rPr>
          <w:sz w:val="18"/>
          <w:szCs w:val="18"/>
          <w:lang w:val="es-ES_tradnl"/>
        </w:rPr>
        <w:t xml:space="preserve"> = dióxido de carbono equivalente; HCFC = </w:t>
      </w:r>
      <w:proofErr w:type="spellStart"/>
      <w:r w:rsidRPr="00D91D10">
        <w:rPr>
          <w:sz w:val="18"/>
          <w:szCs w:val="18"/>
          <w:lang w:val="es-ES_tradnl"/>
        </w:rPr>
        <w:t>hidroclorofluorocarbono</w:t>
      </w:r>
      <w:proofErr w:type="spellEnd"/>
      <w:r w:rsidRPr="00D91D10">
        <w:rPr>
          <w:sz w:val="18"/>
          <w:szCs w:val="18"/>
          <w:lang w:val="es-ES_tradnl"/>
        </w:rPr>
        <w:t>; PAO = potencial de agotamiento del ozono.</w:t>
      </w:r>
    </w:p>
    <w:p w14:paraId="533ADF6E" w14:textId="2777BEC0" w:rsidR="003E09D8" w:rsidRPr="00A84A5B" w:rsidRDefault="003E09D8" w:rsidP="004B556F">
      <w:pPr>
        <w:pStyle w:val="NormalNonumber"/>
        <w:numPr>
          <w:ilvl w:val="0"/>
          <w:numId w:val="313"/>
        </w:numPr>
        <w:tabs>
          <w:tab w:val="clear" w:pos="1247"/>
          <w:tab w:val="clear" w:pos="1871"/>
          <w:tab w:val="clear" w:pos="2495"/>
          <w:tab w:val="clear" w:pos="3119"/>
          <w:tab w:val="clear" w:pos="3742"/>
          <w:tab w:val="clear" w:pos="4366"/>
          <w:tab w:val="clear" w:pos="4990"/>
        </w:tabs>
        <w:spacing w:before="120"/>
        <w:ind w:left="1247" w:firstLine="624"/>
        <w:rPr>
          <w:lang w:val="es-ES_tradnl"/>
        </w:rPr>
      </w:pPr>
      <w:r w:rsidRPr="00A84A5B">
        <w:rPr>
          <w:lang w:val="es-ES_tradnl"/>
        </w:rPr>
        <w:t>Que Guinea ha aportado información suficiente, de conformidad con la decisión XV/19, para justificar su solicitud de modificación de sus datos sobre consumo de hidrofluorocarbonos correspondientes a 2020, 2021 y 2022, que forman parte del nivel de base para las</w:t>
      </w:r>
      <w:r w:rsidR="00EB37DD" w:rsidRPr="00A84A5B">
        <w:rPr>
          <w:lang w:val="es-ES_tradnl"/>
        </w:rPr>
        <w:t xml:space="preserve"> </w:t>
      </w:r>
      <w:r w:rsidRPr="00A84A5B">
        <w:rPr>
          <w:lang w:val="es-ES_tradnl"/>
        </w:rPr>
        <w:t>Partes del grupo 1 que operan al amparo del artículo 5 en virtud de la Enmienda de Kigali al Protocolo de Montreal;</w:t>
      </w:r>
    </w:p>
    <w:p w14:paraId="149A6AA3" w14:textId="0C504607" w:rsidR="003E09D8" w:rsidRPr="00A84A5B" w:rsidRDefault="003E09D8" w:rsidP="000021C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Aprobar la solicitud de Guinea y modificar sus datos sobre el consumo de hidrofluorocarbonos </w:t>
      </w:r>
      <w:r w:rsidR="0078772C" w:rsidRPr="00A84A5B">
        <w:rPr>
          <w:lang w:val="es-ES_tradnl"/>
        </w:rPr>
        <w:t>para</w:t>
      </w:r>
      <w:r w:rsidRPr="00A84A5B">
        <w:rPr>
          <w:lang w:val="es-ES_tradnl"/>
        </w:rPr>
        <w:t xml:space="preserve"> los años de referencia 2020, 2021 y 2022, según lo indicado en el cuadro siguiente:</w:t>
      </w:r>
    </w:p>
    <w:tbl>
      <w:tblPr>
        <w:tblStyle w:val="TableGrid"/>
        <w:tblW w:w="81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98"/>
        <w:gridCol w:w="1198"/>
        <w:gridCol w:w="1199"/>
        <w:gridCol w:w="1198"/>
        <w:gridCol w:w="1198"/>
        <w:gridCol w:w="1199"/>
      </w:tblGrid>
      <w:tr w:rsidR="003E09D8" w:rsidRPr="008353E4" w14:paraId="6DB999E2" w14:textId="77777777" w:rsidTr="00D91D10">
        <w:trPr>
          <w:jc w:val="right"/>
        </w:trPr>
        <w:tc>
          <w:tcPr>
            <w:tcW w:w="993" w:type="dxa"/>
            <w:vMerge w:val="restart"/>
            <w:tcBorders>
              <w:top w:val="single" w:sz="4" w:space="0" w:color="auto"/>
              <w:bottom w:val="single" w:sz="12" w:space="0" w:color="auto"/>
            </w:tcBorders>
            <w:vAlign w:val="bottom"/>
          </w:tcPr>
          <w:p w14:paraId="02F9A35E" w14:textId="77777777" w:rsidR="003E09D8" w:rsidRPr="00A84A5B" w:rsidRDefault="003E09D8" w:rsidP="004B556F">
            <w:pPr>
              <w:pStyle w:val="Normal-pool-Table"/>
              <w:spacing w:before="20"/>
              <w:rPr>
                <w:i/>
                <w:iCs/>
                <w:lang w:val="es-ES_tradnl"/>
              </w:rPr>
            </w:pPr>
            <w:r w:rsidRPr="00A84A5B">
              <w:rPr>
                <w:i/>
                <w:iCs/>
                <w:color w:val="000000"/>
                <w:lang w:val="es-ES_tradnl"/>
              </w:rPr>
              <w:t>Parte/año</w:t>
            </w:r>
          </w:p>
        </w:tc>
        <w:tc>
          <w:tcPr>
            <w:tcW w:w="3595" w:type="dxa"/>
            <w:gridSpan w:val="3"/>
            <w:tcBorders>
              <w:top w:val="single" w:sz="4" w:space="0" w:color="auto"/>
              <w:bottom w:val="single" w:sz="4" w:space="0" w:color="auto"/>
              <w:right w:val="single" w:sz="4" w:space="0" w:color="auto"/>
            </w:tcBorders>
            <w:vAlign w:val="bottom"/>
          </w:tcPr>
          <w:p w14:paraId="3DFD10CF" w14:textId="77777777" w:rsidR="003E09D8" w:rsidRPr="00D91D10" w:rsidRDefault="003E09D8" w:rsidP="00D91D10">
            <w:pPr>
              <w:pStyle w:val="Normal-pool-Table"/>
              <w:spacing w:before="20"/>
              <w:ind w:left="-57" w:right="-57"/>
              <w:jc w:val="center"/>
              <w:rPr>
                <w:i/>
                <w:iCs/>
                <w:spacing w:val="-6"/>
                <w:lang w:val="es-ES_tradnl"/>
              </w:rPr>
            </w:pPr>
            <w:r w:rsidRPr="00D91D10">
              <w:rPr>
                <w:i/>
                <w:iCs/>
                <w:color w:val="000000"/>
                <w:spacing w:val="-6"/>
                <w:lang w:val="es-ES_tradnl"/>
              </w:rPr>
              <w:t>Datos anteriores sobre HFC (toneladas de CO</w:t>
            </w:r>
            <w:r w:rsidRPr="00D91D10">
              <w:rPr>
                <w:i/>
                <w:iCs/>
                <w:color w:val="000000"/>
                <w:spacing w:val="-6"/>
                <w:vertAlign w:val="subscript"/>
                <w:lang w:val="es-ES_tradnl"/>
              </w:rPr>
              <w:t>2</w:t>
            </w:r>
            <w:r w:rsidRPr="00D91D10">
              <w:rPr>
                <w:i/>
                <w:iCs/>
                <w:color w:val="000000"/>
                <w:spacing w:val="-6"/>
                <w:lang w:val="es-ES_tradnl"/>
              </w:rPr>
              <w:t xml:space="preserve"> </w:t>
            </w:r>
            <w:proofErr w:type="spellStart"/>
            <w:r w:rsidRPr="00D91D10">
              <w:rPr>
                <w:i/>
                <w:iCs/>
                <w:color w:val="000000"/>
                <w:spacing w:val="-6"/>
                <w:lang w:val="es-ES_tradnl"/>
              </w:rPr>
              <w:t>eq</w:t>
            </w:r>
            <w:proofErr w:type="spellEnd"/>
            <w:r w:rsidRPr="00D91D10">
              <w:rPr>
                <w:i/>
                <w:iCs/>
                <w:color w:val="000000"/>
                <w:spacing w:val="-6"/>
                <w:lang w:val="es-ES_tradnl"/>
              </w:rPr>
              <w:t>)</w:t>
            </w:r>
          </w:p>
        </w:tc>
        <w:tc>
          <w:tcPr>
            <w:tcW w:w="3595" w:type="dxa"/>
            <w:gridSpan w:val="3"/>
            <w:tcBorders>
              <w:top w:val="single" w:sz="4" w:space="0" w:color="auto"/>
              <w:left w:val="single" w:sz="4" w:space="0" w:color="auto"/>
              <w:bottom w:val="single" w:sz="4" w:space="0" w:color="auto"/>
            </w:tcBorders>
            <w:vAlign w:val="bottom"/>
          </w:tcPr>
          <w:p w14:paraId="307AAFDE" w14:textId="77777777" w:rsidR="003E09D8" w:rsidRPr="00A84A5B" w:rsidRDefault="003E09D8" w:rsidP="00D91D10">
            <w:pPr>
              <w:pStyle w:val="Normal-pool-Table"/>
              <w:spacing w:before="20"/>
              <w:ind w:left="-57" w:right="-57"/>
              <w:jc w:val="center"/>
              <w:rPr>
                <w:i/>
                <w:iCs/>
                <w:lang w:val="es-ES_tradnl"/>
              </w:rPr>
            </w:pPr>
            <w:r w:rsidRPr="00A84A5B">
              <w:rPr>
                <w:i/>
                <w:iCs/>
                <w:color w:val="000000"/>
                <w:lang w:val="es-ES_tradnl"/>
              </w:rPr>
              <w:t>Nuevos datos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75CFD9DF" w14:textId="77777777" w:rsidTr="00D91D10">
        <w:trPr>
          <w:jc w:val="right"/>
        </w:trPr>
        <w:tc>
          <w:tcPr>
            <w:tcW w:w="993" w:type="dxa"/>
            <w:vMerge/>
            <w:tcBorders>
              <w:bottom w:val="single" w:sz="12" w:space="0" w:color="auto"/>
            </w:tcBorders>
            <w:vAlign w:val="bottom"/>
          </w:tcPr>
          <w:p w14:paraId="045162D3" w14:textId="77777777" w:rsidR="003E09D8" w:rsidRPr="00A84A5B" w:rsidRDefault="003E09D8" w:rsidP="004B556F">
            <w:pPr>
              <w:pStyle w:val="Normal-pool-Table"/>
              <w:spacing w:before="20"/>
              <w:rPr>
                <w:i/>
                <w:iCs/>
                <w:szCs w:val="18"/>
                <w:lang w:val="es-ES_tradnl"/>
              </w:rPr>
            </w:pPr>
          </w:p>
        </w:tc>
        <w:tc>
          <w:tcPr>
            <w:tcW w:w="1198" w:type="dxa"/>
            <w:tcBorders>
              <w:top w:val="single" w:sz="4" w:space="0" w:color="auto"/>
              <w:bottom w:val="single" w:sz="12" w:space="0" w:color="auto"/>
            </w:tcBorders>
            <w:vAlign w:val="bottom"/>
          </w:tcPr>
          <w:p w14:paraId="4148E589"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2020</w:t>
            </w:r>
          </w:p>
        </w:tc>
        <w:tc>
          <w:tcPr>
            <w:tcW w:w="1198" w:type="dxa"/>
            <w:tcBorders>
              <w:top w:val="single" w:sz="4" w:space="0" w:color="auto"/>
              <w:bottom w:val="single" w:sz="12" w:space="0" w:color="auto"/>
            </w:tcBorders>
            <w:vAlign w:val="bottom"/>
          </w:tcPr>
          <w:p w14:paraId="249A8B0B"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2021</w:t>
            </w:r>
          </w:p>
        </w:tc>
        <w:tc>
          <w:tcPr>
            <w:tcW w:w="1199" w:type="dxa"/>
            <w:tcBorders>
              <w:top w:val="single" w:sz="4" w:space="0" w:color="auto"/>
              <w:bottom w:val="single" w:sz="12" w:space="0" w:color="auto"/>
              <w:right w:val="single" w:sz="4" w:space="0" w:color="auto"/>
            </w:tcBorders>
            <w:vAlign w:val="bottom"/>
          </w:tcPr>
          <w:p w14:paraId="57D4E968"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2022</w:t>
            </w:r>
          </w:p>
        </w:tc>
        <w:tc>
          <w:tcPr>
            <w:tcW w:w="1198" w:type="dxa"/>
            <w:tcBorders>
              <w:top w:val="single" w:sz="4" w:space="0" w:color="auto"/>
              <w:left w:val="single" w:sz="4" w:space="0" w:color="auto"/>
              <w:bottom w:val="single" w:sz="12" w:space="0" w:color="auto"/>
            </w:tcBorders>
            <w:vAlign w:val="bottom"/>
          </w:tcPr>
          <w:p w14:paraId="1E0B0E67"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2020</w:t>
            </w:r>
          </w:p>
        </w:tc>
        <w:tc>
          <w:tcPr>
            <w:tcW w:w="1198" w:type="dxa"/>
            <w:tcBorders>
              <w:top w:val="single" w:sz="4" w:space="0" w:color="auto"/>
              <w:bottom w:val="single" w:sz="12" w:space="0" w:color="auto"/>
            </w:tcBorders>
            <w:vAlign w:val="bottom"/>
          </w:tcPr>
          <w:p w14:paraId="2934542B"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2021</w:t>
            </w:r>
          </w:p>
        </w:tc>
        <w:tc>
          <w:tcPr>
            <w:tcW w:w="1199" w:type="dxa"/>
            <w:tcBorders>
              <w:top w:val="single" w:sz="4" w:space="0" w:color="auto"/>
              <w:bottom w:val="single" w:sz="12" w:space="0" w:color="auto"/>
            </w:tcBorders>
            <w:vAlign w:val="bottom"/>
          </w:tcPr>
          <w:p w14:paraId="578DCBCA" w14:textId="77777777" w:rsidR="003E09D8" w:rsidRPr="00A84A5B" w:rsidRDefault="003E09D8" w:rsidP="004B556F">
            <w:pPr>
              <w:pStyle w:val="Normal-pool-Table"/>
              <w:spacing w:before="20"/>
              <w:jc w:val="right"/>
              <w:rPr>
                <w:i/>
                <w:iCs/>
                <w:lang w:val="es-ES_tradnl"/>
              </w:rPr>
            </w:pPr>
            <w:r w:rsidRPr="00A84A5B">
              <w:rPr>
                <w:i/>
                <w:iCs/>
                <w:color w:val="000000"/>
                <w:lang w:val="es-ES_tradnl"/>
              </w:rPr>
              <w:t>2022</w:t>
            </w:r>
          </w:p>
        </w:tc>
      </w:tr>
      <w:tr w:rsidR="003E09D8" w:rsidRPr="00A84A5B" w14:paraId="0D0A8E00" w14:textId="77777777" w:rsidTr="00D91D10">
        <w:trPr>
          <w:jc w:val="right"/>
        </w:trPr>
        <w:tc>
          <w:tcPr>
            <w:tcW w:w="993" w:type="dxa"/>
            <w:tcBorders>
              <w:top w:val="single" w:sz="12" w:space="0" w:color="auto"/>
              <w:bottom w:val="single" w:sz="12" w:space="0" w:color="auto"/>
            </w:tcBorders>
          </w:tcPr>
          <w:p w14:paraId="41E649E1" w14:textId="77777777" w:rsidR="003E09D8" w:rsidRPr="00A84A5B" w:rsidRDefault="003E09D8" w:rsidP="004B556F">
            <w:pPr>
              <w:pStyle w:val="Normal-pool-Table"/>
              <w:spacing w:before="20"/>
              <w:rPr>
                <w:szCs w:val="18"/>
                <w:lang w:val="es-ES_tradnl"/>
              </w:rPr>
            </w:pPr>
            <w:r w:rsidRPr="00A84A5B">
              <w:rPr>
                <w:color w:val="000000"/>
                <w:lang w:val="es-ES_tradnl"/>
              </w:rPr>
              <w:t>Guinea</w:t>
            </w:r>
          </w:p>
        </w:tc>
        <w:tc>
          <w:tcPr>
            <w:tcW w:w="1198" w:type="dxa"/>
            <w:tcBorders>
              <w:top w:val="single" w:sz="12" w:space="0" w:color="auto"/>
              <w:bottom w:val="single" w:sz="12" w:space="0" w:color="auto"/>
            </w:tcBorders>
          </w:tcPr>
          <w:p w14:paraId="3AAD1EF8" w14:textId="21B46DD4" w:rsidR="003E09D8" w:rsidRPr="00A84A5B" w:rsidRDefault="003E09D8" w:rsidP="004B556F">
            <w:pPr>
              <w:pStyle w:val="Normal-pool-Table"/>
              <w:spacing w:before="20"/>
              <w:jc w:val="right"/>
              <w:rPr>
                <w:lang w:val="es-ES_tradnl"/>
              </w:rPr>
            </w:pPr>
            <w:r w:rsidRPr="00A84A5B">
              <w:rPr>
                <w:color w:val="000000"/>
                <w:lang w:val="es-ES_tradnl"/>
              </w:rPr>
              <w:t>878</w:t>
            </w:r>
            <w:r w:rsidR="0078772C" w:rsidRPr="00A84A5B">
              <w:rPr>
                <w:color w:val="000000"/>
                <w:lang w:val="es-ES_tradnl"/>
              </w:rPr>
              <w:t> </w:t>
            </w:r>
            <w:r w:rsidRPr="00A84A5B">
              <w:rPr>
                <w:color w:val="000000"/>
                <w:lang w:val="es-ES_tradnl"/>
              </w:rPr>
              <w:t>384</w:t>
            </w:r>
          </w:p>
        </w:tc>
        <w:tc>
          <w:tcPr>
            <w:tcW w:w="1198" w:type="dxa"/>
            <w:tcBorders>
              <w:top w:val="single" w:sz="12" w:space="0" w:color="auto"/>
              <w:bottom w:val="single" w:sz="12" w:space="0" w:color="auto"/>
            </w:tcBorders>
          </w:tcPr>
          <w:p w14:paraId="1E89EEF5" w14:textId="7A9FA688" w:rsidR="003E09D8" w:rsidRPr="00A84A5B" w:rsidRDefault="003E09D8" w:rsidP="004B556F">
            <w:pPr>
              <w:pStyle w:val="Normal-pool-Table"/>
              <w:spacing w:before="20"/>
              <w:jc w:val="right"/>
              <w:rPr>
                <w:lang w:val="es-ES_tradnl"/>
              </w:rPr>
            </w:pPr>
            <w:r w:rsidRPr="00A84A5B">
              <w:rPr>
                <w:color w:val="000000"/>
                <w:lang w:val="es-ES_tradnl"/>
              </w:rPr>
              <w:t>1</w:t>
            </w:r>
            <w:r w:rsidR="0078772C" w:rsidRPr="00A84A5B">
              <w:rPr>
                <w:color w:val="000000"/>
                <w:lang w:val="es-ES_tradnl"/>
              </w:rPr>
              <w:t> </w:t>
            </w:r>
            <w:r w:rsidRPr="00A84A5B">
              <w:rPr>
                <w:color w:val="000000"/>
                <w:lang w:val="es-ES_tradnl"/>
              </w:rPr>
              <w:t>477</w:t>
            </w:r>
            <w:r w:rsidR="0078772C" w:rsidRPr="00A84A5B">
              <w:rPr>
                <w:color w:val="000000"/>
                <w:lang w:val="es-ES_tradnl"/>
              </w:rPr>
              <w:t> </w:t>
            </w:r>
            <w:r w:rsidRPr="00A84A5B">
              <w:rPr>
                <w:color w:val="000000"/>
                <w:lang w:val="es-ES_tradnl"/>
              </w:rPr>
              <w:t>938</w:t>
            </w:r>
          </w:p>
        </w:tc>
        <w:tc>
          <w:tcPr>
            <w:tcW w:w="1199" w:type="dxa"/>
            <w:tcBorders>
              <w:top w:val="single" w:sz="12" w:space="0" w:color="auto"/>
              <w:bottom w:val="single" w:sz="12" w:space="0" w:color="auto"/>
              <w:right w:val="single" w:sz="4" w:space="0" w:color="auto"/>
            </w:tcBorders>
          </w:tcPr>
          <w:p w14:paraId="2CA0DED5" w14:textId="1478C663" w:rsidR="003E09D8" w:rsidRPr="00A84A5B" w:rsidRDefault="003E09D8" w:rsidP="004B556F">
            <w:pPr>
              <w:pStyle w:val="Normal-pool-Table"/>
              <w:spacing w:before="20"/>
              <w:jc w:val="right"/>
              <w:rPr>
                <w:lang w:val="es-ES_tradnl"/>
              </w:rPr>
            </w:pPr>
            <w:r w:rsidRPr="00A84A5B">
              <w:rPr>
                <w:color w:val="000000"/>
                <w:lang w:val="es-ES_tradnl"/>
              </w:rPr>
              <w:t>1</w:t>
            </w:r>
            <w:r w:rsidR="0078772C" w:rsidRPr="00A84A5B">
              <w:rPr>
                <w:color w:val="000000"/>
                <w:lang w:val="es-ES_tradnl"/>
              </w:rPr>
              <w:t> </w:t>
            </w:r>
            <w:r w:rsidRPr="00A84A5B">
              <w:rPr>
                <w:color w:val="000000"/>
                <w:lang w:val="es-ES_tradnl"/>
              </w:rPr>
              <w:t>673</w:t>
            </w:r>
            <w:r w:rsidR="0078772C" w:rsidRPr="00A84A5B">
              <w:rPr>
                <w:color w:val="000000"/>
                <w:lang w:val="es-ES_tradnl"/>
              </w:rPr>
              <w:t> </w:t>
            </w:r>
            <w:r w:rsidRPr="00A84A5B">
              <w:rPr>
                <w:color w:val="000000"/>
                <w:lang w:val="es-ES_tradnl"/>
              </w:rPr>
              <w:t>662</w:t>
            </w:r>
          </w:p>
        </w:tc>
        <w:tc>
          <w:tcPr>
            <w:tcW w:w="1198" w:type="dxa"/>
            <w:tcBorders>
              <w:top w:val="single" w:sz="12" w:space="0" w:color="auto"/>
              <w:left w:val="single" w:sz="4" w:space="0" w:color="auto"/>
              <w:bottom w:val="single" w:sz="12" w:space="0" w:color="auto"/>
            </w:tcBorders>
          </w:tcPr>
          <w:p w14:paraId="32916334" w14:textId="58756D61" w:rsidR="003E09D8" w:rsidRPr="00A84A5B" w:rsidRDefault="003E09D8" w:rsidP="004B556F">
            <w:pPr>
              <w:pStyle w:val="Normal-pool-Table"/>
              <w:spacing w:before="20"/>
              <w:jc w:val="right"/>
              <w:rPr>
                <w:lang w:val="es-ES_tradnl"/>
              </w:rPr>
            </w:pPr>
            <w:r w:rsidRPr="00A84A5B">
              <w:rPr>
                <w:color w:val="000000"/>
                <w:lang w:val="es-ES_tradnl"/>
              </w:rPr>
              <w:t>1</w:t>
            </w:r>
            <w:r w:rsidR="0078772C" w:rsidRPr="00A84A5B">
              <w:rPr>
                <w:color w:val="000000"/>
                <w:lang w:val="es-ES_tradnl"/>
              </w:rPr>
              <w:t> </w:t>
            </w:r>
            <w:r w:rsidRPr="00A84A5B">
              <w:rPr>
                <w:color w:val="000000"/>
                <w:lang w:val="es-ES_tradnl"/>
              </w:rPr>
              <w:t>896</w:t>
            </w:r>
            <w:r w:rsidR="0078772C" w:rsidRPr="00A84A5B">
              <w:rPr>
                <w:color w:val="000000"/>
                <w:lang w:val="es-ES_tradnl"/>
              </w:rPr>
              <w:t> </w:t>
            </w:r>
            <w:r w:rsidRPr="00A84A5B">
              <w:rPr>
                <w:color w:val="000000"/>
                <w:lang w:val="es-ES_tradnl"/>
              </w:rPr>
              <w:t>234</w:t>
            </w:r>
          </w:p>
        </w:tc>
        <w:tc>
          <w:tcPr>
            <w:tcW w:w="1198" w:type="dxa"/>
            <w:tcBorders>
              <w:top w:val="single" w:sz="12" w:space="0" w:color="auto"/>
              <w:bottom w:val="single" w:sz="12" w:space="0" w:color="auto"/>
            </w:tcBorders>
          </w:tcPr>
          <w:p w14:paraId="0E9782DB" w14:textId="5B9C5EBD" w:rsidR="003E09D8" w:rsidRPr="00A84A5B" w:rsidRDefault="003E09D8" w:rsidP="004B556F">
            <w:pPr>
              <w:pStyle w:val="Normal-pool-Table"/>
              <w:spacing w:before="20"/>
              <w:jc w:val="right"/>
              <w:rPr>
                <w:lang w:val="es-ES_tradnl"/>
              </w:rPr>
            </w:pPr>
            <w:r w:rsidRPr="00A84A5B">
              <w:rPr>
                <w:color w:val="000000"/>
                <w:lang w:val="es-ES_tradnl"/>
              </w:rPr>
              <w:t>1</w:t>
            </w:r>
            <w:r w:rsidR="0078772C" w:rsidRPr="00A84A5B">
              <w:rPr>
                <w:color w:val="000000"/>
                <w:lang w:val="es-ES_tradnl"/>
              </w:rPr>
              <w:t> </w:t>
            </w:r>
            <w:r w:rsidRPr="00A84A5B">
              <w:rPr>
                <w:color w:val="000000"/>
                <w:lang w:val="es-ES_tradnl"/>
              </w:rPr>
              <w:t>728</w:t>
            </w:r>
            <w:r w:rsidR="0078772C" w:rsidRPr="00A84A5B">
              <w:rPr>
                <w:color w:val="000000"/>
                <w:lang w:val="es-ES_tradnl"/>
              </w:rPr>
              <w:t> </w:t>
            </w:r>
            <w:r w:rsidRPr="00A84A5B">
              <w:rPr>
                <w:color w:val="000000"/>
                <w:lang w:val="es-ES_tradnl"/>
              </w:rPr>
              <w:t>541</w:t>
            </w:r>
          </w:p>
        </w:tc>
        <w:tc>
          <w:tcPr>
            <w:tcW w:w="1199" w:type="dxa"/>
            <w:tcBorders>
              <w:top w:val="single" w:sz="12" w:space="0" w:color="auto"/>
              <w:bottom w:val="single" w:sz="12" w:space="0" w:color="auto"/>
            </w:tcBorders>
          </w:tcPr>
          <w:p w14:paraId="6583D18A" w14:textId="6963CBF3" w:rsidR="003E09D8" w:rsidRPr="00A84A5B" w:rsidRDefault="003E09D8" w:rsidP="004B556F">
            <w:pPr>
              <w:pStyle w:val="Normal-pool-Table"/>
              <w:spacing w:before="20"/>
              <w:jc w:val="right"/>
              <w:rPr>
                <w:lang w:val="es-ES_tradnl"/>
              </w:rPr>
            </w:pPr>
            <w:r w:rsidRPr="00A84A5B">
              <w:rPr>
                <w:color w:val="000000"/>
                <w:lang w:val="es-ES_tradnl"/>
              </w:rPr>
              <w:t>1</w:t>
            </w:r>
            <w:r w:rsidR="0078772C" w:rsidRPr="00A84A5B">
              <w:rPr>
                <w:color w:val="000000"/>
                <w:lang w:val="es-ES_tradnl"/>
              </w:rPr>
              <w:t> </w:t>
            </w:r>
            <w:r w:rsidRPr="00A84A5B">
              <w:rPr>
                <w:color w:val="000000"/>
                <w:lang w:val="es-ES_tradnl"/>
              </w:rPr>
              <w:t>715</w:t>
            </w:r>
            <w:r w:rsidR="0078772C" w:rsidRPr="00A84A5B">
              <w:rPr>
                <w:color w:val="000000"/>
                <w:lang w:val="es-ES_tradnl"/>
              </w:rPr>
              <w:t> </w:t>
            </w:r>
            <w:r w:rsidRPr="00A84A5B">
              <w:rPr>
                <w:color w:val="000000"/>
                <w:lang w:val="es-ES_tradnl"/>
              </w:rPr>
              <w:t>084</w:t>
            </w:r>
          </w:p>
        </w:tc>
      </w:tr>
    </w:tbl>
    <w:p w14:paraId="68F65AEF" w14:textId="77777777" w:rsidR="003E09D8" w:rsidRPr="00D12B17" w:rsidRDefault="003E09D8" w:rsidP="000021C8">
      <w:pPr>
        <w:tabs>
          <w:tab w:val="left" w:pos="624"/>
          <w:tab w:val="left" w:pos="1871"/>
          <w:tab w:val="left" w:pos="2495"/>
          <w:tab w:val="left" w:pos="3119"/>
          <w:tab w:val="left" w:pos="3742"/>
          <w:tab w:val="left" w:pos="4366"/>
          <w:tab w:val="left" w:pos="4990"/>
        </w:tabs>
        <w:spacing w:before="60" w:after="120"/>
        <w:ind w:left="1247"/>
        <w:rPr>
          <w:i/>
          <w:sz w:val="18"/>
          <w:szCs w:val="18"/>
          <w:lang w:val="es-ES_tradnl"/>
        </w:rPr>
      </w:pPr>
      <w:r w:rsidRPr="00D12B17">
        <w:rPr>
          <w:sz w:val="18"/>
          <w:szCs w:val="18"/>
          <w:lang w:val="es-ES_tradnl"/>
        </w:rPr>
        <w:tab/>
      </w:r>
      <w:r w:rsidRPr="00D12B17">
        <w:rPr>
          <w:i/>
          <w:iCs/>
          <w:sz w:val="18"/>
          <w:szCs w:val="18"/>
          <w:lang w:val="es-ES_tradnl"/>
        </w:rPr>
        <w:t>Abreviaciones</w:t>
      </w:r>
      <w:r w:rsidRPr="00D12B17">
        <w:rPr>
          <w:sz w:val="18"/>
          <w:szCs w:val="18"/>
          <w:lang w:val="es-ES_tradnl"/>
        </w:rPr>
        <w:t>: CO</w:t>
      </w:r>
      <w:r w:rsidRPr="00D12B17">
        <w:rPr>
          <w:sz w:val="18"/>
          <w:szCs w:val="18"/>
          <w:vertAlign w:val="subscript"/>
          <w:lang w:val="es-ES_tradnl"/>
        </w:rPr>
        <w:t>2</w:t>
      </w:r>
      <w:r w:rsidRPr="00D12B17">
        <w:rPr>
          <w:sz w:val="18"/>
          <w:szCs w:val="18"/>
          <w:lang w:val="es-ES_tradnl"/>
        </w:rPr>
        <w:t xml:space="preserve"> </w:t>
      </w:r>
      <w:proofErr w:type="spellStart"/>
      <w:r w:rsidRPr="00D12B17">
        <w:rPr>
          <w:sz w:val="18"/>
          <w:szCs w:val="18"/>
          <w:lang w:val="es-ES_tradnl"/>
        </w:rPr>
        <w:t>eq</w:t>
      </w:r>
      <w:proofErr w:type="spellEnd"/>
      <w:r w:rsidRPr="00D12B17">
        <w:rPr>
          <w:sz w:val="18"/>
          <w:szCs w:val="18"/>
          <w:lang w:val="es-ES_tradnl"/>
        </w:rPr>
        <w:t xml:space="preserve"> = dióxido de carbono equivalente; HFC = hidrofluorocarbono. </w:t>
      </w:r>
    </w:p>
    <w:p w14:paraId="4E0B60DC"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Que las Islas Marshall, Kiribati, Nauru, Niue, Tuvalu y Vanuatu han aportado información suficiente, de conformidad con la decisión XV/19, para justificar sus solicitudes de modificación de sus datos sobre consumo de hidrofluorocarbonos correspondientes a 2020, 2021 o 2022, o a todos esos años, que forman parte del nivel de base para las Partes del grupo 1 que operan al amparo del artículo 5 en virtud de la Enmienda de Kigali;</w:t>
      </w:r>
    </w:p>
    <w:p w14:paraId="258FB030"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Aprobar las solicitudes de las Islas Marshall, Kiribati, Nauru, Niue, Tuvalu y Vanuatu y modificar sus datos sobre el consumo de hidrofluorocarbonos en los años de referencia que se indican en el cuadro siguiente:</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162"/>
        <w:gridCol w:w="1162"/>
        <w:gridCol w:w="1162"/>
        <w:gridCol w:w="1031"/>
        <w:gridCol w:w="1031"/>
        <w:gridCol w:w="1031"/>
      </w:tblGrid>
      <w:tr w:rsidR="003E09D8" w:rsidRPr="008353E4" w14:paraId="71D83925" w14:textId="77777777" w:rsidTr="00333421">
        <w:trPr>
          <w:tblHeader/>
          <w:jc w:val="right"/>
        </w:trPr>
        <w:tc>
          <w:tcPr>
            <w:tcW w:w="1728" w:type="dxa"/>
            <w:vMerge w:val="restart"/>
            <w:tcBorders>
              <w:top w:val="single" w:sz="4" w:space="0" w:color="auto"/>
            </w:tcBorders>
            <w:vAlign w:val="bottom"/>
          </w:tcPr>
          <w:p w14:paraId="1466FA3B" w14:textId="77777777" w:rsidR="003E09D8" w:rsidRPr="00A84A5B" w:rsidRDefault="003E09D8" w:rsidP="00333421">
            <w:pPr>
              <w:pStyle w:val="Normal-pool-Table"/>
              <w:rPr>
                <w:i/>
                <w:iCs/>
                <w:szCs w:val="18"/>
                <w:lang w:val="es-ES_tradnl"/>
              </w:rPr>
            </w:pPr>
            <w:r w:rsidRPr="00A84A5B">
              <w:rPr>
                <w:i/>
                <w:iCs/>
                <w:color w:val="000000"/>
                <w:lang w:val="es-ES_tradnl"/>
              </w:rPr>
              <w:t>Parte/año</w:t>
            </w:r>
          </w:p>
        </w:tc>
        <w:tc>
          <w:tcPr>
            <w:tcW w:w="3486" w:type="dxa"/>
            <w:gridSpan w:val="3"/>
            <w:tcBorders>
              <w:top w:val="single" w:sz="4" w:space="0" w:color="auto"/>
              <w:bottom w:val="single" w:sz="4" w:space="0" w:color="auto"/>
            </w:tcBorders>
            <w:vAlign w:val="bottom"/>
          </w:tcPr>
          <w:p w14:paraId="4D9A6646" w14:textId="77777777" w:rsidR="003E09D8" w:rsidRPr="00A84A5B" w:rsidRDefault="003E09D8" w:rsidP="00333421">
            <w:pPr>
              <w:pStyle w:val="Normal-pool-Table"/>
              <w:jc w:val="center"/>
              <w:rPr>
                <w:i/>
                <w:iCs/>
                <w:szCs w:val="18"/>
                <w:lang w:val="es-ES_tradnl"/>
              </w:rPr>
            </w:pPr>
            <w:r w:rsidRPr="00A84A5B">
              <w:rPr>
                <w:i/>
                <w:iCs/>
                <w:color w:val="000000"/>
                <w:lang w:val="es-ES_tradnl"/>
              </w:rPr>
              <w:t>Datos anteriores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c>
          <w:tcPr>
            <w:tcW w:w="3093" w:type="dxa"/>
            <w:gridSpan w:val="3"/>
            <w:tcBorders>
              <w:top w:val="single" w:sz="4" w:space="0" w:color="auto"/>
              <w:bottom w:val="single" w:sz="4" w:space="0" w:color="auto"/>
            </w:tcBorders>
            <w:vAlign w:val="bottom"/>
          </w:tcPr>
          <w:p w14:paraId="37527827" w14:textId="77777777" w:rsidR="003E09D8" w:rsidRPr="00A84A5B" w:rsidRDefault="003E09D8" w:rsidP="00333421">
            <w:pPr>
              <w:pStyle w:val="Normal-pool-Table"/>
              <w:jc w:val="center"/>
              <w:rPr>
                <w:i/>
                <w:iCs/>
                <w:szCs w:val="18"/>
                <w:lang w:val="es-ES_tradnl"/>
              </w:rPr>
            </w:pPr>
            <w:r w:rsidRPr="00A84A5B">
              <w:rPr>
                <w:i/>
                <w:iCs/>
                <w:color w:val="000000"/>
                <w:lang w:val="es-ES_tradnl"/>
              </w:rPr>
              <w:t>Nuevos datos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0FA3C754" w14:textId="77777777" w:rsidTr="00333421">
        <w:trPr>
          <w:tblHeader/>
          <w:jc w:val="right"/>
        </w:trPr>
        <w:tc>
          <w:tcPr>
            <w:tcW w:w="1728" w:type="dxa"/>
            <w:vMerge/>
            <w:tcBorders>
              <w:bottom w:val="single" w:sz="12" w:space="0" w:color="auto"/>
            </w:tcBorders>
            <w:vAlign w:val="bottom"/>
          </w:tcPr>
          <w:p w14:paraId="0F153D80" w14:textId="77777777" w:rsidR="003E09D8" w:rsidRPr="00A84A5B" w:rsidRDefault="003E09D8" w:rsidP="00333421">
            <w:pPr>
              <w:pStyle w:val="Normal-pool-Table"/>
              <w:rPr>
                <w:i/>
                <w:iCs/>
                <w:szCs w:val="18"/>
                <w:lang w:val="es-ES_tradnl"/>
              </w:rPr>
            </w:pPr>
          </w:p>
        </w:tc>
        <w:tc>
          <w:tcPr>
            <w:tcW w:w="1162" w:type="dxa"/>
            <w:tcBorders>
              <w:top w:val="single" w:sz="4" w:space="0" w:color="auto"/>
              <w:bottom w:val="single" w:sz="12" w:space="0" w:color="auto"/>
            </w:tcBorders>
            <w:vAlign w:val="bottom"/>
          </w:tcPr>
          <w:p w14:paraId="3CE5111F"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162" w:type="dxa"/>
            <w:tcBorders>
              <w:top w:val="single" w:sz="4" w:space="0" w:color="auto"/>
              <w:bottom w:val="single" w:sz="12" w:space="0" w:color="auto"/>
            </w:tcBorders>
            <w:vAlign w:val="bottom"/>
          </w:tcPr>
          <w:p w14:paraId="3ACE9FE3"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162" w:type="dxa"/>
            <w:tcBorders>
              <w:top w:val="single" w:sz="4" w:space="0" w:color="auto"/>
              <w:bottom w:val="single" w:sz="12" w:space="0" w:color="auto"/>
            </w:tcBorders>
            <w:vAlign w:val="bottom"/>
          </w:tcPr>
          <w:p w14:paraId="23D8A833"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c>
          <w:tcPr>
            <w:tcW w:w="1031" w:type="dxa"/>
            <w:tcBorders>
              <w:top w:val="single" w:sz="4" w:space="0" w:color="auto"/>
              <w:bottom w:val="single" w:sz="12" w:space="0" w:color="auto"/>
            </w:tcBorders>
            <w:vAlign w:val="bottom"/>
          </w:tcPr>
          <w:p w14:paraId="49B9731C"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031" w:type="dxa"/>
            <w:tcBorders>
              <w:top w:val="single" w:sz="4" w:space="0" w:color="auto"/>
              <w:bottom w:val="single" w:sz="12" w:space="0" w:color="auto"/>
            </w:tcBorders>
            <w:vAlign w:val="bottom"/>
          </w:tcPr>
          <w:p w14:paraId="6A81D70E"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031" w:type="dxa"/>
            <w:tcBorders>
              <w:top w:val="single" w:sz="4" w:space="0" w:color="auto"/>
              <w:bottom w:val="single" w:sz="12" w:space="0" w:color="auto"/>
            </w:tcBorders>
            <w:vAlign w:val="bottom"/>
          </w:tcPr>
          <w:p w14:paraId="122424C8"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r>
      <w:tr w:rsidR="00D91D10" w:rsidRPr="00A84A5B" w14:paraId="38095D6A" w14:textId="77777777" w:rsidTr="00D91D10">
        <w:trPr>
          <w:jc w:val="right"/>
        </w:trPr>
        <w:tc>
          <w:tcPr>
            <w:tcW w:w="1728" w:type="dxa"/>
            <w:tcBorders>
              <w:top w:val="single" w:sz="12" w:space="0" w:color="auto"/>
            </w:tcBorders>
          </w:tcPr>
          <w:p w14:paraId="270A90A6" w14:textId="77777777" w:rsidR="00D91D10" w:rsidRPr="00A84A5B" w:rsidRDefault="00D91D10" w:rsidP="00333421">
            <w:pPr>
              <w:pStyle w:val="Normal-pool-Table"/>
              <w:rPr>
                <w:szCs w:val="18"/>
                <w:lang w:val="es-ES_tradnl"/>
              </w:rPr>
            </w:pPr>
            <w:r w:rsidRPr="00A84A5B">
              <w:rPr>
                <w:color w:val="000000"/>
                <w:lang w:val="es-ES_tradnl"/>
              </w:rPr>
              <w:t>Islas Marshall</w:t>
            </w:r>
          </w:p>
        </w:tc>
        <w:tc>
          <w:tcPr>
            <w:tcW w:w="1162" w:type="dxa"/>
            <w:tcBorders>
              <w:top w:val="single" w:sz="12" w:space="0" w:color="auto"/>
            </w:tcBorders>
          </w:tcPr>
          <w:p w14:paraId="5B5C05F2" w14:textId="77777777" w:rsidR="00D91D10" w:rsidRPr="00A84A5B" w:rsidRDefault="00D91D10" w:rsidP="00333421">
            <w:pPr>
              <w:pStyle w:val="Normal-pool-Table"/>
              <w:jc w:val="right"/>
              <w:rPr>
                <w:szCs w:val="18"/>
                <w:lang w:val="es-ES_tradnl"/>
              </w:rPr>
            </w:pPr>
            <w:r w:rsidRPr="00A84A5B">
              <w:rPr>
                <w:color w:val="000000"/>
                <w:lang w:val="es-ES_tradnl"/>
              </w:rPr>
              <w:t>7 067</w:t>
            </w:r>
          </w:p>
        </w:tc>
        <w:tc>
          <w:tcPr>
            <w:tcW w:w="1162" w:type="dxa"/>
            <w:tcBorders>
              <w:top w:val="single" w:sz="12" w:space="0" w:color="auto"/>
            </w:tcBorders>
          </w:tcPr>
          <w:p w14:paraId="745D065A" w14:textId="77777777" w:rsidR="00D91D10" w:rsidRPr="00A84A5B" w:rsidRDefault="00D91D10" w:rsidP="00333421">
            <w:pPr>
              <w:pStyle w:val="Normal-pool-Table"/>
              <w:jc w:val="right"/>
              <w:rPr>
                <w:szCs w:val="18"/>
                <w:lang w:val="es-ES_tradnl"/>
              </w:rPr>
            </w:pPr>
            <w:r w:rsidRPr="00A84A5B">
              <w:rPr>
                <w:color w:val="000000"/>
                <w:lang w:val="es-ES_tradnl"/>
              </w:rPr>
              <w:t>4 380</w:t>
            </w:r>
          </w:p>
        </w:tc>
        <w:tc>
          <w:tcPr>
            <w:tcW w:w="1162" w:type="dxa"/>
            <w:tcBorders>
              <w:top w:val="single" w:sz="12" w:space="0" w:color="auto"/>
            </w:tcBorders>
          </w:tcPr>
          <w:p w14:paraId="2FC9AB0C" w14:textId="77777777" w:rsidR="00D91D10" w:rsidRPr="00A84A5B" w:rsidRDefault="00D91D10" w:rsidP="00333421">
            <w:pPr>
              <w:pStyle w:val="Normal-pool-Table"/>
              <w:jc w:val="right"/>
              <w:rPr>
                <w:szCs w:val="18"/>
                <w:lang w:val="es-ES_tradnl"/>
              </w:rPr>
            </w:pPr>
            <w:r w:rsidRPr="00A84A5B">
              <w:rPr>
                <w:color w:val="000000"/>
                <w:lang w:val="es-ES_tradnl"/>
              </w:rPr>
              <w:t>6 943</w:t>
            </w:r>
          </w:p>
        </w:tc>
        <w:tc>
          <w:tcPr>
            <w:tcW w:w="1031" w:type="dxa"/>
            <w:tcBorders>
              <w:top w:val="single" w:sz="12" w:space="0" w:color="auto"/>
            </w:tcBorders>
          </w:tcPr>
          <w:p w14:paraId="66B3CB0A" w14:textId="77777777" w:rsidR="00D91D10" w:rsidRPr="00A84A5B" w:rsidRDefault="00D91D10" w:rsidP="00333421">
            <w:pPr>
              <w:pStyle w:val="Normal-pool-Table"/>
              <w:jc w:val="right"/>
              <w:rPr>
                <w:szCs w:val="18"/>
                <w:lang w:val="es-ES_tradnl"/>
              </w:rPr>
            </w:pPr>
            <w:r w:rsidRPr="00A84A5B">
              <w:rPr>
                <w:color w:val="000000"/>
                <w:lang w:val="es-ES_tradnl"/>
              </w:rPr>
              <w:t>10 922</w:t>
            </w:r>
          </w:p>
        </w:tc>
        <w:tc>
          <w:tcPr>
            <w:tcW w:w="1031" w:type="dxa"/>
            <w:tcBorders>
              <w:top w:val="single" w:sz="12" w:space="0" w:color="auto"/>
            </w:tcBorders>
          </w:tcPr>
          <w:p w14:paraId="1A813D1D" w14:textId="77777777" w:rsidR="00D91D10" w:rsidRPr="00A84A5B" w:rsidRDefault="00D91D10" w:rsidP="00333421">
            <w:pPr>
              <w:pStyle w:val="Normal-pool-Table"/>
              <w:jc w:val="right"/>
              <w:rPr>
                <w:szCs w:val="18"/>
                <w:lang w:val="es-ES_tradnl"/>
              </w:rPr>
            </w:pPr>
            <w:r w:rsidRPr="00A84A5B">
              <w:rPr>
                <w:color w:val="000000"/>
                <w:lang w:val="es-ES_tradnl"/>
              </w:rPr>
              <w:t>13 677</w:t>
            </w:r>
          </w:p>
        </w:tc>
        <w:tc>
          <w:tcPr>
            <w:tcW w:w="1031" w:type="dxa"/>
            <w:tcBorders>
              <w:top w:val="single" w:sz="12" w:space="0" w:color="auto"/>
            </w:tcBorders>
          </w:tcPr>
          <w:p w14:paraId="6B124C63" w14:textId="77777777" w:rsidR="00D91D10" w:rsidRPr="00A84A5B" w:rsidRDefault="00D91D10" w:rsidP="00333421">
            <w:pPr>
              <w:pStyle w:val="Normal-pool-Table"/>
              <w:jc w:val="right"/>
              <w:rPr>
                <w:szCs w:val="18"/>
                <w:lang w:val="es-ES_tradnl"/>
              </w:rPr>
            </w:pPr>
            <w:r w:rsidRPr="00A84A5B">
              <w:rPr>
                <w:color w:val="000000"/>
                <w:lang w:val="es-ES_tradnl"/>
              </w:rPr>
              <w:t>9 095</w:t>
            </w:r>
          </w:p>
        </w:tc>
      </w:tr>
      <w:tr w:rsidR="00D91D10" w:rsidRPr="00A84A5B" w14:paraId="3C797C57" w14:textId="77777777" w:rsidTr="00D91D10">
        <w:trPr>
          <w:jc w:val="right"/>
        </w:trPr>
        <w:tc>
          <w:tcPr>
            <w:tcW w:w="1728" w:type="dxa"/>
          </w:tcPr>
          <w:p w14:paraId="5A517144" w14:textId="77777777" w:rsidR="00D91D10" w:rsidRPr="00A84A5B" w:rsidRDefault="00D91D10" w:rsidP="00333421">
            <w:pPr>
              <w:pStyle w:val="Normal-pool-Table"/>
              <w:rPr>
                <w:szCs w:val="18"/>
                <w:lang w:val="es-ES_tradnl"/>
              </w:rPr>
            </w:pPr>
            <w:r w:rsidRPr="00A84A5B">
              <w:rPr>
                <w:color w:val="000000"/>
                <w:lang w:val="es-ES_tradnl"/>
              </w:rPr>
              <w:t>Kiribati</w:t>
            </w:r>
          </w:p>
        </w:tc>
        <w:tc>
          <w:tcPr>
            <w:tcW w:w="1162" w:type="dxa"/>
          </w:tcPr>
          <w:p w14:paraId="01731BAB" w14:textId="77777777" w:rsidR="00D91D10" w:rsidRPr="00A84A5B" w:rsidRDefault="00D91D10" w:rsidP="00333421">
            <w:pPr>
              <w:pStyle w:val="Normal-pool-Table"/>
              <w:jc w:val="right"/>
              <w:rPr>
                <w:szCs w:val="18"/>
                <w:lang w:val="es-ES_tradnl"/>
              </w:rPr>
            </w:pPr>
            <w:r w:rsidRPr="00A84A5B">
              <w:rPr>
                <w:color w:val="000000"/>
                <w:lang w:val="es-ES_tradnl"/>
              </w:rPr>
              <w:t>7 063</w:t>
            </w:r>
          </w:p>
        </w:tc>
        <w:tc>
          <w:tcPr>
            <w:tcW w:w="1162" w:type="dxa"/>
          </w:tcPr>
          <w:p w14:paraId="37F91A0E" w14:textId="77777777" w:rsidR="00D91D10" w:rsidRPr="00A84A5B" w:rsidRDefault="00D91D10" w:rsidP="00333421">
            <w:pPr>
              <w:pStyle w:val="Normal-pool-Table"/>
              <w:jc w:val="right"/>
              <w:rPr>
                <w:szCs w:val="18"/>
                <w:lang w:val="es-ES_tradnl"/>
              </w:rPr>
            </w:pPr>
            <w:r w:rsidRPr="00A84A5B">
              <w:rPr>
                <w:color w:val="000000"/>
                <w:lang w:val="es-ES_tradnl"/>
              </w:rPr>
              <w:t>10 471</w:t>
            </w:r>
          </w:p>
        </w:tc>
        <w:tc>
          <w:tcPr>
            <w:tcW w:w="1162" w:type="dxa"/>
          </w:tcPr>
          <w:p w14:paraId="6A6967FF" w14:textId="77777777" w:rsidR="00D91D10" w:rsidRPr="00A84A5B" w:rsidRDefault="00D91D10" w:rsidP="00333421">
            <w:pPr>
              <w:pStyle w:val="Normal-pool-Table"/>
              <w:jc w:val="right"/>
              <w:rPr>
                <w:szCs w:val="18"/>
                <w:lang w:val="es-ES_tradnl"/>
              </w:rPr>
            </w:pPr>
            <w:r w:rsidRPr="00A84A5B">
              <w:rPr>
                <w:color w:val="000000"/>
                <w:lang w:val="es-ES_tradnl"/>
              </w:rPr>
              <w:t>3 569</w:t>
            </w:r>
          </w:p>
        </w:tc>
        <w:tc>
          <w:tcPr>
            <w:tcW w:w="1031" w:type="dxa"/>
          </w:tcPr>
          <w:p w14:paraId="68C78FEE" w14:textId="77777777" w:rsidR="00D91D10" w:rsidRPr="00A84A5B" w:rsidRDefault="00D91D10" w:rsidP="00333421">
            <w:pPr>
              <w:pStyle w:val="Normal-pool-Table"/>
              <w:jc w:val="right"/>
              <w:rPr>
                <w:szCs w:val="18"/>
                <w:lang w:val="es-ES_tradnl"/>
              </w:rPr>
            </w:pPr>
            <w:r w:rsidRPr="00A84A5B">
              <w:rPr>
                <w:color w:val="000000"/>
                <w:lang w:val="es-ES_tradnl"/>
              </w:rPr>
              <w:t>7 063</w:t>
            </w:r>
          </w:p>
        </w:tc>
        <w:tc>
          <w:tcPr>
            <w:tcW w:w="1031" w:type="dxa"/>
          </w:tcPr>
          <w:p w14:paraId="4AE985B0" w14:textId="77777777" w:rsidR="00D91D10" w:rsidRPr="00A84A5B" w:rsidRDefault="00D91D10" w:rsidP="00333421">
            <w:pPr>
              <w:pStyle w:val="Normal-pool-Table"/>
              <w:jc w:val="right"/>
              <w:rPr>
                <w:szCs w:val="18"/>
                <w:lang w:val="es-ES_tradnl"/>
              </w:rPr>
            </w:pPr>
            <w:r w:rsidRPr="00A84A5B">
              <w:rPr>
                <w:color w:val="000000"/>
                <w:lang w:val="es-ES_tradnl"/>
              </w:rPr>
              <w:t>10 471</w:t>
            </w:r>
          </w:p>
        </w:tc>
        <w:tc>
          <w:tcPr>
            <w:tcW w:w="1031" w:type="dxa"/>
          </w:tcPr>
          <w:p w14:paraId="7BBA7DD0" w14:textId="77777777" w:rsidR="00D91D10" w:rsidRPr="00A84A5B" w:rsidRDefault="00D91D10" w:rsidP="00333421">
            <w:pPr>
              <w:pStyle w:val="Normal-pool-Table"/>
              <w:jc w:val="right"/>
              <w:rPr>
                <w:szCs w:val="18"/>
                <w:lang w:val="es-ES_tradnl"/>
              </w:rPr>
            </w:pPr>
            <w:r w:rsidRPr="00A84A5B">
              <w:rPr>
                <w:color w:val="000000"/>
                <w:lang w:val="es-ES_tradnl"/>
              </w:rPr>
              <w:t>4 570</w:t>
            </w:r>
          </w:p>
        </w:tc>
      </w:tr>
      <w:tr w:rsidR="00D91D10" w:rsidRPr="00A84A5B" w14:paraId="4B8E95E4" w14:textId="77777777" w:rsidTr="00333421">
        <w:trPr>
          <w:jc w:val="right"/>
        </w:trPr>
        <w:tc>
          <w:tcPr>
            <w:tcW w:w="1728" w:type="dxa"/>
          </w:tcPr>
          <w:p w14:paraId="1BA3DF1D" w14:textId="77777777" w:rsidR="00D91D10" w:rsidRPr="00A84A5B" w:rsidRDefault="00D91D10" w:rsidP="00333421">
            <w:pPr>
              <w:pStyle w:val="Normal-pool-Table"/>
              <w:rPr>
                <w:szCs w:val="18"/>
                <w:lang w:val="es-ES_tradnl"/>
              </w:rPr>
            </w:pPr>
            <w:r w:rsidRPr="00A84A5B">
              <w:rPr>
                <w:color w:val="000000"/>
                <w:lang w:val="es-ES_tradnl"/>
              </w:rPr>
              <w:t>Nauru</w:t>
            </w:r>
          </w:p>
        </w:tc>
        <w:tc>
          <w:tcPr>
            <w:tcW w:w="1162" w:type="dxa"/>
          </w:tcPr>
          <w:p w14:paraId="78B31647" w14:textId="77777777" w:rsidR="00D91D10" w:rsidRPr="00A84A5B" w:rsidRDefault="00D91D10" w:rsidP="00333421">
            <w:pPr>
              <w:pStyle w:val="Normal-pool-Table"/>
              <w:jc w:val="right"/>
              <w:rPr>
                <w:szCs w:val="18"/>
                <w:lang w:val="es-ES_tradnl"/>
              </w:rPr>
            </w:pPr>
            <w:r w:rsidRPr="00A84A5B">
              <w:rPr>
                <w:color w:val="000000"/>
                <w:lang w:val="es-ES_tradnl"/>
              </w:rPr>
              <w:t>335</w:t>
            </w:r>
          </w:p>
        </w:tc>
        <w:tc>
          <w:tcPr>
            <w:tcW w:w="1162" w:type="dxa"/>
          </w:tcPr>
          <w:p w14:paraId="096A8B39" w14:textId="77777777" w:rsidR="00D91D10" w:rsidRPr="00A84A5B" w:rsidRDefault="00D91D10" w:rsidP="00333421">
            <w:pPr>
              <w:pStyle w:val="Normal-pool-Table"/>
              <w:jc w:val="right"/>
              <w:rPr>
                <w:szCs w:val="18"/>
                <w:lang w:val="es-ES_tradnl"/>
              </w:rPr>
            </w:pPr>
            <w:r w:rsidRPr="00A84A5B">
              <w:rPr>
                <w:color w:val="000000"/>
                <w:lang w:val="es-ES_tradnl"/>
              </w:rPr>
              <w:t>1 186</w:t>
            </w:r>
          </w:p>
        </w:tc>
        <w:tc>
          <w:tcPr>
            <w:tcW w:w="1162" w:type="dxa"/>
          </w:tcPr>
          <w:p w14:paraId="576BACB3" w14:textId="77777777" w:rsidR="00D91D10" w:rsidRPr="00A84A5B" w:rsidRDefault="00D91D10" w:rsidP="00333421">
            <w:pPr>
              <w:pStyle w:val="Normal-pool-Table"/>
              <w:jc w:val="right"/>
              <w:rPr>
                <w:szCs w:val="18"/>
                <w:lang w:val="es-ES_tradnl"/>
              </w:rPr>
            </w:pPr>
            <w:r w:rsidRPr="00A84A5B">
              <w:rPr>
                <w:color w:val="000000"/>
                <w:lang w:val="es-ES_tradnl"/>
              </w:rPr>
              <w:t>1 456</w:t>
            </w:r>
          </w:p>
        </w:tc>
        <w:tc>
          <w:tcPr>
            <w:tcW w:w="1031" w:type="dxa"/>
          </w:tcPr>
          <w:p w14:paraId="58CD2232" w14:textId="77777777" w:rsidR="00D91D10" w:rsidRPr="00A84A5B" w:rsidRDefault="00D91D10" w:rsidP="00333421">
            <w:pPr>
              <w:pStyle w:val="Normal-pool-Table"/>
              <w:jc w:val="right"/>
              <w:rPr>
                <w:szCs w:val="18"/>
                <w:lang w:val="es-ES_tradnl"/>
              </w:rPr>
            </w:pPr>
            <w:r w:rsidRPr="00A84A5B">
              <w:rPr>
                <w:color w:val="000000"/>
                <w:lang w:val="es-ES_tradnl"/>
              </w:rPr>
              <w:t>1 997</w:t>
            </w:r>
          </w:p>
        </w:tc>
        <w:tc>
          <w:tcPr>
            <w:tcW w:w="1031" w:type="dxa"/>
          </w:tcPr>
          <w:p w14:paraId="50A5C9D4" w14:textId="77777777" w:rsidR="00D91D10" w:rsidRPr="00A84A5B" w:rsidRDefault="00D91D10" w:rsidP="00333421">
            <w:pPr>
              <w:pStyle w:val="Normal-pool-Table"/>
              <w:jc w:val="right"/>
              <w:rPr>
                <w:szCs w:val="18"/>
                <w:lang w:val="es-ES_tradnl"/>
              </w:rPr>
            </w:pPr>
            <w:r w:rsidRPr="00A84A5B">
              <w:rPr>
                <w:color w:val="000000"/>
                <w:lang w:val="es-ES_tradnl"/>
              </w:rPr>
              <w:t>2 175</w:t>
            </w:r>
          </w:p>
        </w:tc>
        <w:tc>
          <w:tcPr>
            <w:tcW w:w="1031" w:type="dxa"/>
          </w:tcPr>
          <w:p w14:paraId="033CB8EA" w14:textId="77777777" w:rsidR="00D91D10" w:rsidRPr="00A84A5B" w:rsidRDefault="00D91D10" w:rsidP="00333421">
            <w:pPr>
              <w:pStyle w:val="Normal-pool-Table"/>
              <w:jc w:val="right"/>
              <w:rPr>
                <w:szCs w:val="18"/>
                <w:lang w:val="es-ES_tradnl"/>
              </w:rPr>
            </w:pPr>
            <w:r w:rsidRPr="00A84A5B">
              <w:rPr>
                <w:color w:val="000000"/>
                <w:lang w:val="es-ES_tradnl"/>
              </w:rPr>
              <w:t>2 326</w:t>
            </w:r>
          </w:p>
        </w:tc>
      </w:tr>
      <w:tr w:rsidR="00D91D10" w:rsidRPr="00A84A5B" w14:paraId="6BD33F9E" w14:textId="77777777" w:rsidTr="00333421">
        <w:trPr>
          <w:jc w:val="right"/>
        </w:trPr>
        <w:tc>
          <w:tcPr>
            <w:tcW w:w="1728" w:type="dxa"/>
          </w:tcPr>
          <w:p w14:paraId="38191E1A" w14:textId="77777777" w:rsidR="00D91D10" w:rsidRPr="00A84A5B" w:rsidRDefault="00D91D10" w:rsidP="00333421">
            <w:pPr>
              <w:pStyle w:val="Normal-pool-Table"/>
              <w:rPr>
                <w:szCs w:val="18"/>
                <w:lang w:val="es-ES_tradnl"/>
              </w:rPr>
            </w:pPr>
            <w:r w:rsidRPr="00A84A5B">
              <w:rPr>
                <w:color w:val="000000"/>
                <w:lang w:val="es-ES_tradnl"/>
              </w:rPr>
              <w:t>Niue</w:t>
            </w:r>
          </w:p>
        </w:tc>
        <w:tc>
          <w:tcPr>
            <w:tcW w:w="1162" w:type="dxa"/>
          </w:tcPr>
          <w:p w14:paraId="36A4A6DC" w14:textId="77777777" w:rsidR="00D91D10" w:rsidRPr="00A84A5B" w:rsidRDefault="00D91D10" w:rsidP="00333421">
            <w:pPr>
              <w:pStyle w:val="Normal-pool-Table"/>
              <w:jc w:val="right"/>
              <w:rPr>
                <w:szCs w:val="18"/>
                <w:lang w:val="es-ES_tradnl"/>
              </w:rPr>
            </w:pPr>
            <w:r w:rsidRPr="00A84A5B">
              <w:rPr>
                <w:color w:val="000000"/>
                <w:lang w:val="es-ES_tradnl"/>
              </w:rPr>
              <w:t>–</w:t>
            </w:r>
            <w:r w:rsidRPr="00A84A5B">
              <w:rPr>
                <w:rFonts w:eastAsia="Symbol"/>
                <w:color w:val="000000"/>
                <w:szCs w:val="18"/>
                <w:lang w:val="es-ES_tradnl" w:eastAsia="en-GB"/>
              </w:rPr>
              <w:sym w:font="Symbol" w:char="F02D"/>
            </w:r>
          </w:p>
        </w:tc>
        <w:tc>
          <w:tcPr>
            <w:tcW w:w="1162" w:type="dxa"/>
          </w:tcPr>
          <w:p w14:paraId="65A21079" w14:textId="77777777" w:rsidR="00D91D10" w:rsidRPr="00A84A5B" w:rsidRDefault="00D91D10" w:rsidP="00333421">
            <w:pPr>
              <w:pStyle w:val="Normal-pool-Table"/>
              <w:jc w:val="right"/>
              <w:rPr>
                <w:szCs w:val="18"/>
                <w:lang w:val="es-ES_tradnl"/>
              </w:rPr>
            </w:pPr>
            <w:r w:rsidRPr="00A84A5B">
              <w:rPr>
                <w:color w:val="000000"/>
                <w:lang w:val="es-ES_tradnl"/>
              </w:rPr>
              <w:t>74</w:t>
            </w:r>
          </w:p>
        </w:tc>
        <w:tc>
          <w:tcPr>
            <w:tcW w:w="1162" w:type="dxa"/>
          </w:tcPr>
          <w:p w14:paraId="155EE7E6" w14:textId="77777777" w:rsidR="00D91D10" w:rsidRPr="00A84A5B" w:rsidRDefault="00D91D10" w:rsidP="00333421">
            <w:pPr>
              <w:pStyle w:val="Normal-pool-Table"/>
              <w:jc w:val="right"/>
              <w:rPr>
                <w:szCs w:val="18"/>
                <w:lang w:val="es-ES_tradnl"/>
              </w:rPr>
            </w:pPr>
            <w:r w:rsidRPr="00A84A5B">
              <w:rPr>
                <w:color w:val="000000"/>
                <w:lang w:val="es-ES_tradnl"/>
              </w:rPr>
              <w:t>–</w:t>
            </w:r>
            <w:r w:rsidRPr="00A84A5B">
              <w:rPr>
                <w:rFonts w:eastAsia="Symbol"/>
                <w:color w:val="000000"/>
                <w:szCs w:val="18"/>
                <w:lang w:val="es-ES_tradnl" w:eastAsia="en-GB"/>
              </w:rPr>
              <w:sym w:font="Symbol" w:char="F02D"/>
            </w:r>
          </w:p>
        </w:tc>
        <w:tc>
          <w:tcPr>
            <w:tcW w:w="1031" w:type="dxa"/>
          </w:tcPr>
          <w:p w14:paraId="74F31248" w14:textId="77777777" w:rsidR="00D91D10" w:rsidRPr="00A84A5B" w:rsidRDefault="00D91D10" w:rsidP="00333421">
            <w:pPr>
              <w:pStyle w:val="Normal-pool-Table"/>
              <w:jc w:val="right"/>
              <w:rPr>
                <w:szCs w:val="18"/>
                <w:lang w:val="es-ES_tradnl"/>
              </w:rPr>
            </w:pPr>
            <w:r w:rsidRPr="00A84A5B">
              <w:rPr>
                <w:color w:val="000000"/>
                <w:lang w:val="es-ES_tradnl"/>
              </w:rPr>
              <w:t>–</w:t>
            </w:r>
            <w:r w:rsidRPr="00A84A5B">
              <w:rPr>
                <w:rFonts w:eastAsia="Symbol"/>
                <w:color w:val="000000"/>
                <w:szCs w:val="18"/>
                <w:lang w:val="es-ES_tradnl" w:eastAsia="en-GB"/>
              </w:rPr>
              <w:sym w:font="Symbol" w:char="F02D"/>
            </w:r>
          </w:p>
        </w:tc>
        <w:tc>
          <w:tcPr>
            <w:tcW w:w="1031" w:type="dxa"/>
          </w:tcPr>
          <w:p w14:paraId="2C11490C" w14:textId="77777777" w:rsidR="00D91D10" w:rsidRPr="00A84A5B" w:rsidRDefault="00D91D10" w:rsidP="00333421">
            <w:pPr>
              <w:pStyle w:val="Normal-pool-Table"/>
              <w:jc w:val="right"/>
              <w:rPr>
                <w:szCs w:val="18"/>
                <w:lang w:val="es-ES_tradnl"/>
              </w:rPr>
            </w:pPr>
            <w:r w:rsidRPr="00A84A5B">
              <w:rPr>
                <w:color w:val="000000"/>
                <w:lang w:val="es-ES_tradnl"/>
              </w:rPr>
              <w:t>179</w:t>
            </w:r>
          </w:p>
        </w:tc>
        <w:tc>
          <w:tcPr>
            <w:tcW w:w="1031" w:type="dxa"/>
          </w:tcPr>
          <w:p w14:paraId="2E2C12A0" w14:textId="77777777" w:rsidR="00D91D10" w:rsidRPr="00A84A5B" w:rsidRDefault="00D91D10" w:rsidP="00333421">
            <w:pPr>
              <w:pStyle w:val="Normal-pool-Table"/>
              <w:jc w:val="right"/>
              <w:rPr>
                <w:szCs w:val="18"/>
                <w:lang w:val="es-ES_tradnl"/>
              </w:rPr>
            </w:pPr>
            <w:r w:rsidRPr="00A84A5B">
              <w:rPr>
                <w:color w:val="000000"/>
                <w:lang w:val="es-ES_tradnl"/>
              </w:rPr>
              <w:t>–</w:t>
            </w:r>
            <w:r w:rsidRPr="00A84A5B">
              <w:rPr>
                <w:rFonts w:eastAsia="Symbol"/>
                <w:color w:val="000000"/>
                <w:szCs w:val="18"/>
                <w:lang w:val="es-ES_tradnl" w:eastAsia="en-GB"/>
              </w:rPr>
              <w:sym w:font="Symbol" w:char="F02D"/>
            </w:r>
          </w:p>
        </w:tc>
      </w:tr>
      <w:tr w:rsidR="00D91D10" w:rsidRPr="00A84A5B" w14:paraId="194058AC" w14:textId="77777777" w:rsidTr="00333421">
        <w:trPr>
          <w:jc w:val="right"/>
        </w:trPr>
        <w:tc>
          <w:tcPr>
            <w:tcW w:w="1728" w:type="dxa"/>
          </w:tcPr>
          <w:p w14:paraId="223C72C8" w14:textId="77777777" w:rsidR="00D91D10" w:rsidRPr="00A84A5B" w:rsidRDefault="00D91D10" w:rsidP="00333421">
            <w:pPr>
              <w:pStyle w:val="Normal-pool-Table"/>
              <w:rPr>
                <w:szCs w:val="18"/>
                <w:lang w:val="es-ES_tradnl"/>
              </w:rPr>
            </w:pPr>
            <w:r w:rsidRPr="00A84A5B">
              <w:rPr>
                <w:color w:val="000000"/>
                <w:lang w:val="es-ES_tradnl"/>
              </w:rPr>
              <w:t>Tuvalu</w:t>
            </w:r>
          </w:p>
        </w:tc>
        <w:tc>
          <w:tcPr>
            <w:tcW w:w="1162" w:type="dxa"/>
          </w:tcPr>
          <w:p w14:paraId="040C292B" w14:textId="77777777" w:rsidR="00D91D10" w:rsidRPr="00A84A5B" w:rsidRDefault="00D91D10" w:rsidP="00333421">
            <w:pPr>
              <w:pStyle w:val="Normal-pool-Table"/>
              <w:jc w:val="right"/>
              <w:rPr>
                <w:szCs w:val="18"/>
                <w:lang w:val="es-ES_tradnl"/>
              </w:rPr>
            </w:pPr>
            <w:r w:rsidRPr="00A84A5B">
              <w:rPr>
                <w:color w:val="000000"/>
                <w:lang w:val="es-ES_tradnl"/>
              </w:rPr>
              <w:t>296</w:t>
            </w:r>
          </w:p>
        </w:tc>
        <w:tc>
          <w:tcPr>
            <w:tcW w:w="1162" w:type="dxa"/>
          </w:tcPr>
          <w:p w14:paraId="6194072C" w14:textId="77777777" w:rsidR="00D91D10" w:rsidRPr="00A84A5B" w:rsidRDefault="00D91D10" w:rsidP="00333421">
            <w:pPr>
              <w:pStyle w:val="Normal-pool-Table"/>
              <w:jc w:val="right"/>
              <w:rPr>
                <w:szCs w:val="18"/>
                <w:lang w:val="es-ES_tradnl"/>
              </w:rPr>
            </w:pPr>
            <w:r w:rsidRPr="00A84A5B">
              <w:rPr>
                <w:color w:val="000000"/>
                <w:lang w:val="es-ES_tradnl"/>
              </w:rPr>
              <w:t>343</w:t>
            </w:r>
          </w:p>
        </w:tc>
        <w:tc>
          <w:tcPr>
            <w:tcW w:w="1162" w:type="dxa"/>
          </w:tcPr>
          <w:p w14:paraId="06E417CD" w14:textId="77777777" w:rsidR="00D91D10" w:rsidRPr="00A84A5B" w:rsidRDefault="00D91D10" w:rsidP="00333421">
            <w:pPr>
              <w:pStyle w:val="Normal-pool-Table"/>
              <w:jc w:val="right"/>
              <w:rPr>
                <w:szCs w:val="18"/>
                <w:lang w:val="es-ES_tradnl"/>
              </w:rPr>
            </w:pPr>
            <w:r w:rsidRPr="00A84A5B">
              <w:rPr>
                <w:color w:val="000000"/>
                <w:lang w:val="es-ES_tradnl"/>
              </w:rPr>
              <w:t>178</w:t>
            </w:r>
          </w:p>
        </w:tc>
        <w:tc>
          <w:tcPr>
            <w:tcW w:w="1031" w:type="dxa"/>
          </w:tcPr>
          <w:p w14:paraId="7771CDC4" w14:textId="77777777" w:rsidR="00D91D10" w:rsidRPr="00A84A5B" w:rsidRDefault="00D91D10" w:rsidP="00333421">
            <w:pPr>
              <w:pStyle w:val="Normal-pool-Table"/>
              <w:jc w:val="right"/>
              <w:rPr>
                <w:szCs w:val="18"/>
                <w:lang w:val="es-ES_tradnl"/>
              </w:rPr>
            </w:pPr>
            <w:r w:rsidRPr="00A84A5B">
              <w:rPr>
                <w:color w:val="000000"/>
                <w:lang w:val="es-ES_tradnl"/>
              </w:rPr>
              <w:t>647</w:t>
            </w:r>
          </w:p>
        </w:tc>
        <w:tc>
          <w:tcPr>
            <w:tcW w:w="1031" w:type="dxa"/>
          </w:tcPr>
          <w:p w14:paraId="63EFBE2E" w14:textId="77777777" w:rsidR="00D91D10" w:rsidRPr="00A84A5B" w:rsidRDefault="00D91D10" w:rsidP="00333421">
            <w:pPr>
              <w:pStyle w:val="Normal-pool-Table"/>
              <w:jc w:val="right"/>
              <w:rPr>
                <w:szCs w:val="18"/>
                <w:lang w:val="es-ES_tradnl"/>
              </w:rPr>
            </w:pPr>
            <w:r w:rsidRPr="00A84A5B">
              <w:rPr>
                <w:color w:val="000000"/>
                <w:lang w:val="es-ES_tradnl"/>
              </w:rPr>
              <w:t>695</w:t>
            </w:r>
          </w:p>
        </w:tc>
        <w:tc>
          <w:tcPr>
            <w:tcW w:w="1031" w:type="dxa"/>
          </w:tcPr>
          <w:p w14:paraId="7F5FCCCA" w14:textId="77777777" w:rsidR="00D91D10" w:rsidRPr="00A84A5B" w:rsidRDefault="00D91D10" w:rsidP="00333421">
            <w:pPr>
              <w:pStyle w:val="Normal-pool-Table"/>
              <w:jc w:val="right"/>
              <w:rPr>
                <w:szCs w:val="18"/>
                <w:lang w:val="es-ES_tradnl"/>
              </w:rPr>
            </w:pPr>
            <w:r w:rsidRPr="00A84A5B">
              <w:rPr>
                <w:color w:val="000000"/>
                <w:lang w:val="es-ES_tradnl"/>
              </w:rPr>
              <w:t>800</w:t>
            </w:r>
          </w:p>
        </w:tc>
      </w:tr>
      <w:tr w:rsidR="00D91D10" w:rsidRPr="00A84A5B" w14:paraId="65D5E1E4" w14:textId="77777777" w:rsidTr="00D91D10">
        <w:trPr>
          <w:jc w:val="right"/>
        </w:trPr>
        <w:tc>
          <w:tcPr>
            <w:tcW w:w="1728" w:type="dxa"/>
          </w:tcPr>
          <w:p w14:paraId="5496788E" w14:textId="77777777" w:rsidR="00D91D10" w:rsidRPr="00A84A5B" w:rsidRDefault="00D91D10" w:rsidP="00333421">
            <w:pPr>
              <w:pStyle w:val="Normal-pool-Table"/>
              <w:rPr>
                <w:szCs w:val="18"/>
                <w:lang w:val="es-ES_tradnl"/>
              </w:rPr>
            </w:pPr>
            <w:r w:rsidRPr="00A84A5B">
              <w:rPr>
                <w:color w:val="000000"/>
                <w:lang w:val="es-ES_tradnl"/>
              </w:rPr>
              <w:t>Vanuatu</w:t>
            </w:r>
          </w:p>
        </w:tc>
        <w:tc>
          <w:tcPr>
            <w:tcW w:w="1162" w:type="dxa"/>
          </w:tcPr>
          <w:p w14:paraId="2B9BB0A9" w14:textId="77777777" w:rsidR="00D91D10" w:rsidRPr="00A84A5B" w:rsidRDefault="00D91D10" w:rsidP="00333421">
            <w:pPr>
              <w:pStyle w:val="Normal-pool-Table"/>
              <w:jc w:val="right"/>
              <w:rPr>
                <w:szCs w:val="18"/>
                <w:lang w:val="es-ES_tradnl"/>
              </w:rPr>
            </w:pPr>
            <w:r w:rsidRPr="00A84A5B">
              <w:rPr>
                <w:color w:val="000000"/>
                <w:lang w:val="es-ES_tradnl"/>
              </w:rPr>
              <w:t>11 915</w:t>
            </w:r>
          </w:p>
        </w:tc>
        <w:tc>
          <w:tcPr>
            <w:tcW w:w="1162" w:type="dxa"/>
          </w:tcPr>
          <w:p w14:paraId="0ED50B67" w14:textId="77777777" w:rsidR="00D91D10" w:rsidRPr="00A84A5B" w:rsidRDefault="00D91D10" w:rsidP="00333421">
            <w:pPr>
              <w:pStyle w:val="Normal-pool-Table"/>
              <w:jc w:val="right"/>
              <w:rPr>
                <w:szCs w:val="18"/>
                <w:lang w:val="es-ES_tradnl"/>
              </w:rPr>
            </w:pPr>
            <w:r w:rsidRPr="00A84A5B">
              <w:rPr>
                <w:color w:val="000000"/>
                <w:lang w:val="es-ES_tradnl"/>
              </w:rPr>
              <w:t>13 781</w:t>
            </w:r>
          </w:p>
        </w:tc>
        <w:tc>
          <w:tcPr>
            <w:tcW w:w="1162" w:type="dxa"/>
          </w:tcPr>
          <w:p w14:paraId="1E233740" w14:textId="77777777" w:rsidR="00D91D10" w:rsidRPr="00A84A5B" w:rsidRDefault="00D91D10" w:rsidP="00333421">
            <w:pPr>
              <w:pStyle w:val="Normal-pool-Table"/>
              <w:jc w:val="right"/>
              <w:rPr>
                <w:szCs w:val="18"/>
                <w:lang w:val="es-ES_tradnl"/>
              </w:rPr>
            </w:pPr>
            <w:r w:rsidRPr="00A84A5B">
              <w:rPr>
                <w:color w:val="000000"/>
                <w:lang w:val="es-ES_tradnl"/>
              </w:rPr>
              <w:t>17 511</w:t>
            </w:r>
          </w:p>
        </w:tc>
        <w:tc>
          <w:tcPr>
            <w:tcW w:w="1031" w:type="dxa"/>
          </w:tcPr>
          <w:p w14:paraId="480B5B01" w14:textId="77777777" w:rsidR="00D91D10" w:rsidRPr="00A84A5B" w:rsidRDefault="00D91D10" w:rsidP="00333421">
            <w:pPr>
              <w:pStyle w:val="Normal-pool-Table"/>
              <w:jc w:val="right"/>
              <w:rPr>
                <w:szCs w:val="18"/>
                <w:lang w:val="es-ES_tradnl"/>
              </w:rPr>
            </w:pPr>
            <w:r w:rsidRPr="00A84A5B">
              <w:rPr>
                <w:color w:val="000000"/>
                <w:lang w:val="es-ES_tradnl"/>
              </w:rPr>
              <w:t>21 055</w:t>
            </w:r>
          </w:p>
        </w:tc>
        <w:tc>
          <w:tcPr>
            <w:tcW w:w="1031" w:type="dxa"/>
          </w:tcPr>
          <w:p w14:paraId="76AF1D83" w14:textId="77777777" w:rsidR="00D91D10" w:rsidRPr="00A84A5B" w:rsidRDefault="00D91D10" w:rsidP="00333421">
            <w:pPr>
              <w:pStyle w:val="Normal-pool-Table"/>
              <w:jc w:val="right"/>
              <w:rPr>
                <w:szCs w:val="18"/>
                <w:lang w:val="es-ES_tradnl"/>
              </w:rPr>
            </w:pPr>
            <w:r w:rsidRPr="00A84A5B">
              <w:rPr>
                <w:color w:val="000000"/>
                <w:lang w:val="es-ES_tradnl"/>
              </w:rPr>
              <w:t>13 781</w:t>
            </w:r>
          </w:p>
        </w:tc>
        <w:tc>
          <w:tcPr>
            <w:tcW w:w="1031" w:type="dxa"/>
          </w:tcPr>
          <w:p w14:paraId="370C16DD" w14:textId="77777777" w:rsidR="00D91D10" w:rsidRPr="00A84A5B" w:rsidRDefault="00D91D10" w:rsidP="00333421">
            <w:pPr>
              <w:pStyle w:val="Normal-pool-Table"/>
              <w:jc w:val="right"/>
              <w:rPr>
                <w:szCs w:val="18"/>
                <w:lang w:val="es-ES_tradnl"/>
              </w:rPr>
            </w:pPr>
            <w:r w:rsidRPr="00A84A5B">
              <w:rPr>
                <w:color w:val="000000"/>
                <w:lang w:val="es-ES_tradnl"/>
              </w:rPr>
              <w:t>17 511</w:t>
            </w:r>
          </w:p>
        </w:tc>
      </w:tr>
    </w:tbl>
    <w:p w14:paraId="6B545013" w14:textId="77777777" w:rsidR="003E09D8" w:rsidRPr="00D12B17" w:rsidRDefault="003E09D8" w:rsidP="003E09D8">
      <w:pPr>
        <w:tabs>
          <w:tab w:val="left" w:pos="624"/>
          <w:tab w:val="left" w:pos="1871"/>
          <w:tab w:val="left" w:pos="2495"/>
          <w:tab w:val="left" w:pos="3119"/>
          <w:tab w:val="left" w:pos="3742"/>
          <w:tab w:val="left" w:pos="4366"/>
          <w:tab w:val="left" w:pos="4990"/>
        </w:tabs>
        <w:spacing w:before="60" w:after="120"/>
        <w:ind w:left="1247"/>
        <w:rPr>
          <w:i/>
          <w:sz w:val="18"/>
          <w:szCs w:val="18"/>
          <w:lang w:val="es-ES_tradnl"/>
        </w:rPr>
      </w:pPr>
      <w:r w:rsidRPr="00D12B17">
        <w:rPr>
          <w:sz w:val="18"/>
          <w:szCs w:val="18"/>
          <w:lang w:val="es-ES_tradnl"/>
        </w:rPr>
        <w:tab/>
      </w:r>
      <w:r w:rsidRPr="00D12B17">
        <w:rPr>
          <w:i/>
          <w:iCs/>
          <w:sz w:val="18"/>
          <w:szCs w:val="18"/>
          <w:lang w:val="es-ES_tradnl"/>
        </w:rPr>
        <w:t>Abreviaciones</w:t>
      </w:r>
      <w:r w:rsidRPr="00D12B17">
        <w:rPr>
          <w:sz w:val="18"/>
          <w:szCs w:val="18"/>
          <w:lang w:val="es-ES_tradnl"/>
        </w:rPr>
        <w:t>: CO</w:t>
      </w:r>
      <w:r w:rsidRPr="00D12B17">
        <w:rPr>
          <w:sz w:val="18"/>
          <w:szCs w:val="18"/>
          <w:vertAlign w:val="subscript"/>
          <w:lang w:val="es-ES_tradnl"/>
        </w:rPr>
        <w:t>2</w:t>
      </w:r>
      <w:r w:rsidRPr="00D12B17">
        <w:rPr>
          <w:sz w:val="18"/>
          <w:szCs w:val="18"/>
          <w:lang w:val="es-ES_tradnl"/>
        </w:rPr>
        <w:t xml:space="preserve"> </w:t>
      </w:r>
      <w:proofErr w:type="spellStart"/>
      <w:r w:rsidRPr="00D12B17">
        <w:rPr>
          <w:sz w:val="18"/>
          <w:szCs w:val="18"/>
          <w:lang w:val="es-ES_tradnl"/>
        </w:rPr>
        <w:t>eq</w:t>
      </w:r>
      <w:proofErr w:type="spellEnd"/>
      <w:r w:rsidRPr="00D12B17">
        <w:rPr>
          <w:sz w:val="18"/>
          <w:szCs w:val="18"/>
          <w:lang w:val="es-ES_tradnl"/>
        </w:rPr>
        <w:t xml:space="preserve"> = dióxido de carbono equivalente; HFC = hidrofluorocarbono.</w:t>
      </w:r>
    </w:p>
    <w:p w14:paraId="1C90E463" w14:textId="0BB72461"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Que Marruecos ha aportado información suficiente, de conformidad con la decisión XV/19, para justificar su solicitud de modificación de sus datos sobre consumo de hidrofluorocarbonos correspondientes a 2020, 2021 y 2022, que forman parte del nivel de base para</w:t>
      </w:r>
      <w:r w:rsidR="00D91D10">
        <w:rPr>
          <w:lang w:val="es-ES_tradnl"/>
        </w:rPr>
        <w:t> </w:t>
      </w:r>
      <w:r w:rsidRPr="00A84A5B">
        <w:rPr>
          <w:lang w:val="es-ES_tradnl"/>
        </w:rPr>
        <w:t>las Partes del grupo 1 que operan al amparo del artículo 5 en virtud de la Enmienda de Kigali al</w:t>
      </w:r>
      <w:r w:rsidR="00D91D10">
        <w:rPr>
          <w:lang w:val="es-ES_tradnl"/>
        </w:rPr>
        <w:t> </w:t>
      </w:r>
      <w:r w:rsidRPr="00A84A5B">
        <w:rPr>
          <w:lang w:val="es-ES_tradnl"/>
        </w:rPr>
        <w:t xml:space="preserve">Protocolo de Montreal; </w:t>
      </w:r>
    </w:p>
    <w:p w14:paraId="7D966AA0"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Aprobar la solicitud de Marruecos y modificar sus datos sobre el consumo de hidrofluorocarbonos en los años de referencia 2020, 2021 y 2022, según lo indicado en el cuadro siguiente: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8353E4" w14:paraId="34E31FE5" w14:textId="77777777" w:rsidTr="00333421">
        <w:trPr>
          <w:trHeight w:val="113"/>
          <w:jc w:val="right"/>
        </w:trPr>
        <w:tc>
          <w:tcPr>
            <w:tcW w:w="1413" w:type="dxa"/>
            <w:vMerge w:val="restart"/>
            <w:tcBorders>
              <w:top w:val="single" w:sz="4" w:space="0" w:color="auto"/>
              <w:bottom w:val="single" w:sz="12" w:space="0" w:color="auto"/>
            </w:tcBorders>
            <w:vAlign w:val="bottom"/>
          </w:tcPr>
          <w:p w14:paraId="0E8572F7" w14:textId="77777777" w:rsidR="003E09D8" w:rsidRPr="00A84A5B" w:rsidRDefault="003E09D8" w:rsidP="00333421">
            <w:pPr>
              <w:pStyle w:val="Normal-pool-Table"/>
              <w:rPr>
                <w:i/>
                <w:iCs/>
                <w:lang w:val="es-ES_tradnl"/>
              </w:rPr>
            </w:pPr>
            <w:r w:rsidRPr="00A84A5B">
              <w:rPr>
                <w:i/>
                <w:iCs/>
                <w:color w:val="000000"/>
                <w:lang w:val="es-ES_tradnl"/>
              </w:rPr>
              <w:lastRenderedPageBreak/>
              <w:t>Parte/año</w:t>
            </w:r>
          </w:p>
        </w:tc>
        <w:tc>
          <w:tcPr>
            <w:tcW w:w="3376" w:type="dxa"/>
            <w:gridSpan w:val="3"/>
            <w:tcBorders>
              <w:top w:val="single" w:sz="4" w:space="0" w:color="auto"/>
              <w:bottom w:val="single" w:sz="4" w:space="0" w:color="auto"/>
              <w:right w:val="single" w:sz="4" w:space="0" w:color="auto"/>
            </w:tcBorders>
            <w:vAlign w:val="bottom"/>
          </w:tcPr>
          <w:p w14:paraId="3098245B" w14:textId="77777777" w:rsidR="003E09D8" w:rsidRPr="00A84A5B" w:rsidRDefault="003E09D8" w:rsidP="00333421">
            <w:pPr>
              <w:pStyle w:val="Normal-pool-Table"/>
              <w:jc w:val="center"/>
              <w:rPr>
                <w:i/>
                <w:iCs/>
                <w:szCs w:val="18"/>
                <w:lang w:val="es-ES_tradnl"/>
              </w:rPr>
            </w:pPr>
            <w:r w:rsidRPr="00A84A5B">
              <w:rPr>
                <w:i/>
                <w:iCs/>
                <w:color w:val="000000"/>
                <w:lang w:val="es-ES_tradnl"/>
              </w:rPr>
              <w:t>Datos anteriores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c>
          <w:tcPr>
            <w:tcW w:w="3518" w:type="dxa"/>
            <w:gridSpan w:val="3"/>
            <w:tcBorders>
              <w:top w:val="single" w:sz="4" w:space="0" w:color="auto"/>
              <w:left w:val="single" w:sz="4" w:space="0" w:color="auto"/>
              <w:bottom w:val="single" w:sz="4" w:space="0" w:color="auto"/>
            </w:tcBorders>
            <w:vAlign w:val="bottom"/>
          </w:tcPr>
          <w:p w14:paraId="57B77A7E" w14:textId="479746E4" w:rsidR="003E09D8" w:rsidRPr="00A84A5B" w:rsidRDefault="003E09D8" w:rsidP="00333421">
            <w:pPr>
              <w:pStyle w:val="Normal-pool-Table"/>
              <w:jc w:val="center"/>
              <w:rPr>
                <w:i/>
                <w:iCs/>
                <w:szCs w:val="18"/>
                <w:lang w:val="es-ES_tradnl"/>
              </w:rPr>
            </w:pPr>
            <w:r w:rsidRPr="00A84A5B">
              <w:rPr>
                <w:i/>
                <w:iCs/>
                <w:color w:val="000000"/>
                <w:lang w:val="es-ES_tradnl"/>
              </w:rPr>
              <w:t xml:space="preserve">Nuevos datos sobre HFC (toneladas de </w:t>
            </w:r>
            <w:r w:rsidR="00D91D10">
              <w:rPr>
                <w:i/>
                <w:iCs/>
                <w:color w:val="000000"/>
                <w:lang w:val="es-ES_tradnl"/>
              </w:rPr>
              <w:br/>
            </w:r>
            <w:r w:rsidRPr="00A84A5B">
              <w:rPr>
                <w:i/>
                <w:iCs/>
                <w:color w:val="000000"/>
                <w:lang w:val="es-ES_tradnl"/>
              </w:rPr>
              <w:t>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3EBF2309" w14:textId="77777777" w:rsidTr="00333421">
        <w:trPr>
          <w:trHeight w:val="209"/>
          <w:jc w:val="right"/>
        </w:trPr>
        <w:tc>
          <w:tcPr>
            <w:tcW w:w="1413" w:type="dxa"/>
            <w:vMerge/>
            <w:tcBorders>
              <w:top w:val="single" w:sz="4" w:space="0" w:color="auto"/>
              <w:bottom w:val="single" w:sz="12" w:space="0" w:color="auto"/>
            </w:tcBorders>
            <w:vAlign w:val="bottom"/>
          </w:tcPr>
          <w:p w14:paraId="084B7228" w14:textId="77777777" w:rsidR="003E09D8" w:rsidRPr="00A84A5B" w:rsidRDefault="003E09D8" w:rsidP="00333421">
            <w:pPr>
              <w:pStyle w:val="Normal-pool-Table"/>
              <w:rPr>
                <w:szCs w:val="18"/>
                <w:lang w:val="es-ES_tradnl"/>
              </w:rPr>
            </w:pPr>
          </w:p>
        </w:tc>
        <w:tc>
          <w:tcPr>
            <w:tcW w:w="1030" w:type="dxa"/>
            <w:tcBorders>
              <w:top w:val="single" w:sz="4" w:space="0" w:color="auto"/>
              <w:bottom w:val="single" w:sz="12" w:space="0" w:color="auto"/>
            </w:tcBorders>
            <w:vAlign w:val="bottom"/>
          </w:tcPr>
          <w:p w14:paraId="51671377"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173" w:type="dxa"/>
            <w:tcBorders>
              <w:top w:val="single" w:sz="4" w:space="0" w:color="auto"/>
              <w:bottom w:val="single" w:sz="12" w:space="0" w:color="auto"/>
            </w:tcBorders>
            <w:vAlign w:val="bottom"/>
          </w:tcPr>
          <w:p w14:paraId="7A629923"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173" w:type="dxa"/>
            <w:tcBorders>
              <w:top w:val="single" w:sz="4" w:space="0" w:color="auto"/>
              <w:bottom w:val="single" w:sz="12" w:space="0" w:color="auto"/>
              <w:right w:val="single" w:sz="4" w:space="0" w:color="auto"/>
            </w:tcBorders>
            <w:vAlign w:val="bottom"/>
          </w:tcPr>
          <w:p w14:paraId="3399DCE9"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c>
          <w:tcPr>
            <w:tcW w:w="1172" w:type="dxa"/>
            <w:tcBorders>
              <w:top w:val="single" w:sz="4" w:space="0" w:color="auto"/>
              <w:left w:val="single" w:sz="4" w:space="0" w:color="auto"/>
              <w:bottom w:val="single" w:sz="12" w:space="0" w:color="auto"/>
            </w:tcBorders>
            <w:vAlign w:val="bottom"/>
          </w:tcPr>
          <w:p w14:paraId="30BCA09A"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173" w:type="dxa"/>
            <w:tcBorders>
              <w:top w:val="single" w:sz="4" w:space="0" w:color="auto"/>
              <w:bottom w:val="single" w:sz="12" w:space="0" w:color="auto"/>
            </w:tcBorders>
            <w:vAlign w:val="bottom"/>
          </w:tcPr>
          <w:p w14:paraId="4F69F223"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173" w:type="dxa"/>
            <w:tcBorders>
              <w:top w:val="single" w:sz="4" w:space="0" w:color="auto"/>
              <w:bottom w:val="single" w:sz="12" w:space="0" w:color="auto"/>
            </w:tcBorders>
            <w:vAlign w:val="bottom"/>
          </w:tcPr>
          <w:p w14:paraId="2E7AF96A"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r>
      <w:tr w:rsidR="003E09D8" w:rsidRPr="00A84A5B" w14:paraId="778D7202" w14:textId="77777777" w:rsidTr="00333421">
        <w:trPr>
          <w:trHeight w:val="113"/>
          <w:jc w:val="right"/>
        </w:trPr>
        <w:tc>
          <w:tcPr>
            <w:tcW w:w="1413" w:type="dxa"/>
            <w:tcBorders>
              <w:top w:val="single" w:sz="12" w:space="0" w:color="auto"/>
              <w:bottom w:val="single" w:sz="12" w:space="0" w:color="auto"/>
            </w:tcBorders>
          </w:tcPr>
          <w:p w14:paraId="45AFEDB5" w14:textId="77777777" w:rsidR="003E09D8" w:rsidRPr="00A84A5B" w:rsidRDefault="003E09D8" w:rsidP="00333421">
            <w:pPr>
              <w:pStyle w:val="Normal-pool-Table"/>
              <w:rPr>
                <w:szCs w:val="18"/>
                <w:lang w:val="es-ES_tradnl"/>
              </w:rPr>
            </w:pPr>
            <w:r w:rsidRPr="00A84A5B">
              <w:rPr>
                <w:color w:val="000000"/>
                <w:lang w:val="es-ES_tradnl"/>
              </w:rPr>
              <w:t xml:space="preserve">Marruecos </w:t>
            </w:r>
          </w:p>
        </w:tc>
        <w:tc>
          <w:tcPr>
            <w:tcW w:w="1030" w:type="dxa"/>
            <w:tcBorders>
              <w:top w:val="single" w:sz="12" w:space="0" w:color="auto"/>
              <w:bottom w:val="single" w:sz="12" w:space="0" w:color="auto"/>
            </w:tcBorders>
          </w:tcPr>
          <w:p w14:paraId="093EFFA4" w14:textId="4CBBC374" w:rsidR="003E09D8" w:rsidRPr="00A84A5B" w:rsidRDefault="003E09D8" w:rsidP="00333421">
            <w:pPr>
              <w:pStyle w:val="Normal-pool-Table"/>
              <w:jc w:val="right"/>
              <w:rPr>
                <w:szCs w:val="18"/>
                <w:lang w:val="es-ES_tradnl"/>
              </w:rPr>
            </w:pPr>
            <w:r w:rsidRPr="00A84A5B">
              <w:rPr>
                <w:color w:val="000000"/>
                <w:lang w:val="es-ES_tradnl"/>
              </w:rPr>
              <w:t>1</w:t>
            </w:r>
            <w:r w:rsidR="0033657D" w:rsidRPr="00A84A5B">
              <w:rPr>
                <w:color w:val="000000"/>
                <w:lang w:val="es-ES_tradnl"/>
              </w:rPr>
              <w:t> </w:t>
            </w:r>
            <w:r w:rsidRPr="00A84A5B">
              <w:rPr>
                <w:color w:val="000000"/>
                <w:lang w:val="es-ES_tradnl"/>
              </w:rPr>
              <w:t>687</w:t>
            </w:r>
            <w:r w:rsidR="0033657D" w:rsidRPr="00A84A5B">
              <w:rPr>
                <w:color w:val="000000"/>
                <w:lang w:val="es-ES_tradnl"/>
              </w:rPr>
              <w:t> </w:t>
            </w:r>
            <w:r w:rsidRPr="00A84A5B">
              <w:rPr>
                <w:color w:val="000000"/>
                <w:lang w:val="es-ES_tradnl"/>
              </w:rPr>
              <w:t>148</w:t>
            </w:r>
          </w:p>
        </w:tc>
        <w:tc>
          <w:tcPr>
            <w:tcW w:w="1173" w:type="dxa"/>
            <w:tcBorders>
              <w:top w:val="single" w:sz="12" w:space="0" w:color="auto"/>
              <w:bottom w:val="single" w:sz="12" w:space="0" w:color="auto"/>
            </w:tcBorders>
          </w:tcPr>
          <w:p w14:paraId="50E1E39C" w14:textId="1BB8D075" w:rsidR="003E09D8" w:rsidRPr="00A84A5B" w:rsidRDefault="003E09D8" w:rsidP="00333421">
            <w:pPr>
              <w:pStyle w:val="Normal-pool-Table"/>
              <w:jc w:val="right"/>
              <w:rPr>
                <w:szCs w:val="18"/>
                <w:lang w:val="es-ES_tradnl"/>
              </w:rPr>
            </w:pPr>
            <w:r w:rsidRPr="00A84A5B">
              <w:rPr>
                <w:color w:val="000000"/>
                <w:lang w:val="es-ES_tradnl"/>
              </w:rPr>
              <w:t>1</w:t>
            </w:r>
            <w:r w:rsidR="0033657D" w:rsidRPr="00A84A5B">
              <w:rPr>
                <w:color w:val="000000"/>
                <w:lang w:val="es-ES_tradnl"/>
              </w:rPr>
              <w:t> </w:t>
            </w:r>
            <w:r w:rsidRPr="00A84A5B">
              <w:rPr>
                <w:color w:val="000000"/>
                <w:lang w:val="es-ES_tradnl"/>
              </w:rPr>
              <w:t>475</w:t>
            </w:r>
            <w:r w:rsidR="0033657D" w:rsidRPr="00A84A5B">
              <w:rPr>
                <w:color w:val="000000"/>
                <w:lang w:val="es-ES_tradnl"/>
              </w:rPr>
              <w:t> </w:t>
            </w:r>
            <w:r w:rsidRPr="00A84A5B">
              <w:rPr>
                <w:color w:val="000000"/>
                <w:lang w:val="es-ES_tradnl"/>
              </w:rPr>
              <w:t>421</w:t>
            </w:r>
          </w:p>
        </w:tc>
        <w:tc>
          <w:tcPr>
            <w:tcW w:w="1173" w:type="dxa"/>
            <w:tcBorders>
              <w:top w:val="single" w:sz="12" w:space="0" w:color="auto"/>
              <w:bottom w:val="single" w:sz="12" w:space="0" w:color="auto"/>
              <w:right w:val="single" w:sz="4" w:space="0" w:color="auto"/>
            </w:tcBorders>
          </w:tcPr>
          <w:p w14:paraId="04E5B7E2" w14:textId="5C3898B3" w:rsidR="003E09D8" w:rsidRPr="00A84A5B" w:rsidRDefault="003E09D8" w:rsidP="00333421">
            <w:pPr>
              <w:pStyle w:val="Normal-pool-Table"/>
              <w:jc w:val="right"/>
              <w:rPr>
                <w:szCs w:val="18"/>
                <w:lang w:val="es-ES_tradnl"/>
              </w:rPr>
            </w:pPr>
            <w:r w:rsidRPr="00A84A5B">
              <w:rPr>
                <w:color w:val="000000"/>
                <w:lang w:val="es-ES_tradnl"/>
              </w:rPr>
              <w:t>590</w:t>
            </w:r>
            <w:r w:rsidR="0033657D" w:rsidRPr="00A84A5B">
              <w:rPr>
                <w:color w:val="000000"/>
                <w:lang w:val="es-ES_tradnl"/>
              </w:rPr>
              <w:t> </w:t>
            </w:r>
            <w:r w:rsidRPr="00A84A5B">
              <w:rPr>
                <w:color w:val="000000"/>
                <w:lang w:val="es-ES_tradnl"/>
              </w:rPr>
              <w:t>302</w:t>
            </w:r>
          </w:p>
        </w:tc>
        <w:tc>
          <w:tcPr>
            <w:tcW w:w="1172" w:type="dxa"/>
            <w:tcBorders>
              <w:top w:val="single" w:sz="12" w:space="0" w:color="auto"/>
              <w:left w:val="single" w:sz="4" w:space="0" w:color="auto"/>
              <w:bottom w:val="single" w:sz="12" w:space="0" w:color="auto"/>
            </w:tcBorders>
          </w:tcPr>
          <w:p w14:paraId="7BCC1544" w14:textId="5639A200" w:rsidR="003E09D8" w:rsidRPr="00A84A5B" w:rsidRDefault="003E09D8" w:rsidP="00333421">
            <w:pPr>
              <w:pStyle w:val="Normal-pool-Table"/>
              <w:jc w:val="right"/>
              <w:rPr>
                <w:szCs w:val="18"/>
                <w:lang w:val="es-ES_tradnl"/>
              </w:rPr>
            </w:pPr>
            <w:r w:rsidRPr="00A84A5B">
              <w:rPr>
                <w:color w:val="000000"/>
                <w:lang w:val="es-ES_tradnl"/>
              </w:rPr>
              <w:t>2</w:t>
            </w:r>
            <w:r w:rsidR="0033657D" w:rsidRPr="00A84A5B">
              <w:rPr>
                <w:color w:val="000000"/>
                <w:lang w:val="es-ES_tradnl"/>
              </w:rPr>
              <w:t> </w:t>
            </w:r>
            <w:r w:rsidRPr="00A84A5B">
              <w:rPr>
                <w:color w:val="000000"/>
                <w:lang w:val="es-ES_tradnl"/>
              </w:rPr>
              <w:t>602</w:t>
            </w:r>
            <w:r w:rsidR="0033657D" w:rsidRPr="00A84A5B">
              <w:rPr>
                <w:color w:val="000000"/>
                <w:lang w:val="es-ES_tradnl"/>
              </w:rPr>
              <w:t> </w:t>
            </w:r>
            <w:r w:rsidRPr="00A84A5B">
              <w:rPr>
                <w:color w:val="000000"/>
                <w:lang w:val="es-ES_tradnl"/>
              </w:rPr>
              <w:t>515</w:t>
            </w:r>
          </w:p>
        </w:tc>
        <w:tc>
          <w:tcPr>
            <w:tcW w:w="1173" w:type="dxa"/>
            <w:tcBorders>
              <w:top w:val="single" w:sz="12" w:space="0" w:color="auto"/>
              <w:bottom w:val="single" w:sz="12" w:space="0" w:color="auto"/>
            </w:tcBorders>
          </w:tcPr>
          <w:p w14:paraId="5F58CC6F" w14:textId="2A2C3B3A" w:rsidR="003E09D8" w:rsidRPr="00A84A5B" w:rsidRDefault="003E09D8" w:rsidP="00333421">
            <w:pPr>
              <w:pStyle w:val="Normal-pool-Table"/>
              <w:jc w:val="right"/>
              <w:rPr>
                <w:szCs w:val="18"/>
                <w:lang w:val="es-ES_tradnl"/>
              </w:rPr>
            </w:pPr>
            <w:r w:rsidRPr="00A84A5B">
              <w:rPr>
                <w:color w:val="000000"/>
                <w:lang w:val="es-ES_tradnl"/>
              </w:rPr>
              <w:t>1</w:t>
            </w:r>
            <w:r w:rsidR="0033657D" w:rsidRPr="00A84A5B">
              <w:rPr>
                <w:color w:val="000000"/>
                <w:lang w:val="es-ES_tradnl"/>
              </w:rPr>
              <w:t> </w:t>
            </w:r>
            <w:r w:rsidRPr="00A84A5B">
              <w:rPr>
                <w:color w:val="000000"/>
                <w:lang w:val="es-ES_tradnl"/>
              </w:rPr>
              <w:t>648</w:t>
            </w:r>
            <w:r w:rsidR="0033657D" w:rsidRPr="00A84A5B">
              <w:rPr>
                <w:color w:val="000000"/>
                <w:lang w:val="es-ES_tradnl"/>
              </w:rPr>
              <w:t> </w:t>
            </w:r>
            <w:r w:rsidRPr="00A84A5B">
              <w:rPr>
                <w:color w:val="000000"/>
                <w:lang w:val="es-ES_tradnl"/>
              </w:rPr>
              <w:t>604</w:t>
            </w:r>
          </w:p>
        </w:tc>
        <w:tc>
          <w:tcPr>
            <w:tcW w:w="1173" w:type="dxa"/>
            <w:tcBorders>
              <w:top w:val="single" w:sz="12" w:space="0" w:color="auto"/>
              <w:bottom w:val="single" w:sz="12" w:space="0" w:color="auto"/>
            </w:tcBorders>
          </w:tcPr>
          <w:p w14:paraId="6CA7AC64" w14:textId="7CDF7A6B" w:rsidR="003E09D8" w:rsidRPr="00A84A5B" w:rsidRDefault="003E09D8" w:rsidP="00333421">
            <w:pPr>
              <w:pStyle w:val="Normal-pool-Table"/>
              <w:jc w:val="right"/>
              <w:rPr>
                <w:szCs w:val="18"/>
                <w:lang w:val="es-ES_tradnl"/>
              </w:rPr>
            </w:pPr>
            <w:r w:rsidRPr="00A84A5B">
              <w:rPr>
                <w:color w:val="000000"/>
                <w:lang w:val="es-ES_tradnl"/>
              </w:rPr>
              <w:t>2</w:t>
            </w:r>
            <w:r w:rsidR="0033657D" w:rsidRPr="00A84A5B">
              <w:rPr>
                <w:color w:val="000000"/>
                <w:lang w:val="es-ES_tradnl"/>
              </w:rPr>
              <w:t> </w:t>
            </w:r>
            <w:r w:rsidRPr="00A84A5B">
              <w:rPr>
                <w:color w:val="000000"/>
                <w:lang w:val="es-ES_tradnl"/>
              </w:rPr>
              <w:t>169</w:t>
            </w:r>
            <w:r w:rsidR="0033657D" w:rsidRPr="00A84A5B">
              <w:rPr>
                <w:color w:val="000000"/>
                <w:lang w:val="es-ES_tradnl"/>
              </w:rPr>
              <w:t> </w:t>
            </w:r>
            <w:r w:rsidRPr="00A84A5B">
              <w:rPr>
                <w:color w:val="000000"/>
                <w:lang w:val="es-ES_tradnl"/>
              </w:rPr>
              <w:t>487</w:t>
            </w:r>
          </w:p>
        </w:tc>
      </w:tr>
    </w:tbl>
    <w:p w14:paraId="085BB655" w14:textId="77777777" w:rsidR="003E09D8" w:rsidRPr="00D91D10" w:rsidRDefault="003E09D8" w:rsidP="003E09D8">
      <w:pPr>
        <w:tabs>
          <w:tab w:val="left" w:pos="624"/>
          <w:tab w:val="left" w:pos="1871"/>
          <w:tab w:val="left" w:pos="2495"/>
          <w:tab w:val="left" w:pos="3119"/>
          <w:tab w:val="left" w:pos="3742"/>
          <w:tab w:val="left" w:pos="4366"/>
          <w:tab w:val="left" w:pos="4990"/>
        </w:tabs>
        <w:spacing w:before="60" w:after="120"/>
        <w:ind w:left="1247"/>
        <w:rPr>
          <w:iCs/>
          <w:sz w:val="18"/>
          <w:szCs w:val="18"/>
          <w:lang w:val="es-ES_tradnl"/>
        </w:rPr>
      </w:pPr>
      <w:r w:rsidRPr="00D91D10">
        <w:rPr>
          <w:sz w:val="18"/>
          <w:szCs w:val="18"/>
          <w:lang w:val="es-ES_tradnl"/>
        </w:rPr>
        <w:tab/>
      </w:r>
      <w:r w:rsidRPr="00D91D10">
        <w:rPr>
          <w:i/>
          <w:iCs/>
          <w:sz w:val="18"/>
          <w:szCs w:val="18"/>
          <w:lang w:val="es-ES_tradnl"/>
        </w:rPr>
        <w:t>Abreviaciones</w:t>
      </w:r>
      <w:r w:rsidRPr="00D91D10">
        <w:rPr>
          <w:sz w:val="18"/>
          <w:szCs w:val="18"/>
          <w:lang w:val="es-ES_tradnl"/>
        </w:rPr>
        <w:t>: CO</w:t>
      </w:r>
      <w:r w:rsidRPr="00D91D10">
        <w:rPr>
          <w:sz w:val="18"/>
          <w:szCs w:val="18"/>
          <w:vertAlign w:val="subscript"/>
          <w:lang w:val="es-ES_tradnl"/>
        </w:rPr>
        <w:t>2</w:t>
      </w:r>
      <w:r w:rsidRPr="00D91D10">
        <w:rPr>
          <w:sz w:val="18"/>
          <w:szCs w:val="18"/>
          <w:lang w:val="es-ES_tradnl"/>
        </w:rPr>
        <w:t xml:space="preserve"> </w:t>
      </w:r>
      <w:proofErr w:type="spellStart"/>
      <w:r w:rsidRPr="00D91D10">
        <w:rPr>
          <w:sz w:val="18"/>
          <w:szCs w:val="18"/>
          <w:lang w:val="es-ES_tradnl"/>
        </w:rPr>
        <w:t>eq</w:t>
      </w:r>
      <w:proofErr w:type="spellEnd"/>
      <w:r w:rsidRPr="00D91D10">
        <w:rPr>
          <w:sz w:val="18"/>
          <w:szCs w:val="18"/>
          <w:lang w:val="es-ES_tradnl"/>
        </w:rPr>
        <w:t xml:space="preserve"> = dióxido de carbono equivalente; HFC = hidrofluorocarbono.</w:t>
      </w:r>
    </w:p>
    <w:p w14:paraId="416E9B3E"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Que Nigeria ha aportado información suficiente, de conformidad con la decisión XV/19, para justificar su solicitud de modificación de sus datos sobre consumo de hidrofluorocarbonos correspondientes a 2020, 2021 y 2022, que forman parte del nivel de base para las Partes del grupo 1 que operan al amparo del artículo 5 en virtud de la Enmienda de Kigali al Protocolo de Montreal;</w:t>
      </w:r>
    </w:p>
    <w:p w14:paraId="4B46747C" w14:textId="77777777" w:rsidR="003E09D8" w:rsidRPr="00A84A5B" w:rsidRDefault="003E09D8" w:rsidP="003E09D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Aprobar la solicitud de Nigeria y modificar sus datos sobre el consumo de hidrofluorocarbonos en los años de referencia 2020, 2021 y 2022, según lo indicado en el cuadro siguiente: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8353E4" w14:paraId="22CF8729" w14:textId="77777777" w:rsidTr="00333421">
        <w:trPr>
          <w:trHeight w:val="113"/>
          <w:jc w:val="right"/>
        </w:trPr>
        <w:tc>
          <w:tcPr>
            <w:tcW w:w="1413" w:type="dxa"/>
            <w:vMerge w:val="restart"/>
            <w:tcBorders>
              <w:top w:val="single" w:sz="4" w:space="0" w:color="auto"/>
              <w:bottom w:val="single" w:sz="12" w:space="0" w:color="auto"/>
            </w:tcBorders>
            <w:vAlign w:val="bottom"/>
          </w:tcPr>
          <w:p w14:paraId="68EFA684" w14:textId="77777777" w:rsidR="003E09D8" w:rsidRPr="00A84A5B" w:rsidRDefault="003E09D8" w:rsidP="00333421">
            <w:pPr>
              <w:pStyle w:val="Normal-pool-Table"/>
              <w:rPr>
                <w:i/>
                <w:iCs/>
                <w:lang w:val="es-ES_tradnl"/>
              </w:rPr>
            </w:pPr>
            <w:r w:rsidRPr="00A84A5B">
              <w:rPr>
                <w:i/>
                <w:iCs/>
                <w:color w:val="000000"/>
                <w:lang w:val="es-ES_tradnl"/>
              </w:rPr>
              <w:t>Parte/año</w:t>
            </w:r>
          </w:p>
        </w:tc>
        <w:tc>
          <w:tcPr>
            <w:tcW w:w="3376" w:type="dxa"/>
            <w:gridSpan w:val="3"/>
            <w:tcBorders>
              <w:top w:val="single" w:sz="4" w:space="0" w:color="auto"/>
              <w:bottom w:val="single" w:sz="4" w:space="0" w:color="auto"/>
              <w:right w:val="single" w:sz="4" w:space="0" w:color="auto"/>
            </w:tcBorders>
            <w:vAlign w:val="bottom"/>
          </w:tcPr>
          <w:p w14:paraId="4CD3FE41" w14:textId="77777777" w:rsidR="003E09D8" w:rsidRPr="00A84A5B" w:rsidRDefault="003E09D8" w:rsidP="00333421">
            <w:pPr>
              <w:pStyle w:val="Normal-pool-Table"/>
              <w:jc w:val="center"/>
              <w:rPr>
                <w:i/>
                <w:iCs/>
                <w:szCs w:val="18"/>
                <w:lang w:val="es-ES_tradnl"/>
              </w:rPr>
            </w:pPr>
            <w:r w:rsidRPr="00A84A5B">
              <w:rPr>
                <w:i/>
                <w:iCs/>
                <w:color w:val="000000"/>
                <w:lang w:val="es-ES_tradnl"/>
              </w:rPr>
              <w:t>Datos anteriores sobre HFC (toneladas de CO</w:t>
            </w:r>
            <w:r w:rsidRPr="00A84A5B">
              <w:rPr>
                <w:i/>
                <w:iCs/>
                <w:color w:val="000000"/>
                <w:vertAlign w:val="subscript"/>
                <w:lang w:val="es-ES_tradnl"/>
              </w:rPr>
              <w:t>2</w:t>
            </w:r>
            <w:r w:rsidRPr="00A84A5B">
              <w:rPr>
                <w:i/>
                <w:iCs/>
                <w:color w:val="000000"/>
                <w:lang w:val="es-ES_tradnl"/>
              </w:rPr>
              <w:t xml:space="preserve"> </w:t>
            </w:r>
            <w:proofErr w:type="spellStart"/>
            <w:r w:rsidRPr="00A84A5B">
              <w:rPr>
                <w:i/>
                <w:iCs/>
                <w:color w:val="000000"/>
                <w:lang w:val="es-ES_tradnl"/>
              </w:rPr>
              <w:t>eq</w:t>
            </w:r>
            <w:proofErr w:type="spellEnd"/>
            <w:r w:rsidRPr="00A84A5B">
              <w:rPr>
                <w:i/>
                <w:iCs/>
                <w:color w:val="000000"/>
                <w:lang w:val="es-ES_tradnl"/>
              </w:rPr>
              <w:t>)</w:t>
            </w:r>
          </w:p>
        </w:tc>
        <w:tc>
          <w:tcPr>
            <w:tcW w:w="3518" w:type="dxa"/>
            <w:gridSpan w:val="3"/>
            <w:tcBorders>
              <w:top w:val="single" w:sz="4" w:space="0" w:color="auto"/>
              <w:left w:val="single" w:sz="4" w:space="0" w:color="auto"/>
              <w:bottom w:val="single" w:sz="4" w:space="0" w:color="auto"/>
            </w:tcBorders>
            <w:vAlign w:val="bottom"/>
          </w:tcPr>
          <w:p w14:paraId="7BCDD774" w14:textId="118775AB" w:rsidR="003E09D8" w:rsidRPr="00A84A5B" w:rsidRDefault="003E09D8" w:rsidP="00333421">
            <w:pPr>
              <w:pStyle w:val="Normal-pool-Table"/>
              <w:jc w:val="center"/>
              <w:rPr>
                <w:i/>
                <w:iCs/>
                <w:szCs w:val="18"/>
                <w:lang w:val="es-ES_tradnl"/>
              </w:rPr>
            </w:pPr>
            <w:r w:rsidRPr="00A84A5B">
              <w:rPr>
                <w:i/>
                <w:iCs/>
                <w:color w:val="000000"/>
                <w:lang w:val="es-ES_tradnl"/>
              </w:rPr>
              <w:t xml:space="preserve">Nuevos datos sobre HFC (toneladas de </w:t>
            </w:r>
            <w:r w:rsidR="00D91D10">
              <w:rPr>
                <w:i/>
                <w:iCs/>
                <w:color w:val="000000"/>
                <w:lang w:val="es-ES_tradnl"/>
              </w:rPr>
              <w:br/>
            </w:r>
            <w:r w:rsidRPr="00A84A5B">
              <w:rPr>
                <w:i/>
                <w:iCs/>
                <w:color w:val="000000"/>
                <w:lang w:val="es-ES_tradnl"/>
              </w:rPr>
              <w:t>CO</w:t>
            </w:r>
            <w:r w:rsidRPr="00A84A5B">
              <w:rPr>
                <w:i/>
                <w:iCs/>
                <w:color w:val="000000"/>
                <w:vertAlign w:val="subscript"/>
                <w:lang w:val="es-ES_tradnl"/>
              </w:rPr>
              <w:t xml:space="preserve">2 </w:t>
            </w:r>
            <w:proofErr w:type="spellStart"/>
            <w:r w:rsidRPr="00A84A5B">
              <w:rPr>
                <w:i/>
                <w:iCs/>
                <w:color w:val="000000"/>
                <w:lang w:val="es-ES_tradnl"/>
              </w:rPr>
              <w:t>eq</w:t>
            </w:r>
            <w:proofErr w:type="spellEnd"/>
            <w:r w:rsidRPr="00A84A5B">
              <w:rPr>
                <w:i/>
                <w:iCs/>
                <w:color w:val="000000"/>
                <w:lang w:val="es-ES_tradnl"/>
              </w:rPr>
              <w:t>)</w:t>
            </w:r>
          </w:p>
        </w:tc>
      </w:tr>
      <w:tr w:rsidR="003E09D8" w:rsidRPr="00A84A5B" w14:paraId="1ADEE895" w14:textId="77777777" w:rsidTr="00333421">
        <w:trPr>
          <w:trHeight w:val="209"/>
          <w:jc w:val="right"/>
        </w:trPr>
        <w:tc>
          <w:tcPr>
            <w:tcW w:w="1413" w:type="dxa"/>
            <w:vMerge/>
            <w:tcBorders>
              <w:top w:val="single" w:sz="4" w:space="0" w:color="auto"/>
              <w:bottom w:val="single" w:sz="12" w:space="0" w:color="auto"/>
            </w:tcBorders>
            <w:vAlign w:val="bottom"/>
          </w:tcPr>
          <w:p w14:paraId="0E80F9B4" w14:textId="77777777" w:rsidR="003E09D8" w:rsidRPr="00A84A5B" w:rsidRDefault="003E09D8" w:rsidP="00333421">
            <w:pPr>
              <w:pStyle w:val="Normal-pool-Table"/>
              <w:rPr>
                <w:i/>
                <w:iCs/>
                <w:szCs w:val="18"/>
                <w:lang w:val="es-ES_tradnl"/>
              </w:rPr>
            </w:pPr>
          </w:p>
        </w:tc>
        <w:tc>
          <w:tcPr>
            <w:tcW w:w="1030" w:type="dxa"/>
            <w:tcBorders>
              <w:top w:val="single" w:sz="4" w:space="0" w:color="auto"/>
              <w:bottom w:val="single" w:sz="12" w:space="0" w:color="auto"/>
            </w:tcBorders>
            <w:vAlign w:val="bottom"/>
          </w:tcPr>
          <w:p w14:paraId="04F81EA6"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173" w:type="dxa"/>
            <w:tcBorders>
              <w:top w:val="single" w:sz="4" w:space="0" w:color="auto"/>
              <w:bottom w:val="single" w:sz="12" w:space="0" w:color="auto"/>
            </w:tcBorders>
            <w:vAlign w:val="bottom"/>
          </w:tcPr>
          <w:p w14:paraId="3DBC78E2"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173" w:type="dxa"/>
            <w:tcBorders>
              <w:top w:val="single" w:sz="4" w:space="0" w:color="auto"/>
              <w:bottom w:val="single" w:sz="12" w:space="0" w:color="auto"/>
              <w:right w:val="single" w:sz="4" w:space="0" w:color="auto"/>
            </w:tcBorders>
            <w:vAlign w:val="bottom"/>
          </w:tcPr>
          <w:p w14:paraId="027640E2"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c>
          <w:tcPr>
            <w:tcW w:w="1172" w:type="dxa"/>
            <w:tcBorders>
              <w:top w:val="single" w:sz="4" w:space="0" w:color="auto"/>
              <w:left w:val="single" w:sz="4" w:space="0" w:color="auto"/>
              <w:bottom w:val="single" w:sz="12" w:space="0" w:color="auto"/>
            </w:tcBorders>
            <w:vAlign w:val="bottom"/>
          </w:tcPr>
          <w:p w14:paraId="0DA3DC38" w14:textId="77777777" w:rsidR="003E09D8" w:rsidRPr="00A84A5B" w:rsidRDefault="003E09D8" w:rsidP="00333421">
            <w:pPr>
              <w:pStyle w:val="Normal-pool-Table"/>
              <w:jc w:val="right"/>
              <w:rPr>
                <w:i/>
                <w:iCs/>
                <w:szCs w:val="18"/>
                <w:lang w:val="es-ES_tradnl"/>
              </w:rPr>
            </w:pPr>
            <w:r w:rsidRPr="00A84A5B">
              <w:rPr>
                <w:i/>
                <w:iCs/>
                <w:color w:val="000000"/>
                <w:lang w:val="es-ES_tradnl"/>
              </w:rPr>
              <w:t>2020</w:t>
            </w:r>
          </w:p>
        </w:tc>
        <w:tc>
          <w:tcPr>
            <w:tcW w:w="1173" w:type="dxa"/>
            <w:tcBorders>
              <w:top w:val="single" w:sz="4" w:space="0" w:color="auto"/>
              <w:bottom w:val="single" w:sz="12" w:space="0" w:color="auto"/>
            </w:tcBorders>
            <w:vAlign w:val="bottom"/>
          </w:tcPr>
          <w:p w14:paraId="62441A13" w14:textId="77777777" w:rsidR="003E09D8" w:rsidRPr="00A84A5B" w:rsidRDefault="003E09D8" w:rsidP="00333421">
            <w:pPr>
              <w:pStyle w:val="Normal-pool-Table"/>
              <w:jc w:val="right"/>
              <w:rPr>
                <w:i/>
                <w:iCs/>
                <w:szCs w:val="18"/>
                <w:lang w:val="es-ES_tradnl"/>
              </w:rPr>
            </w:pPr>
            <w:r w:rsidRPr="00A84A5B">
              <w:rPr>
                <w:i/>
                <w:iCs/>
                <w:color w:val="000000"/>
                <w:lang w:val="es-ES_tradnl"/>
              </w:rPr>
              <w:t>2021</w:t>
            </w:r>
          </w:p>
        </w:tc>
        <w:tc>
          <w:tcPr>
            <w:tcW w:w="1173" w:type="dxa"/>
            <w:tcBorders>
              <w:top w:val="single" w:sz="4" w:space="0" w:color="auto"/>
              <w:bottom w:val="single" w:sz="12" w:space="0" w:color="auto"/>
            </w:tcBorders>
            <w:vAlign w:val="bottom"/>
          </w:tcPr>
          <w:p w14:paraId="69A9318D" w14:textId="77777777" w:rsidR="003E09D8" w:rsidRPr="00A84A5B" w:rsidRDefault="003E09D8" w:rsidP="00333421">
            <w:pPr>
              <w:pStyle w:val="Normal-pool-Table"/>
              <w:jc w:val="right"/>
              <w:rPr>
                <w:i/>
                <w:iCs/>
                <w:szCs w:val="18"/>
                <w:lang w:val="es-ES_tradnl"/>
              </w:rPr>
            </w:pPr>
            <w:r w:rsidRPr="00A84A5B">
              <w:rPr>
                <w:i/>
                <w:iCs/>
                <w:color w:val="000000"/>
                <w:lang w:val="es-ES_tradnl"/>
              </w:rPr>
              <w:t>2022</w:t>
            </w:r>
          </w:p>
        </w:tc>
      </w:tr>
      <w:tr w:rsidR="003E09D8" w:rsidRPr="00A84A5B" w14:paraId="6708C505" w14:textId="77777777" w:rsidTr="00333421">
        <w:trPr>
          <w:trHeight w:val="113"/>
          <w:jc w:val="right"/>
        </w:trPr>
        <w:tc>
          <w:tcPr>
            <w:tcW w:w="1413" w:type="dxa"/>
            <w:tcBorders>
              <w:top w:val="single" w:sz="12" w:space="0" w:color="auto"/>
              <w:bottom w:val="single" w:sz="12" w:space="0" w:color="auto"/>
            </w:tcBorders>
          </w:tcPr>
          <w:p w14:paraId="748D675B" w14:textId="77777777" w:rsidR="003E09D8" w:rsidRPr="00A84A5B" w:rsidRDefault="003E09D8" w:rsidP="00333421">
            <w:pPr>
              <w:pStyle w:val="Normal-pool-Table"/>
              <w:rPr>
                <w:szCs w:val="18"/>
                <w:lang w:val="es-ES_tradnl"/>
              </w:rPr>
            </w:pPr>
            <w:r w:rsidRPr="00A84A5B">
              <w:rPr>
                <w:color w:val="000000"/>
                <w:lang w:val="es-ES_tradnl"/>
              </w:rPr>
              <w:t xml:space="preserve">Nigeria </w:t>
            </w:r>
          </w:p>
        </w:tc>
        <w:tc>
          <w:tcPr>
            <w:tcW w:w="1030" w:type="dxa"/>
            <w:tcBorders>
              <w:top w:val="single" w:sz="12" w:space="0" w:color="auto"/>
              <w:bottom w:val="single" w:sz="12" w:space="0" w:color="auto"/>
            </w:tcBorders>
          </w:tcPr>
          <w:p w14:paraId="6FC2F5FB" w14:textId="304673FD" w:rsidR="003E09D8" w:rsidRPr="00A84A5B" w:rsidRDefault="003E09D8" w:rsidP="00333421">
            <w:pPr>
              <w:pStyle w:val="Normal-pool-Table"/>
              <w:jc w:val="right"/>
              <w:rPr>
                <w:szCs w:val="18"/>
                <w:lang w:val="es-ES_tradnl"/>
              </w:rPr>
            </w:pPr>
            <w:r w:rsidRPr="00A84A5B">
              <w:rPr>
                <w:color w:val="000000"/>
                <w:lang w:val="es-ES_tradnl"/>
              </w:rPr>
              <w:t>2</w:t>
            </w:r>
            <w:r w:rsidR="008D4FE5" w:rsidRPr="00A84A5B">
              <w:rPr>
                <w:color w:val="000000"/>
                <w:lang w:val="es-ES_tradnl"/>
              </w:rPr>
              <w:t> </w:t>
            </w:r>
            <w:r w:rsidRPr="00A84A5B">
              <w:rPr>
                <w:color w:val="000000"/>
                <w:lang w:val="es-ES_tradnl"/>
              </w:rPr>
              <w:t>620</w:t>
            </w:r>
            <w:r w:rsidR="008D4FE5" w:rsidRPr="00A84A5B">
              <w:rPr>
                <w:color w:val="000000"/>
                <w:lang w:val="es-ES_tradnl"/>
              </w:rPr>
              <w:t> </w:t>
            </w:r>
            <w:r w:rsidRPr="00A84A5B">
              <w:rPr>
                <w:color w:val="000000"/>
                <w:lang w:val="es-ES_tradnl"/>
              </w:rPr>
              <w:t>048</w:t>
            </w:r>
          </w:p>
        </w:tc>
        <w:tc>
          <w:tcPr>
            <w:tcW w:w="1173" w:type="dxa"/>
            <w:tcBorders>
              <w:top w:val="single" w:sz="12" w:space="0" w:color="auto"/>
              <w:bottom w:val="single" w:sz="12" w:space="0" w:color="auto"/>
            </w:tcBorders>
          </w:tcPr>
          <w:p w14:paraId="25639BFD" w14:textId="61FE2047" w:rsidR="003E09D8" w:rsidRPr="00A84A5B" w:rsidRDefault="003E09D8" w:rsidP="00333421">
            <w:pPr>
              <w:pStyle w:val="Normal-pool-Table"/>
              <w:jc w:val="right"/>
              <w:rPr>
                <w:szCs w:val="18"/>
                <w:lang w:val="es-ES_tradnl"/>
              </w:rPr>
            </w:pPr>
            <w:r w:rsidRPr="00A84A5B">
              <w:rPr>
                <w:color w:val="000000"/>
                <w:lang w:val="es-ES_tradnl"/>
              </w:rPr>
              <w:t>8</w:t>
            </w:r>
            <w:r w:rsidR="008D4FE5" w:rsidRPr="00A84A5B">
              <w:rPr>
                <w:color w:val="000000"/>
                <w:lang w:val="es-ES_tradnl"/>
              </w:rPr>
              <w:t> </w:t>
            </w:r>
            <w:r w:rsidRPr="00A84A5B">
              <w:rPr>
                <w:color w:val="000000"/>
                <w:lang w:val="es-ES_tradnl"/>
              </w:rPr>
              <w:t>381</w:t>
            </w:r>
            <w:r w:rsidR="008D4FE5" w:rsidRPr="00A84A5B">
              <w:rPr>
                <w:color w:val="000000"/>
                <w:lang w:val="es-ES_tradnl"/>
              </w:rPr>
              <w:t> </w:t>
            </w:r>
            <w:r w:rsidRPr="00A84A5B">
              <w:rPr>
                <w:color w:val="000000"/>
                <w:lang w:val="es-ES_tradnl"/>
              </w:rPr>
              <w:t>305</w:t>
            </w:r>
          </w:p>
        </w:tc>
        <w:tc>
          <w:tcPr>
            <w:tcW w:w="1173" w:type="dxa"/>
            <w:tcBorders>
              <w:top w:val="single" w:sz="12" w:space="0" w:color="auto"/>
              <w:bottom w:val="single" w:sz="12" w:space="0" w:color="auto"/>
              <w:right w:val="single" w:sz="4" w:space="0" w:color="auto"/>
            </w:tcBorders>
          </w:tcPr>
          <w:p w14:paraId="796411D9" w14:textId="39A5B7EA" w:rsidR="003E09D8" w:rsidRPr="00A84A5B" w:rsidRDefault="003E09D8" w:rsidP="00333421">
            <w:pPr>
              <w:pStyle w:val="Normal-pool-Table"/>
              <w:jc w:val="right"/>
              <w:rPr>
                <w:szCs w:val="18"/>
                <w:lang w:val="es-ES_tradnl"/>
              </w:rPr>
            </w:pPr>
            <w:r w:rsidRPr="00A84A5B">
              <w:rPr>
                <w:color w:val="000000"/>
                <w:lang w:val="es-ES_tradnl"/>
              </w:rPr>
              <w:t>17</w:t>
            </w:r>
            <w:r w:rsidR="008D4FE5" w:rsidRPr="00A84A5B">
              <w:rPr>
                <w:color w:val="000000"/>
                <w:lang w:val="es-ES_tradnl"/>
              </w:rPr>
              <w:t> </w:t>
            </w:r>
            <w:r w:rsidRPr="00A84A5B">
              <w:rPr>
                <w:color w:val="000000"/>
                <w:lang w:val="es-ES_tradnl"/>
              </w:rPr>
              <w:t>374</w:t>
            </w:r>
            <w:r w:rsidR="008D4FE5" w:rsidRPr="00A84A5B">
              <w:rPr>
                <w:color w:val="000000"/>
                <w:lang w:val="es-ES_tradnl"/>
              </w:rPr>
              <w:t> </w:t>
            </w:r>
            <w:r w:rsidRPr="00A84A5B">
              <w:rPr>
                <w:color w:val="000000"/>
                <w:lang w:val="es-ES_tradnl"/>
              </w:rPr>
              <w:t>682</w:t>
            </w:r>
          </w:p>
        </w:tc>
        <w:tc>
          <w:tcPr>
            <w:tcW w:w="1172" w:type="dxa"/>
            <w:tcBorders>
              <w:top w:val="single" w:sz="12" w:space="0" w:color="auto"/>
              <w:left w:val="single" w:sz="4" w:space="0" w:color="auto"/>
              <w:bottom w:val="single" w:sz="12" w:space="0" w:color="auto"/>
            </w:tcBorders>
          </w:tcPr>
          <w:p w14:paraId="0F0DA2FA" w14:textId="2F8C4263" w:rsidR="003E09D8" w:rsidRPr="00A84A5B" w:rsidRDefault="003E09D8" w:rsidP="00333421">
            <w:pPr>
              <w:pStyle w:val="Normal-pool-Table"/>
              <w:jc w:val="right"/>
              <w:rPr>
                <w:szCs w:val="18"/>
                <w:lang w:val="es-ES_tradnl"/>
              </w:rPr>
            </w:pPr>
            <w:r w:rsidRPr="00A84A5B">
              <w:rPr>
                <w:color w:val="000000"/>
                <w:lang w:val="es-ES_tradnl"/>
              </w:rPr>
              <w:t>13</w:t>
            </w:r>
            <w:r w:rsidR="008D4FE5" w:rsidRPr="00A84A5B">
              <w:rPr>
                <w:color w:val="000000"/>
                <w:lang w:val="es-ES_tradnl"/>
              </w:rPr>
              <w:t> </w:t>
            </w:r>
            <w:r w:rsidRPr="00A84A5B">
              <w:rPr>
                <w:color w:val="000000"/>
                <w:lang w:val="es-ES_tradnl"/>
              </w:rPr>
              <w:t>305</w:t>
            </w:r>
            <w:r w:rsidR="008D4FE5" w:rsidRPr="00A84A5B">
              <w:rPr>
                <w:color w:val="000000"/>
                <w:lang w:val="es-ES_tradnl"/>
              </w:rPr>
              <w:t> </w:t>
            </w:r>
            <w:r w:rsidRPr="00A84A5B">
              <w:rPr>
                <w:color w:val="000000"/>
                <w:lang w:val="es-ES_tradnl"/>
              </w:rPr>
              <w:t>145</w:t>
            </w:r>
          </w:p>
        </w:tc>
        <w:tc>
          <w:tcPr>
            <w:tcW w:w="1173" w:type="dxa"/>
            <w:tcBorders>
              <w:top w:val="single" w:sz="12" w:space="0" w:color="auto"/>
              <w:bottom w:val="single" w:sz="12" w:space="0" w:color="auto"/>
            </w:tcBorders>
          </w:tcPr>
          <w:p w14:paraId="19320EF0" w14:textId="6F9B72E3" w:rsidR="003E09D8" w:rsidRPr="00A84A5B" w:rsidRDefault="003E09D8" w:rsidP="00333421">
            <w:pPr>
              <w:pStyle w:val="Normal-pool-Table"/>
              <w:jc w:val="right"/>
              <w:rPr>
                <w:szCs w:val="18"/>
                <w:lang w:val="es-ES_tradnl"/>
              </w:rPr>
            </w:pPr>
            <w:r w:rsidRPr="00A84A5B">
              <w:rPr>
                <w:color w:val="000000"/>
                <w:lang w:val="es-ES_tradnl"/>
              </w:rPr>
              <w:t>19</w:t>
            </w:r>
            <w:r w:rsidR="008D4FE5" w:rsidRPr="00A84A5B">
              <w:rPr>
                <w:color w:val="000000"/>
                <w:lang w:val="es-ES_tradnl"/>
              </w:rPr>
              <w:t> </w:t>
            </w:r>
            <w:r w:rsidRPr="00A84A5B">
              <w:rPr>
                <w:color w:val="000000"/>
                <w:lang w:val="es-ES_tradnl"/>
              </w:rPr>
              <w:t>884</w:t>
            </w:r>
            <w:r w:rsidR="008D4FE5" w:rsidRPr="00A84A5B">
              <w:rPr>
                <w:color w:val="000000"/>
                <w:lang w:val="es-ES_tradnl"/>
              </w:rPr>
              <w:t> </w:t>
            </w:r>
            <w:r w:rsidRPr="00A84A5B">
              <w:rPr>
                <w:color w:val="000000"/>
                <w:lang w:val="es-ES_tradnl"/>
              </w:rPr>
              <w:t>612</w:t>
            </w:r>
          </w:p>
        </w:tc>
        <w:tc>
          <w:tcPr>
            <w:tcW w:w="1173" w:type="dxa"/>
            <w:tcBorders>
              <w:top w:val="single" w:sz="12" w:space="0" w:color="auto"/>
              <w:bottom w:val="single" w:sz="12" w:space="0" w:color="auto"/>
            </w:tcBorders>
          </w:tcPr>
          <w:p w14:paraId="3073D6EB" w14:textId="0FB1AAE4" w:rsidR="003E09D8" w:rsidRPr="00A84A5B" w:rsidRDefault="003E09D8" w:rsidP="00333421">
            <w:pPr>
              <w:pStyle w:val="Normal-pool-Table"/>
              <w:jc w:val="right"/>
              <w:rPr>
                <w:szCs w:val="18"/>
                <w:lang w:val="es-ES_tradnl"/>
              </w:rPr>
            </w:pPr>
            <w:r w:rsidRPr="00A84A5B">
              <w:rPr>
                <w:color w:val="000000"/>
                <w:lang w:val="es-ES_tradnl"/>
              </w:rPr>
              <w:t>24</w:t>
            </w:r>
            <w:r w:rsidR="008D4FE5" w:rsidRPr="00A84A5B">
              <w:rPr>
                <w:color w:val="000000"/>
                <w:lang w:val="es-ES_tradnl"/>
              </w:rPr>
              <w:t> </w:t>
            </w:r>
            <w:r w:rsidRPr="00A84A5B">
              <w:rPr>
                <w:color w:val="000000"/>
                <w:lang w:val="es-ES_tradnl"/>
              </w:rPr>
              <w:t>582</w:t>
            </w:r>
            <w:r w:rsidR="008D4FE5" w:rsidRPr="00A84A5B">
              <w:rPr>
                <w:color w:val="000000"/>
                <w:lang w:val="es-ES_tradnl"/>
              </w:rPr>
              <w:t> </w:t>
            </w:r>
            <w:r w:rsidRPr="00A84A5B">
              <w:rPr>
                <w:color w:val="000000"/>
                <w:lang w:val="es-ES_tradnl"/>
              </w:rPr>
              <w:t>158</w:t>
            </w:r>
          </w:p>
        </w:tc>
      </w:tr>
    </w:tbl>
    <w:p w14:paraId="567B2DE0" w14:textId="77777777" w:rsidR="003E09D8" w:rsidRPr="00D91D10" w:rsidRDefault="003E09D8" w:rsidP="003E09D8">
      <w:pPr>
        <w:tabs>
          <w:tab w:val="left" w:pos="624"/>
          <w:tab w:val="left" w:pos="1871"/>
          <w:tab w:val="left" w:pos="2495"/>
          <w:tab w:val="left" w:pos="3119"/>
          <w:tab w:val="left" w:pos="3742"/>
          <w:tab w:val="left" w:pos="4366"/>
          <w:tab w:val="left" w:pos="4990"/>
        </w:tabs>
        <w:spacing w:before="60" w:after="120"/>
        <w:ind w:left="1247"/>
        <w:rPr>
          <w:sz w:val="18"/>
          <w:szCs w:val="18"/>
          <w:lang w:val="es-ES_tradnl"/>
        </w:rPr>
      </w:pPr>
      <w:r w:rsidRPr="00D91D10">
        <w:rPr>
          <w:sz w:val="18"/>
          <w:szCs w:val="18"/>
          <w:lang w:val="es-ES_tradnl"/>
        </w:rPr>
        <w:tab/>
      </w:r>
      <w:r w:rsidRPr="00D91D10">
        <w:rPr>
          <w:i/>
          <w:iCs/>
          <w:sz w:val="18"/>
          <w:szCs w:val="18"/>
          <w:lang w:val="es-ES_tradnl"/>
        </w:rPr>
        <w:t>Abreviaciones</w:t>
      </w:r>
      <w:r w:rsidRPr="00D91D10">
        <w:rPr>
          <w:sz w:val="18"/>
          <w:szCs w:val="18"/>
          <w:lang w:val="es-ES_tradnl"/>
        </w:rPr>
        <w:t>: CO</w:t>
      </w:r>
      <w:r w:rsidRPr="00D91D10">
        <w:rPr>
          <w:sz w:val="18"/>
          <w:szCs w:val="18"/>
          <w:vertAlign w:val="subscript"/>
          <w:lang w:val="es-ES_tradnl"/>
        </w:rPr>
        <w:t>2</w:t>
      </w:r>
      <w:r w:rsidRPr="00D91D10">
        <w:rPr>
          <w:sz w:val="18"/>
          <w:szCs w:val="18"/>
          <w:lang w:val="es-ES_tradnl"/>
        </w:rPr>
        <w:t xml:space="preserve"> </w:t>
      </w:r>
      <w:proofErr w:type="spellStart"/>
      <w:r w:rsidRPr="00D91D10">
        <w:rPr>
          <w:sz w:val="18"/>
          <w:szCs w:val="18"/>
          <w:lang w:val="es-ES_tradnl"/>
        </w:rPr>
        <w:t>eq</w:t>
      </w:r>
      <w:proofErr w:type="spellEnd"/>
      <w:r w:rsidRPr="00D91D10">
        <w:rPr>
          <w:sz w:val="18"/>
          <w:szCs w:val="18"/>
          <w:lang w:val="es-ES_tradnl"/>
        </w:rPr>
        <w:t xml:space="preserve"> = dióxido de carbono equivalente; HFC = hidrofluorocarbono. </w:t>
      </w:r>
    </w:p>
    <w:p w14:paraId="49559DDB" w14:textId="5966FA43" w:rsidR="00A73BE3" w:rsidRPr="00A84A5B" w:rsidRDefault="00D91D10" w:rsidP="00D91D10">
      <w:pPr>
        <w:pStyle w:val="CH2"/>
        <w:rPr>
          <w:lang w:val="es-ES_tradnl"/>
        </w:rPr>
      </w:pPr>
      <w:r w:rsidRPr="001B11F3">
        <w:tab/>
      </w:r>
      <w:r w:rsidRPr="008353E4">
        <w:rPr>
          <w:lang w:val="fr-FR"/>
        </w:rPr>
        <w:t>I.</w:t>
      </w:r>
      <w:r w:rsidRPr="008353E4">
        <w:rPr>
          <w:lang w:val="fr-FR"/>
        </w:rPr>
        <w:tab/>
      </w:r>
      <w:r w:rsidR="00A73BE3" w:rsidRPr="00A84A5B">
        <w:rPr>
          <w:bCs/>
          <w:lang w:val="es-ES_tradnl"/>
        </w:rPr>
        <w:t>Proyecto de decisión XXXVII</w:t>
      </w:r>
      <w:proofErr w:type="gramStart"/>
      <w:r w:rsidR="00A73BE3" w:rsidRPr="00A84A5B">
        <w:rPr>
          <w:bCs/>
          <w:lang w:val="es-ES_tradnl"/>
        </w:rPr>
        <w:t>/[</w:t>
      </w:r>
      <w:proofErr w:type="gramEnd"/>
      <w:r w:rsidR="00A73BE3" w:rsidRPr="00A84A5B">
        <w:rPr>
          <w:bCs/>
          <w:lang w:val="es-ES_tradnl"/>
        </w:rPr>
        <w:t>--</w:t>
      </w:r>
      <w:proofErr w:type="gramStart"/>
      <w:r w:rsidR="00A73BE3" w:rsidRPr="00A84A5B">
        <w:rPr>
          <w:bCs/>
          <w:lang w:val="es-ES_tradnl"/>
        </w:rPr>
        <w:t>]:</w:t>
      </w:r>
      <w:proofErr w:type="gramEnd"/>
      <w:r w:rsidR="00A73BE3" w:rsidRPr="00A84A5B">
        <w:rPr>
          <w:bCs/>
          <w:lang w:val="es-ES_tradnl"/>
        </w:rPr>
        <w:t xml:space="preserve"> situación del establecimiento de sistemas de concesión de licencias de conformidad con el artículo 4B, párrafo 2 bis, del Protocolo de Montreal relativo a las Sustancias que Agotan la Capa de Ozono</w:t>
      </w:r>
    </w:p>
    <w:p w14:paraId="7495AD47"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 xml:space="preserve">Haciendo notar </w:t>
      </w:r>
      <w:r w:rsidRPr="00A84A5B">
        <w:rPr>
          <w:lang w:val="es-ES_tradnl"/>
        </w:rPr>
        <w:t>que el párrafo 2 bis del artículo 4B del Protocolo de Montreal relativo a las Sustancias que Agotan la Capa de Ozono obliga a las Partes a establecer y aplicar un sistema de concesión de licencias para la importación y exportación de las sustancias controladas nuevas, usadas, recicladas y regeneradas del anexo F del Protocolo,</w:t>
      </w:r>
    </w:p>
    <w:p w14:paraId="2D256B04"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Haciendo notar con aprecio</w:t>
      </w:r>
      <w:r w:rsidRPr="00A84A5B">
        <w:rPr>
          <w:lang w:val="es-ES_tradnl"/>
        </w:rPr>
        <w:t xml:space="preserve"> que 161 de las 169 Partes en el Protocolo de Montreal que han ratificado, aceptado o aprobado la Enmienda de Kigali al Protocolo han notificado el establecimiento y funcionamiento de sistemas de concesión de licencias para la importación y exportación de las sustancias controladas incluidas en el anexo F, como se exige, y que 4 Partes que aún no han ratificado la Enmienda de Kigali han comunicado también el establecimiento de un sistema de esa índole,</w:t>
      </w:r>
    </w:p>
    <w:p w14:paraId="0F87336D"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color w:val="000000"/>
          <w:lang w:val="es-ES_tradnl"/>
        </w:rPr>
      </w:pPr>
      <w:r w:rsidRPr="00A84A5B">
        <w:rPr>
          <w:lang w:val="es-ES_tradnl"/>
        </w:rPr>
        <w:tab/>
      </w:r>
      <w:r w:rsidRPr="00A84A5B">
        <w:rPr>
          <w:i/>
          <w:iCs/>
          <w:lang w:val="es-ES_tradnl"/>
        </w:rPr>
        <w:t>Observando</w:t>
      </w:r>
      <w:r w:rsidRPr="00A84A5B">
        <w:rPr>
          <w:lang w:val="es-ES_tradnl"/>
        </w:rPr>
        <w:t>, sin embargo, que Djibouti, Omán y San Marino aún no han comunicado a la Secretaría del Ozono el establecimiento y el funcionamiento de sus sistemas de concesión de licencias de conformidad con el artículo 4B, párrafo 3,</w:t>
      </w:r>
    </w:p>
    <w:p w14:paraId="50CC8E33"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 xml:space="preserve">Observando con preocupación </w:t>
      </w:r>
      <w:r w:rsidRPr="00A84A5B">
        <w:rPr>
          <w:lang w:val="es-ES_tradnl"/>
        </w:rPr>
        <w:t>que una de las Partes mencionadas, a saber, San Marino, aceptó la Enmienda de Kigali en 2020 y aún no ha informado sobre el establecimiento y funcionamiento de su sistema de concesión de licencias de conformidad con el artículo 4B, párrafo 3,</w:t>
      </w:r>
    </w:p>
    <w:p w14:paraId="52781DCE"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 xml:space="preserve">Reconociendo </w:t>
      </w:r>
      <w:r w:rsidRPr="00A84A5B">
        <w:rPr>
          <w:lang w:val="es-ES_tradnl"/>
        </w:rPr>
        <w:t>que los sistemas de concesión de licencias permiten recopilar datos y verificarlos, vigilar las importaciones y exportaciones de sustancias controladas y prevenir el comercio ilícito,</w:t>
      </w:r>
    </w:p>
    <w:p w14:paraId="651C5B86" w14:textId="30886283"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lang w:val="es-ES_tradnl"/>
        </w:rPr>
        <w:tab/>
      </w:r>
      <w:r w:rsidRPr="00A84A5B">
        <w:rPr>
          <w:i/>
          <w:iCs/>
          <w:lang w:val="es-ES_tradnl"/>
        </w:rPr>
        <w:t>Reconociendo también</w:t>
      </w:r>
      <w:r w:rsidRPr="00A84A5B">
        <w:rPr>
          <w:lang w:val="es-ES_tradnl"/>
        </w:rPr>
        <w:t xml:space="preserve"> que el éxito de la eliminación por las Partes de la mayoría de las sustancias controladas se debe en gran medida al establecimiento y puesta en práctica de sistemas de</w:t>
      </w:r>
      <w:r w:rsidR="00D91D10">
        <w:rPr>
          <w:lang w:val="es-ES_tradnl"/>
        </w:rPr>
        <w:t> </w:t>
      </w:r>
      <w:r w:rsidRPr="00A84A5B">
        <w:rPr>
          <w:lang w:val="es-ES_tradnl"/>
        </w:rPr>
        <w:t>concesión de licencias para controlar la importación y exportación de sustancias que agotan la capa</w:t>
      </w:r>
      <w:r w:rsidR="00D91D10">
        <w:rPr>
          <w:lang w:val="es-ES_tradnl"/>
        </w:rPr>
        <w:t> </w:t>
      </w:r>
      <w:r w:rsidRPr="00A84A5B">
        <w:rPr>
          <w:lang w:val="es-ES_tradnl"/>
        </w:rPr>
        <w:t>de</w:t>
      </w:r>
      <w:r w:rsidR="00D91D10">
        <w:rPr>
          <w:lang w:val="es-ES_tradnl"/>
        </w:rPr>
        <w:t> </w:t>
      </w:r>
      <w:r w:rsidRPr="00A84A5B">
        <w:rPr>
          <w:lang w:val="es-ES_tradnl"/>
        </w:rPr>
        <w:t>ozono,</w:t>
      </w:r>
    </w:p>
    <w:p w14:paraId="0BF00EE8" w14:textId="77777777" w:rsidR="00A73BE3" w:rsidRPr="00A84A5B"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lang w:val="es-ES_tradnl"/>
        </w:rPr>
      </w:pPr>
      <w:r w:rsidRPr="00A84A5B">
        <w:rPr>
          <w:i/>
          <w:iCs/>
          <w:lang w:val="es-ES_tradnl"/>
        </w:rPr>
        <w:t>Decide:</w:t>
      </w:r>
    </w:p>
    <w:p w14:paraId="13788AFD" w14:textId="3D19C7B0" w:rsidR="00A73BE3" w:rsidRPr="00A84A5B" w:rsidRDefault="00A73BE3" w:rsidP="00A73BE3">
      <w:pPr>
        <w:pStyle w:val="NormalNonumber"/>
        <w:numPr>
          <w:ilvl w:val="0"/>
          <w:numId w:val="312"/>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Tomar nota con aprecio de la labor realizada por las Partes para el establecimiento y el</w:t>
      </w:r>
      <w:r w:rsidR="00D91D10">
        <w:rPr>
          <w:lang w:val="es-ES_tradnl"/>
        </w:rPr>
        <w:t> </w:t>
      </w:r>
      <w:r w:rsidRPr="00A84A5B">
        <w:rPr>
          <w:lang w:val="es-ES_tradnl"/>
        </w:rPr>
        <w:t>funcionamiento de sistemas de concesión de licencias para las sustancias controladas incluidas en el anexo F con arreglo al artículo 4B, párrafo 2 bis, del Protocolo de Montreal relativo a las Sustancias que Agotan la Capa de Ozono;</w:t>
      </w:r>
    </w:p>
    <w:p w14:paraId="1278C1F0" w14:textId="77777777" w:rsidR="00A73BE3" w:rsidRPr="00A84A5B" w:rsidRDefault="00A73BE3" w:rsidP="00A73BE3">
      <w:pPr>
        <w:pStyle w:val="NormalNonumber"/>
        <w:numPr>
          <w:ilvl w:val="0"/>
          <w:numId w:val="312"/>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Instar a </w:t>
      </w:r>
      <w:proofErr w:type="spellStart"/>
      <w:r w:rsidRPr="00A84A5B">
        <w:rPr>
          <w:lang w:val="es-ES_tradnl"/>
        </w:rPr>
        <w:t>Djibouti</w:t>
      </w:r>
      <w:proofErr w:type="spellEnd"/>
      <w:r w:rsidRPr="00A84A5B">
        <w:rPr>
          <w:lang w:val="es-ES_tradnl"/>
        </w:rPr>
        <w:t xml:space="preserve">, Omán y San Marino a que informen a la Secretaría del Ozono del establecimiento y funcionamiento de sus sistemas de concesión de licencias con urgencia, a más tardar </w:t>
      </w:r>
      <w:r w:rsidRPr="00A84A5B">
        <w:rPr>
          <w:lang w:val="es-ES_tradnl"/>
        </w:rPr>
        <w:lastRenderedPageBreak/>
        <w:t>el 31 de marzo de 2026, para que el Comité de Aplicación establecido con arreglo al Procedimiento relativo al Incumplimiento del Protocolo de Montreal los examine en su 76ª reunión;</w:t>
      </w:r>
    </w:p>
    <w:p w14:paraId="3DB4C63D" w14:textId="77777777" w:rsidR="00A73BE3" w:rsidRPr="00A84A5B" w:rsidRDefault="00A73BE3" w:rsidP="00A73BE3">
      <w:pPr>
        <w:pStyle w:val="NormalNonumber"/>
        <w:numPr>
          <w:ilvl w:val="0"/>
          <w:numId w:val="312"/>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Invitar a San Marino a enviar un representante a la 76ª reunión del Comité de Aplicación, a menos que la Parte informe, antes de la reunión, sobre el establecimiento y funcionamiento de su sistema de concesión de licencias de conformidad con el artículo 4B, párrafo 2 bis, del Protocolo de Montreal;</w:t>
      </w:r>
    </w:p>
    <w:p w14:paraId="5B25F8E3" w14:textId="44A3FC7E" w:rsidR="00A73BE3" w:rsidRPr="00A84A5B" w:rsidRDefault="00A73BE3" w:rsidP="00A73BE3">
      <w:pPr>
        <w:pStyle w:val="NormalNonumber"/>
        <w:numPr>
          <w:ilvl w:val="0"/>
          <w:numId w:val="312"/>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Instar a todas las Partes en el Protocolo de Montreal que ratifiquen, acepten o aprueben</w:t>
      </w:r>
      <w:r w:rsidR="00D91D10">
        <w:rPr>
          <w:lang w:val="es-ES_tradnl"/>
        </w:rPr>
        <w:t> </w:t>
      </w:r>
      <w:r w:rsidRPr="00A84A5B">
        <w:rPr>
          <w:lang w:val="es-ES_tradnl"/>
        </w:rPr>
        <w:t xml:space="preserve">la Enmienda de Kigali a que establezcan y apliquen sus sistemas de concesión de licencias de importación y exportación de sustancias controladas con arreglo al anexo F del Protocolo en un plazo de </w:t>
      </w:r>
      <w:r w:rsidR="00132800" w:rsidRPr="00A84A5B">
        <w:rPr>
          <w:lang w:val="es-ES_tradnl"/>
        </w:rPr>
        <w:t>3</w:t>
      </w:r>
      <w:r w:rsidRPr="00A84A5B">
        <w:rPr>
          <w:lang w:val="es-ES_tradnl"/>
        </w:rPr>
        <w:t xml:space="preserve"> meses a partir de la fecha de entrada en vigor de la Enmienda de Kigali para cada Parte, y a que informen a la Secretaría sobre el establecimiento y funcionamiento de tales sistemas de concesión de licencias en un plazo de </w:t>
      </w:r>
      <w:r w:rsidR="00132800" w:rsidRPr="00A84A5B">
        <w:rPr>
          <w:lang w:val="es-ES_tradnl"/>
        </w:rPr>
        <w:t>3</w:t>
      </w:r>
      <w:r w:rsidRPr="00A84A5B">
        <w:rPr>
          <w:lang w:val="es-ES_tradnl"/>
        </w:rPr>
        <w:t xml:space="preserve"> meses a partir de la fecha de implantación del sistema;</w:t>
      </w:r>
    </w:p>
    <w:p w14:paraId="5AC9F76D" w14:textId="76DB0810" w:rsidR="00A73BE3" w:rsidRPr="00A84A5B" w:rsidRDefault="00A73BE3" w:rsidP="00A73BE3">
      <w:pPr>
        <w:pStyle w:val="NormalNonumber"/>
        <w:numPr>
          <w:ilvl w:val="0"/>
          <w:numId w:val="312"/>
        </w:numPr>
        <w:tabs>
          <w:tab w:val="clear" w:pos="1247"/>
          <w:tab w:val="clear" w:pos="1871"/>
          <w:tab w:val="clear" w:pos="2495"/>
          <w:tab w:val="clear" w:pos="3119"/>
          <w:tab w:val="clear" w:pos="3742"/>
          <w:tab w:val="clear" w:pos="4366"/>
          <w:tab w:val="clear" w:pos="4990"/>
        </w:tabs>
        <w:ind w:left="1247" w:firstLine="624"/>
        <w:rPr>
          <w:lang w:val="es-ES_tradnl"/>
        </w:rPr>
      </w:pPr>
      <w:r w:rsidRPr="00A84A5B">
        <w:rPr>
          <w:lang w:val="es-ES_tradnl"/>
        </w:rPr>
        <w:t xml:space="preserve">Solicitar a la Secretaría que prepare y distribuya periódicamente a todas las Partes una lista de las Partes que le hayan informado de su sistema de </w:t>
      </w:r>
      <w:r w:rsidR="00132800" w:rsidRPr="00A84A5B">
        <w:rPr>
          <w:lang w:val="es-ES_tradnl"/>
        </w:rPr>
        <w:t xml:space="preserve">concesión de </w:t>
      </w:r>
      <w:r w:rsidRPr="00A84A5B">
        <w:rPr>
          <w:lang w:val="es-ES_tradnl"/>
        </w:rPr>
        <w:t>licencias, y que remita esa información al Comité de Aplicación para su examen y con vistas a permitir que este formule las recomendaciones pertinentes a las Partes, de conformidad con el con el artículo 4B, párrafo 4 del Protocolo de Montreal.</w:t>
      </w:r>
    </w:p>
    <w:p w14:paraId="174F555F" w14:textId="77777777" w:rsidR="00D63E9D" w:rsidRPr="00A84A5B" w:rsidRDefault="00D63E9D" w:rsidP="00AB0CD2">
      <w:pPr>
        <w:pStyle w:val="Normal-pool"/>
        <w:rPr>
          <w:szCs w:val="22"/>
          <w:lang w:val="es-ES_tradnl"/>
        </w:rPr>
      </w:pPr>
      <w:bookmarkStart w:id="34" w:name="_Hlk150878534"/>
      <w:r w:rsidRPr="00A84A5B">
        <w:rPr>
          <w:lang w:val="es-ES_tradnl"/>
        </w:rPr>
        <w:br w:type="page"/>
      </w:r>
    </w:p>
    <w:p w14:paraId="3816A176" w14:textId="62EF7459" w:rsidR="004F289F" w:rsidRPr="00A84A5B" w:rsidRDefault="004F289F" w:rsidP="00404025">
      <w:pPr>
        <w:pStyle w:val="ZZAnxheader"/>
        <w:rPr>
          <w:lang w:val="es-ES_tradnl"/>
        </w:rPr>
      </w:pPr>
      <w:r w:rsidRPr="00A84A5B">
        <w:rPr>
          <w:lang w:val="es-ES_tradnl"/>
        </w:rPr>
        <w:lastRenderedPageBreak/>
        <w:t>Anexo II</w:t>
      </w:r>
      <w:r w:rsidRPr="00A84A5B">
        <w:rPr>
          <w:b w:val="0"/>
          <w:bCs w:val="0"/>
          <w:lang w:val="es-ES_tradnl"/>
        </w:rPr>
        <w:footnoteReference w:customMarkFollows="1" w:id="2"/>
        <w:t>*</w:t>
      </w:r>
      <w:bookmarkStart w:id="35" w:name="_Hlk76459712"/>
      <w:bookmarkStart w:id="36" w:name="_Hlk69114350"/>
      <w:bookmarkEnd w:id="35"/>
      <w:bookmarkEnd w:id="36"/>
    </w:p>
    <w:p w14:paraId="310F0072" w14:textId="02146B72" w:rsidR="00975BB5" w:rsidRPr="00A84A5B" w:rsidRDefault="004F289F" w:rsidP="004F289F">
      <w:pPr>
        <w:pStyle w:val="ZZAnxtitle"/>
        <w:spacing w:after="200"/>
        <w:rPr>
          <w:lang w:val="es-ES_tradnl"/>
        </w:rPr>
        <w:sectPr w:rsidR="00975BB5" w:rsidRPr="00A84A5B" w:rsidSect="008720BF">
          <w:headerReference w:type="even" r:id="rId13"/>
          <w:headerReference w:type="default" r:id="rId14"/>
          <w:footerReference w:type="even" r:id="rId15"/>
          <w:footerReference w:type="default" r:id="rId16"/>
          <w:footerReference w:type="first" r:id="rId17"/>
          <w:type w:val="continuous"/>
          <w:pgSz w:w="11907" w:h="16839"/>
          <w:pgMar w:top="907" w:right="992" w:bottom="1418" w:left="1418" w:header="539" w:footer="975" w:gutter="0"/>
          <w:cols w:space="708"/>
          <w:titlePg/>
          <w:docGrid w:linePitch="360"/>
        </w:sectPr>
      </w:pPr>
      <w:r w:rsidRPr="00A84A5B">
        <w:rPr>
          <w:lang w:val="es-ES_tradnl"/>
        </w:rPr>
        <w:t>List</w:t>
      </w:r>
      <w:r w:rsidR="00121698" w:rsidRPr="00A84A5B">
        <w:rPr>
          <w:lang w:val="es-ES_tradnl"/>
        </w:rPr>
        <w:t>a de</w:t>
      </w:r>
      <w:r w:rsidRPr="00A84A5B">
        <w:rPr>
          <w:lang w:val="es-ES_tradnl"/>
        </w:rPr>
        <w:t xml:space="preserve"> participant</w:t>
      </w:r>
      <w:r w:rsidR="00121698" w:rsidRPr="00A84A5B">
        <w:rPr>
          <w:lang w:val="es-ES_tradnl"/>
        </w:rPr>
        <w:t>e</w:t>
      </w:r>
      <w:r w:rsidRPr="00A84A5B">
        <w:rPr>
          <w:lang w:val="es-ES_tradnl"/>
        </w:rPr>
        <w:t>s</w:t>
      </w:r>
    </w:p>
    <w:p w14:paraId="2A0685ED" w14:textId="77777777" w:rsidR="00E13C2C" w:rsidRPr="00A84A5B" w:rsidRDefault="00E13C2C" w:rsidP="00E13C2C">
      <w:pPr>
        <w:pStyle w:val="CH2"/>
        <w:tabs>
          <w:tab w:val="clear" w:pos="1871"/>
          <w:tab w:val="clear" w:pos="2495"/>
          <w:tab w:val="clear" w:pos="3119"/>
          <w:tab w:val="clear" w:pos="3742"/>
          <w:tab w:val="clear" w:pos="4366"/>
          <w:tab w:val="clear" w:pos="4990"/>
          <w:tab w:val="left" w:pos="1814"/>
          <w:tab w:val="left" w:pos="2381"/>
          <w:tab w:val="left" w:pos="2948"/>
          <w:tab w:val="left" w:pos="3515"/>
          <w:tab w:val="left" w:pos="4082"/>
        </w:tabs>
        <w:ind w:right="284"/>
        <w:rPr>
          <w:lang w:val="es-ES_tradnl"/>
        </w:rPr>
      </w:pPr>
      <w:r w:rsidRPr="00A84A5B">
        <w:rPr>
          <w:lang w:val="es-ES_tradnl"/>
        </w:rPr>
        <w:tab/>
      </w:r>
      <w:r w:rsidRPr="00A84A5B">
        <w:rPr>
          <w:lang w:val="es-ES_tradnl"/>
        </w:rPr>
        <w:tab/>
      </w:r>
      <w:r w:rsidRPr="00A84A5B">
        <w:rPr>
          <w:bCs/>
          <w:lang w:val="es-ES_tradnl"/>
        </w:rPr>
        <w:t>Miembros del Comité de Aplicación</w:t>
      </w:r>
    </w:p>
    <w:p w14:paraId="56844257" w14:textId="77777777" w:rsidR="00C67BBE" w:rsidRPr="00A84A5B" w:rsidRDefault="00C67BBE" w:rsidP="00E13C2C">
      <w:pPr>
        <w:pStyle w:val="CH3"/>
        <w:keepNext w:val="0"/>
        <w:keepLines w:val="0"/>
        <w:tabs>
          <w:tab w:val="clear" w:pos="4990"/>
        </w:tabs>
        <w:spacing w:before="120"/>
        <w:ind w:left="2494" w:right="284"/>
        <w:rPr>
          <w:lang w:val="es-ES_tradnl"/>
        </w:rPr>
        <w:sectPr w:rsidR="00C67BBE" w:rsidRPr="00A84A5B" w:rsidSect="008720BF">
          <w:type w:val="continuous"/>
          <w:pgSz w:w="11907" w:h="16839"/>
          <w:pgMar w:top="907" w:right="992" w:bottom="1418" w:left="1418" w:header="539" w:footer="975" w:gutter="0"/>
          <w:cols w:space="708"/>
          <w:docGrid w:linePitch="360"/>
        </w:sectPr>
      </w:pPr>
    </w:p>
    <w:p w14:paraId="283DF6DD" w14:textId="77777777" w:rsidR="00A01F84" w:rsidRPr="00A84A5B" w:rsidRDefault="00A01F84" w:rsidP="00A01F84">
      <w:pPr>
        <w:pStyle w:val="CH3"/>
        <w:keepNext w:val="0"/>
        <w:keepLines w:val="0"/>
        <w:tabs>
          <w:tab w:val="clear" w:pos="4990"/>
        </w:tabs>
        <w:spacing w:before="120"/>
        <w:ind w:right="284" w:firstLine="0"/>
        <w:rPr>
          <w:lang w:val="es-ES_tradnl"/>
        </w:rPr>
      </w:pPr>
      <w:r w:rsidRPr="00A84A5B">
        <w:rPr>
          <w:bCs/>
          <w:lang w:val="es-ES_tradnl"/>
        </w:rPr>
        <w:t>Arabia Saudita</w:t>
      </w:r>
    </w:p>
    <w:p w14:paraId="0DD7C4C5" w14:textId="06E8FFCF" w:rsidR="00344CD2" w:rsidRPr="008353E4" w:rsidRDefault="00A01F84" w:rsidP="00A01F84">
      <w:pPr>
        <w:spacing w:after="120"/>
        <w:ind w:left="1247"/>
        <w:rPr>
          <w:lang w:val="es-ES_tradnl"/>
        </w:rPr>
      </w:pPr>
      <w:r w:rsidRPr="00A84A5B">
        <w:rPr>
          <w:lang w:val="es-ES_tradnl"/>
        </w:rPr>
        <w:t>Ali Tumayhi</w:t>
      </w:r>
      <w:r w:rsidRPr="00A84A5B">
        <w:rPr>
          <w:lang w:val="es-ES_tradnl"/>
        </w:rPr>
        <w:br/>
      </w:r>
      <w:proofErr w:type="gramStart"/>
      <w:r w:rsidRPr="00A84A5B">
        <w:rPr>
          <w:lang w:val="es-ES_tradnl"/>
        </w:rPr>
        <w:t>Director</w:t>
      </w:r>
      <w:proofErr w:type="gramEnd"/>
      <w:r w:rsidRPr="00A84A5B">
        <w:rPr>
          <w:lang w:val="es-ES_tradnl"/>
        </w:rPr>
        <w:t>/National Ozone Officer</w:t>
      </w:r>
      <w:r w:rsidRPr="00A84A5B">
        <w:rPr>
          <w:lang w:val="es-ES_tradnl"/>
        </w:rPr>
        <w:br/>
        <w:t>National Ozone Unit</w:t>
      </w:r>
      <w:r w:rsidRPr="00A84A5B">
        <w:rPr>
          <w:lang w:val="es-ES_tradnl"/>
        </w:rPr>
        <w:br/>
        <w:t xml:space="preserve">National Center for </w:t>
      </w:r>
      <w:proofErr w:type="spellStart"/>
      <w:r w:rsidRPr="00A84A5B">
        <w:rPr>
          <w:lang w:val="es-ES_tradnl"/>
        </w:rPr>
        <w:t>Environmental</w:t>
      </w:r>
      <w:proofErr w:type="spellEnd"/>
      <w:r w:rsidRPr="00A84A5B">
        <w:rPr>
          <w:lang w:val="es-ES_tradnl"/>
        </w:rPr>
        <w:t xml:space="preserve"> </w:t>
      </w:r>
      <w:proofErr w:type="spellStart"/>
      <w:r w:rsidRPr="00A84A5B">
        <w:rPr>
          <w:lang w:val="es-ES_tradnl"/>
        </w:rPr>
        <w:t>Compliance</w:t>
      </w:r>
      <w:proofErr w:type="spellEnd"/>
      <w:r w:rsidRPr="00A84A5B">
        <w:rPr>
          <w:lang w:val="es-ES_tradnl"/>
        </w:rPr>
        <w:br/>
        <w:t>Riyadh</w:t>
      </w:r>
      <w:r w:rsidRPr="00A84A5B">
        <w:rPr>
          <w:lang w:val="es-ES_tradnl"/>
        </w:rPr>
        <w:br/>
        <w:t>Arabia Saudita</w:t>
      </w:r>
      <w:r w:rsidRPr="00A84A5B">
        <w:rPr>
          <w:lang w:val="es-ES_tradnl"/>
        </w:rPr>
        <w:br/>
        <w:t xml:space="preserve">Correo electrónico: </w:t>
      </w:r>
      <w:hyperlink r:id="rId18" w:history="1">
        <w:r w:rsidRPr="00A84A5B">
          <w:rPr>
            <w:rStyle w:val="Hyperlink"/>
            <w:color w:val="0000FF"/>
            <w:lang w:val="es-ES_tradnl"/>
          </w:rPr>
          <w:t>a.tumayhi@ncec.gov.sa</w:t>
        </w:r>
      </w:hyperlink>
    </w:p>
    <w:p w14:paraId="29A45FC9" w14:textId="33AA6AA9" w:rsidR="00344CD2" w:rsidRPr="00A84A5B" w:rsidRDefault="00344CD2" w:rsidP="00344CD2">
      <w:pPr>
        <w:ind w:left="1247"/>
        <w:rPr>
          <w:lang w:val="es-ES_tradnl"/>
        </w:rPr>
      </w:pPr>
      <w:r w:rsidRPr="00A84A5B">
        <w:rPr>
          <w:lang w:val="es-ES_tradnl"/>
        </w:rPr>
        <w:t>Majed Abdulrahman Almufadda</w:t>
      </w:r>
    </w:p>
    <w:p w14:paraId="21FB5E90" w14:textId="3AAEA764" w:rsidR="00344CD2" w:rsidRPr="00A84A5B" w:rsidRDefault="00344CD2" w:rsidP="00344CD2">
      <w:pPr>
        <w:ind w:left="1247"/>
        <w:rPr>
          <w:bCs/>
          <w:lang w:val="es-ES_tradnl"/>
        </w:rPr>
      </w:pPr>
      <w:r w:rsidRPr="00A84A5B">
        <w:rPr>
          <w:lang w:val="es-ES_tradnl"/>
        </w:rPr>
        <w:t>General Manager</w:t>
      </w:r>
      <w:r w:rsidRPr="00A84A5B">
        <w:rPr>
          <w:lang w:val="es-ES_tradnl"/>
        </w:rPr>
        <w:br/>
        <w:t xml:space="preserve">Ozone and Chemical </w:t>
      </w:r>
      <w:proofErr w:type="spellStart"/>
      <w:r w:rsidRPr="00A84A5B">
        <w:rPr>
          <w:lang w:val="es-ES_tradnl"/>
        </w:rPr>
        <w:t>Department</w:t>
      </w:r>
      <w:proofErr w:type="spellEnd"/>
      <w:r w:rsidRPr="00A84A5B">
        <w:rPr>
          <w:lang w:val="es-ES_tradnl"/>
        </w:rPr>
        <w:br/>
        <w:t xml:space="preserve">National Center for </w:t>
      </w:r>
      <w:proofErr w:type="spellStart"/>
      <w:r w:rsidRPr="00A84A5B">
        <w:rPr>
          <w:lang w:val="es-ES_tradnl"/>
        </w:rPr>
        <w:t>Environmental</w:t>
      </w:r>
      <w:proofErr w:type="spellEnd"/>
      <w:r w:rsidRPr="00A84A5B">
        <w:rPr>
          <w:lang w:val="es-ES_tradnl"/>
        </w:rPr>
        <w:br/>
      </w:r>
      <w:proofErr w:type="spellStart"/>
      <w:r w:rsidRPr="00A84A5B">
        <w:rPr>
          <w:lang w:val="es-ES_tradnl"/>
        </w:rPr>
        <w:t>Compliance</w:t>
      </w:r>
      <w:proofErr w:type="spellEnd"/>
      <w:r w:rsidRPr="00A84A5B">
        <w:rPr>
          <w:lang w:val="es-ES_tradnl"/>
        </w:rPr>
        <w:br/>
        <w:t>Riyadh 1324</w:t>
      </w:r>
      <w:r w:rsidRPr="00A84A5B">
        <w:rPr>
          <w:lang w:val="es-ES_tradnl"/>
        </w:rPr>
        <w:br/>
        <w:t>Arabia Saudita</w:t>
      </w:r>
      <w:r w:rsidRPr="00A84A5B">
        <w:rPr>
          <w:lang w:val="es-ES_tradnl"/>
        </w:rPr>
        <w:br/>
        <w:t xml:space="preserve">Correo electrónico: </w:t>
      </w:r>
      <w:hyperlink r:id="rId19" w:history="1">
        <w:r w:rsidRPr="00462C98">
          <w:rPr>
            <w:rStyle w:val="Hyperlink"/>
            <w:color w:val="0000FF"/>
            <w:lang w:val="es-ES_tradnl"/>
          </w:rPr>
          <w:t>malmufadda@ncec.gov.sa</w:t>
        </w:r>
      </w:hyperlink>
      <w:hyperlink r:id="rId20" w:history="1"/>
    </w:p>
    <w:p w14:paraId="573D08ED" w14:textId="03F34081" w:rsidR="004F289F" w:rsidRPr="00A84A5B" w:rsidRDefault="008D5A91" w:rsidP="00C67BBE">
      <w:pPr>
        <w:pStyle w:val="CH3"/>
        <w:keepNext w:val="0"/>
        <w:keepLines w:val="0"/>
        <w:tabs>
          <w:tab w:val="clear" w:pos="4990"/>
        </w:tabs>
        <w:spacing w:before="120"/>
        <w:ind w:right="284" w:firstLine="0"/>
        <w:rPr>
          <w:lang w:val="es-ES_tradnl"/>
        </w:rPr>
      </w:pPr>
      <w:r w:rsidRPr="00A84A5B">
        <w:rPr>
          <w:bCs/>
          <w:lang w:val="es-ES_tradnl"/>
        </w:rPr>
        <w:t>Benin</w:t>
      </w:r>
    </w:p>
    <w:p w14:paraId="2D3B43D7" w14:textId="4179179C" w:rsidR="00A158C8" w:rsidRPr="00A84A5B" w:rsidRDefault="008D5A91" w:rsidP="00E13C2C">
      <w:pPr>
        <w:ind w:left="1247"/>
        <w:rPr>
          <w:lang w:val="es-ES_tradnl"/>
        </w:rPr>
      </w:pPr>
      <w:r w:rsidRPr="00A84A5B">
        <w:rPr>
          <w:lang w:val="es-ES_tradnl"/>
        </w:rPr>
        <w:t xml:space="preserve">Yvette Gauthe </w:t>
      </w:r>
      <w:proofErr w:type="spellStart"/>
      <w:r w:rsidRPr="00A84A5B">
        <w:rPr>
          <w:lang w:val="es-ES_tradnl"/>
        </w:rPr>
        <w:t>Epouse</w:t>
      </w:r>
      <w:proofErr w:type="spellEnd"/>
      <w:r w:rsidRPr="00A84A5B">
        <w:rPr>
          <w:lang w:val="es-ES_tradnl"/>
        </w:rPr>
        <w:t xml:space="preserve"> </w:t>
      </w:r>
      <w:proofErr w:type="spellStart"/>
      <w:r w:rsidRPr="00A84A5B">
        <w:rPr>
          <w:lang w:val="es-ES_tradnl"/>
        </w:rPr>
        <w:t>Boko</w:t>
      </w:r>
      <w:proofErr w:type="spellEnd"/>
      <w:r w:rsidR="00AF7CEF" w:rsidRPr="00A84A5B">
        <w:rPr>
          <w:lang w:val="es-ES_tradnl"/>
        </w:rPr>
        <w:br/>
      </w:r>
      <w:r w:rsidRPr="00A84A5B">
        <w:rPr>
          <w:lang w:val="es-ES_tradnl"/>
        </w:rPr>
        <w:t xml:space="preserve">Point Focal </w:t>
      </w:r>
      <w:proofErr w:type="spellStart"/>
      <w:r w:rsidRPr="00A84A5B">
        <w:rPr>
          <w:lang w:val="es-ES_tradnl"/>
        </w:rPr>
        <w:t>Titulaire</w:t>
      </w:r>
      <w:proofErr w:type="spellEnd"/>
      <w:r w:rsidR="00AF7CEF" w:rsidRPr="00A84A5B">
        <w:rPr>
          <w:lang w:val="es-ES_tradnl"/>
        </w:rPr>
        <w:br/>
      </w:r>
      <w:r w:rsidRPr="00A84A5B">
        <w:rPr>
          <w:lang w:val="es-ES_tradnl"/>
        </w:rPr>
        <w:t xml:space="preserve">Direction Generale de </w:t>
      </w:r>
      <w:proofErr w:type="spellStart"/>
      <w:r w:rsidRPr="00A84A5B">
        <w:rPr>
          <w:lang w:val="es-ES_tradnl"/>
        </w:rPr>
        <w:t>I'Environnement</w:t>
      </w:r>
      <w:proofErr w:type="spellEnd"/>
      <w:r w:rsidRPr="00A84A5B">
        <w:rPr>
          <w:lang w:val="es-ES_tradnl"/>
        </w:rPr>
        <w:t xml:space="preserve"> et du </w:t>
      </w:r>
      <w:proofErr w:type="spellStart"/>
      <w:r w:rsidRPr="00A84A5B">
        <w:rPr>
          <w:lang w:val="es-ES_tradnl"/>
        </w:rPr>
        <w:t>Climat</w:t>
      </w:r>
      <w:proofErr w:type="spellEnd"/>
      <w:r w:rsidR="00AF7CEF" w:rsidRPr="00A84A5B">
        <w:rPr>
          <w:lang w:val="es-ES_tradnl"/>
        </w:rPr>
        <w:br/>
      </w:r>
      <w:proofErr w:type="spellStart"/>
      <w:r w:rsidRPr="00A84A5B">
        <w:rPr>
          <w:lang w:val="es-ES_tradnl"/>
        </w:rPr>
        <w:t>Ministère</w:t>
      </w:r>
      <w:proofErr w:type="spellEnd"/>
      <w:r w:rsidRPr="00A84A5B">
        <w:rPr>
          <w:lang w:val="es-ES_tradnl"/>
        </w:rPr>
        <w:t xml:space="preserve"> du Cadre de Vie et des </w:t>
      </w:r>
      <w:proofErr w:type="spellStart"/>
      <w:r w:rsidRPr="00A84A5B">
        <w:rPr>
          <w:lang w:val="es-ES_tradnl"/>
        </w:rPr>
        <w:t>Transports</w:t>
      </w:r>
      <w:proofErr w:type="spellEnd"/>
      <w:r w:rsidRPr="00A84A5B">
        <w:rPr>
          <w:lang w:val="es-ES_tradnl"/>
        </w:rPr>
        <w:t xml:space="preserve"> en </w:t>
      </w:r>
      <w:proofErr w:type="spellStart"/>
      <w:r w:rsidRPr="00A84A5B">
        <w:rPr>
          <w:lang w:val="es-ES_tradnl"/>
        </w:rPr>
        <w:t>charge</w:t>
      </w:r>
      <w:proofErr w:type="spellEnd"/>
      <w:r w:rsidRPr="00A84A5B">
        <w:rPr>
          <w:lang w:val="es-ES_tradnl"/>
        </w:rPr>
        <w:t xml:space="preserve"> du </w:t>
      </w:r>
      <w:proofErr w:type="spellStart"/>
      <w:r w:rsidRPr="00A84A5B">
        <w:rPr>
          <w:lang w:val="es-ES_tradnl"/>
        </w:rPr>
        <w:t>Développement</w:t>
      </w:r>
      <w:proofErr w:type="spellEnd"/>
      <w:r w:rsidRPr="00A84A5B">
        <w:rPr>
          <w:lang w:val="es-ES_tradnl"/>
        </w:rPr>
        <w:t xml:space="preserve"> Durable</w:t>
      </w:r>
      <w:r w:rsidR="00AF7CEF" w:rsidRPr="00A84A5B">
        <w:rPr>
          <w:lang w:val="es-ES_tradnl"/>
        </w:rPr>
        <w:br/>
      </w:r>
      <w:r w:rsidRPr="00A84A5B">
        <w:rPr>
          <w:lang w:val="es-ES_tradnl"/>
        </w:rPr>
        <w:t>Cotonou</w:t>
      </w:r>
      <w:r w:rsidR="00AF7CEF" w:rsidRPr="00A84A5B">
        <w:rPr>
          <w:lang w:val="es-ES_tradnl"/>
        </w:rPr>
        <w:br/>
      </w:r>
      <w:r w:rsidRPr="00A84A5B">
        <w:rPr>
          <w:lang w:val="es-ES_tradnl"/>
        </w:rPr>
        <w:t>Benin</w:t>
      </w:r>
      <w:r w:rsidR="00AF7CEF" w:rsidRPr="00A84A5B">
        <w:rPr>
          <w:lang w:val="es-ES_tradnl"/>
        </w:rPr>
        <w:br/>
      </w:r>
      <w:r w:rsidRPr="00A84A5B">
        <w:rPr>
          <w:lang w:val="es-ES_tradnl"/>
        </w:rPr>
        <w:t xml:space="preserve">Correo electrónico: </w:t>
      </w:r>
      <w:hyperlink r:id="rId21" w:history="1">
        <w:r w:rsidR="003D3A20" w:rsidRPr="00A84A5B">
          <w:rPr>
            <w:rStyle w:val="Hyperlink"/>
            <w:color w:val="0000FF"/>
            <w:lang w:val="es-ES_tradnl"/>
          </w:rPr>
          <w:t>yvettegauthe@yahoo.fr</w:t>
        </w:r>
      </w:hyperlink>
      <w:hyperlink r:id="rId22" w:history="1"/>
    </w:p>
    <w:bookmarkEnd w:id="34"/>
    <w:p w14:paraId="4041C3FB" w14:textId="77777777" w:rsidR="008D5A91" w:rsidRPr="00A84A5B" w:rsidRDefault="008D5A91" w:rsidP="00C67BBE">
      <w:pPr>
        <w:pStyle w:val="CH3"/>
        <w:keepNext w:val="0"/>
        <w:keepLines w:val="0"/>
        <w:tabs>
          <w:tab w:val="clear" w:pos="4990"/>
        </w:tabs>
        <w:spacing w:before="120"/>
        <w:ind w:right="284" w:firstLine="0"/>
        <w:rPr>
          <w:lang w:val="es-ES_tradnl"/>
        </w:rPr>
      </w:pPr>
      <w:r w:rsidRPr="00A84A5B">
        <w:rPr>
          <w:bCs/>
          <w:lang w:val="es-ES_tradnl"/>
        </w:rPr>
        <w:t>Chile</w:t>
      </w:r>
    </w:p>
    <w:p w14:paraId="250D296D" w14:textId="12CDE6C9" w:rsidR="000B65B8" w:rsidRPr="00A84A5B" w:rsidRDefault="008D5A91" w:rsidP="00655C62">
      <w:pPr>
        <w:spacing w:after="120"/>
        <w:ind w:left="1247"/>
        <w:rPr>
          <w:lang w:val="es-ES_tradnl"/>
        </w:rPr>
      </w:pPr>
      <w:r w:rsidRPr="00A84A5B">
        <w:rPr>
          <w:lang w:val="es-ES_tradnl"/>
        </w:rPr>
        <w:t xml:space="preserve">Excmo. Sr. Patricio Aguirre Embajador, Representante Permanente ante </w:t>
      </w:r>
      <w:r w:rsidR="003907CA" w:rsidRPr="00A84A5B">
        <w:rPr>
          <w:lang w:val="es-ES_tradnl"/>
        </w:rPr>
        <w:t>ONU Ambiente</w:t>
      </w:r>
      <w:r w:rsidR="003907CA" w:rsidRPr="00A84A5B">
        <w:rPr>
          <w:lang w:val="es-ES_tradnl"/>
        </w:rPr>
        <w:br/>
      </w:r>
      <w:r w:rsidRPr="00A84A5B">
        <w:rPr>
          <w:lang w:val="es-ES_tradnl"/>
        </w:rPr>
        <w:t>Embajada de Chile en Kenya</w:t>
      </w:r>
      <w:r w:rsidR="003907CA" w:rsidRPr="00A84A5B">
        <w:rPr>
          <w:lang w:val="es-ES_tradnl"/>
        </w:rPr>
        <w:br/>
      </w:r>
      <w:r w:rsidRPr="00A84A5B">
        <w:rPr>
          <w:lang w:val="es-ES_tradnl"/>
        </w:rPr>
        <w:t>Ministerio de Relaciones Exteriores</w:t>
      </w:r>
      <w:r w:rsidR="003907CA" w:rsidRPr="00A84A5B">
        <w:rPr>
          <w:lang w:val="es-ES_tradnl"/>
        </w:rPr>
        <w:br/>
      </w:r>
      <w:r w:rsidRPr="00A84A5B">
        <w:rPr>
          <w:lang w:val="es-ES_tradnl"/>
        </w:rPr>
        <w:t>Nairobi</w:t>
      </w:r>
      <w:r w:rsidR="00AF7CEF" w:rsidRPr="00A84A5B">
        <w:rPr>
          <w:lang w:val="es-ES_tradnl"/>
        </w:rPr>
        <w:br/>
      </w:r>
      <w:r w:rsidR="00344CD2">
        <w:rPr>
          <w:lang w:val="es-ES_tradnl"/>
        </w:rPr>
        <w:t>Kenya</w:t>
      </w:r>
      <w:r w:rsidR="00AF7CEF" w:rsidRPr="00A84A5B">
        <w:rPr>
          <w:lang w:val="es-ES_tradnl"/>
        </w:rPr>
        <w:br/>
      </w:r>
      <w:r w:rsidRPr="00A84A5B">
        <w:rPr>
          <w:lang w:val="es-ES_tradnl"/>
        </w:rPr>
        <w:t xml:space="preserve">Correo electrónico: </w:t>
      </w:r>
      <w:hyperlink r:id="rId23" w:history="1">
        <w:r w:rsidR="004F54FE" w:rsidRPr="00A84A5B">
          <w:rPr>
            <w:rStyle w:val="Hyperlink"/>
            <w:color w:val="0000FF"/>
            <w:lang w:val="es-ES_tradnl"/>
          </w:rPr>
          <w:t>paguirrev@minrel.gob.cl</w:t>
        </w:r>
      </w:hyperlink>
      <w:hyperlink r:id="rId24" w:history="1"/>
    </w:p>
    <w:p w14:paraId="30672EE9" w14:textId="5D8B979B" w:rsidR="00AE19FC" w:rsidRPr="00A84A5B" w:rsidRDefault="008D5A91" w:rsidP="00AE19FC">
      <w:pPr>
        <w:ind w:left="1247"/>
        <w:rPr>
          <w:bCs/>
          <w:lang w:val="es-ES_tradnl"/>
        </w:rPr>
      </w:pPr>
      <w:r w:rsidRPr="00A84A5B">
        <w:rPr>
          <w:lang w:val="es-ES_tradnl"/>
        </w:rPr>
        <w:t>Claudia Paratori Cortés Coordinadora de la Dependencia del Ozono</w:t>
      </w:r>
      <w:r w:rsidR="004F54FE" w:rsidRPr="00A84A5B">
        <w:rPr>
          <w:lang w:val="es-ES_tradnl"/>
        </w:rPr>
        <w:br/>
      </w:r>
      <w:r w:rsidRPr="00A84A5B">
        <w:rPr>
          <w:lang w:val="es-ES_tradnl"/>
        </w:rPr>
        <w:t>División de Cambio Climático</w:t>
      </w:r>
      <w:r w:rsidR="004F54FE" w:rsidRPr="00A84A5B">
        <w:rPr>
          <w:lang w:val="es-ES_tradnl"/>
        </w:rPr>
        <w:br/>
      </w:r>
      <w:r w:rsidRPr="00A84A5B">
        <w:rPr>
          <w:lang w:val="es-ES_tradnl"/>
        </w:rPr>
        <w:t>Ministerio del Medio Ambiente</w:t>
      </w:r>
      <w:r w:rsidR="004F54FE" w:rsidRPr="00A84A5B">
        <w:rPr>
          <w:lang w:val="es-ES_tradnl"/>
        </w:rPr>
        <w:br/>
      </w:r>
      <w:r w:rsidRPr="00A84A5B">
        <w:rPr>
          <w:lang w:val="es-ES_tradnl"/>
        </w:rPr>
        <w:t>Santiago</w:t>
      </w:r>
      <w:r w:rsidR="004F54FE" w:rsidRPr="00A84A5B">
        <w:rPr>
          <w:lang w:val="es-ES_tradnl"/>
        </w:rPr>
        <w:br/>
      </w:r>
      <w:r w:rsidRPr="00A84A5B">
        <w:rPr>
          <w:lang w:val="es-ES_tradnl"/>
        </w:rPr>
        <w:t>Chile</w:t>
      </w:r>
      <w:r w:rsidR="004F54FE" w:rsidRPr="00A84A5B">
        <w:rPr>
          <w:lang w:val="es-ES_tradnl"/>
        </w:rPr>
        <w:br/>
      </w:r>
      <w:r w:rsidRPr="00A84A5B">
        <w:rPr>
          <w:lang w:val="es-ES_tradnl"/>
        </w:rPr>
        <w:t xml:space="preserve">Correo electrónico: </w:t>
      </w:r>
      <w:hyperlink r:id="rId25" w:history="1">
        <w:r w:rsidR="00AE19FC" w:rsidRPr="00A84A5B">
          <w:rPr>
            <w:rStyle w:val="Hyperlink"/>
            <w:color w:val="0000FF"/>
            <w:lang w:val="es-ES_tradnl"/>
          </w:rPr>
          <w:t>cparatori@mma.gob.cl</w:t>
        </w:r>
      </w:hyperlink>
    </w:p>
    <w:p w14:paraId="0EFCE52E" w14:textId="6AD85CD2" w:rsidR="008D5A91" w:rsidRPr="00A84A5B" w:rsidRDefault="008D5A91" w:rsidP="00C67BBE">
      <w:pPr>
        <w:pStyle w:val="CH3"/>
        <w:keepNext w:val="0"/>
        <w:keepLines w:val="0"/>
        <w:tabs>
          <w:tab w:val="clear" w:pos="4990"/>
        </w:tabs>
        <w:spacing w:before="120"/>
        <w:ind w:right="284" w:firstLine="0"/>
        <w:rPr>
          <w:lang w:val="es-ES_tradnl"/>
        </w:rPr>
      </w:pPr>
      <w:r w:rsidRPr="00A84A5B">
        <w:rPr>
          <w:bCs/>
          <w:lang w:val="es-ES_tradnl"/>
        </w:rPr>
        <w:t>Chequia</w:t>
      </w:r>
    </w:p>
    <w:p w14:paraId="1ED525D4" w14:textId="2BCAB3A8" w:rsidR="003D5B10" w:rsidRPr="00A84A5B" w:rsidRDefault="008D5A91" w:rsidP="00E13C2C">
      <w:pPr>
        <w:ind w:left="1247"/>
        <w:rPr>
          <w:bCs/>
          <w:lang w:val="es-ES_tradnl"/>
        </w:rPr>
      </w:pPr>
      <w:r w:rsidRPr="00A84A5B">
        <w:rPr>
          <w:lang w:val="es-ES_tradnl"/>
        </w:rPr>
        <w:t>Matěj Mrlina</w:t>
      </w:r>
      <w:r w:rsidR="006D50FF" w:rsidRPr="00A84A5B">
        <w:rPr>
          <w:lang w:val="es-ES_tradnl"/>
        </w:rPr>
        <w:br/>
      </w:r>
      <w:proofErr w:type="gramStart"/>
      <w:r w:rsidRPr="00A84A5B">
        <w:rPr>
          <w:lang w:val="es-ES_tradnl"/>
        </w:rPr>
        <w:t>Director</w:t>
      </w:r>
      <w:proofErr w:type="gramEnd"/>
      <w:r w:rsidR="006D50FF" w:rsidRPr="00A84A5B">
        <w:rPr>
          <w:lang w:val="es-ES_tradnl"/>
        </w:rPr>
        <w:br/>
      </w:r>
      <w:proofErr w:type="spellStart"/>
      <w:r w:rsidRPr="00A84A5B">
        <w:rPr>
          <w:lang w:val="es-ES_tradnl"/>
        </w:rPr>
        <w:t>Internal</w:t>
      </w:r>
      <w:proofErr w:type="spellEnd"/>
      <w:r w:rsidRPr="00A84A5B">
        <w:rPr>
          <w:lang w:val="es-ES_tradnl"/>
        </w:rPr>
        <w:t xml:space="preserve"> </w:t>
      </w:r>
      <w:proofErr w:type="spellStart"/>
      <w:r w:rsidRPr="00A84A5B">
        <w:rPr>
          <w:lang w:val="es-ES_tradnl"/>
        </w:rPr>
        <w:t>Services</w:t>
      </w:r>
      <w:proofErr w:type="spellEnd"/>
      <w:r w:rsidRPr="00A84A5B">
        <w:rPr>
          <w:lang w:val="es-ES_tradnl"/>
        </w:rPr>
        <w:t xml:space="preserve"> </w:t>
      </w:r>
      <w:proofErr w:type="spellStart"/>
      <w:r w:rsidRPr="00A84A5B">
        <w:rPr>
          <w:lang w:val="es-ES_tradnl"/>
        </w:rPr>
        <w:t>Department</w:t>
      </w:r>
      <w:proofErr w:type="spellEnd"/>
      <w:r w:rsidR="006D50FF" w:rsidRPr="00A84A5B">
        <w:rPr>
          <w:lang w:val="es-ES_tradnl"/>
        </w:rPr>
        <w:br/>
      </w:r>
      <w:r w:rsidRPr="00A84A5B">
        <w:rPr>
          <w:lang w:val="es-ES_tradnl"/>
        </w:rPr>
        <w:t xml:space="preserve">Czech </w:t>
      </w:r>
      <w:proofErr w:type="spellStart"/>
      <w:r w:rsidRPr="00A84A5B">
        <w:rPr>
          <w:lang w:val="es-ES_tradnl"/>
        </w:rPr>
        <w:t>Environmental</w:t>
      </w:r>
      <w:proofErr w:type="spellEnd"/>
      <w:r w:rsidRPr="00A84A5B">
        <w:rPr>
          <w:lang w:val="es-ES_tradnl"/>
        </w:rPr>
        <w:t xml:space="preserve"> </w:t>
      </w:r>
      <w:proofErr w:type="spellStart"/>
      <w:r w:rsidRPr="00A84A5B">
        <w:rPr>
          <w:lang w:val="es-ES_tradnl"/>
        </w:rPr>
        <w:t>Inspectorate</w:t>
      </w:r>
      <w:proofErr w:type="spellEnd"/>
      <w:r w:rsidR="006D50FF" w:rsidRPr="00A84A5B">
        <w:rPr>
          <w:lang w:val="es-ES_tradnl"/>
        </w:rPr>
        <w:br/>
      </w:r>
      <w:r w:rsidRPr="00A84A5B">
        <w:rPr>
          <w:lang w:val="es-ES_tradnl"/>
        </w:rPr>
        <w:t>República Checa</w:t>
      </w:r>
      <w:r w:rsidR="006D50FF" w:rsidRPr="00A84A5B">
        <w:rPr>
          <w:lang w:val="es-ES_tradnl"/>
        </w:rPr>
        <w:br/>
      </w:r>
      <w:r w:rsidRPr="00A84A5B">
        <w:rPr>
          <w:lang w:val="es-ES_tradnl"/>
        </w:rPr>
        <w:t xml:space="preserve">Correo electrónico: </w:t>
      </w:r>
      <w:hyperlink r:id="rId26" w:history="1">
        <w:r w:rsidR="000F6436" w:rsidRPr="00A84A5B">
          <w:rPr>
            <w:rStyle w:val="Hyperlink"/>
            <w:color w:val="0000FF"/>
            <w:lang w:val="es-ES_tradnl"/>
          </w:rPr>
          <w:t>matej.mrlina@cizp.gov.cz</w:t>
        </w:r>
      </w:hyperlink>
      <w:hyperlink r:id="rId27" w:history="1"/>
    </w:p>
    <w:p w14:paraId="307FCE29" w14:textId="77777777" w:rsidR="00A01F84" w:rsidRPr="00A84A5B" w:rsidRDefault="00A01F84" w:rsidP="00A01F84">
      <w:pPr>
        <w:pStyle w:val="CH3"/>
        <w:keepNext w:val="0"/>
        <w:keepLines w:val="0"/>
        <w:tabs>
          <w:tab w:val="clear" w:pos="4990"/>
        </w:tabs>
        <w:spacing w:before="120"/>
        <w:ind w:right="284" w:firstLine="0"/>
        <w:rPr>
          <w:lang w:val="es-ES_tradnl"/>
        </w:rPr>
      </w:pPr>
      <w:r w:rsidRPr="00A84A5B">
        <w:rPr>
          <w:bCs/>
          <w:lang w:val="es-ES_tradnl"/>
        </w:rPr>
        <w:t>Estados Unidos de América</w:t>
      </w:r>
    </w:p>
    <w:p w14:paraId="3214D7BB" w14:textId="017C425D" w:rsidR="00A01F84" w:rsidRPr="00A84A5B" w:rsidRDefault="00A01F84" w:rsidP="00A01F84">
      <w:pPr>
        <w:ind w:left="1247"/>
        <w:rPr>
          <w:bCs/>
          <w:lang w:val="es-ES_tradnl"/>
        </w:rPr>
      </w:pPr>
      <w:r w:rsidRPr="00A84A5B">
        <w:rPr>
          <w:lang w:val="es-ES_tradnl"/>
        </w:rPr>
        <w:t>Karen Bianco</w:t>
      </w:r>
      <w:r w:rsidRPr="00A84A5B">
        <w:rPr>
          <w:lang w:val="es-ES_tradnl"/>
        </w:rPr>
        <w:br/>
      </w:r>
      <w:proofErr w:type="spellStart"/>
      <w:r w:rsidRPr="00A84A5B">
        <w:rPr>
          <w:lang w:val="es-ES_tradnl"/>
        </w:rPr>
        <w:t>Acting</w:t>
      </w:r>
      <w:proofErr w:type="spellEnd"/>
      <w:r w:rsidRPr="00A84A5B">
        <w:rPr>
          <w:lang w:val="es-ES_tradnl"/>
        </w:rPr>
        <w:t xml:space="preserve"> </w:t>
      </w:r>
      <w:proofErr w:type="spellStart"/>
      <w:r w:rsidRPr="00A84A5B">
        <w:rPr>
          <w:lang w:val="es-ES_tradnl"/>
        </w:rPr>
        <w:t>Assistant</w:t>
      </w:r>
      <w:proofErr w:type="spellEnd"/>
      <w:r w:rsidRPr="00A84A5B">
        <w:rPr>
          <w:lang w:val="es-ES_tradnl"/>
        </w:rPr>
        <w:t xml:space="preserve"> General Counsel</w:t>
      </w:r>
      <w:r w:rsidRPr="00A84A5B">
        <w:rPr>
          <w:lang w:val="es-ES_tradnl"/>
        </w:rPr>
        <w:br/>
        <w:t>Office of General Counsel</w:t>
      </w:r>
      <w:r w:rsidRPr="00A84A5B">
        <w:rPr>
          <w:lang w:val="es-ES_tradnl"/>
        </w:rPr>
        <w:br/>
        <w:t xml:space="preserve">U.S. </w:t>
      </w:r>
      <w:proofErr w:type="spellStart"/>
      <w:r w:rsidRPr="00A84A5B">
        <w:rPr>
          <w:lang w:val="es-ES_tradnl"/>
        </w:rPr>
        <w:t>Environmental</w:t>
      </w:r>
      <w:proofErr w:type="spellEnd"/>
      <w:r w:rsidRPr="00A84A5B">
        <w:rPr>
          <w:lang w:val="es-ES_tradnl"/>
        </w:rPr>
        <w:t xml:space="preserve"> </w:t>
      </w:r>
      <w:proofErr w:type="spellStart"/>
      <w:r w:rsidRPr="00A84A5B">
        <w:rPr>
          <w:lang w:val="es-ES_tradnl"/>
        </w:rPr>
        <w:t>Protection</w:t>
      </w:r>
      <w:proofErr w:type="spellEnd"/>
      <w:r w:rsidRPr="00A84A5B">
        <w:rPr>
          <w:lang w:val="es-ES_tradnl"/>
        </w:rPr>
        <w:t xml:space="preserve"> Agency</w:t>
      </w:r>
      <w:r w:rsidRPr="00A84A5B">
        <w:rPr>
          <w:lang w:val="es-ES_tradnl"/>
        </w:rPr>
        <w:br/>
        <w:t>Washington D.C. 20460</w:t>
      </w:r>
      <w:r w:rsidRPr="00A84A5B">
        <w:rPr>
          <w:lang w:val="es-ES_tradnl"/>
        </w:rPr>
        <w:br/>
        <w:t>Estados Unidos de América</w:t>
      </w:r>
      <w:r w:rsidRPr="00A84A5B">
        <w:rPr>
          <w:lang w:val="es-ES_tradnl"/>
        </w:rPr>
        <w:br/>
        <w:t xml:space="preserve">Correo electrónico: </w:t>
      </w:r>
      <w:hyperlink r:id="rId28" w:history="1">
        <w:r w:rsidRPr="00A84A5B">
          <w:rPr>
            <w:rStyle w:val="Hyperlink"/>
            <w:color w:val="0000FF"/>
            <w:lang w:val="es-ES_tradnl"/>
          </w:rPr>
          <w:t>bianco.karen@epa.gov</w:t>
        </w:r>
      </w:hyperlink>
      <w:hyperlink r:id="rId29" w:history="1"/>
    </w:p>
    <w:p w14:paraId="2B083BE5" w14:textId="086B6779" w:rsidR="008D5A91" w:rsidRPr="00A84A5B" w:rsidRDefault="008D5A91" w:rsidP="00C67BBE">
      <w:pPr>
        <w:pStyle w:val="CH3"/>
        <w:tabs>
          <w:tab w:val="clear" w:pos="4990"/>
        </w:tabs>
        <w:spacing w:before="120"/>
        <w:ind w:right="284" w:firstLine="0"/>
        <w:rPr>
          <w:lang w:val="es-ES_tradnl"/>
        </w:rPr>
      </w:pPr>
      <w:r w:rsidRPr="00A84A5B">
        <w:rPr>
          <w:bCs/>
          <w:lang w:val="es-ES_tradnl"/>
        </w:rPr>
        <w:t>Irán (República Islámica del)</w:t>
      </w:r>
    </w:p>
    <w:p w14:paraId="2BEF6886" w14:textId="1A5AFAD7" w:rsidR="008D5A91" w:rsidRPr="00A84A5B" w:rsidRDefault="008D5A91" w:rsidP="004E1A44">
      <w:pPr>
        <w:keepNext/>
        <w:keepLines/>
        <w:ind w:left="1247"/>
        <w:rPr>
          <w:lang w:val="es-ES_tradnl"/>
        </w:rPr>
      </w:pPr>
      <w:r w:rsidRPr="00A84A5B">
        <w:rPr>
          <w:lang w:val="es-ES_tradnl"/>
        </w:rPr>
        <w:t>Hossein Shahbaz</w:t>
      </w:r>
      <w:r w:rsidR="004E1A44" w:rsidRPr="00A84A5B">
        <w:rPr>
          <w:lang w:val="es-ES_tradnl"/>
        </w:rPr>
        <w:br/>
      </w:r>
      <w:proofErr w:type="gramStart"/>
      <w:r w:rsidRPr="00E361D5">
        <w:rPr>
          <w:spacing w:val="-6"/>
          <w:lang w:val="es-ES_tradnl"/>
        </w:rPr>
        <w:t>Director</w:t>
      </w:r>
      <w:proofErr w:type="gramEnd"/>
      <w:r w:rsidRPr="00E361D5">
        <w:rPr>
          <w:spacing w:val="-6"/>
          <w:lang w:val="es-ES_tradnl"/>
        </w:rPr>
        <w:t xml:space="preserve"> of Ozone Layer </w:t>
      </w:r>
      <w:proofErr w:type="spellStart"/>
      <w:r w:rsidRPr="00E361D5">
        <w:rPr>
          <w:spacing w:val="-6"/>
          <w:lang w:val="es-ES_tradnl"/>
        </w:rPr>
        <w:t>Protection</w:t>
      </w:r>
      <w:proofErr w:type="spellEnd"/>
      <w:r w:rsidRPr="00E361D5">
        <w:rPr>
          <w:spacing w:val="-6"/>
          <w:lang w:val="es-ES_tradnl"/>
        </w:rPr>
        <w:t xml:space="preserve"> Unit</w:t>
      </w:r>
      <w:r w:rsidR="004E1A44" w:rsidRPr="00A84A5B">
        <w:rPr>
          <w:lang w:val="es-ES_tradnl"/>
        </w:rPr>
        <w:br/>
      </w:r>
      <w:r w:rsidRPr="00A84A5B">
        <w:rPr>
          <w:lang w:val="es-ES_tradnl"/>
        </w:rPr>
        <w:t xml:space="preserve">Ozone Layer </w:t>
      </w:r>
      <w:proofErr w:type="spellStart"/>
      <w:r w:rsidRPr="00A84A5B">
        <w:rPr>
          <w:lang w:val="es-ES_tradnl"/>
        </w:rPr>
        <w:t>Protection</w:t>
      </w:r>
      <w:proofErr w:type="spellEnd"/>
      <w:r w:rsidRPr="00A84A5B">
        <w:rPr>
          <w:lang w:val="es-ES_tradnl"/>
        </w:rPr>
        <w:t xml:space="preserve"> Unit</w:t>
      </w:r>
      <w:r w:rsidR="004E1A44" w:rsidRPr="00A84A5B">
        <w:rPr>
          <w:lang w:val="es-ES_tradnl"/>
        </w:rPr>
        <w:br/>
      </w:r>
      <w:r w:rsidRPr="00A84A5B">
        <w:rPr>
          <w:lang w:val="es-ES_tradnl"/>
        </w:rPr>
        <w:t>Ministry of Environment</w:t>
      </w:r>
      <w:r w:rsidR="004E1A44" w:rsidRPr="00A84A5B">
        <w:rPr>
          <w:lang w:val="es-ES_tradnl"/>
        </w:rPr>
        <w:br/>
      </w:r>
      <w:r w:rsidRPr="00A84A5B">
        <w:rPr>
          <w:lang w:val="es-ES_tradnl"/>
        </w:rPr>
        <w:t>Tehran</w:t>
      </w:r>
      <w:r w:rsidR="004E1A44" w:rsidRPr="00A84A5B">
        <w:rPr>
          <w:lang w:val="es-ES_tradnl"/>
        </w:rPr>
        <w:br/>
        <w:t>I</w:t>
      </w:r>
      <w:r w:rsidRPr="00A84A5B">
        <w:rPr>
          <w:lang w:val="es-ES_tradnl"/>
        </w:rPr>
        <w:t>rán (República Islámica del)</w:t>
      </w:r>
      <w:r w:rsidR="004E1A44" w:rsidRPr="00A84A5B">
        <w:rPr>
          <w:lang w:val="es-ES_tradnl"/>
        </w:rPr>
        <w:br/>
        <w:t>C</w:t>
      </w:r>
      <w:r w:rsidRPr="00A84A5B">
        <w:rPr>
          <w:lang w:val="es-ES_tradnl"/>
        </w:rPr>
        <w:t xml:space="preserve">orreo electrónico: </w:t>
      </w:r>
      <w:hyperlink r:id="rId30" w:history="1">
        <w:r w:rsidR="00C22790" w:rsidRPr="00A84A5B">
          <w:rPr>
            <w:rStyle w:val="Hyperlink"/>
            <w:color w:val="0000FF"/>
            <w:lang w:val="es-ES_tradnl"/>
          </w:rPr>
          <w:t>info@iranozone.ir</w:t>
        </w:r>
      </w:hyperlink>
      <w:hyperlink r:id="rId31" w:history="1"/>
    </w:p>
    <w:p w14:paraId="38E8760E" w14:textId="002E4CDA" w:rsidR="008D5A91" w:rsidRPr="00A84A5B" w:rsidRDefault="008D5A91" w:rsidP="00C67BBE">
      <w:pPr>
        <w:pStyle w:val="CH3"/>
        <w:keepNext w:val="0"/>
        <w:keepLines w:val="0"/>
        <w:tabs>
          <w:tab w:val="clear" w:pos="4990"/>
        </w:tabs>
        <w:spacing w:before="120"/>
        <w:ind w:right="284" w:firstLine="0"/>
        <w:rPr>
          <w:lang w:val="es-ES_tradnl"/>
        </w:rPr>
      </w:pPr>
      <w:r w:rsidRPr="00A84A5B">
        <w:rPr>
          <w:bCs/>
          <w:lang w:val="es-ES_tradnl"/>
        </w:rPr>
        <w:t>Kenya</w:t>
      </w:r>
    </w:p>
    <w:p w14:paraId="3A96C783" w14:textId="2F55D689" w:rsidR="000B65B8" w:rsidRPr="00A84A5B" w:rsidRDefault="008D5A91" w:rsidP="00E13C2C">
      <w:pPr>
        <w:ind w:left="1247"/>
        <w:rPr>
          <w:bCs/>
          <w:lang w:val="es-ES_tradnl"/>
        </w:rPr>
      </w:pPr>
      <w:r w:rsidRPr="00A84A5B">
        <w:rPr>
          <w:lang w:val="es-ES_tradnl"/>
        </w:rPr>
        <w:t>Marindany Leonard Kirui</w:t>
      </w:r>
      <w:r w:rsidR="00C22790" w:rsidRPr="00A84A5B">
        <w:rPr>
          <w:lang w:val="es-ES_tradnl"/>
        </w:rPr>
        <w:br/>
      </w:r>
      <w:r w:rsidRPr="00A84A5B">
        <w:rPr>
          <w:lang w:val="es-ES_tradnl"/>
        </w:rPr>
        <w:t>Coordinator</w:t>
      </w:r>
      <w:r w:rsidR="00C22790" w:rsidRPr="00A84A5B">
        <w:rPr>
          <w:lang w:val="es-ES_tradnl"/>
        </w:rPr>
        <w:br/>
      </w:r>
      <w:r w:rsidRPr="00A84A5B">
        <w:rPr>
          <w:lang w:val="es-ES_tradnl"/>
        </w:rPr>
        <w:t>National Ozone Unit</w:t>
      </w:r>
      <w:r w:rsidR="00C22790" w:rsidRPr="00A84A5B">
        <w:rPr>
          <w:lang w:val="es-ES_tradnl"/>
        </w:rPr>
        <w:br/>
      </w:r>
      <w:r w:rsidRPr="00A84A5B">
        <w:rPr>
          <w:lang w:val="es-ES_tradnl"/>
        </w:rPr>
        <w:t xml:space="preserve">Ministry of Environment, Climate Change and </w:t>
      </w:r>
      <w:proofErr w:type="spellStart"/>
      <w:r w:rsidRPr="00A84A5B">
        <w:rPr>
          <w:lang w:val="es-ES_tradnl"/>
        </w:rPr>
        <w:t>Forestry</w:t>
      </w:r>
      <w:proofErr w:type="spellEnd"/>
      <w:r w:rsidR="00C22790" w:rsidRPr="00A84A5B">
        <w:rPr>
          <w:lang w:val="es-ES_tradnl"/>
        </w:rPr>
        <w:br/>
      </w:r>
      <w:r w:rsidRPr="00A84A5B">
        <w:rPr>
          <w:lang w:val="es-ES_tradnl"/>
        </w:rPr>
        <w:t>Nairobi</w:t>
      </w:r>
      <w:r w:rsidR="00C22790" w:rsidRPr="00A84A5B">
        <w:rPr>
          <w:lang w:val="es-ES_tradnl"/>
        </w:rPr>
        <w:br/>
      </w:r>
      <w:r w:rsidR="00344CD2">
        <w:rPr>
          <w:lang w:val="es-ES_tradnl"/>
        </w:rPr>
        <w:t>Kenya</w:t>
      </w:r>
      <w:r w:rsidR="00C22790" w:rsidRPr="00A84A5B">
        <w:rPr>
          <w:lang w:val="es-ES_tradnl"/>
        </w:rPr>
        <w:br/>
      </w:r>
      <w:r w:rsidRPr="00A84A5B">
        <w:rPr>
          <w:lang w:val="es-ES_tradnl"/>
        </w:rPr>
        <w:t xml:space="preserve">Correo electrónico: </w:t>
      </w:r>
      <w:hyperlink r:id="rId32" w:history="1">
        <w:r w:rsidR="00111DB6" w:rsidRPr="00A84A5B">
          <w:rPr>
            <w:rStyle w:val="Hyperlink"/>
            <w:color w:val="0000FF"/>
            <w:lang w:val="es-ES_tradnl"/>
          </w:rPr>
          <w:t>marindanykirui@yahoo.com</w:t>
        </w:r>
      </w:hyperlink>
      <w:r w:rsidR="00111DB6" w:rsidRPr="00A84A5B">
        <w:rPr>
          <w:rStyle w:val="Hyperlink"/>
          <w:color w:val="0000FF"/>
          <w:lang w:val="es-ES_tradnl"/>
        </w:rPr>
        <w:t xml:space="preserve">, </w:t>
      </w:r>
      <w:hyperlink r:id="rId33" w:history="1">
        <w:r w:rsidR="00B4379B" w:rsidRPr="00A01F84">
          <w:rPr>
            <w:rStyle w:val="Hyperlink"/>
            <w:color w:val="0000FF"/>
            <w:lang w:val="es-ES_tradnl"/>
          </w:rPr>
          <w:t>mkirui@environment.go.ke</w:t>
        </w:r>
      </w:hyperlink>
      <w:hyperlink r:id="rId34" w:history="1"/>
      <w:hyperlink r:id="rId35" w:history="1"/>
    </w:p>
    <w:p w14:paraId="6115FE15" w14:textId="2DC460F9" w:rsidR="008D5A91" w:rsidRPr="00A84A5B" w:rsidRDefault="008D5A91" w:rsidP="00C67BBE">
      <w:pPr>
        <w:pStyle w:val="CH3"/>
        <w:keepNext w:val="0"/>
        <w:keepLines w:val="0"/>
        <w:tabs>
          <w:tab w:val="clear" w:pos="4990"/>
        </w:tabs>
        <w:spacing w:before="120"/>
        <w:ind w:right="284" w:firstLine="0"/>
        <w:rPr>
          <w:lang w:val="es-ES_tradnl"/>
        </w:rPr>
      </w:pPr>
      <w:r w:rsidRPr="00A84A5B">
        <w:rPr>
          <w:bCs/>
          <w:lang w:val="es-ES_tradnl"/>
        </w:rPr>
        <w:t>Montenegro</w:t>
      </w:r>
    </w:p>
    <w:p w14:paraId="173035C3" w14:textId="170AADD3" w:rsidR="000F498B" w:rsidRPr="00A84A5B" w:rsidRDefault="008D5A91" w:rsidP="00E13C2C">
      <w:pPr>
        <w:ind w:left="1247"/>
        <w:rPr>
          <w:bCs/>
          <w:lang w:val="es-ES_tradnl"/>
        </w:rPr>
      </w:pPr>
      <w:r w:rsidRPr="00A84A5B">
        <w:rPr>
          <w:lang w:val="es-ES_tradnl"/>
        </w:rPr>
        <w:t>Tatjana Boljevic</w:t>
      </w:r>
      <w:r w:rsidR="00B4379B" w:rsidRPr="00A84A5B">
        <w:rPr>
          <w:lang w:val="es-ES_tradnl"/>
        </w:rPr>
        <w:br/>
      </w:r>
      <w:r w:rsidRPr="00B11307">
        <w:rPr>
          <w:spacing w:val="-6"/>
          <w:lang w:val="es-ES_tradnl"/>
        </w:rPr>
        <w:t xml:space="preserve">Senior </w:t>
      </w:r>
      <w:proofErr w:type="spellStart"/>
      <w:r w:rsidRPr="00B11307">
        <w:rPr>
          <w:spacing w:val="-6"/>
          <w:lang w:val="es-ES_tradnl"/>
        </w:rPr>
        <w:t>Adviser</w:t>
      </w:r>
      <w:proofErr w:type="spellEnd"/>
      <w:r w:rsidRPr="00B11307">
        <w:rPr>
          <w:spacing w:val="-6"/>
          <w:lang w:val="es-ES_tradnl"/>
        </w:rPr>
        <w:t xml:space="preserve">/National Focal Point for Vienna </w:t>
      </w:r>
      <w:proofErr w:type="spellStart"/>
      <w:r w:rsidRPr="00B11307">
        <w:rPr>
          <w:spacing w:val="-6"/>
          <w:lang w:val="es-ES_tradnl"/>
        </w:rPr>
        <w:t>Convention</w:t>
      </w:r>
      <w:proofErr w:type="spellEnd"/>
      <w:r w:rsidRPr="00B11307">
        <w:rPr>
          <w:spacing w:val="-6"/>
          <w:lang w:val="es-ES_tradnl"/>
        </w:rPr>
        <w:t xml:space="preserve"> &amp; Montreal </w:t>
      </w:r>
      <w:proofErr w:type="spellStart"/>
      <w:r w:rsidRPr="00B11307">
        <w:rPr>
          <w:spacing w:val="-6"/>
          <w:lang w:val="es-ES_tradnl"/>
        </w:rPr>
        <w:t>Protocol</w:t>
      </w:r>
      <w:proofErr w:type="spellEnd"/>
      <w:r w:rsidR="00B4379B" w:rsidRPr="00A84A5B">
        <w:rPr>
          <w:lang w:val="es-ES_tradnl"/>
        </w:rPr>
        <w:br/>
      </w:r>
      <w:proofErr w:type="spellStart"/>
      <w:r w:rsidRPr="00A84A5B">
        <w:rPr>
          <w:lang w:val="es-ES_tradnl"/>
        </w:rPr>
        <w:t>Environmental</w:t>
      </w:r>
      <w:proofErr w:type="spellEnd"/>
      <w:r w:rsidRPr="00A84A5B">
        <w:rPr>
          <w:lang w:val="es-ES_tradnl"/>
        </w:rPr>
        <w:t xml:space="preserve"> </w:t>
      </w:r>
      <w:proofErr w:type="spellStart"/>
      <w:r w:rsidRPr="00A84A5B">
        <w:rPr>
          <w:lang w:val="es-ES_tradnl"/>
        </w:rPr>
        <w:t>Protection</w:t>
      </w:r>
      <w:proofErr w:type="spellEnd"/>
      <w:r w:rsidRPr="00A84A5B">
        <w:rPr>
          <w:lang w:val="es-ES_tradnl"/>
        </w:rPr>
        <w:t xml:space="preserve"> Agency</w:t>
      </w:r>
      <w:r w:rsidR="00B4379B" w:rsidRPr="00A84A5B">
        <w:rPr>
          <w:lang w:val="es-ES_tradnl"/>
        </w:rPr>
        <w:br/>
      </w:r>
      <w:r w:rsidRPr="00A84A5B">
        <w:rPr>
          <w:lang w:val="es-ES_tradnl"/>
        </w:rPr>
        <w:t>Podgorica</w:t>
      </w:r>
      <w:r w:rsidR="00B4379B" w:rsidRPr="00A84A5B">
        <w:rPr>
          <w:lang w:val="es-ES_tradnl"/>
        </w:rPr>
        <w:br/>
      </w:r>
      <w:r w:rsidRPr="00A84A5B">
        <w:rPr>
          <w:lang w:val="es-ES_tradnl"/>
        </w:rPr>
        <w:t>Montenegro</w:t>
      </w:r>
      <w:r w:rsidR="00B4379B" w:rsidRPr="00A84A5B">
        <w:rPr>
          <w:lang w:val="es-ES_tradnl"/>
        </w:rPr>
        <w:br/>
      </w:r>
      <w:r w:rsidRPr="00A84A5B">
        <w:rPr>
          <w:lang w:val="es-ES_tradnl"/>
        </w:rPr>
        <w:t xml:space="preserve">Correo electrónico: </w:t>
      </w:r>
      <w:hyperlink r:id="rId36" w:history="1">
        <w:r w:rsidR="0033583E" w:rsidRPr="00A84A5B">
          <w:rPr>
            <w:rStyle w:val="Hyperlink"/>
            <w:color w:val="0000FF"/>
            <w:lang w:val="es-ES_tradnl"/>
          </w:rPr>
          <w:t>tatjana.djurcevic@epa.org.me</w:t>
        </w:r>
      </w:hyperlink>
      <w:hyperlink r:id="rId37" w:history="1"/>
    </w:p>
    <w:p w14:paraId="367BB574" w14:textId="77777777" w:rsidR="00344CD2" w:rsidRDefault="00344CD2" w:rsidP="00C67BBE">
      <w:pPr>
        <w:pStyle w:val="CH3"/>
        <w:keepNext w:val="0"/>
        <w:keepLines w:val="0"/>
        <w:tabs>
          <w:tab w:val="clear" w:pos="4990"/>
        </w:tabs>
        <w:spacing w:before="120"/>
        <w:ind w:right="284" w:firstLine="0"/>
        <w:rPr>
          <w:bCs/>
          <w:lang w:val="es-ES_tradnl"/>
        </w:rPr>
      </w:pPr>
    </w:p>
    <w:p w14:paraId="50F28644" w14:textId="5432A89F" w:rsidR="00C25773" w:rsidRPr="00A84A5B" w:rsidRDefault="00C25773" w:rsidP="00C67BBE">
      <w:pPr>
        <w:pStyle w:val="CH3"/>
        <w:keepNext w:val="0"/>
        <w:keepLines w:val="0"/>
        <w:tabs>
          <w:tab w:val="clear" w:pos="4990"/>
        </w:tabs>
        <w:spacing w:before="120"/>
        <w:ind w:right="284" w:firstLine="0"/>
        <w:rPr>
          <w:lang w:val="es-ES_tradnl"/>
        </w:rPr>
      </w:pPr>
      <w:r w:rsidRPr="00A84A5B">
        <w:rPr>
          <w:bCs/>
          <w:lang w:val="es-ES_tradnl"/>
        </w:rPr>
        <w:lastRenderedPageBreak/>
        <w:t>Países Bajos (Reino de los)</w:t>
      </w:r>
    </w:p>
    <w:p w14:paraId="038F46F2" w14:textId="0B1403BD" w:rsidR="00A01F84" w:rsidRDefault="00C25773" w:rsidP="00905657">
      <w:pPr>
        <w:spacing w:after="120"/>
        <w:ind w:left="1247"/>
      </w:pPr>
      <w:r w:rsidRPr="00A84A5B">
        <w:rPr>
          <w:lang w:val="es-ES_tradnl"/>
        </w:rPr>
        <w:t>Ralph Brieskorn</w:t>
      </w:r>
      <w:r w:rsidR="00F766F1" w:rsidRPr="00A84A5B">
        <w:rPr>
          <w:lang w:val="es-ES_tradnl"/>
        </w:rPr>
        <w:br/>
      </w:r>
      <w:r w:rsidRPr="00A84A5B">
        <w:rPr>
          <w:lang w:val="es-ES_tradnl"/>
        </w:rPr>
        <w:t xml:space="preserve">Team Leader EU Climate Policy and Montreal </w:t>
      </w:r>
      <w:proofErr w:type="spellStart"/>
      <w:r w:rsidRPr="00A84A5B">
        <w:rPr>
          <w:lang w:val="es-ES_tradnl"/>
        </w:rPr>
        <w:t>Protocol</w:t>
      </w:r>
      <w:proofErr w:type="spellEnd"/>
      <w:r w:rsidR="00F766F1" w:rsidRPr="00A84A5B">
        <w:rPr>
          <w:lang w:val="es-ES_tradnl"/>
        </w:rPr>
        <w:br/>
      </w:r>
      <w:r w:rsidRPr="00A84A5B">
        <w:rPr>
          <w:lang w:val="es-ES_tradnl"/>
        </w:rPr>
        <w:t xml:space="preserve">Climate Policy </w:t>
      </w:r>
      <w:proofErr w:type="spellStart"/>
      <w:r w:rsidRPr="00A84A5B">
        <w:rPr>
          <w:lang w:val="es-ES_tradnl"/>
        </w:rPr>
        <w:t>Directorate</w:t>
      </w:r>
      <w:proofErr w:type="spellEnd"/>
      <w:r w:rsidR="00F766F1" w:rsidRPr="00A84A5B">
        <w:rPr>
          <w:lang w:val="es-ES_tradnl"/>
        </w:rPr>
        <w:br/>
      </w:r>
      <w:r w:rsidRPr="00B11307">
        <w:rPr>
          <w:spacing w:val="-14"/>
          <w:lang w:val="es-ES_tradnl"/>
        </w:rPr>
        <w:t xml:space="preserve">Ministry of Climate Policy and Green </w:t>
      </w:r>
      <w:proofErr w:type="spellStart"/>
      <w:r w:rsidRPr="00B11307">
        <w:rPr>
          <w:spacing w:val="-14"/>
          <w:lang w:val="es-ES_tradnl"/>
        </w:rPr>
        <w:t>Growth</w:t>
      </w:r>
      <w:proofErr w:type="spellEnd"/>
      <w:r w:rsidR="00F766F1" w:rsidRPr="00A84A5B">
        <w:rPr>
          <w:lang w:val="es-ES_tradnl"/>
        </w:rPr>
        <w:br/>
      </w:r>
      <w:r w:rsidRPr="00A84A5B">
        <w:rPr>
          <w:lang w:val="es-ES_tradnl"/>
        </w:rPr>
        <w:t>The Hague</w:t>
      </w:r>
      <w:r w:rsidR="00F766F1" w:rsidRPr="00A84A5B">
        <w:rPr>
          <w:lang w:val="es-ES_tradnl"/>
        </w:rPr>
        <w:br/>
      </w:r>
      <w:r w:rsidRPr="00A84A5B">
        <w:rPr>
          <w:lang w:val="es-ES_tradnl"/>
        </w:rPr>
        <w:t>Países Bajos (Reino de los</w:t>
      </w:r>
      <w:r w:rsidR="00D91D10">
        <w:rPr>
          <w:lang w:val="es-ES_tradnl"/>
        </w:rPr>
        <w:t>)</w:t>
      </w:r>
      <w:r w:rsidR="00F766F1" w:rsidRPr="00A84A5B">
        <w:rPr>
          <w:lang w:val="es-ES_tradnl"/>
        </w:rPr>
        <w:br/>
      </w:r>
      <w:r w:rsidRPr="00A84A5B">
        <w:rPr>
          <w:lang w:val="es-ES_tradnl"/>
        </w:rPr>
        <w:t xml:space="preserve">Correo electrónico: </w:t>
      </w:r>
      <w:hyperlink r:id="rId38" w:history="1">
        <w:r w:rsidR="00197471" w:rsidRPr="00A84A5B">
          <w:rPr>
            <w:rStyle w:val="Hyperlink"/>
            <w:color w:val="0000FF"/>
            <w:lang w:val="es-ES_tradnl"/>
          </w:rPr>
          <w:t>r.l.f.brieskorn@minezk.nl</w:t>
        </w:r>
      </w:hyperlink>
    </w:p>
    <w:p w14:paraId="063185E6" w14:textId="19E02575" w:rsidR="00344CD2" w:rsidRPr="00A84A5B" w:rsidRDefault="00344CD2" w:rsidP="00344CD2">
      <w:pPr>
        <w:ind w:left="1247"/>
        <w:rPr>
          <w:bCs/>
          <w:lang w:val="es-ES_tradnl"/>
        </w:rPr>
      </w:pPr>
      <w:r w:rsidRPr="00A84A5B">
        <w:rPr>
          <w:lang w:val="es-ES_tradnl"/>
        </w:rPr>
        <w:t>Martijn Hildebrand</w:t>
      </w:r>
      <w:r w:rsidRPr="00A84A5B">
        <w:rPr>
          <w:lang w:val="es-ES_tradnl"/>
        </w:rPr>
        <w:br/>
        <w:t xml:space="preserve">Senior Policy </w:t>
      </w:r>
      <w:proofErr w:type="spellStart"/>
      <w:r w:rsidRPr="00A84A5B">
        <w:rPr>
          <w:lang w:val="es-ES_tradnl"/>
        </w:rPr>
        <w:t>Advisor</w:t>
      </w:r>
      <w:proofErr w:type="spellEnd"/>
      <w:r w:rsidRPr="00A84A5B">
        <w:rPr>
          <w:lang w:val="es-ES_tradnl"/>
        </w:rPr>
        <w:br/>
      </w:r>
      <w:proofErr w:type="spellStart"/>
      <w:r w:rsidRPr="00A84A5B">
        <w:rPr>
          <w:lang w:val="es-ES_tradnl"/>
        </w:rPr>
        <w:t>Department</w:t>
      </w:r>
      <w:proofErr w:type="spellEnd"/>
      <w:r w:rsidRPr="00A84A5B">
        <w:rPr>
          <w:lang w:val="es-ES_tradnl"/>
        </w:rPr>
        <w:t xml:space="preserve"> of </w:t>
      </w:r>
      <w:proofErr w:type="spellStart"/>
      <w:r w:rsidRPr="00A84A5B">
        <w:rPr>
          <w:lang w:val="es-ES_tradnl"/>
        </w:rPr>
        <w:t>Waterways</w:t>
      </w:r>
      <w:proofErr w:type="spellEnd"/>
      <w:r w:rsidRPr="00A84A5B">
        <w:rPr>
          <w:lang w:val="es-ES_tradnl"/>
        </w:rPr>
        <w:t xml:space="preserve"> and Public Works</w:t>
      </w:r>
      <w:r w:rsidRPr="00A84A5B">
        <w:rPr>
          <w:lang w:val="es-ES_tradnl"/>
        </w:rPr>
        <w:br/>
        <w:t xml:space="preserve">Ministry of </w:t>
      </w:r>
      <w:proofErr w:type="spellStart"/>
      <w:r w:rsidRPr="00A84A5B">
        <w:rPr>
          <w:lang w:val="es-ES_tradnl"/>
        </w:rPr>
        <w:t>Infrastructure</w:t>
      </w:r>
      <w:proofErr w:type="spellEnd"/>
      <w:r w:rsidRPr="00A84A5B">
        <w:rPr>
          <w:lang w:val="es-ES_tradnl"/>
        </w:rPr>
        <w:t xml:space="preserve"> and Water Management</w:t>
      </w:r>
      <w:r w:rsidRPr="00A84A5B">
        <w:rPr>
          <w:lang w:val="es-ES_tradnl"/>
        </w:rPr>
        <w:br/>
        <w:t>The Hague</w:t>
      </w:r>
      <w:r w:rsidRPr="00A84A5B">
        <w:rPr>
          <w:lang w:val="es-ES_tradnl"/>
        </w:rPr>
        <w:br/>
        <w:t>Países Bajos (Reino de los)</w:t>
      </w:r>
      <w:r w:rsidRPr="00A84A5B">
        <w:rPr>
          <w:lang w:val="es-ES_tradnl"/>
        </w:rPr>
        <w:br/>
        <w:t xml:space="preserve">Correo electrónico: </w:t>
      </w:r>
      <w:hyperlink r:id="rId39" w:history="1">
        <w:r w:rsidRPr="00A84A5B">
          <w:rPr>
            <w:rStyle w:val="Hyperlink"/>
            <w:color w:val="0000FF"/>
            <w:lang w:val="es-ES_tradnl"/>
          </w:rPr>
          <w:t>martijn.hildebrand@rws.nl</w:t>
        </w:r>
      </w:hyperlink>
      <w:hyperlink r:id="rId40" w:history="1"/>
    </w:p>
    <w:p w14:paraId="4A128D26" w14:textId="56B96AEF" w:rsidR="00344CD2" w:rsidRPr="00344CD2" w:rsidRDefault="00344CD2" w:rsidP="00344CD2">
      <w:pPr>
        <w:spacing w:after="120"/>
        <w:ind w:left="1247"/>
        <w:rPr>
          <w:b/>
          <w:lang w:val="es-ES_tradnl"/>
        </w:rPr>
      </w:pPr>
      <w:r w:rsidRPr="00A84A5B">
        <w:rPr>
          <w:lang w:val="es-ES_tradnl"/>
        </w:rPr>
        <w:br w:type="column"/>
      </w:r>
      <w:r w:rsidRPr="00344CD2">
        <w:rPr>
          <w:b/>
          <w:lang w:val="es-ES_tradnl"/>
        </w:rPr>
        <w:t>República Dominicana</w:t>
      </w:r>
    </w:p>
    <w:p w14:paraId="44BDD56D" w14:textId="4709AB08" w:rsidR="00344CD2" w:rsidRPr="008353E4" w:rsidRDefault="00344CD2" w:rsidP="00344CD2">
      <w:pPr>
        <w:ind w:left="1247"/>
        <w:rPr>
          <w:rStyle w:val="Hyperlink"/>
          <w:color w:val="0000FF"/>
          <w:lang w:val="fr-FR"/>
        </w:rPr>
      </w:pPr>
      <w:r w:rsidRPr="00A84A5B">
        <w:rPr>
          <w:lang w:val="es-ES_tradnl"/>
        </w:rPr>
        <w:t>Mario José Pérez Núñez</w:t>
      </w:r>
      <w:r w:rsidRPr="00A84A5B">
        <w:rPr>
          <w:lang w:val="es-ES_tradnl"/>
        </w:rPr>
        <w:br/>
      </w:r>
      <w:proofErr w:type="gramStart"/>
      <w:r w:rsidRPr="00A84A5B">
        <w:rPr>
          <w:lang w:val="es-ES_tradnl"/>
        </w:rPr>
        <w:t>Director</w:t>
      </w:r>
      <w:proofErr w:type="gramEnd"/>
      <w:r w:rsidRPr="00A84A5B">
        <w:rPr>
          <w:lang w:val="es-ES_tradnl"/>
        </w:rPr>
        <w:t xml:space="preserve"> del Programa Nacional para la Protección de la Capa de Ozono y Punto Focal Técnico</w:t>
      </w:r>
      <w:r w:rsidRPr="00A84A5B">
        <w:rPr>
          <w:lang w:val="es-ES_tradnl"/>
        </w:rPr>
        <w:br/>
        <w:t>Ministerio de Ambiente y Recursos Naturales</w:t>
      </w:r>
      <w:r w:rsidRPr="00A84A5B">
        <w:rPr>
          <w:lang w:val="es-ES_tradnl"/>
        </w:rPr>
        <w:br/>
        <w:t>Santo Domingo</w:t>
      </w:r>
      <w:r w:rsidRPr="00A84A5B">
        <w:rPr>
          <w:lang w:val="es-ES_tradnl"/>
        </w:rPr>
        <w:br/>
        <w:t>República Dominicana</w:t>
      </w:r>
      <w:r w:rsidRPr="00A84A5B">
        <w:rPr>
          <w:lang w:val="es-ES_tradnl"/>
        </w:rPr>
        <w:br/>
        <w:t xml:space="preserve">Correo electrónico: </w:t>
      </w:r>
      <w:hyperlink r:id="rId41" w:history="1">
        <w:r w:rsidRPr="00462C98">
          <w:rPr>
            <w:rStyle w:val="Hyperlink"/>
            <w:color w:val="0000FF"/>
            <w:lang w:val="es-ES_tradnl"/>
          </w:rPr>
          <w:t>Mario.Perez@ambiente.gob.do</w:t>
        </w:r>
      </w:hyperlink>
      <w:hyperlink r:id="rId42" w:history="1"/>
    </w:p>
    <w:p w14:paraId="21ECA95B" w14:textId="41B1A2A5" w:rsidR="00344CD2" w:rsidRDefault="00344CD2" w:rsidP="00344CD2">
      <w:pPr>
        <w:spacing w:after="120"/>
        <w:ind w:left="1247"/>
        <w:rPr>
          <w:lang w:val="es-ES_tradnl"/>
        </w:rPr>
      </w:pPr>
    </w:p>
    <w:p w14:paraId="2D71F300" w14:textId="2A425790" w:rsidR="00365C89" w:rsidRPr="00A84A5B" w:rsidRDefault="00365C89" w:rsidP="00344CD2">
      <w:pPr>
        <w:ind w:left="1247"/>
        <w:rPr>
          <w:bCs/>
          <w:lang w:val="es-ES_tradnl"/>
        </w:rPr>
      </w:pPr>
    </w:p>
    <w:p w14:paraId="2AF1DC52" w14:textId="77777777" w:rsidR="00C67BBE" w:rsidRPr="00A84A5B" w:rsidRDefault="00C67BBE" w:rsidP="00C25773">
      <w:pPr>
        <w:pStyle w:val="CH2"/>
        <w:tabs>
          <w:tab w:val="clear" w:pos="1871"/>
          <w:tab w:val="clear" w:pos="2495"/>
          <w:tab w:val="clear" w:pos="3119"/>
          <w:tab w:val="clear" w:pos="3742"/>
          <w:tab w:val="clear" w:pos="4366"/>
          <w:tab w:val="clear" w:pos="4990"/>
          <w:tab w:val="left" w:pos="1814"/>
          <w:tab w:val="left" w:pos="2381"/>
          <w:tab w:val="left" w:pos="2948"/>
          <w:tab w:val="left" w:pos="3515"/>
          <w:tab w:val="left" w:pos="4082"/>
        </w:tabs>
        <w:ind w:right="284"/>
        <w:rPr>
          <w:lang w:val="es-ES_tradnl"/>
        </w:rPr>
        <w:sectPr w:rsidR="00C67BBE" w:rsidRPr="00A84A5B" w:rsidSect="008720BF">
          <w:type w:val="continuous"/>
          <w:pgSz w:w="11907" w:h="16839"/>
          <w:pgMar w:top="907" w:right="992" w:bottom="1418" w:left="1418" w:header="539" w:footer="975" w:gutter="0"/>
          <w:cols w:num="2" w:space="708"/>
          <w:docGrid w:linePitch="360"/>
        </w:sectPr>
      </w:pPr>
    </w:p>
    <w:p w14:paraId="1F18058B" w14:textId="77777777" w:rsidR="00C25773" w:rsidRPr="00A84A5B" w:rsidRDefault="00C25773" w:rsidP="00C25773">
      <w:pPr>
        <w:pStyle w:val="CH2"/>
        <w:tabs>
          <w:tab w:val="clear" w:pos="1871"/>
          <w:tab w:val="clear" w:pos="2495"/>
          <w:tab w:val="clear" w:pos="3119"/>
          <w:tab w:val="clear" w:pos="3742"/>
          <w:tab w:val="clear" w:pos="4366"/>
          <w:tab w:val="clear" w:pos="4990"/>
          <w:tab w:val="left" w:pos="1814"/>
          <w:tab w:val="left" w:pos="2381"/>
          <w:tab w:val="left" w:pos="2948"/>
          <w:tab w:val="left" w:pos="3515"/>
          <w:tab w:val="left" w:pos="4082"/>
        </w:tabs>
        <w:ind w:right="284"/>
        <w:rPr>
          <w:lang w:val="es-ES_tradnl"/>
        </w:rPr>
      </w:pPr>
      <w:r w:rsidRPr="00A84A5B">
        <w:rPr>
          <w:lang w:val="es-ES_tradnl"/>
        </w:rPr>
        <w:tab/>
      </w:r>
      <w:r w:rsidRPr="00A84A5B">
        <w:rPr>
          <w:lang w:val="es-ES_tradnl"/>
        </w:rPr>
        <w:tab/>
      </w:r>
      <w:r w:rsidRPr="00A84A5B">
        <w:rPr>
          <w:bCs/>
          <w:lang w:val="es-ES_tradnl"/>
        </w:rPr>
        <w:t>Observadores</w:t>
      </w:r>
      <w:r w:rsidRPr="00A84A5B">
        <w:rPr>
          <w:lang w:val="es-ES_tradnl"/>
        </w:rPr>
        <w:t xml:space="preserve"> </w:t>
      </w:r>
    </w:p>
    <w:p w14:paraId="74B9CE25" w14:textId="77777777" w:rsidR="00C67BBE" w:rsidRPr="00A84A5B" w:rsidRDefault="00C67BBE" w:rsidP="00905657">
      <w:pPr>
        <w:pStyle w:val="CH3"/>
        <w:keepNext w:val="0"/>
        <w:keepLines w:val="0"/>
        <w:tabs>
          <w:tab w:val="clear" w:pos="4990"/>
        </w:tabs>
        <w:spacing w:before="120"/>
        <w:ind w:left="2494" w:right="284"/>
        <w:rPr>
          <w:lang w:val="es-ES_tradnl"/>
        </w:rPr>
        <w:sectPr w:rsidR="00C67BBE" w:rsidRPr="00A84A5B" w:rsidSect="008720BF">
          <w:type w:val="continuous"/>
          <w:pgSz w:w="11907" w:h="16839"/>
          <w:pgMar w:top="907" w:right="992" w:bottom="1418" w:left="1418" w:header="539" w:footer="975" w:gutter="0"/>
          <w:cols w:space="708"/>
          <w:docGrid w:linePitch="360"/>
        </w:sectPr>
      </w:pPr>
    </w:p>
    <w:p w14:paraId="2C63C16A" w14:textId="77777777" w:rsidR="00344CD2" w:rsidRPr="00A84A5B" w:rsidRDefault="00344CD2" w:rsidP="00344CD2">
      <w:pPr>
        <w:pStyle w:val="CH3"/>
        <w:tabs>
          <w:tab w:val="clear" w:pos="4990"/>
        </w:tabs>
        <w:spacing w:before="120"/>
        <w:ind w:right="284" w:firstLine="0"/>
        <w:rPr>
          <w:lang w:val="es-ES_tradnl"/>
        </w:rPr>
      </w:pPr>
      <w:r w:rsidRPr="00A84A5B">
        <w:rPr>
          <w:bCs/>
          <w:lang w:val="es-ES_tradnl"/>
        </w:rPr>
        <w:t>Banco Mundial</w:t>
      </w:r>
    </w:p>
    <w:p w14:paraId="09FFCAD0" w14:textId="58F32E37" w:rsidR="00344CD2" w:rsidRPr="00A84A5B" w:rsidRDefault="00344CD2" w:rsidP="00344CD2">
      <w:pPr>
        <w:keepNext/>
        <w:keepLines/>
        <w:spacing w:after="120"/>
        <w:ind w:left="1247"/>
        <w:rPr>
          <w:bCs/>
          <w:lang w:val="es-ES_tradnl"/>
        </w:rPr>
      </w:pPr>
      <w:r w:rsidRPr="00A84A5B">
        <w:rPr>
          <w:lang w:val="es-ES_tradnl"/>
        </w:rPr>
        <w:t>Thanavat Junchaya</w:t>
      </w:r>
      <w:r w:rsidRPr="00A84A5B">
        <w:rPr>
          <w:lang w:val="es-ES_tradnl"/>
        </w:rPr>
        <w:br/>
        <w:t xml:space="preserve">Senior </w:t>
      </w:r>
      <w:proofErr w:type="spellStart"/>
      <w:r w:rsidRPr="00A84A5B">
        <w:rPr>
          <w:lang w:val="es-ES_tradnl"/>
        </w:rPr>
        <w:t>Environmental</w:t>
      </w:r>
      <w:proofErr w:type="spellEnd"/>
      <w:r w:rsidRPr="00A84A5B">
        <w:rPr>
          <w:lang w:val="es-ES_tradnl"/>
        </w:rPr>
        <w:t xml:space="preserve"> Engineer</w:t>
      </w:r>
      <w:r w:rsidRPr="00A84A5B">
        <w:rPr>
          <w:lang w:val="es-ES_tradnl"/>
        </w:rPr>
        <w:br/>
        <w:t xml:space="preserve">Environment, Natural </w:t>
      </w:r>
      <w:proofErr w:type="spellStart"/>
      <w:r w:rsidRPr="00A84A5B">
        <w:rPr>
          <w:lang w:val="es-ES_tradnl"/>
        </w:rPr>
        <w:t>Resources</w:t>
      </w:r>
      <w:proofErr w:type="spellEnd"/>
      <w:r w:rsidRPr="00A84A5B">
        <w:rPr>
          <w:lang w:val="es-ES_tradnl"/>
        </w:rPr>
        <w:t xml:space="preserve"> and Blue Economy</w:t>
      </w:r>
      <w:r w:rsidRPr="00A84A5B">
        <w:rPr>
          <w:lang w:val="es-ES_tradnl"/>
        </w:rPr>
        <w:br/>
        <w:t>The World Bank</w:t>
      </w:r>
      <w:r w:rsidRPr="00A84A5B">
        <w:rPr>
          <w:lang w:val="es-ES_tradnl"/>
        </w:rPr>
        <w:br/>
        <w:t>Washington, DC 20433</w:t>
      </w:r>
      <w:r w:rsidRPr="00A84A5B">
        <w:rPr>
          <w:lang w:val="es-ES_tradnl"/>
        </w:rPr>
        <w:br/>
        <w:t>Estados Unidos de América</w:t>
      </w:r>
      <w:r w:rsidRPr="00A84A5B">
        <w:rPr>
          <w:lang w:val="es-ES_tradnl"/>
        </w:rPr>
        <w:br/>
        <w:t xml:space="preserve">Correo electrónico: </w:t>
      </w:r>
      <w:hyperlink r:id="rId43" w:history="1">
        <w:r w:rsidRPr="00A84A5B">
          <w:rPr>
            <w:rStyle w:val="Hyperlink"/>
            <w:bCs/>
            <w:lang w:val="es-ES_tradnl"/>
          </w:rPr>
          <w:t>t</w:t>
        </w:r>
        <w:r w:rsidRPr="00A84A5B">
          <w:rPr>
            <w:rStyle w:val="Hyperlink"/>
            <w:color w:val="0000FF"/>
            <w:lang w:val="es-ES_tradnl"/>
          </w:rPr>
          <w:t>junchaya@worldbank.org</w:t>
        </w:r>
      </w:hyperlink>
      <w:hyperlink r:id="rId44" w:history="1"/>
    </w:p>
    <w:p w14:paraId="35145618" w14:textId="0440EBCB" w:rsidR="00344CD2" w:rsidRPr="00A84A5B" w:rsidRDefault="00344CD2" w:rsidP="00344CD2">
      <w:pPr>
        <w:ind w:left="1247"/>
        <w:rPr>
          <w:bCs/>
          <w:lang w:val="es-ES_tradnl"/>
        </w:rPr>
      </w:pPr>
      <w:proofErr w:type="spellStart"/>
      <w:r w:rsidRPr="00A84A5B">
        <w:rPr>
          <w:lang w:val="es-ES_tradnl"/>
        </w:rPr>
        <w:t>Jiang</w:t>
      </w:r>
      <w:proofErr w:type="spellEnd"/>
      <w:r w:rsidRPr="00A84A5B">
        <w:rPr>
          <w:lang w:val="es-ES_tradnl"/>
        </w:rPr>
        <w:t xml:space="preserve"> Ru</w:t>
      </w:r>
      <w:r w:rsidRPr="00A84A5B">
        <w:rPr>
          <w:lang w:val="es-ES_tradnl"/>
        </w:rPr>
        <w:br/>
      </w:r>
      <w:proofErr w:type="spellStart"/>
      <w:r w:rsidRPr="00A84A5B">
        <w:rPr>
          <w:lang w:val="es-ES_tradnl"/>
        </w:rPr>
        <w:t>Practice</w:t>
      </w:r>
      <w:proofErr w:type="spellEnd"/>
      <w:r w:rsidRPr="00A84A5B">
        <w:rPr>
          <w:lang w:val="es-ES_tradnl"/>
        </w:rPr>
        <w:t xml:space="preserve"> Manager</w:t>
      </w:r>
      <w:r w:rsidRPr="00A84A5B">
        <w:rPr>
          <w:lang w:val="es-ES_tradnl"/>
        </w:rPr>
        <w:br/>
        <w:t xml:space="preserve">Environment and </w:t>
      </w:r>
      <w:proofErr w:type="spellStart"/>
      <w:r w:rsidRPr="00A84A5B">
        <w:rPr>
          <w:lang w:val="es-ES_tradnl"/>
        </w:rPr>
        <w:t>Corporate</w:t>
      </w:r>
      <w:proofErr w:type="spellEnd"/>
      <w:r w:rsidRPr="00A84A5B">
        <w:rPr>
          <w:lang w:val="es-ES_tradnl"/>
        </w:rPr>
        <w:t xml:space="preserve"> </w:t>
      </w:r>
      <w:proofErr w:type="spellStart"/>
      <w:r w:rsidRPr="00A84A5B">
        <w:rPr>
          <w:lang w:val="es-ES_tradnl"/>
        </w:rPr>
        <w:t>Responsibility</w:t>
      </w:r>
      <w:proofErr w:type="spellEnd"/>
      <w:r w:rsidRPr="00A84A5B">
        <w:rPr>
          <w:lang w:val="es-ES_tradnl"/>
        </w:rPr>
        <w:br/>
        <w:t>The World Bank</w:t>
      </w:r>
      <w:r w:rsidRPr="00A84A5B">
        <w:rPr>
          <w:lang w:val="es-ES_tradnl"/>
        </w:rPr>
        <w:br/>
        <w:t>Washington, DC 20433</w:t>
      </w:r>
      <w:r w:rsidRPr="00A84A5B">
        <w:rPr>
          <w:lang w:val="es-ES_tradnl"/>
        </w:rPr>
        <w:br/>
        <w:t>Estados Unidos de América</w:t>
      </w:r>
      <w:r w:rsidRPr="00A84A5B">
        <w:rPr>
          <w:lang w:val="es-ES_tradnl"/>
        </w:rPr>
        <w:br/>
        <w:t xml:space="preserve">Correo electrónico: </w:t>
      </w:r>
      <w:hyperlink r:id="rId45" w:history="1">
        <w:r w:rsidRPr="00A84A5B">
          <w:rPr>
            <w:rStyle w:val="Hyperlink"/>
            <w:color w:val="0000FF"/>
            <w:lang w:val="es-ES_tradnl"/>
          </w:rPr>
          <w:t>jru@worldbank.org</w:t>
        </w:r>
      </w:hyperlink>
      <w:hyperlink r:id="rId46" w:history="1"/>
    </w:p>
    <w:p w14:paraId="2FFDF2B0" w14:textId="416387BF" w:rsidR="00C25773" w:rsidRPr="00A84A5B" w:rsidRDefault="00C25773" w:rsidP="00C67BBE">
      <w:pPr>
        <w:pStyle w:val="CH3"/>
        <w:keepNext w:val="0"/>
        <w:keepLines w:val="0"/>
        <w:tabs>
          <w:tab w:val="clear" w:pos="4990"/>
        </w:tabs>
        <w:spacing w:before="120"/>
        <w:ind w:right="284" w:firstLine="0"/>
        <w:rPr>
          <w:lang w:val="es-ES_tradnl"/>
        </w:rPr>
      </w:pPr>
      <w:r w:rsidRPr="00A84A5B">
        <w:rPr>
          <w:bCs/>
          <w:lang w:val="es-ES_tradnl"/>
        </w:rPr>
        <w:t>Secretaría del Fondo Multilateral</w:t>
      </w:r>
    </w:p>
    <w:p w14:paraId="2048144F" w14:textId="0FBB286F" w:rsidR="00365C89" w:rsidRPr="00A84A5B" w:rsidRDefault="00C25773" w:rsidP="00905657">
      <w:pPr>
        <w:spacing w:after="120"/>
        <w:ind w:left="1247"/>
        <w:rPr>
          <w:rStyle w:val="Hyperlink"/>
          <w:color w:val="0000FF"/>
          <w:lang w:val="es-ES_tradnl"/>
        </w:rPr>
      </w:pPr>
      <w:r w:rsidRPr="00A84A5B">
        <w:rPr>
          <w:lang w:val="es-ES_tradnl"/>
        </w:rPr>
        <w:t>Tina Birmpili</w:t>
      </w:r>
      <w:r w:rsidR="00E55475" w:rsidRPr="00A84A5B">
        <w:rPr>
          <w:lang w:val="es-ES_tradnl"/>
        </w:rPr>
        <w:br/>
      </w:r>
      <w:r w:rsidRPr="00A84A5B">
        <w:rPr>
          <w:lang w:val="es-ES_tradnl"/>
        </w:rPr>
        <w:t>Chief Officer</w:t>
      </w:r>
      <w:r w:rsidR="00E55475" w:rsidRPr="00A84A5B">
        <w:rPr>
          <w:lang w:val="es-ES_tradnl"/>
        </w:rPr>
        <w:br/>
      </w:r>
      <w:r w:rsidRPr="00A84A5B">
        <w:rPr>
          <w:lang w:val="es-ES_tradnl"/>
        </w:rPr>
        <w:t>Multilateral Fund Secretariat</w:t>
      </w:r>
      <w:r w:rsidR="00E55475" w:rsidRPr="00A84A5B">
        <w:rPr>
          <w:lang w:val="es-ES_tradnl"/>
        </w:rPr>
        <w:br/>
      </w:r>
      <w:r w:rsidRPr="00A84A5B">
        <w:rPr>
          <w:lang w:val="es-ES_tradnl"/>
        </w:rPr>
        <w:t>Montreal, Quebec H3B 4W5</w:t>
      </w:r>
      <w:r w:rsidR="00E55475" w:rsidRPr="00A84A5B">
        <w:rPr>
          <w:lang w:val="es-ES_tradnl"/>
        </w:rPr>
        <w:br/>
      </w:r>
      <w:r w:rsidRPr="00A84A5B">
        <w:rPr>
          <w:lang w:val="es-ES_tradnl"/>
        </w:rPr>
        <w:t>Canadá</w:t>
      </w:r>
      <w:r w:rsidR="002B07EE" w:rsidRPr="00A84A5B">
        <w:rPr>
          <w:lang w:val="es-ES_tradnl"/>
        </w:rPr>
        <w:br/>
      </w:r>
      <w:r w:rsidRPr="00A84A5B">
        <w:rPr>
          <w:lang w:val="es-ES_tradnl"/>
        </w:rPr>
        <w:t xml:space="preserve">Correo electrónico: </w:t>
      </w:r>
      <w:hyperlink r:id="rId47" w:history="1">
        <w:r w:rsidR="00CD520F" w:rsidRPr="00A84A5B">
          <w:rPr>
            <w:rStyle w:val="Hyperlink"/>
            <w:color w:val="0000FF"/>
            <w:lang w:val="es-ES_tradnl"/>
          </w:rPr>
          <w:t>tina.birmpili@un.org</w:t>
        </w:r>
      </w:hyperlink>
      <w:hyperlink r:id="rId48" w:history="1"/>
    </w:p>
    <w:p w14:paraId="1F318608" w14:textId="49A28F3B" w:rsidR="00365C89" w:rsidRPr="00A84A5B" w:rsidRDefault="00C25773" w:rsidP="00E13C2C">
      <w:pPr>
        <w:ind w:left="1247"/>
        <w:rPr>
          <w:bCs/>
          <w:lang w:val="es-ES_tradnl"/>
        </w:rPr>
      </w:pPr>
      <w:r w:rsidRPr="00A84A5B">
        <w:rPr>
          <w:lang w:val="es-ES_tradnl"/>
        </w:rPr>
        <w:t>Balaji Natarajan</w:t>
      </w:r>
      <w:r w:rsidR="002B07EE" w:rsidRPr="00A84A5B">
        <w:rPr>
          <w:lang w:val="es-ES_tradnl"/>
        </w:rPr>
        <w:br/>
      </w:r>
      <w:r w:rsidRPr="00A84A5B">
        <w:rPr>
          <w:lang w:val="es-ES_tradnl"/>
        </w:rPr>
        <w:t>Senior Programme Management</w:t>
      </w:r>
      <w:r w:rsidR="002B07EE" w:rsidRPr="00A84A5B">
        <w:rPr>
          <w:lang w:val="es-ES_tradnl"/>
        </w:rPr>
        <w:br/>
      </w:r>
      <w:r w:rsidRPr="00A84A5B">
        <w:rPr>
          <w:lang w:val="es-ES_tradnl"/>
        </w:rPr>
        <w:t>Officer</w:t>
      </w:r>
      <w:r w:rsidR="002B07EE" w:rsidRPr="00A84A5B">
        <w:rPr>
          <w:lang w:val="es-ES_tradnl"/>
        </w:rPr>
        <w:br/>
      </w:r>
      <w:r w:rsidRPr="00A84A5B">
        <w:rPr>
          <w:lang w:val="es-ES_tradnl"/>
        </w:rPr>
        <w:t>Multilateral Fund Secretariat</w:t>
      </w:r>
      <w:r w:rsidR="002B07EE" w:rsidRPr="00A84A5B">
        <w:rPr>
          <w:lang w:val="es-ES_tradnl"/>
        </w:rPr>
        <w:br/>
      </w:r>
      <w:r w:rsidRPr="00A84A5B">
        <w:rPr>
          <w:lang w:val="es-ES_tradnl"/>
        </w:rPr>
        <w:t>Montreal, Quebec H3B 4W5</w:t>
      </w:r>
      <w:r w:rsidR="002B07EE" w:rsidRPr="00A84A5B">
        <w:rPr>
          <w:lang w:val="es-ES_tradnl"/>
        </w:rPr>
        <w:br/>
      </w:r>
      <w:r w:rsidRPr="00A84A5B">
        <w:rPr>
          <w:lang w:val="es-ES_tradnl"/>
        </w:rPr>
        <w:t>Canadá</w:t>
      </w:r>
      <w:r w:rsidR="002B07EE" w:rsidRPr="00A84A5B">
        <w:rPr>
          <w:lang w:val="es-ES_tradnl"/>
        </w:rPr>
        <w:br/>
      </w:r>
      <w:r w:rsidRPr="00A84A5B">
        <w:rPr>
          <w:lang w:val="es-ES_tradnl"/>
        </w:rPr>
        <w:t xml:space="preserve">Correo electrónico: </w:t>
      </w:r>
      <w:hyperlink r:id="rId49" w:history="1">
        <w:r w:rsidR="00A34502" w:rsidRPr="00A84A5B">
          <w:rPr>
            <w:rStyle w:val="Hyperlink"/>
            <w:color w:val="0000FF"/>
            <w:lang w:val="es-ES_tradnl"/>
          </w:rPr>
          <w:t>balaji.natarajan@un.org</w:t>
        </w:r>
      </w:hyperlink>
      <w:hyperlink r:id="rId50" w:history="1"/>
    </w:p>
    <w:p w14:paraId="35BD17DD" w14:textId="345C660D" w:rsidR="00C25773" w:rsidRPr="00A84A5B" w:rsidRDefault="00C25773" w:rsidP="00C67BBE">
      <w:pPr>
        <w:pStyle w:val="CH3"/>
        <w:keepNext w:val="0"/>
        <w:keepLines w:val="0"/>
        <w:tabs>
          <w:tab w:val="clear" w:pos="4990"/>
        </w:tabs>
        <w:spacing w:before="120"/>
        <w:ind w:right="284" w:firstLine="0"/>
        <w:rPr>
          <w:lang w:val="es-ES_tradnl"/>
        </w:rPr>
      </w:pPr>
      <w:r w:rsidRPr="00A84A5B">
        <w:rPr>
          <w:bCs/>
          <w:lang w:val="es-ES_tradnl"/>
        </w:rPr>
        <w:t>Comité Ejecutivo del Fondo Multilateral</w:t>
      </w:r>
    </w:p>
    <w:p w14:paraId="5E006F9F" w14:textId="7C5DA505" w:rsidR="00365C89" w:rsidRPr="00A84A5B" w:rsidRDefault="00C25773" w:rsidP="00905657">
      <w:pPr>
        <w:spacing w:after="120"/>
        <w:ind w:left="1247"/>
        <w:rPr>
          <w:bCs/>
          <w:lang w:val="es-ES_tradnl"/>
        </w:rPr>
      </w:pPr>
      <w:r w:rsidRPr="00A84A5B">
        <w:rPr>
          <w:lang w:val="es-ES_tradnl"/>
        </w:rPr>
        <w:t>Alessandro Giuliano Peru (Chair)</w:t>
      </w:r>
      <w:r w:rsidR="000137C6" w:rsidRPr="00A84A5B">
        <w:rPr>
          <w:lang w:val="es-ES_tradnl"/>
        </w:rPr>
        <w:br/>
      </w:r>
      <w:r w:rsidRPr="00A84A5B">
        <w:rPr>
          <w:lang w:val="es-ES_tradnl"/>
        </w:rPr>
        <w:t>National Focal Point</w:t>
      </w:r>
      <w:r w:rsidR="000137C6" w:rsidRPr="00A84A5B">
        <w:rPr>
          <w:lang w:val="es-ES_tradnl"/>
        </w:rPr>
        <w:br/>
      </w:r>
      <w:r w:rsidRPr="00462C98">
        <w:rPr>
          <w:spacing w:val="-12"/>
          <w:lang w:val="es-ES_tradnl"/>
        </w:rPr>
        <w:t xml:space="preserve">SOGESID </w:t>
      </w:r>
      <w:proofErr w:type="spellStart"/>
      <w:r w:rsidRPr="00462C98">
        <w:rPr>
          <w:spacing w:val="-12"/>
          <w:lang w:val="es-ES_tradnl"/>
        </w:rPr>
        <w:t>S.p.A</w:t>
      </w:r>
      <w:proofErr w:type="spellEnd"/>
      <w:r w:rsidRPr="00462C98">
        <w:rPr>
          <w:spacing w:val="-12"/>
          <w:lang w:val="es-ES_tradnl"/>
        </w:rPr>
        <w:t xml:space="preserve">. </w:t>
      </w:r>
      <w:proofErr w:type="spellStart"/>
      <w:r w:rsidRPr="00462C98">
        <w:rPr>
          <w:spacing w:val="-12"/>
          <w:lang w:val="es-ES_tradnl"/>
        </w:rPr>
        <w:t>Technical</w:t>
      </w:r>
      <w:proofErr w:type="spellEnd"/>
      <w:r w:rsidRPr="00462C98">
        <w:rPr>
          <w:spacing w:val="-12"/>
          <w:lang w:val="es-ES_tradnl"/>
        </w:rPr>
        <w:t xml:space="preserve"> </w:t>
      </w:r>
      <w:proofErr w:type="spellStart"/>
      <w:r w:rsidRPr="00462C98">
        <w:rPr>
          <w:spacing w:val="-12"/>
          <w:lang w:val="es-ES_tradnl"/>
        </w:rPr>
        <w:t>Assistance</w:t>
      </w:r>
      <w:proofErr w:type="spellEnd"/>
      <w:r w:rsidRPr="00462C98">
        <w:rPr>
          <w:spacing w:val="-12"/>
          <w:lang w:val="es-ES_tradnl"/>
        </w:rPr>
        <w:t xml:space="preserve"> Unit</w:t>
      </w:r>
      <w:r w:rsidR="00462C98">
        <w:rPr>
          <w:lang w:val="es-ES_tradnl"/>
        </w:rPr>
        <w:br/>
      </w:r>
      <w:proofErr w:type="spellStart"/>
      <w:r w:rsidRPr="00A84A5B">
        <w:rPr>
          <w:lang w:val="es-ES_tradnl"/>
        </w:rPr>
        <w:t>Directorate</w:t>
      </w:r>
      <w:proofErr w:type="spellEnd"/>
      <w:r w:rsidRPr="00A84A5B">
        <w:rPr>
          <w:lang w:val="es-ES_tradnl"/>
        </w:rPr>
        <w:t xml:space="preserve">-General for </w:t>
      </w:r>
      <w:proofErr w:type="spellStart"/>
      <w:r w:rsidRPr="00A84A5B">
        <w:rPr>
          <w:lang w:val="es-ES_tradnl"/>
        </w:rPr>
        <w:t>European</w:t>
      </w:r>
      <w:proofErr w:type="spellEnd"/>
      <w:r w:rsidRPr="00A84A5B">
        <w:rPr>
          <w:lang w:val="es-ES_tradnl"/>
        </w:rPr>
        <w:t xml:space="preserve"> and International Affairs and </w:t>
      </w:r>
      <w:proofErr w:type="spellStart"/>
      <w:r w:rsidRPr="00A84A5B">
        <w:rPr>
          <w:lang w:val="es-ES_tradnl"/>
        </w:rPr>
        <w:t>Sustainable</w:t>
      </w:r>
      <w:proofErr w:type="spellEnd"/>
      <w:r w:rsidRPr="00A84A5B">
        <w:rPr>
          <w:lang w:val="es-ES_tradnl"/>
        </w:rPr>
        <w:t xml:space="preserve"> </w:t>
      </w:r>
      <w:proofErr w:type="spellStart"/>
      <w:r w:rsidRPr="00A84A5B">
        <w:rPr>
          <w:lang w:val="es-ES_tradnl"/>
        </w:rPr>
        <w:t>Finance</w:t>
      </w:r>
      <w:proofErr w:type="spellEnd"/>
      <w:r w:rsidR="000137C6" w:rsidRPr="00A84A5B">
        <w:rPr>
          <w:lang w:val="es-ES_tradnl"/>
        </w:rPr>
        <w:br/>
      </w:r>
      <w:r w:rsidRPr="00A84A5B">
        <w:rPr>
          <w:lang w:val="es-ES_tradnl"/>
        </w:rPr>
        <w:t>Ministry of Environment and Energy Security</w:t>
      </w:r>
      <w:r w:rsidR="000137C6" w:rsidRPr="00A84A5B">
        <w:rPr>
          <w:lang w:val="es-ES_tradnl"/>
        </w:rPr>
        <w:br/>
      </w:r>
      <w:r w:rsidRPr="00A84A5B">
        <w:rPr>
          <w:lang w:val="es-ES_tradnl"/>
        </w:rPr>
        <w:t>Rome</w:t>
      </w:r>
      <w:r w:rsidR="000137C6" w:rsidRPr="00A84A5B">
        <w:rPr>
          <w:lang w:val="es-ES_tradnl"/>
        </w:rPr>
        <w:br/>
      </w:r>
      <w:r w:rsidRPr="00A84A5B">
        <w:rPr>
          <w:lang w:val="es-ES_tradnl"/>
        </w:rPr>
        <w:t>Italia</w:t>
      </w:r>
      <w:r w:rsidR="000137C6" w:rsidRPr="00A84A5B">
        <w:rPr>
          <w:lang w:val="es-ES_tradnl"/>
        </w:rPr>
        <w:br/>
      </w:r>
      <w:r w:rsidRPr="00A84A5B">
        <w:rPr>
          <w:lang w:val="es-ES_tradnl"/>
        </w:rPr>
        <w:t xml:space="preserve">Correo electrónico: </w:t>
      </w:r>
      <w:hyperlink r:id="rId51" w:history="1">
        <w:r w:rsidR="00F774B3" w:rsidRPr="00A84A5B">
          <w:rPr>
            <w:rStyle w:val="Hyperlink"/>
            <w:color w:val="0000FF"/>
            <w:lang w:val="es-ES_tradnl"/>
          </w:rPr>
          <w:t>peru.alessandro@mase.gov.it</w:t>
        </w:r>
      </w:hyperlink>
      <w:r w:rsidR="00F774B3" w:rsidRPr="00A84A5B">
        <w:rPr>
          <w:bCs/>
          <w:lang w:val="es-ES_tradnl"/>
        </w:rPr>
        <w:t xml:space="preserve">, </w:t>
      </w:r>
      <w:hyperlink r:id="rId52" w:history="1">
        <w:r w:rsidR="00F774B3" w:rsidRPr="00A84A5B">
          <w:rPr>
            <w:rStyle w:val="Hyperlink"/>
            <w:color w:val="0000FF"/>
            <w:lang w:val="es-ES_tradnl"/>
          </w:rPr>
          <w:t>g.peru@sogesid.it</w:t>
        </w:r>
      </w:hyperlink>
      <w:hyperlink r:id="rId53" w:history="1"/>
      <w:hyperlink r:id="rId54" w:history="1"/>
    </w:p>
    <w:p w14:paraId="2B9E6DB3" w14:textId="77777777" w:rsidR="00344CD2" w:rsidRDefault="00344CD2" w:rsidP="00E13C2C">
      <w:pPr>
        <w:ind w:left="1247"/>
        <w:rPr>
          <w:lang w:val="es-ES_tradnl"/>
        </w:rPr>
      </w:pPr>
    </w:p>
    <w:p w14:paraId="4CDA1353" w14:textId="2F90A1CF" w:rsidR="007470DF" w:rsidRPr="00A84A5B" w:rsidRDefault="00C25773" w:rsidP="00E13C2C">
      <w:pPr>
        <w:ind w:left="1247"/>
        <w:rPr>
          <w:bCs/>
          <w:lang w:val="es-ES_tradnl"/>
        </w:rPr>
      </w:pPr>
      <w:r w:rsidRPr="00A84A5B">
        <w:rPr>
          <w:lang w:val="es-ES_tradnl"/>
        </w:rPr>
        <w:t>Mathatela Augustinus Ntsatsi (Vice-Chair)</w:t>
      </w:r>
      <w:r w:rsidR="000137C6" w:rsidRPr="00A84A5B">
        <w:rPr>
          <w:lang w:val="es-ES_tradnl"/>
        </w:rPr>
        <w:br/>
      </w:r>
      <w:r w:rsidRPr="00A84A5B">
        <w:rPr>
          <w:lang w:val="es-ES_tradnl"/>
        </w:rPr>
        <w:t>National Ozone Officer</w:t>
      </w:r>
      <w:r w:rsidR="000137C6" w:rsidRPr="00A84A5B">
        <w:rPr>
          <w:lang w:val="es-ES_tradnl"/>
        </w:rPr>
        <w:br/>
      </w:r>
      <w:r w:rsidRPr="00A84A5B">
        <w:rPr>
          <w:lang w:val="es-ES_tradnl"/>
        </w:rPr>
        <w:t xml:space="preserve">Ministry of Environment and </w:t>
      </w:r>
      <w:proofErr w:type="spellStart"/>
      <w:r w:rsidRPr="00A84A5B">
        <w:rPr>
          <w:lang w:val="es-ES_tradnl"/>
        </w:rPr>
        <w:t>Forestry</w:t>
      </w:r>
      <w:proofErr w:type="spellEnd"/>
      <w:r w:rsidR="000137C6" w:rsidRPr="00A84A5B">
        <w:rPr>
          <w:lang w:val="es-ES_tradnl"/>
        </w:rPr>
        <w:br/>
      </w:r>
      <w:r w:rsidRPr="00A84A5B">
        <w:rPr>
          <w:lang w:val="es-ES_tradnl"/>
        </w:rPr>
        <w:t>Maseru</w:t>
      </w:r>
      <w:r w:rsidR="000137C6" w:rsidRPr="00A84A5B">
        <w:rPr>
          <w:lang w:val="es-ES_tradnl"/>
        </w:rPr>
        <w:br/>
      </w:r>
      <w:r w:rsidRPr="00A84A5B">
        <w:rPr>
          <w:lang w:val="es-ES_tradnl"/>
        </w:rPr>
        <w:t>Lesotho</w:t>
      </w:r>
      <w:r w:rsidR="000137C6" w:rsidRPr="00A84A5B">
        <w:rPr>
          <w:lang w:val="es-ES_tradnl"/>
        </w:rPr>
        <w:br/>
      </w:r>
      <w:r w:rsidRPr="00A84A5B">
        <w:rPr>
          <w:lang w:val="es-ES_tradnl"/>
        </w:rPr>
        <w:t xml:space="preserve">Correo electrónico: </w:t>
      </w:r>
      <w:hyperlink r:id="rId55" w:history="1">
        <w:r w:rsidR="00BE5DB2" w:rsidRPr="00A84A5B">
          <w:rPr>
            <w:rStyle w:val="Hyperlink"/>
            <w:color w:val="0000FF"/>
            <w:lang w:val="es-ES_tradnl"/>
          </w:rPr>
          <w:t>ntsatsimathatela@gmail.com</w:t>
        </w:r>
      </w:hyperlink>
      <w:hyperlink r:id="rId56" w:history="1"/>
    </w:p>
    <w:p w14:paraId="53FA1141" w14:textId="77777777" w:rsidR="00A01F84" w:rsidRDefault="00A01F84">
      <w:pPr>
        <w:tabs>
          <w:tab w:val="clear" w:pos="1247"/>
          <w:tab w:val="clear" w:pos="1814"/>
          <w:tab w:val="clear" w:pos="2381"/>
          <w:tab w:val="clear" w:pos="2948"/>
          <w:tab w:val="clear" w:pos="3515"/>
        </w:tabs>
        <w:spacing w:after="160" w:line="259" w:lineRule="auto"/>
        <w:rPr>
          <w:b/>
          <w:bCs/>
          <w:lang w:val="es-ES_tradnl"/>
        </w:rPr>
      </w:pPr>
      <w:r>
        <w:rPr>
          <w:bCs/>
          <w:lang w:val="es-ES_tradnl"/>
        </w:rPr>
        <w:br w:type="page"/>
      </w:r>
    </w:p>
    <w:p w14:paraId="1F405684" w14:textId="40C801CE" w:rsidR="00C25773" w:rsidRPr="00A84A5B" w:rsidRDefault="00C25773" w:rsidP="00C67BBE">
      <w:pPr>
        <w:pStyle w:val="CH3"/>
        <w:keepNext w:val="0"/>
        <w:keepLines w:val="0"/>
        <w:tabs>
          <w:tab w:val="clear" w:pos="4990"/>
        </w:tabs>
        <w:spacing w:before="120"/>
        <w:ind w:right="284" w:firstLine="0"/>
        <w:rPr>
          <w:lang w:val="es-ES_tradnl"/>
        </w:rPr>
      </w:pPr>
      <w:r w:rsidRPr="00DA2C2D">
        <w:rPr>
          <w:rFonts w:ascii="Times New Roman Bold" w:hAnsi="Times New Roman Bold"/>
          <w:bCs/>
          <w:spacing w:val="-4"/>
          <w:lang w:val="es-ES_tradnl"/>
        </w:rPr>
        <w:lastRenderedPageBreak/>
        <w:t>Programa de las Naciones Unidas</w:t>
      </w:r>
      <w:r w:rsidRPr="00A84A5B">
        <w:rPr>
          <w:bCs/>
          <w:lang w:val="es-ES_tradnl"/>
        </w:rPr>
        <w:t xml:space="preserve"> para el Desarrollo</w:t>
      </w:r>
    </w:p>
    <w:p w14:paraId="3CDC32AF" w14:textId="1A0AF2D2" w:rsidR="007470DF" w:rsidRPr="00A84A5B" w:rsidRDefault="00C25773" w:rsidP="00B11307">
      <w:pPr>
        <w:ind w:left="1247"/>
        <w:rPr>
          <w:bCs/>
          <w:lang w:val="es-ES_tradnl"/>
        </w:rPr>
      </w:pPr>
      <w:r w:rsidRPr="00A84A5B">
        <w:rPr>
          <w:lang w:val="es-ES_tradnl"/>
        </w:rPr>
        <w:t>Paloma Somohano</w:t>
      </w:r>
      <w:r w:rsidR="00EE0103" w:rsidRPr="00A84A5B">
        <w:rPr>
          <w:lang w:val="es-ES_tradnl"/>
        </w:rPr>
        <w:br/>
      </w:r>
      <w:proofErr w:type="spellStart"/>
      <w:r w:rsidRPr="00A84A5B">
        <w:rPr>
          <w:lang w:val="es-ES_tradnl"/>
        </w:rPr>
        <w:t>Programme</w:t>
      </w:r>
      <w:proofErr w:type="spellEnd"/>
      <w:r w:rsidRPr="00A84A5B">
        <w:rPr>
          <w:lang w:val="es-ES_tradnl"/>
        </w:rPr>
        <w:t xml:space="preserve"> </w:t>
      </w:r>
      <w:proofErr w:type="spellStart"/>
      <w:r w:rsidRPr="00A84A5B">
        <w:rPr>
          <w:lang w:val="es-ES_tradnl"/>
        </w:rPr>
        <w:t>Specialist</w:t>
      </w:r>
      <w:proofErr w:type="spellEnd"/>
      <w:r w:rsidR="00EE0103" w:rsidRPr="00A84A5B">
        <w:rPr>
          <w:lang w:val="es-ES_tradnl"/>
        </w:rPr>
        <w:br/>
      </w:r>
      <w:r w:rsidRPr="00B11307">
        <w:rPr>
          <w:spacing w:val="-14"/>
          <w:lang w:val="es-ES_tradnl"/>
        </w:rPr>
        <w:t xml:space="preserve">Montreal </w:t>
      </w:r>
      <w:proofErr w:type="spellStart"/>
      <w:r w:rsidRPr="00B11307">
        <w:rPr>
          <w:spacing w:val="-14"/>
          <w:lang w:val="es-ES_tradnl"/>
        </w:rPr>
        <w:t>Protocol</w:t>
      </w:r>
      <w:proofErr w:type="spellEnd"/>
      <w:r w:rsidRPr="00B11307">
        <w:rPr>
          <w:spacing w:val="-14"/>
          <w:lang w:val="es-ES_tradnl"/>
        </w:rPr>
        <w:t>/</w:t>
      </w:r>
      <w:proofErr w:type="spellStart"/>
      <w:r w:rsidRPr="00B11307">
        <w:rPr>
          <w:spacing w:val="-14"/>
          <w:lang w:val="es-ES_tradnl"/>
        </w:rPr>
        <w:t>Chemicals</w:t>
      </w:r>
      <w:proofErr w:type="spellEnd"/>
      <w:r w:rsidRPr="00B11307">
        <w:rPr>
          <w:spacing w:val="-14"/>
          <w:lang w:val="es-ES_tradnl"/>
        </w:rPr>
        <w:t xml:space="preserve"> and Waste Unit</w:t>
      </w:r>
      <w:r w:rsidR="00EE0103" w:rsidRPr="00A84A5B">
        <w:rPr>
          <w:lang w:val="es-ES_tradnl"/>
        </w:rPr>
        <w:br/>
      </w:r>
      <w:proofErr w:type="spellStart"/>
      <w:r w:rsidRPr="00B11307">
        <w:rPr>
          <w:lang w:val="es-ES_tradnl"/>
        </w:rPr>
        <w:t>United</w:t>
      </w:r>
      <w:proofErr w:type="spellEnd"/>
      <w:r w:rsidRPr="00B11307">
        <w:rPr>
          <w:lang w:val="es-ES_tradnl"/>
        </w:rPr>
        <w:t xml:space="preserve"> Nations </w:t>
      </w:r>
      <w:proofErr w:type="spellStart"/>
      <w:r w:rsidRPr="00B11307">
        <w:rPr>
          <w:lang w:val="es-ES_tradnl"/>
        </w:rPr>
        <w:t>Development</w:t>
      </w:r>
      <w:proofErr w:type="spellEnd"/>
      <w:r w:rsidR="00EE0103" w:rsidRPr="00B11307">
        <w:rPr>
          <w:lang w:val="es-ES_tradnl"/>
        </w:rPr>
        <w:br/>
      </w:r>
      <w:proofErr w:type="spellStart"/>
      <w:r w:rsidRPr="00B11307">
        <w:rPr>
          <w:lang w:val="es-ES_tradnl"/>
        </w:rPr>
        <w:t>Programme</w:t>
      </w:r>
      <w:proofErr w:type="spellEnd"/>
      <w:r w:rsidR="00EE0103" w:rsidRPr="00A84A5B">
        <w:rPr>
          <w:lang w:val="es-ES_tradnl"/>
        </w:rPr>
        <w:br/>
      </w:r>
      <w:r w:rsidRPr="00A84A5B">
        <w:rPr>
          <w:lang w:val="es-ES_tradnl"/>
        </w:rPr>
        <w:t>New York</w:t>
      </w:r>
      <w:r w:rsidR="00EE0103" w:rsidRPr="00A84A5B">
        <w:rPr>
          <w:lang w:val="es-ES_tradnl"/>
        </w:rPr>
        <w:br/>
      </w:r>
      <w:r w:rsidRPr="00A84A5B">
        <w:rPr>
          <w:lang w:val="es-ES_tradnl"/>
        </w:rPr>
        <w:t>Estados Unidos de América</w:t>
      </w:r>
      <w:r w:rsidR="00EE0103" w:rsidRPr="00A84A5B">
        <w:rPr>
          <w:lang w:val="es-ES_tradnl"/>
        </w:rPr>
        <w:br/>
      </w:r>
      <w:r w:rsidRPr="00A84A5B">
        <w:rPr>
          <w:lang w:val="es-ES_tradnl"/>
        </w:rPr>
        <w:t xml:space="preserve">Correo electrónico: </w:t>
      </w:r>
      <w:hyperlink r:id="rId57" w:history="1">
        <w:r w:rsidR="009D3201" w:rsidRPr="00A84A5B">
          <w:rPr>
            <w:rStyle w:val="Hyperlink"/>
            <w:color w:val="0000FF"/>
            <w:lang w:val="es-ES_tradnl"/>
          </w:rPr>
          <w:t>paloma.somohano@undp.org</w:t>
        </w:r>
      </w:hyperlink>
      <w:hyperlink r:id="rId58" w:history="1"/>
    </w:p>
    <w:p w14:paraId="0C54932D" w14:textId="6D108EDF" w:rsidR="00C25773" w:rsidRPr="00A84A5B" w:rsidRDefault="00C25773" w:rsidP="00B11307">
      <w:pPr>
        <w:pStyle w:val="CH3"/>
        <w:keepNext w:val="0"/>
        <w:keepLines w:val="0"/>
        <w:tabs>
          <w:tab w:val="clear" w:pos="4990"/>
        </w:tabs>
        <w:spacing w:before="120"/>
        <w:ind w:right="284" w:firstLine="0"/>
        <w:rPr>
          <w:lang w:val="es-ES_tradnl"/>
        </w:rPr>
      </w:pPr>
      <w:r w:rsidRPr="00A84A5B">
        <w:rPr>
          <w:bCs/>
          <w:lang w:val="es-ES_tradnl"/>
        </w:rPr>
        <w:t>Programa de las Naciones Unidas para el Medio Ambiente</w:t>
      </w:r>
    </w:p>
    <w:p w14:paraId="132BF718" w14:textId="5A9C58BD" w:rsidR="00C25773" w:rsidRPr="00A01F84" w:rsidRDefault="00C25773" w:rsidP="00B11307">
      <w:pPr>
        <w:spacing w:after="120"/>
        <w:ind w:left="1247"/>
        <w:rPr>
          <w:rStyle w:val="Hyperlink"/>
          <w:color w:val="0000FF"/>
          <w:lang w:val="es-ES_tradnl"/>
        </w:rPr>
      </w:pPr>
      <w:r w:rsidRPr="00A84A5B">
        <w:rPr>
          <w:lang w:val="es-ES_tradnl"/>
        </w:rPr>
        <w:t>James Curlin</w:t>
      </w:r>
      <w:r w:rsidR="009D3201" w:rsidRPr="00A84A5B">
        <w:rPr>
          <w:lang w:val="es-ES_tradnl"/>
        </w:rPr>
        <w:br/>
      </w:r>
      <w:r w:rsidRPr="00A84A5B">
        <w:rPr>
          <w:lang w:val="es-ES_tradnl"/>
        </w:rPr>
        <w:t xml:space="preserve">Head of </w:t>
      </w:r>
      <w:proofErr w:type="spellStart"/>
      <w:r w:rsidRPr="00A84A5B">
        <w:rPr>
          <w:lang w:val="es-ES_tradnl"/>
        </w:rPr>
        <w:t>OzonAction</w:t>
      </w:r>
      <w:proofErr w:type="spellEnd"/>
      <w:r w:rsidR="009D3201" w:rsidRPr="00A84A5B">
        <w:rPr>
          <w:lang w:val="es-ES_tradnl"/>
        </w:rPr>
        <w:br/>
      </w:r>
      <w:r w:rsidRPr="00A84A5B">
        <w:rPr>
          <w:lang w:val="es-ES_tradnl"/>
        </w:rPr>
        <w:t xml:space="preserve">Law </w:t>
      </w:r>
      <w:proofErr w:type="spellStart"/>
      <w:r w:rsidRPr="00A84A5B">
        <w:rPr>
          <w:lang w:val="es-ES_tradnl"/>
        </w:rPr>
        <w:t>Division</w:t>
      </w:r>
      <w:proofErr w:type="spellEnd"/>
      <w:r w:rsidR="009D3201" w:rsidRPr="00A84A5B">
        <w:rPr>
          <w:lang w:val="es-ES_tradnl"/>
        </w:rPr>
        <w:br/>
      </w:r>
      <w:proofErr w:type="spellStart"/>
      <w:r w:rsidRPr="00DA2C2D">
        <w:rPr>
          <w:spacing w:val="-6"/>
          <w:lang w:val="es-ES_tradnl"/>
        </w:rPr>
        <w:t>United</w:t>
      </w:r>
      <w:proofErr w:type="spellEnd"/>
      <w:r w:rsidRPr="00DA2C2D">
        <w:rPr>
          <w:spacing w:val="-6"/>
          <w:lang w:val="es-ES_tradnl"/>
        </w:rPr>
        <w:t xml:space="preserve"> Nations Environment </w:t>
      </w:r>
      <w:proofErr w:type="spellStart"/>
      <w:r w:rsidRPr="00DA2C2D">
        <w:rPr>
          <w:spacing w:val="-6"/>
          <w:lang w:val="es-ES_tradnl"/>
        </w:rPr>
        <w:t>Programme</w:t>
      </w:r>
      <w:proofErr w:type="spellEnd"/>
      <w:r w:rsidR="009D3201" w:rsidRPr="00A84A5B">
        <w:rPr>
          <w:lang w:val="es-ES_tradnl"/>
        </w:rPr>
        <w:br/>
      </w:r>
      <w:r w:rsidRPr="00A84A5B">
        <w:rPr>
          <w:lang w:val="es-ES_tradnl"/>
        </w:rPr>
        <w:t xml:space="preserve">Correo electrónico: </w:t>
      </w:r>
      <w:hyperlink r:id="rId59" w:history="1">
        <w:r w:rsidR="007751CF" w:rsidRPr="00A01F84">
          <w:rPr>
            <w:rStyle w:val="Hyperlink"/>
            <w:color w:val="0000FF"/>
            <w:lang w:val="es-ES_tradnl"/>
          </w:rPr>
          <w:t>jim.curlin@un.org</w:t>
        </w:r>
      </w:hyperlink>
    </w:p>
    <w:p w14:paraId="2C4D8E9C" w14:textId="31121EDF" w:rsidR="00876091" w:rsidRPr="00A84A5B" w:rsidRDefault="00876091" w:rsidP="00B11307">
      <w:pPr>
        <w:spacing w:after="120"/>
        <w:ind w:left="1247"/>
        <w:rPr>
          <w:lang w:val="es-ES_tradnl"/>
        </w:rPr>
      </w:pPr>
      <w:r w:rsidRPr="00A84A5B">
        <w:rPr>
          <w:lang w:val="es-ES_tradnl"/>
        </w:rPr>
        <w:t>Tatiana Terekhova</w:t>
      </w:r>
      <w:r w:rsidR="007751CF" w:rsidRPr="00A84A5B">
        <w:rPr>
          <w:lang w:val="es-ES_tradnl"/>
        </w:rPr>
        <w:br/>
      </w:r>
      <w:r w:rsidRPr="00A84A5B">
        <w:rPr>
          <w:lang w:val="es-ES_tradnl"/>
        </w:rPr>
        <w:t>Capacity Building Manager</w:t>
      </w:r>
      <w:r w:rsidR="007751CF" w:rsidRPr="00A84A5B">
        <w:rPr>
          <w:lang w:val="es-ES_tradnl"/>
        </w:rPr>
        <w:br/>
      </w:r>
      <w:proofErr w:type="spellStart"/>
      <w:r w:rsidRPr="00A84A5B">
        <w:rPr>
          <w:lang w:val="es-ES_tradnl"/>
        </w:rPr>
        <w:t>OzonAction</w:t>
      </w:r>
      <w:proofErr w:type="spellEnd"/>
      <w:r w:rsidRPr="00A84A5B">
        <w:rPr>
          <w:lang w:val="es-ES_tradnl"/>
        </w:rPr>
        <w:t xml:space="preserve"> UNEP</w:t>
      </w:r>
      <w:r w:rsidR="007751CF" w:rsidRPr="00A84A5B">
        <w:rPr>
          <w:lang w:val="es-ES_tradnl"/>
        </w:rPr>
        <w:br/>
      </w:r>
      <w:proofErr w:type="spellStart"/>
      <w:r w:rsidRPr="00DA2C2D">
        <w:rPr>
          <w:spacing w:val="-6"/>
          <w:lang w:val="es-ES_tradnl"/>
        </w:rPr>
        <w:t>United</w:t>
      </w:r>
      <w:proofErr w:type="spellEnd"/>
      <w:r w:rsidRPr="00DA2C2D">
        <w:rPr>
          <w:spacing w:val="-6"/>
          <w:lang w:val="es-ES_tradnl"/>
        </w:rPr>
        <w:t xml:space="preserve"> Nations Environment </w:t>
      </w:r>
      <w:proofErr w:type="spellStart"/>
      <w:r w:rsidRPr="00DA2C2D">
        <w:rPr>
          <w:spacing w:val="-6"/>
          <w:lang w:val="es-ES_tradnl"/>
        </w:rPr>
        <w:t>Programme</w:t>
      </w:r>
      <w:proofErr w:type="spellEnd"/>
      <w:r w:rsidR="007751CF" w:rsidRPr="00A84A5B">
        <w:rPr>
          <w:lang w:val="es-ES_tradnl"/>
        </w:rPr>
        <w:br/>
      </w:r>
      <w:r w:rsidRPr="00A84A5B">
        <w:rPr>
          <w:lang w:val="es-ES_tradnl"/>
        </w:rPr>
        <w:t xml:space="preserve">Correo electrónico: </w:t>
      </w:r>
      <w:hyperlink r:id="rId60" w:history="1">
        <w:r w:rsidR="00D608E9" w:rsidRPr="00A84A5B">
          <w:rPr>
            <w:rStyle w:val="Hyperlink"/>
            <w:color w:val="0000FF"/>
            <w:lang w:val="es-ES_tradnl"/>
          </w:rPr>
          <w:t>tatiana.terekhova@un.org</w:t>
        </w:r>
      </w:hyperlink>
      <w:hyperlink r:id="rId61" w:history="1"/>
    </w:p>
    <w:p w14:paraId="299FEDDC" w14:textId="3B0542FF" w:rsidR="009F13E3" w:rsidRPr="00A84A5B" w:rsidRDefault="00C25773" w:rsidP="00B11307">
      <w:pPr>
        <w:spacing w:after="120"/>
        <w:ind w:left="1247"/>
        <w:rPr>
          <w:bCs/>
          <w:lang w:val="es-ES_tradnl"/>
        </w:rPr>
      </w:pPr>
      <w:r w:rsidRPr="00A84A5B">
        <w:rPr>
          <w:lang w:val="es-ES_tradnl"/>
        </w:rPr>
        <w:t>Yamar Guisse</w:t>
      </w:r>
      <w:r w:rsidR="00D608E9" w:rsidRPr="00A84A5B">
        <w:rPr>
          <w:lang w:val="es-ES_tradnl"/>
        </w:rPr>
        <w:br/>
      </w:r>
      <w:r w:rsidRPr="00A84A5B">
        <w:rPr>
          <w:lang w:val="es-ES_tradnl"/>
        </w:rPr>
        <w:t xml:space="preserve">Regional </w:t>
      </w:r>
      <w:proofErr w:type="spellStart"/>
      <w:r w:rsidRPr="00A84A5B">
        <w:rPr>
          <w:lang w:val="es-ES_tradnl"/>
        </w:rPr>
        <w:t>Coordinator</w:t>
      </w:r>
      <w:proofErr w:type="spellEnd"/>
      <w:r w:rsidRPr="00A84A5B">
        <w:rPr>
          <w:lang w:val="es-ES_tradnl"/>
        </w:rPr>
        <w:t xml:space="preserve">, </w:t>
      </w:r>
      <w:proofErr w:type="spellStart"/>
      <w:r w:rsidRPr="00A84A5B">
        <w:rPr>
          <w:lang w:val="es-ES_tradnl"/>
        </w:rPr>
        <w:t>Francophone</w:t>
      </w:r>
      <w:proofErr w:type="spellEnd"/>
      <w:r w:rsidR="00D608E9" w:rsidRPr="00A84A5B">
        <w:rPr>
          <w:lang w:val="es-ES_tradnl"/>
        </w:rPr>
        <w:br/>
      </w:r>
      <w:proofErr w:type="spellStart"/>
      <w:r w:rsidRPr="00B11307">
        <w:rPr>
          <w:spacing w:val="-6"/>
          <w:lang w:val="es-ES_tradnl"/>
        </w:rPr>
        <w:t>United</w:t>
      </w:r>
      <w:proofErr w:type="spellEnd"/>
      <w:r w:rsidRPr="00B11307">
        <w:rPr>
          <w:spacing w:val="-6"/>
          <w:lang w:val="es-ES_tradnl"/>
        </w:rPr>
        <w:t xml:space="preserve"> Nations Environment</w:t>
      </w:r>
      <w:r w:rsidR="00D608E9" w:rsidRPr="00B11307">
        <w:rPr>
          <w:spacing w:val="-6"/>
          <w:lang w:val="es-ES_tradnl"/>
        </w:rPr>
        <w:t xml:space="preserve"> </w:t>
      </w:r>
      <w:proofErr w:type="spellStart"/>
      <w:r w:rsidRPr="00B11307">
        <w:rPr>
          <w:spacing w:val="-6"/>
          <w:lang w:val="es-ES_tradnl"/>
        </w:rPr>
        <w:t>Programme</w:t>
      </w:r>
      <w:proofErr w:type="spellEnd"/>
      <w:r w:rsidR="00D608E9" w:rsidRPr="00A84A5B">
        <w:rPr>
          <w:lang w:val="es-ES_tradnl"/>
        </w:rPr>
        <w:br/>
      </w:r>
      <w:r w:rsidRPr="00A84A5B">
        <w:rPr>
          <w:lang w:val="es-ES_tradnl"/>
        </w:rPr>
        <w:t>Nairobi</w:t>
      </w:r>
      <w:r w:rsidR="00D608E9" w:rsidRPr="00A84A5B">
        <w:rPr>
          <w:lang w:val="es-ES_tradnl"/>
        </w:rPr>
        <w:br/>
      </w:r>
      <w:r w:rsidR="00344CD2">
        <w:rPr>
          <w:lang w:val="es-ES_tradnl"/>
        </w:rPr>
        <w:t>Kenya</w:t>
      </w:r>
      <w:r w:rsidR="00D608E9" w:rsidRPr="00A84A5B">
        <w:rPr>
          <w:lang w:val="es-ES_tradnl"/>
        </w:rPr>
        <w:br/>
      </w:r>
      <w:r w:rsidRPr="00A84A5B">
        <w:rPr>
          <w:lang w:val="es-ES_tradnl"/>
        </w:rPr>
        <w:t xml:space="preserve">Correo electrónico: </w:t>
      </w:r>
      <w:hyperlink r:id="rId62" w:history="1">
        <w:r w:rsidR="00800985" w:rsidRPr="00A84A5B">
          <w:rPr>
            <w:rStyle w:val="Hyperlink"/>
            <w:color w:val="0000FF"/>
            <w:lang w:val="es-ES_tradnl"/>
          </w:rPr>
          <w:t>guisse@un.org</w:t>
        </w:r>
      </w:hyperlink>
      <w:hyperlink r:id="rId63" w:history="1"/>
    </w:p>
    <w:p w14:paraId="2961A6D7" w14:textId="53E7FF89" w:rsidR="004A0F43" w:rsidRPr="00A84A5B" w:rsidRDefault="00A01F84" w:rsidP="00DA2C2D">
      <w:pPr>
        <w:keepNext/>
        <w:keepLines/>
        <w:spacing w:after="120"/>
        <w:ind w:left="1247"/>
        <w:rPr>
          <w:bCs/>
          <w:lang w:val="es-ES_tradnl"/>
        </w:rPr>
      </w:pPr>
      <w:r w:rsidRPr="00A84A5B">
        <w:rPr>
          <w:lang w:val="es-ES_tradnl"/>
        </w:rPr>
        <w:t>Patrick Salifu</w:t>
      </w:r>
      <w:r w:rsidRPr="00A84A5B">
        <w:rPr>
          <w:lang w:val="es-ES_tradnl"/>
        </w:rPr>
        <w:br/>
        <w:t xml:space="preserve">Regional </w:t>
      </w:r>
      <w:proofErr w:type="spellStart"/>
      <w:r w:rsidRPr="00A84A5B">
        <w:rPr>
          <w:lang w:val="es-ES_tradnl"/>
        </w:rPr>
        <w:t>Coordinator</w:t>
      </w:r>
      <w:proofErr w:type="spellEnd"/>
      <w:r w:rsidRPr="00A84A5B">
        <w:rPr>
          <w:lang w:val="es-ES_tradnl"/>
        </w:rPr>
        <w:t xml:space="preserve">, </w:t>
      </w:r>
      <w:proofErr w:type="spellStart"/>
      <w:r w:rsidRPr="00A84A5B">
        <w:rPr>
          <w:lang w:val="es-ES_tradnl"/>
        </w:rPr>
        <w:t>Anglophone</w:t>
      </w:r>
      <w:proofErr w:type="spellEnd"/>
      <w:r w:rsidRPr="00A84A5B">
        <w:rPr>
          <w:lang w:val="es-ES_tradnl"/>
        </w:rPr>
        <w:br/>
      </w:r>
      <w:proofErr w:type="spellStart"/>
      <w:r w:rsidR="00C25773" w:rsidRPr="00B11307">
        <w:rPr>
          <w:spacing w:val="-6"/>
          <w:lang w:val="es-ES_tradnl"/>
        </w:rPr>
        <w:t>United</w:t>
      </w:r>
      <w:proofErr w:type="spellEnd"/>
      <w:r w:rsidR="00C25773" w:rsidRPr="00B11307">
        <w:rPr>
          <w:spacing w:val="-6"/>
          <w:lang w:val="es-ES_tradnl"/>
        </w:rPr>
        <w:t xml:space="preserve"> Nations Environment </w:t>
      </w:r>
      <w:proofErr w:type="spellStart"/>
      <w:r w:rsidR="00C25773" w:rsidRPr="00B11307">
        <w:rPr>
          <w:spacing w:val="-6"/>
          <w:lang w:val="es-ES_tradnl"/>
        </w:rPr>
        <w:t>Programme</w:t>
      </w:r>
      <w:proofErr w:type="spellEnd"/>
      <w:r w:rsidR="00800985" w:rsidRPr="00A84A5B">
        <w:rPr>
          <w:lang w:val="es-ES_tradnl"/>
        </w:rPr>
        <w:br/>
      </w:r>
      <w:r w:rsidR="00C25773" w:rsidRPr="00A84A5B">
        <w:rPr>
          <w:lang w:val="es-ES_tradnl"/>
        </w:rPr>
        <w:t>Nairobi 00100</w:t>
      </w:r>
      <w:r w:rsidR="00800985" w:rsidRPr="00A84A5B">
        <w:rPr>
          <w:lang w:val="es-ES_tradnl"/>
        </w:rPr>
        <w:br/>
      </w:r>
      <w:r w:rsidR="00344CD2">
        <w:rPr>
          <w:lang w:val="es-ES_tradnl"/>
        </w:rPr>
        <w:t>Kenya</w:t>
      </w:r>
      <w:r w:rsidR="00800985" w:rsidRPr="00A84A5B">
        <w:rPr>
          <w:lang w:val="es-ES_tradnl"/>
        </w:rPr>
        <w:br/>
      </w:r>
      <w:r w:rsidR="00C25773" w:rsidRPr="00A84A5B">
        <w:rPr>
          <w:lang w:val="es-ES_tradnl"/>
        </w:rPr>
        <w:t xml:space="preserve">Correo electrónico: </w:t>
      </w:r>
      <w:hyperlink r:id="rId64" w:history="1">
        <w:r w:rsidR="003F3BC8" w:rsidRPr="00A84A5B">
          <w:rPr>
            <w:rStyle w:val="Hyperlink"/>
            <w:color w:val="0000FF"/>
            <w:lang w:val="es-ES_tradnl"/>
          </w:rPr>
          <w:t>patrick.salifu@unep.org</w:t>
        </w:r>
      </w:hyperlink>
      <w:hyperlink r:id="rId65" w:history="1"/>
    </w:p>
    <w:p w14:paraId="57EBD1FE" w14:textId="06430EE1" w:rsidR="00C25773" w:rsidRPr="00A01F84" w:rsidRDefault="00C25773" w:rsidP="00B11307">
      <w:pPr>
        <w:ind w:left="1247"/>
        <w:rPr>
          <w:rStyle w:val="Hyperlink"/>
          <w:color w:val="0000FF"/>
          <w:lang w:val="es-ES_tradnl"/>
        </w:rPr>
      </w:pPr>
      <w:r w:rsidRPr="00A84A5B">
        <w:rPr>
          <w:lang w:val="es-ES_tradnl"/>
        </w:rPr>
        <w:t>Moussa Barry</w:t>
      </w:r>
      <w:r w:rsidR="00BD5B3E" w:rsidRPr="00A84A5B">
        <w:rPr>
          <w:lang w:val="es-ES_tradnl"/>
        </w:rPr>
        <w:br/>
      </w:r>
      <w:r w:rsidRPr="00A84A5B">
        <w:rPr>
          <w:lang w:val="es-ES_tradnl"/>
        </w:rPr>
        <w:t>Programme Officer</w:t>
      </w:r>
      <w:r w:rsidR="00BD5B3E" w:rsidRPr="00A84A5B">
        <w:rPr>
          <w:lang w:val="es-ES_tradnl"/>
        </w:rPr>
        <w:br/>
      </w:r>
      <w:r w:rsidRPr="00A84A5B">
        <w:rPr>
          <w:lang w:val="es-ES_tradnl"/>
        </w:rPr>
        <w:t xml:space="preserve">UNEP, </w:t>
      </w:r>
      <w:proofErr w:type="spellStart"/>
      <w:r w:rsidRPr="00A84A5B">
        <w:rPr>
          <w:lang w:val="es-ES_tradnl"/>
        </w:rPr>
        <w:t>OzonAction</w:t>
      </w:r>
      <w:proofErr w:type="spellEnd"/>
      <w:r w:rsidR="00BD5B3E" w:rsidRPr="00A84A5B">
        <w:rPr>
          <w:lang w:val="es-ES_tradnl"/>
        </w:rPr>
        <w:br/>
      </w:r>
      <w:proofErr w:type="spellStart"/>
      <w:r w:rsidRPr="00DA2C2D">
        <w:rPr>
          <w:spacing w:val="-6"/>
          <w:lang w:val="es-ES_tradnl"/>
        </w:rPr>
        <w:t>United</w:t>
      </w:r>
      <w:proofErr w:type="spellEnd"/>
      <w:r w:rsidRPr="00DA2C2D">
        <w:rPr>
          <w:spacing w:val="-6"/>
          <w:lang w:val="es-ES_tradnl"/>
        </w:rPr>
        <w:t xml:space="preserve"> Nations Environment Programme</w:t>
      </w:r>
      <w:r w:rsidR="00BD5B3E" w:rsidRPr="00A84A5B">
        <w:rPr>
          <w:lang w:val="es-ES_tradnl"/>
        </w:rPr>
        <w:br/>
      </w:r>
      <w:r w:rsidRPr="00A84A5B">
        <w:rPr>
          <w:lang w:val="es-ES_tradnl"/>
        </w:rPr>
        <w:t>Nairobi 00100</w:t>
      </w:r>
      <w:r w:rsidR="00BD5B3E" w:rsidRPr="00A84A5B">
        <w:rPr>
          <w:lang w:val="es-ES_tradnl"/>
        </w:rPr>
        <w:br/>
      </w:r>
      <w:r w:rsidR="00344CD2">
        <w:rPr>
          <w:lang w:val="es-ES_tradnl"/>
        </w:rPr>
        <w:t>Kenya</w:t>
      </w:r>
      <w:r w:rsidR="00BD5B3E" w:rsidRPr="00A84A5B">
        <w:rPr>
          <w:lang w:val="es-ES_tradnl"/>
        </w:rPr>
        <w:br/>
      </w:r>
      <w:r w:rsidRPr="00A84A5B">
        <w:rPr>
          <w:lang w:val="es-ES_tradnl"/>
        </w:rPr>
        <w:t xml:space="preserve">Correo electrónico: </w:t>
      </w:r>
      <w:hyperlink r:id="rId66" w:history="1">
        <w:r w:rsidR="00BE02A1" w:rsidRPr="00A01F84">
          <w:rPr>
            <w:rStyle w:val="Hyperlink"/>
            <w:color w:val="0000FF"/>
            <w:lang w:val="es-ES_tradnl"/>
          </w:rPr>
          <w:t>moussa.barry@un.org</w:t>
        </w:r>
      </w:hyperlink>
    </w:p>
    <w:p w14:paraId="7A993511" w14:textId="63E29CC5" w:rsidR="00C25773" w:rsidRPr="00DA2C2D" w:rsidRDefault="00C25773" w:rsidP="00B11307">
      <w:pPr>
        <w:pStyle w:val="CH3"/>
        <w:keepNext w:val="0"/>
        <w:keepLines w:val="0"/>
        <w:tabs>
          <w:tab w:val="clear" w:pos="4990"/>
        </w:tabs>
        <w:spacing w:before="120"/>
        <w:ind w:right="284" w:firstLine="0"/>
        <w:rPr>
          <w:rFonts w:ascii="Times New Roman Bold" w:hAnsi="Times New Roman Bold"/>
          <w:spacing w:val="-8"/>
          <w:lang w:val="es-ES_tradnl"/>
        </w:rPr>
      </w:pPr>
      <w:r w:rsidRPr="00DA2C2D">
        <w:rPr>
          <w:rFonts w:ascii="Times New Roman Bold" w:hAnsi="Times New Roman Bold"/>
          <w:bCs/>
          <w:spacing w:val="-8"/>
          <w:lang w:val="es-ES_tradnl"/>
        </w:rPr>
        <w:t>Organización de las Naciones Unidas para el Desarrollo Industrial</w:t>
      </w:r>
    </w:p>
    <w:p w14:paraId="7F104D89" w14:textId="1F37122A" w:rsidR="00C25773" w:rsidRPr="00A84A5B" w:rsidRDefault="00C25773" w:rsidP="007E5A30">
      <w:pPr>
        <w:spacing w:after="120"/>
        <w:ind w:left="1247"/>
        <w:rPr>
          <w:bCs/>
          <w:lang w:val="es-ES_tradnl"/>
        </w:rPr>
      </w:pPr>
      <w:r w:rsidRPr="00A84A5B">
        <w:rPr>
          <w:lang w:val="es-ES_tradnl"/>
        </w:rPr>
        <w:t>Liazzat Rabbiosi</w:t>
      </w:r>
      <w:r w:rsidR="00BE02A1" w:rsidRPr="00A84A5B">
        <w:rPr>
          <w:lang w:val="es-ES_tradnl"/>
        </w:rPr>
        <w:br/>
      </w:r>
      <w:r w:rsidRPr="00A84A5B">
        <w:rPr>
          <w:lang w:val="es-ES_tradnl"/>
        </w:rPr>
        <w:t>Chief</w:t>
      </w:r>
      <w:r w:rsidR="00BE02A1" w:rsidRPr="00A84A5B">
        <w:rPr>
          <w:lang w:val="es-ES_tradnl"/>
        </w:rPr>
        <w:br/>
      </w:r>
      <w:r w:rsidRPr="00A84A5B">
        <w:rPr>
          <w:lang w:val="es-ES_tradnl"/>
        </w:rPr>
        <w:t xml:space="preserve">Montreal </w:t>
      </w:r>
      <w:proofErr w:type="spellStart"/>
      <w:r w:rsidRPr="00A84A5B">
        <w:rPr>
          <w:lang w:val="es-ES_tradnl"/>
        </w:rPr>
        <w:t>Protocol</w:t>
      </w:r>
      <w:proofErr w:type="spellEnd"/>
      <w:r w:rsidRPr="00A84A5B">
        <w:rPr>
          <w:lang w:val="es-ES_tradnl"/>
        </w:rPr>
        <w:t xml:space="preserve"> Unit</w:t>
      </w:r>
      <w:r w:rsidR="00BE02A1" w:rsidRPr="00A84A5B">
        <w:rPr>
          <w:lang w:val="es-ES_tradnl"/>
        </w:rPr>
        <w:br/>
      </w:r>
      <w:proofErr w:type="spellStart"/>
      <w:r w:rsidRPr="00A84A5B">
        <w:rPr>
          <w:lang w:val="es-ES_tradnl"/>
        </w:rPr>
        <w:t>United</w:t>
      </w:r>
      <w:proofErr w:type="spellEnd"/>
      <w:r w:rsidRPr="00A84A5B">
        <w:rPr>
          <w:lang w:val="es-ES_tradnl"/>
        </w:rPr>
        <w:t xml:space="preserve"> Nations Industrial </w:t>
      </w:r>
      <w:proofErr w:type="spellStart"/>
      <w:r w:rsidRPr="00A84A5B">
        <w:rPr>
          <w:lang w:val="es-ES_tradnl"/>
        </w:rPr>
        <w:t>Development</w:t>
      </w:r>
      <w:proofErr w:type="spellEnd"/>
      <w:r w:rsidRPr="00A84A5B">
        <w:rPr>
          <w:lang w:val="es-ES_tradnl"/>
        </w:rPr>
        <w:t xml:space="preserve"> Organization</w:t>
      </w:r>
      <w:r w:rsidR="00BE02A1" w:rsidRPr="00A84A5B">
        <w:rPr>
          <w:lang w:val="es-ES_tradnl"/>
        </w:rPr>
        <w:br/>
      </w:r>
      <w:r w:rsidRPr="00A84A5B">
        <w:rPr>
          <w:lang w:val="es-ES_tradnl"/>
        </w:rPr>
        <w:t>Vienna 1400</w:t>
      </w:r>
      <w:r w:rsidR="00BE02A1" w:rsidRPr="00A84A5B">
        <w:rPr>
          <w:lang w:val="es-ES_tradnl"/>
        </w:rPr>
        <w:br/>
      </w:r>
      <w:r w:rsidRPr="00A84A5B">
        <w:rPr>
          <w:lang w:val="es-ES_tradnl"/>
        </w:rPr>
        <w:t>Austria</w:t>
      </w:r>
      <w:r w:rsidR="00BE02A1" w:rsidRPr="00A84A5B">
        <w:rPr>
          <w:lang w:val="es-ES_tradnl"/>
        </w:rPr>
        <w:br/>
      </w:r>
      <w:r w:rsidRPr="00A84A5B">
        <w:rPr>
          <w:lang w:val="es-ES_tradnl"/>
        </w:rPr>
        <w:t xml:space="preserve">Correo electrónico: </w:t>
      </w:r>
      <w:hyperlink r:id="rId67" w:history="1">
        <w:r w:rsidR="00A455E5" w:rsidRPr="00A84A5B">
          <w:rPr>
            <w:rStyle w:val="Hyperlink"/>
            <w:color w:val="0000FF"/>
            <w:lang w:val="es-ES_tradnl"/>
          </w:rPr>
          <w:t>rabbiosi@un.org</w:t>
        </w:r>
      </w:hyperlink>
      <w:r w:rsidR="00A455E5" w:rsidRPr="00A84A5B">
        <w:rPr>
          <w:bCs/>
          <w:lang w:val="es-ES_tradnl"/>
        </w:rPr>
        <w:t xml:space="preserve">, </w:t>
      </w:r>
      <w:hyperlink r:id="rId68" w:history="1">
        <w:r w:rsidR="00A455E5" w:rsidRPr="00A84A5B">
          <w:rPr>
            <w:rStyle w:val="Hyperlink"/>
            <w:color w:val="0000FF"/>
            <w:lang w:val="es-ES_tradnl"/>
          </w:rPr>
          <w:t>L.Rabbiosi@unido.org</w:t>
        </w:r>
      </w:hyperlink>
      <w:hyperlink r:id="rId69" w:history="1"/>
      <w:hyperlink r:id="rId70" w:history="1"/>
    </w:p>
    <w:p w14:paraId="50F6727E" w14:textId="559E74A0" w:rsidR="004A0F43" w:rsidRPr="00A84A5B" w:rsidRDefault="00C25773" w:rsidP="00E13C2C">
      <w:pPr>
        <w:ind w:left="1247"/>
        <w:rPr>
          <w:bCs/>
          <w:lang w:val="es-ES_tradnl"/>
        </w:rPr>
      </w:pPr>
      <w:proofErr w:type="spellStart"/>
      <w:r w:rsidRPr="00A84A5B">
        <w:rPr>
          <w:lang w:val="es-ES_tradnl"/>
        </w:rPr>
        <w:t>Oluyomi</w:t>
      </w:r>
      <w:proofErr w:type="spellEnd"/>
      <w:r w:rsidRPr="00A84A5B">
        <w:rPr>
          <w:lang w:val="es-ES_tradnl"/>
        </w:rPr>
        <w:t xml:space="preserve"> </w:t>
      </w:r>
      <w:proofErr w:type="gramStart"/>
      <w:r w:rsidRPr="00A84A5B">
        <w:rPr>
          <w:lang w:val="es-ES_tradnl"/>
        </w:rPr>
        <w:t>Banjo</w:t>
      </w:r>
      <w:proofErr w:type="gramEnd"/>
      <w:r w:rsidR="00FF3720" w:rsidRPr="00A84A5B">
        <w:rPr>
          <w:lang w:val="es-ES_tradnl"/>
        </w:rPr>
        <w:br/>
      </w:r>
      <w:r w:rsidRPr="00A84A5B">
        <w:rPr>
          <w:lang w:val="es-ES_tradnl"/>
        </w:rPr>
        <w:t>Environment Expert</w:t>
      </w:r>
      <w:r w:rsidR="00FF3720" w:rsidRPr="00A84A5B">
        <w:rPr>
          <w:lang w:val="es-ES_tradnl"/>
        </w:rPr>
        <w:br/>
      </w:r>
      <w:r w:rsidRPr="00A84A5B">
        <w:rPr>
          <w:lang w:val="es-ES_tradnl"/>
        </w:rPr>
        <w:t xml:space="preserve">Montreal </w:t>
      </w:r>
      <w:proofErr w:type="spellStart"/>
      <w:r w:rsidRPr="00A84A5B">
        <w:rPr>
          <w:lang w:val="es-ES_tradnl"/>
        </w:rPr>
        <w:t>Protocol</w:t>
      </w:r>
      <w:proofErr w:type="spellEnd"/>
      <w:r w:rsidR="00FF3720" w:rsidRPr="00A84A5B">
        <w:rPr>
          <w:lang w:val="es-ES_tradnl"/>
        </w:rPr>
        <w:br/>
      </w:r>
      <w:proofErr w:type="spellStart"/>
      <w:r w:rsidRPr="00A84A5B">
        <w:rPr>
          <w:lang w:val="es-ES_tradnl"/>
        </w:rPr>
        <w:t>United</w:t>
      </w:r>
      <w:proofErr w:type="spellEnd"/>
      <w:r w:rsidRPr="00A84A5B">
        <w:rPr>
          <w:lang w:val="es-ES_tradnl"/>
        </w:rPr>
        <w:t xml:space="preserve"> Nations Industrial </w:t>
      </w:r>
      <w:proofErr w:type="spellStart"/>
      <w:r w:rsidRPr="00A84A5B">
        <w:rPr>
          <w:lang w:val="es-ES_tradnl"/>
        </w:rPr>
        <w:t>Development</w:t>
      </w:r>
      <w:proofErr w:type="spellEnd"/>
      <w:r w:rsidRPr="00A84A5B">
        <w:rPr>
          <w:lang w:val="es-ES_tradnl"/>
        </w:rPr>
        <w:t xml:space="preserve"> Organization</w:t>
      </w:r>
      <w:r w:rsidR="00FF3720" w:rsidRPr="00A84A5B">
        <w:rPr>
          <w:lang w:val="es-ES_tradnl"/>
        </w:rPr>
        <w:br/>
      </w:r>
      <w:r w:rsidRPr="00A84A5B">
        <w:rPr>
          <w:lang w:val="es-ES_tradnl"/>
        </w:rPr>
        <w:t>Vienna 1400</w:t>
      </w:r>
      <w:r w:rsidR="00FF3720" w:rsidRPr="00A84A5B">
        <w:rPr>
          <w:lang w:val="es-ES_tradnl"/>
        </w:rPr>
        <w:br/>
      </w:r>
      <w:r w:rsidRPr="00A84A5B">
        <w:rPr>
          <w:lang w:val="es-ES_tradnl"/>
        </w:rPr>
        <w:t>Austria</w:t>
      </w:r>
      <w:r w:rsidR="00FF3720" w:rsidRPr="00A84A5B">
        <w:rPr>
          <w:lang w:val="es-ES_tradnl"/>
        </w:rPr>
        <w:br/>
      </w:r>
      <w:r w:rsidRPr="00A84A5B">
        <w:rPr>
          <w:lang w:val="es-ES_tradnl"/>
        </w:rPr>
        <w:t xml:space="preserve">Correo electrónico: </w:t>
      </w:r>
      <w:hyperlink r:id="rId71" w:history="1">
        <w:r w:rsidR="001471BD" w:rsidRPr="00A84A5B">
          <w:rPr>
            <w:rStyle w:val="Hyperlink"/>
            <w:color w:val="0000FF"/>
            <w:lang w:val="es-ES_tradnl"/>
          </w:rPr>
          <w:t>o.banjo@unido.org</w:t>
        </w:r>
      </w:hyperlink>
      <w:hyperlink r:id="rId72" w:history="1"/>
    </w:p>
    <w:p w14:paraId="17264DA4" w14:textId="77777777" w:rsidR="00C67BBE" w:rsidRPr="00A84A5B" w:rsidRDefault="00C67BBE" w:rsidP="00C25773">
      <w:pPr>
        <w:pStyle w:val="CH2"/>
        <w:tabs>
          <w:tab w:val="clear" w:pos="1871"/>
          <w:tab w:val="clear" w:pos="2495"/>
          <w:tab w:val="clear" w:pos="3119"/>
          <w:tab w:val="clear" w:pos="3742"/>
          <w:tab w:val="clear" w:pos="4366"/>
          <w:tab w:val="clear" w:pos="4990"/>
          <w:tab w:val="left" w:pos="1814"/>
          <w:tab w:val="left" w:pos="2381"/>
          <w:tab w:val="left" w:pos="2948"/>
          <w:tab w:val="left" w:pos="3515"/>
          <w:tab w:val="left" w:pos="4082"/>
        </w:tabs>
        <w:ind w:right="284"/>
        <w:rPr>
          <w:lang w:val="es-ES_tradnl"/>
        </w:rPr>
        <w:sectPr w:rsidR="00C67BBE" w:rsidRPr="00A84A5B" w:rsidSect="008720BF">
          <w:type w:val="continuous"/>
          <w:pgSz w:w="11907" w:h="16839"/>
          <w:pgMar w:top="907" w:right="992" w:bottom="1418" w:left="1418" w:header="539" w:footer="975" w:gutter="0"/>
          <w:cols w:num="2" w:space="708"/>
          <w:docGrid w:linePitch="360"/>
        </w:sectPr>
      </w:pPr>
    </w:p>
    <w:p w14:paraId="73CD63D4" w14:textId="77777777" w:rsidR="00C25773" w:rsidRPr="00A84A5B" w:rsidRDefault="00C25773" w:rsidP="00C25773">
      <w:pPr>
        <w:pStyle w:val="CH2"/>
        <w:tabs>
          <w:tab w:val="clear" w:pos="1871"/>
          <w:tab w:val="clear" w:pos="2495"/>
          <w:tab w:val="clear" w:pos="3119"/>
          <w:tab w:val="clear" w:pos="3742"/>
          <w:tab w:val="clear" w:pos="4366"/>
          <w:tab w:val="clear" w:pos="4990"/>
          <w:tab w:val="left" w:pos="1814"/>
          <w:tab w:val="left" w:pos="2381"/>
          <w:tab w:val="left" w:pos="2948"/>
          <w:tab w:val="left" w:pos="3515"/>
          <w:tab w:val="left" w:pos="4082"/>
        </w:tabs>
        <w:ind w:right="284"/>
        <w:rPr>
          <w:lang w:val="es-ES_tradnl"/>
        </w:rPr>
      </w:pPr>
      <w:r w:rsidRPr="00A84A5B">
        <w:rPr>
          <w:lang w:val="es-ES_tradnl"/>
        </w:rPr>
        <w:tab/>
      </w:r>
      <w:r w:rsidRPr="00A84A5B">
        <w:rPr>
          <w:lang w:val="es-ES_tradnl"/>
        </w:rPr>
        <w:tab/>
      </w:r>
      <w:r w:rsidRPr="00A84A5B">
        <w:rPr>
          <w:bCs/>
          <w:lang w:val="es-ES_tradnl"/>
        </w:rPr>
        <w:t>Secretaría del Ozono</w:t>
      </w:r>
    </w:p>
    <w:p w14:paraId="28A25D42" w14:textId="77777777" w:rsidR="00C67BBE" w:rsidRPr="00A84A5B" w:rsidRDefault="00C67BBE" w:rsidP="007E5A30">
      <w:pPr>
        <w:spacing w:after="120"/>
        <w:ind w:left="1247"/>
        <w:rPr>
          <w:bCs/>
          <w:lang w:val="es-ES_tradnl"/>
        </w:rPr>
        <w:sectPr w:rsidR="00C67BBE" w:rsidRPr="00A84A5B" w:rsidSect="008720BF">
          <w:type w:val="continuous"/>
          <w:pgSz w:w="11907" w:h="16839"/>
          <w:pgMar w:top="907" w:right="992" w:bottom="1418" w:left="1418" w:header="539" w:footer="975" w:gutter="0"/>
          <w:cols w:space="708"/>
          <w:docGrid w:linePitch="360"/>
        </w:sectPr>
      </w:pPr>
    </w:p>
    <w:p w14:paraId="23BD29B7" w14:textId="1EC0997B" w:rsidR="004A0F43" w:rsidRPr="00A84A5B" w:rsidRDefault="00C25773" w:rsidP="007E5A30">
      <w:pPr>
        <w:spacing w:after="120"/>
        <w:ind w:left="1247"/>
        <w:rPr>
          <w:bCs/>
          <w:lang w:val="es-ES_tradnl"/>
        </w:rPr>
      </w:pPr>
      <w:r w:rsidRPr="00A84A5B">
        <w:rPr>
          <w:lang w:val="es-ES_tradnl"/>
        </w:rPr>
        <w:t>Megumi Seki Nakamura</w:t>
      </w:r>
      <w:r w:rsidR="00B702BE" w:rsidRPr="00A84A5B">
        <w:rPr>
          <w:lang w:val="es-ES_tradnl"/>
        </w:rPr>
        <w:br/>
      </w:r>
      <w:r w:rsidRPr="00A84A5B">
        <w:rPr>
          <w:lang w:val="es-ES_tradnl"/>
        </w:rPr>
        <w:t>Executive Secretary</w:t>
      </w:r>
      <w:r w:rsidR="00B702BE" w:rsidRPr="00A84A5B">
        <w:rPr>
          <w:lang w:val="es-ES_tradnl"/>
        </w:rPr>
        <w:br/>
      </w:r>
      <w:r w:rsidRPr="00A84A5B">
        <w:rPr>
          <w:lang w:val="es-ES_tradnl"/>
        </w:rPr>
        <w:t>Ozone Secretariat</w:t>
      </w:r>
      <w:r w:rsidR="00B702BE" w:rsidRPr="00A84A5B">
        <w:rPr>
          <w:lang w:val="es-ES_tradnl"/>
        </w:rPr>
        <w:br/>
      </w:r>
      <w:r w:rsidRPr="00A84A5B">
        <w:rPr>
          <w:lang w:val="es-ES_tradnl"/>
        </w:rPr>
        <w:t>Nairobi 00100</w:t>
      </w:r>
      <w:r w:rsidR="00B702BE" w:rsidRPr="00A84A5B">
        <w:rPr>
          <w:lang w:val="es-ES_tradnl"/>
        </w:rPr>
        <w:br/>
      </w:r>
      <w:r w:rsidR="00344CD2">
        <w:rPr>
          <w:lang w:val="es-ES_tradnl"/>
        </w:rPr>
        <w:t>Kenya</w:t>
      </w:r>
      <w:r w:rsidR="00B702BE" w:rsidRPr="00A84A5B">
        <w:rPr>
          <w:lang w:val="es-ES_tradnl"/>
        </w:rPr>
        <w:br/>
      </w:r>
      <w:r w:rsidRPr="00A84A5B">
        <w:rPr>
          <w:lang w:val="es-ES_tradnl"/>
        </w:rPr>
        <w:t xml:space="preserve">Correo electrónico: </w:t>
      </w:r>
      <w:hyperlink r:id="rId73" w:history="1">
        <w:r w:rsidR="00855FBC" w:rsidRPr="00A84A5B">
          <w:rPr>
            <w:rStyle w:val="Hyperlink"/>
            <w:color w:val="0000FF"/>
            <w:lang w:val="es-ES_tradnl"/>
          </w:rPr>
          <w:t>meg.seki@un.org</w:t>
        </w:r>
      </w:hyperlink>
      <w:hyperlink r:id="rId74" w:history="1"/>
    </w:p>
    <w:p w14:paraId="5C6DE00C" w14:textId="3AED0261" w:rsidR="004A0F43" w:rsidRPr="00A84A5B" w:rsidRDefault="00C25773" w:rsidP="006068B7">
      <w:pPr>
        <w:spacing w:after="120"/>
        <w:ind w:left="1247"/>
        <w:rPr>
          <w:bCs/>
          <w:lang w:val="es-ES_tradnl"/>
        </w:rPr>
      </w:pPr>
      <w:r w:rsidRPr="00A84A5B">
        <w:rPr>
          <w:lang w:val="es-ES_tradnl"/>
        </w:rPr>
        <w:t>Pablo Moscoso de la Cuba</w:t>
      </w:r>
      <w:r w:rsidR="00AE6284" w:rsidRPr="00A84A5B">
        <w:rPr>
          <w:lang w:val="es-ES_tradnl"/>
        </w:rPr>
        <w:br/>
      </w:r>
      <w:r w:rsidRPr="00A84A5B">
        <w:rPr>
          <w:lang w:val="es-ES_tradnl"/>
        </w:rPr>
        <w:t>Senior Legal Officer</w:t>
      </w:r>
      <w:r w:rsidR="00AE6284" w:rsidRPr="00A84A5B">
        <w:rPr>
          <w:lang w:val="es-ES_tradnl"/>
        </w:rPr>
        <w:br/>
      </w:r>
      <w:r w:rsidRPr="00A84A5B">
        <w:rPr>
          <w:lang w:val="es-ES_tradnl"/>
        </w:rPr>
        <w:t>Ozone Secretariat</w:t>
      </w:r>
      <w:r w:rsidR="00AE6284" w:rsidRPr="00A84A5B">
        <w:rPr>
          <w:lang w:val="es-ES_tradnl"/>
        </w:rPr>
        <w:br/>
      </w:r>
      <w:r w:rsidRPr="00A84A5B">
        <w:rPr>
          <w:lang w:val="es-ES_tradnl"/>
        </w:rPr>
        <w:t>Nairobi 00100</w:t>
      </w:r>
      <w:r w:rsidR="00AE6284" w:rsidRPr="00A84A5B">
        <w:rPr>
          <w:lang w:val="es-ES_tradnl"/>
        </w:rPr>
        <w:br/>
      </w:r>
      <w:r w:rsidR="00344CD2">
        <w:rPr>
          <w:lang w:val="es-ES_tradnl"/>
        </w:rPr>
        <w:t>Kenya</w:t>
      </w:r>
      <w:r w:rsidR="00AE6284" w:rsidRPr="00A84A5B">
        <w:rPr>
          <w:lang w:val="es-ES_tradnl"/>
        </w:rPr>
        <w:br/>
      </w:r>
      <w:r w:rsidRPr="00A84A5B">
        <w:rPr>
          <w:lang w:val="es-ES_tradnl"/>
        </w:rPr>
        <w:t xml:space="preserve">Correo electrónico: </w:t>
      </w:r>
      <w:hyperlink r:id="rId75" w:history="1">
        <w:r w:rsidR="009C390D" w:rsidRPr="00A84A5B">
          <w:rPr>
            <w:rStyle w:val="Hyperlink"/>
            <w:color w:val="0000FF"/>
            <w:lang w:val="es-ES_tradnl"/>
          </w:rPr>
          <w:t>pablo.moscosodelacuba@un.org</w:t>
        </w:r>
      </w:hyperlink>
      <w:hyperlink r:id="rId76" w:history="1"/>
    </w:p>
    <w:p w14:paraId="4CBDEF92" w14:textId="31811E6D" w:rsidR="004A0F43" w:rsidRPr="00A84A5B" w:rsidRDefault="00C25773" w:rsidP="006068B7">
      <w:pPr>
        <w:spacing w:after="120"/>
        <w:ind w:left="1247"/>
        <w:rPr>
          <w:lang w:val="es-ES_tradnl"/>
        </w:rPr>
      </w:pPr>
      <w:r w:rsidRPr="00A84A5B">
        <w:rPr>
          <w:lang w:val="es-ES_tradnl"/>
        </w:rPr>
        <w:t>Gerald Mutisya</w:t>
      </w:r>
      <w:r w:rsidR="00AE6284" w:rsidRPr="00A84A5B">
        <w:rPr>
          <w:lang w:val="es-ES_tradnl"/>
        </w:rPr>
        <w:br/>
      </w:r>
      <w:proofErr w:type="spellStart"/>
      <w:r w:rsidRPr="00A84A5B">
        <w:rPr>
          <w:lang w:val="es-ES_tradnl"/>
        </w:rPr>
        <w:t>Programme</w:t>
      </w:r>
      <w:proofErr w:type="spellEnd"/>
      <w:r w:rsidRPr="00A84A5B">
        <w:rPr>
          <w:lang w:val="es-ES_tradnl"/>
        </w:rPr>
        <w:t xml:space="preserve"> Officer (</w:t>
      </w:r>
      <w:proofErr w:type="spellStart"/>
      <w:r w:rsidRPr="00A84A5B">
        <w:rPr>
          <w:lang w:val="es-ES_tradnl"/>
        </w:rPr>
        <w:t>Reporting</w:t>
      </w:r>
      <w:proofErr w:type="spellEnd"/>
      <w:r w:rsidRPr="00A84A5B">
        <w:rPr>
          <w:lang w:val="es-ES_tradnl"/>
        </w:rPr>
        <w:t xml:space="preserve">, Data and </w:t>
      </w:r>
      <w:proofErr w:type="spellStart"/>
      <w:r w:rsidRPr="00A84A5B">
        <w:rPr>
          <w:lang w:val="es-ES_tradnl"/>
        </w:rPr>
        <w:t>Analysis</w:t>
      </w:r>
      <w:proofErr w:type="spellEnd"/>
      <w:r w:rsidRPr="00A84A5B">
        <w:rPr>
          <w:lang w:val="es-ES_tradnl"/>
        </w:rPr>
        <w:t>)</w:t>
      </w:r>
      <w:r w:rsidR="00AE6284" w:rsidRPr="00A84A5B">
        <w:rPr>
          <w:lang w:val="es-ES_tradnl"/>
        </w:rPr>
        <w:br/>
      </w:r>
      <w:r w:rsidRPr="00A84A5B">
        <w:rPr>
          <w:lang w:val="es-ES_tradnl"/>
        </w:rPr>
        <w:t>Ozone Secretariat</w:t>
      </w:r>
      <w:r w:rsidR="00AE6284" w:rsidRPr="00A84A5B">
        <w:rPr>
          <w:lang w:val="es-ES_tradnl"/>
        </w:rPr>
        <w:br/>
      </w:r>
      <w:r w:rsidRPr="00A84A5B">
        <w:rPr>
          <w:lang w:val="es-ES_tradnl"/>
        </w:rPr>
        <w:t>Nairobi 00100</w:t>
      </w:r>
      <w:r w:rsidR="00AE6284" w:rsidRPr="00A84A5B">
        <w:rPr>
          <w:lang w:val="es-ES_tradnl"/>
        </w:rPr>
        <w:br/>
      </w:r>
      <w:r w:rsidR="00344CD2">
        <w:rPr>
          <w:lang w:val="es-ES_tradnl"/>
        </w:rPr>
        <w:t>Kenya</w:t>
      </w:r>
      <w:r w:rsidR="00AE6284" w:rsidRPr="00A84A5B">
        <w:rPr>
          <w:lang w:val="es-ES_tradnl"/>
        </w:rPr>
        <w:br/>
      </w:r>
      <w:r w:rsidRPr="00A84A5B">
        <w:rPr>
          <w:lang w:val="es-ES_tradnl"/>
        </w:rPr>
        <w:t xml:space="preserve">Correo electrónico: </w:t>
      </w:r>
      <w:hyperlink r:id="rId77" w:history="1">
        <w:r w:rsidR="005703D3" w:rsidRPr="00A84A5B">
          <w:rPr>
            <w:rStyle w:val="Hyperlink"/>
            <w:color w:val="0000FF"/>
            <w:lang w:val="es-ES_tradnl"/>
          </w:rPr>
          <w:t>gerald.mutisya@un.org</w:t>
        </w:r>
      </w:hyperlink>
      <w:hyperlink r:id="rId78" w:history="1"/>
    </w:p>
    <w:p w14:paraId="536C3B4D" w14:textId="5DCCD910" w:rsidR="004A0F43" w:rsidRPr="00A84A5B" w:rsidRDefault="00C25773" w:rsidP="006068B7">
      <w:pPr>
        <w:spacing w:after="120"/>
        <w:ind w:left="1247"/>
        <w:rPr>
          <w:lang w:val="es-ES_tradnl"/>
        </w:rPr>
      </w:pPr>
      <w:r w:rsidRPr="00A84A5B">
        <w:rPr>
          <w:lang w:val="es-ES_tradnl"/>
        </w:rPr>
        <w:t>Frida Muriithi</w:t>
      </w:r>
      <w:r w:rsidR="00AE6284" w:rsidRPr="00A84A5B">
        <w:rPr>
          <w:lang w:val="es-ES_tradnl"/>
        </w:rPr>
        <w:br/>
      </w:r>
      <w:r w:rsidRPr="00A84A5B">
        <w:rPr>
          <w:lang w:val="es-ES_tradnl"/>
        </w:rPr>
        <w:t xml:space="preserve">Policy </w:t>
      </w:r>
      <w:proofErr w:type="spellStart"/>
      <w:r w:rsidRPr="00A84A5B">
        <w:rPr>
          <w:lang w:val="es-ES_tradnl"/>
        </w:rPr>
        <w:t>Associate</w:t>
      </w:r>
      <w:proofErr w:type="spellEnd"/>
      <w:r w:rsidRPr="00A84A5B">
        <w:rPr>
          <w:lang w:val="es-ES_tradnl"/>
        </w:rPr>
        <w:t xml:space="preserve">, </w:t>
      </w:r>
      <w:proofErr w:type="spellStart"/>
      <w:r w:rsidRPr="00A84A5B">
        <w:rPr>
          <w:lang w:val="es-ES_tradnl"/>
        </w:rPr>
        <w:t>United</w:t>
      </w:r>
      <w:proofErr w:type="spellEnd"/>
      <w:r w:rsidRPr="00A84A5B">
        <w:rPr>
          <w:lang w:val="es-ES_tradnl"/>
        </w:rPr>
        <w:t xml:space="preserve"> Nations </w:t>
      </w:r>
      <w:proofErr w:type="spellStart"/>
      <w:r w:rsidRPr="00A84A5B">
        <w:rPr>
          <w:lang w:val="es-ES_tradnl"/>
        </w:rPr>
        <w:t>Volunteer</w:t>
      </w:r>
      <w:proofErr w:type="spellEnd"/>
      <w:r w:rsidRPr="00A84A5B">
        <w:rPr>
          <w:lang w:val="es-ES_tradnl"/>
        </w:rPr>
        <w:t xml:space="preserve"> (UNV)</w:t>
      </w:r>
      <w:r w:rsidR="00AE6284" w:rsidRPr="00A84A5B">
        <w:rPr>
          <w:lang w:val="es-ES_tradnl"/>
        </w:rPr>
        <w:br/>
      </w:r>
      <w:r w:rsidRPr="00A84A5B">
        <w:rPr>
          <w:lang w:val="es-ES_tradnl"/>
        </w:rPr>
        <w:t>Ozone Secretariat</w:t>
      </w:r>
      <w:r w:rsidR="00AE6284" w:rsidRPr="00A84A5B">
        <w:rPr>
          <w:lang w:val="es-ES_tradnl"/>
        </w:rPr>
        <w:br/>
      </w:r>
      <w:r w:rsidRPr="00A84A5B">
        <w:rPr>
          <w:lang w:val="es-ES_tradnl"/>
        </w:rPr>
        <w:t>Nairobi 00100</w:t>
      </w:r>
      <w:r w:rsidR="00AE6284" w:rsidRPr="00A84A5B">
        <w:rPr>
          <w:lang w:val="es-ES_tradnl"/>
        </w:rPr>
        <w:br/>
      </w:r>
      <w:r w:rsidR="00344CD2">
        <w:rPr>
          <w:lang w:val="es-ES_tradnl"/>
        </w:rPr>
        <w:t>Kenya</w:t>
      </w:r>
      <w:r w:rsidR="00AE6284" w:rsidRPr="00A84A5B">
        <w:rPr>
          <w:lang w:val="es-ES_tradnl"/>
        </w:rPr>
        <w:br/>
      </w:r>
      <w:r w:rsidRPr="00B11307">
        <w:rPr>
          <w:spacing w:val="-6"/>
          <w:lang w:val="es-ES_tradnl"/>
        </w:rPr>
        <w:t xml:space="preserve">Correo electrónico: </w:t>
      </w:r>
      <w:hyperlink r:id="rId79" w:history="1">
        <w:r w:rsidR="00F70395" w:rsidRPr="00B11307">
          <w:rPr>
            <w:rStyle w:val="Hyperlink"/>
            <w:color w:val="0000FF"/>
            <w:spacing w:val="-6"/>
            <w:lang w:val="es-ES_tradnl"/>
          </w:rPr>
          <w:t>frida.muriithi@un.org</w:t>
        </w:r>
      </w:hyperlink>
      <w:hyperlink r:id="rId80" w:history="1"/>
    </w:p>
    <w:p w14:paraId="78F2CB34" w14:textId="16B0270D" w:rsidR="004A0F43" w:rsidRPr="00A84A5B" w:rsidRDefault="00C25773" w:rsidP="001515EE">
      <w:pPr>
        <w:spacing w:after="120"/>
        <w:ind w:left="1247"/>
        <w:rPr>
          <w:lang w:val="es-ES_tradnl"/>
        </w:rPr>
      </w:pPr>
      <w:r w:rsidRPr="00A84A5B">
        <w:rPr>
          <w:lang w:val="es-ES_tradnl"/>
        </w:rPr>
        <w:t>Martha Mulumba</w:t>
      </w:r>
      <w:r w:rsidR="00AE6284" w:rsidRPr="00A84A5B">
        <w:rPr>
          <w:lang w:val="es-ES_tradnl"/>
        </w:rPr>
        <w:br/>
      </w:r>
      <w:r w:rsidRPr="00A84A5B">
        <w:rPr>
          <w:lang w:val="es-ES_tradnl"/>
        </w:rPr>
        <w:t xml:space="preserve">Senior Information </w:t>
      </w:r>
      <w:proofErr w:type="spellStart"/>
      <w:r w:rsidRPr="00A84A5B">
        <w:rPr>
          <w:lang w:val="es-ES_tradnl"/>
        </w:rPr>
        <w:t>Systems</w:t>
      </w:r>
      <w:proofErr w:type="spellEnd"/>
      <w:r w:rsidRPr="00A84A5B">
        <w:rPr>
          <w:lang w:val="es-ES_tradnl"/>
        </w:rPr>
        <w:t xml:space="preserve"> </w:t>
      </w:r>
      <w:proofErr w:type="spellStart"/>
      <w:r w:rsidRPr="00A84A5B">
        <w:rPr>
          <w:lang w:val="es-ES_tradnl"/>
        </w:rPr>
        <w:t>Assistant</w:t>
      </w:r>
      <w:proofErr w:type="spellEnd"/>
      <w:r w:rsidR="00AE6284" w:rsidRPr="00A84A5B">
        <w:rPr>
          <w:lang w:val="es-ES_tradnl"/>
        </w:rPr>
        <w:br/>
      </w:r>
      <w:r w:rsidRPr="00A84A5B">
        <w:rPr>
          <w:lang w:val="es-ES_tradnl"/>
        </w:rPr>
        <w:t>Ozone Secretariat</w:t>
      </w:r>
      <w:r w:rsidR="00AE6284" w:rsidRPr="00A84A5B">
        <w:rPr>
          <w:lang w:val="es-ES_tradnl"/>
        </w:rPr>
        <w:br/>
      </w:r>
      <w:r w:rsidRPr="00A84A5B">
        <w:rPr>
          <w:lang w:val="es-ES_tradnl"/>
        </w:rPr>
        <w:t>Nairobi 00100</w:t>
      </w:r>
      <w:r w:rsidR="00AE6284" w:rsidRPr="00A84A5B">
        <w:rPr>
          <w:lang w:val="es-ES_tradnl"/>
        </w:rPr>
        <w:br/>
      </w:r>
      <w:r w:rsidR="00344CD2">
        <w:rPr>
          <w:lang w:val="es-ES_tradnl"/>
        </w:rPr>
        <w:t>Kenya</w:t>
      </w:r>
      <w:r w:rsidR="00AE6284" w:rsidRPr="00A84A5B">
        <w:rPr>
          <w:lang w:val="es-ES_tradnl"/>
        </w:rPr>
        <w:br/>
      </w:r>
      <w:r w:rsidRPr="00B11307">
        <w:rPr>
          <w:spacing w:val="-14"/>
          <w:lang w:val="es-ES_tradnl"/>
        </w:rPr>
        <w:t xml:space="preserve">Correo electrónico: </w:t>
      </w:r>
      <w:hyperlink r:id="rId81" w:history="1">
        <w:r w:rsidR="004B5DA5" w:rsidRPr="00B11307">
          <w:rPr>
            <w:rStyle w:val="Hyperlink"/>
            <w:color w:val="0000FF"/>
            <w:spacing w:val="-14"/>
            <w:lang w:val="es-ES_tradnl"/>
          </w:rPr>
          <w:t>martha.mulumba@un.org</w:t>
        </w:r>
      </w:hyperlink>
      <w:hyperlink r:id="rId82" w:history="1"/>
    </w:p>
    <w:p w14:paraId="692B0C1A" w14:textId="7ED6CCA0" w:rsidR="00C25773" w:rsidRPr="00B11307" w:rsidRDefault="00C25773" w:rsidP="00E13C2C">
      <w:pPr>
        <w:ind w:left="1247"/>
        <w:rPr>
          <w:spacing w:val="-14"/>
          <w:lang w:val="es-ES_tradnl"/>
        </w:rPr>
      </w:pPr>
      <w:r w:rsidRPr="00A84A5B">
        <w:rPr>
          <w:lang w:val="es-ES_tradnl"/>
        </w:rPr>
        <w:t>Jacqueline Nyanjui</w:t>
      </w:r>
      <w:r w:rsidR="00AE6284" w:rsidRPr="00A84A5B">
        <w:rPr>
          <w:lang w:val="es-ES_tradnl"/>
        </w:rPr>
        <w:br/>
      </w:r>
      <w:r w:rsidRPr="00A84A5B">
        <w:rPr>
          <w:lang w:val="es-ES_tradnl"/>
        </w:rPr>
        <w:t xml:space="preserve">Administrative </w:t>
      </w:r>
      <w:proofErr w:type="spellStart"/>
      <w:r w:rsidRPr="00A84A5B">
        <w:rPr>
          <w:lang w:val="es-ES_tradnl"/>
        </w:rPr>
        <w:t>Assistant</w:t>
      </w:r>
      <w:proofErr w:type="spellEnd"/>
      <w:r w:rsidR="00AE6284" w:rsidRPr="00A84A5B">
        <w:rPr>
          <w:lang w:val="es-ES_tradnl"/>
        </w:rPr>
        <w:br/>
      </w:r>
      <w:r w:rsidRPr="00A84A5B">
        <w:rPr>
          <w:lang w:val="es-ES_tradnl"/>
        </w:rPr>
        <w:t>Ozone Secretariat</w:t>
      </w:r>
      <w:r w:rsidR="00AE6284" w:rsidRPr="00A84A5B">
        <w:rPr>
          <w:lang w:val="es-ES_tradnl"/>
        </w:rPr>
        <w:br/>
      </w:r>
      <w:r w:rsidRPr="00A84A5B">
        <w:rPr>
          <w:lang w:val="es-ES_tradnl"/>
        </w:rPr>
        <w:t>Nairobi 00100</w:t>
      </w:r>
      <w:r w:rsidR="00AE6284" w:rsidRPr="00A84A5B">
        <w:rPr>
          <w:lang w:val="es-ES_tradnl"/>
        </w:rPr>
        <w:br/>
      </w:r>
      <w:r w:rsidR="00344CD2">
        <w:rPr>
          <w:lang w:val="es-ES_tradnl"/>
        </w:rPr>
        <w:t>Kenya</w:t>
      </w:r>
      <w:r w:rsidR="00AE6284" w:rsidRPr="00A84A5B">
        <w:rPr>
          <w:lang w:val="es-ES_tradnl"/>
        </w:rPr>
        <w:br/>
      </w:r>
      <w:r w:rsidRPr="00DA2C2D">
        <w:rPr>
          <w:lang w:val="es-ES_tradnl"/>
        </w:rPr>
        <w:t xml:space="preserve">Correo electrónico: </w:t>
      </w:r>
      <w:hyperlink r:id="rId83" w:history="1">
        <w:r w:rsidR="00AE6284" w:rsidRPr="00DA2C2D">
          <w:rPr>
            <w:rStyle w:val="Hyperlink"/>
            <w:color w:val="0000FF"/>
            <w:lang w:val="es-ES_tradnl"/>
          </w:rPr>
          <w:t>jacqueline.nyanjui@un.org</w:t>
        </w:r>
      </w:hyperlink>
      <w:hyperlink r:id="rId84" w:history="1"/>
    </w:p>
    <w:p w14:paraId="3C26610F" w14:textId="77777777" w:rsidR="004A0F43" w:rsidRPr="00A84A5B" w:rsidRDefault="004A0F43" w:rsidP="00E13C2C">
      <w:pPr>
        <w:ind w:left="1247"/>
        <w:rPr>
          <w:lang w:val="es-ES_tradnl"/>
        </w:rPr>
      </w:pPr>
    </w:p>
    <w:p w14:paraId="77E06AF0" w14:textId="77777777" w:rsidR="00C67BBE" w:rsidRPr="00A84A5B" w:rsidRDefault="00C67BBE" w:rsidP="008D5A91">
      <w:pPr>
        <w:pStyle w:val="Normal-pool"/>
        <w:rPr>
          <w:lang w:val="es-ES_tradnl"/>
        </w:rPr>
        <w:sectPr w:rsidR="00C67BBE" w:rsidRPr="00A84A5B" w:rsidSect="008720BF">
          <w:type w:val="continuous"/>
          <w:pgSz w:w="11907" w:h="16839"/>
          <w:pgMar w:top="907" w:right="992" w:bottom="1418" w:left="1418" w:header="539" w:footer="975" w:gutter="0"/>
          <w:cols w:num="2" w:space="708"/>
          <w:docGrid w:linePitch="360"/>
        </w:sectPr>
      </w:pPr>
    </w:p>
    <w:p w14:paraId="660340B5" w14:textId="77777777" w:rsidR="00C25773" w:rsidRPr="00B11307" w:rsidRDefault="00C25773" w:rsidP="008D5A91">
      <w:pPr>
        <w:pStyle w:val="Normal-pool"/>
        <w:rPr>
          <w:sz w:val="2"/>
          <w:szCs w:val="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842CE" w:rsidRPr="008353E4" w14:paraId="0F03528D" w14:textId="77777777" w:rsidTr="00E842CE">
        <w:tc>
          <w:tcPr>
            <w:tcW w:w="1897" w:type="dxa"/>
          </w:tcPr>
          <w:p w14:paraId="705A1758" w14:textId="77777777" w:rsidR="00E842CE" w:rsidRPr="00B11307" w:rsidRDefault="00E842CE" w:rsidP="00B11307">
            <w:pPr>
              <w:pStyle w:val="Normal-pool"/>
              <w:rPr>
                <w:sz w:val="16"/>
                <w:szCs w:val="16"/>
                <w:lang w:val="es-ES_tradnl"/>
              </w:rPr>
            </w:pPr>
          </w:p>
        </w:tc>
        <w:tc>
          <w:tcPr>
            <w:tcW w:w="1897" w:type="dxa"/>
          </w:tcPr>
          <w:p w14:paraId="4B3E7BE3" w14:textId="77777777" w:rsidR="00E842CE" w:rsidRPr="00B11307" w:rsidRDefault="00E842CE" w:rsidP="00B11307">
            <w:pPr>
              <w:pStyle w:val="Normal-pool"/>
              <w:rPr>
                <w:sz w:val="16"/>
                <w:szCs w:val="16"/>
                <w:lang w:val="es-ES_tradnl"/>
              </w:rPr>
            </w:pPr>
          </w:p>
        </w:tc>
        <w:tc>
          <w:tcPr>
            <w:tcW w:w="1897" w:type="dxa"/>
            <w:tcBorders>
              <w:bottom w:val="single" w:sz="4" w:space="0" w:color="auto"/>
            </w:tcBorders>
          </w:tcPr>
          <w:p w14:paraId="3723831D" w14:textId="77777777" w:rsidR="00E842CE" w:rsidRPr="00B11307" w:rsidRDefault="00E842CE" w:rsidP="00B11307">
            <w:pPr>
              <w:pStyle w:val="Normal-pool"/>
              <w:rPr>
                <w:sz w:val="16"/>
                <w:szCs w:val="16"/>
                <w:lang w:val="es-ES_tradnl"/>
              </w:rPr>
            </w:pPr>
          </w:p>
        </w:tc>
        <w:tc>
          <w:tcPr>
            <w:tcW w:w="1898" w:type="dxa"/>
          </w:tcPr>
          <w:p w14:paraId="6869CC98" w14:textId="77777777" w:rsidR="00E842CE" w:rsidRPr="00B11307" w:rsidRDefault="00E842CE" w:rsidP="00B11307">
            <w:pPr>
              <w:pStyle w:val="Normal-pool"/>
              <w:rPr>
                <w:sz w:val="16"/>
                <w:szCs w:val="16"/>
                <w:lang w:val="es-ES_tradnl"/>
              </w:rPr>
            </w:pPr>
          </w:p>
        </w:tc>
        <w:tc>
          <w:tcPr>
            <w:tcW w:w="1898" w:type="dxa"/>
          </w:tcPr>
          <w:p w14:paraId="3DDAD3FC" w14:textId="77777777" w:rsidR="00E842CE" w:rsidRPr="00B11307" w:rsidRDefault="00E842CE" w:rsidP="00B11307">
            <w:pPr>
              <w:pStyle w:val="Normal-pool"/>
              <w:rPr>
                <w:sz w:val="16"/>
                <w:szCs w:val="16"/>
                <w:lang w:val="es-ES_tradnl"/>
              </w:rPr>
            </w:pPr>
          </w:p>
        </w:tc>
      </w:tr>
    </w:tbl>
    <w:p w14:paraId="2E025E1F" w14:textId="77777777" w:rsidR="00E842CE" w:rsidRPr="00B11307" w:rsidRDefault="00E842CE" w:rsidP="008D5A91">
      <w:pPr>
        <w:pStyle w:val="Normal-pool"/>
        <w:rPr>
          <w:sz w:val="2"/>
          <w:szCs w:val="2"/>
          <w:lang w:val="es-ES_tradnl"/>
        </w:rPr>
      </w:pPr>
    </w:p>
    <w:sectPr w:rsidR="00E842CE" w:rsidRPr="00B11307" w:rsidSect="008720BF">
      <w:type w:val="continuous"/>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F312" w14:textId="77777777" w:rsidR="008036C2" w:rsidRPr="00520F7D" w:rsidRDefault="008036C2" w:rsidP="009B03BB">
      <w:r w:rsidRPr="00520F7D">
        <w:separator/>
      </w:r>
    </w:p>
  </w:endnote>
  <w:endnote w:type="continuationSeparator" w:id="0">
    <w:p w14:paraId="2CF4B417" w14:textId="77777777" w:rsidR="008036C2" w:rsidRPr="00520F7D" w:rsidRDefault="008036C2" w:rsidP="009B03BB">
      <w:r w:rsidRPr="00520F7D">
        <w:continuationSeparator/>
      </w:r>
    </w:p>
  </w:endnote>
  <w:endnote w:type="continuationNotice" w:id="1">
    <w:p w14:paraId="1A6A5591" w14:textId="77777777" w:rsidR="008036C2" w:rsidRPr="00520F7D" w:rsidRDefault="00803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2B9" w14:textId="7363F4CC" w:rsidR="00C91EEB" w:rsidRPr="008720BF" w:rsidRDefault="008720BF" w:rsidP="008720BF">
    <w:pPr>
      <w:pStyle w:val="Footer-pool"/>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608" w14:textId="5A5C7BFA" w:rsidR="00C91EEB" w:rsidRPr="008720BF" w:rsidRDefault="008720BF" w:rsidP="008720BF">
    <w:pPr>
      <w:pStyle w:val="Footer-pool"/>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B551" w14:textId="7DB3B6B7" w:rsidR="00C91EEB" w:rsidRPr="00520F7D" w:rsidRDefault="000021C8" w:rsidP="008720BF">
    <w:pPr>
      <w:pStyle w:val="Footer-jobnumber"/>
    </w:pPr>
    <w:bookmarkStart w:id="37" w:name="FooterJobDate"/>
    <w:r>
      <w:rPr>
        <w:lang w:val="es-ES"/>
      </w:rPr>
      <w:t>K2518266[</w:t>
    </w:r>
    <w:r w:rsidR="006F79AF">
      <w:rPr>
        <w:lang w:val="es-ES"/>
      </w:rPr>
      <w:t>S</w:t>
    </w:r>
    <w:r>
      <w:rPr>
        <w:lang w:val="es-ES"/>
      </w:rPr>
      <w:t>]</w:t>
    </w:r>
    <w:r>
      <w:rPr>
        <w:lang w:val="es-ES"/>
      </w:rPr>
      <w:tab/>
      <w:t>1</w:t>
    </w:r>
    <w:r w:rsidR="00462C98">
      <w:rPr>
        <w:lang w:val="es-ES"/>
      </w:rPr>
      <w:t>3</w:t>
    </w:r>
    <w:r>
      <w:rPr>
        <w:lang w:val="es-ES"/>
      </w:rPr>
      <w:t>0326</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BD5A" w14:textId="77777777" w:rsidR="008036C2" w:rsidRPr="00520F7D" w:rsidRDefault="008036C2" w:rsidP="00E1653B">
      <w:pPr>
        <w:spacing w:before="60"/>
        <w:ind w:left="624"/>
        <w:rPr>
          <w:sz w:val="18"/>
          <w:szCs w:val="18"/>
        </w:rPr>
      </w:pPr>
      <w:r w:rsidRPr="00520F7D">
        <w:rPr>
          <w:sz w:val="18"/>
          <w:szCs w:val="18"/>
        </w:rPr>
        <w:separator/>
      </w:r>
    </w:p>
  </w:footnote>
  <w:footnote w:type="continuationSeparator" w:id="0">
    <w:p w14:paraId="58A92707" w14:textId="77777777" w:rsidR="008036C2" w:rsidRPr="00520F7D" w:rsidRDefault="008036C2" w:rsidP="009B03BB">
      <w:r w:rsidRPr="00520F7D">
        <w:continuationSeparator/>
      </w:r>
    </w:p>
  </w:footnote>
  <w:footnote w:type="continuationNotice" w:id="1">
    <w:p w14:paraId="1A7BA505" w14:textId="77777777" w:rsidR="008036C2" w:rsidRPr="00520F7D" w:rsidRDefault="008036C2"/>
  </w:footnote>
  <w:footnote w:id="2">
    <w:p w14:paraId="46B16091" w14:textId="77777777" w:rsidR="004F289F" w:rsidRPr="00520F7D" w:rsidRDefault="004F289F" w:rsidP="00404025">
      <w:pPr>
        <w:pStyle w:val="Footnote-Text"/>
      </w:pPr>
      <w:r>
        <w:rPr>
          <w:lang w:val="es-ES"/>
        </w:rPr>
        <w:t>* El anexo no ha sido objeto de revisión editorial oficial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6BD3" w14:textId="3F4B7105" w:rsidR="004F289F" w:rsidRPr="008720BF" w:rsidRDefault="005A0630" w:rsidP="008720BF">
    <w:pPr>
      <w:pStyle w:val="Header-pool"/>
    </w:pPr>
    <w:r>
      <w:rPr>
        <w:noProof/>
      </w:rPr>
      <w:t>UNEP/OzL.Pro/ImpCom/75/6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8133" w14:textId="2669F8BB" w:rsidR="004F289F" w:rsidRPr="008720BF" w:rsidRDefault="005A0630" w:rsidP="008720BF">
    <w:pPr>
      <w:pStyle w:val="Header-pool"/>
      <w:jc w:val="right"/>
    </w:pPr>
    <w:r>
      <w:rPr>
        <w:noProof/>
      </w:rPr>
      <w:t>UNEP/OzL.Pro/ImpCom/75/6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C3D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E2D9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509C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3E16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40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FE16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255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B2F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94DD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42E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533CF8"/>
    <w:multiLevelType w:val="hybridMultilevel"/>
    <w:tmpl w:val="1E6683D2"/>
    <w:lvl w:ilvl="0" w:tplc="ACC6B0B8">
      <w:start w:val="1"/>
      <w:numFmt w:val="lowerLetter"/>
      <w:lvlText w:val="%1)"/>
      <w:lvlJc w:val="left"/>
      <w:pPr>
        <w:ind w:left="2591" w:hanging="360"/>
      </w:pPr>
      <w:rPr>
        <w:rFonts w:hint="default"/>
      </w:rPr>
    </w:lvl>
    <w:lvl w:ilvl="1" w:tplc="ACC6B0B8">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07EA5CC3"/>
    <w:multiLevelType w:val="hybridMultilevel"/>
    <w:tmpl w:val="E13C6CB2"/>
    <w:lvl w:ilvl="0" w:tplc="62D63EAC">
      <w:start w:val="1"/>
      <w:numFmt w:val="bullet"/>
      <w:lvlText w:val="•"/>
      <w:lvlJc w:val="left"/>
      <w:pPr>
        <w:tabs>
          <w:tab w:val="num" w:pos="720"/>
        </w:tabs>
        <w:ind w:left="720" w:hanging="360"/>
      </w:pPr>
      <w:rPr>
        <w:rFonts w:ascii="Arial" w:hAnsi="Arial" w:hint="default"/>
      </w:rPr>
    </w:lvl>
    <w:lvl w:ilvl="1" w:tplc="B68CC54C">
      <w:start w:val="1"/>
      <w:numFmt w:val="bullet"/>
      <w:lvlText w:val="•"/>
      <w:lvlJc w:val="left"/>
      <w:pPr>
        <w:tabs>
          <w:tab w:val="num" w:pos="1440"/>
        </w:tabs>
        <w:ind w:left="1440" w:hanging="360"/>
      </w:pPr>
      <w:rPr>
        <w:rFonts w:ascii="Arial" w:hAnsi="Arial" w:hint="default"/>
      </w:rPr>
    </w:lvl>
    <w:lvl w:ilvl="2" w:tplc="6C6003BE" w:tentative="1">
      <w:start w:val="1"/>
      <w:numFmt w:val="bullet"/>
      <w:lvlText w:val="•"/>
      <w:lvlJc w:val="left"/>
      <w:pPr>
        <w:tabs>
          <w:tab w:val="num" w:pos="2160"/>
        </w:tabs>
        <w:ind w:left="2160" w:hanging="360"/>
      </w:pPr>
      <w:rPr>
        <w:rFonts w:ascii="Arial" w:hAnsi="Arial" w:hint="default"/>
      </w:rPr>
    </w:lvl>
    <w:lvl w:ilvl="3" w:tplc="050CE7BE" w:tentative="1">
      <w:start w:val="1"/>
      <w:numFmt w:val="bullet"/>
      <w:lvlText w:val="•"/>
      <w:lvlJc w:val="left"/>
      <w:pPr>
        <w:tabs>
          <w:tab w:val="num" w:pos="2880"/>
        </w:tabs>
        <w:ind w:left="2880" w:hanging="360"/>
      </w:pPr>
      <w:rPr>
        <w:rFonts w:ascii="Arial" w:hAnsi="Arial" w:hint="default"/>
      </w:rPr>
    </w:lvl>
    <w:lvl w:ilvl="4" w:tplc="E618A488" w:tentative="1">
      <w:start w:val="1"/>
      <w:numFmt w:val="bullet"/>
      <w:lvlText w:val="•"/>
      <w:lvlJc w:val="left"/>
      <w:pPr>
        <w:tabs>
          <w:tab w:val="num" w:pos="3600"/>
        </w:tabs>
        <w:ind w:left="3600" w:hanging="360"/>
      </w:pPr>
      <w:rPr>
        <w:rFonts w:ascii="Arial" w:hAnsi="Arial" w:hint="default"/>
      </w:rPr>
    </w:lvl>
    <w:lvl w:ilvl="5" w:tplc="A782B584" w:tentative="1">
      <w:start w:val="1"/>
      <w:numFmt w:val="bullet"/>
      <w:lvlText w:val="•"/>
      <w:lvlJc w:val="left"/>
      <w:pPr>
        <w:tabs>
          <w:tab w:val="num" w:pos="4320"/>
        </w:tabs>
        <w:ind w:left="4320" w:hanging="360"/>
      </w:pPr>
      <w:rPr>
        <w:rFonts w:ascii="Arial" w:hAnsi="Arial" w:hint="default"/>
      </w:rPr>
    </w:lvl>
    <w:lvl w:ilvl="6" w:tplc="274CF8E6" w:tentative="1">
      <w:start w:val="1"/>
      <w:numFmt w:val="bullet"/>
      <w:lvlText w:val="•"/>
      <w:lvlJc w:val="left"/>
      <w:pPr>
        <w:tabs>
          <w:tab w:val="num" w:pos="5040"/>
        </w:tabs>
        <w:ind w:left="5040" w:hanging="360"/>
      </w:pPr>
      <w:rPr>
        <w:rFonts w:ascii="Arial" w:hAnsi="Arial" w:hint="default"/>
      </w:rPr>
    </w:lvl>
    <w:lvl w:ilvl="7" w:tplc="111819E6" w:tentative="1">
      <w:start w:val="1"/>
      <w:numFmt w:val="bullet"/>
      <w:lvlText w:val="•"/>
      <w:lvlJc w:val="left"/>
      <w:pPr>
        <w:tabs>
          <w:tab w:val="num" w:pos="5760"/>
        </w:tabs>
        <w:ind w:left="5760" w:hanging="360"/>
      </w:pPr>
      <w:rPr>
        <w:rFonts w:ascii="Arial" w:hAnsi="Arial" w:hint="default"/>
      </w:rPr>
    </w:lvl>
    <w:lvl w:ilvl="8" w:tplc="0D8298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8A3EE6"/>
    <w:multiLevelType w:val="hybridMultilevel"/>
    <w:tmpl w:val="5536629C"/>
    <w:lvl w:ilvl="0" w:tplc="FFFFFFFF">
      <w:start w:val="1"/>
      <w:numFmt w:val="lowerLetter"/>
      <w:lvlText w:val="%1)"/>
      <w:lvlJc w:val="left"/>
      <w:pPr>
        <w:ind w:left="1607" w:hanging="360"/>
      </w:pPr>
      <w:rPr>
        <w:rFonts w:hint="default"/>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14" w15:restartNumberingAfterBreak="0">
    <w:nsid w:val="08F30424"/>
    <w:multiLevelType w:val="hybridMultilevel"/>
    <w:tmpl w:val="5536629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0A6569A5"/>
    <w:multiLevelType w:val="hybridMultilevel"/>
    <w:tmpl w:val="5CB638F2"/>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0C8C0E5E"/>
    <w:multiLevelType w:val="hybridMultilevel"/>
    <w:tmpl w:val="A708486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14135479"/>
    <w:multiLevelType w:val="hybridMultilevel"/>
    <w:tmpl w:val="DE0C02A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904571D"/>
    <w:multiLevelType w:val="hybridMultilevel"/>
    <w:tmpl w:val="F8AA16AE"/>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A4D39AC"/>
    <w:multiLevelType w:val="hybridMultilevel"/>
    <w:tmpl w:val="75D03ABC"/>
    <w:lvl w:ilvl="0" w:tplc="0809000F">
      <w:start w:val="1"/>
      <w:numFmt w:val="decimal"/>
      <w:lvlText w:val="%1."/>
      <w:lvlJc w:val="left"/>
      <w:pPr>
        <w:ind w:left="1608" w:hanging="360"/>
      </w:pPr>
    </w:lvl>
    <w:lvl w:ilvl="1" w:tplc="08090019">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0" w15:restartNumberingAfterBreak="0">
    <w:nsid w:val="1AC41388"/>
    <w:multiLevelType w:val="hybridMultilevel"/>
    <w:tmpl w:val="E91EB27E"/>
    <w:lvl w:ilvl="0" w:tplc="0809000F">
      <w:start w:val="1"/>
      <w:numFmt w:val="decimal"/>
      <w:lvlText w:val="%1."/>
      <w:lvlJc w:val="left"/>
      <w:pPr>
        <w:ind w:left="1967" w:hanging="360"/>
      </w:pPr>
    </w:lvl>
    <w:lvl w:ilvl="1" w:tplc="3C247B6A">
      <w:start w:val="1"/>
      <w:numFmt w:val="lowerLetter"/>
      <w:lvlText w:val="%2)"/>
      <w:lvlJc w:val="left"/>
      <w:pPr>
        <w:ind w:left="2957" w:hanging="630"/>
      </w:pPr>
      <w:rPr>
        <w:rFonts w:hint="default"/>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1ACF259F"/>
    <w:multiLevelType w:val="hybridMultilevel"/>
    <w:tmpl w:val="2EF84BBC"/>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24" w15:restartNumberingAfterBreak="0">
    <w:nsid w:val="1BF41A0C"/>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CD66354"/>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26" w15:restartNumberingAfterBreak="0">
    <w:nsid w:val="220D0EB9"/>
    <w:multiLevelType w:val="hybridMultilevel"/>
    <w:tmpl w:val="0F9C30D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7" w15:restartNumberingAfterBreak="0">
    <w:nsid w:val="268E5E42"/>
    <w:multiLevelType w:val="hybridMultilevel"/>
    <w:tmpl w:val="A664F45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8" w15:restartNumberingAfterBreak="0">
    <w:nsid w:val="283F4016"/>
    <w:multiLevelType w:val="hybridMultilevel"/>
    <w:tmpl w:val="7ADE2F0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9" w15:restartNumberingAfterBreak="0">
    <w:nsid w:val="28550FC9"/>
    <w:multiLevelType w:val="hybridMultilevel"/>
    <w:tmpl w:val="78FCDE62"/>
    <w:lvl w:ilvl="0" w:tplc="013EF03E">
      <w:start w:val="1"/>
      <w:numFmt w:val="bullet"/>
      <w:lvlText w:val="v"/>
      <w:lvlJc w:val="left"/>
      <w:pPr>
        <w:tabs>
          <w:tab w:val="num" w:pos="720"/>
        </w:tabs>
        <w:ind w:left="720" w:hanging="360"/>
      </w:pPr>
      <w:rPr>
        <w:rFonts w:ascii="Wingdings" w:hAnsi="Wingdings" w:hint="default"/>
      </w:rPr>
    </w:lvl>
    <w:lvl w:ilvl="1" w:tplc="0E2E4108" w:tentative="1">
      <w:start w:val="1"/>
      <w:numFmt w:val="bullet"/>
      <w:lvlText w:val="v"/>
      <w:lvlJc w:val="left"/>
      <w:pPr>
        <w:tabs>
          <w:tab w:val="num" w:pos="1440"/>
        </w:tabs>
        <w:ind w:left="1440" w:hanging="360"/>
      </w:pPr>
      <w:rPr>
        <w:rFonts w:ascii="Wingdings" w:hAnsi="Wingdings" w:hint="default"/>
      </w:rPr>
    </w:lvl>
    <w:lvl w:ilvl="2" w:tplc="49107C0E" w:tentative="1">
      <w:start w:val="1"/>
      <w:numFmt w:val="bullet"/>
      <w:lvlText w:val="v"/>
      <w:lvlJc w:val="left"/>
      <w:pPr>
        <w:tabs>
          <w:tab w:val="num" w:pos="2160"/>
        </w:tabs>
        <w:ind w:left="2160" w:hanging="360"/>
      </w:pPr>
      <w:rPr>
        <w:rFonts w:ascii="Wingdings" w:hAnsi="Wingdings" w:hint="default"/>
      </w:rPr>
    </w:lvl>
    <w:lvl w:ilvl="3" w:tplc="B8C270DC" w:tentative="1">
      <w:start w:val="1"/>
      <w:numFmt w:val="bullet"/>
      <w:lvlText w:val="v"/>
      <w:lvlJc w:val="left"/>
      <w:pPr>
        <w:tabs>
          <w:tab w:val="num" w:pos="2880"/>
        </w:tabs>
        <w:ind w:left="2880" w:hanging="360"/>
      </w:pPr>
      <w:rPr>
        <w:rFonts w:ascii="Wingdings" w:hAnsi="Wingdings" w:hint="default"/>
      </w:rPr>
    </w:lvl>
    <w:lvl w:ilvl="4" w:tplc="390036EC" w:tentative="1">
      <w:start w:val="1"/>
      <w:numFmt w:val="bullet"/>
      <w:lvlText w:val="v"/>
      <w:lvlJc w:val="left"/>
      <w:pPr>
        <w:tabs>
          <w:tab w:val="num" w:pos="3600"/>
        </w:tabs>
        <w:ind w:left="3600" w:hanging="360"/>
      </w:pPr>
      <w:rPr>
        <w:rFonts w:ascii="Wingdings" w:hAnsi="Wingdings" w:hint="default"/>
      </w:rPr>
    </w:lvl>
    <w:lvl w:ilvl="5" w:tplc="83AAB8F8" w:tentative="1">
      <w:start w:val="1"/>
      <w:numFmt w:val="bullet"/>
      <w:lvlText w:val="v"/>
      <w:lvlJc w:val="left"/>
      <w:pPr>
        <w:tabs>
          <w:tab w:val="num" w:pos="4320"/>
        </w:tabs>
        <w:ind w:left="4320" w:hanging="360"/>
      </w:pPr>
      <w:rPr>
        <w:rFonts w:ascii="Wingdings" w:hAnsi="Wingdings" w:hint="default"/>
      </w:rPr>
    </w:lvl>
    <w:lvl w:ilvl="6" w:tplc="8C4495F6" w:tentative="1">
      <w:start w:val="1"/>
      <w:numFmt w:val="bullet"/>
      <w:lvlText w:val="v"/>
      <w:lvlJc w:val="left"/>
      <w:pPr>
        <w:tabs>
          <w:tab w:val="num" w:pos="5040"/>
        </w:tabs>
        <w:ind w:left="5040" w:hanging="360"/>
      </w:pPr>
      <w:rPr>
        <w:rFonts w:ascii="Wingdings" w:hAnsi="Wingdings" w:hint="default"/>
      </w:rPr>
    </w:lvl>
    <w:lvl w:ilvl="7" w:tplc="8F1CAE18" w:tentative="1">
      <w:start w:val="1"/>
      <w:numFmt w:val="bullet"/>
      <w:lvlText w:val="v"/>
      <w:lvlJc w:val="left"/>
      <w:pPr>
        <w:tabs>
          <w:tab w:val="num" w:pos="5760"/>
        </w:tabs>
        <w:ind w:left="5760" w:hanging="360"/>
      </w:pPr>
      <w:rPr>
        <w:rFonts w:ascii="Wingdings" w:hAnsi="Wingdings" w:hint="default"/>
      </w:rPr>
    </w:lvl>
    <w:lvl w:ilvl="8" w:tplc="6E761170"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290E318F"/>
    <w:multiLevelType w:val="hybridMultilevel"/>
    <w:tmpl w:val="3ACABFD2"/>
    <w:lvl w:ilvl="0" w:tplc="7D4092E0">
      <w:start w:val="9"/>
      <w:numFmt w:val="lowerLetter"/>
      <w:lvlText w:val="%1)"/>
      <w:lvlJc w:val="left"/>
      <w:pPr>
        <w:ind w:left="3115" w:hanging="620"/>
      </w:pPr>
      <w:rPr>
        <w:rFonts w:hint="default"/>
      </w:rPr>
    </w:lvl>
    <w:lvl w:ilvl="1" w:tplc="08090019" w:tentative="1">
      <w:start w:val="1"/>
      <w:numFmt w:val="lowerLetter"/>
      <w:lvlText w:val="%2."/>
      <w:lvlJc w:val="left"/>
      <w:pPr>
        <w:ind w:left="3575" w:hanging="360"/>
      </w:pPr>
    </w:lvl>
    <w:lvl w:ilvl="2" w:tplc="0809001B" w:tentative="1">
      <w:start w:val="1"/>
      <w:numFmt w:val="lowerRoman"/>
      <w:lvlText w:val="%3."/>
      <w:lvlJc w:val="right"/>
      <w:pPr>
        <w:ind w:left="4295" w:hanging="180"/>
      </w:pPr>
    </w:lvl>
    <w:lvl w:ilvl="3" w:tplc="0809000F" w:tentative="1">
      <w:start w:val="1"/>
      <w:numFmt w:val="decimal"/>
      <w:lvlText w:val="%4."/>
      <w:lvlJc w:val="left"/>
      <w:pPr>
        <w:ind w:left="5015" w:hanging="360"/>
      </w:pPr>
    </w:lvl>
    <w:lvl w:ilvl="4" w:tplc="08090019" w:tentative="1">
      <w:start w:val="1"/>
      <w:numFmt w:val="lowerLetter"/>
      <w:lvlText w:val="%5."/>
      <w:lvlJc w:val="left"/>
      <w:pPr>
        <w:ind w:left="5735" w:hanging="360"/>
      </w:pPr>
    </w:lvl>
    <w:lvl w:ilvl="5" w:tplc="0809001B" w:tentative="1">
      <w:start w:val="1"/>
      <w:numFmt w:val="lowerRoman"/>
      <w:lvlText w:val="%6."/>
      <w:lvlJc w:val="right"/>
      <w:pPr>
        <w:ind w:left="6455" w:hanging="180"/>
      </w:pPr>
    </w:lvl>
    <w:lvl w:ilvl="6" w:tplc="0809000F" w:tentative="1">
      <w:start w:val="1"/>
      <w:numFmt w:val="decimal"/>
      <w:lvlText w:val="%7."/>
      <w:lvlJc w:val="left"/>
      <w:pPr>
        <w:ind w:left="7175" w:hanging="360"/>
      </w:pPr>
    </w:lvl>
    <w:lvl w:ilvl="7" w:tplc="08090019" w:tentative="1">
      <w:start w:val="1"/>
      <w:numFmt w:val="lowerLetter"/>
      <w:lvlText w:val="%8."/>
      <w:lvlJc w:val="left"/>
      <w:pPr>
        <w:ind w:left="7895" w:hanging="360"/>
      </w:pPr>
    </w:lvl>
    <w:lvl w:ilvl="8" w:tplc="0809001B" w:tentative="1">
      <w:start w:val="1"/>
      <w:numFmt w:val="lowerRoman"/>
      <w:lvlText w:val="%9."/>
      <w:lvlJc w:val="right"/>
      <w:pPr>
        <w:ind w:left="8615" w:hanging="180"/>
      </w:pPr>
    </w:lvl>
  </w:abstractNum>
  <w:abstractNum w:abstractNumId="31" w15:restartNumberingAfterBreak="0">
    <w:nsid w:val="2FA63ECE"/>
    <w:multiLevelType w:val="hybridMultilevel"/>
    <w:tmpl w:val="5574B5E2"/>
    <w:lvl w:ilvl="0" w:tplc="228843CC">
      <w:start w:val="1"/>
      <w:numFmt w:val="bullet"/>
      <w:lvlText w:val="v"/>
      <w:lvlJc w:val="left"/>
      <w:pPr>
        <w:tabs>
          <w:tab w:val="num" w:pos="720"/>
        </w:tabs>
        <w:ind w:left="720" w:hanging="360"/>
      </w:pPr>
      <w:rPr>
        <w:rFonts w:ascii="Wingdings" w:hAnsi="Wingdings" w:hint="default"/>
      </w:rPr>
    </w:lvl>
    <w:lvl w:ilvl="1" w:tplc="3AD469C6">
      <w:start w:val="1"/>
      <w:numFmt w:val="bullet"/>
      <w:lvlText w:val="v"/>
      <w:lvlJc w:val="left"/>
      <w:pPr>
        <w:tabs>
          <w:tab w:val="num" w:pos="1440"/>
        </w:tabs>
        <w:ind w:left="1440" w:hanging="360"/>
      </w:pPr>
      <w:rPr>
        <w:rFonts w:ascii="Wingdings" w:hAnsi="Wingdings" w:hint="default"/>
      </w:rPr>
    </w:lvl>
    <w:lvl w:ilvl="2" w:tplc="71484A1C" w:tentative="1">
      <w:start w:val="1"/>
      <w:numFmt w:val="bullet"/>
      <w:lvlText w:val="v"/>
      <w:lvlJc w:val="left"/>
      <w:pPr>
        <w:tabs>
          <w:tab w:val="num" w:pos="2160"/>
        </w:tabs>
        <w:ind w:left="2160" w:hanging="360"/>
      </w:pPr>
      <w:rPr>
        <w:rFonts w:ascii="Wingdings" w:hAnsi="Wingdings" w:hint="default"/>
      </w:rPr>
    </w:lvl>
    <w:lvl w:ilvl="3" w:tplc="808E5CC0" w:tentative="1">
      <w:start w:val="1"/>
      <w:numFmt w:val="bullet"/>
      <w:lvlText w:val="v"/>
      <w:lvlJc w:val="left"/>
      <w:pPr>
        <w:tabs>
          <w:tab w:val="num" w:pos="2880"/>
        </w:tabs>
        <w:ind w:left="2880" w:hanging="360"/>
      </w:pPr>
      <w:rPr>
        <w:rFonts w:ascii="Wingdings" w:hAnsi="Wingdings" w:hint="default"/>
      </w:rPr>
    </w:lvl>
    <w:lvl w:ilvl="4" w:tplc="B53EA81A" w:tentative="1">
      <w:start w:val="1"/>
      <w:numFmt w:val="bullet"/>
      <w:lvlText w:val="v"/>
      <w:lvlJc w:val="left"/>
      <w:pPr>
        <w:tabs>
          <w:tab w:val="num" w:pos="3600"/>
        </w:tabs>
        <w:ind w:left="3600" w:hanging="360"/>
      </w:pPr>
      <w:rPr>
        <w:rFonts w:ascii="Wingdings" w:hAnsi="Wingdings" w:hint="default"/>
      </w:rPr>
    </w:lvl>
    <w:lvl w:ilvl="5" w:tplc="77C666DE" w:tentative="1">
      <w:start w:val="1"/>
      <w:numFmt w:val="bullet"/>
      <w:lvlText w:val="v"/>
      <w:lvlJc w:val="left"/>
      <w:pPr>
        <w:tabs>
          <w:tab w:val="num" w:pos="4320"/>
        </w:tabs>
        <w:ind w:left="4320" w:hanging="360"/>
      </w:pPr>
      <w:rPr>
        <w:rFonts w:ascii="Wingdings" w:hAnsi="Wingdings" w:hint="default"/>
      </w:rPr>
    </w:lvl>
    <w:lvl w:ilvl="6" w:tplc="E85C90CE" w:tentative="1">
      <w:start w:val="1"/>
      <w:numFmt w:val="bullet"/>
      <w:lvlText w:val="v"/>
      <w:lvlJc w:val="left"/>
      <w:pPr>
        <w:tabs>
          <w:tab w:val="num" w:pos="5040"/>
        </w:tabs>
        <w:ind w:left="5040" w:hanging="360"/>
      </w:pPr>
      <w:rPr>
        <w:rFonts w:ascii="Wingdings" w:hAnsi="Wingdings" w:hint="default"/>
      </w:rPr>
    </w:lvl>
    <w:lvl w:ilvl="7" w:tplc="C3924FCA" w:tentative="1">
      <w:start w:val="1"/>
      <w:numFmt w:val="bullet"/>
      <w:lvlText w:val="v"/>
      <w:lvlJc w:val="left"/>
      <w:pPr>
        <w:tabs>
          <w:tab w:val="num" w:pos="5760"/>
        </w:tabs>
        <w:ind w:left="5760" w:hanging="360"/>
      </w:pPr>
      <w:rPr>
        <w:rFonts w:ascii="Wingdings" w:hAnsi="Wingdings" w:hint="default"/>
      </w:rPr>
    </w:lvl>
    <w:lvl w:ilvl="8" w:tplc="8962E284" w:tentative="1">
      <w:start w:val="1"/>
      <w:numFmt w:val="bullet"/>
      <w:lvlText w:val="v"/>
      <w:lvlJc w:val="left"/>
      <w:pPr>
        <w:tabs>
          <w:tab w:val="num" w:pos="6480"/>
        </w:tabs>
        <w:ind w:left="6480" w:hanging="360"/>
      </w:pPr>
      <w:rPr>
        <w:rFonts w:ascii="Wingdings" w:hAnsi="Wingdings" w:hint="default"/>
      </w:rPr>
    </w:lvl>
  </w:abstractNum>
  <w:abstractNum w:abstractNumId="32" w15:restartNumberingAfterBreak="0">
    <w:nsid w:val="30876544"/>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3" w15:restartNumberingAfterBreak="0">
    <w:nsid w:val="31CC17C1"/>
    <w:multiLevelType w:val="hybridMultilevel"/>
    <w:tmpl w:val="D5941DD2"/>
    <w:lvl w:ilvl="0" w:tplc="188622B8">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4A54A10"/>
    <w:multiLevelType w:val="hybridMultilevel"/>
    <w:tmpl w:val="048A73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6"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37" w15:restartNumberingAfterBreak="0">
    <w:nsid w:val="3797684A"/>
    <w:multiLevelType w:val="hybridMultilevel"/>
    <w:tmpl w:val="8E525EC6"/>
    <w:lvl w:ilvl="0" w:tplc="FFFFFFFF">
      <w:start w:val="1"/>
      <w:numFmt w:val="lowerRoman"/>
      <w:lvlText w:val="%1)"/>
      <w:lvlJc w:val="left"/>
      <w:pPr>
        <w:ind w:left="3215" w:hanging="360"/>
      </w:pPr>
      <w:rPr>
        <w:rFonts w:hint="default"/>
      </w:rPr>
    </w:lvl>
    <w:lvl w:ilvl="1" w:tplc="FFFFFFFF" w:tentative="1">
      <w:start w:val="1"/>
      <w:numFmt w:val="lowerLetter"/>
      <w:lvlText w:val="%2."/>
      <w:lvlJc w:val="left"/>
      <w:pPr>
        <w:ind w:left="3935" w:hanging="360"/>
      </w:pPr>
    </w:lvl>
    <w:lvl w:ilvl="2" w:tplc="FFFFFFFF" w:tentative="1">
      <w:start w:val="1"/>
      <w:numFmt w:val="lowerRoman"/>
      <w:lvlText w:val="%3."/>
      <w:lvlJc w:val="right"/>
      <w:pPr>
        <w:ind w:left="4655" w:hanging="180"/>
      </w:pPr>
    </w:lvl>
    <w:lvl w:ilvl="3" w:tplc="FFFFFFFF" w:tentative="1">
      <w:start w:val="1"/>
      <w:numFmt w:val="decimal"/>
      <w:lvlText w:val="%4."/>
      <w:lvlJc w:val="left"/>
      <w:pPr>
        <w:ind w:left="5375" w:hanging="360"/>
      </w:pPr>
    </w:lvl>
    <w:lvl w:ilvl="4" w:tplc="FFFFFFFF" w:tentative="1">
      <w:start w:val="1"/>
      <w:numFmt w:val="lowerLetter"/>
      <w:lvlText w:val="%5."/>
      <w:lvlJc w:val="left"/>
      <w:pPr>
        <w:ind w:left="6095" w:hanging="360"/>
      </w:pPr>
    </w:lvl>
    <w:lvl w:ilvl="5" w:tplc="FFFFFFFF" w:tentative="1">
      <w:start w:val="1"/>
      <w:numFmt w:val="lowerRoman"/>
      <w:lvlText w:val="%6."/>
      <w:lvlJc w:val="right"/>
      <w:pPr>
        <w:ind w:left="6815" w:hanging="180"/>
      </w:pPr>
    </w:lvl>
    <w:lvl w:ilvl="6" w:tplc="FFFFFFFF" w:tentative="1">
      <w:start w:val="1"/>
      <w:numFmt w:val="decimal"/>
      <w:lvlText w:val="%7."/>
      <w:lvlJc w:val="left"/>
      <w:pPr>
        <w:ind w:left="7535" w:hanging="360"/>
      </w:pPr>
    </w:lvl>
    <w:lvl w:ilvl="7" w:tplc="FFFFFFFF" w:tentative="1">
      <w:start w:val="1"/>
      <w:numFmt w:val="lowerLetter"/>
      <w:lvlText w:val="%8."/>
      <w:lvlJc w:val="left"/>
      <w:pPr>
        <w:ind w:left="8255" w:hanging="360"/>
      </w:pPr>
    </w:lvl>
    <w:lvl w:ilvl="8" w:tplc="FFFFFFFF" w:tentative="1">
      <w:start w:val="1"/>
      <w:numFmt w:val="lowerRoman"/>
      <w:lvlText w:val="%9."/>
      <w:lvlJc w:val="right"/>
      <w:pPr>
        <w:ind w:left="8975" w:hanging="180"/>
      </w:pPr>
    </w:lvl>
  </w:abstractNum>
  <w:abstractNum w:abstractNumId="38" w15:restartNumberingAfterBreak="0">
    <w:nsid w:val="38386ABB"/>
    <w:multiLevelType w:val="hybridMultilevel"/>
    <w:tmpl w:val="BAFCC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6A4762"/>
    <w:multiLevelType w:val="hybridMultilevel"/>
    <w:tmpl w:val="8C3A0854"/>
    <w:lvl w:ilvl="0" w:tplc="ECF04FBA">
      <w:start w:val="1"/>
      <w:numFmt w:val="bullet"/>
      <w:lvlText w:val="•"/>
      <w:lvlJc w:val="left"/>
      <w:pPr>
        <w:tabs>
          <w:tab w:val="num" w:pos="720"/>
        </w:tabs>
        <w:ind w:left="720" w:hanging="360"/>
      </w:pPr>
      <w:rPr>
        <w:rFonts w:ascii="Arial" w:hAnsi="Arial" w:hint="default"/>
      </w:rPr>
    </w:lvl>
    <w:lvl w:ilvl="1" w:tplc="00ECAE76">
      <w:start w:val="1"/>
      <w:numFmt w:val="bullet"/>
      <w:lvlText w:val="•"/>
      <w:lvlJc w:val="left"/>
      <w:pPr>
        <w:tabs>
          <w:tab w:val="num" w:pos="1440"/>
        </w:tabs>
        <w:ind w:left="1440" w:hanging="360"/>
      </w:pPr>
      <w:rPr>
        <w:rFonts w:ascii="Arial" w:hAnsi="Arial" w:hint="default"/>
      </w:rPr>
    </w:lvl>
    <w:lvl w:ilvl="2" w:tplc="9586BB78" w:tentative="1">
      <w:start w:val="1"/>
      <w:numFmt w:val="bullet"/>
      <w:lvlText w:val="•"/>
      <w:lvlJc w:val="left"/>
      <w:pPr>
        <w:tabs>
          <w:tab w:val="num" w:pos="2160"/>
        </w:tabs>
        <w:ind w:left="2160" w:hanging="360"/>
      </w:pPr>
      <w:rPr>
        <w:rFonts w:ascii="Arial" w:hAnsi="Arial" w:hint="default"/>
      </w:rPr>
    </w:lvl>
    <w:lvl w:ilvl="3" w:tplc="A14C8EF8" w:tentative="1">
      <w:start w:val="1"/>
      <w:numFmt w:val="bullet"/>
      <w:lvlText w:val="•"/>
      <w:lvlJc w:val="left"/>
      <w:pPr>
        <w:tabs>
          <w:tab w:val="num" w:pos="2880"/>
        </w:tabs>
        <w:ind w:left="2880" w:hanging="360"/>
      </w:pPr>
      <w:rPr>
        <w:rFonts w:ascii="Arial" w:hAnsi="Arial" w:hint="default"/>
      </w:rPr>
    </w:lvl>
    <w:lvl w:ilvl="4" w:tplc="3D0EA04C" w:tentative="1">
      <w:start w:val="1"/>
      <w:numFmt w:val="bullet"/>
      <w:lvlText w:val="•"/>
      <w:lvlJc w:val="left"/>
      <w:pPr>
        <w:tabs>
          <w:tab w:val="num" w:pos="3600"/>
        </w:tabs>
        <w:ind w:left="3600" w:hanging="360"/>
      </w:pPr>
      <w:rPr>
        <w:rFonts w:ascii="Arial" w:hAnsi="Arial" w:hint="default"/>
      </w:rPr>
    </w:lvl>
    <w:lvl w:ilvl="5" w:tplc="1E0E62E0" w:tentative="1">
      <w:start w:val="1"/>
      <w:numFmt w:val="bullet"/>
      <w:lvlText w:val="•"/>
      <w:lvlJc w:val="left"/>
      <w:pPr>
        <w:tabs>
          <w:tab w:val="num" w:pos="4320"/>
        </w:tabs>
        <w:ind w:left="4320" w:hanging="360"/>
      </w:pPr>
      <w:rPr>
        <w:rFonts w:ascii="Arial" w:hAnsi="Arial" w:hint="default"/>
      </w:rPr>
    </w:lvl>
    <w:lvl w:ilvl="6" w:tplc="B0321524" w:tentative="1">
      <w:start w:val="1"/>
      <w:numFmt w:val="bullet"/>
      <w:lvlText w:val="•"/>
      <w:lvlJc w:val="left"/>
      <w:pPr>
        <w:tabs>
          <w:tab w:val="num" w:pos="5040"/>
        </w:tabs>
        <w:ind w:left="5040" w:hanging="360"/>
      </w:pPr>
      <w:rPr>
        <w:rFonts w:ascii="Arial" w:hAnsi="Arial" w:hint="default"/>
      </w:rPr>
    </w:lvl>
    <w:lvl w:ilvl="7" w:tplc="7B12E5B6" w:tentative="1">
      <w:start w:val="1"/>
      <w:numFmt w:val="bullet"/>
      <w:lvlText w:val="•"/>
      <w:lvlJc w:val="left"/>
      <w:pPr>
        <w:tabs>
          <w:tab w:val="num" w:pos="5760"/>
        </w:tabs>
        <w:ind w:left="5760" w:hanging="360"/>
      </w:pPr>
      <w:rPr>
        <w:rFonts w:ascii="Arial" w:hAnsi="Arial" w:hint="default"/>
      </w:rPr>
    </w:lvl>
    <w:lvl w:ilvl="8" w:tplc="0AC2084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99F51D1"/>
    <w:multiLevelType w:val="hybridMultilevel"/>
    <w:tmpl w:val="023888A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1" w15:restartNumberingAfterBreak="0">
    <w:nsid w:val="3AD6566B"/>
    <w:multiLevelType w:val="hybridMultilevel"/>
    <w:tmpl w:val="2A0EDD6C"/>
    <w:lvl w:ilvl="0" w:tplc="3A6EE682">
      <w:start w:val="1"/>
      <w:numFmt w:val="bullet"/>
      <w:lvlText w:val="•"/>
      <w:lvlJc w:val="left"/>
      <w:pPr>
        <w:tabs>
          <w:tab w:val="num" w:pos="720"/>
        </w:tabs>
        <w:ind w:left="720" w:hanging="360"/>
      </w:pPr>
      <w:rPr>
        <w:rFonts w:ascii="Arial" w:hAnsi="Arial" w:hint="default"/>
      </w:rPr>
    </w:lvl>
    <w:lvl w:ilvl="1" w:tplc="98B24FA2">
      <w:start w:val="1"/>
      <w:numFmt w:val="bullet"/>
      <w:lvlText w:val="•"/>
      <w:lvlJc w:val="left"/>
      <w:pPr>
        <w:tabs>
          <w:tab w:val="num" w:pos="1440"/>
        </w:tabs>
        <w:ind w:left="1440" w:hanging="360"/>
      </w:pPr>
      <w:rPr>
        <w:rFonts w:ascii="Arial" w:hAnsi="Arial" w:hint="default"/>
      </w:rPr>
    </w:lvl>
    <w:lvl w:ilvl="2" w:tplc="4DBA5264" w:tentative="1">
      <w:start w:val="1"/>
      <w:numFmt w:val="bullet"/>
      <w:lvlText w:val="•"/>
      <w:lvlJc w:val="left"/>
      <w:pPr>
        <w:tabs>
          <w:tab w:val="num" w:pos="2160"/>
        </w:tabs>
        <w:ind w:left="2160" w:hanging="360"/>
      </w:pPr>
      <w:rPr>
        <w:rFonts w:ascii="Arial" w:hAnsi="Arial" w:hint="default"/>
      </w:rPr>
    </w:lvl>
    <w:lvl w:ilvl="3" w:tplc="31D8AD0A" w:tentative="1">
      <w:start w:val="1"/>
      <w:numFmt w:val="bullet"/>
      <w:lvlText w:val="•"/>
      <w:lvlJc w:val="left"/>
      <w:pPr>
        <w:tabs>
          <w:tab w:val="num" w:pos="2880"/>
        </w:tabs>
        <w:ind w:left="2880" w:hanging="360"/>
      </w:pPr>
      <w:rPr>
        <w:rFonts w:ascii="Arial" w:hAnsi="Arial" w:hint="default"/>
      </w:rPr>
    </w:lvl>
    <w:lvl w:ilvl="4" w:tplc="FAE8313C" w:tentative="1">
      <w:start w:val="1"/>
      <w:numFmt w:val="bullet"/>
      <w:lvlText w:val="•"/>
      <w:lvlJc w:val="left"/>
      <w:pPr>
        <w:tabs>
          <w:tab w:val="num" w:pos="3600"/>
        </w:tabs>
        <w:ind w:left="3600" w:hanging="360"/>
      </w:pPr>
      <w:rPr>
        <w:rFonts w:ascii="Arial" w:hAnsi="Arial" w:hint="default"/>
      </w:rPr>
    </w:lvl>
    <w:lvl w:ilvl="5" w:tplc="545CC5A8" w:tentative="1">
      <w:start w:val="1"/>
      <w:numFmt w:val="bullet"/>
      <w:lvlText w:val="•"/>
      <w:lvlJc w:val="left"/>
      <w:pPr>
        <w:tabs>
          <w:tab w:val="num" w:pos="4320"/>
        </w:tabs>
        <w:ind w:left="4320" w:hanging="360"/>
      </w:pPr>
      <w:rPr>
        <w:rFonts w:ascii="Arial" w:hAnsi="Arial" w:hint="default"/>
      </w:rPr>
    </w:lvl>
    <w:lvl w:ilvl="6" w:tplc="32D21406" w:tentative="1">
      <w:start w:val="1"/>
      <w:numFmt w:val="bullet"/>
      <w:lvlText w:val="•"/>
      <w:lvlJc w:val="left"/>
      <w:pPr>
        <w:tabs>
          <w:tab w:val="num" w:pos="5040"/>
        </w:tabs>
        <w:ind w:left="5040" w:hanging="360"/>
      </w:pPr>
      <w:rPr>
        <w:rFonts w:ascii="Arial" w:hAnsi="Arial" w:hint="default"/>
      </w:rPr>
    </w:lvl>
    <w:lvl w:ilvl="7" w:tplc="6AA2372A" w:tentative="1">
      <w:start w:val="1"/>
      <w:numFmt w:val="bullet"/>
      <w:lvlText w:val="•"/>
      <w:lvlJc w:val="left"/>
      <w:pPr>
        <w:tabs>
          <w:tab w:val="num" w:pos="5760"/>
        </w:tabs>
        <w:ind w:left="5760" w:hanging="360"/>
      </w:pPr>
      <w:rPr>
        <w:rFonts w:ascii="Arial" w:hAnsi="Arial" w:hint="default"/>
      </w:rPr>
    </w:lvl>
    <w:lvl w:ilvl="8" w:tplc="9B64CE6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AF165C6"/>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3" w15:restartNumberingAfterBreak="0">
    <w:nsid w:val="3BB55643"/>
    <w:multiLevelType w:val="hybridMultilevel"/>
    <w:tmpl w:val="4F0047F8"/>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3D6876B9"/>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5" w15:restartNumberingAfterBreak="0">
    <w:nsid w:val="3FA37F5D"/>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6" w15:restartNumberingAfterBreak="0">
    <w:nsid w:val="403C7CC8"/>
    <w:multiLevelType w:val="hybridMultilevel"/>
    <w:tmpl w:val="BA689A7E"/>
    <w:lvl w:ilvl="0" w:tplc="75B05D4C">
      <w:start w:val="1"/>
      <w:numFmt w:val="bullet"/>
      <w:lvlText w:val="•"/>
      <w:lvlJc w:val="left"/>
      <w:pPr>
        <w:tabs>
          <w:tab w:val="num" w:pos="720"/>
        </w:tabs>
        <w:ind w:left="720" w:hanging="360"/>
      </w:pPr>
      <w:rPr>
        <w:rFonts w:ascii="Arial" w:hAnsi="Arial" w:hint="default"/>
      </w:rPr>
    </w:lvl>
    <w:lvl w:ilvl="1" w:tplc="A970A884">
      <w:start w:val="1"/>
      <w:numFmt w:val="bullet"/>
      <w:lvlText w:val="•"/>
      <w:lvlJc w:val="left"/>
      <w:pPr>
        <w:tabs>
          <w:tab w:val="num" w:pos="1440"/>
        </w:tabs>
        <w:ind w:left="1440" w:hanging="360"/>
      </w:pPr>
      <w:rPr>
        <w:rFonts w:ascii="Arial" w:hAnsi="Arial" w:hint="default"/>
      </w:rPr>
    </w:lvl>
    <w:lvl w:ilvl="2" w:tplc="533EE4A8" w:tentative="1">
      <w:start w:val="1"/>
      <w:numFmt w:val="bullet"/>
      <w:lvlText w:val="•"/>
      <w:lvlJc w:val="left"/>
      <w:pPr>
        <w:tabs>
          <w:tab w:val="num" w:pos="2160"/>
        </w:tabs>
        <w:ind w:left="2160" w:hanging="360"/>
      </w:pPr>
      <w:rPr>
        <w:rFonts w:ascii="Arial" w:hAnsi="Arial" w:hint="default"/>
      </w:rPr>
    </w:lvl>
    <w:lvl w:ilvl="3" w:tplc="AC98B27A" w:tentative="1">
      <w:start w:val="1"/>
      <w:numFmt w:val="bullet"/>
      <w:lvlText w:val="•"/>
      <w:lvlJc w:val="left"/>
      <w:pPr>
        <w:tabs>
          <w:tab w:val="num" w:pos="2880"/>
        </w:tabs>
        <w:ind w:left="2880" w:hanging="360"/>
      </w:pPr>
      <w:rPr>
        <w:rFonts w:ascii="Arial" w:hAnsi="Arial" w:hint="default"/>
      </w:rPr>
    </w:lvl>
    <w:lvl w:ilvl="4" w:tplc="6A966B92" w:tentative="1">
      <w:start w:val="1"/>
      <w:numFmt w:val="bullet"/>
      <w:lvlText w:val="•"/>
      <w:lvlJc w:val="left"/>
      <w:pPr>
        <w:tabs>
          <w:tab w:val="num" w:pos="3600"/>
        </w:tabs>
        <w:ind w:left="3600" w:hanging="360"/>
      </w:pPr>
      <w:rPr>
        <w:rFonts w:ascii="Arial" w:hAnsi="Arial" w:hint="default"/>
      </w:rPr>
    </w:lvl>
    <w:lvl w:ilvl="5" w:tplc="1CA2E752" w:tentative="1">
      <w:start w:val="1"/>
      <w:numFmt w:val="bullet"/>
      <w:lvlText w:val="•"/>
      <w:lvlJc w:val="left"/>
      <w:pPr>
        <w:tabs>
          <w:tab w:val="num" w:pos="4320"/>
        </w:tabs>
        <w:ind w:left="4320" w:hanging="360"/>
      </w:pPr>
      <w:rPr>
        <w:rFonts w:ascii="Arial" w:hAnsi="Arial" w:hint="default"/>
      </w:rPr>
    </w:lvl>
    <w:lvl w:ilvl="6" w:tplc="E6144764" w:tentative="1">
      <w:start w:val="1"/>
      <w:numFmt w:val="bullet"/>
      <w:lvlText w:val="•"/>
      <w:lvlJc w:val="left"/>
      <w:pPr>
        <w:tabs>
          <w:tab w:val="num" w:pos="5040"/>
        </w:tabs>
        <w:ind w:left="5040" w:hanging="360"/>
      </w:pPr>
      <w:rPr>
        <w:rFonts w:ascii="Arial" w:hAnsi="Arial" w:hint="default"/>
      </w:rPr>
    </w:lvl>
    <w:lvl w:ilvl="7" w:tplc="5F247048" w:tentative="1">
      <w:start w:val="1"/>
      <w:numFmt w:val="bullet"/>
      <w:lvlText w:val="•"/>
      <w:lvlJc w:val="left"/>
      <w:pPr>
        <w:tabs>
          <w:tab w:val="num" w:pos="5760"/>
        </w:tabs>
        <w:ind w:left="5760" w:hanging="360"/>
      </w:pPr>
      <w:rPr>
        <w:rFonts w:ascii="Arial" w:hAnsi="Arial" w:hint="default"/>
      </w:rPr>
    </w:lvl>
    <w:lvl w:ilvl="8" w:tplc="D608A5D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30C7048"/>
    <w:multiLevelType w:val="hybridMultilevel"/>
    <w:tmpl w:val="CAA600FC"/>
    <w:lvl w:ilvl="0" w:tplc="D9EA88FC">
      <w:start w:val="1"/>
      <w:numFmt w:val="upperRoman"/>
      <w:lvlText w:val="%1."/>
      <w:lvlJc w:val="left"/>
      <w:pPr>
        <w:ind w:left="1395" w:hanging="720"/>
      </w:pPr>
      <w:rPr>
        <w:rFonts w:hint="default"/>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8" w15:restartNumberingAfterBreak="0">
    <w:nsid w:val="433D40C4"/>
    <w:multiLevelType w:val="hybridMultilevel"/>
    <w:tmpl w:val="CCB84F3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43705F90"/>
    <w:multiLevelType w:val="hybridMultilevel"/>
    <w:tmpl w:val="B48290D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0" w15:restartNumberingAfterBreak="0">
    <w:nsid w:val="47111BB3"/>
    <w:multiLevelType w:val="hybridMultilevel"/>
    <w:tmpl w:val="990CCD76"/>
    <w:lvl w:ilvl="0" w:tplc="9C4ECC6C">
      <w:start w:val="1"/>
      <w:numFmt w:val="bullet"/>
      <w:lvlText w:val="•"/>
      <w:lvlJc w:val="left"/>
      <w:pPr>
        <w:tabs>
          <w:tab w:val="num" w:pos="720"/>
        </w:tabs>
        <w:ind w:left="720" w:hanging="360"/>
      </w:pPr>
      <w:rPr>
        <w:rFonts w:ascii="Arial" w:hAnsi="Arial" w:hint="default"/>
      </w:rPr>
    </w:lvl>
    <w:lvl w:ilvl="1" w:tplc="E844153A" w:tentative="1">
      <w:start w:val="1"/>
      <w:numFmt w:val="bullet"/>
      <w:lvlText w:val="•"/>
      <w:lvlJc w:val="left"/>
      <w:pPr>
        <w:tabs>
          <w:tab w:val="num" w:pos="1440"/>
        </w:tabs>
        <w:ind w:left="1440" w:hanging="360"/>
      </w:pPr>
      <w:rPr>
        <w:rFonts w:ascii="Arial" w:hAnsi="Arial" w:hint="default"/>
      </w:rPr>
    </w:lvl>
    <w:lvl w:ilvl="2" w:tplc="C71C2824" w:tentative="1">
      <w:start w:val="1"/>
      <w:numFmt w:val="bullet"/>
      <w:lvlText w:val="•"/>
      <w:lvlJc w:val="left"/>
      <w:pPr>
        <w:tabs>
          <w:tab w:val="num" w:pos="2160"/>
        </w:tabs>
        <w:ind w:left="2160" w:hanging="360"/>
      </w:pPr>
      <w:rPr>
        <w:rFonts w:ascii="Arial" w:hAnsi="Arial" w:hint="default"/>
      </w:rPr>
    </w:lvl>
    <w:lvl w:ilvl="3" w:tplc="5266A9F0" w:tentative="1">
      <w:start w:val="1"/>
      <w:numFmt w:val="bullet"/>
      <w:lvlText w:val="•"/>
      <w:lvlJc w:val="left"/>
      <w:pPr>
        <w:tabs>
          <w:tab w:val="num" w:pos="2880"/>
        </w:tabs>
        <w:ind w:left="2880" w:hanging="360"/>
      </w:pPr>
      <w:rPr>
        <w:rFonts w:ascii="Arial" w:hAnsi="Arial" w:hint="default"/>
      </w:rPr>
    </w:lvl>
    <w:lvl w:ilvl="4" w:tplc="06E4DA7A" w:tentative="1">
      <w:start w:val="1"/>
      <w:numFmt w:val="bullet"/>
      <w:lvlText w:val="•"/>
      <w:lvlJc w:val="left"/>
      <w:pPr>
        <w:tabs>
          <w:tab w:val="num" w:pos="3600"/>
        </w:tabs>
        <w:ind w:left="3600" w:hanging="360"/>
      </w:pPr>
      <w:rPr>
        <w:rFonts w:ascii="Arial" w:hAnsi="Arial" w:hint="default"/>
      </w:rPr>
    </w:lvl>
    <w:lvl w:ilvl="5" w:tplc="0B32DF12" w:tentative="1">
      <w:start w:val="1"/>
      <w:numFmt w:val="bullet"/>
      <w:lvlText w:val="•"/>
      <w:lvlJc w:val="left"/>
      <w:pPr>
        <w:tabs>
          <w:tab w:val="num" w:pos="4320"/>
        </w:tabs>
        <w:ind w:left="4320" w:hanging="360"/>
      </w:pPr>
      <w:rPr>
        <w:rFonts w:ascii="Arial" w:hAnsi="Arial" w:hint="default"/>
      </w:rPr>
    </w:lvl>
    <w:lvl w:ilvl="6" w:tplc="74D0C880" w:tentative="1">
      <w:start w:val="1"/>
      <w:numFmt w:val="bullet"/>
      <w:lvlText w:val="•"/>
      <w:lvlJc w:val="left"/>
      <w:pPr>
        <w:tabs>
          <w:tab w:val="num" w:pos="5040"/>
        </w:tabs>
        <w:ind w:left="5040" w:hanging="360"/>
      </w:pPr>
      <w:rPr>
        <w:rFonts w:ascii="Arial" w:hAnsi="Arial" w:hint="default"/>
      </w:rPr>
    </w:lvl>
    <w:lvl w:ilvl="7" w:tplc="8FAA17D0" w:tentative="1">
      <w:start w:val="1"/>
      <w:numFmt w:val="bullet"/>
      <w:lvlText w:val="•"/>
      <w:lvlJc w:val="left"/>
      <w:pPr>
        <w:tabs>
          <w:tab w:val="num" w:pos="5760"/>
        </w:tabs>
        <w:ind w:left="5760" w:hanging="360"/>
      </w:pPr>
      <w:rPr>
        <w:rFonts w:ascii="Arial" w:hAnsi="Arial" w:hint="default"/>
      </w:rPr>
    </w:lvl>
    <w:lvl w:ilvl="8" w:tplc="0DF23D5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8DA25AB"/>
    <w:multiLevelType w:val="hybridMultilevel"/>
    <w:tmpl w:val="74903F76"/>
    <w:lvl w:ilvl="0" w:tplc="F77E3802">
      <w:start w:val="1"/>
      <w:numFmt w:val="bullet"/>
      <w:lvlText w:val="v"/>
      <w:lvlJc w:val="left"/>
      <w:pPr>
        <w:tabs>
          <w:tab w:val="num" w:pos="720"/>
        </w:tabs>
        <w:ind w:left="720" w:hanging="360"/>
      </w:pPr>
      <w:rPr>
        <w:rFonts w:ascii="Wingdings" w:hAnsi="Wingdings" w:hint="default"/>
      </w:rPr>
    </w:lvl>
    <w:lvl w:ilvl="1" w:tplc="26422DA6" w:tentative="1">
      <w:start w:val="1"/>
      <w:numFmt w:val="bullet"/>
      <w:lvlText w:val="v"/>
      <w:lvlJc w:val="left"/>
      <w:pPr>
        <w:tabs>
          <w:tab w:val="num" w:pos="1440"/>
        </w:tabs>
        <w:ind w:left="1440" w:hanging="360"/>
      </w:pPr>
      <w:rPr>
        <w:rFonts w:ascii="Wingdings" w:hAnsi="Wingdings" w:hint="default"/>
      </w:rPr>
    </w:lvl>
    <w:lvl w:ilvl="2" w:tplc="C0F4CCF0" w:tentative="1">
      <w:start w:val="1"/>
      <w:numFmt w:val="bullet"/>
      <w:lvlText w:val="v"/>
      <w:lvlJc w:val="left"/>
      <w:pPr>
        <w:tabs>
          <w:tab w:val="num" w:pos="2160"/>
        </w:tabs>
        <w:ind w:left="2160" w:hanging="360"/>
      </w:pPr>
      <w:rPr>
        <w:rFonts w:ascii="Wingdings" w:hAnsi="Wingdings" w:hint="default"/>
      </w:rPr>
    </w:lvl>
    <w:lvl w:ilvl="3" w:tplc="B0704324" w:tentative="1">
      <w:start w:val="1"/>
      <w:numFmt w:val="bullet"/>
      <w:lvlText w:val="v"/>
      <w:lvlJc w:val="left"/>
      <w:pPr>
        <w:tabs>
          <w:tab w:val="num" w:pos="2880"/>
        </w:tabs>
        <w:ind w:left="2880" w:hanging="360"/>
      </w:pPr>
      <w:rPr>
        <w:rFonts w:ascii="Wingdings" w:hAnsi="Wingdings" w:hint="default"/>
      </w:rPr>
    </w:lvl>
    <w:lvl w:ilvl="4" w:tplc="10CCE334" w:tentative="1">
      <w:start w:val="1"/>
      <w:numFmt w:val="bullet"/>
      <w:lvlText w:val="v"/>
      <w:lvlJc w:val="left"/>
      <w:pPr>
        <w:tabs>
          <w:tab w:val="num" w:pos="3600"/>
        </w:tabs>
        <w:ind w:left="3600" w:hanging="360"/>
      </w:pPr>
      <w:rPr>
        <w:rFonts w:ascii="Wingdings" w:hAnsi="Wingdings" w:hint="default"/>
      </w:rPr>
    </w:lvl>
    <w:lvl w:ilvl="5" w:tplc="EB12C014" w:tentative="1">
      <w:start w:val="1"/>
      <w:numFmt w:val="bullet"/>
      <w:lvlText w:val="v"/>
      <w:lvlJc w:val="left"/>
      <w:pPr>
        <w:tabs>
          <w:tab w:val="num" w:pos="4320"/>
        </w:tabs>
        <w:ind w:left="4320" w:hanging="360"/>
      </w:pPr>
      <w:rPr>
        <w:rFonts w:ascii="Wingdings" w:hAnsi="Wingdings" w:hint="default"/>
      </w:rPr>
    </w:lvl>
    <w:lvl w:ilvl="6" w:tplc="67E2D310" w:tentative="1">
      <w:start w:val="1"/>
      <w:numFmt w:val="bullet"/>
      <w:lvlText w:val="v"/>
      <w:lvlJc w:val="left"/>
      <w:pPr>
        <w:tabs>
          <w:tab w:val="num" w:pos="5040"/>
        </w:tabs>
        <w:ind w:left="5040" w:hanging="360"/>
      </w:pPr>
      <w:rPr>
        <w:rFonts w:ascii="Wingdings" w:hAnsi="Wingdings" w:hint="default"/>
      </w:rPr>
    </w:lvl>
    <w:lvl w:ilvl="7" w:tplc="BCA8088A" w:tentative="1">
      <w:start w:val="1"/>
      <w:numFmt w:val="bullet"/>
      <w:lvlText w:val="v"/>
      <w:lvlJc w:val="left"/>
      <w:pPr>
        <w:tabs>
          <w:tab w:val="num" w:pos="5760"/>
        </w:tabs>
        <w:ind w:left="5760" w:hanging="360"/>
      </w:pPr>
      <w:rPr>
        <w:rFonts w:ascii="Wingdings" w:hAnsi="Wingdings" w:hint="default"/>
      </w:rPr>
    </w:lvl>
    <w:lvl w:ilvl="8" w:tplc="FF5E3F94" w:tentative="1">
      <w:start w:val="1"/>
      <w:numFmt w:val="bullet"/>
      <w:lvlText w:val="v"/>
      <w:lvlJc w:val="left"/>
      <w:pPr>
        <w:tabs>
          <w:tab w:val="num" w:pos="6480"/>
        </w:tabs>
        <w:ind w:left="6480" w:hanging="360"/>
      </w:pPr>
      <w:rPr>
        <w:rFonts w:ascii="Wingdings" w:hAnsi="Wingdings" w:hint="default"/>
      </w:rPr>
    </w:lvl>
  </w:abstractNum>
  <w:abstractNum w:abstractNumId="52" w15:restartNumberingAfterBreak="0">
    <w:nsid w:val="49046454"/>
    <w:multiLevelType w:val="hybridMultilevel"/>
    <w:tmpl w:val="8E525EC6"/>
    <w:lvl w:ilvl="0" w:tplc="B95EBFE6">
      <w:start w:val="1"/>
      <w:numFmt w:val="lowerRoman"/>
      <w:lvlText w:val="%1)"/>
      <w:lvlJc w:val="left"/>
      <w:pPr>
        <w:ind w:left="3215" w:hanging="360"/>
      </w:pPr>
      <w:rPr>
        <w:rFonts w:hint="default"/>
      </w:rPr>
    </w:lvl>
    <w:lvl w:ilvl="1" w:tplc="08090019" w:tentative="1">
      <w:start w:val="1"/>
      <w:numFmt w:val="lowerLetter"/>
      <w:lvlText w:val="%2."/>
      <w:lvlJc w:val="left"/>
      <w:pPr>
        <w:ind w:left="3935" w:hanging="360"/>
      </w:pPr>
    </w:lvl>
    <w:lvl w:ilvl="2" w:tplc="0809001B" w:tentative="1">
      <w:start w:val="1"/>
      <w:numFmt w:val="lowerRoman"/>
      <w:lvlText w:val="%3."/>
      <w:lvlJc w:val="right"/>
      <w:pPr>
        <w:ind w:left="4655" w:hanging="180"/>
      </w:pPr>
    </w:lvl>
    <w:lvl w:ilvl="3" w:tplc="0809000F" w:tentative="1">
      <w:start w:val="1"/>
      <w:numFmt w:val="decimal"/>
      <w:lvlText w:val="%4."/>
      <w:lvlJc w:val="left"/>
      <w:pPr>
        <w:ind w:left="5375" w:hanging="360"/>
      </w:pPr>
    </w:lvl>
    <w:lvl w:ilvl="4" w:tplc="08090019" w:tentative="1">
      <w:start w:val="1"/>
      <w:numFmt w:val="lowerLetter"/>
      <w:lvlText w:val="%5."/>
      <w:lvlJc w:val="left"/>
      <w:pPr>
        <w:ind w:left="6095" w:hanging="360"/>
      </w:pPr>
    </w:lvl>
    <w:lvl w:ilvl="5" w:tplc="0809001B" w:tentative="1">
      <w:start w:val="1"/>
      <w:numFmt w:val="lowerRoman"/>
      <w:lvlText w:val="%6."/>
      <w:lvlJc w:val="right"/>
      <w:pPr>
        <w:ind w:left="6815" w:hanging="180"/>
      </w:pPr>
    </w:lvl>
    <w:lvl w:ilvl="6" w:tplc="0809000F" w:tentative="1">
      <w:start w:val="1"/>
      <w:numFmt w:val="decimal"/>
      <w:lvlText w:val="%7."/>
      <w:lvlJc w:val="left"/>
      <w:pPr>
        <w:ind w:left="7535" w:hanging="360"/>
      </w:pPr>
    </w:lvl>
    <w:lvl w:ilvl="7" w:tplc="08090019" w:tentative="1">
      <w:start w:val="1"/>
      <w:numFmt w:val="lowerLetter"/>
      <w:lvlText w:val="%8."/>
      <w:lvlJc w:val="left"/>
      <w:pPr>
        <w:ind w:left="8255" w:hanging="360"/>
      </w:pPr>
    </w:lvl>
    <w:lvl w:ilvl="8" w:tplc="0809001B" w:tentative="1">
      <w:start w:val="1"/>
      <w:numFmt w:val="lowerRoman"/>
      <w:lvlText w:val="%9."/>
      <w:lvlJc w:val="right"/>
      <w:pPr>
        <w:ind w:left="8975" w:hanging="180"/>
      </w:pPr>
    </w:lvl>
  </w:abstractNum>
  <w:abstractNum w:abstractNumId="53" w15:restartNumberingAfterBreak="0">
    <w:nsid w:val="4AFA1ABA"/>
    <w:multiLevelType w:val="hybridMultilevel"/>
    <w:tmpl w:val="0644B18A"/>
    <w:lvl w:ilvl="0" w:tplc="789C6BDE">
      <w:start w:val="1"/>
      <w:numFmt w:val="bullet"/>
      <w:lvlText w:val="•"/>
      <w:lvlJc w:val="left"/>
      <w:pPr>
        <w:tabs>
          <w:tab w:val="num" w:pos="720"/>
        </w:tabs>
        <w:ind w:left="720" w:hanging="360"/>
      </w:pPr>
      <w:rPr>
        <w:rFonts w:ascii="Arial" w:hAnsi="Arial" w:hint="default"/>
      </w:rPr>
    </w:lvl>
    <w:lvl w:ilvl="1" w:tplc="BA6A1FFA">
      <w:start w:val="1"/>
      <w:numFmt w:val="bullet"/>
      <w:lvlText w:val="•"/>
      <w:lvlJc w:val="left"/>
      <w:pPr>
        <w:tabs>
          <w:tab w:val="num" w:pos="1440"/>
        </w:tabs>
        <w:ind w:left="1440" w:hanging="360"/>
      </w:pPr>
      <w:rPr>
        <w:rFonts w:ascii="Arial" w:hAnsi="Arial" w:hint="default"/>
      </w:rPr>
    </w:lvl>
    <w:lvl w:ilvl="2" w:tplc="281E7DE6" w:tentative="1">
      <w:start w:val="1"/>
      <w:numFmt w:val="bullet"/>
      <w:lvlText w:val="•"/>
      <w:lvlJc w:val="left"/>
      <w:pPr>
        <w:tabs>
          <w:tab w:val="num" w:pos="2160"/>
        </w:tabs>
        <w:ind w:left="2160" w:hanging="360"/>
      </w:pPr>
      <w:rPr>
        <w:rFonts w:ascii="Arial" w:hAnsi="Arial" w:hint="default"/>
      </w:rPr>
    </w:lvl>
    <w:lvl w:ilvl="3" w:tplc="7BCE2CFC" w:tentative="1">
      <w:start w:val="1"/>
      <w:numFmt w:val="bullet"/>
      <w:lvlText w:val="•"/>
      <w:lvlJc w:val="left"/>
      <w:pPr>
        <w:tabs>
          <w:tab w:val="num" w:pos="2880"/>
        </w:tabs>
        <w:ind w:left="2880" w:hanging="360"/>
      </w:pPr>
      <w:rPr>
        <w:rFonts w:ascii="Arial" w:hAnsi="Arial" w:hint="default"/>
      </w:rPr>
    </w:lvl>
    <w:lvl w:ilvl="4" w:tplc="32208382" w:tentative="1">
      <w:start w:val="1"/>
      <w:numFmt w:val="bullet"/>
      <w:lvlText w:val="•"/>
      <w:lvlJc w:val="left"/>
      <w:pPr>
        <w:tabs>
          <w:tab w:val="num" w:pos="3600"/>
        </w:tabs>
        <w:ind w:left="3600" w:hanging="360"/>
      </w:pPr>
      <w:rPr>
        <w:rFonts w:ascii="Arial" w:hAnsi="Arial" w:hint="default"/>
      </w:rPr>
    </w:lvl>
    <w:lvl w:ilvl="5" w:tplc="B834341C" w:tentative="1">
      <w:start w:val="1"/>
      <w:numFmt w:val="bullet"/>
      <w:lvlText w:val="•"/>
      <w:lvlJc w:val="left"/>
      <w:pPr>
        <w:tabs>
          <w:tab w:val="num" w:pos="4320"/>
        </w:tabs>
        <w:ind w:left="4320" w:hanging="360"/>
      </w:pPr>
      <w:rPr>
        <w:rFonts w:ascii="Arial" w:hAnsi="Arial" w:hint="default"/>
      </w:rPr>
    </w:lvl>
    <w:lvl w:ilvl="6" w:tplc="8A6CD85E" w:tentative="1">
      <w:start w:val="1"/>
      <w:numFmt w:val="bullet"/>
      <w:lvlText w:val="•"/>
      <w:lvlJc w:val="left"/>
      <w:pPr>
        <w:tabs>
          <w:tab w:val="num" w:pos="5040"/>
        </w:tabs>
        <w:ind w:left="5040" w:hanging="360"/>
      </w:pPr>
      <w:rPr>
        <w:rFonts w:ascii="Arial" w:hAnsi="Arial" w:hint="default"/>
      </w:rPr>
    </w:lvl>
    <w:lvl w:ilvl="7" w:tplc="4A4A5170" w:tentative="1">
      <w:start w:val="1"/>
      <w:numFmt w:val="bullet"/>
      <w:lvlText w:val="•"/>
      <w:lvlJc w:val="left"/>
      <w:pPr>
        <w:tabs>
          <w:tab w:val="num" w:pos="5760"/>
        </w:tabs>
        <w:ind w:left="5760" w:hanging="360"/>
      </w:pPr>
      <w:rPr>
        <w:rFonts w:ascii="Arial" w:hAnsi="Arial" w:hint="default"/>
      </w:rPr>
    </w:lvl>
    <w:lvl w:ilvl="8" w:tplc="B3A0790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E002BFB"/>
    <w:multiLevelType w:val="hybridMultilevel"/>
    <w:tmpl w:val="52FE2EA6"/>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5" w15:restartNumberingAfterBreak="0">
    <w:nsid w:val="4E9B4663"/>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4F2A546B"/>
    <w:multiLevelType w:val="hybridMultilevel"/>
    <w:tmpl w:val="9ED2707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7" w15:restartNumberingAfterBreak="0">
    <w:nsid w:val="4FD970D5"/>
    <w:multiLevelType w:val="hybridMultilevel"/>
    <w:tmpl w:val="30DE1EEE"/>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50935A02"/>
    <w:multiLevelType w:val="hybridMultilevel"/>
    <w:tmpl w:val="F380FB6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0" w15:restartNumberingAfterBreak="0">
    <w:nsid w:val="53925176"/>
    <w:multiLevelType w:val="hybridMultilevel"/>
    <w:tmpl w:val="A1FCB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628745C"/>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6595148"/>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3" w15:restartNumberingAfterBreak="0">
    <w:nsid w:val="58906592"/>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4" w15:restartNumberingAfterBreak="0">
    <w:nsid w:val="5B2C7BC9"/>
    <w:multiLevelType w:val="hybridMultilevel"/>
    <w:tmpl w:val="5536629C"/>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5C433035"/>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66" w15:restartNumberingAfterBreak="0">
    <w:nsid w:val="5C9F02E8"/>
    <w:multiLevelType w:val="hybridMultilevel"/>
    <w:tmpl w:val="52FE2EA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7" w15:restartNumberingAfterBreak="0">
    <w:nsid w:val="5CCB1E4D"/>
    <w:multiLevelType w:val="hybridMultilevel"/>
    <w:tmpl w:val="5536629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5D2466B5"/>
    <w:multiLevelType w:val="hybridMultilevel"/>
    <w:tmpl w:val="B874E7E0"/>
    <w:lvl w:ilvl="0" w:tplc="90D022EA">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69" w15:restartNumberingAfterBreak="0">
    <w:nsid w:val="5D28007B"/>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70" w15:restartNumberingAfterBreak="0">
    <w:nsid w:val="5D6F39B7"/>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71" w15:restartNumberingAfterBreak="0">
    <w:nsid w:val="5E1344C8"/>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72" w15:restartNumberingAfterBreak="0">
    <w:nsid w:val="5EA47DD8"/>
    <w:multiLevelType w:val="hybridMultilevel"/>
    <w:tmpl w:val="E91EB27E"/>
    <w:lvl w:ilvl="0" w:tplc="FFFFFFFF">
      <w:start w:val="1"/>
      <w:numFmt w:val="decimal"/>
      <w:lvlText w:val="%1."/>
      <w:lvlJc w:val="left"/>
      <w:pPr>
        <w:ind w:left="1967" w:hanging="360"/>
      </w:pPr>
    </w:lvl>
    <w:lvl w:ilvl="1" w:tplc="FFFFFFFF">
      <w:start w:val="1"/>
      <w:numFmt w:val="lowerLetter"/>
      <w:lvlText w:val="%2)"/>
      <w:lvlJc w:val="left"/>
      <w:pPr>
        <w:ind w:left="2957" w:hanging="63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3" w15:restartNumberingAfterBreak="0">
    <w:nsid w:val="606843BB"/>
    <w:multiLevelType w:val="hybridMultilevel"/>
    <w:tmpl w:val="24485F16"/>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2000000F">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4" w15:restartNumberingAfterBreak="0">
    <w:nsid w:val="61402B03"/>
    <w:multiLevelType w:val="hybridMultilevel"/>
    <w:tmpl w:val="7C10145A"/>
    <w:lvl w:ilvl="0" w:tplc="07A804A8">
      <w:start w:val="1"/>
      <w:numFmt w:val="bullet"/>
      <w:lvlText w:val="v"/>
      <w:lvlJc w:val="left"/>
      <w:pPr>
        <w:tabs>
          <w:tab w:val="num" w:pos="720"/>
        </w:tabs>
        <w:ind w:left="720" w:hanging="360"/>
      </w:pPr>
      <w:rPr>
        <w:rFonts w:ascii="Wingdings" w:hAnsi="Wingdings" w:hint="default"/>
      </w:rPr>
    </w:lvl>
    <w:lvl w:ilvl="1" w:tplc="F6721BBC">
      <w:numFmt w:val="bullet"/>
      <w:lvlText w:val="Ø"/>
      <w:lvlJc w:val="left"/>
      <w:pPr>
        <w:tabs>
          <w:tab w:val="num" w:pos="1440"/>
        </w:tabs>
        <w:ind w:left="1440" w:hanging="360"/>
      </w:pPr>
      <w:rPr>
        <w:rFonts w:ascii="Wingdings" w:hAnsi="Wingdings" w:hint="default"/>
      </w:rPr>
    </w:lvl>
    <w:lvl w:ilvl="2" w:tplc="7E6EDB40">
      <w:numFmt w:val="bullet"/>
      <w:lvlText w:val="§"/>
      <w:lvlJc w:val="left"/>
      <w:pPr>
        <w:tabs>
          <w:tab w:val="num" w:pos="2160"/>
        </w:tabs>
        <w:ind w:left="2160" w:hanging="360"/>
      </w:pPr>
      <w:rPr>
        <w:rFonts w:ascii="Wingdings" w:hAnsi="Wingdings" w:hint="default"/>
      </w:rPr>
    </w:lvl>
    <w:lvl w:ilvl="3" w:tplc="C17066C2" w:tentative="1">
      <w:start w:val="1"/>
      <w:numFmt w:val="bullet"/>
      <w:lvlText w:val="v"/>
      <w:lvlJc w:val="left"/>
      <w:pPr>
        <w:tabs>
          <w:tab w:val="num" w:pos="2880"/>
        </w:tabs>
        <w:ind w:left="2880" w:hanging="360"/>
      </w:pPr>
      <w:rPr>
        <w:rFonts w:ascii="Wingdings" w:hAnsi="Wingdings" w:hint="default"/>
      </w:rPr>
    </w:lvl>
    <w:lvl w:ilvl="4" w:tplc="B840065E" w:tentative="1">
      <w:start w:val="1"/>
      <w:numFmt w:val="bullet"/>
      <w:lvlText w:val="v"/>
      <w:lvlJc w:val="left"/>
      <w:pPr>
        <w:tabs>
          <w:tab w:val="num" w:pos="3600"/>
        </w:tabs>
        <w:ind w:left="3600" w:hanging="360"/>
      </w:pPr>
      <w:rPr>
        <w:rFonts w:ascii="Wingdings" w:hAnsi="Wingdings" w:hint="default"/>
      </w:rPr>
    </w:lvl>
    <w:lvl w:ilvl="5" w:tplc="86AC049E" w:tentative="1">
      <w:start w:val="1"/>
      <w:numFmt w:val="bullet"/>
      <w:lvlText w:val="v"/>
      <w:lvlJc w:val="left"/>
      <w:pPr>
        <w:tabs>
          <w:tab w:val="num" w:pos="4320"/>
        </w:tabs>
        <w:ind w:left="4320" w:hanging="360"/>
      </w:pPr>
      <w:rPr>
        <w:rFonts w:ascii="Wingdings" w:hAnsi="Wingdings" w:hint="default"/>
      </w:rPr>
    </w:lvl>
    <w:lvl w:ilvl="6" w:tplc="6178C3B8" w:tentative="1">
      <w:start w:val="1"/>
      <w:numFmt w:val="bullet"/>
      <w:lvlText w:val="v"/>
      <w:lvlJc w:val="left"/>
      <w:pPr>
        <w:tabs>
          <w:tab w:val="num" w:pos="5040"/>
        </w:tabs>
        <w:ind w:left="5040" w:hanging="360"/>
      </w:pPr>
      <w:rPr>
        <w:rFonts w:ascii="Wingdings" w:hAnsi="Wingdings" w:hint="default"/>
      </w:rPr>
    </w:lvl>
    <w:lvl w:ilvl="7" w:tplc="192AD716" w:tentative="1">
      <w:start w:val="1"/>
      <w:numFmt w:val="bullet"/>
      <w:lvlText w:val="v"/>
      <w:lvlJc w:val="left"/>
      <w:pPr>
        <w:tabs>
          <w:tab w:val="num" w:pos="5760"/>
        </w:tabs>
        <w:ind w:left="5760" w:hanging="360"/>
      </w:pPr>
      <w:rPr>
        <w:rFonts w:ascii="Wingdings" w:hAnsi="Wingdings" w:hint="default"/>
      </w:rPr>
    </w:lvl>
    <w:lvl w:ilvl="8" w:tplc="FC18C2BA" w:tentative="1">
      <w:start w:val="1"/>
      <w:numFmt w:val="bullet"/>
      <w:lvlText w:val="v"/>
      <w:lvlJc w:val="left"/>
      <w:pPr>
        <w:tabs>
          <w:tab w:val="num" w:pos="6480"/>
        </w:tabs>
        <w:ind w:left="6480" w:hanging="360"/>
      </w:pPr>
      <w:rPr>
        <w:rFonts w:ascii="Wingdings" w:hAnsi="Wingdings" w:hint="default"/>
      </w:rPr>
    </w:lvl>
  </w:abstractNum>
  <w:abstractNum w:abstractNumId="75" w15:restartNumberingAfterBreak="0">
    <w:nsid w:val="62291BF8"/>
    <w:multiLevelType w:val="multilevel"/>
    <w:tmpl w:val="279252A2"/>
    <w:numStyleLink w:val="Normallist"/>
  </w:abstractNum>
  <w:abstractNum w:abstractNumId="76" w15:restartNumberingAfterBreak="0">
    <w:nsid w:val="62F52EF3"/>
    <w:multiLevelType w:val="hybridMultilevel"/>
    <w:tmpl w:val="5536629C"/>
    <w:lvl w:ilvl="0" w:tplc="FFFFFFFF">
      <w:start w:val="1"/>
      <w:numFmt w:val="lowerLetter"/>
      <w:lvlText w:val="%1)"/>
      <w:lvlJc w:val="left"/>
      <w:pPr>
        <w:ind w:left="1607" w:hanging="360"/>
      </w:pPr>
      <w:rPr>
        <w:rFonts w:hint="default"/>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77" w15:restartNumberingAfterBreak="0">
    <w:nsid w:val="63E93F8C"/>
    <w:multiLevelType w:val="hybridMultilevel"/>
    <w:tmpl w:val="8A8CB4A2"/>
    <w:lvl w:ilvl="0" w:tplc="361C272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8" w15:restartNumberingAfterBreak="0">
    <w:nsid w:val="66725FB3"/>
    <w:multiLevelType w:val="hybridMultilevel"/>
    <w:tmpl w:val="A7DACE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7033326"/>
    <w:multiLevelType w:val="hybridMultilevel"/>
    <w:tmpl w:val="F9DC0B50"/>
    <w:lvl w:ilvl="0" w:tplc="3FACFC28">
      <w:start w:val="1"/>
      <w:numFmt w:val="bullet"/>
      <w:lvlText w:val="v"/>
      <w:lvlJc w:val="left"/>
      <w:pPr>
        <w:tabs>
          <w:tab w:val="num" w:pos="720"/>
        </w:tabs>
        <w:ind w:left="720" w:hanging="360"/>
      </w:pPr>
      <w:rPr>
        <w:rFonts w:ascii="Wingdings" w:hAnsi="Wingdings" w:hint="default"/>
      </w:rPr>
    </w:lvl>
    <w:lvl w:ilvl="1" w:tplc="1E8C499E" w:tentative="1">
      <w:start w:val="1"/>
      <w:numFmt w:val="bullet"/>
      <w:lvlText w:val="v"/>
      <w:lvlJc w:val="left"/>
      <w:pPr>
        <w:tabs>
          <w:tab w:val="num" w:pos="1440"/>
        </w:tabs>
        <w:ind w:left="1440" w:hanging="360"/>
      </w:pPr>
      <w:rPr>
        <w:rFonts w:ascii="Wingdings" w:hAnsi="Wingdings" w:hint="default"/>
      </w:rPr>
    </w:lvl>
    <w:lvl w:ilvl="2" w:tplc="917498B2" w:tentative="1">
      <w:start w:val="1"/>
      <w:numFmt w:val="bullet"/>
      <w:lvlText w:val="v"/>
      <w:lvlJc w:val="left"/>
      <w:pPr>
        <w:tabs>
          <w:tab w:val="num" w:pos="2160"/>
        </w:tabs>
        <w:ind w:left="2160" w:hanging="360"/>
      </w:pPr>
      <w:rPr>
        <w:rFonts w:ascii="Wingdings" w:hAnsi="Wingdings" w:hint="default"/>
      </w:rPr>
    </w:lvl>
    <w:lvl w:ilvl="3" w:tplc="8978202A" w:tentative="1">
      <w:start w:val="1"/>
      <w:numFmt w:val="bullet"/>
      <w:lvlText w:val="v"/>
      <w:lvlJc w:val="left"/>
      <w:pPr>
        <w:tabs>
          <w:tab w:val="num" w:pos="2880"/>
        </w:tabs>
        <w:ind w:left="2880" w:hanging="360"/>
      </w:pPr>
      <w:rPr>
        <w:rFonts w:ascii="Wingdings" w:hAnsi="Wingdings" w:hint="default"/>
      </w:rPr>
    </w:lvl>
    <w:lvl w:ilvl="4" w:tplc="43FC7710" w:tentative="1">
      <w:start w:val="1"/>
      <w:numFmt w:val="bullet"/>
      <w:lvlText w:val="v"/>
      <w:lvlJc w:val="left"/>
      <w:pPr>
        <w:tabs>
          <w:tab w:val="num" w:pos="3600"/>
        </w:tabs>
        <w:ind w:left="3600" w:hanging="360"/>
      </w:pPr>
      <w:rPr>
        <w:rFonts w:ascii="Wingdings" w:hAnsi="Wingdings" w:hint="default"/>
      </w:rPr>
    </w:lvl>
    <w:lvl w:ilvl="5" w:tplc="2496CFD6" w:tentative="1">
      <w:start w:val="1"/>
      <w:numFmt w:val="bullet"/>
      <w:lvlText w:val="v"/>
      <w:lvlJc w:val="left"/>
      <w:pPr>
        <w:tabs>
          <w:tab w:val="num" w:pos="4320"/>
        </w:tabs>
        <w:ind w:left="4320" w:hanging="360"/>
      </w:pPr>
      <w:rPr>
        <w:rFonts w:ascii="Wingdings" w:hAnsi="Wingdings" w:hint="default"/>
      </w:rPr>
    </w:lvl>
    <w:lvl w:ilvl="6" w:tplc="D24098F2" w:tentative="1">
      <w:start w:val="1"/>
      <w:numFmt w:val="bullet"/>
      <w:lvlText w:val="v"/>
      <w:lvlJc w:val="left"/>
      <w:pPr>
        <w:tabs>
          <w:tab w:val="num" w:pos="5040"/>
        </w:tabs>
        <w:ind w:left="5040" w:hanging="360"/>
      </w:pPr>
      <w:rPr>
        <w:rFonts w:ascii="Wingdings" w:hAnsi="Wingdings" w:hint="default"/>
      </w:rPr>
    </w:lvl>
    <w:lvl w:ilvl="7" w:tplc="E2E03DCC" w:tentative="1">
      <w:start w:val="1"/>
      <w:numFmt w:val="bullet"/>
      <w:lvlText w:val="v"/>
      <w:lvlJc w:val="left"/>
      <w:pPr>
        <w:tabs>
          <w:tab w:val="num" w:pos="5760"/>
        </w:tabs>
        <w:ind w:left="5760" w:hanging="360"/>
      </w:pPr>
      <w:rPr>
        <w:rFonts w:ascii="Wingdings" w:hAnsi="Wingdings" w:hint="default"/>
      </w:rPr>
    </w:lvl>
    <w:lvl w:ilvl="8" w:tplc="072EBB76" w:tentative="1">
      <w:start w:val="1"/>
      <w:numFmt w:val="bullet"/>
      <w:lvlText w:val="v"/>
      <w:lvlJc w:val="left"/>
      <w:pPr>
        <w:tabs>
          <w:tab w:val="num" w:pos="6480"/>
        </w:tabs>
        <w:ind w:left="6480" w:hanging="360"/>
      </w:pPr>
      <w:rPr>
        <w:rFonts w:ascii="Wingdings" w:hAnsi="Wingdings" w:hint="default"/>
      </w:rPr>
    </w:lvl>
  </w:abstractNum>
  <w:abstractNum w:abstractNumId="80" w15:restartNumberingAfterBreak="0">
    <w:nsid w:val="68AC4990"/>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81" w15:restartNumberingAfterBreak="0">
    <w:nsid w:val="6930280C"/>
    <w:multiLevelType w:val="hybridMultilevel"/>
    <w:tmpl w:val="3EC4498E"/>
    <w:lvl w:ilvl="0" w:tplc="45BA7A18">
      <w:start w:val="1"/>
      <w:numFmt w:val="bullet"/>
      <w:lvlText w:val="•"/>
      <w:lvlJc w:val="left"/>
      <w:pPr>
        <w:tabs>
          <w:tab w:val="num" w:pos="720"/>
        </w:tabs>
        <w:ind w:left="720" w:hanging="360"/>
      </w:pPr>
      <w:rPr>
        <w:rFonts w:ascii="Arial" w:hAnsi="Arial" w:hint="default"/>
      </w:rPr>
    </w:lvl>
    <w:lvl w:ilvl="1" w:tplc="6B42635A" w:tentative="1">
      <w:start w:val="1"/>
      <w:numFmt w:val="bullet"/>
      <w:lvlText w:val="•"/>
      <w:lvlJc w:val="left"/>
      <w:pPr>
        <w:tabs>
          <w:tab w:val="num" w:pos="1440"/>
        </w:tabs>
        <w:ind w:left="1440" w:hanging="360"/>
      </w:pPr>
      <w:rPr>
        <w:rFonts w:ascii="Arial" w:hAnsi="Arial" w:hint="default"/>
      </w:rPr>
    </w:lvl>
    <w:lvl w:ilvl="2" w:tplc="DEA2762E" w:tentative="1">
      <w:start w:val="1"/>
      <w:numFmt w:val="bullet"/>
      <w:lvlText w:val="•"/>
      <w:lvlJc w:val="left"/>
      <w:pPr>
        <w:tabs>
          <w:tab w:val="num" w:pos="2160"/>
        </w:tabs>
        <w:ind w:left="2160" w:hanging="360"/>
      </w:pPr>
      <w:rPr>
        <w:rFonts w:ascii="Arial" w:hAnsi="Arial" w:hint="default"/>
      </w:rPr>
    </w:lvl>
    <w:lvl w:ilvl="3" w:tplc="5F2C7050" w:tentative="1">
      <w:start w:val="1"/>
      <w:numFmt w:val="bullet"/>
      <w:lvlText w:val="•"/>
      <w:lvlJc w:val="left"/>
      <w:pPr>
        <w:tabs>
          <w:tab w:val="num" w:pos="2880"/>
        </w:tabs>
        <w:ind w:left="2880" w:hanging="360"/>
      </w:pPr>
      <w:rPr>
        <w:rFonts w:ascii="Arial" w:hAnsi="Arial" w:hint="default"/>
      </w:rPr>
    </w:lvl>
    <w:lvl w:ilvl="4" w:tplc="3CE6ACBE" w:tentative="1">
      <w:start w:val="1"/>
      <w:numFmt w:val="bullet"/>
      <w:lvlText w:val="•"/>
      <w:lvlJc w:val="left"/>
      <w:pPr>
        <w:tabs>
          <w:tab w:val="num" w:pos="3600"/>
        </w:tabs>
        <w:ind w:left="3600" w:hanging="360"/>
      </w:pPr>
      <w:rPr>
        <w:rFonts w:ascii="Arial" w:hAnsi="Arial" w:hint="default"/>
      </w:rPr>
    </w:lvl>
    <w:lvl w:ilvl="5" w:tplc="5F663DE2" w:tentative="1">
      <w:start w:val="1"/>
      <w:numFmt w:val="bullet"/>
      <w:lvlText w:val="•"/>
      <w:lvlJc w:val="left"/>
      <w:pPr>
        <w:tabs>
          <w:tab w:val="num" w:pos="4320"/>
        </w:tabs>
        <w:ind w:left="4320" w:hanging="360"/>
      </w:pPr>
      <w:rPr>
        <w:rFonts w:ascii="Arial" w:hAnsi="Arial" w:hint="default"/>
      </w:rPr>
    </w:lvl>
    <w:lvl w:ilvl="6" w:tplc="5AB4351C" w:tentative="1">
      <w:start w:val="1"/>
      <w:numFmt w:val="bullet"/>
      <w:lvlText w:val="•"/>
      <w:lvlJc w:val="left"/>
      <w:pPr>
        <w:tabs>
          <w:tab w:val="num" w:pos="5040"/>
        </w:tabs>
        <w:ind w:left="5040" w:hanging="360"/>
      </w:pPr>
      <w:rPr>
        <w:rFonts w:ascii="Arial" w:hAnsi="Arial" w:hint="default"/>
      </w:rPr>
    </w:lvl>
    <w:lvl w:ilvl="7" w:tplc="EC460180" w:tentative="1">
      <w:start w:val="1"/>
      <w:numFmt w:val="bullet"/>
      <w:lvlText w:val="•"/>
      <w:lvlJc w:val="left"/>
      <w:pPr>
        <w:tabs>
          <w:tab w:val="num" w:pos="5760"/>
        </w:tabs>
        <w:ind w:left="5760" w:hanging="360"/>
      </w:pPr>
      <w:rPr>
        <w:rFonts w:ascii="Arial" w:hAnsi="Arial" w:hint="default"/>
      </w:rPr>
    </w:lvl>
    <w:lvl w:ilvl="8" w:tplc="E39C6BD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9622210"/>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83" w15:restartNumberingAfterBreak="0">
    <w:nsid w:val="69B93D4C"/>
    <w:multiLevelType w:val="hybridMultilevel"/>
    <w:tmpl w:val="7FA8E7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84"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B834EE2"/>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86" w15:restartNumberingAfterBreak="0">
    <w:nsid w:val="6DFD435B"/>
    <w:multiLevelType w:val="hybridMultilevel"/>
    <w:tmpl w:val="5B7C05B4"/>
    <w:lvl w:ilvl="0" w:tplc="348ADCCC">
      <w:start w:val="1"/>
      <w:numFmt w:val="decimal"/>
      <w:lvlText w:val="%1."/>
      <w:lvlJc w:val="left"/>
      <w:pPr>
        <w:ind w:left="2591" w:hanging="360"/>
      </w:pPr>
      <w:rPr>
        <w:i w:val="0"/>
        <w:iCs w:val="0"/>
        <w:sz w:val="20"/>
        <w:szCs w:val="2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87" w15:restartNumberingAfterBreak="0">
    <w:nsid w:val="6F1D76E6"/>
    <w:multiLevelType w:val="hybridMultilevel"/>
    <w:tmpl w:val="F2E4C532"/>
    <w:lvl w:ilvl="0" w:tplc="5E5ED10E">
      <w:start w:val="1"/>
      <w:numFmt w:val="lowerLetter"/>
      <w:lvlText w:val="%1)"/>
      <w:lvlJc w:val="left"/>
      <w:pPr>
        <w:ind w:left="2231" w:hanging="360"/>
      </w:pPr>
      <w:rPr>
        <w:rFonts w:hint="default"/>
      </w:rPr>
    </w:lvl>
    <w:lvl w:ilvl="1" w:tplc="FFFFFFFF" w:tentative="1">
      <w:start w:val="1"/>
      <w:numFmt w:val="lowerLetter"/>
      <w:lvlText w:val="%2."/>
      <w:lvlJc w:val="left"/>
      <w:pPr>
        <w:ind w:left="2951" w:hanging="360"/>
      </w:pPr>
    </w:lvl>
    <w:lvl w:ilvl="2" w:tplc="FFFFFFFF" w:tentative="1">
      <w:start w:val="1"/>
      <w:numFmt w:val="lowerRoman"/>
      <w:lvlText w:val="%3."/>
      <w:lvlJc w:val="right"/>
      <w:pPr>
        <w:ind w:left="3671" w:hanging="180"/>
      </w:pPr>
    </w:lvl>
    <w:lvl w:ilvl="3" w:tplc="FFFFFFFF" w:tentative="1">
      <w:start w:val="1"/>
      <w:numFmt w:val="decimal"/>
      <w:lvlText w:val="%4."/>
      <w:lvlJc w:val="left"/>
      <w:pPr>
        <w:ind w:left="4391" w:hanging="360"/>
      </w:pPr>
    </w:lvl>
    <w:lvl w:ilvl="4" w:tplc="FFFFFFFF" w:tentative="1">
      <w:start w:val="1"/>
      <w:numFmt w:val="lowerLetter"/>
      <w:lvlText w:val="%5."/>
      <w:lvlJc w:val="left"/>
      <w:pPr>
        <w:ind w:left="5111" w:hanging="360"/>
      </w:pPr>
    </w:lvl>
    <w:lvl w:ilvl="5" w:tplc="FFFFFFFF" w:tentative="1">
      <w:start w:val="1"/>
      <w:numFmt w:val="lowerRoman"/>
      <w:lvlText w:val="%6."/>
      <w:lvlJc w:val="right"/>
      <w:pPr>
        <w:ind w:left="5831" w:hanging="180"/>
      </w:pPr>
    </w:lvl>
    <w:lvl w:ilvl="6" w:tplc="FFFFFFFF" w:tentative="1">
      <w:start w:val="1"/>
      <w:numFmt w:val="decimal"/>
      <w:lvlText w:val="%7."/>
      <w:lvlJc w:val="left"/>
      <w:pPr>
        <w:ind w:left="6551" w:hanging="360"/>
      </w:pPr>
    </w:lvl>
    <w:lvl w:ilvl="7" w:tplc="FFFFFFFF" w:tentative="1">
      <w:start w:val="1"/>
      <w:numFmt w:val="lowerLetter"/>
      <w:lvlText w:val="%8."/>
      <w:lvlJc w:val="left"/>
      <w:pPr>
        <w:ind w:left="7271" w:hanging="360"/>
      </w:pPr>
    </w:lvl>
    <w:lvl w:ilvl="8" w:tplc="FFFFFFFF" w:tentative="1">
      <w:start w:val="1"/>
      <w:numFmt w:val="lowerRoman"/>
      <w:lvlText w:val="%9."/>
      <w:lvlJc w:val="right"/>
      <w:pPr>
        <w:ind w:left="7991" w:hanging="180"/>
      </w:pPr>
    </w:lvl>
  </w:abstractNum>
  <w:abstractNum w:abstractNumId="88" w15:restartNumberingAfterBreak="0">
    <w:nsid w:val="6F450261"/>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89" w15:restartNumberingAfterBreak="0">
    <w:nsid w:val="6FDE5DDF"/>
    <w:multiLevelType w:val="hybridMultilevel"/>
    <w:tmpl w:val="2AE4D5E2"/>
    <w:lvl w:ilvl="0" w:tplc="EA4CE72C">
      <w:start w:val="1"/>
      <w:numFmt w:val="decimal"/>
      <w:lvlText w:val="%1."/>
      <w:lvlJc w:val="left"/>
      <w:pPr>
        <w:ind w:left="1245" w:hanging="54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1" w15:restartNumberingAfterBreak="0">
    <w:nsid w:val="702635FC"/>
    <w:multiLevelType w:val="hybridMultilevel"/>
    <w:tmpl w:val="EC169BEE"/>
    <w:lvl w:ilvl="0" w:tplc="E12CDC74">
      <w:start w:val="1"/>
      <w:numFmt w:val="decimal"/>
      <w:lvlText w:val="%1."/>
      <w:lvlJc w:val="left"/>
      <w:pPr>
        <w:ind w:left="1867" w:hanging="6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92" w15:restartNumberingAfterBreak="0">
    <w:nsid w:val="728118C8"/>
    <w:multiLevelType w:val="hybridMultilevel"/>
    <w:tmpl w:val="B8F052FC"/>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74327D63"/>
    <w:multiLevelType w:val="hybridMultilevel"/>
    <w:tmpl w:val="1F208B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4" w15:restartNumberingAfterBreak="0">
    <w:nsid w:val="78A05F56"/>
    <w:multiLevelType w:val="hybridMultilevel"/>
    <w:tmpl w:val="571AD98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5" w15:restartNumberingAfterBreak="0">
    <w:nsid w:val="78D308B5"/>
    <w:multiLevelType w:val="hybridMultilevel"/>
    <w:tmpl w:val="89226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115AAA"/>
    <w:multiLevelType w:val="hybridMultilevel"/>
    <w:tmpl w:val="B4BAD852"/>
    <w:lvl w:ilvl="0" w:tplc="E32A6066">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7" w15:restartNumberingAfterBreak="0">
    <w:nsid w:val="7A931A73"/>
    <w:multiLevelType w:val="hybridMultilevel"/>
    <w:tmpl w:val="D2489C8C"/>
    <w:lvl w:ilvl="0" w:tplc="1C8448B2">
      <w:start w:val="1"/>
      <w:numFmt w:val="bullet"/>
      <w:lvlText w:val="•"/>
      <w:lvlJc w:val="left"/>
      <w:pPr>
        <w:tabs>
          <w:tab w:val="num" w:pos="720"/>
        </w:tabs>
        <w:ind w:left="720" w:hanging="360"/>
      </w:pPr>
      <w:rPr>
        <w:rFonts w:ascii="Arial" w:hAnsi="Arial" w:hint="default"/>
      </w:rPr>
    </w:lvl>
    <w:lvl w:ilvl="1" w:tplc="66F2D95E">
      <w:start w:val="1"/>
      <w:numFmt w:val="bullet"/>
      <w:lvlText w:val="•"/>
      <w:lvlJc w:val="left"/>
      <w:pPr>
        <w:tabs>
          <w:tab w:val="num" w:pos="1440"/>
        </w:tabs>
        <w:ind w:left="1440" w:hanging="360"/>
      </w:pPr>
      <w:rPr>
        <w:rFonts w:ascii="Arial" w:hAnsi="Arial" w:hint="default"/>
      </w:rPr>
    </w:lvl>
    <w:lvl w:ilvl="2" w:tplc="A8928AE2" w:tentative="1">
      <w:start w:val="1"/>
      <w:numFmt w:val="bullet"/>
      <w:lvlText w:val="•"/>
      <w:lvlJc w:val="left"/>
      <w:pPr>
        <w:tabs>
          <w:tab w:val="num" w:pos="2160"/>
        </w:tabs>
        <w:ind w:left="2160" w:hanging="360"/>
      </w:pPr>
      <w:rPr>
        <w:rFonts w:ascii="Arial" w:hAnsi="Arial" w:hint="default"/>
      </w:rPr>
    </w:lvl>
    <w:lvl w:ilvl="3" w:tplc="80F6DE9E" w:tentative="1">
      <w:start w:val="1"/>
      <w:numFmt w:val="bullet"/>
      <w:lvlText w:val="•"/>
      <w:lvlJc w:val="left"/>
      <w:pPr>
        <w:tabs>
          <w:tab w:val="num" w:pos="2880"/>
        </w:tabs>
        <w:ind w:left="2880" w:hanging="360"/>
      </w:pPr>
      <w:rPr>
        <w:rFonts w:ascii="Arial" w:hAnsi="Arial" w:hint="default"/>
      </w:rPr>
    </w:lvl>
    <w:lvl w:ilvl="4" w:tplc="0F9C1CBA" w:tentative="1">
      <w:start w:val="1"/>
      <w:numFmt w:val="bullet"/>
      <w:lvlText w:val="•"/>
      <w:lvlJc w:val="left"/>
      <w:pPr>
        <w:tabs>
          <w:tab w:val="num" w:pos="3600"/>
        </w:tabs>
        <w:ind w:left="3600" w:hanging="360"/>
      </w:pPr>
      <w:rPr>
        <w:rFonts w:ascii="Arial" w:hAnsi="Arial" w:hint="default"/>
      </w:rPr>
    </w:lvl>
    <w:lvl w:ilvl="5" w:tplc="5E82F9CE" w:tentative="1">
      <w:start w:val="1"/>
      <w:numFmt w:val="bullet"/>
      <w:lvlText w:val="•"/>
      <w:lvlJc w:val="left"/>
      <w:pPr>
        <w:tabs>
          <w:tab w:val="num" w:pos="4320"/>
        </w:tabs>
        <w:ind w:left="4320" w:hanging="360"/>
      </w:pPr>
      <w:rPr>
        <w:rFonts w:ascii="Arial" w:hAnsi="Arial" w:hint="default"/>
      </w:rPr>
    </w:lvl>
    <w:lvl w:ilvl="6" w:tplc="01E29F04" w:tentative="1">
      <w:start w:val="1"/>
      <w:numFmt w:val="bullet"/>
      <w:lvlText w:val="•"/>
      <w:lvlJc w:val="left"/>
      <w:pPr>
        <w:tabs>
          <w:tab w:val="num" w:pos="5040"/>
        </w:tabs>
        <w:ind w:left="5040" w:hanging="360"/>
      </w:pPr>
      <w:rPr>
        <w:rFonts w:ascii="Arial" w:hAnsi="Arial" w:hint="default"/>
      </w:rPr>
    </w:lvl>
    <w:lvl w:ilvl="7" w:tplc="05B89CAC" w:tentative="1">
      <w:start w:val="1"/>
      <w:numFmt w:val="bullet"/>
      <w:lvlText w:val="•"/>
      <w:lvlJc w:val="left"/>
      <w:pPr>
        <w:tabs>
          <w:tab w:val="num" w:pos="5760"/>
        </w:tabs>
        <w:ind w:left="5760" w:hanging="360"/>
      </w:pPr>
      <w:rPr>
        <w:rFonts w:ascii="Arial" w:hAnsi="Arial" w:hint="default"/>
      </w:rPr>
    </w:lvl>
    <w:lvl w:ilvl="8" w:tplc="215C1B1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C8B3A55"/>
    <w:multiLevelType w:val="hybridMultilevel"/>
    <w:tmpl w:val="DDC0BCE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9" w15:restartNumberingAfterBreak="0">
    <w:nsid w:val="7E3927D4"/>
    <w:multiLevelType w:val="hybridMultilevel"/>
    <w:tmpl w:val="30E2D33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0" w15:restartNumberingAfterBreak="0">
    <w:nsid w:val="7EE33157"/>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23642701">
    <w:abstractNumId w:val="23"/>
  </w:num>
  <w:num w:numId="2" w16cid:durableId="2124113267">
    <w:abstractNumId w:val="36"/>
  </w:num>
  <w:num w:numId="3" w16cid:durableId="1281914380">
    <w:abstractNumId w:val="59"/>
  </w:num>
  <w:num w:numId="4" w16cid:durableId="1926913771">
    <w:abstractNumId w:val="75"/>
  </w:num>
  <w:num w:numId="5" w16cid:durableId="361825416">
    <w:abstractNumId w:val="90"/>
  </w:num>
  <w:num w:numId="6" w16cid:durableId="1945067397">
    <w:abstractNumId w:val="84"/>
  </w:num>
  <w:num w:numId="7" w16cid:durableId="13531493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068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4987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4905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1663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458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79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8871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3575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3498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3652758">
    <w:abstractNumId w:val="9"/>
  </w:num>
  <w:num w:numId="18" w16cid:durableId="473525020">
    <w:abstractNumId w:val="7"/>
  </w:num>
  <w:num w:numId="19" w16cid:durableId="643848839">
    <w:abstractNumId w:val="6"/>
  </w:num>
  <w:num w:numId="20" w16cid:durableId="1582182925">
    <w:abstractNumId w:val="5"/>
  </w:num>
  <w:num w:numId="21" w16cid:durableId="1421100152">
    <w:abstractNumId w:val="4"/>
  </w:num>
  <w:num w:numId="22" w16cid:durableId="728579193">
    <w:abstractNumId w:val="8"/>
  </w:num>
  <w:num w:numId="23" w16cid:durableId="215288690">
    <w:abstractNumId w:val="3"/>
  </w:num>
  <w:num w:numId="24" w16cid:durableId="418021188">
    <w:abstractNumId w:val="2"/>
  </w:num>
  <w:num w:numId="25" w16cid:durableId="914585986">
    <w:abstractNumId w:val="1"/>
  </w:num>
  <w:num w:numId="26" w16cid:durableId="569197997">
    <w:abstractNumId w:val="0"/>
  </w:num>
  <w:num w:numId="27" w16cid:durableId="1937665518">
    <w:abstractNumId w:val="20"/>
  </w:num>
  <w:num w:numId="28" w16cid:durableId="24454352">
    <w:abstractNumId w:val="91"/>
  </w:num>
  <w:num w:numId="29" w16cid:durableId="1686127827">
    <w:abstractNumId w:val="11"/>
  </w:num>
  <w:num w:numId="30" w16cid:durableId="1214275581">
    <w:abstractNumId w:val="52"/>
  </w:num>
  <w:num w:numId="31" w16cid:durableId="548418040">
    <w:abstractNumId w:val="30"/>
  </w:num>
  <w:num w:numId="32" w16cid:durableId="2098625699">
    <w:abstractNumId w:val="59"/>
  </w:num>
  <w:num w:numId="33" w16cid:durableId="805707334">
    <w:abstractNumId w:val="59"/>
  </w:num>
  <w:num w:numId="34" w16cid:durableId="1201629727">
    <w:abstractNumId w:val="59"/>
  </w:num>
  <w:num w:numId="35" w16cid:durableId="1976445001">
    <w:abstractNumId w:val="59"/>
  </w:num>
  <w:num w:numId="36" w16cid:durableId="2093160264">
    <w:abstractNumId w:val="59"/>
  </w:num>
  <w:num w:numId="37" w16cid:durableId="1685327629">
    <w:abstractNumId w:val="59"/>
  </w:num>
  <w:num w:numId="38" w16cid:durableId="993871706">
    <w:abstractNumId w:val="59"/>
  </w:num>
  <w:num w:numId="39" w16cid:durableId="1915507771">
    <w:abstractNumId w:val="59"/>
  </w:num>
  <w:num w:numId="40" w16cid:durableId="1979648305">
    <w:abstractNumId w:val="59"/>
  </w:num>
  <w:num w:numId="41" w16cid:durableId="1454982244">
    <w:abstractNumId w:val="59"/>
  </w:num>
  <w:num w:numId="42" w16cid:durableId="261380383">
    <w:abstractNumId w:val="59"/>
  </w:num>
  <w:num w:numId="43" w16cid:durableId="1661732222">
    <w:abstractNumId w:val="59"/>
  </w:num>
  <w:num w:numId="44" w16cid:durableId="218371846">
    <w:abstractNumId w:val="59"/>
  </w:num>
  <w:num w:numId="45" w16cid:durableId="854537194">
    <w:abstractNumId w:val="59"/>
  </w:num>
  <w:num w:numId="46" w16cid:durableId="115612739">
    <w:abstractNumId w:val="59"/>
  </w:num>
  <w:num w:numId="47" w16cid:durableId="1216235429">
    <w:abstractNumId w:val="59"/>
  </w:num>
  <w:num w:numId="48" w16cid:durableId="15722357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305354">
    <w:abstractNumId w:val="59"/>
  </w:num>
  <w:num w:numId="50" w16cid:durableId="437722678">
    <w:abstractNumId w:val="37"/>
  </w:num>
  <w:num w:numId="51" w16cid:durableId="405304414">
    <w:abstractNumId w:val="59"/>
  </w:num>
  <w:num w:numId="52" w16cid:durableId="675960101">
    <w:abstractNumId w:val="59"/>
  </w:num>
  <w:num w:numId="53" w16cid:durableId="9322018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045216">
    <w:abstractNumId w:val="59"/>
  </w:num>
  <w:num w:numId="55" w16cid:durableId="17317267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1119168">
    <w:abstractNumId w:val="59"/>
  </w:num>
  <w:num w:numId="57" w16cid:durableId="1209151195">
    <w:abstractNumId w:val="59"/>
  </w:num>
  <w:num w:numId="58" w16cid:durableId="21324803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4286617">
    <w:abstractNumId w:val="59"/>
  </w:num>
  <w:num w:numId="60" w16cid:durableId="1766804940">
    <w:abstractNumId w:val="81"/>
  </w:num>
  <w:num w:numId="61" w16cid:durableId="6294371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77806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7545844">
    <w:abstractNumId w:val="59"/>
  </w:num>
  <w:num w:numId="64" w16cid:durableId="1987196788">
    <w:abstractNumId w:val="41"/>
  </w:num>
  <w:num w:numId="65" w16cid:durableId="1475676338">
    <w:abstractNumId w:val="53"/>
  </w:num>
  <w:num w:numId="66" w16cid:durableId="1254168994">
    <w:abstractNumId w:val="12"/>
  </w:num>
  <w:num w:numId="67" w16cid:durableId="1717007719">
    <w:abstractNumId w:val="39"/>
  </w:num>
  <w:num w:numId="68" w16cid:durableId="1166941449">
    <w:abstractNumId w:val="46"/>
  </w:num>
  <w:num w:numId="69" w16cid:durableId="369113460">
    <w:abstractNumId w:val="97"/>
  </w:num>
  <w:num w:numId="70" w16cid:durableId="717700694">
    <w:abstractNumId w:val="50"/>
  </w:num>
  <w:num w:numId="71" w16cid:durableId="18675214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55334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40748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45675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791558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33764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03352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8902813">
    <w:abstractNumId w:val="59"/>
  </w:num>
  <w:num w:numId="79" w16cid:durableId="5287633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032747">
    <w:abstractNumId w:val="59"/>
  </w:num>
  <w:num w:numId="81" w16cid:durableId="15883462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4235263">
    <w:abstractNumId w:val="60"/>
  </w:num>
  <w:num w:numId="83" w16cid:durableId="359089051">
    <w:abstractNumId w:val="55"/>
  </w:num>
  <w:num w:numId="84" w16cid:durableId="11437348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22492795">
    <w:abstractNumId w:val="59"/>
  </w:num>
  <w:num w:numId="86" w16cid:durableId="916357083">
    <w:abstractNumId w:val="59"/>
  </w:num>
  <w:num w:numId="87" w16cid:durableId="1963343305">
    <w:abstractNumId w:val="85"/>
  </w:num>
  <w:num w:numId="88" w16cid:durableId="273175940">
    <w:abstractNumId w:val="59"/>
  </w:num>
  <w:num w:numId="89" w16cid:durableId="1088040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3072188">
    <w:abstractNumId w:val="59"/>
  </w:num>
  <w:num w:numId="91" w16cid:durableId="1251816232">
    <w:abstractNumId w:val="5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92" w16cid:durableId="378358693">
    <w:abstractNumId w:val="59"/>
  </w:num>
  <w:num w:numId="93" w16cid:durableId="571625470">
    <w:abstractNumId w:val="59"/>
  </w:num>
  <w:num w:numId="94" w16cid:durableId="1460028934">
    <w:abstractNumId w:val="59"/>
  </w:num>
  <w:num w:numId="95" w16cid:durableId="401833022">
    <w:abstractNumId w:val="59"/>
  </w:num>
  <w:num w:numId="96" w16cid:durableId="247036901">
    <w:abstractNumId w:val="59"/>
  </w:num>
  <w:num w:numId="97" w16cid:durableId="627510631">
    <w:abstractNumId w:val="59"/>
  </w:num>
  <w:num w:numId="98" w16cid:durableId="802042646">
    <w:abstractNumId w:val="59"/>
  </w:num>
  <w:num w:numId="99" w16cid:durableId="1285042304">
    <w:abstractNumId w:val="59"/>
  </w:num>
  <w:num w:numId="100" w16cid:durableId="1298608350">
    <w:abstractNumId w:val="63"/>
  </w:num>
  <w:num w:numId="101" w16cid:durableId="140083157">
    <w:abstractNumId w:val="59"/>
  </w:num>
  <w:num w:numId="102" w16cid:durableId="1706448571">
    <w:abstractNumId w:val="59"/>
  </w:num>
  <w:num w:numId="103" w16cid:durableId="1907183264">
    <w:abstractNumId w:val="59"/>
  </w:num>
  <w:num w:numId="104" w16cid:durableId="31686329">
    <w:abstractNumId w:val="71"/>
  </w:num>
  <w:num w:numId="105" w16cid:durableId="1448428857">
    <w:abstractNumId w:val="59"/>
  </w:num>
  <w:num w:numId="106" w16cid:durableId="1872184696">
    <w:abstractNumId w:val="59"/>
  </w:num>
  <w:num w:numId="107" w16cid:durableId="1148548681">
    <w:abstractNumId w:val="59"/>
  </w:num>
  <w:num w:numId="108" w16cid:durableId="945498847">
    <w:abstractNumId w:val="59"/>
  </w:num>
  <w:num w:numId="109" w16cid:durableId="103119221">
    <w:abstractNumId w:val="62"/>
  </w:num>
  <w:num w:numId="110" w16cid:durableId="281035096">
    <w:abstractNumId w:val="72"/>
  </w:num>
  <w:num w:numId="111" w16cid:durableId="1933581414">
    <w:abstractNumId w:val="59"/>
  </w:num>
  <w:num w:numId="112" w16cid:durableId="324671298">
    <w:abstractNumId w:val="59"/>
  </w:num>
  <w:num w:numId="113" w16cid:durableId="1737629221">
    <w:abstractNumId w:val="59"/>
  </w:num>
  <w:num w:numId="114" w16cid:durableId="1375733837">
    <w:abstractNumId w:val="59"/>
  </w:num>
  <w:num w:numId="115" w16cid:durableId="989022198">
    <w:abstractNumId w:val="59"/>
  </w:num>
  <w:num w:numId="116" w16cid:durableId="1577321325">
    <w:abstractNumId w:val="59"/>
  </w:num>
  <w:num w:numId="117" w16cid:durableId="61417991">
    <w:abstractNumId w:val="59"/>
  </w:num>
  <w:num w:numId="118" w16cid:durableId="1153377847">
    <w:abstractNumId w:val="59"/>
  </w:num>
  <w:num w:numId="119" w16cid:durableId="1908296521">
    <w:abstractNumId w:val="59"/>
  </w:num>
  <w:num w:numId="120" w16cid:durableId="1258560757">
    <w:abstractNumId w:val="59"/>
  </w:num>
  <w:num w:numId="121" w16cid:durableId="1228569516">
    <w:abstractNumId w:val="59"/>
  </w:num>
  <w:num w:numId="122" w16cid:durableId="1590499495">
    <w:abstractNumId w:val="59"/>
  </w:num>
  <w:num w:numId="123" w16cid:durableId="961762386">
    <w:abstractNumId w:val="42"/>
  </w:num>
  <w:num w:numId="124" w16cid:durableId="1872571381">
    <w:abstractNumId w:val="59"/>
  </w:num>
  <w:num w:numId="125" w16cid:durableId="2131706757">
    <w:abstractNumId w:val="59"/>
  </w:num>
  <w:num w:numId="126" w16cid:durableId="2060473083">
    <w:abstractNumId w:val="59"/>
  </w:num>
  <w:num w:numId="127" w16cid:durableId="1782919897">
    <w:abstractNumId w:val="59"/>
  </w:num>
  <w:num w:numId="128" w16cid:durableId="1911034014">
    <w:abstractNumId w:val="88"/>
  </w:num>
  <w:num w:numId="129" w16cid:durableId="394739268">
    <w:abstractNumId w:val="94"/>
  </w:num>
  <w:num w:numId="130" w16cid:durableId="1693339802">
    <w:abstractNumId w:val="59"/>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31" w16cid:durableId="579020150">
    <w:abstractNumId w:val="66"/>
  </w:num>
  <w:num w:numId="132" w16cid:durableId="1604220567">
    <w:abstractNumId w:val="59"/>
  </w:num>
  <w:num w:numId="133" w16cid:durableId="1947034786">
    <w:abstractNumId w:val="54"/>
  </w:num>
  <w:num w:numId="134" w16cid:durableId="848255569">
    <w:abstractNumId w:val="38"/>
  </w:num>
  <w:num w:numId="135" w16cid:durableId="508758888">
    <w:abstractNumId w:val="100"/>
  </w:num>
  <w:num w:numId="136" w16cid:durableId="885218083">
    <w:abstractNumId w:val="59"/>
  </w:num>
  <w:num w:numId="137" w16cid:durableId="5833406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69207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1491198">
    <w:abstractNumId w:val="59"/>
  </w:num>
  <w:num w:numId="140" w16cid:durableId="4477047">
    <w:abstractNumId w:val="59"/>
  </w:num>
  <w:num w:numId="141" w16cid:durableId="953942458">
    <w:abstractNumId w:val="18"/>
  </w:num>
  <w:num w:numId="142" w16cid:durableId="68773991">
    <w:abstractNumId w:val="59"/>
  </w:num>
  <w:num w:numId="143" w16cid:durableId="1862475250">
    <w:abstractNumId w:val="70"/>
  </w:num>
  <w:num w:numId="144" w16cid:durableId="1005133729">
    <w:abstractNumId w:val="59"/>
  </w:num>
  <w:num w:numId="145" w16cid:durableId="1612735599">
    <w:abstractNumId w:val="92"/>
  </w:num>
  <w:num w:numId="146" w16cid:durableId="1155681884">
    <w:abstractNumId w:val="59"/>
  </w:num>
  <w:num w:numId="147" w16cid:durableId="795679930">
    <w:abstractNumId w:val="59"/>
  </w:num>
  <w:num w:numId="148" w16cid:durableId="887959390">
    <w:abstractNumId w:val="59"/>
  </w:num>
  <w:num w:numId="149" w16cid:durableId="173038127">
    <w:abstractNumId w:val="59"/>
  </w:num>
  <w:num w:numId="150" w16cid:durableId="188304554">
    <w:abstractNumId w:val="59"/>
  </w:num>
  <w:num w:numId="151" w16cid:durableId="2064131400">
    <w:abstractNumId w:val="59"/>
  </w:num>
  <w:num w:numId="152" w16cid:durableId="838616931">
    <w:abstractNumId w:val="59"/>
  </w:num>
  <w:num w:numId="153" w16cid:durableId="1792089105">
    <w:abstractNumId w:val="82"/>
  </w:num>
  <w:num w:numId="154" w16cid:durableId="926697294">
    <w:abstractNumId w:val="59"/>
  </w:num>
  <w:num w:numId="155" w16cid:durableId="832448517">
    <w:abstractNumId w:val="64"/>
  </w:num>
  <w:num w:numId="156" w16cid:durableId="51583164">
    <w:abstractNumId w:val="59"/>
  </w:num>
  <w:num w:numId="157" w16cid:durableId="1215432904">
    <w:abstractNumId w:val="59"/>
  </w:num>
  <w:num w:numId="158" w16cid:durableId="569582532">
    <w:abstractNumId w:val="32"/>
  </w:num>
  <w:num w:numId="159" w16cid:durableId="1286503079">
    <w:abstractNumId w:val="61"/>
  </w:num>
  <w:num w:numId="160" w16cid:durableId="142507377">
    <w:abstractNumId w:val="59"/>
  </w:num>
  <w:num w:numId="161" w16cid:durableId="2012760390">
    <w:abstractNumId w:val="45"/>
  </w:num>
  <w:num w:numId="162" w16cid:durableId="1946304068">
    <w:abstractNumId w:val="59"/>
  </w:num>
  <w:num w:numId="163" w16cid:durableId="1668165659">
    <w:abstractNumId w:val="76"/>
  </w:num>
  <w:num w:numId="164" w16cid:durableId="1770077727">
    <w:abstractNumId w:val="24"/>
  </w:num>
  <w:num w:numId="165" w16cid:durableId="2082482669">
    <w:abstractNumId w:val="14"/>
  </w:num>
  <w:num w:numId="166" w16cid:durableId="650137256">
    <w:abstractNumId w:val="67"/>
  </w:num>
  <w:num w:numId="167" w16cid:durableId="879585398">
    <w:abstractNumId w:val="13"/>
  </w:num>
  <w:num w:numId="168" w16cid:durableId="82731214">
    <w:abstractNumId w:val="95"/>
  </w:num>
  <w:num w:numId="169" w16cid:durableId="324361664">
    <w:abstractNumId w:val="78"/>
  </w:num>
  <w:num w:numId="170" w16cid:durableId="1542397600">
    <w:abstractNumId w:val="19"/>
  </w:num>
  <w:num w:numId="171" w16cid:durableId="1300375286">
    <w:abstractNumId w:val="47"/>
  </w:num>
  <w:num w:numId="172" w16cid:durableId="2125691608">
    <w:abstractNumId w:val="89"/>
  </w:num>
  <w:num w:numId="173" w16cid:durableId="2086148853">
    <w:abstractNumId w:val="73"/>
  </w:num>
  <w:num w:numId="174" w16cid:durableId="1750426230">
    <w:abstractNumId w:val="25"/>
  </w:num>
  <w:num w:numId="175" w16cid:durableId="478889997">
    <w:abstractNumId w:val="65"/>
  </w:num>
  <w:num w:numId="176" w16cid:durableId="1463427520">
    <w:abstractNumId w:val="80"/>
  </w:num>
  <w:num w:numId="177" w16cid:durableId="336154760">
    <w:abstractNumId w:val="69"/>
  </w:num>
  <w:num w:numId="178" w16cid:durableId="1933662228">
    <w:abstractNumId w:val="34"/>
  </w:num>
  <w:num w:numId="179" w16cid:durableId="1991909117">
    <w:abstractNumId w:val="10"/>
  </w:num>
  <w:num w:numId="180" w16cid:durableId="1138956019">
    <w:abstractNumId w:val="22"/>
  </w:num>
  <w:num w:numId="181" w16cid:durableId="664018808">
    <w:abstractNumId w:val="59"/>
  </w:num>
  <w:num w:numId="182" w16cid:durableId="1815248677">
    <w:abstractNumId w:val="59"/>
  </w:num>
  <w:num w:numId="183" w16cid:durableId="587470171">
    <w:abstractNumId w:val="59"/>
  </w:num>
  <w:num w:numId="184" w16cid:durableId="179853133">
    <w:abstractNumId w:val="59"/>
  </w:num>
  <w:num w:numId="185" w16cid:durableId="1440176617">
    <w:abstractNumId w:val="59"/>
  </w:num>
  <w:num w:numId="186" w16cid:durableId="652947543">
    <w:abstractNumId w:val="59"/>
  </w:num>
  <w:num w:numId="187" w16cid:durableId="1393187988">
    <w:abstractNumId w:val="59"/>
  </w:num>
  <w:num w:numId="188" w16cid:durableId="982588746">
    <w:abstractNumId w:val="59"/>
  </w:num>
  <w:num w:numId="189" w16cid:durableId="2115400317">
    <w:abstractNumId w:val="59"/>
  </w:num>
  <w:num w:numId="190" w16cid:durableId="925650333">
    <w:abstractNumId w:val="59"/>
  </w:num>
  <w:num w:numId="191" w16cid:durableId="1107385011">
    <w:abstractNumId w:val="59"/>
  </w:num>
  <w:num w:numId="192" w16cid:durableId="657811784">
    <w:abstractNumId w:val="59"/>
  </w:num>
  <w:num w:numId="193" w16cid:durableId="714813490">
    <w:abstractNumId w:val="59"/>
  </w:num>
  <w:num w:numId="194" w16cid:durableId="918904597">
    <w:abstractNumId w:val="59"/>
  </w:num>
  <w:num w:numId="195" w16cid:durableId="426002755">
    <w:abstractNumId w:val="59"/>
  </w:num>
  <w:num w:numId="196" w16cid:durableId="1009138239">
    <w:abstractNumId w:val="59"/>
  </w:num>
  <w:num w:numId="197" w16cid:durableId="1202589995">
    <w:abstractNumId w:val="59"/>
  </w:num>
  <w:num w:numId="198" w16cid:durableId="1553886409">
    <w:abstractNumId w:val="59"/>
  </w:num>
  <w:num w:numId="199" w16cid:durableId="401678242">
    <w:abstractNumId w:val="59"/>
  </w:num>
  <w:num w:numId="200" w16cid:durableId="1266766834">
    <w:abstractNumId w:val="59"/>
  </w:num>
  <w:num w:numId="201" w16cid:durableId="721487207">
    <w:abstractNumId w:val="59"/>
  </w:num>
  <w:num w:numId="202" w16cid:durableId="1011683627">
    <w:abstractNumId w:val="59"/>
  </w:num>
  <w:num w:numId="203" w16cid:durableId="56512443">
    <w:abstractNumId w:val="59"/>
  </w:num>
  <w:num w:numId="204" w16cid:durableId="1412122252">
    <w:abstractNumId w:val="59"/>
  </w:num>
  <w:num w:numId="205" w16cid:durableId="84695760">
    <w:abstractNumId w:val="59"/>
  </w:num>
  <w:num w:numId="206" w16cid:durableId="4090030">
    <w:abstractNumId w:val="59"/>
  </w:num>
  <w:num w:numId="207" w16cid:durableId="2129663484">
    <w:abstractNumId w:val="59"/>
  </w:num>
  <w:num w:numId="208" w16cid:durableId="288635939">
    <w:abstractNumId w:val="59"/>
  </w:num>
  <w:num w:numId="209" w16cid:durableId="379786729">
    <w:abstractNumId w:val="59"/>
  </w:num>
  <w:num w:numId="210" w16cid:durableId="1396975501">
    <w:abstractNumId w:val="59"/>
  </w:num>
  <w:num w:numId="211" w16cid:durableId="1566841968">
    <w:abstractNumId w:val="59"/>
  </w:num>
  <w:num w:numId="212" w16cid:durableId="1089274617">
    <w:abstractNumId w:val="59"/>
  </w:num>
  <w:num w:numId="213" w16cid:durableId="413358745">
    <w:abstractNumId w:val="59"/>
  </w:num>
  <w:num w:numId="214" w16cid:durableId="1523279751">
    <w:abstractNumId w:val="59"/>
  </w:num>
  <w:num w:numId="215" w16cid:durableId="1261136839">
    <w:abstractNumId w:val="59"/>
  </w:num>
  <w:num w:numId="216" w16cid:durableId="77673687">
    <w:abstractNumId w:val="59"/>
  </w:num>
  <w:num w:numId="217" w16cid:durableId="961182535">
    <w:abstractNumId w:val="59"/>
  </w:num>
  <w:num w:numId="218" w16cid:durableId="419452982">
    <w:abstractNumId w:val="59"/>
  </w:num>
  <w:num w:numId="219" w16cid:durableId="365757074">
    <w:abstractNumId w:val="59"/>
  </w:num>
  <w:num w:numId="220" w16cid:durableId="1343818532">
    <w:abstractNumId w:val="59"/>
  </w:num>
  <w:num w:numId="221" w16cid:durableId="2121416658">
    <w:abstractNumId w:val="59"/>
  </w:num>
  <w:num w:numId="222" w16cid:durableId="753747477">
    <w:abstractNumId w:val="59"/>
  </w:num>
  <w:num w:numId="223" w16cid:durableId="426660829">
    <w:abstractNumId w:val="59"/>
  </w:num>
  <w:num w:numId="224" w16cid:durableId="1779982533">
    <w:abstractNumId w:val="59"/>
  </w:num>
  <w:num w:numId="225" w16cid:durableId="314185760">
    <w:abstractNumId w:val="59"/>
  </w:num>
  <w:num w:numId="226" w16cid:durableId="611136735">
    <w:abstractNumId w:val="59"/>
  </w:num>
  <w:num w:numId="227" w16cid:durableId="1386949430">
    <w:abstractNumId w:val="59"/>
  </w:num>
  <w:num w:numId="228" w16cid:durableId="944850140">
    <w:abstractNumId w:val="59"/>
  </w:num>
  <w:num w:numId="229" w16cid:durableId="1024475531">
    <w:abstractNumId w:val="59"/>
  </w:num>
  <w:num w:numId="230" w16cid:durableId="89861805">
    <w:abstractNumId w:val="59"/>
  </w:num>
  <w:num w:numId="231" w16cid:durableId="266276548">
    <w:abstractNumId w:val="59"/>
  </w:num>
  <w:num w:numId="232" w16cid:durableId="1808937782">
    <w:abstractNumId w:val="59"/>
  </w:num>
  <w:num w:numId="233" w16cid:durableId="1312521165">
    <w:abstractNumId w:val="59"/>
  </w:num>
  <w:num w:numId="234" w16cid:durableId="505678880">
    <w:abstractNumId w:val="59"/>
  </w:num>
  <w:num w:numId="235" w16cid:durableId="549072063">
    <w:abstractNumId w:val="59"/>
  </w:num>
  <w:num w:numId="236" w16cid:durableId="496920925">
    <w:abstractNumId w:val="59"/>
  </w:num>
  <w:num w:numId="237" w16cid:durableId="1639453997">
    <w:abstractNumId w:val="59"/>
  </w:num>
  <w:num w:numId="238" w16cid:durableId="1320884185">
    <w:abstractNumId w:val="59"/>
  </w:num>
  <w:num w:numId="239" w16cid:durableId="201479318">
    <w:abstractNumId w:val="59"/>
  </w:num>
  <w:num w:numId="240" w16cid:durableId="559444220">
    <w:abstractNumId w:val="59"/>
  </w:num>
  <w:num w:numId="241" w16cid:durableId="755827730">
    <w:abstractNumId w:val="59"/>
  </w:num>
  <w:num w:numId="242" w16cid:durableId="862479488">
    <w:abstractNumId w:val="59"/>
  </w:num>
  <w:num w:numId="243" w16cid:durableId="1337464253">
    <w:abstractNumId w:val="59"/>
  </w:num>
  <w:num w:numId="244" w16cid:durableId="2119330848">
    <w:abstractNumId w:val="59"/>
  </w:num>
  <w:num w:numId="245" w16cid:durableId="1551069584">
    <w:abstractNumId w:val="59"/>
  </w:num>
  <w:num w:numId="246" w16cid:durableId="461308422">
    <w:abstractNumId w:val="59"/>
  </w:num>
  <w:num w:numId="247" w16cid:durableId="1827896071">
    <w:abstractNumId w:val="59"/>
  </w:num>
  <w:num w:numId="248" w16cid:durableId="1759594048">
    <w:abstractNumId w:val="59"/>
  </w:num>
  <w:num w:numId="249" w16cid:durableId="836116773">
    <w:abstractNumId w:val="59"/>
  </w:num>
  <w:num w:numId="250" w16cid:durableId="578831999">
    <w:abstractNumId w:val="59"/>
  </w:num>
  <w:num w:numId="251" w16cid:durableId="469330197">
    <w:abstractNumId w:val="59"/>
  </w:num>
  <w:num w:numId="252" w16cid:durableId="909969165">
    <w:abstractNumId w:val="59"/>
  </w:num>
  <w:num w:numId="253" w16cid:durableId="1935361682">
    <w:abstractNumId w:val="59"/>
  </w:num>
  <w:num w:numId="254" w16cid:durableId="1678340119">
    <w:abstractNumId w:val="44"/>
  </w:num>
  <w:num w:numId="255" w16cid:durableId="380716044">
    <w:abstractNumId w:val="59"/>
  </w:num>
  <w:num w:numId="256" w16cid:durableId="1299528834">
    <w:abstractNumId w:val="59"/>
  </w:num>
  <w:num w:numId="257" w16cid:durableId="892883311">
    <w:abstractNumId w:val="56"/>
  </w:num>
  <w:num w:numId="258" w16cid:durableId="1014498094">
    <w:abstractNumId w:val="59"/>
  </w:num>
  <w:num w:numId="259" w16cid:durableId="1600985994">
    <w:abstractNumId w:val="28"/>
  </w:num>
  <w:num w:numId="260" w16cid:durableId="1817914121">
    <w:abstractNumId w:val="59"/>
  </w:num>
  <w:num w:numId="261" w16cid:durableId="728309111">
    <w:abstractNumId w:val="59"/>
  </w:num>
  <w:num w:numId="262" w16cid:durableId="1339037938">
    <w:abstractNumId w:val="59"/>
  </w:num>
  <w:num w:numId="263" w16cid:durableId="847599710">
    <w:abstractNumId w:val="59"/>
  </w:num>
  <w:num w:numId="264" w16cid:durableId="1069963472">
    <w:abstractNumId w:val="59"/>
  </w:num>
  <w:num w:numId="265" w16cid:durableId="505829509">
    <w:abstractNumId w:val="26"/>
  </w:num>
  <w:num w:numId="266" w16cid:durableId="1532841616">
    <w:abstractNumId w:val="59"/>
  </w:num>
  <w:num w:numId="267" w16cid:durableId="207301036">
    <w:abstractNumId w:val="59"/>
  </w:num>
  <w:num w:numId="268" w16cid:durableId="973366794">
    <w:abstractNumId w:val="59"/>
  </w:num>
  <w:num w:numId="269" w16cid:durableId="30688262">
    <w:abstractNumId w:val="59"/>
  </w:num>
  <w:num w:numId="270" w16cid:durableId="110829919">
    <w:abstractNumId w:val="59"/>
  </w:num>
  <w:num w:numId="271" w16cid:durableId="1559242245">
    <w:abstractNumId w:val="59"/>
  </w:num>
  <w:num w:numId="272" w16cid:durableId="1489515798">
    <w:abstractNumId w:val="59"/>
  </w:num>
  <w:num w:numId="273" w16cid:durableId="1185561064">
    <w:abstractNumId w:val="59"/>
  </w:num>
  <w:num w:numId="274" w16cid:durableId="2021739274">
    <w:abstractNumId w:val="59"/>
  </w:num>
  <w:num w:numId="275" w16cid:durableId="1640919517">
    <w:abstractNumId w:val="59"/>
  </w:num>
  <w:num w:numId="276" w16cid:durableId="280919085">
    <w:abstractNumId w:val="59"/>
  </w:num>
  <w:num w:numId="277" w16cid:durableId="1213884902">
    <w:abstractNumId w:val="59"/>
  </w:num>
  <w:num w:numId="278" w16cid:durableId="522129321">
    <w:abstractNumId w:val="59"/>
  </w:num>
  <w:num w:numId="279" w16cid:durableId="947855997">
    <w:abstractNumId w:val="59"/>
  </w:num>
  <w:num w:numId="280" w16cid:durableId="1732657510">
    <w:abstractNumId w:val="59"/>
  </w:num>
  <w:num w:numId="281" w16cid:durableId="1436050029">
    <w:abstractNumId w:val="59"/>
  </w:num>
  <w:num w:numId="282" w16cid:durableId="248587020">
    <w:abstractNumId w:val="59"/>
  </w:num>
  <w:num w:numId="283" w16cid:durableId="413939912">
    <w:abstractNumId w:val="59"/>
  </w:num>
  <w:num w:numId="284" w16cid:durableId="623736610">
    <w:abstractNumId w:val="59"/>
  </w:num>
  <w:num w:numId="285" w16cid:durableId="1912961343">
    <w:abstractNumId w:val="59"/>
  </w:num>
  <w:num w:numId="286" w16cid:durableId="141194252">
    <w:abstractNumId w:val="59"/>
  </w:num>
  <w:num w:numId="287" w16cid:durableId="1593003147">
    <w:abstractNumId w:val="49"/>
  </w:num>
  <w:num w:numId="288" w16cid:durableId="4387246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7043231">
    <w:abstractNumId w:val="59"/>
  </w:num>
  <w:num w:numId="290" w16cid:durableId="782112816">
    <w:abstractNumId w:val="31"/>
  </w:num>
  <w:num w:numId="291" w16cid:durableId="1570767870">
    <w:abstractNumId w:val="59"/>
  </w:num>
  <w:num w:numId="292" w16cid:durableId="617297196">
    <w:abstractNumId w:val="59"/>
  </w:num>
  <w:num w:numId="293" w16cid:durableId="916789594">
    <w:abstractNumId w:val="29"/>
  </w:num>
  <w:num w:numId="294" w16cid:durableId="516774712">
    <w:abstractNumId w:val="79"/>
  </w:num>
  <w:num w:numId="295" w16cid:durableId="53509768">
    <w:abstractNumId w:val="74"/>
  </w:num>
  <w:num w:numId="296" w16cid:durableId="1776440015">
    <w:abstractNumId w:val="59"/>
  </w:num>
  <w:num w:numId="297" w16cid:durableId="5316519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345093157">
    <w:abstractNumId w:val="51"/>
  </w:num>
  <w:num w:numId="299" w16cid:durableId="988170835">
    <w:abstractNumId w:val="16"/>
  </w:num>
  <w:num w:numId="300" w16cid:durableId="89862453">
    <w:abstractNumId w:val="33"/>
  </w:num>
  <w:num w:numId="301" w16cid:durableId="350298610">
    <w:abstractNumId w:val="87"/>
  </w:num>
  <w:num w:numId="302" w16cid:durableId="1726954508">
    <w:abstractNumId w:val="59"/>
  </w:num>
  <w:num w:numId="303" w16cid:durableId="135151075">
    <w:abstractNumId w:val="93"/>
  </w:num>
  <w:num w:numId="304" w16cid:durableId="598147614">
    <w:abstractNumId w:val="59"/>
  </w:num>
  <w:num w:numId="305" w16cid:durableId="1948728696">
    <w:abstractNumId w:val="83"/>
  </w:num>
  <w:num w:numId="306" w16cid:durableId="220333120">
    <w:abstractNumId w:val="48"/>
  </w:num>
  <w:num w:numId="307" w16cid:durableId="1488671273">
    <w:abstractNumId w:val="40"/>
  </w:num>
  <w:num w:numId="308" w16cid:durableId="1273634150">
    <w:abstractNumId w:val="99"/>
  </w:num>
  <w:num w:numId="309" w16cid:durableId="2079201858">
    <w:abstractNumId w:val="17"/>
  </w:num>
  <w:num w:numId="310" w16cid:durableId="1055399177">
    <w:abstractNumId w:val="27"/>
  </w:num>
  <w:num w:numId="311" w16cid:durableId="1385983122">
    <w:abstractNumId w:val="77"/>
  </w:num>
  <w:num w:numId="312" w16cid:durableId="648706617">
    <w:abstractNumId w:val="35"/>
  </w:num>
  <w:num w:numId="313" w16cid:durableId="190845011">
    <w:abstractNumId w:val="86"/>
  </w:num>
  <w:num w:numId="314" w16cid:durableId="1751733318">
    <w:abstractNumId w:val="59"/>
  </w:num>
  <w:num w:numId="315" w16cid:durableId="1611401302">
    <w:abstractNumId w:val="59"/>
  </w:num>
  <w:num w:numId="316" w16cid:durableId="1241872704">
    <w:abstractNumId w:val="59"/>
  </w:num>
  <w:num w:numId="317" w16cid:durableId="905457920">
    <w:abstractNumId w:val="59"/>
  </w:num>
  <w:num w:numId="318" w16cid:durableId="803082548">
    <w:abstractNumId w:val="59"/>
  </w:num>
  <w:num w:numId="319" w16cid:durableId="1575361639">
    <w:abstractNumId w:val="59"/>
  </w:num>
  <w:num w:numId="320" w16cid:durableId="1383679422">
    <w:abstractNumId w:val="59"/>
  </w:num>
  <w:num w:numId="321" w16cid:durableId="1957522145">
    <w:abstractNumId w:val="59"/>
  </w:num>
  <w:num w:numId="322" w16cid:durableId="1383212900">
    <w:abstractNumId w:val="59"/>
  </w:num>
  <w:num w:numId="323" w16cid:durableId="1329290501">
    <w:abstractNumId w:val="59"/>
  </w:num>
  <w:num w:numId="324" w16cid:durableId="1179848839">
    <w:abstractNumId w:val="59"/>
  </w:num>
  <w:num w:numId="325" w16cid:durableId="1286041237">
    <w:abstractNumId w:val="59"/>
  </w:num>
  <w:num w:numId="326" w16cid:durableId="496729994">
    <w:abstractNumId w:val="59"/>
  </w:num>
  <w:num w:numId="327" w16cid:durableId="744648534">
    <w:abstractNumId w:val="59"/>
  </w:num>
  <w:num w:numId="328" w16cid:durableId="670645279">
    <w:abstractNumId w:val="59"/>
  </w:num>
  <w:num w:numId="329" w16cid:durableId="55664778">
    <w:abstractNumId w:val="59"/>
  </w:num>
  <w:num w:numId="330" w16cid:durableId="1306277590">
    <w:abstractNumId w:val="59"/>
  </w:num>
  <w:num w:numId="331" w16cid:durableId="755900296">
    <w:abstractNumId w:val="59"/>
  </w:num>
  <w:num w:numId="332" w16cid:durableId="1446541649">
    <w:abstractNumId w:val="59"/>
  </w:num>
  <w:num w:numId="333" w16cid:durableId="1370178427">
    <w:abstractNumId w:val="59"/>
  </w:num>
  <w:num w:numId="334" w16cid:durableId="687096667">
    <w:abstractNumId w:val="59"/>
  </w:num>
  <w:num w:numId="335" w16cid:durableId="132524547">
    <w:abstractNumId w:val="59"/>
  </w:num>
  <w:num w:numId="336" w16cid:durableId="1909001535">
    <w:abstractNumId w:val="59"/>
  </w:num>
  <w:num w:numId="337" w16cid:durableId="1764954728">
    <w:abstractNumId w:val="59"/>
  </w:num>
  <w:num w:numId="338" w16cid:durableId="1095202200">
    <w:abstractNumId w:val="59"/>
  </w:num>
  <w:num w:numId="339" w16cid:durableId="1570578804">
    <w:abstractNumId w:val="59"/>
  </w:num>
  <w:num w:numId="340" w16cid:durableId="1310330316">
    <w:abstractNumId w:val="59"/>
  </w:num>
  <w:num w:numId="341" w16cid:durableId="2119174354">
    <w:abstractNumId w:val="59"/>
  </w:num>
  <w:num w:numId="342" w16cid:durableId="2021352566">
    <w:abstractNumId w:val="59"/>
  </w:num>
  <w:num w:numId="343" w16cid:durableId="354237968">
    <w:abstractNumId w:val="59"/>
  </w:num>
  <w:num w:numId="344" w16cid:durableId="228079071">
    <w:abstractNumId w:val="59"/>
  </w:num>
  <w:num w:numId="345" w16cid:durableId="1179200324">
    <w:abstractNumId w:val="59"/>
  </w:num>
  <w:num w:numId="346" w16cid:durableId="1094009646">
    <w:abstractNumId w:val="59"/>
  </w:num>
  <w:num w:numId="347" w16cid:durableId="820076489">
    <w:abstractNumId w:val="59"/>
  </w:num>
  <w:num w:numId="348" w16cid:durableId="725185128">
    <w:abstractNumId w:val="59"/>
  </w:num>
  <w:num w:numId="349" w16cid:durableId="724261695">
    <w:abstractNumId w:val="59"/>
  </w:num>
  <w:num w:numId="350" w16cid:durableId="2103069209">
    <w:abstractNumId w:val="59"/>
  </w:num>
  <w:num w:numId="351" w16cid:durableId="215699684">
    <w:abstractNumId w:val="59"/>
  </w:num>
  <w:num w:numId="352" w16cid:durableId="498086138">
    <w:abstractNumId w:val="59"/>
  </w:num>
  <w:num w:numId="353" w16cid:durableId="168643274">
    <w:abstractNumId w:val="59"/>
  </w:num>
  <w:num w:numId="354" w16cid:durableId="533811570">
    <w:abstractNumId w:val="59"/>
  </w:num>
  <w:num w:numId="355" w16cid:durableId="1356612439">
    <w:abstractNumId w:val="59"/>
  </w:num>
  <w:num w:numId="356" w16cid:durableId="1856184382">
    <w:abstractNumId w:val="59"/>
  </w:num>
  <w:num w:numId="357" w16cid:durableId="451561074">
    <w:abstractNumId w:val="59"/>
  </w:num>
  <w:num w:numId="358" w16cid:durableId="2022589098">
    <w:abstractNumId w:val="59"/>
  </w:num>
  <w:num w:numId="359" w16cid:durableId="1942952271">
    <w:abstractNumId w:val="59"/>
  </w:num>
  <w:num w:numId="360" w16cid:durableId="332344318">
    <w:abstractNumId w:val="59"/>
  </w:num>
  <w:num w:numId="361" w16cid:durableId="944383508">
    <w:abstractNumId w:val="59"/>
  </w:num>
  <w:num w:numId="362" w16cid:durableId="594195">
    <w:abstractNumId w:val="59"/>
  </w:num>
  <w:num w:numId="363" w16cid:durableId="1449857650">
    <w:abstractNumId w:val="59"/>
  </w:num>
  <w:num w:numId="364" w16cid:durableId="972439626">
    <w:abstractNumId w:val="59"/>
  </w:num>
  <w:num w:numId="365" w16cid:durableId="2065374686">
    <w:abstractNumId w:val="59"/>
  </w:num>
  <w:num w:numId="366" w16cid:durableId="1621258075">
    <w:abstractNumId w:val="59"/>
  </w:num>
  <w:num w:numId="367" w16cid:durableId="515510183">
    <w:abstractNumId w:val="59"/>
  </w:num>
  <w:num w:numId="368" w16cid:durableId="450706372">
    <w:abstractNumId w:val="59"/>
  </w:num>
  <w:num w:numId="369" w16cid:durableId="1256674321">
    <w:abstractNumId w:val="59"/>
  </w:num>
  <w:num w:numId="370" w16cid:durableId="1815950205">
    <w:abstractNumId w:val="59"/>
  </w:num>
  <w:num w:numId="371" w16cid:durableId="71196740">
    <w:abstractNumId w:val="59"/>
  </w:num>
  <w:num w:numId="372" w16cid:durableId="462619709">
    <w:abstractNumId w:val="59"/>
  </w:num>
  <w:num w:numId="373" w16cid:durableId="1632244259">
    <w:abstractNumId w:val="59"/>
  </w:num>
  <w:num w:numId="374" w16cid:durableId="1945845561">
    <w:abstractNumId w:val="59"/>
  </w:num>
  <w:num w:numId="375" w16cid:durableId="1304505654">
    <w:abstractNumId w:val="59"/>
  </w:num>
  <w:num w:numId="376" w16cid:durableId="2111732278">
    <w:abstractNumId w:val="59"/>
  </w:num>
  <w:num w:numId="377" w16cid:durableId="1890261967">
    <w:abstractNumId w:val="59"/>
  </w:num>
  <w:num w:numId="378" w16cid:durableId="1966736932">
    <w:abstractNumId w:val="59"/>
  </w:num>
  <w:num w:numId="379" w16cid:durableId="257979895">
    <w:abstractNumId w:val="59"/>
  </w:num>
  <w:num w:numId="380" w16cid:durableId="1643272354">
    <w:abstractNumId w:val="59"/>
  </w:num>
  <w:num w:numId="381" w16cid:durableId="1703627199">
    <w:abstractNumId w:val="59"/>
  </w:num>
  <w:num w:numId="382" w16cid:durableId="1754207335">
    <w:abstractNumId w:val="59"/>
  </w:num>
  <w:num w:numId="383" w16cid:durableId="455683690">
    <w:abstractNumId w:val="59"/>
  </w:num>
  <w:num w:numId="384" w16cid:durableId="156189867">
    <w:abstractNumId w:val="59"/>
  </w:num>
  <w:num w:numId="385" w16cid:durableId="1049955639">
    <w:abstractNumId w:val="59"/>
  </w:num>
  <w:num w:numId="386" w16cid:durableId="493880936">
    <w:abstractNumId w:val="59"/>
  </w:num>
  <w:num w:numId="387" w16cid:durableId="374933017">
    <w:abstractNumId w:val="59"/>
  </w:num>
  <w:num w:numId="388" w16cid:durableId="222374187">
    <w:abstractNumId w:val="59"/>
  </w:num>
  <w:num w:numId="389" w16cid:durableId="1967158458">
    <w:abstractNumId w:val="59"/>
  </w:num>
  <w:num w:numId="390" w16cid:durableId="725373596">
    <w:abstractNumId w:val="59"/>
  </w:num>
  <w:num w:numId="391" w16cid:durableId="104933546">
    <w:abstractNumId w:val="59"/>
  </w:num>
  <w:num w:numId="392" w16cid:durableId="184489395">
    <w:abstractNumId w:val="59"/>
  </w:num>
  <w:num w:numId="393" w16cid:durableId="735665984">
    <w:abstractNumId w:val="59"/>
  </w:num>
  <w:num w:numId="394" w16cid:durableId="1212881119">
    <w:abstractNumId w:val="59"/>
  </w:num>
  <w:num w:numId="395" w16cid:durableId="374624111">
    <w:abstractNumId w:val="59"/>
  </w:num>
  <w:num w:numId="396" w16cid:durableId="1082946134">
    <w:abstractNumId w:val="59"/>
  </w:num>
  <w:num w:numId="397" w16cid:durableId="172189591">
    <w:abstractNumId w:val="68"/>
  </w:num>
  <w:num w:numId="398" w16cid:durableId="1501772219">
    <w:abstractNumId w:val="96"/>
  </w:num>
  <w:num w:numId="399" w16cid:durableId="1038044125">
    <w:abstractNumId w:val="21"/>
  </w:num>
  <w:num w:numId="400" w16cid:durableId="295184953">
    <w:abstractNumId w:val="57"/>
  </w:num>
  <w:num w:numId="401" w16cid:durableId="941038037">
    <w:abstractNumId w:val="43"/>
  </w:num>
  <w:num w:numId="402" w16cid:durableId="1903247259">
    <w:abstractNumId w:val="98"/>
  </w:num>
  <w:num w:numId="403" w16cid:durableId="1404449004">
    <w:abstractNumId w:val="58"/>
  </w:num>
  <w:num w:numId="404" w16cid:durableId="690179838">
    <w:abstractNumId w:val="15"/>
  </w:num>
  <w:numIdMacAtCleanup w:val="3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BB"/>
    <w:rsid w:val="00000121"/>
    <w:rsid w:val="00000364"/>
    <w:rsid w:val="00000EB8"/>
    <w:rsid w:val="00000FAE"/>
    <w:rsid w:val="000019E9"/>
    <w:rsid w:val="000021C8"/>
    <w:rsid w:val="00003588"/>
    <w:rsid w:val="00003B3E"/>
    <w:rsid w:val="00003F16"/>
    <w:rsid w:val="00004369"/>
    <w:rsid w:val="00004BE9"/>
    <w:rsid w:val="000052FD"/>
    <w:rsid w:val="000054F0"/>
    <w:rsid w:val="00005944"/>
    <w:rsid w:val="00005FDD"/>
    <w:rsid w:val="0000648E"/>
    <w:rsid w:val="00006B4A"/>
    <w:rsid w:val="00007214"/>
    <w:rsid w:val="0000721B"/>
    <w:rsid w:val="000074F8"/>
    <w:rsid w:val="000108EE"/>
    <w:rsid w:val="0001181C"/>
    <w:rsid w:val="00011BB6"/>
    <w:rsid w:val="00012E15"/>
    <w:rsid w:val="00012EB1"/>
    <w:rsid w:val="0001348C"/>
    <w:rsid w:val="000137C6"/>
    <w:rsid w:val="00014533"/>
    <w:rsid w:val="00014617"/>
    <w:rsid w:val="00014B4C"/>
    <w:rsid w:val="000151A4"/>
    <w:rsid w:val="00015816"/>
    <w:rsid w:val="00016AE0"/>
    <w:rsid w:val="0001778C"/>
    <w:rsid w:val="000204BE"/>
    <w:rsid w:val="000215D4"/>
    <w:rsid w:val="00022664"/>
    <w:rsid w:val="000234F5"/>
    <w:rsid w:val="00023EC7"/>
    <w:rsid w:val="00024708"/>
    <w:rsid w:val="00024A2E"/>
    <w:rsid w:val="000258B7"/>
    <w:rsid w:val="00025B2A"/>
    <w:rsid w:val="00026111"/>
    <w:rsid w:val="0002647E"/>
    <w:rsid w:val="0003030B"/>
    <w:rsid w:val="000308AC"/>
    <w:rsid w:val="00030945"/>
    <w:rsid w:val="00030AAC"/>
    <w:rsid w:val="00030E5C"/>
    <w:rsid w:val="00031189"/>
    <w:rsid w:val="000314D6"/>
    <w:rsid w:val="0003157B"/>
    <w:rsid w:val="0003169F"/>
    <w:rsid w:val="00031CFF"/>
    <w:rsid w:val="00032BA5"/>
    <w:rsid w:val="00032C01"/>
    <w:rsid w:val="00032CF2"/>
    <w:rsid w:val="00033326"/>
    <w:rsid w:val="0003351E"/>
    <w:rsid w:val="00033EAB"/>
    <w:rsid w:val="0003423C"/>
    <w:rsid w:val="00034417"/>
    <w:rsid w:val="00035CCB"/>
    <w:rsid w:val="00036C52"/>
    <w:rsid w:val="00036EF5"/>
    <w:rsid w:val="00040139"/>
    <w:rsid w:val="0004093E"/>
    <w:rsid w:val="00042406"/>
    <w:rsid w:val="0004256B"/>
    <w:rsid w:val="00043F3D"/>
    <w:rsid w:val="00044662"/>
    <w:rsid w:val="0004475C"/>
    <w:rsid w:val="00045DEE"/>
    <w:rsid w:val="00045E80"/>
    <w:rsid w:val="000469CE"/>
    <w:rsid w:val="00047125"/>
    <w:rsid w:val="0004770A"/>
    <w:rsid w:val="00047A2C"/>
    <w:rsid w:val="000506B4"/>
    <w:rsid w:val="000509ED"/>
    <w:rsid w:val="00050AC3"/>
    <w:rsid w:val="00051114"/>
    <w:rsid w:val="00051691"/>
    <w:rsid w:val="00053231"/>
    <w:rsid w:val="000532F1"/>
    <w:rsid w:val="000533B1"/>
    <w:rsid w:val="0005342B"/>
    <w:rsid w:val="00053517"/>
    <w:rsid w:val="0005392F"/>
    <w:rsid w:val="00053E08"/>
    <w:rsid w:val="00055327"/>
    <w:rsid w:val="00056016"/>
    <w:rsid w:val="000562DB"/>
    <w:rsid w:val="000563AC"/>
    <w:rsid w:val="00056438"/>
    <w:rsid w:val="0005645F"/>
    <w:rsid w:val="0005712C"/>
    <w:rsid w:val="000579EE"/>
    <w:rsid w:val="0006073A"/>
    <w:rsid w:val="000610F3"/>
    <w:rsid w:val="00061519"/>
    <w:rsid w:val="00062C7F"/>
    <w:rsid w:val="00063DA1"/>
    <w:rsid w:val="000642B9"/>
    <w:rsid w:val="0006473A"/>
    <w:rsid w:val="00064BC4"/>
    <w:rsid w:val="000665EF"/>
    <w:rsid w:val="00066804"/>
    <w:rsid w:val="00066E26"/>
    <w:rsid w:val="00066F55"/>
    <w:rsid w:val="000678EF"/>
    <w:rsid w:val="00067EA4"/>
    <w:rsid w:val="00070095"/>
    <w:rsid w:val="000703D8"/>
    <w:rsid w:val="00070813"/>
    <w:rsid w:val="000708BE"/>
    <w:rsid w:val="00071969"/>
    <w:rsid w:val="00071E0F"/>
    <w:rsid w:val="00071E75"/>
    <w:rsid w:val="00072EBF"/>
    <w:rsid w:val="000746B1"/>
    <w:rsid w:val="00074B49"/>
    <w:rsid w:val="000757A3"/>
    <w:rsid w:val="0007587B"/>
    <w:rsid w:val="0007645C"/>
    <w:rsid w:val="000772A0"/>
    <w:rsid w:val="00077AF1"/>
    <w:rsid w:val="00077F2A"/>
    <w:rsid w:val="0008011A"/>
    <w:rsid w:val="000808E7"/>
    <w:rsid w:val="00080C32"/>
    <w:rsid w:val="00081F25"/>
    <w:rsid w:val="00082D8B"/>
    <w:rsid w:val="000833C7"/>
    <w:rsid w:val="00083470"/>
    <w:rsid w:val="0008437E"/>
    <w:rsid w:val="000843B7"/>
    <w:rsid w:val="000848D7"/>
    <w:rsid w:val="00084FA8"/>
    <w:rsid w:val="0008596A"/>
    <w:rsid w:val="0008754D"/>
    <w:rsid w:val="00090671"/>
    <w:rsid w:val="00090EE0"/>
    <w:rsid w:val="0009134E"/>
    <w:rsid w:val="0009287D"/>
    <w:rsid w:val="00093C96"/>
    <w:rsid w:val="00094646"/>
    <w:rsid w:val="00094F67"/>
    <w:rsid w:val="000950FE"/>
    <w:rsid w:val="00095436"/>
    <w:rsid w:val="000956AE"/>
    <w:rsid w:val="00096475"/>
    <w:rsid w:val="00096499"/>
    <w:rsid w:val="00096DB7"/>
    <w:rsid w:val="00096F42"/>
    <w:rsid w:val="000976B4"/>
    <w:rsid w:val="000A0A4B"/>
    <w:rsid w:val="000A10E6"/>
    <w:rsid w:val="000A12E3"/>
    <w:rsid w:val="000A13F6"/>
    <w:rsid w:val="000A178B"/>
    <w:rsid w:val="000A19EA"/>
    <w:rsid w:val="000A1FC7"/>
    <w:rsid w:val="000A2708"/>
    <w:rsid w:val="000A3206"/>
    <w:rsid w:val="000A4190"/>
    <w:rsid w:val="000A4723"/>
    <w:rsid w:val="000A4CAD"/>
    <w:rsid w:val="000A58A0"/>
    <w:rsid w:val="000A5A0C"/>
    <w:rsid w:val="000A5D37"/>
    <w:rsid w:val="000A6FCC"/>
    <w:rsid w:val="000A711A"/>
    <w:rsid w:val="000A72BA"/>
    <w:rsid w:val="000A7FB5"/>
    <w:rsid w:val="000B004A"/>
    <w:rsid w:val="000B0104"/>
    <w:rsid w:val="000B053C"/>
    <w:rsid w:val="000B0ABD"/>
    <w:rsid w:val="000B1094"/>
    <w:rsid w:val="000B150A"/>
    <w:rsid w:val="000B1A56"/>
    <w:rsid w:val="000B2092"/>
    <w:rsid w:val="000B234F"/>
    <w:rsid w:val="000B2CBA"/>
    <w:rsid w:val="000B348A"/>
    <w:rsid w:val="000B3C88"/>
    <w:rsid w:val="000B4930"/>
    <w:rsid w:val="000B4A1C"/>
    <w:rsid w:val="000B4DD8"/>
    <w:rsid w:val="000B5980"/>
    <w:rsid w:val="000B62A0"/>
    <w:rsid w:val="000B65B8"/>
    <w:rsid w:val="000B6DBF"/>
    <w:rsid w:val="000B6FED"/>
    <w:rsid w:val="000B7B15"/>
    <w:rsid w:val="000B7E2F"/>
    <w:rsid w:val="000C039E"/>
    <w:rsid w:val="000C131C"/>
    <w:rsid w:val="000C13FA"/>
    <w:rsid w:val="000C19D5"/>
    <w:rsid w:val="000C2F15"/>
    <w:rsid w:val="000C39E5"/>
    <w:rsid w:val="000C3A89"/>
    <w:rsid w:val="000C3F77"/>
    <w:rsid w:val="000C4F55"/>
    <w:rsid w:val="000C4FEB"/>
    <w:rsid w:val="000C76E5"/>
    <w:rsid w:val="000D1251"/>
    <w:rsid w:val="000D12AF"/>
    <w:rsid w:val="000D1BB3"/>
    <w:rsid w:val="000D2142"/>
    <w:rsid w:val="000D232D"/>
    <w:rsid w:val="000D24F5"/>
    <w:rsid w:val="000D26FB"/>
    <w:rsid w:val="000D3D55"/>
    <w:rsid w:val="000D3F0E"/>
    <w:rsid w:val="000D4290"/>
    <w:rsid w:val="000D4B1D"/>
    <w:rsid w:val="000D51D8"/>
    <w:rsid w:val="000D690F"/>
    <w:rsid w:val="000D69B5"/>
    <w:rsid w:val="000D6C71"/>
    <w:rsid w:val="000D6F41"/>
    <w:rsid w:val="000E070B"/>
    <w:rsid w:val="000E0A3A"/>
    <w:rsid w:val="000E14F0"/>
    <w:rsid w:val="000E18BA"/>
    <w:rsid w:val="000E1AD4"/>
    <w:rsid w:val="000E1D61"/>
    <w:rsid w:val="000E2763"/>
    <w:rsid w:val="000E2C6D"/>
    <w:rsid w:val="000E328D"/>
    <w:rsid w:val="000E33AE"/>
    <w:rsid w:val="000E3B17"/>
    <w:rsid w:val="000E3B27"/>
    <w:rsid w:val="000E43DF"/>
    <w:rsid w:val="000E4C08"/>
    <w:rsid w:val="000E4D89"/>
    <w:rsid w:val="000E52DF"/>
    <w:rsid w:val="000E5C65"/>
    <w:rsid w:val="000E638A"/>
    <w:rsid w:val="000E6411"/>
    <w:rsid w:val="000E656A"/>
    <w:rsid w:val="000E68AB"/>
    <w:rsid w:val="000E6B81"/>
    <w:rsid w:val="000F0879"/>
    <w:rsid w:val="000F0BD2"/>
    <w:rsid w:val="000F0FD3"/>
    <w:rsid w:val="000F1040"/>
    <w:rsid w:val="000F1592"/>
    <w:rsid w:val="000F1E14"/>
    <w:rsid w:val="000F225E"/>
    <w:rsid w:val="000F2410"/>
    <w:rsid w:val="000F2716"/>
    <w:rsid w:val="000F286E"/>
    <w:rsid w:val="000F2C39"/>
    <w:rsid w:val="000F3DB1"/>
    <w:rsid w:val="000F498B"/>
    <w:rsid w:val="000F5985"/>
    <w:rsid w:val="000F6436"/>
    <w:rsid w:val="000F64F0"/>
    <w:rsid w:val="000F65F7"/>
    <w:rsid w:val="000F6C9B"/>
    <w:rsid w:val="001008F6"/>
    <w:rsid w:val="00102464"/>
    <w:rsid w:val="0010251F"/>
    <w:rsid w:val="00102C2B"/>
    <w:rsid w:val="00102D95"/>
    <w:rsid w:val="00103045"/>
    <w:rsid w:val="00103108"/>
    <w:rsid w:val="00103C39"/>
    <w:rsid w:val="0010492A"/>
    <w:rsid w:val="001049C2"/>
    <w:rsid w:val="00105074"/>
    <w:rsid w:val="0010556D"/>
    <w:rsid w:val="001078C6"/>
    <w:rsid w:val="00107F03"/>
    <w:rsid w:val="00111DB6"/>
    <w:rsid w:val="00111F56"/>
    <w:rsid w:val="001132B5"/>
    <w:rsid w:val="00113553"/>
    <w:rsid w:val="00113A7D"/>
    <w:rsid w:val="00114227"/>
    <w:rsid w:val="0011488E"/>
    <w:rsid w:val="00114F5D"/>
    <w:rsid w:val="001155FE"/>
    <w:rsid w:val="001157FF"/>
    <w:rsid w:val="001159B0"/>
    <w:rsid w:val="00115C5D"/>
    <w:rsid w:val="00116684"/>
    <w:rsid w:val="001166A9"/>
    <w:rsid w:val="00116E17"/>
    <w:rsid w:val="00117598"/>
    <w:rsid w:val="001178B0"/>
    <w:rsid w:val="00117ECF"/>
    <w:rsid w:val="0012028D"/>
    <w:rsid w:val="00120EE7"/>
    <w:rsid w:val="00121698"/>
    <w:rsid w:val="001216EB"/>
    <w:rsid w:val="00121ACB"/>
    <w:rsid w:val="0012217A"/>
    <w:rsid w:val="001224C1"/>
    <w:rsid w:val="00122704"/>
    <w:rsid w:val="001228C4"/>
    <w:rsid w:val="001238BB"/>
    <w:rsid w:val="0012486E"/>
    <w:rsid w:val="0012536C"/>
    <w:rsid w:val="00125F7A"/>
    <w:rsid w:val="00126284"/>
    <w:rsid w:val="0012638F"/>
    <w:rsid w:val="001276A6"/>
    <w:rsid w:val="001307D9"/>
    <w:rsid w:val="00132800"/>
    <w:rsid w:val="0013404C"/>
    <w:rsid w:val="001340B9"/>
    <w:rsid w:val="00134147"/>
    <w:rsid w:val="00134187"/>
    <w:rsid w:val="001347B4"/>
    <w:rsid w:val="00134A23"/>
    <w:rsid w:val="00134C04"/>
    <w:rsid w:val="00135F8D"/>
    <w:rsid w:val="00135FB7"/>
    <w:rsid w:val="00136161"/>
    <w:rsid w:val="00136827"/>
    <w:rsid w:val="00136D76"/>
    <w:rsid w:val="00137C3F"/>
    <w:rsid w:val="001400D5"/>
    <w:rsid w:val="001409B5"/>
    <w:rsid w:val="0014119E"/>
    <w:rsid w:val="00141ADE"/>
    <w:rsid w:val="00142980"/>
    <w:rsid w:val="0014343A"/>
    <w:rsid w:val="00144100"/>
    <w:rsid w:val="001442BF"/>
    <w:rsid w:val="00144792"/>
    <w:rsid w:val="001459D8"/>
    <w:rsid w:val="00145DDF"/>
    <w:rsid w:val="00146141"/>
    <w:rsid w:val="0014670F"/>
    <w:rsid w:val="00146BD7"/>
    <w:rsid w:val="001471BD"/>
    <w:rsid w:val="00150505"/>
    <w:rsid w:val="001515EE"/>
    <w:rsid w:val="0015163D"/>
    <w:rsid w:val="00151BE2"/>
    <w:rsid w:val="00151F40"/>
    <w:rsid w:val="00152232"/>
    <w:rsid w:val="001524BB"/>
    <w:rsid w:val="00152A46"/>
    <w:rsid w:val="001532D4"/>
    <w:rsid w:val="001535B1"/>
    <w:rsid w:val="00153609"/>
    <w:rsid w:val="00153D67"/>
    <w:rsid w:val="00155578"/>
    <w:rsid w:val="001555C7"/>
    <w:rsid w:val="0015621E"/>
    <w:rsid w:val="0015684A"/>
    <w:rsid w:val="00156D80"/>
    <w:rsid w:val="00157B79"/>
    <w:rsid w:val="0016047E"/>
    <w:rsid w:val="00160566"/>
    <w:rsid w:val="001618E7"/>
    <w:rsid w:val="00162075"/>
    <w:rsid w:val="00162E0F"/>
    <w:rsid w:val="0016411F"/>
    <w:rsid w:val="001648F5"/>
    <w:rsid w:val="001649BE"/>
    <w:rsid w:val="00165329"/>
    <w:rsid w:val="00165459"/>
    <w:rsid w:val="00165509"/>
    <w:rsid w:val="00165551"/>
    <w:rsid w:val="00165BF5"/>
    <w:rsid w:val="0016614B"/>
    <w:rsid w:val="00166A36"/>
    <w:rsid w:val="00166E3E"/>
    <w:rsid w:val="0016736B"/>
    <w:rsid w:val="001677EA"/>
    <w:rsid w:val="00170108"/>
    <w:rsid w:val="00170D71"/>
    <w:rsid w:val="00171858"/>
    <w:rsid w:val="001718CB"/>
    <w:rsid w:val="00171DC9"/>
    <w:rsid w:val="0017291B"/>
    <w:rsid w:val="00172C46"/>
    <w:rsid w:val="00172E40"/>
    <w:rsid w:val="00174250"/>
    <w:rsid w:val="0017452D"/>
    <w:rsid w:val="00174FA6"/>
    <w:rsid w:val="00175039"/>
    <w:rsid w:val="00175787"/>
    <w:rsid w:val="00176305"/>
    <w:rsid w:val="0017692D"/>
    <w:rsid w:val="001772B4"/>
    <w:rsid w:val="00180158"/>
    <w:rsid w:val="00180BA8"/>
    <w:rsid w:val="00180BCC"/>
    <w:rsid w:val="00182181"/>
    <w:rsid w:val="0018219B"/>
    <w:rsid w:val="00182750"/>
    <w:rsid w:val="00183106"/>
    <w:rsid w:val="001831BF"/>
    <w:rsid w:val="0018349A"/>
    <w:rsid w:val="001839AB"/>
    <w:rsid w:val="00183B69"/>
    <w:rsid w:val="00183D8D"/>
    <w:rsid w:val="00190700"/>
    <w:rsid w:val="0019099A"/>
    <w:rsid w:val="00190B7E"/>
    <w:rsid w:val="00190C17"/>
    <w:rsid w:val="00190E02"/>
    <w:rsid w:val="00190E10"/>
    <w:rsid w:val="00191304"/>
    <w:rsid w:val="00191AD5"/>
    <w:rsid w:val="0019201E"/>
    <w:rsid w:val="00192321"/>
    <w:rsid w:val="001923AC"/>
    <w:rsid w:val="00193013"/>
    <w:rsid w:val="00193A91"/>
    <w:rsid w:val="001946CA"/>
    <w:rsid w:val="001971F4"/>
    <w:rsid w:val="00197471"/>
    <w:rsid w:val="00197C0B"/>
    <w:rsid w:val="001A00EA"/>
    <w:rsid w:val="001A0ABC"/>
    <w:rsid w:val="001A1557"/>
    <w:rsid w:val="001A17D5"/>
    <w:rsid w:val="001A19EE"/>
    <w:rsid w:val="001A34CF"/>
    <w:rsid w:val="001A3627"/>
    <w:rsid w:val="001A389B"/>
    <w:rsid w:val="001A3BC9"/>
    <w:rsid w:val="001A4396"/>
    <w:rsid w:val="001A4688"/>
    <w:rsid w:val="001A4A31"/>
    <w:rsid w:val="001A4E6D"/>
    <w:rsid w:val="001A614D"/>
    <w:rsid w:val="001A616E"/>
    <w:rsid w:val="001A633D"/>
    <w:rsid w:val="001A6A94"/>
    <w:rsid w:val="001A6E4A"/>
    <w:rsid w:val="001A7E4B"/>
    <w:rsid w:val="001A7F51"/>
    <w:rsid w:val="001B04B8"/>
    <w:rsid w:val="001B06D0"/>
    <w:rsid w:val="001B10EC"/>
    <w:rsid w:val="001B2479"/>
    <w:rsid w:val="001B2498"/>
    <w:rsid w:val="001B3039"/>
    <w:rsid w:val="001B3D73"/>
    <w:rsid w:val="001B5379"/>
    <w:rsid w:val="001B55A4"/>
    <w:rsid w:val="001B6463"/>
    <w:rsid w:val="001B6542"/>
    <w:rsid w:val="001B6960"/>
    <w:rsid w:val="001B6B33"/>
    <w:rsid w:val="001B6CCE"/>
    <w:rsid w:val="001B73D0"/>
    <w:rsid w:val="001B752E"/>
    <w:rsid w:val="001C14A1"/>
    <w:rsid w:val="001C2196"/>
    <w:rsid w:val="001C27FA"/>
    <w:rsid w:val="001C2E8E"/>
    <w:rsid w:val="001C30DB"/>
    <w:rsid w:val="001C35B6"/>
    <w:rsid w:val="001C3714"/>
    <w:rsid w:val="001C3927"/>
    <w:rsid w:val="001C3EF9"/>
    <w:rsid w:val="001C41A2"/>
    <w:rsid w:val="001C45B5"/>
    <w:rsid w:val="001C4641"/>
    <w:rsid w:val="001C46BE"/>
    <w:rsid w:val="001C4D76"/>
    <w:rsid w:val="001C596D"/>
    <w:rsid w:val="001C5AFE"/>
    <w:rsid w:val="001C5BB9"/>
    <w:rsid w:val="001C6999"/>
    <w:rsid w:val="001C6FC8"/>
    <w:rsid w:val="001C7A43"/>
    <w:rsid w:val="001C7B01"/>
    <w:rsid w:val="001D078F"/>
    <w:rsid w:val="001D0BF8"/>
    <w:rsid w:val="001D115D"/>
    <w:rsid w:val="001D2619"/>
    <w:rsid w:val="001D28D6"/>
    <w:rsid w:val="001D340C"/>
    <w:rsid w:val="001D35E5"/>
    <w:rsid w:val="001D489B"/>
    <w:rsid w:val="001D52D0"/>
    <w:rsid w:val="001D5AC8"/>
    <w:rsid w:val="001D5E7C"/>
    <w:rsid w:val="001D6334"/>
    <w:rsid w:val="001D6E2E"/>
    <w:rsid w:val="001E0103"/>
    <w:rsid w:val="001E0380"/>
    <w:rsid w:val="001E0D51"/>
    <w:rsid w:val="001E11B9"/>
    <w:rsid w:val="001E1C8C"/>
    <w:rsid w:val="001E2602"/>
    <w:rsid w:val="001E2C00"/>
    <w:rsid w:val="001E2CB2"/>
    <w:rsid w:val="001E2CD0"/>
    <w:rsid w:val="001E4745"/>
    <w:rsid w:val="001E4907"/>
    <w:rsid w:val="001E4E90"/>
    <w:rsid w:val="001E50C2"/>
    <w:rsid w:val="001E5508"/>
    <w:rsid w:val="001E5A0E"/>
    <w:rsid w:val="001E6B2A"/>
    <w:rsid w:val="001E6CFE"/>
    <w:rsid w:val="001E7431"/>
    <w:rsid w:val="001F00A0"/>
    <w:rsid w:val="001F0F98"/>
    <w:rsid w:val="001F1EE3"/>
    <w:rsid w:val="001F36F0"/>
    <w:rsid w:val="001F4A6F"/>
    <w:rsid w:val="001F4B15"/>
    <w:rsid w:val="001F57AF"/>
    <w:rsid w:val="001F64FC"/>
    <w:rsid w:val="001F6957"/>
    <w:rsid w:val="001F6E5F"/>
    <w:rsid w:val="0020025F"/>
    <w:rsid w:val="002003B8"/>
    <w:rsid w:val="00200647"/>
    <w:rsid w:val="0020132C"/>
    <w:rsid w:val="002017CB"/>
    <w:rsid w:val="00202B84"/>
    <w:rsid w:val="00202BFF"/>
    <w:rsid w:val="00202F84"/>
    <w:rsid w:val="00203D96"/>
    <w:rsid w:val="00203F66"/>
    <w:rsid w:val="00204A68"/>
    <w:rsid w:val="0020519F"/>
    <w:rsid w:val="00205250"/>
    <w:rsid w:val="00205472"/>
    <w:rsid w:val="002054E5"/>
    <w:rsid w:val="00205872"/>
    <w:rsid w:val="00205C7C"/>
    <w:rsid w:val="00206326"/>
    <w:rsid w:val="00206370"/>
    <w:rsid w:val="002069FC"/>
    <w:rsid w:val="00206CDF"/>
    <w:rsid w:val="002100E3"/>
    <w:rsid w:val="002101D3"/>
    <w:rsid w:val="00210D06"/>
    <w:rsid w:val="0021151D"/>
    <w:rsid w:val="00211ECE"/>
    <w:rsid w:val="00211FC4"/>
    <w:rsid w:val="00212A94"/>
    <w:rsid w:val="00213AA6"/>
    <w:rsid w:val="00213B67"/>
    <w:rsid w:val="002143BA"/>
    <w:rsid w:val="0021506B"/>
    <w:rsid w:val="00216458"/>
    <w:rsid w:val="00216A99"/>
    <w:rsid w:val="00217275"/>
    <w:rsid w:val="00217E6E"/>
    <w:rsid w:val="002207DB"/>
    <w:rsid w:val="00221157"/>
    <w:rsid w:val="0022138B"/>
    <w:rsid w:val="002213B4"/>
    <w:rsid w:val="002221AB"/>
    <w:rsid w:val="002221F9"/>
    <w:rsid w:val="00222237"/>
    <w:rsid w:val="00222A7A"/>
    <w:rsid w:val="0022481C"/>
    <w:rsid w:val="00225A9B"/>
    <w:rsid w:val="00226755"/>
    <w:rsid w:val="00227C05"/>
    <w:rsid w:val="00227F03"/>
    <w:rsid w:val="00232504"/>
    <w:rsid w:val="00232571"/>
    <w:rsid w:val="00232D9A"/>
    <w:rsid w:val="00233432"/>
    <w:rsid w:val="002338EB"/>
    <w:rsid w:val="002346CB"/>
    <w:rsid w:val="002349AE"/>
    <w:rsid w:val="00234E2F"/>
    <w:rsid w:val="0023572E"/>
    <w:rsid w:val="00235837"/>
    <w:rsid w:val="00236817"/>
    <w:rsid w:val="00236D16"/>
    <w:rsid w:val="00237FDA"/>
    <w:rsid w:val="00241032"/>
    <w:rsid w:val="00241464"/>
    <w:rsid w:val="00241686"/>
    <w:rsid w:val="00242714"/>
    <w:rsid w:val="00242A06"/>
    <w:rsid w:val="00243FA5"/>
    <w:rsid w:val="002443C2"/>
    <w:rsid w:val="002444F2"/>
    <w:rsid w:val="00244C43"/>
    <w:rsid w:val="00244D88"/>
    <w:rsid w:val="00245A77"/>
    <w:rsid w:val="00245F2F"/>
    <w:rsid w:val="0024631F"/>
    <w:rsid w:val="002463D7"/>
    <w:rsid w:val="002463E1"/>
    <w:rsid w:val="002469DC"/>
    <w:rsid w:val="00246F39"/>
    <w:rsid w:val="0024733A"/>
    <w:rsid w:val="002505D4"/>
    <w:rsid w:val="0025140E"/>
    <w:rsid w:val="00252F84"/>
    <w:rsid w:val="00253281"/>
    <w:rsid w:val="0025354A"/>
    <w:rsid w:val="002539A1"/>
    <w:rsid w:val="002568F2"/>
    <w:rsid w:val="00257440"/>
    <w:rsid w:val="0026003E"/>
    <w:rsid w:val="002603A0"/>
    <w:rsid w:val="002608D7"/>
    <w:rsid w:val="00261CAA"/>
    <w:rsid w:val="002625F2"/>
    <w:rsid w:val="00262D69"/>
    <w:rsid w:val="00262F71"/>
    <w:rsid w:val="00264A3E"/>
    <w:rsid w:val="00264A6C"/>
    <w:rsid w:val="00264C64"/>
    <w:rsid w:val="00264FDF"/>
    <w:rsid w:val="00265313"/>
    <w:rsid w:val="00265555"/>
    <w:rsid w:val="00265DAE"/>
    <w:rsid w:val="00267204"/>
    <w:rsid w:val="00267740"/>
    <w:rsid w:val="00270285"/>
    <w:rsid w:val="00270306"/>
    <w:rsid w:val="00270507"/>
    <w:rsid w:val="00270715"/>
    <w:rsid w:val="00272560"/>
    <w:rsid w:val="002725A2"/>
    <w:rsid w:val="00272858"/>
    <w:rsid w:val="00272A50"/>
    <w:rsid w:val="00272AE0"/>
    <w:rsid w:val="00272F3C"/>
    <w:rsid w:val="00272F3E"/>
    <w:rsid w:val="002736C1"/>
    <w:rsid w:val="002741E7"/>
    <w:rsid w:val="00274BB1"/>
    <w:rsid w:val="002753D2"/>
    <w:rsid w:val="002757AC"/>
    <w:rsid w:val="00277305"/>
    <w:rsid w:val="0027746B"/>
    <w:rsid w:val="00277702"/>
    <w:rsid w:val="00277BF2"/>
    <w:rsid w:val="00277EC9"/>
    <w:rsid w:val="002804BC"/>
    <w:rsid w:val="00281937"/>
    <w:rsid w:val="00282880"/>
    <w:rsid w:val="00282B9C"/>
    <w:rsid w:val="00283409"/>
    <w:rsid w:val="002843B2"/>
    <w:rsid w:val="00284956"/>
    <w:rsid w:val="002849C1"/>
    <w:rsid w:val="00285502"/>
    <w:rsid w:val="002856CD"/>
    <w:rsid w:val="0028610E"/>
    <w:rsid w:val="00286396"/>
    <w:rsid w:val="00287106"/>
    <w:rsid w:val="00287946"/>
    <w:rsid w:val="0029064B"/>
    <w:rsid w:val="0029072F"/>
    <w:rsid w:val="0029137B"/>
    <w:rsid w:val="00292C25"/>
    <w:rsid w:val="0029315D"/>
    <w:rsid w:val="002931D9"/>
    <w:rsid w:val="00293267"/>
    <w:rsid w:val="00294180"/>
    <w:rsid w:val="002948D9"/>
    <w:rsid w:val="002959E7"/>
    <w:rsid w:val="00295E22"/>
    <w:rsid w:val="002960D8"/>
    <w:rsid w:val="00297494"/>
    <w:rsid w:val="0029760B"/>
    <w:rsid w:val="002978C1"/>
    <w:rsid w:val="00297A56"/>
    <w:rsid w:val="002A0003"/>
    <w:rsid w:val="002A028B"/>
    <w:rsid w:val="002A134A"/>
    <w:rsid w:val="002A13EE"/>
    <w:rsid w:val="002A1DED"/>
    <w:rsid w:val="002A1E49"/>
    <w:rsid w:val="002A3AAA"/>
    <w:rsid w:val="002A4CFD"/>
    <w:rsid w:val="002A4F1F"/>
    <w:rsid w:val="002A5100"/>
    <w:rsid w:val="002A590B"/>
    <w:rsid w:val="002A5DB6"/>
    <w:rsid w:val="002A5F78"/>
    <w:rsid w:val="002A605E"/>
    <w:rsid w:val="002A6B88"/>
    <w:rsid w:val="002A74B4"/>
    <w:rsid w:val="002A7517"/>
    <w:rsid w:val="002A78A8"/>
    <w:rsid w:val="002B0142"/>
    <w:rsid w:val="002B07EE"/>
    <w:rsid w:val="002B0A1E"/>
    <w:rsid w:val="002B0C30"/>
    <w:rsid w:val="002B1819"/>
    <w:rsid w:val="002B2225"/>
    <w:rsid w:val="002B3CD8"/>
    <w:rsid w:val="002B53F9"/>
    <w:rsid w:val="002B57F3"/>
    <w:rsid w:val="002B5CCD"/>
    <w:rsid w:val="002B61FA"/>
    <w:rsid w:val="002B647B"/>
    <w:rsid w:val="002B6775"/>
    <w:rsid w:val="002B6939"/>
    <w:rsid w:val="002B69CC"/>
    <w:rsid w:val="002B7250"/>
    <w:rsid w:val="002B7BE0"/>
    <w:rsid w:val="002C092A"/>
    <w:rsid w:val="002C0E7D"/>
    <w:rsid w:val="002C3029"/>
    <w:rsid w:val="002C3280"/>
    <w:rsid w:val="002C3386"/>
    <w:rsid w:val="002C35B9"/>
    <w:rsid w:val="002C39C4"/>
    <w:rsid w:val="002C40C9"/>
    <w:rsid w:val="002C420E"/>
    <w:rsid w:val="002C47C5"/>
    <w:rsid w:val="002C4C61"/>
    <w:rsid w:val="002C66AC"/>
    <w:rsid w:val="002C7F09"/>
    <w:rsid w:val="002D0245"/>
    <w:rsid w:val="002D0994"/>
    <w:rsid w:val="002D1A58"/>
    <w:rsid w:val="002D1D8D"/>
    <w:rsid w:val="002D1E99"/>
    <w:rsid w:val="002D2935"/>
    <w:rsid w:val="002D31A6"/>
    <w:rsid w:val="002D32E1"/>
    <w:rsid w:val="002D3D67"/>
    <w:rsid w:val="002D6235"/>
    <w:rsid w:val="002D6AA9"/>
    <w:rsid w:val="002D7091"/>
    <w:rsid w:val="002D70FC"/>
    <w:rsid w:val="002D753E"/>
    <w:rsid w:val="002D7B09"/>
    <w:rsid w:val="002E0268"/>
    <w:rsid w:val="002E0751"/>
    <w:rsid w:val="002E0E27"/>
    <w:rsid w:val="002E1431"/>
    <w:rsid w:val="002E1A75"/>
    <w:rsid w:val="002E2271"/>
    <w:rsid w:val="002E2329"/>
    <w:rsid w:val="002E3D9F"/>
    <w:rsid w:val="002E3FBC"/>
    <w:rsid w:val="002E4E51"/>
    <w:rsid w:val="002E4EF6"/>
    <w:rsid w:val="002E4FB8"/>
    <w:rsid w:val="002E58DB"/>
    <w:rsid w:val="002E608D"/>
    <w:rsid w:val="002E6B6A"/>
    <w:rsid w:val="002E7873"/>
    <w:rsid w:val="002F1484"/>
    <w:rsid w:val="002F21A3"/>
    <w:rsid w:val="002F287C"/>
    <w:rsid w:val="002F3325"/>
    <w:rsid w:val="002F38A2"/>
    <w:rsid w:val="002F3C42"/>
    <w:rsid w:val="002F44AE"/>
    <w:rsid w:val="002F5F5B"/>
    <w:rsid w:val="002F7B67"/>
    <w:rsid w:val="003000B2"/>
    <w:rsid w:val="003000C5"/>
    <w:rsid w:val="00300689"/>
    <w:rsid w:val="00300F1D"/>
    <w:rsid w:val="00300F9F"/>
    <w:rsid w:val="00301AEA"/>
    <w:rsid w:val="00301ECE"/>
    <w:rsid w:val="0030222D"/>
    <w:rsid w:val="003035CC"/>
    <w:rsid w:val="00303C30"/>
    <w:rsid w:val="00303CA5"/>
    <w:rsid w:val="00304654"/>
    <w:rsid w:val="0030532C"/>
    <w:rsid w:val="003054ED"/>
    <w:rsid w:val="00305836"/>
    <w:rsid w:val="00305EC6"/>
    <w:rsid w:val="00306A5B"/>
    <w:rsid w:val="00307973"/>
    <w:rsid w:val="00307ABB"/>
    <w:rsid w:val="00307F55"/>
    <w:rsid w:val="0031017D"/>
    <w:rsid w:val="00310A59"/>
    <w:rsid w:val="003113E7"/>
    <w:rsid w:val="003113EE"/>
    <w:rsid w:val="00311861"/>
    <w:rsid w:val="00311B40"/>
    <w:rsid w:val="0031268C"/>
    <w:rsid w:val="003126B6"/>
    <w:rsid w:val="003126EB"/>
    <w:rsid w:val="003127A9"/>
    <w:rsid w:val="0031285F"/>
    <w:rsid w:val="0031400E"/>
    <w:rsid w:val="003140A1"/>
    <w:rsid w:val="00314136"/>
    <w:rsid w:val="0031415F"/>
    <w:rsid w:val="003146E1"/>
    <w:rsid w:val="003147D9"/>
    <w:rsid w:val="00314C72"/>
    <w:rsid w:val="00316584"/>
    <w:rsid w:val="00316623"/>
    <w:rsid w:val="00316BF1"/>
    <w:rsid w:val="00316F60"/>
    <w:rsid w:val="003171EE"/>
    <w:rsid w:val="0031728B"/>
    <w:rsid w:val="00317CDB"/>
    <w:rsid w:val="0032092F"/>
    <w:rsid w:val="003215DF"/>
    <w:rsid w:val="00322364"/>
    <w:rsid w:val="0032238C"/>
    <w:rsid w:val="00322E2F"/>
    <w:rsid w:val="00323050"/>
    <w:rsid w:val="003232B1"/>
    <w:rsid w:val="003233D5"/>
    <w:rsid w:val="003238AE"/>
    <w:rsid w:val="00323C39"/>
    <w:rsid w:val="00325B0C"/>
    <w:rsid w:val="00325CD9"/>
    <w:rsid w:val="00325E96"/>
    <w:rsid w:val="003261D5"/>
    <w:rsid w:val="0032682C"/>
    <w:rsid w:val="00326F90"/>
    <w:rsid w:val="003279B5"/>
    <w:rsid w:val="00327A89"/>
    <w:rsid w:val="0033077A"/>
    <w:rsid w:val="0033096B"/>
    <w:rsid w:val="00330AB3"/>
    <w:rsid w:val="00331202"/>
    <w:rsid w:val="003318CC"/>
    <w:rsid w:val="0033205E"/>
    <w:rsid w:val="00332128"/>
    <w:rsid w:val="0033231B"/>
    <w:rsid w:val="0033245C"/>
    <w:rsid w:val="0033258F"/>
    <w:rsid w:val="00332AA8"/>
    <w:rsid w:val="0033317F"/>
    <w:rsid w:val="00333421"/>
    <w:rsid w:val="00333EF5"/>
    <w:rsid w:val="0033464D"/>
    <w:rsid w:val="003348F3"/>
    <w:rsid w:val="003350F4"/>
    <w:rsid w:val="0033513E"/>
    <w:rsid w:val="0033583E"/>
    <w:rsid w:val="00335A7F"/>
    <w:rsid w:val="0033657D"/>
    <w:rsid w:val="00336C5E"/>
    <w:rsid w:val="003371AD"/>
    <w:rsid w:val="0033755C"/>
    <w:rsid w:val="003377CC"/>
    <w:rsid w:val="0033795E"/>
    <w:rsid w:val="003408A1"/>
    <w:rsid w:val="00340FAC"/>
    <w:rsid w:val="0034170C"/>
    <w:rsid w:val="0034205B"/>
    <w:rsid w:val="00343918"/>
    <w:rsid w:val="00343C03"/>
    <w:rsid w:val="00343C4A"/>
    <w:rsid w:val="00344B0C"/>
    <w:rsid w:val="00344CD2"/>
    <w:rsid w:val="00345D66"/>
    <w:rsid w:val="00346362"/>
    <w:rsid w:val="003463DD"/>
    <w:rsid w:val="003468DB"/>
    <w:rsid w:val="00346C7C"/>
    <w:rsid w:val="0034728F"/>
    <w:rsid w:val="00347D1C"/>
    <w:rsid w:val="00350277"/>
    <w:rsid w:val="0035030D"/>
    <w:rsid w:val="003509EA"/>
    <w:rsid w:val="00350ADD"/>
    <w:rsid w:val="00351587"/>
    <w:rsid w:val="00351620"/>
    <w:rsid w:val="003516B9"/>
    <w:rsid w:val="00351E03"/>
    <w:rsid w:val="00352A76"/>
    <w:rsid w:val="0035321A"/>
    <w:rsid w:val="00353E3A"/>
    <w:rsid w:val="00354666"/>
    <w:rsid w:val="00354BCE"/>
    <w:rsid w:val="00354BD3"/>
    <w:rsid w:val="00355163"/>
    <w:rsid w:val="003551D8"/>
    <w:rsid w:val="00357CF2"/>
    <w:rsid w:val="00357F02"/>
    <w:rsid w:val="00360327"/>
    <w:rsid w:val="00360BEC"/>
    <w:rsid w:val="003611C5"/>
    <w:rsid w:val="003614E9"/>
    <w:rsid w:val="00362851"/>
    <w:rsid w:val="003629B8"/>
    <w:rsid w:val="003630BB"/>
    <w:rsid w:val="003635B5"/>
    <w:rsid w:val="003635B8"/>
    <w:rsid w:val="00363F74"/>
    <w:rsid w:val="003640A9"/>
    <w:rsid w:val="0036417D"/>
    <w:rsid w:val="00364464"/>
    <w:rsid w:val="003645E1"/>
    <w:rsid w:val="0036493B"/>
    <w:rsid w:val="00365018"/>
    <w:rsid w:val="003659CD"/>
    <w:rsid w:val="00365C35"/>
    <w:rsid w:val="00365C89"/>
    <w:rsid w:val="00367DDE"/>
    <w:rsid w:val="00367F61"/>
    <w:rsid w:val="00370A67"/>
    <w:rsid w:val="00370F9F"/>
    <w:rsid w:val="003710DF"/>
    <w:rsid w:val="003716BE"/>
    <w:rsid w:val="003717A6"/>
    <w:rsid w:val="00371971"/>
    <w:rsid w:val="00371E6B"/>
    <w:rsid w:val="00371FB8"/>
    <w:rsid w:val="003725DE"/>
    <w:rsid w:val="00372788"/>
    <w:rsid w:val="00374CB2"/>
    <w:rsid w:val="00374DED"/>
    <w:rsid w:val="00377208"/>
    <w:rsid w:val="003773BA"/>
    <w:rsid w:val="003775F7"/>
    <w:rsid w:val="00377AC6"/>
    <w:rsid w:val="00377AC8"/>
    <w:rsid w:val="00377B56"/>
    <w:rsid w:val="0038069E"/>
    <w:rsid w:val="0038111E"/>
    <w:rsid w:val="0038117E"/>
    <w:rsid w:val="00381602"/>
    <w:rsid w:val="00381608"/>
    <w:rsid w:val="00381A4C"/>
    <w:rsid w:val="00382B98"/>
    <w:rsid w:val="0038370D"/>
    <w:rsid w:val="00384DA0"/>
    <w:rsid w:val="0038576E"/>
    <w:rsid w:val="00385DAD"/>
    <w:rsid w:val="003860B2"/>
    <w:rsid w:val="003864F8"/>
    <w:rsid w:val="003869C8"/>
    <w:rsid w:val="00386B03"/>
    <w:rsid w:val="00386E89"/>
    <w:rsid w:val="003907CA"/>
    <w:rsid w:val="00390C5D"/>
    <w:rsid w:val="003911BE"/>
    <w:rsid w:val="0039362C"/>
    <w:rsid w:val="00393FEB"/>
    <w:rsid w:val="00394326"/>
    <w:rsid w:val="00395611"/>
    <w:rsid w:val="00396264"/>
    <w:rsid w:val="00396A7A"/>
    <w:rsid w:val="003A0C6A"/>
    <w:rsid w:val="003A10A7"/>
    <w:rsid w:val="003A1193"/>
    <w:rsid w:val="003A2389"/>
    <w:rsid w:val="003A2A85"/>
    <w:rsid w:val="003A3275"/>
    <w:rsid w:val="003A3918"/>
    <w:rsid w:val="003A3B73"/>
    <w:rsid w:val="003A43D3"/>
    <w:rsid w:val="003A4ABD"/>
    <w:rsid w:val="003A4B3E"/>
    <w:rsid w:val="003A5668"/>
    <w:rsid w:val="003A56D3"/>
    <w:rsid w:val="003A656C"/>
    <w:rsid w:val="003A71A3"/>
    <w:rsid w:val="003A71C2"/>
    <w:rsid w:val="003A75A5"/>
    <w:rsid w:val="003B0598"/>
    <w:rsid w:val="003B1416"/>
    <w:rsid w:val="003B239B"/>
    <w:rsid w:val="003B26AE"/>
    <w:rsid w:val="003B30D8"/>
    <w:rsid w:val="003B395A"/>
    <w:rsid w:val="003B48BD"/>
    <w:rsid w:val="003B5981"/>
    <w:rsid w:val="003B5C96"/>
    <w:rsid w:val="003B5E01"/>
    <w:rsid w:val="003B6014"/>
    <w:rsid w:val="003B69D6"/>
    <w:rsid w:val="003B6B2B"/>
    <w:rsid w:val="003B75B9"/>
    <w:rsid w:val="003C111D"/>
    <w:rsid w:val="003C1229"/>
    <w:rsid w:val="003C1954"/>
    <w:rsid w:val="003C1AB1"/>
    <w:rsid w:val="003C22B4"/>
    <w:rsid w:val="003C3BB2"/>
    <w:rsid w:val="003C3C85"/>
    <w:rsid w:val="003C3F6E"/>
    <w:rsid w:val="003C3FA9"/>
    <w:rsid w:val="003C4686"/>
    <w:rsid w:val="003C5174"/>
    <w:rsid w:val="003C5500"/>
    <w:rsid w:val="003C732C"/>
    <w:rsid w:val="003C73D8"/>
    <w:rsid w:val="003C7B75"/>
    <w:rsid w:val="003D0827"/>
    <w:rsid w:val="003D0E12"/>
    <w:rsid w:val="003D0F16"/>
    <w:rsid w:val="003D171C"/>
    <w:rsid w:val="003D1758"/>
    <w:rsid w:val="003D1A9B"/>
    <w:rsid w:val="003D1BE4"/>
    <w:rsid w:val="003D1C5C"/>
    <w:rsid w:val="003D278B"/>
    <w:rsid w:val="003D2D39"/>
    <w:rsid w:val="003D3A20"/>
    <w:rsid w:val="003D4445"/>
    <w:rsid w:val="003D5B10"/>
    <w:rsid w:val="003D5EAC"/>
    <w:rsid w:val="003D6076"/>
    <w:rsid w:val="003D618F"/>
    <w:rsid w:val="003D66BA"/>
    <w:rsid w:val="003D782B"/>
    <w:rsid w:val="003D7C6D"/>
    <w:rsid w:val="003D7CDE"/>
    <w:rsid w:val="003D7E77"/>
    <w:rsid w:val="003D7FA3"/>
    <w:rsid w:val="003E0957"/>
    <w:rsid w:val="003E09D8"/>
    <w:rsid w:val="003E1F41"/>
    <w:rsid w:val="003E23C8"/>
    <w:rsid w:val="003E2460"/>
    <w:rsid w:val="003E3547"/>
    <w:rsid w:val="003E4010"/>
    <w:rsid w:val="003E42BF"/>
    <w:rsid w:val="003E454D"/>
    <w:rsid w:val="003E5B25"/>
    <w:rsid w:val="003E66E5"/>
    <w:rsid w:val="003E72D5"/>
    <w:rsid w:val="003E7465"/>
    <w:rsid w:val="003E74FA"/>
    <w:rsid w:val="003E7725"/>
    <w:rsid w:val="003E7971"/>
    <w:rsid w:val="003F057B"/>
    <w:rsid w:val="003F0753"/>
    <w:rsid w:val="003F0B4C"/>
    <w:rsid w:val="003F0E0C"/>
    <w:rsid w:val="003F0EC7"/>
    <w:rsid w:val="003F1588"/>
    <w:rsid w:val="003F2248"/>
    <w:rsid w:val="003F24D6"/>
    <w:rsid w:val="003F2628"/>
    <w:rsid w:val="003F2837"/>
    <w:rsid w:val="003F3BC8"/>
    <w:rsid w:val="003F3EB1"/>
    <w:rsid w:val="003F4175"/>
    <w:rsid w:val="003F66B4"/>
    <w:rsid w:val="003F6B00"/>
    <w:rsid w:val="00400A9F"/>
    <w:rsid w:val="00401AD6"/>
    <w:rsid w:val="004027E8"/>
    <w:rsid w:val="00402B28"/>
    <w:rsid w:val="00403585"/>
    <w:rsid w:val="004037E2"/>
    <w:rsid w:val="00403DE5"/>
    <w:rsid w:val="00404025"/>
    <w:rsid w:val="004045FE"/>
    <w:rsid w:val="004046A4"/>
    <w:rsid w:val="004054E3"/>
    <w:rsid w:val="00405928"/>
    <w:rsid w:val="0040656C"/>
    <w:rsid w:val="00406D88"/>
    <w:rsid w:val="004072D9"/>
    <w:rsid w:val="004078E7"/>
    <w:rsid w:val="004105A6"/>
    <w:rsid w:val="004108FD"/>
    <w:rsid w:val="00411183"/>
    <w:rsid w:val="004119BD"/>
    <w:rsid w:val="00411FD4"/>
    <w:rsid w:val="00412A1E"/>
    <w:rsid w:val="00412C84"/>
    <w:rsid w:val="00413EDD"/>
    <w:rsid w:val="0041444B"/>
    <w:rsid w:val="00414830"/>
    <w:rsid w:val="0041484F"/>
    <w:rsid w:val="0041580B"/>
    <w:rsid w:val="00415D08"/>
    <w:rsid w:val="0042090B"/>
    <w:rsid w:val="00420DEF"/>
    <w:rsid w:val="00424CF3"/>
    <w:rsid w:val="00426C28"/>
    <w:rsid w:val="00426C30"/>
    <w:rsid w:val="0042727F"/>
    <w:rsid w:val="0043086C"/>
    <w:rsid w:val="00430B34"/>
    <w:rsid w:val="00430BF4"/>
    <w:rsid w:val="0043123C"/>
    <w:rsid w:val="00432599"/>
    <w:rsid w:val="00432BC0"/>
    <w:rsid w:val="00433EB3"/>
    <w:rsid w:val="0043430A"/>
    <w:rsid w:val="00434BEE"/>
    <w:rsid w:val="00434FD4"/>
    <w:rsid w:val="00435491"/>
    <w:rsid w:val="004359F9"/>
    <w:rsid w:val="00435F9F"/>
    <w:rsid w:val="004362CF"/>
    <w:rsid w:val="00436A9A"/>
    <w:rsid w:val="00436FEC"/>
    <w:rsid w:val="00437C1B"/>
    <w:rsid w:val="00440142"/>
    <w:rsid w:val="004409B4"/>
    <w:rsid w:val="00441804"/>
    <w:rsid w:val="0044191D"/>
    <w:rsid w:val="00441ED5"/>
    <w:rsid w:val="00442486"/>
    <w:rsid w:val="0044262E"/>
    <w:rsid w:val="0044423F"/>
    <w:rsid w:val="0044436A"/>
    <w:rsid w:val="004444CF"/>
    <w:rsid w:val="004446CE"/>
    <w:rsid w:val="00444A20"/>
    <w:rsid w:val="00445833"/>
    <w:rsid w:val="00445F08"/>
    <w:rsid w:val="004464A7"/>
    <w:rsid w:val="00446670"/>
    <w:rsid w:val="00446E92"/>
    <w:rsid w:val="00446ED5"/>
    <w:rsid w:val="00447526"/>
    <w:rsid w:val="00447CC9"/>
    <w:rsid w:val="00447F24"/>
    <w:rsid w:val="00450DD3"/>
    <w:rsid w:val="004514B7"/>
    <w:rsid w:val="004528A8"/>
    <w:rsid w:val="00452AC7"/>
    <w:rsid w:val="004531FB"/>
    <w:rsid w:val="00454185"/>
    <w:rsid w:val="004558DF"/>
    <w:rsid w:val="00456908"/>
    <w:rsid w:val="00456A97"/>
    <w:rsid w:val="00457609"/>
    <w:rsid w:val="00457D72"/>
    <w:rsid w:val="00460379"/>
    <w:rsid w:val="0046037F"/>
    <w:rsid w:val="004604F5"/>
    <w:rsid w:val="00460538"/>
    <w:rsid w:val="00460705"/>
    <w:rsid w:val="00460FCE"/>
    <w:rsid w:val="00461A4E"/>
    <w:rsid w:val="00461A83"/>
    <w:rsid w:val="00462056"/>
    <w:rsid w:val="0046217B"/>
    <w:rsid w:val="004622E0"/>
    <w:rsid w:val="00462BD2"/>
    <w:rsid w:val="00462C98"/>
    <w:rsid w:val="0046375A"/>
    <w:rsid w:val="00463903"/>
    <w:rsid w:val="00463DAE"/>
    <w:rsid w:val="004643FC"/>
    <w:rsid w:val="00464AF4"/>
    <w:rsid w:val="00464AFF"/>
    <w:rsid w:val="00464D87"/>
    <w:rsid w:val="00465947"/>
    <w:rsid w:val="004659FA"/>
    <w:rsid w:val="004663F3"/>
    <w:rsid w:val="004664E0"/>
    <w:rsid w:val="004665C6"/>
    <w:rsid w:val="00466659"/>
    <w:rsid w:val="0046666D"/>
    <w:rsid w:val="0046792D"/>
    <w:rsid w:val="004706A8"/>
    <w:rsid w:val="00470ABF"/>
    <w:rsid w:val="00471390"/>
    <w:rsid w:val="0047161D"/>
    <w:rsid w:val="00472863"/>
    <w:rsid w:val="00472EDD"/>
    <w:rsid w:val="0047300F"/>
    <w:rsid w:val="004740E5"/>
    <w:rsid w:val="00474557"/>
    <w:rsid w:val="0047490E"/>
    <w:rsid w:val="004752D3"/>
    <w:rsid w:val="004752F9"/>
    <w:rsid w:val="00475610"/>
    <w:rsid w:val="00475744"/>
    <w:rsid w:val="0047593D"/>
    <w:rsid w:val="00476577"/>
    <w:rsid w:val="00476F93"/>
    <w:rsid w:val="00477699"/>
    <w:rsid w:val="00477745"/>
    <w:rsid w:val="00480014"/>
    <w:rsid w:val="00483366"/>
    <w:rsid w:val="00484B62"/>
    <w:rsid w:val="0048520C"/>
    <w:rsid w:val="00485770"/>
    <w:rsid w:val="004857C6"/>
    <w:rsid w:val="00485812"/>
    <w:rsid w:val="00485CCD"/>
    <w:rsid w:val="004863DF"/>
    <w:rsid w:val="00486D19"/>
    <w:rsid w:val="004874C9"/>
    <w:rsid w:val="004875E9"/>
    <w:rsid w:val="00487BC1"/>
    <w:rsid w:val="004918EF"/>
    <w:rsid w:val="0049224A"/>
    <w:rsid w:val="00493A0F"/>
    <w:rsid w:val="00493D03"/>
    <w:rsid w:val="00493D9F"/>
    <w:rsid w:val="00494869"/>
    <w:rsid w:val="00494F9E"/>
    <w:rsid w:val="00495C25"/>
    <w:rsid w:val="0049674D"/>
    <w:rsid w:val="00497123"/>
    <w:rsid w:val="004A0F43"/>
    <w:rsid w:val="004A19EA"/>
    <w:rsid w:val="004A1C30"/>
    <w:rsid w:val="004A207D"/>
    <w:rsid w:val="004A2EA3"/>
    <w:rsid w:val="004A4034"/>
    <w:rsid w:val="004A43FE"/>
    <w:rsid w:val="004A4AAB"/>
    <w:rsid w:val="004A4C19"/>
    <w:rsid w:val="004A5528"/>
    <w:rsid w:val="004A687D"/>
    <w:rsid w:val="004A6C91"/>
    <w:rsid w:val="004A7239"/>
    <w:rsid w:val="004A7C88"/>
    <w:rsid w:val="004B0006"/>
    <w:rsid w:val="004B00EF"/>
    <w:rsid w:val="004B1807"/>
    <w:rsid w:val="004B1E50"/>
    <w:rsid w:val="004B2FC6"/>
    <w:rsid w:val="004B3C42"/>
    <w:rsid w:val="004B556F"/>
    <w:rsid w:val="004B5DA5"/>
    <w:rsid w:val="004B671E"/>
    <w:rsid w:val="004B7645"/>
    <w:rsid w:val="004B78C1"/>
    <w:rsid w:val="004C0099"/>
    <w:rsid w:val="004C03B7"/>
    <w:rsid w:val="004C07C3"/>
    <w:rsid w:val="004C0AB8"/>
    <w:rsid w:val="004C444E"/>
    <w:rsid w:val="004C4FA4"/>
    <w:rsid w:val="004C5833"/>
    <w:rsid w:val="004C5B34"/>
    <w:rsid w:val="004C5EF8"/>
    <w:rsid w:val="004C60AA"/>
    <w:rsid w:val="004C64F0"/>
    <w:rsid w:val="004C6F5D"/>
    <w:rsid w:val="004C7007"/>
    <w:rsid w:val="004D11BA"/>
    <w:rsid w:val="004D12E1"/>
    <w:rsid w:val="004D1B24"/>
    <w:rsid w:val="004D2B95"/>
    <w:rsid w:val="004D2D8E"/>
    <w:rsid w:val="004D3371"/>
    <w:rsid w:val="004D3539"/>
    <w:rsid w:val="004D6490"/>
    <w:rsid w:val="004D6522"/>
    <w:rsid w:val="004D65B3"/>
    <w:rsid w:val="004E02D7"/>
    <w:rsid w:val="004E02EF"/>
    <w:rsid w:val="004E0990"/>
    <w:rsid w:val="004E0B6F"/>
    <w:rsid w:val="004E0CED"/>
    <w:rsid w:val="004E108A"/>
    <w:rsid w:val="004E116B"/>
    <w:rsid w:val="004E1A44"/>
    <w:rsid w:val="004E1FBE"/>
    <w:rsid w:val="004E20D4"/>
    <w:rsid w:val="004E2623"/>
    <w:rsid w:val="004E2C8F"/>
    <w:rsid w:val="004E3FD3"/>
    <w:rsid w:val="004E4DAD"/>
    <w:rsid w:val="004E5CB3"/>
    <w:rsid w:val="004E6238"/>
    <w:rsid w:val="004E64F1"/>
    <w:rsid w:val="004E67AC"/>
    <w:rsid w:val="004E68BF"/>
    <w:rsid w:val="004E6A44"/>
    <w:rsid w:val="004E7037"/>
    <w:rsid w:val="004E7F5F"/>
    <w:rsid w:val="004F0058"/>
    <w:rsid w:val="004F0DC7"/>
    <w:rsid w:val="004F0E93"/>
    <w:rsid w:val="004F1116"/>
    <w:rsid w:val="004F289F"/>
    <w:rsid w:val="004F309E"/>
    <w:rsid w:val="004F4EF5"/>
    <w:rsid w:val="004F4FDF"/>
    <w:rsid w:val="004F54FE"/>
    <w:rsid w:val="004F563E"/>
    <w:rsid w:val="004F5ECC"/>
    <w:rsid w:val="004F6060"/>
    <w:rsid w:val="004F7844"/>
    <w:rsid w:val="004F7DDE"/>
    <w:rsid w:val="00500AA5"/>
    <w:rsid w:val="00500FB2"/>
    <w:rsid w:val="00501359"/>
    <w:rsid w:val="00501E3A"/>
    <w:rsid w:val="005023C6"/>
    <w:rsid w:val="00502A50"/>
    <w:rsid w:val="005043C2"/>
    <w:rsid w:val="005053D0"/>
    <w:rsid w:val="005057DE"/>
    <w:rsid w:val="00505A5A"/>
    <w:rsid w:val="00505F57"/>
    <w:rsid w:val="0050700B"/>
    <w:rsid w:val="00510027"/>
    <w:rsid w:val="00510266"/>
    <w:rsid w:val="005108A6"/>
    <w:rsid w:val="005110A5"/>
    <w:rsid w:val="00511957"/>
    <w:rsid w:val="00512719"/>
    <w:rsid w:val="00512E9D"/>
    <w:rsid w:val="005130F6"/>
    <w:rsid w:val="0051319B"/>
    <w:rsid w:val="005133CB"/>
    <w:rsid w:val="00513974"/>
    <w:rsid w:val="00513F51"/>
    <w:rsid w:val="00513F67"/>
    <w:rsid w:val="00513FDE"/>
    <w:rsid w:val="0051563B"/>
    <w:rsid w:val="00515ADF"/>
    <w:rsid w:val="00515E4B"/>
    <w:rsid w:val="005168C4"/>
    <w:rsid w:val="00516A25"/>
    <w:rsid w:val="00516BF0"/>
    <w:rsid w:val="00516FA9"/>
    <w:rsid w:val="00517D24"/>
    <w:rsid w:val="00520D97"/>
    <w:rsid w:val="00520F7D"/>
    <w:rsid w:val="00521333"/>
    <w:rsid w:val="005214E3"/>
    <w:rsid w:val="0052170A"/>
    <w:rsid w:val="00521E0E"/>
    <w:rsid w:val="005246D5"/>
    <w:rsid w:val="005251ED"/>
    <w:rsid w:val="00525268"/>
    <w:rsid w:val="005254FE"/>
    <w:rsid w:val="00525CD6"/>
    <w:rsid w:val="00526019"/>
    <w:rsid w:val="0052750E"/>
    <w:rsid w:val="00527610"/>
    <w:rsid w:val="00527DD8"/>
    <w:rsid w:val="0053087B"/>
    <w:rsid w:val="0053159A"/>
    <w:rsid w:val="00532764"/>
    <w:rsid w:val="00532C8C"/>
    <w:rsid w:val="005335C9"/>
    <w:rsid w:val="00533984"/>
    <w:rsid w:val="00534065"/>
    <w:rsid w:val="00534544"/>
    <w:rsid w:val="00534FBD"/>
    <w:rsid w:val="005352F1"/>
    <w:rsid w:val="005355AE"/>
    <w:rsid w:val="00535A0B"/>
    <w:rsid w:val="005361B8"/>
    <w:rsid w:val="0053644B"/>
    <w:rsid w:val="00536CAA"/>
    <w:rsid w:val="0054135D"/>
    <w:rsid w:val="005424EA"/>
    <w:rsid w:val="005425B6"/>
    <w:rsid w:val="0054396C"/>
    <w:rsid w:val="005455A0"/>
    <w:rsid w:val="005455A6"/>
    <w:rsid w:val="0054578F"/>
    <w:rsid w:val="0054652A"/>
    <w:rsid w:val="00546868"/>
    <w:rsid w:val="0054757E"/>
    <w:rsid w:val="005477B0"/>
    <w:rsid w:val="005477F7"/>
    <w:rsid w:val="00547952"/>
    <w:rsid w:val="005503A1"/>
    <w:rsid w:val="00551E4D"/>
    <w:rsid w:val="00552412"/>
    <w:rsid w:val="00552815"/>
    <w:rsid w:val="00552844"/>
    <w:rsid w:val="00552AA4"/>
    <w:rsid w:val="0055353D"/>
    <w:rsid w:val="0055380F"/>
    <w:rsid w:val="00555DAD"/>
    <w:rsid w:val="00555F1F"/>
    <w:rsid w:val="00556B09"/>
    <w:rsid w:val="00557BF4"/>
    <w:rsid w:val="00560183"/>
    <w:rsid w:val="0056171B"/>
    <w:rsid w:val="00561812"/>
    <w:rsid w:val="00562139"/>
    <w:rsid w:val="0056277D"/>
    <w:rsid w:val="0056281E"/>
    <w:rsid w:val="00563A7F"/>
    <w:rsid w:val="00563FC7"/>
    <w:rsid w:val="00564ACA"/>
    <w:rsid w:val="00564E3B"/>
    <w:rsid w:val="0056537E"/>
    <w:rsid w:val="0056561B"/>
    <w:rsid w:val="00565741"/>
    <w:rsid w:val="00565C6C"/>
    <w:rsid w:val="00565F0C"/>
    <w:rsid w:val="00566477"/>
    <w:rsid w:val="00566506"/>
    <w:rsid w:val="00566BA1"/>
    <w:rsid w:val="005670F3"/>
    <w:rsid w:val="005703D3"/>
    <w:rsid w:val="00571312"/>
    <w:rsid w:val="00572521"/>
    <w:rsid w:val="0057410C"/>
    <w:rsid w:val="005741EC"/>
    <w:rsid w:val="00574215"/>
    <w:rsid w:val="0057451C"/>
    <w:rsid w:val="0057467C"/>
    <w:rsid w:val="00575FA2"/>
    <w:rsid w:val="00576931"/>
    <w:rsid w:val="0057718A"/>
    <w:rsid w:val="0057765A"/>
    <w:rsid w:val="005776FB"/>
    <w:rsid w:val="00577D05"/>
    <w:rsid w:val="00577EA7"/>
    <w:rsid w:val="00580E1A"/>
    <w:rsid w:val="00581274"/>
    <w:rsid w:val="00581345"/>
    <w:rsid w:val="00581869"/>
    <w:rsid w:val="00582070"/>
    <w:rsid w:val="00582F6C"/>
    <w:rsid w:val="005833F6"/>
    <w:rsid w:val="00583CE3"/>
    <w:rsid w:val="00583FA9"/>
    <w:rsid w:val="00584D82"/>
    <w:rsid w:val="00584E90"/>
    <w:rsid w:val="00584FE9"/>
    <w:rsid w:val="00585082"/>
    <w:rsid w:val="00585AD2"/>
    <w:rsid w:val="00586B9A"/>
    <w:rsid w:val="00586BD2"/>
    <w:rsid w:val="005918A6"/>
    <w:rsid w:val="00591D76"/>
    <w:rsid w:val="00592557"/>
    <w:rsid w:val="00593D6A"/>
    <w:rsid w:val="005943FE"/>
    <w:rsid w:val="00594640"/>
    <w:rsid w:val="005948FD"/>
    <w:rsid w:val="005970D2"/>
    <w:rsid w:val="005979EB"/>
    <w:rsid w:val="005A0630"/>
    <w:rsid w:val="005A0FE3"/>
    <w:rsid w:val="005A1255"/>
    <w:rsid w:val="005A14F9"/>
    <w:rsid w:val="005A1894"/>
    <w:rsid w:val="005A23AD"/>
    <w:rsid w:val="005A25FD"/>
    <w:rsid w:val="005A27B4"/>
    <w:rsid w:val="005A2E79"/>
    <w:rsid w:val="005A2FEE"/>
    <w:rsid w:val="005A348A"/>
    <w:rsid w:val="005A38A4"/>
    <w:rsid w:val="005A451E"/>
    <w:rsid w:val="005A4827"/>
    <w:rsid w:val="005A4A42"/>
    <w:rsid w:val="005A4A55"/>
    <w:rsid w:val="005A5881"/>
    <w:rsid w:val="005A5E35"/>
    <w:rsid w:val="005A6136"/>
    <w:rsid w:val="005A690A"/>
    <w:rsid w:val="005A6CBF"/>
    <w:rsid w:val="005A6D76"/>
    <w:rsid w:val="005A6E46"/>
    <w:rsid w:val="005A7B71"/>
    <w:rsid w:val="005B1EEB"/>
    <w:rsid w:val="005B1F73"/>
    <w:rsid w:val="005B2971"/>
    <w:rsid w:val="005B2BD4"/>
    <w:rsid w:val="005B2F3C"/>
    <w:rsid w:val="005B30A8"/>
    <w:rsid w:val="005B3535"/>
    <w:rsid w:val="005B3538"/>
    <w:rsid w:val="005B3684"/>
    <w:rsid w:val="005B4FAD"/>
    <w:rsid w:val="005B57B0"/>
    <w:rsid w:val="005B5D41"/>
    <w:rsid w:val="005B5ED1"/>
    <w:rsid w:val="005B6800"/>
    <w:rsid w:val="005B6B43"/>
    <w:rsid w:val="005B733D"/>
    <w:rsid w:val="005B7784"/>
    <w:rsid w:val="005B77D8"/>
    <w:rsid w:val="005B7EA1"/>
    <w:rsid w:val="005C0A5A"/>
    <w:rsid w:val="005C0DEE"/>
    <w:rsid w:val="005C0F6D"/>
    <w:rsid w:val="005C1020"/>
    <w:rsid w:val="005C1B8F"/>
    <w:rsid w:val="005C236E"/>
    <w:rsid w:val="005C2579"/>
    <w:rsid w:val="005C25EE"/>
    <w:rsid w:val="005C2B8E"/>
    <w:rsid w:val="005C34ED"/>
    <w:rsid w:val="005C368F"/>
    <w:rsid w:val="005C43C3"/>
    <w:rsid w:val="005C44CD"/>
    <w:rsid w:val="005C4FD9"/>
    <w:rsid w:val="005C59EC"/>
    <w:rsid w:val="005D0937"/>
    <w:rsid w:val="005D0B22"/>
    <w:rsid w:val="005D197B"/>
    <w:rsid w:val="005D1FB3"/>
    <w:rsid w:val="005D2A72"/>
    <w:rsid w:val="005D3EF0"/>
    <w:rsid w:val="005D3F90"/>
    <w:rsid w:val="005D43C0"/>
    <w:rsid w:val="005D457D"/>
    <w:rsid w:val="005D5133"/>
    <w:rsid w:val="005D6A31"/>
    <w:rsid w:val="005D6A3C"/>
    <w:rsid w:val="005D7D8C"/>
    <w:rsid w:val="005E00C0"/>
    <w:rsid w:val="005E0540"/>
    <w:rsid w:val="005E067E"/>
    <w:rsid w:val="005E0B5B"/>
    <w:rsid w:val="005E1BD3"/>
    <w:rsid w:val="005E3441"/>
    <w:rsid w:val="005E346A"/>
    <w:rsid w:val="005E43C5"/>
    <w:rsid w:val="005E47BD"/>
    <w:rsid w:val="005E48F5"/>
    <w:rsid w:val="005E4B62"/>
    <w:rsid w:val="005E687A"/>
    <w:rsid w:val="005E69B0"/>
    <w:rsid w:val="005E6CEC"/>
    <w:rsid w:val="005E75C1"/>
    <w:rsid w:val="005E7F45"/>
    <w:rsid w:val="005F0829"/>
    <w:rsid w:val="005F11DF"/>
    <w:rsid w:val="005F1234"/>
    <w:rsid w:val="005F1E9B"/>
    <w:rsid w:val="005F2549"/>
    <w:rsid w:val="005F2B3E"/>
    <w:rsid w:val="005F2E1F"/>
    <w:rsid w:val="005F4086"/>
    <w:rsid w:val="005F4251"/>
    <w:rsid w:val="005F4B0E"/>
    <w:rsid w:val="005F5027"/>
    <w:rsid w:val="005F518C"/>
    <w:rsid w:val="005F64A0"/>
    <w:rsid w:val="005F69F0"/>
    <w:rsid w:val="005F754D"/>
    <w:rsid w:val="005F7B5F"/>
    <w:rsid w:val="005F7C56"/>
    <w:rsid w:val="00600590"/>
    <w:rsid w:val="0060152F"/>
    <w:rsid w:val="00601623"/>
    <w:rsid w:val="00601A4F"/>
    <w:rsid w:val="00601E64"/>
    <w:rsid w:val="00601F54"/>
    <w:rsid w:val="0060232C"/>
    <w:rsid w:val="00603F7E"/>
    <w:rsid w:val="006041F6"/>
    <w:rsid w:val="0060521B"/>
    <w:rsid w:val="006068B7"/>
    <w:rsid w:val="00606C4E"/>
    <w:rsid w:val="006103F8"/>
    <w:rsid w:val="0061053D"/>
    <w:rsid w:val="0061121D"/>
    <w:rsid w:val="00612615"/>
    <w:rsid w:val="00612D32"/>
    <w:rsid w:val="00612D40"/>
    <w:rsid w:val="00612E2B"/>
    <w:rsid w:val="00612E9F"/>
    <w:rsid w:val="00613D2A"/>
    <w:rsid w:val="006162DD"/>
    <w:rsid w:val="006166C2"/>
    <w:rsid w:val="00616D52"/>
    <w:rsid w:val="00617A6D"/>
    <w:rsid w:val="00617CCA"/>
    <w:rsid w:val="00620979"/>
    <w:rsid w:val="00620B24"/>
    <w:rsid w:val="00620E92"/>
    <w:rsid w:val="00620F71"/>
    <w:rsid w:val="006210A8"/>
    <w:rsid w:val="006211C0"/>
    <w:rsid w:val="00621676"/>
    <w:rsid w:val="00621B32"/>
    <w:rsid w:val="00621E02"/>
    <w:rsid w:val="00622131"/>
    <w:rsid w:val="006222D6"/>
    <w:rsid w:val="00622929"/>
    <w:rsid w:val="006231E9"/>
    <w:rsid w:val="0062343F"/>
    <w:rsid w:val="0062389D"/>
    <w:rsid w:val="00624C30"/>
    <w:rsid w:val="00624FAF"/>
    <w:rsid w:val="006257DC"/>
    <w:rsid w:val="00625DC5"/>
    <w:rsid w:val="0062666B"/>
    <w:rsid w:val="0062677F"/>
    <w:rsid w:val="00626865"/>
    <w:rsid w:val="00626B7C"/>
    <w:rsid w:val="006272D5"/>
    <w:rsid w:val="006275CB"/>
    <w:rsid w:val="00630F50"/>
    <w:rsid w:val="00630F87"/>
    <w:rsid w:val="00631510"/>
    <w:rsid w:val="006315D6"/>
    <w:rsid w:val="006317EE"/>
    <w:rsid w:val="00631E72"/>
    <w:rsid w:val="00632DB8"/>
    <w:rsid w:val="0063371B"/>
    <w:rsid w:val="006339EE"/>
    <w:rsid w:val="0063416D"/>
    <w:rsid w:val="00634574"/>
    <w:rsid w:val="00634E8E"/>
    <w:rsid w:val="00635163"/>
    <w:rsid w:val="00635442"/>
    <w:rsid w:val="00635906"/>
    <w:rsid w:val="00636168"/>
    <w:rsid w:val="00636266"/>
    <w:rsid w:val="00636DA5"/>
    <w:rsid w:val="00637322"/>
    <w:rsid w:val="00637391"/>
    <w:rsid w:val="00637EDC"/>
    <w:rsid w:val="00640168"/>
    <w:rsid w:val="006402B4"/>
    <w:rsid w:val="0064040B"/>
    <w:rsid w:val="006407D5"/>
    <w:rsid w:val="00640844"/>
    <w:rsid w:val="00640BCF"/>
    <w:rsid w:val="00640FAE"/>
    <w:rsid w:val="0064110A"/>
    <w:rsid w:val="00641A1D"/>
    <w:rsid w:val="00641E5B"/>
    <w:rsid w:val="006424A5"/>
    <w:rsid w:val="00643542"/>
    <w:rsid w:val="0064416E"/>
    <w:rsid w:val="006445B4"/>
    <w:rsid w:val="006466DA"/>
    <w:rsid w:val="00646749"/>
    <w:rsid w:val="00647C14"/>
    <w:rsid w:val="006502D6"/>
    <w:rsid w:val="00650558"/>
    <w:rsid w:val="00651B6E"/>
    <w:rsid w:val="00651C29"/>
    <w:rsid w:val="006520A5"/>
    <w:rsid w:val="0065371D"/>
    <w:rsid w:val="00653C2D"/>
    <w:rsid w:val="00654702"/>
    <w:rsid w:val="006549B0"/>
    <w:rsid w:val="00654FFA"/>
    <w:rsid w:val="00655AB6"/>
    <w:rsid w:val="00655C62"/>
    <w:rsid w:val="00657D07"/>
    <w:rsid w:val="00657E66"/>
    <w:rsid w:val="00660E64"/>
    <w:rsid w:val="0066239C"/>
    <w:rsid w:val="006629B4"/>
    <w:rsid w:val="00662EFE"/>
    <w:rsid w:val="00663834"/>
    <w:rsid w:val="00664A18"/>
    <w:rsid w:val="006651C9"/>
    <w:rsid w:val="00665488"/>
    <w:rsid w:val="006658B1"/>
    <w:rsid w:val="006662FE"/>
    <w:rsid w:val="00666DFD"/>
    <w:rsid w:val="0066730F"/>
    <w:rsid w:val="006677F4"/>
    <w:rsid w:val="006707EC"/>
    <w:rsid w:val="00670FB6"/>
    <w:rsid w:val="006711DD"/>
    <w:rsid w:val="006719BB"/>
    <w:rsid w:val="006719E4"/>
    <w:rsid w:val="00671CBC"/>
    <w:rsid w:val="0067271A"/>
    <w:rsid w:val="0067277B"/>
    <w:rsid w:val="006727E3"/>
    <w:rsid w:val="00672D72"/>
    <w:rsid w:val="00672E04"/>
    <w:rsid w:val="00673727"/>
    <w:rsid w:val="00674CB5"/>
    <w:rsid w:val="0067506F"/>
    <w:rsid w:val="00675F8E"/>
    <w:rsid w:val="00676580"/>
    <w:rsid w:val="00676848"/>
    <w:rsid w:val="00676AD7"/>
    <w:rsid w:val="006776E5"/>
    <w:rsid w:val="00677C45"/>
    <w:rsid w:val="00677DB3"/>
    <w:rsid w:val="00680071"/>
    <w:rsid w:val="00680554"/>
    <w:rsid w:val="006810B7"/>
    <w:rsid w:val="0068148A"/>
    <w:rsid w:val="006814E6"/>
    <w:rsid w:val="00681713"/>
    <w:rsid w:val="00681AD2"/>
    <w:rsid w:val="00681B7A"/>
    <w:rsid w:val="0068295B"/>
    <w:rsid w:val="006834B2"/>
    <w:rsid w:val="006836A5"/>
    <w:rsid w:val="006836DB"/>
    <w:rsid w:val="00683C09"/>
    <w:rsid w:val="00683DCD"/>
    <w:rsid w:val="00683FC0"/>
    <w:rsid w:val="006845CA"/>
    <w:rsid w:val="00684CDD"/>
    <w:rsid w:val="006854BD"/>
    <w:rsid w:val="006854F9"/>
    <w:rsid w:val="0068594A"/>
    <w:rsid w:val="00685981"/>
    <w:rsid w:val="00685B02"/>
    <w:rsid w:val="00685F37"/>
    <w:rsid w:val="00686237"/>
    <w:rsid w:val="006862DD"/>
    <w:rsid w:val="006867AB"/>
    <w:rsid w:val="00686B16"/>
    <w:rsid w:val="00686BF2"/>
    <w:rsid w:val="0068759E"/>
    <w:rsid w:val="00687A21"/>
    <w:rsid w:val="00687C21"/>
    <w:rsid w:val="00690B7E"/>
    <w:rsid w:val="00691C04"/>
    <w:rsid w:val="00692135"/>
    <w:rsid w:val="0069293B"/>
    <w:rsid w:val="00692DDE"/>
    <w:rsid w:val="00692EB4"/>
    <w:rsid w:val="00693064"/>
    <w:rsid w:val="00693CC4"/>
    <w:rsid w:val="006940BB"/>
    <w:rsid w:val="006941BF"/>
    <w:rsid w:val="00695142"/>
    <w:rsid w:val="006955B2"/>
    <w:rsid w:val="006956DE"/>
    <w:rsid w:val="00695715"/>
    <w:rsid w:val="00695BA6"/>
    <w:rsid w:val="00695D86"/>
    <w:rsid w:val="00695E97"/>
    <w:rsid w:val="00696B1E"/>
    <w:rsid w:val="006973DA"/>
    <w:rsid w:val="006976EB"/>
    <w:rsid w:val="006A07B4"/>
    <w:rsid w:val="006A10FF"/>
    <w:rsid w:val="006A1A93"/>
    <w:rsid w:val="006A1C6B"/>
    <w:rsid w:val="006A1F03"/>
    <w:rsid w:val="006A21A7"/>
    <w:rsid w:val="006A26BF"/>
    <w:rsid w:val="006A3D2C"/>
    <w:rsid w:val="006A3DB8"/>
    <w:rsid w:val="006A425C"/>
    <w:rsid w:val="006A4430"/>
    <w:rsid w:val="006A58F7"/>
    <w:rsid w:val="006A5A85"/>
    <w:rsid w:val="006A6217"/>
    <w:rsid w:val="006A70F4"/>
    <w:rsid w:val="006A722A"/>
    <w:rsid w:val="006B0093"/>
    <w:rsid w:val="006B045F"/>
    <w:rsid w:val="006B1327"/>
    <w:rsid w:val="006B1F89"/>
    <w:rsid w:val="006B2467"/>
    <w:rsid w:val="006B30E1"/>
    <w:rsid w:val="006B33BC"/>
    <w:rsid w:val="006B3D8E"/>
    <w:rsid w:val="006B40B6"/>
    <w:rsid w:val="006B50C2"/>
    <w:rsid w:val="006B5CFC"/>
    <w:rsid w:val="006B798F"/>
    <w:rsid w:val="006C05D9"/>
    <w:rsid w:val="006C0B10"/>
    <w:rsid w:val="006C15CA"/>
    <w:rsid w:val="006C15D0"/>
    <w:rsid w:val="006C3077"/>
    <w:rsid w:val="006C435E"/>
    <w:rsid w:val="006C4522"/>
    <w:rsid w:val="006C470F"/>
    <w:rsid w:val="006C54A3"/>
    <w:rsid w:val="006C5558"/>
    <w:rsid w:val="006C5974"/>
    <w:rsid w:val="006C5C1C"/>
    <w:rsid w:val="006C64DE"/>
    <w:rsid w:val="006C6DBC"/>
    <w:rsid w:val="006C6EC6"/>
    <w:rsid w:val="006C7CD5"/>
    <w:rsid w:val="006D00F4"/>
    <w:rsid w:val="006D1012"/>
    <w:rsid w:val="006D1474"/>
    <w:rsid w:val="006D1734"/>
    <w:rsid w:val="006D1A16"/>
    <w:rsid w:val="006D1B26"/>
    <w:rsid w:val="006D1FC8"/>
    <w:rsid w:val="006D3461"/>
    <w:rsid w:val="006D3FFB"/>
    <w:rsid w:val="006D4D32"/>
    <w:rsid w:val="006D50FF"/>
    <w:rsid w:val="006D544E"/>
    <w:rsid w:val="006D65A1"/>
    <w:rsid w:val="006D65EC"/>
    <w:rsid w:val="006D7A4B"/>
    <w:rsid w:val="006D7DD2"/>
    <w:rsid w:val="006E15D7"/>
    <w:rsid w:val="006E1829"/>
    <w:rsid w:val="006E1A22"/>
    <w:rsid w:val="006E21D5"/>
    <w:rsid w:val="006E2A54"/>
    <w:rsid w:val="006E2AD8"/>
    <w:rsid w:val="006E3D5F"/>
    <w:rsid w:val="006E4001"/>
    <w:rsid w:val="006E4E5E"/>
    <w:rsid w:val="006E505E"/>
    <w:rsid w:val="006E52CD"/>
    <w:rsid w:val="006E5C10"/>
    <w:rsid w:val="006E6556"/>
    <w:rsid w:val="006E7A48"/>
    <w:rsid w:val="006F00C8"/>
    <w:rsid w:val="006F07E4"/>
    <w:rsid w:val="006F084E"/>
    <w:rsid w:val="006F0BE3"/>
    <w:rsid w:val="006F130E"/>
    <w:rsid w:val="006F1AA7"/>
    <w:rsid w:val="006F22E3"/>
    <w:rsid w:val="006F2D5E"/>
    <w:rsid w:val="006F2FCD"/>
    <w:rsid w:val="006F3EB1"/>
    <w:rsid w:val="006F44C7"/>
    <w:rsid w:val="006F4B75"/>
    <w:rsid w:val="006F51DF"/>
    <w:rsid w:val="006F5339"/>
    <w:rsid w:val="006F5869"/>
    <w:rsid w:val="006F606D"/>
    <w:rsid w:val="006F6493"/>
    <w:rsid w:val="006F78F6"/>
    <w:rsid w:val="006F79AF"/>
    <w:rsid w:val="00700472"/>
    <w:rsid w:val="00700CCF"/>
    <w:rsid w:val="0070139B"/>
    <w:rsid w:val="00701F31"/>
    <w:rsid w:val="0070377C"/>
    <w:rsid w:val="007049FA"/>
    <w:rsid w:val="00705311"/>
    <w:rsid w:val="00705D99"/>
    <w:rsid w:val="0070617F"/>
    <w:rsid w:val="00706F29"/>
    <w:rsid w:val="00706FD4"/>
    <w:rsid w:val="00707012"/>
    <w:rsid w:val="0070798D"/>
    <w:rsid w:val="00707A02"/>
    <w:rsid w:val="0071022E"/>
    <w:rsid w:val="00710596"/>
    <w:rsid w:val="00710720"/>
    <w:rsid w:val="00710B9C"/>
    <w:rsid w:val="00711597"/>
    <w:rsid w:val="00712E39"/>
    <w:rsid w:val="007130FE"/>
    <w:rsid w:val="00713763"/>
    <w:rsid w:val="00713A21"/>
    <w:rsid w:val="00713B4F"/>
    <w:rsid w:val="00714382"/>
    <w:rsid w:val="00714434"/>
    <w:rsid w:val="0071495E"/>
    <w:rsid w:val="0071530E"/>
    <w:rsid w:val="007154B5"/>
    <w:rsid w:val="00715649"/>
    <w:rsid w:val="0071575E"/>
    <w:rsid w:val="00715E55"/>
    <w:rsid w:val="00716A28"/>
    <w:rsid w:val="00720487"/>
    <w:rsid w:val="00720789"/>
    <w:rsid w:val="0072109B"/>
    <w:rsid w:val="007221A0"/>
    <w:rsid w:val="007221A7"/>
    <w:rsid w:val="00722DDD"/>
    <w:rsid w:val="00723BC5"/>
    <w:rsid w:val="00723F9D"/>
    <w:rsid w:val="00724083"/>
    <w:rsid w:val="007248BD"/>
    <w:rsid w:val="00724903"/>
    <w:rsid w:val="007251DA"/>
    <w:rsid w:val="00725545"/>
    <w:rsid w:val="007255B2"/>
    <w:rsid w:val="0072588D"/>
    <w:rsid w:val="00726031"/>
    <w:rsid w:val="00726470"/>
    <w:rsid w:val="007267B8"/>
    <w:rsid w:val="007267DF"/>
    <w:rsid w:val="00726952"/>
    <w:rsid w:val="00726FA5"/>
    <w:rsid w:val="007277BE"/>
    <w:rsid w:val="00727D3B"/>
    <w:rsid w:val="00731458"/>
    <w:rsid w:val="0073152E"/>
    <w:rsid w:val="00731BBF"/>
    <w:rsid w:val="007321BF"/>
    <w:rsid w:val="00733142"/>
    <w:rsid w:val="0073314A"/>
    <w:rsid w:val="00733811"/>
    <w:rsid w:val="00734AFB"/>
    <w:rsid w:val="007356B4"/>
    <w:rsid w:val="00735985"/>
    <w:rsid w:val="00735E12"/>
    <w:rsid w:val="00736709"/>
    <w:rsid w:val="007373B0"/>
    <w:rsid w:val="00737C09"/>
    <w:rsid w:val="00737D11"/>
    <w:rsid w:val="00740296"/>
    <w:rsid w:val="00740D45"/>
    <w:rsid w:val="007415D2"/>
    <w:rsid w:val="007417DD"/>
    <w:rsid w:val="00741833"/>
    <w:rsid w:val="00741CA9"/>
    <w:rsid w:val="007420CE"/>
    <w:rsid w:val="00742A6E"/>
    <w:rsid w:val="00742E5C"/>
    <w:rsid w:val="00743020"/>
    <w:rsid w:val="00743787"/>
    <w:rsid w:val="00743904"/>
    <w:rsid w:val="007439E3"/>
    <w:rsid w:val="00743E66"/>
    <w:rsid w:val="00744EFF"/>
    <w:rsid w:val="007453E0"/>
    <w:rsid w:val="007462DC"/>
    <w:rsid w:val="00746651"/>
    <w:rsid w:val="00746DA6"/>
    <w:rsid w:val="007470DF"/>
    <w:rsid w:val="0075100F"/>
    <w:rsid w:val="00751897"/>
    <w:rsid w:val="00752291"/>
    <w:rsid w:val="007524CB"/>
    <w:rsid w:val="00752CD2"/>
    <w:rsid w:val="00752DEA"/>
    <w:rsid w:val="00752FD5"/>
    <w:rsid w:val="00753580"/>
    <w:rsid w:val="00753A40"/>
    <w:rsid w:val="00755876"/>
    <w:rsid w:val="007559FC"/>
    <w:rsid w:val="007564F4"/>
    <w:rsid w:val="0075760D"/>
    <w:rsid w:val="007576FC"/>
    <w:rsid w:val="00757FCD"/>
    <w:rsid w:val="00760745"/>
    <w:rsid w:val="00760A8A"/>
    <w:rsid w:val="00760ED8"/>
    <w:rsid w:val="00761397"/>
    <w:rsid w:val="00761BB1"/>
    <w:rsid w:val="007627D7"/>
    <w:rsid w:val="00762FAC"/>
    <w:rsid w:val="0076364D"/>
    <w:rsid w:val="0076462B"/>
    <w:rsid w:val="00764D01"/>
    <w:rsid w:val="00765139"/>
    <w:rsid w:val="00767485"/>
    <w:rsid w:val="0076795C"/>
    <w:rsid w:val="00767A80"/>
    <w:rsid w:val="00770523"/>
    <w:rsid w:val="0077099B"/>
    <w:rsid w:val="00771356"/>
    <w:rsid w:val="0077148B"/>
    <w:rsid w:val="00771752"/>
    <w:rsid w:val="00771BBF"/>
    <w:rsid w:val="00771D6D"/>
    <w:rsid w:val="007728F7"/>
    <w:rsid w:val="00772C5D"/>
    <w:rsid w:val="00772E06"/>
    <w:rsid w:val="007736F0"/>
    <w:rsid w:val="00773CE6"/>
    <w:rsid w:val="00774958"/>
    <w:rsid w:val="00774E25"/>
    <w:rsid w:val="007751CF"/>
    <w:rsid w:val="0077595D"/>
    <w:rsid w:val="00775FCB"/>
    <w:rsid w:val="00776381"/>
    <w:rsid w:val="0077643B"/>
    <w:rsid w:val="0077748B"/>
    <w:rsid w:val="007774ED"/>
    <w:rsid w:val="00777907"/>
    <w:rsid w:val="0078090D"/>
    <w:rsid w:val="00780C46"/>
    <w:rsid w:val="00781165"/>
    <w:rsid w:val="00781BBD"/>
    <w:rsid w:val="00781DEB"/>
    <w:rsid w:val="00783A7B"/>
    <w:rsid w:val="00784026"/>
    <w:rsid w:val="007843C8"/>
    <w:rsid w:val="007844AE"/>
    <w:rsid w:val="007856C3"/>
    <w:rsid w:val="00785FAA"/>
    <w:rsid w:val="00787595"/>
    <w:rsid w:val="0078772C"/>
    <w:rsid w:val="00787BF4"/>
    <w:rsid w:val="00791555"/>
    <w:rsid w:val="0079195D"/>
    <w:rsid w:val="007919B3"/>
    <w:rsid w:val="00791A05"/>
    <w:rsid w:val="00791A2B"/>
    <w:rsid w:val="00791E9D"/>
    <w:rsid w:val="00791F71"/>
    <w:rsid w:val="00792318"/>
    <w:rsid w:val="00792576"/>
    <w:rsid w:val="007927D7"/>
    <w:rsid w:val="007941E0"/>
    <w:rsid w:val="00794CDA"/>
    <w:rsid w:val="007950C5"/>
    <w:rsid w:val="007962F9"/>
    <w:rsid w:val="007968F8"/>
    <w:rsid w:val="007A0D49"/>
    <w:rsid w:val="007A12E4"/>
    <w:rsid w:val="007A1589"/>
    <w:rsid w:val="007A1FD3"/>
    <w:rsid w:val="007A4AE2"/>
    <w:rsid w:val="007A4C11"/>
    <w:rsid w:val="007A506D"/>
    <w:rsid w:val="007A52E1"/>
    <w:rsid w:val="007A5457"/>
    <w:rsid w:val="007A5850"/>
    <w:rsid w:val="007A5CB1"/>
    <w:rsid w:val="007A5D0B"/>
    <w:rsid w:val="007A6870"/>
    <w:rsid w:val="007A7528"/>
    <w:rsid w:val="007A7561"/>
    <w:rsid w:val="007A79C4"/>
    <w:rsid w:val="007A7B84"/>
    <w:rsid w:val="007B01C5"/>
    <w:rsid w:val="007B04A4"/>
    <w:rsid w:val="007B0954"/>
    <w:rsid w:val="007B0C08"/>
    <w:rsid w:val="007B18B7"/>
    <w:rsid w:val="007B2130"/>
    <w:rsid w:val="007B43AD"/>
    <w:rsid w:val="007B472F"/>
    <w:rsid w:val="007B4B17"/>
    <w:rsid w:val="007B56FF"/>
    <w:rsid w:val="007B5784"/>
    <w:rsid w:val="007B5E32"/>
    <w:rsid w:val="007B6353"/>
    <w:rsid w:val="007B64E9"/>
    <w:rsid w:val="007B65B3"/>
    <w:rsid w:val="007B6AFF"/>
    <w:rsid w:val="007B6CCE"/>
    <w:rsid w:val="007B7424"/>
    <w:rsid w:val="007B7557"/>
    <w:rsid w:val="007B792B"/>
    <w:rsid w:val="007B79C0"/>
    <w:rsid w:val="007B7FC5"/>
    <w:rsid w:val="007C0550"/>
    <w:rsid w:val="007C1A47"/>
    <w:rsid w:val="007C1BA1"/>
    <w:rsid w:val="007C33DC"/>
    <w:rsid w:val="007C35C7"/>
    <w:rsid w:val="007C35CD"/>
    <w:rsid w:val="007C3859"/>
    <w:rsid w:val="007C4AD6"/>
    <w:rsid w:val="007C5BE4"/>
    <w:rsid w:val="007C65A3"/>
    <w:rsid w:val="007C669D"/>
    <w:rsid w:val="007C67FB"/>
    <w:rsid w:val="007C6896"/>
    <w:rsid w:val="007D0097"/>
    <w:rsid w:val="007D00F2"/>
    <w:rsid w:val="007D0669"/>
    <w:rsid w:val="007D09E6"/>
    <w:rsid w:val="007D0A9D"/>
    <w:rsid w:val="007D13D4"/>
    <w:rsid w:val="007D18A4"/>
    <w:rsid w:val="007D19DE"/>
    <w:rsid w:val="007D1A63"/>
    <w:rsid w:val="007D1B10"/>
    <w:rsid w:val="007D1BCD"/>
    <w:rsid w:val="007D2001"/>
    <w:rsid w:val="007D21CB"/>
    <w:rsid w:val="007D21ED"/>
    <w:rsid w:val="007D49B4"/>
    <w:rsid w:val="007D5139"/>
    <w:rsid w:val="007D687B"/>
    <w:rsid w:val="007D6D39"/>
    <w:rsid w:val="007D728B"/>
    <w:rsid w:val="007E076D"/>
    <w:rsid w:val="007E0BE2"/>
    <w:rsid w:val="007E103B"/>
    <w:rsid w:val="007E169A"/>
    <w:rsid w:val="007E173C"/>
    <w:rsid w:val="007E2076"/>
    <w:rsid w:val="007E2401"/>
    <w:rsid w:val="007E26BE"/>
    <w:rsid w:val="007E2C9C"/>
    <w:rsid w:val="007E2DA0"/>
    <w:rsid w:val="007E43B2"/>
    <w:rsid w:val="007E4662"/>
    <w:rsid w:val="007E4DA8"/>
    <w:rsid w:val="007E5A30"/>
    <w:rsid w:val="007E65E5"/>
    <w:rsid w:val="007E695D"/>
    <w:rsid w:val="007E6DC7"/>
    <w:rsid w:val="007E7C78"/>
    <w:rsid w:val="007F097C"/>
    <w:rsid w:val="007F09D3"/>
    <w:rsid w:val="007F18FC"/>
    <w:rsid w:val="007F3A47"/>
    <w:rsid w:val="007F3FD1"/>
    <w:rsid w:val="007F4998"/>
    <w:rsid w:val="007F50DE"/>
    <w:rsid w:val="007F53E3"/>
    <w:rsid w:val="007F5924"/>
    <w:rsid w:val="007F61B3"/>
    <w:rsid w:val="007F64FF"/>
    <w:rsid w:val="007F6583"/>
    <w:rsid w:val="007F6AD1"/>
    <w:rsid w:val="007F70A2"/>
    <w:rsid w:val="007F792A"/>
    <w:rsid w:val="007F7B08"/>
    <w:rsid w:val="007F7CFE"/>
    <w:rsid w:val="0080027F"/>
    <w:rsid w:val="00800985"/>
    <w:rsid w:val="00800DBF"/>
    <w:rsid w:val="008016DF"/>
    <w:rsid w:val="00801A72"/>
    <w:rsid w:val="00801B3B"/>
    <w:rsid w:val="00801B59"/>
    <w:rsid w:val="00801EE5"/>
    <w:rsid w:val="008020BB"/>
    <w:rsid w:val="00802A21"/>
    <w:rsid w:val="008036C2"/>
    <w:rsid w:val="00804208"/>
    <w:rsid w:val="00805005"/>
    <w:rsid w:val="00805DFA"/>
    <w:rsid w:val="00806125"/>
    <w:rsid w:val="008063C8"/>
    <w:rsid w:val="00806F4B"/>
    <w:rsid w:val="00807535"/>
    <w:rsid w:val="00807F5B"/>
    <w:rsid w:val="00810981"/>
    <w:rsid w:val="00811032"/>
    <w:rsid w:val="00811214"/>
    <w:rsid w:val="008113A0"/>
    <w:rsid w:val="00811DF4"/>
    <w:rsid w:val="0081234A"/>
    <w:rsid w:val="0081296D"/>
    <w:rsid w:val="008138B1"/>
    <w:rsid w:val="00813C6E"/>
    <w:rsid w:val="00813DD8"/>
    <w:rsid w:val="0081420B"/>
    <w:rsid w:val="008143C2"/>
    <w:rsid w:val="00814B72"/>
    <w:rsid w:val="00814D8E"/>
    <w:rsid w:val="00815883"/>
    <w:rsid w:val="00815B65"/>
    <w:rsid w:val="00815D56"/>
    <w:rsid w:val="00816441"/>
    <w:rsid w:val="00816542"/>
    <w:rsid w:val="0081715C"/>
    <w:rsid w:val="00817E73"/>
    <w:rsid w:val="00817F59"/>
    <w:rsid w:val="00817F92"/>
    <w:rsid w:val="00820D12"/>
    <w:rsid w:val="00820E9E"/>
    <w:rsid w:val="00820EBA"/>
    <w:rsid w:val="00821029"/>
    <w:rsid w:val="00821F24"/>
    <w:rsid w:val="00822279"/>
    <w:rsid w:val="008227B6"/>
    <w:rsid w:val="00823704"/>
    <w:rsid w:val="00823840"/>
    <w:rsid w:val="00824375"/>
    <w:rsid w:val="008248F8"/>
    <w:rsid w:val="00824DE9"/>
    <w:rsid w:val="00824FB1"/>
    <w:rsid w:val="00825178"/>
    <w:rsid w:val="008252F0"/>
    <w:rsid w:val="00826744"/>
    <w:rsid w:val="00826CF4"/>
    <w:rsid w:val="008277EF"/>
    <w:rsid w:val="00827EDA"/>
    <w:rsid w:val="00830012"/>
    <w:rsid w:val="00830E73"/>
    <w:rsid w:val="008315F6"/>
    <w:rsid w:val="00832B98"/>
    <w:rsid w:val="008332DE"/>
    <w:rsid w:val="008335D8"/>
    <w:rsid w:val="00833D51"/>
    <w:rsid w:val="00833D56"/>
    <w:rsid w:val="00833E48"/>
    <w:rsid w:val="00834288"/>
    <w:rsid w:val="00834A91"/>
    <w:rsid w:val="0083523B"/>
    <w:rsid w:val="008353E4"/>
    <w:rsid w:val="008361FE"/>
    <w:rsid w:val="00836394"/>
    <w:rsid w:val="00836ACE"/>
    <w:rsid w:val="00837C9D"/>
    <w:rsid w:val="00840AFE"/>
    <w:rsid w:val="008414F9"/>
    <w:rsid w:val="00841E3E"/>
    <w:rsid w:val="0084267F"/>
    <w:rsid w:val="00843209"/>
    <w:rsid w:val="008433BF"/>
    <w:rsid w:val="0084343B"/>
    <w:rsid w:val="008445BA"/>
    <w:rsid w:val="0084488C"/>
    <w:rsid w:val="00846887"/>
    <w:rsid w:val="008468F8"/>
    <w:rsid w:val="008469F5"/>
    <w:rsid w:val="00847351"/>
    <w:rsid w:val="008500EB"/>
    <w:rsid w:val="008503F2"/>
    <w:rsid w:val="0085080A"/>
    <w:rsid w:val="00850E2A"/>
    <w:rsid w:val="008529F8"/>
    <w:rsid w:val="00852ABF"/>
    <w:rsid w:val="00852F48"/>
    <w:rsid w:val="00853938"/>
    <w:rsid w:val="00853B2A"/>
    <w:rsid w:val="00855291"/>
    <w:rsid w:val="008552D7"/>
    <w:rsid w:val="00855728"/>
    <w:rsid w:val="00855FBC"/>
    <w:rsid w:val="00856061"/>
    <w:rsid w:val="008566D5"/>
    <w:rsid w:val="00857DD9"/>
    <w:rsid w:val="00860019"/>
    <w:rsid w:val="008613C8"/>
    <w:rsid w:val="008622F6"/>
    <w:rsid w:val="00862A03"/>
    <w:rsid w:val="0086401D"/>
    <w:rsid w:val="008649F8"/>
    <w:rsid w:val="00864DF7"/>
    <w:rsid w:val="00864ED2"/>
    <w:rsid w:val="00864F5C"/>
    <w:rsid w:val="00865DBD"/>
    <w:rsid w:val="00866AC6"/>
    <w:rsid w:val="0087040F"/>
    <w:rsid w:val="008720BF"/>
    <w:rsid w:val="00872176"/>
    <w:rsid w:val="0087278F"/>
    <w:rsid w:val="00872CE3"/>
    <w:rsid w:val="008730AE"/>
    <w:rsid w:val="00873465"/>
    <w:rsid w:val="0087385B"/>
    <w:rsid w:val="008742C1"/>
    <w:rsid w:val="00874743"/>
    <w:rsid w:val="00875A4B"/>
    <w:rsid w:val="00876091"/>
    <w:rsid w:val="008769F3"/>
    <w:rsid w:val="0087759F"/>
    <w:rsid w:val="00880363"/>
    <w:rsid w:val="00880432"/>
    <w:rsid w:val="008808B2"/>
    <w:rsid w:val="00880A93"/>
    <w:rsid w:val="008819BB"/>
    <w:rsid w:val="00881A3D"/>
    <w:rsid w:val="00883681"/>
    <w:rsid w:val="00883A1E"/>
    <w:rsid w:val="00883A77"/>
    <w:rsid w:val="0088471D"/>
    <w:rsid w:val="008849DB"/>
    <w:rsid w:val="00884B31"/>
    <w:rsid w:val="00884DD2"/>
    <w:rsid w:val="00885538"/>
    <w:rsid w:val="00886046"/>
    <w:rsid w:val="00886220"/>
    <w:rsid w:val="008864DC"/>
    <w:rsid w:val="008864F5"/>
    <w:rsid w:val="00886868"/>
    <w:rsid w:val="00886C5D"/>
    <w:rsid w:val="00886FE1"/>
    <w:rsid w:val="00887F92"/>
    <w:rsid w:val="00890C17"/>
    <w:rsid w:val="00890F3C"/>
    <w:rsid w:val="00891123"/>
    <w:rsid w:val="008913C3"/>
    <w:rsid w:val="00891910"/>
    <w:rsid w:val="0089227B"/>
    <w:rsid w:val="00892671"/>
    <w:rsid w:val="00892734"/>
    <w:rsid w:val="00893106"/>
    <w:rsid w:val="00893A19"/>
    <w:rsid w:val="008947D5"/>
    <w:rsid w:val="008948D6"/>
    <w:rsid w:val="00895181"/>
    <w:rsid w:val="00895730"/>
    <w:rsid w:val="0089578F"/>
    <w:rsid w:val="00895831"/>
    <w:rsid w:val="008959CB"/>
    <w:rsid w:val="0089601D"/>
    <w:rsid w:val="00896749"/>
    <w:rsid w:val="00896B07"/>
    <w:rsid w:val="0089704E"/>
    <w:rsid w:val="00897140"/>
    <w:rsid w:val="00897699"/>
    <w:rsid w:val="00897C51"/>
    <w:rsid w:val="008A004A"/>
    <w:rsid w:val="008A039F"/>
    <w:rsid w:val="008A124D"/>
    <w:rsid w:val="008A1284"/>
    <w:rsid w:val="008A1429"/>
    <w:rsid w:val="008A1A8F"/>
    <w:rsid w:val="008A1CAD"/>
    <w:rsid w:val="008A2390"/>
    <w:rsid w:val="008A2522"/>
    <w:rsid w:val="008A29FA"/>
    <w:rsid w:val="008A36C1"/>
    <w:rsid w:val="008A379D"/>
    <w:rsid w:val="008A38A3"/>
    <w:rsid w:val="008A3F0B"/>
    <w:rsid w:val="008A4C25"/>
    <w:rsid w:val="008A514B"/>
    <w:rsid w:val="008A5CFF"/>
    <w:rsid w:val="008A75B7"/>
    <w:rsid w:val="008B0D7F"/>
    <w:rsid w:val="008B11E3"/>
    <w:rsid w:val="008B139A"/>
    <w:rsid w:val="008B178D"/>
    <w:rsid w:val="008B17ED"/>
    <w:rsid w:val="008B186A"/>
    <w:rsid w:val="008B2CA5"/>
    <w:rsid w:val="008B305C"/>
    <w:rsid w:val="008B44CE"/>
    <w:rsid w:val="008B4C4E"/>
    <w:rsid w:val="008B60DA"/>
    <w:rsid w:val="008B63B5"/>
    <w:rsid w:val="008B6CFC"/>
    <w:rsid w:val="008B6DD0"/>
    <w:rsid w:val="008B721A"/>
    <w:rsid w:val="008B756A"/>
    <w:rsid w:val="008B78D4"/>
    <w:rsid w:val="008C06BF"/>
    <w:rsid w:val="008C1139"/>
    <w:rsid w:val="008C158A"/>
    <w:rsid w:val="008C1AEC"/>
    <w:rsid w:val="008C2FD0"/>
    <w:rsid w:val="008C30CD"/>
    <w:rsid w:val="008C3145"/>
    <w:rsid w:val="008C3227"/>
    <w:rsid w:val="008C492F"/>
    <w:rsid w:val="008C4DBF"/>
    <w:rsid w:val="008C537E"/>
    <w:rsid w:val="008C56D0"/>
    <w:rsid w:val="008C5709"/>
    <w:rsid w:val="008C577B"/>
    <w:rsid w:val="008C5C76"/>
    <w:rsid w:val="008C64B0"/>
    <w:rsid w:val="008C6F2E"/>
    <w:rsid w:val="008C73F9"/>
    <w:rsid w:val="008C7972"/>
    <w:rsid w:val="008D0009"/>
    <w:rsid w:val="008D0433"/>
    <w:rsid w:val="008D1A7A"/>
    <w:rsid w:val="008D1E72"/>
    <w:rsid w:val="008D2387"/>
    <w:rsid w:val="008D2F21"/>
    <w:rsid w:val="008D35BB"/>
    <w:rsid w:val="008D3996"/>
    <w:rsid w:val="008D4FE5"/>
    <w:rsid w:val="008D589C"/>
    <w:rsid w:val="008D59E9"/>
    <w:rsid w:val="008D5A91"/>
    <w:rsid w:val="008D645F"/>
    <w:rsid w:val="008D6D26"/>
    <w:rsid w:val="008D6D8D"/>
    <w:rsid w:val="008D70C8"/>
    <w:rsid w:val="008D7C27"/>
    <w:rsid w:val="008E085A"/>
    <w:rsid w:val="008E0E7F"/>
    <w:rsid w:val="008E158A"/>
    <w:rsid w:val="008E175D"/>
    <w:rsid w:val="008E19A7"/>
    <w:rsid w:val="008E1F2F"/>
    <w:rsid w:val="008E2AD7"/>
    <w:rsid w:val="008E41BE"/>
    <w:rsid w:val="008E4654"/>
    <w:rsid w:val="008E57A6"/>
    <w:rsid w:val="008E57D5"/>
    <w:rsid w:val="008E5D81"/>
    <w:rsid w:val="008E6ADD"/>
    <w:rsid w:val="008E7FAF"/>
    <w:rsid w:val="008F0410"/>
    <w:rsid w:val="008F0A6C"/>
    <w:rsid w:val="008F0DB4"/>
    <w:rsid w:val="008F10BB"/>
    <w:rsid w:val="008F16F4"/>
    <w:rsid w:val="008F174F"/>
    <w:rsid w:val="008F1C63"/>
    <w:rsid w:val="008F2778"/>
    <w:rsid w:val="008F27D3"/>
    <w:rsid w:val="008F3079"/>
    <w:rsid w:val="008F3DFC"/>
    <w:rsid w:val="008F4598"/>
    <w:rsid w:val="008F5519"/>
    <w:rsid w:val="008F5EC2"/>
    <w:rsid w:val="008F71DF"/>
    <w:rsid w:val="009011BA"/>
    <w:rsid w:val="009014A1"/>
    <w:rsid w:val="009018B6"/>
    <w:rsid w:val="0090354C"/>
    <w:rsid w:val="00903ABA"/>
    <w:rsid w:val="00903CDE"/>
    <w:rsid w:val="00903F73"/>
    <w:rsid w:val="009040D4"/>
    <w:rsid w:val="0090526A"/>
    <w:rsid w:val="00905657"/>
    <w:rsid w:val="00905C97"/>
    <w:rsid w:val="0090683A"/>
    <w:rsid w:val="00906CDB"/>
    <w:rsid w:val="00907A0F"/>
    <w:rsid w:val="00907D39"/>
    <w:rsid w:val="009114CF"/>
    <w:rsid w:val="0091248D"/>
    <w:rsid w:val="00913CD2"/>
    <w:rsid w:val="009142CE"/>
    <w:rsid w:val="009152EF"/>
    <w:rsid w:val="009154A2"/>
    <w:rsid w:val="00915689"/>
    <w:rsid w:val="009166D0"/>
    <w:rsid w:val="0091786A"/>
    <w:rsid w:val="00917E79"/>
    <w:rsid w:val="009209D5"/>
    <w:rsid w:val="00921757"/>
    <w:rsid w:val="009219A5"/>
    <w:rsid w:val="00922982"/>
    <w:rsid w:val="00922D06"/>
    <w:rsid w:val="00922ED4"/>
    <w:rsid w:val="009235F8"/>
    <w:rsid w:val="009239CD"/>
    <w:rsid w:val="00924771"/>
    <w:rsid w:val="00925000"/>
    <w:rsid w:val="00925099"/>
    <w:rsid w:val="00925775"/>
    <w:rsid w:val="009257F0"/>
    <w:rsid w:val="00925DCC"/>
    <w:rsid w:val="00925DE7"/>
    <w:rsid w:val="00926387"/>
    <w:rsid w:val="00927857"/>
    <w:rsid w:val="00930005"/>
    <w:rsid w:val="009310DB"/>
    <w:rsid w:val="009314A1"/>
    <w:rsid w:val="0093154D"/>
    <w:rsid w:val="0093161E"/>
    <w:rsid w:val="00931CE5"/>
    <w:rsid w:val="00932584"/>
    <w:rsid w:val="00932745"/>
    <w:rsid w:val="00933579"/>
    <w:rsid w:val="00933FD0"/>
    <w:rsid w:val="00934528"/>
    <w:rsid w:val="009354F1"/>
    <w:rsid w:val="00935874"/>
    <w:rsid w:val="00936727"/>
    <w:rsid w:val="009367FD"/>
    <w:rsid w:val="0094027D"/>
    <w:rsid w:val="00940786"/>
    <w:rsid w:val="009412AF"/>
    <w:rsid w:val="00941E3B"/>
    <w:rsid w:val="009422DF"/>
    <w:rsid w:val="009422FA"/>
    <w:rsid w:val="00942FDC"/>
    <w:rsid w:val="0094456C"/>
    <w:rsid w:val="009455DC"/>
    <w:rsid w:val="0094614B"/>
    <w:rsid w:val="00946341"/>
    <w:rsid w:val="00946381"/>
    <w:rsid w:val="0094661F"/>
    <w:rsid w:val="00946A21"/>
    <w:rsid w:val="00947CE3"/>
    <w:rsid w:val="00947F9D"/>
    <w:rsid w:val="00950082"/>
    <w:rsid w:val="0095025D"/>
    <w:rsid w:val="0095086F"/>
    <w:rsid w:val="00951577"/>
    <w:rsid w:val="00951E63"/>
    <w:rsid w:val="00951FB3"/>
    <w:rsid w:val="00952067"/>
    <w:rsid w:val="00953598"/>
    <w:rsid w:val="00953C6E"/>
    <w:rsid w:val="00954B43"/>
    <w:rsid w:val="00954B4D"/>
    <w:rsid w:val="00955FAF"/>
    <w:rsid w:val="00956500"/>
    <w:rsid w:val="00957FB6"/>
    <w:rsid w:val="0096070C"/>
    <w:rsid w:val="009612D0"/>
    <w:rsid w:val="00961506"/>
    <w:rsid w:val="00961651"/>
    <w:rsid w:val="009617FD"/>
    <w:rsid w:val="00962149"/>
    <w:rsid w:val="009627A2"/>
    <w:rsid w:val="00962AA0"/>
    <w:rsid w:val="00962D08"/>
    <w:rsid w:val="00963282"/>
    <w:rsid w:val="00963312"/>
    <w:rsid w:val="0096370D"/>
    <w:rsid w:val="009656C1"/>
    <w:rsid w:val="00966357"/>
    <w:rsid w:val="00966548"/>
    <w:rsid w:val="00966E86"/>
    <w:rsid w:val="00967970"/>
    <w:rsid w:val="0097001E"/>
    <w:rsid w:val="009706B6"/>
    <w:rsid w:val="00970713"/>
    <w:rsid w:val="00970C1B"/>
    <w:rsid w:val="00971C04"/>
    <w:rsid w:val="00971DA6"/>
    <w:rsid w:val="009726EA"/>
    <w:rsid w:val="0097296C"/>
    <w:rsid w:val="00973099"/>
    <w:rsid w:val="009730C7"/>
    <w:rsid w:val="00973E34"/>
    <w:rsid w:val="00974F66"/>
    <w:rsid w:val="00975440"/>
    <w:rsid w:val="009758FD"/>
    <w:rsid w:val="009759F5"/>
    <w:rsid w:val="00975BB5"/>
    <w:rsid w:val="009763C9"/>
    <w:rsid w:val="009764E4"/>
    <w:rsid w:val="00976D84"/>
    <w:rsid w:val="00977BB6"/>
    <w:rsid w:val="00980944"/>
    <w:rsid w:val="00980BF4"/>
    <w:rsid w:val="00980EFC"/>
    <w:rsid w:val="009813FE"/>
    <w:rsid w:val="009819FA"/>
    <w:rsid w:val="00982314"/>
    <w:rsid w:val="00982470"/>
    <w:rsid w:val="009824AC"/>
    <w:rsid w:val="0098315C"/>
    <w:rsid w:val="009838A4"/>
    <w:rsid w:val="009847C0"/>
    <w:rsid w:val="00984D6C"/>
    <w:rsid w:val="0098555D"/>
    <w:rsid w:val="00985644"/>
    <w:rsid w:val="00985DB9"/>
    <w:rsid w:val="00986541"/>
    <w:rsid w:val="00986970"/>
    <w:rsid w:val="00987295"/>
    <w:rsid w:val="00987609"/>
    <w:rsid w:val="00987C3C"/>
    <w:rsid w:val="00987FF3"/>
    <w:rsid w:val="0099013F"/>
    <w:rsid w:val="0099019A"/>
    <w:rsid w:val="009901FD"/>
    <w:rsid w:val="00990CAF"/>
    <w:rsid w:val="009915BF"/>
    <w:rsid w:val="00991655"/>
    <w:rsid w:val="00991B1C"/>
    <w:rsid w:val="00991CD9"/>
    <w:rsid w:val="0099216F"/>
    <w:rsid w:val="009923DA"/>
    <w:rsid w:val="0099279E"/>
    <w:rsid w:val="00992AB8"/>
    <w:rsid w:val="00992D85"/>
    <w:rsid w:val="00992F1E"/>
    <w:rsid w:val="00993B7E"/>
    <w:rsid w:val="00993D67"/>
    <w:rsid w:val="00994875"/>
    <w:rsid w:val="00995B8C"/>
    <w:rsid w:val="0099681D"/>
    <w:rsid w:val="00996A46"/>
    <w:rsid w:val="00996C57"/>
    <w:rsid w:val="00997299"/>
    <w:rsid w:val="00997CC6"/>
    <w:rsid w:val="009A0286"/>
    <w:rsid w:val="009A107C"/>
    <w:rsid w:val="009A1552"/>
    <w:rsid w:val="009A1C41"/>
    <w:rsid w:val="009A1F7C"/>
    <w:rsid w:val="009A2706"/>
    <w:rsid w:val="009A50C0"/>
    <w:rsid w:val="009A6188"/>
    <w:rsid w:val="009A6272"/>
    <w:rsid w:val="009A6440"/>
    <w:rsid w:val="009A75C1"/>
    <w:rsid w:val="009A7CD1"/>
    <w:rsid w:val="009B03BB"/>
    <w:rsid w:val="009B0955"/>
    <w:rsid w:val="009B0C1C"/>
    <w:rsid w:val="009B143A"/>
    <w:rsid w:val="009B18CF"/>
    <w:rsid w:val="009B2280"/>
    <w:rsid w:val="009B2FB5"/>
    <w:rsid w:val="009B31BB"/>
    <w:rsid w:val="009B41E5"/>
    <w:rsid w:val="009B6397"/>
    <w:rsid w:val="009B6894"/>
    <w:rsid w:val="009B6E25"/>
    <w:rsid w:val="009B79B1"/>
    <w:rsid w:val="009C07AF"/>
    <w:rsid w:val="009C0B60"/>
    <w:rsid w:val="009C1230"/>
    <w:rsid w:val="009C158F"/>
    <w:rsid w:val="009C2A0D"/>
    <w:rsid w:val="009C2BB6"/>
    <w:rsid w:val="009C34D6"/>
    <w:rsid w:val="009C390D"/>
    <w:rsid w:val="009C4A63"/>
    <w:rsid w:val="009C4BEF"/>
    <w:rsid w:val="009C4DBE"/>
    <w:rsid w:val="009C536D"/>
    <w:rsid w:val="009C61D1"/>
    <w:rsid w:val="009C68A1"/>
    <w:rsid w:val="009C6BC0"/>
    <w:rsid w:val="009C6CEF"/>
    <w:rsid w:val="009C7A71"/>
    <w:rsid w:val="009D0068"/>
    <w:rsid w:val="009D073E"/>
    <w:rsid w:val="009D101B"/>
    <w:rsid w:val="009D1E24"/>
    <w:rsid w:val="009D264F"/>
    <w:rsid w:val="009D3201"/>
    <w:rsid w:val="009D3AE8"/>
    <w:rsid w:val="009D49E0"/>
    <w:rsid w:val="009D4A09"/>
    <w:rsid w:val="009D6231"/>
    <w:rsid w:val="009D67B4"/>
    <w:rsid w:val="009D6951"/>
    <w:rsid w:val="009D6B97"/>
    <w:rsid w:val="009E04D1"/>
    <w:rsid w:val="009E0B6E"/>
    <w:rsid w:val="009E0D86"/>
    <w:rsid w:val="009E12ED"/>
    <w:rsid w:val="009E1B5E"/>
    <w:rsid w:val="009E23F4"/>
    <w:rsid w:val="009E278A"/>
    <w:rsid w:val="009E3191"/>
    <w:rsid w:val="009E437A"/>
    <w:rsid w:val="009E49C0"/>
    <w:rsid w:val="009E49E4"/>
    <w:rsid w:val="009E5797"/>
    <w:rsid w:val="009E5B95"/>
    <w:rsid w:val="009E6B88"/>
    <w:rsid w:val="009E7A16"/>
    <w:rsid w:val="009F034D"/>
    <w:rsid w:val="009F0851"/>
    <w:rsid w:val="009F10A9"/>
    <w:rsid w:val="009F11DA"/>
    <w:rsid w:val="009F137D"/>
    <w:rsid w:val="009F13E3"/>
    <w:rsid w:val="009F1FC8"/>
    <w:rsid w:val="009F2425"/>
    <w:rsid w:val="009F34D3"/>
    <w:rsid w:val="009F3AC1"/>
    <w:rsid w:val="009F3F72"/>
    <w:rsid w:val="009F479D"/>
    <w:rsid w:val="009F5304"/>
    <w:rsid w:val="009F5618"/>
    <w:rsid w:val="009F5A02"/>
    <w:rsid w:val="009F7B13"/>
    <w:rsid w:val="009F7F0F"/>
    <w:rsid w:val="009F7F28"/>
    <w:rsid w:val="00A0036F"/>
    <w:rsid w:val="00A005FF"/>
    <w:rsid w:val="00A00B6A"/>
    <w:rsid w:val="00A00B73"/>
    <w:rsid w:val="00A01F84"/>
    <w:rsid w:val="00A029BC"/>
    <w:rsid w:val="00A02BE0"/>
    <w:rsid w:val="00A03178"/>
    <w:rsid w:val="00A03957"/>
    <w:rsid w:val="00A03DB3"/>
    <w:rsid w:val="00A04BF3"/>
    <w:rsid w:val="00A06CE0"/>
    <w:rsid w:val="00A07B71"/>
    <w:rsid w:val="00A07D2D"/>
    <w:rsid w:val="00A10B95"/>
    <w:rsid w:val="00A115AB"/>
    <w:rsid w:val="00A11761"/>
    <w:rsid w:val="00A120F6"/>
    <w:rsid w:val="00A123AC"/>
    <w:rsid w:val="00A12E23"/>
    <w:rsid w:val="00A13008"/>
    <w:rsid w:val="00A139DD"/>
    <w:rsid w:val="00A142A1"/>
    <w:rsid w:val="00A154E9"/>
    <w:rsid w:val="00A157AE"/>
    <w:rsid w:val="00A158C8"/>
    <w:rsid w:val="00A15A7B"/>
    <w:rsid w:val="00A15CAB"/>
    <w:rsid w:val="00A15D14"/>
    <w:rsid w:val="00A1626F"/>
    <w:rsid w:val="00A17395"/>
    <w:rsid w:val="00A1755D"/>
    <w:rsid w:val="00A1755E"/>
    <w:rsid w:val="00A17E5E"/>
    <w:rsid w:val="00A17EB1"/>
    <w:rsid w:val="00A20501"/>
    <w:rsid w:val="00A20A64"/>
    <w:rsid w:val="00A20ECF"/>
    <w:rsid w:val="00A21C2B"/>
    <w:rsid w:val="00A21D26"/>
    <w:rsid w:val="00A22039"/>
    <w:rsid w:val="00A233FD"/>
    <w:rsid w:val="00A238CA"/>
    <w:rsid w:val="00A24BE2"/>
    <w:rsid w:val="00A24E14"/>
    <w:rsid w:val="00A25990"/>
    <w:rsid w:val="00A266E2"/>
    <w:rsid w:val="00A27C48"/>
    <w:rsid w:val="00A27E56"/>
    <w:rsid w:val="00A27EEF"/>
    <w:rsid w:val="00A302CA"/>
    <w:rsid w:val="00A306E1"/>
    <w:rsid w:val="00A30B00"/>
    <w:rsid w:val="00A31BBE"/>
    <w:rsid w:val="00A3435F"/>
    <w:rsid w:val="00A343A2"/>
    <w:rsid w:val="00A34502"/>
    <w:rsid w:val="00A346FE"/>
    <w:rsid w:val="00A34A52"/>
    <w:rsid w:val="00A34F7F"/>
    <w:rsid w:val="00A355FE"/>
    <w:rsid w:val="00A37B21"/>
    <w:rsid w:val="00A37FBC"/>
    <w:rsid w:val="00A40138"/>
    <w:rsid w:val="00A40473"/>
    <w:rsid w:val="00A40503"/>
    <w:rsid w:val="00A40F7E"/>
    <w:rsid w:val="00A412B4"/>
    <w:rsid w:val="00A41742"/>
    <w:rsid w:val="00A4259C"/>
    <w:rsid w:val="00A42606"/>
    <w:rsid w:val="00A42778"/>
    <w:rsid w:val="00A43C28"/>
    <w:rsid w:val="00A43E21"/>
    <w:rsid w:val="00A44C22"/>
    <w:rsid w:val="00A450A2"/>
    <w:rsid w:val="00A4514D"/>
    <w:rsid w:val="00A455E5"/>
    <w:rsid w:val="00A45607"/>
    <w:rsid w:val="00A45824"/>
    <w:rsid w:val="00A461DC"/>
    <w:rsid w:val="00A471B7"/>
    <w:rsid w:val="00A51AB1"/>
    <w:rsid w:val="00A5236A"/>
    <w:rsid w:val="00A55051"/>
    <w:rsid w:val="00A55359"/>
    <w:rsid w:val="00A55708"/>
    <w:rsid w:val="00A55C2C"/>
    <w:rsid w:val="00A5754B"/>
    <w:rsid w:val="00A577F6"/>
    <w:rsid w:val="00A60533"/>
    <w:rsid w:val="00A6094C"/>
    <w:rsid w:val="00A60D6A"/>
    <w:rsid w:val="00A6172C"/>
    <w:rsid w:val="00A61CD2"/>
    <w:rsid w:val="00A61CE1"/>
    <w:rsid w:val="00A62489"/>
    <w:rsid w:val="00A626A3"/>
    <w:rsid w:val="00A633F6"/>
    <w:rsid w:val="00A63C50"/>
    <w:rsid w:val="00A64317"/>
    <w:rsid w:val="00A64532"/>
    <w:rsid w:val="00A64B65"/>
    <w:rsid w:val="00A64C4A"/>
    <w:rsid w:val="00A64F4A"/>
    <w:rsid w:val="00A65339"/>
    <w:rsid w:val="00A6593A"/>
    <w:rsid w:val="00A65F0D"/>
    <w:rsid w:val="00A6633A"/>
    <w:rsid w:val="00A6678F"/>
    <w:rsid w:val="00A66B1B"/>
    <w:rsid w:val="00A66FDB"/>
    <w:rsid w:val="00A67013"/>
    <w:rsid w:val="00A67A2F"/>
    <w:rsid w:val="00A70110"/>
    <w:rsid w:val="00A708B0"/>
    <w:rsid w:val="00A708BE"/>
    <w:rsid w:val="00A709D3"/>
    <w:rsid w:val="00A717DE"/>
    <w:rsid w:val="00A720B9"/>
    <w:rsid w:val="00A723FE"/>
    <w:rsid w:val="00A725AC"/>
    <w:rsid w:val="00A72DC2"/>
    <w:rsid w:val="00A7320D"/>
    <w:rsid w:val="00A73576"/>
    <w:rsid w:val="00A73BE3"/>
    <w:rsid w:val="00A73F9D"/>
    <w:rsid w:val="00A7450D"/>
    <w:rsid w:val="00A745D2"/>
    <w:rsid w:val="00A74B9E"/>
    <w:rsid w:val="00A74C3E"/>
    <w:rsid w:val="00A74E71"/>
    <w:rsid w:val="00A74F4B"/>
    <w:rsid w:val="00A76095"/>
    <w:rsid w:val="00A77765"/>
    <w:rsid w:val="00A779E4"/>
    <w:rsid w:val="00A77C98"/>
    <w:rsid w:val="00A77EE3"/>
    <w:rsid w:val="00A80A89"/>
    <w:rsid w:val="00A81A37"/>
    <w:rsid w:val="00A83060"/>
    <w:rsid w:val="00A834AF"/>
    <w:rsid w:val="00A83666"/>
    <w:rsid w:val="00A849AF"/>
    <w:rsid w:val="00A84A5B"/>
    <w:rsid w:val="00A84A72"/>
    <w:rsid w:val="00A85573"/>
    <w:rsid w:val="00A85772"/>
    <w:rsid w:val="00A858DA"/>
    <w:rsid w:val="00A85AB2"/>
    <w:rsid w:val="00A86667"/>
    <w:rsid w:val="00A866E0"/>
    <w:rsid w:val="00A866E5"/>
    <w:rsid w:val="00A86860"/>
    <w:rsid w:val="00A877BD"/>
    <w:rsid w:val="00A902B7"/>
    <w:rsid w:val="00A90481"/>
    <w:rsid w:val="00A906B1"/>
    <w:rsid w:val="00A90DC0"/>
    <w:rsid w:val="00A90EDF"/>
    <w:rsid w:val="00A90F1A"/>
    <w:rsid w:val="00A921EA"/>
    <w:rsid w:val="00A930E7"/>
    <w:rsid w:val="00A93CA4"/>
    <w:rsid w:val="00A946A7"/>
    <w:rsid w:val="00A9549D"/>
    <w:rsid w:val="00A96655"/>
    <w:rsid w:val="00A966EF"/>
    <w:rsid w:val="00A96842"/>
    <w:rsid w:val="00A96B67"/>
    <w:rsid w:val="00A974A3"/>
    <w:rsid w:val="00AA0282"/>
    <w:rsid w:val="00AA036C"/>
    <w:rsid w:val="00AA0471"/>
    <w:rsid w:val="00AA138D"/>
    <w:rsid w:val="00AA13E9"/>
    <w:rsid w:val="00AA15A9"/>
    <w:rsid w:val="00AA184C"/>
    <w:rsid w:val="00AA1B5B"/>
    <w:rsid w:val="00AA20E3"/>
    <w:rsid w:val="00AA27AC"/>
    <w:rsid w:val="00AA3826"/>
    <w:rsid w:val="00AA3FFE"/>
    <w:rsid w:val="00AA51EB"/>
    <w:rsid w:val="00AA5DD5"/>
    <w:rsid w:val="00AA68EC"/>
    <w:rsid w:val="00AA71A6"/>
    <w:rsid w:val="00AA7AE5"/>
    <w:rsid w:val="00AB004B"/>
    <w:rsid w:val="00AB0174"/>
    <w:rsid w:val="00AB08FA"/>
    <w:rsid w:val="00AB0CD2"/>
    <w:rsid w:val="00AB1012"/>
    <w:rsid w:val="00AB10B0"/>
    <w:rsid w:val="00AB2013"/>
    <w:rsid w:val="00AB24CE"/>
    <w:rsid w:val="00AB2EEB"/>
    <w:rsid w:val="00AB3B7B"/>
    <w:rsid w:val="00AB4B2B"/>
    <w:rsid w:val="00AB4B90"/>
    <w:rsid w:val="00AB5292"/>
    <w:rsid w:val="00AB5A03"/>
    <w:rsid w:val="00AB603E"/>
    <w:rsid w:val="00AB6AA6"/>
    <w:rsid w:val="00AB78D0"/>
    <w:rsid w:val="00AB7CAF"/>
    <w:rsid w:val="00AB7E5F"/>
    <w:rsid w:val="00AC04B6"/>
    <w:rsid w:val="00AC05F9"/>
    <w:rsid w:val="00AC0A9D"/>
    <w:rsid w:val="00AC0ACB"/>
    <w:rsid w:val="00AC1589"/>
    <w:rsid w:val="00AC21A9"/>
    <w:rsid w:val="00AC2612"/>
    <w:rsid w:val="00AC2ADC"/>
    <w:rsid w:val="00AC3698"/>
    <w:rsid w:val="00AC426D"/>
    <w:rsid w:val="00AC438F"/>
    <w:rsid w:val="00AC45E3"/>
    <w:rsid w:val="00AC4666"/>
    <w:rsid w:val="00AC5CBE"/>
    <w:rsid w:val="00AC64BA"/>
    <w:rsid w:val="00AC6CF2"/>
    <w:rsid w:val="00AC6D24"/>
    <w:rsid w:val="00AC7FFB"/>
    <w:rsid w:val="00AD0097"/>
    <w:rsid w:val="00AD03BF"/>
    <w:rsid w:val="00AD0925"/>
    <w:rsid w:val="00AD0C17"/>
    <w:rsid w:val="00AD1142"/>
    <w:rsid w:val="00AD1BDF"/>
    <w:rsid w:val="00AD1D1E"/>
    <w:rsid w:val="00AD1DFF"/>
    <w:rsid w:val="00AD3255"/>
    <w:rsid w:val="00AD50F9"/>
    <w:rsid w:val="00AD5417"/>
    <w:rsid w:val="00AD6035"/>
    <w:rsid w:val="00AD649E"/>
    <w:rsid w:val="00AD6AC9"/>
    <w:rsid w:val="00AD7431"/>
    <w:rsid w:val="00AD7F0E"/>
    <w:rsid w:val="00AE01C2"/>
    <w:rsid w:val="00AE0E23"/>
    <w:rsid w:val="00AE19FC"/>
    <w:rsid w:val="00AE1C55"/>
    <w:rsid w:val="00AE1E71"/>
    <w:rsid w:val="00AE28DC"/>
    <w:rsid w:val="00AE3257"/>
    <w:rsid w:val="00AE3669"/>
    <w:rsid w:val="00AE4995"/>
    <w:rsid w:val="00AE542F"/>
    <w:rsid w:val="00AE5593"/>
    <w:rsid w:val="00AE5A8A"/>
    <w:rsid w:val="00AE6284"/>
    <w:rsid w:val="00AE62E1"/>
    <w:rsid w:val="00AE6602"/>
    <w:rsid w:val="00AE7293"/>
    <w:rsid w:val="00AE7C88"/>
    <w:rsid w:val="00AF01C3"/>
    <w:rsid w:val="00AF01C4"/>
    <w:rsid w:val="00AF1B96"/>
    <w:rsid w:val="00AF251E"/>
    <w:rsid w:val="00AF26E4"/>
    <w:rsid w:val="00AF2CAE"/>
    <w:rsid w:val="00AF30A5"/>
    <w:rsid w:val="00AF30E8"/>
    <w:rsid w:val="00AF3350"/>
    <w:rsid w:val="00AF4C91"/>
    <w:rsid w:val="00AF4EE6"/>
    <w:rsid w:val="00AF5734"/>
    <w:rsid w:val="00AF65E5"/>
    <w:rsid w:val="00AF678E"/>
    <w:rsid w:val="00AF6931"/>
    <w:rsid w:val="00AF6A88"/>
    <w:rsid w:val="00AF6AD0"/>
    <w:rsid w:val="00AF7CEF"/>
    <w:rsid w:val="00B0192A"/>
    <w:rsid w:val="00B01F30"/>
    <w:rsid w:val="00B020DD"/>
    <w:rsid w:val="00B02BFD"/>
    <w:rsid w:val="00B03082"/>
    <w:rsid w:val="00B03616"/>
    <w:rsid w:val="00B036BC"/>
    <w:rsid w:val="00B0392C"/>
    <w:rsid w:val="00B03AD0"/>
    <w:rsid w:val="00B04563"/>
    <w:rsid w:val="00B04F32"/>
    <w:rsid w:val="00B054FD"/>
    <w:rsid w:val="00B05BB0"/>
    <w:rsid w:val="00B05D21"/>
    <w:rsid w:val="00B06FDF"/>
    <w:rsid w:val="00B07524"/>
    <w:rsid w:val="00B07AFE"/>
    <w:rsid w:val="00B07BEA"/>
    <w:rsid w:val="00B07CA7"/>
    <w:rsid w:val="00B10B6D"/>
    <w:rsid w:val="00B10F9B"/>
    <w:rsid w:val="00B11307"/>
    <w:rsid w:val="00B11436"/>
    <w:rsid w:val="00B11505"/>
    <w:rsid w:val="00B11691"/>
    <w:rsid w:val="00B13818"/>
    <w:rsid w:val="00B147D2"/>
    <w:rsid w:val="00B1480B"/>
    <w:rsid w:val="00B15F45"/>
    <w:rsid w:val="00B16064"/>
    <w:rsid w:val="00B165E0"/>
    <w:rsid w:val="00B16703"/>
    <w:rsid w:val="00B173EA"/>
    <w:rsid w:val="00B176D9"/>
    <w:rsid w:val="00B219BA"/>
    <w:rsid w:val="00B21DFA"/>
    <w:rsid w:val="00B23408"/>
    <w:rsid w:val="00B2513F"/>
    <w:rsid w:val="00B25894"/>
    <w:rsid w:val="00B25B09"/>
    <w:rsid w:val="00B2603B"/>
    <w:rsid w:val="00B2766E"/>
    <w:rsid w:val="00B277F8"/>
    <w:rsid w:val="00B30539"/>
    <w:rsid w:val="00B3082A"/>
    <w:rsid w:val="00B308D8"/>
    <w:rsid w:val="00B31352"/>
    <w:rsid w:val="00B313D4"/>
    <w:rsid w:val="00B33893"/>
    <w:rsid w:val="00B34500"/>
    <w:rsid w:val="00B34D09"/>
    <w:rsid w:val="00B354BC"/>
    <w:rsid w:val="00B3628A"/>
    <w:rsid w:val="00B37343"/>
    <w:rsid w:val="00B37C6E"/>
    <w:rsid w:val="00B411AF"/>
    <w:rsid w:val="00B41596"/>
    <w:rsid w:val="00B416F5"/>
    <w:rsid w:val="00B4224F"/>
    <w:rsid w:val="00B43391"/>
    <w:rsid w:val="00B4379B"/>
    <w:rsid w:val="00B44936"/>
    <w:rsid w:val="00B44B6E"/>
    <w:rsid w:val="00B451B3"/>
    <w:rsid w:val="00B45A4D"/>
    <w:rsid w:val="00B4604F"/>
    <w:rsid w:val="00B465E6"/>
    <w:rsid w:val="00B470C6"/>
    <w:rsid w:val="00B52F08"/>
    <w:rsid w:val="00B53260"/>
    <w:rsid w:val="00B5421B"/>
    <w:rsid w:val="00B5451D"/>
    <w:rsid w:val="00B55296"/>
    <w:rsid w:val="00B553F2"/>
    <w:rsid w:val="00B5593D"/>
    <w:rsid w:val="00B55ABF"/>
    <w:rsid w:val="00B56A8D"/>
    <w:rsid w:val="00B57055"/>
    <w:rsid w:val="00B5737C"/>
    <w:rsid w:val="00B60CAF"/>
    <w:rsid w:val="00B61EF4"/>
    <w:rsid w:val="00B61F36"/>
    <w:rsid w:val="00B622C9"/>
    <w:rsid w:val="00B62C89"/>
    <w:rsid w:val="00B63319"/>
    <w:rsid w:val="00B635BE"/>
    <w:rsid w:val="00B63951"/>
    <w:rsid w:val="00B6438E"/>
    <w:rsid w:val="00B6457B"/>
    <w:rsid w:val="00B6586A"/>
    <w:rsid w:val="00B669A5"/>
    <w:rsid w:val="00B7022E"/>
    <w:rsid w:val="00B702BE"/>
    <w:rsid w:val="00B70C1D"/>
    <w:rsid w:val="00B7318F"/>
    <w:rsid w:val="00B7397D"/>
    <w:rsid w:val="00B7472D"/>
    <w:rsid w:val="00B74E56"/>
    <w:rsid w:val="00B7587A"/>
    <w:rsid w:val="00B75AA1"/>
    <w:rsid w:val="00B766A5"/>
    <w:rsid w:val="00B76A51"/>
    <w:rsid w:val="00B7712D"/>
    <w:rsid w:val="00B77F6E"/>
    <w:rsid w:val="00B8019A"/>
    <w:rsid w:val="00B8076A"/>
    <w:rsid w:val="00B80E8C"/>
    <w:rsid w:val="00B81162"/>
    <w:rsid w:val="00B812B0"/>
    <w:rsid w:val="00B814C2"/>
    <w:rsid w:val="00B81660"/>
    <w:rsid w:val="00B82FA5"/>
    <w:rsid w:val="00B8362E"/>
    <w:rsid w:val="00B836FA"/>
    <w:rsid w:val="00B8378E"/>
    <w:rsid w:val="00B83A3D"/>
    <w:rsid w:val="00B8425D"/>
    <w:rsid w:val="00B84AB9"/>
    <w:rsid w:val="00B85D91"/>
    <w:rsid w:val="00B8665A"/>
    <w:rsid w:val="00B9044B"/>
    <w:rsid w:val="00B9097B"/>
    <w:rsid w:val="00B90C3A"/>
    <w:rsid w:val="00B90EE9"/>
    <w:rsid w:val="00B90F8C"/>
    <w:rsid w:val="00B911FE"/>
    <w:rsid w:val="00B91FAA"/>
    <w:rsid w:val="00B91FEC"/>
    <w:rsid w:val="00B925F5"/>
    <w:rsid w:val="00B93AB3"/>
    <w:rsid w:val="00B93D71"/>
    <w:rsid w:val="00B94E5B"/>
    <w:rsid w:val="00B9542A"/>
    <w:rsid w:val="00B95719"/>
    <w:rsid w:val="00B957DE"/>
    <w:rsid w:val="00B9587E"/>
    <w:rsid w:val="00B96546"/>
    <w:rsid w:val="00B96D69"/>
    <w:rsid w:val="00B96DB0"/>
    <w:rsid w:val="00B97030"/>
    <w:rsid w:val="00B97885"/>
    <w:rsid w:val="00BA07C0"/>
    <w:rsid w:val="00BA0C41"/>
    <w:rsid w:val="00BA1FBF"/>
    <w:rsid w:val="00BA2DE3"/>
    <w:rsid w:val="00BA33FB"/>
    <w:rsid w:val="00BA3D67"/>
    <w:rsid w:val="00BA42D2"/>
    <w:rsid w:val="00BA44AF"/>
    <w:rsid w:val="00BA4AB4"/>
    <w:rsid w:val="00BA4D1A"/>
    <w:rsid w:val="00BA5438"/>
    <w:rsid w:val="00BA7567"/>
    <w:rsid w:val="00BB0071"/>
    <w:rsid w:val="00BB010F"/>
    <w:rsid w:val="00BB1372"/>
    <w:rsid w:val="00BB159A"/>
    <w:rsid w:val="00BB1627"/>
    <w:rsid w:val="00BB172A"/>
    <w:rsid w:val="00BB2B7C"/>
    <w:rsid w:val="00BB2FC9"/>
    <w:rsid w:val="00BB307E"/>
    <w:rsid w:val="00BB3A44"/>
    <w:rsid w:val="00BB3C3A"/>
    <w:rsid w:val="00BB3DA4"/>
    <w:rsid w:val="00BB438A"/>
    <w:rsid w:val="00BB5080"/>
    <w:rsid w:val="00BB5087"/>
    <w:rsid w:val="00BB51FE"/>
    <w:rsid w:val="00BB5F01"/>
    <w:rsid w:val="00BB62EA"/>
    <w:rsid w:val="00BB63BB"/>
    <w:rsid w:val="00BB6612"/>
    <w:rsid w:val="00BB6E82"/>
    <w:rsid w:val="00BB75DF"/>
    <w:rsid w:val="00BB7748"/>
    <w:rsid w:val="00BB7D23"/>
    <w:rsid w:val="00BC08A0"/>
    <w:rsid w:val="00BC0A7F"/>
    <w:rsid w:val="00BC0FB9"/>
    <w:rsid w:val="00BC1546"/>
    <w:rsid w:val="00BC294F"/>
    <w:rsid w:val="00BC300E"/>
    <w:rsid w:val="00BC3524"/>
    <w:rsid w:val="00BC4090"/>
    <w:rsid w:val="00BC4725"/>
    <w:rsid w:val="00BC4DA2"/>
    <w:rsid w:val="00BC569B"/>
    <w:rsid w:val="00BC6E22"/>
    <w:rsid w:val="00BC79D3"/>
    <w:rsid w:val="00BC7EBC"/>
    <w:rsid w:val="00BD0319"/>
    <w:rsid w:val="00BD11BF"/>
    <w:rsid w:val="00BD1804"/>
    <w:rsid w:val="00BD2F2D"/>
    <w:rsid w:val="00BD374C"/>
    <w:rsid w:val="00BD54F1"/>
    <w:rsid w:val="00BD5B3E"/>
    <w:rsid w:val="00BD5B71"/>
    <w:rsid w:val="00BD6826"/>
    <w:rsid w:val="00BD7187"/>
    <w:rsid w:val="00BD755C"/>
    <w:rsid w:val="00BD7850"/>
    <w:rsid w:val="00BD7854"/>
    <w:rsid w:val="00BD7923"/>
    <w:rsid w:val="00BE02A1"/>
    <w:rsid w:val="00BE034F"/>
    <w:rsid w:val="00BE0584"/>
    <w:rsid w:val="00BE40E2"/>
    <w:rsid w:val="00BE4CA3"/>
    <w:rsid w:val="00BE548D"/>
    <w:rsid w:val="00BE5DB2"/>
    <w:rsid w:val="00BE6C8D"/>
    <w:rsid w:val="00BE6D53"/>
    <w:rsid w:val="00BE6EAD"/>
    <w:rsid w:val="00BE765C"/>
    <w:rsid w:val="00BE7D86"/>
    <w:rsid w:val="00BF01E3"/>
    <w:rsid w:val="00BF0CA9"/>
    <w:rsid w:val="00BF0E37"/>
    <w:rsid w:val="00BF114B"/>
    <w:rsid w:val="00BF1861"/>
    <w:rsid w:val="00BF1A4D"/>
    <w:rsid w:val="00BF1E53"/>
    <w:rsid w:val="00BF2A36"/>
    <w:rsid w:val="00BF3919"/>
    <w:rsid w:val="00BF44BE"/>
    <w:rsid w:val="00BF4B84"/>
    <w:rsid w:val="00BF5465"/>
    <w:rsid w:val="00BF6A30"/>
    <w:rsid w:val="00BF6B77"/>
    <w:rsid w:val="00BF7336"/>
    <w:rsid w:val="00BF7B66"/>
    <w:rsid w:val="00BF7CF2"/>
    <w:rsid w:val="00C01278"/>
    <w:rsid w:val="00C014B2"/>
    <w:rsid w:val="00C016B7"/>
    <w:rsid w:val="00C016CA"/>
    <w:rsid w:val="00C01BC8"/>
    <w:rsid w:val="00C02B5F"/>
    <w:rsid w:val="00C02E52"/>
    <w:rsid w:val="00C0306E"/>
    <w:rsid w:val="00C037AE"/>
    <w:rsid w:val="00C04156"/>
    <w:rsid w:val="00C0426D"/>
    <w:rsid w:val="00C046E5"/>
    <w:rsid w:val="00C05A3A"/>
    <w:rsid w:val="00C05E37"/>
    <w:rsid w:val="00C062F4"/>
    <w:rsid w:val="00C063A3"/>
    <w:rsid w:val="00C06598"/>
    <w:rsid w:val="00C0710C"/>
    <w:rsid w:val="00C07166"/>
    <w:rsid w:val="00C07923"/>
    <w:rsid w:val="00C07A3B"/>
    <w:rsid w:val="00C1035A"/>
    <w:rsid w:val="00C10D2D"/>
    <w:rsid w:val="00C115AB"/>
    <w:rsid w:val="00C11E9A"/>
    <w:rsid w:val="00C11F9B"/>
    <w:rsid w:val="00C12DBF"/>
    <w:rsid w:val="00C12E5E"/>
    <w:rsid w:val="00C13383"/>
    <w:rsid w:val="00C13E65"/>
    <w:rsid w:val="00C1410C"/>
    <w:rsid w:val="00C141C5"/>
    <w:rsid w:val="00C1474A"/>
    <w:rsid w:val="00C148D7"/>
    <w:rsid w:val="00C14D93"/>
    <w:rsid w:val="00C15620"/>
    <w:rsid w:val="00C15E2B"/>
    <w:rsid w:val="00C17035"/>
    <w:rsid w:val="00C173CF"/>
    <w:rsid w:val="00C17466"/>
    <w:rsid w:val="00C204C9"/>
    <w:rsid w:val="00C2066F"/>
    <w:rsid w:val="00C209AC"/>
    <w:rsid w:val="00C21482"/>
    <w:rsid w:val="00C21819"/>
    <w:rsid w:val="00C21B4E"/>
    <w:rsid w:val="00C21B62"/>
    <w:rsid w:val="00C223C5"/>
    <w:rsid w:val="00C226BA"/>
    <w:rsid w:val="00C22790"/>
    <w:rsid w:val="00C23681"/>
    <w:rsid w:val="00C2421B"/>
    <w:rsid w:val="00C24E90"/>
    <w:rsid w:val="00C25651"/>
    <w:rsid w:val="00C25773"/>
    <w:rsid w:val="00C26372"/>
    <w:rsid w:val="00C26557"/>
    <w:rsid w:val="00C26AC2"/>
    <w:rsid w:val="00C273AB"/>
    <w:rsid w:val="00C279AB"/>
    <w:rsid w:val="00C27D39"/>
    <w:rsid w:val="00C312ED"/>
    <w:rsid w:val="00C31B25"/>
    <w:rsid w:val="00C324AC"/>
    <w:rsid w:val="00C329C9"/>
    <w:rsid w:val="00C32BED"/>
    <w:rsid w:val="00C33047"/>
    <w:rsid w:val="00C33483"/>
    <w:rsid w:val="00C33641"/>
    <w:rsid w:val="00C33F57"/>
    <w:rsid w:val="00C3439B"/>
    <w:rsid w:val="00C34A27"/>
    <w:rsid w:val="00C34B6C"/>
    <w:rsid w:val="00C36166"/>
    <w:rsid w:val="00C36174"/>
    <w:rsid w:val="00C369DF"/>
    <w:rsid w:val="00C36ED9"/>
    <w:rsid w:val="00C37756"/>
    <w:rsid w:val="00C3778D"/>
    <w:rsid w:val="00C37898"/>
    <w:rsid w:val="00C408D5"/>
    <w:rsid w:val="00C40E6B"/>
    <w:rsid w:val="00C41178"/>
    <w:rsid w:val="00C426C9"/>
    <w:rsid w:val="00C43573"/>
    <w:rsid w:val="00C4366C"/>
    <w:rsid w:val="00C43AF1"/>
    <w:rsid w:val="00C4434C"/>
    <w:rsid w:val="00C45E01"/>
    <w:rsid w:val="00C47093"/>
    <w:rsid w:val="00C50D51"/>
    <w:rsid w:val="00C50EEC"/>
    <w:rsid w:val="00C51060"/>
    <w:rsid w:val="00C510DA"/>
    <w:rsid w:val="00C513E0"/>
    <w:rsid w:val="00C52285"/>
    <w:rsid w:val="00C52542"/>
    <w:rsid w:val="00C52B6A"/>
    <w:rsid w:val="00C535EC"/>
    <w:rsid w:val="00C5457C"/>
    <w:rsid w:val="00C54AF0"/>
    <w:rsid w:val="00C5529A"/>
    <w:rsid w:val="00C552A4"/>
    <w:rsid w:val="00C568C7"/>
    <w:rsid w:val="00C569FC"/>
    <w:rsid w:val="00C56F3E"/>
    <w:rsid w:val="00C578F6"/>
    <w:rsid w:val="00C57E97"/>
    <w:rsid w:val="00C60221"/>
    <w:rsid w:val="00C60A03"/>
    <w:rsid w:val="00C617E0"/>
    <w:rsid w:val="00C61C57"/>
    <w:rsid w:val="00C61E2D"/>
    <w:rsid w:val="00C62064"/>
    <w:rsid w:val="00C62F12"/>
    <w:rsid w:val="00C63004"/>
    <w:rsid w:val="00C630A9"/>
    <w:rsid w:val="00C6334C"/>
    <w:rsid w:val="00C641BD"/>
    <w:rsid w:val="00C64940"/>
    <w:rsid w:val="00C64DC4"/>
    <w:rsid w:val="00C65439"/>
    <w:rsid w:val="00C6582E"/>
    <w:rsid w:val="00C65856"/>
    <w:rsid w:val="00C67BBE"/>
    <w:rsid w:val="00C716A8"/>
    <w:rsid w:val="00C72009"/>
    <w:rsid w:val="00C720DC"/>
    <w:rsid w:val="00C7333D"/>
    <w:rsid w:val="00C73775"/>
    <w:rsid w:val="00C73CB2"/>
    <w:rsid w:val="00C73D70"/>
    <w:rsid w:val="00C74821"/>
    <w:rsid w:val="00C74CC1"/>
    <w:rsid w:val="00C74E7B"/>
    <w:rsid w:val="00C75E7D"/>
    <w:rsid w:val="00C7658C"/>
    <w:rsid w:val="00C76AA2"/>
    <w:rsid w:val="00C76C02"/>
    <w:rsid w:val="00C77165"/>
    <w:rsid w:val="00C7736B"/>
    <w:rsid w:val="00C77717"/>
    <w:rsid w:val="00C7784A"/>
    <w:rsid w:val="00C803D0"/>
    <w:rsid w:val="00C812AD"/>
    <w:rsid w:val="00C8143B"/>
    <w:rsid w:val="00C81743"/>
    <w:rsid w:val="00C8227A"/>
    <w:rsid w:val="00C84AA2"/>
    <w:rsid w:val="00C84E3E"/>
    <w:rsid w:val="00C85015"/>
    <w:rsid w:val="00C85EA2"/>
    <w:rsid w:val="00C86158"/>
    <w:rsid w:val="00C866F9"/>
    <w:rsid w:val="00C8716C"/>
    <w:rsid w:val="00C872DC"/>
    <w:rsid w:val="00C872F9"/>
    <w:rsid w:val="00C90248"/>
    <w:rsid w:val="00C90FA3"/>
    <w:rsid w:val="00C914E1"/>
    <w:rsid w:val="00C91BC3"/>
    <w:rsid w:val="00C91EEB"/>
    <w:rsid w:val="00C92468"/>
    <w:rsid w:val="00C92D77"/>
    <w:rsid w:val="00C93373"/>
    <w:rsid w:val="00C936B3"/>
    <w:rsid w:val="00C93CBA"/>
    <w:rsid w:val="00C93FF2"/>
    <w:rsid w:val="00C946D3"/>
    <w:rsid w:val="00C94CB3"/>
    <w:rsid w:val="00C9530A"/>
    <w:rsid w:val="00C95978"/>
    <w:rsid w:val="00C961E2"/>
    <w:rsid w:val="00C963F1"/>
    <w:rsid w:val="00C97537"/>
    <w:rsid w:val="00CA166C"/>
    <w:rsid w:val="00CA1A5A"/>
    <w:rsid w:val="00CA20B2"/>
    <w:rsid w:val="00CA241B"/>
    <w:rsid w:val="00CA25AF"/>
    <w:rsid w:val="00CA2892"/>
    <w:rsid w:val="00CA2EAD"/>
    <w:rsid w:val="00CA30BE"/>
    <w:rsid w:val="00CA3A70"/>
    <w:rsid w:val="00CA3B9D"/>
    <w:rsid w:val="00CA3CDE"/>
    <w:rsid w:val="00CA44D6"/>
    <w:rsid w:val="00CA5F69"/>
    <w:rsid w:val="00CA62E8"/>
    <w:rsid w:val="00CA6971"/>
    <w:rsid w:val="00CA6D01"/>
    <w:rsid w:val="00CB0099"/>
    <w:rsid w:val="00CB2D98"/>
    <w:rsid w:val="00CB3AEC"/>
    <w:rsid w:val="00CB4319"/>
    <w:rsid w:val="00CB4FDD"/>
    <w:rsid w:val="00CB5C4C"/>
    <w:rsid w:val="00CB7346"/>
    <w:rsid w:val="00CC033A"/>
    <w:rsid w:val="00CC04CC"/>
    <w:rsid w:val="00CC0FA4"/>
    <w:rsid w:val="00CC111F"/>
    <w:rsid w:val="00CC1936"/>
    <w:rsid w:val="00CC1DF8"/>
    <w:rsid w:val="00CC1FF3"/>
    <w:rsid w:val="00CC2648"/>
    <w:rsid w:val="00CC4004"/>
    <w:rsid w:val="00CC4F4E"/>
    <w:rsid w:val="00CC5103"/>
    <w:rsid w:val="00CC5C47"/>
    <w:rsid w:val="00CC6DA3"/>
    <w:rsid w:val="00CC73EB"/>
    <w:rsid w:val="00CC7A2D"/>
    <w:rsid w:val="00CC7E92"/>
    <w:rsid w:val="00CD0C19"/>
    <w:rsid w:val="00CD1260"/>
    <w:rsid w:val="00CD18D5"/>
    <w:rsid w:val="00CD2070"/>
    <w:rsid w:val="00CD3566"/>
    <w:rsid w:val="00CD39FC"/>
    <w:rsid w:val="00CD3A5A"/>
    <w:rsid w:val="00CD4555"/>
    <w:rsid w:val="00CD45DC"/>
    <w:rsid w:val="00CD4A10"/>
    <w:rsid w:val="00CD4D5A"/>
    <w:rsid w:val="00CD50DC"/>
    <w:rsid w:val="00CD5189"/>
    <w:rsid w:val="00CD520F"/>
    <w:rsid w:val="00CD535D"/>
    <w:rsid w:val="00CD554E"/>
    <w:rsid w:val="00CD6192"/>
    <w:rsid w:val="00CD6A62"/>
    <w:rsid w:val="00CD75DE"/>
    <w:rsid w:val="00CD7E34"/>
    <w:rsid w:val="00CE04BA"/>
    <w:rsid w:val="00CE06C5"/>
    <w:rsid w:val="00CE0BAB"/>
    <w:rsid w:val="00CE0EAA"/>
    <w:rsid w:val="00CE15C2"/>
    <w:rsid w:val="00CE1879"/>
    <w:rsid w:val="00CE1932"/>
    <w:rsid w:val="00CE1A4F"/>
    <w:rsid w:val="00CE2012"/>
    <w:rsid w:val="00CE28A8"/>
    <w:rsid w:val="00CE2D45"/>
    <w:rsid w:val="00CE2E46"/>
    <w:rsid w:val="00CE2EE4"/>
    <w:rsid w:val="00CE31FD"/>
    <w:rsid w:val="00CE3765"/>
    <w:rsid w:val="00CE393F"/>
    <w:rsid w:val="00CE3FF5"/>
    <w:rsid w:val="00CE5696"/>
    <w:rsid w:val="00CE59FC"/>
    <w:rsid w:val="00CE5E58"/>
    <w:rsid w:val="00CE6119"/>
    <w:rsid w:val="00CE704A"/>
    <w:rsid w:val="00CE7C79"/>
    <w:rsid w:val="00CE7F5E"/>
    <w:rsid w:val="00CF0778"/>
    <w:rsid w:val="00CF07C6"/>
    <w:rsid w:val="00CF0B4B"/>
    <w:rsid w:val="00CF1439"/>
    <w:rsid w:val="00CF1680"/>
    <w:rsid w:val="00CF196D"/>
    <w:rsid w:val="00CF1B1E"/>
    <w:rsid w:val="00CF1C20"/>
    <w:rsid w:val="00CF4482"/>
    <w:rsid w:val="00CF57CC"/>
    <w:rsid w:val="00CF66E4"/>
    <w:rsid w:val="00CF6851"/>
    <w:rsid w:val="00CF7A2B"/>
    <w:rsid w:val="00CF7C12"/>
    <w:rsid w:val="00CF7DCA"/>
    <w:rsid w:val="00D00257"/>
    <w:rsid w:val="00D00EB7"/>
    <w:rsid w:val="00D02603"/>
    <w:rsid w:val="00D0267F"/>
    <w:rsid w:val="00D0328B"/>
    <w:rsid w:val="00D049DE"/>
    <w:rsid w:val="00D04DA7"/>
    <w:rsid w:val="00D0579A"/>
    <w:rsid w:val="00D05EEB"/>
    <w:rsid w:val="00D0776C"/>
    <w:rsid w:val="00D077ED"/>
    <w:rsid w:val="00D07C61"/>
    <w:rsid w:val="00D10048"/>
    <w:rsid w:val="00D104B5"/>
    <w:rsid w:val="00D10788"/>
    <w:rsid w:val="00D10D12"/>
    <w:rsid w:val="00D111AB"/>
    <w:rsid w:val="00D12844"/>
    <w:rsid w:val="00D129D3"/>
    <w:rsid w:val="00D12B17"/>
    <w:rsid w:val="00D13C89"/>
    <w:rsid w:val="00D14325"/>
    <w:rsid w:val="00D14B79"/>
    <w:rsid w:val="00D155A3"/>
    <w:rsid w:val="00D168C2"/>
    <w:rsid w:val="00D169D7"/>
    <w:rsid w:val="00D16DEF"/>
    <w:rsid w:val="00D17DC6"/>
    <w:rsid w:val="00D2044D"/>
    <w:rsid w:val="00D20EC4"/>
    <w:rsid w:val="00D2132A"/>
    <w:rsid w:val="00D21C50"/>
    <w:rsid w:val="00D22426"/>
    <w:rsid w:val="00D24452"/>
    <w:rsid w:val="00D24DC2"/>
    <w:rsid w:val="00D24EF9"/>
    <w:rsid w:val="00D2641B"/>
    <w:rsid w:val="00D26B61"/>
    <w:rsid w:val="00D273A2"/>
    <w:rsid w:val="00D31700"/>
    <w:rsid w:val="00D31BF6"/>
    <w:rsid w:val="00D31E19"/>
    <w:rsid w:val="00D31E1A"/>
    <w:rsid w:val="00D33763"/>
    <w:rsid w:val="00D344DF"/>
    <w:rsid w:val="00D3488D"/>
    <w:rsid w:val="00D348CD"/>
    <w:rsid w:val="00D349E8"/>
    <w:rsid w:val="00D35A01"/>
    <w:rsid w:val="00D36529"/>
    <w:rsid w:val="00D37053"/>
    <w:rsid w:val="00D408DE"/>
    <w:rsid w:val="00D41132"/>
    <w:rsid w:val="00D41317"/>
    <w:rsid w:val="00D416A8"/>
    <w:rsid w:val="00D416FF"/>
    <w:rsid w:val="00D41BE1"/>
    <w:rsid w:val="00D4229D"/>
    <w:rsid w:val="00D42D8E"/>
    <w:rsid w:val="00D4316F"/>
    <w:rsid w:val="00D43335"/>
    <w:rsid w:val="00D44176"/>
    <w:rsid w:val="00D444F4"/>
    <w:rsid w:val="00D44B2E"/>
    <w:rsid w:val="00D44D3C"/>
    <w:rsid w:val="00D45BF0"/>
    <w:rsid w:val="00D4662E"/>
    <w:rsid w:val="00D47517"/>
    <w:rsid w:val="00D500E0"/>
    <w:rsid w:val="00D52A70"/>
    <w:rsid w:val="00D5337E"/>
    <w:rsid w:val="00D53BC0"/>
    <w:rsid w:val="00D53CF5"/>
    <w:rsid w:val="00D547C6"/>
    <w:rsid w:val="00D54B05"/>
    <w:rsid w:val="00D55DB3"/>
    <w:rsid w:val="00D55E0C"/>
    <w:rsid w:val="00D5656E"/>
    <w:rsid w:val="00D565B0"/>
    <w:rsid w:val="00D571DF"/>
    <w:rsid w:val="00D60408"/>
    <w:rsid w:val="00D608E9"/>
    <w:rsid w:val="00D60AA7"/>
    <w:rsid w:val="00D616B0"/>
    <w:rsid w:val="00D61D73"/>
    <w:rsid w:val="00D62954"/>
    <w:rsid w:val="00D63388"/>
    <w:rsid w:val="00D63410"/>
    <w:rsid w:val="00D63E9D"/>
    <w:rsid w:val="00D64426"/>
    <w:rsid w:val="00D6486C"/>
    <w:rsid w:val="00D648DC"/>
    <w:rsid w:val="00D66286"/>
    <w:rsid w:val="00D67455"/>
    <w:rsid w:val="00D67E32"/>
    <w:rsid w:val="00D700AC"/>
    <w:rsid w:val="00D707F1"/>
    <w:rsid w:val="00D7121E"/>
    <w:rsid w:val="00D71B2E"/>
    <w:rsid w:val="00D728B7"/>
    <w:rsid w:val="00D72CBF"/>
    <w:rsid w:val="00D72EEB"/>
    <w:rsid w:val="00D733B7"/>
    <w:rsid w:val="00D734EE"/>
    <w:rsid w:val="00D7352C"/>
    <w:rsid w:val="00D743C9"/>
    <w:rsid w:val="00D7471A"/>
    <w:rsid w:val="00D7515B"/>
    <w:rsid w:val="00D76FD3"/>
    <w:rsid w:val="00D77327"/>
    <w:rsid w:val="00D77586"/>
    <w:rsid w:val="00D777C6"/>
    <w:rsid w:val="00D77FA2"/>
    <w:rsid w:val="00D8145E"/>
    <w:rsid w:val="00D81D69"/>
    <w:rsid w:val="00D81E02"/>
    <w:rsid w:val="00D8316D"/>
    <w:rsid w:val="00D831A9"/>
    <w:rsid w:val="00D854D0"/>
    <w:rsid w:val="00D859D7"/>
    <w:rsid w:val="00D862B5"/>
    <w:rsid w:val="00D8650E"/>
    <w:rsid w:val="00D865F7"/>
    <w:rsid w:val="00D869A5"/>
    <w:rsid w:val="00D8710E"/>
    <w:rsid w:val="00D87529"/>
    <w:rsid w:val="00D876B0"/>
    <w:rsid w:val="00D87A13"/>
    <w:rsid w:val="00D87B68"/>
    <w:rsid w:val="00D90378"/>
    <w:rsid w:val="00D90BC0"/>
    <w:rsid w:val="00D90C81"/>
    <w:rsid w:val="00D910AA"/>
    <w:rsid w:val="00D9194F"/>
    <w:rsid w:val="00D9198F"/>
    <w:rsid w:val="00D91D10"/>
    <w:rsid w:val="00D924EF"/>
    <w:rsid w:val="00D926E1"/>
    <w:rsid w:val="00D92776"/>
    <w:rsid w:val="00D92920"/>
    <w:rsid w:val="00D93C71"/>
    <w:rsid w:val="00D948D7"/>
    <w:rsid w:val="00D94A5C"/>
    <w:rsid w:val="00D94F47"/>
    <w:rsid w:val="00D9663A"/>
    <w:rsid w:val="00D96F1D"/>
    <w:rsid w:val="00DA004B"/>
    <w:rsid w:val="00DA0E70"/>
    <w:rsid w:val="00DA2246"/>
    <w:rsid w:val="00DA2A35"/>
    <w:rsid w:val="00DA2C2D"/>
    <w:rsid w:val="00DA3395"/>
    <w:rsid w:val="00DA3B73"/>
    <w:rsid w:val="00DA43A5"/>
    <w:rsid w:val="00DA4815"/>
    <w:rsid w:val="00DA4A02"/>
    <w:rsid w:val="00DA4CE4"/>
    <w:rsid w:val="00DA54A0"/>
    <w:rsid w:val="00DA56FA"/>
    <w:rsid w:val="00DA5997"/>
    <w:rsid w:val="00DA64D2"/>
    <w:rsid w:val="00DA6605"/>
    <w:rsid w:val="00DA7198"/>
    <w:rsid w:val="00DA785F"/>
    <w:rsid w:val="00DA78DD"/>
    <w:rsid w:val="00DA7FC3"/>
    <w:rsid w:val="00DB027C"/>
    <w:rsid w:val="00DB0963"/>
    <w:rsid w:val="00DB1211"/>
    <w:rsid w:val="00DB27D1"/>
    <w:rsid w:val="00DB3F23"/>
    <w:rsid w:val="00DB41AC"/>
    <w:rsid w:val="00DB512F"/>
    <w:rsid w:val="00DB562E"/>
    <w:rsid w:val="00DB56B7"/>
    <w:rsid w:val="00DB5DBB"/>
    <w:rsid w:val="00DB66C5"/>
    <w:rsid w:val="00DC03F1"/>
    <w:rsid w:val="00DC0695"/>
    <w:rsid w:val="00DC1376"/>
    <w:rsid w:val="00DC1BAE"/>
    <w:rsid w:val="00DC4074"/>
    <w:rsid w:val="00DC4B6D"/>
    <w:rsid w:val="00DC4EF5"/>
    <w:rsid w:val="00DC53C5"/>
    <w:rsid w:val="00DC548E"/>
    <w:rsid w:val="00DC5571"/>
    <w:rsid w:val="00DC5C21"/>
    <w:rsid w:val="00DC625B"/>
    <w:rsid w:val="00DC66CD"/>
    <w:rsid w:val="00DC6814"/>
    <w:rsid w:val="00DC6A0B"/>
    <w:rsid w:val="00DC7247"/>
    <w:rsid w:val="00DC795C"/>
    <w:rsid w:val="00DC7D57"/>
    <w:rsid w:val="00DD0AFA"/>
    <w:rsid w:val="00DD0B5D"/>
    <w:rsid w:val="00DD0F21"/>
    <w:rsid w:val="00DD0F30"/>
    <w:rsid w:val="00DD0F70"/>
    <w:rsid w:val="00DD17A1"/>
    <w:rsid w:val="00DD1DE2"/>
    <w:rsid w:val="00DD22C4"/>
    <w:rsid w:val="00DD2529"/>
    <w:rsid w:val="00DD2A98"/>
    <w:rsid w:val="00DD3523"/>
    <w:rsid w:val="00DD3605"/>
    <w:rsid w:val="00DD4F7A"/>
    <w:rsid w:val="00DD502A"/>
    <w:rsid w:val="00DD50A6"/>
    <w:rsid w:val="00DD564E"/>
    <w:rsid w:val="00DD6569"/>
    <w:rsid w:val="00DD7EDA"/>
    <w:rsid w:val="00DD7F39"/>
    <w:rsid w:val="00DE0941"/>
    <w:rsid w:val="00DE0BA8"/>
    <w:rsid w:val="00DE1161"/>
    <w:rsid w:val="00DE1417"/>
    <w:rsid w:val="00DE174D"/>
    <w:rsid w:val="00DE1A47"/>
    <w:rsid w:val="00DE1E8C"/>
    <w:rsid w:val="00DE220D"/>
    <w:rsid w:val="00DE22B3"/>
    <w:rsid w:val="00DE27DA"/>
    <w:rsid w:val="00DE3C29"/>
    <w:rsid w:val="00DE46A8"/>
    <w:rsid w:val="00DE5730"/>
    <w:rsid w:val="00DE676E"/>
    <w:rsid w:val="00DE695E"/>
    <w:rsid w:val="00DE7253"/>
    <w:rsid w:val="00DE766D"/>
    <w:rsid w:val="00DF0327"/>
    <w:rsid w:val="00DF085D"/>
    <w:rsid w:val="00DF0DD4"/>
    <w:rsid w:val="00DF14FC"/>
    <w:rsid w:val="00DF210A"/>
    <w:rsid w:val="00DF21AE"/>
    <w:rsid w:val="00DF24CD"/>
    <w:rsid w:val="00DF2563"/>
    <w:rsid w:val="00DF2803"/>
    <w:rsid w:val="00DF2D87"/>
    <w:rsid w:val="00DF332D"/>
    <w:rsid w:val="00DF40C7"/>
    <w:rsid w:val="00DF50DA"/>
    <w:rsid w:val="00DF586D"/>
    <w:rsid w:val="00DF5AEB"/>
    <w:rsid w:val="00DF5DC7"/>
    <w:rsid w:val="00DF66D6"/>
    <w:rsid w:val="00DF671B"/>
    <w:rsid w:val="00DF70E2"/>
    <w:rsid w:val="00DF79AD"/>
    <w:rsid w:val="00E00641"/>
    <w:rsid w:val="00E00CC6"/>
    <w:rsid w:val="00E00D8C"/>
    <w:rsid w:val="00E01149"/>
    <w:rsid w:val="00E01437"/>
    <w:rsid w:val="00E0172C"/>
    <w:rsid w:val="00E035C4"/>
    <w:rsid w:val="00E03ED8"/>
    <w:rsid w:val="00E0460F"/>
    <w:rsid w:val="00E048F2"/>
    <w:rsid w:val="00E04C83"/>
    <w:rsid w:val="00E04D12"/>
    <w:rsid w:val="00E05A68"/>
    <w:rsid w:val="00E06230"/>
    <w:rsid w:val="00E06CEE"/>
    <w:rsid w:val="00E07669"/>
    <w:rsid w:val="00E07B1F"/>
    <w:rsid w:val="00E07C76"/>
    <w:rsid w:val="00E108B1"/>
    <w:rsid w:val="00E10BAA"/>
    <w:rsid w:val="00E11B9A"/>
    <w:rsid w:val="00E1204A"/>
    <w:rsid w:val="00E12E12"/>
    <w:rsid w:val="00E135E2"/>
    <w:rsid w:val="00E13C2C"/>
    <w:rsid w:val="00E14258"/>
    <w:rsid w:val="00E14720"/>
    <w:rsid w:val="00E14743"/>
    <w:rsid w:val="00E14AA8"/>
    <w:rsid w:val="00E14C2B"/>
    <w:rsid w:val="00E14E4E"/>
    <w:rsid w:val="00E15315"/>
    <w:rsid w:val="00E1617F"/>
    <w:rsid w:val="00E162B3"/>
    <w:rsid w:val="00E1653B"/>
    <w:rsid w:val="00E1668F"/>
    <w:rsid w:val="00E20109"/>
    <w:rsid w:val="00E201E6"/>
    <w:rsid w:val="00E21689"/>
    <w:rsid w:val="00E21C38"/>
    <w:rsid w:val="00E21C78"/>
    <w:rsid w:val="00E21D0E"/>
    <w:rsid w:val="00E22B2B"/>
    <w:rsid w:val="00E23CAC"/>
    <w:rsid w:val="00E23E75"/>
    <w:rsid w:val="00E242FF"/>
    <w:rsid w:val="00E24A1A"/>
    <w:rsid w:val="00E2627D"/>
    <w:rsid w:val="00E26693"/>
    <w:rsid w:val="00E26C7B"/>
    <w:rsid w:val="00E27ED8"/>
    <w:rsid w:val="00E3018E"/>
    <w:rsid w:val="00E31EF6"/>
    <w:rsid w:val="00E32465"/>
    <w:rsid w:val="00E3382F"/>
    <w:rsid w:val="00E34187"/>
    <w:rsid w:val="00E355B4"/>
    <w:rsid w:val="00E361D5"/>
    <w:rsid w:val="00E36510"/>
    <w:rsid w:val="00E36C0C"/>
    <w:rsid w:val="00E36C6B"/>
    <w:rsid w:val="00E36EF3"/>
    <w:rsid w:val="00E40F54"/>
    <w:rsid w:val="00E4103B"/>
    <w:rsid w:val="00E4107F"/>
    <w:rsid w:val="00E41C12"/>
    <w:rsid w:val="00E41EBD"/>
    <w:rsid w:val="00E42D70"/>
    <w:rsid w:val="00E4359F"/>
    <w:rsid w:val="00E439FF"/>
    <w:rsid w:val="00E4506E"/>
    <w:rsid w:val="00E45287"/>
    <w:rsid w:val="00E45644"/>
    <w:rsid w:val="00E47169"/>
    <w:rsid w:val="00E4774B"/>
    <w:rsid w:val="00E479D8"/>
    <w:rsid w:val="00E503EE"/>
    <w:rsid w:val="00E50CBA"/>
    <w:rsid w:val="00E50F31"/>
    <w:rsid w:val="00E51235"/>
    <w:rsid w:val="00E51243"/>
    <w:rsid w:val="00E5265D"/>
    <w:rsid w:val="00E537C6"/>
    <w:rsid w:val="00E5422E"/>
    <w:rsid w:val="00E54359"/>
    <w:rsid w:val="00E5453A"/>
    <w:rsid w:val="00E5461A"/>
    <w:rsid w:val="00E54FC4"/>
    <w:rsid w:val="00E55475"/>
    <w:rsid w:val="00E555C0"/>
    <w:rsid w:val="00E55DF7"/>
    <w:rsid w:val="00E568BF"/>
    <w:rsid w:val="00E57600"/>
    <w:rsid w:val="00E5766B"/>
    <w:rsid w:val="00E606EB"/>
    <w:rsid w:val="00E60700"/>
    <w:rsid w:val="00E60D28"/>
    <w:rsid w:val="00E620A2"/>
    <w:rsid w:val="00E62CDC"/>
    <w:rsid w:val="00E64B88"/>
    <w:rsid w:val="00E65B0B"/>
    <w:rsid w:val="00E65D6B"/>
    <w:rsid w:val="00E66204"/>
    <w:rsid w:val="00E66AA0"/>
    <w:rsid w:val="00E6739C"/>
    <w:rsid w:val="00E701B2"/>
    <w:rsid w:val="00E70A90"/>
    <w:rsid w:val="00E70CE3"/>
    <w:rsid w:val="00E70FD5"/>
    <w:rsid w:val="00E711B1"/>
    <w:rsid w:val="00E712ED"/>
    <w:rsid w:val="00E719F5"/>
    <w:rsid w:val="00E729AA"/>
    <w:rsid w:val="00E729C8"/>
    <w:rsid w:val="00E731E0"/>
    <w:rsid w:val="00E749E2"/>
    <w:rsid w:val="00E75229"/>
    <w:rsid w:val="00E753FF"/>
    <w:rsid w:val="00E75AE5"/>
    <w:rsid w:val="00E75D4E"/>
    <w:rsid w:val="00E75F4D"/>
    <w:rsid w:val="00E76006"/>
    <w:rsid w:val="00E76104"/>
    <w:rsid w:val="00E7640D"/>
    <w:rsid w:val="00E76E5A"/>
    <w:rsid w:val="00E772C8"/>
    <w:rsid w:val="00E77C97"/>
    <w:rsid w:val="00E80529"/>
    <w:rsid w:val="00E8073C"/>
    <w:rsid w:val="00E80B85"/>
    <w:rsid w:val="00E811CE"/>
    <w:rsid w:val="00E81675"/>
    <w:rsid w:val="00E822B5"/>
    <w:rsid w:val="00E838DB"/>
    <w:rsid w:val="00E842CE"/>
    <w:rsid w:val="00E843D0"/>
    <w:rsid w:val="00E853E2"/>
    <w:rsid w:val="00E85BD6"/>
    <w:rsid w:val="00E86B29"/>
    <w:rsid w:val="00E877C2"/>
    <w:rsid w:val="00E903D0"/>
    <w:rsid w:val="00E91DB5"/>
    <w:rsid w:val="00E91FC6"/>
    <w:rsid w:val="00E925CB"/>
    <w:rsid w:val="00E935E4"/>
    <w:rsid w:val="00E93A9A"/>
    <w:rsid w:val="00E93AF2"/>
    <w:rsid w:val="00E93D37"/>
    <w:rsid w:val="00E95E66"/>
    <w:rsid w:val="00E978D3"/>
    <w:rsid w:val="00E9795E"/>
    <w:rsid w:val="00E97AF9"/>
    <w:rsid w:val="00EA0BEB"/>
    <w:rsid w:val="00EA0F53"/>
    <w:rsid w:val="00EA1166"/>
    <w:rsid w:val="00EA11EA"/>
    <w:rsid w:val="00EA2240"/>
    <w:rsid w:val="00EA2408"/>
    <w:rsid w:val="00EA36E5"/>
    <w:rsid w:val="00EA3E0D"/>
    <w:rsid w:val="00EA49B0"/>
    <w:rsid w:val="00EA4B9B"/>
    <w:rsid w:val="00EA4C36"/>
    <w:rsid w:val="00EA512C"/>
    <w:rsid w:val="00EA5640"/>
    <w:rsid w:val="00EA69A1"/>
    <w:rsid w:val="00EA6EDC"/>
    <w:rsid w:val="00EA70FB"/>
    <w:rsid w:val="00EA7E76"/>
    <w:rsid w:val="00EA7F22"/>
    <w:rsid w:val="00EB061E"/>
    <w:rsid w:val="00EB07D6"/>
    <w:rsid w:val="00EB09AF"/>
    <w:rsid w:val="00EB1259"/>
    <w:rsid w:val="00EB1C2E"/>
    <w:rsid w:val="00EB2EBE"/>
    <w:rsid w:val="00EB3671"/>
    <w:rsid w:val="00EB37DD"/>
    <w:rsid w:val="00EB3A2C"/>
    <w:rsid w:val="00EB3CD1"/>
    <w:rsid w:val="00EB6AB8"/>
    <w:rsid w:val="00EB6AEA"/>
    <w:rsid w:val="00EB6DCF"/>
    <w:rsid w:val="00EB756F"/>
    <w:rsid w:val="00EB78F1"/>
    <w:rsid w:val="00EC01AA"/>
    <w:rsid w:val="00EC0659"/>
    <w:rsid w:val="00EC0955"/>
    <w:rsid w:val="00EC0E8B"/>
    <w:rsid w:val="00EC0F52"/>
    <w:rsid w:val="00EC1116"/>
    <w:rsid w:val="00EC213F"/>
    <w:rsid w:val="00EC23FC"/>
    <w:rsid w:val="00EC24AC"/>
    <w:rsid w:val="00EC26F5"/>
    <w:rsid w:val="00EC27FC"/>
    <w:rsid w:val="00EC294A"/>
    <w:rsid w:val="00EC325A"/>
    <w:rsid w:val="00EC3645"/>
    <w:rsid w:val="00EC50BB"/>
    <w:rsid w:val="00EC55F8"/>
    <w:rsid w:val="00EC5EDE"/>
    <w:rsid w:val="00EC66AA"/>
    <w:rsid w:val="00EC690B"/>
    <w:rsid w:val="00EC6B67"/>
    <w:rsid w:val="00EC6D0A"/>
    <w:rsid w:val="00EC71A0"/>
    <w:rsid w:val="00EC7EC8"/>
    <w:rsid w:val="00EC7ED5"/>
    <w:rsid w:val="00ED0099"/>
    <w:rsid w:val="00ED14FE"/>
    <w:rsid w:val="00ED1626"/>
    <w:rsid w:val="00ED2124"/>
    <w:rsid w:val="00ED234C"/>
    <w:rsid w:val="00ED2CC4"/>
    <w:rsid w:val="00ED3216"/>
    <w:rsid w:val="00ED370A"/>
    <w:rsid w:val="00ED3759"/>
    <w:rsid w:val="00ED38E5"/>
    <w:rsid w:val="00ED3907"/>
    <w:rsid w:val="00ED397A"/>
    <w:rsid w:val="00ED3D13"/>
    <w:rsid w:val="00ED3FF9"/>
    <w:rsid w:val="00ED4130"/>
    <w:rsid w:val="00ED5C8A"/>
    <w:rsid w:val="00ED5DAF"/>
    <w:rsid w:val="00ED63B1"/>
    <w:rsid w:val="00ED6D36"/>
    <w:rsid w:val="00ED7D5A"/>
    <w:rsid w:val="00EE0103"/>
    <w:rsid w:val="00EE1D2E"/>
    <w:rsid w:val="00EE22BD"/>
    <w:rsid w:val="00EE3CC6"/>
    <w:rsid w:val="00EE4160"/>
    <w:rsid w:val="00EE5649"/>
    <w:rsid w:val="00EE6152"/>
    <w:rsid w:val="00EE6190"/>
    <w:rsid w:val="00EE689E"/>
    <w:rsid w:val="00EE6F32"/>
    <w:rsid w:val="00EF03C1"/>
    <w:rsid w:val="00EF03C9"/>
    <w:rsid w:val="00EF1902"/>
    <w:rsid w:val="00EF27F7"/>
    <w:rsid w:val="00EF3888"/>
    <w:rsid w:val="00EF38BE"/>
    <w:rsid w:val="00EF3B3E"/>
    <w:rsid w:val="00EF3C26"/>
    <w:rsid w:val="00EF3FCA"/>
    <w:rsid w:val="00EF4817"/>
    <w:rsid w:val="00EF4BE8"/>
    <w:rsid w:val="00EF500B"/>
    <w:rsid w:val="00EF5522"/>
    <w:rsid w:val="00EF6C0B"/>
    <w:rsid w:val="00EF739D"/>
    <w:rsid w:val="00EF7597"/>
    <w:rsid w:val="00EF792B"/>
    <w:rsid w:val="00F0048E"/>
    <w:rsid w:val="00F012C2"/>
    <w:rsid w:val="00F018D3"/>
    <w:rsid w:val="00F0239F"/>
    <w:rsid w:val="00F02510"/>
    <w:rsid w:val="00F02B3F"/>
    <w:rsid w:val="00F02BFB"/>
    <w:rsid w:val="00F043B2"/>
    <w:rsid w:val="00F051AE"/>
    <w:rsid w:val="00F056BE"/>
    <w:rsid w:val="00F05EC3"/>
    <w:rsid w:val="00F05F2E"/>
    <w:rsid w:val="00F0672C"/>
    <w:rsid w:val="00F06BB6"/>
    <w:rsid w:val="00F06D94"/>
    <w:rsid w:val="00F07750"/>
    <w:rsid w:val="00F1069A"/>
    <w:rsid w:val="00F10A82"/>
    <w:rsid w:val="00F10ACD"/>
    <w:rsid w:val="00F10C3C"/>
    <w:rsid w:val="00F10D44"/>
    <w:rsid w:val="00F118CF"/>
    <w:rsid w:val="00F12632"/>
    <w:rsid w:val="00F12A6B"/>
    <w:rsid w:val="00F12EAC"/>
    <w:rsid w:val="00F12F75"/>
    <w:rsid w:val="00F14946"/>
    <w:rsid w:val="00F14B14"/>
    <w:rsid w:val="00F14B8F"/>
    <w:rsid w:val="00F15B6B"/>
    <w:rsid w:val="00F16A0C"/>
    <w:rsid w:val="00F17F86"/>
    <w:rsid w:val="00F20E21"/>
    <w:rsid w:val="00F20E4F"/>
    <w:rsid w:val="00F212C0"/>
    <w:rsid w:val="00F21783"/>
    <w:rsid w:val="00F219FE"/>
    <w:rsid w:val="00F22920"/>
    <w:rsid w:val="00F23C7C"/>
    <w:rsid w:val="00F24164"/>
    <w:rsid w:val="00F24184"/>
    <w:rsid w:val="00F2469F"/>
    <w:rsid w:val="00F251F4"/>
    <w:rsid w:val="00F252EF"/>
    <w:rsid w:val="00F259BB"/>
    <w:rsid w:val="00F26620"/>
    <w:rsid w:val="00F26BC6"/>
    <w:rsid w:val="00F26C34"/>
    <w:rsid w:val="00F27AC4"/>
    <w:rsid w:val="00F30072"/>
    <w:rsid w:val="00F30E2B"/>
    <w:rsid w:val="00F310E9"/>
    <w:rsid w:val="00F3179A"/>
    <w:rsid w:val="00F319CB"/>
    <w:rsid w:val="00F333E4"/>
    <w:rsid w:val="00F3349D"/>
    <w:rsid w:val="00F34EFE"/>
    <w:rsid w:val="00F34FAA"/>
    <w:rsid w:val="00F354DC"/>
    <w:rsid w:val="00F354F8"/>
    <w:rsid w:val="00F35737"/>
    <w:rsid w:val="00F35789"/>
    <w:rsid w:val="00F36571"/>
    <w:rsid w:val="00F3781A"/>
    <w:rsid w:val="00F4039A"/>
    <w:rsid w:val="00F40945"/>
    <w:rsid w:val="00F41107"/>
    <w:rsid w:val="00F41571"/>
    <w:rsid w:val="00F41D60"/>
    <w:rsid w:val="00F42224"/>
    <w:rsid w:val="00F42C00"/>
    <w:rsid w:val="00F43241"/>
    <w:rsid w:val="00F43438"/>
    <w:rsid w:val="00F43693"/>
    <w:rsid w:val="00F44AAE"/>
    <w:rsid w:val="00F44D64"/>
    <w:rsid w:val="00F452F7"/>
    <w:rsid w:val="00F45DCA"/>
    <w:rsid w:val="00F472AB"/>
    <w:rsid w:val="00F472E1"/>
    <w:rsid w:val="00F47720"/>
    <w:rsid w:val="00F50858"/>
    <w:rsid w:val="00F5119A"/>
    <w:rsid w:val="00F52C01"/>
    <w:rsid w:val="00F52DF7"/>
    <w:rsid w:val="00F52F7F"/>
    <w:rsid w:val="00F532F1"/>
    <w:rsid w:val="00F54273"/>
    <w:rsid w:val="00F54FD3"/>
    <w:rsid w:val="00F551E6"/>
    <w:rsid w:val="00F575AA"/>
    <w:rsid w:val="00F57752"/>
    <w:rsid w:val="00F57890"/>
    <w:rsid w:val="00F57D92"/>
    <w:rsid w:val="00F57E3B"/>
    <w:rsid w:val="00F6002E"/>
    <w:rsid w:val="00F6035A"/>
    <w:rsid w:val="00F6075E"/>
    <w:rsid w:val="00F609BD"/>
    <w:rsid w:val="00F61386"/>
    <w:rsid w:val="00F621F0"/>
    <w:rsid w:val="00F62463"/>
    <w:rsid w:val="00F6283E"/>
    <w:rsid w:val="00F62EA4"/>
    <w:rsid w:val="00F637F1"/>
    <w:rsid w:val="00F64284"/>
    <w:rsid w:val="00F64384"/>
    <w:rsid w:val="00F648D4"/>
    <w:rsid w:val="00F64F04"/>
    <w:rsid w:val="00F64FA0"/>
    <w:rsid w:val="00F6594F"/>
    <w:rsid w:val="00F659BB"/>
    <w:rsid w:val="00F65C63"/>
    <w:rsid w:val="00F663CE"/>
    <w:rsid w:val="00F66D17"/>
    <w:rsid w:val="00F66D93"/>
    <w:rsid w:val="00F70312"/>
    <w:rsid w:val="00F70395"/>
    <w:rsid w:val="00F71183"/>
    <w:rsid w:val="00F72227"/>
    <w:rsid w:val="00F726AB"/>
    <w:rsid w:val="00F72BE5"/>
    <w:rsid w:val="00F73B24"/>
    <w:rsid w:val="00F73FFC"/>
    <w:rsid w:val="00F7436A"/>
    <w:rsid w:val="00F75050"/>
    <w:rsid w:val="00F75290"/>
    <w:rsid w:val="00F753C6"/>
    <w:rsid w:val="00F754D5"/>
    <w:rsid w:val="00F7597A"/>
    <w:rsid w:val="00F75F32"/>
    <w:rsid w:val="00F76236"/>
    <w:rsid w:val="00F76431"/>
    <w:rsid w:val="00F766F1"/>
    <w:rsid w:val="00F7698F"/>
    <w:rsid w:val="00F76BAB"/>
    <w:rsid w:val="00F76E1E"/>
    <w:rsid w:val="00F77038"/>
    <w:rsid w:val="00F774B3"/>
    <w:rsid w:val="00F800CA"/>
    <w:rsid w:val="00F818AC"/>
    <w:rsid w:val="00F818C7"/>
    <w:rsid w:val="00F81D04"/>
    <w:rsid w:val="00F821CA"/>
    <w:rsid w:val="00F825A9"/>
    <w:rsid w:val="00F82762"/>
    <w:rsid w:val="00F82F45"/>
    <w:rsid w:val="00F831E9"/>
    <w:rsid w:val="00F83363"/>
    <w:rsid w:val="00F83668"/>
    <w:rsid w:val="00F83814"/>
    <w:rsid w:val="00F83C2F"/>
    <w:rsid w:val="00F85973"/>
    <w:rsid w:val="00F85CDD"/>
    <w:rsid w:val="00F85EEB"/>
    <w:rsid w:val="00F86D0A"/>
    <w:rsid w:val="00F8787A"/>
    <w:rsid w:val="00F87F43"/>
    <w:rsid w:val="00F87FC3"/>
    <w:rsid w:val="00F90885"/>
    <w:rsid w:val="00F91FB4"/>
    <w:rsid w:val="00F92067"/>
    <w:rsid w:val="00F921DC"/>
    <w:rsid w:val="00F923DB"/>
    <w:rsid w:val="00F9247E"/>
    <w:rsid w:val="00F92A58"/>
    <w:rsid w:val="00F92F4B"/>
    <w:rsid w:val="00F93383"/>
    <w:rsid w:val="00F945CA"/>
    <w:rsid w:val="00F94624"/>
    <w:rsid w:val="00F95312"/>
    <w:rsid w:val="00F95B90"/>
    <w:rsid w:val="00F9663A"/>
    <w:rsid w:val="00F968BC"/>
    <w:rsid w:val="00F96C67"/>
    <w:rsid w:val="00F97487"/>
    <w:rsid w:val="00F975E8"/>
    <w:rsid w:val="00F97D26"/>
    <w:rsid w:val="00FA00BE"/>
    <w:rsid w:val="00FA0FC9"/>
    <w:rsid w:val="00FA19D1"/>
    <w:rsid w:val="00FA29F7"/>
    <w:rsid w:val="00FA2BCE"/>
    <w:rsid w:val="00FA3CE8"/>
    <w:rsid w:val="00FA3F7E"/>
    <w:rsid w:val="00FA4299"/>
    <w:rsid w:val="00FA44C0"/>
    <w:rsid w:val="00FA5219"/>
    <w:rsid w:val="00FA5B94"/>
    <w:rsid w:val="00FA65E9"/>
    <w:rsid w:val="00FA7A96"/>
    <w:rsid w:val="00FB06C7"/>
    <w:rsid w:val="00FB1726"/>
    <w:rsid w:val="00FB22A1"/>
    <w:rsid w:val="00FB411B"/>
    <w:rsid w:val="00FB45D1"/>
    <w:rsid w:val="00FB4883"/>
    <w:rsid w:val="00FB4DBF"/>
    <w:rsid w:val="00FB599A"/>
    <w:rsid w:val="00FB659A"/>
    <w:rsid w:val="00FB7208"/>
    <w:rsid w:val="00FC00A1"/>
    <w:rsid w:val="00FC0620"/>
    <w:rsid w:val="00FC0EF4"/>
    <w:rsid w:val="00FC2E01"/>
    <w:rsid w:val="00FC3250"/>
    <w:rsid w:val="00FC32D4"/>
    <w:rsid w:val="00FC5F4A"/>
    <w:rsid w:val="00FC7203"/>
    <w:rsid w:val="00FC7581"/>
    <w:rsid w:val="00FC7F07"/>
    <w:rsid w:val="00FD089B"/>
    <w:rsid w:val="00FD0C13"/>
    <w:rsid w:val="00FD0EA5"/>
    <w:rsid w:val="00FD1241"/>
    <w:rsid w:val="00FD14C3"/>
    <w:rsid w:val="00FD1FB1"/>
    <w:rsid w:val="00FD22A7"/>
    <w:rsid w:val="00FD22E5"/>
    <w:rsid w:val="00FD29EF"/>
    <w:rsid w:val="00FD2AA1"/>
    <w:rsid w:val="00FD2DA3"/>
    <w:rsid w:val="00FD2FBE"/>
    <w:rsid w:val="00FD360A"/>
    <w:rsid w:val="00FD3BFB"/>
    <w:rsid w:val="00FD3E4E"/>
    <w:rsid w:val="00FD3F8E"/>
    <w:rsid w:val="00FD4568"/>
    <w:rsid w:val="00FD50FA"/>
    <w:rsid w:val="00FD524A"/>
    <w:rsid w:val="00FD5CA3"/>
    <w:rsid w:val="00FD6131"/>
    <w:rsid w:val="00FD61EA"/>
    <w:rsid w:val="00FD668F"/>
    <w:rsid w:val="00FD73E3"/>
    <w:rsid w:val="00FE0B98"/>
    <w:rsid w:val="00FE1404"/>
    <w:rsid w:val="00FE1941"/>
    <w:rsid w:val="00FE2500"/>
    <w:rsid w:val="00FE25F5"/>
    <w:rsid w:val="00FE2EE2"/>
    <w:rsid w:val="00FE3F8E"/>
    <w:rsid w:val="00FE4114"/>
    <w:rsid w:val="00FE4F9C"/>
    <w:rsid w:val="00FE5D5E"/>
    <w:rsid w:val="00FE620F"/>
    <w:rsid w:val="00FE6E46"/>
    <w:rsid w:val="00FE7490"/>
    <w:rsid w:val="00FE775A"/>
    <w:rsid w:val="00FF0C8A"/>
    <w:rsid w:val="00FF0FBA"/>
    <w:rsid w:val="00FF101F"/>
    <w:rsid w:val="00FF1E1C"/>
    <w:rsid w:val="00FF2FA0"/>
    <w:rsid w:val="00FF3720"/>
    <w:rsid w:val="00FF3D1E"/>
    <w:rsid w:val="00FF439D"/>
    <w:rsid w:val="00FF4775"/>
    <w:rsid w:val="00FF5037"/>
    <w:rsid w:val="00FF515F"/>
    <w:rsid w:val="00FF5E37"/>
    <w:rsid w:val="00FF7FE2"/>
    <w:rsid w:val="017BC192"/>
    <w:rsid w:val="01E92649"/>
    <w:rsid w:val="02AADD26"/>
    <w:rsid w:val="03A43561"/>
    <w:rsid w:val="03F3997E"/>
    <w:rsid w:val="04F3A491"/>
    <w:rsid w:val="065D66D4"/>
    <w:rsid w:val="0698CECF"/>
    <w:rsid w:val="08A49FEB"/>
    <w:rsid w:val="0B7AA8DB"/>
    <w:rsid w:val="14729102"/>
    <w:rsid w:val="16CF9F24"/>
    <w:rsid w:val="17E4A9C5"/>
    <w:rsid w:val="181D8DD9"/>
    <w:rsid w:val="1C9541E0"/>
    <w:rsid w:val="200D71B9"/>
    <w:rsid w:val="215A5997"/>
    <w:rsid w:val="32F742D6"/>
    <w:rsid w:val="3532DB77"/>
    <w:rsid w:val="3B3E781A"/>
    <w:rsid w:val="3C48A8D4"/>
    <w:rsid w:val="3EE17061"/>
    <w:rsid w:val="4325D3BC"/>
    <w:rsid w:val="44A44096"/>
    <w:rsid w:val="459FA0F5"/>
    <w:rsid w:val="480CAE36"/>
    <w:rsid w:val="49D38814"/>
    <w:rsid w:val="4ED62541"/>
    <w:rsid w:val="4F0D7F2D"/>
    <w:rsid w:val="526CAEA3"/>
    <w:rsid w:val="53598C98"/>
    <w:rsid w:val="54AF4E80"/>
    <w:rsid w:val="55F1F280"/>
    <w:rsid w:val="572EF34F"/>
    <w:rsid w:val="5EDF1501"/>
    <w:rsid w:val="63ADD74D"/>
    <w:rsid w:val="68932FAD"/>
    <w:rsid w:val="6C2C0FA0"/>
    <w:rsid w:val="6D731896"/>
    <w:rsid w:val="6F7ADE6B"/>
    <w:rsid w:val="6FF2EDC4"/>
    <w:rsid w:val="702E6EBF"/>
    <w:rsid w:val="71E936EE"/>
    <w:rsid w:val="74109454"/>
    <w:rsid w:val="75AC71F4"/>
    <w:rsid w:val="7B784C0D"/>
    <w:rsid w:val="7E8851FF"/>
    <w:rsid w:val="7F6FBC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B87D"/>
  <w15:chartTrackingRefBased/>
  <w15:docId w15:val="{8DAB6F86-6EE7-2C4D-AB83-9427C937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F0"/>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CH1"/>
    <w:next w:val="Normalnumber"/>
    <w:link w:val="Heading1Char"/>
    <w:rsid w:val="00E20109"/>
    <w:pPr>
      <w:numPr>
        <w:numId w:val="5"/>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20109"/>
    <w:pPr>
      <w:numPr>
        <w:numId w:val="178"/>
      </w:numPr>
      <w:tabs>
        <w:tab w:val="clear" w:pos="851"/>
        <w:tab w:val="clear" w:pos="1247"/>
        <w:tab w:val="clear" w:pos="4990"/>
      </w:tabs>
      <w:outlineLvl w:val="1"/>
    </w:pPr>
  </w:style>
  <w:style w:type="paragraph" w:styleId="Heading3">
    <w:name w:val="heading 3"/>
    <w:basedOn w:val="CH3"/>
    <w:next w:val="Normalnumber"/>
    <w:link w:val="Heading3Char"/>
    <w:rsid w:val="00E20109"/>
    <w:pPr>
      <w:numPr>
        <w:numId w:val="179"/>
      </w:numPr>
      <w:tabs>
        <w:tab w:val="clear" w:pos="851"/>
        <w:tab w:val="clear" w:pos="1247"/>
        <w:tab w:val="clear" w:pos="4990"/>
      </w:tabs>
      <w:outlineLvl w:val="2"/>
    </w:pPr>
  </w:style>
  <w:style w:type="paragraph" w:styleId="Heading4">
    <w:name w:val="heading 4"/>
    <w:basedOn w:val="Normal"/>
    <w:next w:val="Normalnumber"/>
    <w:link w:val="Heading4Char"/>
    <w:rsid w:val="00E20109"/>
    <w:pPr>
      <w:keepNext/>
      <w:keepLines/>
      <w:numPr>
        <w:ilvl w:val="3"/>
        <w:numId w:val="5"/>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20109"/>
    <w:pPr>
      <w:numPr>
        <w:numId w:val="180"/>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E20109"/>
    <w:pPr>
      <w:numPr>
        <w:ilvl w:val="5"/>
        <w:numId w:val="5"/>
      </w:numPr>
      <w:tabs>
        <w:tab w:val="clear" w:pos="1247"/>
        <w:tab w:val="clear" w:pos="4990"/>
      </w:tabs>
      <w:outlineLvl w:val="5"/>
    </w:pPr>
    <w:rPr>
      <w:b w:val="0"/>
      <w:bCs/>
      <w:sz w:val="24"/>
    </w:rPr>
  </w:style>
  <w:style w:type="paragraph" w:styleId="Heading7">
    <w:name w:val="heading 7"/>
    <w:basedOn w:val="CH5"/>
    <w:next w:val="Normalnumber"/>
    <w:link w:val="Heading7Char"/>
    <w:semiHidden/>
    <w:rsid w:val="00E20109"/>
    <w:pPr>
      <w:widowControl w:val="0"/>
      <w:numPr>
        <w:ilvl w:val="6"/>
        <w:numId w:val="5"/>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E20109"/>
    <w:pPr>
      <w:widowControl w:val="0"/>
      <w:numPr>
        <w:ilvl w:val="7"/>
        <w:numId w:val="5"/>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E20109"/>
    <w:pPr>
      <w:keepNext/>
      <w:widowControl w:val="0"/>
      <w:numPr>
        <w:ilvl w:val="8"/>
        <w:numId w:val="5"/>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109"/>
    <w:rPr>
      <w:rFonts w:ascii="Times New Roman" w:eastAsia="Times New Roman" w:hAnsi="Times New Roman" w:cs="Times New Roman"/>
      <w:b/>
      <w:kern w:val="0"/>
      <w:sz w:val="28"/>
      <w:szCs w:val="28"/>
      <w:lang w:eastAsia="en-US"/>
      <w14:ligatures w14:val="none"/>
    </w:rPr>
  </w:style>
  <w:style w:type="character" w:customStyle="1" w:styleId="Heading2Char">
    <w:name w:val="Heading 2 Char"/>
    <w:basedOn w:val="DefaultParagraphFont"/>
    <w:link w:val="Heading2"/>
    <w:rsid w:val="00E20109"/>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rsid w:val="00E20109"/>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rsid w:val="00E20109"/>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rsid w:val="00E20109"/>
    <w:rPr>
      <w:rFonts w:ascii="Times New Roman" w:eastAsia="Times New Roman" w:hAnsi="Times New Roman" w:cs="Times New Roman"/>
      <w:b/>
      <w:kern w:val="0"/>
      <w:sz w:val="20"/>
      <w:szCs w:val="20"/>
      <w:lang w:eastAsia="en-US"/>
      <w14:ligatures w14:val="none"/>
    </w:rPr>
  </w:style>
  <w:style w:type="character" w:customStyle="1" w:styleId="Heading6Char">
    <w:name w:val="Heading 6 Char"/>
    <w:basedOn w:val="DefaultParagraphFont"/>
    <w:link w:val="Heading6"/>
    <w:semiHidden/>
    <w:rsid w:val="00E20109"/>
    <w:rPr>
      <w:rFonts w:ascii="Times New Roman" w:eastAsia="Times New Roman" w:hAnsi="Times New Roman" w:cs="Times New Roman"/>
      <w:bCs/>
      <w:kern w:val="0"/>
      <w:sz w:val="24"/>
      <w:szCs w:val="20"/>
      <w:lang w:eastAsia="en-US"/>
      <w14:ligatures w14:val="none"/>
    </w:rPr>
  </w:style>
  <w:style w:type="character" w:customStyle="1" w:styleId="Heading7Char">
    <w:name w:val="Heading 7 Char"/>
    <w:basedOn w:val="DefaultParagraphFont"/>
    <w:link w:val="Heading7"/>
    <w:semiHidden/>
    <w:rsid w:val="00E20109"/>
    <w:rPr>
      <w:rFonts w:ascii="Times New Roman" w:eastAsia="Times New Roman" w:hAnsi="Times New Roman" w:cs="Times New Roman"/>
      <w:b/>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E20109"/>
    <w:rPr>
      <w:rFonts w:ascii="Times New Roman" w:eastAsia="Times New Roman" w:hAnsi="Times New Roman" w:cs="Times New Roman"/>
      <w:b/>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E20109"/>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E20109"/>
    <w:rPr>
      <w:rFonts w:ascii="Times New Roman" w:hAnsi="Times New Roman"/>
      <w:b/>
      <w:sz w:val="18"/>
      <w:lang w:val="en-GB"/>
    </w:rPr>
  </w:style>
  <w:style w:type="table" w:customStyle="1" w:styleId="Tabledocright">
    <w:name w:val="Table_doc_right"/>
    <w:basedOn w:val="TableNormal"/>
    <w:rsid w:val="00E20109"/>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20109"/>
    <w:pPr>
      <w:ind w:left="1000"/>
    </w:pPr>
    <w:rPr>
      <w:sz w:val="18"/>
      <w:szCs w:val="18"/>
    </w:rPr>
  </w:style>
  <w:style w:type="paragraph" w:styleId="TOC7">
    <w:name w:val="toc 7"/>
    <w:basedOn w:val="Normal"/>
    <w:next w:val="Normal"/>
    <w:autoRedefine/>
    <w:semiHidden/>
    <w:rsid w:val="00E20109"/>
    <w:pPr>
      <w:ind w:left="1200"/>
    </w:pPr>
    <w:rPr>
      <w:sz w:val="18"/>
      <w:szCs w:val="18"/>
    </w:rPr>
  </w:style>
  <w:style w:type="paragraph" w:styleId="TOC8">
    <w:name w:val="toc 8"/>
    <w:basedOn w:val="Normal"/>
    <w:next w:val="Normal"/>
    <w:autoRedefine/>
    <w:semiHidden/>
    <w:rsid w:val="00E20109"/>
    <w:pPr>
      <w:ind w:left="1400"/>
    </w:pPr>
    <w:rPr>
      <w:sz w:val="18"/>
      <w:szCs w:val="18"/>
    </w:rPr>
  </w:style>
  <w:style w:type="paragraph" w:styleId="TOC9">
    <w:name w:val="toc 9"/>
    <w:basedOn w:val="Normal"/>
    <w:next w:val="Normal"/>
    <w:autoRedefine/>
    <w:semiHidden/>
    <w:rsid w:val="00E20109"/>
    <w:pPr>
      <w:ind w:left="1600"/>
    </w:pPr>
    <w:rPr>
      <w:sz w:val="18"/>
      <w:szCs w:val="18"/>
    </w:rPr>
  </w:style>
  <w:style w:type="paragraph" w:customStyle="1" w:styleId="Titlefigure">
    <w:name w:val="Title_figure"/>
    <w:basedOn w:val="Titletable"/>
    <w:next w:val="NormalNonumber"/>
    <w:rsid w:val="00E20109"/>
    <w:pPr>
      <w:tabs>
        <w:tab w:val="clear" w:pos="4990"/>
      </w:tabs>
    </w:pPr>
    <w:rPr>
      <w:bCs w:val="0"/>
    </w:rPr>
  </w:style>
  <w:style w:type="paragraph" w:styleId="TableofFigures">
    <w:name w:val="table of figures"/>
    <w:basedOn w:val="Normal"/>
    <w:next w:val="Normal"/>
    <w:autoRedefine/>
    <w:semiHidden/>
    <w:rsid w:val="00E20109"/>
    <w:pPr>
      <w:ind w:left="1814" w:hanging="567"/>
    </w:pPr>
  </w:style>
  <w:style w:type="paragraph" w:customStyle="1" w:styleId="CH1">
    <w:name w:val="CH1"/>
    <w:basedOn w:val="Normal-pool"/>
    <w:next w:val="CH2"/>
    <w:link w:val="CH1Char"/>
    <w:qFormat/>
    <w:rsid w:val="00E2010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2010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E2010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E2010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E20109"/>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2010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20109"/>
    <w:pPr>
      <w:tabs>
        <w:tab w:val="left" w:pos="4321"/>
        <w:tab w:val="right" w:pos="8641"/>
      </w:tabs>
      <w:spacing w:before="60"/>
    </w:pPr>
    <w:rPr>
      <w:b/>
      <w:sz w:val="18"/>
    </w:rPr>
  </w:style>
  <w:style w:type="paragraph" w:customStyle="1" w:styleId="Footer-pool">
    <w:name w:val="Footer-pool"/>
    <w:basedOn w:val="Normal-pool"/>
    <w:next w:val="Normal-pool"/>
    <w:rsid w:val="00E20109"/>
    <w:pPr>
      <w:tabs>
        <w:tab w:val="right" w:pos="8641"/>
      </w:tabs>
      <w:spacing w:after="120"/>
    </w:pPr>
    <w:rPr>
      <w:b/>
      <w:sz w:val="18"/>
    </w:rPr>
  </w:style>
  <w:style w:type="paragraph" w:customStyle="1" w:styleId="Header-pool">
    <w:name w:val="Header-pool"/>
    <w:basedOn w:val="Normal"/>
    <w:next w:val="Normal"/>
    <w:rsid w:val="00E20109"/>
    <w:pPr>
      <w:pBdr>
        <w:bottom w:val="single" w:sz="4" w:space="1" w:color="auto"/>
      </w:pBdr>
      <w:tabs>
        <w:tab w:val="right" w:pos="9072"/>
      </w:tabs>
    </w:pPr>
    <w:rPr>
      <w:b/>
      <w:sz w:val="18"/>
    </w:rPr>
  </w:style>
  <w:style w:type="paragraph" w:customStyle="1" w:styleId="Normal-pool">
    <w:name w:val="Normal-pool"/>
    <w:link w:val="Normal-poolChar"/>
    <w:qFormat/>
    <w:rsid w:val="00E2010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val="en-GB" w:eastAsia="en-US"/>
      <w14:ligatures w14:val="none"/>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unhideWhenUsed/>
    <w:rsid w:val="00E20109"/>
    <w:rPr>
      <w:rFonts w:ascii="Times New Roman" w:hAnsi="Times New Roman"/>
      <w:color w:val="auto"/>
      <w:sz w:val="20"/>
      <w:szCs w:val="18"/>
      <w:vertAlign w:val="superscript"/>
      <w:lang w:val="en-GB"/>
    </w:rPr>
  </w:style>
  <w:style w:type="paragraph" w:styleId="FootnoteText">
    <w:name w:val="footnote text"/>
    <w:basedOn w:val="Normal"/>
    <w:link w:val="FootnoteTextChar"/>
    <w:semiHidden/>
    <w:rsid w:val="009B03BB"/>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637391"/>
    <w:rPr>
      <w:rFonts w:ascii="Times New Roman" w:eastAsia="Times New Roman" w:hAnsi="Times New Roman" w:cs="Times New Roman"/>
      <w:kern w:val="0"/>
      <w:sz w:val="18"/>
      <w:szCs w:val="20"/>
      <w:lang w:eastAsia="en-US"/>
      <w14:ligatures w14:val="none"/>
    </w:rPr>
  </w:style>
  <w:style w:type="table" w:customStyle="1" w:styleId="AATable">
    <w:name w:val="AA_Table"/>
    <w:basedOn w:val="TableNormal"/>
    <w:semiHidden/>
    <w:rsid w:val="00E2010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20109"/>
    <w:pPr>
      <w:keepNext/>
      <w:keepLines/>
      <w:suppressAutoHyphens/>
    </w:pPr>
    <w:rPr>
      <w:b/>
    </w:rPr>
  </w:style>
  <w:style w:type="paragraph" w:customStyle="1" w:styleId="AATitle2">
    <w:name w:val="AA_Title2"/>
    <w:basedOn w:val="AATitle"/>
    <w:qFormat/>
    <w:rsid w:val="00E20109"/>
    <w:pPr>
      <w:keepNext w:val="0"/>
      <w:keepLines w:val="0"/>
      <w:tabs>
        <w:tab w:val="clear" w:pos="4990"/>
      </w:tabs>
      <w:spacing w:before="120" w:after="120"/>
    </w:pPr>
  </w:style>
  <w:style w:type="paragraph" w:customStyle="1" w:styleId="BBTitle">
    <w:name w:val="BB_Title"/>
    <w:basedOn w:val="Normal-pool"/>
    <w:link w:val="BBTitleChar"/>
    <w:qFormat/>
    <w:rsid w:val="00E20109"/>
    <w:pPr>
      <w:keepNext/>
      <w:keepLines/>
      <w:suppressAutoHyphens/>
      <w:spacing w:before="320" w:after="240"/>
      <w:ind w:left="1247" w:right="567"/>
    </w:pPr>
    <w:rPr>
      <w:b/>
      <w:sz w:val="28"/>
      <w:szCs w:val="28"/>
    </w:rPr>
  </w:style>
  <w:style w:type="paragraph" w:styleId="Footer">
    <w:name w:val="footer"/>
    <w:basedOn w:val="Normal"/>
    <w:link w:val="FooterChar1"/>
    <w:unhideWhenUsed/>
    <w:rsid w:val="00E20109"/>
    <w:pPr>
      <w:tabs>
        <w:tab w:val="clear" w:pos="1247"/>
        <w:tab w:val="right" w:pos="8641"/>
      </w:tabs>
    </w:pPr>
    <w:rPr>
      <w:b/>
      <w:sz w:val="18"/>
    </w:rPr>
  </w:style>
  <w:style w:type="character" w:customStyle="1" w:styleId="FooterChar">
    <w:name w:val="Footer Char"/>
    <w:basedOn w:val="DefaultParagraphFont"/>
    <w:link w:val="CH4"/>
    <w:rsid w:val="00E20109"/>
    <w:rPr>
      <w:rFonts w:ascii="Times New Roman" w:eastAsia="Times New Roman" w:hAnsi="Times New Roman" w:cs="Times New Roman"/>
      <w:b/>
      <w:kern w:val="0"/>
      <w:sz w:val="20"/>
      <w:szCs w:val="20"/>
      <w:lang w:val="en-GB" w:eastAsia="en-US"/>
      <w14:ligatures w14:val="none"/>
    </w:rPr>
  </w:style>
  <w:style w:type="paragraph" w:styleId="Header">
    <w:name w:val="header"/>
    <w:basedOn w:val="Normal"/>
    <w:next w:val="Header-pool"/>
    <w:link w:val="HeaderChar"/>
    <w:semiHidden/>
    <w:rsid w:val="00E2010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E20109"/>
    <w:rPr>
      <w:rFonts w:ascii="Times New Roman" w:eastAsia="Times New Roman" w:hAnsi="Times New Roman" w:cs="Times New Roman"/>
      <w:b/>
      <w:kern w:val="0"/>
      <w:sz w:val="18"/>
      <w:szCs w:val="20"/>
      <w:lang w:eastAsia="en-US"/>
      <w14:ligatures w14:val="none"/>
    </w:rPr>
  </w:style>
  <w:style w:type="character" w:styleId="Hyperlink">
    <w:name w:val="Hyperlink"/>
    <w:basedOn w:val="DefaultParagraphFont"/>
    <w:uiPriority w:val="99"/>
    <w:rsid w:val="00E20109"/>
    <w:rPr>
      <w:color w:val="0563C1" w:themeColor="hyperlink"/>
      <w:u w:val="none"/>
    </w:rPr>
  </w:style>
  <w:style w:type="numbering" w:customStyle="1" w:styleId="Normallist">
    <w:name w:val="Normal_list"/>
    <w:basedOn w:val="NoList"/>
    <w:rsid w:val="00E20109"/>
    <w:pPr>
      <w:numPr>
        <w:numId w:val="3"/>
      </w:numPr>
    </w:pPr>
  </w:style>
  <w:style w:type="paragraph" w:customStyle="1" w:styleId="NormalNonumber">
    <w:name w:val="Normal_No_number"/>
    <w:basedOn w:val="Normal-pool"/>
    <w:link w:val="NormalNonumberChar"/>
    <w:qFormat/>
    <w:rsid w:val="00E20109"/>
    <w:pPr>
      <w:spacing w:after="120"/>
      <w:ind w:left="1247"/>
    </w:pPr>
  </w:style>
  <w:style w:type="paragraph" w:customStyle="1" w:styleId="Normalnumber">
    <w:name w:val="Normal_number"/>
    <w:basedOn w:val="Normal"/>
    <w:link w:val="NormalnumberChar"/>
    <w:qFormat/>
    <w:rsid w:val="00E20109"/>
    <w:pPr>
      <w:numPr>
        <w:numId w:val="3"/>
      </w:numPr>
      <w:spacing w:after="120"/>
    </w:pPr>
  </w:style>
  <w:style w:type="paragraph" w:customStyle="1" w:styleId="Titletable">
    <w:name w:val="Title_table"/>
    <w:basedOn w:val="Normal-pool"/>
    <w:next w:val="NormalNonumber"/>
    <w:rsid w:val="00E20109"/>
    <w:pPr>
      <w:keepNext/>
      <w:keepLines/>
      <w:suppressAutoHyphens/>
      <w:spacing w:after="60"/>
      <w:ind w:left="1247"/>
    </w:pPr>
    <w:rPr>
      <w:b/>
      <w:bCs/>
    </w:rPr>
  </w:style>
  <w:style w:type="paragraph" w:styleId="TOC1">
    <w:name w:val="toc 1"/>
    <w:basedOn w:val="Normal"/>
    <w:next w:val="Normal"/>
    <w:autoRedefine/>
    <w:uiPriority w:val="39"/>
    <w:unhideWhenUsed/>
    <w:rsid w:val="00E20109"/>
    <w:pPr>
      <w:tabs>
        <w:tab w:val="right" w:leader="dot" w:pos="9486"/>
      </w:tabs>
      <w:spacing w:before="240"/>
      <w:ind w:left="1984" w:hanging="737"/>
    </w:pPr>
    <w:rPr>
      <w:bCs/>
    </w:rPr>
  </w:style>
  <w:style w:type="paragraph" w:styleId="TOC2">
    <w:name w:val="toc 2"/>
    <w:basedOn w:val="Normal"/>
    <w:next w:val="Normal"/>
    <w:uiPriority w:val="39"/>
    <w:unhideWhenUsed/>
    <w:rsid w:val="00E20109"/>
    <w:pPr>
      <w:tabs>
        <w:tab w:val="right" w:leader="dot" w:pos="9486"/>
      </w:tabs>
      <w:spacing w:before="60"/>
      <w:ind w:left="2608" w:hanging="737"/>
    </w:pPr>
  </w:style>
  <w:style w:type="paragraph" w:styleId="TOC3">
    <w:name w:val="toc 3"/>
    <w:basedOn w:val="Normal"/>
    <w:next w:val="Normal"/>
    <w:uiPriority w:val="39"/>
    <w:unhideWhenUsed/>
    <w:rsid w:val="00E20109"/>
    <w:pPr>
      <w:tabs>
        <w:tab w:val="right" w:leader="dot" w:pos="9486"/>
      </w:tabs>
      <w:ind w:left="3232" w:hanging="737"/>
    </w:pPr>
    <w:rPr>
      <w:iCs/>
    </w:rPr>
  </w:style>
  <w:style w:type="paragraph" w:styleId="TOC4">
    <w:name w:val="toc 4"/>
    <w:basedOn w:val="Normal"/>
    <w:next w:val="Normal"/>
    <w:uiPriority w:val="39"/>
    <w:unhideWhenUsed/>
    <w:rsid w:val="00E20109"/>
    <w:pPr>
      <w:tabs>
        <w:tab w:val="left" w:pos="1000"/>
        <w:tab w:val="right" w:leader="dot" w:pos="9486"/>
      </w:tabs>
      <w:ind w:left="3856" w:hanging="737"/>
    </w:pPr>
    <w:rPr>
      <w:szCs w:val="18"/>
    </w:rPr>
  </w:style>
  <w:style w:type="paragraph" w:styleId="TOC5">
    <w:name w:val="toc 5"/>
    <w:basedOn w:val="Normal"/>
    <w:next w:val="Normal"/>
    <w:uiPriority w:val="39"/>
    <w:rsid w:val="00E20109"/>
    <w:pPr>
      <w:tabs>
        <w:tab w:val="right" w:leader="dot" w:pos="9486"/>
      </w:tabs>
      <w:ind w:left="4479" w:hanging="737"/>
    </w:pPr>
    <w:rPr>
      <w:sz w:val="18"/>
      <w:szCs w:val="18"/>
    </w:rPr>
  </w:style>
  <w:style w:type="paragraph" w:customStyle="1" w:styleId="ZZAnxheader">
    <w:name w:val="ZZ_Anx_header"/>
    <w:basedOn w:val="Normal-pool"/>
    <w:rsid w:val="00E20109"/>
    <w:rPr>
      <w:b/>
      <w:bCs/>
      <w:sz w:val="28"/>
      <w:szCs w:val="22"/>
    </w:rPr>
  </w:style>
  <w:style w:type="paragraph" w:customStyle="1" w:styleId="ZZAnxtitle">
    <w:name w:val="ZZ_Anx_title"/>
    <w:basedOn w:val="Normal-pool"/>
    <w:rsid w:val="00E20109"/>
    <w:pPr>
      <w:spacing w:before="360" w:after="120"/>
      <w:ind w:left="1247"/>
    </w:pPr>
    <w:rPr>
      <w:b/>
      <w:bCs/>
      <w:sz w:val="28"/>
      <w:szCs w:val="26"/>
    </w:rPr>
  </w:style>
  <w:style w:type="paragraph" w:styleId="NormalWeb">
    <w:name w:val="Normal (Web)"/>
    <w:basedOn w:val="Normal"/>
    <w:uiPriority w:val="99"/>
    <w:semiHidden/>
    <w:unhideWhenUsed/>
    <w:rsid w:val="00E2010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20109"/>
    <w:pPr>
      <w:spacing w:before="40" w:after="40"/>
    </w:pPr>
    <w:rPr>
      <w:sz w:val="18"/>
    </w:rPr>
  </w:style>
  <w:style w:type="paragraph" w:customStyle="1" w:styleId="Footnote-Text">
    <w:name w:val="Footnote-Text"/>
    <w:basedOn w:val="Normal-pool"/>
    <w:rsid w:val="00E20109"/>
    <w:pPr>
      <w:spacing w:before="20" w:after="40"/>
      <w:ind w:left="1247"/>
    </w:pPr>
    <w:rPr>
      <w:sz w:val="18"/>
    </w:rPr>
  </w:style>
  <w:style w:type="character" w:customStyle="1" w:styleId="Normal-poolChar">
    <w:name w:val="Normal-pool Char"/>
    <w:link w:val="Normal-pool"/>
    <w:locked/>
    <w:rsid w:val="009B03BB"/>
    <w:rPr>
      <w:rFonts w:ascii="Times New Roman" w:eastAsia="Times New Roman" w:hAnsi="Times New Roman" w:cs="Times New Roman"/>
      <w:kern w:val="0"/>
      <w:sz w:val="20"/>
      <w:szCs w:val="20"/>
      <w:lang w:val="en-GB" w:eastAsia="en-US"/>
      <w14:ligatures w14:val="none"/>
    </w:rPr>
  </w:style>
  <w:style w:type="paragraph" w:customStyle="1" w:styleId="AConvName">
    <w:name w:val="A_ConvName"/>
    <w:basedOn w:val="Normal-pool"/>
    <w:next w:val="Normal-pool"/>
    <w:rsid w:val="00E20109"/>
    <w:pPr>
      <w:spacing w:before="120" w:after="240"/>
    </w:pPr>
    <w:rPr>
      <w:rFonts w:ascii="Arial" w:hAnsi="Arial"/>
      <w:b/>
      <w:sz w:val="28"/>
    </w:rPr>
  </w:style>
  <w:style w:type="paragraph" w:customStyle="1" w:styleId="ASymbol">
    <w:name w:val="A_Symbol"/>
    <w:basedOn w:val="Normal-pool"/>
    <w:rsid w:val="00E20109"/>
    <w:pPr>
      <w:tabs>
        <w:tab w:val="clear" w:pos="624"/>
        <w:tab w:val="clear" w:pos="1247"/>
        <w:tab w:val="right" w:pos="2920"/>
      </w:tabs>
    </w:pPr>
    <w:rPr>
      <w:rFonts w:eastAsia="SimSun"/>
    </w:rPr>
  </w:style>
  <w:style w:type="paragraph" w:customStyle="1" w:styleId="AText">
    <w:name w:val="A_Text"/>
    <w:basedOn w:val="Normal-pool"/>
    <w:rsid w:val="00E20109"/>
    <w:pPr>
      <w:spacing w:before="120"/>
    </w:pPr>
  </w:style>
  <w:style w:type="paragraph" w:customStyle="1" w:styleId="ATwoLetters">
    <w:name w:val="A_TwoLetters"/>
    <w:basedOn w:val="Normal-pool"/>
    <w:next w:val="Normal-pool"/>
    <w:rsid w:val="00E2010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2010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20109"/>
    <w:rPr>
      <w:rFonts w:ascii="Tahoma" w:hAnsi="Tahoma" w:cs="Tahoma"/>
      <w:sz w:val="16"/>
      <w:szCs w:val="16"/>
    </w:rPr>
  </w:style>
  <w:style w:type="character" w:customStyle="1" w:styleId="BalloonTextChar">
    <w:name w:val="Balloon Text Char"/>
    <w:basedOn w:val="DefaultParagraphFont"/>
    <w:link w:val="BalloonText"/>
    <w:rsid w:val="00E20109"/>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iPriority w:val="99"/>
    <w:semiHidden/>
    <w:unhideWhenUsed/>
    <w:rsid w:val="00E20109"/>
    <w:rPr>
      <w:sz w:val="16"/>
      <w:szCs w:val="16"/>
      <w:lang w:val="en-GB"/>
    </w:rPr>
  </w:style>
  <w:style w:type="paragraph" w:styleId="CommentText">
    <w:name w:val="annotation text"/>
    <w:basedOn w:val="Normal"/>
    <w:link w:val="CommentTextChar"/>
    <w:uiPriority w:val="99"/>
    <w:unhideWhenUsed/>
    <w:rsid w:val="00E20109"/>
  </w:style>
  <w:style w:type="character" w:customStyle="1" w:styleId="CommentTextChar">
    <w:name w:val="Comment Text Char"/>
    <w:basedOn w:val="DefaultParagraphFont"/>
    <w:link w:val="CommentText"/>
    <w:uiPriority w:val="99"/>
    <w:rsid w:val="00E2010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E20109"/>
    <w:rPr>
      <w:b/>
      <w:bCs/>
    </w:rPr>
  </w:style>
  <w:style w:type="character" w:customStyle="1" w:styleId="CommentSubjectChar">
    <w:name w:val="Comment Subject Char"/>
    <w:basedOn w:val="CommentTextChar"/>
    <w:link w:val="CommentSubject"/>
    <w:semiHidden/>
    <w:rsid w:val="00E20109"/>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E20109"/>
    <w:rPr>
      <w:color w:val="0000FF"/>
      <w:u w:val="none"/>
      <w:lang w:val="en-GB"/>
    </w:rPr>
  </w:style>
  <w:style w:type="paragraph" w:styleId="ListParagraph">
    <w:name w:val="List Paragraph"/>
    <w:basedOn w:val="Normal"/>
    <w:uiPriority w:val="34"/>
    <w:qFormat/>
    <w:rsid w:val="00E20109"/>
    <w:pPr>
      <w:ind w:left="720"/>
      <w:contextualSpacing/>
    </w:pPr>
  </w:style>
  <w:style w:type="paragraph" w:styleId="NoSpacing">
    <w:name w:val="No Spacing"/>
    <w:uiPriority w:val="1"/>
    <w:semiHidden/>
    <w:qFormat/>
    <w:rsid w:val="00E20109"/>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E20109"/>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E20109"/>
    <w:rPr>
      <w:color w:val="808080"/>
    </w:rPr>
  </w:style>
  <w:style w:type="table" w:styleId="TableGrid">
    <w:name w:val="Table Grid"/>
    <w:basedOn w:val="TableNormal"/>
    <w:rsid w:val="00E2010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E20109"/>
    <w:pPr>
      <w:spacing w:before="120" w:after="240"/>
    </w:pPr>
  </w:style>
  <w:style w:type="character" w:customStyle="1" w:styleId="ALogoChar">
    <w:name w:val="A_Logo Char"/>
    <w:basedOn w:val="DefaultParagraphFont"/>
    <w:link w:val="ALogo"/>
    <w:rsid w:val="00E20109"/>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qFormat/>
    <w:rsid w:val="00E20109"/>
    <w:rPr>
      <w:sz w:val="2"/>
    </w:rPr>
  </w:style>
  <w:style w:type="character" w:customStyle="1" w:styleId="ASpacerChar">
    <w:name w:val="A_Spacer Char"/>
    <w:basedOn w:val="DefaultParagraphFont"/>
    <w:link w:val="ASpacer"/>
    <w:rsid w:val="00E20109"/>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E20109"/>
  </w:style>
  <w:style w:type="character" w:styleId="UnresolvedMention">
    <w:name w:val="Unresolved Mention"/>
    <w:basedOn w:val="DefaultParagraphFont"/>
    <w:uiPriority w:val="99"/>
    <w:semiHidden/>
    <w:rsid w:val="00E20109"/>
    <w:rPr>
      <w:color w:val="605E5C"/>
      <w:shd w:val="clear" w:color="auto" w:fill="E1DFDD"/>
    </w:rPr>
  </w:style>
  <w:style w:type="paragraph" w:customStyle="1" w:styleId="ANormal">
    <w:name w:val="A_Normal"/>
    <w:basedOn w:val="Normal-pool"/>
    <w:rsid w:val="00E20109"/>
  </w:style>
  <w:style w:type="paragraph" w:customStyle="1" w:styleId="AText0">
    <w:name w:val="A_Text0"/>
    <w:basedOn w:val="AText"/>
    <w:next w:val="AText"/>
    <w:qFormat/>
    <w:rsid w:val="00E20109"/>
    <w:pPr>
      <w:tabs>
        <w:tab w:val="clear" w:pos="4990"/>
      </w:tabs>
      <w:spacing w:before="0" w:after="120"/>
    </w:pPr>
  </w:style>
  <w:style w:type="paragraph" w:styleId="Bibliography">
    <w:name w:val="Bibliography"/>
    <w:basedOn w:val="Normal"/>
    <w:next w:val="Normal"/>
    <w:uiPriority w:val="37"/>
    <w:semiHidden/>
    <w:unhideWhenUsed/>
    <w:rsid w:val="009B03BB"/>
  </w:style>
  <w:style w:type="paragraph" w:styleId="BlockText">
    <w:name w:val="Block Text"/>
    <w:basedOn w:val="Normal"/>
    <w:uiPriority w:val="99"/>
    <w:semiHidden/>
    <w:unhideWhenUsed/>
    <w:rsid w:val="009B03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B03BB"/>
    <w:pPr>
      <w:spacing w:after="120"/>
    </w:pPr>
  </w:style>
  <w:style w:type="character" w:customStyle="1" w:styleId="BodyTextChar">
    <w:name w:val="Body Text Char"/>
    <w:basedOn w:val="DefaultParagraphFont"/>
    <w:link w:val="BodyTex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9B03BB"/>
    <w:pPr>
      <w:spacing w:after="120" w:line="480" w:lineRule="auto"/>
    </w:pPr>
  </w:style>
  <w:style w:type="character" w:customStyle="1" w:styleId="BodyText2Char">
    <w:name w:val="Body Text 2 Char"/>
    <w:basedOn w:val="DefaultParagraphFont"/>
    <w:link w:val="BodyTex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9B03BB"/>
    <w:pPr>
      <w:spacing w:after="120"/>
    </w:pPr>
    <w:rPr>
      <w:sz w:val="16"/>
      <w:szCs w:val="16"/>
    </w:rPr>
  </w:style>
  <w:style w:type="character" w:customStyle="1" w:styleId="BodyText3Char">
    <w:name w:val="Body Text 3 Char"/>
    <w:basedOn w:val="DefaultParagraphFont"/>
    <w:link w:val="BodyText3"/>
    <w:uiPriority w:val="99"/>
    <w:semiHidden/>
    <w:rsid w:val="009B03BB"/>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9B03BB"/>
    <w:pPr>
      <w:spacing w:after="0"/>
      <w:ind w:firstLine="360"/>
    </w:pPr>
  </w:style>
  <w:style w:type="character" w:customStyle="1" w:styleId="BodyTextFirstIndentChar">
    <w:name w:val="Body Text First Indent Char"/>
    <w:basedOn w:val="BodyTextChar"/>
    <w:link w:val="BodyTextFirstInden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9B03BB"/>
    <w:pPr>
      <w:spacing w:after="120"/>
      <w:ind w:left="283"/>
    </w:pPr>
  </w:style>
  <w:style w:type="character" w:customStyle="1" w:styleId="BodyTextIndentChar">
    <w:name w:val="Body Text Indent Char"/>
    <w:basedOn w:val="DefaultParagraphFont"/>
    <w:link w:val="BodyTextInden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9B03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9B03BB"/>
    <w:pPr>
      <w:spacing w:after="120" w:line="480" w:lineRule="auto"/>
      <w:ind w:left="283"/>
    </w:pPr>
  </w:style>
  <w:style w:type="character" w:customStyle="1" w:styleId="BodyTextIndent2Char">
    <w:name w:val="Body Text Indent 2 Char"/>
    <w:basedOn w:val="DefaultParagraphFont"/>
    <w:link w:val="BodyTextInden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9B03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03BB"/>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9B03BB"/>
    <w:rPr>
      <w:b/>
      <w:bCs/>
      <w:i/>
      <w:iCs/>
      <w:spacing w:val="5"/>
      <w:lang w:val="en-GB"/>
    </w:rPr>
  </w:style>
  <w:style w:type="paragraph" w:styleId="Caption">
    <w:name w:val="caption"/>
    <w:basedOn w:val="Normal"/>
    <w:next w:val="Normal"/>
    <w:uiPriority w:val="35"/>
    <w:semiHidden/>
    <w:unhideWhenUsed/>
    <w:qFormat/>
    <w:rsid w:val="009B03BB"/>
    <w:pPr>
      <w:spacing w:after="200"/>
    </w:pPr>
    <w:rPr>
      <w:i/>
      <w:iCs/>
      <w:color w:val="44546A" w:themeColor="text2"/>
      <w:sz w:val="18"/>
      <w:szCs w:val="18"/>
    </w:rPr>
  </w:style>
  <w:style w:type="paragraph" w:styleId="Closing">
    <w:name w:val="Closing"/>
    <w:basedOn w:val="Normal"/>
    <w:link w:val="ClosingChar"/>
    <w:uiPriority w:val="99"/>
    <w:semiHidden/>
    <w:unhideWhenUsed/>
    <w:rsid w:val="009B03BB"/>
    <w:pPr>
      <w:ind w:left="4252"/>
    </w:pPr>
  </w:style>
  <w:style w:type="character" w:customStyle="1" w:styleId="ClosingChar">
    <w:name w:val="Closing Char"/>
    <w:basedOn w:val="DefaultParagraphFont"/>
    <w:link w:val="Closing"/>
    <w:uiPriority w:val="99"/>
    <w:semiHidden/>
    <w:rsid w:val="009B03BB"/>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B03BB"/>
  </w:style>
  <w:style w:type="character" w:customStyle="1" w:styleId="DateChar">
    <w:name w:val="Date Char"/>
    <w:basedOn w:val="DefaultParagraphFont"/>
    <w:link w:val="Date"/>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9B03B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03BB"/>
    <w:rPr>
      <w:rFonts w:ascii="Segoe UI" w:eastAsia="Times New Roman" w:hAnsi="Segoe UI" w:cs="Segoe UI"/>
      <w:kern w:val="0"/>
      <w:sz w:val="16"/>
      <w:szCs w:val="16"/>
      <w:lang w:eastAsia="en-US"/>
      <w14:ligatures w14:val="none"/>
    </w:rPr>
  </w:style>
  <w:style w:type="paragraph" w:styleId="E-mailSignature">
    <w:name w:val="E-mail Signature"/>
    <w:basedOn w:val="Normal"/>
    <w:link w:val="E-mailSignatureChar"/>
    <w:uiPriority w:val="99"/>
    <w:semiHidden/>
    <w:unhideWhenUsed/>
    <w:rsid w:val="009B03BB"/>
  </w:style>
  <w:style w:type="character" w:customStyle="1" w:styleId="E-mailSignatureChar">
    <w:name w:val="E-mail Signature Char"/>
    <w:basedOn w:val="DefaultParagraphFont"/>
    <w:link w:val="E-mailSignature"/>
    <w:uiPriority w:val="99"/>
    <w:semiHidden/>
    <w:rsid w:val="009B03BB"/>
    <w:rPr>
      <w:rFonts w:ascii="Times New Roman" w:eastAsia="Times New Roman" w:hAnsi="Times New Roman" w:cs="Times New Roman"/>
      <w:kern w:val="0"/>
      <w:sz w:val="20"/>
      <w:szCs w:val="20"/>
      <w:lang w:eastAsia="en-US"/>
      <w14:ligatures w14:val="none"/>
    </w:rPr>
  </w:style>
  <w:style w:type="character" w:styleId="Emphasis">
    <w:name w:val="Emphasis"/>
    <w:basedOn w:val="DefaultParagraphFont"/>
    <w:uiPriority w:val="20"/>
    <w:semiHidden/>
    <w:qFormat/>
    <w:rsid w:val="009B03BB"/>
    <w:rPr>
      <w:i/>
      <w:iCs/>
    </w:rPr>
  </w:style>
  <w:style w:type="character" w:styleId="EndnoteReference">
    <w:name w:val="endnote reference"/>
    <w:basedOn w:val="DefaultParagraphFont"/>
    <w:uiPriority w:val="99"/>
    <w:semiHidden/>
    <w:unhideWhenUsed/>
    <w:rsid w:val="009B03BB"/>
    <w:rPr>
      <w:vertAlign w:val="superscript"/>
    </w:rPr>
  </w:style>
  <w:style w:type="paragraph" w:styleId="EndnoteText">
    <w:name w:val="endnote text"/>
    <w:basedOn w:val="Normal"/>
    <w:link w:val="EndnoteTextChar"/>
    <w:uiPriority w:val="99"/>
    <w:semiHidden/>
    <w:unhideWhenUsed/>
    <w:rsid w:val="009B03BB"/>
  </w:style>
  <w:style w:type="character" w:customStyle="1" w:styleId="EndnoteTextChar">
    <w:name w:val="Endnote Text Char"/>
    <w:basedOn w:val="DefaultParagraphFont"/>
    <w:link w:val="EndnoteText"/>
    <w:uiPriority w:val="99"/>
    <w:semiHidden/>
    <w:rsid w:val="009B03BB"/>
    <w:rPr>
      <w:rFonts w:ascii="Times New Roman" w:eastAsia="Times New Roman" w:hAnsi="Times New Roman" w:cs="Times New Roman"/>
      <w:kern w:val="0"/>
      <w:sz w:val="20"/>
      <w:szCs w:val="20"/>
      <w:lang w:eastAsia="en-US"/>
      <w14:ligatures w14:val="none"/>
    </w:rPr>
  </w:style>
  <w:style w:type="paragraph" w:styleId="EnvelopeAddress">
    <w:name w:val="envelope address"/>
    <w:basedOn w:val="Normal"/>
    <w:uiPriority w:val="99"/>
    <w:semiHidden/>
    <w:unhideWhenUsed/>
    <w:rsid w:val="009B03B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unhideWhenUsed/>
    <w:rsid w:val="009B03BB"/>
    <w:rPr>
      <w:rFonts w:asciiTheme="majorHAnsi" w:eastAsiaTheme="majorEastAsia" w:hAnsiTheme="majorHAnsi" w:cstheme="majorBidi"/>
    </w:rPr>
  </w:style>
  <w:style w:type="table" w:styleId="GridTable1Light">
    <w:name w:val="Grid Table 1 Light"/>
    <w:basedOn w:val="TableNormal"/>
    <w:uiPriority w:val="46"/>
    <w:rsid w:val="009B0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03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03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03B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03B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03B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03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03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03B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B03B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B03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B03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B03B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B0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B03BB"/>
    <w:rPr>
      <w:color w:val="2B579A"/>
      <w:shd w:val="clear" w:color="auto" w:fill="E1DFDD"/>
    </w:rPr>
  </w:style>
  <w:style w:type="character" w:styleId="HTMLAcronym">
    <w:name w:val="HTML Acronym"/>
    <w:basedOn w:val="DefaultParagraphFont"/>
    <w:uiPriority w:val="99"/>
    <w:semiHidden/>
    <w:unhideWhenUsed/>
    <w:rsid w:val="009B03BB"/>
  </w:style>
  <w:style w:type="paragraph" w:styleId="HTMLAddress">
    <w:name w:val="HTML Address"/>
    <w:basedOn w:val="Normal"/>
    <w:link w:val="HTMLAddressChar"/>
    <w:uiPriority w:val="99"/>
    <w:semiHidden/>
    <w:unhideWhenUsed/>
    <w:rsid w:val="009B03BB"/>
    <w:rPr>
      <w:i/>
      <w:iCs/>
    </w:rPr>
  </w:style>
  <w:style w:type="character" w:customStyle="1" w:styleId="HTMLAddressChar">
    <w:name w:val="HTML Address Char"/>
    <w:basedOn w:val="DefaultParagraphFont"/>
    <w:link w:val="HTMLAddress"/>
    <w:uiPriority w:val="99"/>
    <w:semiHidden/>
    <w:rsid w:val="009B03BB"/>
    <w:rPr>
      <w:rFonts w:ascii="Times New Roman" w:eastAsia="Times New Roman" w:hAnsi="Times New Roman" w:cs="Times New Roman"/>
      <w:i/>
      <w:iCs/>
      <w:kern w:val="0"/>
      <w:sz w:val="20"/>
      <w:szCs w:val="20"/>
      <w:lang w:eastAsia="en-US"/>
      <w14:ligatures w14:val="none"/>
    </w:rPr>
  </w:style>
  <w:style w:type="character" w:styleId="HTMLCite">
    <w:name w:val="HTML Cite"/>
    <w:basedOn w:val="DefaultParagraphFont"/>
    <w:uiPriority w:val="99"/>
    <w:semiHidden/>
    <w:unhideWhenUsed/>
    <w:rsid w:val="009B03BB"/>
    <w:rPr>
      <w:i/>
      <w:iCs/>
    </w:rPr>
  </w:style>
  <w:style w:type="character" w:styleId="HTMLCode">
    <w:name w:val="HTML Code"/>
    <w:basedOn w:val="DefaultParagraphFont"/>
    <w:uiPriority w:val="99"/>
    <w:semiHidden/>
    <w:unhideWhenUsed/>
    <w:rsid w:val="009B03BB"/>
    <w:rPr>
      <w:rFonts w:ascii="Consolas" w:hAnsi="Consolas"/>
      <w:sz w:val="20"/>
      <w:szCs w:val="20"/>
    </w:rPr>
  </w:style>
  <w:style w:type="character" w:styleId="HTMLDefinition">
    <w:name w:val="HTML Definition"/>
    <w:basedOn w:val="DefaultParagraphFont"/>
    <w:uiPriority w:val="99"/>
    <w:semiHidden/>
    <w:unhideWhenUsed/>
    <w:rsid w:val="009B03BB"/>
    <w:rPr>
      <w:i/>
      <w:iCs/>
    </w:rPr>
  </w:style>
  <w:style w:type="character" w:styleId="HTMLKeyboard">
    <w:name w:val="HTML Keyboard"/>
    <w:basedOn w:val="DefaultParagraphFont"/>
    <w:uiPriority w:val="99"/>
    <w:semiHidden/>
    <w:unhideWhenUsed/>
    <w:rsid w:val="009B03BB"/>
    <w:rPr>
      <w:rFonts w:ascii="Consolas" w:hAnsi="Consolas"/>
      <w:sz w:val="20"/>
      <w:szCs w:val="20"/>
    </w:rPr>
  </w:style>
  <w:style w:type="paragraph" w:styleId="HTMLPreformatted">
    <w:name w:val="HTML Preformatted"/>
    <w:basedOn w:val="Normal"/>
    <w:link w:val="HTMLPreformattedChar"/>
    <w:uiPriority w:val="99"/>
    <w:semiHidden/>
    <w:unhideWhenUsed/>
    <w:rsid w:val="009B03BB"/>
    <w:rPr>
      <w:rFonts w:ascii="Consolas" w:hAnsi="Consolas"/>
    </w:rPr>
  </w:style>
  <w:style w:type="character" w:customStyle="1" w:styleId="HTMLPreformattedChar">
    <w:name w:val="HTML Preformatted Char"/>
    <w:basedOn w:val="DefaultParagraphFont"/>
    <w:link w:val="HTMLPreformatted"/>
    <w:uiPriority w:val="99"/>
    <w:semiHidden/>
    <w:rsid w:val="009B03BB"/>
    <w:rPr>
      <w:rFonts w:ascii="Consolas" w:eastAsia="Times New Roman" w:hAnsi="Consolas" w:cs="Times New Roman"/>
      <w:kern w:val="0"/>
      <w:sz w:val="20"/>
      <w:szCs w:val="20"/>
      <w:lang w:eastAsia="en-US"/>
      <w14:ligatures w14:val="none"/>
    </w:rPr>
  </w:style>
  <w:style w:type="character" w:styleId="HTMLSample">
    <w:name w:val="HTML Sample"/>
    <w:basedOn w:val="DefaultParagraphFont"/>
    <w:uiPriority w:val="99"/>
    <w:semiHidden/>
    <w:unhideWhenUsed/>
    <w:rsid w:val="009B03BB"/>
    <w:rPr>
      <w:rFonts w:ascii="Consolas" w:hAnsi="Consolas"/>
      <w:sz w:val="24"/>
      <w:szCs w:val="24"/>
    </w:rPr>
  </w:style>
  <w:style w:type="character" w:styleId="HTMLTypewriter">
    <w:name w:val="HTML Typewriter"/>
    <w:basedOn w:val="DefaultParagraphFont"/>
    <w:uiPriority w:val="99"/>
    <w:semiHidden/>
    <w:unhideWhenUsed/>
    <w:rsid w:val="009B03BB"/>
    <w:rPr>
      <w:rFonts w:ascii="Consolas" w:hAnsi="Consolas"/>
      <w:sz w:val="20"/>
      <w:szCs w:val="20"/>
    </w:rPr>
  </w:style>
  <w:style w:type="character" w:styleId="HTMLVariable">
    <w:name w:val="HTML Variable"/>
    <w:basedOn w:val="DefaultParagraphFont"/>
    <w:uiPriority w:val="99"/>
    <w:semiHidden/>
    <w:unhideWhenUsed/>
    <w:rsid w:val="009B03BB"/>
    <w:rPr>
      <w:i/>
      <w:iCs/>
    </w:rPr>
  </w:style>
  <w:style w:type="paragraph" w:styleId="Index1">
    <w:name w:val="index 1"/>
    <w:basedOn w:val="Normal"/>
    <w:next w:val="Normal"/>
    <w:autoRedefine/>
    <w:uiPriority w:val="99"/>
    <w:semiHidden/>
    <w:unhideWhenUsed/>
    <w:rsid w:val="009B03BB"/>
    <w:pPr>
      <w:ind w:left="200" w:hanging="200"/>
    </w:pPr>
  </w:style>
  <w:style w:type="paragraph" w:styleId="Index2">
    <w:name w:val="index 2"/>
    <w:basedOn w:val="Normal"/>
    <w:next w:val="Normal"/>
    <w:autoRedefine/>
    <w:uiPriority w:val="99"/>
    <w:semiHidden/>
    <w:unhideWhenUsed/>
    <w:rsid w:val="009B03BB"/>
    <w:pPr>
      <w:ind w:left="400" w:hanging="200"/>
    </w:pPr>
  </w:style>
  <w:style w:type="paragraph" w:styleId="Index3">
    <w:name w:val="index 3"/>
    <w:basedOn w:val="Normal"/>
    <w:next w:val="Normal"/>
    <w:autoRedefine/>
    <w:uiPriority w:val="99"/>
    <w:semiHidden/>
    <w:unhideWhenUsed/>
    <w:rsid w:val="009B03BB"/>
    <w:pPr>
      <w:ind w:left="600" w:hanging="200"/>
    </w:pPr>
  </w:style>
  <w:style w:type="paragraph" w:styleId="Index4">
    <w:name w:val="index 4"/>
    <w:basedOn w:val="Normal"/>
    <w:next w:val="Normal"/>
    <w:autoRedefine/>
    <w:uiPriority w:val="99"/>
    <w:semiHidden/>
    <w:unhideWhenUsed/>
    <w:rsid w:val="009B03BB"/>
    <w:pPr>
      <w:ind w:left="800" w:hanging="200"/>
    </w:pPr>
  </w:style>
  <w:style w:type="paragraph" w:styleId="Index5">
    <w:name w:val="index 5"/>
    <w:basedOn w:val="Normal"/>
    <w:next w:val="Normal"/>
    <w:autoRedefine/>
    <w:uiPriority w:val="99"/>
    <w:semiHidden/>
    <w:unhideWhenUsed/>
    <w:rsid w:val="009B03BB"/>
    <w:pPr>
      <w:ind w:left="1000" w:hanging="200"/>
    </w:pPr>
  </w:style>
  <w:style w:type="paragraph" w:styleId="Index6">
    <w:name w:val="index 6"/>
    <w:basedOn w:val="Normal"/>
    <w:next w:val="Normal"/>
    <w:autoRedefine/>
    <w:uiPriority w:val="99"/>
    <w:semiHidden/>
    <w:unhideWhenUsed/>
    <w:rsid w:val="009B03BB"/>
    <w:pPr>
      <w:ind w:left="1200" w:hanging="200"/>
    </w:pPr>
  </w:style>
  <w:style w:type="paragraph" w:styleId="Index7">
    <w:name w:val="index 7"/>
    <w:basedOn w:val="Normal"/>
    <w:next w:val="Normal"/>
    <w:autoRedefine/>
    <w:uiPriority w:val="99"/>
    <w:semiHidden/>
    <w:unhideWhenUsed/>
    <w:rsid w:val="009B03BB"/>
    <w:pPr>
      <w:ind w:left="1400" w:hanging="200"/>
    </w:pPr>
  </w:style>
  <w:style w:type="paragraph" w:styleId="Index8">
    <w:name w:val="index 8"/>
    <w:basedOn w:val="Normal"/>
    <w:next w:val="Normal"/>
    <w:autoRedefine/>
    <w:uiPriority w:val="99"/>
    <w:semiHidden/>
    <w:unhideWhenUsed/>
    <w:rsid w:val="009B03BB"/>
    <w:pPr>
      <w:ind w:left="1600" w:hanging="200"/>
    </w:pPr>
  </w:style>
  <w:style w:type="paragraph" w:styleId="Index9">
    <w:name w:val="index 9"/>
    <w:basedOn w:val="Normal"/>
    <w:next w:val="Normal"/>
    <w:autoRedefine/>
    <w:uiPriority w:val="99"/>
    <w:semiHidden/>
    <w:unhideWhenUsed/>
    <w:rsid w:val="009B03BB"/>
    <w:pPr>
      <w:ind w:left="1800" w:hanging="200"/>
    </w:pPr>
  </w:style>
  <w:style w:type="paragraph" w:styleId="IndexHeading">
    <w:name w:val="index heading"/>
    <w:basedOn w:val="Normal"/>
    <w:next w:val="Index1"/>
    <w:uiPriority w:val="99"/>
    <w:semiHidden/>
    <w:unhideWhenUsed/>
    <w:rsid w:val="009B03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B03BB"/>
    <w:rPr>
      <w:i/>
      <w:iCs/>
      <w:color w:val="4472C4" w:themeColor="accent1"/>
    </w:rPr>
  </w:style>
  <w:style w:type="paragraph" w:styleId="IntenseQuote">
    <w:name w:val="Intense Quote"/>
    <w:basedOn w:val="Normal"/>
    <w:next w:val="Normal"/>
    <w:link w:val="IntenseQuoteChar"/>
    <w:uiPriority w:val="30"/>
    <w:semiHidden/>
    <w:qFormat/>
    <w:rsid w:val="009B03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637391"/>
    <w:rPr>
      <w:rFonts w:ascii="Times New Roman" w:eastAsia="Times New Roman" w:hAnsi="Times New Roman" w:cs="Times New Roman"/>
      <w:i/>
      <w:iCs/>
      <w:color w:val="4472C4" w:themeColor="accent1"/>
      <w:kern w:val="0"/>
      <w:sz w:val="20"/>
      <w:szCs w:val="20"/>
      <w:lang w:eastAsia="en-US"/>
      <w14:ligatures w14:val="none"/>
    </w:rPr>
  </w:style>
  <w:style w:type="character" w:styleId="IntenseReference">
    <w:name w:val="Intense Reference"/>
    <w:basedOn w:val="DefaultParagraphFont"/>
    <w:uiPriority w:val="32"/>
    <w:semiHidden/>
    <w:qFormat/>
    <w:rsid w:val="009B03BB"/>
    <w:rPr>
      <w:b/>
      <w:bCs/>
      <w:smallCaps/>
      <w:color w:val="4472C4" w:themeColor="accent1"/>
      <w:spacing w:val="5"/>
    </w:rPr>
  </w:style>
  <w:style w:type="table" w:styleId="LightGrid">
    <w:name w:val="Light Grid"/>
    <w:basedOn w:val="TableNormal"/>
    <w:uiPriority w:val="62"/>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B0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03B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B03B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B03B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B03B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B03B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B03B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B03BB"/>
  </w:style>
  <w:style w:type="paragraph" w:styleId="List">
    <w:name w:val="List"/>
    <w:basedOn w:val="Normal"/>
    <w:uiPriority w:val="99"/>
    <w:semiHidden/>
    <w:unhideWhenUsed/>
    <w:rsid w:val="009B03BB"/>
    <w:pPr>
      <w:ind w:left="283" w:hanging="283"/>
      <w:contextualSpacing/>
    </w:pPr>
  </w:style>
  <w:style w:type="paragraph" w:styleId="List2">
    <w:name w:val="List 2"/>
    <w:basedOn w:val="Normal"/>
    <w:uiPriority w:val="99"/>
    <w:semiHidden/>
    <w:unhideWhenUsed/>
    <w:rsid w:val="009B03BB"/>
    <w:pPr>
      <w:ind w:left="566" w:hanging="283"/>
      <w:contextualSpacing/>
    </w:pPr>
  </w:style>
  <w:style w:type="paragraph" w:styleId="List3">
    <w:name w:val="List 3"/>
    <w:basedOn w:val="Normal"/>
    <w:uiPriority w:val="99"/>
    <w:semiHidden/>
    <w:unhideWhenUsed/>
    <w:rsid w:val="009B03BB"/>
    <w:pPr>
      <w:ind w:left="849" w:hanging="283"/>
      <w:contextualSpacing/>
    </w:pPr>
  </w:style>
  <w:style w:type="paragraph" w:styleId="List4">
    <w:name w:val="List 4"/>
    <w:basedOn w:val="Normal"/>
    <w:uiPriority w:val="99"/>
    <w:semiHidden/>
    <w:unhideWhenUsed/>
    <w:rsid w:val="009B03BB"/>
    <w:pPr>
      <w:ind w:left="1132" w:hanging="283"/>
      <w:contextualSpacing/>
    </w:pPr>
  </w:style>
  <w:style w:type="paragraph" w:styleId="List5">
    <w:name w:val="List 5"/>
    <w:basedOn w:val="Normal"/>
    <w:uiPriority w:val="99"/>
    <w:semiHidden/>
    <w:unhideWhenUsed/>
    <w:rsid w:val="009B03BB"/>
    <w:pPr>
      <w:ind w:left="1415" w:hanging="283"/>
      <w:contextualSpacing/>
    </w:pPr>
  </w:style>
  <w:style w:type="paragraph" w:styleId="ListBullet">
    <w:name w:val="List Bullet"/>
    <w:basedOn w:val="Normal"/>
    <w:uiPriority w:val="99"/>
    <w:semiHidden/>
    <w:unhideWhenUsed/>
    <w:rsid w:val="009B03BB"/>
    <w:pPr>
      <w:numPr>
        <w:numId w:val="17"/>
      </w:numPr>
      <w:contextualSpacing/>
    </w:pPr>
  </w:style>
  <w:style w:type="paragraph" w:styleId="ListBullet2">
    <w:name w:val="List Bullet 2"/>
    <w:basedOn w:val="Normal"/>
    <w:uiPriority w:val="99"/>
    <w:semiHidden/>
    <w:unhideWhenUsed/>
    <w:rsid w:val="009B03BB"/>
    <w:pPr>
      <w:numPr>
        <w:numId w:val="18"/>
      </w:numPr>
      <w:contextualSpacing/>
    </w:pPr>
  </w:style>
  <w:style w:type="paragraph" w:styleId="ListBullet3">
    <w:name w:val="List Bullet 3"/>
    <w:basedOn w:val="Normal"/>
    <w:uiPriority w:val="99"/>
    <w:semiHidden/>
    <w:unhideWhenUsed/>
    <w:rsid w:val="009B03BB"/>
    <w:pPr>
      <w:numPr>
        <w:numId w:val="19"/>
      </w:numPr>
      <w:contextualSpacing/>
    </w:pPr>
  </w:style>
  <w:style w:type="paragraph" w:styleId="ListBullet4">
    <w:name w:val="List Bullet 4"/>
    <w:basedOn w:val="Normal"/>
    <w:uiPriority w:val="99"/>
    <w:semiHidden/>
    <w:unhideWhenUsed/>
    <w:rsid w:val="009B03BB"/>
    <w:pPr>
      <w:numPr>
        <w:numId w:val="20"/>
      </w:numPr>
      <w:contextualSpacing/>
    </w:pPr>
  </w:style>
  <w:style w:type="paragraph" w:styleId="ListBullet5">
    <w:name w:val="List Bullet 5"/>
    <w:basedOn w:val="Normal"/>
    <w:uiPriority w:val="99"/>
    <w:semiHidden/>
    <w:unhideWhenUsed/>
    <w:rsid w:val="009B03BB"/>
    <w:pPr>
      <w:numPr>
        <w:numId w:val="21"/>
      </w:numPr>
      <w:contextualSpacing/>
    </w:pPr>
  </w:style>
  <w:style w:type="paragraph" w:styleId="ListContinue">
    <w:name w:val="List Continue"/>
    <w:basedOn w:val="Normal"/>
    <w:uiPriority w:val="99"/>
    <w:semiHidden/>
    <w:unhideWhenUsed/>
    <w:rsid w:val="009B03BB"/>
    <w:pPr>
      <w:spacing w:after="120"/>
      <w:ind w:left="283"/>
      <w:contextualSpacing/>
    </w:pPr>
  </w:style>
  <w:style w:type="paragraph" w:styleId="ListContinue2">
    <w:name w:val="List Continue 2"/>
    <w:basedOn w:val="Normal"/>
    <w:uiPriority w:val="99"/>
    <w:semiHidden/>
    <w:unhideWhenUsed/>
    <w:rsid w:val="009B03BB"/>
    <w:pPr>
      <w:spacing w:after="120"/>
      <w:ind w:left="566"/>
      <w:contextualSpacing/>
    </w:pPr>
  </w:style>
  <w:style w:type="paragraph" w:styleId="ListContinue3">
    <w:name w:val="List Continue 3"/>
    <w:basedOn w:val="Normal"/>
    <w:uiPriority w:val="99"/>
    <w:semiHidden/>
    <w:unhideWhenUsed/>
    <w:rsid w:val="009B03BB"/>
    <w:pPr>
      <w:spacing w:after="120"/>
      <w:ind w:left="849"/>
      <w:contextualSpacing/>
    </w:pPr>
  </w:style>
  <w:style w:type="paragraph" w:styleId="ListContinue4">
    <w:name w:val="List Continue 4"/>
    <w:basedOn w:val="Normal"/>
    <w:uiPriority w:val="99"/>
    <w:semiHidden/>
    <w:unhideWhenUsed/>
    <w:rsid w:val="009B03BB"/>
    <w:pPr>
      <w:spacing w:after="120"/>
      <w:ind w:left="1132"/>
      <w:contextualSpacing/>
    </w:pPr>
  </w:style>
  <w:style w:type="paragraph" w:styleId="ListContinue5">
    <w:name w:val="List Continue 5"/>
    <w:basedOn w:val="Normal"/>
    <w:uiPriority w:val="99"/>
    <w:semiHidden/>
    <w:unhideWhenUsed/>
    <w:rsid w:val="009B03BB"/>
    <w:pPr>
      <w:spacing w:after="120"/>
      <w:ind w:left="1415"/>
      <w:contextualSpacing/>
    </w:pPr>
  </w:style>
  <w:style w:type="paragraph" w:styleId="ListNumber">
    <w:name w:val="List Number"/>
    <w:basedOn w:val="Normal"/>
    <w:uiPriority w:val="99"/>
    <w:semiHidden/>
    <w:unhideWhenUsed/>
    <w:rsid w:val="009B03BB"/>
    <w:pPr>
      <w:numPr>
        <w:numId w:val="22"/>
      </w:numPr>
      <w:contextualSpacing/>
    </w:pPr>
  </w:style>
  <w:style w:type="paragraph" w:styleId="ListNumber2">
    <w:name w:val="List Number 2"/>
    <w:basedOn w:val="Normal"/>
    <w:uiPriority w:val="99"/>
    <w:semiHidden/>
    <w:unhideWhenUsed/>
    <w:rsid w:val="009B03BB"/>
    <w:pPr>
      <w:numPr>
        <w:numId w:val="23"/>
      </w:numPr>
      <w:contextualSpacing/>
    </w:pPr>
  </w:style>
  <w:style w:type="paragraph" w:styleId="ListNumber3">
    <w:name w:val="List Number 3"/>
    <w:basedOn w:val="Normal"/>
    <w:uiPriority w:val="99"/>
    <w:semiHidden/>
    <w:unhideWhenUsed/>
    <w:rsid w:val="009B03BB"/>
    <w:pPr>
      <w:numPr>
        <w:numId w:val="24"/>
      </w:numPr>
      <w:contextualSpacing/>
    </w:pPr>
  </w:style>
  <w:style w:type="paragraph" w:styleId="ListNumber4">
    <w:name w:val="List Number 4"/>
    <w:basedOn w:val="Normal"/>
    <w:uiPriority w:val="99"/>
    <w:semiHidden/>
    <w:unhideWhenUsed/>
    <w:rsid w:val="009B03BB"/>
    <w:pPr>
      <w:numPr>
        <w:numId w:val="25"/>
      </w:numPr>
      <w:contextualSpacing/>
    </w:pPr>
  </w:style>
  <w:style w:type="paragraph" w:styleId="ListNumber5">
    <w:name w:val="List Number 5"/>
    <w:basedOn w:val="Normal"/>
    <w:uiPriority w:val="99"/>
    <w:semiHidden/>
    <w:unhideWhenUsed/>
    <w:rsid w:val="009B03BB"/>
    <w:pPr>
      <w:numPr>
        <w:numId w:val="26"/>
      </w:numPr>
      <w:contextualSpacing/>
    </w:pPr>
  </w:style>
  <w:style w:type="table" w:styleId="ListTable1Light">
    <w:name w:val="List Table 1 Light"/>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B03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03B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B03B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B03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B03B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B03B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B03B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B03B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03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B03B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B03B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B03B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B03B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B03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B03B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03B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03B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03B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03B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03B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03B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B03B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03B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03B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03B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03B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03B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03B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03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GB" w:eastAsia="en-US"/>
      <w14:ligatures w14:val="none"/>
    </w:rPr>
  </w:style>
  <w:style w:type="character" w:customStyle="1" w:styleId="MacroTextChar">
    <w:name w:val="Macro Text Char"/>
    <w:basedOn w:val="DefaultParagraphFont"/>
    <w:link w:val="MacroText"/>
    <w:uiPriority w:val="99"/>
    <w:semiHidden/>
    <w:rsid w:val="009B03BB"/>
    <w:rPr>
      <w:rFonts w:ascii="Consolas" w:eastAsia="Times New Roman" w:hAnsi="Consolas" w:cs="Times New Roman"/>
      <w:kern w:val="0"/>
      <w:sz w:val="20"/>
      <w:szCs w:val="20"/>
      <w:lang w:eastAsia="en-US"/>
      <w14:ligatures w14:val="none"/>
    </w:rPr>
  </w:style>
  <w:style w:type="table" w:styleId="MediumGrid1">
    <w:name w:val="Medium Grid 1"/>
    <w:basedOn w:val="TableNormal"/>
    <w:uiPriority w:val="67"/>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B03BB"/>
    <w:rPr>
      <w:color w:val="2B579A"/>
      <w:shd w:val="clear" w:color="auto" w:fill="E1DFDD"/>
    </w:rPr>
  </w:style>
  <w:style w:type="paragraph" w:styleId="MessageHeader">
    <w:name w:val="Message Header"/>
    <w:basedOn w:val="Normal"/>
    <w:link w:val="MessageHeaderChar"/>
    <w:uiPriority w:val="99"/>
    <w:semiHidden/>
    <w:unhideWhenUsed/>
    <w:rsid w:val="009B03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B03BB"/>
    <w:rPr>
      <w:rFonts w:asciiTheme="majorHAnsi" w:eastAsiaTheme="majorEastAsia" w:hAnsiTheme="majorHAnsi" w:cstheme="majorBidi"/>
      <w:kern w:val="0"/>
      <w:sz w:val="20"/>
      <w:szCs w:val="20"/>
      <w:shd w:val="pct20" w:color="auto" w:fill="auto"/>
      <w:lang w:eastAsia="en-US"/>
      <w14:ligatures w14:val="none"/>
    </w:rPr>
  </w:style>
  <w:style w:type="paragraph" w:styleId="NormalIndent">
    <w:name w:val="Normal Indent"/>
    <w:basedOn w:val="Normal"/>
    <w:uiPriority w:val="99"/>
    <w:semiHidden/>
    <w:unhideWhenUsed/>
    <w:rsid w:val="009B03BB"/>
    <w:pPr>
      <w:ind w:left="708"/>
    </w:pPr>
  </w:style>
  <w:style w:type="paragraph" w:styleId="NoteHeading">
    <w:name w:val="Note Heading"/>
    <w:basedOn w:val="Normal"/>
    <w:next w:val="Normal"/>
    <w:link w:val="NoteHeadingChar"/>
    <w:uiPriority w:val="99"/>
    <w:semiHidden/>
    <w:unhideWhenUsed/>
    <w:rsid w:val="009B03BB"/>
  </w:style>
  <w:style w:type="character" w:customStyle="1" w:styleId="NoteHeadingChar">
    <w:name w:val="Note Heading Char"/>
    <w:basedOn w:val="DefaultParagraphFont"/>
    <w:link w:val="NoteHeading"/>
    <w:uiPriority w:val="99"/>
    <w:semiHidden/>
    <w:rsid w:val="009B03BB"/>
    <w:rPr>
      <w:rFonts w:ascii="Times New Roman" w:eastAsia="Times New Roman" w:hAnsi="Times New Roman" w:cs="Times New Roman"/>
      <w:kern w:val="0"/>
      <w:sz w:val="20"/>
      <w:szCs w:val="20"/>
      <w:lang w:eastAsia="en-US"/>
      <w14:ligatures w14:val="none"/>
    </w:rPr>
  </w:style>
  <w:style w:type="table" w:styleId="PlainTable1">
    <w:name w:val="Plain Table 1"/>
    <w:basedOn w:val="TableNormal"/>
    <w:uiPriority w:val="41"/>
    <w:rsid w:val="009B0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0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03BB"/>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03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03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03BB"/>
    <w:rPr>
      <w:rFonts w:ascii="Consolas" w:hAnsi="Consolas"/>
      <w:sz w:val="21"/>
      <w:szCs w:val="21"/>
    </w:rPr>
  </w:style>
  <w:style w:type="character" w:customStyle="1" w:styleId="PlainTextChar">
    <w:name w:val="Plain Text Char"/>
    <w:basedOn w:val="DefaultParagraphFont"/>
    <w:link w:val="PlainText"/>
    <w:uiPriority w:val="99"/>
    <w:semiHidden/>
    <w:rsid w:val="009B03BB"/>
    <w:rPr>
      <w:rFonts w:ascii="Consolas" w:eastAsia="Times New Roman" w:hAnsi="Consolas" w:cs="Times New Roman"/>
      <w:kern w:val="0"/>
      <w:sz w:val="21"/>
      <w:szCs w:val="21"/>
      <w:lang w:eastAsia="en-US"/>
      <w14:ligatures w14:val="none"/>
    </w:rPr>
  </w:style>
  <w:style w:type="paragraph" w:styleId="Quote">
    <w:name w:val="Quote"/>
    <w:basedOn w:val="Normal"/>
    <w:next w:val="Normal"/>
    <w:link w:val="QuoteChar"/>
    <w:uiPriority w:val="29"/>
    <w:semiHidden/>
    <w:qFormat/>
    <w:rsid w:val="009B03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37391"/>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Salutation">
    <w:name w:val="Salutation"/>
    <w:basedOn w:val="Normal"/>
    <w:next w:val="Normal"/>
    <w:link w:val="SalutationChar"/>
    <w:uiPriority w:val="99"/>
    <w:semiHidden/>
    <w:unhideWhenUsed/>
    <w:rsid w:val="009B03BB"/>
  </w:style>
  <w:style w:type="character" w:customStyle="1" w:styleId="SalutationChar">
    <w:name w:val="Salutation Char"/>
    <w:basedOn w:val="DefaultParagraphFont"/>
    <w:link w:val="Salutation"/>
    <w:uiPriority w:val="99"/>
    <w:semiHidden/>
    <w:rsid w:val="009B03BB"/>
    <w:rPr>
      <w:rFonts w:ascii="Times New Roman" w:eastAsia="Times New Roman" w:hAnsi="Times New Roman" w:cs="Times New Roman"/>
      <w:kern w:val="0"/>
      <w:sz w:val="20"/>
      <w:szCs w:val="20"/>
      <w:lang w:eastAsia="en-US"/>
      <w14:ligatures w14:val="none"/>
    </w:rPr>
  </w:style>
  <w:style w:type="paragraph" w:styleId="Signature">
    <w:name w:val="Signature"/>
    <w:basedOn w:val="Normal"/>
    <w:link w:val="SignatureChar"/>
    <w:uiPriority w:val="99"/>
    <w:semiHidden/>
    <w:unhideWhenUsed/>
    <w:rsid w:val="009B03BB"/>
    <w:pPr>
      <w:ind w:left="4252"/>
    </w:pPr>
  </w:style>
  <w:style w:type="character" w:customStyle="1" w:styleId="SignatureChar">
    <w:name w:val="Signature Char"/>
    <w:basedOn w:val="DefaultParagraphFont"/>
    <w:link w:val="Signature"/>
    <w:uiPriority w:val="99"/>
    <w:semiHidden/>
    <w:rsid w:val="009B03BB"/>
    <w:rPr>
      <w:rFonts w:ascii="Times New Roman" w:eastAsia="Times New Roman" w:hAnsi="Times New Roman" w:cs="Times New Roman"/>
      <w:kern w:val="0"/>
      <w:sz w:val="20"/>
      <w:szCs w:val="20"/>
      <w:lang w:eastAsia="en-US"/>
      <w14:ligatures w14:val="none"/>
    </w:rPr>
  </w:style>
  <w:style w:type="character" w:styleId="SmartHyperlink">
    <w:name w:val="Smart Hyperlink"/>
    <w:basedOn w:val="DefaultParagraphFont"/>
    <w:uiPriority w:val="99"/>
    <w:semiHidden/>
    <w:unhideWhenUsed/>
    <w:rsid w:val="009B03BB"/>
    <w:rPr>
      <w:u w:val="dotted"/>
    </w:rPr>
  </w:style>
  <w:style w:type="character" w:styleId="SmartLink">
    <w:name w:val="Smart Link"/>
    <w:basedOn w:val="DefaultParagraphFont"/>
    <w:uiPriority w:val="99"/>
    <w:semiHidden/>
    <w:unhideWhenUsed/>
    <w:rsid w:val="009B03BB"/>
    <w:rPr>
      <w:color w:val="0000FF"/>
      <w:u w:val="single"/>
      <w:shd w:val="clear" w:color="auto" w:fill="F3F2F1"/>
    </w:rPr>
  </w:style>
  <w:style w:type="character" w:styleId="Strong">
    <w:name w:val="Strong"/>
    <w:basedOn w:val="DefaultParagraphFont"/>
    <w:uiPriority w:val="22"/>
    <w:semiHidden/>
    <w:qFormat/>
    <w:rsid w:val="009B03BB"/>
    <w:rPr>
      <w:b/>
      <w:bCs/>
    </w:rPr>
  </w:style>
  <w:style w:type="paragraph" w:styleId="Subtitle">
    <w:name w:val="Subtitle"/>
    <w:basedOn w:val="Normal"/>
    <w:next w:val="Normal"/>
    <w:link w:val="SubtitleChar"/>
    <w:uiPriority w:val="11"/>
    <w:semiHidden/>
    <w:qFormat/>
    <w:rsid w:val="009B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37391"/>
    <w:rPr>
      <w:color w:val="5A5A5A" w:themeColor="text1" w:themeTint="A5"/>
      <w:spacing w:val="15"/>
      <w:kern w:val="0"/>
      <w:lang w:eastAsia="en-US"/>
      <w14:ligatures w14:val="none"/>
    </w:rPr>
  </w:style>
  <w:style w:type="character" w:styleId="SubtleEmphasis">
    <w:name w:val="Subtle Emphasis"/>
    <w:basedOn w:val="DefaultParagraphFont"/>
    <w:uiPriority w:val="19"/>
    <w:semiHidden/>
    <w:qFormat/>
    <w:rsid w:val="009B03BB"/>
    <w:rPr>
      <w:i/>
      <w:iCs/>
      <w:color w:val="404040" w:themeColor="text1" w:themeTint="BF"/>
    </w:rPr>
  </w:style>
  <w:style w:type="character" w:styleId="SubtleReference">
    <w:name w:val="Subtle Reference"/>
    <w:basedOn w:val="DefaultParagraphFont"/>
    <w:uiPriority w:val="31"/>
    <w:semiHidden/>
    <w:qFormat/>
    <w:rsid w:val="009B03BB"/>
    <w:rPr>
      <w:smallCaps/>
      <w:color w:val="5A5A5A" w:themeColor="text1" w:themeTint="A5"/>
    </w:rPr>
  </w:style>
  <w:style w:type="table" w:styleId="Table3Deffects1">
    <w:name w:val="Table 3D effect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B0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03BB"/>
    <w:pPr>
      <w:ind w:left="200" w:hanging="200"/>
    </w:pPr>
  </w:style>
  <w:style w:type="table" w:styleId="TableProfessional">
    <w:name w:val="Table Professional"/>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B03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37391"/>
    <w:rPr>
      <w:rFonts w:asciiTheme="majorHAnsi" w:eastAsiaTheme="majorEastAsia" w:hAnsiTheme="majorHAnsi" w:cstheme="majorBidi"/>
      <w:spacing w:val="-10"/>
      <w:kern w:val="28"/>
      <w:sz w:val="56"/>
      <w:szCs w:val="56"/>
      <w:lang w:eastAsia="en-US"/>
      <w14:ligatures w14:val="none"/>
    </w:rPr>
  </w:style>
  <w:style w:type="paragraph" w:styleId="TOAHeading">
    <w:name w:val="toa heading"/>
    <w:basedOn w:val="Normal"/>
    <w:next w:val="Normal"/>
    <w:uiPriority w:val="99"/>
    <w:semiHidden/>
    <w:unhideWhenUsed/>
    <w:rsid w:val="009B03BB"/>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B03BB"/>
    <w:pPr>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CE1932"/>
    <w:pPr>
      <w:spacing w:after="0" w:line="240" w:lineRule="auto"/>
    </w:pPr>
    <w:rPr>
      <w:rFonts w:ascii="Times New Roman" w:eastAsia="Times New Roman" w:hAnsi="Times New Roman" w:cs="Times New Roman"/>
      <w:kern w:val="0"/>
      <w:sz w:val="20"/>
      <w:szCs w:val="20"/>
      <w:lang w:val="en-GB" w:eastAsia="en-US"/>
      <w14:ligatures w14:val="none"/>
    </w:rPr>
  </w:style>
  <w:style w:type="character" w:customStyle="1" w:styleId="BBTitleChar">
    <w:name w:val="BB_Title Char"/>
    <w:link w:val="BBTitle"/>
    <w:rsid w:val="00525CD6"/>
    <w:rPr>
      <w:rFonts w:ascii="Times New Roman" w:eastAsia="Times New Roman" w:hAnsi="Times New Roman" w:cs="Times New Roman"/>
      <w:b/>
      <w:kern w:val="0"/>
      <w:sz w:val="28"/>
      <w:szCs w:val="28"/>
      <w:lang w:val="en-GB" w:eastAsia="en-US"/>
      <w14:ligatures w14:val="none"/>
    </w:rPr>
  </w:style>
  <w:style w:type="character" w:customStyle="1" w:styleId="CH1Char">
    <w:name w:val="CH1 Char"/>
    <w:link w:val="CH1"/>
    <w:rsid w:val="00525CD6"/>
    <w:rPr>
      <w:rFonts w:ascii="Times New Roman" w:eastAsia="Times New Roman" w:hAnsi="Times New Roman" w:cs="Times New Roman"/>
      <w:b/>
      <w:kern w:val="0"/>
      <w:sz w:val="28"/>
      <w:szCs w:val="28"/>
      <w:lang w:val="en-GB" w:eastAsia="en-US"/>
      <w14:ligatures w14:val="none"/>
    </w:rPr>
  </w:style>
  <w:style w:type="numbering" w:customStyle="1" w:styleId="Normallist2">
    <w:name w:val="Normal_list2"/>
    <w:basedOn w:val="NoList"/>
    <w:rsid w:val="00525CD6"/>
  </w:style>
  <w:style w:type="paragraph" w:customStyle="1" w:styleId="Recommendation">
    <w:name w:val="Recommendation"/>
    <w:basedOn w:val="Normalnumber"/>
    <w:qFormat/>
    <w:rsid w:val="00F012C2"/>
    <w:pPr>
      <w:numPr>
        <w:numId w:val="0"/>
      </w:numPr>
      <w:jc w:val="right"/>
    </w:pPr>
    <w:rPr>
      <w:b/>
      <w:bCs/>
    </w:rPr>
  </w:style>
  <w:style w:type="character" w:customStyle="1" w:styleId="NormalNonumberChar">
    <w:name w:val="Normal_No_number Char"/>
    <w:link w:val="NormalNonumber"/>
    <w:rsid w:val="00C90248"/>
    <w:rPr>
      <w:rFonts w:ascii="Times New Roman" w:eastAsia="Times New Roman" w:hAnsi="Times New Roman" w:cs="Times New Roman"/>
      <w:kern w:val="0"/>
      <w:sz w:val="20"/>
      <w:szCs w:val="20"/>
      <w:lang w:val="en-GB" w:eastAsia="en-US"/>
      <w14:ligatures w14:val="none"/>
    </w:rPr>
  </w:style>
  <w:style w:type="character" w:customStyle="1" w:styleId="CH3Char">
    <w:name w:val="CH3 Char"/>
    <w:link w:val="CH3"/>
    <w:locked/>
    <w:rsid w:val="003B5C96"/>
    <w:rPr>
      <w:rFonts w:ascii="Times New Roman" w:eastAsia="Times New Roman" w:hAnsi="Times New Roman" w:cs="Times New Roman"/>
      <w:b/>
      <w:kern w:val="0"/>
      <w:sz w:val="20"/>
      <w:szCs w:val="20"/>
      <w:lang w:val="en-GB" w:eastAsia="en-US"/>
      <w14:ligatures w14:val="none"/>
    </w:rPr>
  </w:style>
  <w:style w:type="character" w:customStyle="1" w:styleId="FooterChar1">
    <w:name w:val="Footer Char1"/>
    <w:basedOn w:val="DefaultParagraphFont"/>
    <w:link w:val="Footer"/>
    <w:rsid w:val="00E20109"/>
    <w:rPr>
      <w:rFonts w:ascii="Times New Roman" w:eastAsia="Times New Roman" w:hAnsi="Times New Roman" w:cs="Times New Roman"/>
      <w:b/>
      <w:kern w:val="0"/>
      <w:sz w:val="18"/>
      <w:szCs w:val="20"/>
      <w:lang w:eastAsia="en-US"/>
      <w14:ligatures w14:val="none"/>
    </w:rPr>
  </w:style>
  <w:style w:type="character" w:customStyle="1" w:styleId="normaltextrun">
    <w:name w:val="normaltextrun"/>
    <w:basedOn w:val="DefaultParagraphFont"/>
    <w:rsid w:val="007277BE"/>
  </w:style>
  <w:style w:type="paragraph" w:customStyle="1" w:styleId="Footer-jobnumber">
    <w:name w:val="Footer-jobnumber"/>
    <w:basedOn w:val="Normal-pool"/>
    <w:qFormat/>
    <w:rsid w:val="00E20109"/>
    <w:pPr>
      <w:tabs>
        <w:tab w:val="clear" w:pos="624"/>
        <w:tab w:val="clear" w:pos="1247"/>
        <w:tab w:val="clear" w:pos="1871"/>
        <w:tab w:val="clear" w:pos="2495"/>
        <w:tab w:val="clear" w:pos="3119"/>
        <w:tab w:val="clear" w:pos="3742"/>
        <w:tab w:val="clear" w:pos="4366"/>
        <w:tab w:val="clear" w:pos="4990"/>
        <w:tab w:val="left" w:pos="1701"/>
      </w:tabs>
    </w:pPr>
  </w:style>
  <w:style w:type="character" w:customStyle="1" w:styleId="ContentControls">
    <w:name w:val="ContentControls"/>
    <w:basedOn w:val="DefaultParagraphFont"/>
    <w:uiPriority w:val="1"/>
    <w:rsid w:val="00DA64D2"/>
    <w:rPr>
      <w:rFonts w:eastAsiaTheme="minorEastAsia"/>
      <w:color w:val="000000" w:themeColor="text1"/>
      <w:lang w:val="en-GB" w:eastAsia="zh-CN"/>
    </w:rPr>
  </w:style>
  <w:style w:type="paragraph" w:customStyle="1" w:styleId="Footnote-Separator">
    <w:name w:val="Footnote-Separator"/>
    <w:basedOn w:val="Normal-pool"/>
    <w:next w:val="Normal"/>
    <w:unhideWhenUsed/>
    <w:rsid w:val="00E20109"/>
    <w:pPr>
      <w:spacing w:before="60"/>
      <w:ind w:left="624"/>
    </w:pPr>
    <w:rPr>
      <w:rFonts w:eastAsiaTheme="minorEastAsia"/>
      <w:sz w:val="18"/>
    </w:rPr>
  </w:style>
  <w:style w:type="paragraph" w:customStyle="1" w:styleId="Indent">
    <w:name w:val="Indent"/>
    <w:basedOn w:val="NormalNonumber"/>
    <w:qFormat/>
    <w:rsid w:val="0077595D"/>
    <w:pPr>
      <w:ind w:firstLine="624"/>
    </w:pPr>
  </w:style>
  <w:style w:type="character" w:customStyle="1" w:styleId="CH2Char">
    <w:name w:val="CH2 Char"/>
    <w:link w:val="CH2"/>
    <w:locked/>
    <w:rsid w:val="006275CB"/>
    <w:rPr>
      <w:rFonts w:ascii="Times New Roman" w:eastAsia="Times New Roman" w:hAnsi="Times New Roman" w:cs="Times New Roman"/>
      <w:b/>
      <w:kern w:val="0"/>
      <w:sz w:val="24"/>
      <w:szCs w:val="24"/>
      <w:lang w:val="en-GB" w:eastAsia="en-US"/>
      <w14:ligatures w14:val="none"/>
    </w:rPr>
  </w:style>
  <w:style w:type="paragraph" w:customStyle="1" w:styleId="LOPL2Group">
    <w:name w:val="LOP L2 Group"/>
    <w:rsid w:val="008D5A91"/>
    <w:pPr>
      <w:keepNext/>
      <w:keepLines/>
      <w:spacing w:after="200" w:line="276" w:lineRule="auto"/>
    </w:pPr>
    <w:rPr>
      <w:rFonts w:ascii="Arial" w:hAnsi="Arial"/>
      <w:b/>
      <w:kern w:val="0"/>
      <w:u w:val="single"/>
      <w:lang w:val="en-US" w:eastAsia="en-US"/>
      <w14:ligatures w14:val="none"/>
    </w:rPr>
  </w:style>
  <w:style w:type="table" w:customStyle="1" w:styleId="LOPTable">
    <w:name w:val="LOP Table"/>
    <w:rsid w:val="00C25773"/>
    <w:pPr>
      <w:spacing w:after="200" w:line="276" w:lineRule="auto"/>
    </w:pPr>
    <w:rPr>
      <w:rFonts w:ascii="Arial" w:hAnsi="Arial"/>
      <w:kern w:val="0"/>
      <w:lang w:val="en-US"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46">
      <w:bodyDiv w:val="1"/>
      <w:marLeft w:val="0"/>
      <w:marRight w:val="0"/>
      <w:marTop w:val="0"/>
      <w:marBottom w:val="0"/>
      <w:divBdr>
        <w:top w:val="none" w:sz="0" w:space="0" w:color="auto"/>
        <w:left w:val="none" w:sz="0" w:space="0" w:color="auto"/>
        <w:bottom w:val="none" w:sz="0" w:space="0" w:color="auto"/>
        <w:right w:val="none" w:sz="0" w:space="0" w:color="auto"/>
      </w:divBdr>
      <w:divsChild>
        <w:div w:id="216816625">
          <w:marLeft w:val="1080"/>
          <w:marRight w:val="0"/>
          <w:marTop w:val="100"/>
          <w:marBottom w:val="120"/>
          <w:divBdr>
            <w:top w:val="none" w:sz="0" w:space="0" w:color="auto"/>
            <w:left w:val="none" w:sz="0" w:space="0" w:color="auto"/>
            <w:bottom w:val="none" w:sz="0" w:space="0" w:color="auto"/>
            <w:right w:val="none" w:sz="0" w:space="0" w:color="auto"/>
          </w:divBdr>
        </w:div>
        <w:div w:id="1809397626">
          <w:marLeft w:val="1080"/>
          <w:marRight w:val="0"/>
          <w:marTop w:val="100"/>
          <w:marBottom w:val="120"/>
          <w:divBdr>
            <w:top w:val="none" w:sz="0" w:space="0" w:color="auto"/>
            <w:left w:val="none" w:sz="0" w:space="0" w:color="auto"/>
            <w:bottom w:val="none" w:sz="0" w:space="0" w:color="auto"/>
            <w:right w:val="none" w:sz="0" w:space="0" w:color="auto"/>
          </w:divBdr>
        </w:div>
        <w:div w:id="1892688088">
          <w:marLeft w:val="1080"/>
          <w:marRight w:val="0"/>
          <w:marTop w:val="100"/>
          <w:marBottom w:val="120"/>
          <w:divBdr>
            <w:top w:val="none" w:sz="0" w:space="0" w:color="auto"/>
            <w:left w:val="none" w:sz="0" w:space="0" w:color="auto"/>
            <w:bottom w:val="none" w:sz="0" w:space="0" w:color="auto"/>
            <w:right w:val="none" w:sz="0" w:space="0" w:color="auto"/>
          </w:divBdr>
        </w:div>
        <w:div w:id="2002274009">
          <w:marLeft w:val="1080"/>
          <w:marRight w:val="0"/>
          <w:marTop w:val="100"/>
          <w:marBottom w:val="120"/>
          <w:divBdr>
            <w:top w:val="none" w:sz="0" w:space="0" w:color="auto"/>
            <w:left w:val="none" w:sz="0" w:space="0" w:color="auto"/>
            <w:bottom w:val="none" w:sz="0" w:space="0" w:color="auto"/>
            <w:right w:val="none" w:sz="0" w:space="0" w:color="auto"/>
          </w:divBdr>
        </w:div>
      </w:divsChild>
    </w:div>
    <w:div w:id="247467649">
      <w:bodyDiv w:val="1"/>
      <w:marLeft w:val="0"/>
      <w:marRight w:val="0"/>
      <w:marTop w:val="0"/>
      <w:marBottom w:val="0"/>
      <w:divBdr>
        <w:top w:val="none" w:sz="0" w:space="0" w:color="auto"/>
        <w:left w:val="none" w:sz="0" w:space="0" w:color="auto"/>
        <w:bottom w:val="none" w:sz="0" w:space="0" w:color="auto"/>
        <w:right w:val="none" w:sz="0" w:space="0" w:color="auto"/>
      </w:divBdr>
    </w:div>
    <w:div w:id="503130664">
      <w:bodyDiv w:val="1"/>
      <w:marLeft w:val="0"/>
      <w:marRight w:val="0"/>
      <w:marTop w:val="0"/>
      <w:marBottom w:val="0"/>
      <w:divBdr>
        <w:top w:val="none" w:sz="0" w:space="0" w:color="auto"/>
        <w:left w:val="none" w:sz="0" w:space="0" w:color="auto"/>
        <w:bottom w:val="none" w:sz="0" w:space="0" w:color="auto"/>
        <w:right w:val="none" w:sz="0" w:space="0" w:color="auto"/>
      </w:divBdr>
      <w:divsChild>
        <w:div w:id="13847493">
          <w:marLeft w:val="547"/>
          <w:marRight w:val="0"/>
          <w:marTop w:val="120"/>
          <w:marBottom w:val="120"/>
          <w:divBdr>
            <w:top w:val="none" w:sz="0" w:space="0" w:color="auto"/>
            <w:left w:val="none" w:sz="0" w:space="0" w:color="auto"/>
            <w:bottom w:val="none" w:sz="0" w:space="0" w:color="auto"/>
            <w:right w:val="none" w:sz="0" w:space="0" w:color="auto"/>
          </w:divBdr>
        </w:div>
        <w:div w:id="350303164">
          <w:marLeft w:val="547"/>
          <w:marRight w:val="0"/>
          <w:marTop w:val="120"/>
          <w:marBottom w:val="120"/>
          <w:divBdr>
            <w:top w:val="none" w:sz="0" w:space="0" w:color="auto"/>
            <w:left w:val="none" w:sz="0" w:space="0" w:color="auto"/>
            <w:bottom w:val="none" w:sz="0" w:space="0" w:color="auto"/>
            <w:right w:val="none" w:sz="0" w:space="0" w:color="auto"/>
          </w:divBdr>
        </w:div>
        <w:div w:id="1786584400">
          <w:marLeft w:val="547"/>
          <w:marRight w:val="0"/>
          <w:marTop w:val="120"/>
          <w:marBottom w:val="120"/>
          <w:divBdr>
            <w:top w:val="none" w:sz="0" w:space="0" w:color="auto"/>
            <w:left w:val="none" w:sz="0" w:space="0" w:color="auto"/>
            <w:bottom w:val="none" w:sz="0" w:space="0" w:color="auto"/>
            <w:right w:val="none" w:sz="0" w:space="0" w:color="auto"/>
          </w:divBdr>
        </w:div>
        <w:div w:id="1936283763">
          <w:marLeft w:val="547"/>
          <w:marRight w:val="0"/>
          <w:marTop w:val="120"/>
          <w:marBottom w:val="120"/>
          <w:divBdr>
            <w:top w:val="none" w:sz="0" w:space="0" w:color="auto"/>
            <w:left w:val="none" w:sz="0" w:space="0" w:color="auto"/>
            <w:bottom w:val="none" w:sz="0" w:space="0" w:color="auto"/>
            <w:right w:val="none" w:sz="0" w:space="0" w:color="auto"/>
          </w:divBdr>
        </w:div>
      </w:divsChild>
    </w:div>
    <w:div w:id="521283712">
      <w:bodyDiv w:val="1"/>
      <w:marLeft w:val="0"/>
      <w:marRight w:val="0"/>
      <w:marTop w:val="0"/>
      <w:marBottom w:val="0"/>
      <w:divBdr>
        <w:top w:val="none" w:sz="0" w:space="0" w:color="auto"/>
        <w:left w:val="none" w:sz="0" w:space="0" w:color="auto"/>
        <w:bottom w:val="none" w:sz="0" w:space="0" w:color="auto"/>
        <w:right w:val="none" w:sz="0" w:space="0" w:color="auto"/>
      </w:divBdr>
      <w:divsChild>
        <w:div w:id="722993745">
          <w:marLeft w:val="432"/>
          <w:marRight w:val="0"/>
          <w:marTop w:val="0"/>
          <w:marBottom w:val="120"/>
          <w:divBdr>
            <w:top w:val="none" w:sz="0" w:space="0" w:color="auto"/>
            <w:left w:val="none" w:sz="0" w:space="0" w:color="auto"/>
            <w:bottom w:val="none" w:sz="0" w:space="0" w:color="auto"/>
            <w:right w:val="none" w:sz="0" w:space="0" w:color="auto"/>
          </w:divBdr>
        </w:div>
        <w:div w:id="1881626948">
          <w:marLeft w:val="432"/>
          <w:marRight w:val="0"/>
          <w:marTop w:val="0"/>
          <w:marBottom w:val="120"/>
          <w:divBdr>
            <w:top w:val="none" w:sz="0" w:space="0" w:color="auto"/>
            <w:left w:val="none" w:sz="0" w:space="0" w:color="auto"/>
            <w:bottom w:val="none" w:sz="0" w:space="0" w:color="auto"/>
            <w:right w:val="none" w:sz="0" w:space="0" w:color="auto"/>
          </w:divBdr>
        </w:div>
      </w:divsChild>
    </w:div>
    <w:div w:id="718089680">
      <w:bodyDiv w:val="1"/>
      <w:marLeft w:val="0"/>
      <w:marRight w:val="0"/>
      <w:marTop w:val="0"/>
      <w:marBottom w:val="0"/>
      <w:divBdr>
        <w:top w:val="none" w:sz="0" w:space="0" w:color="auto"/>
        <w:left w:val="none" w:sz="0" w:space="0" w:color="auto"/>
        <w:bottom w:val="none" w:sz="0" w:space="0" w:color="auto"/>
        <w:right w:val="none" w:sz="0" w:space="0" w:color="auto"/>
      </w:divBdr>
    </w:div>
    <w:div w:id="972949435">
      <w:bodyDiv w:val="1"/>
      <w:marLeft w:val="0"/>
      <w:marRight w:val="0"/>
      <w:marTop w:val="0"/>
      <w:marBottom w:val="0"/>
      <w:divBdr>
        <w:top w:val="none" w:sz="0" w:space="0" w:color="auto"/>
        <w:left w:val="none" w:sz="0" w:space="0" w:color="auto"/>
        <w:bottom w:val="none" w:sz="0" w:space="0" w:color="auto"/>
        <w:right w:val="none" w:sz="0" w:space="0" w:color="auto"/>
      </w:divBdr>
      <w:divsChild>
        <w:div w:id="981035636">
          <w:marLeft w:val="547"/>
          <w:marRight w:val="0"/>
          <w:marTop w:val="0"/>
          <w:marBottom w:val="240"/>
          <w:divBdr>
            <w:top w:val="none" w:sz="0" w:space="0" w:color="auto"/>
            <w:left w:val="none" w:sz="0" w:space="0" w:color="auto"/>
            <w:bottom w:val="none" w:sz="0" w:space="0" w:color="auto"/>
            <w:right w:val="none" w:sz="0" w:space="0" w:color="auto"/>
          </w:divBdr>
        </w:div>
        <w:div w:id="1466242169">
          <w:marLeft w:val="547"/>
          <w:marRight w:val="0"/>
          <w:marTop w:val="0"/>
          <w:marBottom w:val="240"/>
          <w:divBdr>
            <w:top w:val="none" w:sz="0" w:space="0" w:color="auto"/>
            <w:left w:val="none" w:sz="0" w:space="0" w:color="auto"/>
            <w:bottom w:val="none" w:sz="0" w:space="0" w:color="auto"/>
            <w:right w:val="none" w:sz="0" w:space="0" w:color="auto"/>
          </w:divBdr>
        </w:div>
        <w:div w:id="2088258216">
          <w:marLeft w:val="547"/>
          <w:marRight w:val="0"/>
          <w:marTop w:val="0"/>
          <w:marBottom w:val="240"/>
          <w:divBdr>
            <w:top w:val="none" w:sz="0" w:space="0" w:color="auto"/>
            <w:left w:val="none" w:sz="0" w:space="0" w:color="auto"/>
            <w:bottom w:val="none" w:sz="0" w:space="0" w:color="auto"/>
            <w:right w:val="none" w:sz="0" w:space="0" w:color="auto"/>
          </w:divBdr>
        </w:div>
      </w:divsChild>
    </w:div>
    <w:div w:id="1004358195">
      <w:bodyDiv w:val="1"/>
      <w:marLeft w:val="0"/>
      <w:marRight w:val="0"/>
      <w:marTop w:val="0"/>
      <w:marBottom w:val="0"/>
      <w:divBdr>
        <w:top w:val="none" w:sz="0" w:space="0" w:color="auto"/>
        <w:left w:val="none" w:sz="0" w:space="0" w:color="auto"/>
        <w:bottom w:val="none" w:sz="0" w:space="0" w:color="auto"/>
        <w:right w:val="none" w:sz="0" w:space="0" w:color="auto"/>
      </w:divBdr>
      <w:divsChild>
        <w:div w:id="704403369">
          <w:marLeft w:val="1080"/>
          <w:marRight w:val="0"/>
          <w:marTop w:val="100"/>
          <w:marBottom w:val="120"/>
          <w:divBdr>
            <w:top w:val="none" w:sz="0" w:space="0" w:color="auto"/>
            <w:left w:val="none" w:sz="0" w:space="0" w:color="auto"/>
            <w:bottom w:val="none" w:sz="0" w:space="0" w:color="auto"/>
            <w:right w:val="none" w:sz="0" w:space="0" w:color="auto"/>
          </w:divBdr>
        </w:div>
        <w:div w:id="2038390782">
          <w:marLeft w:val="1080"/>
          <w:marRight w:val="0"/>
          <w:marTop w:val="100"/>
          <w:marBottom w:val="120"/>
          <w:divBdr>
            <w:top w:val="none" w:sz="0" w:space="0" w:color="auto"/>
            <w:left w:val="none" w:sz="0" w:space="0" w:color="auto"/>
            <w:bottom w:val="none" w:sz="0" w:space="0" w:color="auto"/>
            <w:right w:val="none" w:sz="0" w:space="0" w:color="auto"/>
          </w:divBdr>
        </w:div>
        <w:div w:id="2046517358">
          <w:marLeft w:val="1080"/>
          <w:marRight w:val="0"/>
          <w:marTop w:val="100"/>
          <w:marBottom w:val="120"/>
          <w:divBdr>
            <w:top w:val="none" w:sz="0" w:space="0" w:color="auto"/>
            <w:left w:val="none" w:sz="0" w:space="0" w:color="auto"/>
            <w:bottom w:val="none" w:sz="0" w:space="0" w:color="auto"/>
            <w:right w:val="none" w:sz="0" w:space="0" w:color="auto"/>
          </w:divBdr>
        </w:div>
      </w:divsChild>
    </w:div>
    <w:div w:id="1041127488">
      <w:bodyDiv w:val="1"/>
      <w:marLeft w:val="0"/>
      <w:marRight w:val="0"/>
      <w:marTop w:val="0"/>
      <w:marBottom w:val="0"/>
      <w:divBdr>
        <w:top w:val="none" w:sz="0" w:space="0" w:color="auto"/>
        <w:left w:val="none" w:sz="0" w:space="0" w:color="auto"/>
        <w:bottom w:val="none" w:sz="0" w:space="0" w:color="auto"/>
        <w:right w:val="none" w:sz="0" w:space="0" w:color="auto"/>
      </w:divBdr>
      <w:divsChild>
        <w:div w:id="314183934">
          <w:marLeft w:val="547"/>
          <w:marRight w:val="0"/>
          <w:marTop w:val="0"/>
          <w:marBottom w:val="240"/>
          <w:divBdr>
            <w:top w:val="none" w:sz="0" w:space="0" w:color="auto"/>
            <w:left w:val="none" w:sz="0" w:space="0" w:color="auto"/>
            <w:bottom w:val="none" w:sz="0" w:space="0" w:color="auto"/>
            <w:right w:val="none" w:sz="0" w:space="0" w:color="auto"/>
          </w:divBdr>
        </w:div>
        <w:div w:id="359280924">
          <w:marLeft w:val="547"/>
          <w:marRight w:val="0"/>
          <w:marTop w:val="0"/>
          <w:marBottom w:val="240"/>
          <w:divBdr>
            <w:top w:val="none" w:sz="0" w:space="0" w:color="auto"/>
            <w:left w:val="none" w:sz="0" w:space="0" w:color="auto"/>
            <w:bottom w:val="none" w:sz="0" w:space="0" w:color="auto"/>
            <w:right w:val="none" w:sz="0" w:space="0" w:color="auto"/>
          </w:divBdr>
        </w:div>
        <w:div w:id="1457723362">
          <w:marLeft w:val="547"/>
          <w:marRight w:val="0"/>
          <w:marTop w:val="0"/>
          <w:marBottom w:val="240"/>
          <w:divBdr>
            <w:top w:val="none" w:sz="0" w:space="0" w:color="auto"/>
            <w:left w:val="none" w:sz="0" w:space="0" w:color="auto"/>
            <w:bottom w:val="none" w:sz="0" w:space="0" w:color="auto"/>
            <w:right w:val="none" w:sz="0" w:space="0" w:color="auto"/>
          </w:divBdr>
        </w:div>
      </w:divsChild>
    </w:div>
    <w:div w:id="1270351895">
      <w:bodyDiv w:val="1"/>
      <w:marLeft w:val="0"/>
      <w:marRight w:val="0"/>
      <w:marTop w:val="0"/>
      <w:marBottom w:val="0"/>
      <w:divBdr>
        <w:top w:val="none" w:sz="0" w:space="0" w:color="auto"/>
        <w:left w:val="none" w:sz="0" w:space="0" w:color="auto"/>
        <w:bottom w:val="none" w:sz="0" w:space="0" w:color="auto"/>
        <w:right w:val="none" w:sz="0" w:space="0" w:color="auto"/>
      </w:divBdr>
      <w:divsChild>
        <w:div w:id="442262360">
          <w:marLeft w:val="994"/>
          <w:marRight w:val="0"/>
          <w:marTop w:val="100"/>
          <w:marBottom w:val="120"/>
          <w:divBdr>
            <w:top w:val="none" w:sz="0" w:space="0" w:color="auto"/>
            <w:left w:val="none" w:sz="0" w:space="0" w:color="auto"/>
            <w:bottom w:val="none" w:sz="0" w:space="0" w:color="auto"/>
            <w:right w:val="none" w:sz="0" w:space="0" w:color="auto"/>
          </w:divBdr>
        </w:div>
        <w:div w:id="1308242549">
          <w:marLeft w:val="994"/>
          <w:marRight w:val="0"/>
          <w:marTop w:val="100"/>
          <w:marBottom w:val="120"/>
          <w:divBdr>
            <w:top w:val="none" w:sz="0" w:space="0" w:color="auto"/>
            <w:left w:val="none" w:sz="0" w:space="0" w:color="auto"/>
            <w:bottom w:val="none" w:sz="0" w:space="0" w:color="auto"/>
            <w:right w:val="none" w:sz="0" w:space="0" w:color="auto"/>
          </w:divBdr>
        </w:div>
        <w:div w:id="1344824769">
          <w:marLeft w:val="994"/>
          <w:marRight w:val="0"/>
          <w:marTop w:val="100"/>
          <w:marBottom w:val="120"/>
          <w:divBdr>
            <w:top w:val="none" w:sz="0" w:space="0" w:color="auto"/>
            <w:left w:val="none" w:sz="0" w:space="0" w:color="auto"/>
            <w:bottom w:val="none" w:sz="0" w:space="0" w:color="auto"/>
            <w:right w:val="none" w:sz="0" w:space="0" w:color="auto"/>
          </w:divBdr>
        </w:div>
        <w:div w:id="1903103229">
          <w:marLeft w:val="994"/>
          <w:marRight w:val="0"/>
          <w:marTop w:val="100"/>
          <w:marBottom w:val="120"/>
          <w:divBdr>
            <w:top w:val="none" w:sz="0" w:space="0" w:color="auto"/>
            <w:left w:val="none" w:sz="0" w:space="0" w:color="auto"/>
            <w:bottom w:val="none" w:sz="0" w:space="0" w:color="auto"/>
            <w:right w:val="none" w:sz="0" w:space="0" w:color="auto"/>
          </w:divBdr>
        </w:div>
      </w:divsChild>
    </w:div>
    <w:div w:id="1440758718">
      <w:bodyDiv w:val="1"/>
      <w:marLeft w:val="0"/>
      <w:marRight w:val="0"/>
      <w:marTop w:val="0"/>
      <w:marBottom w:val="0"/>
      <w:divBdr>
        <w:top w:val="none" w:sz="0" w:space="0" w:color="auto"/>
        <w:left w:val="none" w:sz="0" w:space="0" w:color="auto"/>
        <w:bottom w:val="none" w:sz="0" w:space="0" w:color="auto"/>
        <w:right w:val="none" w:sz="0" w:space="0" w:color="auto"/>
      </w:divBdr>
      <w:divsChild>
        <w:div w:id="597908484">
          <w:marLeft w:val="446"/>
          <w:marRight w:val="0"/>
          <w:marTop w:val="0"/>
          <w:marBottom w:val="0"/>
          <w:divBdr>
            <w:top w:val="none" w:sz="0" w:space="0" w:color="auto"/>
            <w:left w:val="none" w:sz="0" w:space="0" w:color="auto"/>
            <w:bottom w:val="none" w:sz="0" w:space="0" w:color="auto"/>
            <w:right w:val="none" w:sz="0" w:space="0" w:color="auto"/>
          </w:divBdr>
        </w:div>
        <w:div w:id="760176354">
          <w:marLeft w:val="446"/>
          <w:marRight w:val="0"/>
          <w:marTop w:val="0"/>
          <w:marBottom w:val="0"/>
          <w:divBdr>
            <w:top w:val="none" w:sz="0" w:space="0" w:color="auto"/>
            <w:left w:val="none" w:sz="0" w:space="0" w:color="auto"/>
            <w:bottom w:val="none" w:sz="0" w:space="0" w:color="auto"/>
            <w:right w:val="none" w:sz="0" w:space="0" w:color="auto"/>
          </w:divBdr>
        </w:div>
        <w:div w:id="970131091">
          <w:marLeft w:val="446"/>
          <w:marRight w:val="0"/>
          <w:marTop w:val="0"/>
          <w:marBottom w:val="0"/>
          <w:divBdr>
            <w:top w:val="none" w:sz="0" w:space="0" w:color="auto"/>
            <w:left w:val="none" w:sz="0" w:space="0" w:color="auto"/>
            <w:bottom w:val="none" w:sz="0" w:space="0" w:color="auto"/>
            <w:right w:val="none" w:sz="0" w:space="0" w:color="auto"/>
          </w:divBdr>
        </w:div>
        <w:div w:id="1211963515">
          <w:marLeft w:val="446"/>
          <w:marRight w:val="0"/>
          <w:marTop w:val="0"/>
          <w:marBottom w:val="0"/>
          <w:divBdr>
            <w:top w:val="none" w:sz="0" w:space="0" w:color="auto"/>
            <w:left w:val="none" w:sz="0" w:space="0" w:color="auto"/>
            <w:bottom w:val="none" w:sz="0" w:space="0" w:color="auto"/>
            <w:right w:val="none" w:sz="0" w:space="0" w:color="auto"/>
          </w:divBdr>
        </w:div>
        <w:div w:id="1399090860">
          <w:marLeft w:val="446"/>
          <w:marRight w:val="0"/>
          <w:marTop w:val="0"/>
          <w:marBottom w:val="0"/>
          <w:divBdr>
            <w:top w:val="none" w:sz="0" w:space="0" w:color="auto"/>
            <w:left w:val="none" w:sz="0" w:space="0" w:color="auto"/>
            <w:bottom w:val="none" w:sz="0" w:space="0" w:color="auto"/>
            <w:right w:val="none" w:sz="0" w:space="0" w:color="auto"/>
          </w:divBdr>
        </w:div>
        <w:div w:id="2107537382">
          <w:marLeft w:val="446"/>
          <w:marRight w:val="0"/>
          <w:marTop w:val="0"/>
          <w:marBottom w:val="0"/>
          <w:divBdr>
            <w:top w:val="none" w:sz="0" w:space="0" w:color="auto"/>
            <w:left w:val="none" w:sz="0" w:space="0" w:color="auto"/>
            <w:bottom w:val="none" w:sz="0" w:space="0" w:color="auto"/>
            <w:right w:val="none" w:sz="0" w:space="0" w:color="auto"/>
          </w:divBdr>
        </w:div>
      </w:divsChild>
    </w:div>
    <w:div w:id="1455169610">
      <w:bodyDiv w:val="1"/>
      <w:marLeft w:val="0"/>
      <w:marRight w:val="0"/>
      <w:marTop w:val="0"/>
      <w:marBottom w:val="0"/>
      <w:divBdr>
        <w:top w:val="none" w:sz="0" w:space="0" w:color="auto"/>
        <w:left w:val="none" w:sz="0" w:space="0" w:color="auto"/>
        <w:bottom w:val="none" w:sz="0" w:space="0" w:color="auto"/>
        <w:right w:val="none" w:sz="0" w:space="0" w:color="auto"/>
      </w:divBdr>
    </w:div>
    <w:div w:id="1521431039">
      <w:bodyDiv w:val="1"/>
      <w:marLeft w:val="0"/>
      <w:marRight w:val="0"/>
      <w:marTop w:val="0"/>
      <w:marBottom w:val="0"/>
      <w:divBdr>
        <w:top w:val="none" w:sz="0" w:space="0" w:color="auto"/>
        <w:left w:val="none" w:sz="0" w:space="0" w:color="auto"/>
        <w:bottom w:val="none" w:sz="0" w:space="0" w:color="auto"/>
        <w:right w:val="none" w:sz="0" w:space="0" w:color="auto"/>
      </w:divBdr>
      <w:divsChild>
        <w:div w:id="115220435">
          <w:marLeft w:val="562"/>
          <w:marRight w:val="0"/>
          <w:marTop w:val="200"/>
          <w:marBottom w:val="0"/>
          <w:divBdr>
            <w:top w:val="none" w:sz="0" w:space="0" w:color="auto"/>
            <w:left w:val="none" w:sz="0" w:space="0" w:color="auto"/>
            <w:bottom w:val="none" w:sz="0" w:space="0" w:color="auto"/>
            <w:right w:val="none" w:sz="0" w:space="0" w:color="auto"/>
          </w:divBdr>
        </w:div>
        <w:div w:id="469634758">
          <w:marLeft w:val="1325"/>
          <w:marRight w:val="0"/>
          <w:marTop w:val="240"/>
          <w:marBottom w:val="120"/>
          <w:divBdr>
            <w:top w:val="none" w:sz="0" w:space="0" w:color="auto"/>
            <w:left w:val="none" w:sz="0" w:space="0" w:color="auto"/>
            <w:bottom w:val="none" w:sz="0" w:space="0" w:color="auto"/>
            <w:right w:val="none" w:sz="0" w:space="0" w:color="auto"/>
          </w:divBdr>
        </w:div>
        <w:div w:id="585116214">
          <w:marLeft w:val="562"/>
          <w:marRight w:val="0"/>
          <w:marTop w:val="200"/>
          <w:marBottom w:val="0"/>
          <w:divBdr>
            <w:top w:val="none" w:sz="0" w:space="0" w:color="auto"/>
            <w:left w:val="none" w:sz="0" w:space="0" w:color="auto"/>
            <w:bottom w:val="none" w:sz="0" w:space="0" w:color="auto"/>
            <w:right w:val="none" w:sz="0" w:space="0" w:color="auto"/>
          </w:divBdr>
        </w:div>
        <w:div w:id="2105375585">
          <w:marLeft w:val="1325"/>
          <w:marRight w:val="0"/>
          <w:marTop w:val="240"/>
          <w:marBottom w:val="120"/>
          <w:divBdr>
            <w:top w:val="none" w:sz="0" w:space="0" w:color="auto"/>
            <w:left w:val="none" w:sz="0" w:space="0" w:color="auto"/>
            <w:bottom w:val="none" w:sz="0" w:space="0" w:color="auto"/>
            <w:right w:val="none" w:sz="0" w:space="0" w:color="auto"/>
          </w:divBdr>
        </w:div>
      </w:divsChild>
    </w:div>
    <w:div w:id="1538423759">
      <w:bodyDiv w:val="1"/>
      <w:marLeft w:val="0"/>
      <w:marRight w:val="0"/>
      <w:marTop w:val="0"/>
      <w:marBottom w:val="0"/>
      <w:divBdr>
        <w:top w:val="none" w:sz="0" w:space="0" w:color="auto"/>
        <w:left w:val="none" w:sz="0" w:space="0" w:color="auto"/>
        <w:bottom w:val="none" w:sz="0" w:space="0" w:color="auto"/>
        <w:right w:val="none" w:sz="0" w:space="0" w:color="auto"/>
      </w:divBdr>
    </w:div>
    <w:div w:id="1627930203">
      <w:bodyDiv w:val="1"/>
      <w:marLeft w:val="0"/>
      <w:marRight w:val="0"/>
      <w:marTop w:val="0"/>
      <w:marBottom w:val="0"/>
      <w:divBdr>
        <w:top w:val="none" w:sz="0" w:space="0" w:color="auto"/>
        <w:left w:val="none" w:sz="0" w:space="0" w:color="auto"/>
        <w:bottom w:val="none" w:sz="0" w:space="0" w:color="auto"/>
        <w:right w:val="none" w:sz="0" w:space="0" w:color="auto"/>
      </w:divBdr>
      <w:divsChild>
        <w:div w:id="846872046">
          <w:marLeft w:val="547"/>
          <w:marRight w:val="0"/>
          <w:marTop w:val="0"/>
          <w:marBottom w:val="240"/>
          <w:divBdr>
            <w:top w:val="none" w:sz="0" w:space="0" w:color="auto"/>
            <w:left w:val="none" w:sz="0" w:space="0" w:color="auto"/>
            <w:bottom w:val="none" w:sz="0" w:space="0" w:color="auto"/>
            <w:right w:val="none" w:sz="0" w:space="0" w:color="auto"/>
          </w:divBdr>
        </w:div>
        <w:div w:id="1248081032">
          <w:marLeft w:val="446"/>
          <w:marRight w:val="0"/>
          <w:marTop w:val="0"/>
          <w:marBottom w:val="240"/>
          <w:divBdr>
            <w:top w:val="none" w:sz="0" w:space="0" w:color="auto"/>
            <w:left w:val="none" w:sz="0" w:space="0" w:color="auto"/>
            <w:bottom w:val="none" w:sz="0" w:space="0" w:color="auto"/>
            <w:right w:val="none" w:sz="0" w:space="0" w:color="auto"/>
          </w:divBdr>
        </w:div>
        <w:div w:id="1628849096">
          <w:marLeft w:val="547"/>
          <w:marRight w:val="0"/>
          <w:marTop w:val="0"/>
          <w:marBottom w:val="240"/>
          <w:divBdr>
            <w:top w:val="none" w:sz="0" w:space="0" w:color="auto"/>
            <w:left w:val="none" w:sz="0" w:space="0" w:color="auto"/>
            <w:bottom w:val="none" w:sz="0" w:space="0" w:color="auto"/>
            <w:right w:val="none" w:sz="0" w:space="0" w:color="auto"/>
          </w:divBdr>
        </w:div>
        <w:div w:id="2128961537">
          <w:marLeft w:val="547"/>
          <w:marRight w:val="0"/>
          <w:marTop w:val="0"/>
          <w:marBottom w:val="240"/>
          <w:divBdr>
            <w:top w:val="none" w:sz="0" w:space="0" w:color="auto"/>
            <w:left w:val="none" w:sz="0" w:space="0" w:color="auto"/>
            <w:bottom w:val="none" w:sz="0" w:space="0" w:color="auto"/>
            <w:right w:val="none" w:sz="0" w:space="0" w:color="auto"/>
          </w:divBdr>
        </w:div>
      </w:divsChild>
    </w:div>
    <w:div w:id="1699812792">
      <w:bodyDiv w:val="1"/>
      <w:marLeft w:val="0"/>
      <w:marRight w:val="0"/>
      <w:marTop w:val="0"/>
      <w:marBottom w:val="0"/>
      <w:divBdr>
        <w:top w:val="none" w:sz="0" w:space="0" w:color="auto"/>
        <w:left w:val="none" w:sz="0" w:space="0" w:color="auto"/>
        <w:bottom w:val="none" w:sz="0" w:space="0" w:color="auto"/>
        <w:right w:val="none" w:sz="0" w:space="0" w:color="auto"/>
      </w:divBdr>
    </w:div>
    <w:div w:id="1897009111">
      <w:bodyDiv w:val="1"/>
      <w:marLeft w:val="0"/>
      <w:marRight w:val="0"/>
      <w:marTop w:val="0"/>
      <w:marBottom w:val="0"/>
      <w:divBdr>
        <w:top w:val="none" w:sz="0" w:space="0" w:color="auto"/>
        <w:left w:val="none" w:sz="0" w:space="0" w:color="auto"/>
        <w:bottom w:val="none" w:sz="0" w:space="0" w:color="auto"/>
        <w:right w:val="none" w:sz="0" w:space="0" w:color="auto"/>
      </w:divBdr>
      <w:divsChild>
        <w:div w:id="269121264">
          <w:marLeft w:val="547"/>
          <w:marRight w:val="0"/>
          <w:marTop w:val="0"/>
          <w:marBottom w:val="240"/>
          <w:divBdr>
            <w:top w:val="none" w:sz="0" w:space="0" w:color="auto"/>
            <w:left w:val="none" w:sz="0" w:space="0" w:color="auto"/>
            <w:bottom w:val="none" w:sz="0" w:space="0" w:color="auto"/>
            <w:right w:val="none" w:sz="0" w:space="0" w:color="auto"/>
          </w:divBdr>
        </w:div>
        <w:div w:id="716781678">
          <w:marLeft w:val="547"/>
          <w:marRight w:val="0"/>
          <w:marTop w:val="0"/>
          <w:marBottom w:val="240"/>
          <w:divBdr>
            <w:top w:val="none" w:sz="0" w:space="0" w:color="auto"/>
            <w:left w:val="none" w:sz="0" w:space="0" w:color="auto"/>
            <w:bottom w:val="none" w:sz="0" w:space="0" w:color="auto"/>
            <w:right w:val="none" w:sz="0" w:space="0" w:color="auto"/>
          </w:divBdr>
        </w:div>
        <w:div w:id="1991784444">
          <w:marLeft w:val="547"/>
          <w:marRight w:val="0"/>
          <w:marTop w:val="0"/>
          <w:marBottom w:val="240"/>
          <w:divBdr>
            <w:top w:val="none" w:sz="0" w:space="0" w:color="auto"/>
            <w:left w:val="none" w:sz="0" w:space="0" w:color="auto"/>
            <w:bottom w:val="none" w:sz="0" w:space="0" w:color="auto"/>
            <w:right w:val="none" w:sz="0" w:space="0" w:color="auto"/>
          </w:divBdr>
        </w:div>
      </w:divsChild>
    </w:div>
    <w:div w:id="2063820675">
      <w:bodyDiv w:val="1"/>
      <w:marLeft w:val="0"/>
      <w:marRight w:val="0"/>
      <w:marTop w:val="0"/>
      <w:marBottom w:val="0"/>
      <w:divBdr>
        <w:top w:val="none" w:sz="0" w:space="0" w:color="auto"/>
        <w:left w:val="none" w:sz="0" w:space="0" w:color="auto"/>
        <w:bottom w:val="none" w:sz="0" w:space="0" w:color="auto"/>
        <w:right w:val="none" w:sz="0" w:space="0" w:color="auto"/>
      </w:divBdr>
      <w:divsChild>
        <w:div w:id="896934007">
          <w:marLeft w:val="547"/>
          <w:marRight w:val="0"/>
          <w:marTop w:val="0"/>
          <w:marBottom w:val="240"/>
          <w:divBdr>
            <w:top w:val="none" w:sz="0" w:space="0" w:color="auto"/>
            <w:left w:val="none" w:sz="0" w:space="0" w:color="auto"/>
            <w:bottom w:val="none" w:sz="0" w:space="0" w:color="auto"/>
            <w:right w:val="none" w:sz="0" w:space="0" w:color="auto"/>
          </w:divBdr>
        </w:div>
        <w:div w:id="1076825201">
          <w:marLeft w:val="547"/>
          <w:marRight w:val="0"/>
          <w:marTop w:val="0"/>
          <w:marBottom w:val="240"/>
          <w:divBdr>
            <w:top w:val="none" w:sz="0" w:space="0" w:color="auto"/>
            <w:left w:val="none" w:sz="0" w:space="0" w:color="auto"/>
            <w:bottom w:val="none" w:sz="0" w:space="0" w:color="auto"/>
            <w:right w:val="none" w:sz="0" w:space="0" w:color="auto"/>
          </w:divBdr>
        </w:div>
        <w:div w:id="152046319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tej.mrlina@cizp.gov.cz" TargetMode="External"/><Relationship Id="rId21" Type="http://schemas.openxmlformats.org/officeDocument/2006/relationships/hyperlink" Target="mailto:yvettegauthe@yahoo.fr" TargetMode="External"/><Relationship Id="rId42" Type="http://schemas.openxmlformats.org/officeDocument/2006/relationships/hyperlink" Target="mailto:Mario.Perez@ambiente.gob.do" TargetMode="External"/><Relationship Id="rId47" Type="http://schemas.openxmlformats.org/officeDocument/2006/relationships/hyperlink" Target="mailto:tina.birmpili@un.org" TargetMode="External"/><Relationship Id="rId63" Type="http://schemas.openxmlformats.org/officeDocument/2006/relationships/hyperlink" Target="mailto:guisse@un.org" TargetMode="External"/><Relationship Id="rId68" Type="http://schemas.openxmlformats.org/officeDocument/2006/relationships/hyperlink" Target="mailto:L.Rabbiosi@unido.org" TargetMode="External"/><Relationship Id="rId84" Type="http://schemas.openxmlformats.org/officeDocument/2006/relationships/hyperlink" Target="mailto:jacqueline.nyanjui@un.org"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mailto:marindanykirui@yahoo.com" TargetMode="External"/><Relationship Id="rId37" Type="http://schemas.openxmlformats.org/officeDocument/2006/relationships/hyperlink" Target="mailto:tatjana.djurcevic@epa.org.me" TargetMode="External"/><Relationship Id="rId53" Type="http://schemas.openxmlformats.org/officeDocument/2006/relationships/hyperlink" Target="mailto:peru.alessandro@mase.gov.it" TargetMode="External"/><Relationship Id="rId58" Type="http://schemas.openxmlformats.org/officeDocument/2006/relationships/hyperlink" Target="mailto:paloma.somohano@undp.org" TargetMode="External"/><Relationship Id="rId74" Type="http://schemas.openxmlformats.org/officeDocument/2006/relationships/hyperlink" Target="mailto:meg.seki@un.org" TargetMode="External"/><Relationship Id="rId79" Type="http://schemas.openxmlformats.org/officeDocument/2006/relationships/hyperlink" Target="mailto:frida.muriithi@un.org" TargetMode="External"/><Relationship Id="rId5" Type="http://schemas.openxmlformats.org/officeDocument/2006/relationships/customXml" Target="../customXml/item5.xml"/><Relationship Id="rId19" Type="http://schemas.openxmlformats.org/officeDocument/2006/relationships/hyperlink" Target="mailto:malmufadda@ncec.gov.sa" TargetMode="External"/><Relationship Id="rId14" Type="http://schemas.openxmlformats.org/officeDocument/2006/relationships/header" Target="header2.xml"/><Relationship Id="rId22" Type="http://schemas.openxmlformats.org/officeDocument/2006/relationships/hyperlink" Target="mailto:yvettegauthe@yahoo.fr" TargetMode="External"/><Relationship Id="rId27" Type="http://schemas.openxmlformats.org/officeDocument/2006/relationships/hyperlink" Target="mailto:matej.mrlina@cizp.gov.cz" TargetMode="External"/><Relationship Id="rId30" Type="http://schemas.openxmlformats.org/officeDocument/2006/relationships/hyperlink" Target="mailto:info@iranozone.ir" TargetMode="External"/><Relationship Id="rId35" Type="http://schemas.openxmlformats.org/officeDocument/2006/relationships/hyperlink" Target="mailto:mkirui@environment.go.ke" TargetMode="External"/><Relationship Id="rId43" Type="http://schemas.openxmlformats.org/officeDocument/2006/relationships/hyperlink" Target="mailto:tjunchaya@worldbank.org" TargetMode="External"/><Relationship Id="rId48" Type="http://schemas.openxmlformats.org/officeDocument/2006/relationships/hyperlink" Target="mailto:tina.birmpili@un.org" TargetMode="External"/><Relationship Id="rId56" Type="http://schemas.openxmlformats.org/officeDocument/2006/relationships/hyperlink" Target="mailto:ntsatsimathatela@gmail.com" TargetMode="External"/><Relationship Id="rId64" Type="http://schemas.openxmlformats.org/officeDocument/2006/relationships/hyperlink" Target="mailto:patrick.salifu@unep.org" TargetMode="External"/><Relationship Id="rId69" Type="http://schemas.openxmlformats.org/officeDocument/2006/relationships/hyperlink" Target="mailto:rabbiosi@un.org" TargetMode="External"/><Relationship Id="rId77" Type="http://schemas.openxmlformats.org/officeDocument/2006/relationships/hyperlink" Target="mailto:gerald.mutisya@un.org" TargetMode="External"/><Relationship Id="rId8" Type="http://schemas.openxmlformats.org/officeDocument/2006/relationships/settings" Target="settings.xml"/><Relationship Id="rId51" Type="http://schemas.openxmlformats.org/officeDocument/2006/relationships/hyperlink" Target="mailto:peru.alessandro@mase.gov.it" TargetMode="External"/><Relationship Id="rId72" Type="http://schemas.openxmlformats.org/officeDocument/2006/relationships/hyperlink" Target="mailto:o.banjo@unido.org" TargetMode="External"/><Relationship Id="rId80" Type="http://schemas.openxmlformats.org/officeDocument/2006/relationships/hyperlink" Target="mailto:frida.muriithi@un.org"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cparatori@mma.gob.cl" TargetMode="External"/><Relationship Id="rId33" Type="http://schemas.openxmlformats.org/officeDocument/2006/relationships/hyperlink" Target="mailto:mkirui@environment.go.ke" TargetMode="External"/><Relationship Id="rId38" Type="http://schemas.openxmlformats.org/officeDocument/2006/relationships/hyperlink" Target="mailto:r.l.f.brieskorn@minezk.nl" TargetMode="External"/><Relationship Id="rId46" Type="http://schemas.openxmlformats.org/officeDocument/2006/relationships/hyperlink" Target="mailto:jru@worldbank.org" TargetMode="External"/><Relationship Id="rId59" Type="http://schemas.openxmlformats.org/officeDocument/2006/relationships/hyperlink" Target="mailto:jim.curlin@un.org" TargetMode="External"/><Relationship Id="rId67" Type="http://schemas.openxmlformats.org/officeDocument/2006/relationships/hyperlink" Target="mailto:rabbiosi@un.org" TargetMode="External"/><Relationship Id="rId20" Type="http://schemas.openxmlformats.org/officeDocument/2006/relationships/hyperlink" Target="mailto:malmufadda@ncec.gov.sa" TargetMode="External"/><Relationship Id="rId41" Type="http://schemas.openxmlformats.org/officeDocument/2006/relationships/hyperlink" Target="mailto:Mario.Perez@ambiente.gob.do" TargetMode="External"/><Relationship Id="rId54" Type="http://schemas.openxmlformats.org/officeDocument/2006/relationships/hyperlink" Target="mailto:g.peru@sogesid.it" TargetMode="External"/><Relationship Id="rId62" Type="http://schemas.openxmlformats.org/officeDocument/2006/relationships/hyperlink" Target="mailto:guisse@un.org" TargetMode="External"/><Relationship Id="rId70" Type="http://schemas.openxmlformats.org/officeDocument/2006/relationships/hyperlink" Target="mailto:L.Rabbiosi@unido.org" TargetMode="External"/><Relationship Id="rId75" Type="http://schemas.openxmlformats.org/officeDocument/2006/relationships/hyperlink" Target="mailto:pablo.moscosodelacuba@un.org" TargetMode="External"/><Relationship Id="rId83" Type="http://schemas.openxmlformats.org/officeDocument/2006/relationships/hyperlink" Target="mailto:jacqueline.nyanjui@un.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aguirrev@minrel.gob.cl" TargetMode="External"/><Relationship Id="rId28" Type="http://schemas.openxmlformats.org/officeDocument/2006/relationships/hyperlink" Target="mailto:bianco.karen@epa.gov" TargetMode="External"/><Relationship Id="rId36" Type="http://schemas.openxmlformats.org/officeDocument/2006/relationships/hyperlink" Target="mailto:tatjana.djurcevic@epa.org.me" TargetMode="External"/><Relationship Id="rId49" Type="http://schemas.openxmlformats.org/officeDocument/2006/relationships/hyperlink" Target="mailto:balaji.natarajan@un.org" TargetMode="External"/><Relationship Id="rId57" Type="http://schemas.openxmlformats.org/officeDocument/2006/relationships/hyperlink" Target="mailto:paloma.somohano@undp.org" TargetMode="External"/><Relationship Id="rId10" Type="http://schemas.openxmlformats.org/officeDocument/2006/relationships/footnotes" Target="footnotes.xml"/><Relationship Id="rId31" Type="http://schemas.openxmlformats.org/officeDocument/2006/relationships/hyperlink" Target="mailto:info@iranozone.ir" TargetMode="External"/><Relationship Id="rId44" Type="http://schemas.openxmlformats.org/officeDocument/2006/relationships/hyperlink" Target="mailto:tjunchaya@worldbank.org" TargetMode="External"/><Relationship Id="rId52" Type="http://schemas.openxmlformats.org/officeDocument/2006/relationships/hyperlink" Target="mailto:g.peru@sogesid.it" TargetMode="External"/><Relationship Id="rId60" Type="http://schemas.openxmlformats.org/officeDocument/2006/relationships/hyperlink" Target="mailto:tatiana.terekhova@un.org" TargetMode="External"/><Relationship Id="rId65" Type="http://schemas.openxmlformats.org/officeDocument/2006/relationships/hyperlink" Target="mailto:patrick.salifu@unep.org" TargetMode="External"/><Relationship Id="rId73" Type="http://schemas.openxmlformats.org/officeDocument/2006/relationships/hyperlink" Target="mailto:meg.seki@un.org" TargetMode="External"/><Relationship Id="rId78" Type="http://schemas.openxmlformats.org/officeDocument/2006/relationships/hyperlink" Target="mailto:gerald.mutisya@un.org" TargetMode="External"/><Relationship Id="rId81" Type="http://schemas.openxmlformats.org/officeDocument/2006/relationships/hyperlink" Target="mailto:martha.mulumba@un.org"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tumayhi@ncec.gov.sa" TargetMode="External"/><Relationship Id="rId39" Type="http://schemas.openxmlformats.org/officeDocument/2006/relationships/hyperlink" Target="mailto:martijn.hildebrand@rws.nl" TargetMode="External"/><Relationship Id="rId34" Type="http://schemas.openxmlformats.org/officeDocument/2006/relationships/hyperlink" Target="mailto:marindanykirui@yahoo.com" TargetMode="External"/><Relationship Id="rId50" Type="http://schemas.openxmlformats.org/officeDocument/2006/relationships/hyperlink" Target="mailto:balaji.natarajan@un.org" TargetMode="External"/><Relationship Id="rId55" Type="http://schemas.openxmlformats.org/officeDocument/2006/relationships/hyperlink" Target="mailto:ntsatsimathatela@gmail.com" TargetMode="External"/><Relationship Id="rId76" Type="http://schemas.openxmlformats.org/officeDocument/2006/relationships/hyperlink" Target="mailto:pablo.moscosodelacuba@un.org" TargetMode="External"/><Relationship Id="rId7" Type="http://schemas.openxmlformats.org/officeDocument/2006/relationships/styles" Target="styles.xml"/><Relationship Id="rId71" Type="http://schemas.openxmlformats.org/officeDocument/2006/relationships/hyperlink" Target="mailto:o.banjo@unido.org" TargetMode="External"/><Relationship Id="rId2" Type="http://schemas.openxmlformats.org/officeDocument/2006/relationships/customXml" Target="../customXml/item2.xml"/><Relationship Id="rId29" Type="http://schemas.openxmlformats.org/officeDocument/2006/relationships/hyperlink" Target="mailto:bianco.karen@epa.gov" TargetMode="External"/><Relationship Id="rId24" Type="http://schemas.openxmlformats.org/officeDocument/2006/relationships/hyperlink" Target="mailto:paguirrev@minrel.gob.cl" TargetMode="External"/><Relationship Id="rId40" Type="http://schemas.openxmlformats.org/officeDocument/2006/relationships/hyperlink" Target="mailto:martijn.hildebrand@rws.nl" TargetMode="External"/><Relationship Id="rId45" Type="http://schemas.openxmlformats.org/officeDocument/2006/relationships/hyperlink" Target="mailto:jru@worldbank.org" TargetMode="External"/><Relationship Id="rId66" Type="http://schemas.openxmlformats.org/officeDocument/2006/relationships/hyperlink" Target="mailto:moussa.barry@un.org" TargetMode="External"/><Relationship Id="rId61" Type="http://schemas.openxmlformats.org/officeDocument/2006/relationships/hyperlink" Target="mailto:tatiana.terekhova@un.org" TargetMode="External"/><Relationship Id="rId82" Type="http://schemas.openxmlformats.org/officeDocument/2006/relationships/hyperlink" Target="mailto:martha.mulumba@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521576281b05bbd65f2fa2d480b3773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ecfe1576410a1c88a08dcd85e87051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2025-11-27T08:59:36+00:00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2025-11-27T08:59:36+00:00</Date_x0020_Sent>
    <Personal_x0020_Information_x0020__x0028_PII_x0029_ xmlns="985ec44e-1bab-4c0b-9df0-6ba128686fc9">false</Personal_x0020_Information_x0020__x0028_PII_x0029_>
    <Date_x0020_Received xmlns="985ec44e-1bab-4c0b-9df0-6ba128686fc9">2025-11-27T08:59:36+00:00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05824-F71F-4F8A-BA23-278C53E554FD}">
  <ds:schemaRefs>
    <ds:schemaRef ds:uri="http://schemas.openxmlformats.org/officeDocument/2006/bibliography"/>
  </ds:schemaRefs>
</ds:datastoreItem>
</file>

<file path=customXml/itemProps2.xml><?xml version="1.0" encoding="utf-8"?>
<ds:datastoreItem xmlns:ds="http://schemas.openxmlformats.org/officeDocument/2006/customXml" ds:itemID="{7F15708E-4D49-42ED-AEB3-BA897E7F515B}">
  <ds:schemaRefs>
    <ds:schemaRef ds:uri="Microsoft.SharePoint.Taxonomy.ContentTypeSync"/>
  </ds:schemaRefs>
</ds:datastoreItem>
</file>

<file path=customXml/itemProps3.xml><?xml version="1.0" encoding="utf-8"?>
<ds:datastoreItem xmlns:ds="http://schemas.openxmlformats.org/officeDocument/2006/customXml" ds:itemID="{690C7583-779F-4CF2-B1DB-9E0BB3B4D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13C55-C1BF-4957-AA72-45C99270501E}">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59736254-98E9-4ACF-AD40-34879EED08A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38</TotalTime>
  <Pages>33</Pages>
  <Words>20871</Words>
  <Characters>118965</Characters>
  <Application>Microsoft Office Word</Application>
  <DocSecurity>0</DocSecurity>
  <PresentationFormat/>
  <Lines>991</Lines>
  <Paragraphs>279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sarah.muhoho@yahoo.com</dc:creator>
  <cp:keywords/>
  <dc:description/>
  <cp:lastModifiedBy>Julius Njenga</cp:lastModifiedBy>
  <cp:revision>3</cp:revision>
  <cp:lastPrinted>2025-12-18T06:42:00Z</cp:lastPrinted>
  <dcterms:created xsi:type="dcterms:W3CDTF">2026-03-13T11:25:00Z</dcterms:created>
  <dcterms:modified xsi:type="dcterms:W3CDTF">2026-03-18T09:21:00Z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EN_AR-EN-FR-SP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aida.cunillclotet@un.org</vt:lpwstr>
  </property>
  <property fmtid="{D5CDD505-2E9C-101B-9397-08002B2CF9AE}" pid="17" name="GeneratedDate">
    <vt:lpwstr>01/26/2026 08:15:53</vt:lpwstr>
  </property>
  <property fmtid="{D5CDD505-2E9C-101B-9397-08002B2CF9AE}" pid="18" name="OriginalDocID">
    <vt:lpwstr>3adfc0f0-e25c-4da7-8bc0-f5bdc4843582</vt:lpwstr>
  </property>
</Properties>
</file>