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D5854" w14:textId="77777777" w:rsidR="00084F7A" w:rsidRPr="00830F35" w:rsidRDefault="00084F7A" w:rsidP="002B2114">
      <w:pPr>
        <w:widowControl w:val="0"/>
        <w:tabs>
          <w:tab w:val="clear" w:pos="1247"/>
          <w:tab w:val="clear" w:pos="1814"/>
          <w:tab w:val="clear" w:pos="2381"/>
          <w:tab w:val="clear" w:pos="2948"/>
          <w:tab w:val="clear" w:pos="3515"/>
        </w:tabs>
        <w:kinsoku w:val="0"/>
        <w:overflowPunct w:val="0"/>
        <w:autoSpaceDE w:val="0"/>
        <w:autoSpaceDN w:val="0"/>
        <w:adjustRightInd w:val="0"/>
        <w:ind w:right="3402"/>
        <w:outlineLvl w:val="0"/>
        <w:rPr>
          <w:rFonts w:asciiTheme="majorBidi" w:eastAsia="Yu Mincho" w:hAnsiTheme="majorBidi" w:cstheme="majorBidi"/>
          <w:b/>
          <w:bCs/>
          <w14:ligatures w14:val="standardContextual"/>
        </w:rPr>
      </w:pPr>
      <w:r w:rsidRPr="00830F35">
        <w:rPr>
          <w:rFonts w:asciiTheme="majorBidi" w:eastAsia="Yu Mincho" w:hAnsiTheme="majorBidi" w:cstheme="majorBidi"/>
          <w:b/>
          <w:bCs/>
          <w14:ligatures w14:val="standardContextual"/>
        </w:rPr>
        <w:t xml:space="preserve">Implementation Committee under the </w:t>
      </w:r>
    </w:p>
    <w:p w14:paraId="7EF07499" w14:textId="77777777" w:rsidR="00084F7A" w:rsidRPr="00830F35" w:rsidRDefault="00084F7A" w:rsidP="002B2114">
      <w:pPr>
        <w:widowControl w:val="0"/>
        <w:tabs>
          <w:tab w:val="clear" w:pos="1247"/>
          <w:tab w:val="clear" w:pos="1814"/>
          <w:tab w:val="clear" w:pos="2381"/>
          <w:tab w:val="clear" w:pos="2948"/>
          <w:tab w:val="clear" w:pos="3515"/>
        </w:tabs>
        <w:kinsoku w:val="0"/>
        <w:overflowPunct w:val="0"/>
        <w:autoSpaceDE w:val="0"/>
        <w:autoSpaceDN w:val="0"/>
        <w:adjustRightInd w:val="0"/>
        <w:ind w:right="3402"/>
        <w:outlineLvl w:val="0"/>
        <w:rPr>
          <w:rFonts w:asciiTheme="majorBidi" w:eastAsia="Yu Mincho" w:hAnsiTheme="majorBidi" w:cstheme="majorBidi"/>
          <w:b/>
          <w:bCs/>
          <w14:ligatures w14:val="standardContextual"/>
        </w:rPr>
      </w:pPr>
      <w:r w:rsidRPr="00830F35">
        <w:rPr>
          <w:rFonts w:asciiTheme="majorBidi" w:eastAsia="Yu Mincho" w:hAnsiTheme="majorBidi" w:cstheme="majorBidi"/>
          <w:b/>
          <w:bCs/>
          <w14:ligatures w14:val="standardContextual"/>
        </w:rPr>
        <w:t xml:space="preserve">Non-Compliance Procedure for the </w:t>
      </w:r>
    </w:p>
    <w:p w14:paraId="389E26DA" w14:textId="37E247FD" w:rsidR="00084F7A" w:rsidRPr="00830F35" w:rsidRDefault="00084F7A" w:rsidP="002B2114">
      <w:pPr>
        <w:widowControl w:val="0"/>
        <w:tabs>
          <w:tab w:val="clear" w:pos="1247"/>
          <w:tab w:val="clear" w:pos="1814"/>
          <w:tab w:val="clear" w:pos="2381"/>
          <w:tab w:val="clear" w:pos="2948"/>
          <w:tab w:val="clear" w:pos="3515"/>
        </w:tabs>
        <w:kinsoku w:val="0"/>
        <w:overflowPunct w:val="0"/>
        <w:autoSpaceDE w:val="0"/>
        <w:autoSpaceDN w:val="0"/>
        <w:adjustRightInd w:val="0"/>
        <w:ind w:right="3402"/>
        <w:outlineLvl w:val="0"/>
        <w:rPr>
          <w:rFonts w:asciiTheme="majorBidi" w:eastAsia="Yu Mincho" w:hAnsiTheme="majorBidi" w:cstheme="majorBidi"/>
          <w:b/>
          <w:bCs/>
          <w14:ligatures w14:val="standardContextual"/>
        </w:rPr>
      </w:pPr>
      <w:r w:rsidRPr="00830F35">
        <w:rPr>
          <w:rFonts w:asciiTheme="majorBidi" w:eastAsia="Yu Mincho" w:hAnsiTheme="majorBidi" w:cstheme="majorBidi"/>
          <w:b/>
          <w:bCs/>
          <w14:ligatures w14:val="standardContextual"/>
        </w:rPr>
        <w:t>Montreal Protocol</w:t>
      </w:r>
    </w:p>
    <w:p w14:paraId="26454D57" w14:textId="2070CB0A" w:rsidR="00084F7A" w:rsidRPr="00830F35" w:rsidRDefault="00084F7A" w:rsidP="002B2114">
      <w:pPr>
        <w:widowControl w:val="0"/>
        <w:tabs>
          <w:tab w:val="clear" w:pos="1247"/>
          <w:tab w:val="clear" w:pos="1814"/>
          <w:tab w:val="clear" w:pos="2381"/>
          <w:tab w:val="clear" w:pos="2948"/>
          <w:tab w:val="clear" w:pos="3515"/>
        </w:tabs>
        <w:kinsoku w:val="0"/>
        <w:overflowPunct w:val="0"/>
        <w:autoSpaceDE w:val="0"/>
        <w:autoSpaceDN w:val="0"/>
        <w:adjustRightInd w:val="0"/>
        <w:ind w:right="3402"/>
        <w:rPr>
          <w:rFonts w:asciiTheme="majorBidi" w:eastAsia="Yu Mincho" w:hAnsiTheme="majorBidi" w:cstheme="majorBidi"/>
          <w:b/>
          <w:bCs/>
          <w14:ligatures w14:val="standardContextual"/>
        </w:rPr>
      </w:pPr>
      <w:r w:rsidRPr="00830F35">
        <w:rPr>
          <w:rFonts w:asciiTheme="majorBidi" w:eastAsia="Yu Mincho" w:hAnsiTheme="majorBidi" w:cstheme="majorBidi"/>
          <w:b/>
          <w:bCs/>
          <w14:ligatures w14:val="standardContextual"/>
        </w:rPr>
        <w:t>Seventy-</w:t>
      </w:r>
      <w:r w:rsidR="00FA7A9A">
        <w:rPr>
          <w:rFonts w:asciiTheme="majorBidi" w:eastAsia="Yu Mincho" w:hAnsiTheme="majorBidi" w:cstheme="majorBidi"/>
          <w:b/>
          <w:bCs/>
          <w14:ligatures w14:val="standardContextual"/>
        </w:rPr>
        <w:t>fifth</w:t>
      </w:r>
      <w:r w:rsidRPr="00830F35">
        <w:rPr>
          <w:rFonts w:asciiTheme="majorBidi" w:eastAsia="Yu Mincho" w:hAnsiTheme="majorBidi" w:cstheme="majorBidi"/>
          <w:b/>
          <w:bCs/>
          <w14:ligatures w14:val="standardContextual"/>
        </w:rPr>
        <w:t xml:space="preserve"> meeting </w:t>
      </w:r>
    </w:p>
    <w:p w14:paraId="745FF43F" w14:textId="77777777" w:rsidR="00084F7A" w:rsidRPr="00830F35" w:rsidRDefault="00084F7A" w:rsidP="00084F7A">
      <w:pPr>
        <w:widowControl w:val="0"/>
        <w:tabs>
          <w:tab w:val="clear" w:pos="1247"/>
          <w:tab w:val="clear" w:pos="1814"/>
          <w:tab w:val="clear" w:pos="2381"/>
          <w:tab w:val="clear" w:pos="2948"/>
          <w:tab w:val="clear" w:pos="3515"/>
        </w:tabs>
        <w:kinsoku w:val="0"/>
        <w:overflowPunct w:val="0"/>
        <w:autoSpaceDE w:val="0"/>
        <w:autoSpaceDN w:val="0"/>
        <w:adjustRightInd w:val="0"/>
        <w:rPr>
          <w:rFonts w:asciiTheme="majorBidi" w:eastAsia="Yu Mincho" w:hAnsiTheme="majorBidi" w:cstheme="majorBidi"/>
          <w:b/>
          <w:bCs/>
          <w:sz w:val="22"/>
          <w:szCs w:val="22"/>
          <w14:ligatures w14:val="standardContextual"/>
        </w:rPr>
      </w:pPr>
    </w:p>
    <w:p w14:paraId="202A135E" w14:textId="4BC02894" w:rsidR="00084F7A" w:rsidRPr="00830F35" w:rsidRDefault="00084F7A" w:rsidP="00E64464">
      <w:pPr>
        <w:widowControl w:val="0"/>
        <w:tabs>
          <w:tab w:val="clear" w:pos="1247"/>
          <w:tab w:val="clear" w:pos="1814"/>
          <w:tab w:val="clear" w:pos="2381"/>
          <w:tab w:val="clear" w:pos="2948"/>
          <w:tab w:val="clear" w:pos="3515"/>
        </w:tabs>
        <w:kinsoku w:val="0"/>
        <w:overflowPunct w:val="0"/>
        <w:autoSpaceDE w:val="0"/>
        <w:autoSpaceDN w:val="0"/>
        <w:adjustRightInd w:val="0"/>
        <w:spacing w:before="480"/>
        <w:ind w:left="720" w:right="1134"/>
        <w:rPr>
          <w:rFonts w:asciiTheme="majorBidi" w:eastAsia="Yu Mincho" w:hAnsiTheme="majorBidi" w:cstheme="majorBidi"/>
          <w:b/>
          <w:bCs/>
          <w:spacing w:val="-6"/>
          <w:sz w:val="28"/>
          <w:szCs w:val="28"/>
          <w14:ligatures w14:val="standardContextual"/>
        </w:rPr>
      </w:pPr>
      <w:r w:rsidRPr="00830F35">
        <w:rPr>
          <w:rFonts w:asciiTheme="majorBidi" w:eastAsia="Yu Mincho" w:hAnsiTheme="majorBidi" w:cstheme="majorBidi"/>
          <w:b/>
          <w:bCs/>
          <w:sz w:val="28"/>
          <w:szCs w:val="28"/>
          <w14:ligatures w14:val="standardContextual"/>
        </w:rPr>
        <w:t xml:space="preserve">Conclusions, recommendations and draft decisions adopted by the Implementation Committee under the Non-Compliance </w:t>
      </w:r>
      <w:r w:rsidRPr="00830F35">
        <w:rPr>
          <w:rFonts w:asciiTheme="majorBidi" w:eastAsia="Yu Mincho" w:hAnsiTheme="majorBidi" w:cstheme="majorBidi"/>
          <w:b/>
          <w:bCs/>
          <w:spacing w:val="-6"/>
          <w:sz w:val="28"/>
          <w:szCs w:val="28"/>
          <w14:ligatures w14:val="standardContextual"/>
        </w:rPr>
        <w:t>Procedure for the Montreal Protocol at its seventy-</w:t>
      </w:r>
      <w:r w:rsidR="00FA7A9A">
        <w:rPr>
          <w:rFonts w:asciiTheme="majorBidi" w:eastAsia="Yu Mincho" w:hAnsiTheme="majorBidi" w:cstheme="majorBidi"/>
          <w:b/>
          <w:bCs/>
          <w:spacing w:val="-6"/>
          <w:sz w:val="28"/>
          <w:szCs w:val="28"/>
          <w14:ligatures w14:val="standardContextual"/>
        </w:rPr>
        <w:t>fifth</w:t>
      </w:r>
      <w:r w:rsidRPr="00830F35">
        <w:rPr>
          <w:rFonts w:asciiTheme="majorBidi" w:eastAsia="Yu Mincho" w:hAnsiTheme="majorBidi" w:cstheme="majorBidi"/>
          <w:b/>
          <w:bCs/>
          <w:spacing w:val="-6"/>
          <w:sz w:val="28"/>
          <w:szCs w:val="28"/>
          <w14:ligatures w14:val="standardContextual"/>
        </w:rPr>
        <w:t xml:space="preserve"> meeting</w:t>
      </w:r>
    </w:p>
    <w:p w14:paraId="0935C801" w14:textId="77777777" w:rsidR="00084F7A" w:rsidRPr="00830F35" w:rsidRDefault="00084F7A" w:rsidP="00084F7A">
      <w:pPr>
        <w:widowControl w:val="0"/>
        <w:tabs>
          <w:tab w:val="clear" w:pos="1247"/>
          <w:tab w:val="clear" w:pos="1814"/>
          <w:tab w:val="clear" w:pos="2381"/>
          <w:tab w:val="clear" w:pos="2948"/>
          <w:tab w:val="clear" w:pos="3515"/>
        </w:tabs>
        <w:kinsoku w:val="0"/>
        <w:overflowPunct w:val="0"/>
        <w:autoSpaceDE w:val="0"/>
        <w:autoSpaceDN w:val="0"/>
        <w:adjustRightInd w:val="0"/>
        <w:spacing w:before="240"/>
        <w:ind w:left="2780" w:right="96"/>
        <w:rPr>
          <w:rFonts w:asciiTheme="majorBidi" w:eastAsia="Yu Mincho" w:hAnsiTheme="majorBidi" w:cstheme="majorBidi"/>
          <w:b/>
          <w:bCs/>
          <w:sz w:val="22"/>
          <w:szCs w:val="22"/>
          <w14:ligatures w14:val="standardContextual"/>
        </w:rPr>
      </w:pPr>
    </w:p>
    <w:p w14:paraId="6F469372" w14:textId="77777777" w:rsidR="00084F7A" w:rsidRPr="00830F35" w:rsidRDefault="00084F7A" w:rsidP="0036799E">
      <w:pPr>
        <w:numPr>
          <w:ilvl w:val="0"/>
          <w:numId w:val="2"/>
        </w:numPr>
        <w:tabs>
          <w:tab w:val="clear" w:pos="1247"/>
          <w:tab w:val="clear" w:pos="1814"/>
          <w:tab w:val="clear" w:pos="2381"/>
          <w:tab w:val="clear" w:pos="2948"/>
          <w:tab w:val="clear" w:pos="3515"/>
        </w:tabs>
        <w:spacing w:after="160" w:line="259" w:lineRule="auto"/>
        <w:ind w:left="709" w:hanging="283"/>
        <w:rPr>
          <w:rFonts w:asciiTheme="majorBidi" w:hAnsiTheme="majorBidi" w:cstheme="majorBidi"/>
          <w:b/>
          <w:bCs/>
          <w:sz w:val="28"/>
          <w:szCs w:val="28"/>
        </w:rPr>
      </w:pPr>
      <w:r w:rsidRPr="00830F35">
        <w:rPr>
          <w:rFonts w:asciiTheme="majorBidi" w:hAnsiTheme="majorBidi" w:cstheme="majorBidi"/>
          <w:b/>
          <w:bCs/>
          <w:sz w:val="28"/>
          <w:szCs w:val="28"/>
        </w:rPr>
        <w:t>Conclusions to be noted in the meeting report, not in the form of formal recommendations</w:t>
      </w:r>
    </w:p>
    <w:p w14:paraId="01936864" w14:textId="64837578" w:rsidR="00084F7A" w:rsidRPr="00830F35" w:rsidRDefault="00006E19" w:rsidP="00006E19">
      <w:pPr>
        <w:tabs>
          <w:tab w:val="clear" w:pos="1247"/>
          <w:tab w:val="left" w:pos="709"/>
        </w:tabs>
        <w:spacing w:before="240" w:after="120"/>
        <w:ind w:left="357"/>
        <w:rPr>
          <w:rFonts w:asciiTheme="majorBidi" w:hAnsiTheme="majorBidi" w:cstheme="majorBidi"/>
          <w:b/>
          <w:bCs/>
          <w:sz w:val="24"/>
          <w:szCs w:val="24"/>
        </w:rPr>
      </w:pPr>
      <w:r>
        <w:rPr>
          <w:rFonts w:asciiTheme="majorBidi" w:hAnsiTheme="majorBidi" w:cstheme="majorBidi"/>
          <w:b/>
          <w:bCs/>
          <w:sz w:val="24"/>
          <w:szCs w:val="24"/>
        </w:rPr>
        <w:t>A.</w:t>
      </w:r>
      <w:r>
        <w:rPr>
          <w:rFonts w:asciiTheme="majorBidi" w:hAnsiTheme="majorBidi" w:cstheme="majorBidi"/>
          <w:b/>
          <w:bCs/>
          <w:sz w:val="24"/>
          <w:szCs w:val="24"/>
        </w:rPr>
        <w:tab/>
      </w:r>
      <w:r w:rsidR="00FF16FD">
        <w:rPr>
          <w:rFonts w:asciiTheme="majorBidi" w:hAnsiTheme="majorBidi" w:cstheme="majorBidi"/>
          <w:b/>
          <w:bCs/>
          <w:sz w:val="24"/>
          <w:szCs w:val="24"/>
        </w:rPr>
        <w:t>C</w:t>
      </w:r>
      <w:r w:rsidR="00FF16FD" w:rsidRPr="00FF16FD">
        <w:rPr>
          <w:rFonts w:asciiTheme="majorBidi" w:hAnsiTheme="majorBidi" w:cstheme="majorBidi"/>
          <w:b/>
          <w:bCs/>
          <w:sz w:val="24"/>
          <w:szCs w:val="24"/>
        </w:rPr>
        <w:t>ô</w:t>
      </w:r>
      <w:r w:rsidR="00FF16FD">
        <w:rPr>
          <w:rFonts w:asciiTheme="majorBidi" w:hAnsiTheme="majorBidi" w:cstheme="majorBidi"/>
          <w:b/>
          <w:bCs/>
          <w:sz w:val="24"/>
          <w:szCs w:val="24"/>
        </w:rPr>
        <w:t>te d’Ivoire</w:t>
      </w:r>
      <w:r w:rsidR="00084F7A" w:rsidRPr="00830F35">
        <w:rPr>
          <w:rFonts w:asciiTheme="majorBidi" w:hAnsiTheme="majorBidi" w:cstheme="majorBidi"/>
          <w:b/>
          <w:bCs/>
          <w:sz w:val="24"/>
          <w:szCs w:val="24"/>
        </w:rPr>
        <w:t xml:space="preserve"> </w:t>
      </w:r>
    </w:p>
    <w:p w14:paraId="0F186E11" w14:textId="77777777" w:rsidR="00084F7A" w:rsidRPr="00830F35" w:rsidRDefault="00084F7A" w:rsidP="00006E19">
      <w:pPr>
        <w:spacing w:after="120"/>
        <w:ind w:left="709"/>
        <w:rPr>
          <w:rFonts w:asciiTheme="majorBidi" w:hAnsiTheme="majorBidi" w:cstheme="majorBidi"/>
          <w:i/>
          <w:iCs/>
        </w:rPr>
      </w:pPr>
      <w:bookmarkStart w:id="0" w:name="_Hlk212851239"/>
      <w:r w:rsidRPr="00830F35">
        <w:rPr>
          <w:rFonts w:asciiTheme="majorBidi" w:hAnsiTheme="majorBidi" w:cstheme="majorBidi"/>
          <w:i/>
          <w:iCs/>
        </w:rPr>
        <w:t>The Committee therefore agreed:</w:t>
      </w:r>
    </w:p>
    <w:bookmarkEnd w:id="0"/>
    <w:p w14:paraId="37433C52" w14:textId="431D99ED" w:rsidR="00084F7A" w:rsidRPr="00830F35" w:rsidRDefault="00FF16FD" w:rsidP="00006E19">
      <w:pPr>
        <w:ind w:left="709"/>
        <w:rPr>
          <w:rFonts w:asciiTheme="majorBidi" w:hAnsiTheme="majorBidi" w:cstheme="majorBidi"/>
        </w:rPr>
      </w:pPr>
      <w:r>
        <w:rPr>
          <w:rFonts w:asciiTheme="majorBidi" w:hAnsiTheme="majorBidi" w:cstheme="majorBidi"/>
        </w:rPr>
        <w:t>To</w:t>
      </w:r>
      <w:r w:rsidRPr="00FF16FD">
        <w:rPr>
          <w:rFonts w:asciiTheme="majorBidi" w:hAnsiTheme="majorBidi" w:cstheme="majorBidi"/>
        </w:rPr>
        <w:t xml:space="preserve"> note with appreciation that Côte d’Ivoire submitted the outstanding data on Annex F substances for 2023 to the Secretariat in accordance with its data reporting obligations under paragraph 3 of Article 7 of the Montreal Protocol and as urged in paragraph 7 of decision XXXVI/13 and in recommendation 74/1</w:t>
      </w:r>
      <w:r w:rsidR="00084F7A" w:rsidRPr="00830F35">
        <w:rPr>
          <w:rFonts w:asciiTheme="majorBidi" w:hAnsiTheme="majorBidi" w:cstheme="majorBidi"/>
        </w:rPr>
        <w:t xml:space="preserve">. </w:t>
      </w:r>
    </w:p>
    <w:p w14:paraId="296DF955" w14:textId="6FF76AD7" w:rsidR="00084F7A" w:rsidRPr="00830F35" w:rsidRDefault="000845C9" w:rsidP="000845C9">
      <w:pPr>
        <w:tabs>
          <w:tab w:val="clear" w:pos="1247"/>
          <w:tab w:val="left" w:pos="709"/>
        </w:tabs>
        <w:spacing w:before="240" w:after="120"/>
        <w:ind w:left="357"/>
        <w:rPr>
          <w:rFonts w:asciiTheme="majorBidi" w:hAnsiTheme="majorBidi" w:cstheme="majorBidi"/>
          <w:b/>
          <w:bCs/>
          <w:sz w:val="24"/>
          <w:szCs w:val="24"/>
        </w:rPr>
      </w:pPr>
      <w:r>
        <w:rPr>
          <w:rFonts w:asciiTheme="majorBidi" w:hAnsiTheme="majorBidi" w:cstheme="majorBidi"/>
          <w:b/>
          <w:bCs/>
          <w:sz w:val="24"/>
          <w:szCs w:val="24"/>
        </w:rPr>
        <w:t xml:space="preserve">B. </w:t>
      </w:r>
      <w:r>
        <w:rPr>
          <w:rFonts w:asciiTheme="majorBidi" w:hAnsiTheme="majorBidi" w:cstheme="majorBidi"/>
          <w:b/>
          <w:bCs/>
          <w:sz w:val="24"/>
          <w:szCs w:val="24"/>
        </w:rPr>
        <w:tab/>
      </w:r>
      <w:r w:rsidR="00CB53BC">
        <w:rPr>
          <w:rFonts w:asciiTheme="majorBidi" w:hAnsiTheme="majorBidi" w:cstheme="majorBidi"/>
          <w:b/>
          <w:bCs/>
          <w:sz w:val="24"/>
          <w:szCs w:val="24"/>
        </w:rPr>
        <w:t>Kazakhstan</w:t>
      </w:r>
      <w:r w:rsidR="00084F7A" w:rsidRPr="00830F35">
        <w:rPr>
          <w:rFonts w:asciiTheme="majorBidi" w:hAnsiTheme="majorBidi" w:cstheme="majorBidi"/>
          <w:b/>
          <w:bCs/>
          <w:sz w:val="24"/>
          <w:szCs w:val="24"/>
        </w:rPr>
        <w:t xml:space="preserve"> </w:t>
      </w:r>
    </w:p>
    <w:p w14:paraId="7B030472" w14:textId="77777777" w:rsidR="00084F7A" w:rsidRPr="00830F35" w:rsidRDefault="00084F7A" w:rsidP="00006E19">
      <w:pPr>
        <w:spacing w:after="120"/>
        <w:ind w:left="709"/>
        <w:rPr>
          <w:rFonts w:asciiTheme="majorBidi" w:hAnsiTheme="majorBidi" w:cstheme="majorBidi"/>
          <w:i/>
          <w:iCs/>
        </w:rPr>
      </w:pPr>
      <w:r w:rsidRPr="00830F35">
        <w:rPr>
          <w:rFonts w:asciiTheme="majorBidi" w:hAnsiTheme="majorBidi" w:cstheme="majorBidi"/>
          <w:i/>
          <w:iCs/>
        </w:rPr>
        <w:t>The Committee therefore agreed:</w:t>
      </w:r>
    </w:p>
    <w:p w14:paraId="3DCE9010" w14:textId="420A9613" w:rsidR="00084F7A" w:rsidRDefault="003460E5" w:rsidP="00006E19">
      <w:pPr>
        <w:ind w:left="709"/>
        <w:rPr>
          <w:rFonts w:asciiTheme="majorBidi" w:hAnsiTheme="majorBidi" w:cstheme="majorBidi"/>
        </w:rPr>
      </w:pPr>
      <w:r>
        <w:rPr>
          <w:rFonts w:asciiTheme="majorBidi" w:hAnsiTheme="majorBidi" w:cstheme="majorBidi"/>
        </w:rPr>
        <w:t>To</w:t>
      </w:r>
      <w:r w:rsidRPr="003460E5">
        <w:rPr>
          <w:rFonts w:asciiTheme="majorBidi" w:hAnsiTheme="majorBidi" w:cstheme="majorBidi"/>
        </w:rPr>
        <w:t xml:space="preserve"> note with appreciation that Kazakhstan has submitted its Article 7 data for 2024 confirming that the party adhered to its commitment contained in the plan of action to return to compliance for that year, as set out in decision XXIX/14.</w:t>
      </w:r>
    </w:p>
    <w:p w14:paraId="5B696FCA" w14:textId="2779918A" w:rsidR="00496D3D" w:rsidRPr="00830F35" w:rsidRDefault="00496D3D" w:rsidP="0020085D">
      <w:pPr>
        <w:tabs>
          <w:tab w:val="clear" w:pos="1247"/>
          <w:tab w:val="clear" w:pos="1814"/>
          <w:tab w:val="clear" w:pos="2381"/>
          <w:tab w:val="clear" w:pos="2948"/>
          <w:tab w:val="clear" w:pos="3515"/>
        </w:tabs>
        <w:spacing w:after="160" w:line="259" w:lineRule="auto"/>
        <w:rPr>
          <w:rFonts w:asciiTheme="majorBidi" w:hAnsiTheme="majorBidi" w:cstheme="majorBidi"/>
        </w:rPr>
      </w:pPr>
    </w:p>
    <w:p w14:paraId="3F65E4A0" w14:textId="798CE07F" w:rsidR="00084F7A" w:rsidRPr="00830F35" w:rsidRDefault="00084F7A" w:rsidP="0036799E">
      <w:pPr>
        <w:numPr>
          <w:ilvl w:val="0"/>
          <w:numId w:val="2"/>
        </w:numPr>
        <w:tabs>
          <w:tab w:val="clear" w:pos="1247"/>
          <w:tab w:val="clear" w:pos="1814"/>
          <w:tab w:val="clear" w:pos="2381"/>
          <w:tab w:val="clear" w:pos="2948"/>
          <w:tab w:val="clear" w:pos="3515"/>
        </w:tabs>
        <w:spacing w:after="160" w:line="259" w:lineRule="auto"/>
        <w:ind w:left="709" w:hanging="283"/>
        <w:rPr>
          <w:rFonts w:asciiTheme="majorBidi" w:hAnsiTheme="majorBidi" w:cstheme="majorBidi"/>
          <w:b/>
          <w:bCs/>
          <w:sz w:val="28"/>
          <w:szCs w:val="28"/>
        </w:rPr>
      </w:pPr>
      <w:r w:rsidRPr="00830F35">
        <w:rPr>
          <w:rFonts w:asciiTheme="majorBidi" w:hAnsiTheme="majorBidi" w:cstheme="majorBidi"/>
          <w:b/>
          <w:bCs/>
          <w:sz w:val="28"/>
          <w:szCs w:val="28"/>
        </w:rPr>
        <w:t>Formal recommendations and draft decisions forwarded by the Implementation Committee to the Thirty-</w:t>
      </w:r>
      <w:r w:rsidR="00B346A6">
        <w:rPr>
          <w:rFonts w:asciiTheme="majorBidi" w:hAnsiTheme="majorBidi" w:cstheme="majorBidi"/>
          <w:b/>
          <w:bCs/>
          <w:sz w:val="28"/>
          <w:szCs w:val="28"/>
        </w:rPr>
        <w:t>Seventh</w:t>
      </w:r>
      <w:r w:rsidR="00B346A6" w:rsidRPr="00830F35">
        <w:rPr>
          <w:rFonts w:asciiTheme="majorBidi" w:hAnsiTheme="majorBidi" w:cstheme="majorBidi"/>
          <w:b/>
          <w:bCs/>
          <w:sz w:val="28"/>
          <w:szCs w:val="28"/>
        </w:rPr>
        <w:t xml:space="preserve"> </w:t>
      </w:r>
      <w:r w:rsidRPr="00830F35">
        <w:rPr>
          <w:rFonts w:asciiTheme="majorBidi" w:hAnsiTheme="majorBidi" w:cstheme="majorBidi"/>
          <w:b/>
          <w:bCs/>
          <w:sz w:val="28"/>
          <w:szCs w:val="28"/>
        </w:rPr>
        <w:t>Meeting of the Parties to the Montreal Protocol</w:t>
      </w:r>
    </w:p>
    <w:p w14:paraId="56AE142E" w14:textId="2EEB7BBB" w:rsidR="00FA7A9A" w:rsidRDefault="00FA7A9A" w:rsidP="00C26729">
      <w:pPr>
        <w:pStyle w:val="NormalNonumber"/>
        <w:numPr>
          <w:ilvl w:val="0"/>
          <w:numId w:val="8"/>
        </w:numPr>
        <w:tabs>
          <w:tab w:val="clear" w:pos="624"/>
          <w:tab w:val="clear" w:pos="1247"/>
          <w:tab w:val="clear" w:pos="1871"/>
          <w:tab w:val="left" w:pos="567"/>
        </w:tabs>
        <w:spacing w:before="360"/>
        <w:rPr>
          <w:rFonts w:asciiTheme="majorBidi" w:eastAsiaTheme="minorEastAsia" w:hAnsiTheme="majorBidi" w:cstheme="majorBidi"/>
          <w:b/>
          <w:kern w:val="2"/>
          <w:sz w:val="24"/>
          <w:szCs w:val="24"/>
          <w:lang w:val="en-GB"/>
          <w14:ligatures w14:val="standardContextual"/>
        </w:rPr>
      </w:pPr>
      <w:r w:rsidRPr="00FA7A9A">
        <w:rPr>
          <w:rFonts w:asciiTheme="majorBidi" w:eastAsiaTheme="minorEastAsia" w:hAnsiTheme="majorBidi" w:cstheme="majorBidi"/>
          <w:b/>
          <w:kern w:val="2"/>
          <w:sz w:val="24"/>
          <w:szCs w:val="24"/>
          <w:lang w:val="en-GB"/>
          <w14:ligatures w14:val="standardContextual"/>
        </w:rPr>
        <w:t>Data and information provided by the parties in accordance with Article 7 of the Montreal Protocol</w:t>
      </w:r>
    </w:p>
    <w:p w14:paraId="0A103201" w14:textId="38339A3F" w:rsidR="00FA7A9A" w:rsidRDefault="00FA7A9A" w:rsidP="00FA7A9A">
      <w:pPr>
        <w:pStyle w:val="Normalnumber"/>
        <w:numPr>
          <w:ilvl w:val="0"/>
          <w:numId w:val="0"/>
        </w:numPr>
        <w:tabs>
          <w:tab w:val="clear" w:pos="1247"/>
          <w:tab w:val="clear" w:pos="1814"/>
          <w:tab w:val="clear" w:pos="2381"/>
          <w:tab w:val="clear" w:pos="2948"/>
          <w:tab w:val="clear" w:pos="3515"/>
        </w:tabs>
        <w:spacing w:after="120"/>
        <w:ind w:left="720"/>
        <w:rPr>
          <w:rFonts w:asciiTheme="majorBidi" w:hAnsiTheme="majorBidi" w:cstheme="majorBidi"/>
        </w:rPr>
      </w:pPr>
      <w:r w:rsidRPr="00830F35">
        <w:rPr>
          <w:rFonts w:asciiTheme="majorBidi" w:hAnsiTheme="majorBidi" w:cstheme="majorBidi"/>
        </w:rPr>
        <w:t>The Committee therefore decided to forward for consideration by the Thirty-S</w:t>
      </w:r>
      <w:r>
        <w:rPr>
          <w:rFonts w:asciiTheme="majorBidi" w:hAnsiTheme="majorBidi" w:cstheme="majorBidi"/>
        </w:rPr>
        <w:t>eventh</w:t>
      </w:r>
      <w:r w:rsidRPr="00830F35">
        <w:rPr>
          <w:rFonts w:asciiTheme="majorBidi" w:hAnsiTheme="majorBidi" w:cstheme="majorBidi"/>
        </w:rPr>
        <w:t xml:space="preserve"> Meeting of the Parties the following draft decision on data and information reporting.</w:t>
      </w:r>
    </w:p>
    <w:p w14:paraId="6DEC47F6" w14:textId="77777777" w:rsidR="00FA7A9A" w:rsidRPr="00FA7A9A" w:rsidRDefault="00FA7A9A" w:rsidP="00FA7A9A">
      <w:pPr>
        <w:tabs>
          <w:tab w:val="clear" w:pos="1247"/>
          <w:tab w:val="left" w:pos="624"/>
          <w:tab w:val="left" w:pos="709"/>
          <w:tab w:val="left" w:pos="1871"/>
          <w:tab w:val="left" w:pos="2495"/>
          <w:tab w:val="left" w:pos="3119"/>
          <w:tab w:val="left" w:pos="3742"/>
          <w:tab w:val="left" w:pos="4366"/>
          <w:tab w:val="left" w:pos="4990"/>
        </w:tabs>
        <w:spacing w:before="360" w:after="120"/>
        <w:ind w:left="709"/>
        <w:rPr>
          <w:b/>
          <w:bCs/>
        </w:rPr>
      </w:pPr>
      <w:bookmarkStart w:id="1" w:name="_Hlk212831609"/>
      <w:r w:rsidRPr="00FA7A9A">
        <w:rPr>
          <w:b/>
          <w:bCs/>
        </w:rPr>
        <w:t>Draft decision XXXVII</w:t>
      </w:r>
      <w:proofErr w:type="gramStart"/>
      <w:r w:rsidRPr="00FA7A9A">
        <w:rPr>
          <w:b/>
          <w:bCs/>
        </w:rPr>
        <w:t>/[</w:t>
      </w:r>
      <w:proofErr w:type="gramEnd"/>
      <w:r w:rsidRPr="00FA7A9A">
        <w:rPr>
          <w:b/>
          <w:bCs/>
        </w:rPr>
        <w:t>--]: Data and information provided by the parties in accordance with Article 7 of the Montreal Protocol</w:t>
      </w:r>
    </w:p>
    <w:p w14:paraId="1C918A87" w14:textId="77777777" w:rsidR="00FA7A9A" w:rsidRPr="00FA7A9A" w:rsidRDefault="00FA7A9A" w:rsidP="00FA7A9A">
      <w:pPr>
        <w:tabs>
          <w:tab w:val="clear" w:pos="1247"/>
          <w:tab w:val="left" w:pos="624"/>
          <w:tab w:val="left" w:pos="709"/>
        </w:tabs>
        <w:spacing w:after="120"/>
        <w:ind w:left="709"/>
        <w:rPr>
          <w:i/>
          <w:iCs/>
        </w:rPr>
      </w:pPr>
      <w:r w:rsidRPr="00FA7A9A">
        <w:rPr>
          <w:i/>
          <w:iCs/>
        </w:rPr>
        <w:t>The Thirty-Seventh Meeting of the Parties decides:</w:t>
      </w:r>
    </w:p>
    <w:p w14:paraId="167C0EB9" w14:textId="0FDA6BF2" w:rsidR="00FA7A9A" w:rsidRPr="00FA7A9A" w:rsidRDefault="00FA7A9A" w:rsidP="00FA7A9A">
      <w:pPr>
        <w:numPr>
          <w:ilvl w:val="4"/>
          <w:numId w:val="23"/>
        </w:numPr>
        <w:tabs>
          <w:tab w:val="clear" w:pos="1247"/>
          <w:tab w:val="clear" w:pos="1814"/>
          <w:tab w:val="left" w:pos="624"/>
          <w:tab w:val="left" w:pos="709"/>
          <w:tab w:val="left" w:pos="1418"/>
        </w:tabs>
        <w:spacing w:after="120"/>
        <w:ind w:left="709" w:firstLine="0"/>
      </w:pPr>
      <w:r w:rsidRPr="00FA7A9A">
        <w:t xml:space="preserve">To note </w:t>
      </w:r>
      <w:r w:rsidRPr="00E3770D">
        <w:t xml:space="preserve">that </w:t>
      </w:r>
      <w:r w:rsidR="00783378" w:rsidRPr="00E3770D">
        <w:t>19</w:t>
      </w:r>
      <w:r w:rsidR="0013256D" w:rsidRPr="00E3770D">
        <w:t>4</w:t>
      </w:r>
      <w:r w:rsidRPr="00E3770D">
        <w:t xml:space="preserve"> parties of the 198 parties that should have reported data for 2024 have done so by 31 October 2025, </w:t>
      </w:r>
      <w:r w:rsidR="006E2D78" w:rsidRPr="00E3770D">
        <w:t>that 12</w:t>
      </w:r>
      <w:r w:rsidR="0013256D" w:rsidRPr="00E3770D">
        <w:t>3</w:t>
      </w:r>
      <w:r w:rsidR="006E2D78" w:rsidRPr="00E3770D">
        <w:t xml:space="preserve"> parties</w:t>
      </w:r>
      <w:r w:rsidR="006E2D78" w:rsidRPr="006E2D78">
        <w:t xml:space="preserve"> have done so via the online reporting system,</w:t>
      </w:r>
      <w:r w:rsidR="006E2D78">
        <w:t xml:space="preserve"> </w:t>
      </w:r>
      <w:r w:rsidRPr="00FA7A9A">
        <w:t>and that 170 parties had reported their data by 30 September 2025 as required under paragraph 3 of Article 7 of the Montreal Protocol on Substances that Deplete the Ozone Layer;</w:t>
      </w:r>
    </w:p>
    <w:p w14:paraId="304D9318" w14:textId="77777777" w:rsidR="00FA7A9A" w:rsidRPr="00FA7A9A" w:rsidRDefault="00FA7A9A" w:rsidP="00FA7A9A">
      <w:pPr>
        <w:numPr>
          <w:ilvl w:val="4"/>
          <w:numId w:val="23"/>
        </w:numPr>
        <w:tabs>
          <w:tab w:val="clear" w:pos="1247"/>
          <w:tab w:val="clear" w:pos="1814"/>
          <w:tab w:val="left" w:pos="624"/>
          <w:tab w:val="left" w:pos="709"/>
          <w:tab w:val="left" w:pos="1418"/>
        </w:tabs>
        <w:spacing w:after="120"/>
        <w:ind w:left="709" w:firstLine="0"/>
      </w:pPr>
      <w:r w:rsidRPr="00FA7A9A">
        <w:t>To note with appreciation that 74 of the reporting parties submitted their data for 2024 by 30 June 2025, in accordance with the encouragement in decision XV/15, and that reporting by 30 June each year greatly facilitates the work of the Executive Committee of the Multilateral Fund for the Implementation of the Montreal Protocol in assisting parties operating under paragraph 1 of Article 5 of the Protocol to comply with the Protocol’s control measures;</w:t>
      </w:r>
    </w:p>
    <w:p w14:paraId="2B10C8ED" w14:textId="435D3E7C" w:rsidR="00FA7A9A" w:rsidRPr="00FA7A9A" w:rsidRDefault="00FA7A9A" w:rsidP="00FA7A9A">
      <w:pPr>
        <w:numPr>
          <w:ilvl w:val="4"/>
          <w:numId w:val="23"/>
        </w:numPr>
        <w:tabs>
          <w:tab w:val="clear" w:pos="1247"/>
          <w:tab w:val="clear" w:pos="1814"/>
          <w:tab w:val="left" w:pos="624"/>
          <w:tab w:val="left" w:pos="709"/>
          <w:tab w:val="left" w:pos="1418"/>
        </w:tabs>
        <w:spacing w:after="120"/>
        <w:ind w:left="709" w:firstLine="0"/>
      </w:pPr>
      <w:r w:rsidRPr="00FA7A9A">
        <w:lastRenderedPageBreak/>
        <w:t xml:space="preserve">To note with concern that </w:t>
      </w:r>
      <w:r w:rsidR="0013256D" w:rsidRPr="00E3770D">
        <w:t>4</w:t>
      </w:r>
      <w:r w:rsidRPr="00FA7A9A">
        <w:t xml:space="preserve"> parties, namely Armenia, Comoros, Iceland </w:t>
      </w:r>
      <w:r w:rsidR="000B40F5">
        <w:t xml:space="preserve">and </w:t>
      </w:r>
      <w:r w:rsidRPr="00FA7A9A">
        <w:t>Sao Tome and Principe, ha</w:t>
      </w:r>
      <w:r w:rsidR="00E3770D">
        <w:t>d</w:t>
      </w:r>
      <w:r w:rsidRPr="00FA7A9A">
        <w:t xml:space="preserve"> not reported their data for 2024 by 31 October 2025, and that this places them in non-compliance with their data reporting obligations under paragraph 3 of Article 7 of the Protocol until such time as the Secretariat receives their outstanding </w:t>
      </w:r>
      <w:proofErr w:type="gramStart"/>
      <w:r w:rsidRPr="00FA7A9A">
        <w:t>data;</w:t>
      </w:r>
      <w:proofErr w:type="gramEnd"/>
    </w:p>
    <w:p w14:paraId="3DF8F155" w14:textId="77777777" w:rsidR="00FA7A9A" w:rsidRPr="00FA7A9A" w:rsidRDefault="00FA7A9A" w:rsidP="00FA7A9A">
      <w:pPr>
        <w:numPr>
          <w:ilvl w:val="4"/>
          <w:numId w:val="23"/>
        </w:numPr>
        <w:tabs>
          <w:tab w:val="clear" w:pos="1247"/>
          <w:tab w:val="clear" w:pos="1814"/>
          <w:tab w:val="left" w:pos="624"/>
          <w:tab w:val="left" w:pos="709"/>
          <w:tab w:val="left" w:pos="1418"/>
        </w:tabs>
        <w:spacing w:after="120"/>
        <w:ind w:left="709" w:firstLine="0"/>
      </w:pPr>
      <w:r w:rsidRPr="00FA7A9A">
        <w:t xml:space="preserve">To note that a lack of timely data reporting by parties impedes the effective monitoring and assessment of parties’ compliance with their obligations under the Montreal </w:t>
      </w:r>
      <w:proofErr w:type="gramStart"/>
      <w:r w:rsidRPr="00FA7A9A">
        <w:t>Protocol;</w:t>
      </w:r>
      <w:proofErr w:type="gramEnd"/>
    </w:p>
    <w:p w14:paraId="124F1D6D" w14:textId="77777777" w:rsidR="00FA7A9A" w:rsidRPr="00FA7A9A" w:rsidRDefault="00FA7A9A" w:rsidP="00FA7A9A">
      <w:pPr>
        <w:numPr>
          <w:ilvl w:val="4"/>
          <w:numId w:val="23"/>
        </w:numPr>
        <w:tabs>
          <w:tab w:val="clear" w:pos="1247"/>
          <w:tab w:val="clear" w:pos="1814"/>
          <w:tab w:val="left" w:pos="624"/>
          <w:tab w:val="left" w:pos="709"/>
          <w:tab w:val="left" w:pos="1418"/>
        </w:tabs>
        <w:spacing w:after="120"/>
        <w:ind w:left="709" w:firstLine="0"/>
      </w:pPr>
      <w:r w:rsidRPr="00FA7A9A">
        <w:t xml:space="preserve">To urge the parties listed in paragraph 3 above that have not yet done so to report the required data to the Secretariat </w:t>
      </w:r>
      <w:proofErr w:type="gramStart"/>
      <w:r w:rsidRPr="00FA7A9A">
        <w:t>as soon as possible;</w:t>
      </w:r>
      <w:proofErr w:type="gramEnd"/>
    </w:p>
    <w:p w14:paraId="0028A662" w14:textId="77777777" w:rsidR="00FA7A9A" w:rsidRDefault="00FA7A9A" w:rsidP="00FA7A9A">
      <w:pPr>
        <w:numPr>
          <w:ilvl w:val="4"/>
          <w:numId w:val="23"/>
        </w:numPr>
        <w:tabs>
          <w:tab w:val="clear" w:pos="1247"/>
          <w:tab w:val="clear" w:pos="1814"/>
          <w:tab w:val="left" w:pos="624"/>
          <w:tab w:val="left" w:pos="709"/>
          <w:tab w:val="left" w:pos="1418"/>
        </w:tabs>
        <w:spacing w:after="120"/>
        <w:ind w:left="709" w:firstLine="0"/>
      </w:pPr>
      <w:r w:rsidRPr="00FA7A9A">
        <w:t xml:space="preserve">To request the Implementation Committee under the Non-Compliance Procedure for the Montreal Protocol to review the situation of those parties at its seventy-sixth </w:t>
      </w:r>
      <w:proofErr w:type="gramStart"/>
      <w:r w:rsidRPr="00FA7A9A">
        <w:t>meeting;</w:t>
      </w:r>
      <w:proofErr w:type="gramEnd"/>
    </w:p>
    <w:p w14:paraId="7D72094D" w14:textId="5C40EE3C" w:rsidR="00FA7A9A" w:rsidRPr="00FA7A9A" w:rsidRDefault="00FA7A9A" w:rsidP="00FA7A9A">
      <w:pPr>
        <w:numPr>
          <w:ilvl w:val="4"/>
          <w:numId w:val="23"/>
        </w:numPr>
        <w:tabs>
          <w:tab w:val="clear" w:pos="1247"/>
          <w:tab w:val="clear" w:pos="1814"/>
          <w:tab w:val="left" w:pos="624"/>
          <w:tab w:val="left" w:pos="709"/>
          <w:tab w:val="left" w:pos="1418"/>
        </w:tabs>
        <w:spacing w:after="120"/>
        <w:ind w:left="709" w:firstLine="0"/>
      </w:pPr>
      <w:r w:rsidRPr="00FA7A9A">
        <w:t>To encourage parties to continue to report consumption and production data as soon as the figures are available, and preferably by 30 June each year, as encouraged in decision XV/15 and subsequent decisions on the matter</w:t>
      </w:r>
      <w:r>
        <w:t>.</w:t>
      </w:r>
    </w:p>
    <w:bookmarkEnd w:id="1"/>
    <w:p w14:paraId="74A8B63A" w14:textId="60A5CF73" w:rsidR="00FA7A9A" w:rsidRDefault="00CB53BC" w:rsidP="00C26729">
      <w:pPr>
        <w:pStyle w:val="NormalNonumber"/>
        <w:numPr>
          <w:ilvl w:val="0"/>
          <w:numId w:val="8"/>
        </w:numPr>
        <w:tabs>
          <w:tab w:val="clear" w:pos="624"/>
          <w:tab w:val="clear" w:pos="1247"/>
          <w:tab w:val="clear" w:pos="1871"/>
          <w:tab w:val="left" w:pos="567"/>
        </w:tabs>
        <w:spacing w:before="360"/>
        <w:rPr>
          <w:rFonts w:asciiTheme="majorBidi" w:eastAsiaTheme="minorEastAsia" w:hAnsiTheme="majorBidi" w:cstheme="majorBidi"/>
          <w:b/>
          <w:kern w:val="2"/>
          <w:sz w:val="24"/>
          <w:szCs w:val="24"/>
          <w:lang w:val="en-GB"/>
          <w14:ligatures w14:val="standardContextual"/>
        </w:rPr>
      </w:pPr>
      <w:r w:rsidRPr="00CB53BC">
        <w:rPr>
          <w:rFonts w:asciiTheme="majorBidi" w:eastAsiaTheme="minorEastAsia" w:hAnsiTheme="majorBidi" w:cstheme="majorBidi"/>
          <w:b/>
          <w:kern w:val="2"/>
          <w:sz w:val="24"/>
          <w:szCs w:val="24"/>
          <w:lang w:val="en-GB"/>
          <w14:ligatures w14:val="standardContextual"/>
        </w:rPr>
        <w:t>Democratic People’s Republic of Korea</w:t>
      </w:r>
    </w:p>
    <w:p w14:paraId="24B444CA" w14:textId="77777777" w:rsidR="00006E19" w:rsidRDefault="00006E19" w:rsidP="00006E19">
      <w:pPr>
        <w:pStyle w:val="ListParagraph"/>
        <w:keepNext/>
        <w:keepLines/>
        <w:tabs>
          <w:tab w:val="clear" w:pos="1247"/>
          <w:tab w:val="clear" w:pos="1814"/>
          <w:tab w:val="left" w:pos="624"/>
          <w:tab w:val="left" w:pos="709"/>
          <w:tab w:val="left" w:pos="2495"/>
          <w:tab w:val="left" w:pos="3119"/>
          <w:tab w:val="left" w:pos="3742"/>
          <w:tab w:val="left" w:pos="4366"/>
        </w:tabs>
        <w:adjustRightInd w:val="0"/>
        <w:snapToGrid w:val="0"/>
        <w:spacing w:after="120"/>
        <w:ind w:left="709"/>
        <w:rPr>
          <w:rFonts w:asciiTheme="majorBidi" w:hAnsiTheme="majorBidi" w:cstheme="majorBidi"/>
        </w:rPr>
      </w:pPr>
      <w:bookmarkStart w:id="2" w:name="_Hlk212833185"/>
      <w:r w:rsidRPr="00830F35">
        <w:rPr>
          <w:rFonts w:asciiTheme="majorBidi" w:hAnsiTheme="majorBidi" w:cstheme="majorBidi"/>
        </w:rPr>
        <w:t>The Committee therefore decided to forward for consideration by the Thirty-S</w:t>
      </w:r>
      <w:r>
        <w:rPr>
          <w:rFonts w:asciiTheme="majorBidi" w:hAnsiTheme="majorBidi" w:cstheme="majorBidi"/>
        </w:rPr>
        <w:t>eventh</w:t>
      </w:r>
      <w:r w:rsidRPr="00830F35">
        <w:rPr>
          <w:rFonts w:asciiTheme="majorBidi" w:hAnsiTheme="majorBidi" w:cstheme="majorBidi"/>
        </w:rPr>
        <w:t xml:space="preserve"> Meeting of the Parties the following draft decision on </w:t>
      </w:r>
      <w:r>
        <w:rPr>
          <w:rFonts w:asciiTheme="majorBidi" w:hAnsiTheme="majorBidi" w:cstheme="majorBidi"/>
        </w:rPr>
        <w:t>the Democratic People’s Republic of Korea.</w:t>
      </w:r>
    </w:p>
    <w:p w14:paraId="017661A5" w14:textId="77777777" w:rsidR="00006E19" w:rsidRDefault="00006E19" w:rsidP="00006E19">
      <w:pPr>
        <w:pStyle w:val="ListParagraph"/>
        <w:keepNext/>
        <w:keepLines/>
        <w:tabs>
          <w:tab w:val="clear" w:pos="1247"/>
          <w:tab w:val="clear" w:pos="1814"/>
          <w:tab w:val="left" w:pos="624"/>
          <w:tab w:val="left" w:pos="709"/>
          <w:tab w:val="left" w:pos="2495"/>
          <w:tab w:val="left" w:pos="3119"/>
          <w:tab w:val="left" w:pos="3742"/>
          <w:tab w:val="left" w:pos="4366"/>
        </w:tabs>
        <w:adjustRightInd w:val="0"/>
        <w:snapToGrid w:val="0"/>
        <w:spacing w:after="120"/>
        <w:ind w:left="709"/>
        <w:rPr>
          <w:rFonts w:asciiTheme="majorBidi" w:hAnsiTheme="majorBidi" w:cstheme="majorBidi"/>
        </w:rPr>
      </w:pPr>
    </w:p>
    <w:p w14:paraId="58C9601A" w14:textId="08BC7FDF" w:rsidR="00006E19" w:rsidRDefault="00006E19" w:rsidP="00006E19">
      <w:pPr>
        <w:pStyle w:val="ListParagraph"/>
        <w:keepNext/>
        <w:keepLines/>
        <w:tabs>
          <w:tab w:val="clear" w:pos="1247"/>
          <w:tab w:val="clear" w:pos="1814"/>
          <w:tab w:val="left" w:pos="624"/>
          <w:tab w:val="left" w:pos="709"/>
          <w:tab w:val="left" w:pos="2495"/>
          <w:tab w:val="left" w:pos="3119"/>
          <w:tab w:val="left" w:pos="3742"/>
          <w:tab w:val="left" w:pos="4366"/>
        </w:tabs>
        <w:adjustRightInd w:val="0"/>
        <w:snapToGrid w:val="0"/>
        <w:spacing w:after="120"/>
        <w:ind w:left="709"/>
        <w:rPr>
          <w:b/>
          <w:bCs/>
        </w:rPr>
      </w:pPr>
      <w:r w:rsidRPr="00FA7A9A">
        <w:rPr>
          <w:b/>
          <w:bCs/>
        </w:rPr>
        <w:t>Draft decision XXXVII</w:t>
      </w:r>
      <w:proofErr w:type="gramStart"/>
      <w:r w:rsidRPr="00FA7A9A">
        <w:rPr>
          <w:b/>
          <w:bCs/>
        </w:rPr>
        <w:t>/[</w:t>
      </w:r>
      <w:proofErr w:type="gramEnd"/>
      <w:r w:rsidRPr="00FA7A9A">
        <w:rPr>
          <w:b/>
          <w:bCs/>
        </w:rPr>
        <w:t xml:space="preserve">--]: </w:t>
      </w:r>
      <w:r w:rsidR="00E3770D">
        <w:rPr>
          <w:b/>
          <w:bCs/>
        </w:rPr>
        <w:t xml:space="preserve">Non-compliance with the Montreal Protocol by the </w:t>
      </w:r>
      <w:r w:rsidR="00CB53BC">
        <w:rPr>
          <w:b/>
          <w:bCs/>
        </w:rPr>
        <w:t>Democratic People’s Republic of Korea</w:t>
      </w:r>
    </w:p>
    <w:bookmarkEnd w:id="2"/>
    <w:p w14:paraId="712A9444" w14:textId="77777777" w:rsidR="00006E19" w:rsidRPr="00FA7A9A" w:rsidRDefault="00006E19" w:rsidP="00006E19">
      <w:pPr>
        <w:pStyle w:val="ListParagraph"/>
        <w:keepNext/>
        <w:keepLines/>
        <w:tabs>
          <w:tab w:val="clear" w:pos="1247"/>
          <w:tab w:val="clear" w:pos="1814"/>
          <w:tab w:val="left" w:pos="624"/>
          <w:tab w:val="left" w:pos="709"/>
          <w:tab w:val="left" w:pos="2495"/>
          <w:tab w:val="left" w:pos="3119"/>
          <w:tab w:val="left" w:pos="3742"/>
          <w:tab w:val="left" w:pos="4366"/>
        </w:tabs>
        <w:adjustRightInd w:val="0"/>
        <w:snapToGrid w:val="0"/>
        <w:spacing w:after="120"/>
        <w:ind w:left="709"/>
        <w:rPr>
          <w:b/>
          <w:bCs/>
        </w:rPr>
      </w:pPr>
    </w:p>
    <w:p w14:paraId="0B235802" w14:textId="194EA2AC" w:rsidR="00006E19" w:rsidRPr="00276C62" w:rsidRDefault="00006E19" w:rsidP="00006E19">
      <w:pPr>
        <w:pStyle w:val="ListParagraph"/>
        <w:keepNext/>
        <w:keepLines/>
        <w:tabs>
          <w:tab w:val="clear" w:pos="1247"/>
          <w:tab w:val="clear" w:pos="1814"/>
          <w:tab w:val="left" w:pos="624"/>
          <w:tab w:val="left" w:pos="709"/>
          <w:tab w:val="left" w:pos="2495"/>
          <w:tab w:val="left" w:pos="3119"/>
          <w:tab w:val="left" w:pos="3742"/>
          <w:tab w:val="left" w:pos="4366"/>
        </w:tabs>
        <w:adjustRightInd w:val="0"/>
        <w:snapToGrid w:val="0"/>
        <w:spacing w:after="120"/>
        <w:ind w:left="709"/>
        <w:rPr>
          <w:i/>
          <w:iCs/>
        </w:rPr>
      </w:pPr>
      <w:r w:rsidRPr="00276C62">
        <w:rPr>
          <w:i/>
          <w:iCs/>
        </w:rPr>
        <w:t>The Thirty-Seventh Meeting of the Parties,</w:t>
      </w:r>
    </w:p>
    <w:p w14:paraId="65F3ED7C" w14:textId="725D135F" w:rsidR="00006E19" w:rsidRPr="00B93E3E" w:rsidRDefault="00006E19" w:rsidP="00006E19">
      <w:pPr>
        <w:tabs>
          <w:tab w:val="clear" w:pos="1247"/>
          <w:tab w:val="clear" w:pos="1814"/>
          <w:tab w:val="left" w:pos="624"/>
          <w:tab w:val="left" w:pos="709"/>
          <w:tab w:val="left" w:pos="1418"/>
        </w:tabs>
        <w:spacing w:after="120"/>
        <w:ind w:left="709"/>
        <w:rPr>
          <w:i/>
          <w:iCs/>
        </w:rPr>
      </w:pPr>
      <w:r>
        <w:rPr>
          <w:i/>
          <w:iCs/>
        </w:rPr>
        <w:tab/>
      </w:r>
      <w:r w:rsidRPr="00B93E3E">
        <w:rPr>
          <w:i/>
          <w:iCs/>
        </w:rPr>
        <w:t xml:space="preserve">Recalling </w:t>
      </w:r>
      <w:r w:rsidRPr="00B93E3E">
        <w:t>decision XXXII/6, in which the Thirty-Second Meeting of the Parties noted that the Democratic People’s Republic of Korea was in non-compliance with the Montreal Protocol on Substances that Deplete the Ozone Layer control measures for</w:t>
      </w:r>
      <w:r>
        <w:t xml:space="preserve"> </w:t>
      </w:r>
      <w:r w:rsidRPr="00B93E3E">
        <w:t>hydrochlorofluorocarbon production and consumption in 2019, but also noted with appreciation the plan of action submitted by the party to ensure its return to compliance with those measures in 2023,</w:t>
      </w:r>
      <w:r w:rsidRPr="00B93E3E">
        <w:rPr>
          <w:i/>
          <w:iCs/>
        </w:rPr>
        <w:t xml:space="preserve"> </w:t>
      </w:r>
    </w:p>
    <w:p w14:paraId="59EAA70E" w14:textId="77BD1B05" w:rsidR="00006E19" w:rsidRDefault="00006E19" w:rsidP="00006E19">
      <w:pPr>
        <w:tabs>
          <w:tab w:val="clear" w:pos="1247"/>
          <w:tab w:val="clear" w:pos="1814"/>
          <w:tab w:val="left" w:pos="624"/>
          <w:tab w:val="left" w:pos="709"/>
          <w:tab w:val="left" w:pos="1418"/>
        </w:tabs>
        <w:spacing w:after="120"/>
        <w:ind w:left="709"/>
      </w:pPr>
      <w:r>
        <w:rPr>
          <w:i/>
          <w:iCs/>
        </w:rPr>
        <w:tab/>
      </w:r>
      <w:r w:rsidRPr="00B93E3E">
        <w:rPr>
          <w:i/>
          <w:iCs/>
        </w:rPr>
        <w:t xml:space="preserve">Noting with concern </w:t>
      </w:r>
      <w:r w:rsidRPr="00B93E3E">
        <w:t>that the Democratic People’s Republic of Korea reported, for 2021, annual production of 24.81 ozone-depleting-potential tonnes (ODP-tonnes) of hydrochlorofluorocarbons and annual consumption of 58.03 ODP-tonnes of hydrochlorofluorocarbons, which is higher than its commitment, as set out in decision XXXII/6, to reduce its production and consumption of hydrochlorofluorocarbons to no greater than 24.80 ODP-tonnes and 58.00 ODP-tonnes, respectively,</w:t>
      </w:r>
    </w:p>
    <w:p w14:paraId="1A17AB57" w14:textId="2CC2843B" w:rsidR="00006E19" w:rsidRDefault="00006E19" w:rsidP="00006E19">
      <w:pPr>
        <w:tabs>
          <w:tab w:val="clear" w:pos="1247"/>
          <w:tab w:val="clear" w:pos="1814"/>
          <w:tab w:val="left" w:pos="624"/>
          <w:tab w:val="left" w:pos="709"/>
          <w:tab w:val="left" w:pos="1418"/>
        </w:tabs>
        <w:spacing w:after="120"/>
        <w:ind w:left="709"/>
      </w:pPr>
      <w:r>
        <w:rPr>
          <w:i/>
          <w:iCs/>
        </w:rPr>
        <w:tab/>
      </w:r>
      <w:r w:rsidRPr="00B93E3E">
        <w:rPr>
          <w:i/>
          <w:iCs/>
        </w:rPr>
        <w:t xml:space="preserve">Noting with concern </w:t>
      </w:r>
      <w:r w:rsidRPr="00B93E3E">
        <w:t>that the Democratic People’s Republic of Korea reported, for 202</w:t>
      </w:r>
      <w:r>
        <w:t>3</w:t>
      </w:r>
      <w:r w:rsidRPr="00B93E3E">
        <w:t xml:space="preserve">, annual production of </w:t>
      </w:r>
      <w:r>
        <w:t>24.77</w:t>
      </w:r>
      <w:r w:rsidRPr="00B93E3E">
        <w:t xml:space="preserve"> ozone-depleting-potential tonnes (ODP-tonnes) of hydrochlorofluorocarbons and annual consumption of </w:t>
      </w:r>
      <w:r>
        <w:t>57.76</w:t>
      </w:r>
      <w:r w:rsidRPr="00B93E3E">
        <w:t xml:space="preserve"> ODP-tonnes of hydrochlorofluorocarbons, which is higher than its commitment, as set out in decision XXXII/6, to reduce its production and consumption of hydrochlorofluorocarbons to no greater than </w:t>
      </w:r>
      <w:r>
        <w:t>0</w:t>
      </w:r>
      <w:r w:rsidRPr="00B93E3E">
        <w:t xml:space="preserve"> ODP-tonnes and </w:t>
      </w:r>
      <w:r>
        <w:t>33.2</w:t>
      </w:r>
      <w:r w:rsidRPr="00B93E3E">
        <w:t>0 ODP-tonnes, respectively,</w:t>
      </w:r>
    </w:p>
    <w:p w14:paraId="1914E79F" w14:textId="3D579730" w:rsidR="00006E19" w:rsidRDefault="00006E19" w:rsidP="00006E19">
      <w:pPr>
        <w:tabs>
          <w:tab w:val="clear" w:pos="1247"/>
          <w:tab w:val="clear" w:pos="1814"/>
          <w:tab w:val="left" w:pos="624"/>
          <w:tab w:val="left" w:pos="709"/>
          <w:tab w:val="left" w:pos="1418"/>
        </w:tabs>
        <w:spacing w:after="120"/>
        <w:ind w:left="709"/>
      </w:pPr>
      <w:r>
        <w:rPr>
          <w:i/>
          <w:iCs/>
        </w:rPr>
        <w:tab/>
      </w:r>
      <w:r w:rsidRPr="00B93E3E">
        <w:rPr>
          <w:i/>
          <w:iCs/>
        </w:rPr>
        <w:t xml:space="preserve">Noting with concern </w:t>
      </w:r>
      <w:r w:rsidRPr="00B93E3E">
        <w:t>that the Democratic People’s Republic of Korea reported, for 202</w:t>
      </w:r>
      <w:r>
        <w:t>4</w:t>
      </w:r>
      <w:r w:rsidRPr="00B93E3E">
        <w:t xml:space="preserve">, annual production of </w:t>
      </w:r>
      <w:r>
        <w:t>21.61</w:t>
      </w:r>
      <w:r w:rsidRPr="00B93E3E">
        <w:t xml:space="preserve"> ozone-depleting-potential tonnes (ODP-tonnes) of hydrochlorofluorocarbons and annual consumption of </w:t>
      </w:r>
      <w:r>
        <w:t>51.43</w:t>
      </w:r>
      <w:r w:rsidRPr="00B93E3E">
        <w:t xml:space="preserve"> ODP-tonnes of hydrochlorofluorocarbons, which is higher than its commitment, as set out in decision XXXII/6, to reduce its production and consumption of hydrochlorofluorocarbons to no greater than </w:t>
      </w:r>
      <w:r>
        <w:t>17.9</w:t>
      </w:r>
      <w:r w:rsidRPr="00B93E3E">
        <w:t xml:space="preserve"> ODP-tonnes and </w:t>
      </w:r>
      <w:r>
        <w:t>50.7</w:t>
      </w:r>
      <w:r w:rsidRPr="00B93E3E">
        <w:t xml:space="preserve"> ODP-tonnes, respectively,</w:t>
      </w:r>
    </w:p>
    <w:p w14:paraId="52068F62" w14:textId="644FD86A" w:rsidR="00006E19" w:rsidRDefault="00006E19" w:rsidP="00006E19">
      <w:pPr>
        <w:tabs>
          <w:tab w:val="clear" w:pos="1247"/>
          <w:tab w:val="clear" w:pos="1814"/>
          <w:tab w:val="left" w:pos="624"/>
          <w:tab w:val="left" w:pos="709"/>
          <w:tab w:val="left" w:pos="1418"/>
        </w:tabs>
        <w:spacing w:after="120"/>
        <w:ind w:left="709"/>
      </w:pPr>
      <w:r>
        <w:rPr>
          <w:i/>
          <w:iCs/>
        </w:rPr>
        <w:tab/>
        <w:t>Noting with serious concern</w:t>
      </w:r>
      <w:r>
        <w:t xml:space="preserve"> that</w:t>
      </w:r>
      <w:r w:rsidRPr="00E957DE">
        <w:t xml:space="preserve"> despite several requests by the</w:t>
      </w:r>
      <w:r>
        <w:t xml:space="preserve"> </w:t>
      </w:r>
      <w:r w:rsidRPr="00E957DE">
        <w:t>Implementation Committee under the Non-Compliance Procedure for the Montreal Protocol in its</w:t>
      </w:r>
      <w:r>
        <w:t xml:space="preserve"> r</w:t>
      </w:r>
      <w:r w:rsidRPr="00E957DE">
        <w:t>ecommendations 68/4, 69/4, 70/2</w:t>
      </w:r>
      <w:r>
        <w:t>,</w:t>
      </w:r>
      <w:r w:rsidRPr="00E957DE">
        <w:t xml:space="preserve"> 72/3 </w:t>
      </w:r>
      <w:r>
        <w:t xml:space="preserve">and 74/2 </w:t>
      </w:r>
      <w:r w:rsidRPr="00E957DE">
        <w:t>and repeated reminders by the Ozone Secretariat,</w:t>
      </w:r>
      <w:r>
        <w:t xml:space="preserve"> the Democratic People’s Republic of Korea has not provided a</w:t>
      </w:r>
      <w:r w:rsidRPr="0055280E">
        <w:t>n explanation for the deviations</w:t>
      </w:r>
      <w:r>
        <w:t xml:space="preserve"> of the data reported for 2021</w:t>
      </w:r>
      <w:r w:rsidRPr="0055280E">
        <w:t xml:space="preserve">, </w:t>
      </w:r>
      <w:r>
        <w:t xml:space="preserve">has not </w:t>
      </w:r>
      <w:r w:rsidRPr="0055280E">
        <w:t>submit</w:t>
      </w:r>
      <w:r>
        <w:t>ted</w:t>
      </w:r>
      <w:r w:rsidRPr="0055280E">
        <w:t xml:space="preserve"> a revised plan of action to ensure its return to compliance </w:t>
      </w:r>
      <w:r>
        <w:t xml:space="preserve">and has not submitted </w:t>
      </w:r>
      <w:r w:rsidRPr="0055280E">
        <w:t>a progress report on efforts to establish additional national policies facilitating the phase-out of hydrochlorofluorocarbons</w:t>
      </w:r>
      <w:r>
        <w:t>, as urged in decisions XXXV/18 and XXXVI/16,</w:t>
      </w:r>
    </w:p>
    <w:p w14:paraId="60B78D86" w14:textId="41F9F154" w:rsidR="00006E19" w:rsidRPr="009D09A9" w:rsidRDefault="00006E19" w:rsidP="00006E19">
      <w:pPr>
        <w:tabs>
          <w:tab w:val="clear" w:pos="1247"/>
          <w:tab w:val="clear" w:pos="1814"/>
          <w:tab w:val="left" w:pos="624"/>
          <w:tab w:val="left" w:pos="709"/>
          <w:tab w:val="left" w:pos="1418"/>
        </w:tabs>
        <w:spacing w:after="120"/>
        <w:ind w:left="709"/>
      </w:pPr>
      <w:r>
        <w:rPr>
          <w:i/>
          <w:iCs/>
        </w:rPr>
        <w:lastRenderedPageBreak/>
        <w:tab/>
        <w:t>Noting also with serious concern</w:t>
      </w:r>
      <w:r>
        <w:t xml:space="preserve"> that the Democratic People’s Republic of Korea has not provided an explanation for the deviations for the data reported for 2023 and 2024 </w:t>
      </w:r>
      <w:r w:rsidR="00E3770D">
        <w:t xml:space="preserve">as </w:t>
      </w:r>
      <w:r>
        <w:t xml:space="preserve">urged by the Implementation Committee in </w:t>
      </w:r>
      <w:r w:rsidR="00E3770D">
        <w:t xml:space="preserve">its </w:t>
      </w:r>
      <w:r>
        <w:t>r</w:t>
      </w:r>
      <w:r w:rsidRPr="009D09A9">
        <w:t>ecommendation 74/2</w:t>
      </w:r>
      <w:r>
        <w:t>,</w:t>
      </w:r>
    </w:p>
    <w:p w14:paraId="7CBD2F3C" w14:textId="75C83B55" w:rsidR="00006E19" w:rsidRPr="00B93E3E" w:rsidRDefault="00006E19" w:rsidP="00006E19">
      <w:pPr>
        <w:tabs>
          <w:tab w:val="clear" w:pos="1247"/>
          <w:tab w:val="clear" w:pos="1814"/>
          <w:tab w:val="left" w:pos="624"/>
          <w:tab w:val="left" w:pos="709"/>
          <w:tab w:val="left" w:pos="1418"/>
        </w:tabs>
        <w:spacing w:after="120"/>
        <w:ind w:left="709"/>
      </w:pPr>
      <w:r>
        <w:rPr>
          <w:i/>
          <w:iCs/>
        </w:rPr>
        <w:tab/>
        <w:t>Recalling</w:t>
      </w:r>
      <w:r w:rsidRPr="00B93E3E">
        <w:rPr>
          <w:i/>
          <w:iCs/>
        </w:rPr>
        <w:t> </w:t>
      </w:r>
      <w:r>
        <w:t xml:space="preserve">decisions XXXII/6, XXXV/18 and XXXVI/16 which cautioned </w:t>
      </w:r>
      <w:r w:rsidRPr="00F06DF9">
        <w:t>the Democratic People’s Republic of Korea, in accordance with item B of the indicative list of measures that may be taken by the Meeting of the Parties in respect of non‑compliance, that if the Democratic People’s Republic of Korea fails to return to compliance, the parties will consider measures consistent with item C of the indicative list of measures. Those measures may include the possibility of actions available under Article 4 of the Montreal Protocol, such as ensuring that the supply of hydrochlorofluorocarbons, the substances that are the subject of non‑compliance, is ceased so that exporting parties do not contribute to a continuing situation of non‑compliance</w:t>
      </w:r>
      <w:r w:rsidRPr="00B93E3E">
        <w:t>,</w:t>
      </w:r>
    </w:p>
    <w:p w14:paraId="00C9FDAC" w14:textId="18B1F7B8" w:rsidR="00006E19" w:rsidRPr="00B93E3E" w:rsidRDefault="00006E19" w:rsidP="00006E19">
      <w:pPr>
        <w:tabs>
          <w:tab w:val="clear" w:pos="1247"/>
          <w:tab w:val="clear" w:pos="1814"/>
          <w:tab w:val="left" w:pos="624"/>
          <w:tab w:val="left" w:pos="709"/>
          <w:tab w:val="left" w:pos="1418"/>
        </w:tabs>
        <w:spacing w:after="120"/>
        <w:ind w:left="709"/>
        <w:rPr>
          <w:i/>
          <w:iCs/>
        </w:rPr>
      </w:pPr>
      <w:r>
        <w:rPr>
          <w:i/>
          <w:iCs/>
        </w:rPr>
        <w:t>Decides:</w:t>
      </w:r>
    </w:p>
    <w:p w14:paraId="6015601C" w14:textId="03049A98" w:rsidR="00006E19" w:rsidRDefault="007472CF" w:rsidP="00006E19">
      <w:pPr>
        <w:pStyle w:val="NormalNonumber"/>
        <w:numPr>
          <w:ilvl w:val="0"/>
          <w:numId w:val="24"/>
        </w:numPr>
        <w:tabs>
          <w:tab w:val="clear" w:pos="1247"/>
          <w:tab w:val="left" w:pos="709"/>
          <w:tab w:val="left" w:pos="1418"/>
          <w:tab w:val="left" w:pos="4990"/>
        </w:tabs>
        <w:ind w:left="709" w:firstLine="0"/>
      </w:pPr>
      <w:r>
        <w:t>In order to assist the Democratic People’s Republic of Korea in returning to compliance</w:t>
      </w:r>
      <w:r w:rsidR="0093266F">
        <w:t xml:space="preserve"> with control measures in relation to hydrochlorofluorocarbons under the Montreal Protocol</w:t>
      </w:r>
      <w:r>
        <w:t>, t</w:t>
      </w:r>
      <w:r w:rsidR="00006E19" w:rsidRPr="00C77323">
        <w:t xml:space="preserve">o </w:t>
      </w:r>
      <w:r>
        <w:t xml:space="preserve">agree to </w:t>
      </w:r>
      <w:r w:rsidR="00006E19">
        <w:t>suspend</w:t>
      </w:r>
      <w:r w:rsidR="00006E19" w:rsidRPr="0055280E">
        <w:t xml:space="preserve">, </w:t>
      </w:r>
      <w:r>
        <w:t>consistent</w:t>
      </w:r>
      <w:r w:rsidR="00006E19" w:rsidRPr="00D35855">
        <w:t xml:space="preserve"> with item C of the indicative list of measures</w:t>
      </w:r>
      <w:r w:rsidR="00006E19">
        <w:t xml:space="preserve"> t</w:t>
      </w:r>
      <w:r w:rsidR="00006E19" w:rsidRPr="00D35855">
        <w:t>hat might be taken by a Meeting of the Parties in respect of non-compliance with the Protocol</w:t>
      </w:r>
      <w:r w:rsidR="00006E19" w:rsidRPr="0055280E">
        <w:t xml:space="preserve">, </w:t>
      </w:r>
      <w:r>
        <w:t>the rights and privileges of parties to the Protocol relating to</w:t>
      </w:r>
      <w:r w:rsidR="00006E19">
        <w:t xml:space="preserve"> trade of </w:t>
      </w:r>
      <w:r w:rsidR="00006E19" w:rsidRPr="00D35855">
        <w:t xml:space="preserve">hydrochlorofluorocarbons, the substances that are the subject of non‑compliance, </w:t>
      </w:r>
      <w:r w:rsidR="00006E19">
        <w:t>between the Democratic People’s Republic of Korea and other parties to the Protocol</w:t>
      </w:r>
      <w:r>
        <w:t>, such that no such trade will be permissible under the Protocol</w:t>
      </w:r>
      <w:r w:rsidR="00006E19">
        <w:t>;</w:t>
      </w:r>
    </w:p>
    <w:p w14:paraId="755A3C65" w14:textId="75E0D09C" w:rsidR="00006E19" w:rsidRDefault="00006E19" w:rsidP="00006E19">
      <w:pPr>
        <w:pStyle w:val="NormalNonumber"/>
        <w:numPr>
          <w:ilvl w:val="0"/>
          <w:numId w:val="24"/>
        </w:numPr>
        <w:tabs>
          <w:tab w:val="clear" w:pos="1247"/>
          <w:tab w:val="left" w:pos="709"/>
          <w:tab w:val="left" w:pos="1418"/>
          <w:tab w:val="left" w:pos="4990"/>
        </w:tabs>
        <w:ind w:left="709" w:firstLine="0"/>
      </w:pPr>
      <w:r w:rsidRPr="00006E19">
        <w:t>The suspension of trade referred to in paragraph</w:t>
      </w:r>
      <w:r w:rsidR="007472CF">
        <w:t xml:space="preserve"> 1</w:t>
      </w:r>
      <w:r w:rsidRPr="00006E19">
        <w:t xml:space="preserve"> will continue until such time as the Democratic People’s Republic of Korea returns to compliance with control measures in relation to hydrochlorofluorocarbons under the Montreal Protocol </w:t>
      </w:r>
      <w:r w:rsidR="007472CF">
        <w:t>as recommended by the Implementation Committee</w:t>
      </w:r>
      <w:r w:rsidR="00672AA5">
        <w:t xml:space="preserve"> </w:t>
      </w:r>
      <w:proofErr w:type="gramStart"/>
      <w:r w:rsidR="007472CF">
        <w:t>on the basis of</w:t>
      </w:r>
      <w:proofErr w:type="gramEnd"/>
      <w:r w:rsidR="007472CF">
        <w:t xml:space="preserve"> data reported pursuant to Article 7 </w:t>
      </w:r>
      <w:r w:rsidRPr="00006E19">
        <w:t>or until otherwise decided by the Meeting of the Parties</w:t>
      </w:r>
      <w:r>
        <w:t>.</w:t>
      </w:r>
    </w:p>
    <w:p w14:paraId="726EA865" w14:textId="2C185CB5" w:rsidR="00084F7A" w:rsidRDefault="006E2D78" w:rsidP="006A4FB9">
      <w:pPr>
        <w:pStyle w:val="NormalNonumber"/>
        <w:numPr>
          <w:ilvl w:val="0"/>
          <w:numId w:val="8"/>
        </w:numPr>
        <w:tabs>
          <w:tab w:val="clear" w:pos="624"/>
          <w:tab w:val="clear" w:pos="1247"/>
          <w:tab w:val="clear" w:pos="1871"/>
          <w:tab w:val="left" w:pos="567"/>
        </w:tabs>
        <w:spacing w:before="360"/>
        <w:rPr>
          <w:rFonts w:asciiTheme="majorBidi" w:eastAsiaTheme="minorEastAsia" w:hAnsiTheme="majorBidi" w:cstheme="majorBidi"/>
          <w:b/>
          <w:kern w:val="2"/>
          <w:sz w:val="24"/>
          <w:szCs w:val="24"/>
          <w14:ligatures w14:val="standardContextual"/>
        </w:rPr>
      </w:pPr>
      <w:r>
        <w:rPr>
          <w:rFonts w:asciiTheme="majorBidi" w:eastAsiaTheme="minorEastAsia" w:hAnsiTheme="majorBidi" w:cstheme="majorBidi"/>
          <w:b/>
          <w:kern w:val="2"/>
          <w:sz w:val="24"/>
          <w:szCs w:val="24"/>
          <w14:ligatures w14:val="standardContextual"/>
        </w:rPr>
        <w:t>Libya</w:t>
      </w:r>
    </w:p>
    <w:p w14:paraId="1F623766" w14:textId="0AB70EC5" w:rsidR="006E2D78" w:rsidRDefault="006E2D78" w:rsidP="006E2D78">
      <w:pPr>
        <w:pStyle w:val="ListParagraph"/>
        <w:keepNext/>
        <w:keepLines/>
        <w:tabs>
          <w:tab w:val="clear" w:pos="1247"/>
          <w:tab w:val="clear" w:pos="1814"/>
          <w:tab w:val="left" w:pos="624"/>
          <w:tab w:val="left" w:pos="709"/>
          <w:tab w:val="left" w:pos="2495"/>
          <w:tab w:val="left" w:pos="3119"/>
          <w:tab w:val="left" w:pos="3742"/>
          <w:tab w:val="left" w:pos="4366"/>
        </w:tabs>
        <w:adjustRightInd w:val="0"/>
        <w:snapToGrid w:val="0"/>
        <w:spacing w:after="120"/>
        <w:rPr>
          <w:rFonts w:asciiTheme="majorBidi" w:hAnsiTheme="majorBidi" w:cstheme="majorBidi"/>
        </w:rPr>
      </w:pPr>
      <w:r w:rsidRPr="00830F35">
        <w:rPr>
          <w:rFonts w:asciiTheme="majorBidi" w:hAnsiTheme="majorBidi" w:cstheme="majorBidi"/>
        </w:rPr>
        <w:t>The Committee therefore decided to forward for consideration by the Thirty-S</w:t>
      </w:r>
      <w:r>
        <w:rPr>
          <w:rFonts w:asciiTheme="majorBidi" w:hAnsiTheme="majorBidi" w:cstheme="majorBidi"/>
        </w:rPr>
        <w:t>eventh</w:t>
      </w:r>
      <w:r w:rsidRPr="00830F35">
        <w:rPr>
          <w:rFonts w:asciiTheme="majorBidi" w:hAnsiTheme="majorBidi" w:cstheme="majorBidi"/>
        </w:rPr>
        <w:t xml:space="preserve"> Meeting of the Parties the following draft decision on </w:t>
      </w:r>
      <w:r>
        <w:rPr>
          <w:rFonts w:asciiTheme="majorBidi" w:hAnsiTheme="majorBidi" w:cstheme="majorBidi"/>
        </w:rPr>
        <w:t>Libya.</w:t>
      </w:r>
    </w:p>
    <w:p w14:paraId="7A197586" w14:textId="77777777" w:rsidR="006E2D78" w:rsidRDefault="006E2D78" w:rsidP="006E2D78">
      <w:pPr>
        <w:pStyle w:val="ListParagraph"/>
        <w:keepNext/>
        <w:keepLines/>
        <w:tabs>
          <w:tab w:val="clear" w:pos="1247"/>
          <w:tab w:val="clear" w:pos="1814"/>
          <w:tab w:val="left" w:pos="624"/>
          <w:tab w:val="left" w:pos="709"/>
          <w:tab w:val="left" w:pos="2495"/>
          <w:tab w:val="left" w:pos="3119"/>
          <w:tab w:val="left" w:pos="3742"/>
          <w:tab w:val="left" w:pos="4366"/>
        </w:tabs>
        <w:adjustRightInd w:val="0"/>
        <w:snapToGrid w:val="0"/>
        <w:spacing w:after="120"/>
        <w:rPr>
          <w:rFonts w:asciiTheme="majorBidi" w:hAnsiTheme="majorBidi" w:cstheme="majorBidi"/>
        </w:rPr>
      </w:pPr>
    </w:p>
    <w:p w14:paraId="402D1C2F" w14:textId="45EDB87F" w:rsidR="006E2D78" w:rsidRDefault="006E2D78" w:rsidP="006E2D78">
      <w:pPr>
        <w:pStyle w:val="ListParagraph"/>
        <w:keepNext/>
        <w:keepLines/>
        <w:tabs>
          <w:tab w:val="clear" w:pos="1247"/>
          <w:tab w:val="clear" w:pos="1814"/>
          <w:tab w:val="left" w:pos="624"/>
          <w:tab w:val="left" w:pos="709"/>
          <w:tab w:val="left" w:pos="2495"/>
          <w:tab w:val="left" w:pos="3119"/>
          <w:tab w:val="left" w:pos="3742"/>
          <w:tab w:val="left" w:pos="4366"/>
        </w:tabs>
        <w:adjustRightInd w:val="0"/>
        <w:snapToGrid w:val="0"/>
        <w:spacing w:after="120"/>
        <w:ind w:left="709"/>
        <w:rPr>
          <w:b/>
          <w:bCs/>
        </w:rPr>
      </w:pPr>
      <w:r w:rsidRPr="00FA7A9A">
        <w:rPr>
          <w:b/>
          <w:bCs/>
        </w:rPr>
        <w:t>Draft decision XXXVII</w:t>
      </w:r>
      <w:proofErr w:type="gramStart"/>
      <w:r w:rsidRPr="00FA7A9A">
        <w:rPr>
          <w:b/>
          <w:bCs/>
        </w:rPr>
        <w:t>/[</w:t>
      </w:r>
      <w:proofErr w:type="gramEnd"/>
      <w:r w:rsidRPr="00FA7A9A">
        <w:rPr>
          <w:b/>
          <w:bCs/>
        </w:rPr>
        <w:t xml:space="preserve">--]: </w:t>
      </w:r>
      <w:r w:rsidR="007A7FD0">
        <w:rPr>
          <w:b/>
          <w:bCs/>
        </w:rPr>
        <w:t xml:space="preserve">Adherence by </w:t>
      </w:r>
      <w:r w:rsidR="00D7197D">
        <w:rPr>
          <w:b/>
          <w:bCs/>
        </w:rPr>
        <w:t>Libya</w:t>
      </w:r>
      <w:r w:rsidR="007A7FD0">
        <w:rPr>
          <w:b/>
          <w:bCs/>
        </w:rPr>
        <w:t xml:space="preserve"> </w:t>
      </w:r>
      <w:r w:rsidR="00F90F31">
        <w:rPr>
          <w:b/>
          <w:bCs/>
        </w:rPr>
        <w:t>to</w:t>
      </w:r>
      <w:r w:rsidR="007A7FD0">
        <w:rPr>
          <w:b/>
          <w:bCs/>
        </w:rPr>
        <w:t xml:space="preserve"> </w:t>
      </w:r>
      <w:r w:rsidR="00F90F31">
        <w:rPr>
          <w:b/>
          <w:bCs/>
        </w:rPr>
        <w:t xml:space="preserve">its commitments under </w:t>
      </w:r>
      <w:r w:rsidR="007A7FD0">
        <w:rPr>
          <w:b/>
          <w:bCs/>
        </w:rPr>
        <w:t>its plan of action to return to compliance</w:t>
      </w:r>
    </w:p>
    <w:p w14:paraId="00969481" w14:textId="3DA7DA98" w:rsidR="006E2D78" w:rsidRPr="00E82634" w:rsidRDefault="006E2D78" w:rsidP="006E2D78">
      <w:pPr>
        <w:keepNext/>
        <w:keepLines/>
        <w:tabs>
          <w:tab w:val="clear" w:pos="1247"/>
          <w:tab w:val="left" w:pos="709"/>
          <w:tab w:val="left" w:pos="1871"/>
          <w:tab w:val="left" w:pos="2495"/>
          <w:tab w:val="left" w:pos="3119"/>
          <w:tab w:val="left" w:pos="3742"/>
          <w:tab w:val="left" w:pos="4366"/>
        </w:tabs>
        <w:adjustRightInd w:val="0"/>
        <w:snapToGrid w:val="0"/>
        <w:spacing w:after="120"/>
        <w:rPr>
          <w:i/>
          <w:iCs/>
        </w:rPr>
      </w:pPr>
      <w:r>
        <w:rPr>
          <w:i/>
          <w:iCs/>
        </w:rPr>
        <w:tab/>
      </w:r>
      <w:r w:rsidRPr="00E82634">
        <w:rPr>
          <w:i/>
          <w:iCs/>
        </w:rPr>
        <w:t>The Thirty-Seventh Meeting of the Parties,</w:t>
      </w:r>
    </w:p>
    <w:p w14:paraId="2BCBC97E" w14:textId="3CEDD36D" w:rsidR="006E2D78" w:rsidRPr="00E82634" w:rsidRDefault="006E2D78" w:rsidP="006E2D78">
      <w:pPr>
        <w:tabs>
          <w:tab w:val="clear" w:pos="1247"/>
          <w:tab w:val="left" w:pos="709"/>
          <w:tab w:val="left" w:pos="1871"/>
          <w:tab w:val="left" w:pos="2495"/>
          <w:tab w:val="left" w:pos="3119"/>
          <w:tab w:val="left" w:pos="3742"/>
          <w:tab w:val="left" w:pos="4366"/>
        </w:tabs>
        <w:adjustRightInd w:val="0"/>
        <w:snapToGrid w:val="0"/>
        <w:spacing w:after="120"/>
        <w:ind w:left="709" w:firstLine="425"/>
      </w:pPr>
      <w:r w:rsidRPr="00E82634">
        <w:rPr>
          <w:i/>
          <w:iCs/>
        </w:rPr>
        <w:t>Noting</w:t>
      </w:r>
      <w:r w:rsidRPr="00E82634">
        <w:t xml:space="preserve"> that Libya submitted a plan of action to ensure its return to compliance with the Montreal Protocol’s hydrochlorofluorocarbon consumption control measures in 2022 and subsequent years, as noted by the Twenty-Seventh Meeting of the Parties in decision XXVII/11,</w:t>
      </w:r>
    </w:p>
    <w:p w14:paraId="43FDBC31" w14:textId="0AD4D3AB" w:rsidR="006E2D78" w:rsidRPr="00E82634" w:rsidRDefault="006E2D78" w:rsidP="006E2D78">
      <w:pPr>
        <w:tabs>
          <w:tab w:val="clear" w:pos="1247"/>
          <w:tab w:val="left" w:pos="709"/>
          <w:tab w:val="left" w:pos="1871"/>
          <w:tab w:val="left" w:pos="2495"/>
          <w:tab w:val="left" w:pos="3119"/>
          <w:tab w:val="left" w:pos="3742"/>
          <w:tab w:val="left" w:pos="4366"/>
        </w:tabs>
        <w:adjustRightInd w:val="0"/>
        <w:snapToGrid w:val="0"/>
        <w:spacing w:after="120"/>
        <w:ind w:left="709" w:firstLine="425"/>
      </w:pPr>
      <w:r w:rsidRPr="00E82634">
        <w:rPr>
          <w:i/>
          <w:iCs/>
        </w:rPr>
        <w:t>Noting</w:t>
      </w:r>
      <w:r w:rsidRPr="00E82634">
        <w:t xml:space="preserve"> that the plan of action submitted by Libya included commitments to monitoring the enforcement of its system for licensing imports and exports of ozone-depleting substances as well as to imposing a ban on the procurement of air-conditioning equipment containing hydrochlorofluorocarbons </w:t>
      </w:r>
      <w:proofErr w:type="gramStart"/>
      <w:r w:rsidRPr="00E82634">
        <w:t>in the near future</w:t>
      </w:r>
      <w:proofErr w:type="gramEnd"/>
      <w:r w:rsidRPr="00E82634">
        <w:t xml:space="preserve"> and to considering a ban on the import of such equipment,</w:t>
      </w:r>
    </w:p>
    <w:p w14:paraId="78298BD6" w14:textId="21C8FD26" w:rsidR="006E2D78" w:rsidRPr="00E82634" w:rsidRDefault="006E2D78" w:rsidP="006E2D78">
      <w:pPr>
        <w:tabs>
          <w:tab w:val="clear" w:pos="1247"/>
          <w:tab w:val="left" w:pos="709"/>
          <w:tab w:val="left" w:pos="1871"/>
          <w:tab w:val="left" w:pos="2495"/>
          <w:tab w:val="left" w:pos="3119"/>
          <w:tab w:val="left" w:pos="3742"/>
          <w:tab w:val="left" w:pos="4366"/>
        </w:tabs>
        <w:adjustRightInd w:val="0"/>
        <w:snapToGrid w:val="0"/>
        <w:spacing w:after="120"/>
        <w:ind w:left="709" w:firstLine="425"/>
      </w:pPr>
      <w:r w:rsidRPr="00E82634">
        <w:rPr>
          <w:i/>
          <w:iCs/>
        </w:rPr>
        <w:t>Noting</w:t>
      </w:r>
      <w:r w:rsidRPr="00E82634">
        <w:t xml:space="preserve"> that Libya has adhered to its commitments under its plan of action to ensure its return to compliance as noted in decision XXVII/11,</w:t>
      </w:r>
    </w:p>
    <w:p w14:paraId="6CE685C7" w14:textId="36A44CDC" w:rsidR="006E2D78" w:rsidRPr="00E82634" w:rsidRDefault="006E2D78" w:rsidP="006E2D78">
      <w:pPr>
        <w:tabs>
          <w:tab w:val="clear" w:pos="1247"/>
          <w:tab w:val="left" w:pos="709"/>
          <w:tab w:val="left" w:pos="1871"/>
          <w:tab w:val="left" w:pos="2495"/>
          <w:tab w:val="left" w:pos="3119"/>
          <w:tab w:val="left" w:pos="3742"/>
          <w:tab w:val="left" w:pos="4366"/>
        </w:tabs>
        <w:adjustRightInd w:val="0"/>
        <w:snapToGrid w:val="0"/>
        <w:spacing w:after="120"/>
      </w:pPr>
      <w:bookmarkStart w:id="3" w:name="_Hlk212155491"/>
      <w:r>
        <w:rPr>
          <w:i/>
        </w:rPr>
        <w:tab/>
      </w:r>
      <w:r w:rsidRPr="00E82634">
        <w:rPr>
          <w:i/>
        </w:rPr>
        <w:t>Decides:</w:t>
      </w:r>
    </w:p>
    <w:bookmarkEnd w:id="3"/>
    <w:p w14:paraId="62A71901" w14:textId="77777777" w:rsidR="006E2D78" w:rsidRPr="00E82634" w:rsidRDefault="006E2D78" w:rsidP="006E2D78">
      <w:pPr>
        <w:tabs>
          <w:tab w:val="clear" w:pos="1247"/>
          <w:tab w:val="clear" w:pos="1814"/>
          <w:tab w:val="left" w:pos="624"/>
          <w:tab w:val="left" w:pos="709"/>
          <w:tab w:val="left" w:pos="1418"/>
          <w:tab w:val="left" w:pos="2268"/>
          <w:tab w:val="left" w:pos="2495"/>
          <w:tab w:val="left" w:pos="3119"/>
          <w:tab w:val="left" w:pos="3742"/>
          <w:tab w:val="left" w:pos="4366"/>
        </w:tabs>
        <w:adjustRightInd w:val="0"/>
        <w:snapToGrid w:val="0"/>
        <w:spacing w:after="120"/>
        <w:ind w:left="709"/>
      </w:pPr>
      <w:r w:rsidRPr="00E82634">
        <w:t>1.</w:t>
      </w:r>
      <w:r w:rsidRPr="00E82634">
        <w:tab/>
        <w:t xml:space="preserve">That no further action is necessary in view of the party’s return to compliance with the hydrochlorofluorocarbon control measures under the Montreal Protocol and other commitments contained in its plan of action to ensure its return to </w:t>
      </w:r>
      <w:proofErr w:type="gramStart"/>
      <w:r w:rsidRPr="00E82634">
        <w:t>compliance;</w:t>
      </w:r>
      <w:proofErr w:type="gramEnd"/>
    </w:p>
    <w:p w14:paraId="3F7722FD" w14:textId="77777777" w:rsidR="006E2D78" w:rsidRPr="00E82634" w:rsidRDefault="006E2D78" w:rsidP="006E2D78">
      <w:pPr>
        <w:tabs>
          <w:tab w:val="clear" w:pos="1247"/>
          <w:tab w:val="clear" w:pos="1814"/>
          <w:tab w:val="left" w:pos="624"/>
          <w:tab w:val="left" w:pos="709"/>
          <w:tab w:val="left" w:pos="1418"/>
          <w:tab w:val="left" w:pos="2268"/>
          <w:tab w:val="left" w:pos="2495"/>
          <w:tab w:val="left" w:pos="3119"/>
          <w:tab w:val="left" w:pos="3742"/>
          <w:tab w:val="left" w:pos="4366"/>
        </w:tabs>
        <w:adjustRightInd w:val="0"/>
        <w:snapToGrid w:val="0"/>
        <w:spacing w:after="120"/>
        <w:ind w:left="709"/>
      </w:pPr>
      <w:r w:rsidRPr="00E82634">
        <w:t>2.</w:t>
      </w:r>
      <w:r w:rsidRPr="00E82634">
        <w:tab/>
        <w:t>To urge the party to continue implementing its obligations under the Protocol.</w:t>
      </w:r>
    </w:p>
    <w:p w14:paraId="307E1CC9" w14:textId="26E1E76F" w:rsidR="00496D3D" w:rsidRDefault="00496D3D" w:rsidP="006A4FB9">
      <w:pPr>
        <w:pStyle w:val="NormalNonumber"/>
        <w:numPr>
          <w:ilvl w:val="0"/>
          <w:numId w:val="8"/>
        </w:numPr>
        <w:tabs>
          <w:tab w:val="clear" w:pos="624"/>
          <w:tab w:val="clear" w:pos="1247"/>
          <w:tab w:val="clear" w:pos="1871"/>
          <w:tab w:val="left" w:pos="567"/>
        </w:tabs>
        <w:spacing w:before="360"/>
        <w:rPr>
          <w:rFonts w:asciiTheme="majorBidi" w:eastAsiaTheme="minorEastAsia" w:hAnsiTheme="majorBidi" w:cstheme="majorBidi"/>
          <w:b/>
          <w:kern w:val="2"/>
          <w:sz w:val="24"/>
          <w:szCs w:val="24"/>
          <w14:ligatures w14:val="standardContextual"/>
        </w:rPr>
      </w:pPr>
      <w:r>
        <w:rPr>
          <w:rFonts w:asciiTheme="majorBidi" w:eastAsiaTheme="minorEastAsia" w:hAnsiTheme="majorBidi" w:cstheme="majorBidi"/>
          <w:b/>
          <w:kern w:val="2"/>
          <w:sz w:val="24"/>
          <w:szCs w:val="24"/>
          <w14:ligatures w14:val="standardContextual"/>
        </w:rPr>
        <w:t>Israel</w:t>
      </w:r>
    </w:p>
    <w:p w14:paraId="030274A8" w14:textId="64E6B8B8" w:rsidR="00496D3D" w:rsidRDefault="00496D3D" w:rsidP="00496D3D">
      <w:pPr>
        <w:pStyle w:val="ListParagraph"/>
        <w:keepNext/>
        <w:keepLines/>
        <w:tabs>
          <w:tab w:val="clear" w:pos="1247"/>
          <w:tab w:val="clear" w:pos="1814"/>
          <w:tab w:val="left" w:pos="624"/>
          <w:tab w:val="left" w:pos="709"/>
          <w:tab w:val="left" w:pos="2495"/>
          <w:tab w:val="left" w:pos="3119"/>
          <w:tab w:val="left" w:pos="3742"/>
          <w:tab w:val="left" w:pos="4366"/>
        </w:tabs>
        <w:adjustRightInd w:val="0"/>
        <w:snapToGrid w:val="0"/>
        <w:spacing w:after="120"/>
        <w:rPr>
          <w:rFonts w:asciiTheme="majorBidi" w:hAnsiTheme="majorBidi" w:cstheme="majorBidi"/>
        </w:rPr>
      </w:pPr>
      <w:r w:rsidRPr="00830F35">
        <w:rPr>
          <w:rFonts w:asciiTheme="majorBidi" w:hAnsiTheme="majorBidi" w:cstheme="majorBidi"/>
        </w:rPr>
        <w:t xml:space="preserve">The Committee therefore </w:t>
      </w:r>
      <w:r>
        <w:rPr>
          <w:rFonts w:asciiTheme="majorBidi" w:hAnsiTheme="majorBidi" w:cstheme="majorBidi"/>
        </w:rPr>
        <w:t>agreed:</w:t>
      </w:r>
    </w:p>
    <w:p w14:paraId="029FFE4D" w14:textId="277621D7" w:rsidR="00496D3D" w:rsidRPr="005C6FD5" w:rsidRDefault="00496D3D" w:rsidP="00496D3D">
      <w:pPr>
        <w:pStyle w:val="Normal-pool"/>
        <w:numPr>
          <w:ilvl w:val="0"/>
          <w:numId w:val="29"/>
        </w:numPr>
        <w:tabs>
          <w:tab w:val="clear" w:pos="624"/>
          <w:tab w:val="clear" w:pos="1247"/>
          <w:tab w:val="clear" w:pos="1871"/>
          <w:tab w:val="clear" w:pos="2495"/>
          <w:tab w:val="clear" w:pos="3119"/>
          <w:tab w:val="clear" w:pos="3742"/>
          <w:tab w:val="clear" w:pos="4366"/>
          <w:tab w:val="left" w:pos="709"/>
        </w:tabs>
        <w:spacing w:after="120"/>
        <w:ind w:left="709" w:firstLine="0"/>
      </w:pPr>
      <w:r w:rsidRPr="00496D3D">
        <w:t>To note the self-submission made by Israel under paragraph 4 of the non-compliance procedure and the explanation provided concerning consumption for 2024 of 4.33 ozone-</w:t>
      </w:r>
      <w:r w:rsidRPr="00496D3D">
        <w:lastRenderedPageBreak/>
        <w:t xml:space="preserve">depleting potential tons of </w:t>
      </w:r>
      <w:r w:rsidR="007A7FD0">
        <w:t xml:space="preserve">hydrochlorofluorocarbons </w:t>
      </w:r>
      <w:r w:rsidRPr="00496D3D">
        <w:t xml:space="preserve">above the limit for the party for that year of 1.6 ozone-depleting potential </w:t>
      </w:r>
      <w:proofErr w:type="gramStart"/>
      <w:r w:rsidRPr="00496D3D">
        <w:t>tons</w:t>
      </w:r>
      <w:r w:rsidRPr="005C6FD5">
        <w:t>;</w:t>
      </w:r>
      <w:proofErr w:type="gramEnd"/>
      <w:r w:rsidRPr="005C6FD5">
        <w:t xml:space="preserve"> </w:t>
      </w:r>
    </w:p>
    <w:p w14:paraId="4EEB93A2" w14:textId="27B4657F" w:rsidR="00496D3D" w:rsidRDefault="00496D3D" w:rsidP="00496D3D">
      <w:pPr>
        <w:pStyle w:val="Normal-pool"/>
        <w:numPr>
          <w:ilvl w:val="0"/>
          <w:numId w:val="29"/>
        </w:numPr>
        <w:tabs>
          <w:tab w:val="clear" w:pos="624"/>
          <w:tab w:val="clear" w:pos="1247"/>
          <w:tab w:val="clear" w:pos="1871"/>
          <w:tab w:val="clear" w:pos="2495"/>
          <w:tab w:val="clear" w:pos="3119"/>
          <w:tab w:val="clear" w:pos="3742"/>
          <w:tab w:val="clear" w:pos="4366"/>
          <w:tab w:val="left" w:pos="709"/>
        </w:tabs>
        <w:spacing w:after="120"/>
        <w:ind w:left="709" w:firstLine="0"/>
      </w:pPr>
      <w:r>
        <w:t xml:space="preserve">To further note </w:t>
      </w:r>
      <w:r w:rsidRPr="00496D3D">
        <w:t xml:space="preserve">that the party has indicated that it is working on a </w:t>
      </w:r>
      <w:r w:rsidR="0040469E" w:rsidRPr="0040469E">
        <w:rPr>
          <w:lang w:val="en-GB"/>
        </w:rPr>
        <w:t>plan of action to ensure its return to compliance with the control measures of the Montreal Protocol for hydrochlorofluorocarbons</w:t>
      </w:r>
      <w:r w:rsidRPr="00496D3D">
        <w:t xml:space="preserve"> but that the very short time available does not allow for the plan to be submitted for consideration at the Committee’s seventy-fifth </w:t>
      </w:r>
      <w:proofErr w:type="gramStart"/>
      <w:r w:rsidRPr="00496D3D">
        <w:t>meeting</w:t>
      </w:r>
      <w:r>
        <w:t>;</w:t>
      </w:r>
      <w:proofErr w:type="gramEnd"/>
    </w:p>
    <w:p w14:paraId="7634D35B" w14:textId="643B9400" w:rsidR="00496D3D" w:rsidRPr="005C6FD5" w:rsidRDefault="00496D3D" w:rsidP="00496D3D">
      <w:pPr>
        <w:pStyle w:val="Normal-pool"/>
        <w:numPr>
          <w:ilvl w:val="0"/>
          <w:numId w:val="29"/>
        </w:numPr>
        <w:tabs>
          <w:tab w:val="clear" w:pos="624"/>
          <w:tab w:val="clear" w:pos="1247"/>
          <w:tab w:val="clear" w:pos="1871"/>
          <w:tab w:val="clear" w:pos="2495"/>
          <w:tab w:val="clear" w:pos="3119"/>
          <w:tab w:val="clear" w:pos="3742"/>
          <w:tab w:val="clear" w:pos="4366"/>
          <w:tab w:val="left" w:pos="709"/>
        </w:tabs>
        <w:spacing w:after="120"/>
        <w:ind w:left="709" w:firstLine="0"/>
      </w:pPr>
      <w:r>
        <w:t>T</w:t>
      </w:r>
      <w:r w:rsidRPr="00496D3D">
        <w:t>o request Israel to submit its plan of action as a matter of urgency and no later than 31 March 2026 for review by the Committee at its seventy-sixth meeting and</w:t>
      </w:r>
      <w:r w:rsidR="0040469E">
        <w:t xml:space="preserve"> t</w:t>
      </w:r>
      <w:r w:rsidR="0040469E" w:rsidRPr="0040469E">
        <w:rPr>
          <w:lang w:val="en-GB"/>
        </w:rPr>
        <w:t xml:space="preserve">o invite </w:t>
      </w:r>
      <w:r w:rsidR="0040469E">
        <w:rPr>
          <w:lang w:val="en-GB"/>
        </w:rPr>
        <w:t xml:space="preserve">Israel </w:t>
      </w:r>
      <w:r w:rsidR="0040469E" w:rsidRPr="0040469E">
        <w:rPr>
          <w:lang w:val="en-GB"/>
        </w:rPr>
        <w:t>to send a representative to the</w:t>
      </w:r>
      <w:r w:rsidR="0040469E">
        <w:rPr>
          <w:lang w:val="en-GB"/>
        </w:rPr>
        <w:t xml:space="preserve"> said meeting.</w:t>
      </w:r>
    </w:p>
    <w:p w14:paraId="3227EEA3" w14:textId="7CCCEB6B" w:rsidR="000845C9" w:rsidRDefault="00D7197D" w:rsidP="006A4FB9">
      <w:pPr>
        <w:pStyle w:val="NormalNonumber"/>
        <w:numPr>
          <w:ilvl w:val="0"/>
          <w:numId w:val="8"/>
        </w:numPr>
        <w:tabs>
          <w:tab w:val="clear" w:pos="624"/>
          <w:tab w:val="clear" w:pos="1247"/>
          <w:tab w:val="clear" w:pos="1871"/>
          <w:tab w:val="left" w:pos="567"/>
        </w:tabs>
        <w:spacing w:before="360"/>
        <w:rPr>
          <w:rFonts w:asciiTheme="majorBidi" w:eastAsiaTheme="minorEastAsia" w:hAnsiTheme="majorBidi" w:cstheme="majorBidi"/>
          <w:b/>
          <w:kern w:val="2"/>
          <w:sz w:val="24"/>
          <w:szCs w:val="24"/>
          <w14:ligatures w14:val="standardContextual"/>
        </w:rPr>
      </w:pPr>
      <w:r w:rsidRPr="00D7197D">
        <w:rPr>
          <w:rFonts w:asciiTheme="majorBidi" w:eastAsiaTheme="minorEastAsia" w:hAnsiTheme="majorBidi" w:cstheme="majorBidi"/>
          <w:b/>
          <w:kern w:val="2"/>
          <w:sz w:val="24"/>
          <w:szCs w:val="24"/>
          <w14:ligatures w14:val="standardContextual"/>
        </w:rPr>
        <w:t>Saint Vincent and the Grenadines</w:t>
      </w:r>
    </w:p>
    <w:p w14:paraId="0DD9FCBE" w14:textId="7218CF6A" w:rsidR="00D7197D" w:rsidRDefault="00D7197D" w:rsidP="00D7197D">
      <w:pPr>
        <w:pStyle w:val="ListParagraph"/>
        <w:keepNext/>
        <w:keepLines/>
        <w:tabs>
          <w:tab w:val="clear" w:pos="1247"/>
          <w:tab w:val="clear" w:pos="1814"/>
          <w:tab w:val="left" w:pos="624"/>
          <w:tab w:val="left" w:pos="709"/>
          <w:tab w:val="left" w:pos="2495"/>
          <w:tab w:val="left" w:pos="3119"/>
          <w:tab w:val="left" w:pos="3742"/>
          <w:tab w:val="left" w:pos="4366"/>
        </w:tabs>
        <w:adjustRightInd w:val="0"/>
        <w:snapToGrid w:val="0"/>
        <w:spacing w:after="120"/>
        <w:rPr>
          <w:rFonts w:asciiTheme="majorBidi" w:hAnsiTheme="majorBidi" w:cstheme="majorBidi"/>
        </w:rPr>
      </w:pPr>
      <w:r w:rsidRPr="00830F35">
        <w:rPr>
          <w:rFonts w:asciiTheme="majorBidi" w:hAnsiTheme="majorBidi" w:cstheme="majorBidi"/>
        </w:rPr>
        <w:t>The Committee therefore decided to forward for consideration by the Thirty-S</w:t>
      </w:r>
      <w:r>
        <w:rPr>
          <w:rFonts w:asciiTheme="majorBidi" w:hAnsiTheme="majorBidi" w:cstheme="majorBidi"/>
        </w:rPr>
        <w:t>eventh</w:t>
      </w:r>
      <w:r w:rsidRPr="00830F35">
        <w:rPr>
          <w:rFonts w:asciiTheme="majorBidi" w:hAnsiTheme="majorBidi" w:cstheme="majorBidi"/>
        </w:rPr>
        <w:t xml:space="preserve"> Meeting of the Parties the following draft decision on </w:t>
      </w:r>
      <w:r w:rsidR="00466D99" w:rsidRPr="00466D99">
        <w:rPr>
          <w:rFonts w:asciiTheme="majorBidi" w:hAnsiTheme="majorBidi" w:cstheme="majorBidi"/>
        </w:rPr>
        <w:t>Saint Vincent and the Grenadines</w:t>
      </w:r>
      <w:r>
        <w:rPr>
          <w:rFonts w:asciiTheme="majorBidi" w:hAnsiTheme="majorBidi" w:cstheme="majorBidi"/>
        </w:rPr>
        <w:t>.</w:t>
      </w:r>
    </w:p>
    <w:p w14:paraId="7EC1AF94" w14:textId="77777777" w:rsidR="00D7197D" w:rsidRDefault="00D7197D" w:rsidP="00D7197D">
      <w:pPr>
        <w:pStyle w:val="ListParagraph"/>
        <w:keepNext/>
        <w:keepLines/>
        <w:tabs>
          <w:tab w:val="clear" w:pos="1247"/>
          <w:tab w:val="clear" w:pos="1814"/>
          <w:tab w:val="left" w:pos="624"/>
          <w:tab w:val="left" w:pos="709"/>
          <w:tab w:val="left" w:pos="2495"/>
          <w:tab w:val="left" w:pos="3119"/>
          <w:tab w:val="left" w:pos="3742"/>
          <w:tab w:val="left" w:pos="4366"/>
        </w:tabs>
        <w:adjustRightInd w:val="0"/>
        <w:snapToGrid w:val="0"/>
        <w:spacing w:after="120"/>
        <w:rPr>
          <w:rFonts w:asciiTheme="majorBidi" w:hAnsiTheme="majorBidi" w:cstheme="majorBidi"/>
        </w:rPr>
      </w:pPr>
    </w:p>
    <w:p w14:paraId="6779C78F" w14:textId="5EB988FF" w:rsidR="00D7197D" w:rsidRDefault="00D7197D" w:rsidP="00D7197D">
      <w:pPr>
        <w:pStyle w:val="ListParagraph"/>
        <w:keepNext/>
        <w:keepLines/>
        <w:tabs>
          <w:tab w:val="clear" w:pos="1247"/>
          <w:tab w:val="clear" w:pos="1814"/>
          <w:tab w:val="left" w:pos="624"/>
          <w:tab w:val="left" w:pos="709"/>
          <w:tab w:val="left" w:pos="2495"/>
          <w:tab w:val="left" w:pos="3119"/>
          <w:tab w:val="left" w:pos="3742"/>
          <w:tab w:val="left" w:pos="4366"/>
        </w:tabs>
        <w:adjustRightInd w:val="0"/>
        <w:snapToGrid w:val="0"/>
        <w:spacing w:after="120"/>
        <w:rPr>
          <w:b/>
          <w:bCs/>
        </w:rPr>
      </w:pPr>
      <w:r w:rsidRPr="00FA7A9A">
        <w:rPr>
          <w:b/>
          <w:bCs/>
        </w:rPr>
        <w:t>Draft decision XXXVII</w:t>
      </w:r>
      <w:proofErr w:type="gramStart"/>
      <w:r w:rsidRPr="00FA7A9A">
        <w:rPr>
          <w:b/>
          <w:bCs/>
        </w:rPr>
        <w:t>/[</w:t>
      </w:r>
      <w:proofErr w:type="gramEnd"/>
      <w:r w:rsidRPr="00FA7A9A">
        <w:rPr>
          <w:b/>
          <w:bCs/>
        </w:rPr>
        <w:t xml:space="preserve">--]: </w:t>
      </w:r>
      <w:r w:rsidR="00D72F5E" w:rsidRPr="00D72F5E">
        <w:rPr>
          <w:b/>
          <w:bCs/>
        </w:rPr>
        <w:t xml:space="preserve">Non-compliance with the Montreal Protocol by </w:t>
      </w:r>
      <w:r>
        <w:rPr>
          <w:b/>
          <w:bCs/>
        </w:rPr>
        <w:t>Saint Vincent and the Grenadines</w:t>
      </w:r>
    </w:p>
    <w:p w14:paraId="5B56F560" w14:textId="08C05F1E" w:rsidR="00D7197D" w:rsidRPr="000D0B4A" w:rsidRDefault="00D7197D" w:rsidP="00D7197D">
      <w:pPr>
        <w:tabs>
          <w:tab w:val="clear" w:pos="1247"/>
          <w:tab w:val="clear" w:pos="1814"/>
          <w:tab w:val="left" w:pos="709"/>
          <w:tab w:val="left" w:pos="1871"/>
          <w:tab w:val="left" w:pos="2495"/>
          <w:tab w:val="left" w:pos="3119"/>
          <w:tab w:val="left" w:pos="3742"/>
          <w:tab w:val="left" w:pos="4366"/>
        </w:tabs>
        <w:adjustRightInd w:val="0"/>
        <w:snapToGrid w:val="0"/>
        <w:spacing w:after="120"/>
        <w:rPr>
          <w:i/>
          <w:iCs/>
        </w:rPr>
      </w:pPr>
      <w:r>
        <w:rPr>
          <w:i/>
          <w:iCs/>
        </w:rPr>
        <w:tab/>
      </w:r>
      <w:r w:rsidRPr="000D0B4A">
        <w:rPr>
          <w:i/>
          <w:iCs/>
        </w:rPr>
        <w:t>The Thirty-Seventh Meeting of the Parties,</w:t>
      </w:r>
    </w:p>
    <w:p w14:paraId="5EDD52FA" w14:textId="77777777" w:rsidR="007A7FD0" w:rsidRPr="000D0B4A" w:rsidRDefault="007A7FD0" w:rsidP="007A7FD0">
      <w:pPr>
        <w:tabs>
          <w:tab w:val="clear" w:pos="1247"/>
          <w:tab w:val="left" w:pos="624"/>
          <w:tab w:val="left" w:pos="709"/>
        </w:tabs>
        <w:spacing w:after="120"/>
        <w:ind w:left="709" w:firstLine="709"/>
      </w:pPr>
      <w:r w:rsidRPr="000D0B4A">
        <w:rPr>
          <w:i/>
          <w:iCs/>
        </w:rPr>
        <w:t>Noting</w:t>
      </w:r>
      <w:r w:rsidRPr="000D0B4A">
        <w:t xml:space="preserve"> that </w:t>
      </w:r>
      <w:bookmarkStart w:id="4" w:name="_Hlk212834015"/>
      <w:r w:rsidRPr="000D0B4A">
        <w:t xml:space="preserve">Saint Vincent and the Grenadines </w:t>
      </w:r>
      <w:bookmarkEnd w:id="4"/>
      <w:r w:rsidRPr="000D0B4A">
        <w:t>acceded to the Montreal Protocol on Substances that Deplete the Ozone Layer, to the London Amendment and to the Copenhagen Amendment on 2 December 1996, to the Montreal Amendment and to the Beijing Amendment on 11 May 2009 and ratified the Kigali Amendment on 7 November 2022, and is classified as a party operating under paragraph 1 of Article 5 of the Protocol,</w:t>
      </w:r>
    </w:p>
    <w:p w14:paraId="6BC527D8" w14:textId="77777777" w:rsidR="007A7FD0" w:rsidRPr="000D0B4A" w:rsidRDefault="007A7FD0" w:rsidP="007A7FD0">
      <w:pPr>
        <w:tabs>
          <w:tab w:val="clear" w:pos="1247"/>
          <w:tab w:val="left" w:pos="624"/>
          <w:tab w:val="left" w:pos="709"/>
        </w:tabs>
        <w:spacing w:after="120"/>
        <w:ind w:left="709" w:firstLine="709"/>
      </w:pPr>
      <w:r w:rsidRPr="000D0B4A">
        <w:rPr>
          <w:i/>
          <w:iCs/>
        </w:rPr>
        <w:t>Noting also</w:t>
      </w:r>
      <w:r w:rsidRPr="000D0B4A">
        <w:t xml:space="preserve"> that the Executive Committee of the Multilateral Fund for the Implementation of the Montreal Protocol has approved US$1,780,193 from the Multilateral Fund for the Implementation of the Montreal Protocol in accordance with Article 10 of the Protocol to enable Saint Vincent and the Grenadines to achieve compliance with the Protocol,</w:t>
      </w:r>
    </w:p>
    <w:p w14:paraId="0596804F" w14:textId="77777777" w:rsidR="007A7FD0" w:rsidRDefault="007A7FD0" w:rsidP="007A7FD0">
      <w:pPr>
        <w:tabs>
          <w:tab w:val="clear" w:pos="1247"/>
          <w:tab w:val="left" w:pos="624"/>
          <w:tab w:val="left" w:pos="709"/>
        </w:tabs>
        <w:spacing w:after="120"/>
        <w:ind w:left="709" w:firstLine="709"/>
      </w:pPr>
      <w:r w:rsidRPr="000D0B4A">
        <w:rPr>
          <w:i/>
        </w:rPr>
        <w:t>Noting further</w:t>
      </w:r>
      <w:r w:rsidRPr="000D0B4A">
        <w:t xml:space="preserve"> that the annual consumption of </w:t>
      </w:r>
      <w:bookmarkStart w:id="5" w:name="_Hlk212159668"/>
      <w:r w:rsidRPr="000D0B4A">
        <w:t>45,975 CO</w:t>
      </w:r>
      <w:r w:rsidRPr="000D0B4A">
        <w:rPr>
          <w:vertAlign w:val="subscript"/>
        </w:rPr>
        <w:t>2</w:t>
      </w:r>
      <w:r w:rsidRPr="000D0B4A">
        <w:t xml:space="preserve">-equivalent tonnes </w:t>
      </w:r>
      <w:bookmarkEnd w:id="5"/>
      <w:r w:rsidRPr="000D0B4A">
        <w:t>of the controlled substances in Annex F (hydrofluorocarbons) in 2024 by Saint Vincent and the Grenadines exceeds the party’s maximum allowable consumption of 25,280 CO</w:t>
      </w:r>
      <w:r w:rsidRPr="000D0B4A">
        <w:rPr>
          <w:vertAlign w:val="subscript"/>
        </w:rPr>
        <w:t>2</w:t>
      </w:r>
      <w:r w:rsidRPr="000D0B4A">
        <w:t>-equivalent tonnes for controlled substances for that year and that the party was therefore in non</w:t>
      </w:r>
      <w:r w:rsidRPr="000D0B4A">
        <w:noBreakHyphen/>
        <w:t>compliance with consumption control measures under the Protocol for hydrofluorocarbons,</w:t>
      </w:r>
    </w:p>
    <w:p w14:paraId="79C50D78" w14:textId="77777777" w:rsidR="007A7FD0" w:rsidRPr="000D0B4A" w:rsidRDefault="007A7FD0" w:rsidP="007A7FD0">
      <w:pPr>
        <w:tabs>
          <w:tab w:val="clear" w:pos="1247"/>
          <w:tab w:val="left" w:pos="709"/>
        </w:tabs>
        <w:spacing w:after="120"/>
      </w:pPr>
      <w:r>
        <w:rPr>
          <w:i/>
        </w:rPr>
        <w:tab/>
      </w:r>
      <w:r w:rsidRPr="000D0B4A">
        <w:rPr>
          <w:i/>
        </w:rPr>
        <w:t>Decides:</w:t>
      </w:r>
    </w:p>
    <w:p w14:paraId="17A2AC55" w14:textId="77777777" w:rsidR="007A7FD0" w:rsidRPr="000D0B4A" w:rsidRDefault="007A7FD0" w:rsidP="007A7FD0">
      <w:pPr>
        <w:tabs>
          <w:tab w:val="clear" w:pos="1247"/>
          <w:tab w:val="clear" w:pos="1814"/>
          <w:tab w:val="left" w:pos="709"/>
          <w:tab w:val="left" w:pos="1418"/>
        </w:tabs>
        <w:spacing w:after="120"/>
        <w:ind w:left="709"/>
      </w:pPr>
      <w:r w:rsidRPr="000D0B4A">
        <w:t>1.</w:t>
      </w:r>
      <w:r w:rsidRPr="000D0B4A">
        <w:tab/>
        <w:t xml:space="preserve">To note with appreciation the submission by Saint Vincent and the Grenadines of an explanation for its non-compliance and a plan of action to ensure its return to compliance with the Protocol’s hydrofluorocarbon consumption control measures in </w:t>
      </w:r>
      <w:proofErr w:type="gramStart"/>
      <w:r w:rsidRPr="000D0B4A">
        <w:t>2035;</w:t>
      </w:r>
      <w:proofErr w:type="gramEnd"/>
    </w:p>
    <w:p w14:paraId="56B9F68B" w14:textId="5D24E9D7" w:rsidR="007A7FD0" w:rsidRDefault="007A7FD0" w:rsidP="007A7FD0">
      <w:pPr>
        <w:tabs>
          <w:tab w:val="clear" w:pos="1247"/>
          <w:tab w:val="clear" w:pos="1814"/>
          <w:tab w:val="left" w:pos="709"/>
          <w:tab w:val="left" w:pos="1418"/>
          <w:tab w:val="left" w:pos="2268"/>
        </w:tabs>
        <w:spacing w:after="120"/>
        <w:ind w:left="709"/>
      </w:pPr>
      <w:r w:rsidRPr="000D0B4A">
        <w:t>2.</w:t>
      </w:r>
      <w:r w:rsidRPr="000D0B4A">
        <w:tab/>
        <w:t xml:space="preserve">To note that </w:t>
      </w:r>
      <w:r>
        <w:t xml:space="preserve">the submitted </w:t>
      </w:r>
      <w:r w:rsidRPr="000D0B4A">
        <w:t>plan of action</w:t>
      </w:r>
      <w:r>
        <w:t xml:space="preserve"> </w:t>
      </w:r>
      <w:r w:rsidR="00287A1C">
        <w:t>includes</w:t>
      </w:r>
      <w:r>
        <w:t xml:space="preserve"> a </w:t>
      </w:r>
      <w:r w:rsidR="007C0C19">
        <w:t>prolonged</w:t>
      </w:r>
      <w:r>
        <w:t xml:space="preserve"> timeline for the party to return to </w:t>
      </w:r>
      <w:proofErr w:type="gramStart"/>
      <w:r>
        <w:t>compliance;</w:t>
      </w:r>
      <w:proofErr w:type="gramEnd"/>
    </w:p>
    <w:p w14:paraId="37341F25" w14:textId="1D31DE81" w:rsidR="007A7FD0" w:rsidRPr="000D0B4A" w:rsidRDefault="007A7FD0" w:rsidP="007A7FD0">
      <w:pPr>
        <w:tabs>
          <w:tab w:val="clear" w:pos="1247"/>
          <w:tab w:val="clear" w:pos="1814"/>
          <w:tab w:val="left" w:pos="709"/>
          <w:tab w:val="left" w:pos="1418"/>
          <w:tab w:val="left" w:pos="2268"/>
        </w:tabs>
        <w:spacing w:after="120"/>
        <w:ind w:left="709"/>
      </w:pPr>
      <w:r>
        <w:t>3.</w:t>
      </w:r>
      <w:r>
        <w:tab/>
        <w:t xml:space="preserve">To request </w:t>
      </w:r>
      <w:r w:rsidRPr="000D0B4A">
        <w:t>Saint Vincent and the Grenadines</w:t>
      </w:r>
      <w:r>
        <w:t xml:space="preserve"> to</w:t>
      </w:r>
      <w:r w:rsidRPr="000D0B4A">
        <w:t xml:space="preserve"> </w:t>
      </w:r>
      <w:r w:rsidRPr="008F58A4">
        <w:t>submit a revised plan of action</w:t>
      </w:r>
      <w:r>
        <w:t xml:space="preserve">, </w:t>
      </w:r>
      <w:r w:rsidRPr="008F58A4">
        <w:t xml:space="preserve">after </w:t>
      </w:r>
      <w:r>
        <w:t>its</w:t>
      </w:r>
      <w:r w:rsidRPr="008F58A4">
        <w:t xml:space="preserve"> K</w:t>
      </w:r>
      <w:r>
        <w:t xml:space="preserve">igali </w:t>
      </w:r>
      <w:r w:rsidRPr="008F58A4">
        <w:t>I</w:t>
      </w:r>
      <w:r>
        <w:t xml:space="preserve">mplementation </w:t>
      </w:r>
      <w:r w:rsidRPr="008F58A4">
        <w:t>P</w:t>
      </w:r>
      <w:r>
        <w:t>lan</w:t>
      </w:r>
      <w:r w:rsidRPr="008F58A4">
        <w:t xml:space="preserve"> has been approved by </w:t>
      </w:r>
      <w:r>
        <w:t>Executive Committee</w:t>
      </w:r>
      <w:r w:rsidR="00287A1C">
        <w:t xml:space="preserve"> of the Multilateral Fund for the Implementation of the Montreal </w:t>
      </w:r>
      <w:proofErr w:type="gramStart"/>
      <w:r w:rsidR="00287A1C">
        <w:t>Protocol;</w:t>
      </w:r>
      <w:proofErr w:type="gramEnd"/>
    </w:p>
    <w:p w14:paraId="659B9074" w14:textId="78FEEFCB" w:rsidR="007A7FD0" w:rsidRPr="000D0B4A" w:rsidRDefault="007A7FD0" w:rsidP="007A7FD0">
      <w:pPr>
        <w:tabs>
          <w:tab w:val="clear" w:pos="1247"/>
          <w:tab w:val="clear" w:pos="1814"/>
          <w:tab w:val="left" w:pos="709"/>
          <w:tab w:val="left" w:pos="1418"/>
        </w:tabs>
        <w:spacing w:after="120"/>
        <w:ind w:left="709"/>
      </w:pPr>
      <w:r>
        <w:t>4</w:t>
      </w:r>
      <w:r w:rsidRPr="000D0B4A">
        <w:t>.</w:t>
      </w:r>
      <w:r w:rsidRPr="000D0B4A">
        <w:tab/>
        <w:t xml:space="preserve">To urge Saint Vincent and the Grenadines to work with relevant implementing agencies to </w:t>
      </w:r>
      <w:r>
        <w:t>develop</w:t>
      </w:r>
      <w:r w:rsidRPr="000D0B4A">
        <w:t xml:space="preserve"> its plan of action to phase </w:t>
      </w:r>
      <w:r w:rsidR="00756782">
        <w:t>down</w:t>
      </w:r>
      <w:r w:rsidRPr="000D0B4A">
        <w:t xml:space="preserve"> consumption and production of </w:t>
      </w:r>
      <w:proofErr w:type="gramStart"/>
      <w:r w:rsidRPr="000D0B4A">
        <w:t>hydrofluorocarbons;</w:t>
      </w:r>
      <w:proofErr w:type="gramEnd"/>
    </w:p>
    <w:p w14:paraId="1C018CF5" w14:textId="77777777" w:rsidR="007A7FD0" w:rsidRDefault="007A7FD0" w:rsidP="007A7FD0">
      <w:pPr>
        <w:tabs>
          <w:tab w:val="clear" w:pos="1247"/>
          <w:tab w:val="clear" w:pos="1814"/>
          <w:tab w:val="left" w:pos="709"/>
          <w:tab w:val="left" w:pos="1418"/>
        </w:tabs>
        <w:spacing w:after="120"/>
        <w:ind w:left="709"/>
      </w:pPr>
      <w:r>
        <w:t>5</w:t>
      </w:r>
      <w:r w:rsidRPr="000D0B4A">
        <w:t>.</w:t>
      </w:r>
      <w:r w:rsidRPr="000D0B4A">
        <w:tab/>
        <w:t xml:space="preserve">To closely monitor the progress of Saint Vincent and the Grenadines </w:t>
      </w:r>
      <w:proofErr w:type="gramStart"/>
      <w:r w:rsidRPr="000D0B4A">
        <w:t>with regard to</w:t>
      </w:r>
      <w:proofErr w:type="gramEnd"/>
      <w:r w:rsidRPr="000D0B4A">
        <w:t xml:space="preserve"> the implementation of its </w:t>
      </w:r>
      <w:r>
        <w:t>obligations under the Montreal Protocol</w:t>
      </w:r>
      <w:r w:rsidRPr="000D0B4A">
        <w:t>. To the extent that the party is working towards and meeting specific Protocol control measures, it should continue to be treated in the same manner as a party in good standing. In that regard, Saint Vincent and the Grenadines should continue to receive international assistance to enable it to meet those commitments in accordance with item A of the indicative list of measures that may be taken by the Meeting of the Parties in respect of non</w:t>
      </w:r>
      <w:r w:rsidRPr="000D0B4A">
        <w:noBreakHyphen/>
      </w:r>
      <w:proofErr w:type="gramStart"/>
      <w:r w:rsidRPr="000D0B4A">
        <w:t>compliance;</w:t>
      </w:r>
      <w:proofErr w:type="gramEnd"/>
    </w:p>
    <w:p w14:paraId="79F2E34D" w14:textId="02894C2E" w:rsidR="00D7197D" w:rsidRPr="00D7197D" w:rsidRDefault="007A7FD0" w:rsidP="00287A1C">
      <w:pPr>
        <w:pStyle w:val="ListParagraph"/>
        <w:keepNext/>
        <w:keepLines/>
        <w:tabs>
          <w:tab w:val="clear" w:pos="1247"/>
          <w:tab w:val="clear" w:pos="1814"/>
          <w:tab w:val="clear" w:pos="2381"/>
          <w:tab w:val="left" w:pos="624"/>
          <w:tab w:val="left" w:pos="709"/>
          <w:tab w:val="left" w:pos="1418"/>
          <w:tab w:val="left" w:pos="3119"/>
          <w:tab w:val="left" w:pos="3742"/>
          <w:tab w:val="left" w:pos="4366"/>
        </w:tabs>
        <w:adjustRightInd w:val="0"/>
        <w:snapToGrid w:val="0"/>
        <w:spacing w:after="120"/>
        <w:ind w:left="709"/>
      </w:pPr>
      <w:r>
        <w:lastRenderedPageBreak/>
        <w:t>6</w:t>
      </w:r>
      <w:r w:rsidRPr="000D0B4A">
        <w:t>.</w:t>
      </w:r>
      <w:r w:rsidRPr="000D0B4A">
        <w:tab/>
        <w:t>To caution Saint Vincent and the Grenadines, in accordance with item B of the indicative list of measures that may be taken by the Meeting of the Parties in respect of non</w:t>
      </w:r>
      <w:r w:rsidRPr="000D0B4A">
        <w:noBreakHyphen/>
        <w:t>compliance, that, in the event that Saint Vincent and the Grenadines fails to return to compliance, the parties will consider measures consistent with item C of the indicative list of measures. Those measures may include the possibility of actions available under Article 4, such as ensuring that the supply of hydrofluorocarbons that are the subject of non</w:t>
      </w:r>
      <w:r w:rsidRPr="000D0B4A">
        <w:noBreakHyphen/>
        <w:t>compliance is ceased so that exporting parties do not contribute to a continuing situation of non</w:t>
      </w:r>
      <w:r w:rsidRPr="000D0B4A">
        <w:noBreakHyphen/>
        <w:t>compliance.</w:t>
      </w:r>
    </w:p>
    <w:p w14:paraId="39A2CEF6" w14:textId="5EB19A18" w:rsidR="0092553D" w:rsidRDefault="0092553D" w:rsidP="0019002E">
      <w:pPr>
        <w:pStyle w:val="NormalNonumber"/>
        <w:numPr>
          <w:ilvl w:val="0"/>
          <w:numId w:val="8"/>
        </w:numPr>
        <w:tabs>
          <w:tab w:val="clear" w:pos="624"/>
          <w:tab w:val="clear" w:pos="1247"/>
          <w:tab w:val="clear" w:pos="1871"/>
          <w:tab w:val="left" w:pos="709"/>
        </w:tabs>
        <w:spacing w:before="360"/>
        <w:rPr>
          <w:rFonts w:asciiTheme="majorBidi" w:eastAsiaTheme="minorEastAsia" w:hAnsiTheme="majorBidi" w:cstheme="majorBidi"/>
          <w:b/>
          <w:kern w:val="2"/>
          <w:sz w:val="24"/>
          <w:szCs w:val="24"/>
          <w14:ligatures w14:val="standardContextual"/>
        </w:rPr>
      </w:pPr>
      <w:bookmarkStart w:id="6" w:name="_Hlk212847407"/>
      <w:r>
        <w:rPr>
          <w:rFonts w:asciiTheme="majorBidi" w:eastAsiaTheme="minorEastAsia" w:hAnsiTheme="majorBidi" w:cstheme="majorBidi"/>
          <w:b/>
          <w:kern w:val="2"/>
          <w:sz w:val="24"/>
          <w:szCs w:val="24"/>
          <w14:ligatures w14:val="standardContextual"/>
        </w:rPr>
        <w:t>Tajikistan</w:t>
      </w:r>
    </w:p>
    <w:p w14:paraId="35EA8D6F" w14:textId="10254048" w:rsidR="0092553D" w:rsidRDefault="0092553D" w:rsidP="0092553D">
      <w:pPr>
        <w:pStyle w:val="ListParagraph"/>
        <w:keepNext/>
        <w:keepLines/>
        <w:tabs>
          <w:tab w:val="clear" w:pos="1247"/>
          <w:tab w:val="clear" w:pos="1814"/>
          <w:tab w:val="left" w:pos="624"/>
          <w:tab w:val="left" w:pos="709"/>
          <w:tab w:val="left" w:pos="2495"/>
          <w:tab w:val="left" w:pos="3119"/>
          <w:tab w:val="left" w:pos="3742"/>
          <w:tab w:val="left" w:pos="4366"/>
        </w:tabs>
        <w:adjustRightInd w:val="0"/>
        <w:snapToGrid w:val="0"/>
        <w:spacing w:after="120"/>
        <w:rPr>
          <w:rFonts w:asciiTheme="majorBidi" w:hAnsiTheme="majorBidi" w:cstheme="majorBidi"/>
        </w:rPr>
      </w:pPr>
      <w:bookmarkStart w:id="7" w:name="_Hlk212847497"/>
      <w:bookmarkEnd w:id="6"/>
      <w:r w:rsidRPr="00830F35">
        <w:rPr>
          <w:rFonts w:asciiTheme="majorBidi" w:hAnsiTheme="majorBidi" w:cstheme="majorBidi"/>
        </w:rPr>
        <w:t>The Committee therefore decided to forward for consideration by the Thirty-S</w:t>
      </w:r>
      <w:r>
        <w:rPr>
          <w:rFonts w:asciiTheme="majorBidi" w:hAnsiTheme="majorBidi" w:cstheme="majorBidi"/>
        </w:rPr>
        <w:t>eventh</w:t>
      </w:r>
      <w:r w:rsidRPr="00830F35">
        <w:rPr>
          <w:rFonts w:asciiTheme="majorBidi" w:hAnsiTheme="majorBidi" w:cstheme="majorBidi"/>
        </w:rPr>
        <w:t xml:space="preserve"> Meeting of the Parties the following draft decision on </w:t>
      </w:r>
      <w:r>
        <w:rPr>
          <w:rFonts w:asciiTheme="majorBidi" w:hAnsiTheme="majorBidi" w:cstheme="majorBidi"/>
        </w:rPr>
        <w:t>Tajikistan.</w:t>
      </w:r>
    </w:p>
    <w:bookmarkEnd w:id="7"/>
    <w:p w14:paraId="02409B8B" w14:textId="77777777" w:rsidR="0092553D" w:rsidRDefault="0092553D" w:rsidP="0092553D">
      <w:pPr>
        <w:pStyle w:val="ListParagraph"/>
        <w:keepNext/>
        <w:keepLines/>
        <w:tabs>
          <w:tab w:val="clear" w:pos="1247"/>
          <w:tab w:val="clear" w:pos="1814"/>
          <w:tab w:val="left" w:pos="624"/>
          <w:tab w:val="left" w:pos="709"/>
          <w:tab w:val="left" w:pos="2495"/>
          <w:tab w:val="left" w:pos="3119"/>
          <w:tab w:val="left" w:pos="3742"/>
          <w:tab w:val="left" w:pos="4366"/>
        </w:tabs>
        <w:adjustRightInd w:val="0"/>
        <w:snapToGrid w:val="0"/>
        <w:spacing w:after="120"/>
        <w:rPr>
          <w:rFonts w:asciiTheme="majorBidi" w:hAnsiTheme="majorBidi" w:cstheme="majorBidi"/>
        </w:rPr>
      </w:pPr>
    </w:p>
    <w:p w14:paraId="039BCA2A" w14:textId="0EC9952D" w:rsidR="0092553D" w:rsidRDefault="0092553D" w:rsidP="0092553D">
      <w:pPr>
        <w:pStyle w:val="ListParagraph"/>
        <w:keepNext/>
        <w:keepLines/>
        <w:tabs>
          <w:tab w:val="clear" w:pos="1247"/>
          <w:tab w:val="clear" w:pos="1814"/>
          <w:tab w:val="left" w:pos="624"/>
          <w:tab w:val="left" w:pos="709"/>
          <w:tab w:val="left" w:pos="2495"/>
          <w:tab w:val="left" w:pos="3119"/>
          <w:tab w:val="left" w:pos="3742"/>
          <w:tab w:val="left" w:pos="4366"/>
        </w:tabs>
        <w:adjustRightInd w:val="0"/>
        <w:snapToGrid w:val="0"/>
        <w:spacing w:after="120"/>
        <w:rPr>
          <w:b/>
          <w:bCs/>
        </w:rPr>
      </w:pPr>
      <w:bookmarkStart w:id="8" w:name="_Hlk212847520"/>
      <w:r w:rsidRPr="00FA7A9A">
        <w:rPr>
          <w:b/>
          <w:bCs/>
        </w:rPr>
        <w:t>Draft decision XXXVII</w:t>
      </w:r>
      <w:proofErr w:type="gramStart"/>
      <w:r w:rsidRPr="00FA7A9A">
        <w:rPr>
          <w:b/>
          <w:bCs/>
        </w:rPr>
        <w:t>/[</w:t>
      </w:r>
      <w:proofErr w:type="gramEnd"/>
      <w:r w:rsidRPr="00FA7A9A">
        <w:rPr>
          <w:b/>
          <w:bCs/>
        </w:rPr>
        <w:t xml:space="preserve">--]: </w:t>
      </w:r>
      <w:r w:rsidR="00D72F5E">
        <w:rPr>
          <w:b/>
          <w:bCs/>
        </w:rPr>
        <w:t xml:space="preserve">Non-compliance with the Montreal Protocol by </w:t>
      </w:r>
      <w:r>
        <w:rPr>
          <w:b/>
          <w:bCs/>
        </w:rPr>
        <w:t>Tajikistan</w:t>
      </w:r>
    </w:p>
    <w:bookmarkEnd w:id="8"/>
    <w:p w14:paraId="304574D6" w14:textId="6C233FF8" w:rsidR="00442D4A" w:rsidRPr="00594C72" w:rsidRDefault="00442D4A" w:rsidP="00442D4A">
      <w:pPr>
        <w:keepNext/>
        <w:keepLines/>
        <w:tabs>
          <w:tab w:val="clear" w:pos="1247"/>
          <w:tab w:val="clear" w:pos="1814"/>
          <w:tab w:val="left" w:pos="709"/>
        </w:tabs>
        <w:spacing w:after="120"/>
        <w:rPr>
          <w:i/>
          <w:iCs/>
        </w:rPr>
      </w:pPr>
      <w:r>
        <w:rPr>
          <w:i/>
          <w:iCs/>
        </w:rPr>
        <w:tab/>
      </w:r>
      <w:bookmarkStart w:id="9" w:name="_Hlk212847583"/>
      <w:r w:rsidRPr="00594C72">
        <w:rPr>
          <w:i/>
          <w:iCs/>
        </w:rPr>
        <w:t>The Thirty-Seventh Meeting of the Parties,</w:t>
      </w:r>
    </w:p>
    <w:p w14:paraId="73A010B4" w14:textId="77777777" w:rsidR="00442D4A" w:rsidRPr="00442D4A" w:rsidRDefault="00442D4A" w:rsidP="00442D4A">
      <w:pPr>
        <w:tabs>
          <w:tab w:val="clear" w:pos="1247"/>
          <w:tab w:val="clear" w:pos="1814"/>
          <w:tab w:val="left" w:pos="624"/>
          <w:tab w:val="left" w:pos="709"/>
          <w:tab w:val="left" w:pos="1418"/>
        </w:tabs>
        <w:spacing w:after="120"/>
        <w:ind w:left="709"/>
      </w:pPr>
      <w:r w:rsidRPr="00442D4A">
        <w:tab/>
      </w:r>
      <w:r w:rsidRPr="00442D4A">
        <w:rPr>
          <w:i/>
          <w:iCs/>
        </w:rPr>
        <w:t>Noting</w:t>
      </w:r>
      <w:r w:rsidRPr="00442D4A">
        <w:t> that Tajikistan acceded to the Montreal Protocol on Substances that Deplete the Ozone Layer and to the London Amendment on 7 January 1998, to the Copenhagen Amendment, the Montreal Amendment and the Beijing Amendment on 7 May 2009, that it ratified the Kigali Amendment on 29 June 2022, and is classified as a party not operating under paragraph 1 of Article 5 of the Protocol,</w:t>
      </w:r>
    </w:p>
    <w:p w14:paraId="5EADB6DC" w14:textId="32A03DA0" w:rsidR="00442D4A" w:rsidRPr="00442D4A" w:rsidRDefault="00442D4A" w:rsidP="00442D4A">
      <w:pPr>
        <w:tabs>
          <w:tab w:val="clear" w:pos="1247"/>
          <w:tab w:val="clear" w:pos="1814"/>
          <w:tab w:val="left" w:pos="624"/>
          <w:tab w:val="left" w:pos="709"/>
          <w:tab w:val="left" w:pos="1418"/>
        </w:tabs>
        <w:spacing w:after="120"/>
        <w:ind w:left="709"/>
      </w:pPr>
      <w:r w:rsidRPr="00442D4A">
        <w:tab/>
      </w:r>
      <w:r w:rsidRPr="00442D4A">
        <w:rPr>
          <w:i/>
          <w:iCs/>
        </w:rPr>
        <w:t>Noting</w:t>
      </w:r>
      <w:r w:rsidRPr="00442D4A">
        <w:t xml:space="preserve"> further that Tajikistan has reported annual consumption for the controlled substances in Annex F (hydrofluorocarbons) for 2023 of 457,613 CO2-equivalent tonnes, which exceeds the party’s maximum allowable consumption </w:t>
      </w:r>
      <w:r w:rsidR="008A70A5">
        <w:t xml:space="preserve">of </w:t>
      </w:r>
      <w:r w:rsidRPr="00442D4A">
        <w:t>424,270 CO2-equivalent tonnes of hydrofluorocarbons for 2023, and is therefore in non</w:t>
      </w:r>
      <w:r w:rsidRPr="00442D4A">
        <w:noBreakHyphen/>
        <w:t>compliance with the consumption control measures under the Protocol for hydrofluorocarbons,</w:t>
      </w:r>
    </w:p>
    <w:p w14:paraId="494CFE4C" w14:textId="77777777" w:rsidR="00442D4A" w:rsidRPr="00442D4A" w:rsidRDefault="00442D4A" w:rsidP="00442D4A">
      <w:pPr>
        <w:tabs>
          <w:tab w:val="clear" w:pos="1247"/>
          <w:tab w:val="left" w:pos="709"/>
        </w:tabs>
        <w:spacing w:after="120"/>
        <w:rPr>
          <w:i/>
        </w:rPr>
      </w:pPr>
      <w:r w:rsidRPr="00442D4A">
        <w:rPr>
          <w:i/>
        </w:rPr>
        <w:tab/>
        <w:t>Decides:</w:t>
      </w:r>
    </w:p>
    <w:p w14:paraId="29C4846D" w14:textId="731868DB" w:rsidR="00442D4A" w:rsidRDefault="00442D4A" w:rsidP="00442D4A">
      <w:pPr>
        <w:tabs>
          <w:tab w:val="clear" w:pos="1247"/>
          <w:tab w:val="clear" w:pos="1814"/>
          <w:tab w:val="left" w:pos="624"/>
          <w:tab w:val="left" w:pos="709"/>
          <w:tab w:val="left" w:pos="1418"/>
          <w:tab w:val="left" w:pos="2268"/>
          <w:tab w:val="left" w:pos="2495"/>
          <w:tab w:val="left" w:pos="3119"/>
          <w:tab w:val="left" w:pos="3742"/>
          <w:tab w:val="left" w:pos="4366"/>
        </w:tabs>
        <w:adjustRightInd w:val="0"/>
        <w:snapToGrid w:val="0"/>
        <w:spacing w:after="120"/>
        <w:ind w:left="709"/>
      </w:pPr>
      <w:r>
        <w:t>1.</w:t>
      </w:r>
      <w:r>
        <w:tab/>
      </w:r>
      <w:r w:rsidRPr="00742AE8">
        <w:t xml:space="preserve">To request </w:t>
      </w:r>
      <w:r>
        <w:t>Tajikistan</w:t>
      </w:r>
      <w:r w:rsidRPr="00742AE8">
        <w:t xml:space="preserve"> to submit to the Secretariat, as a matter of urgency and no later than 31 March 20</w:t>
      </w:r>
      <w:r>
        <w:t>26</w:t>
      </w:r>
      <w:r w:rsidRPr="00742AE8">
        <w:t xml:space="preserve">, for consideration by the Implementation Committee at its </w:t>
      </w:r>
      <w:r>
        <w:t>seventy</w:t>
      </w:r>
      <w:r w:rsidRPr="00742AE8">
        <w:t>-s</w:t>
      </w:r>
      <w:r>
        <w:t>ixth</w:t>
      </w:r>
      <w:r w:rsidRPr="00742AE8">
        <w:t xml:space="preserve"> meeting, a plan of action with time‑specific benchmarks to ensure the party’s prompt return to compliance with its hydrofluorocarbon obligations under the Protocol</w:t>
      </w:r>
      <w:r>
        <w:t>, as well as s</w:t>
      </w:r>
      <w:r w:rsidRPr="00742AE8">
        <w:t>pecifi</w:t>
      </w:r>
      <w:r>
        <w:t>c</w:t>
      </w:r>
      <w:r w:rsidRPr="00742AE8">
        <w:t xml:space="preserve"> policies that </w:t>
      </w:r>
      <w:r>
        <w:t xml:space="preserve">it will </w:t>
      </w:r>
      <w:r w:rsidRPr="00742AE8">
        <w:t>adopt in support of its implementation efforts;</w:t>
      </w:r>
    </w:p>
    <w:p w14:paraId="731902C4" w14:textId="4361F0A1" w:rsidR="00442D4A" w:rsidRDefault="00442D4A" w:rsidP="00442D4A">
      <w:pPr>
        <w:tabs>
          <w:tab w:val="clear" w:pos="1247"/>
          <w:tab w:val="clear" w:pos="1814"/>
          <w:tab w:val="left" w:pos="624"/>
          <w:tab w:val="left" w:pos="709"/>
          <w:tab w:val="left" w:pos="1418"/>
          <w:tab w:val="left" w:pos="2268"/>
          <w:tab w:val="left" w:pos="2495"/>
          <w:tab w:val="left" w:pos="3119"/>
          <w:tab w:val="left" w:pos="3742"/>
          <w:tab w:val="left" w:pos="4366"/>
        </w:tabs>
        <w:adjustRightInd w:val="0"/>
        <w:snapToGrid w:val="0"/>
        <w:spacing w:after="120"/>
        <w:ind w:left="709"/>
      </w:pPr>
      <w:r>
        <w:t>2.</w:t>
      </w:r>
      <w:r>
        <w:tab/>
      </w:r>
      <w:r w:rsidRPr="00761BC3">
        <w:t xml:space="preserve">To monitor closely the progress of </w:t>
      </w:r>
      <w:r>
        <w:t>Tajikistan</w:t>
      </w:r>
      <w:r w:rsidRPr="00761BC3">
        <w:t xml:space="preserve"> </w:t>
      </w:r>
      <w:proofErr w:type="gramStart"/>
      <w:r w:rsidRPr="00761BC3">
        <w:t>with regard to</w:t>
      </w:r>
      <w:proofErr w:type="gramEnd"/>
      <w:r w:rsidRPr="00761BC3">
        <w:t xml:space="preserve"> the phase-</w:t>
      </w:r>
      <w:r w:rsidR="0087270E">
        <w:t>down</w:t>
      </w:r>
      <w:r w:rsidRPr="00761BC3">
        <w:t xml:space="preserve"> of hydrofluorocarbons. To the degree that </w:t>
      </w:r>
      <w:r>
        <w:t>Tajikistan</w:t>
      </w:r>
      <w:r w:rsidRPr="00761BC3">
        <w:t xml:space="preserve"> is working towards and meeting the specific Protocol control measures, it should continue to be treated in the same manner as a </w:t>
      </w:r>
      <w:r>
        <w:t>p</w:t>
      </w:r>
      <w:r w:rsidRPr="00761BC3">
        <w:t xml:space="preserve">arty in good standing. In that regard, </w:t>
      </w:r>
      <w:r>
        <w:t>Tajikistan</w:t>
      </w:r>
      <w:r w:rsidRPr="00761BC3">
        <w:t xml:space="preserve"> should continue to receive international assistance to enable it to meet its commitments in accordance with item A of the indicative list of measures that may be taken by a Meeting of the Parties in respect of </w:t>
      </w:r>
      <w:proofErr w:type="gramStart"/>
      <w:r w:rsidRPr="00761BC3">
        <w:t>non-compliance</w:t>
      </w:r>
      <w:r>
        <w:t>;</w:t>
      </w:r>
      <w:proofErr w:type="gramEnd"/>
    </w:p>
    <w:p w14:paraId="1C6A2CCD" w14:textId="41007405" w:rsidR="00442D4A" w:rsidRDefault="00442D4A" w:rsidP="00442D4A">
      <w:pPr>
        <w:tabs>
          <w:tab w:val="clear" w:pos="1247"/>
          <w:tab w:val="clear" w:pos="1814"/>
          <w:tab w:val="left" w:pos="624"/>
          <w:tab w:val="left" w:pos="709"/>
          <w:tab w:val="left" w:pos="1418"/>
          <w:tab w:val="left" w:pos="2268"/>
          <w:tab w:val="left" w:pos="2495"/>
          <w:tab w:val="left" w:pos="3119"/>
          <w:tab w:val="left" w:pos="3742"/>
          <w:tab w:val="left" w:pos="4366"/>
        </w:tabs>
        <w:adjustRightInd w:val="0"/>
        <w:snapToGrid w:val="0"/>
        <w:spacing w:after="120"/>
        <w:ind w:left="709"/>
      </w:pPr>
      <w:r>
        <w:t>3.</w:t>
      </w:r>
      <w:r>
        <w:tab/>
      </w:r>
      <w:r w:rsidRPr="00761BC3">
        <w:t xml:space="preserve">To caution </w:t>
      </w:r>
      <w:r>
        <w:t>Tajikistan</w:t>
      </w:r>
      <w:r w:rsidRPr="00761BC3">
        <w:t>, in accordance with item B of the indicative list of measures, that, in the event that it fails to return to compliance in a timely manner, the Meeting of the Parties will consider measures consistent with item C of the indicative list of measures, which may include the possibility of actions available under Article 4, such as ensuring that the supply of hydrofluorocarbons that are the subject of non‑compliance is ceased so that exporting parties are not contributing to a continuing situation of non‑compliance</w:t>
      </w:r>
      <w:r>
        <w:t>.</w:t>
      </w:r>
    </w:p>
    <w:bookmarkEnd w:id="9"/>
    <w:p w14:paraId="5D02625E" w14:textId="41E61432" w:rsidR="00646DBB" w:rsidRDefault="00646DBB" w:rsidP="009164AC">
      <w:pPr>
        <w:pStyle w:val="NormalNonumber"/>
        <w:numPr>
          <w:ilvl w:val="0"/>
          <w:numId w:val="8"/>
        </w:numPr>
        <w:tabs>
          <w:tab w:val="clear" w:pos="624"/>
          <w:tab w:val="clear" w:pos="1247"/>
          <w:tab w:val="clear" w:pos="1871"/>
          <w:tab w:val="left" w:pos="709"/>
        </w:tabs>
        <w:spacing w:before="360"/>
        <w:ind w:hanging="436"/>
        <w:rPr>
          <w:rFonts w:asciiTheme="majorBidi" w:eastAsiaTheme="minorEastAsia" w:hAnsiTheme="majorBidi" w:cstheme="majorBidi"/>
          <w:b/>
          <w:kern w:val="2"/>
          <w:sz w:val="24"/>
          <w:szCs w:val="24"/>
          <w14:ligatures w14:val="standardContextual"/>
        </w:rPr>
      </w:pPr>
      <w:r>
        <w:rPr>
          <w:rFonts w:asciiTheme="majorBidi" w:eastAsiaTheme="minorEastAsia" w:hAnsiTheme="majorBidi" w:cstheme="majorBidi"/>
          <w:b/>
          <w:kern w:val="2"/>
          <w:sz w:val="24"/>
          <w:szCs w:val="24"/>
          <w14:ligatures w14:val="standardContextual"/>
        </w:rPr>
        <w:t>Zambia</w:t>
      </w:r>
    </w:p>
    <w:p w14:paraId="68A913BD" w14:textId="2E95A13C" w:rsidR="00646DBB" w:rsidRDefault="00646DBB" w:rsidP="00646DBB">
      <w:pPr>
        <w:pStyle w:val="ListParagraph"/>
        <w:keepNext/>
        <w:keepLines/>
        <w:tabs>
          <w:tab w:val="clear" w:pos="1247"/>
          <w:tab w:val="clear" w:pos="1814"/>
          <w:tab w:val="left" w:pos="624"/>
          <w:tab w:val="left" w:pos="709"/>
          <w:tab w:val="left" w:pos="2495"/>
          <w:tab w:val="left" w:pos="3119"/>
          <w:tab w:val="left" w:pos="3742"/>
          <w:tab w:val="left" w:pos="4366"/>
        </w:tabs>
        <w:adjustRightInd w:val="0"/>
        <w:snapToGrid w:val="0"/>
        <w:spacing w:after="120"/>
        <w:rPr>
          <w:rFonts w:asciiTheme="majorBidi" w:hAnsiTheme="majorBidi" w:cstheme="majorBidi"/>
        </w:rPr>
      </w:pPr>
      <w:bookmarkStart w:id="10" w:name="_Hlk212849339"/>
      <w:r w:rsidRPr="00830F35">
        <w:rPr>
          <w:rFonts w:asciiTheme="majorBidi" w:hAnsiTheme="majorBidi" w:cstheme="majorBidi"/>
        </w:rPr>
        <w:t>The Committee therefore decided to forward for consideration by the Thirty-S</w:t>
      </w:r>
      <w:r>
        <w:rPr>
          <w:rFonts w:asciiTheme="majorBidi" w:hAnsiTheme="majorBidi" w:cstheme="majorBidi"/>
        </w:rPr>
        <w:t>eventh</w:t>
      </w:r>
      <w:r w:rsidRPr="00830F35">
        <w:rPr>
          <w:rFonts w:asciiTheme="majorBidi" w:hAnsiTheme="majorBidi" w:cstheme="majorBidi"/>
        </w:rPr>
        <w:t xml:space="preserve"> Meeting of the Parties the following draft decision on </w:t>
      </w:r>
      <w:r w:rsidR="00D606EC">
        <w:rPr>
          <w:rFonts w:asciiTheme="majorBidi" w:hAnsiTheme="majorBidi" w:cstheme="majorBidi"/>
        </w:rPr>
        <w:t>Zambia</w:t>
      </w:r>
      <w:r>
        <w:rPr>
          <w:rFonts w:asciiTheme="majorBidi" w:hAnsiTheme="majorBidi" w:cstheme="majorBidi"/>
        </w:rPr>
        <w:t>.</w:t>
      </w:r>
    </w:p>
    <w:p w14:paraId="0513AC19" w14:textId="77777777" w:rsidR="00646DBB" w:rsidRDefault="00646DBB" w:rsidP="00646DBB">
      <w:pPr>
        <w:pStyle w:val="ListParagraph"/>
        <w:keepNext/>
        <w:keepLines/>
        <w:tabs>
          <w:tab w:val="clear" w:pos="1247"/>
          <w:tab w:val="clear" w:pos="1814"/>
          <w:tab w:val="left" w:pos="624"/>
          <w:tab w:val="left" w:pos="709"/>
          <w:tab w:val="left" w:pos="2495"/>
          <w:tab w:val="left" w:pos="3119"/>
          <w:tab w:val="left" w:pos="3742"/>
          <w:tab w:val="left" w:pos="4366"/>
        </w:tabs>
        <w:adjustRightInd w:val="0"/>
        <w:snapToGrid w:val="0"/>
        <w:spacing w:after="120"/>
        <w:rPr>
          <w:b/>
          <w:bCs/>
        </w:rPr>
      </w:pPr>
    </w:p>
    <w:p w14:paraId="6F53CE48" w14:textId="0F919B1F" w:rsidR="00646DBB" w:rsidRPr="009164AC" w:rsidRDefault="00646DBB" w:rsidP="00646DBB">
      <w:pPr>
        <w:pStyle w:val="ListParagraph"/>
        <w:keepNext/>
        <w:keepLines/>
        <w:tabs>
          <w:tab w:val="clear" w:pos="1247"/>
          <w:tab w:val="clear" w:pos="1814"/>
          <w:tab w:val="left" w:pos="624"/>
          <w:tab w:val="left" w:pos="709"/>
          <w:tab w:val="left" w:pos="2495"/>
          <w:tab w:val="left" w:pos="3119"/>
          <w:tab w:val="left" w:pos="3742"/>
          <w:tab w:val="left" w:pos="4366"/>
        </w:tabs>
        <w:adjustRightInd w:val="0"/>
        <w:snapToGrid w:val="0"/>
        <w:spacing w:after="120"/>
        <w:rPr>
          <w:b/>
          <w:bCs/>
        </w:rPr>
      </w:pPr>
      <w:r w:rsidRPr="00FA7A9A">
        <w:rPr>
          <w:b/>
          <w:bCs/>
        </w:rPr>
        <w:t>Draft decision XXXVII</w:t>
      </w:r>
      <w:proofErr w:type="gramStart"/>
      <w:r w:rsidRPr="00FA7A9A">
        <w:rPr>
          <w:b/>
          <w:bCs/>
        </w:rPr>
        <w:t>/[</w:t>
      </w:r>
      <w:proofErr w:type="gramEnd"/>
      <w:r w:rsidRPr="00FA7A9A">
        <w:rPr>
          <w:b/>
          <w:bCs/>
        </w:rPr>
        <w:t xml:space="preserve">--]: </w:t>
      </w:r>
      <w:r w:rsidR="00D72F5E">
        <w:rPr>
          <w:b/>
          <w:bCs/>
        </w:rPr>
        <w:t xml:space="preserve">Non-compliance with the Montreal Protocol by </w:t>
      </w:r>
      <w:r>
        <w:rPr>
          <w:b/>
          <w:bCs/>
        </w:rPr>
        <w:t>Zambia</w:t>
      </w:r>
    </w:p>
    <w:bookmarkEnd w:id="10"/>
    <w:p w14:paraId="2B3BABD6" w14:textId="26EC1E89" w:rsidR="00646DBB" w:rsidRPr="00594C72" w:rsidRDefault="00646DBB" w:rsidP="00646DBB">
      <w:pPr>
        <w:keepNext/>
        <w:keepLines/>
        <w:tabs>
          <w:tab w:val="clear" w:pos="1247"/>
          <w:tab w:val="clear" w:pos="1814"/>
          <w:tab w:val="left" w:pos="709"/>
        </w:tabs>
        <w:spacing w:after="120"/>
        <w:rPr>
          <w:i/>
          <w:iCs/>
        </w:rPr>
      </w:pPr>
      <w:r>
        <w:rPr>
          <w:i/>
          <w:iCs/>
        </w:rPr>
        <w:tab/>
      </w:r>
      <w:r w:rsidRPr="00594C72">
        <w:rPr>
          <w:i/>
          <w:iCs/>
        </w:rPr>
        <w:t>The Thirty-Seventh Meeting of the Parties,</w:t>
      </w:r>
    </w:p>
    <w:p w14:paraId="2B3BEA70" w14:textId="4ABE19B2" w:rsidR="00646DBB" w:rsidRPr="00442D4A" w:rsidRDefault="00646DBB" w:rsidP="00646DBB">
      <w:pPr>
        <w:tabs>
          <w:tab w:val="clear" w:pos="1247"/>
          <w:tab w:val="clear" w:pos="1814"/>
          <w:tab w:val="left" w:pos="624"/>
          <w:tab w:val="left" w:pos="709"/>
          <w:tab w:val="left" w:pos="1418"/>
        </w:tabs>
        <w:spacing w:after="120"/>
        <w:ind w:left="709"/>
      </w:pPr>
      <w:r w:rsidRPr="00442D4A">
        <w:tab/>
      </w:r>
      <w:r w:rsidRPr="00442D4A">
        <w:rPr>
          <w:i/>
          <w:iCs/>
        </w:rPr>
        <w:t>Noting</w:t>
      </w:r>
      <w:r w:rsidRPr="00442D4A">
        <w:t xml:space="preserve"> that </w:t>
      </w:r>
      <w:r>
        <w:t>Zambia</w:t>
      </w:r>
      <w:r w:rsidRPr="00442D4A">
        <w:t xml:space="preserve"> acceded to the Montreal Protocol on Substances that Deplete the Ozone Layer </w:t>
      </w:r>
      <w:r>
        <w:t>on 24 January 1990, ratified</w:t>
      </w:r>
      <w:r w:rsidRPr="00442D4A">
        <w:t xml:space="preserve"> the London Amendment on </w:t>
      </w:r>
      <w:r>
        <w:t>15</w:t>
      </w:r>
      <w:r w:rsidRPr="00442D4A">
        <w:t xml:space="preserve"> </w:t>
      </w:r>
      <w:r>
        <w:t>April</w:t>
      </w:r>
      <w:r w:rsidRPr="00442D4A">
        <w:t xml:space="preserve"> 199</w:t>
      </w:r>
      <w:r>
        <w:t>4</w:t>
      </w:r>
      <w:r w:rsidRPr="00442D4A">
        <w:t xml:space="preserve">, </w:t>
      </w:r>
      <w:r>
        <w:t xml:space="preserve">acceded </w:t>
      </w:r>
      <w:r w:rsidRPr="00442D4A">
        <w:t>to the Copenhagen Amendment</w:t>
      </w:r>
      <w:r w:rsidR="008A70A5">
        <w:t>,</w:t>
      </w:r>
      <w:r>
        <w:t xml:space="preserve"> to the Montreal Amendment </w:t>
      </w:r>
      <w:r w:rsidR="008A70A5">
        <w:t xml:space="preserve">and to the Beijing Amendment </w:t>
      </w:r>
      <w:r>
        <w:t>on 11 October 2007</w:t>
      </w:r>
      <w:r w:rsidRPr="00442D4A">
        <w:t xml:space="preserve">, that it ratified the Kigali Amendment on </w:t>
      </w:r>
      <w:r w:rsidR="008A70A5">
        <w:t>15 March 2021</w:t>
      </w:r>
      <w:r w:rsidRPr="00442D4A">
        <w:t>, and is classified as a party operating under paragraph 1 of Article 5 of the Protocol,</w:t>
      </w:r>
    </w:p>
    <w:p w14:paraId="349D9F48" w14:textId="1A233766" w:rsidR="00646DBB" w:rsidRPr="00442D4A" w:rsidRDefault="00646DBB" w:rsidP="00646DBB">
      <w:pPr>
        <w:tabs>
          <w:tab w:val="clear" w:pos="1247"/>
          <w:tab w:val="clear" w:pos="1814"/>
          <w:tab w:val="left" w:pos="624"/>
          <w:tab w:val="left" w:pos="709"/>
          <w:tab w:val="left" w:pos="1418"/>
        </w:tabs>
        <w:spacing w:after="120"/>
        <w:ind w:left="709"/>
      </w:pPr>
      <w:r w:rsidRPr="00442D4A">
        <w:lastRenderedPageBreak/>
        <w:tab/>
      </w:r>
      <w:r w:rsidRPr="00442D4A">
        <w:rPr>
          <w:i/>
          <w:iCs/>
        </w:rPr>
        <w:t>Noting</w:t>
      </w:r>
      <w:r w:rsidRPr="00442D4A">
        <w:t xml:space="preserve"> further that </w:t>
      </w:r>
      <w:r w:rsidR="00D0240C">
        <w:t>Zambia</w:t>
      </w:r>
      <w:r w:rsidRPr="00442D4A">
        <w:t xml:space="preserve"> has reported annual consumption for the controlled substances in Annex F (hydrofluorocarbons) for 202</w:t>
      </w:r>
      <w:r w:rsidR="008A70A5">
        <w:t>4</w:t>
      </w:r>
      <w:r w:rsidRPr="00442D4A">
        <w:t xml:space="preserve"> of </w:t>
      </w:r>
      <w:r w:rsidR="008A70A5" w:rsidRPr="008A70A5">
        <w:t xml:space="preserve">857,857 </w:t>
      </w:r>
      <w:r w:rsidRPr="00442D4A">
        <w:t xml:space="preserve">CO2-equivalent tonnes, which exceeds the party’s maximum allowable consumption </w:t>
      </w:r>
      <w:r w:rsidR="008A70A5">
        <w:t xml:space="preserve">of </w:t>
      </w:r>
      <w:r w:rsidR="008A70A5" w:rsidRPr="008A70A5">
        <w:t xml:space="preserve">699,513 </w:t>
      </w:r>
      <w:r w:rsidRPr="00442D4A">
        <w:t>CO2-equivalent tonnes of hydrofluorocarbons for 202</w:t>
      </w:r>
      <w:r w:rsidR="008A70A5">
        <w:t>4</w:t>
      </w:r>
      <w:r w:rsidRPr="00442D4A">
        <w:t>, and is therefore in non</w:t>
      </w:r>
      <w:r w:rsidRPr="00442D4A">
        <w:noBreakHyphen/>
        <w:t>compliance with the consumption control measures under the Protocol for hydrofluorocarbons,</w:t>
      </w:r>
    </w:p>
    <w:p w14:paraId="1DF469C5" w14:textId="77777777" w:rsidR="00646DBB" w:rsidRPr="00442D4A" w:rsidRDefault="00646DBB" w:rsidP="00646DBB">
      <w:pPr>
        <w:tabs>
          <w:tab w:val="clear" w:pos="1247"/>
          <w:tab w:val="left" w:pos="709"/>
        </w:tabs>
        <w:spacing w:after="120"/>
        <w:rPr>
          <w:i/>
        </w:rPr>
      </w:pPr>
      <w:r w:rsidRPr="00442D4A">
        <w:rPr>
          <w:i/>
        </w:rPr>
        <w:tab/>
        <w:t>Decides:</w:t>
      </w:r>
    </w:p>
    <w:p w14:paraId="448A7186" w14:textId="3F0FB3EE" w:rsidR="00646DBB" w:rsidRDefault="00646DBB" w:rsidP="00646DBB">
      <w:pPr>
        <w:tabs>
          <w:tab w:val="clear" w:pos="1247"/>
          <w:tab w:val="clear" w:pos="1814"/>
          <w:tab w:val="left" w:pos="624"/>
          <w:tab w:val="left" w:pos="709"/>
          <w:tab w:val="left" w:pos="1418"/>
          <w:tab w:val="left" w:pos="2268"/>
          <w:tab w:val="left" w:pos="2495"/>
          <w:tab w:val="left" w:pos="3119"/>
          <w:tab w:val="left" w:pos="3742"/>
          <w:tab w:val="left" w:pos="4366"/>
        </w:tabs>
        <w:adjustRightInd w:val="0"/>
        <w:snapToGrid w:val="0"/>
        <w:spacing w:after="120"/>
        <w:ind w:left="709"/>
      </w:pPr>
      <w:r>
        <w:t>1.</w:t>
      </w:r>
      <w:r>
        <w:tab/>
      </w:r>
      <w:r w:rsidRPr="003B159F">
        <w:t xml:space="preserve">To </w:t>
      </w:r>
      <w:r w:rsidR="008A70A5" w:rsidRPr="003B159F">
        <w:t>urge</w:t>
      </w:r>
      <w:r w:rsidRPr="003B159F">
        <w:t xml:space="preserve"> </w:t>
      </w:r>
      <w:r w:rsidR="008A70A5" w:rsidRPr="003B159F">
        <w:t>Zambia to provide an explanation for the deviation as a matter of urgency, no later than 31 March 202</w:t>
      </w:r>
      <w:r w:rsidR="004C1219" w:rsidRPr="003B159F">
        <w:t>6</w:t>
      </w:r>
      <w:r w:rsidR="008A70A5" w:rsidRPr="003B159F">
        <w:t xml:space="preserve">, and, if appropriate, to submit by that date </w:t>
      </w:r>
      <w:r w:rsidR="00AD41D5" w:rsidRPr="003B159F">
        <w:t>a plan of action with time‑specific benchmarks to ensure the party’s prompt return to compliance with its hydrofluorocarbon obligations under the Protocol, as well as specific policies that it will adopt in support of its implementation efforts</w:t>
      </w:r>
      <w:r w:rsidR="008A70A5" w:rsidRPr="003B159F">
        <w:t>, for consideration by the Implementation Committee at its seventy-s</w:t>
      </w:r>
      <w:r w:rsidR="0087270E" w:rsidRPr="003B159F">
        <w:t>ixth</w:t>
      </w:r>
      <w:r w:rsidR="008A70A5" w:rsidRPr="003B159F">
        <w:t xml:space="preserve"> meeting;</w:t>
      </w:r>
    </w:p>
    <w:p w14:paraId="0E31FC0C" w14:textId="73D40A55" w:rsidR="00646DBB" w:rsidRDefault="00646DBB" w:rsidP="00646DBB">
      <w:pPr>
        <w:tabs>
          <w:tab w:val="clear" w:pos="1247"/>
          <w:tab w:val="clear" w:pos="1814"/>
          <w:tab w:val="left" w:pos="624"/>
          <w:tab w:val="left" w:pos="709"/>
          <w:tab w:val="left" w:pos="1418"/>
          <w:tab w:val="left" w:pos="2268"/>
          <w:tab w:val="left" w:pos="2495"/>
          <w:tab w:val="left" w:pos="3119"/>
          <w:tab w:val="left" w:pos="3742"/>
          <w:tab w:val="left" w:pos="4366"/>
        </w:tabs>
        <w:adjustRightInd w:val="0"/>
        <w:snapToGrid w:val="0"/>
        <w:spacing w:after="120"/>
        <w:ind w:left="709"/>
      </w:pPr>
      <w:r>
        <w:t>2.</w:t>
      </w:r>
      <w:r>
        <w:tab/>
      </w:r>
      <w:r w:rsidRPr="00761BC3">
        <w:t xml:space="preserve">To monitor closely the progress of </w:t>
      </w:r>
      <w:r w:rsidR="0087270E">
        <w:t>Zambia</w:t>
      </w:r>
      <w:r w:rsidRPr="00761BC3">
        <w:t xml:space="preserve"> </w:t>
      </w:r>
      <w:proofErr w:type="gramStart"/>
      <w:r w:rsidRPr="00761BC3">
        <w:t>with regard to</w:t>
      </w:r>
      <w:proofErr w:type="gramEnd"/>
      <w:r w:rsidRPr="00761BC3">
        <w:t xml:space="preserve"> the phase-</w:t>
      </w:r>
      <w:r w:rsidR="0087270E">
        <w:t>down</w:t>
      </w:r>
      <w:r w:rsidRPr="00761BC3">
        <w:t xml:space="preserve"> of hydrofluorocarbons. To the degree that </w:t>
      </w:r>
      <w:r w:rsidR="0087270E">
        <w:t>Zambia</w:t>
      </w:r>
      <w:r w:rsidRPr="00761BC3">
        <w:t xml:space="preserve"> is working towards and meeting the specific Protocol control measures, it should continue to be treated in the same manner as a </w:t>
      </w:r>
      <w:r>
        <w:t>p</w:t>
      </w:r>
      <w:r w:rsidRPr="00761BC3">
        <w:t xml:space="preserve">arty in good standing. In that regard, </w:t>
      </w:r>
      <w:r w:rsidR="0087270E">
        <w:t>Zambia</w:t>
      </w:r>
      <w:r w:rsidRPr="00761BC3">
        <w:t xml:space="preserve"> should continue to receive international assistance to enable it to meet its commitments in accordance with item A of the indicative list of measures that may be taken by a Meeting of the Parties in respect of </w:t>
      </w:r>
      <w:proofErr w:type="gramStart"/>
      <w:r w:rsidRPr="00761BC3">
        <w:t>non-compliance</w:t>
      </w:r>
      <w:r>
        <w:t>;</w:t>
      </w:r>
      <w:proofErr w:type="gramEnd"/>
    </w:p>
    <w:p w14:paraId="2E9F0E16" w14:textId="030229A2" w:rsidR="00646DBB" w:rsidRDefault="00646DBB" w:rsidP="00646DBB">
      <w:pPr>
        <w:tabs>
          <w:tab w:val="clear" w:pos="1247"/>
          <w:tab w:val="clear" w:pos="1814"/>
          <w:tab w:val="left" w:pos="624"/>
          <w:tab w:val="left" w:pos="709"/>
          <w:tab w:val="left" w:pos="1418"/>
          <w:tab w:val="left" w:pos="2268"/>
          <w:tab w:val="left" w:pos="2495"/>
          <w:tab w:val="left" w:pos="3119"/>
          <w:tab w:val="left" w:pos="3742"/>
          <w:tab w:val="left" w:pos="4366"/>
        </w:tabs>
        <w:adjustRightInd w:val="0"/>
        <w:snapToGrid w:val="0"/>
        <w:spacing w:after="120"/>
        <w:ind w:left="709"/>
      </w:pPr>
      <w:r>
        <w:t>3.</w:t>
      </w:r>
      <w:r>
        <w:tab/>
      </w:r>
      <w:r w:rsidRPr="00761BC3">
        <w:t xml:space="preserve">To caution </w:t>
      </w:r>
      <w:r w:rsidR="0087270E">
        <w:t>Zambia</w:t>
      </w:r>
      <w:r w:rsidRPr="00761BC3">
        <w:t>, in accordance with item B of the indicative list of measures, that, in the event that it fails to return to compliance in a timely manner, the Meeting of the Parties will consider measures consistent with item C of the indicative list of measures, which may include the possibility of actions available under Article 4, such as ensuring that the supply of hydrofluorocarbons that are the subject of non‑compliance is ceased so that exporting parties are not contributing to a continuing situation of non‑compliance</w:t>
      </w:r>
      <w:r>
        <w:t>.</w:t>
      </w:r>
    </w:p>
    <w:p w14:paraId="19E4D1BA" w14:textId="7C410BA9" w:rsidR="00386EA5" w:rsidRDefault="00D606EC" w:rsidP="00386EA5">
      <w:pPr>
        <w:pStyle w:val="NormalNonumber"/>
        <w:numPr>
          <w:ilvl w:val="0"/>
          <w:numId w:val="8"/>
        </w:numPr>
        <w:tabs>
          <w:tab w:val="clear" w:pos="624"/>
          <w:tab w:val="clear" w:pos="1247"/>
          <w:tab w:val="clear" w:pos="1871"/>
          <w:tab w:val="left" w:pos="709"/>
        </w:tabs>
        <w:spacing w:before="360"/>
        <w:rPr>
          <w:rFonts w:asciiTheme="majorBidi" w:eastAsiaTheme="minorEastAsia" w:hAnsiTheme="majorBidi" w:cstheme="majorBidi"/>
          <w:b/>
          <w:kern w:val="2"/>
          <w:sz w:val="24"/>
          <w:szCs w:val="24"/>
          <w14:ligatures w14:val="standardContextual"/>
        </w:rPr>
      </w:pPr>
      <w:r>
        <w:rPr>
          <w:rFonts w:asciiTheme="majorBidi" w:eastAsiaTheme="minorEastAsia" w:hAnsiTheme="majorBidi" w:cstheme="majorBidi"/>
          <w:b/>
          <w:kern w:val="2"/>
          <w:sz w:val="24"/>
          <w:szCs w:val="24"/>
          <w14:ligatures w14:val="standardContextual"/>
        </w:rPr>
        <w:t>Mali</w:t>
      </w:r>
    </w:p>
    <w:p w14:paraId="4E5C5372" w14:textId="5BC904DE" w:rsidR="00D606EC" w:rsidRDefault="00D606EC" w:rsidP="00D606EC">
      <w:pPr>
        <w:pStyle w:val="ListParagraph"/>
        <w:keepNext/>
        <w:keepLines/>
        <w:tabs>
          <w:tab w:val="clear" w:pos="1247"/>
          <w:tab w:val="clear" w:pos="1814"/>
          <w:tab w:val="left" w:pos="624"/>
          <w:tab w:val="left" w:pos="709"/>
          <w:tab w:val="left" w:pos="2495"/>
          <w:tab w:val="left" w:pos="3119"/>
          <w:tab w:val="left" w:pos="3742"/>
          <w:tab w:val="left" w:pos="4366"/>
        </w:tabs>
        <w:adjustRightInd w:val="0"/>
        <w:snapToGrid w:val="0"/>
        <w:spacing w:after="120"/>
        <w:rPr>
          <w:rFonts w:asciiTheme="majorBidi" w:hAnsiTheme="majorBidi" w:cstheme="majorBidi"/>
        </w:rPr>
      </w:pPr>
      <w:r w:rsidRPr="00830F35">
        <w:rPr>
          <w:rFonts w:asciiTheme="majorBidi" w:hAnsiTheme="majorBidi" w:cstheme="majorBidi"/>
        </w:rPr>
        <w:t>The Committee therefore decided to forward for consideration by the Thirty-S</w:t>
      </w:r>
      <w:r>
        <w:rPr>
          <w:rFonts w:asciiTheme="majorBidi" w:hAnsiTheme="majorBidi" w:cstheme="majorBidi"/>
        </w:rPr>
        <w:t>eventh</w:t>
      </w:r>
      <w:r w:rsidRPr="00830F35">
        <w:rPr>
          <w:rFonts w:asciiTheme="majorBidi" w:hAnsiTheme="majorBidi" w:cstheme="majorBidi"/>
        </w:rPr>
        <w:t xml:space="preserve"> Meeting of the Parties the following draft decision on </w:t>
      </w:r>
      <w:r>
        <w:rPr>
          <w:rFonts w:asciiTheme="majorBidi" w:hAnsiTheme="majorBidi" w:cstheme="majorBidi"/>
        </w:rPr>
        <w:t>Mali.</w:t>
      </w:r>
    </w:p>
    <w:p w14:paraId="46FA1714" w14:textId="77777777" w:rsidR="00D606EC" w:rsidRDefault="00D606EC" w:rsidP="00D606EC">
      <w:pPr>
        <w:pStyle w:val="ListParagraph"/>
        <w:keepNext/>
        <w:keepLines/>
        <w:tabs>
          <w:tab w:val="clear" w:pos="1247"/>
          <w:tab w:val="clear" w:pos="1814"/>
          <w:tab w:val="left" w:pos="624"/>
          <w:tab w:val="left" w:pos="709"/>
          <w:tab w:val="left" w:pos="2495"/>
          <w:tab w:val="left" w:pos="3119"/>
          <w:tab w:val="left" w:pos="3742"/>
          <w:tab w:val="left" w:pos="4366"/>
        </w:tabs>
        <w:adjustRightInd w:val="0"/>
        <w:snapToGrid w:val="0"/>
        <w:spacing w:after="120"/>
        <w:rPr>
          <w:b/>
          <w:bCs/>
        </w:rPr>
      </w:pPr>
    </w:p>
    <w:p w14:paraId="03542BDE" w14:textId="0E4F9522" w:rsidR="00D606EC" w:rsidRPr="009164AC" w:rsidRDefault="00D606EC" w:rsidP="00D606EC">
      <w:pPr>
        <w:pStyle w:val="ListParagraph"/>
        <w:keepNext/>
        <w:keepLines/>
        <w:tabs>
          <w:tab w:val="clear" w:pos="1247"/>
          <w:tab w:val="clear" w:pos="1814"/>
          <w:tab w:val="left" w:pos="624"/>
          <w:tab w:val="left" w:pos="709"/>
          <w:tab w:val="left" w:pos="2495"/>
          <w:tab w:val="left" w:pos="3119"/>
          <w:tab w:val="left" w:pos="3742"/>
          <w:tab w:val="left" w:pos="4366"/>
        </w:tabs>
        <w:adjustRightInd w:val="0"/>
        <w:snapToGrid w:val="0"/>
        <w:spacing w:after="120"/>
        <w:rPr>
          <w:b/>
          <w:bCs/>
        </w:rPr>
      </w:pPr>
      <w:r w:rsidRPr="00FA7A9A">
        <w:rPr>
          <w:b/>
          <w:bCs/>
        </w:rPr>
        <w:t>Draft decision XXXVII</w:t>
      </w:r>
      <w:proofErr w:type="gramStart"/>
      <w:r w:rsidRPr="00FA7A9A">
        <w:rPr>
          <w:b/>
          <w:bCs/>
        </w:rPr>
        <w:t>/[</w:t>
      </w:r>
      <w:proofErr w:type="gramEnd"/>
      <w:r w:rsidRPr="00FA7A9A">
        <w:rPr>
          <w:b/>
          <w:bCs/>
        </w:rPr>
        <w:t xml:space="preserve">--]: </w:t>
      </w:r>
      <w:r w:rsidR="00D72F5E">
        <w:rPr>
          <w:b/>
          <w:bCs/>
        </w:rPr>
        <w:t xml:space="preserve">Non-compliance with the Montreal Protocol by </w:t>
      </w:r>
      <w:r>
        <w:rPr>
          <w:b/>
          <w:bCs/>
        </w:rPr>
        <w:t>Mali</w:t>
      </w:r>
    </w:p>
    <w:p w14:paraId="170BA82A" w14:textId="37C9A472" w:rsidR="00D606EC" w:rsidRPr="00594C72" w:rsidRDefault="00D606EC" w:rsidP="00D606EC">
      <w:pPr>
        <w:keepNext/>
        <w:keepLines/>
        <w:tabs>
          <w:tab w:val="clear" w:pos="1247"/>
          <w:tab w:val="left" w:pos="709"/>
        </w:tabs>
        <w:spacing w:after="120"/>
        <w:rPr>
          <w:i/>
          <w:iCs/>
        </w:rPr>
      </w:pPr>
      <w:r>
        <w:rPr>
          <w:i/>
          <w:iCs/>
        </w:rPr>
        <w:tab/>
      </w:r>
      <w:r w:rsidRPr="00594C72">
        <w:rPr>
          <w:i/>
          <w:iCs/>
        </w:rPr>
        <w:t>The Thirty-Seventh Meeting of the Parties,</w:t>
      </w:r>
    </w:p>
    <w:p w14:paraId="353F0709" w14:textId="32D26B25" w:rsidR="00D606EC" w:rsidRPr="00D606EC" w:rsidRDefault="00D606EC" w:rsidP="00D606EC">
      <w:pPr>
        <w:tabs>
          <w:tab w:val="clear" w:pos="1247"/>
          <w:tab w:val="clear" w:pos="1814"/>
          <w:tab w:val="left" w:pos="624"/>
          <w:tab w:val="left" w:pos="709"/>
          <w:tab w:val="left" w:pos="1418"/>
        </w:tabs>
        <w:spacing w:after="120"/>
        <w:ind w:left="709"/>
      </w:pPr>
      <w:r>
        <w:rPr>
          <w:i/>
          <w:iCs/>
        </w:rPr>
        <w:tab/>
      </w:r>
      <w:r w:rsidRPr="00D606EC">
        <w:rPr>
          <w:i/>
          <w:iCs/>
        </w:rPr>
        <w:t>Noting</w:t>
      </w:r>
      <w:r w:rsidRPr="00D606EC">
        <w:t xml:space="preserve"> that Mali </w:t>
      </w:r>
      <w:r w:rsidR="00FD3FFC">
        <w:t>acceded to</w:t>
      </w:r>
      <w:r w:rsidRPr="00D606EC">
        <w:t xml:space="preserve"> the Montreal Protocol on Substances that Deplete the Ozone Layer and to the London Amendment on </w:t>
      </w:r>
      <w:r w:rsidR="00FD3FFC">
        <w:t>28 October 1994</w:t>
      </w:r>
      <w:r w:rsidRPr="00D606EC">
        <w:t xml:space="preserve">, </w:t>
      </w:r>
      <w:r w:rsidR="00FD3FFC">
        <w:t xml:space="preserve">accepted the Copenhagen Amendment and the </w:t>
      </w:r>
      <w:r w:rsidRPr="00D606EC">
        <w:t xml:space="preserve">Montreal Amendment on </w:t>
      </w:r>
      <w:r w:rsidR="00FD3FFC">
        <w:t>7 March 2003</w:t>
      </w:r>
      <w:r w:rsidRPr="00D606EC">
        <w:t xml:space="preserve">, the Beijing Amendment on </w:t>
      </w:r>
      <w:r w:rsidR="00FD3FFC">
        <w:t>25 March 2004</w:t>
      </w:r>
      <w:r w:rsidRPr="00D606EC">
        <w:t xml:space="preserve"> and the Kigali Amendment on </w:t>
      </w:r>
      <w:r w:rsidR="00FD3FFC">
        <w:t>31 March 2017</w:t>
      </w:r>
      <w:r w:rsidRPr="00D606EC">
        <w:t>, and is classified as a party operating under paragraph 1 of Article 5 of the Protocol,</w:t>
      </w:r>
    </w:p>
    <w:p w14:paraId="4DFDAB73" w14:textId="0F543BBF" w:rsidR="00D606EC" w:rsidRDefault="00D606EC" w:rsidP="00D606EC">
      <w:pPr>
        <w:tabs>
          <w:tab w:val="clear" w:pos="1247"/>
          <w:tab w:val="clear" w:pos="1814"/>
          <w:tab w:val="left" w:pos="624"/>
          <w:tab w:val="left" w:pos="709"/>
          <w:tab w:val="left" w:pos="1418"/>
        </w:tabs>
        <w:spacing w:after="120"/>
        <w:ind w:left="709"/>
      </w:pPr>
      <w:r w:rsidRPr="00D606EC">
        <w:tab/>
      </w:r>
      <w:r w:rsidRPr="00D606EC">
        <w:rPr>
          <w:i/>
          <w:iCs/>
        </w:rPr>
        <w:t>Noting</w:t>
      </w:r>
      <w:r w:rsidRPr="00D606EC">
        <w:t xml:space="preserve"> further that Mali has reported annual consumption for the controlled substances in Annex F (hydrofluorocarbons) for 2024 of 1,773,126 CO2-equivalent tonnes, which exceeds the party’s maximum allowable consumption 399,935 CO2-equivalent tonnes of hydrofluorocarbons for 2024, and is therefore in</w:t>
      </w:r>
      <w:r w:rsidR="001F6DF6">
        <w:t xml:space="preserve"> </w:t>
      </w:r>
      <w:r w:rsidRPr="00D606EC">
        <w:t>non</w:t>
      </w:r>
      <w:r w:rsidRPr="00D606EC">
        <w:noBreakHyphen/>
        <w:t xml:space="preserve">compliance with the consumption control measures </w:t>
      </w:r>
      <w:r w:rsidR="00094661">
        <w:t xml:space="preserve">in 2024 </w:t>
      </w:r>
      <w:r w:rsidRPr="00D606EC">
        <w:t>under the Protocol for hydrofluorocarbons,</w:t>
      </w:r>
    </w:p>
    <w:p w14:paraId="12C5554D" w14:textId="559A7772" w:rsidR="00FD3FFC" w:rsidRPr="00FD3FFC" w:rsidRDefault="00FD3FFC" w:rsidP="00D606EC">
      <w:pPr>
        <w:tabs>
          <w:tab w:val="clear" w:pos="1247"/>
          <w:tab w:val="clear" w:pos="1814"/>
          <w:tab w:val="left" w:pos="624"/>
          <w:tab w:val="left" w:pos="709"/>
          <w:tab w:val="left" w:pos="1418"/>
        </w:tabs>
        <w:spacing w:after="120"/>
        <w:ind w:left="709"/>
      </w:pPr>
      <w:r>
        <w:rPr>
          <w:i/>
          <w:iCs/>
        </w:rPr>
        <w:tab/>
        <w:t>Noting</w:t>
      </w:r>
      <w:r>
        <w:t xml:space="preserve"> that Mali has </w:t>
      </w:r>
      <w:r w:rsidR="00F45B4A">
        <w:t xml:space="preserve">indicated its intent to request a revision to its HFC baseline data but has </w:t>
      </w:r>
      <w:r>
        <w:t xml:space="preserve">not </w:t>
      </w:r>
      <w:r w:rsidR="001F6DF6">
        <w:t xml:space="preserve">yet </w:t>
      </w:r>
      <w:r>
        <w:t xml:space="preserve">provided the information required under </w:t>
      </w:r>
      <w:r w:rsidRPr="00FD3FFC">
        <w:t>decision XV/19</w:t>
      </w:r>
      <w:r w:rsidR="001F6DF6">
        <w:t xml:space="preserve"> to substantiate its request to change its reported baseline data for hydrofluorocarbons</w:t>
      </w:r>
      <w:r>
        <w:t>,</w:t>
      </w:r>
    </w:p>
    <w:p w14:paraId="17A74A0C" w14:textId="77777777" w:rsidR="00D606EC" w:rsidRPr="00FD3FFC" w:rsidRDefault="00D606EC" w:rsidP="00FD3FFC">
      <w:pPr>
        <w:tabs>
          <w:tab w:val="clear" w:pos="1247"/>
          <w:tab w:val="left" w:pos="709"/>
        </w:tabs>
        <w:spacing w:after="120"/>
        <w:rPr>
          <w:i/>
        </w:rPr>
      </w:pPr>
      <w:r w:rsidRPr="00FD3FFC">
        <w:rPr>
          <w:i/>
        </w:rPr>
        <w:tab/>
        <w:t>Decides:</w:t>
      </w:r>
    </w:p>
    <w:p w14:paraId="07D07E16" w14:textId="44EFB8CE" w:rsidR="00D606EC" w:rsidRPr="003B159F" w:rsidRDefault="00D75057" w:rsidP="00FD3FFC">
      <w:pPr>
        <w:tabs>
          <w:tab w:val="clear" w:pos="1247"/>
          <w:tab w:val="clear" w:pos="1814"/>
          <w:tab w:val="left" w:pos="624"/>
          <w:tab w:val="left" w:pos="709"/>
          <w:tab w:val="left" w:pos="1418"/>
          <w:tab w:val="left" w:pos="2268"/>
          <w:tab w:val="left" w:pos="2495"/>
          <w:tab w:val="left" w:pos="3119"/>
          <w:tab w:val="left" w:pos="3742"/>
          <w:tab w:val="left" w:pos="4366"/>
        </w:tabs>
        <w:adjustRightInd w:val="0"/>
        <w:snapToGrid w:val="0"/>
        <w:spacing w:after="120"/>
        <w:ind w:left="709"/>
      </w:pPr>
      <w:r>
        <w:t>1.</w:t>
      </w:r>
      <w:r>
        <w:tab/>
      </w:r>
      <w:r w:rsidR="00D606EC" w:rsidRPr="00742AE8">
        <w:t xml:space="preserve">To </w:t>
      </w:r>
      <w:r w:rsidR="00F45B4A">
        <w:t>invite</w:t>
      </w:r>
      <w:r w:rsidR="00D606EC" w:rsidRPr="00742AE8">
        <w:t xml:space="preserve"> </w:t>
      </w:r>
      <w:r w:rsidR="00D606EC">
        <w:t>Mali</w:t>
      </w:r>
      <w:r w:rsidR="00F45B4A">
        <w:t xml:space="preserve"> </w:t>
      </w:r>
      <w:r w:rsidR="00D606EC" w:rsidRPr="00742AE8">
        <w:t>to submit to the Secretariat, as a matter of urgency and no later than 31 March 20</w:t>
      </w:r>
      <w:r w:rsidR="00D606EC">
        <w:t>26</w:t>
      </w:r>
      <w:r w:rsidR="00D606EC" w:rsidRPr="00742AE8">
        <w:t xml:space="preserve">, for consideration by the Implementation Committee at its </w:t>
      </w:r>
      <w:r w:rsidR="00D606EC">
        <w:t>seventy</w:t>
      </w:r>
      <w:r w:rsidR="00D606EC" w:rsidRPr="00742AE8">
        <w:t>-s</w:t>
      </w:r>
      <w:r w:rsidR="00D606EC">
        <w:t>ixth</w:t>
      </w:r>
      <w:r w:rsidR="00D606EC" w:rsidRPr="00742AE8">
        <w:t xml:space="preserve"> meeting</w:t>
      </w:r>
      <w:r w:rsidR="00F45B4A">
        <w:t xml:space="preserve"> either</w:t>
      </w:r>
      <w:r w:rsidR="00D606EC" w:rsidRPr="00742AE8">
        <w:t xml:space="preserve"> </w:t>
      </w:r>
      <w:r w:rsidR="00F45B4A">
        <w:t xml:space="preserve">a request to revise their </w:t>
      </w:r>
      <w:r w:rsidR="00AD41D5">
        <w:t>hydrofluorocarbon</w:t>
      </w:r>
      <w:r w:rsidR="00F45B4A">
        <w:t xml:space="preserve"> data for baseline years including </w:t>
      </w:r>
      <w:r w:rsidR="00B4356E">
        <w:t xml:space="preserve">the </w:t>
      </w:r>
      <w:r w:rsidR="00B4356E" w:rsidRPr="003B159F">
        <w:t xml:space="preserve">information required under decision XV/19 to substantiate its request </w:t>
      </w:r>
      <w:r w:rsidRPr="003B159F">
        <w:t>to change</w:t>
      </w:r>
      <w:r w:rsidR="00B4356E" w:rsidRPr="003B159F">
        <w:t xml:space="preserve"> </w:t>
      </w:r>
      <w:r w:rsidRPr="003B159F">
        <w:t xml:space="preserve">its </w:t>
      </w:r>
      <w:r w:rsidR="00B4356E" w:rsidRPr="003B159F">
        <w:t>reported baseline data for hydrofluorocarbons</w:t>
      </w:r>
      <w:r w:rsidR="00F45B4A" w:rsidRPr="003B159F">
        <w:t>, or a plan of action to return to compliance</w:t>
      </w:r>
      <w:r w:rsidR="00AD41D5" w:rsidRPr="003B159F">
        <w:t xml:space="preserve"> with time‑specific benchmarks to ensure the party’s prompt return to compliance with its hydrofluorocarbon obligations under the Protocol, as well as specific policies that it will adopt in support of its implementation efforts</w:t>
      </w:r>
      <w:r w:rsidR="00D606EC" w:rsidRPr="003B159F">
        <w:t>;</w:t>
      </w:r>
    </w:p>
    <w:p w14:paraId="6481CFA8" w14:textId="4FDA443C" w:rsidR="00D606EC" w:rsidRDefault="00D606EC" w:rsidP="00FD3FFC">
      <w:pPr>
        <w:tabs>
          <w:tab w:val="clear" w:pos="1247"/>
          <w:tab w:val="clear" w:pos="1814"/>
          <w:tab w:val="left" w:pos="624"/>
          <w:tab w:val="left" w:pos="709"/>
          <w:tab w:val="left" w:pos="1418"/>
          <w:tab w:val="left" w:pos="2268"/>
          <w:tab w:val="left" w:pos="2495"/>
          <w:tab w:val="left" w:pos="3119"/>
          <w:tab w:val="left" w:pos="3742"/>
          <w:tab w:val="left" w:pos="4366"/>
        </w:tabs>
        <w:adjustRightInd w:val="0"/>
        <w:snapToGrid w:val="0"/>
        <w:spacing w:after="120"/>
        <w:ind w:left="709"/>
      </w:pPr>
      <w:r w:rsidRPr="003B159F">
        <w:t>2.</w:t>
      </w:r>
      <w:r w:rsidRPr="003B159F">
        <w:tab/>
        <w:t xml:space="preserve">To monitor closely the progress of Mali </w:t>
      </w:r>
      <w:proofErr w:type="gramStart"/>
      <w:r w:rsidR="00AD41D5" w:rsidRPr="003B159F">
        <w:t>with regard to</w:t>
      </w:r>
      <w:proofErr w:type="gramEnd"/>
      <w:r w:rsidR="00AD41D5" w:rsidRPr="003B159F">
        <w:t xml:space="preserve"> the phase-down of hydrofluorocarbons</w:t>
      </w:r>
      <w:r w:rsidRPr="003B159F">
        <w:t>.</w:t>
      </w:r>
      <w:r w:rsidRPr="00761BC3">
        <w:t xml:space="preserve"> To the degree that </w:t>
      </w:r>
      <w:r>
        <w:t>Mali</w:t>
      </w:r>
      <w:r w:rsidRPr="00761BC3">
        <w:t xml:space="preserve"> </w:t>
      </w:r>
      <w:r w:rsidR="00D75057">
        <w:t xml:space="preserve">provides the information </w:t>
      </w:r>
      <w:r w:rsidR="007912E4">
        <w:t>as invited in paragraph 1</w:t>
      </w:r>
      <w:r w:rsidRPr="00761BC3">
        <w:t xml:space="preserve">, it should continue to be treated in the same manner as a </w:t>
      </w:r>
      <w:r>
        <w:t>p</w:t>
      </w:r>
      <w:r w:rsidRPr="00761BC3">
        <w:t xml:space="preserve">arty in good standing. In that regard, </w:t>
      </w:r>
      <w:r>
        <w:lastRenderedPageBreak/>
        <w:t>Mali</w:t>
      </w:r>
      <w:r w:rsidRPr="00761BC3">
        <w:t xml:space="preserve"> should continue to receive international assistance to enable it to meet its commitments in accordance with item A of the indicative list of measures that may be taken by a Meeting of the Parties in respect of non-compliance</w:t>
      </w:r>
      <w:r w:rsidR="00D75057">
        <w:t>.</w:t>
      </w:r>
    </w:p>
    <w:p w14:paraId="50AEB2CD" w14:textId="1465CBBA" w:rsidR="00D75057" w:rsidRDefault="00D75057" w:rsidP="00A50724">
      <w:pPr>
        <w:pStyle w:val="NormalNonumber"/>
        <w:numPr>
          <w:ilvl w:val="0"/>
          <w:numId w:val="8"/>
        </w:numPr>
        <w:tabs>
          <w:tab w:val="clear" w:pos="624"/>
          <w:tab w:val="clear" w:pos="1247"/>
          <w:tab w:val="clear" w:pos="1871"/>
          <w:tab w:val="left" w:pos="709"/>
        </w:tabs>
        <w:spacing w:before="360"/>
        <w:rPr>
          <w:rFonts w:asciiTheme="majorBidi" w:eastAsiaTheme="minorEastAsia" w:hAnsiTheme="majorBidi" w:cstheme="majorBidi"/>
          <w:b/>
          <w:kern w:val="2"/>
          <w:sz w:val="24"/>
          <w:szCs w:val="24"/>
          <w14:ligatures w14:val="standardContextual"/>
        </w:rPr>
      </w:pPr>
      <w:r>
        <w:rPr>
          <w:rFonts w:asciiTheme="majorBidi" w:eastAsiaTheme="minorEastAsia" w:hAnsiTheme="majorBidi" w:cstheme="majorBidi"/>
          <w:b/>
          <w:kern w:val="2"/>
          <w:sz w:val="24"/>
          <w:szCs w:val="24"/>
          <w14:ligatures w14:val="standardContextual"/>
        </w:rPr>
        <w:t>Armenia</w:t>
      </w:r>
    </w:p>
    <w:p w14:paraId="20737A79" w14:textId="77777777" w:rsidR="00FF3137" w:rsidRDefault="00FF3137" w:rsidP="00FF3137">
      <w:pPr>
        <w:pStyle w:val="ListParagraph"/>
        <w:keepNext/>
        <w:keepLines/>
        <w:tabs>
          <w:tab w:val="clear" w:pos="1247"/>
          <w:tab w:val="clear" w:pos="1814"/>
          <w:tab w:val="left" w:pos="624"/>
          <w:tab w:val="left" w:pos="709"/>
          <w:tab w:val="left" w:pos="2495"/>
          <w:tab w:val="left" w:pos="3119"/>
          <w:tab w:val="left" w:pos="3742"/>
          <w:tab w:val="left" w:pos="4366"/>
        </w:tabs>
        <w:adjustRightInd w:val="0"/>
        <w:snapToGrid w:val="0"/>
        <w:spacing w:after="120"/>
        <w:rPr>
          <w:rFonts w:asciiTheme="majorBidi" w:hAnsiTheme="majorBidi" w:cstheme="majorBidi"/>
        </w:rPr>
      </w:pPr>
      <w:r w:rsidRPr="00830F35">
        <w:rPr>
          <w:rFonts w:asciiTheme="majorBidi" w:hAnsiTheme="majorBidi" w:cstheme="majorBidi"/>
        </w:rPr>
        <w:t xml:space="preserve">The Committee therefore </w:t>
      </w:r>
      <w:r>
        <w:rPr>
          <w:rFonts w:asciiTheme="majorBidi" w:hAnsiTheme="majorBidi" w:cstheme="majorBidi"/>
        </w:rPr>
        <w:t>agreed:</w:t>
      </w:r>
    </w:p>
    <w:p w14:paraId="608544F1" w14:textId="77777777" w:rsidR="00E65318" w:rsidRPr="00FF3137" w:rsidRDefault="00E65318" w:rsidP="00FF3137">
      <w:pPr>
        <w:tabs>
          <w:tab w:val="clear" w:pos="1247"/>
          <w:tab w:val="clear" w:pos="1814"/>
          <w:tab w:val="left" w:pos="624"/>
          <w:tab w:val="left" w:pos="709"/>
          <w:tab w:val="left" w:pos="1418"/>
        </w:tabs>
        <w:spacing w:after="120"/>
        <w:ind w:left="709"/>
        <w:rPr>
          <w:i/>
          <w:iCs/>
        </w:rPr>
      </w:pPr>
      <w:r w:rsidRPr="00FF3137">
        <w:rPr>
          <w:i/>
          <w:iCs/>
        </w:rPr>
        <w:t xml:space="preserve">Taking note </w:t>
      </w:r>
      <w:r w:rsidRPr="00FF3137">
        <w:t>of the request by Armenia for the revision of its existing consumption data for the baseline years 2020, 2021 and 2022 for Annex F, group I, controlled substances (hydrofluorocarbons),</w:t>
      </w:r>
      <w:r w:rsidRPr="00FF3137">
        <w:rPr>
          <w:i/>
          <w:iCs/>
        </w:rPr>
        <w:t xml:space="preserve"> </w:t>
      </w:r>
    </w:p>
    <w:p w14:paraId="2BB8C6B9" w14:textId="77777777" w:rsidR="00E65318" w:rsidRPr="00FF3137" w:rsidRDefault="00E65318" w:rsidP="00FF3137">
      <w:pPr>
        <w:tabs>
          <w:tab w:val="clear" w:pos="1247"/>
          <w:tab w:val="clear" w:pos="1814"/>
          <w:tab w:val="left" w:pos="624"/>
          <w:tab w:val="left" w:pos="709"/>
          <w:tab w:val="left" w:pos="1418"/>
        </w:tabs>
        <w:spacing w:after="120"/>
        <w:ind w:left="709"/>
      </w:pPr>
      <w:r w:rsidRPr="00FF3137">
        <w:rPr>
          <w:i/>
          <w:iCs/>
        </w:rPr>
        <w:t xml:space="preserve">Recalling </w:t>
      </w:r>
      <w:r w:rsidRPr="00FF3137">
        <w:t xml:space="preserve">decision XV/19, which sets out the methodology for the submission of requests for the revision of baseline data, </w:t>
      </w:r>
    </w:p>
    <w:p w14:paraId="723F3050" w14:textId="77777777" w:rsidR="00E65318" w:rsidRPr="00FF3137" w:rsidRDefault="00E65318" w:rsidP="00FF3137">
      <w:pPr>
        <w:tabs>
          <w:tab w:val="clear" w:pos="1247"/>
          <w:tab w:val="clear" w:pos="1814"/>
          <w:tab w:val="left" w:pos="624"/>
          <w:tab w:val="left" w:pos="709"/>
          <w:tab w:val="left" w:pos="1418"/>
        </w:tabs>
        <w:spacing w:after="120"/>
        <w:ind w:left="709"/>
      </w:pPr>
      <w:r w:rsidRPr="00FF3137">
        <w:rPr>
          <w:i/>
          <w:iCs/>
        </w:rPr>
        <w:t xml:space="preserve">Noting </w:t>
      </w:r>
      <w:r w:rsidRPr="00FF3137">
        <w:t xml:space="preserve">with appreciation the information provided by Armenia to support its request for the revision of its baseline data, </w:t>
      </w:r>
    </w:p>
    <w:p w14:paraId="4E700D5E" w14:textId="4835F90C" w:rsidR="00E65318" w:rsidRPr="00FF3137" w:rsidRDefault="00E65318" w:rsidP="00FF3137">
      <w:pPr>
        <w:tabs>
          <w:tab w:val="clear" w:pos="1247"/>
          <w:tab w:val="clear" w:pos="1814"/>
          <w:tab w:val="left" w:pos="624"/>
          <w:tab w:val="left" w:pos="709"/>
          <w:tab w:val="left" w:pos="1418"/>
        </w:tabs>
        <w:spacing w:after="120"/>
        <w:ind w:left="709"/>
        <w:rPr>
          <w:i/>
          <w:iCs/>
        </w:rPr>
      </w:pPr>
      <w:r w:rsidRPr="00FF3137">
        <w:rPr>
          <w:i/>
          <w:iCs/>
        </w:rPr>
        <w:t xml:space="preserve">Noting, </w:t>
      </w:r>
      <w:r w:rsidRPr="00FF3137">
        <w:t xml:space="preserve">however, that the information submitted was considered by the Implementation Committee under the Non-Compliance Procedure for the Montreal Protocol to be insufficient </w:t>
      </w:r>
      <w:r w:rsidR="00AE5443" w:rsidRPr="00FF3137">
        <w:t xml:space="preserve">at its seventy-fifth meeting </w:t>
      </w:r>
      <w:r w:rsidRPr="00FF3137">
        <w:t>to enable it to approve the changes requested by the party,</w:t>
      </w:r>
      <w:r w:rsidRPr="00FF3137">
        <w:rPr>
          <w:i/>
          <w:iCs/>
        </w:rPr>
        <w:t xml:space="preserve"> </w:t>
      </w:r>
    </w:p>
    <w:p w14:paraId="79B1D96B" w14:textId="4BA2E7B5" w:rsidR="00E65318" w:rsidRDefault="00E65318" w:rsidP="00FF3137">
      <w:pPr>
        <w:ind w:left="709"/>
        <w:rPr>
          <w:lang w:val="en-US"/>
        </w:rPr>
      </w:pPr>
      <w:r>
        <w:rPr>
          <w:lang w:val="en-US"/>
        </w:rPr>
        <w:t>1.</w:t>
      </w:r>
      <w:r w:rsidR="00FF3137">
        <w:rPr>
          <w:lang w:val="en-US"/>
        </w:rPr>
        <w:tab/>
      </w:r>
      <w:r>
        <w:rPr>
          <w:lang w:val="en-US"/>
        </w:rPr>
        <w:t xml:space="preserve">To invite Armenia to either submit to the Secretariat the outstanding information that is needed to meet the requirements of decision XV/19, in order to significantly substantiate its request for the revision of its hydrofluorocarbon baseline data, as soon as possible and preferably no later than 31 March 2026, for consideration by the Implementation Committee at its seventy-sixth meeting, or to request, in line with ExCom decision 96/22, subparagraph (c), to include the baseline years in their verification of </w:t>
      </w:r>
      <w:r w:rsidR="00FF3137">
        <w:rPr>
          <w:lang w:val="en-US"/>
        </w:rPr>
        <w:t>hydrofluorocarbon</w:t>
      </w:r>
      <w:r>
        <w:rPr>
          <w:lang w:val="en-US"/>
        </w:rPr>
        <w:t xml:space="preserve"> consumption; </w:t>
      </w:r>
    </w:p>
    <w:p w14:paraId="36EEDCE0" w14:textId="77777777" w:rsidR="00E65318" w:rsidRDefault="00E65318" w:rsidP="00FF3137">
      <w:pPr>
        <w:ind w:left="709"/>
        <w:rPr>
          <w:lang w:val="en-US"/>
        </w:rPr>
      </w:pPr>
    </w:p>
    <w:p w14:paraId="4A583DE8" w14:textId="5242890B" w:rsidR="00D75057" w:rsidRPr="0020085D" w:rsidRDefault="00E65318" w:rsidP="0020085D">
      <w:pPr>
        <w:ind w:left="709"/>
        <w:rPr>
          <w:lang w:val="en-US"/>
        </w:rPr>
      </w:pPr>
      <w:r>
        <w:rPr>
          <w:lang w:val="en-US"/>
        </w:rPr>
        <w:t>2.</w:t>
      </w:r>
      <w:r w:rsidR="00FF3137">
        <w:rPr>
          <w:lang w:val="en-US"/>
        </w:rPr>
        <w:tab/>
      </w:r>
      <w:r>
        <w:rPr>
          <w:lang w:val="en-US"/>
        </w:rPr>
        <w:t xml:space="preserve">To invite Armenia, </w:t>
      </w:r>
      <w:proofErr w:type="gramStart"/>
      <w:r>
        <w:rPr>
          <w:lang w:val="en-US"/>
        </w:rPr>
        <w:t>in the event that</w:t>
      </w:r>
      <w:proofErr w:type="gramEnd"/>
      <w:r>
        <w:rPr>
          <w:lang w:val="en-US"/>
        </w:rPr>
        <w:t xml:space="preserve"> Armenia requests a verification report, to review their current request and either maintain their current request or submit a revised request for a baseline change for hydroflu</w:t>
      </w:r>
      <w:r w:rsidR="00FF3137">
        <w:rPr>
          <w:lang w:val="en-US"/>
        </w:rPr>
        <w:t>o</w:t>
      </w:r>
      <w:r>
        <w:rPr>
          <w:lang w:val="en-US"/>
        </w:rPr>
        <w:t>rocarbons, based on the verification report, for consideration by the Implementation Committee.</w:t>
      </w:r>
    </w:p>
    <w:p w14:paraId="59DB272E" w14:textId="78540532" w:rsidR="00A50724" w:rsidRDefault="00B4356E" w:rsidP="00A50724">
      <w:pPr>
        <w:pStyle w:val="NormalNonumber"/>
        <w:numPr>
          <w:ilvl w:val="0"/>
          <w:numId w:val="8"/>
        </w:numPr>
        <w:tabs>
          <w:tab w:val="clear" w:pos="624"/>
          <w:tab w:val="clear" w:pos="1247"/>
          <w:tab w:val="clear" w:pos="1871"/>
          <w:tab w:val="left" w:pos="709"/>
        </w:tabs>
        <w:spacing w:before="360"/>
        <w:rPr>
          <w:rFonts w:asciiTheme="majorBidi" w:eastAsiaTheme="minorEastAsia" w:hAnsiTheme="majorBidi" w:cstheme="majorBidi"/>
          <w:b/>
          <w:kern w:val="2"/>
          <w:sz w:val="24"/>
          <w:szCs w:val="24"/>
          <w14:ligatures w14:val="standardContextual"/>
        </w:rPr>
      </w:pPr>
      <w:r>
        <w:rPr>
          <w:rFonts w:asciiTheme="majorBidi" w:eastAsiaTheme="minorEastAsia" w:hAnsiTheme="majorBidi" w:cstheme="majorBidi"/>
          <w:b/>
          <w:kern w:val="2"/>
          <w:sz w:val="24"/>
          <w:szCs w:val="24"/>
          <w14:ligatures w14:val="standardContextual"/>
        </w:rPr>
        <w:t>Guinea</w:t>
      </w:r>
      <w:r w:rsidR="00A50724">
        <w:rPr>
          <w:rFonts w:asciiTheme="majorBidi" w:eastAsiaTheme="minorEastAsia" w:hAnsiTheme="majorBidi" w:cstheme="majorBidi"/>
          <w:b/>
          <w:kern w:val="2"/>
          <w:sz w:val="24"/>
          <w:szCs w:val="24"/>
          <w14:ligatures w14:val="standardContextual"/>
        </w:rPr>
        <w:t xml:space="preserve"> (HCFC</w:t>
      </w:r>
      <w:r w:rsidR="00D75057">
        <w:rPr>
          <w:rFonts w:asciiTheme="majorBidi" w:eastAsiaTheme="minorEastAsia" w:hAnsiTheme="majorBidi" w:cstheme="majorBidi"/>
          <w:b/>
          <w:kern w:val="2"/>
          <w:sz w:val="24"/>
          <w:szCs w:val="24"/>
          <w14:ligatures w14:val="standardContextual"/>
        </w:rPr>
        <w:t xml:space="preserve"> baseline revision request</w:t>
      </w:r>
      <w:r w:rsidR="00A50724">
        <w:rPr>
          <w:rFonts w:asciiTheme="majorBidi" w:eastAsiaTheme="minorEastAsia" w:hAnsiTheme="majorBidi" w:cstheme="majorBidi"/>
          <w:b/>
          <w:kern w:val="2"/>
          <w:sz w:val="24"/>
          <w:szCs w:val="24"/>
          <w14:ligatures w14:val="standardContextual"/>
        </w:rPr>
        <w:t>)</w:t>
      </w:r>
    </w:p>
    <w:p w14:paraId="67442204" w14:textId="77777777" w:rsidR="00A50724" w:rsidRPr="00A50724" w:rsidRDefault="00A50724" w:rsidP="00A50724">
      <w:pPr>
        <w:pStyle w:val="ListParagraph"/>
        <w:spacing w:after="120"/>
        <w:rPr>
          <w:rFonts w:asciiTheme="majorBidi" w:hAnsiTheme="majorBidi" w:cstheme="majorBidi"/>
          <w:i/>
          <w:iCs/>
        </w:rPr>
      </w:pPr>
      <w:r w:rsidRPr="00A50724">
        <w:rPr>
          <w:rFonts w:asciiTheme="majorBidi" w:hAnsiTheme="majorBidi" w:cstheme="majorBidi"/>
          <w:i/>
          <w:iCs/>
        </w:rPr>
        <w:t>The Committee therefore agreed:</w:t>
      </w:r>
    </w:p>
    <w:p w14:paraId="00CFCD79" w14:textId="77777777" w:rsidR="00A50724" w:rsidRPr="004602FB" w:rsidRDefault="00A50724" w:rsidP="00A50724">
      <w:pPr>
        <w:tabs>
          <w:tab w:val="clear" w:pos="1247"/>
          <w:tab w:val="clear" w:pos="1814"/>
          <w:tab w:val="clear" w:pos="2381"/>
          <w:tab w:val="left" w:pos="624"/>
          <w:tab w:val="left" w:pos="709"/>
          <w:tab w:val="left" w:pos="1418"/>
          <w:tab w:val="left" w:pos="3119"/>
          <w:tab w:val="left" w:pos="3742"/>
          <w:tab w:val="left" w:pos="4366"/>
          <w:tab w:val="left" w:pos="4990"/>
        </w:tabs>
        <w:spacing w:after="120"/>
        <w:ind w:left="709"/>
      </w:pPr>
      <w:r>
        <w:rPr>
          <w:i/>
        </w:rPr>
        <w:tab/>
      </w:r>
      <w:r w:rsidRPr="004602FB">
        <w:rPr>
          <w:i/>
        </w:rPr>
        <w:t xml:space="preserve">Noting with appreciation </w:t>
      </w:r>
      <w:r w:rsidRPr="004602FB">
        <w:t>the information submitted by Guinea in support of its request to revise its existing consumption data for the baseline years 2009 and 2010 for Annex C, group I, controlled substances (hydrochlorofluorocarbons),</w:t>
      </w:r>
    </w:p>
    <w:p w14:paraId="3F0A448B" w14:textId="77777777" w:rsidR="00A50724" w:rsidRPr="004602FB" w:rsidRDefault="00A50724" w:rsidP="00A50724">
      <w:pPr>
        <w:tabs>
          <w:tab w:val="clear" w:pos="1247"/>
          <w:tab w:val="clear" w:pos="1814"/>
          <w:tab w:val="left" w:pos="624"/>
          <w:tab w:val="left" w:pos="709"/>
          <w:tab w:val="left" w:pos="2495"/>
          <w:tab w:val="left" w:pos="3119"/>
          <w:tab w:val="left" w:pos="3742"/>
          <w:tab w:val="left" w:pos="4366"/>
          <w:tab w:val="left" w:pos="4990"/>
        </w:tabs>
        <w:spacing w:after="120"/>
        <w:ind w:left="709" w:firstLine="709"/>
      </w:pPr>
      <w:r w:rsidRPr="004602FB">
        <w:rPr>
          <w:i/>
        </w:rPr>
        <w:t xml:space="preserve">Noting </w:t>
      </w:r>
      <w:r w:rsidRPr="004602FB">
        <w:t>that</w:t>
      </w:r>
      <w:r w:rsidRPr="004602FB">
        <w:rPr>
          <w:i/>
        </w:rPr>
        <w:t xml:space="preserve"> </w:t>
      </w:r>
      <w:r w:rsidRPr="004602FB">
        <w:t>decision XV/19 sets out the methodology for the submission of requests for the revision of baseline data,</w:t>
      </w:r>
    </w:p>
    <w:p w14:paraId="07F45B12" w14:textId="77777777" w:rsidR="00A50724" w:rsidRDefault="00A50724" w:rsidP="00A50724">
      <w:pPr>
        <w:tabs>
          <w:tab w:val="clear" w:pos="1247"/>
          <w:tab w:val="clear" w:pos="1814"/>
          <w:tab w:val="left" w:pos="624"/>
          <w:tab w:val="left" w:pos="709"/>
          <w:tab w:val="left" w:pos="2495"/>
          <w:tab w:val="left" w:pos="3119"/>
          <w:tab w:val="left" w:pos="3742"/>
          <w:tab w:val="left" w:pos="4366"/>
          <w:tab w:val="left" w:pos="4990"/>
        </w:tabs>
        <w:spacing w:after="120"/>
        <w:ind w:left="709" w:firstLine="709"/>
      </w:pPr>
      <w:r w:rsidRPr="004602FB">
        <w:rPr>
          <w:i/>
        </w:rPr>
        <w:t xml:space="preserve">Noting with appreciation </w:t>
      </w:r>
      <w:r w:rsidRPr="004602FB">
        <w:t>the efforts made by Guinea to fulfil the information requirements of decision XV/19,</w:t>
      </w:r>
    </w:p>
    <w:p w14:paraId="1CDD8CD8" w14:textId="717331FB" w:rsidR="00A50724" w:rsidRPr="00A50724" w:rsidRDefault="00A50724" w:rsidP="00A50724">
      <w:pPr>
        <w:pStyle w:val="NormalNonumber"/>
        <w:tabs>
          <w:tab w:val="clear" w:pos="624"/>
          <w:tab w:val="clear" w:pos="1247"/>
          <w:tab w:val="clear" w:pos="1871"/>
          <w:tab w:val="left" w:pos="709"/>
          <w:tab w:val="left" w:pos="1418"/>
        </w:tabs>
        <w:ind w:left="709" w:firstLine="709"/>
      </w:pPr>
      <w:r w:rsidRPr="004602FB">
        <w:t xml:space="preserve">To forward for consideration by the Thirty-Seventh Meeting of the Parties to the Montreal Protocol on Substances that Deplete the Ozone Layer the draft decision set out in the annex to the present report, by which the Meeting of the Parties would approve the request by Guinea for the revision of its consumption data for hydrochlorofluorocarbons for the baseline years 2009 and 2010 to 1.03 ODP </w:t>
      </w:r>
      <w:proofErr w:type="spellStart"/>
      <w:r w:rsidRPr="004602FB">
        <w:t>tonnes</w:t>
      </w:r>
      <w:proofErr w:type="spellEnd"/>
      <w:r w:rsidRPr="004602FB">
        <w:t xml:space="preserve"> (33,756.50 CO2-equivalent </w:t>
      </w:r>
      <w:proofErr w:type="spellStart"/>
      <w:r w:rsidRPr="004602FB">
        <w:t>tonnes</w:t>
      </w:r>
      <w:proofErr w:type="spellEnd"/>
      <w:r w:rsidRPr="004602FB">
        <w:t xml:space="preserve">) and 0.75 ODP </w:t>
      </w:r>
      <w:proofErr w:type="spellStart"/>
      <w:r w:rsidRPr="004602FB">
        <w:t>tonnes</w:t>
      </w:r>
      <w:proofErr w:type="spellEnd"/>
      <w:r w:rsidRPr="004602FB">
        <w:t xml:space="preserve"> (24,706.50 CO2-equivalent </w:t>
      </w:r>
      <w:proofErr w:type="spellStart"/>
      <w:r w:rsidRPr="004602FB">
        <w:t>tonnes</w:t>
      </w:r>
      <w:proofErr w:type="spellEnd"/>
      <w:r w:rsidRPr="004602FB">
        <w:t>) respectively</w:t>
      </w:r>
      <w:r>
        <w:t>.</w:t>
      </w:r>
    </w:p>
    <w:p w14:paraId="30738404" w14:textId="7A975E0B" w:rsidR="00A50724" w:rsidRDefault="00A50724" w:rsidP="00A50724">
      <w:pPr>
        <w:pStyle w:val="NormalNonumber"/>
        <w:numPr>
          <w:ilvl w:val="0"/>
          <w:numId w:val="8"/>
        </w:numPr>
        <w:tabs>
          <w:tab w:val="clear" w:pos="624"/>
          <w:tab w:val="clear" w:pos="1247"/>
          <w:tab w:val="clear" w:pos="1871"/>
          <w:tab w:val="left" w:pos="709"/>
        </w:tabs>
        <w:spacing w:before="360"/>
        <w:rPr>
          <w:rFonts w:asciiTheme="majorBidi" w:eastAsiaTheme="minorEastAsia" w:hAnsiTheme="majorBidi" w:cstheme="majorBidi"/>
          <w:b/>
          <w:kern w:val="2"/>
          <w:sz w:val="24"/>
          <w:szCs w:val="24"/>
          <w14:ligatures w14:val="standardContextual"/>
        </w:rPr>
      </w:pPr>
      <w:r>
        <w:rPr>
          <w:rFonts w:asciiTheme="majorBidi" w:eastAsiaTheme="minorEastAsia" w:hAnsiTheme="majorBidi" w:cstheme="majorBidi"/>
          <w:b/>
          <w:kern w:val="2"/>
          <w:sz w:val="24"/>
          <w:szCs w:val="24"/>
          <w14:ligatures w14:val="standardContextual"/>
        </w:rPr>
        <w:t>Guinea (HFC</w:t>
      </w:r>
      <w:r w:rsidR="00D75057" w:rsidRPr="00D75057">
        <w:t xml:space="preserve"> </w:t>
      </w:r>
      <w:r w:rsidR="00D75057" w:rsidRPr="00D75057">
        <w:rPr>
          <w:rFonts w:asciiTheme="majorBidi" w:eastAsiaTheme="minorEastAsia" w:hAnsiTheme="majorBidi" w:cstheme="majorBidi"/>
          <w:b/>
          <w:kern w:val="2"/>
          <w:sz w:val="24"/>
          <w:szCs w:val="24"/>
          <w14:ligatures w14:val="standardContextual"/>
        </w:rPr>
        <w:t>baseline revision request</w:t>
      </w:r>
      <w:r>
        <w:rPr>
          <w:rFonts w:asciiTheme="majorBidi" w:eastAsiaTheme="minorEastAsia" w:hAnsiTheme="majorBidi" w:cstheme="majorBidi"/>
          <w:b/>
          <w:kern w:val="2"/>
          <w:sz w:val="24"/>
          <w:szCs w:val="24"/>
          <w14:ligatures w14:val="standardContextual"/>
        </w:rPr>
        <w:t>)</w:t>
      </w:r>
    </w:p>
    <w:p w14:paraId="568BAB67" w14:textId="77777777" w:rsidR="00A50724" w:rsidRPr="00A50724" w:rsidRDefault="00A50724" w:rsidP="00A50724">
      <w:pPr>
        <w:pStyle w:val="ListParagraph"/>
        <w:spacing w:after="120"/>
        <w:rPr>
          <w:rFonts w:asciiTheme="majorBidi" w:hAnsiTheme="majorBidi" w:cstheme="majorBidi"/>
          <w:i/>
          <w:iCs/>
        </w:rPr>
      </w:pPr>
      <w:bookmarkStart w:id="11" w:name="_Hlk212851811"/>
      <w:bookmarkStart w:id="12" w:name="_Hlk212851399"/>
      <w:r w:rsidRPr="00A50724">
        <w:rPr>
          <w:rFonts w:asciiTheme="majorBidi" w:hAnsiTheme="majorBidi" w:cstheme="majorBidi"/>
          <w:i/>
          <w:iCs/>
        </w:rPr>
        <w:t>The Committee therefore agreed:</w:t>
      </w:r>
    </w:p>
    <w:bookmarkEnd w:id="11"/>
    <w:p w14:paraId="239F6679" w14:textId="5F031AE1" w:rsidR="00A50724" w:rsidRPr="00713F10" w:rsidRDefault="00A50724" w:rsidP="00A50724">
      <w:pPr>
        <w:pStyle w:val="NormalNonumber"/>
        <w:tabs>
          <w:tab w:val="clear" w:pos="624"/>
          <w:tab w:val="clear" w:pos="1247"/>
          <w:tab w:val="clear" w:pos="1871"/>
          <w:tab w:val="left" w:pos="709"/>
          <w:tab w:val="left" w:pos="1418"/>
        </w:tabs>
        <w:ind w:left="709"/>
      </w:pPr>
      <w:r>
        <w:rPr>
          <w:i/>
        </w:rPr>
        <w:tab/>
      </w:r>
      <w:r w:rsidRPr="00713F10">
        <w:rPr>
          <w:i/>
        </w:rPr>
        <w:t xml:space="preserve">Noting with appreciation </w:t>
      </w:r>
      <w:r w:rsidRPr="00713F10">
        <w:t>the information submitted by Guinea in support of its request to revise its existing consumption data for the baseline years 2020, 2021 and 2022 for Annex F, group I, controlled substances (hydrofluorocarbons),</w:t>
      </w:r>
    </w:p>
    <w:p w14:paraId="352AE5FB" w14:textId="643699F4" w:rsidR="00A50724" w:rsidRPr="00713F10" w:rsidRDefault="00A50724" w:rsidP="00A50724">
      <w:pPr>
        <w:pStyle w:val="NormalNonumber"/>
        <w:tabs>
          <w:tab w:val="clear" w:pos="624"/>
          <w:tab w:val="clear" w:pos="1247"/>
          <w:tab w:val="clear" w:pos="1871"/>
          <w:tab w:val="left" w:pos="709"/>
          <w:tab w:val="left" w:pos="1418"/>
        </w:tabs>
        <w:ind w:left="709"/>
      </w:pPr>
      <w:r>
        <w:rPr>
          <w:i/>
        </w:rPr>
        <w:tab/>
      </w:r>
      <w:r w:rsidRPr="00713F10">
        <w:rPr>
          <w:i/>
        </w:rPr>
        <w:t xml:space="preserve">Noting </w:t>
      </w:r>
      <w:r w:rsidRPr="00713F10">
        <w:t>that</w:t>
      </w:r>
      <w:r w:rsidRPr="00713F10">
        <w:rPr>
          <w:i/>
        </w:rPr>
        <w:t xml:space="preserve"> </w:t>
      </w:r>
      <w:r w:rsidRPr="00713F10">
        <w:t>decision XV/19 sets out the methodology for the submission of requests for the revision of baseline data,</w:t>
      </w:r>
    </w:p>
    <w:p w14:paraId="49C5A699" w14:textId="539DD95A" w:rsidR="00A50724" w:rsidRPr="00713F10" w:rsidRDefault="00A50724" w:rsidP="00A50724">
      <w:pPr>
        <w:pStyle w:val="NormalNonumber"/>
        <w:tabs>
          <w:tab w:val="clear" w:pos="624"/>
          <w:tab w:val="clear" w:pos="1247"/>
          <w:tab w:val="clear" w:pos="1871"/>
          <w:tab w:val="left" w:pos="709"/>
          <w:tab w:val="left" w:pos="1418"/>
        </w:tabs>
        <w:ind w:left="709"/>
      </w:pPr>
      <w:r>
        <w:rPr>
          <w:i/>
        </w:rPr>
        <w:lastRenderedPageBreak/>
        <w:tab/>
      </w:r>
      <w:r w:rsidRPr="00713F10">
        <w:rPr>
          <w:i/>
        </w:rPr>
        <w:t xml:space="preserve">Noting with appreciation </w:t>
      </w:r>
      <w:r w:rsidRPr="00713F10">
        <w:t>the efforts made by Guinea to fulfil the information requirements of decision XV/19,</w:t>
      </w:r>
    </w:p>
    <w:p w14:paraId="3E95224F" w14:textId="2D11A89C" w:rsidR="00A50724" w:rsidRPr="00713F10" w:rsidRDefault="00A50724" w:rsidP="00A50724">
      <w:pPr>
        <w:pStyle w:val="NormalNonumber"/>
        <w:tabs>
          <w:tab w:val="clear" w:pos="624"/>
          <w:tab w:val="clear" w:pos="1247"/>
          <w:tab w:val="clear" w:pos="1871"/>
          <w:tab w:val="left" w:pos="709"/>
          <w:tab w:val="left" w:pos="1418"/>
        </w:tabs>
        <w:ind w:left="709"/>
      </w:pPr>
      <w:r>
        <w:tab/>
      </w:r>
      <w:r w:rsidRPr="00713F10">
        <w:t>To forward for consideration by the Thirty-Seventh Meeting of the Parties to the Montreal Protocol on Substances that Deplete the Ozone Layer the draft decision set out in the annex to the present report, by which the Meeting of the Parties would approve the request by Guinea for the revision of its consumption data for hydrofluorocarbons for the baseline years 2020, 2021 and 2022 to 1,</w:t>
      </w:r>
      <w:r>
        <w:t>896,234</w:t>
      </w:r>
      <w:r w:rsidRPr="00713F10">
        <w:t xml:space="preserve"> CO</w:t>
      </w:r>
      <w:r w:rsidRPr="00713F10">
        <w:rPr>
          <w:vertAlign w:val="subscript"/>
        </w:rPr>
        <w:t>2</w:t>
      </w:r>
      <w:r w:rsidRPr="00713F10">
        <w:t xml:space="preserve">-equivalent </w:t>
      </w:r>
      <w:proofErr w:type="spellStart"/>
      <w:r w:rsidRPr="00713F10">
        <w:t>tonnes</w:t>
      </w:r>
      <w:proofErr w:type="spellEnd"/>
      <w:r w:rsidRPr="00713F10">
        <w:t>, 1,</w:t>
      </w:r>
      <w:r>
        <w:t>728,541</w:t>
      </w:r>
      <w:r w:rsidRPr="00713F10">
        <w:t xml:space="preserve"> CO</w:t>
      </w:r>
      <w:r w:rsidRPr="00713F10">
        <w:rPr>
          <w:vertAlign w:val="subscript"/>
        </w:rPr>
        <w:t>2</w:t>
      </w:r>
      <w:r w:rsidRPr="00713F10">
        <w:t xml:space="preserve">-equivalent </w:t>
      </w:r>
      <w:proofErr w:type="spellStart"/>
      <w:r w:rsidRPr="00713F10">
        <w:t>tonnes</w:t>
      </w:r>
      <w:proofErr w:type="spellEnd"/>
      <w:r w:rsidRPr="00713F10">
        <w:t xml:space="preserve"> and 1,7</w:t>
      </w:r>
      <w:r>
        <w:t>15,084</w:t>
      </w:r>
      <w:r w:rsidRPr="00713F10">
        <w:t xml:space="preserve"> CO</w:t>
      </w:r>
      <w:r w:rsidRPr="00713F10">
        <w:rPr>
          <w:vertAlign w:val="subscript"/>
        </w:rPr>
        <w:t>2</w:t>
      </w:r>
      <w:r w:rsidRPr="00713F10">
        <w:t xml:space="preserve">-equivalent </w:t>
      </w:r>
      <w:proofErr w:type="spellStart"/>
      <w:r w:rsidRPr="00713F10">
        <w:t>tonnes</w:t>
      </w:r>
      <w:proofErr w:type="spellEnd"/>
      <w:r w:rsidRPr="00713F10">
        <w:t>, respectively</w:t>
      </w:r>
      <w:bookmarkEnd w:id="12"/>
      <w:r w:rsidRPr="00713F10">
        <w:t>.</w:t>
      </w:r>
    </w:p>
    <w:p w14:paraId="2C0483B2" w14:textId="655C9C9C" w:rsidR="00A50724" w:rsidRDefault="00077430" w:rsidP="00386EA5">
      <w:pPr>
        <w:pStyle w:val="NormalNonumber"/>
        <w:numPr>
          <w:ilvl w:val="0"/>
          <w:numId w:val="8"/>
        </w:numPr>
        <w:tabs>
          <w:tab w:val="clear" w:pos="624"/>
          <w:tab w:val="clear" w:pos="1247"/>
          <w:tab w:val="clear" w:pos="1871"/>
          <w:tab w:val="left" w:pos="709"/>
        </w:tabs>
        <w:spacing w:before="360"/>
        <w:rPr>
          <w:rFonts w:asciiTheme="majorBidi" w:eastAsiaTheme="minorEastAsia" w:hAnsiTheme="majorBidi" w:cstheme="majorBidi"/>
          <w:b/>
          <w:kern w:val="2"/>
          <w:sz w:val="24"/>
          <w:szCs w:val="24"/>
          <w14:ligatures w14:val="standardContextual"/>
        </w:rPr>
      </w:pPr>
      <w:r>
        <w:rPr>
          <w:rFonts w:asciiTheme="majorBidi" w:eastAsiaTheme="minorEastAsia" w:hAnsiTheme="majorBidi" w:cstheme="majorBidi"/>
          <w:b/>
          <w:kern w:val="2"/>
          <w:sz w:val="24"/>
          <w:szCs w:val="24"/>
          <w14:ligatures w14:val="standardContextual"/>
        </w:rPr>
        <w:t>Morocco</w:t>
      </w:r>
      <w:r w:rsidR="00131B07" w:rsidRPr="00131B07">
        <w:rPr>
          <w:rFonts w:asciiTheme="majorBidi" w:eastAsiaTheme="minorEastAsia" w:hAnsiTheme="majorBidi" w:cstheme="majorBidi"/>
          <w:b/>
          <w:kern w:val="2"/>
          <w:sz w:val="24"/>
          <w:szCs w:val="24"/>
          <w14:ligatures w14:val="standardContextual"/>
        </w:rPr>
        <w:t xml:space="preserve"> </w:t>
      </w:r>
      <w:r w:rsidR="00131B07">
        <w:rPr>
          <w:rFonts w:asciiTheme="majorBidi" w:eastAsiaTheme="minorEastAsia" w:hAnsiTheme="majorBidi" w:cstheme="majorBidi"/>
          <w:b/>
          <w:kern w:val="2"/>
          <w:sz w:val="24"/>
          <w:szCs w:val="24"/>
          <w14:ligatures w14:val="standardContextual"/>
        </w:rPr>
        <w:t>(baseline revision request)</w:t>
      </w:r>
    </w:p>
    <w:p w14:paraId="23FFAF01" w14:textId="77777777" w:rsidR="00077430" w:rsidRPr="00A50724" w:rsidRDefault="00077430" w:rsidP="00077430">
      <w:pPr>
        <w:pStyle w:val="ListParagraph"/>
        <w:spacing w:after="120"/>
        <w:rPr>
          <w:rFonts w:asciiTheme="majorBidi" w:hAnsiTheme="majorBidi" w:cstheme="majorBidi"/>
          <w:i/>
          <w:iCs/>
        </w:rPr>
      </w:pPr>
      <w:bookmarkStart w:id="13" w:name="_Hlk212851970"/>
      <w:r w:rsidRPr="00A50724">
        <w:rPr>
          <w:rFonts w:asciiTheme="majorBidi" w:hAnsiTheme="majorBidi" w:cstheme="majorBidi"/>
          <w:i/>
          <w:iCs/>
        </w:rPr>
        <w:t>The Committee therefore agreed:</w:t>
      </w:r>
    </w:p>
    <w:bookmarkEnd w:id="13"/>
    <w:p w14:paraId="6FC2BD82" w14:textId="44184906" w:rsidR="00A50724" w:rsidRPr="00713F10" w:rsidRDefault="00077430" w:rsidP="00077430">
      <w:pPr>
        <w:pStyle w:val="NormalNonumber"/>
        <w:tabs>
          <w:tab w:val="clear" w:pos="624"/>
          <w:tab w:val="clear" w:pos="1247"/>
          <w:tab w:val="clear" w:pos="1871"/>
          <w:tab w:val="left" w:pos="709"/>
          <w:tab w:val="left" w:pos="1418"/>
        </w:tabs>
        <w:ind w:left="709"/>
      </w:pPr>
      <w:r>
        <w:tab/>
      </w:r>
      <w:r w:rsidR="00A50724" w:rsidRPr="00A45453">
        <w:rPr>
          <w:i/>
          <w:iCs/>
        </w:rPr>
        <w:t>Noting with appreciation</w:t>
      </w:r>
      <w:r w:rsidR="00A50724" w:rsidRPr="00077430">
        <w:t xml:space="preserve"> </w:t>
      </w:r>
      <w:r w:rsidR="00A50724" w:rsidRPr="00713F10">
        <w:t>the information submitted by Morocco in support of its request to revise its existing consumption data for the baseline years 2020, 2021 and 2022 for Annex F, group I, controlled substances (hydrofluorocarbons),</w:t>
      </w:r>
    </w:p>
    <w:p w14:paraId="1CED16F2" w14:textId="72B64A90" w:rsidR="00A50724" w:rsidRPr="00713F10" w:rsidRDefault="00077430" w:rsidP="00077430">
      <w:pPr>
        <w:pStyle w:val="NormalNonumber"/>
        <w:tabs>
          <w:tab w:val="clear" w:pos="624"/>
          <w:tab w:val="clear" w:pos="1247"/>
          <w:tab w:val="clear" w:pos="1871"/>
          <w:tab w:val="left" w:pos="709"/>
          <w:tab w:val="left" w:pos="1418"/>
        </w:tabs>
        <w:ind w:left="709"/>
      </w:pPr>
      <w:r>
        <w:tab/>
      </w:r>
      <w:r w:rsidR="00A50724" w:rsidRPr="00A45453">
        <w:rPr>
          <w:i/>
          <w:iCs/>
        </w:rPr>
        <w:t>Noting</w:t>
      </w:r>
      <w:r w:rsidR="00A50724" w:rsidRPr="00077430">
        <w:t xml:space="preserve"> </w:t>
      </w:r>
      <w:r w:rsidR="00A50724" w:rsidRPr="00713F10">
        <w:t>that</w:t>
      </w:r>
      <w:r w:rsidR="00A50724" w:rsidRPr="00077430">
        <w:t xml:space="preserve"> </w:t>
      </w:r>
      <w:r w:rsidR="00A50724" w:rsidRPr="00713F10">
        <w:t>decision XV/19 sets out the methodology for the submission of requests for the revision of baseline data,</w:t>
      </w:r>
    </w:p>
    <w:p w14:paraId="4E95F8FC" w14:textId="565758EB" w:rsidR="00A50724" w:rsidRDefault="00077430" w:rsidP="00077430">
      <w:pPr>
        <w:pStyle w:val="NormalNonumber"/>
        <w:tabs>
          <w:tab w:val="clear" w:pos="624"/>
          <w:tab w:val="clear" w:pos="1247"/>
          <w:tab w:val="clear" w:pos="1871"/>
          <w:tab w:val="left" w:pos="709"/>
          <w:tab w:val="left" w:pos="1418"/>
        </w:tabs>
        <w:ind w:left="709"/>
      </w:pPr>
      <w:r>
        <w:tab/>
      </w:r>
      <w:r w:rsidR="00A50724" w:rsidRPr="00A45453">
        <w:rPr>
          <w:i/>
          <w:iCs/>
        </w:rPr>
        <w:t>Noting</w:t>
      </w:r>
      <w:r w:rsidR="00A50724" w:rsidRPr="00077430">
        <w:t xml:space="preserve"> </w:t>
      </w:r>
      <w:r w:rsidR="00A50724" w:rsidRPr="00A45453">
        <w:rPr>
          <w:i/>
          <w:iCs/>
        </w:rPr>
        <w:t>with appreciation</w:t>
      </w:r>
      <w:r w:rsidR="00A50724" w:rsidRPr="00077430">
        <w:t xml:space="preserve"> </w:t>
      </w:r>
      <w:r w:rsidR="00A50724" w:rsidRPr="00713F10">
        <w:t>the efforts made by Morocco to fulfil the information requirements of decision XV/19,</w:t>
      </w:r>
    </w:p>
    <w:p w14:paraId="6A7DC8CA" w14:textId="74B417DB" w:rsidR="00A50724" w:rsidRDefault="00077430" w:rsidP="00077430">
      <w:pPr>
        <w:pStyle w:val="NormalNonumber"/>
        <w:tabs>
          <w:tab w:val="clear" w:pos="624"/>
          <w:tab w:val="clear" w:pos="1247"/>
          <w:tab w:val="clear" w:pos="1871"/>
          <w:tab w:val="left" w:pos="709"/>
          <w:tab w:val="left" w:pos="1418"/>
        </w:tabs>
        <w:ind w:left="709"/>
      </w:pPr>
      <w:r>
        <w:tab/>
      </w:r>
      <w:r w:rsidR="00A50724" w:rsidRPr="00713F10">
        <w:t>To forward for consideration by the Thirty-Seventh Meeting of the Parties to the Montreal Protocol on Substances that Deplete the Ozone Layer the draft decision set out in the annex to the present report, by which the Meeting of the Parties would approve the request by Morocco for the revision of its consumption data for hydrofluorocarbons for the baseline years 2020, 2021 and 2022 to 2,6</w:t>
      </w:r>
      <w:r w:rsidR="00A50724">
        <w:t>02,515</w:t>
      </w:r>
      <w:r w:rsidR="00A50724" w:rsidRPr="00713F10">
        <w:t xml:space="preserve"> CO</w:t>
      </w:r>
      <w:r w:rsidR="00A50724" w:rsidRPr="00077430">
        <w:t>2</w:t>
      </w:r>
      <w:r w:rsidR="00A50724" w:rsidRPr="00713F10">
        <w:t xml:space="preserve">-equivalent </w:t>
      </w:r>
      <w:proofErr w:type="spellStart"/>
      <w:r w:rsidR="00A50724" w:rsidRPr="00713F10">
        <w:t>tonnes</w:t>
      </w:r>
      <w:proofErr w:type="spellEnd"/>
      <w:r w:rsidR="00A50724" w:rsidRPr="00713F10">
        <w:t xml:space="preserve">, </w:t>
      </w:r>
      <w:r w:rsidR="00A50724" w:rsidRPr="00077430">
        <w:t>1,648,604</w:t>
      </w:r>
      <w:r w:rsidR="00A50724" w:rsidRPr="00713F10">
        <w:t>CO</w:t>
      </w:r>
      <w:r w:rsidR="00A50724" w:rsidRPr="00077430">
        <w:t>2</w:t>
      </w:r>
      <w:r w:rsidR="00A50724" w:rsidRPr="00713F10">
        <w:t xml:space="preserve">-equivalent </w:t>
      </w:r>
      <w:proofErr w:type="spellStart"/>
      <w:r w:rsidR="00A50724" w:rsidRPr="00713F10">
        <w:t>tonnes</w:t>
      </w:r>
      <w:proofErr w:type="spellEnd"/>
      <w:r w:rsidR="00A50724" w:rsidRPr="00713F10">
        <w:t xml:space="preserve"> and </w:t>
      </w:r>
      <w:r w:rsidR="00A50724" w:rsidRPr="00077430">
        <w:t xml:space="preserve">2,169,487 </w:t>
      </w:r>
      <w:r w:rsidR="00A50724" w:rsidRPr="00713F10">
        <w:t>CO</w:t>
      </w:r>
      <w:r w:rsidR="00A50724" w:rsidRPr="00077430">
        <w:t>2</w:t>
      </w:r>
      <w:r w:rsidR="00A50724" w:rsidRPr="00713F10">
        <w:t xml:space="preserve">-equivalent </w:t>
      </w:r>
      <w:proofErr w:type="spellStart"/>
      <w:r w:rsidR="00A50724" w:rsidRPr="00713F10">
        <w:t>tonnes</w:t>
      </w:r>
      <w:proofErr w:type="spellEnd"/>
      <w:r w:rsidR="00A50724" w:rsidRPr="00713F10">
        <w:t>, respectively</w:t>
      </w:r>
      <w:r w:rsidR="00A50724">
        <w:t>.</w:t>
      </w:r>
    </w:p>
    <w:p w14:paraId="413EE915" w14:textId="7D42E900" w:rsidR="00627CB4" w:rsidRPr="00627CB4" w:rsidRDefault="00077430" w:rsidP="00627CB4">
      <w:pPr>
        <w:pStyle w:val="NormalNonumber"/>
        <w:numPr>
          <w:ilvl w:val="0"/>
          <w:numId w:val="8"/>
        </w:numPr>
        <w:tabs>
          <w:tab w:val="clear" w:pos="624"/>
          <w:tab w:val="clear" w:pos="1247"/>
          <w:tab w:val="clear" w:pos="1871"/>
          <w:tab w:val="left" w:pos="709"/>
        </w:tabs>
        <w:spacing w:before="360"/>
        <w:rPr>
          <w:rFonts w:asciiTheme="majorBidi" w:eastAsiaTheme="minorEastAsia" w:hAnsiTheme="majorBidi" w:cstheme="majorBidi"/>
          <w:b/>
          <w:kern w:val="2"/>
          <w:sz w:val="24"/>
          <w:szCs w:val="24"/>
          <w14:ligatures w14:val="standardContextual"/>
        </w:rPr>
      </w:pPr>
      <w:r>
        <w:rPr>
          <w:rFonts w:asciiTheme="majorBidi" w:eastAsiaTheme="minorEastAsia" w:hAnsiTheme="majorBidi" w:cstheme="majorBidi"/>
          <w:b/>
          <w:kern w:val="2"/>
          <w:sz w:val="24"/>
          <w:szCs w:val="24"/>
          <w14:ligatures w14:val="standardContextual"/>
        </w:rPr>
        <w:t>Bosnia and Herzegovina (HCFC</w:t>
      </w:r>
      <w:r w:rsidR="00D75057" w:rsidRPr="00D75057">
        <w:t xml:space="preserve"> </w:t>
      </w:r>
      <w:r w:rsidR="00D75057" w:rsidRPr="00D75057">
        <w:rPr>
          <w:rFonts w:asciiTheme="majorBidi" w:eastAsiaTheme="minorEastAsia" w:hAnsiTheme="majorBidi" w:cstheme="majorBidi"/>
          <w:b/>
          <w:kern w:val="2"/>
          <w:sz w:val="24"/>
          <w:szCs w:val="24"/>
          <w14:ligatures w14:val="standardContextual"/>
        </w:rPr>
        <w:t>baseline revision request</w:t>
      </w:r>
      <w:r>
        <w:rPr>
          <w:rFonts w:asciiTheme="majorBidi" w:eastAsiaTheme="minorEastAsia" w:hAnsiTheme="majorBidi" w:cstheme="majorBidi"/>
          <w:b/>
          <w:kern w:val="2"/>
          <w:sz w:val="24"/>
          <w:szCs w:val="24"/>
          <w14:ligatures w14:val="standardContextual"/>
        </w:rPr>
        <w:t>)</w:t>
      </w:r>
    </w:p>
    <w:p w14:paraId="3310593C" w14:textId="3F588898" w:rsidR="00627CB4" w:rsidRPr="00A50724" w:rsidRDefault="00627CB4" w:rsidP="00627CB4">
      <w:pPr>
        <w:pStyle w:val="ListParagraph"/>
        <w:spacing w:after="120"/>
        <w:rPr>
          <w:rFonts w:asciiTheme="majorBidi" w:hAnsiTheme="majorBidi" w:cstheme="majorBidi"/>
          <w:i/>
          <w:iCs/>
        </w:rPr>
      </w:pPr>
      <w:bookmarkStart w:id="14" w:name="_Hlk212852120"/>
      <w:r w:rsidRPr="00A50724">
        <w:rPr>
          <w:rFonts w:asciiTheme="majorBidi" w:hAnsiTheme="majorBidi" w:cstheme="majorBidi"/>
          <w:i/>
          <w:iCs/>
        </w:rPr>
        <w:t>The Committee therefore agreed:</w:t>
      </w:r>
    </w:p>
    <w:bookmarkEnd w:id="14"/>
    <w:p w14:paraId="1B5CEC3D" w14:textId="1BB127A9" w:rsidR="00627CB4" w:rsidRPr="00E75413" w:rsidRDefault="00627CB4" w:rsidP="00627CB4">
      <w:pPr>
        <w:pStyle w:val="NormalNonumber"/>
        <w:tabs>
          <w:tab w:val="clear" w:pos="624"/>
          <w:tab w:val="clear" w:pos="1247"/>
          <w:tab w:val="clear" w:pos="1871"/>
          <w:tab w:val="left" w:pos="709"/>
          <w:tab w:val="left" w:pos="1418"/>
        </w:tabs>
        <w:ind w:left="709"/>
      </w:pPr>
      <w:r>
        <w:tab/>
      </w:r>
      <w:r w:rsidRPr="00A45453">
        <w:rPr>
          <w:i/>
          <w:iCs/>
        </w:rPr>
        <w:t>Noting with appreciation</w:t>
      </w:r>
      <w:r w:rsidRPr="00627CB4">
        <w:t xml:space="preserve"> </w:t>
      </w:r>
      <w:r w:rsidRPr="00E75413">
        <w:t>the information submitted by Bosnia and Herzegovina in support of its request to revise its existing consumption data for the baseline year 2009 for Annex C, group I, controlled substances (hydrochlorofluorocarbons),</w:t>
      </w:r>
    </w:p>
    <w:p w14:paraId="56DFA89D" w14:textId="048FD85E" w:rsidR="00627CB4" w:rsidRPr="00E75413" w:rsidRDefault="00627CB4" w:rsidP="00627CB4">
      <w:pPr>
        <w:pStyle w:val="NormalNonumber"/>
        <w:tabs>
          <w:tab w:val="clear" w:pos="624"/>
          <w:tab w:val="clear" w:pos="1247"/>
          <w:tab w:val="clear" w:pos="1871"/>
          <w:tab w:val="left" w:pos="709"/>
          <w:tab w:val="left" w:pos="1418"/>
        </w:tabs>
        <w:ind w:left="709"/>
      </w:pPr>
      <w:r>
        <w:tab/>
      </w:r>
      <w:r w:rsidRPr="00A45453">
        <w:rPr>
          <w:i/>
          <w:iCs/>
        </w:rPr>
        <w:t>Noting</w:t>
      </w:r>
      <w:r w:rsidRPr="00627CB4">
        <w:t xml:space="preserve"> </w:t>
      </w:r>
      <w:r w:rsidRPr="00E75413">
        <w:t>that</w:t>
      </w:r>
      <w:r w:rsidRPr="00627CB4">
        <w:t xml:space="preserve"> </w:t>
      </w:r>
      <w:r w:rsidRPr="00E75413">
        <w:t>decision XV/19 sets out the methodology for the submission of requests for the revision of baseline data,</w:t>
      </w:r>
    </w:p>
    <w:p w14:paraId="5D5481AD" w14:textId="1D6C44A0" w:rsidR="00627CB4" w:rsidRDefault="00627CB4" w:rsidP="00627CB4">
      <w:pPr>
        <w:pStyle w:val="NormalNonumber"/>
        <w:tabs>
          <w:tab w:val="clear" w:pos="624"/>
          <w:tab w:val="clear" w:pos="1247"/>
          <w:tab w:val="clear" w:pos="1871"/>
          <w:tab w:val="left" w:pos="709"/>
          <w:tab w:val="left" w:pos="1418"/>
        </w:tabs>
        <w:ind w:left="709"/>
      </w:pPr>
      <w:r>
        <w:tab/>
      </w:r>
      <w:r w:rsidRPr="00A45453">
        <w:rPr>
          <w:i/>
          <w:iCs/>
        </w:rPr>
        <w:t>Noting with appreciation</w:t>
      </w:r>
      <w:r w:rsidRPr="00627CB4">
        <w:t xml:space="preserve"> </w:t>
      </w:r>
      <w:r w:rsidRPr="00E75413">
        <w:t>the efforts made by Bosnia and Herzegovina to fulfil the information requirements of decision XV/19,</w:t>
      </w:r>
    </w:p>
    <w:p w14:paraId="0DFFA03E" w14:textId="5D91639F" w:rsidR="00627CB4" w:rsidRPr="00627CB4" w:rsidRDefault="00627CB4" w:rsidP="00627CB4">
      <w:pPr>
        <w:pStyle w:val="NormalNonumber"/>
        <w:tabs>
          <w:tab w:val="clear" w:pos="624"/>
          <w:tab w:val="clear" w:pos="1247"/>
          <w:tab w:val="clear" w:pos="1871"/>
          <w:tab w:val="left" w:pos="709"/>
          <w:tab w:val="left" w:pos="1418"/>
        </w:tabs>
        <w:ind w:left="709"/>
      </w:pPr>
      <w:r>
        <w:tab/>
      </w:r>
      <w:r w:rsidRPr="00E75413">
        <w:t xml:space="preserve">To forward for consideration by the Thirty-Seventh Meeting of the Parties to the Montreal Protocol on Substances that Deplete the Ozone Layer the draft decision set out in the annex to the present report, by which the Meeting of the Parties would approve the request by Bosnia and Herzegovina for the revision of its consumption data for hydrochlorofluorocarbons for the baseline year 2009 to </w:t>
      </w:r>
      <w:r w:rsidRPr="00627CB4">
        <w:t xml:space="preserve">5.96 ODP tonnes </w:t>
      </w:r>
      <w:r w:rsidRPr="00E75413">
        <w:t>(</w:t>
      </w:r>
      <w:r w:rsidRPr="00627CB4">
        <w:t xml:space="preserve">117, 966.60 </w:t>
      </w:r>
      <w:r w:rsidRPr="00E75413">
        <w:t>CO</w:t>
      </w:r>
      <w:r w:rsidRPr="00627CB4">
        <w:t>2</w:t>
      </w:r>
      <w:r w:rsidRPr="00E75413">
        <w:t>-equivalent tonnes)</w:t>
      </w:r>
      <w:r>
        <w:t>.</w:t>
      </w:r>
    </w:p>
    <w:p w14:paraId="5E5B16EC" w14:textId="0D23574B" w:rsidR="00077430" w:rsidRDefault="00077430" w:rsidP="00386EA5">
      <w:pPr>
        <w:pStyle w:val="NormalNonumber"/>
        <w:numPr>
          <w:ilvl w:val="0"/>
          <w:numId w:val="8"/>
        </w:numPr>
        <w:tabs>
          <w:tab w:val="clear" w:pos="624"/>
          <w:tab w:val="clear" w:pos="1247"/>
          <w:tab w:val="clear" w:pos="1871"/>
          <w:tab w:val="left" w:pos="709"/>
        </w:tabs>
        <w:spacing w:before="360"/>
        <w:rPr>
          <w:rFonts w:asciiTheme="majorBidi" w:eastAsiaTheme="minorEastAsia" w:hAnsiTheme="majorBidi" w:cstheme="majorBidi"/>
          <w:b/>
          <w:kern w:val="2"/>
          <w:sz w:val="24"/>
          <w:szCs w:val="24"/>
          <w14:ligatures w14:val="standardContextual"/>
        </w:rPr>
      </w:pPr>
      <w:r>
        <w:rPr>
          <w:rFonts w:asciiTheme="majorBidi" w:eastAsiaTheme="minorEastAsia" w:hAnsiTheme="majorBidi" w:cstheme="majorBidi"/>
          <w:b/>
          <w:kern w:val="2"/>
          <w:sz w:val="24"/>
          <w:szCs w:val="24"/>
          <w14:ligatures w14:val="standardContextual"/>
        </w:rPr>
        <w:t>Bosnia and Herzegovina (HFC</w:t>
      </w:r>
      <w:r w:rsidR="00D75057" w:rsidRPr="00D75057">
        <w:t xml:space="preserve"> </w:t>
      </w:r>
      <w:r w:rsidR="00D75057" w:rsidRPr="00D75057">
        <w:rPr>
          <w:rFonts w:asciiTheme="majorBidi" w:eastAsiaTheme="minorEastAsia" w:hAnsiTheme="majorBidi" w:cstheme="majorBidi"/>
          <w:b/>
          <w:kern w:val="2"/>
          <w:sz w:val="24"/>
          <w:szCs w:val="24"/>
          <w14:ligatures w14:val="standardContextual"/>
        </w:rPr>
        <w:t>baseline revision request</w:t>
      </w:r>
      <w:r>
        <w:rPr>
          <w:rFonts w:asciiTheme="majorBidi" w:eastAsiaTheme="minorEastAsia" w:hAnsiTheme="majorBidi" w:cstheme="majorBidi"/>
          <w:b/>
          <w:kern w:val="2"/>
          <w:sz w:val="24"/>
          <w:szCs w:val="24"/>
          <w14:ligatures w14:val="standardContextual"/>
        </w:rPr>
        <w:t>)</w:t>
      </w:r>
    </w:p>
    <w:p w14:paraId="288C9D79" w14:textId="77777777" w:rsidR="00A45453" w:rsidRPr="00A50724" w:rsidRDefault="00A45453" w:rsidP="00A45453">
      <w:pPr>
        <w:pStyle w:val="ListParagraph"/>
        <w:spacing w:after="120"/>
        <w:rPr>
          <w:rFonts w:asciiTheme="majorBidi" w:hAnsiTheme="majorBidi" w:cstheme="majorBidi"/>
          <w:i/>
          <w:iCs/>
        </w:rPr>
      </w:pPr>
      <w:r w:rsidRPr="00A50724">
        <w:rPr>
          <w:rFonts w:asciiTheme="majorBidi" w:hAnsiTheme="majorBidi" w:cstheme="majorBidi"/>
          <w:i/>
          <w:iCs/>
        </w:rPr>
        <w:t>The Committee therefore agreed:</w:t>
      </w:r>
    </w:p>
    <w:p w14:paraId="17874C57" w14:textId="68CE0B52" w:rsidR="00A45453" w:rsidRPr="00FE33BB" w:rsidRDefault="00A45453" w:rsidP="00A45453">
      <w:pPr>
        <w:pStyle w:val="NormalNonumber"/>
        <w:tabs>
          <w:tab w:val="clear" w:pos="624"/>
          <w:tab w:val="clear" w:pos="1247"/>
          <w:tab w:val="clear" w:pos="1871"/>
          <w:tab w:val="left" w:pos="709"/>
          <w:tab w:val="left" w:pos="1418"/>
        </w:tabs>
        <w:ind w:left="709"/>
      </w:pPr>
      <w:r>
        <w:rPr>
          <w:i/>
          <w:iCs/>
        </w:rPr>
        <w:tab/>
      </w:r>
      <w:r w:rsidRPr="00A45453">
        <w:rPr>
          <w:i/>
          <w:iCs/>
        </w:rPr>
        <w:t>Noting with appreciation</w:t>
      </w:r>
      <w:r w:rsidRPr="00A45453">
        <w:t xml:space="preserve"> </w:t>
      </w:r>
      <w:r w:rsidRPr="00FE33BB">
        <w:t>the information submitted by Bosnia and Herzegovina in support of its request to revise its existing consumption data for the baseline year 2022 for Annex F, group I, controlled substances (hydrofluorocarbons),</w:t>
      </w:r>
    </w:p>
    <w:p w14:paraId="3C885FFA" w14:textId="43954086" w:rsidR="00A45453" w:rsidRPr="00FE33BB" w:rsidRDefault="00A45453" w:rsidP="00A45453">
      <w:pPr>
        <w:pStyle w:val="NormalNonumber"/>
        <w:tabs>
          <w:tab w:val="clear" w:pos="624"/>
          <w:tab w:val="clear" w:pos="1247"/>
          <w:tab w:val="clear" w:pos="1871"/>
          <w:tab w:val="left" w:pos="709"/>
          <w:tab w:val="left" w:pos="1418"/>
        </w:tabs>
        <w:ind w:left="709"/>
      </w:pPr>
      <w:r>
        <w:rPr>
          <w:i/>
          <w:iCs/>
        </w:rPr>
        <w:tab/>
      </w:r>
      <w:r w:rsidRPr="00A45453">
        <w:rPr>
          <w:i/>
          <w:iCs/>
        </w:rPr>
        <w:t>Noting</w:t>
      </w:r>
      <w:r w:rsidRPr="00A45453">
        <w:t xml:space="preserve"> </w:t>
      </w:r>
      <w:r w:rsidRPr="00FE33BB">
        <w:t>that</w:t>
      </w:r>
      <w:r w:rsidRPr="00A45453">
        <w:t xml:space="preserve"> </w:t>
      </w:r>
      <w:r w:rsidRPr="00FE33BB">
        <w:t>decision XV/19 sets out the methodology for the submission of requests for the revision of baseline data,</w:t>
      </w:r>
    </w:p>
    <w:p w14:paraId="56D6C067" w14:textId="4FD9388F" w:rsidR="00A45453" w:rsidRDefault="00A45453" w:rsidP="00A45453">
      <w:pPr>
        <w:pStyle w:val="NormalNonumber"/>
        <w:tabs>
          <w:tab w:val="clear" w:pos="624"/>
          <w:tab w:val="clear" w:pos="1247"/>
          <w:tab w:val="clear" w:pos="1871"/>
          <w:tab w:val="left" w:pos="709"/>
          <w:tab w:val="left" w:pos="1418"/>
        </w:tabs>
        <w:ind w:left="709"/>
      </w:pPr>
      <w:r>
        <w:rPr>
          <w:i/>
          <w:iCs/>
        </w:rPr>
        <w:tab/>
      </w:r>
      <w:r w:rsidRPr="00A45453">
        <w:rPr>
          <w:i/>
          <w:iCs/>
        </w:rPr>
        <w:t>Noting with appreciation</w:t>
      </w:r>
      <w:r w:rsidRPr="00A45453">
        <w:t xml:space="preserve"> </w:t>
      </w:r>
      <w:r w:rsidRPr="00FE33BB">
        <w:t>the efforts made by Bosnia and Herzegovina to fulfil the information requirements of decision XV/19,</w:t>
      </w:r>
    </w:p>
    <w:p w14:paraId="380AFCBC" w14:textId="35AB87BA" w:rsidR="00A45453" w:rsidRDefault="00A45453" w:rsidP="00A45453">
      <w:pPr>
        <w:pStyle w:val="NormalNonumber"/>
        <w:tabs>
          <w:tab w:val="clear" w:pos="624"/>
          <w:tab w:val="clear" w:pos="1247"/>
          <w:tab w:val="clear" w:pos="1871"/>
          <w:tab w:val="left" w:pos="709"/>
          <w:tab w:val="left" w:pos="1418"/>
        </w:tabs>
        <w:ind w:left="709"/>
        <w:rPr>
          <w:rFonts w:asciiTheme="majorBidi" w:eastAsiaTheme="minorEastAsia" w:hAnsiTheme="majorBidi" w:cstheme="majorBidi"/>
          <w:b/>
          <w:kern w:val="2"/>
          <w:sz w:val="24"/>
          <w:szCs w:val="24"/>
          <w14:ligatures w14:val="standardContextual"/>
        </w:rPr>
      </w:pPr>
      <w:r>
        <w:tab/>
      </w:r>
      <w:r w:rsidRPr="00A45453">
        <w:t xml:space="preserve">To forward for consideration by the Thirty-Seventh Meeting of the Parties to the Montreal Protocol on Substances that Deplete the Ozone Layer the draft decision set out in the annex to the present report, by which the Meeting of the Parties would approve the request by </w:t>
      </w:r>
      <w:r w:rsidRPr="00A45453">
        <w:lastRenderedPageBreak/>
        <w:t xml:space="preserve">Bosnia and Herzegovina for the revision of its consumption data for hydrofluorocarbons for the baseline year 2022 to 1,402,682 CO2-equivalent </w:t>
      </w:r>
      <w:proofErr w:type="spellStart"/>
      <w:r w:rsidRPr="00A45453">
        <w:t>tonnes</w:t>
      </w:r>
      <w:proofErr w:type="spellEnd"/>
      <w:r w:rsidRPr="00A45453">
        <w:t>.</w:t>
      </w:r>
    </w:p>
    <w:p w14:paraId="06C49D75" w14:textId="00D50A81" w:rsidR="00077430" w:rsidRDefault="00A45453" w:rsidP="00386EA5">
      <w:pPr>
        <w:pStyle w:val="NormalNonumber"/>
        <w:numPr>
          <w:ilvl w:val="0"/>
          <w:numId w:val="8"/>
        </w:numPr>
        <w:tabs>
          <w:tab w:val="clear" w:pos="624"/>
          <w:tab w:val="clear" w:pos="1247"/>
          <w:tab w:val="clear" w:pos="1871"/>
          <w:tab w:val="left" w:pos="709"/>
        </w:tabs>
        <w:spacing w:before="360"/>
        <w:rPr>
          <w:rFonts w:asciiTheme="majorBidi" w:eastAsiaTheme="minorEastAsia" w:hAnsiTheme="majorBidi" w:cstheme="majorBidi"/>
          <w:b/>
          <w:kern w:val="2"/>
          <w:sz w:val="24"/>
          <w:szCs w:val="24"/>
          <w14:ligatures w14:val="standardContextual"/>
        </w:rPr>
      </w:pPr>
      <w:r>
        <w:rPr>
          <w:rFonts w:asciiTheme="majorBidi" w:eastAsiaTheme="minorEastAsia" w:hAnsiTheme="majorBidi" w:cstheme="majorBidi"/>
          <w:b/>
          <w:kern w:val="2"/>
          <w:sz w:val="24"/>
          <w:szCs w:val="24"/>
          <w14:ligatures w14:val="standardContextual"/>
        </w:rPr>
        <w:t>Brazil</w:t>
      </w:r>
      <w:r w:rsidR="00131B07" w:rsidRPr="00131B07">
        <w:rPr>
          <w:rFonts w:asciiTheme="majorBidi" w:eastAsiaTheme="minorEastAsia" w:hAnsiTheme="majorBidi" w:cstheme="majorBidi"/>
          <w:b/>
          <w:kern w:val="2"/>
          <w:sz w:val="24"/>
          <w:szCs w:val="24"/>
          <w14:ligatures w14:val="standardContextual"/>
        </w:rPr>
        <w:t xml:space="preserve"> </w:t>
      </w:r>
      <w:r w:rsidR="00131B07">
        <w:rPr>
          <w:rFonts w:asciiTheme="majorBidi" w:eastAsiaTheme="minorEastAsia" w:hAnsiTheme="majorBidi" w:cstheme="majorBidi"/>
          <w:b/>
          <w:kern w:val="2"/>
          <w:sz w:val="24"/>
          <w:szCs w:val="24"/>
          <w14:ligatures w14:val="standardContextual"/>
        </w:rPr>
        <w:t>(baseline revision request)</w:t>
      </w:r>
    </w:p>
    <w:p w14:paraId="1FB732CE" w14:textId="77777777" w:rsidR="00A45453" w:rsidRDefault="00A45453" w:rsidP="00A45453">
      <w:pPr>
        <w:pStyle w:val="ListParagraph"/>
        <w:spacing w:after="120"/>
        <w:rPr>
          <w:rFonts w:asciiTheme="majorBidi" w:hAnsiTheme="majorBidi" w:cstheme="majorBidi"/>
          <w:i/>
          <w:iCs/>
        </w:rPr>
      </w:pPr>
      <w:bookmarkStart w:id="15" w:name="_Hlk212852324"/>
      <w:r w:rsidRPr="00A50724">
        <w:rPr>
          <w:rFonts w:asciiTheme="majorBidi" w:hAnsiTheme="majorBidi" w:cstheme="majorBidi"/>
          <w:i/>
          <w:iCs/>
        </w:rPr>
        <w:t>The Committee therefore agreed:</w:t>
      </w:r>
    </w:p>
    <w:bookmarkEnd w:id="15"/>
    <w:p w14:paraId="68912DDC" w14:textId="77777777" w:rsidR="00A45453" w:rsidRPr="00713F10" w:rsidRDefault="00A45453" w:rsidP="00A45453">
      <w:pPr>
        <w:pStyle w:val="NormalNonumber"/>
        <w:tabs>
          <w:tab w:val="clear" w:pos="1247"/>
          <w:tab w:val="left" w:pos="709"/>
        </w:tabs>
        <w:ind w:left="709" w:firstLine="709"/>
      </w:pPr>
      <w:r w:rsidRPr="00713F10">
        <w:rPr>
          <w:i/>
        </w:rPr>
        <w:t xml:space="preserve">Noting with appreciation </w:t>
      </w:r>
      <w:r w:rsidRPr="00713F10">
        <w:t>the information submitted by Brazil in support of its request to revise its existing consumption data for the baseline year 2022 for Annex F, group I, controlled substances (hydrofluorocarbons),</w:t>
      </w:r>
    </w:p>
    <w:p w14:paraId="24992F1C" w14:textId="77777777" w:rsidR="00A45453" w:rsidRPr="00713F10" w:rsidRDefault="00A45453" w:rsidP="00A45453">
      <w:pPr>
        <w:pStyle w:val="NormalNonumber"/>
        <w:tabs>
          <w:tab w:val="clear" w:pos="1247"/>
          <w:tab w:val="left" w:pos="709"/>
        </w:tabs>
        <w:ind w:left="709" w:firstLine="709"/>
      </w:pPr>
      <w:r w:rsidRPr="00713F10">
        <w:rPr>
          <w:i/>
        </w:rPr>
        <w:t xml:space="preserve">Noting </w:t>
      </w:r>
      <w:r w:rsidRPr="00713F10">
        <w:t>that</w:t>
      </w:r>
      <w:r w:rsidRPr="00713F10">
        <w:rPr>
          <w:i/>
        </w:rPr>
        <w:t xml:space="preserve"> </w:t>
      </w:r>
      <w:r w:rsidRPr="00713F10">
        <w:t>decision XV/19 sets out the methodology for the submission of requests for the revision of baseline data,</w:t>
      </w:r>
    </w:p>
    <w:p w14:paraId="23B10503" w14:textId="77777777" w:rsidR="00A45453" w:rsidRDefault="00A45453" w:rsidP="00A45453">
      <w:pPr>
        <w:pStyle w:val="NormalNonumber"/>
        <w:tabs>
          <w:tab w:val="clear" w:pos="1247"/>
          <w:tab w:val="left" w:pos="709"/>
        </w:tabs>
        <w:ind w:left="709" w:firstLine="709"/>
      </w:pPr>
      <w:r w:rsidRPr="00713F10">
        <w:rPr>
          <w:i/>
        </w:rPr>
        <w:t xml:space="preserve">Noting with appreciation </w:t>
      </w:r>
      <w:r w:rsidRPr="00713F10">
        <w:t>the efforts made by Brazil to fulfil the information requirements of decision XV/19,</w:t>
      </w:r>
    </w:p>
    <w:p w14:paraId="591A14A3" w14:textId="77777777" w:rsidR="00A45453" w:rsidRPr="006E4813" w:rsidRDefault="00A45453" w:rsidP="00A45453">
      <w:pPr>
        <w:pStyle w:val="NormalNonumber"/>
        <w:tabs>
          <w:tab w:val="clear" w:pos="1247"/>
          <w:tab w:val="left" w:pos="709"/>
        </w:tabs>
        <w:ind w:left="709" w:firstLine="709"/>
        <w:rPr>
          <w:iCs/>
        </w:rPr>
      </w:pPr>
      <w:r w:rsidRPr="00713F10">
        <w:t xml:space="preserve">To forward for consideration by the Thirty-Seventh Meeting of the Parties to the Montreal Protocol on Substances that Deplete the Ozone Layer the draft decision set out in the annex to the present report, by which the Meeting of the Parties would approve the request by Brazil for the revision of its consumption data for hydrofluorocarbons for the baseline year 2022 to </w:t>
      </w:r>
      <w:r w:rsidRPr="00713F10">
        <w:rPr>
          <w:color w:val="000000"/>
        </w:rPr>
        <w:t>79,416,087</w:t>
      </w:r>
      <w:r w:rsidRPr="00713F10">
        <w:rPr>
          <w:color w:val="000000"/>
          <w:sz w:val="18"/>
          <w:szCs w:val="18"/>
        </w:rPr>
        <w:t xml:space="preserve"> </w:t>
      </w:r>
      <w:r w:rsidRPr="00713F10">
        <w:t>CO</w:t>
      </w:r>
      <w:r w:rsidRPr="00713F10">
        <w:rPr>
          <w:vertAlign w:val="subscript"/>
        </w:rPr>
        <w:t>2</w:t>
      </w:r>
      <w:r w:rsidRPr="00713F10">
        <w:t xml:space="preserve">-equivalent </w:t>
      </w:r>
      <w:proofErr w:type="spellStart"/>
      <w:r w:rsidRPr="00713F10">
        <w:t>tonnes</w:t>
      </w:r>
      <w:proofErr w:type="spellEnd"/>
      <w:r>
        <w:t>.</w:t>
      </w:r>
    </w:p>
    <w:p w14:paraId="39C3183D" w14:textId="3377C6B1" w:rsidR="00627CB4" w:rsidRDefault="004D3312" w:rsidP="00386EA5">
      <w:pPr>
        <w:pStyle w:val="NormalNonumber"/>
        <w:numPr>
          <w:ilvl w:val="0"/>
          <w:numId w:val="8"/>
        </w:numPr>
        <w:tabs>
          <w:tab w:val="clear" w:pos="624"/>
          <w:tab w:val="clear" w:pos="1247"/>
          <w:tab w:val="clear" w:pos="1871"/>
          <w:tab w:val="left" w:pos="709"/>
        </w:tabs>
        <w:spacing w:before="360"/>
        <w:rPr>
          <w:rFonts w:asciiTheme="majorBidi" w:eastAsiaTheme="minorEastAsia" w:hAnsiTheme="majorBidi" w:cstheme="majorBidi"/>
          <w:b/>
          <w:kern w:val="2"/>
          <w:sz w:val="24"/>
          <w:szCs w:val="24"/>
          <w14:ligatures w14:val="standardContextual"/>
        </w:rPr>
      </w:pPr>
      <w:r>
        <w:rPr>
          <w:rFonts w:asciiTheme="majorBidi" w:eastAsiaTheme="minorEastAsia" w:hAnsiTheme="majorBidi" w:cstheme="majorBidi"/>
          <w:b/>
          <w:kern w:val="2"/>
          <w:sz w:val="24"/>
          <w:szCs w:val="24"/>
          <w14:ligatures w14:val="standardContextual"/>
        </w:rPr>
        <w:t>Somalia</w:t>
      </w:r>
      <w:r w:rsidR="00131B07">
        <w:rPr>
          <w:rFonts w:asciiTheme="majorBidi" w:eastAsiaTheme="minorEastAsia" w:hAnsiTheme="majorBidi" w:cstheme="majorBidi"/>
          <w:b/>
          <w:kern w:val="2"/>
          <w:sz w:val="24"/>
          <w:szCs w:val="24"/>
          <w14:ligatures w14:val="standardContextual"/>
        </w:rPr>
        <w:t xml:space="preserve"> (baseline revision request)</w:t>
      </w:r>
    </w:p>
    <w:p w14:paraId="7DFC78FA" w14:textId="77777777" w:rsidR="004D3312" w:rsidRDefault="004D3312" w:rsidP="004D3312">
      <w:pPr>
        <w:pStyle w:val="ListParagraph"/>
        <w:spacing w:after="120"/>
        <w:rPr>
          <w:rFonts w:asciiTheme="majorBidi" w:hAnsiTheme="majorBidi" w:cstheme="majorBidi"/>
          <w:i/>
          <w:iCs/>
        </w:rPr>
      </w:pPr>
      <w:r w:rsidRPr="00A50724">
        <w:rPr>
          <w:rFonts w:asciiTheme="majorBidi" w:hAnsiTheme="majorBidi" w:cstheme="majorBidi"/>
          <w:i/>
          <w:iCs/>
        </w:rPr>
        <w:t>The Committee therefore agreed:</w:t>
      </w:r>
    </w:p>
    <w:p w14:paraId="00A1A73F" w14:textId="27F35C77" w:rsidR="004D3312" w:rsidRPr="00713F10" w:rsidRDefault="004D3312" w:rsidP="004D3312">
      <w:pPr>
        <w:pStyle w:val="NormalNonumber"/>
        <w:tabs>
          <w:tab w:val="clear" w:pos="1247"/>
          <w:tab w:val="clear" w:pos="1871"/>
          <w:tab w:val="clear" w:pos="2495"/>
          <w:tab w:val="left" w:pos="709"/>
          <w:tab w:val="left" w:pos="1418"/>
        </w:tabs>
        <w:ind w:left="709"/>
      </w:pPr>
      <w:r>
        <w:rPr>
          <w:i/>
        </w:rPr>
        <w:tab/>
      </w:r>
      <w:r w:rsidRPr="00713F10">
        <w:rPr>
          <w:i/>
        </w:rPr>
        <w:t xml:space="preserve">Taking note </w:t>
      </w:r>
      <w:r w:rsidRPr="00713F10">
        <w:t>of</w:t>
      </w:r>
      <w:r w:rsidRPr="00713F10">
        <w:rPr>
          <w:i/>
        </w:rPr>
        <w:t xml:space="preserve"> </w:t>
      </w:r>
      <w:r w:rsidRPr="00713F10">
        <w:t>the request by Somalia for the revision of its existing consumption data for the baseline year 2022 for Annex F, group I, controlled substances (hydrofluorocarbons),</w:t>
      </w:r>
    </w:p>
    <w:p w14:paraId="5499C5C5" w14:textId="3E2F0484" w:rsidR="004D3312" w:rsidRPr="00713F10" w:rsidRDefault="004D3312" w:rsidP="004D3312">
      <w:pPr>
        <w:pStyle w:val="NormalNonumber"/>
        <w:tabs>
          <w:tab w:val="clear" w:pos="1247"/>
          <w:tab w:val="clear" w:pos="1871"/>
          <w:tab w:val="clear" w:pos="2495"/>
          <w:tab w:val="left" w:pos="709"/>
          <w:tab w:val="left" w:pos="1418"/>
        </w:tabs>
        <w:ind w:left="709"/>
      </w:pPr>
      <w:r>
        <w:rPr>
          <w:i/>
        </w:rPr>
        <w:tab/>
      </w:r>
      <w:r w:rsidRPr="00713F10">
        <w:rPr>
          <w:i/>
        </w:rPr>
        <w:t>Recalling</w:t>
      </w:r>
      <w:r w:rsidRPr="00713F10">
        <w:t xml:space="preserve"> decision XV/19, which sets out the methodology for the submission of requests for the revision of baseline data,</w:t>
      </w:r>
    </w:p>
    <w:p w14:paraId="2A450503" w14:textId="7E24A2BD" w:rsidR="004D3312" w:rsidRPr="00713F10" w:rsidRDefault="004D3312" w:rsidP="004D3312">
      <w:pPr>
        <w:pStyle w:val="NormalNonumber"/>
        <w:tabs>
          <w:tab w:val="clear" w:pos="1247"/>
          <w:tab w:val="clear" w:pos="1871"/>
          <w:tab w:val="clear" w:pos="2495"/>
          <w:tab w:val="left" w:pos="709"/>
          <w:tab w:val="left" w:pos="1418"/>
        </w:tabs>
        <w:ind w:left="709"/>
      </w:pPr>
      <w:r>
        <w:rPr>
          <w:i/>
        </w:rPr>
        <w:tab/>
      </w:r>
      <w:r w:rsidRPr="00713F10">
        <w:rPr>
          <w:i/>
        </w:rPr>
        <w:t xml:space="preserve">Noting with appreciation </w:t>
      </w:r>
      <w:r w:rsidRPr="00713F10">
        <w:t>the information provided by Somalia to support its request for the revision of its baseline data,</w:t>
      </w:r>
    </w:p>
    <w:p w14:paraId="34DE1F5A" w14:textId="17FFF091" w:rsidR="004D3312" w:rsidRPr="00713F10" w:rsidRDefault="004D3312" w:rsidP="004D3312">
      <w:pPr>
        <w:pStyle w:val="NormalNonumber"/>
        <w:tabs>
          <w:tab w:val="clear" w:pos="1247"/>
          <w:tab w:val="clear" w:pos="1871"/>
          <w:tab w:val="clear" w:pos="2495"/>
          <w:tab w:val="clear" w:pos="3119"/>
          <w:tab w:val="left" w:pos="709"/>
          <w:tab w:val="left" w:pos="1418"/>
        </w:tabs>
        <w:ind w:left="709"/>
      </w:pPr>
      <w:r>
        <w:rPr>
          <w:i/>
        </w:rPr>
        <w:tab/>
      </w:r>
      <w:r w:rsidRPr="00713F10">
        <w:rPr>
          <w:i/>
        </w:rPr>
        <w:t xml:space="preserve">Noting, </w:t>
      </w:r>
      <w:r w:rsidRPr="00713F10">
        <w:rPr>
          <w:iCs/>
        </w:rPr>
        <w:t>however,</w:t>
      </w:r>
      <w:r w:rsidRPr="00713F10">
        <w:t xml:space="preserve"> that the information submitted was considered by the Implementation Committee under the Non-Compliance Procedure for the Montreal Protocol to be insufficient to enable it to approve the changes requested by the party,</w:t>
      </w:r>
    </w:p>
    <w:p w14:paraId="4865A2AD" w14:textId="35DBF996" w:rsidR="004D3312" w:rsidRDefault="004D3312" w:rsidP="004D3312">
      <w:pPr>
        <w:pStyle w:val="NormalNonumber"/>
        <w:numPr>
          <w:ilvl w:val="0"/>
          <w:numId w:val="27"/>
        </w:numPr>
        <w:tabs>
          <w:tab w:val="clear" w:pos="1247"/>
          <w:tab w:val="clear" w:pos="1871"/>
          <w:tab w:val="clear" w:pos="2495"/>
          <w:tab w:val="clear" w:pos="3119"/>
          <w:tab w:val="clear" w:pos="3742"/>
          <w:tab w:val="clear" w:pos="4366"/>
          <w:tab w:val="left" w:pos="709"/>
        </w:tabs>
        <w:ind w:left="709" w:firstLine="0"/>
      </w:pPr>
      <w:r w:rsidRPr="00713F10">
        <w:t xml:space="preserve">To request Somalia to submit to the Ozone Secretariat the outstanding information that is needed to meet the requirements of decision XV/19, </w:t>
      </w:r>
      <w:proofErr w:type="gramStart"/>
      <w:r w:rsidRPr="00713F10">
        <w:t>in order to</w:t>
      </w:r>
      <w:proofErr w:type="gramEnd"/>
      <w:r w:rsidRPr="00713F10">
        <w:t xml:space="preserve"> significantly substantiate its request for the revision of its hydrofluorocarbon baseline data, as soon as possible and preferably no later than 31 March 2026, for consideration by the Implementation Committee at its seventy-sixth </w:t>
      </w:r>
      <w:proofErr w:type="gramStart"/>
      <w:r w:rsidRPr="00713F10">
        <w:t>meeting;</w:t>
      </w:r>
      <w:proofErr w:type="gramEnd"/>
    </w:p>
    <w:p w14:paraId="735C4550" w14:textId="4DD38CAA" w:rsidR="004D3312" w:rsidRDefault="004D3312" w:rsidP="004D3312">
      <w:pPr>
        <w:pStyle w:val="NormalNonumber"/>
        <w:numPr>
          <w:ilvl w:val="0"/>
          <w:numId w:val="27"/>
        </w:numPr>
        <w:tabs>
          <w:tab w:val="clear" w:pos="1247"/>
          <w:tab w:val="clear" w:pos="1871"/>
          <w:tab w:val="clear" w:pos="2495"/>
          <w:tab w:val="clear" w:pos="3119"/>
          <w:tab w:val="clear" w:pos="3742"/>
          <w:tab w:val="clear" w:pos="4366"/>
          <w:tab w:val="left" w:pos="709"/>
        </w:tabs>
        <w:ind w:left="709" w:firstLine="0"/>
      </w:pPr>
      <w:r w:rsidRPr="004604D3">
        <w:t>To also request Somalia, in the event that the information required to support its request for the revision of its baseline data is confidential, to provide such information to the Secretariat in accordance with paragraph 2 of decision I/11, which will ensure that the data are treated with professional secrecy and as confidential when they are reported to the Implementation Committee</w:t>
      </w:r>
      <w:r>
        <w:t>.</w:t>
      </w:r>
    </w:p>
    <w:p w14:paraId="67B75ABE" w14:textId="5BDF42A8" w:rsidR="007720ED" w:rsidRPr="00FE1453" w:rsidRDefault="007720ED" w:rsidP="007720ED">
      <w:pPr>
        <w:tabs>
          <w:tab w:val="clear" w:pos="1247"/>
          <w:tab w:val="left" w:pos="624"/>
          <w:tab w:val="left" w:pos="709"/>
          <w:tab w:val="left" w:pos="1871"/>
          <w:tab w:val="left" w:pos="2495"/>
          <w:tab w:val="left" w:pos="3119"/>
          <w:tab w:val="left" w:pos="3742"/>
          <w:tab w:val="left" w:pos="4366"/>
          <w:tab w:val="left" w:pos="4990"/>
        </w:tabs>
        <w:spacing w:before="360" w:after="120"/>
        <w:ind w:left="709"/>
        <w:rPr>
          <w:b/>
          <w:bCs/>
        </w:rPr>
      </w:pPr>
      <w:r w:rsidRPr="00FE1453">
        <w:rPr>
          <w:b/>
          <w:bCs/>
        </w:rPr>
        <w:t>Draft decision XXXVII</w:t>
      </w:r>
      <w:proofErr w:type="gramStart"/>
      <w:r w:rsidRPr="00FE1453">
        <w:rPr>
          <w:b/>
          <w:bCs/>
        </w:rPr>
        <w:t>/[</w:t>
      </w:r>
      <w:proofErr w:type="gramEnd"/>
      <w:r w:rsidRPr="00FE1453">
        <w:rPr>
          <w:b/>
          <w:bCs/>
        </w:rPr>
        <w:t>--]: Request</w:t>
      </w:r>
      <w:r w:rsidR="00D72F5E">
        <w:rPr>
          <w:b/>
          <w:bCs/>
        </w:rPr>
        <w:t>s</w:t>
      </w:r>
      <w:r w:rsidRPr="00FE1453">
        <w:rPr>
          <w:b/>
          <w:bCs/>
        </w:rPr>
        <w:t xml:space="preserve"> for the revision of baseline data by </w:t>
      </w:r>
      <w:r w:rsidRPr="00A13178">
        <w:rPr>
          <w:b/>
          <w:bCs/>
        </w:rPr>
        <w:t>Bosnia and Herzegovina,</w:t>
      </w:r>
      <w:r w:rsidRPr="00FE1453">
        <w:rPr>
          <w:b/>
          <w:bCs/>
        </w:rPr>
        <w:t xml:space="preserve"> Brazil</w:t>
      </w:r>
      <w:r w:rsidRPr="00A13178">
        <w:rPr>
          <w:b/>
          <w:bCs/>
        </w:rPr>
        <w:t>,</w:t>
      </w:r>
      <w:r w:rsidRPr="00FE1453">
        <w:rPr>
          <w:b/>
          <w:bCs/>
        </w:rPr>
        <w:t xml:space="preserve"> Guinea</w:t>
      </w:r>
      <w:r w:rsidRPr="00A13178">
        <w:rPr>
          <w:b/>
          <w:bCs/>
        </w:rPr>
        <w:t xml:space="preserve"> and</w:t>
      </w:r>
      <w:r w:rsidRPr="00FE1453">
        <w:rPr>
          <w:b/>
          <w:bCs/>
        </w:rPr>
        <w:t xml:space="preserve"> Morocco</w:t>
      </w:r>
    </w:p>
    <w:p w14:paraId="00212A2E" w14:textId="6F215FF8" w:rsidR="007720ED" w:rsidRPr="00A13178" w:rsidRDefault="007720ED" w:rsidP="007720ED">
      <w:pPr>
        <w:tabs>
          <w:tab w:val="clear" w:pos="1247"/>
          <w:tab w:val="clear" w:pos="1814"/>
          <w:tab w:val="clear" w:pos="2381"/>
          <w:tab w:val="clear" w:pos="2948"/>
          <w:tab w:val="clear" w:pos="3515"/>
          <w:tab w:val="left" w:pos="624"/>
          <w:tab w:val="left" w:pos="709"/>
          <w:tab w:val="left" w:pos="1871"/>
          <w:tab w:val="left" w:pos="2495"/>
          <w:tab w:val="left" w:pos="3119"/>
          <w:tab w:val="left" w:pos="3742"/>
          <w:tab w:val="left" w:pos="4366"/>
          <w:tab w:val="left" w:pos="4990"/>
        </w:tabs>
        <w:spacing w:after="120"/>
        <w:ind w:left="709"/>
        <w:rPr>
          <w:i/>
          <w:iCs/>
        </w:rPr>
      </w:pPr>
      <w:r w:rsidRPr="00A13178">
        <w:rPr>
          <w:i/>
          <w:iCs/>
        </w:rPr>
        <w:t>The Thirty-Seventh Meeting of the Parties,</w:t>
      </w:r>
    </w:p>
    <w:p w14:paraId="135BE38E" w14:textId="5F37A2DB" w:rsidR="007720ED" w:rsidRPr="00FE1453" w:rsidRDefault="007720ED" w:rsidP="007720ED">
      <w:pPr>
        <w:tabs>
          <w:tab w:val="clear" w:pos="1247"/>
          <w:tab w:val="clear" w:pos="1814"/>
          <w:tab w:val="left" w:pos="624"/>
          <w:tab w:val="left" w:pos="709"/>
          <w:tab w:val="left" w:pos="1418"/>
          <w:tab w:val="left" w:pos="1871"/>
          <w:tab w:val="left" w:pos="2495"/>
          <w:tab w:val="left" w:pos="3119"/>
          <w:tab w:val="left" w:pos="3742"/>
          <w:tab w:val="left" w:pos="4366"/>
          <w:tab w:val="left" w:pos="4990"/>
        </w:tabs>
        <w:spacing w:after="120"/>
        <w:ind w:left="709"/>
      </w:pPr>
      <w:r>
        <w:rPr>
          <w:i/>
        </w:rPr>
        <w:tab/>
      </w:r>
      <w:r w:rsidRPr="00FE1453">
        <w:rPr>
          <w:i/>
        </w:rPr>
        <w:t>Noting</w:t>
      </w:r>
      <w:r w:rsidRPr="00FE1453">
        <w:t xml:space="preserve"> that, in decision XIII/15, the Thirteenth Meeting of the Parties to the Montreal Protocol on Substances that Deplete the Ozone Layer decided to advise parties that request changes in reported baseline data for base years to present their requests before the Implementation Committee under the Non-Compliance Procedure for the Montreal Protocol, which in turn would work with the Secretariat of the Montreal Protocol and the Executive Committee of the Multilateral Fund for the Implementation of the Montreal Protocol to confirm the justification for the changes and present them to the Meeting of the Parties for approval,</w:t>
      </w:r>
    </w:p>
    <w:p w14:paraId="473584F2" w14:textId="2A70581E" w:rsidR="007720ED" w:rsidRDefault="007720ED" w:rsidP="007720ED">
      <w:pPr>
        <w:tabs>
          <w:tab w:val="clear" w:pos="1247"/>
          <w:tab w:val="clear" w:pos="1814"/>
          <w:tab w:val="left" w:pos="624"/>
          <w:tab w:val="left" w:pos="709"/>
          <w:tab w:val="left" w:pos="1418"/>
          <w:tab w:val="left" w:pos="1871"/>
          <w:tab w:val="left" w:pos="2495"/>
          <w:tab w:val="left" w:pos="3119"/>
          <w:tab w:val="left" w:pos="3742"/>
          <w:tab w:val="left" w:pos="4366"/>
          <w:tab w:val="left" w:pos="4990"/>
        </w:tabs>
        <w:spacing w:after="120"/>
        <w:ind w:left="709"/>
      </w:pPr>
      <w:r>
        <w:rPr>
          <w:i/>
        </w:rPr>
        <w:tab/>
      </w:r>
      <w:r w:rsidRPr="00FE1453">
        <w:rPr>
          <w:i/>
        </w:rPr>
        <w:t>Noting also</w:t>
      </w:r>
      <w:r w:rsidRPr="00FE1453">
        <w:t xml:space="preserve"> that decision XV/19 sets out the methodology for the submission of such requests,</w:t>
      </w:r>
    </w:p>
    <w:p w14:paraId="6B3A0F42" w14:textId="77777777" w:rsidR="007720ED" w:rsidRDefault="007720ED" w:rsidP="007720ED">
      <w:pPr>
        <w:tabs>
          <w:tab w:val="clear" w:pos="1247"/>
          <w:tab w:val="left" w:pos="709"/>
        </w:tabs>
        <w:spacing w:after="120"/>
        <w:ind w:left="709"/>
        <w:rPr>
          <w:i/>
        </w:rPr>
      </w:pPr>
      <w:r w:rsidRPr="00A13178">
        <w:rPr>
          <w:i/>
        </w:rPr>
        <w:lastRenderedPageBreak/>
        <w:t>Decides:</w:t>
      </w:r>
    </w:p>
    <w:p w14:paraId="2D68571B" w14:textId="77777777" w:rsidR="007720ED" w:rsidRPr="00A13178" w:rsidRDefault="007720ED" w:rsidP="007720ED">
      <w:pPr>
        <w:numPr>
          <w:ilvl w:val="6"/>
          <w:numId w:val="30"/>
        </w:numPr>
        <w:tabs>
          <w:tab w:val="clear" w:pos="1247"/>
          <w:tab w:val="clear" w:pos="1814"/>
          <w:tab w:val="left" w:pos="624"/>
          <w:tab w:val="left" w:pos="709"/>
          <w:tab w:val="left" w:pos="1418"/>
        </w:tabs>
        <w:spacing w:after="120"/>
        <w:ind w:left="709" w:firstLine="0"/>
      </w:pPr>
      <w:bookmarkStart w:id="16" w:name="_Hlk211330762"/>
      <w:r w:rsidRPr="00A13178">
        <w:t xml:space="preserve">That Bosnia and Herzegovina has presented sufficient information, in accordance with decision XV/19, to justify its request for the revision of its consumption data for hydrochlorofluorocarbons for 2009, which are part of the baseline for Article 5, group 1, parties under the Kigali Amendment to the Montreal Protocol on Substances that Deplete the Ozone </w:t>
      </w:r>
      <w:proofErr w:type="gramStart"/>
      <w:r w:rsidRPr="00A13178">
        <w:t>Layer;</w:t>
      </w:r>
      <w:proofErr w:type="gramEnd"/>
    </w:p>
    <w:p w14:paraId="16E271AA" w14:textId="77777777" w:rsidR="007720ED" w:rsidRPr="00A13178" w:rsidRDefault="007720ED" w:rsidP="007720ED">
      <w:pPr>
        <w:numPr>
          <w:ilvl w:val="6"/>
          <w:numId w:val="30"/>
        </w:numPr>
        <w:tabs>
          <w:tab w:val="clear" w:pos="1247"/>
          <w:tab w:val="clear" w:pos="1814"/>
          <w:tab w:val="left" w:pos="624"/>
          <w:tab w:val="left" w:pos="709"/>
          <w:tab w:val="left" w:pos="1418"/>
        </w:tabs>
        <w:spacing w:after="120"/>
        <w:ind w:left="709" w:firstLine="0"/>
      </w:pPr>
      <w:r w:rsidRPr="00A13178">
        <w:t>To approve the request by Bosnia and Herzegovina and to revise its consumption data for hydrochlorofluorocarbons for the baseline year 2009 as indicated in the following table:</w:t>
      </w:r>
    </w:p>
    <w:tbl>
      <w:tblPr>
        <w:tblStyle w:val="TableGrid"/>
        <w:tblW w:w="83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701"/>
        <w:gridCol w:w="1843"/>
        <w:gridCol w:w="1412"/>
        <w:gridCol w:w="1692"/>
      </w:tblGrid>
      <w:tr w:rsidR="007720ED" w:rsidRPr="00A13178" w14:paraId="3B19DE6C" w14:textId="77777777" w:rsidTr="007720ED">
        <w:trPr>
          <w:trHeight w:val="57"/>
        </w:trPr>
        <w:tc>
          <w:tcPr>
            <w:tcW w:w="1696" w:type="dxa"/>
            <w:tcBorders>
              <w:top w:val="single" w:sz="4" w:space="0" w:color="auto"/>
              <w:bottom w:val="single" w:sz="4" w:space="0" w:color="auto"/>
            </w:tcBorders>
            <w:vAlign w:val="bottom"/>
          </w:tcPr>
          <w:p w14:paraId="082F4BD8" w14:textId="77777777" w:rsidR="007720ED" w:rsidRPr="003B159F" w:rsidRDefault="007720ED" w:rsidP="00EE3619">
            <w:pPr>
              <w:keepNext/>
              <w:keepLines/>
              <w:tabs>
                <w:tab w:val="left" w:pos="624"/>
                <w:tab w:val="left" w:pos="1871"/>
                <w:tab w:val="left" w:pos="2495"/>
                <w:tab w:val="left" w:pos="3119"/>
                <w:tab w:val="left" w:pos="3742"/>
                <w:tab w:val="left" w:pos="4366"/>
                <w:tab w:val="left" w:pos="4990"/>
              </w:tabs>
              <w:spacing w:before="40" w:after="40"/>
              <w:rPr>
                <w:sz w:val="18"/>
                <w:lang w:val="en-US"/>
              </w:rPr>
            </w:pPr>
          </w:p>
        </w:tc>
        <w:tc>
          <w:tcPr>
            <w:tcW w:w="3544" w:type="dxa"/>
            <w:gridSpan w:val="2"/>
            <w:tcBorders>
              <w:top w:val="single" w:sz="4" w:space="0" w:color="auto"/>
              <w:bottom w:val="single" w:sz="4" w:space="0" w:color="auto"/>
            </w:tcBorders>
          </w:tcPr>
          <w:p w14:paraId="197D6314" w14:textId="77777777" w:rsidR="007720ED" w:rsidRPr="00A13178" w:rsidRDefault="007720ED" w:rsidP="00EE3619">
            <w:pPr>
              <w:keepNext/>
              <w:keepLines/>
              <w:tabs>
                <w:tab w:val="left" w:pos="624"/>
                <w:tab w:val="left" w:pos="1871"/>
                <w:tab w:val="left" w:pos="2495"/>
                <w:tab w:val="left" w:pos="3119"/>
                <w:tab w:val="left" w:pos="3742"/>
                <w:tab w:val="left" w:pos="4366"/>
                <w:tab w:val="left" w:pos="4990"/>
              </w:tabs>
              <w:spacing w:before="40" w:after="40"/>
              <w:jc w:val="center"/>
              <w:rPr>
                <w:sz w:val="18"/>
              </w:rPr>
            </w:pPr>
            <w:proofErr w:type="spellStart"/>
            <w:r w:rsidRPr="00A13178">
              <w:rPr>
                <w:sz w:val="18"/>
              </w:rPr>
              <w:t>Previous</w:t>
            </w:r>
            <w:proofErr w:type="spellEnd"/>
            <w:r w:rsidRPr="00A13178">
              <w:rPr>
                <w:sz w:val="18"/>
              </w:rPr>
              <w:t xml:space="preserve"> HCFC data</w:t>
            </w:r>
          </w:p>
        </w:tc>
        <w:tc>
          <w:tcPr>
            <w:tcW w:w="3104" w:type="dxa"/>
            <w:gridSpan w:val="2"/>
            <w:tcBorders>
              <w:top w:val="single" w:sz="4" w:space="0" w:color="auto"/>
              <w:bottom w:val="single" w:sz="4" w:space="0" w:color="auto"/>
            </w:tcBorders>
            <w:vAlign w:val="bottom"/>
          </w:tcPr>
          <w:p w14:paraId="7A4EC649" w14:textId="77777777" w:rsidR="007720ED" w:rsidRPr="00A13178" w:rsidRDefault="007720ED" w:rsidP="00EE3619">
            <w:pPr>
              <w:keepNext/>
              <w:keepLines/>
              <w:tabs>
                <w:tab w:val="left" w:pos="624"/>
                <w:tab w:val="left" w:pos="1871"/>
                <w:tab w:val="left" w:pos="2495"/>
                <w:tab w:val="left" w:pos="3119"/>
                <w:tab w:val="left" w:pos="3742"/>
                <w:tab w:val="left" w:pos="4366"/>
                <w:tab w:val="left" w:pos="4990"/>
              </w:tabs>
              <w:spacing w:before="40" w:after="40"/>
              <w:jc w:val="center"/>
              <w:rPr>
                <w:sz w:val="18"/>
              </w:rPr>
            </w:pPr>
            <w:r w:rsidRPr="00A13178">
              <w:rPr>
                <w:sz w:val="18"/>
              </w:rPr>
              <w:t>New HCFC data</w:t>
            </w:r>
          </w:p>
        </w:tc>
      </w:tr>
      <w:tr w:rsidR="007720ED" w:rsidRPr="00A13178" w14:paraId="74805A99" w14:textId="77777777" w:rsidTr="007720ED">
        <w:trPr>
          <w:trHeight w:val="57"/>
        </w:trPr>
        <w:tc>
          <w:tcPr>
            <w:tcW w:w="1696" w:type="dxa"/>
            <w:tcBorders>
              <w:top w:val="single" w:sz="4" w:space="0" w:color="auto"/>
              <w:bottom w:val="single" w:sz="12" w:space="0" w:color="auto"/>
            </w:tcBorders>
            <w:vAlign w:val="bottom"/>
          </w:tcPr>
          <w:p w14:paraId="6A76B178" w14:textId="77777777" w:rsidR="007720ED" w:rsidRPr="00A13178" w:rsidRDefault="007720ED" w:rsidP="00EE3619">
            <w:pPr>
              <w:keepNext/>
              <w:keepLines/>
              <w:tabs>
                <w:tab w:val="left" w:pos="624"/>
                <w:tab w:val="left" w:pos="1871"/>
                <w:tab w:val="left" w:pos="2495"/>
                <w:tab w:val="left" w:pos="3119"/>
                <w:tab w:val="left" w:pos="3742"/>
                <w:tab w:val="left" w:pos="4366"/>
                <w:tab w:val="left" w:pos="4990"/>
              </w:tabs>
              <w:spacing w:before="40" w:after="40"/>
              <w:rPr>
                <w:sz w:val="18"/>
              </w:rPr>
            </w:pPr>
          </w:p>
        </w:tc>
        <w:tc>
          <w:tcPr>
            <w:tcW w:w="1701" w:type="dxa"/>
            <w:tcBorders>
              <w:top w:val="single" w:sz="4" w:space="0" w:color="auto"/>
              <w:bottom w:val="single" w:sz="12" w:space="0" w:color="auto"/>
            </w:tcBorders>
          </w:tcPr>
          <w:p w14:paraId="6683396F" w14:textId="77777777" w:rsidR="007720ED" w:rsidRPr="00A13178" w:rsidRDefault="007720ED" w:rsidP="00EE3619">
            <w:pPr>
              <w:keepNext/>
              <w:keepLines/>
              <w:tabs>
                <w:tab w:val="left" w:pos="624"/>
                <w:tab w:val="left" w:pos="1871"/>
                <w:tab w:val="left" w:pos="2495"/>
                <w:tab w:val="left" w:pos="3119"/>
                <w:tab w:val="left" w:pos="3742"/>
                <w:tab w:val="left" w:pos="4366"/>
                <w:tab w:val="left" w:pos="4990"/>
              </w:tabs>
              <w:spacing w:before="40" w:after="40"/>
              <w:jc w:val="center"/>
              <w:rPr>
                <w:sz w:val="18"/>
              </w:rPr>
            </w:pPr>
            <w:r w:rsidRPr="00A13178">
              <w:rPr>
                <w:sz w:val="18"/>
              </w:rPr>
              <w:t>ODP tonnes</w:t>
            </w:r>
          </w:p>
        </w:tc>
        <w:tc>
          <w:tcPr>
            <w:tcW w:w="1843" w:type="dxa"/>
            <w:tcBorders>
              <w:top w:val="single" w:sz="4" w:space="0" w:color="auto"/>
              <w:bottom w:val="single" w:sz="12" w:space="0" w:color="auto"/>
            </w:tcBorders>
            <w:vAlign w:val="bottom"/>
          </w:tcPr>
          <w:p w14:paraId="533F464B" w14:textId="77777777" w:rsidR="007720ED" w:rsidRPr="00A13178" w:rsidRDefault="007720ED" w:rsidP="00EE3619">
            <w:pPr>
              <w:keepNext/>
              <w:keepLines/>
              <w:tabs>
                <w:tab w:val="left" w:pos="624"/>
                <w:tab w:val="left" w:pos="1871"/>
                <w:tab w:val="left" w:pos="2495"/>
                <w:tab w:val="left" w:pos="3119"/>
                <w:tab w:val="left" w:pos="3742"/>
                <w:tab w:val="left" w:pos="4366"/>
                <w:tab w:val="left" w:pos="4990"/>
              </w:tabs>
              <w:spacing w:before="40" w:after="40"/>
              <w:jc w:val="center"/>
              <w:rPr>
                <w:sz w:val="18"/>
              </w:rPr>
            </w:pPr>
            <w:r w:rsidRPr="00A13178">
              <w:rPr>
                <w:sz w:val="18"/>
              </w:rPr>
              <w:t>CO2-eq tonnes</w:t>
            </w:r>
          </w:p>
        </w:tc>
        <w:tc>
          <w:tcPr>
            <w:tcW w:w="1412" w:type="dxa"/>
            <w:tcBorders>
              <w:top w:val="single" w:sz="4" w:space="0" w:color="auto"/>
              <w:bottom w:val="single" w:sz="12" w:space="0" w:color="auto"/>
            </w:tcBorders>
            <w:vAlign w:val="bottom"/>
          </w:tcPr>
          <w:p w14:paraId="3D788576" w14:textId="77777777" w:rsidR="007720ED" w:rsidRPr="00A13178" w:rsidRDefault="007720ED" w:rsidP="00EE3619">
            <w:pPr>
              <w:keepNext/>
              <w:keepLines/>
              <w:tabs>
                <w:tab w:val="left" w:pos="624"/>
                <w:tab w:val="left" w:pos="1871"/>
                <w:tab w:val="left" w:pos="2495"/>
                <w:tab w:val="left" w:pos="3119"/>
                <w:tab w:val="left" w:pos="3742"/>
                <w:tab w:val="left" w:pos="4366"/>
                <w:tab w:val="left" w:pos="4990"/>
              </w:tabs>
              <w:spacing w:before="40" w:after="40"/>
              <w:jc w:val="center"/>
              <w:rPr>
                <w:sz w:val="18"/>
              </w:rPr>
            </w:pPr>
            <w:r w:rsidRPr="00A13178">
              <w:rPr>
                <w:sz w:val="18"/>
              </w:rPr>
              <w:t>ODP tonnes</w:t>
            </w:r>
          </w:p>
        </w:tc>
        <w:tc>
          <w:tcPr>
            <w:tcW w:w="0" w:type="auto"/>
            <w:tcBorders>
              <w:top w:val="single" w:sz="4" w:space="0" w:color="auto"/>
              <w:bottom w:val="single" w:sz="12" w:space="0" w:color="auto"/>
            </w:tcBorders>
          </w:tcPr>
          <w:p w14:paraId="53A4CE04" w14:textId="77777777" w:rsidR="007720ED" w:rsidRPr="00A13178" w:rsidRDefault="007720ED" w:rsidP="00EE3619">
            <w:pPr>
              <w:keepNext/>
              <w:keepLines/>
              <w:tabs>
                <w:tab w:val="left" w:pos="624"/>
                <w:tab w:val="left" w:pos="1871"/>
                <w:tab w:val="left" w:pos="2495"/>
                <w:tab w:val="left" w:pos="3119"/>
                <w:tab w:val="left" w:pos="3742"/>
                <w:tab w:val="left" w:pos="4366"/>
                <w:tab w:val="left" w:pos="4990"/>
              </w:tabs>
              <w:spacing w:before="40" w:after="40"/>
              <w:jc w:val="center"/>
              <w:rPr>
                <w:sz w:val="18"/>
              </w:rPr>
            </w:pPr>
            <w:r w:rsidRPr="00A13178">
              <w:rPr>
                <w:sz w:val="18"/>
              </w:rPr>
              <w:t>CO2-eq tonnes</w:t>
            </w:r>
          </w:p>
        </w:tc>
      </w:tr>
      <w:tr w:rsidR="007720ED" w:rsidRPr="00A13178" w14:paraId="3984ABD2" w14:textId="77777777" w:rsidTr="007720ED">
        <w:trPr>
          <w:trHeight w:val="57"/>
        </w:trPr>
        <w:tc>
          <w:tcPr>
            <w:tcW w:w="1696" w:type="dxa"/>
            <w:tcBorders>
              <w:top w:val="single" w:sz="12" w:space="0" w:color="auto"/>
              <w:bottom w:val="single" w:sz="4" w:space="0" w:color="auto"/>
            </w:tcBorders>
          </w:tcPr>
          <w:p w14:paraId="7B20960A" w14:textId="77777777" w:rsidR="007720ED" w:rsidRPr="00A13178" w:rsidRDefault="007720ED" w:rsidP="007720ED">
            <w:pPr>
              <w:keepNext/>
              <w:keepLines/>
              <w:tabs>
                <w:tab w:val="left" w:pos="624"/>
                <w:tab w:val="left" w:pos="1871"/>
                <w:tab w:val="left" w:pos="2495"/>
                <w:tab w:val="left" w:pos="3119"/>
                <w:tab w:val="left" w:pos="3742"/>
                <w:tab w:val="left" w:pos="4366"/>
                <w:tab w:val="left" w:pos="4990"/>
              </w:tabs>
              <w:spacing w:before="40" w:after="40"/>
              <w:rPr>
                <w:sz w:val="18"/>
              </w:rPr>
            </w:pPr>
            <w:r w:rsidRPr="00A13178">
              <w:rPr>
                <w:sz w:val="18"/>
              </w:rPr>
              <w:t>Party/</w:t>
            </w:r>
            <w:proofErr w:type="spellStart"/>
            <w:r w:rsidRPr="00A13178">
              <w:rPr>
                <w:sz w:val="18"/>
              </w:rPr>
              <w:t>year</w:t>
            </w:r>
            <w:proofErr w:type="spellEnd"/>
          </w:p>
        </w:tc>
        <w:tc>
          <w:tcPr>
            <w:tcW w:w="1701" w:type="dxa"/>
            <w:tcBorders>
              <w:top w:val="single" w:sz="12" w:space="0" w:color="auto"/>
              <w:bottom w:val="single" w:sz="4" w:space="0" w:color="auto"/>
            </w:tcBorders>
          </w:tcPr>
          <w:p w14:paraId="2C290495" w14:textId="77777777" w:rsidR="007720ED" w:rsidRPr="00A13178" w:rsidRDefault="007720ED" w:rsidP="007720ED">
            <w:pPr>
              <w:keepNext/>
              <w:keepLines/>
              <w:tabs>
                <w:tab w:val="left" w:pos="624"/>
                <w:tab w:val="left" w:pos="1871"/>
                <w:tab w:val="left" w:pos="2495"/>
                <w:tab w:val="left" w:pos="3119"/>
                <w:tab w:val="left" w:pos="3742"/>
                <w:tab w:val="left" w:pos="4366"/>
                <w:tab w:val="left" w:pos="4990"/>
              </w:tabs>
              <w:spacing w:before="40" w:after="40"/>
              <w:jc w:val="center"/>
              <w:rPr>
                <w:sz w:val="18"/>
              </w:rPr>
            </w:pPr>
            <w:r w:rsidRPr="00A13178">
              <w:rPr>
                <w:sz w:val="18"/>
              </w:rPr>
              <w:t>2009</w:t>
            </w:r>
          </w:p>
        </w:tc>
        <w:tc>
          <w:tcPr>
            <w:tcW w:w="1843" w:type="dxa"/>
            <w:tcBorders>
              <w:top w:val="single" w:sz="12" w:space="0" w:color="auto"/>
              <w:bottom w:val="single" w:sz="4" w:space="0" w:color="auto"/>
            </w:tcBorders>
          </w:tcPr>
          <w:p w14:paraId="3CA180DA" w14:textId="77777777" w:rsidR="007720ED" w:rsidRPr="00A13178" w:rsidRDefault="007720ED" w:rsidP="007720ED">
            <w:pPr>
              <w:keepNext/>
              <w:keepLines/>
              <w:tabs>
                <w:tab w:val="left" w:pos="624"/>
                <w:tab w:val="left" w:pos="1871"/>
                <w:tab w:val="left" w:pos="2495"/>
                <w:tab w:val="left" w:pos="3119"/>
                <w:tab w:val="left" w:pos="3742"/>
                <w:tab w:val="left" w:pos="4366"/>
                <w:tab w:val="left" w:pos="4990"/>
              </w:tabs>
              <w:spacing w:before="40" w:after="40"/>
              <w:jc w:val="center"/>
              <w:rPr>
                <w:sz w:val="18"/>
              </w:rPr>
            </w:pPr>
            <w:r w:rsidRPr="00A13178">
              <w:rPr>
                <w:sz w:val="18"/>
              </w:rPr>
              <w:t>2009</w:t>
            </w:r>
          </w:p>
        </w:tc>
        <w:tc>
          <w:tcPr>
            <w:tcW w:w="1412" w:type="dxa"/>
            <w:tcBorders>
              <w:top w:val="single" w:sz="12" w:space="0" w:color="auto"/>
              <w:bottom w:val="single" w:sz="4" w:space="0" w:color="auto"/>
            </w:tcBorders>
          </w:tcPr>
          <w:p w14:paraId="1AD8F1EE" w14:textId="77777777" w:rsidR="007720ED" w:rsidRPr="00A13178" w:rsidRDefault="007720ED" w:rsidP="007720ED">
            <w:pPr>
              <w:keepNext/>
              <w:keepLines/>
              <w:tabs>
                <w:tab w:val="left" w:pos="624"/>
                <w:tab w:val="left" w:pos="1871"/>
                <w:tab w:val="left" w:pos="2495"/>
                <w:tab w:val="left" w:pos="3119"/>
                <w:tab w:val="left" w:pos="3742"/>
                <w:tab w:val="left" w:pos="4366"/>
                <w:tab w:val="left" w:pos="4990"/>
              </w:tabs>
              <w:spacing w:before="40" w:after="40"/>
              <w:jc w:val="center"/>
              <w:rPr>
                <w:sz w:val="18"/>
              </w:rPr>
            </w:pPr>
            <w:r w:rsidRPr="00A13178">
              <w:rPr>
                <w:sz w:val="18"/>
              </w:rPr>
              <w:t>2009</w:t>
            </w:r>
          </w:p>
        </w:tc>
        <w:tc>
          <w:tcPr>
            <w:tcW w:w="0" w:type="auto"/>
            <w:tcBorders>
              <w:top w:val="single" w:sz="12" w:space="0" w:color="auto"/>
              <w:bottom w:val="single" w:sz="4" w:space="0" w:color="auto"/>
            </w:tcBorders>
          </w:tcPr>
          <w:p w14:paraId="0FC5FCEC" w14:textId="77777777" w:rsidR="007720ED" w:rsidRPr="00A13178" w:rsidRDefault="007720ED" w:rsidP="007720ED">
            <w:pPr>
              <w:keepNext/>
              <w:keepLines/>
              <w:tabs>
                <w:tab w:val="left" w:pos="624"/>
                <w:tab w:val="left" w:pos="1871"/>
                <w:tab w:val="left" w:pos="2495"/>
                <w:tab w:val="left" w:pos="3119"/>
                <w:tab w:val="left" w:pos="3742"/>
                <w:tab w:val="left" w:pos="4366"/>
                <w:tab w:val="left" w:pos="4990"/>
              </w:tabs>
              <w:spacing w:before="40" w:after="40"/>
              <w:jc w:val="center"/>
              <w:rPr>
                <w:sz w:val="18"/>
              </w:rPr>
            </w:pPr>
            <w:r w:rsidRPr="00A13178">
              <w:rPr>
                <w:sz w:val="18"/>
              </w:rPr>
              <w:t>2009</w:t>
            </w:r>
          </w:p>
        </w:tc>
      </w:tr>
      <w:tr w:rsidR="007720ED" w:rsidRPr="00A13178" w14:paraId="7F5EA0A2" w14:textId="77777777" w:rsidTr="007720ED">
        <w:trPr>
          <w:trHeight w:val="57"/>
        </w:trPr>
        <w:tc>
          <w:tcPr>
            <w:tcW w:w="1696" w:type="dxa"/>
            <w:tcBorders>
              <w:top w:val="single" w:sz="4" w:space="0" w:color="auto"/>
              <w:bottom w:val="single" w:sz="12" w:space="0" w:color="auto"/>
            </w:tcBorders>
          </w:tcPr>
          <w:p w14:paraId="31C07912" w14:textId="77777777" w:rsidR="007720ED" w:rsidRPr="00A13178" w:rsidRDefault="007720ED" w:rsidP="007720ED">
            <w:pPr>
              <w:keepNext/>
              <w:keepLines/>
              <w:tabs>
                <w:tab w:val="left" w:pos="624"/>
                <w:tab w:val="left" w:pos="1871"/>
                <w:tab w:val="left" w:pos="2495"/>
                <w:tab w:val="left" w:pos="3119"/>
                <w:tab w:val="left" w:pos="3742"/>
                <w:tab w:val="left" w:pos="4366"/>
                <w:tab w:val="left" w:pos="4990"/>
              </w:tabs>
              <w:spacing w:before="40" w:after="40"/>
              <w:rPr>
                <w:sz w:val="18"/>
              </w:rPr>
            </w:pPr>
            <w:proofErr w:type="spellStart"/>
            <w:r w:rsidRPr="00A13178">
              <w:rPr>
                <w:sz w:val="18"/>
              </w:rPr>
              <w:t>Bosnia</w:t>
            </w:r>
            <w:proofErr w:type="spellEnd"/>
            <w:r w:rsidRPr="00A13178">
              <w:rPr>
                <w:sz w:val="18"/>
              </w:rPr>
              <w:t xml:space="preserve"> and </w:t>
            </w:r>
            <w:proofErr w:type="spellStart"/>
            <w:r w:rsidRPr="00A13178">
              <w:rPr>
                <w:sz w:val="18"/>
              </w:rPr>
              <w:t>Herzegovina</w:t>
            </w:r>
            <w:proofErr w:type="spellEnd"/>
          </w:p>
        </w:tc>
        <w:tc>
          <w:tcPr>
            <w:tcW w:w="1701" w:type="dxa"/>
            <w:tcBorders>
              <w:top w:val="single" w:sz="4" w:space="0" w:color="auto"/>
              <w:bottom w:val="single" w:sz="12" w:space="0" w:color="auto"/>
            </w:tcBorders>
          </w:tcPr>
          <w:p w14:paraId="3FF182F4" w14:textId="77777777" w:rsidR="007720ED" w:rsidRPr="00A13178" w:rsidRDefault="007720ED" w:rsidP="007720ED">
            <w:pPr>
              <w:keepNext/>
              <w:keepLines/>
              <w:tabs>
                <w:tab w:val="left" w:pos="624"/>
                <w:tab w:val="left" w:pos="1871"/>
                <w:tab w:val="left" w:pos="2495"/>
                <w:tab w:val="left" w:pos="3119"/>
                <w:tab w:val="left" w:pos="3742"/>
                <w:tab w:val="left" w:pos="4366"/>
                <w:tab w:val="left" w:pos="4990"/>
              </w:tabs>
              <w:spacing w:before="40" w:after="40"/>
              <w:jc w:val="center"/>
              <w:rPr>
                <w:sz w:val="18"/>
              </w:rPr>
            </w:pPr>
            <w:r w:rsidRPr="00A13178">
              <w:rPr>
                <w:sz w:val="18"/>
              </w:rPr>
              <w:t>5.78</w:t>
            </w:r>
          </w:p>
        </w:tc>
        <w:tc>
          <w:tcPr>
            <w:tcW w:w="1843" w:type="dxa"/>
            <w:tcBorders>
              <w:top w:val="single" w:sz="4" w:space="0" w:color="auto"/>
              <w:bottom w:val="single" w:sz="12" w:space="0" w:color="auto"/>
            </w:tcBorders>
          </w:tcPr>
          <w:p w14:paraId="2F399532" w14:textId="77777777" w:rsidR="007720ED" w:rsidRPr="00A13178" w:rsidRDefault="007720ED" w:rsidP="007720ED">
            <w:pPr>
              <w:keepNext/>
              <w:keepLines/>
              <w:tabs>
                <w:tab w:val="left" w:pos="624"/>
                <w:tab w:val="left" w:pos="1871"/>
                <w:tab w:val="left" w:pos="2495"/>
                <w:tab w:val="left" w:pos="3119"/>
                <w:tab w:val="left" w:pos="3742"/>
                <w:tab w:val="left" w:pos="4366"/>
                <w:tab w:val="left" w:pos="4990"/>
              </w:tabs>
              <w:spacing w:before="40" w:after="40"/>
              <w:jc w:val="center"/>
              <w:rPr>
                <w:sz w:val="18"/>
              </w:rPr>
            </w:pPr>
            <w:r w:rsidRPr="00A13178">
              <w:rPr>
                <w:sz w:val="18"/>
              </w:rPr>
              <w:t>111 812.6</w:t>
            </w:r>
          </w:p>
        </w:tc>
        <w:tc>
          <w:tcPr>
            <w:tcW w:w="1412" w:type="dxa"/>
            <w:tcBorders>
              <w:top w:val="single" w:sz="4" w:space="0" w:color="auto"/>
              <w:bottom w:val="single" w:sz="12" w:space="0" w:color="auto"/>
            </w:tcBorders>
          </w:tcPr>
          <w:p w14:paraId="4F1D6EBD" w14:textId="77777777" w:rsidR="007720ED" w:rsidRPr="00A13178" w:rsidRDefault="007720ED" w:rsidP="007720ED">
            <w:pPr>
              <w:keepNext/>
              <w:keepLines/>
              <w:tabs>
                <w:tab w:val="left" w:pos="624"/>
                <w:tab w:val="left" w:pos="1871"/>
                <w:tab w:val="left" w:pos="2495"/>
                <w:tab w:val="left" w:pos="3119"/>
                <w:tab w:val="left" w:pos="3742"/>
                <w:tab w:val="left" w:pos="4366"/>
                <w:tab w:val="left" w:pos="4990"/>
              </w:tabs>
              <w:spacing w:before="40" w:after="40"/>
              <w:jc w:val="center"/>
              <w:rPr>
                <w:sz w:val="18"/>
              </w:rPr>
            </w:pPr>
            <w:r w:rsidRPr="00A13178">
              <w:rPr>
                <w:sz w:val="18"/>
              </w:rPr>
              <w:t>5.96</w:t>
            </w:r>
          </w:p>
        </w:tc>
        <w:tc>
          <w:tcPr>
            <w:tcW w:w="0" w:type="auto"/>
            <w:tcBorders>
              <w:top w:val="single" w:sz="4" w:space="0" w:color="auto"/>
              <w:bottom w:val="single" w:sz="12" w:space="0" w:color="auto"/>
            </w:tcBorders>
          </w:tcPr>
          <w:p w14:paraId="372E1EC1" w14:textId="77777777" w:rsidR="007720ED" w:rsidRPr="00A13178" w:rsidRDefault="007720ED" w:rsidP="007720ED">
            <w:pPr>
              <w:keepNext/>
              <w:keepLines/>
              <w:tabs>
                <w:tab w:val="left" w:pos="624"/>
                <w:tab w:val="left" w:pos="1871"/>
                <w:tab w:val="left" w:pos="2495"/>
                <w:tab w:val="left" w:pos="3119"/>
                <w:tab w:val="left" w:pos="3742"/>
                <w:tab w:val="left" w:pos="4366"/>
                <w:tab w:val="left" w:pos="4990"/>
              </w:tabs>
              <w:spacing w:before="40" w:after="40"/>
              <w:jc w:val="center"/>
              <w:rPr>
                <w:sz w:val="18"/>
              </w:rPr>
            </w:pPr>
            <w:r w:rsidRPr="00A13178">
              <w:rPr>
                <w:sz w:val="18"/>
              </w:rPr>
              <w:t>117 966.6</w:t>
            </w:r>
          </w:p>
        </w:tc>
      </w:tr>
    </w:tbl>
    <w:p w14:paraId="6C4574D7" w14:textId="77777777" w:rsidR="007720ED" w:rsidRPr="00A13178" w:rsidRDefault="007720ED" w:rsidP="007720ED">
      <w:pPr>
        <w:tabs>
          <w:tab w:val="left" w:pos="624"/>
          <w:tab w:val="left" w:pos="1871"/>
          <w:tab w:val="left" w:pos="2495"/>
          <w:tab w:val="left" w:pos="3119"/>
          <w:tab w:val="left" w:pos="3742"/>
          <w:tab w:val="left" w:pos="4366"/>
          <w:tab w:val="left" w:pos="4990"/>
        </w:tabs>
        <w:spacing w:before="60"/>
        <w:ind w:left="1247"/>
        <w:rPr>
          <w:i/>
          <w:sz w:val="18"/>
          <w:szCs w:val="18"/>
        </w:rPr>
      </w:pPr>
      <w:r w:rsidRPr="00A13178">
        <w:rPr>
          <w:i/>
          <w:sz w:val="18"/>
          <w:szCs w:val="18"/>
        </w:rPr>
        <w:t>Abbreviations</w:t>
      </w:r>
      <w:r w:rsidRPr="00A13178">
        <w:rPr>
          <w:sz w:val="18"/>
          <w:szCs w:val="18"/>
        </w:rPr>
        <w:t>:</w:t>
      </w:r>
      <w:r w:rsidRPr="00A13178">
        <w:rPr>
          <w:i/>
          <w:sz w:val="18"/>
          <w:szCs w:val="18"/>
        </w:rPr>
        <w:t xml:space="preserve"> </w:t>
      </w:r>
      <w:r w:rsidRPr="00A13178">
        <w:rPr>
          <w:sz w:val="18"/>
          <w:szCs w:val="18"/>
        </w:rPr>
        <w:t>HCFC – hydrochlorofluorocarbon, CO</w:t>
      </w:r>
      <w:r w:rsidRPr="00A13178">
        <w:rPr>
          <w:sz w:val="18"/>
          <w:szCs w:val="18"/>
          <w:vertAlign w:val="subscript"/>
        </w:rPr>
        <w:t>2</w:t>
      </w:r>
      <w:r w:rsidRPr="00A13178">
        <w:rPr>
          <w:sz w:val="18"/>
          <w:szCs w:val="18"/>
        </w:rPr>
        <w:t>-eq – CO</w:t>
      </w:r>
      <w:r w:rsidRPr="00A13178">
        <w:rPr>
          <w:sz w:val="18"/>
          <w:szCs w:val="18"/>
          <w:vertAlign w:val="subscript"/>
        </w:rPr>
        <w:t>2</w:t>
      </w:r>
      <w:r w:rsidRPr="00A13178">
        <w:rPr>
          <w:sz w:val="18"/>
          <w:szCs w:val="18"/>
        </w:rPr>
        <w:t>-equivalent; ODP-Ozone depleting potential</w:t>
      </w:r>
    </w:p>
    <w:bookmarkEnd w:id="16"/>
    <w:p w14:paraId="3FA03E09" w14:textId="77777777" w:rsidR="007720ED" w:rsidRPr="00A13178" w:rsidRDefault="007720ED" w:rsidP="007720ED">
      <w:pPr>
        <w:numPr>
          <w:ilvl w:val="6"/>
          <w:numId w:val="30"/>
        </w:numPr>
        <w:tabs>
          <w:tab w:val="clear" w:pos="1247"/>
          <w:tab w:val="clear" w:pos="1814"/>
          <w:tab w:val="left" w:pos="624"/>
          <w:tab w:val="left" w:pos="709"/>
          <w:tab w:val="left" w:pos="1418"/>
        </w:tabs>
        <w:spacing w:before="120" w:after="120"/>
        <w:ind w:left="709" w:firstLine="0"/>
      </w:pPr>
      <w:r w:rsidRPr="00A13178">
        <w:t xml:space="preserve">That Bosnia and Herzegovina has presented sufficient information, in accordance with decision XV/19, to justify its request for the revision of its consumption data for hydrofluorocarbons for 2022, which are part of the baseline for Article 5, group 1, parties under the Kigali Amendment to the Montreal </w:t>
      </w:r>
      <w:proofErr w:type="gramStart"/>
      <w:r w:rsidRPr="00A13178">
        <w:t>Protocol;</w:t>
      </w:r>
      <w:proofErr w:type="gramEnd"/>
    </w:p>
    <w:p w14:paraId="0178C8B3" w14:textId="77777777" w:rsidR="007720ED" w:rsidRPr="00A13178" w:rsidRDefault="007720ED" w:rsidP="007720ED">
      <w:pPr>
        <w:numPr>
          <w:ilvl w:val="6"/>
          <w:numId w:val="30"/>
        </w:numPr>
        <w:tabs>
          <w:tab w:val="clear" w:pos="1247"/>
          <w:tab w:val="clear" w:pos="1814"/>
          <w:tab w:val="left" w:pos="624"/>
          <w:tab w:val="left" w:pos="709"/>
          <w:tab w:val="left" w:pos="1418"/>
        </w:tabs>
        <w:spacing w:before="120" w:after="120"/>
        <w:ind w:left="709" w:firstLine="0"/>
      </w:pPr>
      <w:r w:rsidRPr="00A13178">
        <w:t>To approve the request by Bosnia and Herzegovina and to revise its consumption data for hydrofluorocarbons for the baseline year 2022 as indicated in the following table:</w:t>
      </w:r>
    </w:p>
    <w:tbl>
      <w:tblPr>
        <w:tblStyle w:val="TableGrid"/>
        <w:tblW w:w="8307" w:type="dxa"/>
        <w:jc w:val="righ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3353"/>
        <w:gridCol w:w="3582"/>
      </w:tblGrid>
      <w:tr w:rsidR="007720ED" w:rsidRPr="00A13178" w14:paraId="1C45EB6C" w14:textId="77777777" w:rsidTr="00EE3619">
        <w:trPr>
          <w:trHeight w:val="57"/>
          <w:jc w:val="right"/>
        </w:trPr>
        <w:tc>
          <w:tcPr>
            <w:tcW w:w="1372" w:type="dxa"/>
            <w:tcBorders>
              <w:top w:val="single" w:sz="4" w:space="0" w:color="auto"/>
              <w:bottom w:val="single" w:sz="12" w:space="0" w:color="auto"/>
            </w:tcBorders>
            <w:vAlign w:val="bottom"/>
          </w:tcPr>
          <w:p w14:paraId="11B81DF2" w14:textId="77777777" w:rsidR="007720ED" w:rsidRPr="003B159F" w:rsidRDefault="007720ED" w:rsidP="00EE3619">
            <w:pPr>
              <w:keepNext/>
              <w:keepLines/>
              <w:tabs>
                <w:tab w:val="left" w:pos="624"/>
                <w:tab w:val="left" w:pos="1871"/>
                <w:tab w:val="left" w:pos="2495"/>
                <w:tab w:val="left" w:pos="3119"/>
                <w:tab w:val="left" w:pos="3742"/>
                <w:tab w:val="left" w:pos="4366"/>
                <w:tab w:val="left" w:pos="4990"/>
              </w:tabs>
              <w:spacing w:before="40" w:after="40"/>
              <w:rPr>
                <w:sz w:val="18"/>
                <w:lang w:val="en-US"/>
              </w:rPr>
            </w:pPr>
          </w:p>
        </w:tc>
        <w:tc>
          <w:tcPr>
            <w:tcW w:w="3353" w:type="dxa"/>
            <w:tcBorders>
              <w:top w:val="single" w:sz="4" w:space="0" w:color="auto"/>
              <w:bottom w:val="single" w:sz="12" w:space="0" w:color="auto"/>
            </w:tcBorders>
            <w:vAlign w:val="bottom"/>
          </w:tcPr>
          <w:p w14:paraId="5F61991E" w14:textId="77777777" w:rsidR="007720ED" w:rsidRPr="003B159F" w:rsidRDefault="007720ED" w:rsidP="00EE3619">
            <w:pPr>
              <w:keepNext/>
              <w:keepLines/>
              <w:tabs>
                <w:tab w:val="left" w:pos="624"/>
                <w:tab w:val="left" w:pos="1871"/>
                <w:tab w:val="left" w:pos="2495"/>
                <w:tab w:val="left" w:pos="3119"/>
                <w:tab w:val="left" w:pos="3742"/>
                <w:tab w:val="left" w:pos="4366"/>
                <w:tab w:val="left" w:pos="4990"/>
              </w:tabs>
              <w:spacing w:before="40" w:after="40"/>
              <w:jc w:val="right"/>
              <w:rPr>
                <w:sz w:val="18"/>
                <w:lang w:val="en-US"/>
              </w:rPr>
            </w:pPr>
            <w:r w:rsidRPr="003B159F">
              <w:rPr>
                <w:i/>
                <w:sz w:val="18"/>
                <w:lang w:val="en-US"/>
              </w:rPr>
              <w:t>Previous HFC data (CO</w:t>
            </w:r>
            <w:r w:rsidRPr="003B159F">
              <w:rPr>
                <w:i/>
                <w:sz w:val="18"/>
                <w:vertAlign w:val="subscript"/>
                <w:lang w:val="en-US"/>
              </w:rPr>
              <w:t>2</w:t>
            </w:r>
            <w:r w:rsidRPr="003B159F">
              <w:rPr>
                <w:i/>
                <w:sz w:val="18"/>
                <w:lang w:val="en-US"/>
              </w:rPr>
              <w:t xml:space="preserve">-eq </w:t>
            </w:r>
            <w:proofErr w:type="spellStart"/>
            <w:r w:rsidRPr="003B159F">
              <w:rPr>
                <w:i/>
                <w:sz w:val="18"/>
                <w:lang w:val="en-US"/>
              </w:rPr>
              <w:t>tonnes</w:t>
            </w:r>
            <w:proofErr w:type="spellEnd"/>
            <w:r w:rsidRPr="003B159F">
              <w:rPr>
                <w:i/>
                <w:sz w:val="18"/>
                <w:lang w:val="en-US"/>
              </w:rPr>
              <w:t>)</w:t>
            </w:r>
          </w:p>
        </w:tc>
        <w:tc>
          <w:tcPr>
            <w:tcW w:w="3582" w:type="dxa"/>
            <w:tcBorders>
              <w:top w:val="single" w:sz="4" w:space="0" w:color="auto"/>
              <w:bottom w:val="single" w:sz="12" w:space="0" w:color="auto"/>
            </w:tcBorders>
            <w:vAlign w:val="bottom"/>
          </w:tcPr>
          <w:p w14:paraId="3E3BEED3" w14:textId="77777777" w:rsidR="007720ED" w:rsidRPr="003B159F" w:rsidRDefault="007720ED" w:rsidP="00EE3619">
            <w:pPr>
              <w:keepNext/>
              <w:keepLines/>
              <w:tabs>
                <w:tab w:val="left" w:pos="624"/>
                <w:tab w:val="left" w:pos="1871"/>
                <w:tab w:val="left" w:pos="2495"/>
                <w:tab w:val="left" w:pos="3119"/>
                <w:tab w:val="left" w:pos="3742"/>
                <w:tab w:val="left" w:pos="4366"/>
                <w:tab w:val="left" w:pos="4990"/>
              </w:tabs>
              <w:spacing w:before="40" w:after="40"/>
              <w:jc w:val="right"/>
              <w:rPr>
                <w:sz w:val="18"/>
                <w:lang w:val="en-US"/>
              </w:rPr>
            </w:pPr>
            <w:r w:rsidRPr="003B159F">
              <w:rPr>
                <w:i/>
                <w:sz w:val="18"/>
                <w:lang w:val="en-US"/>
              </w:rPr>
              <w:t>New HFC data (CO</w:t>
            </w:r>
            <w:r w:rsidRPr="003B159F">
              <w:rPr>
                <w:i/>
                <w:sz w:val="18"/>
                <w:vertAlign w:val="subscript"/>
                <w:lang w:val="en-US"/>
              </w:rPr>
              <w:t>2</w:t>
            </w:r>
            <w:r w:rsidRPr="003B159F">
              <w:rPr>
                <w:i/>
                <w:sz w:val="18"/>
                <w:lang w:val="en-US"/>
              </w:rPr>
              <w:t xml:space="preserve">-eq </w:t>
            </w:r>
            <w:proofErr w:type="spellStart"/>
            <w:r w:rsidRPr="003B159F">
              <w:rPr>
                <w:i/>
                <w:sz w:val="18"/>
                <w:lang w:val="en-US"/>
              </w:rPr>
              <w:t>tonnes</w:t>
            </w:r>
            <w:proofErr w:type="spellEnd"/>
            <w:r w:rsidRPr="003B159F">
              <w:rPr>
                <w:i/>
                <w:sz w:val="18"/>
                <w:lang w:val="en-US"/>
              </w:rPr>
              <w:t>)</w:t>
            </w:r>
          </w:p>
        </w:tc>
      </w:tr>
      <w:tr w:rsidR="007720ED" w:rsidRPr="00A13178" w14:paraId="275E3770" w14:textId="77777777" w:rsidTr="00EE3619">
        <w:trPr>
          <w:trHeight w:val="57"/>
          <w:jc w:val="right"/>
        </w:trPr>
        <w:tc>
          <w:tcPr>
            <w:tcW w:w="1372" w:type="dxa"/>
            <w:tcBorders>
              <w:top w:val="single" w:sz="12" w:space="0" w:color="auto"/>
              <w:bottom w:val="single" w:sz="4" w:space="0" w:color="auto"/>
            </w:tcBorders>
          </w:tcPr>
          <w:p w14:paraId="41654EBF" w14:textId="77777777" w:rsidR="007720ED" w:rsidRPr="00A13178" w:rsidRDefault="007720ED" w:rsidP="00EE3619">
            <w:pPr>
              <w:tabs>
                <w:tab w:val="left" w:pos="624"/>
                <w:tab w:val="left" w:pos="1871"/>
                <w:tab w:val="left" w:pos="2495"/>
                <w:tab w:val="left" w:pos="3119"/>
                <w:tab w:val="left" w:pos="3742"/>
                <w:tab w:val="left" w:pos="4366"/>
                <w:tab w:val="left" w:pos="4990"/>
              </w:tabs>
              <w:spacing w:before="40" w:after="40"/>
              <w:rPr>
                <w:sz w:val="18"/>
              </w:rPr>
            </w:pPr>
            <w:r w:rsidRPr="00A13178">
              <w:rPr>
                <w:sz w:val="18"/>
              </w:rPr>
              <w:t>Party/</w:t>
            </w:r>
            <w:proofErr w:type="spellStart"/>
            <w:r w:rsidRPr="00A13178">
              <w:rPr>
                <w:sz w:val="18"/>
              </w:rPr>
              <w:t>year</w:t>
            </w:r>
            <w:proofErr w:type="spellEnd"/>
          </w:p>
        </w:tc>
        <w:tc>
          <w:tcPr>
            <w:tcW w:w="3353" w:type="dxa"/>
            <w:tcBorders>
              <w:top w:val="single" w:sz="12" w:space="0" w:color="auto"/>
              <w:bottom w:val="single" w:sz="4" w:space="0" w:color="auto"/>
            </w:tcBorders>
          </w:tcPr>
          <w:p w14:paraId="668ADE49" w14:textId="77777777" w:rsidR="007720ED" w:rsidRPr="00A13178" w:rsidRDefault="007720ED" w:rsidP="00EE3619">
            <w:pPr>
              <w:tabs>
                <w:tab w:val="left" w:pos="624"/>
                <w:tab w:val="left" w:pos="1871"/>
                <w:tab w:val="left" w:pos="2495"/>
                <w:tab w:val="left" w:pos="3119"/>
                <w:tab w:val="left" w:pos="3742"/>
                <w:tab w:val="left" w:pos="4366"/>
                <w:tab w:val="left" w:pos="4990"/>
              </w:tabs>
              <w:spacing w:before="40" w:after="40"/>
              <w:jc w:val="right"/>
              <w:rPr>
                <w:sz w:val="18"/>
              </w:rPr>
            </w:pPr>
            <w:r w:rsidRPr="00A13178">
              <w:rPr>
                <w:sz w:val="18"/>
              </w:rPr>
              <w:t>2022</w:t>
            </w:r>
          </w:p>
        </w:tc>
        <w:tc>
          <w:tcPr>
            <w:tcW w:w="3582" w:type="dxa"/>
            <w:tcBorders>
              <w:top w:val="single" w:sz="12" w:space="0" w:color="auto"/>
              <w:bottom w:val="single" w:sz="4" w:space="0" w:color="auto"/>
            </w:tcBorders>
          </w:tcPr>
          <w:p w14:paraId="787E7BBF" w14:textId="77777777" w:rsidR="007720ED" w:rsidRPr="00A13178" w:rsidRDefault="007720ED" w:rsidP="00EE3619">
            <w:pPr>
              <w:tabs>
                <w:tab w:val="left" w:pos="624"/>
                <w:tab w:val="left" w:pos="1871"/>
                <w:tab w:val="left" w:pos="2495"/>
                <w:tab w:val="left" w:pos="3119"/>
                <w:tab w:val="left" w:pos="3742"/>
                <w:tab w:val="left" w:pos="4366"/>
                <w:tab w:val="left" w:pos="4990"/>
              </w:tabs>
              <w:spacing w:before="40" w:after="40"/>
              <w:jc w:val="right"/>
              <w:rPr>
                <w:sz w:val="18"/>
              </w:rPr>
            </w:pPr>
            <w:r w:rsidRPr="00A13178">
              <w:rPr>
                <w:sz w:val="18"/>
              </w:rPr>
              <w:t>2022</w:t>
            </w:r>
          </w:p>
        </w:tc>
      </w:tr>
      <w:tr w:rsidR="007720ED" w:rsidRPr="00A13178" w14:paraId="02C5E45D" w14:textId="77777777" w:rsidTr="00EE3619">
        <w:trPr>
          <w:trHeight w:val="57"/>
          <w:jc w:val="right"/>
        </w:trPr>
        <w:tc>
          <w:tcPr>
            <w:tcW w:w="1372" w:type="dxa"/>
            <w:tcBorders>
              <w:top w:val="single" w:sz="4" w:space="0" w:color="auto"/>
              <w:bottom w:val="single" w:sz="12" w:space="0" w:color="auto"/>
            </w:tcBorders>
          </w:tcPr>
          <w:p w14:paraId="648190A3" w14:textId="77777777" w:rsidR="007720ED" w:rsidRPr="00A13178" w:rsidRDefault="007720ED" w:rsidP="00EE3619">
            <w:pPr>
              <w:tabs>
                <w:tab w:val="left" w:pos="624"/>
                <w:tab w:val="left" w:pos="1871"/>
                <w:tab w:val="left" w:pos="2495"/>
                <w:tab w:val="left" w:pos="3119"/>
                <w:tab w:val="left" w:pos="3742"/>
                <w:tab w:val="left" w:pos="4366"/>
                <w:tab w:val="left" w:pos="4990"/>
              </w:tabs>
              <w:spacing w:before="40" w:after="40"/>
              <w:rPr>
                <w:sz w:val="18"/>
              </w:rPr>
            </w:pPr>
            <w:proofErr w:type="spellStart"/>
            <w:r w:rsidRPr="00A13178">
              <w:rPr>
                <w:sz w:val="18"/>
              </w:rPr>
              <w:t>Bosnia</w:t>
            </w:r>
            <w:proofErr w:type="spellEnd"/>
            <w:r w:rsidRPr="00A13178">
              <w:rPr>
                <w:sz w:val="18"/>
              </w:rPr>
              <w:t xml:space="preserve"> and </w:t>
            </w:r>
            <w:proofErr w:type="spellStart"/>
            <w:r w:rsidRPr="00A13178">
              <w:rPr>
                <w:sz w:val="18"/>
              </w:rPr>
              <w:t>Herzegovina</w:t>
            </w:r>
            <w:proofErr w:type="spellEnd"/>
          </w:p>
        </w:tc>
        <w:tc>
          <w:tcPr>
            <w:tcW w:w="3353" w:type="dxa"/>
            <w:tcBorders>
              <w:top w:val="single" w:sz="4" w:space="0" w:color="auto"/>
              <w:bottom w:val="single" w:sz="12" w:space="0" w:color="auto"/>
            </w:tcBorders>
          </w:tcPr>
          <w:p w14:paraId="5996ABF5" w14:textId="77777777" w:rsidR="007720ED" w:rsidRPr="00A13178" w:rsidRDefault="007720ED" w:rsidP="00EE3619">
            <w:pPr>
              <w:tabs>
                <w:tab w:val="left" w:pos="624"/>
                <w:tab w:val="left" w:pos="1871"/>
                <w:tab w:val="left" w:pos="2495"/>
                <w:tab w:val="left" w:pos="3119"/>
                <w:tab w:val="left" w:pos="3742"/>
                <w:tab w:val="left" w:pos="4366"/>
                <w:tab w:val="left" w:pos="4990"/>
              </w:tabs>
              <w:spacing w:before="40" w:after="40"/>
              <w:jc w:val="right"/>
              <w:rPr>
                <w:sz w:val="18"/>
              </w:rPr>
            </w:pPr>
            <w:r w:rsidRPr="00A13178">
              <w:rPr>
                <w:color w:val="000000"/>
                <w:sz w:val="18"/>
              </w:rPr>
              <w:t>1,340,919</w:t>
            </w:r>
          </w:p>
        </w:tc>
        <w:tc>
          <w:tcPr>
            <w:tcW w:w="3582" w:type="dxa"/>
            <w:tcBorders>
              <w:top w:val="single" w:sz="4" w:space="0" w:color="auto"/>
              <w:bottom w:val="single" w:sz="12" w:space="0" w:color="auto"/>
            </w:tcBorders>
          </w:tcPr>
          <w:p w14:paraId="044FC1AE" w14:textId="77777777" w:rsidR="007720ED" w:rsidRPr="00A13178" w:rsidRDefault="007720ED" w:rsidP="00EE3619">
            <w:pPr>
              <w:tabs>
                <w:tab w:val="left" w:pos="624"/>
                <w:tab w:val="left" w:pos="1871"/>
                <w:tab w:val="left" w:pos="2495"/>
                <w:tab w:val="left" w:pos="3119"/>
                <w:tab w:val="left" w:pos="3742"/>
                <w:tab w:val="left" w:pos="4366"/>
                <w:tab w:val="left" w:pos="4990"/>
              </w:tabs>
              <w:spacing w:before="40" w:after="40"/>
              <w:jc w:val="right"/>
              <w:rPr>
                <w:sz w:val="18"/>
              </w:rPr>
            </w:pPr>
            <w:r w:rsidRPr="00A13178">
              <w:rPr>
                <w:color w:val="000000"/>
                <w:sz w:val="18"/>
              </w:rPr>
              <w:t>1,402,682</w:t>
            </w:r>
          </w:p>
        </w:tc>
      </w:tr>
    </w:tbl>
    <w:p w14:paraId="7CD68771" w14:textId="77777777" w:rsidR="007720ED" w:rsidRPr="00A13178" w:rsidRDefault="007720ED" w:rsidP="007720ED">
      <w:pPr>
        <w:tabs>
          <w:tab w:val="left" w:pos="624"/>
        </w:tabs>
        <w:spacing w:after="120"/>
        <w:ind w:left="1247"/>
      </w:pPr>
      <w:r w:rsidRPr="00A13178">
        <w:rPr>
          <w:i/>
          <w:sz w:val="18"/>
          <w:szCs w:val="18"/>
        </w:rPr>
        <w:t>Abbreviations</w:t>
      </w:r>
      <w:r w:rsidRPr="00A13178">
        <w:rPr>
          <w:sz w:val="18"/>
          <w:szCs w:val="18"/>
        </w:rPr>
        <w:t>:</w:t>
      </w:r>
      <w:r w:rsidRPr="00A13178">
        <w:rPr>
          <w:i/>
          <w:sz w:val="18"/>
          <w:szCs w:val="18"/>
        </w:rPr>
        <w:t xml:space="preserve"> </w:t>
      </w:r>
      <w:r w:rsidRPr="00A13178">
        <w:rPr>
          <w:sz w:val="18"/>
          <w:szCs w:val="18"/>
        </w:rPr>
        <w:t>HFC – hydrofluorocarbon, CO</w:t>
      </w:r>
      <w:r w:rsidRPr="00A13178">
        <w:rPr>
          <w:sz w:val="18"/>
          <w:szCs w:val="18"/>
          <w:vertAlign w:val="subscript"/>
        </w:rPr>
        <w:t>2</w:t>
      </w:r>
      <w:r w:rsidRPr="00A13178">
        <w:rPr>
          <w:sz w:val="18"/>
          <w:szCs w:val="18"/>
        </w:rPr>
        <w:t>-eq – CO</w:t>
      </w:r>
      <w:r w:rsidRPr="00A13178">
        <w:rPr>
          <w:sz w:val="18"/>
          <w:szCs w:val="18"/>
          <w:vertAlign w:val="subscript"/>
        </w:rPr>
        <w:t>2</w:t>
      </w:r>
      <w:r w:rsidRPr="00A13178">
        <w:rPr>
          <w:sz w:val="18"/>
          <w:szCs w:val="18"/>
        </w:rPr>
        <w:t>-equivalent</w:t>
      </w:r>
    </w:p>
    <w:p w14:paraId="4D16FB14" w14:textId="77777777" w:rsidR="007720ED" w:rsidRPr="00FE1453" w:rsidRDefault="007720ED" w:rsidP="007720ED">
      <w:pPr>
        <w:numPr>
          <w:ilvl w:val="6"/>
          <w:numId w:val="30"/>
        </w:numPr>
        <w:tabs>
          <w:tab w:val="clear" w:pos="1247"/>
          <w:tab w:val="clear" w:pos="1814"/>
          <w:tab w:val="left" w:pos="624"/>
          <w:tab w:val="left" w:pos="709"/>
          <w:tab w:val="left" w:pos="1418"/>
        </w:tabs>
        <w:spacing w:before="120" w:after="120"/>
        <w:ind w:left="709" w:firstLine="0"/>
      </w:pPr>
      <w:r w:rsidRPr="00FE1453">
        <w:t xml:space="preserve">That Brazil has presented sufficient information, in accordance with decision XV/19, to justify its request for the revision of its consumption data for hydrofluorocarbons for 2022, which are part of the baseline for Article 5, group 1, parties under the Kigali Amendment to the Montreal </w:t>
      </w:r>
      <w:proofErr w:type="gramStart"/>
      <w:r w:rsidRPr="00FE1453">
        <w:t>Protocol;</w:t>
      </w:r>
      <w:proofErr w:type="gramEnd"/>
    </w:p>
    <w:p w14:paraId="05AB16F2" w14:textId="77777777" w:rsidR="007720ED" w:rsidRPr="00FE1453" w:rsidRDefault="007720ED" w:rsidP="007720ED">
      <w:pPr>
        <w:numPr>
          <w:ilvl w:val="6"/>
          <w:numId w:val="30"/>
        </w:numPr>
        <w:tabs>
          <w:tab w:val="clear" w:pos="1247"/>
          <w:tab w:val="clear" w:pos="1814"/>
          <w:tab w:val="left" w:pos="624"/>
          <w:tab w:val="left" w:pos="709"/>
          <w:tab w:val="left" w:pos="1418"/>
        </w:tabs>
        <w:spacing w:before="120" w:after="120"/>
        <w:ind w:left="709" w:firstLine="0"/>
      </w:pPr>
      <w:r w:rsidRPr="00FE1453">
        <w:t>To approve the request by Brazil and to revise its consumption data for hydrofluorocarbons for the baseline year 2022 as indicated in the following table:</w:t>
      </w:r>
    </w:p>
    <w:tbl>
      <w:tblPr>
        <w:tblStyle w:val="TableGrid"/>
        <w:tblW w:w="8307" w:type="dxa"/>
        <w:jc w:val="righ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3353"/>
        <w:gridCol w:w="3582"/>
      </w:tblGrid>
      <w:tr w:rsidR="007720ED" w:rsidRPr="00FE1453" w14:paraId="4A7F5CF4" w14:textId="77777777" w:rsidTr="00EE3619">
        <w:trPr>
          <w:trHeight w:val="57"/>
          <w:jc w:val="right"/>
        </w:trPr>
        <w:tc>
          <w:tcPr>
            <w:tcW w:w="1363" w:type="dxa"/>
            <w:tcBorders>
              <w:top w:val="single" w:sz="4" w:space="0" w:color="auto"/>
              <w:bottom w:val="single" w:sz="12" w:space="0" w:color="auto"/>
            </w:tcBorders>
            <w:vAlign w:val="bottom"/>
          </w:tcPr>
          <w:p w14:paraId="0F9BEBE1" w14:textId="77777777" w:rsidR="007720ED" w:rsidRPr="003B159F" w:rsidRDefault="007720ED" w:rsidP="00EE3619">
            <w:pPr>
              <w:keepNext/>
              <w:keepLines/>
              <w:tabs>
                <w:tab w:val="left" w:pos="624"/>
                <w:tab w:val="left" w:pos="1871"/>
                <w:tab w:val="left" w:pos="2495"/>
                <w:tab w:val="left" w:pos="3119"/>
                <w:tab w:val="left" w:pos="3742"/>
                <w:tab w:val="left" w:pos="4366"/>
                <w:tab w:val="left" w:pos="4990"/>
              </w:tabs>
              <w:spacing w:before="40" w:after="40"/>
              <w:rPr>
                <w:sz w:val="18"/>
                <w:lang w:val="en-US"/>
              </w:rPr>
            </w:pPr>
          </w:p>
        </w:tc>
        <w:tc>
          <w:tcPr>
            <w:tcW w:w="3330" w:type="dxa"/>
            <w:tcBorders>
              <w:top w:val="single" w:sz="4" w:space="0" w:color="auto"/>
              <w:bottom w:val="single" w:sz="12" w:space="0" w:color="auto"/>
            </w:tcBorders>
            <w:vAlign w:val="bottom"/>
          </w:tcPr>
          <w:p w14:paraId="6BB4BF6C" w14:textId="77777777" w:rsidR="007720ED" w:rsidRPr="003B159F" w:rsidRDefault="007720ED" w:rsidP="00EE3619">
            <w:pPr>
              <w:keepNext/>
              <w:keepLines/>
              <w:tabs>
                <w:tab w:val="left" w:pos="624"/>
                <w:tab w:val="left" w:pos="1871"/>
                <w:tab w:val="left" w:pos="2495"/>
                <w:tab w:val="left" w:pos="3119"/>
                <w:tab w:val="left" w:pos="3742"/>
                <w:tab w:val="left" w:pos="4366"/>
                <w:tab w:val="left" w:pos="4990"/>
              </w:tabs>
              <w:spacing w:before="40" w:after="40"/>
              <w:jc w:val="right"/>
              <w:rPr>
                <w:sz w:val="18"/>
                <w:lang w:val="en-US"/>
              </w:rPr>
            </w:pPr>
            <w:r w:rsidRPr="003B159F">
              <w:rPr>
                <w:i/>
                <w:sz w:val="18"/>
                <w:lang w:val="en-US"/>
              </w:rPr>
              <w:t>Previous HFC data (CO</w:t>
            </w:r>
            <w:r w:rsidRPr="003B159F">
              <w:rPr>
                <w:i/>
                <w:sz w:val="18"/>
                <w:vertAlign w:val="subscript"/>
                <w:lang w:val="en-US"/>
              </w:rPr>
              <w:t>2</w:t>
            </w:r>
            <w:r w:rsidRPr="003B159F">
              <w:rPr>
                <w:i/>
                <w:sz w:val="18"/>
                <w:lang w:val="en-US"/>
              </w:rPr>
              <w:t xml:space="preserve">-eq </w:t>
            </w:r>
            <w:proofErr w:type="spellStart"/>
            <w:r w:rsidRPr="003B159F">
              <w:rPr>
                <w:i/>
                <w:sz w:val="18"/>
                <w:lang w:val="en-US"/>
              </w:rPr>
              <w:t>tonnes</w:t>
            </w:r>
            <w:proofErr w:type="spellEnd"/>
            <w:r w:rsidRPr="003B159F">
              <w:rPr>
                <w:i/>
                <w:sz w:val="18"/>
                <w:lang w:val="en-US"/>
              </w:rPr>
              <w:t>)</w:t>
            </w:r>
          </w:p>
        </w:tc>
        <w:tc>
          <w:tcPr>
            <w:tcW w:w="3557" w:type="dxa"/>
            <w:tcBorders>
              <w:top w:val="single" w:sz="4" w:space="0" w:color="auto"/>
              <w:bottom w:val="single" w:sz="12" w:space="0" w:color="auto"/>
            </w:tcBorders>
            <w:vAlign w:val="bottom"/>
          </w:tcPr>
          <w:p w14:paraId="10208447" w14:textId="77777777" w:rsidR="007720ED" w:rsidRPr="003B159F" w:rsidRDefault="007720ED" w:rsidP="00EE3619">
            <w:pPr>
              <w:keepNext/>
              <w:keepLines/>
              <w:tabs>
                <w:tab w:val="left" w:pos="624"/>
                <w:tab w:val="left" w:pos="1871"/>
                <w:tab w:val="left" w:pos="2495"/>
                <w:tab w:val="left" w:pos="3119"/>
                <w:tab w:val="left" w:pos="3742"/>
                <w:tab w:val="left" w:pos="4366"/>
                <w:tab w:val="left" w:pos="4990"/>
              </w:tabs>
              <w:spacing w:before="40" w:after="40"/>
              <w:jc w:val="right"/>
              <w:rPr>
                <w:sz w:val="18"/>
                <w:lang w:val="en-US"/>
              </w:rPr>
            </w:pPr>
            <w:r w:rsidRPr="003B159F">
              <w:rPr>
                <w:i/>
                <w:sz w:val="18"/>
                <w:lang w:val="en-US"/>
              </w:rPr>
              <w:t>New HFC data (CO</w:t>
            </w:r>
            <w:r w:rsidRPr="003B159F">
              <w:rPr>
                <w:i/>
                <w:sz w:val="18"/>
                <w:vertAlign w:val="subscript"/>
                <w:lang w:val="en-US"/>
              </w:rPr>
              <w:t>2</w:t>
            </w:r>
            <w:r w:rsidRPr="003B159F">
              <w:rPr>
                <w:i/>
                <w:sz w:val="18"/>
                <w:lang w:val="en-US"/>
              </w:rPr>
              <w:t xml:space="preserve">-eq </w:t>
            </w:r>
            <w:proofErr w:type="spellStart"/>
            <w:r w:rsidRPr="003B159F">
              <w:rPr>
                <w:i/>
                <w:sz w:val="18"/>
                <w:lang w:val="en-US"/>
              </w:rPr>
              <w:t>tonnes</w:t>
            </w:r>
            <w:proofErr w:type="spellEnd"/>
            <w:r w:rsidRPr="003B159F">
              <w:rPr>
                <w:i/>
                <w:sz w:val="18"/>
                <w:lang w:val="en-US"/>
              </w:rPr>
              <w:t>)</w:t>
            </w:r>
          </w:p>
        </w:tc>
      </w:tr>
      <w:tr w:rsidR="007720ED" w:rsidRPr="00FE1453" w14:paraId="48F0101D" w14:textId="77777777" w:rsidTr="00EE3619">
        <w:trPr>
          <w:trHeight w:val="57"/>
          <w:jc w:val="right"/>
        </w:trPr>
        <w:tc>
          <w:tcPr>
            <w:tcW w:w="1363" w:type="dxa"/>
            <w:tcBorders>
              <w:top w:val="single" w:sz="12" w:space="0" w:color="auto"/>
              <w:bottom w:val="single" w:sz="4" w:space="0" w:color="auto"/>
            </w:tcBorders>
          </w:tcPr>
          <w:p w14:paraId="131DC938" w14:textId="77777777" w:rsidR="007720ED" w:rsidRPr="00FE1453" w:rsidRDefault="007720ED" w:rsidP="00EE3619">
            <w:pPr>
              <w:tabs>
                <w:tab w:val="left" w:pos="624"/>
                <w:tab w:val="left" w:pos="1871"/>
                <w:tab w:val="left" w:pos="2495"/>
                <w:tab w:val="left" w:pos="3119"/>
                <w:tab w:val="left" w:pos="3742"/>
                <w:tab w:val="left" w:pos="4366"/>
                <w:tab w:val="left" w:pos="4990"/>
              </w:tabs>
              <w:spacing w:before="40" w:after="40"/>
              <w:rPr>
                <w:sz w:val="18"/>
              </w:rPr>
            </w:pPr>
            <w:r w:rsidRPr="00FE1453">
              <w:rPr>
                <w:sz w:val="18"/>
              </w:rPr>
              <w:t>Party/</w:t>
            </w:r>
            <w:proofErr w:type="spellStart"/>
            <w:r w:rsidRPr="00FE1453">
              <w:rPr>
                <w:sz w:val="18"/>
              </w:rPr>
              <w:t>year</w:t>
            </w:r>
            <w:proofErr w:type="spellEnd"/>
          </w:p>
        </w:tc>
        <w:tc>
          <w:tcPr>
            <w:tcW w:w="3330" w:type="dxa"/>
            <w:tcBorders>
              <w:top w:val="single" w:sz="12" w:space="0" w:color="auto"/>
              <w:bottom w:val="single" w:sz="4" w:space="0" w:color="auto"/>
            </w:tcBorders>
          </w:tcPr>
          <w:p w14:paraId="78BD353E" w14:textId="77777777" w:rsidR="007720ED" w:rsidRPr="00FE1453" w:rsidRDefault="007720ED" w:rsidP="00EE3619">
            <w:pPr>
              <w:tabs>
                <w:tab w:val="left" w:pos="624"/>
                <w:tab w:val="left" w:pos="1871"/>
                <w:tab w:val="left" w:pos="2495"/>
                <w:tab w:val="left" w:pos="3119"/>
                <w:tab w:val="left" w:pos="3742"/>
                <w:tab w:val="left" w:pos="4366"/>
                <w:tab w:val="left" w:pos="4990"/>
              </w:tabs>
              <w:spacing w:before="40" w:after="40"/>
              <w:jc w:val="right"/>
              <w:rPr>
                <w:sz w:val="18"/>
              </w:rPr>
            </w:pPr>
            <w:r w:rsidRPr="00FE1453">
              <w:rPr>
                <w:sz w:val="18"/>
              </w:rPr>
              <w:t>2022</w:t>
            </w:r>
          </w:p>
        </w:tc>
        <w:tc>
          <w:tcPr>
            <w:tcW w:w="3557" w:type="dxa"/>
            <w:tcBorders>
              <w:top w:val="single" w:sz="12" w:space="0" w:color="auto"/>
              <w:bottom w:val="single" w:sz="4" w:space="0" w:color="auto"/>
            </w:tcBorders>
          </w:tcPr>
          <w:p w14:paraId="0DB08BCE" w14:textId="77777777" w:rsidR="007720ED" w:rsidRPr="00FE1453" w:rsidRDefault="007720ED" w:rsidP="00EE3619">
            <w:pPr>
              <w:tabs>
                <w:tab w:val="left" w:pos="624"/>
                <w:tab w:val="left" w:pos="1871"/>
                <w:tab w:val="left" w:pos="2495"/>
                <w:tab w:val="left" w:pos="3119"/>
                <w:tab w:val="left" w:pos="3742"/>
                <w:tab w:val="left" w:pos="4366"/>
                <w:tab w:val="left" w:pos="4990"/>
              </w:tabs>
              <w:spacing w:before="40" w:after="40"/>
              <w:jc w:val="right"/>
              <w:rPr>
                <w:sz w:val="18"/>
              </w:rPr>
            </w:pPr>
            <w:r w:rsidRPr="00FE1453">
              <w:rPr>
                <w:sz w:val="18"/>
              </w:rPr>
              <w:t>2022</w:t>
            </w:r>
          </w:p>
        </w:tc>
      </w:tr>
      <w:tr w:rsidR="007720ED" w:rsidRPr="00FE1453" w14:paraId="2B3C2B1C" w14:textId="77777777" w:rsidTr="00EE3619">
        <w:trPr>
          <w:trHeight w:val="57"/>
          <w:jc w:val="right"/>
        </w:trPr>
        <w:tc>
          <w:tcPr>
            <w:tcW w:w="1363" w:type="dxa"/>
            <w:tcBorders>
              <w:top w:val="single" w:sz="4" w:space="0" w:color="auto"/>
              <w:bottom w:val="single" w:sz="12" w:space="0" w:color="auto"/>
            </w:tcBorders>
          </w:tcPr>
          <w:p w14:paraId="3CA6FDCE" w14:textId="77777777" w:rsidR="007720ED" w:rsidRPr="00FE1453" w:rsidRDefault="007720ED" w:rsidP="00EE3619">
            <w:pPr>
              <w:tabs>
                <w:tab w:val="left" w:pos="624"/>
                <w:tab w:val="left" w:pos="1871"/>
                <w:tab w:val="left" w:pos="2495"/>
                <w:tab w:val="left" w:pos="3119"/>
                <w:tab w:val="left" w:pos="3742"/>
                <w:tab w:val="left" w:pos="4366"/>
                <w:tab w:val="left" w:pos="4990"/>
              </w:tabs>
              <w:spacing w:before="40" w:after="40"/>
              <w:rPr>
                <w:sz w:val="18"/>
              </w:rPr>
            </w:pPr>
            <w:r w:rsidRPr="00FE1453">
              <w:rPr>
                <w:sz w:val="18"/>
              </w:rPr>
              <w:t>Brazil</w:t>
            </w:r>
          </w:p>
        </w:tc>
        <w:tc>
          <w:tcPr>
            <w:tcW w:w="3330" w:type="dxa"/>
            <w:tcBorders>
              <w:top w:val="single" w:sz="4" w:space="0" w:color="auto"/>
              <w:bottom w:val="single" w:sz="12" w:space="0" w:color="auto"/>
            </w:tcBorders>
          </w:tcPr>
          <w:p w14:paraId="6D63966F" w14:textId="77777777" w:rsidR="007720ED" w:rsidRPr="00FE1453" w:rsidRDefault="007720ED" w:rsidP="00EE3619">
            <w:pPr>
              <w:tabs>
                <w:tab w:val="left" w:pos="624"/>
                <w:tab w:val="left" w:pos="1871"/>
                <w:tab w:val="left" w:pos="2495"/>
                <w:tab w:val="left" w:pos="3119"/>
                <w:tab w:val="left" w:pos="3742"/>
                <w:tab w:val="left" w:pos="4366"/>
                <w:tab w:val="left" w:pos="4990"/>
              </w:tabs>
              <w:spacing w:before="40" w:after="40"/>
              <w:jc w:val="right"/>
              <w:rPr>
                <w:sz w:val="18"/>
              </w:rPr>
            </w:pPr>
            <w:r w:rsidRPr="00FE1453">
              <w:rPr>
                <w:sz w:val="18"/>
              </w:rPr>
              <w:t>89 756 651</w:t>
            </w:r>
          </w:p>
        </w:tc>
        <w:tc>
          <w:tcPr>
            <w:tcW w:w="3557" w:type="dxa"/>
            <w:tcBorders>
              <w:top w:val="single" w:sz="4" w:space="0" w:color="auto"/>
              <w:bottom w:val="single" w:sz="12" w:space="0" w:color="auto"/>
            </w:tcBorders>
          </w:tcPr>
          <w:p w14:paraId="208F0EEC" w14:textId="77777777" w:rsidR="007720ED" w:rsidRPr="00FE1453" w:rsidRDefault="007720ED" w:rsidP="00EE3619">
            <w:pPr>
              <w:tabs>
                <w:tab w:val="left" w:pos="624"/>
                <w:tab w:val="left" w:pos="1871"/>
                <w:tab w:val="left" w:pos="2495"/>
                <w:tab w:val="left" w:pos="3119"/>
                <w:tab w:val="left" w:pos="3742"/>
                <w:tab w:val="left" w:pos="4366"/>
                <w:tab w:val="left" w:pos="4990"/>
              </w:tabs>
              <w:spacing w:before="40" w:after="40"/>
              <w:jc w:val="right"/>
              <w:rPr>
                <w:sz w:val="18"/>
              </w:rPr>
            </w:pPr>
            <w:r w:rsidRPr="00FE1453">
              <w:rPr>
                <w:sz w:val="18"/>
              </w:rPr>
              <w:t>79 416 087</w:t>
            </w:r>
          </w:p>
        </w:tc>
      </w:tr>
    </w:tbl>
    <w:p w14:paraId="3E4E8D91" w14:textId="77777777" w:rsidR="007720ED" w:rsidRPr="00FE1453" w:rsidRDefault="007720ED" w:rsidP="007720ED">
      <w:pPr>
        <w:tabs>
          <w:tab w:val="left" w:pos="624"/>
        </w:tabs>
        <w:spacing w:before="60"/>
        <w:ind w:left="1247"/>
        <w:rPr>
          <w:iCs/>
        </w:rPr>
      </w:pPr>
      <w:r w:rsidRPr="00FE1453">
        <w:rPr>
          <w:i/>
          <w:sz w:val="18"/>
          <w:szCs w:val="18"/>
        </w:rPr>
        <w:tab/>
      </w:r>
      <w:r w:rsidRPr="00FE1453">
        <w:rPr>
          <w:i/>
          <w:sz w:val="18"/>
          <w:szCs w:val="18"/>
        </w:rPr>
        <w:tab/>
        <w:t>Abbreviations</w:t>
      </w:r>
      <w:r w:rsidRPr="00FE1453">
        <w:rPr>
          <w:sz w:val="18"/>
          <w:szCs w:val="18"/>
        </w:rPr>
        <w:t>:</w:t>
      </w:r>
      <w:r w:rsidRPr="00FE1453">
        <w:rPr>
          <w:i/>
          <w:sz w:val="18"/>
          <w:szCs w:val="18"/>
        </w:rPr>
        <w:t xml:space="preserve"> </w:t>
      </w:r>
      <w:r w:rsidRPr="00FE1453">
        <w:rPr>
          <w:sz w:val="18"/>
          <w:szCs w:val="18"/>
        </w:rPr>
        <w:t>CO</w:t>
      </w:r>
      <w:r w:rsidRPr="00FE1453">
        <w:rPr>
          <w:sz w:val="18"/>
          <w:szCs w:val="18"/>
          <w:vertAlign w:val="subscript"/>
        </w:rPr>
        <w:t>2</w:t>
      </w:r>
      <w:r w:rsidRPr="00FE1453">
        <w:rPr>
          <w:sz w:val="18"/>
          <w:szCs w:val="18"/>
        </w:rPr>
        <w:t>-eq – CO</w:t>
      </w:r>
      <w:r w:rsidRPr="00FE1453">
        <w:rPr>
          <w:sz w:val="18"/>
          <w:szCs w:val="18"/>
          <w:vertAlign w:val="subscript"/>
        </w:rPr>
        <w:t>2</w:t>
      </w:r>
      <w:r w:rsidRPr="00FE1453">
        <w:rPr>
          <w:sz w:val="18"/>
          <w:szCs w:val="18"/>
        </w:rPr>
        <w:t>-equivalent; HFC – hydrofluorocarbon.</w:t>
      </w:r>
    </w:p>
    <w:p w14:paraId="6699B696" w14:textId="77777777" w:rsidR="007720ED" w:rsidRPr="00A13178" w:rsidRDefault="007720ED" w:rsidP="007720ED">
      <w:pPr>
        <w:numPr>
          <w:ilvl w:val="6"/>
          <w:numId w:val="30"/>
        </w:numPr>
        <w:tabs>
          <w:tab w:val="clear" w:pos="1247"/>
          <w:tab w:val="clear" w:pos="1814"/>
          <w:tab w:val="left" w:pos="624"/>
          <w:tab w:val="left" w:pos="709"/>
          <w:tab w:val="left" w:pos="1418"/>
        </w:tabs>
        <w:spacing w:before="120" w:after="120"/>
        <w:ind w:left="709" w:firstLine="0"/>
      </w:pPr>
      <w:r w:rsidRPr="00A13178">
        <w:t xml:space="preserve">That Guinea has presented sufficient information, in accordance with decision XV/19, to justify its request for the revision of its consumption data for hydrochlorofluorocarbons for 2009 and 2010, which are part of the baseline for Article 5, group 1, parties under the Kigali Amendment to the Montreal Protocol on Substances that Deplete the Ozone </w:t>
      </w:r>
      <w:proofErr w:type="gramStart"/>
      <w:r w:rsidRPr="00A13178">
        <w:t>Layer;</w:t>
      </w:r>
      <w:proofErr w:type="gramEnd"/>
    </w:p>
    <w:p w14:paraId="31FE7A33" w14:textId="54EA75AF" w:rsidR="007720ED" w:rsidRPr="00A13178" w:rsidRDefault="007720ED" w:rsidP="007720ED">
      <w:pPr>
        <w:numPr>
          <w:ilvl w:val="6"/>
          <w:numId w:val="30"/>
        </w:numPr>
        <w:tabs>
          <w:tab w:val="clear" w:pos="1247"/>
          <w:tab w:val="clear" w:pos="1814"/>
          <w:tab w:val="left" w:pos="624"/>
          <w:tab w:val="left" w:pos="709"/>
          <w:tab w:val="left" w:pos="1418"/>
        </w:tabs>
        <w:spacing w:before="120" w:after="120"/>
        <w:ind w:left="709" w:firstLine="0"/>
      </w:pPr>
      <w:r w:rsidRPr="00A13178">
        <w:t xml:space="preserve">To approve the request </w:t>
      </w:r>
      <w:r w:rsidR="003D473A">
        <w:t xml:space="preserve">by </w:t>
      </w:r>
      <w:r w:rsidRPr="00A13178">
        <w:t>Guinea and to revise its consumption data for hydrochlorofluorocarbons for the baseline years 2009 and 2010 as indicated in the following table:</w:t>
      </w:r>
    </w:p>
    <w:p w14:paraId="0AA2CAFA" w14:textId="77777777" w:rsidR="007720ED" w:rsidRPr="00A13178" w:rsidRDefault="007720ED" w:rsidP="007720ED">
      <w:pPr>
        <w:tabs>
          <w:tab w:val="left" w:pos="624"/>
          <w:tab w:val="left" w:pos="1871"/>
          <w:tab w:val="left" w:pos="2495"/>
          <w:tab w:val="left" w:pos="3119"/>
          <w:tab w:val="left" w:pos="3742"/>
          <w:tab w:val="left" w:pos="4366"/>
          <w:tab w:val="left" w:pos="4990"/>
        </w:tabs>
        <w:spacing w:before="60"/>
        <w:ind w:left="1247"/>
        <w:rPr>
          <w:i/>
          <w:sz w:val="18"/>
          <w:szCs w:val="18"/>
        </w:rPr>
      </w:pPr>
      <w:r w:rsidRPr="00A13178">
        <w:rPr>
          <w:i/>
          <w:sz w:val="18"/>
          <w:szCs w:val="18"/>
        </w:rPr>
        <w:tab/>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51"/>
        <w:gridCol w:w="850"/>
        <w:gridCol w:w="993"/>
        <w:gridCol w:w="850"/>
        <w:gridCol w:w="836"/>
        <w:gridCol w:w="576"/>
        <w:gridCol w:w="846"/>
        <w:gridCol w:w="846"/>
      </w:tblGrid>
      <w:tr w:rsidR="007720ED" w:rsidRPr="00A13178" w14:paraId="7E99AADE" w14:textId="77777777" w:rsidTr="00EE3619">
        <w:trPr>
          <w:trHeight w:val="57"/>
          <w:jc w:val="right"/>
        </w:trPr>
        <w:tc>
          <w:tcPr>
            <w:tcW w:w="1696" w:type="dxa"/>
            <w:tcBorders>
              <w:top w:val="single" w:sz="4" w:space="0" w:color="auto"/>
              <w:bottom w:val="single" w:sz="4" w:space="0" w:color="auto"/>
            </w:tcBorders>
            <w:vAlign w:val="bottom"/>
          </w:tcPr>
          <w:p w14:paraId="22518122" w14:textId="77777777" w:rsidR="007720ED" w:rsidRPr="003B159F" w:rsidRDefault="007720ED" w:rsidP="00EE3619">
            <w:pPr>
              <w:keepNext/>
              <w:keepLines/>
              <w:tabs>
                <w:tab w:val="left" w:pos="624"/>
                <w:tab w:val="left" w:pos="1871"/>
                <w:tab w:val="left" w:pos="2495"/>
                <w:tab w:val="left" w:pos="3119"/>
                <w:tab w:val="left" w:pos="3742"/>
                <w:tab w:val="left" w:pos="4366"/>
                <w:tab w:val="left" w:pos="4990"/>
              </w:tabs>
              <w:spacing w:before="40" w:after="40"/>
              <w:rPr>
                <w:sz w:val="18"/>
                <w:lang w:val="en-US"/>
              </w:rPr>
            </w:pPr>
            <w:bookmarkStart w:id="17" w:name="_Hlk210390584"/>
          </w:p>
        </w:tc>
        <w:tc>
          <w:tcPr>
            <w:tcW w:w="3544" w:type="dxa"/>
            <w:gridSpan w:val="4"/>
            <w:tcBorders>
              <w:top w:val="single" w:sz="4" w:space="0" w:color="auto"/>
              <w:bottom w:val="single" w:sz="4" w:space="0" w:color="auto"/>
            </w:tcBorders>
          </w:tcPr>
          <w:p w14:paraId="2BD3C48D" w14:textId="77777777" w:rsidR="007720ED" w:rsidRPr="00A13178" w:rsidRDefault="007720ED" w:rsidP="00EE3619">
            <w:pPr>
              <w:keepNext/>
              <w:keepLines/>
              <w:tabs>
                <w:tab w:val="left" w:pos="624"/>
                <w:tab w:val="left" w:pos="1871"/>
                <w:tab w:val="left" w:pos="2495"/>
                <w:tab w:val="left" w:pos="3119"/>
                <w:tab w:val="left" w:pos="3742"/>
                <w:tab w:val="left" w:pos="4366"/>
                <w:tab w:val="left" w:pos="4990"/>
              </w:tabs>
              <w:spacing w:before="40" w:after="40"/>
              <w:jc w:val="center"/>
              <w:rPr>
                <w:sz w:val="18"/>
              </w:rPr>
            </w:pPr>
            <w:proofErr w:type="spellStart"/>
            <w:r w:rsidRPr="00A13178">
              <w:rPr>
                <w:i/>
                <w:sz w:val="18"/>
              </w:rPr>
              <w:t>Previous</w:t>
            </w:r>
            <w:proofErr w:type="spellEnd"/>
            <w:r w:rsidRPr="00A13178">
              <w:rPr>
                <w:i/>
                <w:sz w:val="18"/>
              </w:rPr>
              <w:t xml:space="preserve"> HCFC data</w:t>
            </w:r>
          </w:p>
        </w:tc>
        <w:tc>
          <w:tcPr>
            <w:tcW w:w="3104" w:type="dxa"/>
            <w:gridSpan w:val="4"/>
            <w:tcBorders>
              <w:top w:val="single" w:sz="4" w:space="0" w:color="auto"/>
              <w:bottom w:val="single" w:sz="4" w:space="0" w:color="auto"/>
            </w:tcBorders>
            <w:vAlign w:val="bottom"/>
          </w:tcPr>
          <w:p w14:paraId="76282ED5" w14:textId="77777777" w:rsidR="007720ED" w:rsidRPr="00A13178" w:rsidRDefault="007720ED" w:rsidP="00EE3619">
            <w:pPr>
              <w:keepNext/>
              <w:keepLines/>
              <w:tabs>
                <w:tab w:val="left" w:pos="624"/>
                <w:tab w:val="left" w:pos="1871"/>
                <w:tab w:val="left" w:pos="2495"/>
                <w:tab w:val="left" w:pos="3119"/>
                <w:tab w:val="left" w:pos="3742"/>
                <w:tab w:val="left" w:pos="4366"/>
                <w:tab w:val="left" w:pos="4990"/>
              </w:tabs>
              <w:spacing w:before="40" w:after="40"/>
              <w:jc w:val="center"/>
              <w:rPr>
                <w:i/>
                <w:sz w:val="18"/>
              </w:rPr>
            </w:pPr>
            <w:r w:rsidRPr="00A13178">
              <w:rPr>
                <w:i/>
                <w:sz w:val="18"/>
              </w:rPr>
              <w:t>New HCFC data</w:t>
            </w:r>
          </w:p>
        </w:tc>
      </w:tr>
      <w:tr w:rsidR="007720ED" w:rsidRPr="00A13178" w14:paraId="779A0D39" w14:textId="77777777" w:rsidTr="00EE3619">
        <w:trPr>
          <w:trHeight w:val="57"/>
          <w:jc w:val="right"/>
        </w:trPr>
        <w:tc>
          <w:tcPr>
            <w:tcW w:w="1696" w:type="dxa"/>
            <w:tcBorders>
              <w:top w:val="single" w:sz="4" w:space="0" w:color="auto"/>
              <w:bottom w:val="single" w:sz="12" w:space="0" w:color="auto"/>
            </w:tcBorders>
            <w:vAlign w:val="bottom"/>
          </w:tcPr>
          <w:p w14:paraId="683D12D6" w14:textId="77777777" w:rsidR="007720ED" w:rsidRPr="00A13178" w:rsidRDefault="007720ED" w:rsidP="00EE3619">
            <w:pPr>
              <w:keepNext/>
              <w:keepLines/>
              <w:tabs>
                <w:tab w:val="left" w:pos="624"/>
                <w:tab w:val="left" w:pos="1871"/>
                <w:tab w:val="left" w:pos="2495"/>
                <w:tab w:val="left" w:pos="3119"/>
                <w:tab w:val="left" w:pos="3742"/>
                <w:tab w:val="left" w:pos="4366"/>
                <w:tab w:val="left" w:pos="4990"/>
              </w:tabs>
              <w:spacing w:before="40" w:after="40"/>
              <w:rPr>
                <w:sz w:val="18"/>
              </w:rPr>
            </w:pPr>
          </w:p>
        </w:tc>
        <w:tc>
          <w:tcPr>
            <w:tcW w:w="1701" w:type="dxa"/>
            <w:gridSpan w:val="2"/>
            <w:tcBorders>
              <w:top w:val="single" w:sz="4" w:space="0" w:color="auto"/>
              <w:bottom w:val="single" w:sz="12" w:space="0" w:color="auto"/>
            </w:tcBorders>
          </w:tcPr>
          <w:p w14:paraId="0A089641" w14:textId="77777777" w:rsidR="007720ED" w:rsidRPr="00A13178" w:rsidRDefault="007720ED" w:rsidP="00EE3619">
            <w:pPr>
              <w:keepNext/>
              <w:keepLines/>
              <w:tabs>
                <w:tab w:val="left" w:pos="624"/>
                <w:tab w:val="left" w:pos="1871"/>
                <w:tab w:val="left" w:pos="2495"/>
                <w:tab w:val="left" w:pos="3119"/>
                <w:tab w:val="left" w:pos="3742"/>
                <w:tab w:val="left" w:pos="4366"/>
                <w:tab w:val="left" w:pos="4990"/>
              </w:tabs>
              <w:spacing w:before="40" w:after="40"/>
              <w:jc w:val="center"/>
              <w:rPr>
                <w:i/>
                <w:sz w:val="18"/>
              </w:rPr>
            </w:pPr>
            <w:r w:rsidRPr="00A13178">
              <w:rPr>
                <w:i/>
                <w:sz w:val="18"/>
              </w:rPr>
              <w:t>ODP tonnes</w:t>
            </w:r>
          </w:p>
        </w:tc>
        <w:tc>
          <w:tcPr>
            <w:tcW w:w="1843" w:type="dxa"/>
            <w:gridSpan w:val="2"/>
            <w:tcBorders>
              <w:top w:val="single" w:sz="4" w:space="0" w:color="auto"/>
              <w:bottom w:val="single" w:sz="12" w:space="0" w:color="auto"/>
            </w:tcBorders>
            <w:vAlign w:val="bottom"/>
          </w:tcPr>
          <w:p w14:paraId="0678EE6B" w14:textId="77777777" w:rsidR="007720ED" w:rsidRPr="00A13178" w:rsidRDefault="007720ED" w:rsidP="00EE3619">
            <w:pPr>
              <w:keepNext/>
              <w:keepLines/>
              <w:tabs>
                <w:tab w:val="left" w:pos="624"/>
                <w:tab w:val="left" w:pos="1871"/>
                <w:tab w:val="left" w:pos="2495"/>
                <w:tab w:val="left" w:pos="3119"/>
                <w:tab w:val="left" w:pos="3742"/>
                <w:tab w:val="left" w:pos="4366"/>
                <w:tab w:val="left" w:pos="4990"/>
              </w:tabs>
              <w:spacing w:before="40" w:after="40"/>
              <w:jc w:val="center"/>
              <w:rPr>
                <w:i/>
                <w:sz w:val="18"/>
              </w:rPr>
            </w:pPr>
            <w:r w:rsidRPr="00A13178">
              <w:rPr>
                <w:i/>
                <w:sz w:val="18"/>
              </w:rPr>
              <w:t>CO</w:t>
            </w:r>
            <w:r w:rsidRPr="00A13178">
              <w:rPr>
                <w:i/>
                <w:sz w:val="18"/>
                <w:vertAlign w:val="subscript"/>
              </w:rPr>
              <w:t>2</w:t>
            </w:r>
            <w:r w:rsidRPr="00A13178">
              <w:rPr>
                <w:i/>
                <w:sz w:val="18"/>
              </w:rPr>
              <w:t>-eq tonnes</w:t>
            </w:r>
          </w:p>
        </w:tc>
        <w:tc>
          <w:tcPr>
            <w:tcW w:w="1412" w:type="dxa"/>
            <w:gridSpan w:val="2"/>
            <w:tcBorders>
              <w:top w:val="single" w:sz="4" w:space="0" w:color="auto"/>
              <w:bottom w:val="single" w:sz="12" w:space="0" w:color="auto"/>
            </w:tcBorders>
            <w:vAlign w:val="bottom"/>
          </w:tcPr>
          <w:p w14:paraId="685F3830" w14:textId="77777777" w:rsidR="007720ED" w:rsidRPr="00A13178" w:rsidRDefault="007720ED" w:rsidP="00EE3619">
            <w:pPr>
              <w:keepNext/>
              <w:keepLines/>
              <w:tabs>
                <w:tab w:val="left" w:pos="624"/>
                <w:tab w:val="left" w:pos="1871"/>
                <w:tab w:val="left" w:pos="2495"/>
                <w:tab w:val="left" w:pos="3119"/>
                <w:tab w:val="left" w:pos="3742"/>
                <w:tab w:val="left" w:pos="4366"/>
                <w:tab w:val="left" w:pos="4990"/>
              </w:tabs>
              <w:spacing w:before="40" w:after="40"/>
              <w:jc w:val="center"/>
              <w:rPr>
                <w:i/>
                <w:sz w:val="18"/>
              </w:rPr>
            </w:pPr>
            <w:r w:rsidRPr="00A13178">
              <w:rPr>
                <w:i/>
                <w:sz w:val="18"/>
              </w:rPr>
              <w:t>ODP tonnes</w:t>
            </w:r>
          </w:p>
        </w:tc>
        <w:tc>
          <w:tcPr>
            <w:tcW w:w="0" w:type="auto"/>
            <w:gridSpan w:val="2"/>
            <w:tcBorders>
              <w:top w:val="single" w:sz="4" w:space="0" w:color="auto"/>
              <w:bottom w:val="single" w:sz="12" w:space="0" w:color="auto"/>
            </w:tcBorders>
          </w:tcPr>
          <w:p w14:paraId="27FB87EB" w14:textId="77777777" w:rsidR="007720ED" w:rsidRPr="00A13178" w:rsidRDefault="007720ED" w:rsidP="00EE3619">
            <w:pPr>
              <w:keepNext/>
              <w:keepLines/>
              <w:tabs>
                <w:tab w:val="left" w:pos="624"/>
                <w:tab w:val="left" w:pos="1871"/>
                <w:tab w:val="left" w:pos="2495"/>
                <w:tab w:val="left" w:pos="3119"/>
                <w:tab w:val="left" w:pos="3742"/>
                <w:tab w:val="left" w:pos="4366"/>
                <w:tab w:val="left" w:pos="4990"/>
              </w:tabs>
              <w:spacing w:before="40" w:after="40"/>
              <w:jc w:val="center"/>
              <w:rPr>
                <w:i/>
                <w:sz w:val="18"/>
              </w:rPr>
            </w:pPr>
            <w:r w:rsidRPr="00A13178">
              <w:rPr>
                <w:i/>
                <w:sz w:val="18"/>
              </w:rPr>
              <w:t>CO</w:t>
            </w:r>
            <w:r w:rsidRPr="00A13178">
              <w:rPr>
                <w:i/>
                <w:sz w:val="18"/>
                <w:vertAlign w:val="subscript"/>
              </w:rPr>
              <w:t>2</w:t>
            </w:r>
            <w:r w:rsidRPr="00A13178">
              <w:rPr>
                <w:i/>
                <w:sz w:val="18"/>
              </w:rPr>
              <w:t>-eq tonnes</w:t>
            </w:r>
          </w:p>
        </w:tc>
      </w:tr>
      <w:tr w:rsidR="007720ED" w:rsidRPr="00A13178" w14:paraId="6473AE4C" w14:textId="77777777" w:rsidTr="00EE3619">
        <w:trPr>
          <w:trHeight w:val="57"/>
          <w:jc w:val="right"/>
        </w:trPr>
        <w:tc>
          <w:tcPr>
            <w:tcW w:w="1696" w:type="dxa"/>
            <w:tcBorders>
              <w:top w:val="single" w:sz="12" w:space="0" w:color="auto"/>
              <w:bottom w:val="single" w:sz="4" w:space="0" w:color="auto"/>
            </w:tcBorders>
          </w:tcPr>
          <w:p w14:paraId="6BFA2F27" w14:textId="77777777" w:rsidR="007720ED" w:rsidRPr="00A13178" w:rsidRDefault="007720ED" w:rsidP="00EE3619">
            <w:pPr>
              <w:tabs>
                <w:tab w:val="left" w:pos="624"/>
                <w:tab w:val="left" w:pos="1871"/>
                <w:tab w:val="left" w:pos="2495"/>
                <w:tab w:val="left" w:pos="3119"/>
                <w:tab w:val="left" w:pos="3742"/>
                <w:tab w:val="left" w:pos="4366"/>
                <w:tab w:val="left" w:pos="4990"/>
              </w:tabs>
              <w:spacing w:before="40" w:after="40"/>
              <w:rPr>
                <w:sz w:val="18"/>
              </w:rPr>
            </w:pPr>
            <w:r w:rsidRPr="00A13178">
              <w:rPr>
                <w:sz w:val="18"/>
              </w:rPr>
              <w:t>Party/</w:t>
            </w:r>
            <w:proofErr w:type="spellStart"/>
            <w:r w:rsidRPr="00A13178">
              <w:rPr>
                <w:sz w:val="18"/>
              </w:rPr>
              <w:t>year</w:t>
            </w:r>
            <w:proofErr w:type="spellEnd"/>
          </w:p>
        </w:tc>
        <w:tc>
          <w:tcPr>
            <w:tcW w:w="851" w:type="dxa"/>
            <w:tcBorders>
              <w:top w:val="single" w:sz="12" w:space="0" w:color="auto"/>
              <w:bottom w:val="single" w:sz="4" w:space="0" w:color="auto"/>
            </w:tcBorders>
          </w:tcPr>
          <w:p w14:paraId="77EFD749" w14:textId="77777777" w:rsidR="007720ED" w:rsidRPr="00A13178" w:rsidRDefault="007720ED" w:rsidP="00EE3619">
            <w:pPr>
              <w:tabs>
                <w:tab w:val="left" w:pos="624"/>
                <w:tab w:val="left" w:pos="1871"/>
                <w:tab w:val="left" w:pos="2495"/>
                <w:tab w:val="left" w:pos="3119"/>
                <w:tab w:val="left" w:pos="3742"/>
                <w:tab w:val="left" w:pos="4366"/>
                <w:tab w:val="left" w:pos="4990"/>
              </w:tabs>
              <w:spacing w:before="40" w:after="40"/>
              <w:jc w:val="right"/>
              <w:rPr>
                <w:sz w:val="18"/>
              </w:rPr>
            </w:pPr>
            <w:r w:rsidRPr="00A13178">
              <w:rPr>
                <w:sz w:val="18"/>
              </w:rPr>
              <w:t>2009</w:t>
            </w:r>
          </w:p>
        </w:tc>
        <w:tc>
          <w:tcPr>
            <w:tcW w:w="850" w:type="dxa"/>
            <w:tcBorders>
              <w:top w:val="single" w:sz="12" w:space="0" w:color="auto"/>
              <w:bottom w:val="single" w:sz="4" w:space="0" w:color="auto"/>
            </w:tcBorders>
          </w:tcPr>
          <w:p w14:paraId="47230FEB" w14:textId="77777777" w:rsidR="007720ED" w:rsidRPr="00A13178" w:rsidRDefault="007720ED" w:rsidP="00EE3619">
            <w:pPr>
              <w:tabs>
                <w:tab w:val="left" w:pos="624"/>
                <w:tab w:val="left" w:pos="1871"/>
                <w:tab w:val="left" w:pos="2495"/>
                <w:tab w:val="left" w:pos="3119"/>
                <w:tab w:val="left" w:pos="3742"/>
                <w:tab w:val="left" w:pos="4366"/>
                <w:tab w:val="left" w:pos="4990"/>
              </w:tabs>
              <w:spacing w:before="40" w:after="40"/>
              <w:jc w:val="right"/>
              <w:rPr>
                <w:sz w:val="18"/>
              </w:rPr>
            </w:pPr>
            <w:r w:rsidRPr="00A13178">
              <w:rPr>
                <w:sz w:val="18"/>
              </w:rPr>
              <w:t>2010</w:t>
            </w:r>
          </w:p>
        </w:tc>
        <w:tc>
          <w:tcPr>
            <w:tcW w:w="993" w:type="dxa"/>
            <w:tcBorders>
              <w:top w:val="single" w:sz="12" w:space="0" w:color="auto"/>
              <w:bottom w:val="single" w:sz="4" w:space="0" w:color="auto"/>
            </w:tcBorders>
          </w:tcPr>
          <w:p w14:paraId="272682B7" w14:textId="77777777" w:rsidR="007720ED" w:rsidRPr="00A13178" w:rsidRDefault="007720ED" w:rsidP="00EE3619">
            <w:pPr>
              <w:tabs>
                <w:tab w:val="left" w:pos="624"/>
                <w:tab w:val="left" w:pos="1871"/>
                <w:tab w:val="left" w:pos="2495"/>
                <w:tab w:val="left" w:pos="3119"/>
                <w:tab w:val="left" w:pos="3742"/>
                <w:tab w:val="left" w:pos="4366"/>
                <w:tab w:val="left" w:pos="4990"/>
              </w:tabs>
              <w:spacing w:before="40" w:after="40"/>
              <w:jc w:val="right"/>
              <w:rPr>
                <w:sz w:val="18"/>
              </w:rPr>
            </w:pPr>
            <w:r w:rsidRPr="00A13178">
              <w:rPr>
                <w:sz w:val="18"/>
              </w:rPr>
              <w:t>2009</w:t>
            </w:r>
          </w:p>
        </w:tc>
        <w:tc>
          <w:tcPr>
            <w:tcW w:w="850" w:type="dxa"/>
            <w:tcBorders>
              <w:top w:val="single" w:sz="12" w:space="0" w:color="auto"/>
              <w:bottom w:val="single" w:sz="4" w:space="0" w:color="auto"/>
            </w:tcBorders>
          </w:tcPr>
          <w:p w14:paraId="0B715FE1" w14:textId="77777777" w:rsidR="007720ED" w:rsidRPr="00A13178" w:rsidRDefault="007720ED" w:rsidP="00EE3619">
            <w:pPr>
              <w:tabs>
                <w:tab w:val="left" w:pos="624"/>
                <w:tab w:val="left" w:pos="1871"/>
                <w:tab w:val="left" w:pos="2495"/>
                <w:tab w:val="left" w:pos="3119"/>
                <w:tab w:val="left" w:pos="3742"/>
                <w:tab w:val="left" w:pos="4366"/>
                <w:tab w:val="left" w:pos="4990"/>
              </w:tabs>
              <w:spacing w:before="40" w:after="40"/>
              <w:jc w:val="right"/>
              <w:rPr>
                <w:sz w:val="18"/>
              </w:rPr>
            </w:pPr>
            <w:r w:rsidRPr="00A13178">
              <w:rPr>
                <w:sz w:val="18"/>
              </w:rPr>
              <w:t>2010</w:t>
            </w:r>
          </w:p>
        </w:tc>
        <w:tc>
          <w:tcPr>
            <w:tcW w:w="836" w:type="dxa"/>
            <w:tcBorders>
              <w:top w:val="single" w:sz="12" w:space="0" w:color="auto"/>
              <w:bottom w:val="single" w:sz="4" w:space="0" w:color="auto"/>
            </w:tcBorders>
          </w:tcPr>
          <w:p w14:paraId="1777F376" w14:textId="77777777" w:rsidR="007720ED" w:rsidRPr="00A13178" w:rsidRDefault="007720ED" w:rsidP="00EE3619">
            <w:pPr>
              <w:tabs>
                <w:tab w:val="left" w:pos="624"/>
                <w:tab w:val="left" w:pos="1871"/>
                <w:tab w:val="left" w:pos="2495"/>
                <w:tab w:val="left" w:pos="3119"/>
                <w:tab w:val="left" w:pos="3742"/>
                <w:tab w:val="left" w:pos="4366"/>
                <w:tab w:val="left" w:pos="4990"/>
              </w:tabs>
              <w:spacing w:before="40" w:after="40"/>
              <w:jc w:val="right"/>
              <w:rPr>
                <w:sz w:val="18"/>
              </w:rPr>
            </w:pPr>
            <w:r w:rsidRPr="00A13178">
              <w:rPr>
                <w:sz w:val="18"/>
              </w:rPr>
              <w:t>2009</w:t>
            </w:r>
          </w:p>
        </w:tc>
        <w:tc>
          <w:tcPr>
            <w:tcW w:w="0" w:type="auto"/>
            <w:tcBorders>
              <w:top w:val="single" w:sz="12" w:space="0" w:color="auto"/>
              <w:bottom w:val="single" w:sz="4" w:space="0" w:color="auto"/>
            </w:tcBorders>
          </w:tcPr>
          <w:p w14:paraId="6FC3BC99" w14:textId="77777777" w:rsidR="007720ED" w:rsidRPr="00A13178" w:rsidRDefault="007720ED" w:rsidP="00EE3619">
            <w:pPr>
              <w:tabs>
                <w:tab w:val="left" w:pos="624"/>
                <w:tab w:val="left" w:pos="1871"/>
                <w:tab w:val="left" w:pos="2495"/>
                <w:tab w:val="left" w:pos="3119"/>
                <w:tab w:val="left" w:pos="3742"/>
                <w:tab w:val="left" w:pos="4366"/>
                <w:tab w:val="left" w:pos="4990"/>
              </w:tabs>
              <w:spacing w:before="40" w:after="40"/>
              <w:jc w:val="right"/>
              <w:rPr>
                <w:sz w:val="18"/>
              </w:rPr>
            </w:pPr>
            <w:r w:rsidRPr="00A13178">
              <w:rPr>
                <w:sz w:val="18"/>
              </w:rPr>
              <w:t>2010</w:t>
            </w:r>
          </w:p>
        </w:tc>
        <w:tc>
          <w:tcPr>
            <w:tcW w:w="0" w:type="auto"/>
            <w:tcBorders>
              <w:top w:val="single" w:sz="12" w:space="0" w:color="auto"/>
              <w:bottom w:val="single" w:sz="4" w:space="0" w:color="auto"/>
            </w:tcBorders>
          </w:tcPr>
          <w:p w14:paraId="43272567" w14:textId="77777777" w:rsidR="007720ED" w:rsidRPr="00A13178" w:rsidRDefault="007720ED" w:rsidP="00EE3619">
            <w:pPr>
              <w:tabs>
                <w:tab w:val="left" w:pos="624"/>
                <w:tab w:val="left" w:pos="1871"/>
                <w:tab w:val="left" w:pos="2495"/>
                <w:tab w:val="left" w:pos="3119"/>
                <w:tab w:val="left" w:pos="3742"/>
                <w:tab w:val="left" w:pos="4366"/>
                <w:tab w:val="left" w:pos="4990"/>
              </w:tabs>
              <w:spacing w:before="40" w:after="40"/>
              <w:jc w:val="right"/>
              <w:rPr>
                <w:sz w:val="18"/>
              </w:rPr>
            </w:pPr>
            <w:r w:rsidRPr="00A13178">
              <w:rPr>
                <w:sz w:val="18"/>
              </w:rPr>
              <w:t>2009</w:t>
            </w:r>
          </w:p>
        </w:tc>
        <w:tc>
          <w:tcPr>
            <w:tcW w:w="0" w:type="auto"/>
            <w:tcBorders>
              <w:top w:val="single" w:sz="12" w:space="0" w:color="auto"/>
              <w:bottom w:val="single" w:sz="4" w:space="0" w:color="auto"/>
            </w:tcBorders>
          </w:tcPr>
          <w:p w14:paraId="4FD2C8F1" w14:textId="77777777" w:rsidR="007720ED" w:rsidRPr="00A13178" w:rsidRDefault="007720ED" w:rsidP="00EE3619">
            <w:pPr>
              <w:tabs>
                <w:tab w:val="left" w:pos="624"/>
                <w:tab w:val="left" w:pos="1871"/>
                <w:tab w:val="left" w:pos="2495"/>
                <w:tab w:val="left" w:pos="3119"/>
                <w:tab w:val="left" w:pos="3742"/>
                <w:tab w:val="left" w:pos="4366"/>
                <w:tab w:val="left" w:pos="4990"/>
              </w:tabs>
              <w:spacing w:before="40" w:after="40"/>
              <w:jc w:val="right"/>
              <w:rPr>
                <w:sz w:val="18"/>
              </w:rPr>
            </w:pPr>
            <w:r w:rsidRPr="00A13178">
              <w:rPr>
                <w:sz w:val="18"/>
              </w:rPr>
              <w:t>2010</w:t>
            </w:r>
          </w:p>
        </w:tc>
      </w:tr>
      <w:tr w:rsidR="007720ED" w:rsidRPr="00A13178" w14:paraId="68A5C712" w14:textId="77777777" w:rsidTr="00EE3619">
        <w:trPr>
          <w:trHeight w:val="57"/>
          <w:jc w:val="right"/>
        </w:trPr>
        <w:tc>
          <w:tcPr>
            <w:tcW w:w="1696" w:type="dxa"/>
            <w:tcBorders>
              <w:top w:val="single" w:sz="4" w:space="0" w:color="auto"/>
              <w:bottom w:val="single" w:sz="12" w:space="0" w:color="auto"/>
            </w:tcBorders>
          </w:tcPr>
          <w:p w14:paraId="44F29744" w14:textId="77777777" w:rsidR="007720ED" w:rsidRPr="00A13178" w:rsidRDefault="007720ED" w:rsidP="00EE3619">
            <w:pPr>
              <w:tabs>
                <w:tab w:val="left" w:pos="624"/>
                <w:tab w:val="left" w:pos="1871"/>
                <w:tab w:val="left" w:pos="2495"/>
                <w:tab w:val="left" w:pos="3119"/>
                <w:tab w:val="left" w:pos="3742"/>
                <w:tab w:val="left" w:pos="4366"/>
                <w:tab w:val="left" w:pos="4990"/>
              </w:tabs>
              <w:spacing w:before="40" w:after="40"/>
              <w:rPr>
                <w:sz w:val="18"/>
              </w:rPr>
            </w:pPr>
            <w:proofErr w:type="spellStart"/>
            <w:r w:rsidRPr="00A13178">
              <w:rPr>
                <w:sz w:val="18"/>
              </w:rPr>
              <w:t>Guinea</w:t>
            </w:r>
            <w:proofErr w:type="spellEnd"/>
          </w:p>
        </w:tc>
        <w:tc>
          <w:tcPr>
            <w:tcW w:w="851" w:type="dxa"/>
            <w:tcBorders>
              <w:top w:val="single" w:sz="4" w:space="0" w:color="auto"/>
              <w:bottom w:val="single" w:sz="12" w:space="0" w:color="auto"/>
            </w:tcBorders>
          </w:tcPr>
          <w:p w14:paraId="29A1D6A2" w14:textId="77777777" w:rsidR="007720ED" w:rsidRPr="00A13178" w:rsidRDefault="007720ED" w:rsidP="00EE3619">
            <w:pPr>
              <w:tabs>
                <w:tab w:val="left" w:pos="624"/>
                <w:tab w:val="left" w:pos="1871"/>
                <w:tab w:val="left" w:pos="2495"/>
                <w:tab w:val="left" w:pos="3119"/>
                <w:tab w:val="left" w:pos="3742"/>
                <w:tab w:val="left" w:pos="4366"/>
                <w:tab w:val="left" w:pos="4990"/>
              </w:tabs>
              <w:spacing w:before="40" w:after="40"/>
              <w:jc w:val="right"/>
              <w:rPr>
                <w:color w:val="000000"/>
                <w:sz w:val="18"/>
                <w:szCs w:val="18"/>
              </w:rPr>
            </w:pPr>
            <w:r w:rsidRPr="00A13178">
              <w:rPr>
                <w:color w:val="000000"/>
                <w:sz w:val="18"/>
                <w:szCs w:val="18"/>
              </w:rPr>
              <w:t>21.77</w:t>
            </w:r>
          </w:p>
        </w:tc>
        <w:tc>
          <w:tcPr>
            <w:tcW w:w="850" w:type="dxa"/>
            <w:tcBorders>
              <w:top w:val="single" w:sz="4" w:space="0" w:color="auto"/>
              <w:bottom w:val="single" w:sz="12" w:space="0" w:color="auto"/>
            </w:tcBorders>
          </w:tcPr>
          <w:p w14:paraId="40B3D0E7" w14:textId="77777777" w:rsidR="007720ED" w:rsidRPr="00A13178" w:rsidRDefault="007720ED" w:rsidP="00EE3619">
            <w:pPr>
              <w:tabs>
                <w:tab w:val="left" w:pos="624"/>
                <w:tab w:val="left" w:pos="1871"/>
                <w:tab w:val="left" w:pos="2495"/>
                <w:tab w:val="left" w:pos="3119"/>
                <w:tab w:val="left" w:pos="3742"/>
                <w:tab w:val="left" w:pos="4366"/>
                <w:tab w:val="left" w:pos="4990"/>
              </w:tabs>
              <w:spacing w:before="40" w:after="40"/>
              <w:jc w:val="right"/>
              <w:rPr>
                <w:color w:val="000000"/>
                <w:sz w:val="18"/>
                <w:szCs w:val="18"/>
              </w:rPr>
            </w:pPr>
            <w:r w:rsidRPr="00A13178">
              <w:rPr>
                <w:color w:val="000000"/>
                <w:sz w:val="18"/>
                <w:szCs w:val="18"/>
              </w:rPr>
              <w:t>23.45</w:t>
            </w:r>
          </w:p>
        </w:tc>
        <w:tc>
          <w:tcPr>
            <w:tcW w:w="993" w:type="dxa"/>
            <w:tcBorders>
              <w:top w:val="single" w:sz="4" w:space="0" w:color="auto"/>
              <w:bottom w:val="single" w:sz="12" w:space="0" w:color="auto"/>
            </w:tcBorders>
          </w:tcPr>
          <w:p w14:paraId="4D6215C5" w14:textId="77777777" w:rsidR="007720ED" w:rsidRPr="00A13178" w:rsidRDefault="007720ED" w:rsidP="00EE3619">
            <w:pPr>
              <w:tabs>
                <w:tab w:val="left" w:pos="624"/>
                <w:tab w:val="left" w:pos="1871"/>
                <w:tab w:val="left" w:pos="2495"/>
                <w:tab w:val="left" w:pos="3119"/>
                <w:tab w:val="left" w:pos="3742"/>
                <w:tab w:val="left" w:pos="4366"/>
                <w:tab w:val="left" w:pos="4990"/>
              </w:tabs>
              <w:spacing w:before="40" w:after="40"/>
              <w:jc w:val="right"/>
              <w:rPr>
                <w:sz w:val="18"/>
              </w:rPr>
            </w:pPr>
            <w:r w:rsidRPr="00A13178">
              <w:rPr>
                <w:sz w:val="18"/>
              </w:rPr>
              <w:t>716 542.8</w:t>
            </w:r>
          </w:p>
        </w:tc>
        <w:tc>
          <w:tcPr>
            <w:tcW w:w="850" w:type="dxa"/>
            <w:tcBorders>
              <w:top w:val="single" w:sz="4" w:space="0" w:color="auto"/>
              <w:bottom w:val="single" w:sz="12" w:space="0" w:color="auto"/>
            </w:tcBorders>
          </w:tcPr>
          <w:p w14:paraId="46E9F6F7" w14:textId="77777777" w:rsidR="007720ED" w:rsidRPr="00A13178" w:rsidRDefault="007720ED" w:rsidP="00EE3619">
            <w:pPr>
              <w:tabs>
                <w:tab w:val="left" w:pos="624"/>
                <w:tab w:val="left" w:pos="1871"/>
                <w:tab w:val="left" w:pos="2495"/>
                <w:tab w:val="left" w:pos="3119"/>
                <w:tab w:val="left" w:pos="3742"/>
                <w:tab w:val="left" w:pos="4366"/>
                <w:tab w:val="left" w:pos="4990"/>
              </w:tabs>
              <w:spacing w:before="40" w:after="40"/>
              <w:jc w:val="right"/>
              <w:rPr>
                <w:sz w:val="18"/>
              </w:rPr>
            </w:pPr>
            <w:r w:rsidRPr="00A13178">
              <w:rPr>
                <w:sz w:val="18"/>
              </w:rPr>
              <w:t>771 603</w:t>
            </w:r>
          </w:p>
        </w:tc>
        <w:tc>
          <w:tcPr>
            <w:tcW w:w="836" w:type="dxa"/>
            <w:tcBorders>
              <w:top w:val="single" w:sz="4" w:space="0" w:color="auto"/>
              <w:bottom w:val="single" w:sz="12" w:space="0" w:color="auto"/>
            </w:tcBorders>
          </w:tcPr>
          <w:p w14:paraId="18B437C0" w14:textId="77777777" w:rsidR="007720ED" w:rsidRPr="00A13178" w:rsidRDefault="007720ED" w:rsidP="00EE3619">
            <w:pPr>
              <w:tabs>
                <w:tab w:val="left" w:pos="624"/>
                <w:tab w:val="left" w:pos="1871"/>
                <w:tab w:val="left" w:pos="2495"/>
                <w:tab w:val="left" w:pos="3119"/>
                <w:tab w:val="left" w:pos="3742"/>
                <w:tab w:val="left" w:pos="4366"/>
                <w:tab w:val="left" w:pos="4990"/>
              </w:tabs>
              <w:spacing w:before="40" w:after="40"/>
              <w:jc w:val="right"/>
              <w:rPr>
                <w:sz w:val="18"/>
              </w:rPr>
            </w:pPr>
            <w:r w:rsidRPr="00A13178">
              <w:rPr>
                <w:sz w:val="18"/>
              </w:rPr>
              <w:t>1.03</w:t>
            </w:r>
          </w:p>
        </w:tc>
        <w:tc>
          <w:tcPr>
            <w:tcW w:w="0" w:type="auto"/>
            <w:tcBorders>
              <w:top w:val="single" w:sz="4" w:space="0" w:color="auto"/>
              <w:bottom w:val="single" w:sz="12" w:space="0" w:color="auto"/>
            </w:tcBorders>
          </w:tcPr>
          <w:p w14:paraId="54CB884E" w14:textId="77777777" w:rsidR="007720ED" w:rsidRPr="00A13178" w:rsidRDefault="007720ED" w:rsidP="00EE3619">
            <w:pPr>
              <w:tabs>
                <w:tab w:val="left" w:pos="624"/>
                <w:tab w:val="left" w:pos="1871"/>
                <w:tab w:val="left" w:pos="2495"/>
                <w:tab w:val="left" w:pos="3119"/>
                <w:tab w:val="left" w:pos="3742"/>
                <w:tab w:val="left" w:pos="4366"/>
                <w:tab w:val="left" w:pos="4990"/>
              </w:tabs>
              <w:spacing w:before="40" w:after="40"/>
              <w:jc w:val="right"/>
              <w:rPr>
                <w:sz w:val="18"/>
              </w:rPr>
            </w:pPr>
            <w:r w:rsidRPr="00A13178">
              <w:rPr>
                <w:sz w:val="18"/>
              </w:rPr>
              <w:t>0.75</w:t>
            </w:r>
          </w:p>
        </w:tc>
        <w:tc>
          <w:tcPr>
            <w:tcW w:w="0" w:type="auto"/>
            <w:tcBorders>
              <w:top w:val="single" w:sz="4" w:space="0" w:color="auto"/>
              <w:bottom w:val="single" w:sz="12" w:space="0" w:color="auto"/>
            </w:tcBorders>
          </w:tcPr>
          <w:p w14:paraId="1F390416" w14:textId="77777777" w:rsidR="007720ED" w:rsidRPr="00A13178" w:rsidRDefault="007720ED" w:rsidP="00EE3619">
            <w:pPr>
              <w:tabs>
                <w:tab w:val="left" w:pos="624"/>
                <w:tab w:val="left" w:pos="1871"/>
                <w:tab w:val="left" w:pos="2495"/>
                <w:tab w:val="left" w:pos="3119"/>
                <w:tab w:val="left" w:pos="3742"/>
                <w:tab w:val="left" w:pos="4366"/>
                <w:tab w:val="left" w:pos="4990"/>
              </w:tabs>
              <w:spacing w:before="40" w:after="40"/>
              <w:jc w:val="right"/>
              <w:rPr>
                <w:sz w:val="18"/>
              </w:rPr>
            </w:pPr>
            <w:r w:rsidRPr="00A13178">
              <w:rPr>
                <w:sz w:val="18"/>
              </w:rPr>
              <w:t>33 756.5</w:t>
            </w:r>
          </w:p>
        </w:tc>
        <w:tc>
          <w:tcPr>
            <w:tcW w:w="0" w:type="auto"/>
            <w:tcBorders>
              <w:top w:val="single" w:sz="4" w:space="0" w:color="auto"/>
              <w:bottom w:val="single" w:sz="12" w:space="0" w:color="auto"/>
            </w:tcBorders>
          </w:tcPr>
          <w:p w14:paraId="695E7B1C" w14:textId="77777777" w:rsidR="007720ED" w:rsidRPr="00A13178" w:rsidRDefault="007720ED" w:rsidP="00EE3619">
            <w:pPr>
              <w:tabs>
                <w:tab w:val="left" w:pos="624"/>
                <w:tab w:val="left" w:pos="1871"/>
                <w:tab w:val="left" w:pos="2495"/>
                <w:tab w:val="left" w:pos="3119"/>
                <w:tab w:val="left" w:pos="3742"/>
                <w:tab w:val="left" w:pos="4366"/>
                <w:tab w:val="left" w:pos="4990"/>
              </w:tabs>
              <w:spacing w:before="40" w:after="40"/>
              <w:jc w:val="right"/>
              <w:rPr>
                <w:sz w:val="18"/>
              </w:rPr>
            </w:pPr>
            <w:r w:rsidRPr="00A13178">
              <w:rPr>
                <w:sz w:val="18"/>
              </w:rPr>
              <w:t>24 706.5</w:t>
            </w:r>
          </w:p>
        </w:tc>
      </w:tr>
    </w:tbl>
    <w:bookmarkEnd w:id="17"/>
    <w:p w14:paraId="3AD2FEF1" w14:textId="77777777" w:rsidR="007720ED" w:rsidRPr="00A13178" w:rsidRDefault="007720ED" w:rsidP="007720ED">
      <w:pPr>
        <w:tabs>
          <w:tab w:val="left" w:pos="624"/>
          <w:tab w:val="left" w:pos="1871"/>
          <w:tab w:val="left" w:pos="2495"/>
          <w:tab w:val="left" w:pos="3119"/>
          <w:tab w:val="left" w:pos="3742"/>
          <w:tab w:val="left" w:pos="4366"/>
          <w:tab w:val="left" w:pos="4990"/>
        </w:tabs>
        <w:spacing w:before="60"/>
        <w:ind w:left="1247"/>
        <w:rPr>
          <w:sz w:val="18"/>
          <w:szCs w:val="18"/>
        </w:rPr>
      </w:pPr>
      <w:r w:rsidRPr="00A13178">
        <w:rPr>
          <w:i/>
          <w:sz w:val="18"/>
          <w:szCs w:val="18"/>
        </w:rPr>
        <w:t>Abbreviations</w:t>
      </w:r>
      <w:r w:rsidRPr="00A13178">
        <w:rPr>
          <w:sz w:val="18"/>
          <w:szCs w:val="18"/>
        </w:rPr>
        <w:t>:</w:t>
      </w:r>
      <w:r w:rsidRPr="00A13178">
        <w:rPr>
          <w:i/>
          <w:sz w:val="18"/>
          <w:szCs w:val="18"/>
        </w:rPr>
        <w:t xml:space="preserve"> </w:t>
      </w:r>
      <w:r w:rsidRPr="00A13178">
        <w:rPr>
          <w:sz w:val="18"/>
          <w:szCs w:val="18"/>
        </w:rPr>
        <w:t>HCFC – hydrochlorofluorocarbon, CO</w:t>
      </w:r>
      <w:r w:rsidRPr="00A13178">
        <w:rPr>
          <w:sz w:val="18"/>
          <w:szCs w:val="18"/>
          <w:vertAlign w:val="subscript"/>
        </w:rPr>
        <w:t>2</w:t>
      </w:r>
      <w:r w:rsidRPr="00A13178">
        <w:rPr>
          <w:sz w:val="18"/>
          <w:szCs w:val="18"/>
        </w:rPr>
        <w:t>-eq – CO</w:t>
      </w:r>
      <w:r w:rsidRPr="00A13178">
        <w:rPr>
          <w:sz w:val="18"/>
          <w:szCs w:val="18"/>
          <w:vertAlign w:val="subscript"/>
        </w:rPr>
        <w:t>2</w:t>
      </w:r>
      <w:r w:rsidRPr="00A13178">
        <w:rPr>
          <w:sz w:val="18"/>
          <w:szCs w:val="18"/>
        </w:rPr>
        <w:t>-equivalent; ODP-Ozone depleting potential</w:t>
      </w:r>
    </w:p>
    <w:p w14:paraId="4B8B31A0" w14:textId="77777777" w:rsidR="007720ED" w:rsidRPr="00FE1453" w:rsidRDefault="007720ED" w:rsidP="007720ED">
      <w:pPr>
        <w:numPr>
          <w:ilvl w:val="6"/>
          <w:numId w:val="30"/>
        </w:numPr>
        <w:tabs>
          <w:tab w:val="clear" w:pos="1247"/>
          <w:tab w:val="clear" w:pos="1814"/>
          <w:tab w:val="left" w:pos="624"/>
          <w:tab w:val="left" w:pos="709"/>
          <w:tab w:val="left" w:pos="1418"/>
        </w:tabs>
        <w:spacing w:before="120" w:after="120"/>
        <w:ind w:left="709" w:firstLine="0"/>
      </w:pPr>
      <w:r w:rsidRPr="00FE1453">
        <w:lastRenderedPageBreak/>
        <w:t xml:space="preserve">That Guinea has presented sufficient information, in accordance with decision XV/19, to justify its request for the revision of its consumption data for hydrofluorocarbons for 2020, 2021 and 2022, which are part of the baseline for Article 5, group 1, parties under the Kigali Amendment to the Montreal </w:t>
      </w:r>
      <w:proofErr w:type="gramStart"/>
      <w:r w:rsidRPr="00FE1453">
        <w:t>Protocol;</w:t>
      </w:r>
      <w:proofErr w:type="gramEnd"/>
    </w:p>
    <w:p w14:paraId="35FBAB4E" w14:textId="77777777" w:rsidR="007720ED" w:rsidRPr="00FE1453" w:rsidRDefault="007720ED" w:rsidP="007720ED">
      <w:pPr>
        <w:numPr>
          <w:ilvl w:val="6"/>
          <w:numId w:val="30"/>
        </w:numPr>
        <w:tabs>
          <w:tab w:val="clear" w:pos="1247"/>
          <w:tab w:val="clear" w:pos="1814"/>
          <w:tab w:val="left" w:pos="624"/>
          <w:tab w:val="left" w:pos="709"/>
          <w:tab w:val="left" w:pos="1418"/>
        </w:tabs>
        <w:spacing w:before="120" w:after="120"/>
        <w:ind w:left="709" w:firstLine="0"/>
      </w:pPr>
      <w:r w:rsidRPr="00FE1453">
        <w:t>To approve the request by Guinea and to revise its consumption data for hydrofluorocarbons for the baseline years 2020, 2021 and 2022 as indicated in the following table:</w:t>
      </w:r>
    </w:p>
    <w:tbl>
      <w:tblPr>
        <w:tblStyle w:val="TableGrid"/>
        <w:tblW w:w="830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7"/>
        <w:gridCol w:w="1198"/>
        <w:gridCol w:w="1198"/>
        <w:gridCol w:w="1199"/>
        <w:gridCol w:w="1198"/>
        <w:gridCol w:w="1198"/>
        <w:gridCol w:w="1199"/>
      </w:tblGrid>
      <w:tr w:rsidR="007720ED" w:rsidRPr="00FE1453" w14:paraId="459A3246" w14:textId="77777777" w:rsidTr="00EE3619">
        <w:trPr>
          <w:jc w:val="right"/>
        </w:trPr>
        <w:tc>
          <w:tcPr>
            <w:tcW w:w="1117" w:type="dxa"/>
            <w:vMerge w:val="restart"/>
            <w:tcBorders>
              <w:top w:val="single" w:sz="4" w:space="0" w:color="auto"/>
              <w:bottom w:val="single" w:sz="12" w:space="0" w:color="auto"/>
            </w:tcBorders>
            <w:vAlign w:val="bottom"/>
          </w:tcPr>
          <w:p w14:paraId="12E7A38F" w14:textId="77777777" w:rsidR="007720ED" w:rsidRPr="00FE1453" w:rsidRDefault="007720ED" w:rsidP="00EE3619">
            <w:pPr>
              <w:tabs>
                <w:tab w:val="left" w:pos="624"/>
                <w:tab w:val="left" w:pos="1871"/>
                <w:tab w:val="left" w:pos="2495"/>
                <w:tab w:val="left" w:pos="3119"/>
                <w:tab w:val="left" w:pos="3742"/>
                <w:tab w:val="left" w:pos="4366"/>
                <w:tab w:val="left" w:pos="4990"/>
              </w:tabs>
              <w:spacing w:before="40" w:after="40"/>
              <w:rPr>
                <w:i/>
                <w:iCs/>
                <w:sz w:val="18"/>
              </w:rPr>
            </w:pPr>
            <w:r w:rsidRPr="00FE1453">
              <w:rPr>
                <w:i/>
                <w:iCs/>
                <w:sz w:val="18"/>
              </w:rPr>
              <w:t>Party/</w:t>
            </w:r>
            <w:proofErr w:type="spellStart"/>
            <w:r w:rsidRPr="00FE1453">
              <w:rPr>
                <w:i/>
                <w:iCs/>
                <w:sz w:val="18"/>
              </w:rPr>
              <w:t>year</w:t>
            </w:r>
            <w:proofErr w:type="spellEnd"/>
          </w:p>
        </w:tc>
        <w:tc>
          <w:tcPr>
            <w:tcW w:w="3595" w:type="dxa"/>
            <w:gridSpan w:val="3"/>
            <w:tcBorders>
              <w:top w:val="single" w:sz="4" w:space="0" w:color="auto"/>
              <w:bottom w:val="single" w:sz="4" w:space="0" w:color="auto"/>
              <w:right w:val="single" w:sz="4" w:space="0" w:color="auto"/>
            </w:tcBorders>
            <w:vAlign w:val="bottom"/>
          </w:tcPr>
          <w:p w14:paraId="5B7A5EB8" w14:textId="77777777" w:rsidR="007720ED" w:rsidRPr="003B159F" w:rsidRDefault="007720ED" w:rsidP="00EE3619">
            <w:pPr>
              <w:tabs>
                <w:tab w:val="left" w:pos="624"/>
                <w:tab w:val="left" w:pos="1871"/>
                <w:tab w:val="left" w:pos="2495"/>
                <w:tab w:val="left" w:pos="3119"/>
                <w:tab w:val="left" w:pos="3742"/>
                <w:tab w:val="left" w:pos="4366"/>
                <w:tab w:val="left" w:pos="4990"/>
              </w:tabs>
              <w:spacing w:before="40" w:after="40"/>
              <w:jc w:val="center"/>
              <w:rPr>
                <w:i/>
                <w:iCs/>
                <w:sz w:val="18"/>
                <w:lang w:val="en-US"/>
              </w:rPr>
            </w:pPr>
            <w:r w:rsidRPr="003B159F">
              <w:rPr>
                <w:i/>
                <w:iCs/>
                <w:sz w:val="18"/>
                <w:lang w:val="en-US"/>
              </w:rPr>
              <w:t>Previous HFC data (CO</w:t>
            </w:r>
            <w:r w:rsidRPr="003B159F">
              <w:rPr>
                <w:i/>
                <w:iCs/>
                <w:sz w:val="18"/>
                <w:vertAlign w:val="subscript"/>
                <w:lang w:val="en-US"/>
              </w:rPr>
              <w:t>2</w:t>
            </w:r>
            <w:r w:rsidRPr="003B159F">
              <w:rPr>
                <w:i/>
                <w:iCs/>
                <w:sz w:val="18"/>
                <w:lang w:val="en-US"/>
              </w:rPr>
              <w:t xml:space="preserve">-eq </w:t>
            </w:r>
            <w:proofErr w:type="spellStart"/>
            <w:r w:rsidRPr="003B159F">
              <w:rPr>
                <w:i/>
                <w:iCs/>
                <w:sz w:val="18"/>
                <w:lang w:val="en-US"/>
              </w:rPr>
              <w:t>tonnes</w:t>
            </w:r>
            <w:proofErr w:type="spellEnd"/>
            <w:r w:rsidRPr="003B159F">
              <w:rPr>
                <w:i/>
                <w:iCs/>
                <w:sz w:val="18"/>
                <w:lang w:val="en-US"/>
              </w:rPr>
              <w:t>)</w:t>
            </w:r>
          </w:p>
        </w:tc>
        <w:tc>
          <w:tcPr>
            <w:tcW w:w="3595" w:type="dxa"/>
            <w:gridSpan w:val="3"/>
            <w:tcBorders>
              <w:top w:val="single" w:sz="4" w:space="0" w:color="auto"/>
              <w:left w:val="single" w:sz="4" w:space="0" w:color="auto"/>
              <w:bottom w:val="single" w:sz="4" w:space="0" w:color="auto"/>
            </w:tcBorders>
            <w:vAlign w:val="bottom"/>
          </w:tcPr>
          <w:p w14:paraId="00909469" w14:textId="77777777" w:rsidR="007720ED" w:rsidRPr="003B159F" w:rsidRDefault="007720ED" w:rsidP="00EE3619">
            <w:pPr>
              <w:tabs>
                <w:tab w:val="left" w:pos="624"/>
                <w:tab w:val="left" w:pos="1871"/>
                <w:tab w:val="left" w:pos="2495"/>
                <w:tab w:val="left" w:pos="3119"/>
                <w:tab w:val="left" w:pos="3742"/>
                <w:tab w:val="left" w:pos="4366"/>
                <w:tab w:val="left" w:pos="4990"/>
              </w:tabs>
              <w:spacing w:before="40" w:after="40"/>
              <w:jc w:val="center"/>
              <w:rPr>
                <w:i/>
                <w:iCs/>
                <w:sz w:val="18"/>
                <w:lang w:val="en-US"/>
              </w:rPr>
            </w:pPr>
            <w:r w:rsidRPr="003B159F">
              <w:rPr>
                <w:i/>
                <w:iCs/>
                <w:sz w:val="18"/>
                <w:lang w:val="en-US"/>
              </w:rPr>
              <w:t>New HFC data (CO</w:t>
            </w:r>
            <w:r w:rsidRPr="003B159F">
              <w:rPr>
                <w:i/>
                <w:iCs/>
                <w:sz w:val="18"/>
                <w:vertAlign w:val="subscript"/>
                <w:lang w:val="en-US"/>
              </w:rPr>
              <w:t>2</w:t>
            </w:r>
            <w:r w:rsidRPr="003B159F">
              <w:rPr>
                <w:i/>
                <w:iCs/>
                <w:sz w:val="18"/>
                <w:lang w:val="en-US"/>
              </w:rPr>
              <w:t xml:space="preserve">-eq </w:t>
            </w:r>
            <w:proofErr w:type="spellStart"/>
            <w:r w:rsidRPr="003B159F">
              <w:rPr>
                <w:i/>
                <w:iCs/>
                <w:sz w:val="18"/>
                <w:lang w:val="en-US"/>
              </w:rPr>
              <w:t>tonnes</w:t>
            </w:r>
            <w:proofErr w:type="spellEnd"/>
            <w:r w:rsidRPr="003B159F">
              <w:rPr>
                <w:i/>
                <w:iCs/>
                <w:sz w:val="18"/>
                <w:lang w:val="en-US"/>
              </w:rPr>
              <w:t>)</w:t>
            </w:r>
          </w:p>
        </w:tc>
      </w:tr>
      <w:tr w:rsidR="007720ED" w:rsidRPr="00FE1453" w14:paraId="6251B318" w14:textId="77777777" w:rsidTr="00EE3619">
        <w:trPr>
          <w:jc w:val="right"/>
        </w:trPr>
        <w:tc>
          <w:tcPr>
            <w:tcW w:w="1117" w:type="dxa"/>
            <w:vMerge/>
            <w:tcBorders>
              <w:bottom w:val="single" w:sz="12" w:space="0" w:color="auto"/>
            </w:tcBorders>
            <w:vAlign w:val="bottom"/>
          </w:tcPr>
          <w:p w14:paraId="47876EC3" w14:textId="77777777" w:rsidR="007720ED" w:rsidRPr="00B346A6" w:rsidRDefault="007720ED" w:rsidP="00EE3619">
            <w:pPr>
              <w:tabs>
                <w:tab w:val="left" w:pos="624"/>
                <w:tab w:val="left" w:pos="1871"/>
                <w:tab w:val="left" w:pos="2495"/>
                <w:tab w:val="left" w:pos="3119"/>
                <w:tab w:val="left" w:pos="3742"/>
                <w:tab w:val="left" w:pos="4366"/>
                <w:tab w:val="left" w:pos="4990"/>
              </w:tabs>
              <w:spacing w:before="40" w:after="40"/>
              <w:rPr>
                <w:i/>
                <w:iCs/>
                <w:sz w:val="18"/>
                <w:szCs w:val="18"/>
                <w:lang w:val="en-US"/>
                <w:rPrChange w:id="18" w:author="Hildebrand, Martijn (RWS WVL)" w:date="2025-11-02T08:04:00Z" w16du:dateUtc="2025-11-02T07:04:00Z">
                  <w:rPr>
                    <w:i/>
                    <w:iCs/>
                    <w:sz w:val="18"/>
                    <w:szCs w:val="18"/>
                  </w:rPr>
                </w:rPrChange>
              </w:rPr>
            </w:pPr>
          </w:p>
        </w:tc>
        <w:tc>
          <w:tcPr>
            <w:tcW w:w="1198" w:type="dxa"/>
            <w:tcBorders>
              <w:top w:val="single" w:sz="4" w:space="0" w:color="auto"/>
              <w:bottom w:val="single" w:sz="12" w:space="0" w:color="auto"/>
            </w:tcBorders>
            <w:vAlign w:val="bottom"/>
          </w:tcPr>
          <w:p w14:paraId="31B11126" w14:textId="77777777" w:rsidR="007720ED" w:rsidRPr="00FE1453" w:rsidRDefault="007720ED" w:rsidP="00EE3619">
            <w:pPr>
              <w:tabs>
                <w:tab w:val="left" w:pos="624"/>
                <w:tab w:val="left" w:pos="1871"/>
                <w:tab w:val="left" w:pos="2495"/>
                <w:tab w:val="left" w:pos="3119"/>
                <w:tab w:val="left" w:pos="3742"/>
                <w:tab w:val="left" w:pos="4366"/>
                <w:tab w:val="left" w:pos="4990"/>
              </w:tabs>
              <w:spacing w:before="40" w:after="40"/>
              <w:jc w:val="right"/>
              <w:rPr>
                <w:i/>
                <w:iCs/>
                <w:sz w:val="18"/>
              </w:rPr>
            </w:pPr>
            <w:r w:rsidRPr="00FE1453">
              <w:rPr>
                <w:i/>
                <w:iCs/>
                <w:sz w:val="18"/>
              </w:rPr>
              <w:t>2020</w:t>
            </w:r>
          </w:p>
        </w:tc>
        <w:tc>
          <w:tcPr>
            <w:tcW w:w="1198" w:type="dxa"/>
            <w:tcBorders>
              <w:top w:val="single" w:sz="4" w:space="0" w:color="auto"/>
              <w:bottom w:val="single" w:sz="12" w:space="0" w:color="auto"/>
            </w:tcBorders>
            <w:vAlign w:val="bottom"/>
          </w:tcPr>
          <w:p w14:paraId="70EB9E44" w14:textId="77777777" w:rsidR="007720ED" w:rsidRPr="00FE1453" w:rsidRDefault="007720ED" w:rsidP="00EE3619">
            <w:pPr>
              <w:tabs>
                <w:tab w:val="left" w:pos="624"/>
                <w:tab w:val="left" w:pos="1871"/>
                <w:tab w:val="left" w:pos="2495"/>
                <w:tab w:val="left" w:pos="3119"/>
                <w:tab w:val="left" w:pos="3742"/>
                <w:tab w:val="left" w:pos="4366"/>
                <w:tab w:val="left" w:pos="4990"/>
              </w:tabs>
              <w:spacing w:before="40" w:after="40"/>
              <w:jc w:val="right"/>
              <w:rPr>
                <w:i/>
                <w:iCs/>
                <w:sz w:val="18"/>
              </w:rPr>
            </w:pPr>
            <w:r w:rsidRPr="00FE1453">
              <w:rPr>
                <w:i/>
                <w:iCs/>
                <w:sz w:val="18"/>
              </w:rPr>
              <w:t>2021</w:t>
            </w:r>
          </w:p>
        </w:tc>
        <w:tc>
          <w:tcPr>
            <w:tcW w:w="1199" w:type="dxa"/>
            <w:tcBorders>
              <w:top w:val="single" w:sz="4" w:space="0" w:color="auto"/>
              <w:bottom w:val="single" w:sz="12" w:space="0" w:color="auto"/>
              <w:right w:val="single" w:sz="4" w:space="0" w:color="auto"/>
            </w:tcBorders>
            <w:vAlign w:val="bottom"/>
          </w:tcPr>
          <w:p w14:paraId="1A239123" w14:textId="77777777" w:rsidR="007720ED" w:rsidRPr="00FE1453" w:rsidRDefault="007720ED" w:rsidP="00EE3619">
            <w:pPr>
              <w:tabs>
                <w:tab w:val="left" w:pos="624"/>
                <w:tab w:val="left" w:pos="1871"/>
                <w:tab w:val="left" w:pos="2495"/>
                <w:tab w:val="left" w:pos="3119"/>
                <w:tab w:val="left" w:pos="3742"/>
                <w:tab w:val="left" w:pos="4366"/>
                <w:tab w:val="left" w:pos="4990"/>
              </w:tabs>
              <w:spacing w:before="40" w:after="40"/>
              <w:jc w:val="right"/>
              <w:rPr>
                <w:i/>
                <w:iCs/>
                <w:sz w:val="18"/>
              </w:rPr>
            </w:pPr>
            <w:r w:rsidRPr="00FE1453">
              <w:rPr>
                <w:i/>
                <w:iCs/>
                <w:sz w:val="18"/>
              </w:rPr>
              <w:t>2022</w:t>
            </w:r>
          </w:p>
        </w:tc>
        <w:tc>
          <w:tcPr>
            <w:tcW w:w="1198" w:type="dxa"/>
            <w:tcBorders>
              <w:top w:val="single" w:sz="4" w:space="0" w:color="auto"/>
              <w:left w:val="single" w:sz="4" w:space="0" w:color="auto"/>
              <w:bottom w:val="single" w:sz="12" w:space="0" w:color="auto"/>
            </w:tcBorders>
            <w:vAlign w:val="bottom"/>
          </w:tcPr>
          <w:p w14:paraId="6183BE0F" w14:textId="77777777" w:rsidR="007720ED" w:rsidRPr="00FE1453" w:rsidRDefault="007720ED" w:rsidP="00EE3619">
            <w:pPr>
              <w:tabs>
                <w:tab w:val="left" w:pos="624"/>
                <w:tab w:val="left" w:pos="1871"/>
                <w:tab w:val="left" w:pos="2495"/>
                <w:tab w:val="left" w:pos="3119"/>
                <w:tab w:val="left" w:pos="3742"/>
                <w:tab w:val="left" w:pos="4366"/>
                <w:tab w:val="left" w:pos="4990"/>
              </w:tabs>
              <w:spacing w:before="40" w:after="40"/>
              <w:jc w:val="right"/>
              <w:rPr>
                <w:i/>
                <w:iCs/>
                <w:sz w:val="18"/>
              </w:rPr>
            </w:pPr>
            <w:r w:rsidRPr="00FE1453">
              <w:rPr>
                <w:i/>
                <w:iCs/>
                <w:sz w:val="18"/>
              </w:rPr>
              <w:t>2020</w:t>
            </w:r>
          </w:p>
        </w:tc>
        <w:tc>
          <w:tcPr>
            <w:tcW w:w="1198" w:type="dxa"/>
            <w:tcBorders>
              <w:top w:val="single" w:sz="4" w:space="0" w:color="auto"/>
              <w:bottom w:val="single" w:sz="12" w:space="0" w:color="auto"/>
            </w:tcBorders>
            <w:vAlign w:val="bottom"/>
          </w:tcPr>
          <w:p w14:paraId="161F3731" w14:textId="77777777" w:rsidR="007720ED" w:rsidRPr="00FE1453" w:rsidRDefault="007720ED" w:rsidP="00EE3619">
            <w:pPr>
              <w:tabs>
                <w:tab w:val="left" w:pos="624"/>
                <w:tab w:val="left" w:pos="1871"/>
                <w:tab w:val="left" w:pos="2495"/>
                <w:tab w:val="left" w:pos="3119"/>
                <w:tab w:val="left" w:pos="3742"/>
                <w:tab w:val="left" w:pos="4366"/>
                <w:tab w:val="left" w:pos="4990"/>
              </w:tabs>
              <w:spacing w:before="40" w:after="40"/>
              <w:jc w:val="right"/>
              <w:rPr>
                <w:i/>
                <w:iCs/>
                <w:sz w:val="18"/>
              </w:rPr>
            </w:pPr>
            <w:r w:rsidRPr="00FE1453">
              <w:rPr>
                <w:i/>
                <w:iCs/>
                <w:sz w:val="18"/>
              </w:rPr>
              <w:t>2021</w:t>
            </w:r>
          </w:p>
        </w:tc>
        <w:tc>
          <w:tcPr>
            <w:tcW w:w="1199" w:type="dxa"/>
            <w:tcBorders>
              <w:top w:val="single" w:sz="4" w:space="0" w:color="auto"/>
              <w:bottom w:val="single" w:sz="12" w:space="0" w:color="auto"/>
            </w:tcBorders>
            <w:vAlign w:val="bottom"/>
          </w:tcPr>
          <w:p w14:paraId="4695224D" w14:textId="77777777" w:rsidR="007720ED" w:rsidRPr="00FE1453" w:rsidRDefault="007720ED" w:rsidP="00EE3619">
            <w:pPr>
              <w:tabs>
                <w:tab w:val="left" w:pos="624"/>
                <w:tab w:val="left" w:pos="1871"/>
                <w:tab w:val="left" w:pos="2495"/>
                <w:tab w:val="left" w:pos="3119"/>
                <w:tab w:val="left" w:pos="3742"/>
                <w:tab w:val="left" w:pos="4366"/>
                <w:tab w:val="left" w:pos="4990"/>
              </w:tabs>
              <w:spacing w:before="40" w:after="40"/>
              <w:jc w:val="right"/>
              <w:rPr>
                <w:i/>
                <w:iCs/>
                <w:sz w:val="18"/>
              </w:rPr>
            </w:pPr>
            <w:r w:rsidRPr="00FE1453">
              <w:rPr>
                <w:i/>
                <w:iCs/>
                <w:sz w:val="18"/>
              </w:rPr>
              <w:t>2022</w:t>
            </w:r>
          </w:p>
        </w:tc>
      </w:tr>
      <w:tr w:rsidR="007720ED" w:rsidRPr="00FE1453" w14:paraId="67BFF488" w14:textId="77777777" w:rsidTr="00EE3619">
        <w:trPr>
          <w:jc w:val="right"/>
        </w:trPr>
        <w:tc>
          <w:tcPr>
            <w:tcW w:w="1117" w:type="dxa"/>
            <w:tcBorders>
              <w:top w:val="single" w:sz="12" w:space="0" w:color="auto"/>
              <w:bottom w:val="single" w:sz="12" w:space="0" w:color="auto"/>
            </w:tcBorders>
          </w:tcPr>
          <w:p w14:paraId="735098BA" w14:textId="77777777" w:rsidR="007720ED" w:rsidRPr="00FE1453" w:rsidRDefault="007720ED" w:rsidP="00EE3619">
            <w:pPr>
              <w:tabs>
                <w:tab w:val="left" w:pos="624"/>
                <w:tab w:val="left" w:pos="1871"/>
                <w:tab w:val="left" w:pos="2495"/>
                <w:tab w:val="left" w:pos="3119"/>
                <w:tab w:val="left" w:pos="3742"/>
                <w:tab w:val="left" w:pos="4366"/>
                <w:tab w:val="left" w:pos="4990"/>
              </w:tabs>
              <w:spacing w:before="40" w:after="40"/>
              <w:rPr>
                <w:sz w:val="18"/>
                <w:szCs w:val="18"/>
              </w:rPr>
            </w:pPr>
            <w:r w:rsidRPr="00FE1453">
              <w:rPr>
                <w:sz w:val="18"/>
              </w:rPr>
              <w:t>Guinea</w:t>
            </w:r>
          </w:p>
        </w:tc>
        <w:tc>
          <w:tcPr>
            <w:tcW w:w="1198" w:type="dxa"/>
            <w:tcBorders>
              <w:top w:val="single" w:sz="12" w:space="0" w:color="auto"/>
              <w:bottom w:val="single" w:sz="12" w:space="0" w:color="auto"/>
            </w:tcBorders>
          </w:tcPr>
          <w:p w14:paraId="75FFFED2" w14:textId="77777777" w:rsidR="007720ED" w:rsidRPr="00FE1453" w:rsidRDefault="007720ED" w:rsidP="00EE3619">
            <w:pPr>
              <w:tabs>
                <w:tab w:val="left" w:pos="624"/>
                <w:tab w:val="left" w:pos="1871"/>
                <w:tab w:val="left" w:pos="2495"/>
                <w:tab w:val="left" w:pos="3119"/>
                <w:tab w:val="left" w:pos="3742"/>
                <w:tab w:val="left" w:pos="4366"/>
                <w:tab w:val="left" w:pos="4990"/>
              </w:tabs>
              <w:spacing w:before="40" w:after="40"/>
              <w:jc w:val="right"/>
              <w:rPr>
                <w:sz w:val="18"/>
              </w:rPr>
            </w:pPr>
            <w:r w:rsidRPr="00FE1453">
              <w:rPr>
                <w:sz w:val="18"/>
              </w:rPr>
              <w:t>878 384</w:t>
            </w:r>
          </w:p>
        </w:tc>
        <w:tc>
          <w:tcPr>
            <w:tcW w:w="1198" w:type="dxa"/>
            <w:tcBorders>
              <w:top w:val="single" w:sz="12" w:space="0" w:color="auto"/>
              <w:bottom w:val="single" w:sz="12" w:space="0" w:color="auto"/>
            </w:tcBorders>
          </w:tcPr>
          <w:p w14:paraId="78DFA3D0" w14:textId="77777777" w:rsidR="007720ED" w:rsidRPr="00FE1453" w:rsidRDefault="007720ED" w:rsidP="00EE3619">
            <w:pPr>
              <w:tabs>
                <w:tab w:val="left" w:pos="624"/>
                <w:tab w:val="left" w:pos="1871"/>
                <w:tab w:val="left" w:pos="2495"/>
                <w:tab w:val="left" w:pos="3119"/>
                <w:tab w:val="left" w:pos="3742"/>
                <w:tab w:val="left" w:pos="4366"/>
                <w:tab w:val="left" w:pos="4990"/>
              </w:tabs>
              <w:spacing w:before="40" w:after="40"/>
              <w:jc w:val="right"/>
              <w:rPr>
                <w:sz w:val="18"/>
              </w:rPr>
            </w:pPr>
            <w:r w:rsidRPr="00FE1453">
              <w:rPr>
                <w:sz w:val="18"/>
              </w:rPr>
              <w:t>1 477 938</w:t>
            </w:r>
          </w:p>
        </w:tc>
        <w:tc>
          <w:tcPr>
            <w:tcW w:w="1199" w:type="dxa"/>
            <w:tcBorders>
              <w:top w:val="single" w:sz="12" w:space="0" w:color="auto"/>
              <w:bottom w:val="single" w:sz="12" w:space="0" w:color="auto"/>
              <w:right w:val="single" w:sz="4" w:space="0" w:color="auto"/>
            </w:tcBorders>
          </w:tcPr>
          <w:p w14:paraId="369C6790" w14:textId="77777777" w:rsidR="007720ED" w:rsidRPr="00FE1453" w:rsidRDefault="007720ED" w:rsidP="00EE3619">
            <w:pPr>
              <w:tabs>
                <w:tab w:val="left" w:pos="624"/>
                <w:tab w:val="left" w:pos="1871"/>
                <w:tab w:val="left" w:pos="2495"/>
                <w:tab w:val="left" w:pos="3119"/>
                <w:tab w:val="left" w:pos="3742"/>
                <w:tab w:val="left" w:pos="4366"/>
                <w:tab w:val="left" w:pos="4990"/>
              </w:tabs>
              <w:spacing w:before="40" w:after="40"/>
              <w:jc w:val="right"/>
              <w:rPr>
                <w:sz w:val="18"/>
              </w:rPr>
            </w:pPr>
            <w:r w:rsidRPr="00FE1453">
              <w:rPr>
                <w:sz w:val="18"/>
              </w:rPr>
              <w:t>1 673 662</w:t>
            </w:r>
          </w:p>
        </w:tc>
        <w:tc>
          <w:tcPr>
            <w:tcW w:w="1198" w:type="dxa"/>
            <w:tcBorders>
              <w:top w:val="single" w:sz="12" w:space="0" w:color="auto"/>
              <w:left w:val="single" w:sz="4" w:space="0" w:color="auto"/>
              <w:bottom w:val="single" w:sz="12" w:space="0" w:color="auto"/>
            </w:tcBorders>
          </w:tcPr>
          <w:p w14:paraId="293DC2AD" w14:textId="77777777" w:rsidR="007720ED" w:rsidRPr="00FE1453" w:rsidRDefault="007720ED" w:rsidP="00EE3619">
            <w:pPr>
              <w:tabs>
                <w:tab w:val="left" w:pos="624"/>
                <w:tab w:val="left" w:pos="1871"/>
                <w:tab w:val="left" w:pos="2495"/>
                <w:tab w:val="left" w:pos="3119"/>
                <w:tab w:val="left" w:pos="3742"/>
                <w:tab w:val="left" w:pos="4366"/>
                <w:tab w:val="left" w:pos="4990"/>
              </w:tabs>
              <w:spacing w:before="40" w:after="40"/>
              <w:jc w:val="right"/>
              <w:rPr>
                <w:sz w:val="18"/>
              </w:rPr>
            </w:pPr>
            <w:r w:rsidRPr="00FE1453">
              <w:rPr>
                <w:sz w:val="18"/>
              </w:rPr>
              <w:t>1 896 234</w:t>
            </w:r>
          </w:p>
        </w:tc>
        <w:tc>
          <w:tcPr>
            <w:tcW w:w="1198" w:type="dxa"/>
            <w:tcBorders>
              <w:top w:val="single" w:sz="12" w:space="0" w:color="auto"/>
              <w:bottom w:val="single" w:sz="12" w:space="0" w:color="auto"/>
            </w:tcBorders>
          </w:tcPr>
          <w:p w14:paraId="416225A3" w14:textId="77777777" w:rsidR="007720ED" w:rsidRPr="00FE1453" w:rsidRDefault="007720ED" w:rsidP="00EE3619">
            <w:pPr>
              <w:tabs>
                <w:tab w:val="left" w:pos="624"/>
                <w:tab w:val="left" w:pos="1871"/>
                <w:tab w:val="left" w:pos="2495"/>
                <w:tab w:val="left" w:pos="3119"/>
                <w:tab w:val="left" w:pos="3742"/>
                <w:tab w:val="left" w:pos="4366"/>
                <w:tab w:val="left" w:pos="4990"/>
              </w:tabs>
              <w:spacing w:before="40" w:after="40"/>
              <w:jc w:val="right"/>
              <w:rPr>
                <w:sz w:val="18"/>
              </w:rPr>
            </w:pPr>
            <w:r w:rsidRPr="00FE1453">
              <w:rPr>
                <w:sz w:val="18"/>
              </w:rPr>
              <w:t>1 728 541</w:t>
            </w:r>
          </w:p>
        </w:tc>
        <w:tc>
          <w:tcPr>
            <w:tcW w:w="1199" w:type="dxa"/>
            <w:tcBorders>
              <w:top w:val="single" w:sz="12" w:space="0" w:color="auto"/>
              <w:bottom w:val="single" w:sz="12" w:space="0" w:color="auto"/>
            </w:tcBorders>
          </w:tcPr>
          <w:p w14:paraId="6D4AC04B" w14:textId="77777777" w:rsidR="007720ED" w:rsidRPr="00FE1453" w:rsidRDefault="007720ED" w:rsidP="00EE3619">
            <w:pPr>
              <w:tabs>
                <w:tab w:val="left" w:pos="624"/>
                <w:tab w:val="left" w:pos="1871"/>
                <w:tab w:val="left" w:pos="2495"/>
                <w:tab w:val="left" w:pos="3119"/>
                <w:tab w:val="left" w:pos="3742"/>
                <w:tab w:val="left" w:pos="4366"/>
                <w:tab w:val="left" w:pos="4990"/>
              </w:tabs>
              <w:spacing w:before="40" w:after="40"/>
              <w:jc w:val="right"/>
              <w:rPr>
                <w:sz w:val="18"/>
              </w:rPr>
            </w:pPr>
            <w:r w:rsidRPr="00FE1453">
              <w:rPr>
                <w:sz w:val="18"/>
              </w:rPr>
              <w:t>1 715 084</w:t>
            </w:r>
          </w:p>
        </w:tc>
      </w:tr>
    </w:tbl>
    <w:p w14:paraId="4A14E5D7" w14:textId="77777777" w:rsidR="007720ED" w:rsidRPr="00FE1453" w:rsidRDefault="007720ED" w:rsidP="007720ED">
      <w:pPr>
        <w:tabs>
          <w:tab w:val="left" w:pos="624"/>
        </w:tabs>
        <w:spacing w:before="60"/>
        <w:ind w:left="1247"/>
        <w:rPr>
          <w:i/>
          <w:sz w:val="18"/>
          <w:szCs w:val="18"/>
        </w:rPr>
      </w:pPr>
      <w:r w:rsidRPr="00FE1453">
        <w:rPr>
          <w:i/>
          <w:sz w:val="18"/>
          <w:szCs w:val="18"/>
        </w:rPr>
        <w:tab/>
      </w:r>
      <w:r w:rsidRPr="00FE1453">
        <w:rPr>
          <w:i/>
          <w:sz w:val="18"/>
          <w:szCs w:val="18"/>
        </w:rPr>
        <w:tab/>
        <w:t>Abbreviations</w:t>
      </w:r>
      <w:r w:rsidRPr="00FE1453">
        <w:rPr>
          <w:sz w:val="18"/>
          <w:szCs w:val="18"/>
        </w:rPr>
        <w:t>:</w:t>
      </w:r>
      <w:r w:rsidRPr="00FE1453">
        <w:rPr>
          <w:i/>
          <w:sz w:val="18"/>
          <w:szCs w:val="18"/>
        </w:rPr>
        <w:t xml:space="preserve"> </w:t>
      </w:r>
      <w:r w:rsidRPr="00FE1453">
        <w:rPr>
          <w:sz w:val="18"/>
          <w:szCs w:val="18"/>
        </w:rPr>
        <w:t>CO</w:t>
      </w:r>
      <w:r w:rsidRPr="00FE1453">
        <w:rPr>
          <w:sz w:val="18"/>
          <w:szCs w:val="18"/>
          <w:vertAlign w:val="subscript"/>
        </w:rPr>
        <w:t>2</w:t>
      </w:r>
      <w:r w:rsidRPr="00FE1453">
        <w:rPr>
          <w:sz w:val="18"/>
          <w:szCs w:val="18"/>
        </w:rPr>
        <w:t>-eq – CO</w:t>
      </w:r>
      <w:r w:rsidRPr="00FE1453">
        <w:rPr>
          <w:sz w:val="18"/>
          <w:szCs w:val="18"/>
          <w:vertAlign w:val="subscript"/>
        </w:rPr>
        <w:t>2</w:t>
      </w:r>
      <w:r w:rsidRPr="00FE1453">
        <w:rPr>
          <w:sz w:val="18"/>
          <w:szCs w:val="18"/>
        </w:rPr>
        <w:t>-equivalent; HFC – hydrofluorocarbon.</w:t>
      </w:r>
      <w:r w:rsidRPr="00FE1453">
        <w:rPr>
          <w:i/>
          <w:sz w:val="18"/>
          <w:szCs w:val="18"/>
        </w:rPr>
        <w:t xml:space="preserve"> </w:t>
      </w:r>
    </w:p>
    <w:p w14:paraId="1EC23A2E" w14:textId="77777777" w:rsidR="007720ED" w:rsidRPr="00FE1453" w:rsidRDefault="007720ED" w:rsidP="007720ED">
      <w:pPr>
        <w:numPr>
          <w:ilvl w:val="6"/>
          <w:numId w:val="30"/>
        </w:numPr>
        <w:tabs>
          <w:tab w:val="clear" w:pos="1247"/>
          <w:tab w:val="clear" w:pos="1814"/>
          <w:tab w:val="left" w:pos="624"/>
          <w:tab w:val="left" w:pos="709"/>
          <w:tab w:val="left" w:pos="1418"/>
        </w:tabs>
        <w:spacing w:before="120" w:after="120"/>
        <w:ind w:left="709" w:firstLine="0"/>
      </w:pPr>
      <w:r w:rsidRPr="00FE1453">
        <w:t xml:space="preserve">That Morocco has presented sufficient information, in accordance with decision XV/19, to justify its request for the revision of its consumption data for hydrofluorocarbons for 2020, 2021 and 2022, which are part of the baseline for Article 5, group 1, parties under the Kigali Amendment to the Montreal </w:t>
      </w:r>
      <w:proofErr w:type="gramStart"/>
      <w:r w:rsidRPr="00FE1453">
        <w:t>Protocol;</w:t>
      </w:r>
      <w:proofErr w:type="gramEnd"/>
      <w:r w:rsidRPr="00FE1453">
        <w:t xml:space="preserve"> </w:t>
      </w:r>
    </w:p>
    <w:p w14:paraId="1C3EBEB8" w14:textId="77777777" w:rsidR="007720ED" w:rsidRPr="00FE1453" w:rsidRDefault="007720ED" w:rsidP="007720ED">
      <w:pPr>
        <w:numPr>
          <w:ilvl w:val="6"/>
          <w:numId w:val="30"/>
        </w:numPr>
        <w:tabs>
          <w:tab w:val="clear" w:pos="1247"/>
          <w:tab w:val="clear" w:pos="1814"/>
          <w:tab w:val="left" w:pos="624"/>
          <w:tab w:val="left" w:pos="709"/>
          <w:tab w:val="left" w:pos="1418"/>
        </w:tabs>
        <w:spacing w:before="120" w:after="120"/>
        <w:ind w:left="709" w:firstLine="0"/>
      </w:pPr>
      <w:r w:rsidRPr="00FE1453">
        <w:t xml:space="preserve">To approve the request by Morocco and to revise its consumption data for hydrofluorocarbons for the baseline years 2020, 2021 and 2022 as indicated in the following table: </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1030"/>
        <w:gridCol w:w="1173"/>
        <w:gridCol w:w="1173"/>
        <w:gridCol w:w="1172"/>
        <w:gridCol w:w="1173"/>
        <w:gridCol w:w="1173"/>
      </w:tblGrid>
      <w:tr w:rsidR="007720ED" w:rsidRPr="00FE1453" w14:paraId="5C1D12FD" w14:textId="77777777" w:rsidTr="00EE3619">
        <w:trPr>
          <w:trHeight w:val="113"/>
          <w:jc w:val="right"/>
        </w:trPr>
        <w:tc>
          <w:tcPr>
            <w:tcW w:w="1413" w:type="dxa"/>
            <w:vMerge w:val="restart"/>
            <w:tcBorders>
              <w:top w:val="single" w:sz="4" w:space="0" w:color="auto"/>
              <w:bottom w:val="single" w:sz="12" w:space="0" w:color="auto"/>
            </w:tcBorders>
            <w:vAlign w:val="bottom"/>
          </w:tcPr>
          <w:p w14:paraId="2E2761AD" w14:textId="77777777" w:rsidR="007720ED" w:rsidRPr="00FE1453" w:rsidRDefault="007720ED" w:rsidP="00EE3619">
            <w:pPr>
              <w:tabs>
                <w:tab w:val="left" w:pos="624"/>
                <w:tab w:val="left" w:pos="1871"/>
                <w:tab w:val="left" w:pos="2495"/>
                <w:tab w:val="left" w:pos="3119"/>
                <w:tab w:val="left" w:pos="3742"/>
                <w:tab w:val="left" w:pos="4366"/>
                <w:tab w:val="left" w:pos="4990"/>
              </w:tabs>
              <w:spacing w:before="40" w:after="40"/>
              <w:rPr>
                <w:i/>
                <w:iCs/>
                <w:sz w:val="18"/>
              </w:rPr>
            </w:pPr>
            <w:r w:rsidRPr="00FE1453">
              <w:rPr>
                <w:i/>
                <w:iCs/>
                <w:sz w:val="18"/>
              </w:rPr>
              <w:t>Party/year</w:t>
            </w:r>
          </w:p>
        </w:tc>
        <w:tc>
          <w:tcPr>
            <w:tcW w:w="3376" w:type="dxa"/>
            <w:gridSpan w:val="3"/>
            <w:tcBorders>
              <w:top w:val="single" w:sz="4" w:space="0" w:color="auto"/>
              <w:bottom w:val="single" w:sz="4" w:space="0" w:color="auto"/>
              <w:right w:val="single" w:sz="4" w:space="0" w:color="auto"/>
            </w:tcBorders>
            <w:vAlign w:val="bottom"/>
          </w:tcPr>
          <w:p w14:paraId="37DAF29B" w14:textId="77777777" w:rsidR="007720ED" w:rsidRPr="003B159F" w:rsidRDefault="007720ED" w:rsidP="00EE3619">
            <w:pPr>
              <w:tabs>
                <w:tab w:val="left" w:pos="624"/>
                <w:tab w:val="left" w:pos="1871"/>
                <w:tab w:val="left" w:pos="2495"/>
                <w:tab w:val="left" w:pos="3119"/>
                <w:tab w:val="left" w:pos="3742"/>
                <w:tab w:val="left" w:pos="4366"/>
                <w:tab w:val="left" w:pos="4990"/>
              </w:tabs>
              <w:spacing w:before="40" w:after="40"/>
              <w:jc w:val="center"/>
              <w:rPr>
                <w:i/>
                <w:iCs/>
                <w:sz w:val="18"/>
                <w:szCs w:val="18"/>
                <w:lang w:val="en-US"/>
              </w:rPr>
            </w:pPr>
            <w:r w:rsidRPr="003B159F">
              <w:rPr>
                <w:i/>
                <w:iCs/>
                <w:sz w:val="18"/>
                <w:szCs w:val="18"/>
                <w:lang w:val="en-US"/>
              </w:rPr>
              <w:t>Previous HFC data (CO</w:t>
            </w:r>
            <w:r w:rsidRPr="003B159F">
              <w:rPr>
                <w:i/>
                <w:iCs/>
                <w:sz w:val="18"/>
                <w:szCs w:val="18"/>
                <w:vertAlign w:val="subscript"/>
                <w:lang w:val="en-US"/>
              </w:rPr>
              <w:t>2</w:t>
            </w:r>
            <w:r w:rsidRPr="003B159F">
              <w:rPr>
                <w:i/>
                <w:iCs/>
                <w:sz w:val="18"/>
                <w:szCs w:val="18"/>
                <w:lang w:val="en-US"/>
              </w:rPr>
              <w:t xml:space="preserve">-eq </w:t>
            </w:r>
            <w:proofErr w:type="spellStart"/>
            <w:r w:rsidRPr="003B159F">
              <w:rPr>
                <w:i/>
                <w:iCs/>
                <w:sz w:val="18"/>
                <w:szCs w:val="18"/>
                <w:lang w:val="en-US"/>
              </w:rPr>
              <w:t>tonnes</w:t>
            </w:r>
            <w:proofErr w:type="spellEnd"/>
            <w:r w:rsidRPr="003B159F">
              <w:rPr>
                <w:i/>
                <w:iCs/>
                <w:sz w:val="18"/>
                <w:szCs w:val="18"/>
                <w:lang w:val="en-US"/>
              </w:rPr>
              <w:t>)</w:t>
            </w:r>
          </w:p>
        </w:tc>
        <w:tc>
          <w:tcPr>
            <w:tcW w:w="3518" w:type="dxa"/>
            <w:gridSpan w:val="3"/>
            <w:tcBorders>
              <w:top w:val="single" w:sz="4" w:space="0" w:color="auto"/>
              <w:left w:val="single" w:sz="4" w:space="0" w:color="auto"/>
              <w:bottom w:val="single" w:sz="4" w:space="0" w:color="auto"/>
            </w:tcBorders>
            <w:vAlign w:val="bottom"/>
          </w:tcPr>
          <w:p w14:paraId="6599E618" w14:textId="77777777" w:rsidR="007720ED" w:rsidRPr="003B159F" w:rsidRDefault="007720ED" w:rsidP="00EE3619">
            <w:pPr>
              <w:tabs>
                <w:tab w:val="left" w:pos="624"/>
                <w:tab w:val="left" w:pos="1871"/>
                <w:tab w:val="left" w:pos="2495"/>
                <w:tab w:val="left" w:pos="3119"/>
                <w:tab w:val="left" w:pos="3742"/>
                <w:tab w:val="left" w:pos="4366"/>
                <w:tab w:val="left" w:pos="4990"/>
              </w:tabs>
              <w:spacing w:before="40" w:after="40"/>
              <w:jc w:val="center"/>
              <w:rPr>
                <w:i/>
                <w:iCs/>
                <w:sz w:val="18"/>
                <w:szCs w:val="18"/>
                <w:lang w:val="en-US"/>
              </w:rPr>
            </w:pPr>
            <w:r w:rsidRPr="003B159F">
              <w:rPr>
                <w:i/>
                <w:iCs/>
                <w:sz w:val="18"/>
                <w:szCs w:val="18"/>
                <w:lang w:val="en-US"/>
              </w:rPr>
              <w:t>New HFC data (CO</w:t>
            </w:r>
            <w:r w:rsidRPr="003B159F">
              <w:rPr>
                <w:i/>
                <w:iCs/>
                <w:sz w:val="18"/>
                <w:szCs w:val="18"/>
                <w:vertAlign w:val="subscript"/>
                <w:lang w:val="en-US"/>
              </w:rPr>
              <w:t>2</w:t>
            </w:r>
            <w:r w:rsidRPr="003B159F">
              <w:rPr>
                <w:i/>
                <w:iCs/>
                <w:sz w:val="18"/>
                <w:szCs w:val="18"/>
                <w:lang w:val="en-US"/>
              </w:rPr>
              <w:t xml:space="preserve">-eq </w:t>
            </w:r>
            <w:proofErr w:type="spellStart"/>
            <w:r w:rsidRPr="003B159F">
              <w:rPr>
                <w:i/>
                <w:iCs/>
                <w:sz w:val="18"/>
                <w:szCs w:val="18"/>
                <w:lang w:val="en-US"/>
              </w:rPr>
              <w:t>tonnes</w:t>
            </w:r>
            <w:proofErr w:type="spellEnd"/>
            <w:r w:rsidRPr="003B159F">
              <w:rPr>
                <w:i/>
                <w:iCs/>
                <w:sz w:val="18"/>
                <w:szCs w:val="18"/>
                <w:lang w:val="en-US"/>
              </w:rPr>
              <w:t>)</w:t>
            </w:r>
          </w:p>
        </w:tc>
      </w:tr>
      <w:tr w:rsidR="007720ED" w:rsidRPr="00FE1453" w14:paraId="40BC98A0" w14:textId="77777777" w:rsidTr="00EE3619">
        <w:trPr>
          <w:trHeight w:val="209"/>
          <w:jc w:val="right"/>
        </w:trPr>
        <w:tc>
          <w:tcPr>
            <w:tcW w:w="1413" w:type="dxa"/>
            <w:vMerge/>
            <w:tcBorders>
              <w:top w:val="single" w:sz="4" w:space="0" w:color="auto"/>
              <w:bottom w:val="single" w:sz="12" w:space="0" w:color="auto"/>
            </w:tcBorders>
            <w:vAlign w:val="bottom"/>
          </w:tcPr>
          <w:p w14:paraId="626E5FCE" w14:textId="77777777" w:rsidR="007720ED" w:rsidRPr="00B346A6" w:rsidRDefault="007720ED" w:rsidP="00EE3619">
            <w:pPr>
              <w:tabs>
                <w:tab w:val="left" w:pos="624"/>
                <w:tab w:val="left" w:pos="1871"/>
                <w:tab w:val="left" w:pos="2495"/>
                <w:tab w:val="left" w:pos="3119"/>
                <w:tab w:val="left" w:pos="3742"/>
                <w:tab w:val="left" w:pos="4366"/>
                <w:tab w:val="left" w:pos="4990"/>
              </w:tabs>
              <w:spacing w:before="40" w:after="40"/>
              <w:rPr>
                <w:i/>
                <w:iCs/>
                <w:sz w:val="18"/>
                <w:szCs w:val="18"/>
                <w:lang w:val="en-US"/>
                <w:rPrChange w:id="19" w:author="Hildebrand, Martijn (RWS WVL)" w:date="2025-11-02T08:04:00Z" w16du:dateUtc="2025-11-02T07:04:00Z">
                  <w:rPr>
                    <w:i/>
                    <w:iCs/>
                    <w:sz w:val="18"/>
                    <w:szCs w:val="18"/>
                  </w:rPr>
                </w:rPrChange>
              </w:rPr>
            </w:pPr>
          </w:p>
        </w:tc>
        <w:tc>
          <w:tcPr>
            <w:tcW w:w="1030" w:type="dxa"/>
            <w:tcBorders>
              <w:top w:val="single" w:sz="4" w:space="0" w:color="auto"/>
              <w:bottom w:val="single" w:sz="12" w:space="0" w:color="auto"/>
            </w:tcBorders>
            <w:vAlign w:val="bottom"/>
          </w:tcPr>
          <w:p w14:paraId="3F5E5141" w14:textId="77777777" w:rsidR="007720ED" w:rsidRPr="00FE1453" w:rsidRDefault="007720ED" w:rsidP="00EE3619">
            <w:pPr>
              <w:tabs>
                <w:tab w:val="left" w:pos="624"/>
                <w:tab w:val="left" w:pos="1871"/>
                <w:tab w:val="left" w:pos="2495"/>
                <w:tab w:val="left" w:pos="3119"/>
                <w:tab w:val="left" w:pos="3742"/>
                <w:tab w:val="left" w:pos="4366"/>
                <w:tab w:val="left" w:pos="4990"/>
              </w:tabs>
              <w:spacing w:before="40" w:after="40"/>
              <w:jc w:val="right"/>
              <w:rPr>
                <w:i/>
                <w:iCs/>
                <w:sz w:val="18"/>
                <w:szCs w:val="18"/>
              </w:rPr>
            </w:pPr>
            <w:r w:rsidRPr="00FE1453">
              <w:rPr>
                <w:i/>
                <w:iCs/>
                <w:sz w:val="18"/>
                <w:szCs w:val="18"/>
              </w:rPr>
              <w:t>2020</w:t>
            </w:r>
          </w:p>
        </w:tc>
        <w:tc>
          <w:tcPr>
            <w:tcW w:w="1173" w:type="dxa"/>
            <w:tcBorders>
              <w:top w:val="single" w:sz="4" w:space="0" w:color="auto"/>
              <w:bottom w:val="single" w:sz="12" w:space="0" w:color="auto"/>
            </w:tcBorders>
            <w:vAlign w:val="bottom"/>
          </w:tcPr>
          <w:p w14:paraId="20600847" w14:textId="77777777" w:rsidR="007720ED" w:rsidRPr="00FE1453" w:rsidRDefault="007720ED" w:rsidP="00EE3619">
            <w:pPr>
              <w:tabs>
                <w:tab w:val="left" w:pos="624"/>
                <w:tab w:val="left" w:pos="1871"/>
                <w:tab w:val="left" w:pos="2495"/>
                <w:tab w:val="left" w:pos="3119"/>
                <w:tab w:val="left" w:pos="3742"/>
                <w:tab w:val="left" w:pos="4366"/>
                <w:tab w:val="left" w:pos="4990"/>
              </w:tabs>
              <w:spacing w:before="40" w:after="40"/>
              <w:jc w:val="right"/>
              <w:rPr>
                <w:i/>
                <w:iCs/>
                <w:sz w:val="18"/>
                <w:szCs w:val="18"/>
              </w:rPr>
            </w:pPr>
            <w:r w:rsidRPr="00FE1453">
              <w:rPr>
                <w:i/>
                <w:iCs/>
                <w:sz w:val="18"/>
                <w:szCs w:val="18"/>
              </w:rPr>
              <w:t>2021</w:t>
            </w:r>
          </w:p>
        </w:tc>
        <w:tc>
          <w:tcPr>
            <w:tcW w:w="1173" w:type="dxa"/>
            <w:tcBorders>
              <w:top w:val="single" w:sz="4" w:space="0" w:color="auto"/>
              <w:bottom w:val="single" w:sz="12" w:space="0" w:color="auto"/>
              <w:right w:val="single" w:sz="4" w:space="0" w:color="auto"/>
            </w:tcBorders>
            <w:vAlign w:val="bottom"/>
          </w:tcPr>
          <w:p w14:paraId="1F2A4138" w14:textId="77777777" w:rsidR="007720ED" w:rsidRPr="00FE1453" w:rsidRDefault="007720ED" w:rsidP="00EE3619">
            <w:pPr>
              <w:tabs>
                <w:tab w:val="left" w:pos="624"/>
                <w:tab w:val="left" w:pos="1871"/>
                <w:tab w:val="left" w:pos="2495"/>
                <w:tab w:val="left" w:pos="3119"/>
                <w:tab w:val="left" w:pos="3742"/>
                <w:tab w:val="left" w:pos="4366"/>
                <w:tab w:val="left" w:pos="4990"/>
              </w:tabs>
              <w:spacing w:before="40" w:after="40"/>
              <w:jc w:val="right"/>
              <w:rPr>
                <w:i/>
                <w:iCs/>
                <w:sz w:val="18"/>
                <w:szCs w:val="18"/>
              </w:rPr>
            </w:pPr>
            <w:r w:rsidRPr="00FE1453">
              <w:rPr>
                <w:i/>
                <w:iCs/>
                <w:sz w:val="18"/>
                <w:szCs w:val="18"/>
              </w:rPr>
              <w:t>2022</w:t>
            </w:r>
          </w:p>
        </w:tc>
        <w:tc>
          <w:tcPr>
            <w:tcW w:w="1172" w:type="dxa"/>
            <w:tcBorders>
              <w:top w:val="single" w:sz="4" w:space="0" w:color="auto"/>
              <w:left w:val="single" w:sz="4" w:space="0" w:color="auto"/>
              <w:bottom w:val="single" w:sz="12" w:space="0" w:color="auto"/>
            </w:tcBorders>
            <w:vAlign w:val="bottom"/>
          </w:tcPr>
          <w:p w14:paraId="3314C860" w14:textId="77777777" w:rsidR="007720ED" w:rsidRPr="00FE1453" w:rsidRDefault="007720ED" w:rsidP="00EE3619">
            <w:pPr>
              <w:tabs>
                <w:tab w:val="left" w:pos="624"/>
                <w:tab w:val="left" w:pos="1871"/>
                <w:tab w:val="left" w:pos="2495"/>
                <w:tab w:val="left" w:pos="3119"/>
                <w:tab w:val="left" w:pos="3742"/>
                <w:tab w:val="left" w:pos="4366"/>
                <w:tab w:val="left" w:pos="4990"/>
              </w:tabs>
              <w:spacing w:before="40" w:after="40"/>
              <w:jc w:val="right"/>
              <w:rPr>
                <w:i/>
                <w:iCs/>
                <w:sz w:val="18"/>
                <w:szCs w:val="18"/>
              </w:rPr>
            </w:pPr>
            <w:r w:rsidRPr="00FE1453">
              <w:rPr>
                <w:i/>
                <w:iCs/>
                <w:sz w:val="18"/>
                <w:szCs w:val="18"/>
              </w:rPr>
              <w:t>2020</w:t>
            </w:r>
          </w:p>
        </w:tc>
        <w:tc>
          <w:tcPr>
            <w:tcW w:w="1173" w:type="dxa"/>
            <w:tcBorders>
              <w:top w:val="single" w:sz="4" w:space="0" w:color="auto"/>
              <w:bottom w:val="single" w:sz="12" w:space="0" w:color="auto"/>
            </w:tcBorders>
            <w:vAlign w:val="bottom"/>
          </w:tcPr>
          <w:p w14:paraId="3F57EC35" w14:textId="77777777" w:rsidR="007720ED" w:rsidRPr="00FE1453" w:rsidRDefault="007720ED" w:rsidP="00EE3619">
            <w:pPr>
              <w:tabs>
                <w:tab w:val="left" w:pos="624"/>
                <w:tab w:val="left" w:pos="1871"/>
                <w:tab w:val="left" w:pos="2495"/>
                <w:tab w:val="left" w:pos="3119"/>
                <w:tab w:val="left" w:pos="3742"/>
                <w:tab w:val="left" w:pos="4366"/>
                <w:tab w:val="left" w:pos="4990"/>
              </w:tabs>
              <w:spacing w:before="40" w:after="40"/>
              <w:jc w:val="right"/>
              <w:rPr>
                <w:i/>
                <w:iCs/>
                <w:sz w:val="18"/>
                <w:szCs w:val="18"/>
              </w:rPr>
            </w:pPr>
            <w:r w:rsidRPr="00FE1453">
              <w:rPr>
                <w:i/>
                <w:iCs/>
                <w:sz w:val="18"/>
                <w:szCs w:val="18"/>
              </w:rPr>
              <w:t>2021</w:t>
            </w:r>
          </w:p>
        </w:tc>
        <w:tc>
          <w:tcPr>
            <w:tcW w:w="1173" w:type="dxa"/>
            <w:tcBorders>
              <w:top w:val="single" w:sz="4" w:space="0" w:color="auto"/>
              <w:bottom w:val="single" w:sz="12" w:space="0" w:color="auto"/>
            </w:tcBorders>
            <w:vAlign w:val="bottom"/>
          </w:tcPr>
          <w:p w14:paraId="2B0D8539" w14:textId="77777777" w:rsidR="007720ED" w:rsidRPr="00FE1453" w:rsidRDefault="007720ED" w:rsidP="00EE3619">
            <w:pPr>
              <w:tabs>
                <w:tab w:val="left" w:pos="624"/>
                <w:tab w:val="left" w:pos="1871"/>
                <w:tab w:val="left" w:pos="2495"/>
                <w:tab w:val="left" w:pos="3119"/>
                <w:tab w:val="left" w:pos="3742"/>
                <w:tab w:val="left" w:pos="4366"/>
                <w:tab w:val="left" w:pos="4990"/>
              </w:tabs>
              <w:spacing w:before="40" w:after="40"/>
              <w:jc w:val="right"/>
              <w:rPr>
                <w:i/>
                <w:iCs/>
                <w:sz w:val="18"/>
                <w:szCs w:val="18"/>
              </w:rPr>
            </w:pPr>
            <w:r w:rsidRPr="00FE1453">
              <w:rPr>
                <w:i/>
                <w:iCs/>
                <w:sz w:val="18"/>
                <w:szCs w:val="18"/>
              </w:rPr>
              <w:t>2022</w:t>
            </w:r>
          </w:p>
        </w:tc>
      </w:tr>
      <w:tr w:rsidR="007720ED" w:rsidRPr="00FE1453" w14:paraId="3539CFA9" w14:textId="77777777" w:rsidTr="00EE3619">
        <w:trPr>
          <w:trHeight w:val="113"/>
          <w:jc w:val="right"/>
        </w:trPr>
        <w:tc>
          <w:tcPr>
            <w:tcW w:w="1413" w:type="dxa"/>
            <w:tcBorders>
              <w:top w:val="single" w:sz="12" w:space="0" w:color="auto"/>
              <w:bottom w:val="single" w:sz="12" w:space="0" w:color="auto"/>
            </w:tcBorders>
          </w:tcPr>
          <w:p w14:paraId="1E37FF74" w14:textId="77777777" w:rsidR="007720ED" w:rsidRPr="00FE1453" w:rsidRDefault="007720ED" w:rsidP="00EE3619">
            <w:pPr>
              <w:tabs>
                <w:tab w:val="left" w:pos="624"/>
                <w:tab w:val="left" w:pos="1871"/>
                <w:tab w:val="left" w:pos="2495"/>
                <w:tab w:val="left" w:pos="3119"/>
                <w:tab w:val="left" w:pos="3742"/>
                <w:tab w:val="left" w:pos="4366"/>
                <w:tab w:val="left" w:pos="4990"/>
              </w:tabs>
              <w:spacing w:before="40" w:after="40"/>
              <w:rPr>
                <w:sz w:val="18"/>
                <w:szCs w:val="18"/>
              </w:rPr>
            </w:pPr>
            <w:r w:rsidRPr="00FE1453">
              <w:rPr>
                <w:sz w:val="18"/>
              </w:rPr>
              <w:t xml:space="preserve">Morocco </w:t>
            </w:r>
          </w:p>
        </w:tc>
        <w:tc>
          <w:tcPr>
            <w:tcW w:w="1030" w:type="dxa"/>
            <w:tcBorders>
              <w:top w:val="single" w:sz="12" w:space="0" w:color="auto"/>
              <w:bottom w:val="single" w:sz="12" w:space="0" w:color="auto"/>
            </w:tcBorders>
          </w:tcPr>
          <w:p w14:paraId="654FC9FF" w14:textId="77777777" w:rsidR="007720ED" w:rsidRPr="00FE1453" w:rsidRDefault="007720ED" w:rsidP="00EE3619">
            <w:pPr>
              <w:tabs>
                <w:tab w:val="left" w:pos="624"/>
                <w:tab w:val="left" w:pos="1871"/>
                <w:tab w:val="left" w:pos="2495"/>
                <w:tab w:val="left" w:pos="3119"/>
                <w:tab w:val="left" w:pos="3742"/>
                <w:tab w:val="left" w:pos="4366"/>
                <w:tab w:val="left" w:pos="4990"/>
              </w:tabs>
              <w:spacing w:before="40" w:after="40"/>
              <w:jc w:val="right"/>
              <w:rPr>
                <w:sz w:val="18"/>
                <w:szCs w:val="18"/>
              </w:rPr>
            </w:pPr>
            <w:r w:rsidRPr="00FE1453">
              <w:rPr>
                <w:color w:val="000000"/>
                <w:sz w:val="18"/>
                <w:szCs w:val="18"/>
                <w:lang w:eastAsia="en-GB"/>
              </w:rPr>
              <w:t>1 687 148</w:t>
            </w:r>
          </w:p>
        </w:tc>
        <w:tc>
          <w:tcPr>
            <w:tcW w:w="1173" w:type="dxa"/>
            <w:tcBorders>
              <w:top w:val="single" w:sz="12" w:space="0" w:color="auto"/>
              <w:bottom w:val="single" w:sz="12" w:space="0" w:color="auto"/>
            </w:tcBorders>
          </w:tcPr>
          <w:p w14:paraId="41053911" w14:textId="77777777" w:rsidR="007720ED" w:rsidRPr="00FE1453" w:rsidRDefault="007720ED" w:rsidP="00EE3619">
            <w:pPr>
              <w:tabs>
                <w:tab w:val="left" w:pos="624"/>
                <w:tab w:val="left" w:pos="1871"/>
                <w:tab w:val="left" w:pos="2495"/>
                <w:tab w:val="left" w:pos="3119"/>
                <w:tab w:val="left" w:pos="3742"/>
                <w:tab w:val="left" w:pos="4366"/>
                <w:tab w:val="left" w:pos="4990"/>
              </w:tabs>
              <w:spacing w:before="40" w:after="40"/>
              <w:jc w:val="right"/>
              <w:rPr>
                <w:sz w:val="18"/>
                <w:szCs w:val="18"/>
              </w:rPr>
            </w:pPr>
            <w:r w:rsidRPr="00FE1453">
              <w:rPr>
                <w:color w:val="000000"/>
                <w:sz w:val="18"/>
                <w:szCs w:val="18"/>
                <w:lang w:eastAsia="en-GB"/>
              </w:rPr>
              <w:t>1 475 421</w:t>
            </w:r>
          </w:p>
        </w:tc>
        <w:tc>
          <w:tcPr>
            <w:tcW w:w="1173" w:type="dxa"/>
            <w:tcBorders>
              <w:top w:val="single" w:sz="12" w:space="0" w:color="auto"/>
              <w:bottom w:val="single" w:sz="12" w:space="0" w:color="auto"/>
              <w:right w:val="single" w:sz="4" w:space="0" w:color="auto"/>
            </w:tcBorders>
          </w:tcPr>
          <w:p w14:paraId="006B1D91" w14:textId="77777777" w:rsidR="007720ED" w:rsidRPr="00FE1453" w:rsidRDefault="007720ED" w:rsidP="00EE3619">
            <w:pPr>
              <w:tabs>
                <w:tab w:val="left" w:pos="624"/>
                <w:tab w:val="left" w:pos="1871"/>
                <w:tab w:val="left" w:pos="2495"/>
                <w:tab w:val="left" w:pos="3119"/>
                <w:tab w:val="left" w:pos="3742"/>
                <w:tab w:val="left" w:pos="4366"/>
                <w:tab w:val="left" w:pos="4990"/>
              </w:tabs>
              <w:spacing w:before="40" w:after="40"/>
              <w:jc w:val="right"/>
              <w:rPr>
                <w:sz w:val="18"/>
                <w:szCs w:val="18"/>
              </w:rPr>
            </w:pPr>
            <w:r w:rsidRPr="00FE1453">
              <w:rPr>
                <w:color w:val="000000"/>
                <w:sz w:val="18"/>
                <w:szCs w:val="18"/>
                <w:lang w:eastAsia="en-GB"/>
              </w:rPr>
              <w:t>590 302</w:t>
            </w:r>
          </w:p>
        </w:tc>
        <w:tc>
          <w:tcPr>
            <w:tcW w:w="1172" w:type="dxa"/>
            <w:tcBorders>
              <w:top w:val="single" w:sz="12" w:space="0" w:color="auto"/>
              <w:left w:val="single" w:sz="4" w:space="0" w:color="auto"/>
              <w:bottom w:val="single" w:sz="12" w:space="0" w:color="auto"/>
            </w:tcBorders>
          </w:tcPr>
          <w:p w14:paraId="2859F5BB" w14:textId="77777777" w:rsidR="007720ED" w:rsidRPr="00FE1453" w:rsidRDefault="007720ED" w:rsidP="00EE3619">
            <w:pPr>
              <w:tabs>
                <w:tab w:val="left" w:pos="624"/>
                <w:tab w:val="left" w:pos="1871"/>
                <w:tab w:val="left" w:pos="2495"/>
                <w:tab w:val="left" w:pos="3119"/>
                <w:tab w:val="left" w:pos="3742"/>
                <w:tab w:val="left" w:pos="4366"/>
                <w:tab w:val="left" w:pos="4990"/>
              </w:tabs>
              <w:spacing w:before="40" w:after="40"/>
              <w:jc w:val="right"/>
              <w:rPr>
                <w:sz w:val="18"/>
                <w:szCs w:val="18"/>
              </w:rPr>
            </w:pPr>
            <w:r w:rsidRPr="00FE1453">
              <w:rPr>
                <w:sz w:val="18"/>
                <w:szCs w:val="18"/>
                <w:lang w:eastAsia="en-GB"/>
              </w:rPr>
              <w:t>2 602 515</w:t>
            </w:r>
          </w:p>
        </w:tc>
        <w:tc>
          <w:tcPr>
            <w:tcW w:w="1173" w:type="dxa"/>
            <w:tcBorders>
              <w:top w:val="single" w:sz="12" w:space="0" w:color="auto"/>
              <w:bottom w:val="single" w:sz="12" w:space="0" w:color="auto"/>
            </w:tcBorders>
          </w:tcPr>
          <w:p w14:paraId="1E34C74D" w14:textId="77777777" w:rsidR="007720ED" w:rsidRPr="00FE1453" w:rsidRDefault="007720ED" w:rsidP="00EE3619">
            <w:pPr>
              <w:tabs>
                <w:tab w:val="left" w:pos="624"/>
                <w:tab w:val="left" w:pos="1871"/>
                <w:tab w:val="left" w:pos="2495"/>
                <w:tab w:val="left" w:pos="3119"/>
                <w:tab w:val="left" w:pos="3742"/>
                <w:tab w:val="left" w:pos="4366"/>
                <w:tab w:val="left" w:pos="4990"/>
              </w:tabs>
              <w:spacing w:before="40" w:after="40"/>
              <w:rPr>
                <w:sz w:val="18"/>
                <w:szCs w:val="18"/>
              </w:rPr>
            </w:pPr>
            <w:r w:rsidRPr="00FE1453">
              <w:rPr>
                <w:color w:val="000000"/>
                <w:sz w:val="18"/>
                <w:szCs w:val="18"/>
                <w:lang w:eastAsia="en-GB"/>
              </w:rPr>
              <w:t>1 648 604</w:t>
            </w:r>
          </w:p>
        </w:tc>
        <w:tc>
          <w:tcPr>
            <w:tcW w:w="1173" w:type="dxa"/>
            <w:tcBorders>
              <w:top w:val="single" w:sz="12" w:space="0" w:color="auto"/>
              <w:bottom w:val="single" w:sz="12" w:space="0" w:color="auto"/>
            </w:tcBorders>
          </w:tcPr>
          <w:p w14:paraId="69CE9512" w14:textId="77777777" w:rsidR="007720ED" w:rsidRPr="00FE1453" w:rsidRDefault="007720ED" w:rsidP="00EE3619">
            <w:pPr>
              <w:tabs>
                <w:tab w:val="left" w:pos="624"/>
                <w:tab w:val="left" w:pos="1871"/>
                <w:tab w:val="left" w:pos="2495"/>
                <w:tab w:val="left" w:pos="3119"/>
                <w:tab w:val="left" w:pos="3742"/>
                <w:tab w:val="left" w:pos="4366"/>
                <w:tab w:val="left" w:pos="4990"/>
              </w:tabs>
              <w:spacing w:before="40" w:after="40"/>
              <w:jc w:val="right"/>
              <w:rPr>
                <w:sz w:val="18"/>
                <w:szCs w:val="18"/>
              </w:rPr>
            </w:pPr>
            <w:r w:rsidRPr="00FE1453">
              <w:rPr>
                <w:color w:val="000000"/>
                <w:sz w:val="18"/>
                <w:szCs w:val="18"/>
                <w:lang w:eastAsia="en-GB"/>
              </w:rPr>
              <w:t>2 169 487</w:t>
            </w:r>
          </w:p>
        </w:tc>
      </w:tr>
    </w:tbl>
    <w:p w14:paraId="05E048C9" w14:textId="77777777" w:rsidR="007720ED" w:rsidRPr="00FE1453" w:rsidRDefault="007720ED" w:rsidP="007720ED">
      <w:pPr>
        <w:tabs>
          <w:tab w:val="left" w:pos="624"/>
          <w:tab w:val="left" w:pos="1871"/>
          <w:tab w:val="left" w:pos="2495"/>
          <w:tab w:val="left" w:pos="3119"/>
          <w:tab w:val="left" w:pos="3742"/>
          <w:tab w:val="left" w:pos="4366"/>
          <w:tab w:val="left" w:pos="4990"/>
        </w:tabs>
        <w:spacing w:before="60"/>
        <w:ind w:left="1247"/>
        <w:rPr>
          <w:iCs/>
          <w:sz w:val="18"/>
          <w:szCs w:val="18"/>
        </w:rPr>
      </w:pPr>
      <w:r w:rsidRPr="00FE1453">
        <w:rPr>
          <w:iCs/>
          <w:sz w:val="18"/>
          <w:szCs w:val="18"/>
        </w:rPr>
        <w:tab/>
      </w:r>
      <w:r w:rsidRPr="00FE1453">
        <w:rPr>
          <w:i/>
          <w:sz w:val="18"/>
          <w:szCs w:val="18"/>
        </w:rPr>
        <w:t>Abbreviations:</w:t>
      </w:r>
      <w:r w:rsidRPr="00FE1453">
        <w:rPr>
          <w:iCs/>
          <w:sz w:val="18"/>
          <w:szCs w:val="18"/>
        </w:rPr>
        <w:t xml:space="preserve"> CO</w:t>
      </w:r>
      <w:r w:rsidRPr="00FE1453">
        <w:rPr>
          <w:iCs/>
          <w:sz w:val="18"/>
          <w:szCs w:val="18"/>
          <w:vertAlign w:val="subscript"/>
        </w:rPr>
        <w:t>2</w:t>
      </w:r>
      <w:r w:rsidRPr="00FE1453">
        <w:rPr>
          <w:iCs/>
          <w:sz w:val="18"/>
          <w:szCs w:val="18"/>
        </w:rPr>
        <w:t>-eq – CO</w:t>
      </w:r>
      <w:r w:rsidRPr="00FE1453">
        <w:rPr>
          <w:iCs/>
          <w:sz w:val="18"/>
          <w:szCs w:val="18"/>
          <w:vertAlign w:val="subscript"/>
        </w:rPr>
        <w:t>2</w:t>
      </w:r>
      <w:r w:rsidRPr="00FE1453">
        <w:rPr>
          <w:iCs/>
          <w:sz w:val="18"/>
          <w:szCs w:val="18"/>
        </w:rPr>
        <w:t xml:space="preserve">-equivalent; HFC – hydrofluorocarbon. </w:t>
      </w:r>
    </w:p>
    <w:p w14:paraId="0854F7F4" w14:textId="77777777" w:rsidR="007720ED" w:rsidRDefault="007720ED" w:rsidP="007720ED"/>
    <w:p w14:paraId="0F7C37F2" w14:textId="2707F08C" w:rsidR="00C55065" w:rsidRDefault="004D3312" w:rsidP="00386EA5">
      <w:pPr>
        <w:pStyle w:val="NormalNonumber"/>
        <w:numPr>
          <w:ilvl w:val="0"/>
          <w:numId w:val="8"/>
        </w:numPr>
        <w:tabs>
          <w:tab w:val="clear" w:pos="624"/>
          <w:tab w:val="clear" w:pos="1247"/>
          <w:tab w:val="clear" w:pos="1871"/>
          <w:tab w:val="left" w:pos="709"/>
        </w:tabs>
        <w:spacing w:before="360"/>
        <w:rPr>
          <w:rFonts w:asciiTheme="majorBidi" w:eastAsiaTheme="minorEastAsia" w:hAnsiTheme="majorBidi" w:cstheme="majorBidi"/>
          <w:b/>
          <w:kern w:val="2"/>
          <w:sz w:val="24"/>
          <w:szCs w:val="24"/>
          <w14:ligatures w14:val="standardContextual"/>
        </w:rPr>
      </w:pPr>
      <w:r>
        <w:rPr>
          <w:rFonts w:asciiTheme="majorBidi" w:eastAsiaTheme="minorEastAsia" w:hAnsiTheme="majorBidi" w:cstheme="majorBidi"/>
          <w:b/>
          <w:kern w:val="2"/>
          <w:sz w:val="24"/>
          <w:szCs w:val="24"/>
          <w14:ligatures w14:val="standardContextual"/>
        </w:rPr>
        <w:t>Status of HFC licensing systems</w:t>
      </w:r>
    </w:p>
    <w:p w14:paraId="2D84A5F4" w14:textId="77777777" w:rsidR="004D3312" w:rsidRDefault="004D3312" w:rsidP="004D3312">
      <w:pPr>
        <w:pStyle w:val="ListParagraph"/>
        <w:spacing w:after="120"/>
        <w:rPr>
          <w:rFonts w:asciiTheme="majorBidi" w:hAnsiTheme="majorBidi" w:cstheme="majorBidi"/>
          <w:i/>
          <w:iCs/>
        </w:rPr>
      </w:pPr>
      <w:r w:rsidRPr="00A50724">
        <w:rPr>
          <w:rFonts w:asciiTheme="majorBidi" w:hAnsiTheme="majorBidi" w:cstheme="majorBidi"/>
          <w:i/>
          <w:iCs/>
        </w:rPr>
        <w:t>The Committee therefore agreed:</w:t>
      </w:r>
    </w:p>
    <w:p w14:paraId="57B24392" w14:textId="7A2F7511" w:rsidR="004D3312" w:rsidRPr="004D3312" w:rsidRDefault="004D3312" w:rsidP="004D3312">
      <w:pPr>
        <w:pStyle w:val="NormalNonumber"/>
        <w:tabs>
          <w:tab w:val="clear" w:pos="1247"/>
          <w:tab w:val="clear" w:pos="1871"/>
          <w:tab w:val="clear" w:pos="2495"/>
          <w:tab w:val="clear" w:pos="3119"/>
          <w:tab w:val="clear" w:pos="3742"/>
          <w:tab w:val="clear" w:pos="4366"/>
          <w:tab w:val="left" w:pos="709"/>
        </w:tabs>
        <w:ind w:left="709"/>
      </w:pPr>
      <w:r>
        <w:t>(a)</w:t>
      </w:r>
      <w:r>
        <w:tab/>
      </w:r>
      <w:r w:rsidRPr="004D3312">
        <w:t xml:space="preserve">To take note with appreciation of the report on the status of licensing systems for hydrofluorocarbons under Article 4B, paragraph 2 </w:t>
      </w:r>
      <w:r w:rsidRPr="00811BD2">
        <w:rPr>
          <w:i/>
          <w:iCs/>
        </w:rPr>
        <w:t>bis</w:t>
      </w:r>
      <w:r w:rsidRPr="004D3312">
        <w:t xml:space="preserve">, of the Montreal </w:t>
      </w:r>
      <w:proofErr w:type="gramStart"/>
      <w:r w:rsidRPr="004D3312">
        <w:t>Protocol;</w:t>
      </w:r>
      <w:proofErr w:type="gramEnd"/>
    </w:p>
    <w:p w14:paraId="6CD7256F" w14:textId="03D739A2" w:rsidR="004D3312" w:rsidRPr="004D3312" w:rsidRDefault="004D3312" w:rsidP="004D3312">
      <w:pPr>
        <w:pStyle w:val="NormalNonumber"/>
        <w:tabs>
          <w:tab w:val="clear" w:pos="1247"/>
          <w:tab w:val="clear" w:pos="1871"/>
          <w:tab w:val="clear" w:pos="2495"/>
          <w:tab w:val="clear" w:pos="3119"/>
          <w:tab w:val="clear" w:pos="3742"/>
          <w:tab w:val="clear" w:pos="4366"/>
          <w:tab w:val="left" w:pos="709"/>
        </w:tabs>
        <w:ind w:left="709"/>
      </w:pPr>
      <w:r>
        <w:t>(b)</w:t>
      </w:r>
      <w:r>
        <w:tab/>
      </w:r>
      <w:r w:rsidRPr="004D3312">
        <w:t>To forward, for consideration by the Thirty-Seventh Meeting of the Parties to the Montreal Protocol, the draft decision contained in the annex to the present report, which, among other things, records the number of parties to the Montreal Protocol having ratified the Kigali Amendment that have reported to the Secretariat on the establishment and operation of systems for licensing the import and export of Annex F controlled substances in accordance with paragraph 3 of Article 4B of the Montreal Protocol;</w:t>
      </w:r>
    </w:p>
    <w:p w14:paraId="14C3F4A9" w14:textId="34A7F696" w:rsidR="004D3312" w:rsidRPr="004D3312" w:rsidRDefault="004D3312" w:rsidP="004D3312">
      <w:pPr>
        <w:pStyle w:val="NormalNonumber"/>
        <w:tabs>
          <w:tab w:val="clear" w:pos="1247"/>
          <w:tab w:val="clear" w:pos="1871"/>
          <w:tab w:val="clear" w:pos="2495"/>
          <w:tab w:val="clear" w:pos="3119"/>
          <w:tab w:val="clear" w:pos="3742"/>
          <w:tab w:val="clear" w:pos="4366"/>
          <w:tab w:val="left" w:pos="709"/>
        </w:tabs>
        <w:ind w:left="709"/>
      </w:pPr>
      <w:r>
        <w:t>(c)</w:t>
      </w:r>
      <w:r>
        <w:tab/>
      </w:r>
      <w:r w:rsidRPr="004D3312">
        <w:t xml:space="preserve">To urge the </w:t>
      </w:r>
      <w:r w:rsidR="00811BD2">
        <w:t>three</w:t>
      </w:r>
      <w:r w:rsidRPr="004D3312">
        <w:t xml:space="preserve"> parties listed in the draft decision set out in the annex to the present report to provide information to the Secretariat on the establishment and operation of their licensing systems, as a matter of urgency and no later than 31 March </w:t>
      </w:r>
      <w:proofErr w:type="gramStart"/>
      <w:r w:rsidRPr="004D3312">
        <w:t>2026;</w:t>
      </w:r>
      <w:proofErr w:type="gramEnd"/>
    </w:p>
    <w:p w14:paraId="299E0260" w14:textId="6BEA6D44" w:rsidR="004D3312" w:rsidRPr="004D3312" w:rsidRDefault="004D3312" w:rsidP="004D3312">
      <w:pPr>
        <w:pStyle w:val="NormalNonumber"/>
        <w:tabs>
          <w:tab w:val="clear" w:pos="1247"/>
          <w:tab w:val="clear" w:pos="1871"/>
          <w:tab w:val="clear" w:pos="2495"/>
          <w:tab w:val="clear" w:pos="3119"/>
          <w:tab w:val="clear" w:pos="3742"/>
          <w:tab w:val="clear" w:pos="4366"/>
          <w:tab w:val="left" w:pos="709"/>
        </w:tabs>
        <w:ind w:left="709"/>
        <w:rPr>
          <w:rFonts w:eastAsia="Aptos"/>
          <w:kern w:val="2"/>
          <w14:ligatures w14:val="standardContextual"/>
        </w:rPr>
      </w:pPr>
      <w:r>
        <w:t>(</w:t>
      </w:r>
      <w:r w:rsidR="003D473A">
        <w:t>d</w:t>
      </w:r>
      <w:r>
        <w:t>)</w:t>
      </w:r>
      <w:r>
        <w:tab/>
      </w:r>
      <w:r w:rsidRPr="004D3312">
        <w:rPr>
          <w:rFonts w:eastAsia="Aptos"/>
          <w:kern w:val="2"/>
          <w14:ligatures w14:val="standardContextual"/>
        </w:rPr>
        <w:t>To continue reviewing periodically the status of the establishment of such licensing systems by all parties to the Montreal Protocol that have ratified the Kigali Amendment and to consider any appropriate recommendations to the parties in accordance with Article 4B, paragraph 4, of the Protoco</w:t>
      </w:r>
      <w:r>
        <w:rPr>
          <w:rFonts w:eastAsia="Aptos"/>
          <w:kern w:val="2"/>
          <w14:ligatures w14:val="standardContextual"/>
        </w:rPr>
        <w:t>l.</w:t>
      </w:r>
    </w:p>
    <w:p w14:paraId="5DDE593B" w14:textId="77777777" w:rsidR="00577B7C" w:rsidRPr="00577B7C" w:rsidRDefault="00577B7C" w:rsidP="00577B7C">
      <w:pPr>
        <w:pStyle w:val="CH2"/>
        <w:tabs>
          <w:tab w:val="clear" w:pos="1247"/>
          <w:tab w:val="left" w:pos="709"/>
        </w:tabs>
        <w:ind w:left="709" w:firstLine="0"/>
        <w:rPr>
          <w:sz w:val="20"/>
          <w:szCs w:val="20"/>
        </w:rPr>
      </w:pPr>
      <w:r w:rsidRPr="00577B7C">
        <w:rPr>
          <w:sz w:val="20"/>
          <w:szCs w:val="20"/>
        </w:rPr>
        <w:t>Draft decision XXXVI</w:t>
      </w:r>
      <w:r w:rsidRPr="00577B7C">
        <w:rPr>
          <w:rFonts w:eastAsiaTheme="minorEastAsia" w:hint="eastAsia"/>
          <w:sz w:val="20"/>
          <w:szCs w:val="20"/>
        </w:rPr>
        <w:t>I</w:t>
      </w:r>
      <w:proofErr w:type="gramStart"/>
      <w:r w:rsidRPr="00577B7C">
        <w:rPr>
          <w:sz w:val="20"/>
          <w:szCs w:val="20"/>
        </w:rPr>
        <w:t>/[</w:t>
      </w:r>
      <w:proofErr w:type="gramEnd"/>
      <w:r w:rsidRPr="00577B7C">
        <w:rPr>
          <w:sz w:val="20"/>
          <w:szCs w:val="20"/>
        </w:rPr>
        <w:t xml:space="preserve">--]: Status of the establishment of licensing systems under Article 4B, paragraph 2 </w:t>
      </w:r>
      <w:r w:rsidRPr="00577B7C">
        <w:rPr>
          <w:i/>
          <w:iCs/>
          <w:sz w:val="20"/>
          <w:szCs w:val="20"/>
        </w:rPr>
        <w:t>bis</w:t>
      </w:r>
      <w:r w:rsidRPr="00577B7C">
        <w:rPr>
          <w:sz w:val="20"/>
          <w:szCs w:val="20"/>
        </w:rPr>
        <w:t>, of the Montreal Protocol on Substances that Deplete the Ozone Layer</w:t>
      </w:r>
    </w:p>
    <w:p w14:paraId="36121D0D" w14:textId="77777777" w:rsidR="00577B7C" w:rsidRDefault="00577B7C" w:rsidP="00577B7C">
      <w:pPr>
        <w:pStyle w:val="NormalNonumber"/>
        <w:tabs>
          <w:tab w:val="clear" w:pos="1247"/>
          <w:tab w:val="clear" w:pos="1871"/>
          <w:tab w:val="clear" w:pos="2495"/>
          <w:tab w:val="clear" w:pos="3119"/>
          <w:tab w:val="clear" w:pos="3742"/>
          <w:tab w:val="clear" w:pos="4366"/>
        </w:tabs>
        <w:ind w:left="709"/>
        <w:rPr>
          <w:i/>
          <w:iCs/>
        </w:rPr>
      </w:pPr>
      <w:r>
        <w:rPr>
          <w:i/>
          <w:iCs/>
        </w:rPr>
        <w:t>The Thirty-Seventh Meeting of the Parties,</w:t>
      </w:r>
    </w:p>
    <w:p w14:paraId="6FF155C9" w14:textId="4C470B43" w:rsidR="00577B7C" w:rsidRPr="009F7ADA" w:rsidRDefault="00577B7C" w:rsidP="00577B7C">
      <w:pPr>
        <w:pStyle w:val="NormalNonumber"/>
        <w:tabs>
          <w:tab w:val="clear" w:pos="1247"/>
          <w:tab w:val="clear" w:pos="1871"/>
          <w:tab w:val="clear" w:pos="2495"/>
          <w:tab w:val="clear" w:pos="3119"/>
          <w:tab w:val="clear" w:pos="3742"/>
          <w:tab w:val="clear" w:pos="4366"/>
        </w:tabs>
        <w:ind w:left="709"/>
      </w:pPr>
      <w:r>
        <w:rPr>
          <w:i/>
          <w:iCs/>
        </w:rPr>
        <w:tab/>
      </w:r>
      <w:r>
        <w:rPr>
          <w:i/>
          <w:iCs/>
        </w:rPr>
        <w:tab/>
      </w:r>
      <w:r w:rsidRPr="009F7ADA">
        <w:rPr>
          <w:i/>
          <w:iCs/>
        </w:rPr>
        <w:t>Noting</w:t>
      </w:r>
      <w:r w:rsidRPr="009F7ADA">
        <w:t xml:space="preserve"> that Article 4B, paragraph 2 </w:t>
      </w:r>
      <w:r w:rsidRPr="00034F63">
        <w:rPr>
          <w:i/>
          <w:iCs/>
        </w:rPr>
        <w:t>bis</w:t>
      </w:r>
      <w:r w:rsidRPr="009F7ADA">
        <w:t xml:space="preserve">, of the Montreal Protocol on Substances that Deplete the Ozone Layer requires each party to establish and implement a system for licensing the import and export of new, used, recycled and reclaimed controlled substances listed in Annex F to the </w:t>
      </w:r>
      <w:r>
        <w:t xml:space="preserve">Montreal </w:t>
      </w:r>
      <w:r w:rsidRPr="009F7ADA">
        <w:t>Protocol,</w:t>
      </w:r>
    </w:p>
    <w:p w14:paraId="1874E699" w14:textId="640DC795" w:rsidR="00577B7C" w:rsidRPr="009F7ADA" w:rsidRDefault="00577B7C" w:rsidP="00577B7C">
      <w:pPr>
        <w:pStyle w:val="NormalNonumber"/>
        <w:tabs>
          <w:tab w:val="clear" w:pos="1247"/>
          <w:tab w:val="clear" w:pos="1871"/>
          <w:tab w:val="clear" w:pos="2495"/>
          <w:tab w:val="clear" w:pos="3119"/>
          <w:tab w:val="clear" w:pos="3742"/>
          <w:tab w:val="clear" w:pos="4366"/>
        </w:tabs>
        <w:ind w:left="709"/>
      </w:pPr>
      <w:r>
        <w:rPr>
          <w:i/>
          <w:iCs/>
        </w:rPr>
        <w:tab/>
      </w:r>
      <w:r>
        <w:rPr>
          <w:i/>
          <w:iCs/>
        </w:rPr>
        <w:tab/>
      </w:r>
      <w:r w:rsidRPr="009F7ADA">
        <w:rPr>
          <w:i/>
          <w:iCs/>
        </w:rPr>
        <w:t>Noting</w:t>
      </w:r>
      <w:r w:rsidRPr="009F7ADA">
        <w:t xml:space="preserve"> </w:t>
      </w:r>
      <w:r w:rsidRPr="009F7ADA">
        <w:rPr>
          <w:i/>
          <w:iCs/>
        </w:rPr>
        <w:t>with appreciation</w:t>
      </w:r>
      <w:r w:rsidRPr="009F7ADA">
        <w:t xml:space="preserve"> that </w:t>
      </w:r>
      <w:r w:rsidR="00F138AA">
        <w:rPr>
          <w:rFonts w:eastAsiaTheme="minorEastAsia"/>
          <w:lang w:eastAsia="zh-CN"/>
        </w:rPr>
        <w:t>161</w:t>
      </w:r>
      <w:r w:rsidRPr="009F7ADA">
        <w:t xml:space="preserve"> of the 1</w:t>
      </w:r>
      <w:r w:rsidRPr="009F7ADA">
        <w:rPr>
          <w:rFonts w:eastAsiaTheme="minorEastAsia" w:hint="eastAsia"/>
          <w:lang w:eastAsia="zh-CN"/>
        </w:rPr>
        <w:t>6</w:t>
      </w:r>
      <w:r w:rsidR="00F138AA">
        <w:rPr>
          <w:rFonts w:eastAsiaTheme="minorEastAsia"/>
          <w:lang w:eastAsia="zh-CN"/>
        </w:rPr>
        <w:t>9</w:t>
      </w:r>
      <w:r w:rsidRPr="009F7ADA">
        <w:t xml:space="preserve"> parties to the Montreal Protocol that have ratified</w:t>
      </w:r>
      <w:r>
        <w:t>, accepted or approved</w:t>
      </w:r>
      <w:r w:rsidRPr="009F7ADA">
        <w:t xml:space="preserve"> </w:t>
      </w:r>
      <w:r w:rsidRPr="00F42EC2">
        <w:t>the Kigali Amendment have reported the establishment</w:t>
      </w:r>
      <w:r w:rsidRPr="009F7ADA">
        <w:t xml:space="preserve"> </w:t>
      </w:r>
      <w:r>
        <w:t xml:space="preserve">and </w:t>
      </w:r>
      <w:r>
        <w:lastRenderedPageBreak/>
        <w:t xml:space="preserve">operation of </w:t>
      </w:r>
      <w:r w:rsidRPr="009F7ADA">
        <w:t xml:space="preserve">import and export licensing systems for Annex F controlled substances as required, and that </w:t>
      </w:r>
      <w:r w:rsidRPr="009F7ADA">
        <w:rPr>
          <w:rFonts w:eastAsiaTheme="minorEastAsia"/>
          <w:lang w:eastAsia="zh-CN"/>
        </w:rPr>
        <w:t>four</w:t>
      </w:r>
      <w:r w:rsidRPr="009F7ADA">
        <w:t xml:space="preserve"> parties that have not yet ratified</w:t>
      </w:r>
      <w:r>
        <w:t>, accepted or approved</w:t>
      </w:r>
      <w:r w:rsidRPr="009F7ADA">
        <w:t xml:space="preserve"> the Kigali Amendment have also reported the establishment of such licensing systems,</w:t>
      </w:r>
    </w:p>
    <w:p w14:paraId="57BF48AF" w14:textId="3AF66214" w:rsidR="00577B7C" w:rsidRDefault="00577B7C" w:rsidP="00577B7C">
      <w:pPr>
        <w:pStyle w:val="NormalNonumber"/>
        <w:tabs>
          <w:tab w:val="clear" w:pos="1247"/>
          <w:tab w:val="clear" w:pos="1871"/>
          <w:tab w:val="clear" w:pos="2495"/>
          <w:tab w:val="clear" w:pos="3119"/>
          <w:tab w:val="clear" w:pos="3742"/>
          <w:tab w:val="clear" w:pos="4366"/>
        </w:tabs>
        <w:ind w:left="709"/>
        <w:rPr>
          <w:color w:val="000000" w:themeColor="text1"/>
        </w:rPr>
      </w:pPr>
      <w:r>
        <w:rPr>
          <w:i/>
          <w:iCs/>
        </w:rPr>
        <w:tab/>
      </w:r>
      <w:r>
        <w:rPr>
          <w:i/>
          <w:iCs/>
        </w:rPr>
        <w:tab/>
      </w:r>
      <w:r w:rsidRPr="009F7ADA">
        <w:rPr>
          <w:i/>
          <w:iCs/>
        </w:rPr>
        <w:t>Noting</w:t>
      </w:r>
      <w:r w:rsidRPr="009F7ADA">
        <w:t xml:space="preserve">, however, that </w:t>
      </w:r>
      <w:r>
        <w:t>Djibouti, Oman and San Marino</w:t>
      </w:r>
      <w:r w:rsidRPr="00922552">
        <w:rPr>
          <w:color w:val="000000" w:themeColor="text1"/>
        </w:rPr>
        <w:t xml:space="preserve"> </w:t>
      </w:r>
      <w:r w:rsidRPr="00922552">
        <w:t xml:space="preserve">have </w:t>
      </w:r>
      <w:r w:rsidRPr="00922552">
        <w:rPr>
          <w:color w:val="000000" w:themeColor="text1"/>
        </w:rPr>
        <w:t>not yet reported to the Secretariat on the establishment and operation of their</w:t>
      </w:r>
      <w:r w:rsidRPr="009F7ADA">
        <w:rPr>
          <w:color w:val="000000" w:themeColor="text1"/>
        </w:rPr>
        <w:t xml:space="preserve"> licensing systems pursuant to Article 4B, paragraph 3,</w:t>
      </w:r>
    </w:p>
    <w:p w14:paraId="605437E4" w14:textId="77AA163E" w:rsidR="00577B7C" w:rsidRPr="00922552" w:rsidRDefault="00577B7C" w:rsidP="00577B7C">
      <w:pPr>
        <w:pStyle w:val="NormalNonumber"/>
        <w:tabs>
          <w:tab w:val="clear" w:pos="1247"/>
          <w:tab w:val="clear" w:pos="1871"/>
          <w:tab w:val="clear" w:pos="2495"/>
          <w:tab w:val="clear" w:pos="3119"/>
          <w:tab w:val="clear" w:pos="3742"/>
          <w:tab w:val="clear" w:pos="4366"/>
        </w:tabs>
        <w:ind w:left="709"/>
      </w:pPr>
      <w:r>
        <w:rPr>
          <w:i/>
          <w:iCs/>
        </w:rPr>
        <w:tab/>
      </w:r>
      <w:r>
        <w:rPr>
          <w:i/>
          <w:iCs/>
        </w:rPr>
        <w:tab/>
        <w:t>Noting with concern</w:t>
      </w:r>
      <w:r>
        <w:t xml:space="preserve"> that o</w:t>
      </w:r>
      <w:r w:rsidR="00811BD2">
        <w:t>ne</w:t>
      </w:r>
      <w:r>
        <w:t xml:space="preserve"> of the parties listed above, namely San Marino, accepted the Kigali Amendment in 2020 and ha</w:t>
      </w:r>
      <w:r w:rsidR="00811BD2">
        <w:t>s</w:t>
      </w:r>
      <w:r>
        <w:t xml:space="preserve"> not yet reported on the establishment and operation of </w:t>
      </w:r>
      <w:r w:rsidR="00811BD2">
        <w:t>i</w:t>
      </w:r>
      <w:r w:rsidRPr="00922552">
        <w:t>t</w:t>
      </w:r>
      <w:r w:rsidR="00811BD2">
        <w:t>s</w:t>
      </w:r>
      <w:r w:rsidRPr="00922552">
        <w:t xml:space="preserve"> licensing systems pursuant to</w:t>
      </w:r>
      <w:r>
        <w:t xml:space="preserve"> Article 4B, paragraph 3,</w:t>
      </w:r>
    </w:p>
    <w:p w14:paraId="19F10943" w14:textId="25B48E3C" w:rsidR="00577B7C" w:rsidRPr="009F7ADA" w:rsidRDefault="00577B7C" w:rsidP="00577B7C">
      <w:pPr>
        <w:pStyle w:val="NormalNonumber"/>
        <w:tabs>
          <w:tab w:val="clear" w:pos="1247"/>
          <w:tab w:val="clear" w:pos="1871"/>
          <w:tab w:val="clear" w:pos="2495"/>
          <w:tab w:val="clear" w:pos="3119"/>
          <w:tab w:val="clear" w:pos="3742"/>
          <w:tab w:val="clear" w:pos="4366"/>
        </w:tabs>
        <w:ind w:left="709"/>
      </w:pPr>
      <w:r>
        <w:rPr>
          <w:i/>
          <w:iCs/>
        </w:rPr>
        <w:tab/>
      </w:r>
      <w:r>
        <w:rPr>
          <w:i/>
          <w:iCs/>
        </w:rPr>
        <w:tab/>
      </w:r>
      <w:r w:rsidRPr="009F7ADA">
        <w:rPr>
          <w:i/>
          <w:iCs/>
        </w:rPr>
        <w:t>Recognizing</w:t>
      </w:r>
      <w:r w:rsidRPr="009F7ADA">
        <w:t xml:space="preserve"> that licensing systems provide for data collection and verification, the monitoring of imports and exports of controlled substances, and the prevention of illegal trade,</w:t>
      </w:r>
    </w:p>
    <w:p w14:paraId="4EFD043D" w14:textId="08952388" w:rsidR="00577B7C" w:rsidRDefault="00577B7C" w:rsidP="00577B7C">
      <w:pPr>
        <w:pStyle w:val="NormalNonumber"/>
        <w:tabs>
          <w:tab w:val="clear" w:pos="1247"/>
          <w:tab w:val="clear" w:pos="1871"/>
          <w:tab w:val="clear" w:pos="2495"/>
          <w:tab w:val="clear" w:pos="3119"/>
          <w:tab w:val="clear" w:pos="3742"/>
          <w:tab w:val="clear" w:pos="4366"/>
        </w:tabs>
        <w:ind w:left="709"/>
      </w:pPr>
      <w:r>
        <w:rPr>
          <w:i/>
          <w:iCs/>
        </w:rPr>
        <w:tab/>
      </w:r>
      <w:r>
        <w:rPr>
          <w:i/>
          <w:iCs/>
        </w:rPr>
        <w:tab/>
      </w:r>
      <w:r w:rsidRPr="009F7ADA">
        <w:rPr>
          <w:i/>
          <w:iCs/>
        </w:rPr>
        <w:t>Recognizing also</w:t>
      </w:r>
      <w:r w:rsidRPr="009F7ADA">
        <w:t xml:space="preserve"> that the successful phase-out of most controlled substances by parties is largely attributable to the establishment and implementation of licensing systems to control the import and export of ozone-depleting substances,</w:t>
      </w:r>
    </w:p>
    <w:p w14:paraId="5B987B24" w14:textId="77777777" w:rsidR="00577B7C" w:rsidRPr="009F7ADA" w:rsidRDefault="00577B7C" w:rsidP="00577B7C">
      <w:pPr>
        <w:pStyle w:val="NormalNonumber"/>
        <w:tabs>
          <w:tab w:val="clear" w:pos="1247"/>
          <w:tab w:val="clear" w:pos="1871"/>
          <w:tab w:val="clear" w:pos="2495"/>
          <w:tab w:val="clear" w:pos="3119"/>
          <w:tab w:val="clear" w:pos="3742"/>
          <w:tab w:val="clear" w:pos="4366"/>
        </w:tabs>
        <w:ind w:left="709"/>
      </w:pPr>
      <w:r>
        <w:rPr>
          <w:i/>
          <w:iCs/>
        </w:rPr>
        <w:t>Decides:</w:t>
      </w:r>
    </w:p>
    <w:p w14:paraId="03B8EBE6" w14:textId="77777777" w:rsidR="00577B7C" w:rsidRPr="009F7ADA" w:rsidRDefault="00577B7C" w:rsidP="00577B7C">
      <w:pPr>
        <w:pStyle w:val="NormalNonumber"/>
        <w:numPr>
          <w:ilvl w:val="6"/>
          <w:numId w:val="28"/>
        </w:numPr>
        <w:tabs>
          <w:tab w:val="clear" w:pos="1247"/>
          <w:tab w:val="clear" w:pos="1871"/>
          <w:tab w:val="clear" w:pos="2495"/>
          <w:tab w:val="clear" w:pos="3119"/>
          <w:tab w:val="clear" w:pos="3742"/>
          <w:tab w:val="clear" w:pos="4366"/>
        </w:tabs>
        <w:ind w:left="709" w:firstLine="0"/>
      </w:pPr>
      <w:r w:rsidRPr="009F7ADA">
        <w:t>To take note with appreciation of the efforts made by the parties in the establishment and operation of licensing systems for Annex F controlled substances under Article 4B, paragraph 2 </w:t>
      </w:r>
      <w:r w:rsidRPr="00034F63">
        <w:rPr>
          <w:i/>
          <w:iCs/>
        </w:rPr>
        <w:t>bis</w:t>
      </w:r>
      <w:r w:rsidRPr="009F7ADA">
        <w:t>, of the Montreal Protocol</w:t>
      </w:r>
      <w:r>
        <w:t xml:space="preserve"> on Substances that Deplete the Ozone </w:t>
      </w:r>
      <w:proofErr w:type="gramStart"/>
      <w:r>
        <w:t>Layer</w:t>
      </w:r>
      <w:r w:rsidRPr="009F7ADA">
        <w:t>;</w:t>
      </w:r>
      <w:proofErr w:type="gramEnd"/>
    </w:p>
    <w:p w14:paraId="683E8588" w14:textId="3332B737" w:rsidR="00577B7C" w:rsidRPr="00F42EC2" w:rsidRDefault="00577B7C" w:rsidP="00577B7C">
      <w:pPr>
        <w:pStyle w:val="NormalNonumber"/>
        <w:numPr>
          <w:ilvl w:val="6"/>
          <w:numId w:val="28"/>
        </w:numPr>
        <w:tabs>
          <w:tab w:val="clear" w:pos="1247"/>
          <w:tab w:val="clear" w:pos="1871"/>
          <w:tab w:val="clear" w:pos="2495"/>
          <w:tab w:val="clear" w:pos="3119"/>
          <w:tab w:val="clear" w:pos="3742"/>
          <w:tab w:val="clear" w:pos="4366"/>
        </w:tabs>
        <w:ind w:left="709" w:firstLine="0"/>
        <w:rPr>
          <w:rFonts w:eastAsiaTheme="minorEastAsia"/>
          <w:lang w:eastAsia="zh-CN"/>
        </w:rPr>
      </w:pPr>
      <w:r w:rsidRPr="00F42EC2">
        <w:t>To urge Djibouti</w:t>
      </w:r>
      <w:r w:rsidRPr="00424D77">
        <w:t xml:space="preserve">, Oman </w:t>
      </w:r>
      <w:r>
        <w:t xml:space="preserve">and </w:t>
      </w:r>
      <w:r w:rsidRPr="00424D77">
        <w:t>San Marino</w:t>
      </w:r>
      <w:r w:rsidRPr="009F7ADA">
        <w:t xml:space="preserve"> to provide information to the </w:t>
      </w:r>
      <w:r>
        <w:t xml:space="preserve">Ozone </w:t>
      </w:r>
      <w:r w:rsidRPr="009F7ADA">
        <w:t xml:space="preserve">Secretariat on the establishment </w:t>
      </w:r>
      <w:r>
        <w:t xml:space="preserve">and operation </w:t>
      </w:r>
      <w:r w:rsidRPr="009F7ADA">
        <w:t xml:space="preserve">of </w:t>
      </w:r>
      <w:r>
        <w:t xml:space="preserve">their </w:t>
      </w:r>
      <w:r w:rsidRPr="009F7ADA">
        <w:t xml:space="preserve">licensing systems as a matter of urgency, and no later </w:t>
      </w:r>
      <w:r w:rsidRPr="001275C0">
        <w:t>than 31</w:t>
      </w:r>
      <w:r>
        <w:t> </w:t>
      </w:r>
      <w:r w:rsidRPr="001275C0">
        <w:t>March 2026, for</w:t>
      </w:r>
      <w:r w:rsidRPr="009F7ADA">
        <w:t xml:space="preserve"> consideration by the Implementation Committee under the Non</w:t>
      </w:r>
      <w:r w:rsidRPr="009F7ADA">
        <w:noBreakHyphen/>
        <w:t>Compliance Procedure for the Montreal Protocol at its seventy-</w:t>
      </w:r>
      <w:r>
        <w:t>sixth</w:t>
      </w:r>
      <w:r w:rsidRPr="009F7ADA">
        <w:t xml:space="preserve"> </w:t>
      </w:r>
      <w:proofErr w:type="gramStart"/>
      <w:r w:rsidRPr="009F7ADA">
        <w:t>meeting;</w:t>
      </w:r>
      <w:proofErr w:type="gramEnd"/>
    </w:p>
    <w:p w14:paraId="4E8A6013" w14:textId="65EAD1B7" w:rsidR="00F42EC2" w:rsidRPr="009F7ADA" w:rsidRDefault="00F42EC2" w:rsidP="00577B7C">
      <w:pPr>
        <w:pStyle w:val="NormalNonumber"/>
        <w:numPr>
          <w:ilvl w:val="6"/>
          <w:numId w:val="28"/>
        </w:numPr>
        <w:tabs>
          <w:tab w:val="clear" w:pos="1247"/>
          <w:tab w:val="clear" w:pos="1871"/>
          <w:tab w:val="clear" w:pos="2495"/>
          <w:tab w:val="clear" w:pos="3119"/>
          <w:tab w:val="clear" w:pos="3742"/>
          <w:tab w:val="clear" w:pos="4366"/>
        </w:tabs>
        <w:ind w:left="709" w:firstLine="0"/>
        <w:rPr>
          <w:rFonts w:eastAsiaTheme="minorEastAsia"/>
          <w:lang w:eastAsia="zh-CN"/>
        </w:rPr>
      </w:pPr>
      <w:r w:rsidRPr="00F42EC2">
        <w:rPr>
          <w:rFonts w:eastAsiaTheme="minorEastAsia"/>
          <w:lang w:val="en-GB" w:eastAsia="zh-CN"/>
        </w:rPr>
        <w:t xml:space="preserve">To invite </w:t>
      </w:r>
      <w:r>
        <w:rPr>
          <w:rFonts w:eastAsiaTheme="minorEastAsia"/>
          <w:lang w:val="en-GB" w:eastAsia="zh-CN"/>
        </w:rPr>
        <w:t xml:space="preserve">San Marino </w:t>
      </w:r>
      <w:r w:rsidRPr="00F42EC2">
        <w:rPr>
          <w:rFonts w:eastAsiaTheme="minorEastAsia"/>
          <w:lang w:val="en-GB" w:eastAsia="zh-CN"/>
        </w:rPr>
        <w:t xml:space="preserve">to send </w:t>
      </w:r>
      <w:r w:rsidR="0060019E">
        <w:rPr>
          <w:rFonts w:eastAsiaTheme="minorEastAsia"/>
          <w:lang w:val="en-GB" w:eastAsia="zh-CN"/>
        </w:rPr>
        <w:t xml:space="preserve">a </w:t>
      </w:r>
      <w:r w:rsidRPr="00F42EC2">
        <w:rPr>
          <w:rFonts w:eastAsiaTheme="minorEastAsia"/>
          <w:lang w:val="en-GB" w:eastAsia="zh-CN"/>
        </w:rPr>
        <w:t>representative to the Committee’s seventy-</w:t>
      </w:r>
      <w:r>
        <w:rPr>
          <w:rFonts w:eastAsiaTheme="minorEastAsia"/>
          <w:lang w:val="en-GB" w:eastAsia="zh-CN"/>
        </w:rPr>
        <w:t>sixth</w:t>
      </w:r>
      <w:r w:rsidRPr="00F42EC2">
        <w:rPr>
          <w:rFonts w:eastAsiaTheme="minorEastAsia"/>
          <w:lang w:val="en-GB" w:eastAsia="zh-CN"/>
        </w:rPr>
        <w:t xml:space="preserve"> meeting unless </w:t>
      </w:r>
      <w:r w:rsidR="0060019E">
        <w:rPr>
          <w:rFonts w:eastAsiaTheme="minorEastAsia"/>
          <w:lang w:val="en-GB" w:eastAsia="zh-CN"/>
        </w:rPr>
        <w:t>the party reports</w:t>
      </w:r>
      <w:r w:rsidRPr="00F42EC2">
        <w:rPr>
          <w:rFonts w:eastAsiaTheme="minorEastAsia"/>
          <w:lang w:val="en-GB" w:eastAsia="zh-CN"/>
        </w:rPr>
        <w:t xml:space="preserve">, prior to the meeting, </w:t>
      </w:r>
      <w:r>
        <w:rPr>
          <w:rFonts w:eastAsiaTheme="minorEastAsia"/>
          <w:lang w:val="en-GB" w:eastAsia="zh-CN"/>
        </w:rPr>
        <w:t xml:space="preserve">on the establishment and operation of </w:t>
      </w:r>
      <w:r w:rsidR="0060019E">
        <w:rPr>
          <w:rFonts w:eastAsiaTheme="minorEastAsia"/>
          <w:lang w:val="en-GB" w:eastAsia="zh-CN"/>
        </w:rPr>
        <w:t>its</w:t>
      </w:r>
      <w:r>
        <w:rPr>
          <w:rFonts w:eastAsiaTheme="minorEastAsia"/>
          <w:lang w:val="en-GB" w:eastAsia="zh-CN"/>
        </w:rPr>
        <w:t xml:space="preserve"> licensing system pursuant to A</w:t>
      </w:r>
      <w:r w:rsidRPr="00F42EC2">
        <w:rPr>
          <w:rFonts w:eastAsiaTheme="minorEastAsia"/>
          <w:lang w:val="en-GB" w:eastAsia="zh-CN"/>
        </w:rPr>
        <w:t xml:space="preserve">rticle 4B, paragraph 2 </w:t>
      </w:r>
      <w:r w:rsidRPr="00F42EC2">
        <w:rPr>
          <w:rFonts w:eastAsiaTheme="minorEastAsia"/>
          <w:i/>
          <w:iCs/>
          <w:lang w:val="en-GB" w:eastAsia="zh-CN"/>
        </w:rPr>
        <w:t>bis</w:t>
      </w:r>
      <w:r w:rsidR="00050819">
        <w:rPr>
          <w:rFonts w:eastAsiaTheme="minorEastAsia"/>
          <w:lang w:val="en-GB" w:eastAsia="zh-CN"/>
        </w:rPr>
        <w:t xml:space="preserve"> of the Montreal </w:t>
      </w:r>
      <w:proofErr w:type="gramStart"/>
      <w:r w:rsidR="00050819">
        <w:rPr>
          <w:rFonts w:eastAsiaTheme="minorEastAsia"/>
          <w:lang w:val="en-GB" w:eastAsia="zh-CN"/>
        </w:rPr>
        <w:t>Protocol</w:t>
      </w:r>
      <w:r w:rsidRPr="00F42EC2">
        <w:rPr>
          <w:rFonts w:eastAsiaTheme="minorEastAsia"/>
          <w:lang w:val="en-GB" w:eastAsia="zh-CN"/>
        </w:rPr>
        <w:t>;</w:t>
      </w:r>
      <w:proofErr w:type="gramEnd"/>
    </w:p>
    <w:p w14:paraId="4195AE56" w14:textId="77777777" w:rsidR="00577B7C" w:rsidRDefault="00577B7C" w:rsidP="00577B7C">
      <w:pPr>
        <w:pStyle w:val="NormalNonumber"/>
        <w:numPr>
          <w:ilvl w:val="6"/>
          <w:numId w:val="28"/>
        </w:numPr>
        <w:tabs>
          <w:tab w:val="clear" w:pos="1247"/>
          <w:tab w:val="clear" w:pos="1871"/>
          <w:tab w:val="clear" w:pos="2495"/>
          <w:tab w:val="clear" w:pos="3119"/>
          <w:tab w:val="clear" w:pos="3742"/>
          <w:tab w:val="clear" w:pos="4366"/>
        </w:tabs>
        <w:ind w:left="709" w:firstLine="0"/>
      </w:pPr>
      <w:r w:rsidRPr="009F7ADA">
        <w:t xml:space="preserve">To urge all parties to </w:t>
      </w:r>
      <w:r>
        <w:t xml:space="preserve">the </w:t>
      </w:r>
      <w:r w:rsidRPr="009F7ADA">
        <w:t>Montreal Protocol that ratif</w:t>
      </w:r>
      <w:r>
        <w:t>y, accept or approve</w:t>
      </w:r>
      <w:r w:rsidRPr="009F7ADA">
        <w:t xml:space="preserve"> the Kigali Amendment </w:t>
      </w:r>
      <w:r>
        <w:t xml:space="preserve">to </w:t>
      </w:r>
      <w:r w:rsidRPr="009F7ADA">
        <w:t>establish and implement</w:t>
      </w:r>
      <w:r>
        <w:t xml:space="preserve"> their</w:t>
      </w:r>
      <w:r w:rsidRPr="009F7ADA">
        <w:t xml:space="preserve"> import and export licensing systems for controlled substances under Annex F to the Protocol </w:t>
      </w:r>
      <w:r w:rsidRPr="0021788C">
        <w:t xml:space="preserve">within three months of the date of entry into force </w:t>
      </w:r>
      <w:r>
        <w:t xml:space="preserve">of the Kigali Amendment for each party </w:t>
      </w:r>
      <w:r w:rsidRPr="009F7ADA">
        <w:t xml:space="preserve">and to report </w:t>
      </w:r>
      <w:r>
        <w:t>on the establishment and operation of such licensing systems t</w:t>
      </w:r>
      <w:r w:rsidRPr="009F7ADA">
        <w:t xml:space="preserve">o the </w:t>
      </w:r>
      <w:r>
        <w:t xml:space="preserve">Ozone </w:t>
      </w:r>
      <w:r w:rsidRPr="009F7ADA">
        <w:t>Secretariat within three months of doing so;</w:t>
      </w:r>
    </w:p>
    <w:p w14:paraId="264E03B8" w14:textId="77777777" w:rsidR="00577B7C" w:rsidRPr="009F7ADA" w:rsidRDefault="00577B7C" w:rsidP="00577B7C">
      <w:pPr>
        <w:pStyle w:val="NormalNonumber"/>
        <w:numPr>
          <w:ilvl w:val="6"/>
          <w:numId w:val="28"/>
        </w:numPr>
        <w:tabs>
          <w:tab w:val="clear" w:pos="1247"/>
          <w:tab w:val="clear" w:pos="1871"/>
          <w:tab w:val="clear" w:pos="2495"/>
          <w:tab w:val="clear" w:pos="3119"/>
          <w:tab w:val="clear" w:pos="3742"/>
          <w:tab w:val="clear" w:pos="4366"/>
        </w:tabs>
        <w:ind w:left="709" w:firstLine="0"/>
      </w:pPr>
      <w:r w:rsidRPr="005D4EB8">
        <w:t>To request the Ozone Secretariat to periodically prepare and circulate to all parties a list of the parties that have reported to it on their licensing systems and to forward th</w:t>
      </w:r>
      <w:r>
        <w:t>at</w:t>
      </w:r>
      <w:r w:rsidRPr="005D4EB8">
        <w:t xml:space="preserve"> information to the Implementation Committee for its consideration and </w:t>
      </w:r>
      <w:r>
        <w:t xml:space="preserve">to enable it to make </w:t>
      </w:r>
      <w:r w:rsidRPr="005D4EB8">
        <w:t xml:space="preserve">appropriate recommendations to the parties, as called for in Article 4B, paragraph 4, </w:t>
      </w:r>
      <w:r>
        <w:t>of the Protocol</w:t>
      </w:r>
      <w:r w:rsidRPr="005D4EB8">
        <w:t>.</w:t>
      </w:r>
    </w:p>
    <w:p w14:paraId="49E920D2" w14:textId="77777777" w:rsidR="004D3312" w:rsidRDefault="004D3312" w:rsidP="004D3312">
      <w:pPr>
        <w:pStyle w:val="NormalNonumber"/>
        <w:tabs>
          <w:tab w:val="clear" w:pos="624"/>
          <w:tab w:val="clear" w:pos="1247"/>
          <w:tab w:val="clear" w:pos="1871"/>
          <w:tab w:val="left" w:pos="709"/>
        </w:tabs>
        <w:spacing w:before="360"/>
        <w:ind w:left="720"/>
        <w:rPr>
          <w:rFonts w:asciiTheme="majorBidi" w:eastAsiaTheme="minorEastAsia" w:hAnsiTheme="majorBidi" w:cstheme="majorBidi"/>
          <w:b/>
          <w:kern w:val="2"/>
          <w:sz w:val="24"/>
          <w:szCs w:val="24"/>
          <w14:ligatures w14:val="standardContextual"/>
        </w:rPr>
      </w:pPr>
    </w:p>
    <w:p w14:paraId="27F9323B" w14:textId="77777777" w:rsidR="00646DBB" w:rsidRPr="00646DBB" w:rsidRDefault="00646DBB" w:rsidP="00646DBB">
      <w:pPr>
        <w:pStyle w:val="ListParagraph"/>
        <w:keepNext/>
        <w:keepLines/>
        <w:tabs>
          <w:tab w:val="clear" w:pos="1247"/>
          <w:tab w:val="clear" w:pos="1814"/>
          <w:tab w:val="left" w:pos="624"/>
          <w:tab w:val="left" w:pos="709"/>
          <w:tab w:val="left" w:pos="2495"/>
          <w:tab w:val="left" w:pos="3119"/>
          <w:tab w:val="left" w:pos="3742"/>
          <w:tab w:val="left" w:pos="4366"/>
        </w:tabs>
        <w:adjustRightInd w:val="0"/>
        <w:snapToGrid w:val="0"/>
        <w:spacing w:after="120"/>
      </w:pPr>
    </w:p>
    <w:p w14:paraId="6F831EEF" w14:textId="77777777" w:rsidR="00646DBB" w:rsidRPr="00442D4A" w:rsidRDefault="00646DBB" w:rsidP="00442D4A">
      <w:pPr>
        <w:tabs>
          <w:tab w:val="clear" w:pos="1247"/>
          <w:tab w:val="clear" w:pos="1814"/>
          <w:tab w:val="left" w:pos="624"/>
          <w:tab w:val="left" w:pos="709"/>
          <w:tab w:val="left" w:pos="1418"/>
          <w:tab w:val="left" w:pos="2268"/>
          <w:tab w:val="left" w:pos="2495"/>
          <w:tab w:val="left" w:pos="3119"/>
          <w:tab w:val="left" w:pos="3742"/>
          <w:tab w:val="left" w:pos="4366"/>
        </w:tabs>
        <w:adjustRightInd w:val="0"/>
        <w:snapToGrid w:val="0"/>
        <w:spacing w:after="120"/>
        <w:ind w:left="709"/>
      </w:pPr>
    </w:p>
    <w:p w14:paraId="14E95E8D" w14:textId="77777777" w:rsidR="00084F7A" w:rsidRPr="00830F35" w:rsidRDefault="00084F7A" w:rsidP="0012423C">
      <w:pPr>
        <w:pStyle w:val="NormalNonumber"/>
        <w:keepNext/>
        <w:keepLines/>
        <w:tabs>
          <w:tab w:val="clear" w:pos="624"/>
          <w:tab w:val="clear" w:pos="1247"/>
          <w:tab w:val="clear" w:pos="1871"/>
          <w:tab w:val="clear" w:pos="2495"/>
          <w:tab w:val="clear" w:pos="3119"/>
          <w:tab w:val="clear" w:pos="3742"/>
          <w:tab w:val="clear" w:pos="4366"/>
          <w:tab w:val="left" w:pos="3515"/>
        </w:tabs>
        <w:spacing w:before="120" w:after="240"/>
        <w:ind w:left="709" w:right="567"/>
        <w:rPr>
          <w:rFonts w:asciiTheme="majorBidi" w:hAnsiTheme="majorBidi" w:cstheme="majorBidi"/>
          <w:sz w:val="2"/>
          <w:szCs w:val="2"/>
          <w:lang w:val="en-GB"/>
        </w:rPr>
      </w:pPr>
    </w:p>
    <w:p w14:paraId="65C954C4" w14:textId="77777777" w:rsidR="001E17A1" w:rsidRPr="00830F35" w:rsidRDefault="001E17A1">
      <w:pPr>
        <w:rPr>
          <w:rFonts w:asciiTheme="majorBidi" w:hAnsiTheme="majorBidi" w:cstheme="majorBidi"/>
        </w:rPr>
      </w:pPr>
    </w:p>
    <w:sectPr w:rsidR="001E17A1" w:rsidRPr="00830F35" w:rsidSect="00B15D3A">
      <w:headerReference w:type="even" r:id="rId11"/>
      <w:headerReference w:type="default" r:id="rId12"/>
      <w:footerReference w:type="even" r:id="rId13"/>
      <w:footerReference w:type="default" r:id="rId14"/>
      <w:pgSz w:w="11907" w:h="16839"/>
      <w:pgMar w:top="907" w:right="1984" w:bottom="1418" w:left="1418" w:header="539"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15888" w14:textId="77777777" w:rsidR="00D814A0" w:rsidRDefault="00D814A0" w:rsidP="00F30BED">
      <w:r>
        <w:separator/>
      </w:r>
    </w:p>
  </w:endnote>
  <w:endnote w:type="continuationSeparator" w:id="0">
    <w:p w14:paraId="4C57D2ED" w14:textId="77777777" w:rsidR="00D814A0" w:rsidRDefault="00D814A0" w:rsidP="00F30BED">
      <w:r>
        <w:continuationSeparator/>
      </w:r>
    </w:p>
  </w:endnote>
  <w:endnote w:type="continuationNotice" w:id="1">
    <w:p w14:paraId="1FA54751" w14:textId="77777777" w:rsidR="00D814A0" w:rsidRDefault="00D814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FBE62" w14:textId="77777777" w:rsidR="00EE6818" w:rsidRDefault="00EE6818">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0670D" w14:textId="77777777" w:rsidR="00EE6818" w:rsidRDefault="00EE6818" w:rsidP="005E3697">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C1708" w14:textId="77777777" w:rsidR="00D814A0" w:rsidRDefault="00D814A0" w:rsidP="00F30BED">
      <w:r>
        <w:separator/>
      </w:r>
    </w:p>
  </w:footnote>
  <w:footnote w:type="continuationSeparator" w:id="0">
    <w:p w14:paraId="57609BDB" w14:textId="77777777" w:rsidR="00D814A0" w:rsidRDefault="00D814A0" w:rsidP="00F30BED">
      <w:r>
        <w:continuationSeparator/>
      </w:r>
    </w:p>
  </w:footnote>
  <w:footnote w:type="continuationNotice" w:id="1">
    <w:p w14:paraId="55BF7CD2" w14:textId="77777777" w:rsidR="00D814A0" w:rsidRDefault="00D814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314E0" w14:textId="77777777" w:rsidR="00EE6818" w:rsidRPr="00FC08D9" w:rsidRDefault="00EE6818" w:rsidP="00FC08D9">
    <w:pPr>
      <w:pStyle w:val="Normal-pool0"/>
      <w:pBdr>
        <w:bottom w:val="single" w:sz="4" w:space="1" w:color="auto"/>
      </w:pBdr>
      <w:rPr>
        <w:b/>
        <w:sz w:val="18"/>
        <w:szCs w:val="18"/>
      </w:rPr>
    </w:pPr>
    <w:r w:rsidRPr="0089181C">
      <w:rPr>
        <w:b/>
        <w:sz w:val="18"/>
        <w:szCs w:val="18"/>
      </w:rPr>
      <w:t>UNEP/OzL.Pro.3</w:t>
    </w:r>
    <w:r>
      <w:rPr>
        <w:b/>
        <w:sz w:val="18"/>
        <w:szCs w:val="18"/>
      </w:rPr>
      <w:t>6</w:t>
    </w:r>
    <w:r w:rsidRPr="0089181C">
      <w:rPr>
        <w:b/>
        <w:sz w:val="18"/>
        <w:szCs w:val="18"/>
      </w:rPr>
      <w:t>/CRP.1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50C4D" w14:textId="753FA973" w:rsidR="00EE6818" w:rsidRPr="00FC08D9" w:rsidRDefault="00EE6818" w:rsidP="00FC08D9">
    <w:pPr>
      <w:pStyle w:val="Normal-pool0"/>
      <w:pBdr>
        <w:bottom w:val="single" w:sz="4" w:space="1" w:color="auto"/>
      </w:pBdr>
      <w:jc w:val="right"/>
      <w:rPr>
        <w:b/>
        <w:sz w:val="18"/>
        <w:szCs w:val="18"/>
      </w:rPr>
    </w:pPr>
    <w:r>
      <w:rPr>
        <w:b/>
        <w:noProof/>
        <w:sz w:val="18"/>
        <w:szCs w:val="18"/>
      </w:rPr>
      <mc:AlternateContent>
        <mc:Choice Requires="wps">
          <w:drawing>
            <wp:anchor distT="0" distB="0" distL="114300" distR="114300" simplePos="0" relativeHeight="251658240" behindDoc="1" locked="0" layoutInCell="0" allowOverlap="1" wp14:anchorId="1D4D5335" wp14:editId="3A7DD3AC">
              <wp:simplePos x="0" y="0"/>
              <wp:positionH relativeFrom="margin">
                <wp:align>center</wp:align>
              </wp:positionH>
              <wp:positionV relativeFrom="margin">
                <wp:align>center</wp:align>
              </wp:positionV>
              <wp:extent cx="6612890" cy="1889125"/>
              <wp:effectExtent l="0" t="1828800" r="0" b="1768475"/>
              <wp:wrapNone/>
              <wp:docPr id="205155587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12890" cy="18891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DCFFDE" w14:textId="77777777" w:rsidR="00EE6818" w:rsidRDefault="00EE6818" w:rsidP="00471958">
                          <w:pPr>
                            <w:jc w:val="center"/>
                            <w:rPr>
                              <w:color w:val="C0C0C0"/>
                              <w:sz w:val="2"/>
                              <w:szCs w:val="2"/>
                            </w:rPr>
                          </w:pPr>
                          <w:r>
                            <w:rPr>
                              <w:color w:val="C0C0C0"/>
                              <w:sz w:val="2"/>
                              <w:szCs w:val="2"/>
                            </w:rPr>
                            <w:t>ADVANCE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D4D5335" id="_x0000_t202" coordsize="21600,21600" o:spt="202" path="m,l,21600r21600,l21600,xe">
              <v:stroke joinstyle="miter"/>
              <v:path gradientshapeok="t" o:connecttype="rect"/>
            </v:shapetype>
            <v:shape id="Text Box 1" o:spid="_x0000_s1026" type="#_x0000_t202" style="position:absolute;left:0;text-align:left;margin-left:0;margin-top:0;width:520.7pt;height:148.7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" o:allowincell="f" filled="f" stroked="f">
              <v:stroke joinstyle="round"/>
              <o:lock v:ext="edit" shapetype="t"/>
              <v:textbox style="mso-fit-shape-to-text:t">
                <w:txbxContent>
                  <w:p w14:paraId="57DCFFDE" w14:textId="77777777" w:rsidR="00EE6818" w:rsidRDefault="00EE6818" w:rsidP="00471958">
                    <w:pPr>
                      <w:jc w:val="center"/>
                      <w:rPr>
                        <w:color w:val="C0C0C0"/>
                        <w:sz w:val="2"/>
                        <w:szCs w:val="2"/>
                      </w:rPr>
                    </w:pPr>
                    <w:r>
                      <w:rPr>
                        <w:color w:val="C0C0C0"/>
                        <w:sz w:val="2"/>
                        <w:szCs w:val="2"/>
                      </w:rPr>
                      <w:t>ADVANCE</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5156"/>
    <w:multiLevelType w:val="multilevel"/>
    <w:tmpl w:val="FE6AAEB4"/>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 w15:restartNumberingAfterBreak="0">
    <w:nsid w:val="0DDA151D"/>
    <w:multiLevelType w:val="hybridMultilevel"/>
    <w:tmpl w:val="F16085E8"/>
    <w:lvl w:ilvl="0" w:tplc="809ED36C">
      <w:start w:val="1"/>
      <w:numFmt w:val="lowerLetter"/>
      <w:lvlText w:val="(%1)"/>
      <w:lvlJc w:val="left"/>
      <w:pPr>
        <w:ind w:left="2340" w:hanging="360"/>
      </w:pPr>
      <w:rPr>
        <w:rFonts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2" w15:restartNumberingAfterBreak="0">
    <w:nsid w:val="176D5900"/>
    <w:multiLevelType w:val="hybridMultilevel"/>
    <w:tmpl w:val="32D20C2E"/>
    <w:lvl w:ilvl="0" w:tplc="2000000F">
      <w:start w:val="1"/>
      <w:numFmt w:val="decimal"/>
      <w:lvlText w:val="%1."/>
      <w:lvlJc w:val="left"/>
      <w:pPr>
        <w:ind w:left="2064" w:hanging="360"/>
      </w:pPr>
    </w:lvl>
    <w:lvl w:ilvl="1" w:tplc="20000019" w:tentative="1">
      <w:start w:val="1"/>
      <w:numFmt w:val="lowerLetter"/>
      <w:lvlText w:val="%2."/>
      <w:lvlJc w:val="left"/>
      <w:pPr>
        <w:ind w:left="2784" w:hanging="360"/>
      </w:pPr>
    </w:lvl>
    <w:lvl w:ilvl="2" w:tplc="2000001B" w:tentative="1">
      <w:start w:val="1"/>
      <w:numFmt w:val="lowerRoman"/>
      <w:lvlText w:val="%3."/>
      <w:lvlJc w:val="right"/>
      <w:pPr>
        <w:ind w:left="3504" w:hanging="180"/>
      </w:pPr>
    </w:lvl>
    <w:lvl w:ilvl="3" w:tplc="2000000F" w:tentative="1">
      <w:start w:val="1"/>
      <w:numFmt w:val="decimal"/>
      <w:lvlText w:val="%4."/>
      <w:lvlJc w:val="left"/>
      <w:pPr>
        <w:ind w:left="4224" w:hanging="360"/>
      </w:pPr>
    </w:lvl>
    <w:lvl w:ilvl="4" w:tplc="20000019" w:tentative="1">
      <w:start w:val="1"/>
      <w:numFmt w:val="lowerLetter"/>
      <w:lvlText w:val="%5."/>
      <w:lvlJc w:val="left"/>
      <w:pPr>
        <w:ind w:left="4944" w:hanging="360"/>
      </w:pPr>
    </w:lvl>
    <w:lvl w:ilvl="5" w:tplc="2000001B" w:tentative="1">
      <w:start w:val="1"/>
      <w:numFmt w:val="lowerRoman"/>
      <w:lvlText w:val="%6."/>
      <w:lvlJc w:val="right"/>
      <w:pPr>
        <w:ind w:left="5664" w:hanging="180"/>
      </w:pPr>
    </w:lvl>
    <w:lvl w:ilvl="6" w:tplc="2000000F" w:tentative="1">
      <w:start w:val="1"/>
      <w:numFmt w:val="decimal"/>
      <w:lvlText w:val="%7."/>
      <w:lvlJc w:val="left"/>
      <w:pPr>
        <w:ind w:left="6384" w:hanging="360"/>
      </w:pPr>
    </w:lvl>
    <w:lvl w:ilvl="7" w:tplc="20000019" w:tentative="1">
      <w:start w:val="1"/>
      <w:numFmt w:val="lowerLetter"/>
      <w:lvlText w:val="%8."/>
      <w:lvlJc w:val="left"/>
      <w:pPr>
        <w:ind w:left="7104" w:hanging="360"/>
      </w:pPr>
    </w:lvl>
    <w:lvl w:ilvl="8" w:tplc="2000001B" w:tentative="1">
      <w:start w:val="1"/>
      <w:numFmt w:val="lowerRoman"/>
      <w:lvlText w:val="%9."/>
      <w:lvlJc w:val="right"/>
      <w:pPr>
        <w:ind w:left="7824" w:hanging="180"/>
      </w:pPr>
    </w:lvl>
  </w:abstractNum>
  <w:abstractNum w:abstractNumId="3" w15:restartNumberingAfterBreak="0">
    <w:nsid w:val="1B571867"/>
    <w:multiLevelType w:val="singleLevel"/>
    <w:tmpl w:val="757A4C46"/>
    <w:lvl w:ilvl="0">
      <w:start w:val="1"/>
      <w:numFmt w:val="upperRoman"/>
      <w:lvlText w:val="%1."/>
      <w:lvlJc w:val="left"/>
      <w:pPr>
        <w:tabs>
          <w:tab w:val="num" w:pos="720"/>
        </w:tabs>
        <w:ind w:left="720" w:hanging="720"/>
      </w:pPr>
      <w:rPr>
        <w:rFonts w:hint="default"/>
      </w:rPr>
    </w:lvl>
  </w:abstractNum>
  <w:abstractNum w:abstractNumId="4" w15:restartNumberingAfterBreak="0">
    <w:nsid w:val="21875F98"/>
    <w:multiLevelType w:val="multilevel"/>
    <w:tmpl w:val="FE6AAEB4"/>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 w15:restartNumberingAfterBreak="0">
    <w:nsid w:val="220D0EB9"/>
    <w:multiLevelType w:val="hybridMultilevel"/>
    <w:tmpl w:val="0F9C30D6"/>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 w15:restartNumberingAfterBreak="0">
    <w:nsid w:val="283F4016"/>
    <w:multiLevelType w:val="hybridMultilevel"/>
    <w:tmpl w:val="7ADE2F0C"/>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 w15:restartNumberingAfterBreak="0">
    <w:nsid w:val="29740F9D"/>
    <w:multiLevelType w:val="hybridMultilevel"/>
    <w:tmpl w:val="1B3E96F2"/>
    <w:lvl w:ilvl="0" w:tplc="0809000F">
      <w:start w:val="1"/>
      <w:numFmt w:val="decimal"/>
      <w:lvlText w:val="%1."/>
      <w:lvlJc w:val="left"/>
      <w:pPr>
        <w:ind w:left="2591" w:hanging="360"/>
      </w:pPr>
    </w:lvl>
    <w:lvl w:ilvl="1" w:tplc="2E6C73C2">
      <w:start w:val="1"/>
      <w:numFmt w:val="bullet"/>
      <w:lvlText w:val=""/>
      <w:lvlJc w:val="left"/>
      <w:pPr>
        <w:ind w:left="3311" w:hanging="360"/>
      </w:pPr>
      <w:rPr>
        <w:rFonts w:ascii="Symbol" w:eastAsia="Times New Roman" w:hAnsi="Symbol" w:cs="Times New Roman" w:hint="default"/>
      </w:r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8" w15:restartNumberingAfterBreak="0">
    <w:nsid w:val="2DED08DE"/>
    <w:multiLevelType w:val="hybridMultilevel"/>
    <w:tmpl w:val="9F12EEC8"/>
    <w:lvl w:ilvl="0" w:tplc="073E1F86">
      <w:start w:val="1"/>
      <w:numFmt w:val="decimal"/>
      <w:lvlText w:val="%1."/>
      <w:lvlJc w:val="left"/>
      <w:pPr>
        <w:ind w:left="1704" w:hanging="360"/>
      </w:pPr>
      <w:rPr>
        <w:rFonts w:hint="default"/>
      </w:rPr>
    </w:lvl>
    <w:lvl w:ilvl="1" w:tplc="20000019" w:tentative="1">
      <w:start w:val="1"/>
      <w:numFmt w:val="lowerLetter"/>
      <w:lvlText w:val="%2."/>
      <w:lvlJc w:val="left"/>
      <w:pPr>
        <w:ind w:left="-3767" w:hanging="360"/>
      </w:pPr>
    </w:lvl>
    <w:lvl w:ilvl="2" w:tplc="2000001B" w:tentative="1">
      <w:start w:val="1"/>
      <w:numFmt w:val="lowerRoman"/>
      <w:lvlText w:val="%3."/>
      <w:lvlJc w:val="right"/>
      <w:pPr>
        <w:ind w:left="-3047" w:hanging="180"/>
      </w:pPr>
    </w:lvl>
    <w:lvl w:ilvl="3" w:tplc="2000000F" w:tentative="1">
      <w:start w:val="1"/>
      <w:numFmt w:val="decimal"/>
      <w:lvlText w:val="%4."/>
      <w:lvlJc w:val="left"/>
      <w:pPr>
        <w:ind w:left="-2327" w:hanging="360"/>
      </w:pPr>
    </w:lvl>
    <w:lvl w:ilvl="4" w:tplc="20000019" w:tentative="1">
      <w:start w:val="1"/>
      <w:numFmt w:val="lowerLetter"/>
      <w:lvlText w:val="%5."/>
      <w:lvlJc w:val="left"/>
      <w:pPr>
        <w:ind w:left="-1607" w:hanging="360"/>
      </w:pPr>
    </w:lvl>
    <w:lvl w:ilvl="5" w:tplc="2000001B" w:tentative="1">
      <w:start w:val="1"/>
      <w:numFmt w:val="lowerRoman"/>
      <w:lvlText w:val="%6."/>
      <w:lvlJc w:val="right"/>
      <w:pPr>
        <w:ind w:left="-887" w:hanging="180"/>
      </w:pPr>
    </w:lvl>
    <w:lvl w:ilvl="6" w:tplc="2000000F" w:tentative="1">
      <w:start w:val="1"/>
      <w:numFmt w:val="decimal"/>
      <w:lvlText w:val="%7."/>
      <w:lvlJc w:val="left"/>
      <w:pPr>
        <w:ind w:left="-167" w:hanging="360"/>
      </w:pPr>
    </w:lvl>
    <w:lvl w:ilvl="7" w:tplc="20000019" w:tentative="1">
      <w:start w:val="1"/>
      <w:numFmt w:val="lowerLetter"/>
      <w:lvlText w:val="%8."/>
      <w:lvlJc w:val="left"/>
      <w:pPr>
        <w:ind w:left="553" w:hanging="360"/>
      </w:pPr>
    </w:lvl>
    <w:lvl w:ilvl="8" w:tplc="2000001B" w:tentative="1">
      <w:start w:val="1"/>
      <w:numFmt w:val="lowerRoman"/>
      <w:lvlText w:val="%9."/>
      <w:lvlJc w:val="right"/>
      <w:pPr>
        <w:ind w:left="1273" w:hanging="180"/>
      </w:pPr>
    </w:lvl>
  </w:abstractNum>
  <w:abstractNum w:abstractNumId="9" w15:restartNumberingAfterBreak="0">
    <w:nsid w:val="3175020F"/>
    <w:multiLevelType w:val="multilevel"/>
    <w:tmpl w:val="8D4641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D6876B9"/>
    <w:multiLevelType w:val="multilevel"/>
    <w:tmpl w:val="FE6AAEB4"/>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1" w15:restartNumberingAfterBreak="0">
    <w:nsid w:val="4F2A546B"/>
    <w:multiLevelType w:val="hybridMultilevel"/>
    <w:tmpl w:val="EDEE86F8"/>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73E1F86">
      <w:start w:val="1"/>
      <w:numFmt w:val="decimal"/>
      <w:lvlText w:val="%7."/>
      <w:lvlJc w:val="left"/>
      <w:pPr>
        <w:ind w:left="6911" w:hanging="360"/>
      </w:pPr>
      <w:rPr>
        <w:rFonts w:hint="default"/>
      </w:r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2" w15:restartNumberingAfterBreak="0">
    <w:nsid w:val="506D2127"/>
    <w:multiLevelType w:val="hybridMultilevel"/>
    <w:tmpl w:val="14C64D96"/>
    <w:lvl w:ilvl="0" w:tplc="0AACD568">
      <w:start w:val="1"/>
      <w:numFmt w:val="decimal"/>
      <w:lvlText w:val="%1."/>
      <w:lvlJc w:val="left"/>
      <w:pPr>
        <w:ind w:left="2231" w:hanging="360"/>
      </w:pPr>
      <w:rPr>
        <w:rFonts w:ascii="Times New Roman" w:eastAsia="Times New Roman" w:hAnsi="Times New Roman" w:cs="Times New Roman"/>
      </w:rPr>
    </w:lvl>
    <w:lvl w:ilvl="1" w:tplc="FFFFFFFF" w:tentative="1">
      <w:start w:val="1"/>
      <w:numFmt w:val="lowerLetter"/>
      <w:lvlText w:val="%2."/>
      <w:lvlJc w:val="left"/>
      <w:pPr>
        <w:ind w:left="2951" w:hanging="360"/>
      </w:pPr>
    </w:lvl>
    <w:lvl w:ilvl="2" w:tplc="FFFFFFFF" w:tentative="1">
      <w:start w:val="1"/>
      <w:numFmt w:val="lowerRoman"/>
      <w:lvlText w:val="%3."/>
      <w:lvlJc w:val="right"/>
      <w:pPr>
        <w:ind w:left="3671" w:hanging="180"/>
      </w:pPr>
    </w:lvl>
    <w:lvl w:ilvl="3" w:tplc="FFFFFFFF" w:tentative="1">
      <w:start w:val="1"/>
      <w:numFmt w:val="decimal"/>
      <w:lvlText w:val="%4."/>
      <w:lvlJc w:val="left"/>
      <w:pPr>
        <w:ind w:left="4391" w:hanging="360"/>
      </w:pPr>
    </w:lvl>
    <w:lvl w:ilvl="4" w:tplc="FFFFFFFF" w:tentative="1">
      <w:start w:val="1"/>
      <w:numFmt w:val="lowerLetter"/>
      <w:lvlText w:val="%5."/>
      <w:lvlJc w:val="left"/>
      <w:pPr>
        <w:ind w:left="5111" w:hanging="360"/>
      </w:pPr>
    </w:lvl>
    <w:lvl w:ilvl="5" w:tplc="FFFFFFFF" w:tentative="1">
      <w:start w:val="1"/>
      <w:numFmt w:val="lowerRoman"/>
      <w:lvlText w:val="%6."/>
      <w:lvlJc w:val="right"/>
      <w:pPr>
        <w:ind w:left="5831" w:hanging="180"/>
      </w:pPr>
    </w:lvl>
    <w:lvl w:ilvl="6" w:tplc="FFFFFFFF" w:tentative="1">
      <w:start w:val="1"/>
      <w:numFmt w:val="decimal"/>
      <w:lvlText w:val="%7."/>
      <w:lvlJc w:val="left"/>
      <w:pPr>
        <w:ind w:left="6551" w:hanging="360"/>
      </w:pPr>
    </w:lvl>
    <w:lvl w:ilvl="7" w:tplc="FFFFFFFF" w:tentative="1">
      <w:start w:val="1"/>
      <w:numFmt w:val="lowerLetter"/>
      <w:lvlText w:val="%8."/>
      <w:lvlJc w:val="left"/>
      <w:pPr>
        <w:ind w:left="7271" w:hanging="360"/>
      </w:pPr>
    </w:lvl>
    <w:lvl w:ilvl="8" w:tplc="FFFFFFFF" w:tentative="1">
      <w:start w:val="1"/>
      <w:numFmt w:val="lowerRoman"/>
      <w:lvlText w:val="%9."/>
      <w:lvlJc w:val="right"/>
      <w:pPr>
        <w:ind w:left="7991" w:hanging="180"/>
      </w:pPr>
    </w:lvl>
  </w:abstractNum>
  <w:abstractNum w:abstractNumId="13" w15:restartNumberingAfterBreak="0">
    <w:nsid w:val="52A66A9D"/>
    <w:multiLevelType w:val="multilevel"/>
    <w:tmpl w:val="A48AF28C"/>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4" w15:restartNumberingAfterBreak="0">
    <w:nsid w:val="606843BB"/>
    <w:multiLevelType w:val="hybridMultilevel"/>
    <w:tmpl w:val="24485F16"/>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2000000F">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15" w15:restartNumberingAfterBreak="0">
    <w:nsid w:val="61D8728D"/>
    <w:multiLevelType w:val="multilevel"/>
    <w:tmpl w:val="FE6AAEB4"/>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 w15:restartNumberingAfterBreak="0">
    <w:nsid w:val="65F40FD6"/>
    <w:multiLevelType w:val="hybridMultilevel"/>
    <w:tmpl w:val="947CFB64"/>
    <w:lvl w:ilvl="0" w:tplc="20000015">
      <w:start w:val="1"/>
      <w:numFmt w:val="upp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69634567"/>
    <w:multiLevelType w:val="hybridMultilevel"/>
    <w:tmpl w:val="662E4F3C"/>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 w15:restartNumberingAfterBreak="0">
    <w:nsid w:val="6A1C7055"/>
    <w:multiLevelType w:val="hybridMultilevel"/>
    <w:tmpl w:val="C616B45A"/>
    <w:lvl w:ilvl="0" w:tplc="2000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F1D76E6"/>
    <w:multiLevelType w:val="hybridMultilevel"/>
    <w:tmpl w:val="F2E4C532"/>
    <w:lvl w:ilvl="0" w:tplc="5E5ED10E">
      <w:start w:val="1"/>
      <w:numFmt w:val="lowerLetter"/>
      <w:lvlText w:val="(%1)"/>
      <w:lvlJc w:val="left"/>
      <w:pPr>
        <w:ind w:left="2231" w:hanging="360"/>
      </w:pPr>
      <w:rPr>
        <w:rFonts w:hint="default"/>
      </w:rPr>
    </w:lvl>
    <w:lvl w:ilvl="1" w:tplc="FFFFFFFF" w:tentative="1">
      <w:start w:val="1"/>
      <w:numFmt w:val="lowerLetter"/>
      <w:lvlText w:val="%2."/>
      <w:lvlJc w:val="left"/>
      <w:pPr>
        <w:ind w:left="2951" w:hanging="360"/>
      </w:pPr>
    </w:lvl>
    <w:lvl w:ilvl="2" w:tplc="FFFFFFFF" w:tentative="1">
      <w:start w:val="1"/>
      <w:numFmt w:val="lowerRoman"/>
      <w:lvlText w:val="%3."/>
      <w:lvlJc w:val="right"/>
      <w:pPr>
        <w:ind w:left="3671" w:hanging="180"/>
      </w:pPr>
    </w:lvl>
    <w:lvl w:ilvl="3" w:tplc="FFFFFFFF" w:tentative="1">
      <w:start w:val="1"/>
      <w:numFmt w:val="decimal"/>
      <w:lvlText w:val="%4."/>
      <w:lvlJc w:val="left"/>
      <w:pPr>
        <w:ind w:left="4391" w:hanging="360"/>
      </w:pPr>
    </w:lvl>
    <w:lvl w:ilvl="4" w:tplc="FFFFFFFF" w:tentative="1">
      <w:start w:val="1"/>
      <w:numFmt w:val="lowerLetter"/>
      <w:lvlText w:val="%5."/>
      <w:lvlJc w:val="left"/>
      <w:pPr>
        <w:ind w:left="5111" w:hanging="360"/>
      </w:pPr>
    </w:lvl>
    <w:lvl w:ilvl="5" w:tplc="FFFFFFFF" w:tentative="1">
      <w:start w:val="1"/>
      <w:numFmt w:val="lowerRoman"/>
      <w:lvlText w:val="%6."/>
      <w:lvlJc w:val="right"/>
      <w:pPr>
        <w:ind w:left="5831" w:hanging="180"/>
      </w:pPr>
    </w:lvl>
    <w:lvl w:ilvl="6" w:tplc="FFFFFFFF" w:tentative="1">
      <w:start w:val="1"/>
      <w:numFmt w:val="decimal"/>
      <w:lvlText w:val="%7."/>
      <w:lvlJc w:val="left"/>
      <w:pPr>
        <w:ind w:left="6551" w:hanging="360"/>
      </w:pPr>
    </w:lvl>
    <w:lvl w:ilvl="7" w:tplc="FFFFFFFF" w:tentative="1">
      <w:start w:val="1"/>
      <w:numFmt w:val="lowerLetter"/>
      <w:lvlText w:val="%8."/>
      <w:lvlJc w:val="left"/>
      <w:pPr>
        <w:ind w:left="7271" w:hanging="360"/>
      </w:pPr>
    </w:lvl>
    <w:lvl w:ilvl="8" w:tplc="FFFFFFFF" w:tentative="1">
      <w:start w:val="1"/>
      <w:numFmt w:val="lowerRoman"/>
      <w:lvlText w:val="%9."/>
      <w:lvlJc w:val="right"/>
      <w:pPr>
        <w:ind w:left="7991" w:hanging="180"/>
      </w:pPr>
    </w:lvl>
  </w:abstractNum>
  <w:abstractNum w:abstractNumId="20" w15:restartNumberingAfterBreak="0">
    <w:nsid w:val="74327D63"/>
    <w:multiLevelType w:val="hybridMultilevel"/>
    <w:tmpl w:val="1F208BE4"/>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1" w15:restartNumberingAfterBreak="0">
    <w:nsid w:val="78A05F56"/>
    <w:multiLevelType w:val="hybridMultilevel"/>
    <w:tmpl w:val="A26E04CC"/>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2" w15:restartNumberingAfterBreak="0">
    <w:nsid w:val="78FB7FEA"/>
    <w:multiLevelType w:val="hybridMultilevel"/>
    <w:tmpl w:val="33C80248"/>
    <w:lvl w:ilvl="0" w:tplc="F3BE6504">
      <w:start w:val="1"/>
      <w:numFmt w:val="bullet"/>
      <w:lvlText w:val="-"/>
      <w:lvlJc w:val="left"/>
      <w:pPr>
        <w:tabs>
          <w:tab w:val="num" w:pos="720"/>
        </w:tabs>
        <w:ind w:left="720" w:hanging="360"/>
      </w:pPr>
      <w:rPr>
        <w:rFonts w:ascii="Calibri" w:hAnsi="Calibri" w:hint="default"/>
      </w:rPr>
    </w:lvl>
    <w:lvl w:ilvl="1" w:tplc="D6749EFE" w:tentative="1">
      <w:start w:val="1"/>
      <w:numFmt w:val="bullet"/>
      <w:lvlText w:val="-"/>
      <w:lvlJc w:val="left"/>
      <w:pPr>
        <w:tabs>
          <w:tab w:val="num" w:pos="1440"/>
        </w:tabs>
        <w:ind w:left="1440" w:hanging="360"/>
      </w:pPr>
      <w:rPr>
        <w:rFonts w:ascii="Calibri" w:hAnsi="Calibri" w:hint="default"/>
      </w:rPr>
    </w:lvl>
    <w:lvl w:ilvl="2" w:tplc="F202DC4A" w:tentative="1">
      <w:start w:val="1"/>
      <w:numFmt w:val="bullet"/>
      <w:lvlText w:val="-"/>
      <w:lvlJc w:val="left"/>
      <w:pPr>
        <w:tabs>
          <w:tab w:val="num" w:pos="2160"/>
        </w:tabs>
        <w:ind w:left="2160" w:hanging="360"/>
      </w:pPr>
      <w:rPr>
        <w:rFonts w:ascii="Calibri" w:hAnsi="Calibri" w:hint="default"/>
      </w:rPr>
    </w:lvl>
    <w:lvl w:ilvl="3" w:tplc="9D6A7DF8" w:tentative="1">
      <w:start w:val="1"/>
      <w:numFmt w:val="bullet"/>
      <w:lvlText w:val="-"/>
      <w:lvlJc w:val="left"/>
      <w:pPr>
        <w:tabs>
          <w:tab w:val="num" w:pos="2880"/>
        </w:tabs>
        <w:ind w:left="2880" w:hanging="360"/>
      </w:pPr>
      <w:rPr>
        <w:rFonts w:ascii="Calibri" w:hAnsi="Calibri" w:hint="default"/>
      </w:rPr>
    </w:lvl>
    <w:lvl w:ilvl="4" w:tplc="31F609DA" w:tentative="1">
      <w:start w:val="1"/>
      <w:numFmt w:val="bullet"/>
      <w:lvlText w:val="-"/>
      <w:lvlJc w:val="left"/>
      <w:pPr>
        <w:tabs>
          <w:tab w:val="num" w:pos="3600"/>
        </w:tabs>
        <w:ind w:left="3600" w:hanging="360"/>
      </w:pPr>
      <w:rPr>
        <w:rFonts w:ascii="Calibri" w:hAnsi="Calibri" w:hint="default"/>
      </w:rPr>
    </w:lvl>
    <w:lvl w:ilvl="5" w:tplc="5CBE449E" w:tentative="1">
      <w:start w:val="1"/>
      <w:numFmt w:val="bullet"/>
      <w:lvlText w:val="-"/>
      <w:lvlJc w:val="left"/>
      <w:pPr>
        <w:tabs>
          <w:tab w:val="num" w:pos="4320"/>
        </w:tabs>
        <w:ind w:left="4320" w:hanging="360"/>
      </w:pPr>
      <w:rPr>
        <w:rFonts w:ascii="Calibri" w:hAnsi="Calibri" w:hint="default"/>
      </w:rPr>
    </w:lvl>
    <w:lvl w:ilvl="6" w:tplc="C4FEE046" w:tentative="1">
      <w:start w:val="1"/>
      <w:numFmt w:val="bullet"/>
      <w:lvlText w:val="-"/>
      <w:lvlJc w:val="left"/>
      <w:pPr>
        <w:tabs>
          <w:tab w:val="num" w:pos="5040"/>
        </w:tabs>
        <w:ind w:left="5040" w:hanging="360"/>
      </w:pPr>
      <w:rPr>
        <w:rFonts w:ascii="Calibri" w:hAnsi="Calibri" w:hint="default"/>
      </w:rPr>
    </w:lvl>
    <w:lvl w:ilvl="7" w:tplc="5E50A7B0" w:tentative="1">
      <w:start w:val="1"/>
      <w:numFmt w:val="bullet"/>
      <w:lvlText w:val="-"/>
      <w:lvlJc w:val="left"/>
      <w:pPr>
        <w:tabs>
          <w:tab w:val="num" w:pos="5760"/>
        </w:tabs>
        <w:ind w:left="5760" w:hanging="360"/>
      </w:pPr>
      <w:rPr>
        <w:rFonts w:ascii="Calibri" w:hAnsi="Calibri" w:hint="default"/>
      </w:rPr>
    </w:lvl>
    <w:lvl w:ilvl="8" w:tplc="B3AA07D2" w:tentative="1">
      <w:start w:val="1"/>
      <w:numFmt w:val="bullet"/>
      <w:lvlText w:val="-"/>
      <w:lvlJc w:val="left"/>
      <w:pPr>
        <w:tabs>
          <w:tab w:val="num" w:pos="6480"/>
        </w:tabs>
        <w:ind w:left="6480" w:hanging="360"/>
      </w:pPr>
      <w:rPr>
        <w:rFonts w:ascii="Calibri" w:hAnsi="Calibri" w:hint="default"/>
      </w:rPr>
    </w:lvl>
  </w:abstractNum>
  <w:abstractNum w:abstractNumId="23" w15:restartNumberingAfterBreak="0">
    <w:nsid w:val="7EC65474"/>
    <w:multiLevelType w:val="hybridMultilevel"/>
    <w:tmpl w:val="5A3A00CA"/>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FC32455"/>
    <w:multiLevelType w:val="hybridMultilevel"/>
    <w:tmpl w:val="22FECA28"/>
    <w:lvl w:ilvl="0" w:tplc="1EE0D7AA">
      <w:start w:val="1"/>
      <w:numFmt w:val="bullet"/>
      <w:lvlText w:val="-"/>
      <w:lvlJc w:val="left"/>
      <w:pPr>
        <w:tabs>
          <w:tab w:val="num" w:pos="720"/>
        </w:tabs>
        <w:ind w:left="720" w:hanging="360"/>
      </w:pPr>
      <w:rPr>
        <w:rFonts w:ascii="Calibri" w:hAnsi="Calibri" w:hint="default"/>
      </w:rPr>
    </w:lvl>
    <w:lvl w:ilvl="1" w:tplc="53869B1C" w:tentative="1">
      <w:start w:val="1"/>
      <w:numFmt w:val="bullet"/>
      <w:lvlText w:val="-"/>
      <w:lvlJc w:val="left"/>
      <w:pPr>
        <w:tabs>
          <w:tab w:val="num" w:pos="1440"/>
        </w:tabs>
        <w:ind w:left="1440" w:hanging="360"/>
      </w:pPr>
      <w:rPr>
        <w:rFonts w:ascii="Calibri" w:hAnsi="Calibri" w:hint="default"/>
      </w:rPr>
    </w:lvl>
    <w:lvl w:ilvl="2" w:tplc="1EA29E36" w:tentative="1">
      <w:start w:val="1"/>
      <w:numFmt w:val="bullet"/>
      <w:lvlText w:val="-"/>
      <w:lvlJc w:val="left"/>
      <w:pPr>
        <w:tabs>
          <w:tab w:val="num" w:pos="2160"/>
        </w:tabs>
        <w:ind w:left="2160" w:hanging="360"/>
      </w:pPr>
      <w:rPr>
        <w:rFonts w:ascii="Calibri" w:hAnsi="Calibri" w:hint="default"/>
      </w:rPr>
    </w:lvl>
    <w:lvl w:ilvl="3" w:tplc="FF680738" w:tentative="1">
      <w:start w:val="1"/>
      <w:numFmt w:val="bullet"/>
      <w:lvlText w:val="-"/>
      <w:lvlJc w:val="left"/>
      <w:pPr>
        <w:tabs>
          <w:tab w:val="num" w:pos="2880"/>
        </w:tabs>
        <w:ind w:left="2880" w:hanging="360"/>
      </w:pPr>
      <w:rPr>
        <w:rFonts w:ascii="Calibri" w:hAnsi="Calibri" w:hint="default"/>
      </w:rPr>
    </w:lvl>
    <w:lvl w:ilvl="4" w:tplc="2E86387E" w:tentative="1">
      <w:start w:val="1"/>
      <w:numFmt w:val="bullet"/>
      <w:lvlText w:val="-"/>
      <w:lvlJc w:val="left"/>
      <w:pPr>
        <w:tabs>
          <w:tab w:val="num" w:pos="3600"/>
        </w:tabs>
        <w:ind w:left="3600" w:hanging="360"/>
      </w:pPr>
      <w:rPr>
        <w:rFonts w:ascii="Calibri" w:hAnsi="Calibri" w:hint="default"/>
      </w:rPr>
    </w:lvl>
    <w:lvl w:ilvl="5" w:tplc="A9A47118" w:tentative="1">
      <w:start w:val="1"/>
      <w:numFmt w:val="bullet"/>
      <w:lvlText w:val="-"/>
      <w:lvlJc w:val="left"/>
      <w:pPr>
        <w:tabs>
          <w:tab w:val="num" w:pos="4320"/>
        </w:tabs>
        <w:ind w:left="4320" w:hanging="360"/>
      </w:pPr>
      <w:rPr>
        <w:rFonts w:ascii="Calibri" w:hAnsi="Calibri" w:hint="default"/>
      </w:rPr>
    </w:lvl>
    <w:lvl w:ilvl="6" w:tplc="1DC0C3A4" w:tentative="1">
      <w:start w:val="1"/>
      <w:numFmt w:val="bullet"/>
      <w:lvlText w:val="-"/>
      <w:lvlJc w:val="left"/>
      <w:pPr>
        <w:tabs>
          <w:tab w:val="num" w:pos="5040"/>
        </w:tabs>
        <w:ind w:left="5040" w:hanging="360"/>
      </w:pPr>
      <w:rPr>
        <w:rFonts w:ascii="Calibri" w:hAnsi="Calibri" w:hint="default"/>
      </w:rPr>
    </w:lvl>
    <w:lvl w:ilvl="7" w:tplc="EF60C3AC" w:tentative="1">
      <w:start w:val="1"/>
      <w:numFmt w:val="bullet"/>
      <w:lvlText w:val="-"/>
      <w:lvlJc w:val="left"/>
      <w:pPr>
        <w:tabs>
          <w:tab w:val="num" w:pos="5760"/>
        </w:tabs>
        <w:ind w:left="5760" w:hanging="360"/>
      </w:pPr>
      <w:rPr>
        <w:rFonts w:ascii="Calibri" w:hAnsi="Calibri" w:hint="default"/>
      </w:rPr>
    </w:lvl>
    <w:lvl w:ilvl="8" w:tplc="1BA4C45E" w:tentative="1">
      <w:start w:val="1"/>
      <w:numFmt w:val="bullet"/>
      <w:lvlText w:val="-"/>
      <w:lvlJc w:val="left"/>
      <w:pPr>
        <w:tabs>
          <w:tab w:val="num" w:pos="6480"/>
        </w:tabs>
        <w:ind w:left="6480" w:hanging="360"/>
      </w:pPr>
      <w:rPr>
        <w:rFonts w:ascii="Calibri" w:hAnsi="Calibri" w:hint="default"/>
      </w:rPr>
    </w:lvl>
  </w:abstractNum>
  <w:num w:numId="1" w16cid:durableId="323320778">
    <w:abstractNumId w:val="13"/>
  </w:num>
  <w:num w:numId="2" w16cid:durableId="1537693147">
    <w:abstractNumId w:val="23"/>
  </w:num>
  <w:num w:numId="3" w16cid:durableId="1574700923">
    <w:abstractNumId w:val="24"/>
  </w:num>
  <w:num w:numId="4" w16cid:durableId="876085928">
    <w:abstractNumId w:val="22"/>
  </w:num>
  <w:num w:numId="5" w16cid:durableId="6029559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6405565">
    <w:abstractNumId w:val="7"/>
  </w:num>
  <w:num w:numId="7" w16cid:durableId="2086148853">
    <w:abstractNumId w:val="14"/>
  </w:num>
  <w:num w:numId="8" w16cid:durableId="1232619343">
    <w:abstractNumId w:val="16"/>
  </w:num>
  <w:num w:numId="9" w16cid:durableId="930048713">
    <w:abstractNumId w:val="18"/>
  </w:num>
  <w:num w:numId="10" w16cid:durableId="1423642701">
    <w:abstractNumId w:val="3"/>
  </w:num>
  <w:num w:numId="11" w16cid:durableId="1678340119">
    <w:abstractNumId w:val="10"/>
  </w:num>
  <w:num w:numId="12" w16cid:durableId="892883311">
    <w:abstractNumId w:val="11"/>
  </w:num>
  <w:num w:numId="13" w16cid:durableId="1600985994">
    <w:abstractNumId w:val="6"/>
  </w:num>
  <w:num w:numId="14" w16cid:durableId="374546724">
    <w:abstractNumId w:val="4"/>
  </w:num>
  <w:num w:numId="15" w16cid:durableId="872229136">
    <w:abstractNumId w:val="0"/>
  </w:num>
  <w:num w:numId="16" w16cid:durableId="1082872522">
    <w:abstractNumId w:val="15"/>
  </w:num>
  <w:num w:numId="17" w16cid:durableId="505829509">
    <w:abstractNumId w:val="5"/>
  </w:num>
  <w:num w:numId="18" w16cid:durableId="15943611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6700063">
    <w:abstractNumId w:val="13"/>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20" w16cid:durableId="919949709">
    <w:abstractNumId w:val="13"/>
    <w:lvlOverride w:ilvl="0">
      <w:startOverride w:val="1"/>
      <w:lvl w:ilvl="0">
        <w:start w:val="1"/>
        <w:numFmt w:val="decimal"/>
        <w:pStyle w:val="Normalnumber"/>
        <w:lvlText w:val="%1."/>
        <w:lvlJc w:val="left"/>
        <w:pPr>
          <w:tabs>
            <w:tab w:val="num" w:pos="624"/>
          </w:tabs>
          <w:ind w:left="1248" w:firstLine="0"/>
        </w:pPr>
        <w:rPr>
          <w:rFonts w:hint="default"/>
        </w:rPr>
      </w:lvl>
    </w:lvlOverride>
    <w:lvlOverride w:ilvl="1">
      <w:startOverride w:val="1"/>
      <w:lvl w:ilvl="1">
        <w:start w:val="1"/>
        <w:numFmt w:val="lowerLetter"/>
        <w:lvlText w:val="(%2)"/>
        <w:lvlJc w:val="left"/>
        <w:pPr>
          <w:tabs>
            <w:tab w:val="num" w:pos="2495"/>
          </w:tabs>
          <w:ind w:left="1248" w:firstLine="623"/>
        </w:pPr>
        <w:rPr>
          <w:rFonts w:hint="default"/>
        </w:rPr>
      </w:lvl>
    </w:lvlOverride>
    <w:lvlOverride w:ilvl="2">
      <w:startOverride w:val="1"/>
      <w:lvl w:ilvl="2">
        <w:start w:val="1"/>
        <w:numFmt w:val="lowerRoman"/>
        <w:lvlText w:val="(%3)"/>
        <w:lvlJc w:val="left"/>
        <w:pPr>
          <w:tabs>
            <w:tab w:val="num" w:pos="3119"/>
          </w:tabs>
          <w:ind w:left="3119" w:hanging="624"/>
        </w:pPr>
        <w:rPr>
          <w:rFonts w:hint="default"/>
        </w:rPr>
      </w:lvl>
    </w:lvlOverride>
    <w:lvlOverride w:ilvl="3">
      <w:startOverride w:val="1"/>
      <w:lvl w:ilvl="3">
        <w:start w:val="1"/>
        <w:numFmt w:val="lowerLetter"/>
        <w:lvlText w:val="%4."/>
        <w:lvlJc w:val="left"/>
        <w:pPr>
          <w:tabs>
            <w:tab w:val="num" w:pos="3742"/>
          </w:tabs>
          <w:ind w:left="3742" w:hanging="623"/>
        </w:pPr>
        <w:rPr>
          <w:rFonts w:hint="default"/>
        </w:rPr>
      </w:lvl>
    </w:lvlOverride>
    <w:lvlOverride w:ilvl="4">
      <w:startOverride w:val="1"/>
      <w:lvl w:ilvl="4">
        <w:start w:val="1"/>
        <w:numFmt w:val="lowerRoman"/>
        <w:lvlText w:val="%5."/>
        <w:lvlJc w:val="left"/>
        <w:pPr>
          <w:tabs>
            <w:tab w:val="num" w:pos="4366"/>
          </w:tabs>
          <w:ind w:left="4366" w:hanging="624"/>
        </w:pPr>
        <w:rPr>
          <w:rFonts w:hint="default"/>
        </w:rPr>
      </w:lvl>
    </w:lvlOverride>
    <w:lvlOverride w:ilvl="5">
      <w:startOverride w:val="1"/>
      <w:lvl w:ilvl="5">
        <w:start w:val="1"/>
        <w:numFmt w:val="lowerRoman"/>
        <w:lvlText w:val="%6."/>
        <w:lvlJc w:val="right"/>
        <w:pPr>
          <w:tabs>
            <w:tab w:val="num" w:pos="7836"/>
          </w:tabs>
          <w:ind w:left="7836" w:hanging="180"/>
        </w:pPr>
        <w:rPr>
          <w:rFonts w:hint="default"/>
        </w:rPr>
      </w:lvl>
    </w:lvlOverride>
    <w:lvlOverride w:ilvl="6">
      <w:startOverride w:val="1"/>
      <w:lvl w:ilvl="6">
        <w:start w:val="1"/>
        <w:numFmt w:val="decimal"/>
        <w:lvlText w:val="%7."/>
        <w:lvlJc w:val="left"/>
        <w:pPr>
          <w:tabs>
            <w:tab w:val="num" w:pos="8556"/>
          </w:tabs>
          <w:ind w:left="8556" w:hanging="360"/>
        </w:pPr>
        <w:rPr>
          <w:rFonts w:hint="default"/>
        </w:rPr>
      </w:lvl>
    </w:lvlOverride>
    <w:lvlOverride w:ilvl="7">
      <w:startOverride w:val="1"/>
      <w:lvl w:ilvl="7">
        <w:start w:val="1"/>
        <w:numFmt w:val="lowerLetter"/>
        <w:lvlText w:val="%8."/>
        <w:lvlJc w:val="left"/>
        <w:pPr>
          <w:tabs>
            <w:tab w:val="num" w:pos="9276"/>
          </w:tabs>
          <w:ind w:left="9276" w:hanging="360"/>
        </w:pPr>
        <w:rPr>
          <w:rFonts w:hint="default"/>
        </w:rPr>
      </w:lvl>
    </w:lvlOverride>
    <w:lvlOverride w:ilvl="8">
      <w:startOverride w:val="1"/>
      <w:lvl w:ilvl="8">
        <w:start w:val="1"/>
        <w:numFmt w:val="lowerRoman"/>
        <w:lvlText w:val="%9."/>
        <w:lvlJc w:val="right"/>
        <w:pPr>
          <w:tabs>
            <w:tab w:val="num" w:pos="9996"/>
          </w:tabs>
          <w:ind w:left="9996" w:hanging="180"/>
        </w:pPr>
        <w:rPr>
          <w:rFonts w:hint="default"/>
        </w:rPr>
      </w:lvl>
    </w:lvlOverride>
  </w:num>
  <w:num w:numId="21" w16cid:durableId="484782109">
    <w:abstractNumId w:val="2"/>
  </w:num>
  <w:num w:numId="22" w16cid:durableId="479730803">
    <w:abstractNumId w:val="8"/>
  </w:num>
  <w:num w:numId="23" w16cid:durableId="405610562">
    <w:abstractNumId w:val="9"/>
  </w:num>
  <w:num w:numId="24" w16cid:durableId="432823899">
    <w:abstractNumId w:val="12"/>
  </w:num>
  <w:num w:numId="25" w16cid:durableId="1317764772">
    <w:abstractNumId w:val="1"/>
  </w:num>
  <w:num w:numId="26" w16cid:durableId="560672902">
    <w:abstractNumId w:val="13"/>
    <w:lvlOverride w:ilvl="1">
      <w:lvl w:ilvl="1">
        <w:start w:val="1"/>
        <w:numFmt w:val="lowerLetter"/>
        <w:lvlText w:val="(%2)"/>
        <w:lvlJc w:val="left"/>
        <w:pPr>
          <w:tabs>
            <w:tab w:val="num" w:pos="2495"/>
          </w:tabs>
          <w:ind w:left="1248" w:firstLine="623"/>
        </w:pPr>
        <w:rPr>
          <w:rFonts w:hint="default"/>
          <w:b w:val="0"/>
          <w:bCs w:val="0"/>
        </w:rPr>
      </w:lvl>
    </w:lvlOverride>
  </w:num>
  <w:num w:numId="27" w16cid:durableId="135151075">
    <w:abstractNumId w:val="20"/>
  </w:num>
  <w:num w:numId="28" w16cid:durableId="20084699">
    <w:abstractNumId w:val="17"/>
  </w:num>
  <w:num w:numId="29" w16cid:durableId="350298610">
    <w:abstractNumId w:val="19"/>
  </w:num>
  <w:num w:numId="30" w16cid:durableId="11830767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ildebrand, Martijn (RWS WVL)">
    <w15:presenceInfo w15:providerId="AD" w15:userId="S::martijn.hildebrand@rws.nl::23176090-924e-485e-83a0-878b451dab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F7A"/>
    <w:rsid w:val="00006E19"/>
    <w:rsid w:val="0001054C"/>
    <w:rsid w:val="000462BC"/>
    <w:rsid w:val="00050819"/>
    <w:rsid w:val="00062DAE"/>
    <w:rsid w:val="00077430"/>
    <w:rsid w:val="000845C9"/>
    <w:rsid w:val="00084F7A"/>
    <w:rsid w:val="000939E2"/>
    <w:rsid w:val="00094661"/>
    <w:rsid w:val="000B40F5"/>
    <w:rsid w:val="000F3445"/>
    <w:rsid w:val="00120A89"/>
    <w:rsid w:val="0012423C"/>
    <w:rsid w:val="00130798"/>
    <w:rsid w:val="00131B07"/>
    <w:rsid w:val="0013256D"/>
    <w:rsid w:val="00140B0D"/>
    <w:rsid w:val="00147C64"/>
    <w:rsid w:val="001864A1"/>
    <w:rsid w:val="00186FB0"/>
    <w:rsid w:val="00187D91"/>
    <w:rsid w:val="0019002E"/>
    <w:rsid w:val="00197691"/>
    <w:rsid w:val="001A59EB"/>
    <w:rsid w:val="001B2B3E"/>
    <w:rsid w:val="001B77E0"/>
    <w:rsid w:val="001E0508"/>
    <w:rsid w:val="001E17A1"/>
    <w:rsid w:val="001E1FE8"/>
    <w:rsid w:val="001E4CBC"/>
    <w:rsid w:val="001F6DF6"/>
    <w:rsid w:val="0020085D"/>
    <w:rsid w:val="00211FCA"/>
    <w:rsid w:val="002201A3"/>
    <w:rsid w:val="00231DE3"/>
    <w:rsid w:val="002438BC"/>
    <w:rsid w:val="00257C27"/>
    <w:rsid w:val="00265A01"/>
    <w:rsid w:val="002805EB"/>
    <w:rsid w:val="00282DCE"/>
    <w:rsid w:val="00283CF2"/>
    <w:rsid w:val="00287A1C"/>
    <w:rsid w:val="0029183A"/>
    <w:rsid w:val="002B2114"/>
    <w:rsid w:val="002C5B5D"/>
    <w:rsid w:val="002D4716"/>
    <w:rsid w:val="002D759C"/>
    <w:rsid w:val="002E7B58"/>
    <w:rsid w:val="00303FDA"/>
    <w:rsid w:val="00315B09"/>
    <w:rsid w:val="003460E5"/>
    <w:rsid w:val="003515B6"/>
    <w:rsid w:val="00356BA6"/>
    <w:rsid w:val="003603D1"/>
    <w:rsid w:val="00363F7F"/>
    <w:rsid w:val="0036799E"/>
    <w:rsid w:val="003832A6"/>
    <w:rsid w:val="00386EA5"/>
    <w:rsid w:val="003B159F"/>
    <w:rsid w:val="003C03DE"/>
    <w:rsid w:val="003D473A"/>
    <w:rsid w:val="0040469E"/>
    <w:rsid w:val="00430160"/>
    <w:rsid w:val="00432599"/>
    <w:rsid w:val="004369A8"/>
    <w:rsid w:val="00442D4A"/>
    <w:rsid w:val="00463BCC"/>
    <w:rsid w:val="0046657F"/>
    <w:rsid w:val="00466D99"/>
    <w:rsid w:val="00475E48"/>
    <w:rsid w:val="00476BAD"/>
    <w:rsid w:val="00493C32"/>
    <w:rsid w:val="00496D3D"/>
    <w:rsid w:val="004A5DFB"/>
    <w:rsid w:val="004A5E3E"/>
    <w:rsid w:val="004B42FE"/>
    <w:rsid w:val="004C1219"/>
    <w:rsid w:val="004D3312"/>
    <w:rsid w:val="00534728"/>
    <w:rsid w:val="00540F0B"/>
    <w:rsid w:val="00542D05"/>
    <w:rsid w:val="0054378F"/>
    <w:rsid w:val="00551E45"/>
    <w:rsid w:val="00563EE9"/>
    <w:rsid w:val="0057183E"/>
    <w:rsid w:val="00577B7C"/>
    <w:rsid w:val="00577F16"/>
    <w:rsid w:val="005912E0"/>
    <w:rsid w:val="00596EB1"/>
    <w:rsid w:val="005C2225"/>
    <w:rsid w:val="005C6979"/>
    <w:rsid w:val="005E64CA"/>
    <w:rsid w:val="0060019E"/>
    <w:rsid w:val="006163B6"/>
    <w:rsid w:val="00617374"/>
    <w:rsid w:val="00623626"/>
    <w:rsid w:val="00627CB4"/>
    <w:rsid w:val="00641EB8"/>
    <w:rsid w:val="00646DBB"/>
    <w:rsid w:val="00652022"/>
    <w:rsid w:val="00672AA5"/>
    <w:rsid w:val="006A4FB9"/>
    <w:rsid w:val="006B2AD1"/>
    <w:rsid w:val="006D0B71"/>
    <w:rsid w:val="006D4ED5"/>
    <w:rsid w:val="006E2D78"/>
    <w:rsid w:val="006E45D6"/>
    <w:rsid w:val="006E57B5"/>
    <w:rsid w:val="00703802"/>
    <w:rsid w:val="00704220"/>
    <w:rsid w:val="007141EA"/>
    <w:rsid w:val="007472CF"/>
    <w:rsid w:val="00756782"/>
    <w:rsid w:val="007720ED"/>
    <w:rsid w:val="00783378"/>
    <w:rsid w:val="007912E4"/>
    <w:rsid w:val="007944FB"/>
    <w:rsid w:val="007A3694"/>
    <w:rsid w:val="007A41A8"/>
    <w:rsid w:val="007A5537"/>
    <w:rsid w:val="007A7FD0"/>
    <w:rsid w:val="007C0C19"/>
    <w:rsid w:val="007D0E12"/>
    <w:rsid w:val="00803AEF"/>
    <w:rsid w:val="00811BD2"/>
    <w:rsid w:val="00813257"/>
    <w:rsid w:val="00817951"/>
    <w:rsid w:val="00817D82"/>
    <w:rsid w:val="00820A39"/>
    <w:rsid w:val="00830F35"/>
    <w:rsid w:val="00840161"/>
    <w:rsid w:val="00856AAE"/>
    <w:rsid w:val="00867AC5"/>
    <w:rsid w:val="0087270E"/>
    <w:rsid w:val="00897066"/>
    <w:rsid w:val="008976F2"/>
    <w:rsid w:val="008A124C"/>
    <w:rsid w:val="008A70A5"/>
    <w:rsid w:val="008B6DAE"/>
    <w:rsid w:val="008C5CDE"/>
    <w:rsid w:val="008D7D3C"/>
    <w:rsid w:val="008E0094"/>
    <w:rsid w:val="008E4264"/>
    <w:rsid w:val="008E71B8"/>
    <w:rsid w:val="008F5FD1"/>
    <w:rsid w:val="009029F5"/>
    <w:rsid w:val="00911C96"/>
    <w:rsid w:val="00913F0B"/>
    <w:rsid w:val="009164AC"/>
    <w:rsid w:val="0092553D"/>
    <w:rsid w:val="0093266F"/>
    <w:rsid w:val="0093775C"/>
    <w:rsid w:val="00940207"/>
    <w:rsid w:val="009409D5"/>
    <w:rsid w:val="00941C20"/>
    <w:rsid w:val="009446F4"/>
    <w:rsid w:val="00966523"/>
    <w:rsid w:val="009768B9"/>
    <w:rsid w:val="00987F0F"/>
    <w:rsid w:val="0099390F"/>
    <w:rsid w:val="009B160A"/>
    <w:rsid w:val="009B28A2"/>
    <w:rsid w:val="009C3A6A"/>
    <w:rsid w:val="00A15C2A"/>
    <w:rsid w:val="00A41E5B"/>
    <w:rsid w:val="00A42062"/>
    <w:rsid w:val="00A44E69"/>
    <w:rsid w:val="00A45453"/>
    <w:rsid w:val="00A50724"/>
    <w:rsid w:val="00A61309"/>
    <w:rsid w:val="00A6180D"/>
    <w:rsid w:val="00A7788D"/>
    <w:rsid w:val="00AA4BCE"/>
    <w:rsid w:val="00AA7F2E"/>
    <w:rsid w:val="00AB3A34"/>
    <w:rsid w:val="00AB65BF"/>
    <w:rsid w:val="00AD41D5"/>
    <w:rsid w:val="00AE5443"/>
    <w:rsid w:val="00AE6ECA"/>
    <w:rsid w:val="00B11E09"/>
    <w:rsid w:val="00B12D10"/>
    <w:rsid w:val="00B15D3A"/>
    <w:rsid w:val="00B16212"/>
    <w:rsid w:val="00B209F8"/>
    <w:rsid w:val="00B346A6"/>
    <w:rsid w:val="00B4356E"/>
    <w:rsid w:val="00B61959"/>
    <w:rsid w:val="00B721FF"/>
    <w:rsid w:val="00B760AC"/>
    <w:rsid w:val="00B777EA"/>
    <w:rsid w:val="00B82B37"/>
    <w:rsid w:val="00B92C79"/>
    <w:rsid w:val="00BE0191"/>
    <w:rsid w:val="00C26729"/>
    <w:rsid w:val="00C329C9"/>
    <w:rsid w:val="00C335C8"/>
    <w:rsid w:val="00C43975"/>
    <w:rsid w:val="00C55065"/>
    <w:rsid w:val="00C55F09"/>
    <w:rsid w:val="00C64F5D"/>
    <w:rsid w:val="00C656F3"/>
    <w:rsid w:val="00C71636"/>
    <w:rsid w:val="00C777B2"/>
    <w:rsid w:val="00C822C0"/>
    <w:rsid w:val="00C84F14"/>
    <w:rsid w:val="00C907F6"/>
    <w:rsid w:val="00C938C1"/>
    <w:rsid w:val="00CA155E"/>
    <w:rsid w:val="00CB53BC"/>
    <w:rsid w:val="00CC7998"/>
    <w:rsid w:val="00CD4367"/>
    <w:rsid w:val="00CF17B2"/>
    <w:rsid w:val="00D000FF"/>
    <w:rsid w:val="00D0240C"/>
    <w:rsid w:val="00D177A4"/>
    <w:rsid w:val="00D359AA"/>
    <w:rsid w:val="00D403C7"/>
    <w:rsid w:val="00D606EC"/>
    <w:rsid w:val="00D67686"/>
    <w:rsid w:val="00D7197D"/>
    <w:rsid w:val="00D72F5E"/>
    <w:rsid w:val="00D75057"/>
    <w:rsid w:val="00D766D0"/>
    <w:rsid w:val="00D814A0"/>
    <w:rsid w:val="00D82024"/>
    <w:rsid w:val="00D8413F"/>
    <w:rsid w:val="00DA3519"/>
    <w:rsid w:val="00DB6579"/>
    <w:rsid w:val="00DC16A1"/>
    <w:rsid w:val="00DC3452"/>
    <w:rsid w:val="00DC595A"/>
    <w:rsid w:val="00DD6A39"/>
    <w:rsid w:val="00DE2611"/>
    <w:rsid w:val="00E02EC5"/>
    <w:rsid w:val="00E0574B"/>
    <w:rsid w:val="00E235D8"/>
    <w:rsid w:val="00E3770D"/>
    <w:rsid w:val="00E44D79"/>
    <w:rsid w:val="00E47432"/>
    <w:rsid w:val="00E64464"/>
    <w:rsid w:val="00E65318"/>
    <w:rsid w:val="00EA6647"/>
    <w:rsid w:val="00EA69DC"/>
    <w:rsid w:val="00EB3D10"/>
    <w:rsid w:val="00EB7CD3"/>
    <w:rsid w:val="00EC2243"/>
    <w:rsid w:val="00EC2994"/>
    <w:rsid w:val="00EC611D"/>
    <w:rsid w:val="00EE487A"/>
    <w:rsid w:val="00EE5946"/>
    <w:rsid w:val="00EE6818"/>
    <w:rsid w:val="00F00BFA"/>
    <w:rsid w:val="00F05DC6"/>
    <w:rsid w:val="00F104FB"/>
    <w:rsid w:val="00F1052A"/>
    <w:rsid w:val="00F12BBE"/>
    <w:rsid w:val="00F12E40"/>
    <w:rsid w:val="00F138AA"/>
    <w:rsid w:val="00F21A45"/>
    <w:rsid w:val="00F30BED"/>
    <w:rsid w:val="00F31AA9"/>
    <w:rsid w:val="00F4297E"/>
    <w:rsid w:val="00F42EC2"/>
    <w:rsid w:val="00F45B4A"/>
    <w:rsid w:val="00F62100"/>
    <w:rsid w:val="00F73C1D"/>
    <w:rsid w:val="00F80FB1"/>
    <w:rsid w:val="00F866C8"/>
    <w:rsid w:val="00F90F31"/>
    <w:rsid w:val="00FA32CE"/>
    <w:rsid w:val="00FA56D6"/>
    <w:rsid w:val="00FA7A9A"/>
    <w:rsid w:val="00FB3490"/>
    <w:rsid w:val="00FD365C"/>
    <w:rsid w:val="00FD3FFC"/>
    <w:rsid w:val="00FD6070"/>
    <w:rsid w:val="00FE4EEE"/>
    <w:rsid w:val="00FF16FD"/>
    <w:rsid w:val="00FF3137"/>
    <w:rsid w:val="00FF49B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CD992"/>
  <w15:chartTrackingRefBased/>
  <w15:docId w15:val="{E2ED409D-0A8F-4810-A98A-C8EBA34B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F7A"/>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eastAsia="en-US"/>
      <w14:ligatures w14:val="none"/>
    </w:rPr>
  </w:style>
  <w:style w:type="paragraph" w:styleId="Heading1">
    <w:name w:val="heading 1"/>
    <w:basedOn w:val="Normal"/>
    <w:next w:val="Normal"/>
    <w:link w:val="Heading1Char"/>
    <w:uiPriority w:val="9"/>
    <w:qFormat/>
    <w:rsid w:val="00084F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4F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4F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4F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4F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4F7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F7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F7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F7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F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4F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4F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4F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4F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F7A"/>
    <w:rPr>
      <w:rFonts w:ascii="Times New Roman" w:eastAsiaTheme="majorEastAsia" w:hAnsi="Times New Roman" w:cstheme="majorBidi"/>
      <w:i/>
      <w:iCs/>
      <w:color w:val="595959" w:themeColor="text1" w:themeTint="A6"/>
      <w:kern w:val="0"/>
      <w:sz w:val="20"/>
      <w:szCs w:val="20"/>
      <w:lang w:val="en-GB" w:eastAsia="en-US"/>
      <w14:ligatures w14:val="none"/>
    </w:rPr>
  </w:style>
  <w:style w:type="character" w:customStyle="1" w:styleId="Heading7Char">
    <w:name w:val="Heading 7 Char"/>
    <w:basedOn w:val="DefaultParagraphFont"/>
    <w:link w:val="Heading7"/>
    <w:uiPriority w:val="9"/>
    <w:semiHidden/>
    <w:rsid w:val="00084F7A"/>
    <w:rPr>
      <w:rFonts w:ascii="Times New Roman" w:eastAsiaTheme="majorEastAsia" w:hAnsi="Times New Roman" w:cstheme="majorBidi"/>
      <w:color w:val="595959" w:themeColor="text1" w:themeTint="A6"/>
      <w:kern w:val="0"/>
      <w:sz w:val="20"/>
      <w:szCs w:val="20"/>
      <w:lang w:val="en-GB" w:eastAsia="en-US"/>
      <w14:ligatures w14:val="none"/>
    </w:rPr>
  </w:style>
  <w:style w:type="character" w:customStyle="1" w:styleId="Heading8Char">
    <w:name w:val="Heading 8 Char"/>
    <w:basedOn w:val="DefaultParagraphFont"/>
    <w:link w:val="Heading8"/>
    <w:uiPriority w:val="9"/>
    <w:semiHidden/>
    <w:rsid w:val="00084F7A"/>
    <w:rPr>
      <w:rFonts w:ascii="Times New Roman" w:eastAsiaTheme="majorEastAsia" w:hAnsi="Times New Roman" w:cstheme="majorBidi"/>
      <w:i/>
      <w:iCs/>
      <w:color w:val="272727" w:themeColor="text1" w:themeTint="D8"/>
      <w:kern w:val="0"/>
      <w:sz w:val="20"/>
      <w:szCs w:val="20"/>
      <w:lang w:val="en-GB" w:eastAsia="en-US"/>
      <w14:ligatures w14:val="none"/>
    </w:rPr>
  </w:style>
  <w:style w:type="character" w:customStyle="1" w:styleId="Heading9Char">
    <w:name w:val="Heading 9 Char"/>
    <w:basedOn w:val="DefaultParagraphFont"/>
    <w:link w:val="Heading9"/>
    <w:uiPriority w:val="9"/>
    <w:semiHidden/>
    <w:rsid w:val="00084F7A"/>
    <w:rPr>
      <w:rFonts w:ascii="Times New Roman" w:eastAsiaTheme="majorEastAsia" w:hAnsi="Times New Roman" w:cstheme="majorBidi"/>
      <w:color w:val="272727" w:themeColor="text1" w:themeTint="D8"/>
      <w:kern w:val="0"/>
      <w:sz w:val="20"/>
      <w:szCs w:val="20"/>
      <w:lang w:val="en-GB" w:eastAsia="en-US"/>
      <w14:ligatures w14:val="none"/>
    </w:rPr>
  </w:style>
  <w:style w:type="paragraph" w:styleId="Title">
    <w:name w:val="Title"/>
    <w:basedOn w:val="Normal"/>
    <w:next w:val="Normal"/>
    <w:link w:val="TitleChar"/>
    <w:uiPriority w:val="10"/>
    <w:qFormat/>
    <w:rsid w:val="00084F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F7A"/>
    <w:rPr>
      <w:rFonts w:asciiTheme="majorHAnsi" w:eastAsiaTheme="majorEastAsia" w:hAnsiTheme="majorHAnsi" w:cstheme="majorBidi"/>
      <w:spacing w:val="-10"/>
      <w:kern w:val="28"/>
      <w:sz w:val="56"/>
      <w:szCs w:val="56"/>
      <w:lang w:val="en-GB" w:eastAsia="en-US"/>
      <w14:ligatures w14:val="none"/>
    </w:rPr>
  </w:style>
  <w:style w:type="paragraph" w:styleId="Subtitle">
    <w:name w:val="Subtitle"/>
    <w:basedOn w:val="Normal"/>
    <w:next w:val="Normal"/>
    <w:link w:val="SubtitleChar"/>
    <w:uiPriority w:val="11"/>
    <w:qFormat/>
    <w:rsid w:val="00084F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F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F7A"/>
    <w:pPr>
      <w:spacing w:before="160"/>
      <w:jc w:val="center"/>
    </w:pPr>
    <w:rPr>
      <w:i/>
      <w:iCs/>
      <w:color w:val="404040" w:themeColor="text1" w:themeTint="BF"/>
    </w:rPr>
  </w:style>
  <w:style w:type="character" w:customStyle="1" w:styleId="QuoteChar">
    <w:name w:val="Quote Char"/>
    <w:basedOn w:val="DefaultParagraphFont"/>
    <w:link w:val="Quote"/>
    <w:uiPriority w:val="29"/>
    <w:rsid w:val="00084F7A"/>
    <w:rPr>
      <w:i/>
      <w:iCs/>
      <w:color w:val="404040" w:themeColor="text1" w:themeTint="BF"/>
    </w:rPr>
  </w:style>
  <w:style w:type="paragraph" w:styleId="ListParagraph">
    <w:name w:val="List Paragraph"/>
    <w:basedOn w:val="Normal"/>
    <w:uiPriority w:val="34"/>
    <w:qFormat/>
    <w:rsid w:val="00084F7A"/>
    <w:pPr>
      <w:ind w:left="720"/>
      <w:contextualSpacing/>
    </w:pPr>
  </w:style>
  <w:style w:type="character" w:styleId="IntenseEmphasis">
    <w:name w:val="Intense Emphasis"/>
    <w:basedOn w:val="DefaultParagraphFont"/>
    <w:uiPriority w:val="21"/>
    <w:qFormat/>
    <w:rsid w:val="00084F7A"/>
    <w:rPr>
      <w:i/>
      <w:iCs/>
      <w:color w:val="0F4761" w:themeColor="accent1" w:themeShade="BF"/>
    </w:rPr>
  </w:style>
  <w:style w:type="paragraph" w:styleId="IntenseQuote">
    <w:name w:val="Intense Quote"/>
    <w:basedOn w:val="Normal"/>
    <w:next w:val="Normal"/>
    <w:link w:val="IntenseQuoteChar"/>
    <w:uiPriority w:val="30"/>
    <w:qFormat/>
    <w:rsid w:val="00084F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4F7A"/>
    <w:rPr>
      <w:i/>
      <w:iCs/>
      <w:color w:val="0F4761" w:themeColor="accent1" w:themeShade="BF"/>
    </w:rPr>
  </w:style>
  <w:style w:type="character" w:styleId="IntenseReference">
    <w:name w:val="Intense Reference"/>
    <w:basedOn w:val="DefaultParagraphFont"/>
    <w:uiPriority w:val="32"/>
    <w:qFormat/>
    <w:rsid w:val="00084F7A"/>
    <w:rPr>
      <w:b/>
      <w:bCs/>
      <w:smallCaps/>
      <w:color w:val="0F4761" w:themeColor="accent1" w:themeShade="BF"/>
      <w:spacing w:val="5"/>
    </w:rPr>
  </w:style>
  <w:style w:type="paragraph" w:customStyle="1" w:styleId="CH1">
    <w:name w:val="CH1"/>
    <w:basedOn w:val="Normal-pool0"/>
    <w:next w:val="CH21"/>
    <w:qFormat/>
    <w:rsid w:val="00084F7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84F7A"/>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0"/>
    <w:next w:val="Normalnumber"/>
    <w:link w:val="CH3Char"/>
    <w:qFormat/>
    <w:rsid w:val="00084F7A"/>
    <w:pPr>
      <w:keepNext/>
      <w:keepLines/>
      <w:tabs>
        <w:tab w:val="clear" w:pos="624"/>
        <w:tab w:val="right" w:pos="851"/>
      </w:tabs>
      <w:suppressAutoHyphens/>
      <w:spacing w:before="240" w:after="120"/>
      <w:ind w:left="1247" w:right="624" w:hanging="1247"/>
    </w:pPr>
    <w:rPr>
      <w:b/>
    </w:rPr>
  </w:style>
  <w:style w:type="paragraph" w:customStyle="1" w:styleId="Normal-pool">
    <w:name w:val="Normal-pool"/>
    <w:unhideWhenUsed/>
    <w:qFormat/>
    <w:rsid w:val="00084F7A"/>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BBTitle">
    <w:name w:val="BB_Title"/>
    <w:basedOn w:val="Normal-pool0"/>
    <w:qFormat/>
    <w:rsid w:val="00084F7A"/>
    <w:pPr>
      <w:keepNext/>
      <w:keepLines/>
      <w:suppressAutoHyphens/>
      <w:spacing w:before="320" w:after="240"/>
      <w:ind w:left="1247" w:right="567"/>
    </w:pPr>
    <w:rPr>
      <w:b/>
      <w:sz w:val="28"/>
      <w:szCs w:val="28"/>
    </w:rPr>
  </w:style>
  <w:style w:type="numbering" w:customStyle="1" w:styleId="Normallist">
    <w:name w:val="Normal_list"/>
    <w:basedOn w:val="NoList"/>
    <w:rsid w:val="00084F7A"/>
    <w:pPr>
      <w:numPr>
        <w:numId w:val="1"/>
      </w:numPr>
    </w:pPr>
  </w:style>
  <w:style w:type="paragraph" w:customStyle="1" w:styleId="NormalNonumber">
    <w:name w:val="Normal_No_number"/>
    <w:basedOn w:val="Normal-pool0"/>
    <w:link w:val="NormalNonumberChar"/>
    <w:qFormat/>
    <w:rsid w:val="00084F7A"/>
    <w:pPr>
      <w:spacing w:after="120"/>
      <w:ind w:left="1247"/>
    </w:pPr>
  </w:style>
  <w:style w:type="paragraph" w:customStyle="1" w:styleId="Normalnumber">
    <w:name w:val="Normal_number"/>
    <w:basedOn w:val="Normal"/>
    <w:link w:val="NormalnumberChar"/>
    <w:qFormat/>
    <w:rsid w:val="00084F7A"/>
    <w:pPr>
      <w:numPr>
        <w:numId w:val="1"/>
      </w:numPr>
    </w:pPr>
  </w:style>
  <w:style w:type="character" w:customStyle="1" w:styleId="Normal-poolChar">
    <w:name w:val="Normal-pool Char"/>
    <w:link w:val="Normal-pool0"/>
    <w:locked/>
    <w:rsid w:val="00084F7A"/>
    <w:rPr>
      <w:rFonts w:ascii="Times New Roman" w:eastAsia="Times New Roman" w:hAnsi="Times New Roman" w:cs="Times New Roman"/>
      <w:kern w:val="0"/>
      <w:sz w:val="20"/>
      <w:szCs w:val="20"/>
      <w:lang w:val="en-US" w:eastAsia="en-US"/>
      <w14:ligatures w14:val="none"/>
    </w:rPr>
  </w:style>
  <w:style w:type="paragraph" w:customStyle="1" w:styleId="Normal-pool0">
    <w:name w:val="Normal-pool0"/>
    <w:link w:val="Normal-poolChar"/>
    <w:qFormat/>
    <w:rsid w:val="00084F7A"/>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CH21">
    <w:name w:val="CH21"/>
    <w:basedOn w:val="Normal-pool0"/>
    <w:next w:val="Normalnumber"/>
    <w:qFormat/>
    <w:rsid w:val="00084F7A"/>
    <w:pPr>
      <w:keepNext/>
      <w:keepLines/>
      <w:tabs>
        <w:tab w:val="clear" w:pos="624"/>
        <w:tab w:val="right" w:pos="851"/>
      </w:tabs>
      <w:suppressAutoHyphens/>
      <w:spacing w:before="240" w:after="120"/>
      <w:ind w:left="1247" w:right="624" w:hanging="1247"/>
    </w:pPr>
    <w:rPr>
      <w:b/>
      <w:sz w:val="24"/>
      <w:szCs w:val="24"/>
    </w:rPr>
  </w:style>
  <w:style w:type="paragraph" w:styleId="Footer">
    <w:name w:val="footer"/>
    <w:basedOn w:val="Normal"/>
    <w:link w:val="FooterChar1"/>
    <w:unhideWhenUsed/>
    <w:rsid w:val="00084F7A"/>
    <w:pPr>
      <w:tabs>
        <w:tab w:val="clear" w:pos="1247"/>
        <w:tab w:val="right" w:pos="8641"/>
      </w:tabs>
    </w:pPr>
    <w:rPr>
      <w:b/>
      <w:sz w:val="18"/>
    </w:rPr>
  </w:style>
  <w:style w:type="character" w:customStyle="1" w:styleId="FooterChar">
    <w:name w:val="Footer Char"/>
    <w:basedOn w:val="DefaultParagraphFont"/>
    <w:uiPriority w:val="99"/>
    <w:semiHidden/>
    <w:rsid w:val="00084F7A"/>
    <w:rPr>
      <w:rFonts w:ascii="Times New Roman" w:eastAsia="Times New Roman" w:hAnsi="Times New Roman" w:cs="Times New Roman"/>
      <w:kern w:val="0"/>
      <w:sz w:val="20"/>
      <w:szCs w:val="20"/>
      <w:lang w:val="en-GB" w:eastAsia="en-US"/>
      <w14:ligatures w14:val="none"/>
    </w:rPr>
  </w:style>
  <w:style w:type="character" w:customStyle="1" w:styleId="NormalnumberChar">
    <w:name w:val="Normal_number Char"/>
    <w:link w:val="Normalnumber"/>
    <w:rsid w:val="00084F7A"/>
    <w:rPr>
      <w:rFonts w:ascii="Times New Roman" w:eastAsia="Times New Roman" w:hAnsi="Times New Roman" w:cs="Times New Roman"/>
      <w:kern w:val="0"/>
      <w:sz w:val="20"/>
      <w:szCs w:val="20"/>
      <w:lang w:val="en-GB" w:eastAsia="en-US"/>
      <w14:ligatures w14:val="none"/>
    </w:rPr>
  </w:style>
  <w:style w:type="character" w:customStyle="1" w:styleId="CH2Char">
    <w:name w:val="CH2 Char"/>
    <w:link w:val="CH2"/>
    <w:locked/>
    <w:rsid w:val="00084F7A"/>
    <w:rPr>
      <w:rFonts w:ascii="Times New Roman" w:eastAsia="Times New Roman" w:hAnsi="Times New Roman" w:cs="Times New Roman"/>
      <w:b/>
      <w:kern w:val="0"/>
      <w:sz w:val="24"/>
      <w:szCs w:val="24"/>
      <w:lang w:val="en-US" w:eastAsia="en-US"/>
      <w14:ligatures w14:val="none"/>
    </w:rPr>
  </w:style>
  <w:style w:type="character" w:customStyle="1" w:styleId="NormalNonumberChar">
    <w:name w:val="Normal_No_number Char"/>
    <w:link w:val="NormalNonumber"/>
    <w:locked/>
    <w:rsid w:val="00084F7A"/>
    <w:rPr>
      <w:rFonts w:ascii="Times New Roman" w:eastAsia="Times New Roman" w:hAnsi="Times New Roman" w:cs="Times New Roman"/>
      <w:kern w:val="0"/>
      <w:sz w:val="20"/>
      <w:szCs w:val="20"/>
      <w:lang w:val="en-US" w:eastAsia="en-US"/>
      <w14:ligatures w14:val="none"/>
    </w:rPr>
  </w:style>
  <w:style w:type="character" w:customStyle="1" w:styleId="FooterChar1">
    <w:name w:val="Footer Char1"/>
    <w:basedOn w:val="DefaultParagraphFont"/>
    <w:link w:val="Footer"/>
    <w:rsid w:val="00084F7A"/>
    <w:rPr>
      <w:rFonts w:ascii="Times New Roman" w:eastAsia="Times New Roman" w:hAnsi="Times New Roman" w:cs="Times New Roman"/>
      <w:b/>
      <w:kern w:val="0"/>
      <w:sz w:val="18"/>
      <w:szCs w:val="20"/>
      <w:lang w:val="en-GB" w:eastAsia="en-US"/>
      <w14:ligatures w14:val="none"/>
    </w:rPr>
  </w:style>
  <w:style w:type="character" w:customStyle="1" w:styleId="CH3Char">
    <w:name w:val="CH3 Char"/>
    <w:link w:val="CH3"/>
    <w:locked/>
    <w:rsid w:val="00084F7A"/>
    <w:rPr>
      <w:rFonts w:ascii="Times New Roman" w:eastAsia="Times New Roman" w:hAnsi="Times New Roman" w:cs="Times New Roman"/>
      <w:b/>
      <w:kern w:val="0"/>
      <w:sz w:val="20"/>
      <w:szCs w:val="20"/>
      <w:lang w:val="en-US" w:eastAsia="en-US"/>
      <w14:ligatures w14:val="none"/>
    </w:rPr>
  </w:style>
  <w:style w:type="paragraph" w:styleId="Header">
    <w:name w:val="header"/>
    <w:basedOn w:val="Normal"/>
    <w:link w:val="HeaderChar"/>
    <w:uiPriority w:val="99"/>
    <w:unhideWhenUsed/>
    <w:rsid w:val="00F30BED"/>
    <w:pPr>
      <w:tabs>
        <w:tab w:val="clear" w:pos="1247"/>
        <w:tab w:val="clear" w:pos="1814"/>
        <w:tab w:val="clear" w:pos="2381"/>
        <w:tab w:val="clear" w:pos="2948"/>
        <w:tab w:val="clear" w:pos="3515"/>
        <w:tab w:val="center" w:pos="4513"/>
        <w:tab w:val="right" w:pos="9026"/>
      </w:tabs>
    </w:pPr>
  </w:style>
  <w:style w:type="character" w:customStyle="1" w:styleId="HeaderChar">
    <w:name w:val="Header Char"/>
    <w:basedOn w:val="DefaultParagraphFont"/>
    <w:link w:val="Header"/>
    <w:uiPriority w:val="99"/>
    <w:rsid w:val="00F30BED"/>
    <w:rPr>
      <w:rFonts w:ascii="Times New Roman" w:eastAsia="Times New Roman" w:hAnsi="Times New Roman" w:cs="Times New Roman"/>
      <w:kern w:val="0"/>
      <w:sz w:val="20"/>
      <w:szCs w:val="20"/>
      <w:lang w:val="en-GB" w:eastAsia="en-US"/>
      <w14:ligatures w14:val="none"/>
    </w:rPr>
  </w:style>
  <w:style w:type="numbering" w:customStyle="1" w:styleId="Normallist4">
    <w:name w:val="Normal_list4"/>
    <w:basedOn w:val="NoList"/>
    <w:rsid w:val="00DB6579"/>
  </w:style>
  <w:style w:type="character" w:styleId="FootnoteReference">
    <w:name w:val="footnote reference"/>
    <w:aliases w:val="ftref,16 Point,Superscript 6 Point,number,SUPERS,Footnote Reference Superscript,(Ref. de nota al pie),fr,Ref,de nota al pie,註腳內容,de nota al pie + (Asian) MS Mincho,Footnote Reference1,11 pt,Ref. de nota de rodapé1,stylish"/>
    <w:uiPriority w:val="99"/>
    <w:unhideWhenUsed/>
    <w:rsid w:val="008F5FD1"/>
    <w:rPr>
      <w:rFonts w:ascii="Times New Roman" w:hAnsi="Times New Roman"/>
      <w:color w:val="auto"/>
      <w:sz w:val="20"/>
      <w:szCs w:val="18"/>
      <w:vertAlign w:val="superscript"/>
      <w:lang w:val="en-GB"/>
    </w:rPr>
  </w:style>
  <w:style w:type="paragraph" w:styleId="TOC2">
    <w:name w:val="toc 2"/>
    <w:basedOn w:val="Normal"/>
    <w:next w:val="Normal"/>
    <w:unhideWhenUsed/>
    <w:rsid w:val="00DC3452"/>
    <w:pPr>
      <w:tabs>
        <w:tab w:val="right" w:leader="dot" w:pos="9486"/>
      </w:tabs>
      <w:spacing w:before="60"/>
      <w:ind w:left="2608" w:hanging="737"/>
    </w:pPr>
  </w:style>
  <w:style w:type="paragraph" w:styleId="Revision">
    <w:name w:val="Revision"/>
    <w:hidden/>
    <w:uiPriority w:val="99"/>
    <w:semiHidden/>
    <w:rsid w:val="00DA3519"/>
    <w:pPr>
      <w:spacing w:after="0" w:line="240" w:lineRule="auto"/>
    </w:pPr>
    <w:rPr>
      <w:rFonts w:ascii="Times New Roman" w:eastAsia="Times New Roman" w:hAnsi="Times New Roman" w:cs="Times New Roman"/>
      <w:kern w:val="0"/>
      <w:sz w:val="20"/>
      <w:szCs w:val="20"/>
      <w:lang w:eastAsia="en-US"/>
      <w14:ligatures w14:val="none"/>
    </w:rPr>
  </w:style>
  <w:style w:type="character" w:styleId="Hyperlink">
    <w:name w:val="Hyperlink"/>
    <w:basedOn w:val="DefaultParagraphFont"/>
    <w:uiPriority w:val="99"/>
    <w:rsid w:val="00D606EC"/>
    <w:rPr>
      <w:color w:val="0000FF"/>
      <w:u w:val="none"/>
      <w:lang w:val="en-GB"/>
    </w:rPr>
  </w:style>
  <w:style w:type="numbering" w:customStyle="1" w:styleId="Normallist1">
    <w:name w:val="Normal_list1"/>
    <w:rsid w:val="004D3312"/>
  </w:style>
  <w:style w:type="table" w:styleId="TableGrid">
    <w:name w:val="Table Grid"/>
    <w:basedOn w:val="TableNormal"/>
    <w:uiPriority w:val="59"/>
    <w:rsid w:val="007720ED"/>
    <w:pPr>
      <w:spacing w:after="0" w:line="240" w:lineRule="auto"/>
    </w:pPr>
    <w:rPr>
      <w:rFonts w:ascii="Times New Roman" w:eastAsia="SimSun" w:hAnsi="Times New Roman"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043941">
      <w:bodyDiv w:val="1"/>
      <w:marLeft w:val="0"/>
      <w:marRight w:val="0"/>
      <w:marTop w:val="0"/>
      <w:marBottom w:val="0"/>
      <w:divBdr>
        <w:top w:val="none" w:sz="0" w:space="0" w:color="auto"/>
        <w:left w:val="none" w:sz="0" w:space="0" w:color="auto"/>
        <w:bottom w:val="none" w:sz="0" w:space="0" w:color="auto"/>
        <w:right w:val="none" w:sz="0" w:space="0" w:color="auto"/>
      </w:divBdr>
    </w:div>
    <w:div w:id="182288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Date xmlns="985ec44e-1bab-4c0b-9df0-6ba128686fc9">2024-12-06T07:36:11+00:00</Document_x0020_Date>
    <KpiDescription xmlns="http://schemas.microsoft.com/sharepoint/v3" xsi:nil="true"/>
    <gba66df640194346a5267c50f24d4797 xmlns="985ec44e-1bab-4c0b-9df0-6ba128686fc9">
      <Terms xmlns="http://schemas.microsoft.com/office/infopath/2007/PartnerControls"/>
    </gba66df640194346a5267c50f24d4797>
    <Document_x0020_Type xmlns="985ec44e-1bab-4c0b-9df0-6ba128686fc9">UN others</Document_x0020_Type>
    <TaxCatchAll xmlns="985ec44e-1bab-4c0b-9df0-6ba128686fc9" xsi:nil="true"/>
    <Date_x0020_Sent xmlns="985ec44e-1bab-4c0b-9df0-6ba128686fc9">2024-12-06T07:36:11+00:00</Date_x0020_Sent>
    <Personal_x0020_Information_x0020__x0028_PII_x0029_ xmlns="985ec44e-1bab-4c0b-9df0-6ba128686fc9">false</Personal_x0020_Information_x0020__x0028_PII_x0029_>
    <Date_x0020_Received xmlns="985ec44e-1bab-4c0b-9df0-6ba128686fc9">2024-12-06T07:36:11+00:00</Date_x0020_Received>
    <Linked_x0020_Records xmlns="985ec44e-1bab-4c0b-9df0-6ba128686fc9">
      <Url xsi:nil="true"/>
      <Description xsi:nil="true"/>
    </Linked_x0020_Records>
    <Security_x0020_Level xmlns="985ec44e-1bab-4c0b-9df0-6ba128686fc9">Unclassified</Security_x0020_Level>
    <UN_x0020_Official_x0020_Language xmlns="985ec44e-1bab-4c0b-9df0-6ba128686fc9">English</UN_x0020_Official_x0020_Language>
  </documentManagement>
</p:properties>
</file>

<file path=customXml/item2.xml><?xml version="1.0" encoding="utf-8"?>
<ct:contentTypeSchema xmlns:ct="http://schemas.microsoft.com/office/2006/metadata/contentType" xmlns:ma="http://schemas.microsoft.com/office/2006/metadata/properties/metaAttributes" ct:_="" ma:_="" ma:contentTypeName="UN Document" ma:contentTypeID="0x010100AF687BC085C91946BC54CBDC5AB286CC00C98D0C8D73AF894E997C937D021D4600" ma:contentTypeVersion="17" ma:contentTypeDescription="" ma:contentTypeScope="" ma:versionID="abfeebb5f1c2252d28e7e38e834783e0">
  <xsd:schema xmlns:xsd="http://www.w3.org/2001/XMLSchema" xmlns:xs="http://www.w3.org/2001/XMLSchema" xmlns:p="http://schemas.microsoft.com/office/2006/metadata/properties" xmlns:ns1="http://schemas.microsoft.com/sharepoint/v3" xmlns:ns3="985ec44e-1bab-4c0b-9df0-6ba128686fc9" targetNamespace="http://schemas.microsoft.com/office/2006/metadata/properties" ma:root="true" ma:fieldsID="beb10cd3425244f1e10950b62c66c58c" ns1:_="" ns3:_="">
    <xsd:import namespace="http://schemas.microsoft.com/sharepoint/v3"/>
    <xsd:import namespace="985ec44e-1bab-4c0b-9df0-6ba128686fc9"/>
    <xsd:element name="properties">
      <xsd:complexType>
        <xsd:sequence>
          <xsd:element name="documentManagement">
            <xsd:complexType>
              <xsd:all>
                <xsd:element ref="ns3:Document_x0020_Date" minOccurs="0"/>
                <xsd:element ref="ns3:Date_x0020_Received" minOccurs="0"/>
                <xsd:element ref="ns3:Date_x0020_Sent" minOccurs="0"/>
                <xsd:element ref="ns3:Security_x0020_Level" minOccurs="0"/>
                <xsd:element ref="ns3:Personal_x0020_Information_x0020__x0028_PII_x0029_" minOccurs="0"/>
                <xsd:element ref="ns3:Linked_x0020_Records" minOccurs="0"/>
                <xsd:element ref="ns1:KpiDescription" minOccurs="0"/>
                <xsd:element ref="ns3:UN_x0020_Official_x0020_Language" minOccurs="0"/>
                <xsd:element ref="ns3:Document_x0020_Type" minOccurs="0"/>
                <xsd:element ref="ns3:TaxCatchAllLabel" minOccurs="0"/>
                <xsd:element ref="ns3:gba66df640194346a5267c50f24d4797"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1" nillable="true" ma:displayName="Description"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Document_x0020_Date" ma:index="2" nillable="true" ma:displayName="Document Date" ma:default="[today]" ma:description="The date when the file was drafted" ma:format="DateOnly" ma:internalName="Document_x0020_Date" ma:readOnly="false">
      <xsd:simpleType>
        <xsd:restriction base="dms:DateTime"/>
      </xsd:simpleType>
    </xsd:element>
    <xsd:element name="Date_x0020_Received" ma:index="3" nillable="true" ma:displayName="Date Received" ma:default="[today]" ma:format="DateOnly" ma:internalName="Date_x0020_Received" ma:readOnly="false">
      <xsd:simpleType>
        <xsd:restriction base="dms:DateTime"/>
      </xsd:simpleType>
    </xsd:element>
    <xsd:element name="Date_x0020_Sent" ma:index="4" nillable="true" ma:displayName="Date Sent" ma:default="[today]" ma:format="DateOnly" ma:internalName="Date_x0020_Sent">
      <xsd:simpleType>
        <xsd:restriction base="dms:DateTime"/>
      </xsd:simpleType>
    </xsd:element>
    <xsd:element name="Security_x0020_Level" ma:index="7" nillable="true" ma:displayName="Security Level" ma:default="Unclassified" ma:format="RadioButtons" ma:internalName="Security_x0020_Level">
      <xsd:simpleType>
        <xsd:restriction base="dms:Choice">
          <xsd:enumeration value="Unclassified"/>
          <xsd:enumeration value="Confidential"/>
          <xsd:enumeration value="Strictly Confidential"/>
        </xsd:restriction>
      </xsd:simpleType>
    </xsd:element>
    <xsd:element name="Personal_x0020_Information_x0020__x0028_PII_x0029_" ma:index="8" nillable="true" ma:displayName="Personal Information (PI)" ma:default="0" ma:description="This field indicates whether the file contains Personal Information" ma:internalName="Personal_x0020_Information_x0020__x0028_PII_x0029_" ma:readOnly="false">
      <xsd:simpleType>
        <xsd:restriction base="dms:Boolean"/>
      </xsd:simpleType>
    </xsd:element>
    <xsd:element name="Linked_x0020_Records" ma:index="9" nillable="true" ma:displayName="Linked Records" ma:format="Hyperlink" ma:internalName="Linked_x0020_Records">
      <xsd:complexType>
        <xsd:complexContent>
          <xsd:extension base="dms:URL">
            <xsd:sequence>
              <xsd:element name="Url" type="dms:ValidUrl" minOccurs="0" nillable="true"/>
              <xsd:element name="Description" type="xsd:string" nillable="true"/>
            </xsd:sequence>
          </xsd:extension>
        </xsd:complexContent>
      </xsd:complexType>
    </xsd:element>
    <xsd:element name="UN_x0020_Official_x0020_Language" ma:index="12" nillable="true" ma:displayName="Language (UN's Official)" ma:default="English" ma:format="Dropdown" ma:internalName="UN_x0020_Official_x0020_Language" ma:readOnly="false">
      <xsd:simpleType>
        <xsd:restriction base="dms:Choice">
          <xsd:enumeration value="Arabic"/>
          <xsd:enumeration value="Chinese"/>
          <xsd:enumeration value="English"/>
          <xsd:enumeration value="French"/>
          <xsd:enumeration value="Russian"/>
          <xsd:enumeration value="Spanish"/>
        </xsd:restriction>
      </xsd:simpleType>
    </xsd:element>
    <xsd:element name="Document_x0020_Type" ma:index="13" nillable="true" ma:displayName="Document Type" ma:default="UN others" ma:format="Dropdown" ma:internalName="Document_x0020_Type" ma:readOnly="false">
      <xsd:simpleType>
        <xsd:restriction base="dms:Choice">
          <xsd:enumeration value="Code Cable"/>
          <xsd:enumeration value="Facsimile"/>
          <xsd:enumeration value="Form"/>
          <xsd:enumeration value="Letter"/>
          <xsd:enumeration value="Memorandum"/>
          <xsd:enumeration value="Note"/>
          <xsd:enumeration value="Note verbale"/>
          <xsd:enumeration value="Report"/>
          <xsd:enumeration value="Slip"/>
          <xsd:enumeration value="UN others"/>
          <xsd:enumeration value="Non-UN"/>
        </xsd:restriction>
      </xsd:simpleType>
    </xsd:element>
    <xsd:element name="TaxCatchAllLabel" ma:index="14" nillable="true" ma:displayName="Taxonomy Catch All Column1" ma:hidden="true" ma:list="{cfd9c986-1e4b-4092-83b4-ffd028e2f9b7}" ma:internalName="TaxCatchAllLabel" ma:readOnly="true" ma:showField="CatchAllDataLabel" ma:web="7882167c-b1fa-4e55-b4a5-6145aa31e8d9">
      <xsd:complexType>
        <xsd:complexContent>
          <xsd:extension base="dms:MultiChoiceLookup">
            <xsd:sequence>
              <xsd:element name="Value" type="dms:Lookup" maxOccurs="unbounded" minOccurs="0" nillable="true"/>
            </xsd:sequence>
          </xsd:extension>
        </xsd:complexContent>
      </xsd:complexType>
    </xsd:element>
    <xsd:element name="gba66df640194346a5267c50f24d4797" ma:index="20" nillable="true" ma:taxonomy="true" ma:internalName="gba66df640194346a5267c50f24d4797" ma:taxonomyFieldName="Office_x0020_of_x0020_Origin" ma:displayName="Office of origin" ma:readOnly="false" ma:default="" ma:fieldId="{0ba66df6-4019-4346-a526-7c50f24d4797}" ma:sspId="78175662-8596-484a-92c7-351d01561e22" ma:termSetId="045c6cc4-dc5e-443b-8b37-1361f130ed2a"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cfd9c986-1e4b-4092-83b4-ffd028e2f9b7}" ma:internalName="TaxCatchAll" ma:showField="CatchAllData" ma:web="7882167c-b1fa-4e55-b4a5-6145aa31e8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 ma:displayName="Author"/>
        <xsd:element ref="dcterms:created" minOccurs="0" maxOccurs="1"/>
        <xsd:element ref="dc:identifier" minOccurs="0" maxOccurs="1"/>
        <xsd:element name="contentType" minOccurs="0" maxOccurs="1" type="xsd:string" ma:index="22" ma:displayName="Content Type"/>
        <xsd:element ref="dc:title" minOccurs="0" maxOccurs="1" ma:index="6"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8175662-8596-484a-92c7-351d01561e22" ContentTypeId="0x010100AF687BC085C91946BC54CBDC5AB286CC" PreviousValue="false" LastSyncTimeStamp="2021-02-04T13:33:18.75Z"/>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D7F302-130B-4ACE-8C46-613EA7D0BD96}">
  <ds:schemaRefs>
    <ds:schemaRef ds:uri="http://schemas.microsoft.com/office/2006/metadata/properties"/>
    <ds:schemaRef ds:uri="http://schemas.microsoft.com/office/infopath/2007/PartnerControls"/>
    <ds:schemaRef ds:uri="985ec44e-1bab-4c0b-9df0-6ba128686fc9"/>
    <ds:schemaRef ds:uri="http://schemas.microsoft.com/sharepoint/v3"/>
  </ds:schemaRefs>
</ds:datastoreItem>
</file>

<file path=customXml/itemProps2.xml><?xml version="1.0" encoding="utf-8"?>
<ds:datastoreItem xmlns:ds="http://schemas.openxmlformats.org/officeDocument/2006/customXml" ds:itemID="{8EF987EE-4FBA-4D8A-8075-C8B9E6280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7999BE-A9C2-45BD-B1B4-4056CB9FB106}">
  <ds:schemaRefs>
    <ds:schemaRef ds:uri="Microsoft.SharePoint.Taxonomy.ContentTypeSync"/>
  </ds:schemaRefs>
</ds:datastoreItem>
</file>

<file path=customXml/itemProps4.xml><?xml version="1.0" encoding="utf-8"?>
<ds:datastoreItem xmlns:ds="http://schemas.openxmlformats.org/officeDocument/2006/customXml" ds:itemID="{8989111C-AA47-4E39-8372-2F5CB4086DC6}">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6191</Words>
  <Characters>35293</Characters>
  <Application>Microsoft Office Word</Application>
  <DocSecurity>0</DocSecurity>
  <Lines>294</Lines>
  <Paragraphs>82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Yiwei Zou</dc:creator>
  <cp:keywords/>
  <dc:description/>
  <cp:lastModifiedBy>Martha Mulumba</cp:lastModifiedBy>
  <cp:revision>2</cp:revision>
  <cp:lastPrinted>2024-12-06T22:00:00Z</cp:lastPrinted>
  <dcterms:created xsi:type="dcterms:W3CDTF">2025-11-02T10:56:00Z</dcterms:created>
  <dcterms:modified xsi:type="dcterms:W3CDTF">2025-11-02T10:56:00Z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0x010100AF687BC085C91946BC54CBDC5AB286CC00C98D0C8D73AF894E997C937D021D4600</vt:lpwstr>
  </property>
  <property fmtid="{D5CDD505-2E9C-101B-9397-08002B2CF9AE}" pid="3" name="Office of Origin">
    <vt:lpwstr/>
  </property>
  <property fmtid="{D5CDD505-2E9C-101B-9397-08002B2CF9AE}" pid="4" name="MediaServiceImageTags">
    <vt:lpwstr/>
  </property>
  <property fmtid="{D5CDD505-2E9C-101B-9397-08002B2CF9AE}" pid="5" name="Office_x0020_of_x0020_Origin">
    <vt:lpwstr/>
  </property>
  <property fmtid="{D5CDD505-2E9C-101B-9397-08002B2CF9AE}" pid="6" name="lcf76f155ced4ddcb4097134ff3c332f">
    <vt:lpwstr/>
  </property>
</Properties>
</file>