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225D2" w14:textId="77777777" w:rsidR="0005245B" w:rsidRDefault="0005245B" w:rsidP="00CB3555">
      <w:pPr>
        <w:pStyle w:val="BBTitle"/>
      </w:pPr>
      <w:bookmarkStart w:id="0" w:name="_GoBack"/>
      <w:bookmarkEnd w:id="0"/>
      <w:r>
        <w:t>Version provisoire du texte portant sur les solutions aux défis recensés dans la feuille de route de Dubaï</w:t>
      </w:r>
    </w:p>
    <w:p w14:paraId="3A51DD47" w14:textId="77777777" w:rsidR="0005245B" w:rsidRPr="00CB3555" w:rsidRDefault="0005245B" w:rsidP="00CB3555">
      <w:pPr>
        <w:pStyle w:val="NormalNonumber"/>
        <w:rPr>
          <w:rFonts w:eastAsia="Calibri"/>
          <w:i/>
        </w:rPr>
      </w:pPr>
      <w:r w:rsidRPr="00CB3555">
        <w:rPr>
          <w:i/>
        </w:rPr>
        <w:t>La vingt-huitième Réunion des Parties décide :</w:t>
      </w:r>
    </w:p>
    <w:p w14:paraId="71A2CD86" w14:textId="77777777" w:rsidR="0005245B" w:rsidRDefault="0005245B" w:rsidP="00CB3555">
      <w:pPr>
        <w:pStyle w:val="CH2"/>
      </w:pPr>
      <w:r>
        <w:tab/>
      </w:r>
      <w:r>
        <w:tab/>
        <w:t>[Défi 3]</w:t>
      </w:r>
    </w:p>
    <w:p w14:paraId="0DB37AA1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</w:pPr>
      <w:r>
        <w:t>De reconnaître l</w:t>
      </w:r>
      <w:r w:rsidR="00CB3555">
        <w:t>’</w:t>
      </w:r>
      <w:r>
        <w:t>importance de mettre rapidement à jour les normes internationales concernant les réfrigérants inflammables à faible PRG, dont le IEC 60335-2-40, de promouvoir des interventions qui permettent l</w:t>
      </w:r>
      <w:r w:rsidR="00CB3555">
        <w:t>’</w:t>
      </w:r>
      <w:r>
        <w:t>introduction sur le marché de solutions sûres, ainsi que la fabrication, l</w:t>
      </w:r>
      <w:r w:rsidR="00CB3555">
        <w:t>’</w:t>
      </w:r>
      <w:r>
        <w:t>exploitation, l</w:t>
      </w:r>
      <w:r w:rsidR="00CB3555">
        <w:t>’</w:t>
      </w:r>
      <w:r>
        <w:t>entretien et la manutention de solutions de remplacement des hydrochlorofluorocarbones et des hydrofluorocarbones à potentiel de réchauffement global faible ou nul;</w:t>
      </w:r>
      <w:r>
        <w:rPr>
          <w:vertAlign w:val="superscript"/>
        </w:rPr>
        <w:t xml:space="preserve"> </w:t>
      </w:r>
    </w:p>
    <w:p w14:paraId="39742A29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ascii="Calibri" w:eastAsia="Calibri" w:hAnsi="Calibri"/>
        </w:rPr>
      </w:pPr>
      <w:r>
        <w:t>De procéder à des examens périodiques des solutions de remplacement au regard des critères énoncés au paragraphe 1 </w:t>
      </w:r>
      <w:proofErr w:type="gramStart"/>
      <w:r>
        <w:t>a</w:t>
      </w:r>
      <w:proofErr w:type="gramEnd"/>
      <w:r>
        <w:t>) de la décision XXVI/9.</w:t>
      </w:r>
      <w:r>
        <w:rPr>
          <w:color w:val="FF0000"/>
        </w:rPr>
        <w:t xml:space="preserve"> [Remarque du Groupe de rédaction juridique : le texte portant sur les solutions a indiqué que les Parties poursuivront l</w:t>
      </w:r>
      <w:r w:rsidR="00CB3555">
        <w:rPr>
          <w:color w:val="FF0000"/>
        </w:rPr>
        <w:t>’</w:t>
      </w:r>
      <w:r>
        <w:rPr>
          <w:color w:val="FF0000"/>
        </w:rPr>
        <w:t>examen de cette question à l</w:t>
      </w:r>
      <w:r w:rsidR="00CB3555">
        <w:rPr>
          <w:color w:val="FF0000"/>
        </w:rPr>
        <w:t>’</w:t>
      </w:r>
      <w:r>
        <w:rPr>
          <w:color w:val="FF0000"/>
        </w:rPr>
        <w:t>occasion de la trente-huitième réunion du Groupe de travail à composition non limitée.</w:t>
      </w:r>
      <w:r>
        <w:rPr>
          <w:rFonts w:ascii="Calibri" w:hAnsi="Calibri"/>
          <w:color w:val="FF0000"/>
        </w:rPr>
        <w:t>]</w:t>
      </w:r>
    </w:p>
    <w:p w14:paraId="38823F29" w14:textId="77777777" w:rsidR="0005245B" w:rsidRDefault="0005245B" w:rsidP="0005245B">
      <w:pPr>
        <w:pStyle w:val="CH2"/>
      </w:pPr>
      <w:r>
        <w:tab/>
      </w:r>
      <w:r>
        <w:tab/>
        <w:t>[Défi 4]</w:t>
      </w:r>
    </w:p>
    <w:p w14:paraId="77BDE0AE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Que les Parties visées au paragraphe 1 de l</w:t>
      </w:r>
      <w:r w:rsidR="00CB3555">
        <w:t>’</w:t>
      </w:r>
      <w:r>
        <w:t>Article 5 auront la souplesse voulue pour donner la priorité aux hydrofluorocarbones, circonscrire les secteurs concernés, choisir des technologies et produits de remplacement, élaborer et mettre en œuvre des stratégies pour s</w:t>
      </w:r>
      <w:r w:rsidR="00CB3555">
        <w:t>’</w:t>
      </w:r>
      <w:r>
        <w:t>acquitter des obligations convenues concernant les hydrofluorocarbones, en tenant compte de leurs besoins spécifiques et de leurs circonstances nationales et à l</w:t>
      </w:r>
      <w:r w:rsidR="00CB3555">
        <w:t>’</w:t>
      </w:r>
      <w:r>
        <w:t>initiative des pays.</w:t>
      </w:r>
    </w:p>
    <w:p w14:paraId="4A617CC7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demander au Comité exécutif du Fonds multilatéral d</w:t>
      </w:r>
      <w:r w:rsidR="00CB3555">
        <w:t>’</w:t>
      </w:r>
      <w:r>
        <w:t>intégrer le principe exposé au paragraphe ci-dessus dans les directives pertinentes pour le financement de la réduction de la production des hydrofluorocarbones et dans le processus de prise de décision.</w:t>
      </w:r>
    </w:p>
    <w:p w14:paraId="18FCCB04" w14:textId="77777777" w:rsidR="0005245B" w:rsidRDefault="0005245B" w:rsidP="0005245B">
      <w:pPr>
        <w:pStyle w:val="CH2"/>
      </w:pPr>
      <w:r>
        <w:tab/>
      </w:r>
      <w:r>
        <w:tab/>
        <w:t>[Défi 6]</w:t>
      </w:r>
    </w:p>
    <w:p w14:paraId="3505216F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reconnaître les liens entre la gestion des hydrofluorocarbones et le calendrier de réduction des hydrochlorofluorocarbones pertinent pour le secteur et le fait qu</w:t>
      </w:r>
      <w:r w:rsidR="00CB3555">
        <w:t>’</w:t>
      </w:r>
      <w:r>
        <w:t>il est préférable d</w:t>
      </w:r>
      <w:r w:rsidR="00CB3555">
        <w:t>’</w:t>
      </w:r>
      <w:r>
        <w:t>éviter le passage des hydrochlorofluorocarbones à des hydrofluorocarbones à PRG élevé et de faire preuve de souplesse si d</w:t>
      </w:r>
      <w:r w:rsidR="00CB3555">
        <w:t>’</w:t>
      </w:r>
      <w:r>
        <w:t>autres solutions de remplacement techniquement prouvées et économiquement viables ne sont pas disponibles.</w:t>
      </w:r>
    </w:p>
    <w:p w14:paraId="20E07605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</w:pPr>
      <w:r>
        <w:t>De reconnaître également ces liens en ce qui concerne certains secteurs, notamment le secteur des réfrigérants pour les procédés industriels, et qu</w:t>
      </w:r>
      <w:r w:rsidR="00CB3555">
        <w:t>’</w:t>
      </w:r>
      <w:r>
        <w:t>il est préférable d</w:t>
      </w:r>
      <w:r w:rsidR="00CB3555">
        <w:t>’</w:t>
      </w:r>
      <w:r>
        <w:t>éviter le passage des hydrochlorofluorocarbones à des hydrofluorocarbones à PRG élevé, et de faire preuve de souplesse s</w:t>
      </w:r>
      <w:r w:rsidR="00CB3555">
        <w:t>’</w:t>
      </w:r>
      <w:r>
        <w:t>il n</w:t>
      </w:r>
      <w:r w:rsidR="00CB3555">
        <w:t>’</w:t>
      </w:r>
      <w:r>
        <w:t>existe aucune autre solution de remplacement dans les cas où : 1)</w:t>
      </w:r>
      <w:r w:rsidR="00684DD2">
        <w:t> </w:t>
      </w:r>
      <w:r>
        <w:t>l</w:t>
      </w:r>
      <w:r w:rsidR="00CB3555">
        <w:t>’</w:t>
      </w:r>
      <w:r>
        <w:t>approvisionnement en HCFC ne pourra être assuré à partir de la consommation autorisée actuelle, des stocks ainsi que des substances récupérées ou recyclées, et 2) cela permettrait de passer directement à une date ultérieure des hydrochlorofluorocarbones à des produits de remplacement à faible PRG ou à PRG zéro.</w:t>
      </w:r>
    </w:p>
    <w:p w14:paraId="5E1C575C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fournir, avant le commencement de tout gel des hydrofluorocarbones pour les Parties visées à l</w:t>
      </w:r>
      <w:r w:rsidR="00CB3555">
        <w:t>’</w:t>
      </w:r>
      <w:r>
        <w:t>article 5 ou de toute autre mesure de réglementation initiale des hydrofluorocarbones qui leur soit applicable et au vu des considérations qui précèdent, des mesures de souplesse sur l</w:t>
      </w:r>
      <w:r w:rsidR="00CB3555">
        <w:t>’</w:t>
      </w:r>
      <w:r>
        <w:t xml:space="preserve">élimination progressive des hydrofluorocarbones dans certains secteurs, en particulier le </w:t>
      </w:r>
      <w:r w:rsidR="00684DD2">
        <w:br/>
      </w:r>
      <w:r>
        <w:t>sous-secteur des réfrigérants pour les procédés industriels afin d</w:t>
      </w:r>
      <w:r w:rsidR="00CB3555">
        <w:t>’</w:t>
      </w:r>
      <w:r>
        <w:t>éviter des doubles conversions.</w:t>
      </w:r>
    </w:p>
    <w:p w14:paraId="00505172" w14:textId="77777777" w:rsidR="0005245B" w:rsidRDefault="0005245B" w:rsidP="00CB3555">
      <w:pPr>
        <w:pStyle w:val="NormalNonumber"/>
      </w:pPr>
      <w:r>
        <w:t>[Informations provenant de l</w:t>
      </w:r>
      <w:r w:rsidR="00CB3555">
        <w:t>’</w:t>
      </w:r>
      <w:r>
        <w:t>Annexe I – Solutions pour relever les défis concernant les questions de financement et de souplesse dans la mise en œuvre]</w:t>
      </w:r>
    </w:p>
    <w:p w14:paraId="245140E8" w14:textId="77777777" w:rsidR="0005245B" w:rsidRDefault="0005245B" w:rsidP="00CB3555">
      <w:pPr>
        <w:pStyle w:val="NormalNonumber"/>
      </w:pPr>
      <w:r>
        <w:t>[Principes fondamentaux et délais]</w:t>
      </w:r>
    </w:p>
    <w:p w14:paraId="5C33CA7D" w14:textId="77777777" w:rsidR="0005245B" w:rsidRDefault="0005245B" w:rsidP="00CB3555">
      <w:pPr>
        <w:pStyle w:val="NormalNonumber"/>
      </w:pPr>
      <w:r>
        <w:t>[</w:t>
      </w:r>
      <w:r w:rsidRPr="00CB3555">
        <w:rPr>
          <w:color w:val="FF0000"/>
        </w:rPr>
        <w:t xml:space="preserve">Remarque du Groupe de rédaction juridique : Le texte suivant apparaît dans les solutions pour relever les défis concernant les questions de financement et de souplesse dans la mise en œuvre : </w:t>
      </w:r>
      <w:r>
        <w:t>« Afin de maintenir le Fonds multilatéral en tant que mécanisme de financement pour l</w:t>
      </w:r>
      <w:r w:rsidR="00CB3555">
        <w:t>’</w:t>
      </w:r>
      <w:r>
        <w:t>amendement des hydrofluorocarbones, une référence à l</w:t>
      </w:r>
      <w:r w:rsidR="00CB3555">
        <w:t>’</w:t>
      </w:r>
      <w:r>
        <w:t xml:space="preserve">Article sur les hydrofluorocarbones devra être ajoutée au </w:t>
      </w:r>
      <w:r>
        <w:lastRenderedPageBreak/>
        <w:t>paragraphe 1 de l</w:t>
      </w:r>
      <w:r w:rsidR="00CB3555">
        <w:t>’</w:t>
      </w:r>
      <w:r>
        <w:t>Article 10.  Ceci pourrait être davantage reconnu dans la décision de la Réunion des Parties tel qu</w:t>
      </w:r>
      <w:r w:rsidR="00CB3555">
        <w:t>’</w:t>
      </w:r>
      <w:r>
        <w:t>indiqué ci-dessous.</w:t>
      </w:r>
    </w:p>
    <w:p w14:paraId="49EC0D34" w14:textId="77777777" w:rsidR="0005245B" w:rsidRDefault="0005245B" w:rsidP="00CB3555">
      <w:pPr>
        <w:pStyle w:val="NormalNonumber"/>
      </w:pPr>
      <w:r>
        <w:t>Toutes les autres solutions portant sur le financement/la souplesse de mise en œuvre seront incluses dans la décision de la Réunion des Parties. »]</w:t>
      </w:r>
    </w:p>
    <w:p w14:paraId="7FC35E07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reconnaître que l</w:t>
      </w:r>
      <w:r w:rsidR="00CB3555">
        <w:t>’</w:t>
      </w:r>
      <w:r>
        <w:t>amendement maintient le Fonds multilatéral en tant que mécanisme de financement, étant entendu que des ressources financières additionnelles seront fournies par les Parties non visées au paragraphe 1 de l</w:t>
      </w:r>
      <w:r w:rsidR="00CB3555">
        <w:t>’</w:t>
      </w:r>
      <w:r>
        <w:t>Article 5 pour compenser les coûts résultant de la gestion des hydrochlorofluorocarbones par les Parties visées au paragraphe 1 de l</w:t>
      </w:r>
      <w:r w:rsidR="00CB3555">
        <w:t>’</w:t>
      </w:r>
      <w:r>
        <w:t>Article 5 selon cet amendement.</w:t>
      </w:r>
    </w:p>
    <w:p w14:paraId="04FB2018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Que les Parties visées au paragraphe 1 de l</w:t>
      </w:r>
      <w:r w:rsidR="00CB3555">
        <w:t>’</w:t>
      </w:r>
      <w:r>
        <w:t>Article 5 auront la souplesse voulue pour donner la priorité aux hydrofluorocarbones, circonscrire les secteurs concernés, choisir des technologies et produits de remplacement, élaborer et mettre en œuvre des stratégies pour s</w:t>
      </w:r>
      <w:r w:rsidR="00CB3555">
        <w:t>’</w:t>
      </w:r>
      <w:r>
        <w:t>acquitter des obligations convenues concernant les hydrofluorocarbones, en tenant compte de leurs besoins spécifiques et de leurs circonstances nationales et à l</w:t>
      </w:r>
      <w:r w:rsidR="00CB3555">
        <w:t>’</w:t>
      </w:r>
      <w:r>
        <w:t>initiative des pays.</w:t>
      </w:r>
    </w:p>
    <w:p w14:paraId="310ADB69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demander au Comité exécutif du Fonds multilatéral d</w:t>
      </w:r>
      <w:r w:rsidR="00CB3555">
        <w:t>’</w:t>
      </w:r>
      <w:r>
        <w:t xml:space="preserve">intégrer le principe exposé au paragraphe ci-dessus dans les directives pertinentes pour le financement de la réduction de la production des hydrofluorocarbones et dans le processus de prise de décision. </w:t>
      </w:r>
    </w:p>
    <w:p w14:paraId="089028CF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demander au Comité exécutif d</w:t>
      </w:r>
      <w:r w:rsidR="00CB3555">
        <w:t>’</w:t>
      </w:r>
      <w:r>
        <w:t>élaborer, dans un délai d</w:t>
      </w:r>
      <w:r w:rsidR="00CB3555">
        <w:t>’</w:t>
      </w:r>
      <w:r>
        <w:t>un an à compter de l</w:t>
      </w:r>
      <w:r w:rsidR="00CB3555">
        <w:t>’</w:t>
      </w:r>
      <w:r>
        <w:t>adoption de cet amendement, des directives concernant le financement de la réduction de la consommation et de la production d</w:t>
      </w:r>
      <w:r w:rsidR="00CB3555">
        <w:t>’</w:t>
      </w:r>
      <w:r>
        <w:t>hydrofluorocarbone, y compris des seuils coût-efficacité.</w:t>
      </w:r>
    </w:p>
    <w:p w14:paraId="1D7A42A0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demander au Comité exécutif de faire rapport à la Réunion des Parties sur les progrès accomplis conformément à la présente décision, y compris lorsque les délibérations du Comité exécutif ont abouti à une modification de la stratégie nationale ou du choix national en matière de technologie qui lui a été présenté.</w:t>
      </w:r>
    </w:p>
    <w:p w14:paraId="765ABB27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demander au Comité exécutif du Fonds multilatéral de réviser le règlement intérieur du Comité exécutif afin d</w:t>
      </w:r>
      <w:r w:rsidR="00CB3555">
        <w:t>’</w:t>
      </w:r>
      <w:r>
        <w:t>y incorporer davantage de souplesse pour les Parties visées au paragraphe 1 de l</w:t>
      </w:r>
      <w:r w:rsidR="00CB3555">
        <w:t>’</w:t>
      </w:r>
      <w:r>
        <w:t>Article 5.</w:t>
      </w:r>
    </w:p>
    <w:p w14:paraId="11CACEDE" w14:textId="77777777" w:rsidR="0005245B" w:rsidRDefault="0005245B" w:rsidP="00CB3555">
      <w:pPr>
        <w:pStyle w:val="NormalNonumber"/>
      </w:pPr>
      <w:r>
        <w:t xml:space="preserve">[Secteur de la consommation/fabrication] </w:t>
      </w:r>
    </w:p>
    <w:p w14:paraId="2C6ECC54" w14:textId="77777777" w:rsidR="0005245B" w:rsidRDefault="0005245B" w:rsidP="00CB3555">
      <w:pPr>
        <w:pStyle w:val="NormalNonumber"/>
        <w:numPr>
          <w:ilvl w:val="0"/>
          <w:numId w:val="25"/>
        </w:numPr>
        <w:ind w:left="1843" w:hanging="567"/>
        <w:rPr>
          <w:rFonts w:eastAsia="Calibri"/>
        </w:rPr>
      </w:pPr>
      <w:r>
        <w:t>De demander au Comité exécutif de développer de nouvelles directives sur les méthodes de détermination et de calcul des coûts, afin que les catégories de coûts ci-après donnent droit à un financement et soient incluses dans le calcul des coûts,</w:t>
      </w:r>
    </w:p>
    <w:p w14:paraId="31A17667" w14:textId="77777777" w:rsidR="0005245B" w:rsidRDefault="0005245B" w:rsidP="0005245B">
      <w:pPr>
        <w:pStyle w:val="Normal-pool"/>
        <w:numPr>
          <w:ilvl w:val="0"/>
          <w:numId w:val="2"/>
        </w:numPr>
        <w:tabs>
          <w:tab w:val="left" w:pos="624"/>
        </w:tabs>
        <w:spacing w:after="120"/>
        <w:ind w:left="1871" w:firstLine="0"/>
        <w:rPr>
          <w:rFonts w:eastAsia="Calibri"/>
          <w:sz w:val="24"/>
          <w:szCs w:val="24"/>
        </w:rPr>
      </w:pPr>
      <w:r>
        <w:t>Pour le secteur de la consommation/fabrication :</w:t>
      </w:r>
    </w:p>
    <w:p w14:paraId="1A4816A0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Surcoûts afférents aux dépenses d</w:t>
      </w:r>
      <w:r w:rsidR="00CB3555">
        <w:t>’</w:t>
      </w:r>
      <w:r>
        <w:t>équipement;</w:t>
      </w:r>
    </w:p>
    <w:p w14:paraId="5A98BD5C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Surcoûts afférents aux dépenses d</w:t>
      </w:r>
      <w:r w:rsidR="00CB3555">
        <w:t>’</w:t>
      </w:r>
      <w:r>
        <w:t>exploitation</w:t>
      </w:r>
      <w:r w:rsidR="00CB3555">
        <w:rPr>
          <w:rStyle w:val="FootnoteReference"/>
        </w:rPr>
        <w:footnoteReference w:customMarkFollows="1" w:id="1"/>
        <w:t>1</w:t>
      </w:r>
      <w:r>
        <w:t>;</w:t>
      </w:r>
    </w:p>
    <w:p w14:paraId="30A545F8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Activités d</w:t>
      </w:r>
      <w:r w:rsidR="00CB3555">
        <w:t>’</w:t>
      </w:r>
      <w:r>
        <w:t xml:space="preserve">assistance technique; </w:t>
      </w:r>
    </w:p>
    <w:p w14:paraId="4F7A02E0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Activités de recherche-développement requises pour adapter et optimiser les produits de remplacement des hydrofluorocarbones à faible PRG ou à PRG nul;</w:t>
      </w:r>
    </w:p>
    <w:p w14:paraId="16CD25AB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Coûts des brevets et des concepts et surcoûts afférents aux droits de propriété, le cas échéant, si d</w:t>
      </w:r>
      <w:r w:rsidR="00CB3555">
        <w:t>’</w:t>
      </w:r>
      <w:r>
        <w:t xml:space="preserve">un bon rapport coût-efficacité; et </w:t>
      </w:r>
    </w:p>
    <w:p w14:paraId="572ABFE0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Coûts de l</w:t>
      </w:r>
      <w:r w:rsidR="00CB3555">
        <w:t>’</w:t>
      </w:r>
      <w:r>
        <w:t>introduction de produits de remplacement inflammables et toxiques dans des conditions de sécurité.</w:t>
      </w:r>
    </w:p>
    <w:p w14:paraId="1E0FDB67" w14:textId="77777777" w:rsidR="0005245B" w:rsidRDefault="0005245B" w:rsidP="00CB3555">
      <w:pPr>
        <w:pStyle w:val="NormalNonumber"/>
      </w:pPr>
      <w:r>
        <w:t>[Secteur de la production]</w:t>
      </w:r>
    </w:p>
    <w:p w14:paraId="6160CEE4" w14:textId="77777777" w:rsidR="0005245B" w:rsidRDefault="0005245B" w:rsidP="0005245B">
      <w:pPr>
        <w:pStyle w:val="Normal-pool"/>
        <w:numPr>
          <w:ilvl w:val="0"/>
          <w:numId w:val="2"/>
        </w:numPr>
        <w:tabs>
          <w:tab w:val="left" w:pos="624"/>
        </w:tabs>
        <w:spacing w:after="120"/>
        <w:ind w:left="1871" w:firstLine="0"/>
        <w:rPr>
          <w:rFonts w:eastAsia="Calibri"/>
        </w:rPr>
      </w:pPr>
      <w:r>
        <w:t>Pour le secteur de la production :</w:t>
      </w:r>
    </w:p>
    <w:p w14:paraId="59EDDDD0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</w:pPr>
      <w:r>
        <w:t>Manque à gagner causé par la fermeture/clôture des installations de production et par la réduction de la production;</w:t>
      </w:r>
    </w:p>
    <w:p w14:paraId="15635E5D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Indemnisation des travailleurs licenciés</w:t>
      </w:r>
    </w:p>
    <w:p w14:paraId="2027DB8C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Démantèlement des installations de production</w:t>
      </w:r>
    </w:p>
    <w:p w14:paraId="341E4175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lastRenderedPageBreak/>
        <w:t>Activités d</w:t>
      </w:r>
      <w:r w:rsidR="00CB3555">
        <w:t>’</w:t>
      </w:r>
      <w:r>
        <w:t>assistance technique</w:t>
      </w:r>
    </w:p>
    <w:p w14:paraId="07C1F6CE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Activités de recherche-développement liées à la conception de produits de remplacement des hydrofluorocarbones à faible PRG ou à PRG nul ayant pour but d</w:t>
      </w:r>
      <w:r w:rsidR="00CB3555">
        <w:t>’</w:t>
      </w:r>
      <w:r>
        <w:t xml:space="preserve">abaisser le coût de ces produits de remplacement </w:t>
      </w:r>
    </w:p>
    <w:p w14:paraId="3725F362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Coûts des brevets et des concepts ou surcoûts afférents aux droits de propriété</w:t>
      </w:r>
    </w:p>
    <w:p w14:paraId="45F6D96F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</w:pPr>
      <w:r>
        <w:t>Coûts de la conversion des usines réaffectées à la production de produits de remplacement des hydrofluorocarbones à faible PRG ou à PRG nul, si faisable sur le plan technique et d</w:t>
      </w:r>
      <w:r w:rsidR="00CB3555">
        <w:t>’</w:t>
      </w:r>
      <w:r>
        <w:t>un bon rapport coût-efficacité</w:t>
      </w:r>
    </w:p>
    <w:p w14:paraId="2A004135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</w:pPr>
      <w:r>
        <w:t>Coûts de la réduction des émissions d</w:t>
      </w:r>
      <w:r w:rsidR="00684DD2">
        <w:t>e HFC</w:t>
      </w:r>
      <w:r>
        <w:t>-23 en tant que sous-produit de la fabrication d</w:t>
      </w:r>
      <w:r w:rsidR="00684DD2">
        <w:t>e HFC</w:t>
      </w:r>
      <w:r>
        <w:t>-22, que ce soit en abaissant le taux des émissions liées au procédé, en les extrayant des gaz de dégagement, ou en les collectant en vue de leur transformation en d</w:t>
      </w:r>
      <w:r w:rsidR="00CB3555">
        <w:t>’</w:t>
      </w:r>
      <w:r>
        <w:t>autres produits chimiques inoffensifs pour l</w:t>
      </w:r>
      <w:r w:rsidR="00CB3555">
        <w:t>’</w:t>
      </w:r>
      <w:r>
        <w:t>environnement. Ces coûts doivent être financés par le Fonds multilatéral afin de remplir les obligations des Parties visées au paragraphe 1 de l</w:t>
      </w:r>
      <w:r w:rsidR="00CB3555">
        <w:t>’</w:t>
      </w:r>
      <w:r>
        <w:t>Article 5 selon cet amendement. (</w:t>
      </w:r>
      <w:r>
        <w:rPr>
          <w:color w:val="FF0000"/>
        </w:rPr>
        <w:t>Remarque du Groupe de rédaction juridique : Ce point dépend des résultats des discussions sur les émissions d</w:t>
      </w:r>
      <w:r w:rsidR="00684DD2">
        <w:rPr>
          <w:color w:val="FF0000"/>
        </w:rPr>
        <w:t>e HFC</w:t>
      </w:r>
      <w:r>
        <w:rPr>
          <w:color w:val="FF0000"/>
        </w:rPr>
        <w:t>-23</w:t>
      </w:r>
      <w:r w:rsidR="00684DD2">
        <w:t>.)</w:t>
      </w:r>
    </w:p>
    <w:p w14:paraId="66D24579" w14:textId="77777777" w:rsidR="0005245B" w:rsidRDefault="0005245B" w:rsidP="00CB3555">
      <w:pPr>
        <w:pStyle w:val="NormalNonumber"/>
      </w:pPr>
      <w:r>
        <w:t>[Secteur de l</w:t>
      </w:r>
      <w:r w:rsidR="00CB3555">
        <w:t>’</w:t>
      </w:r>
      <w:r>
        <w:t>entretien]</w:t>
      </w:r>
    </w:p>
    <w:p w14:paraId="2BC02E24" w14:textId="77777777" w:rsidR="0005245B" w:rsidRPr="0005245B" w:rsidRDefault="0005245B" w:rsidP="0005245B">
      <w:pPr>
        <w:pStyle w:val="Normal-pool"/>
        <w:numPr>
          <w:ilvl w:val="0"/>
          <w:numId w:val="2"/>
        </w:numPr>
        <w:tabs>
          <w:tab w:val="left" w:pos="624"/>
        </w:tabs>
        <w:spacing w:after="120"/>
        <w:ind w:left="1871" w:firstLine="0"/>
      </w:pPr>
      <w:r w:rsidRPr="0005245B">
        <w:t>Pour le secteur de l</w:t>
      </w:r>
      <w:r w:rsidR="00CB3555">
        <w:t>’</w:t>
      </w:r>
      <w:r w:rsidRPr="0005245B">
        <w:t>entretien :</w:t>
      </w:r>
    </w:p>
    <w:p w14:paraId="06B6E63C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Activités de sensibilisation du public;</w:t>
      </w:r>
    </w:p>
    <w:p w14:paraId="31AB4664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Élaboration et mise en œuvre des politiques;</w:t>
      </w:r>
    </w:p>
    <w:p w14:paraId="12B845D2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>Programmes de certification et de formation des techniciens à la manipulation sans danger des produits de remplacement, aux bonnes pratiques et à la sécurité, y compris le matériel de formation;</w:t>
      </w:r>
    </w:p>
    <w:p w14:paraId="425B3473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Formation des douaniers;</w:t>
      </w:r>
    </w:p>
    <w:p w14:paraId="3FF7EB3B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Prévention du commerce illicite des hydrofluorocarbones;</w:t>
      </w:r>
    </w:p>
    <w:p w14:paraId="25080CE7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Matériel d</w:t>
      </w:r>
      <w:r w:rsidR="00CB3555">
        <w:t>’</w:t>
      </w:r>
      <w:r>
        <w:t xml:space="preserve">entretien; </w:t>
      </w:r>
    </w:p>
    <w:p w14:paraId="40E3C4EC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  <w:rPr>
          <w:rFonts w:eastAsia="Calibri"/>
        </w:rPr>
      </w:pPr>
      <w:r>
        <w:t xml:space="preserve">Matériel </w:t>
      </w:r>
      <w:proofErr w:type="gramStart"/>
      <w:r>
        <w:t>d</w:t>
      </w:r>
      <w:r w:rsidR="00CB3555">
        <w:t>’</w:t>
      </w:r>
      <w:r>
        <w:t>expérimentation des réfrigérants destinés</w:t>
      </w:r>
      <w:proofErr w:type="gramEnd"/>
      <w:r>
        <w:t xml:space="preserve"> au secteur de la réfrigération et de la climatisation;</w:t>
      </w:r>
    </w:p>
    <w:p w14:paraId="7D0664C0" w14:textId="77777777" w:rsidR="0005245B" w:rsidRP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</w:pPr>
      <w:r>
        <w:t>Recyclage et récupération des HFC</w:t>
      </w:r>
    </w:p>
    <w:p w14:paraId="795423D7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3119" w:hanging="624"/>
        <w:rPr>
          <w:rFonts w:eastAsia="Calibri"/>
        </w:rPr>
      </w:pPr>
      <w:r>
        <w:t>[Surcoûts afférents aux importations]*</w:t>
      </w:r>
    </w:p>
    <w:p w14:paraId="2BEFE651" w14:textId="77777777" w:rsidR="0005245B" w:rsidRDefault="0005245B" w:rsidP="0005245B">
      <w:pPr>
        <w:pStyle w:val="Normal-pool"/>
        <w:numPr>
          <w:ilvl w:val="1"/>
          <w:numId w:val="3"/>
        </w:numPr>
        <w:tabs>
          <w:tab w:val="left" w:pos="624"/>
        </w:tabs>
        <w:spacing w:after="120"/>
        <w:ind w:left="2977" w:hanging="482"/>
      </w:pPr>
      <w:r>
        <w:t>[Surcoûts afférents aux réfrigérants destinés à l</w:t>
      </w:r>
      <w:r w:rsidR="00CB3555">
        <w:t>’</w:t>
      </w:r>
      <w:r>
        <w:t>entretien et à la recharge des appareils dans le secteur de la climatisation automobile]*</w:t>
      </w:r>
    </w:p>
    <w:p w14:paraId="2D638AF7" w14:textId="77777777" w:rsidR="0005245B" w:rsidRPr="00CB3555" w:rsidRDefault="0005245B" w:rsidP="00CB3555">
      <w:pPr>
        <w:pStyle w:val="NormalNonumber"/>
        <w:rPr>
          <w:sz w:val="18"/>
          <w:szCs w:val="18"/>
        </w:rPr>
      </w:pPr>
      <w:r w:rsidRPr="00CB3555">
        <w:rPr>
          <w:sz w:val="18"/>
          <w:szCs w:val="18"/>
        </w:rPr>
        <w:t>*Les éléments entre crochets seront abordés dans le cadre des négociations sur l</w:t>
      </w:r>
      <w:r w:rsidR="00CB3555" w:rsidRPr="00CB3555">
        <w:rPr>
          <w:sz w:val="18"/>
          <w:szCs w:val="18"/>
        </w:rPr>
        <w:t>’</w:t>
      </w:r>
      <w:r w:rsidRPr="00CB3555">
        <w:rPr>
          <w:sz w:val="18"/>
          <w:szCs w:val="18"/>
        </w:rPr>
        <w:t>amendement et résolues avant l</w:t>
      </w:r>
      <w:r w:rsidR="00CB3555" w:rsidRPr="00CB3555">
        <w:rPr>
          <w:sz w:val="18"/>
          <w:szCs w:val="18"/>
        </w:rPr>
        <w:t>’</w:t>
      </w:r>
      <w:r w:rsidRPr="00CB3555">
        <w:rPr>
          <w:sz w:val="18"/>
          <w:szCs w:val="18"/>
        </w:rPr>
        <w:t>adoption d</w:t>
      </w:r>
      <w:r w:rsidR="00CB3555" w:rsidRPr="00CB3555">
        <w:rPr>
          <w:sz w:val="18"/>
          <w:szCs w:val="18"/>
        </w:rPr>
        <w:t>’</w:t>
      </w:r>
      <w:r w:rsidRPr="00CB3555">
        <w:rPr>
          <w:sz w:val="18"/>
          <w:szCs w:val="18"/>
        </w:rPr>
        <w:t>un amendement au Protocole de Montréal</w:t>
      </w:r>
    </w:p>
    <w:p w14:paraId="5ED701E4" w14:textId="77777777" w:rsidR="0005245B" w:rsidRDefault="0005245B" w:rsidP="00CB3555">
      <w:pPr>
        <w:pStyle w:val="NormalNonumber"/>
      </w:pPr>
      <w:r>
        <w:t>[</w:t>
      </w:r>
      <w:r w:rsidRPr="00CB3555">
        <w:rPr>
          <w:color w:val="FF0000"/>
        </w:rPr>
        <w:t>Remarque du Groupe de rédaction juridique : le texte suivant apparaît dans les solutions pour relever les défis concernant les questions du secteur de l</w:t>
      </w:r>
      <w:r w:rsidR="00CB3555" w:rsidRPr="00CB3555">
        <w:rPr>
          <w:color w:val="FF0000"/>
        </w:rPr>
        <w:t>’</w:t>
      </w:r>
      <w:r w:rsidRPr="00CB3555">
        <w:rPr>
          <w:color w:val="FF0000"/>
        </w:rPr>
        <w:t xml:space="preserve">entretien : </w:t>
      </w:r>
      <w:r>
        <w:t>« Nous recommandons au Groupe de contact d</w:t>
      </w:r>
      <w:r w:rsidR="00CB3555">
        <w:t>’</w:t>
      </w:r>
      <w:r>
        <w:t>indiquer que le groupe chargé des questions de financement a trouvé des solutions aux défis à relever et qu</w:t>
      </w:r>
      <w:r w:rsidR="00CB3555">
        <w:t>’</w:t>
      </w:r>
      <w:r>
        <w:t>il entreprendra de résoudre les questions de financement restées entre crochets ainsi que les questions liées aux surcoûts afférents aux dépenses d</w:t>
      </w:r>
      <w:r w:rsidR="00CB3555">
        <w:t>’</w:t>
      </w:r>
      <w:r>
        <w:t>exploitation dans le cadre des négociations sur l</w:t>
      </w:r>
      <w:r w:rsidR="00CB3555">
        <w:t>’</w:t>
      </w:r>
      <w:r>
        <w:t>amendement. Les Parties pourront alors engager des négociations en vue d</w:t>
      </w:r>
      <w:r w:rsidR="00CB3555">
        <w:t>’</w:t>
      </w:r>
      <w:r>
        <w:t>un amendement. »]</w:t>
      </w:r>
    </w:p>
    <w:p w14:paraId="797071B3" w14:textId="77777777" w:rsidR="0005245B" w:rsidRDefault="0005245B" w:rsidP="0005245B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</w:rPr>
      </w:pPr>
      <w:r>
        <w:t>De demander au Comité exécutif du Fonds multilatéral d</w:t>
      </w:r>
      <w:r w:rsidR="00CB3555">
        <w:t>’</w:t>
      </w:r>
      <w:r>
        <w:t>augmenter [</w:t>
      </w:r>
      <w:r>
        <w:rPr>
          <w:color w:val="FF0000"/>
        </w:rPr>
        <w:t>en lien avec le secteur de l</w:t>
      </w:r>
      <w:r w:rsidR="00CB3555">
        <w:rPr>
          <w:color w:val="FF0000"/>
        </w:rPr>
        <w:t>’</w:t>
      </w:r>
      <w:r>
        <w:rPr>
          <w:color w:val="FF0000"/>
        </w:rPr>
        <w:t>entretien</w:t>
      </w:r>
      <w:r>
        <w:t>]</w:t>
      </w:r>
      <w:r>
        <w:rPr>
          <w:color w:val="FF0000"/>
        </w:rPr>
        <w:t xml:space="preserve"> </w:t>
      </w:r>
      <w:r>
        <w:t>le financement disponible au titre de la décision 74/50 du Comité exécutif jusqu</w:t>
      </w:r>
      <w:r w:rsidR="00CB3555">
        <w:t>’</w:t>
      </w:r>
      <w:r>
        <w:t>à un maximum de [X %] au-dessus des montants indiqués dans cette décision, en faveur des Parties dont la consommation de référence globale d</w:t>
      </w:r>
      <w:r w:rsidR="00CB3555">
        <w:t>’</w:t>
      </w:r>
      <w:r>
        <w:t>hydrochlorofluorocarbones peut aller jusqu</w:t>
      </w:r>
      <w:r w:rsidR="00CB3555">
        <w:t>’</w:t>
      </w:r>
      <w:r>
        <w:t>à 360 tonnes, pour introduire des produits de remplacement des hydrochlorofluorocarbones à faible PRG et des produits de remplacement des hydrofluorocarbones à PRG nul, tout en maintenant l</w:t>
      </w:r>
      <w:r w:rsidR="00CB3555">
        <w:t>’</w:t>
      </w:r>
      <w:r>
        <w:t>efficacité énergétique dans le secteur de l</w:t>
      </w:r>
      <w:r w:rsidR="00CB3555">
        <w:t>’</w:t>
      </w:r>
      <w:r>
        <w:t>entretien et des services aux utilisateurs.</w:t>
      </w:r>
    </w:p>
    <w:p w14:paraId="69C6D31D" w14:textId="77777777" w:rsidR="0005245B" w:rsidRDefault="0005245B" w:rsidP="00CB3555">
      <w:pPr>
        <w:pStyle w:val="NormalNonumber"/>
      </w:pPr>
      <w:r>
        <w:t>[Date limite d</w:t>
      </w:r>
      <w:r w:rsidR="00CB3555">
        <w:t>’</w:t>
      </w:r>
      <w:r>
        <w:t>éligibilité]</w:t>
      </w:r>
    </w:p>
    <w:p w14:paraId="0B9DFFBE" w14:textId="77777777" w:rsidR="0005245B" w:rsidRDefault="0005245B" w:rsidP="00CB3555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</w:rPr>
      </w:pPr>
      <w:r>
        <w:t>Que la date limite d</w:t>
      </w:r>
      <w:r w:rsidR="00CB3555">
        <w:t>’</w:t>
      </w:r>
      <w:r>
        <w:t>éligibilité est le [DATE].</w:t>
      </w:r>
    </w:p>
    <w:p w14:paraId="4768C755" w14:textId="77777777" w:rsidR="0005245B" w:rsidRDefault="0005245B" w:rsidP="00684DD2">
      <w:pPr>
        <w:pStyle w:val="NormalNonumber"/>
        <w:keepNext/>
        <w:rPr>
          <w:sz w:val="24"/>
          <w:szCs w:val="24"/>
        </w:rPr>
      </w:pPr>
      <w:r>
        <w:lastRenderedPageBreak/>
        <w:t>[Efficacité énergétique]</w:t>
      </w:r>
    </w:p>
    <w:p w14:paraId="19B3E145" w14:textId="77777777" w:rsidR="0005245B" w:rsidRDefault="0005245B" w:rsidP="00ED289A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</w:rPr>
      </w:pPr>
      <w:r>
        <w:t>De demander au Comité exécutif d</w:t>
      </w:r>
      <w:r w:rsidR="00CB3555">
        <w:t>’</w:t>
      </w:r>
      <w:r>
        <w:t>élaborer des directives concernant les coûts associés au maintien ou à l</w:t>
      </w:r>
      <w:r w:rsidR="00CB3555">
        <w:t>’</w:t>
      </w:r>
      <w:r>
        <w:t>amélioration de l</w:t>
      </w:r>
      <w:r w:rsidR="00CB3555">
        <w:t>’</w:t>
      </w:r>
      <w:r>
        <w:t>efficacité énergétique des produits de remplacement à faible</w:t>
      </w:r>
      <w:r w:rsidR="00684DD2">
        <w:t> </w:t>
      </w:r>
      <w:r>
        <w:t>PRG ou à PRG nul et du matériel correspondant, dans le contexte de la réduction des hydrofluorocarbones, tout en tenant compte du rôle d</w:t>
      </w:r>
      <w:r w:rsidR="00CB3555">
        <w:t>’</w:t>
      </w:r>
      <w:r>
        <w:t>autres institutions intéressées par l</w:t>
      </w:r>
      <w:r w:rsidR="00CB3555">
        <w:t>’</w:t>
      </w:r>
      <w:r>
        <w:t>efficacité énergétique, le cas échéant.</w:t>
      </w:r>
    </w:p>
    <w:p w14:paraId="24D5E24B" w14:textId="77777777" w:rsidR="0005245B" w:rsidRDefault="0005245B" w:rsidP="00CB3555">
      <w:pPr>
        <w:pStyle w:val="NormalNonumber"/>
      </w:pPr>
      <w:r>
        <w:t>[</w:t>
      </w:r>
      <w:r w:rsidRPr="00CB3555">
        <w:t>Renforcement</w:t>
      </w:r>
      <w:r>
        <w:t xml:space="preserve"> </w:t>
      </w:r>
      <w:r w:rsidRPr="00CB3555">
        <w:t>institutionnel</w:t>
      </w:r>
      <w:r>
        <w:t>]</w:t>
      </w:r>
    </w:p>
    <w:p w14:paraId="3C572300" w14:textId="77777777" w:rsidR="0005245B" w:rsidRDefault="0005245B" w:rsidP="00ED289A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</w:rPr>
      </w:pPr>
      <w:r>
        <w:t>De demander au Comité exécutif d</w:t>
      </w:r>
      <w:r w:rsidR="00CB3555">
        <w:t>’</w:t>
      </w:r>
      <w:r>
        <w:t>augmenter le soutien au renforcement institutionnel compte tenu des nouveaux engagements relatifs aux hydrofluorocarbones selon cet amendement.</w:t>
      </w:r>
    </w:p>
    <w:p w14:paraId="75E682F9" w14:textId="77777777" w:rsidR="0005245B" w:rsidRDefault="0005245B" w:rsidP="00CB3555">
      <w:pPr>
        <w:pStyle w:val="NormalNonumber"/>
      </w:pPr>
      <w:r>
        <w:t>[</w:t>
      </w:r>
      <w:r w:rsidRPr="00CB3555">
        <w:t>Élimination</w:t>
      </w:r>
      <w:r>
        <w:t>]</w:t>
      </w:r>
    </w:p>
    <w:p w14:paraId="273B91B4" w14:textId="77777777" w:rsidR="0005245B" w:rsidRDefault="0005245B" w:rsidP="00ED289A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</w:rPr>
      </w:pPr>
      <w:r>
        <w:t>De demander au Comité exécutif du Fonds multilatéral d</w:t>
      </w:r>
      <w:r w:rsidR="00CB3555">
        <w:t>’</w:t>
      </w:r>
      <w:r>
        <w:t>envisager de financer la gestion des stocks de substances réglementées usagées ou indésirables, y compris leur destruction, par des méthodes d</w:t>
      </w:r>
      <w:r w:rsidR="00CB3555">
        <w:t>’</w:t>
      </w:r>
      <w:r>
        <w:t>un bon rapport coût-efficacité.</w:t>
      </w:r>
    </w:p>
    <w:p w14:paraId="33517AFC" w14:textId="77777777" w:rsidR="0005245B" w:rsidRDefault="0005245B" w:rsidP="00CB3555">
      <w:pPr>
        <w:pStyle w:val="NormalNonumber"/>
        <w:rPr>
          <w:sz w:val="24"/>
          <w:szCs w:val="24"/>
        </w:rPr>
      </w:pPr>
      <w:r>
        <w:t>[Renforcement des capacités à des fins de sécurité]</w:t>
      </w:r>
    </w:p>
    <w:p w14:paraId="57E7F228" w14:textId="77777777" w:rsidR="0005245B" w:rsidRDefault="0005245B" w:rsidP="00ED289A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</w:rPr>
      </w:pPr>
      <w:r>
        <w:t>De demander au Comité exécutif d</w:t>
      </w:r>
      <w:r w:rsidR="00CB3555">
        <w:t>’</w:t>
      </w:r>
      <w:r>
        <w:t>accorder la priorité à l</w:t>
      </w:r>
      <w:r w:rsidR="00CB3555">
        <w:t>’</w:t>
      </w:r>
      <w:r>
        <w:t>assistance technique et au renforcement des capacités pour prendre en considération les questions de sécurité associées aux produits de remplacement à faible PRG ou à PRG nul.</w:t>
      </w:r>
    </w:p>
    <w:p w14:paraId="7841D5D9" w14:textId="77777777" w:rsidR="0005245B" w:rsidRPr="00B7386A" w:rsidRDefault="0005245B" w:rsidP="00CB3555">
      <w:pPr>
        <w:pStyle w:val="NormalNonumber"/>
        <w:rPr>
          <w:sz w:val="24"/>
          <w:szCs w:val="24"/>
          <w:lang w:eastAsia="en-GB"/>
        </w:rPr>
      </w:pPr>
      <w:r w:rsidRPr="00B7386A">
        <w:rPr>
          <w:lang w:eastAsia="en-GB"/>
        </w:rPr>
        <w:t>[Coûts des importations de produits de remplacement]</w:t>
      </w:r>
    </w:p>
    <w:p w14:paraId="10B5E690" w14:textId="77777777" w:rsidR="0005245B" w:rsidRPr="00B7386A" w:rsidRDefault="0005245B" w:rsidP="0005245B">
      <w:pPr>
        <w:pStyle w:val="Normal-pool"/>
        <w:keepNext/>
        <w:keepLines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lang w:val="fr-FR" w:eastAsia="en-GB"/>
        </w:rPr>
      </w:pPr>
      <w:r w:rsidRPr="00B7386A">
        <w:rPr>
          <w:lang w:val="fr-FR" w:eastAsia="en-GB"/>
        </w:rPr>
        <w:t>- [</w:t>
      </w:r>
      <w:r>
        <w:rPr>
          <w:color w:val="FF0000"/>
          <w:lang w:val="fr-FR" w:eastAsia="en-GB"/>
        </w:rPr>
        <w:t>Le texte ci-après apparaît dans l</w:t>
      </w:r>
      <w:r w:rsidR="00CB3555">
        <w:rPr>
          <w:color w:val="FF0000"/>
          <w:lang w:val="fr-FR" w:eastAsia="en-GB"/>
        </w:rPr>
        <w:t>’</w:t>
      </w:r>
      <w:r>
        <w:rPr>
          <w:color w:val="FF0000"/>
          <w:lang w:val="fr-FR" w:eastAsia="en-GB"/>
        </w:rPr>
        <w:t>appendice </w:t>
      </w:r>
      <w:r w:rsidRPr="00B7386A">
        <w:rPr>
          <w:color w:val="FF0000"/>
          <w:lang w:val="fr-FR" w:eastAsia="en-GB"/>
        </w:rPr>
        <w:t xml:space="preserve">II </w:t>
      </w:r>
      <w:r>
        <w:rPr>
          <w:color w:val="FF0000"/>
          <w:lang w:val="fr-FR" w:eastAsia="en-GB"/>
        </w:rPr>
        <w:t>des</w:t>
      </w:r>
      <w:r w:rsidRPr="00B7386A">
        <w:rPr>
          <w:color w:val="FF0000"/>
          <w:lang w:val="fr-FR" w:eastAsia="en-GB"/>
        </w:rPr>
        <w:t xml:space="preserve"> solutions </w:t>
      </w:r>
      <w:r>
        <w:rPr>
          <w:color w:val="FF0000"/>
          <w:lang w:val="fr-FR" w:eastAsia="en-GB"/>
        </w:rPr>
        <w:t>en</w:t>
      </w:r>
      <w:r w:rsidRPr="00B7386A">
        <w:rPr>
          <w:color w:val="FF0000"/>
          <w:lang w:val="fr-FR" w:eastAsia="en-GB"/>
        </w:rPr>
        <w:t xml:space="preserve"> relation </w:t>
      </w:r>
      <w:r>
        <w:rPr>
          <w:color w:val="FF0000"/>
          <w:lang w:val="fr-FR" w:eastAsia="en-GB"/>
        </w:rPr>
        <w:t>avec les défis liés aux coûts</w:t>
      </w:r>
      <w:r w:rsidRPr="00B7386A">
        <w:rPr>
          <w:color w:val="FF0000"/>
          <w:lang w:val="fr-FR" w:eastAsia="en-GB"/>
        </w:rPr>
        <w:t xml:space="preserve"> </w:t>
      </w:r>
      <w:r w:rsidRPr="00CB69A0">
        <w:rPr>
          <w:color w:val="FF0000"/>
          <w:lang w:val="fr-FR" w:eastAsia="en-GB"/>
        </w:rPr>
        <w:t>des importations de produits de remplacement</w:t>
      </w:r>
      <w:r>
        <w:rPr>
          <w:color w:val="FF0000"/>
          <w:lang w:val="fr-FR" w:eastAsia="en-GB"/>
        </w:rPr>
        <w:t> </w:t>
      </w:r>
      <w:r w:rsidRPr="00B7386A">
        <w:rPr>
          <w:color w:val="FF0000"/>
          <w:lang w:val="fr-FR" w:eastAsia="en-GB"/>
        </w:rPr>
        <w:t>:</w:t>
      </w:r>
      <w:r>
        <w:rPr>
          <w:lang w:val="fr-FR" w:eastAsia="en-GB"/>
        </w:rPr>
        <w:t xml:space="preserve"> « </w:t>
      </w:r>
      <w:r w:rsidRPr="00CB69A0">
        <w:rPr>
          <w:lang w:val="fr-FR" w:eastAsia="en-GB"/>
        </w:rPr>
        <w:t>Les surcoûts afférents à l</w:t>
      </w:r>
      <w:r w:rsidR="00CB3555">
        <w:rPr>
          <w:lang w:val="fr-FR" w:eastAsia="en-GB"/>
        </w:rPr>
        <w:t>’</w:t>
      </w:r>
      <w:r w:rsidRPr="00CB69A0">
        <w:rPr>
          <w:lang w:val="fr-FR" w:eastAsia="en-GB"/>
        </w:rPr>
        <w:t>importation de produits de remplacement devraient être pris en charge</w:t>
      </w:r>
      <w:r w:rsidRPr="00B7386A">
        <w:rPr>
          <w:lang w:val="fr-FR" w:eastAsia="en-GB"/>
        </w:rPr>
        <w:t>.*</w:t>
      </w:r>
    </w:p>
    <w:p w14:paraId="2D5AD830" w14:textId="77777777" w:rsidR="0005245B" w:rsidRPr="00CB3555" w:rsidRDefault="0005245B" w:rsidP="00CB3555">
      <w:pPr>
        <w:pStyle w:val="NormalNonumber"/>
        <w:rPr>
          <w:sz w:val="18"/>
          <w:szCs w:val="18"/>
          <w:lang w:eastAsia="en-GB"/>
        </w:rPr>
      </w:pPr>
      <w:r w:rsidRPr="00CB3555">
        <w:rPr>
          <w:sz w:val="18"/>
          <w:szCs w:val="18"/>
          <w:lang w:eastAsia="en-GB"/>
        </w:rPr>
        <w:t>* Les éléments entre crochets seront abordés dans le cadre des négociations sur l</w:t>
      </w:r>
      <w:r w:rsidR="00CB3555" w:rsidRPr="00CB3555">
        <w:rPr>
          <w:sz w:val="18"/>
          <w:szCs w:val="18"/>
          <w:lang w:eastAsia="en-GB"/>
        </w:rPr>
        <w:t>’</w:t>
      </w:r>
      <w:r w:rsidRPr="00CB3555">
        <w:rPr>
          <w:sz w:val="18"/>
          <w:szCs w:val="18"/>
          <w:lang w:eastAsia="en-GB"/>
        </w:rPr>
        <w:t>amendement et résolus avant l</w:t>
      </w:r>
      <w:r w:rsidR="00CB3555" w:rsidRPr="00CB3555">
        <w:rPr>
          <w:sz w:val="18"/>
          <w:szCs w:val="18"/>
          <w:lang w:eastAsia="en-GB"/>
        </w:rPr>
        <w:t>’</w:t>
      </w:r>
      <w:r w:rsidRPr="00CB3555">
        <w:rPr>
          <w:sz w:val="18"/>
          <w:szCs w:val="18"/>
          <w:lang w:eastAsia="en-GB"/>
        </w:rPr>
        <w:t>adoption d</w:t>
      </w:r>
      <w:r w:rsidR="00CB3555" w:rsidRPr="00CB3555">
        <w:rPr>
          <w:sz w:val="18"/>
          <w:szCs w:val="18"/>
          <w:lang w:eastAsia="en-GB"/>
        </w:rPr>
        <w:t>’</w:t>
      </w:r>
      <w:r w:rsidRPr="00CB3555">
        <w:rPr>
          <w:sz w:val="18"/>
          <w:szCs w:val="18"/>
          <w:lang w:eastAsia="en-GB"/>
        </w:rPr>
        <w:t>un amendement au Protocole de Montréal. »</w:t>
      </w:r>
      <w:r w:rsidRPr="00CB3555">
        <w:rPr>
          <w:lang w:eastAsia="en-GB"/>
        </w:rPr>
        <w:t>]</w:t>
      </w:r>
    </w:p>
    <w:p w14:paraId="112473EB" w14:textId="77777777" w:rsidR="0005245B" w:rsidRPr="00B7386A" w:rsidRDefault="0005245B" w:rsidP="00CB3555">
      <w:pPr>
        <w:pStyle w:val="NormalNonumber"/>
        <w:rPr>
          <w:lang w:eastAsia="en-GB"/>
        </w:rPr>
      </w:pPr>
      <w:r w:rsidRPr="00B7386A">
        <w:rPr>
          <w:lang w:eastAsia="en-GB"/>
        </w:rPr>
        <w:t>[</w:t>
      </w:r>
      <w:r>
        <w:rPr>
          <w:lang w:eastAsia="en-GB"/>
        </w:rPr>
        <w:t>Autres activités</w:t>
      </w:r>
      <w:r w:rsidRPr="00B7386A">
        <w:rPr>
          <w:lang w:eastAsia="en-GB"/>
        </w:rPr>
        <w:t>]</w:t>
      </w:r>
    </w:p>
    <w:p w14:paraId="3E7FC6FA" w14:textId="77777777" w:rsidR="0005245B" w:rsidRPr="00B7386A" w:rsidRDefault="0005245B" w:rsidP="00ED289A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  <w:lang w:val="fr-FR"/>
        </w:rPr>
      </w:pPr>
      <w:r>
        <w:rPr>
          <w:rFonts w:eastAsia="Calibri"/>
          <w:lang w:val="fr-FR"/>
        </w:rPr>
        <w:t>Q</w:t>
      </w:r>
      <w:r w:rsidRPr="00CB69A0">
        <w:rPr>
          <w:rFonts w:eastAsia="Calibri"/>
          <w:lang w:val="fr-FR"/>
        </w:rPr>
        <w:t>ue les Parties pourront identifier d</w:t>
      </w:r>
      <w:r w:rsidR="00CB3555">
        <w:rPr>
          <w:rFonts w:eastAsia="Calibri"/>
          <w:lang w:val="fr-FR"/>
        </w:rPr>
        <w:t>’</w:t>
      </w:r>
      <w:r w:rsidRPr="00CB69A0">
        <w:rPr>
          <w:rFonts w:eastAsia="Calibri"/>
          <w:lang w:val="fr-FR"/>
        </w:rPr>
        <w:t xml:space="preserve">autres éléments de coûts à ajouter à la liste indicative des coûts </w:t>
      </w:r>
      <w:r w:rsidRPr="00ED289A">
        <w:rPr>
          <w:lang w:val="fr-FR"/>
        </w:rPr>
        <w:t>découlant</w:t>
      </w:r>
      <w:r w:rsidRPr="00CB69A0">
        <w:rPr>
          <w:rFonts w:eastAsia="Calibri"/>
          <w:lang w:val="fr-FR"/>
        </w:rPr>
        <w:t xml:space="preserve"> de la conversion à des produits de remplacement à faible PRG</w:t>
      </w:r>
      <w:r w:rsidRPr="00B7386A">
        <w:rPr>
          <w:rFonts w:eastAsia="Calibri"/>
          <w:lang w:val="fr-FR"/>
        </w:rPr>
        <w:t>.</w:t>
      </w:r>
    </w:p>
    <w:p w14:paraId="47013F09" w14:textId="77777777" w:rsidR="0005245B" w:rsidRPr="00B7386A" w:rsidRDefault="0005245B" w:rsidP="00CB3555">
      <w:pPr>
        <w:pStyle w:val="NormalNonumber"/>
        <w:rPr>
          <w:lang w:eastAsia="en-GB"/>
        </w:rPr>
      </w:pPr>
      <w:r w:rsidRPr="00B7386A">
        <w:rPr>
          <w:lang w:eastAsia="en-GB"/>
        </w:rPr>
        <w:t>[</w:t>
      </w:r>
      <w:r>
        <w:rPr>
          <w:lang w:eastAsia="en-GB"/>
        </w:rPr>
        <w:t>De l</w:t>
      </w:r>
      <w:r w:rsidR="00CB3555">
        <w:rPr>
          <w:lang w:eastAsia="en-GB"/>
        </w:rPr>
        <w:t>’</w:t>
      </w:r>
      <w:r>
        <w:rPr>
          <w:lang w:eastAsia="en-GB"/>
        </w:rPr>
        <w:t>appendice </w:t>
      </w:r>
      <w:r w:rsidRPr="00B7386A">
        <w:rPr>
          <w:lang w:eastAsia="en-GB"/>
        </w:rPr>
        <w:t xml:space="preserve">II - </w:t>
      </w:r>
      <w:r w:rsidRPr="00CB69A0">
        <w:rPr>
          <w:lang w:eastAsia="en-GB"/>
        </w:rPr>
        <w:t>Solutions pour relever les défis concernant les questions de financement et de souplesse dans la mise en œuvre</w:t>
      </w:r>
      <w:r w:rsidRPr="00B7386A">
        <w:rPr>
          <w:lang w:eastAsia="en-GB"/>
        </w:rPr>
        <w:t>]</w:t>
      </w:r>
    </w:p>
    <w:p w14:paraId="15DC0A6C" w14:textId="77777777" w:rsidR="0005245B" w:rsidRPr="00B7386A" w:rsidRDefault="0005245B" w:rsidP="00CB3555">
      <w:pPr>
        <w:pStyle w:val="NormalNonumber"/>
        <w:rPr>
          <w:lang w:eastAsia="en-GB"/>
        </w:rPr>
      </w:pPr>
      <w:r w:rsidRPr="00B7386A">
        <w:rPr>
          <w:lang w:eastAsia="en-GB"/>
        </w:rPr>
        <w:t>[</w:t>
      </w:r>
      <w:r>
        <w:rPr>
          <w:lang w:eastAsia="en-GB"/>
        </w:rPr>
        <w:t>P</w:t>
      </w:r>
      <w:r w:rsidRPr="00CB69A0">
        <w:rPr>
          <w:lang w:eastAsia="en-GB"/>
        </w:rPr>
        <w:t>rincipes relatifs aux deuxième et troisième conversions</w:t>
      </w:r>
      <w:r w:rsidRPr="00B7386A">
        <w:rPr>
          <w:lang w:eastAsia="en-GB"/>
        </w:rPr>
        <w:t>]</w:t>
      </w:r>
    </w:p>
    <w:p w14:paraId="35889605" w14:textId="77777777" w:rsidR="0005245B" w:rsidRPr="00B7386A" w:rsidRDefault="0005245B" w:rsidP="00CB3555">
      <w:pPr>
        <w:pStyle w:val="Normal-pool"/>
        <w:numPr>
          <w:ilvl w:val="0"/>
          <w:numId w:val="1"/>
        </w:numPr>
        <w:tabs>
          <w:tab w:val="left" w:pos="624"/>
        </w:tabs>
        <w:spacing w:after="120"/>
        <w:ind w:left="1814" w:hanging="567"/>
        <w:rPr>
          <w:rFonts w:eastAsia="Calibri"/>
          <w:lang w:val="fr-FR" w:eastAsia="zh-CN"/>
        </w:rPr>
      </w:pPr>
      <w:r w:rsidRPr="00CB69A0">
        <w:rPr>
          <w:rFonts w:eastAsia="Calibri"/>
          <w:lang w:val="fr-FR" w:eastAsia="zh-CN"/>
        </w:rPr>
        <w:t xml:space="preserve">De prier le Comité exécutif du Fonds multilatéral </w:t>
      </w:r>
      <w:r>
        <w:rPr>
          <w:rFonts w:eastAsia="Calibri"/>
          <w:lang w:val="fr-FR" w:eastAsia="zh-CN"/>
        </w:rPr>
        <w:t>d</w:t>
      </w:r>
      <w:r w:rsidR="00CB3555">
        <w:rPr>
          <w:rFonts w:eastAsia="Calibri"/>
          <w:lang w:val="fr-FR" w:eastAsia="zh-CN"/>
        </w:rPr>
        <w:t>’</w:t>
      </w:r>
      <w:r>
        <w:rPr>
          <w:rFonts w:eastAsia="Calibri"/>
          <w:lang w:val="fr-FR" w:eastAsia="zh-CN"/>
        </w:rPr>
        <w:t xml:space="preserve">incorporer les principes suivants relatifs </w:t>
      </w:r>
      <w:r w:rsidRPr="00E02B0C">
        <w:rPr>
          <w:rFonts w:eastAsia="Calibri"/>
          <w:lang w:val="fr-FR" w:eastAsia="zh-CN"/>
        </w:rPr>
        <w:t xml:space="preserve">aux </w:t>
      </w:r>
      <w:r w:rsidRPr="00ED289A">
        <w:rPr>
          <w:lang w:val="fr-FR"/>
        </w:rPr>
        <w:t>deuxième</w:t>
      </w:r>
      <w:r w:rsidRPr="00E02B0C">
        <w:rPr>
          <w:rFonts w:eastAsia="Calibri"/>
          <w:lang w:val="fr-FR" w:eastAsia="zh-CN"/>
        </w:rPr>
        <w:t xml:space="preserve"> et troisième conversions </w:t>
      </w:r>
      <w:r>
        <w:rPr>
          <w:rFonts w:eastAsia="Calibri"/>
          <w:lang w:val="fr-FR" w:eastAsia="zh-CN"/>
        </w:rPr>
        <w:t>dans les directives de financement</w:t>
      </w:r>
      <w:r w:rsidRPr="00B7386A">
        <w:rPr>
          <w:rFonts w:eastAsia="Calibri"/>
          <w:lang w:val="fr-FR" w:eastAsia="zh-CN"/>
        </w:rPr>
        <w:t>,</w:t>
      </w:r>
    </w:p>
    <w:p w14:paraId="53F00DEA" w14:textId="77777777" w:rsidR="0005245B" w:rsidRPr="00B7386A" w:rsidRDefault="00ED289A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>
        <w:rPr>
          <w:rFonts w:eastAsia="Calibri"/>
          <w:lang w:eastAsia="zh-CN"/>
        </w:rPr>
        <w:t>L</w:t>
      </w:r>
      <w:r w:rsidR="0005245B" w:rsidRPr="00E02B0C">
        <w:rPr>
          <w:rFonts w:eastAsia="Calibri"/>
          <w:lang w:val="fr-FR" w:eastAsia="zh-CN"/>
        </w:rPr>
        <w:t>es premières conversions, dans le cadre d</w:t>
      </w:r>
      <w:r w:rsidR="00CB3555">
        <w:rPr>
          <w:rFonts w:eastAsia="Calibri"/>
          <w:lang w:val="fr-FR" w:eastAsia="zh-CN"/>
        </w:rPr>
        <w:t>’</w:t>
      </w:r>
      <w:r w:rsidR="0005245B" w:rsidRPr="00E02B0C">
        <w:rPr>
          <w:rFonts w:eastAsia="Calibri"/>
          <w:lang w:val="fr-FR" w:eastAsia="zh-CN"/>
        </w:rPr>
        <w:t>une réduction progressive des</w:t>
      </w:r>
      <w:r w:rsidR="0005245B" w:rsidRPr="00E02B0C">
        <w:rPr>
          <w:color w:val="333333"/>
          <w:sz w:val="21"/>
          <w:szCs w:val="21"/>
          <w:shd w:val="clear" w:color="auto" w:fill="FFFFFF"/>
          <w:lang w:val="fr-FR"/>
        </w:rPr>
        <w:t xml:space="preserve"> </w:t>
      </w:r>
      <w:r w:rsidR="0005245B" w:rsidRPr="00E02B0C">
        <w:rPr>
          <w:rFonts w:eastAsia="Calibri"/>
          <w:lang w:val="fr-FR" w:eastAsia="zh-CN"/>
        </w:rPr>
        <w:t>hydrofluorocarbones</w:t>
      </w:r>
      <w:r w:rsidR="0005245B" w:rsidRPr="00B7386A">
        <w:rPr>
          <w:rFonts w:eastAsia="Calibri"/>
          <w:lang w:val="fr-FR" w:eastAsia="zh-CN"/>
        </w:rPr>
        <w:t xml:space="preserve">, </w:t>
      </w:r>
      <w:r w:rsidR="0005245B" w:rsidRPr="00E02B0C">
        <w:rPr>
          <w:rFonts w:eastAsia="Calibri"/>
          <w:lang w:val="fr-FR" w:eastAsia="zh-CN"/>
        </w:rPr>
        <w:t>sont définies comme le passage à des solutions de remplacement à faible PRG ou à PRG nul des entreprises n</w:t>
      </w:r>
      <w:r w:rsidR="00CB3555">
        <w:rPr>
          <w:rFonts w:eastAsia="Calibri"/>
          <w:lang w:val="fr-FR" w:eastAsia="zh-CN"/>
        </w:rPr>
        <w:t>’</w:t>
      </w:r>
      <w:r w:rsidR="0005245B" w:rsidRPr="00E02B0C">
        <w:rPr>
          <w:rFonts w:eastAsia="Calibri"/>
          <w:lang w:val="fr-FR" w:eastAsia="zh-CN"/>
        </w:rPr>
        <w:t>ayant jamais bénéficié directement ou indirectement d</w:t>
      </w:r>
      <w:r w:rsidR="00CB3555">
        <w:rPr>
          <w:rFonts w:eastAsia="Calibri"/>
          <w:lang w:val="fr-FR" w:eastAsia="zh-CN"/>
        </w:rPr>
        <w:t>’</w:t>
      </w:r>
      <w:r w:rsidR="0005245B" w:rsidRPr="00E02B0C">
        <w:rPr>
          <w:rFonts w:eastAsia="Calibri"/>
          <w:lang w:val="fr-FR" w:eastAsia="zh-CN"/>
        </w:rPr>
        <w:t>un appui, en tout ou partie, du Fonds multilatéral, y compris les entreprises qui sont passées aux hydrofluorocarbones par leurs propres moyens</w:t>
      </w:r>
      <w:r w:rsidR="0005245B" w:rsidRPr="00B7386A">
        <w:rPr>
          <w:rFonts w:eastAsia="Calibri"/>
          <w:lang w:val="fr-FR" w:eastAsia="zh-CN"/>
        </w:rPr>
        <w:t xml:space="preserve">; </w:t>
      </w:r>
    </w:p>
    <w:p w14:paraId="3B52AA84" w14:textId="77777777" w:rsidR="0005245B" w:rsidRPr="00B7386A" w:rsidRDefault="00ED289A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>
        <w:rPr>
          <w:rFonts w:eastAsia="Calibri"/>
          <w:lang w:eastAsia="zh-CN"/>
        </w:rPr>
        <w:t>L</w:t>
      </w:r>
      <w:r w:rsidR="0005245B" w:rsidRPr="00E02B0C">
        <w:rPr>
          <w:rFonts w:eastAsia="Calibri"/>
          <w:lang w:val="fr-FR" w:eastAsia="zh-CN"/>
        </w:rPr>
        <w:t>es entreprises qui sont déjà passées aux hydrofluorocarbones lorsqu</w:t>
      </w:r>
      <w:r w:rsidR="00CB3555">
        <w:rPr>
          <w:rFonts w:eastAsia="Calibri"/>
          <w:lang w:val="fr-FR" w:eastAsia="zh-CN"/>
        </w:rPr>
        <w:t>’</w:t>
      </w:r>
      <w:r w:rsidR="0005245B" w:rsidRPr="00E02B0C">
        <w:rPr>
          <w:rFonts w:eastAsia="Calibri"/>
          <w:lang w:val="fr-FR" w:eastAsia="zh-CN"/>
        </w:rPr>
        <w:t>elles ont éliminé les CFC et/ou les hydro</w:t>
      </w:r>
      <w:r w:rsidR="0005245B">
        <w:rPr>
          <w:rFonts w:eastAsia="Calibri"/>
          <w:lang w:val="fr-FR" w:eastAsia="zh-CN"/>
        </w:rPr>
        <w:t>chloro</w:t>
      </w:r>
      <w:r w:rsidR="0005245B" w:rsidRPr="00E02B0C">
        <w:rPr>
          <w:rFonts w:eastAsia="Calibri"/>
          <w:lang w:val="fr-FR" w:eastAsia="zh-CN"/>
        </w:rPr>
        <w:t xml:space="preserve">fluorocarbones auront droit à un financement du Fonds multilatéral </w:t>
      </w:r>
      <w:r w:rsidR="0005245B" w:rsidRPr="00883F44">
        <w:rPr>
          <w:rFonts w:eastAsia="Calibri"/>
          <w:lang w:val="fr-FR" w:eastAsia="zh-CN"/>
        </w:rPr>
        <w:t>pour couvrir les surcoûts convenus, tout comme les entreprises ayant droit à un financement pour les premières conversions</w:t>
      </w:r>
      <w:r w:rsidR="0005245B" w:rsidRPr="00B7386A">
        <w:rPr>
          <w:rFonts w:eastAsia="Calibri"/>
          <w:lang w:val="fr-FR" w:eastAsia="zh-CN"/>
        </w:rPr>
        <w:t>;</w:t>
      </w:r>
    </w:p>
    <w:p w14:paraId="6D6461FE" w14:textId="77777777" w:rsidR="0005245B" w:rsidRPr="00B7386A" w:rsidRDefault="00ED289A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>
        <w:rPr>
          <w:rFonts w:eastAsia="Calibri"/>
          <w:lang w:eastAsia="zh-CN"/>
        </w:rPr>
        <w:t>L</w:t>
      </w:r>
      <w:r w:rsidR="0005245B" w:rsidRPr="00E64932">
        <w:rPr>
          <w:rFonts w:eastAsia="Calibri"/>
          <w:lang w:val="fr-FR" w:eastAsia="zh-CN"/>
        </w:rPr>
        <w:t xml:space="preserve">es entreprises qui passent des </w:t>
      </w:r>
      <w:r w:rsidR="0005245B" w:rsidRPr="001938C1">
        <w:rPr>
          <w:rFonts w:eastAsia="Calibri"/>
          <w:lang w:val="fr-FR" w:eastAsia="zh-CN"/>
        </w:rPr>
        <w:t xml:space="preserve">hydrochlorofluorocarbones </w:t>
      </w:r>
      <w:r w:rsidR="0005245B" w:rsidRPr="00E64932">
        <w:rPr>
          <w:rFonts w:eastAsia="Calibri"/>
          <w:lang w:val="fr-FR" w:eastAsia="zh-CN"/>
        </w:rPr>
        <w:t>à des hydrofluorocarbones à PRG élevé</w:t>
      </w:r>
      <w:r w:rsidR="0005245B" w:rsidRPr="00B7386A">
        <w:rPr>
          <w:rFonts w:eastAsia="Calibri"/>
          <w:lang w:val="fr-FR" w:eastAsia="zh-CN"/>
        </w:rPr>
        <w:t xml:space="preserve">, </w:t>
      </w:r>
      <w:r w:rsidR="0005245B" w:rsidRPr="00E64932">
        <w:rPr>
          <w:rFonts w:eastAsia="Calibri"/>
          <w:lang w:val="fr-FR" w:eastAsia="zh-CN"/>
        </w:rPr>
        <w:t>après l</w:t>
      </w:r>
      <w:r w:rsidR="00CB3555">
        <w:rPr>
          <w:rFonts w:eastAsia="Calibri"/>
          <w:lang w:val="fr-FR" w:eastAsia="zh-CN"/>
        </w:rPr>
        <w:t>’</w:t>
      </w:r>
      <w:r w:rsidR="0005245B" w:rsidRPr="00E64932">
        <w:rPr>
          <w:rFonts w:eastAsia="Calibri"/>
          <w:lang w:val="fr-FR" w:eastAsia="zh-CN"/>
        </w:rPr>
        <w:t>adoption d</w:t>
      </w:r>
      <w:r w:rsidR="00CB3555">
        <w:rPr>
          <w:rFonts w:eastAsia="Calibri"/>
          <w:lang w:val="fr-FR" w:eastAsia="zh-CN"/>
        </w:rPr>
        <w:t>’</w:t>
      </w:r>
      <w:r w:rsidR="0005245B" w:rsidRPr="00E64932">
        <w:rPr>
          <w:rFonts w:eastAsia="Calibri"/>
          <w:lang w:val="fr-FR" w:eastAsia="zh-CN"/>
        </w:rPr>
        <w:t>un amendement sur les hydrofluorocarbones</w:t>
      </w:r>
      <w:r w:rsidR="0005245B" w:rsidRPr="00E64932">
        <w:rPr>
          <w:lang w:val="fr-FR"/>
        </w:rPr>
        <w:t xml:space="preserve"> </w:t>
      </w:r>
      <w:r w:rsidR="0005245B" w:rsidRPr="00E64932">
        <w:rPr>
          <w:rFonts w:eastAsia="Calibri"/>
          <w:lang w:val="fr-FR" w:eastAsia="zh-CN"/>
        </w:rPr>
        <w:t>au titre de plans de gestion de l</w:t>
      </w:r>
      <w:r w:rsidR="00CB3555">
        <w:rPr>
          <w:rFonts w:eastAsia="Calibri"/>
          <w:lang w:val="fr-FR" w:eastAsia="zh-CN"/>
        </w:rPr>
        <w:t>’</w:t>
      </w:r>
      <w:r w:rsidR="0005245B" w:rsidRPr="00E64932">
        <w:rPr>
          <w:rFonts w:eastAsia="Calibri"/>
          <w:lang w:val="fr-FR" w:eastAsia="zh-CN"/>
        </w:rPr>
        <w:t>élimination progressive des hydrochlorofluorocarbones déjà approuvés par le Comité exécutif</w:t>
      </w:r>
      <w:r w:rsidR="0005245B">
        <w:rPr>
          <w:rFonts w:eastAsia="Calibri"/>
          <w:lang w:val="fr-FR" w:eastAsia="zh-CN"/>
        </w:rPr>
        <w:t xml:space="preserve"> </w:t>
      </w:r>
      <w:r w:rsidR="0005245B" w:rsidRPr="00E64932">
        <w:rPr>
          <w:rFonts w:eastAsia="Calibri"/>
          <w:lang w:val="fr-FR" w:eastAsia="zh-CN"/>
        </w:rPr>
        <w:t>pourront prétendre à un financement du Fonds multilatéral pour un passage ultérieur à des solutions de remplacement à faible PRG ou à PRG nul pour couvrir les surcoûts convenus tout comme les entreprises ayant droit à un financement pour les premières conversions</w:t>
      </w:r>
      <w:r w:rsidR="0005245B" w:rsidRPr="00B7386A">
        <w:rPr>
          <w:rFonts w:eastAsia="Calibri"/>
          <w:lang w:val="fr-FR" w:eastAsia="zh-CN"/>
        </w:rPr>
        <w:t xml:space="preserve">; </w:t>
      </w:r>
    </w:p>
    <w:p w14:paraId="3F103786" w14:textId="77777777" w:rsidR="0005245B" w:rsidRPr="00B7386A" w:rsidRDefault="00ED289A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>
        <w:rPr>
          <w:rFonts w:eastAsia="Calibri"/>
          <w:lang w:eastAsia="zh-CN"/>
        </w:rPr>
        <w:t>L</w:t>
      </w:r>
      <w:r w:rsidR="0005245B" w:rsidRPr="00E64932">
        <w:rPr>
          <w:rFonts w:eastAsia="Calibri"/>
          <w:lang w:val="fr-FR" w:eastAsia="zh-CN"/>
        </w:rPr>
        <w:t xml:space="preserve">es entreprises qui passent des </w:t>
      </w:r>
      <w:r w:rsidR="0005245B" w:rsidRPr="001938C1">
        <w:rPr>
          <w:rFonts w:eastAsia="Calibri"/>
          <w:lang w:val="fr-FR" w:eastAsia="zh-CN"/>
        </w:rPr>
        <w:t xml:space="preserve">hydrochlorofluorocarbones </w:t>
      </w:r>
      <w:r w:rsidR="0005245B" w:rsidRPr="00E64932">
        <w:rPr>
          <w:rFonts w:eastAsia="Calibri"/>
          <w:lang w:val="fr-FR" w:eastAsia="zh-CN"/>
        </w:rPr>
        <w:t xml:space="preserve">à des hydrofluorocarbones à PRG élevé par leurs propres moyens avant la date </w:t>
      </w:r>
      <w:r w:rsidR="0005245B">
        <w:rPr>
          <w:rFonts w:eastAsia="Calibri"/>
          <w:lang w:val="fr-FR" w:eastAsia="zh-CN"/>
        </w:rPr>
        <w:t>de</w:t>
      </w:r>
      <w:r w:rsidR="0005245B" w:rsidRPr="00E64932">
        <w:rPr>
          <w:rFonts w:eastAsia="Calibri"/>
          <w:lang w:val="fr-FR" w:eastAsia="zh-CN"/>
        </w:rPr>
        <w:t xml:space="preserve"> gel</w:t>
      </w:r>
      <w:r w:rsidR="0005245B">
        <w:rPr>
          <w:rFonts w:eastAsia="Calibri"/>
          <w:lang w:val="fr-FR" w:eastAsia="zh-CN"/>
        </w:rPr>
        <w:t xml:space="preserve"> prévue par l</w:t>
      </w:r>
      <w:r w:rsidR="00CB3555">
        <w:rPr>
          <w:rFonts w:eastAsia="Calibri"/>
          <w:lang w:val="fr-FR" w:eastAsia="zh-CN"/>
        </w:rPr>
        <w:t>’</w:t>
      </w:r>
      <w:r w:rsidR="0005245B">
        <w:rPr>
          <w:rFonts w:eastAsia="Calibri"/>
          <w:lang w:val="fr-FR" w:eastAsia="zh-CN"/>
        </w:rPr>
        <w:t>amendement proposé</w:t>
      </w:r>
      <w:r w:rsidR="0005245B" w:rsidRPr="00E64932">
        <w:rPr>
          <w:rFonts w:eastAsia="Calibri"/>
          <w:lang w:val="fr-FR" w:eastAsia="zh-CN"/>
        </w:rPr>
        <w:t xml:space="preserve"> </w:t>
      </w:r>
      <w:r w:rsidR="0005245B" w:rsidRPr="00872D97">
        <w:rPr>
          <w:rFonts w:eastAsia="Calibri"/>
          <w:lang w:val="fr-FR" w:eastAsia="zh-CN"/>
        </w:rPr>
        <w:t>auront droit à un financement du Fonds multilatéral pour couvrir les surcoûts convenus, tout comme les entreprises ayant droit à un financement pour les premières conversions</w:t>
      </w:r>
      <w:r w:rsidR="0005245B" w:rsidRPr="00B7386A">
        <w:rPr>
          <w:rFonts w:eastAsia="Calibri"/>
          <w:lang w:val="fr-FR" w:eastAsia="zh-CN"/>
        </w:rPr>
        <w:t xml:space="preserve">; </w:t>
      </w:r>
    </w:p>
    <w:p w14:paraId="6C2ED908" w14:textId="77777777" w:rsidR="0005245B" w:rsidRPr="00B7386A" w:rsidRDefault="00ED289A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>
        <w:rPr>
          <w:rFonts w:eastAsia="Calibri"/>
          <w:lang w:eastAsia="zh-CN"/>
        </w:rPr>
        <w:lastRenderedPageBreak/>
        <w:t>L</w:t>
      </w:r>
      <w:r w:rsidR="0005245B" w:rsidRPr="00872D97">
        <w:rPr>
          <w:rFonts w:eastAsia="Calibri"/>
          <w:lang w:val="fr-FR" w:eastAsia="zh-CN"/>
        </w:rPr>
        <w:t>es entreprises qui passent des hydrofluorocarbones à des hydrofluorocarbones à PRG moins élevé avec l</w:t>
      </w:r>
      <w:r w:rsidR="00CB3555">
        <w:rPr>
          <w:rFonts w:eastAsia="Calibri"/>
          <w:lang w:val="fr-FR" w:eastAsia="zh-CN"/>
        </w:rPr>
        <w:t>’</w:t>
      </w:r>
      <w:r w:rsidR="0005245B" w:rsidRPr="00872D97">
        <w:rPr>
          <w:rFonts w:eastAsia="Calibri"/>
          <w:lang w:val="fr-FR" w:eastAsia="zh-CN"/>
        </w:rPr>
        <w:t>appui du Fonds multilatéral lorsqu`aucune autre solution de remplacement n</w:t>
      </w:r>
      <w:r w:rsidR="00CB3555">
        <w:rPr>
          <w:rFonts w:eastAsia="Calibri"/>
          <w:lang w:val="fr-FR" w:eastAsia="zh-CN"/>
        </w:rPr>
        <w:t>’</w:t>
      </w:r>
      <w:r w:rsidR="0005245B" w:rsidRPr="00872D97">
        <w:rPr>
          <w:rFonts w:eastAsia="Calibri"/>
          <w:lang w:val="fr-FR" w:eastAsia="zh-CN"/>
        </w:rPr>
        <w:t>est disponible pourront prétendre à un financement du Fonds multilatéral pour un passage ultérieur à des solutions de remplacement à faible PRG ou à PRG nul, si cela est nécessaire pour parvenir à la phase finale de la réduction progressive des hydrofluorocarbones</w:t>
      </w:r>
      <w:r w:rsidR="0005245B" w:rsidRPr="00B7386A">
        <w:rPr>
          <w:rFonts w:eastAsia="Calibri"/>
          <w:lang w:val="fr-FR" w:eastAsia="zh-CN"/>
        </w:rPr>
        <w:t>.</w:t>
      </w:r>
    </w:p>
    <w:p w14:paraId="5C490170" w14:textId="77777777" w:rsidR="0005245B" w:rsidRPr="00B7386A" w:rsidRDefault="0005245B" w:rsidP="00CB3555">
      <w:pPr>
        <w:pStyle w:val="NormalNonumber"/>
        <w:rPr>
          <w:sz w:val="24"/>
          <w:szCs w:val="24"/>
          <w:lang w:eastAsia="en-GB"/>
        </w:rPr>
      </w:pPr>
      <w:r w:rsidRPr="00B7386A">
        <w:rPr>
          <w:lang w:eastAsia="en-GB"/>
        </w:rPr>
        <w:t>[</w:t>
      </w:r>
      <w:r>
        <w:rPr>
          <w:lang w:eastAsia="en-GB"/>
        </w:rPr>
        <w:t>Réductions globales continues</w:t>
      </w:r>
      <w:r w:rsidRPr="00B7386A">
        <w:rPr>
          <w:lang w:eastAsia="en-GB"/>
        </w:rPr>
        <w:t>]</w:t>
      </w:r>
    </w:p>
    <w:p w14:paraId="77C91780" w14:textId="77777777" w:rsidR="0005245B" w:rsidRPr="00B7386A" w:rsidRDefault="0005245B" w:rsidP="0005245B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 w:hanging="624"/>
        <w:rPr>
          <w:rFonts w:eastAsia="Calibri"/>
          <w:lang w:val="fr-FR" w:eastAsia="zh-CN"/>
        </w:rPr>
      </w:pPr>
      <w:r w:rsidRPr="003D3960">
        <w:rPr>
          <w:rFonts w:eastAsia="Calibri"/>
          <w:lang w:val="fr-FR" w:eastAsia="zh-CN"/>
        </w:rPr>
        <w:t>De prier le Comité exécutif du Fonds multilatéral d</w:t>
      </w:r>
      <w:r w:rsidR="00CB3555">
        <w:rPr>
          <w:rFonts w:eastAsia="Calibri"/>
          <w:lang w:val="fr-FR" w:eastAsia="zh-CN"/>
        </w:rPr>
        <w:t>’</w:t>
      </w:r>
      <w:r w:rsidRPr="003D3960">
        <w:rPr>
          <w:rFonts w:eastAsia="Calibri"/>
          <w:lang w:val="fr-FR" w:eastAsia="zh-CN"/>
        </w:rPr>
        <w:t xml:space="preserve">incorporer les principes suivants relatifs </w:t>
      </w:r>
      <w:r>
        <w:rPr>
          <w:rFonts w:eastAsia="Calibri"/>
          <w:lang w:val="fr-FR" w:eastAsia="zh-CN"/>
        </w:rPr>
        <w:t>aux</w:t>
      </w:r>
      <w:r w:rsidRPr="00B7386A">
        <w:rPr>
          <w:rFonts w:eastAsia="Calibri"/>
          <w:lang w:val="fr-FR" w:eastAsia="zh-CN"/>
        </w:rPr>
        <w:t xml:space="preserve"> </w:t>
      </w:r>
      <w:r>
        <w:rPr>
          <w:rFonts w:eastAsia="Calibri"/>
          <w:lang w:val="fr-FR" w:eastAsia="zh-CN"/>
        </w:rPr>
        <w:t>r</w:t>
      </w:r>
      <w:r w:rsidRPr="003D3960">
        <w:rPr>
          <w:rFonts w:eastAsia="Calibri"/>
          <w:lang w:val="fr-FR" w:eastAsia="zh-CN"/>
        </w:rPr>
        <w:t xml:space="preserve">éductions globales continues </w:t>
      </w:r>
      <w:r>
        <w:rPr>
          <w:rFonts w:eastAsia="Calibri"/>
          <w:lang w:val="fr-FR" w:eastAsia="zh-CN"/>
        </w:rPr>
        <w:t>dans les</w:t>
      </w:r>
      <w:r w:rsidRPr="00B7386A">
        <w:rPr>
          <w:rFonts w:eastAsia="Calibri"/>
          <w:lang w:val="fr-FR" w:eastAsia="zh-CN"/>
        </w:rPr>
        <w:t xml:space="preserve"> </w:t>
      </w:r>
      <w:r>
        <w:rPr>
          <w:rFonts w:eastAsia="Calibri"/>
          <w:lang w:val="fr-FR" w:eastAsia="zh-CN"/>
        </w:rPr>
        <w:t>politiques du Fonds multilatéral</w:t>
      </w:r>
      <w:r w:rsidRPr="00B7386A">
        <w:rPr>
          <w:rFonts w:eastAsia="Calibri"/>
          <w:lang w:val="fr-FR" w:eastAsia="zh-CN"/>
        </w:rPr>
        <w:t>,</w:t>
      </w:r>
    </w:p>
    <w:p w14:paraId="78978654" w14:textId="77777777" w:rsidR="0005245B" w:rsidRPr="00B7386A" w:rsidRDefault="0005245B" w:rsidP="0005245B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 w:hanging="624"/>
        <w:rPr>
          <w:rFonts w:eastAsia="Calibri"/>
          <w:lang w:val="fr-FR" w:eastAsia="zh-CN"/>
        </w:rPr>
      </w:pPr>
      <w:r>
        <w:rPr>
          <w:rFonts w:eastAsia="Calibri"/>
          <w:lang w:val="fr-FR" w:eastAsia="zh-CN"/>
        </w:rPr>
        <w:t>Que, s</w:t>
      </w:r>
      <w:r w:rsidR="00CB3555">
        <w:rPr>
          <w:rFonts w:eastAsia="Calibri"/>
          <w:lang w:val="fr-FR" w:eastAsia="zh-CN"/>
        </w:rPr>
        <w:t>’</w:t>
      </w:r>
      <w:r w:rsidRPr="003D3960">
        <w:rPr>
          <w:rFonts w:eastAsia="Calibri"/>
          <w:lang w:val="fr-FR" w:eastAsia="zh-CN"/>
        </w:rPr>
        <w:t>agissant des futurs accords types pluriannuels concernant les plans de réduction progressive des hydrofluorocarbones</w:t>
      </w:r>
      <w:r>
        <w:rPr>
          <w:rFonts w:eastAsia="Calibri"/>
          <w:lang w:val="fr-FR" w:eastAsia="zh-CN"/>
        </w:rPr>
        <w:t>, conformément à la décision </w:t>
      </w:r>
      <w:r w:rsidRPr="003D3960">
        <w:rPr>
          <w:rFonts w:eastAsia="Calibri"/>
          <w:lang w:val="fr-FR" w:eastAsia="zh-CN"/>
        </w:rPr>
        <w:t>35/57</w:t>
      </w:r>
      <w:r>
        <w:rPr>
          <w:rFonts w:eastAsia="Calibri"/>
          <w:lang w:val="fr-FR" w:eastAsia="zh-CN"/>
        </w:rPr>
        <w:t xml:space="preserve"> du Comité exécutif</w:t>
      </w:r>
      <w:r w:rsidRPr="003D3960">
        <w:rPr>
          <w:rFonts w:eastAsia="Calibri"/>
          <w:lang w:val="fr-FR" w:eastAsia="zh-CN"/>
        </w:rPr>
        <w:t>, le reste de la consommation exprimé en tonnes pouvant bénéficier d</w:t>
      </w:r>
      <w:r w:rsidR="00CB3555">
        <w:rPr>
          <w:rFonts w:eastAsia="Calibri"/>
          <w:lang w:val="fr-FR" w:eastAsia="zh-CN"/>
        </w:rPr>
        <w:t>’</w:t>
      </w:r>
      <w:r w:rsidRPr="003D3960">
        <w:rPr>
          <w:rFonts w:eastAsia="Calibri"/>
          <w:lang w:val="fr-FR" w:eastAsia="zh-CN"/>
        </w:rPr>
        <w:t>un financement sera déterminé en soustrayant à la consommation nationale globale de départ la quantité ayant bénéficié d</w:t>
      </w:r>
      <w:r w:rsidR="00CB3555">
        <w:rPr>
          <w:rFonts w:eastAsia="Calibri"/>
          <w:lang w:val="fr-FR" w:eastAsia="zh-CN"/>
        </w:rPr>
        <w:t>’</w:t>
      </w:r>
      <w:r w:rsidRPr="003D3960">
        <w:rPr>
          <w:rFonts w:eastAsia="Calibri"/>
          <w:lang w:val="fr-FR" w:eastAsia="zh-CN"/>
        </w:rPr>
        <w:t>un financement au titre de projets précédemment approuvés</w:t>
      </w:r>
      <w:r w:rsidRPr="00B7386A">
        <w:rPr>
          <w:rFonts w:eastAsia="Calibri"/>
          <w:lang w:val="fr-FR" w:eastAsia="zh-CN"/>
        </w:rPr>
        <w:t>.</w:t>
      </w:r>
    </w:p>
    <w:p w14:paraId="68093608" w14:textId="77777777" w:rsidR="0005245B" w:rsidRPr="00B7386A" w:rsidRDefault="0005245B" w:rsidP="00CB3555">
      <w:pPr>
        <w:pStyle w:val="NormalNonumber"/>
        <w:rPr>
          <w:lang w:eastAsia="en-GB"/>
        </w:rPr>
      </w:pPr>
      <w:r w:rsidRPr="00B7386A">
        <w:rPr>
          <w:lang w:eastAsia="en-GB"/>
        </w:rPr>
        <w:t>[</w:t>
      </w:r>
      <w:r>
        <w:rPr>
          <w:lang w:eastAsia="en-GB"/>
        </w:rPr>
        <w:t>A</w:t>
      </w:r>
      <w:r w:rsidRPr="00A5704E">
        <w:rPr>
          <w:lang w:eastAsia="en-GB"/>
        </w:rPr>
        <w:t>ctivités de facilitation</w:t>
      </w:r>
      <w:r w:rsidRPr="00B7386A">
        <w:rPr>
          <w:lang w:eastAsia="en-GB"/>
        </w:rPr>
        <w:t>]</w:t>
      </w:r>
    </w:p>
    <w:p w14:paraId="446AB1F0" w14:textId="77777777" w:rsidR="0005245B" w:rsidRPr="00B7386A" w:rsidRDefault="0005245B" w:rsidP="0005245B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 xml:space="preserve">De prier le Comité exécutif du Fonds multilatéral </w:t>
      </w:r>
      <w:r>
        <w:rPr>
          <w:rFonts w:eastAsia="Calibri"/>
          <w:lang w:val="fr-FR" w:eastAsia="zh-CN"/>
        </w:rPr>
        <w:t>d</w:t>
      </w:r>
      <w:r w:rsidR="00CB3555">
        <w:rPr>
          <w:rFonts w:eastAsia="Calibri"/>
          <w:lang w:val="fr-FR" w:eastAsia="zh-CN"/>
        </w:rPr>
        <w:t>’</w:t>
      </w:r>
      <w:r>
        <w:rPr>
          <w:rFonts w:eastAsia="Calibri"/>
          <w:lang w:val="fr-FR" w:eastAsia="zh-CN"/>
        </w:rPr>
        <w:t>inclure dans l</w:t>
      </w:r>
      <w:r w:rsidR="00CB3555">
        <w:rPr>
          <w:rFonts w:eastAsia="Calibri"/>
          <w:lang w:val="fr-FR" w:eastAsia="zh-CN"/>
        </w:rPr>
        <w:t>’</w:t>
      </w:r>
      <w:r>
        <w:rPr>
          <w:rFonts w:eastAsia="Calibri"/>
          <w:lang w:val="fr-FR" w:eastAsia="zh-CN"/>
        </w:rPr>
        <w:t>amendement les activités de facilitation suivantes à financer dans le cadre de</w:t>
      </w:r>
      <w:r w:rsidRPr="00B7386A">
        <w:rPr>
          <w:rFonts w:eastAsia="Calibri"/>
          <w:lang w:val="fr-FR" w:eastAsia="zh-CN"/>
        </w:rPr>
        <w:t xml:space="preserve"> </w:t>
      </w:r>
      <w:r>
        <w:rPr>
          <w:rFonts w:eastAsia="Calibri"/>
          <w:lang w:val="fr-FR" w:eastAsia="zh-CN"/>
        </w:rPr>
        <w:t xml:space="preserve">la </w:t>
      </w:r>
      <w:r w:rsidRPr="00A5704E">
        <w:rPr>
          <w:rFonts w:eastAsia="Calibri"/>
          <w:lang w:val="fr-FR" w:eastAsia="zh-CN"/>
        </w:rPr>
        <w:t>réduction progressive des hydrofluorocarbones</w:t>
      </w:r>
      <w:r w:rsidRPr="00B7386A">
        <w:rPr>
          <w:rFonts w:eastAsia="Calibri"/>
          <w:lang w:val="fr-FR" w:eastAsia="zh-CN"/>
        </w:rPr>
        <w:t>,</w:t>
      </w:r>
    </w:p>
    <w:p w14:paraId="4C3926A5" w14:textId="77777777" w:rsidR="0005245B" w:rsidRPr="00B7386A" w:rsidRDefault="0005245B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>Renforcement des capacités et formation à l</w:t>
      </w:r>
      <w:r w:rsidR="00CB3555">
        <w:rPr>
          <w:rFonts w:eastAsia="Calibri"/>
          <w:lang w:val="fr-FR" w:eastAsia="zh-CN"/>
        </w:rPr>
        <w:t>’</w:t>
      </w:r>
      <w:r w:rsidRPr="00A5704E">
        <w:rPr>
          <w:rFonts w:eastAsia="Calibri"/>
          <w:lang w:val="fr-FR" w:eastAsia="zh-CN"/>
        </w:rPr>
        <w:t>application des solutions de remplacement des hydrofluorocarbones dans le secteur de l</w:t>
      </w:r>
      <w:r w:rsidR="00CB3555">
        <w:rPr>
          <w:rFonts w:eastAsia="Calibri"/>
          <w:lang w:val="fr-FR" w:eastAsia="zh-CN"/>
        </w:rPr>
        <w:t>’</w:t>
      </w:r>
      <w:r w:rsidRPr="00A5704E">
        <w:rPr>
          <w:rFonts w:eastAsia="Calibri"/>
          <w:lang w:val="fr-FR" w:eastAsia="zh-CN"/>
        </w:rPr>
        <w:t>entretien, le secteur manufacturier et le secteur de la production</w:t>
      </w:r>
      <w:r w:rsidRPr="00B7386A">
        <w:rPr>
          <w:rFonts w:eastAsia="Calibri"/>
          <w:lang w:val="fr-FR" w:eastAsia="zh-CN"/>
        </w:rPr>
        <w:t>;</w:t>
      </w:r>
    </w:p>
    <w:p w14:paraId="478C5558" w14:textId="77777777" w:rsidR="0005245B" w:rsidRPr="00B7386A" w:rsidRDefault="0005245B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>Renforcement institutionnel</w:t>
      </w:r>
      <w:r w:rsidRPr="00B7386A">
        <w:rPr>
          <w:rFonts w:eastAsia="Calibri"/>
          <w:lang w:val="fr-FR" w:eastAsia="zh-CN"/>
        </w:rPr>
        <w:t>;</w:t>
      </w:r>
    </w:p>
    <w:p w14:paraId="6DB2DCCB" w14:textId="77777777" w:rsidR="0005245B" w:rsidRPr="00B7386A" w:rsidRDefault="0005245B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>Systèmes d</w:t>
      </w:r>
      <w:r w:rsidR="00CB3555">
        <w:rPr>
          <w:rFonts w:eastAsia="Calibri"/>
          <w:lang w:val="fr-FR" w:eastAsia="zh-CN"/>
        </w:rPr>
        <w:t>’</w:t>
      </w:r>
      <w:r w:rsidRPr="00A5704E">
        <w:rPr>
          <w:rFonts w:eastAsia="Calibri"/>
          <w:lang w:val="fr-FR" w:eastAsia="zh-CN"/>
        </w:rPr>
        <w:t>octroi de licen</w:t>
      </w:r>
      <w:r>
        <w:rPr>
          <w:rFonts w:eastAsia="Calibri"/>
          <w:lang w:val="fr-FR" w:eastAsia="zh-CN"/>
        </w:rPr>
        <w:t>ces en application de l</w:t>
      </w:r>
      <w:r w:rsidR="00CB3555">
        <w:rPr>
          <w:rFonts w:eastAsia="Calibri"/>
          <w:lang w:val="fr-FR" w:eastAsia="zh-CN"/>
        </w:rPr>
        <w:t>’</w:t>
      </w:r>
      <w:r>
        <w:rPr>
          <w:rFonts w:eastAsia="Calibri"/>
          <w:lang w:val="fr-FR" w:eastAsia="zh-CN"/>
        </w:rPr>
        <w:t>article </w:t>
      </w:r>
      <w:r w:rsidRPr="00A5704E">
        <w:rPr>
          <w:rFonts w:eastAsia="Calibri"/>
          <w:lang w:val="fr-FR" w:eastAsia="zh-CN"/>
        </w:rPr>
        <w:t>4B</w:t>
      </w:r>
      <w:r w:rsidRPr="00B7386A">
        <w:rPr>
          <w:rFonts w:eastAsia="Calibri"/>
          <w:lang w:val="fr-FR" w:eastAsia="zh-CN"/>
        </w:rPr>
        <w:t>;</w:t>
      </w:r>
    </w:p>
    <w:p w14:paraId="01CD510F" w14:textId="77777777" w:rsidR="0005245B" w:rsidRPr="00B7386A" w:rsidRDefault="0005245B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>Communication des données</w:t>
      </w:r>
      <w:r w:rsidRPr="00B7386A">
        <w:rPr>
          <w:rFonts w:eastAsia="Calibri"/>
          <w:lang w:val="fr-FR" w:eastAsia="zh-CN"/>
        </w:rPr>
        <w:t>;</w:t>
      </w:r>
    </w:p>
    <w:p w14:paraId="3CAB62EC" w14:textId="77777777" w:rsidR="0005245B" w:rsidRPr="00B7386A" w:rsidRDefault="0005245B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>Projets de démonstration</w:t>
      </w:r>
      <w:r w:rsidRPr="00B7386A">
        <w:rPr>
          <w:rFonts w:eastAsia="Calibri"/>
          <w:lang w:val="fr-FR" w:eastAsia="zh-CN"/>
        </w:rPr>
        <w:t xml:space="preserve">; </w:t>
      </w:r>
      <w:r>
        <w:rPr>
          <w:rFonts w:eastAsia="Calibri"/>
          <w:lang w:val="fr-FR" w:eastAsia="zh-CN"/>
        </w:rPr>
        <w:t>et</w:t>
      </w:r>
    </w:p>
    <w:p w14:paraId="15FED39A" w14:textId="77777777" w:rsidR="0005245B" w:rsidRPr="00B7386A" w:rsidRDefault="0005245B" w:rsidP="0005245B">
      <w:pPr>
        <w:pStyle w:val="Normal-pool"/>
        <w:numPr>
          <w:ilvl w:val="1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2495" w:hanging="624"/>
        <w:rPr>
          <w:rFonts w:eastAsia="Calibri"/>
          <w:lang w:val="fr-FR" w:eastAsia="zh-CN"/>
        </w:rPr>
      </w:pPr>
      <w:r w:rsidRPr="00A5704E">
        <w:rPr>
          <w:rFonts w:eastAsia="Calibri"/>
          <w:lang w:val="fr-FR" w:eastAsia="zh-CN"/>
        </w:rPr>
        <w:t>Élaboration des stratégies nationales</w:t>
      </w:r>
    </w:p>
    <w:p w14:paraId="6C087995" w14:textId="77777777" w:rsidR="0005245B" w:rsidRPr="00B7386A" w:rsidRDefault="0005245B" w:rsidP="0005245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sz w:val="24"/>
          <w:szCs w:val="24"/>
          <w:lang w:eastAsia="en-GB"/>
        </w:rPr>
      </w:pPr>
      <w:r w:rsidRPr="00B7386A">
        <w:rPr>
          <w:sz w:val="24"/>
          <w:szCs w:val="24"/>
          <w:lang w:eastAsia="en-GB"/>
        </w:rPr>
        <w:br w:type="page"/>
      </w:r>
    </w:p>
    <w:p w14:paraId="1C2D43A4" w14:textId="77777777" w:rsidR="0005245B" w:rsidRPr="00ED289A" w:rsidRDefault="0005245B" w:rsidP="00CB3555">
      <w:pPr>
        <w:pStyle w:val="CH2"/>
        <w:rPr>
          <w:lang w:eastAsia="en-GB"/>
        </w:rPr>
      </w:pPr>
      <w:r w:rsidRPr="00ED289A">
        <w:rPr>
          <w:lang w:eastAsia="en-GB"/>
        </w:rPr>
        <w:lastRenderedPageBreak/>
        <w:tab/>
      </w:r>
      <w:r w:rsidRPr="00ED289A">
        <w:rPr>
          <w:lang w:eastAsia="en-GB"/>
        </w:rPr>
        <w:tab/>
        <w:t>[Défi 5]</w:t>
      </w:r>
    </w:p>
    <w:p w14:paraId="0F889D75" w14:textId="77777777" w:rsidR="0005245B" w:rsidRPr="00B7386A" w:rsidRDefault="0005245B" w:rsidP="00CB3555">
      <w:pPr>
        <w:pStyle w:val="CH3"/>
        <w:rPr>
          <w:lang w:eastAsia="en-GB"/>
        </w:rPr>
      </w:pPr>
      <w:r w:rsidRPr="00B7386A">
        <w:rPr>
          <w:lang w:eastAsia="en-GB"/>
        </w:rPr>
        <w:tab/>
      </w:r>
      <w:r w:rsidRPr="00B7386A">
        <w:rPr>
          <w:lang w:eastAsia="en-GB"/>
        </w:rPr>
        <w:tab/>
      </w:r>
      <w:r>
        <w:rPr>
          <w:lang w:eastAsia="en-GB"/>
        </w:rPr>
        <w:t>[Décision </w:t>
      </w:r>
      <w:r w:rsidRPr="00B7386A">
        <w:rPr>
          <w:lang w:eastAsia="en-GB"/>
        </w:rPr>
        <w:t>XXX</w:t>
      </w:r>
      <w:r>
        <w:rPr>
          <w:lang w:eastAsia="en-GB"/>
        </w:rPr>
        <w:t> : D</w:t>
      </w:r>
      <w:r w:rsidRPr="00267041">
        <w:rPr>
          <w:lang w:eastAsia="en-GB"/>
        </w:rPr>
        <w:t>érogations aux pays connaissant des températures ambiantes élevées</w:t>
      </w:r>
      <w:r w:rsidRPr="00B7386A">
        <w:rPr>
          <w:lang w:eastAsia="en-GB"/>
        </w:rPr>
        <w:t>]</w:t>
      </w:r>
    </w:p>
    <w:p w14:paraId="070D51CC" w14:textId="77777777" w:rsidR="0005245B" w:rsidRPr="00CB3555" w:rsidRDefault="00CB3555" w:rsidP="00CB3555">
      <w:pPr>
        <w:pStyle w:val="NormalNonumber"/>
        <w:rPr>
          <w:i/>
          <w:lang w:eastAsia="en-GB"/>
        </w:rPr>
      </w:pPr>
      <w:r>
        <w:rPr>
          <w:lang w:eastAsia="en-GB"/>
        </w:rPr>
        <w:tab/>
      </w:r>
      <w:r w:rsidR="0005245B" w:rsidRPr="00CB3555">
        <w:rPr>
          <w:i/>
          <w:lang w:eastAsia="en-GB"/>
        </w:rPr>
        <w:t>La vingt-huitième Réunion des Parties décide,</w:t>
      </w:r>
    </w:p>
    <w:p w14:paraId="2507ACBE" w14:textId="77777777" w:rsidR="0005245B" w:rsidRPr="00B7386A" w:rsidRDefault="0005245B" w:rsidP="00CB3555">
      <w:pPr>
        <w:pStyle w:val="NormalNonumber"/>
        <w:rPr>
          <w:lang w:eastAsia="en-GB"/>
        </w:rPr>
      </w:pPr>
      <w:r w:rsidRPr="00B7386A">
        <w:rPr>
          <w:lang w:eastAsia="en-GB"/>
        </w:rPr>
        <w:t>[</w:t>
      </w:r>
      <w:r>
        <w:rPr>
          <w:lang w:eastAsia="en-GB"/>
        </w:rPr>
        <w:t>Espace réservé pour la référence à la décision adoptant l</w:t>
      </w:r>
      <w:r w:rsidR="00CB3555">
        <w:rPr>
          <w:lang w:eastAsia="en-GB"/>
        </w:rPr>
        <w:t>’</w:t>
      </w:r>
      <w:r>
        <w:rPr>
          <w:lang w:eastAsia="en-GB"/>
        </w:rPr>
        <w:t>amendement</w:t>
      </w:r>
      <w:r w:rsidRPr="00B7386A">
        <w:rPr>
          <w:lang w:eastAsia="en-GB"/>
        </w:rPr>
        <w:t xml:space="preserve"> </w:t>
      </w:r>
      <w:r w:rsidRPr="00267041">
        <w:rPr>
          <w:lang w:eastAsia="en-GB"/>
        </w:rPr>
        <w:t xml:space="preserve">sur les hydrofluorocarbones </w:t>
      </w:r>
      <w:r>
        <w:rPr>
          <w:lang w:eastAsia="en-GB"/>
        </w:rPr>
        <w:t>et pour la référence au paragraphe </w:t>
      </w:r>
      <w:r w:rsidRPr="00B7386A">
        <w:rPr>
          <w:lang w:eastAsia="en-GB"/>
        </w:rPr>
        <w:t xml:space="preserve">X </w:t>
      </w:r>
      <w:r>
        <w:rPr>
          <w:lang w:eastAsia="en-GB"/>
        </w:rPr>
        <w:t>de l</w:t>
      </w:r>
      <w:r w:rsidR="00CB3555">
        <w:rPr>
          <w:lang w:eastAsia="en-GB"/>
        </w:rPr>
        <w:t>’</w:t>
      </w:r>
      <w:r>
        <w:rPr>
          <w:lang w:eastAsia="en-GB"/>
        </w:rPr>
        <w:t>article </w:t>
      </w:r>
      <w:r w:rsidRPr="00B7386A">
        <w:rPr>
          <w:lang w:eastAsia="en-GB"/>
        </w:rPr>
        <w:t xml:space="preserve">2J </w:t>
      </w:r>
      <w:r>
        <w:rPr>
          <w:lang w:eastAsia="en-GB"/>
        </w:rPr>
        <w:t>de l</w:t>
      </w:r>
      <w:r w:rsidR="00CB3555">
        <w:rPr>
          <w:lang w:eastAsia="en-GB"/>
        </w:rPr>
        <w:t>’</w:t>
      </w:r>
      <w:r>
        <w:rPr>
          <w:lang w:eastAsia="en-GB"/>
        </w:rPr>
        <w:t>article </w:t>
      </w:r>
      <w:r w:rsidRPr="00B7386A">
        <w:rPr>
          <w:lang w:eastAsia="en-GB"/>
        </w:rPr>
        <w:t xml:space="preserve">I </w:t>
      </w:r>
      <w:r>
        <w:rPr>
          <w:lang w:eastAsia="en-GB"/>
        </w:rPr>
        <w:t>de l</w:t>
      </w:r>
      <w:r w:rsidR="00CB3555">
        <w:rPr>
          <w:lang w:eastAsia="en-GB"/>
        </w:rPr>
        <w:t>’</w:t>
      </w:r>
      <w:r>
        <w:rPr>
          <w:lang w:eastAsia="en-GB"/>
        </w:rPr>
        <w:t>amendement</w:t>
      </w:r>
      <w:r w:rsidRPr="00B7386A">
        <w:rPr>
          <w:lang w:eastAsia="en-GB"/>
        </w:rPr>
        <w:t>]</w:t>
      </w:r>
    </w:p>
    <w:p w14:paraId="327AC041" w14:textId="77777777" w:rsidR="0005245B" w:rsidRPr="00B7386A" w:rsidRDefault="0005245B" w:rsidP="0005245B">
      <w:pPr>
        <w:pStyle w:val="CH3"/>
        <w:rPr>
          <w:lang w:eastAsia="en-GB"/>
        </w:rPr>
      </w:pPr>
      <w:r w:rsidRPr="00B7386A">
        <w:rPr>
          <w:lang w:eastAsia="en-GB"/>
        </w:rPr>
        <w:tab/>
      </w:r>
      <w:r w:rsidRPr="00B7386A">
        <w:rPr>
          <w:lang w:eastAsia="en-GB"/>
        </w:rPr>
        <w:tab/>
      </w:r>
      <w:r w:rsidRPr="00267041">
        <w:rPr>
          <w:lang w:eastAsia="en-GB"/>
        </w:rPr>
        <w:t>Dérogations aux pays connaissant des températures ambiantes élevées</w:t>
      </w:r>
    </w:p>
    <w:p w14:paraId="2A2E3F2D" w14:textId="77777777" w:rsidR="0005245B" w:rsidRPr="00ED289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1.</w:t>
      </w:r>
      <w:r>
        <w:rPr>
          <w:rFonts w:eastAsia="Calibri"/>
        </w:rPr>
        <w:tab/>
      </w:r>
      <w:r w:rsidR="0005245B" w:rsidRPr="00ED289A">
        <w:rPr>
          <w:rFonts w:eastAsia="Calibri"/>
        </w:rPr>
        <w:t>De mettre à disposition une dérogation pour les Parties connaissant des températures ambiantes élevées lorsqu</w:t>
      </w:r>
      <w:r>
        <w:rPr>
          <w:rFonts w:eastAsia="Calibri"/>
        </w:rPr>
        <w:t>’</w:t>
      </w:r>
      <w:r w:rsidR="0005245B" w:rsidRPr="00ED289A">
        <w:rPr>
          <w:rFonts w:eastAsia="Calibri"/>
        </w:rPr>
        <w:t>il n</w:t>
      </w:r>
      <w:r>
        <w:rPr>
          <w:rFonts w:eastAsia="Calibri"/>
        </w:rPr>
        <w:t>’</w:t>
      </w:r>
      <w:r w:rsidR="0005245B" w:rsidRPr="00ED289A">
        <w:rPr>
          <w:rFonts w:eastAsia="Calibri"/>
        </w:rPr>
        <w:t>existe pas de solutions de remplacement pouvant être utilisées par le sous-secteur considéré, comme il est précisé ci-après;</w:t>
      </w:r>
    </w:p>
    <w:p w14:paraId="4B3A78B7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2.</w:t>
      </w:r>
      <w:r>
        <w:rPr>
          <w:rFonts w:eastAsia="Calibri"/>
        </w:rPr>
        <w:tab/>
      </w:r>
      <w:r w:rsidR="0005245B">
        <w:rPr>
          <w:rFonts w:eastAsia="Calibri"/>
        </w:rPr>
        <w:t xml:space="preserve">De distinguer et séparer cette dérogation des </w:t>
      </w:r>
      <w:r w:rsidR="0005245B" w:rsidRPr="0014696E">
        <w:rPr>
          <w:rFonts w:eastAsia="Calibri"/>
        </w:rPr>
        <w:t xml:space="preserve">dérogations pour utilisations essentielles et critiques </w:t>
      </w:r>
      <w:r w:rsidR="0005245B">
        <w:rPr>
          <w:rFonts w:eastAsia="Calibri"/>
        </w:rPr>
        <w:t>au titre du Protocole de Montréal</w:t>
      </w:r>
      <w:r w:rsidR="0005245B" w:rsidRPr="00B7386A">
        <w:rPr>
          <w:rFonts w:eastAsia="Calibri"/>
        </w:rPr>
        <w:t>;</w:t>
      </w:r>
    </w:p>
    <w:p w14:paraId="1D35D661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3.</w:t>
      </w:r>
      <w:r>
        <w:rPr>
          <w:rFonts w:eastAsia="Calibri"/>
        </w:rPr>
        <w:tab/>
      </w:r>
      <w:r w:rsidR="0005245B">
        <w:rPr>
          <w:rFonts w:eastAsia="Calibri"/>
        </w:rPr>
        <w:t>De rendre cette dérogation effective et disponible à la date de gel des</w:t>
      </w:r>
      <w:r w:rsidR="0005245B" w:rsidRPr="00B7386A">
        <w:rPr>
          <w:rFonts w:eastAsia="Calibri"/>
        </w:rPr>
        <w:t xml:space="preserve"> </w:t>
      </w:r>
      <w:r w:rsidR="0005245B" w:rsidRPr="0014696E">
        <w:rPr>
          <w:rFonts w:eastAsia="Calibri"/>
        </w:rPr>
        <w:t xml:space="preserve">hydrofluorocarbones </w:t>
      </w:r>
      <w:r w:rsidR="0005245B">
        <w:rPr>
          <w:rFonts w:eastAsia="Calibri"/>
        </w:rPr>
        <w:t>ou</w:t>
      </w:r>
      <w:r w:rsidR="0005245B" w:rsidRPr="00B7386A">
        <w:rPr>
          <w:rFonts w:eastAsia="Calibri"/>
        </w:rPr>
        <w:t xml:space="preserve"> </w:t>
      </w:r>
      <w:r w:rsidR="0005245B">
        <w:rPr>
          <w:rFonts w:eastAsia="Calibri"/>
        </w:rPr>
        <w:t xml:space="preserve">de </w:t>
      </w:r>
      <w:r w:rsidR="0005245B" w:rsidRPr="0014696E">
        <w:rPr>
          <w:rFonts w:eastAsia="Calibri"/>
        </w:rPr>
        <w:t>toute autre obligation initiale</w:t>
      </w:r>
      <w:r w:rsidR="0005245B">
        <w:rPr>
          <w:rFonts w:eastAsia="Calibri"/>
        </w:rPr>
        <w:t>, avec une durée initiale de quatre ans</w:t>
      </w:r>
      <w:r w:rsidR="0005245B" w:rsidRPr="00B7386A">
        <w:rPr>
          <w:rFonts w:eastAsia="Calibri"/>
        </w:rPr>
        <w:t>;</w:t>
      </w:r>
    </w:p>
    <w:p w14:paraId="356E0F2C" w14:textId="77777777" w:rsidR="0005245B" w:rsidRPr="00CB3555" w:rsidRDefault="00CB3555" w:rsidP="00CB3555">
      <w:pPr>
        <w:pStyle w:val="NormalNonumber"/>
        <w:rPr>
          <w:rFonts w:eastAsia="Calibri"/>
          <w:lang w:val="fr-FR"/>
        </w:rPr>
      </w:pPr>
      <w:r>
        <w:rPr>
          <w:rFonts w:eastAsia="Calibri"/>
          <w:lang w:val="fr-FR"/>
        </w:rPr>
        <w:tab/>
        <w:t>4.</w:t>
      </w:r>
      <w:r>
        <w:rPr>
          <w:rFonts w:eastAsia="Calibri"/>
          <w:lang w:val="fr-FR"/>
        </w:rPr>
        <w:tab/>
      </w:r>
      <w:r w:rsidR="0005245B" w:rsidRPr="00CB3555">
        <w:rPr>
          <w:rFonts w:eastAsia="Calibri"/>
          <w:lang w:val="fr-FR"/>
        </w:rPr>
        <w:t>D</w:t>
      </w:r>
      <w:r>
        <w:rPr>
          <w:rFonts w:eastAsia="Calibri"/>
          <w:lang w:val="fr-FR"/>
        </w:rPr>
        <w:t>’</w:t>
      </w:r>
      <w:r w:rsidR="0005245B" w:rsidRPr="00CB3555">
        <w:rPr>
          <w:rFonts w:eastAsia="Calibri"/>
          <w:lang w:val="fr-FR"/>
        </w:rPr>
        <w:t>appliquer cette dérogation aux</w:t>
      </w:r>
      <w:r w:rsidR="0005245B" w:rsidRPr="00CB3555">
        <w:rPr>
          <w:lang w:val="fr-FR"/>
        </w:rPr>
        <w:t xml:space="preserve"> </w:t>
      </w:r>
      <w:r w:rsidR="0005245B" w:rsidRPr="00CB3555">
        <w:rPr>
          <w:rFonts w:eastAsia="Calibri"/>
          <w:lang w:val="fr-FR"/>
        </w:rPr>
        <w:t>sous-secteurs figurant à l</w:t>
      </w:r>
      <w:r>
        <w:rPr>
          <w:rFonts w:eastAsia="Calibri"/>
          <w:lang w:val="fr-FR"/>
        </w:rPr>
        <w:t>’</w:t>
      </w:r>
      <w:r w:rsidR="0005245B" w:rsidRPr="00CB3555">
        <w:rPr>
          <w:rFonts w:eastAsia="Calibri"/>
          <w:lang w:val="fr-FR"/>
        </w:rPr>
        <w:t>annexe [X] dans les Parties</w:t>
      </w:r>
      <w:r w:rsidR="0005245B" w:rsidRPr="00CB3555">
        <w:rPr>
          <w:lang w:val="fr-FR"/>
        </w:rPr>
        <w:t xml:space="preserve"> </w:t>
      </w:r>
      <w:r w:rsidR="0005245B" w:rsidRPr="00CB3555">
        <w:rPr>
          <w:rFonts w:eastAsia="Calibri"/>
          <w:lang w:val="fr-FR"/>
        </w:rPr>
        <w:t>ayant connu pendant dix années consécutives deux mois au moins par an, en moyenne, des pics de température ambiante supérieurs à 35 °,</w:t>
      </w:r>
      <w:r w:rsidRPr="00CB3555">
        <w:rPr>
          <w:rStyle w:val="FootnoteReference"/>
          <w:rFonts w:eastAsia="Calibri"/>
          <w:lang w:val="fr-FR"/>
        </w:rPr>
        <w:footnoteReference w:customMarkFollows="1" w:id="2"/>
        <w:t>1</w:t>
      </w:r>
      <w:r>
        <w:rPr>
          <w:rStyle w:val="FootnoteReference"/>
          <w:rFonts w:eastAsia="Calibri"/>
          <w:lang w:val="fr-FR"/>
        </w:rPr>
        <w:footnoteReference w:customMarkFollows="1" w:id="3"/>
        <w:t>2</w:t>
      </w:r>
      <w:r w:rsidR="0005245B" w:rsidRPr="00CB3555">
        <w:rPr>
          <w:rFonts w:eastAsia="Calibri"/>
          <w:lang w:val="fr-FR"/>
        </w:rPr>
        <w:t xml:space="preserve"> lorsque la Partie a officiellement notifié le Secrétariat son intention de recourir à la dérogation,</w:t>
      </w:r>
      <w:r w:rsidR="0005245B" w:rsidRPr="00CB3555">
        <w:rPr>
          <w:lang w:val="fr-FR"/>
        </w:rPr>
        <w:t xml:space="preserve"> </w:t>
      </w:r>
      <w:r w:rsidR="0005245B" w:rsidRPr="00CB3555">
        <w:rPr>
          <w:rFonts w:eastAsia="Calibri"/>
          <w:lang w:val="fr-FR"/>
        </w:rPr>
        <w:t>au plus tard un an avant le gel des hydrofluorocarbones ou toute autre obligation initiale, et par la suite tous les quatre ans si elle souhaite prolonger la dérogation;</w:t>
      </w:r>
    </w:p>
    <w:p w14:paraId="5A48CCD8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5.</w:t>
      </w:r>
      <w:r>
        <w:rPr>
          <w:rFonts w:eastAsia="Calibri"/>
        </w:rPr>
        <w:tab/>
      </w:r>
      <w:r w:rsidR="0005245B">
        <w:rPr>
          <w:rFonts w:eastAsia="Calibri"/>
        </w:rPr>
        <w:t>Que t</w:t>
      </w:r>
      <w:r w:rsidR="0005245B" w:rsidRPr="001F08EE">
        <w:rPr>
          <w:rFonts w:eastAsia="Calibri"/>
        </w:rPr>
        <w:t xml:space="preserve">oute Partie qui recourt à une dérogation pour cause de température ambiante élevée communique séparément ses données relatives à sa production </w:t>
      </w:r>
      <w:r w:rsidR="0005245B">
        <w:rPr>
          <w:rFonts w:eastAsia="Calibri"/>
        </w:rPr>
        <w:t xml:space="preserve">et à sa consommation </w:t>
      </w:r>
      <w:r w:rsidR="0005245B" w:rsidRPr="001F08EE">
        <w:rPr>
          <w:rFonts w:eastAsia="Calibri"/>
        </w:rPr>
        <w:t xml:space="preserve">pour les sous-secteurs auxquels </w:t>
      </w:r>
      <w:proofErr w:type="gramStart"/>
      <w:r w:rsidR="0005245B" w:rsidRPr="001F08EE">
        <w:rPr>
          <w:rFonts w:eastAsia="Calibri"/>
        </w:rPr>
        <w:t>s</w:t>
      </w:r>
      <w:r>
        <w:rPr>
          <w:rFonts w:eastAsia="Calibri"/>
        </w:rPr>
        <w:t>’</w:t>
      </w:r>
      <w:r w:rsidR="0005245B" w:rsidRPr="001F08EE">
        <w:rPr>
          <w:rFonts w:eastAsia="Calibri"/>
        </w:rPr>
        <w:t>appliquent</w:t>
      </w:r>
      <w:proofErr w:type="gramEnd"/>
      <w:r w:rsidR="0005245B" w:rsidRPr="001F08EE">
        <w:rPr>
          <w:rFonts w:eastAsia="Calibri"/>
        </w:rPr>
        <w:t xml:space="preserve"> la dérogation</w:t>
      </w:r>
      <w:r w:rsidR="0005245B" w:rsidRPr="00B7386A">
        <w:rPr>
          <w:rFonts w:eastAsia="Calibri"/>
        </w:rPr>
        <w:t>;</w:t>
      </w:r>
    </w:p>
    <w:p w14:paraId="35E76DB6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6.</w:t>
      </w:r>
      <w:r>
        <w:rPr>
          <w:rFonts w:eastAsia="Calibri"/>
        </w:rPr>
        <w:tab/>
      </w:r>
      <w:r w:rsidR="0005245B">
        <w:rPr>
          <w:rFonts w:eastAsia="Calibri"/>
        </w:rPr>
        <w:t>Que t</w:t>
      </w:r>
      <w:r w:rsidR="0005245B" w:rsidRPr="001F08EE">
        <w:rPr>
          <w:rFonts w:eastAsia="Calibri"/>
        </w:rPr>
        <w:t>outes les autorisations de transfert de production et de consommation pour cause de température ambiante élevée sont communiquées au Secrétar</w:t>
      </w:r>
      <w:r w:rsidR="0005245B">
        <w:rPr>
          <w:rFonts w:eastAsia="Calibri"/>
        </w:rPr>
        <w:t>iat en application de l</w:t>
      </w:r>
      <w:r>
        <w:rPr>
          <w:rFonts w:eastAsia="Calibri"/>
        </w:rPr>
        <w:t>’</w:t>
      </w:r>
      <w:r w:rsidR="0005245B">
        <w:rPr>
          <w:rFonts w:eastAsia="Calibri"/>
        </w:rPr>
        <w:t>article </w:t>
      </w:r>
      <w:r w:rsidR="0005245B" w:rsidRPr="001F08EE">
        <w:rPr>
          <w:rFonts w:eastAsia="Calibri"/>
        </w:rPr>
        <w:t xml:space="preserve">7 </w:t>
      </w:r>
      <w:r w:rsidR="0005245B">
        <w:rPr>
          <w:rFonts w:eastAsia="Calibri"/>
        </w:rPr>
        <w:t>du Protocole par chacune des Parties concernées</w:t>
      </w:r>
      <w:r w:rsidR="0005245B" w:rsidRPr="00B7386A">
        <w:rPr>
          <w:rFonts w:eastAsia="Calibri"/>
        </w:rPr>
        <w:t>;</w:t>
      </w:r>
    </w:p>
    <w:p w14:paraId="0A68A088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7.</w:t>
      </w:r>
      <w:r>
        <w:rPr>
          <w:rFonts w:eastAsia="Calibri"/>
        </w:rPr>
        <w:tab/>
      </w:r>
      <w:r w:rsidR="0005245B" w:rsidRPr="009C3B99">
        <w:rPr>
          <w:rFonts w:eastAsia="Calibri"/>
        </w:rPr>
        <w:t>Le Groupe de l</w:t>
      </w:r>
      <w:r>
        <w:rPr>
          <w:rFonts w:eastAsia="Calibri"/>
        </w:rPr>
        <w:t>’</w:t>
      </w:r>
      <w:r w:rsidR="0005245B" w:rsidRPr="009C3B99">
        <w:rPr>
          <w:rFonts w:eastAsia="Calibri"/>
        </w:rPr>
        <w:t>évaluation technique et économique et un organe subsidiaire de ce Groupe comprenant des experts extérieurs en températures ambiantes élevées évaluent les solutions de remplacement des hydrofluorocarbones à utiliser lorsqu</w:t>
      </w:r>
      <w:r>
        <w:rPr>
          <w:rFonts w:eastAsia="Calibri"/>
        </w:rPr>
        <w:t>’</w:t>
      </w:r>
      <w:r w:rsidR="0005245B" w:rsidRPr="009C3B99">
        <w:rPr>
          <w:rFonts w:eastAsia="Calibri"/>
        </w:rPr>
        <w:t>il n</w:t>
      </w:r>
      <w:r>
        <w:rPr>
          <w:rFonts w:eastAsia="Calibri"/>
        </w:rPr>
        <w:t>’</w:t>
      </w:r>
      <w:r w:rsidR="0005245B" w:rsidRPr="009C3B99">
        <w:rPr>
          <w:rFonts w:eastAsia="Calibri"/>
        </w:rPr>
        <w:t>existe pas de solutions de remplacement appropriées, eu égard aux critères convenus par les Parties, peuvent recommander d</w:t>
      </w:r>
      <w:r>
        <w:rPr>
          <w:rFonts w:eastAsia="Calibri"/>
        </w:rPr>
        <w:t>’</w:t>
      </w:r>
      <w:r w:rsidR="0005245B" w:rsidRPr="009C3B99">
        <w:rPr>
          <w:rFonts w:eastAsia="Calibri"/>
        </w:rPr>
        <w:t>ajouter ou de retranch</w:t>
      </w:r>
      <w:r w:rsidR="0005245B">
        <w:rPr>
          <w:rFonts w:eastAsia="Calibri"/>
        </w:rPr>
        <w:t>er des sous-secteurs à l</w:t>
      </w:r>
      <w:r>
        <w:rPr>
          <w:rFonts w:eastAsia="Calibri"/>
        </w:rPr>
        <w:t>’</w:t>
      </w:r>
      <w:r w:rsidR="0005245B">
        <w:rPr>
          <w:rFonts w:eastAsia="Calibri"/>
        </w:rPr>
        <w:t>annexe </w:t>
      </w:r>
      <w:r w:rsidR="0005245B" w:rsidRPr="009C3B99">
        <w:rPr>
          <w:rFonts w:eastAsia="Calibri"/>
        </w:rPr>
        <w:t>[X</w:t>
      </w:r>
      <w:r w:rsidR="0005245B" w:rsidRPr="00B7386A">
        <w:rPr>
          <w:rFonts w:eastAsia="Calibri"/>
        </w:rPr>
        <w:t xml:space="preserve">], </w:t>
      </w:r>
      <w:r w:rsidR="0005245B" w:rsidRPr="009C3B99">
        <w:rPr>
          <w:rFonts w:eastAsia="Calibri"/>
        </w:rPr>
        <w:t>ces critères, étant, entre autres et sans s</w:t>
      </w:r>
      <w:r>
        <w:rPr>
          <w:rFonts w:eastAsia="Calibri"/>
        </w:rPr>
        <w:t>’</w:t>
      </w:r>
      <w:r w:rsidR="0005245B" w:rsidRPr="009C3B99">
        <w:rPr>
          <w:rFonts w:eastAsia="Calibri"/>
        </w:rPr>
        <w:t xml:space="preserve">y limiter, les </w:t>
      </w:r>
      <w:r w:rsidR="0005245B">
        <w:rPr>
          <w:rFonts w:eastAsia="Calibri"/>
        </w:rPr>
        <w:t>critères énumérés à l</w:t>
      </w:r>
      <w:r>
        <w:rPr>
          <w:rFonts w:eastAsia="Calibri"/>
        </w:rPr>
        <w:t>’</w:t>
      </w:r>
      <w:r w:rsidR="0005245B">
        <w:rPr>
          <w:rFonts w:eastAsia="Calibri"/>
        </w:rPr>
        <w:t>alinéa a) du paragraphe 1 </w:t>
      </w:r>
      <w:r w:rsidR="0005245B" w:rsidRPr="009C3B99">
        <w:rPr>
          <w:rFonts w:eastAsia="Calibri"/>
        </w:rPr>
        <w:t>de la décision XXVI/9,</w:t>
      </w:r>
      <w:r>
        <w:rPr>
          <w:rStyle w:val="FootnoteReference"/>
          <w:rFonts w:eastAsia="Calibri"/>
        </w:rPr>
        <w:footnoteReference w:customMarkFollows="1" w:id="4"/>
        <w:t>3</w:t>
      </w:r>
      <w:r w:rsidR="0005245B" w:rsidRPr="009C3B99">
        <w:rPr>
          <w:rFonts w:eastAsia="Calibri"/>
        </w:rPr>
        <w:t xml:space="preserve"> et communiquent cette information à la Réunion des Parties</w:t>
      </w:r>
      <w:r w:rsidR="0005245B" w:rsidRPr="00B7386A">
        <w:rPr>
          <w:rFonts w:eastAsia="Calibri"/>
        </w:rPr>
        <w:t>.</w:t>
      </w:r>
    </w:p>
    <w:p w14:paraId="6AE34AD5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8.</w:t>
      </w:r>
      <w:r>
        <w:rPr>
          <w:rFonts w:eastAsia="Calibri"/>
        </w:rPr>
        <w:tab/>
      </w:r>
      <w:r w:rsidR="0005245B">
        <w:rPr>
          <w:rFonts w:eastAsia="Calibri"/>
        </w:rPr>
        <w:t>Qu</w:t>
      </w:r>
      <w:r>
        <w:rPr>
          <w:rFonts w:eastAsia="Calibri"/>
        </w:rPr>
        <w:t>’</w:t>
      </w:r>
      <w:r w:rsidR="0005245B">
        <w:rPr>
          <w:rFonts w:eastAsia="Calibri"/>
        </w:rPr>
        <w:t xml:space="preserve">il </w:t>
      </w:r>
      <w:r w:rsidR="0005245B" w:rsidRPr="00614622">
        <w:rPr>
          <w:rFonts w:eastAsia="Calibri"/>
        </w:rPr>
        <w:t>est procédé aux évaluations périodiquement, la première intervenant après un délai de quatre</w:t>
      </w:r>
      <w:r w:rsidR="0005245B">
        <w:rPr>
          <w:rFonts w:eastAsia="Calibri"/>
        </w:rPr>
        <w:t> </w:t>
      </w:r>
      <w:r w:rsidR="0005245B" w:rsidRPr="00614622">
        <w:rPr>
          <w:rFonts w:eastAsia="Calibri"/>
        </w:rPr>
        <w:t xml:space="preserve">ans à compter de la date de gel des hydrofluorocarbones ou de toute autre obligation initiale, </w:t>
      </w:r>
      <w:r w:rsidR="0005245B">
        <w:rPr>
          <w:rFonts w:eastAsia="Calibri"/>
        </w:rPr>
        <w:t>et par la suite tous les quatre </w:t>
      </w:r>
      <w:r w:rsidR="0005245B" w:rsidRPr="00614622">
        <w:rPr>
          <w:rFonts w:eastAsia="Calibri"/>
        </w:rPr>
        <w:t>ans</w:t>
      </w:r>
      <w:r w:rsidR="0005245B" w:rsidRPr="00B7386A">
        <w:rPr>
          <w:rFonts w:eastAsia="Calibri"/>
        </w:rPr>
        <w:t>;</w:t>
      </w:r>
    </w:p>
    <w:p w14:paraId="2CBACDE2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9.</w:t>
      </w:r>
      <w:r>
        <w:rPr>
          <w:rFonts w:eastAsia="Calibri"/>
        </w:rPr>
        <w:tab/>
      </w:r>
      <w:r w:rsidR="0005245B">
        <w:rPr>
          <w:rFonts w:eastAsia="Calibri"/>
        </w:rPr>
        <w:t>D</w:t>
      </w:r>
      <w:r>
        <w:rPr>
          <w:rFonts w:eastAsia="Calibri"/>
        </w:rPr>
        <w:t>’</w:t>
      </w:r>
      <w:r w:rsidR="0005245B">
        <w:rPr>
          <w:rFonts w:eastAsia="Calibri"/>
        </w:rPr>
        <w:t>examiner</w:t>
      </w:r>
      <w:r w:rsidR="0005245B" w:rsidRPr="004A731B">
        <w:rPr>
          <w:rFonts w:eastAsia="Calibri"/>
        </w:rPr>
        <w:t>, au plus tard un an après la réception du</w:t>
      </w:r>
      <w:r w:rsidR="0005245B">
        <w:rPr>
          <w:rFonts w:eastAsia="Calibri"/>
        </w:rPr>
        <w:t xml:space="preserve"> premier rapport</w:t>
      </w:r>
      <w:r w:rsidR="0005245B" w:rsidRPr="00B7386A">
        <w:rPr>
          <w:rFonts w:eastAsia="Calibri"/>
        </w:rPr>
        <w:t xml:space="preserve"> </w:t>
      </w:r>
      <w:r w:rsidR="0005245B" w:rsidRPr="004A731B">
        <w:rPr>
          <w:rFonts w:eastAsia="Calibri"/>
        </w:rPr>
        <w:t>du Groupe de l</w:t>
      </w:r>
      <w:r>
        <w:rPr>
          <w:rFonts w:eastAsia="Calibri"/>
        </w:rPr>
        <w:t>’</w:t>
      </w:r>
      <w:r w:rsidR="0005245B" w:rsidRPr="004A731B">
        <w:rPr>
          <w:rFonts w:eastAsia="Calibri"/>
        </w:rPr>
        <w:t>évaluation technique et économique dont l</w:t>
      </w:r>
      <w:r>
        <w:rPr>
          <w:rFonts w:eastAsia="Calibri"/>
        </w:rPr>
        <w:t>’</w:t>
      </w:r>
      <w:r w:rsidR="0005245B" w:rsidRPr="004A731B">
        <w:rPr>
          <w:rFonts w:eastAsia="Calibri"/>
        </w:rPr>
        <w:t>objet est de déterminer si les solutions de remplacement satisfont aux conditions requises, la nécessité de proroger la dérogation, d</w:t>
      </w:r>
      <w:r>
        <w:rPr>
          <w:rFonts w:eastAsia="Calibri"/>
        </w:rPr>
        <w:t>’</w:t>
      </w:r>
      <w:r w:rsidR="0005245B" w:rsidRPr="004A731B">
        <w:rPr>
          <w:rFonts w:eastAsia="Calibri"/>
        </w:rPr>
        <w:t>une périod</w:t>
      </w:r>
      <w:r w:rsidR="0005245B">
        <w:rPr>
          <w:rFonts w:eastAsia="Calibri"/>
        </w:rPr>
        <w:t>e supplémentaire</w:t>
      </w:r>
      <w:r w:rsidR="0005245B" w:rsidRPr="004A731B">
        <w:rPr>
          <w:rFonts w:eastAsia="Calibri"/>
        </w:rPr>
        <w:t xml:space="preserve"> n</w:t>
      </w:r>
      <w:r>
        <w:rPr>
          <w:rFonts w:eastAsia="Calibri"/>
        </w:rPr>
        <w:t>’</w:t>
      </w:r>
      <w:r w:rsidR="0005245B" w:rsidRPr="004A731B">
        <w:rPr>
          <w:rFonts w:eastAsia="Calibri"/>
        </w:rPr>
        <w:t>excédant pas quatre ans, et par la suite, périodiquement</w:t>
      </w:r>
      <w:r w:rsidR="0005245B">
        <w:rPr>
          <w:rFonts w:eastAsia="Calibri"/>
        </w:rPr>
        <w:t>,</w:t>
      </w:r>
      <w:r w:rsidR="0005245B" w:rsidRPr="004A731B">
        <w:rPr>
          <w:rFonts w:eastAsia="Calibri"/>
        </w:rPr>
        <w:t xml:space="preserve"> dans le cas de sous-secteurs déterminés </w:t>
      </w:r>
      <w:r w:rsidR="0005245B">
        <w:rPr>
          <w:rFonts w:eastAsia="Calibri"/>
        </w:rPr>
        <w:t xml:space="preserve">dans les Parties qui </w:t>
      </w:r>
      <w:r w:rsidR="0005245B" w:rsidRPr="004A731B">
        <w:rPr>
          <w:rFonts w:eastAsia="Calibri"/>
        </w:rPr>
        <w:t>satisfont aux critères</w:t>
      </w:r>
      <w:r w:rsidR="0005245B">
        <w:rPr>
          <w:rFonts w:eastAsia="Calibri"/>
        </w:rPr>
        <w:t xml:space="preserve"> énoncés au paragraphe 4 ci-dessus, et que les</w:t>
      </w:r>
      <w:r w:rsidR="0005245B" w:rsidRPr="004A731B">
        <w:rPr>
          <w:rFonts w:eastAsia="Calibri"/>
        </w:rPr>
        <w:t xml:space="preserve"> </w:t>
      </w:r>
      <w:r w:rsidR="0005245B" w:rsidRPr="00B7386A">
        <w:rPr>
          <w:rFonts w:eastAsia="Calibri"/>
        </w:rPr>
        <w:t xml:space="preserve">Parties </w:t>
      </w:r>
      <w:r w:rsidR="0005245B" w:rsidRPr="00AD337C">
        <w:rPr>
          <w:rFonts w:eastAsia="Calibri"/>
        </w:rPr>
        <w:t>conçoivent une méthode expéditive pour que le renouvellement de la dérogation intervienne à temps lorsqu</w:t>
      </w:r>
      <w:r>
        <w:rPr>
          <w:rFonts w:eastAsia="Calibri"/>
        </w:rPr>
        <w:t>’</w:t>
      </w:r>
      <w:r w:rsidR="0005245B" w:rsidRPr="00AD337C">
        <w:rPr>
          <w:rFonts w:eastAsia="Calibri"/>
        </w:rPr>
        <w:t>il n</w:t>
      </w:r>
      <w:r>
        <w:rPr>
          <w:rFonts w:eastAsia="Calibri"/>
        </w:rPr>
        <w:t>’</w:t>
      </w:r>
      <w:r w:rsidR="0005245B" w:rsidRPr="00AD337C">
        <w:rPr>
          <w:rFonts w:eastAsia="Calibri"/>
        </w:rPr>
        <w:t>existe pas de solutions de remplacement possible, compte tenu des recommandations du Groupe de l</w:t>
      </w:r>
      <w:r>
        <w:rPr>
          <w:rFonts w:eastAsia="Calibri"/>
        </w:rPr>
        <w:t>’</w:t>
      </w:r>
      <w:r w:rsidR="0005245B" w:rsidRPr="00AD337C">
        <w:rPr>
          <w:rFonts w:eastAsia="Calibri"/>
        </w:rPr>
        <w:t>évaluation technique et économique et de son organe subsidiaire</w:t>
      </w:r>
      <w:r w:rsidR="0005245B" w:rsidRPr="00B7386A">
        <w:rPr>
          <w:rFonts w:eastAsia="Calibri"/>
        </w:rPr>
        <w:t>;</w:t>
      </w:r>
    </w:p>
    <w:p w14:paraId="15791E5C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10.</w:t>
      </w:r>
      <w:r>
        <w:rPr>
          <w:rFonts w:eastAsia="Calibri"/>
        </w:rPr>
        <w:tab/>
      </w:r>
      <w:r w:rsidR="0005245B">
        <w:rPr>
          <w:rFonts w:eastAsia="Calibri"/>
        </w:rPr>
        <w:t>Que l</w:t>
      </w:r>
      <w:r w:rsidR="0005245B" w:rsidRPr="00F933C6">
        <w:rPr>
          <w:rFonts w:eastAsia="Calibri"/>
        </w:rPr>
        <w:t>es quan</w:t>
      </w:r>
      <w:r w:rsidR="0005245B">
        <w:rPr>
          <w:rFonts w:eastAsia="Calibri"/>
        </w:rPr>
        <w:t>tités de substances de l</w:t>
      </w:r>
      <w:r>
        <w:rPr>
          <w:rFonts w:eastAsia="Calibri"/>
        </w:rPr>
        <w:t>’</w:t>
      </w:r>
      <w:r w:rsidR="0005245B">
        <w:rPr>
          <w:rFonts w:eastAsia="Calibri"/>
        </w:rPr>
        <w:t>annexe </w:t>
      </w:r>
      <w:r w:rsidR="0005245B" w:rsidRPr="00F933C6">
        <w:rPr>
          <w:rFonts w:eastAsia="Calibri"/>
        </w:rPr>
        <w:t>F visées par une dérogation pour cause de température ambiante élevée ne peuvent bénéficier d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un financement du Fonds multilatéral tant que la dérogation court pour une Partie donnée</w:t>
      </w:r>
      <w:r w:rsidR="0005245B" w:rsidRPr="00B7386A">
        <w:rPr>
          <w:rFonts w:eastAsia="Calibri"/>
        </w:rPr>
        <w:t>;</w:t>
      </w:r>
    </w:p>
    <w:p w14:paraId="628E7F4B" w14:textId="77777777" w:rsidR="0005245B" w:rsidRPr="00B7386A" w:rsidRDefault="00CB3555" w:rsidP="00684DD2">
      <w:pPr>
        <w:pStyle w:val="NormalNonumber"/>
        <w:keepLines/>
        <w:rPr>
          <w:rFonts w:eastAsia="Calibri"/>
        </w:rPr>
      </w:pPr>
      <w:r>
        <w:rPr>
          <w:rFonts w:eastAsia="Calibri"/>
        </w:rPr>
        <w:lastRenderedPageBreak/>
        <w:tab/>
        <w:t>11.</w:t>
      </w:r>
      <w:r>
        <w:rPr>
          <w:rFonts w:eastAsia="Calibri"/>
        </w:rPr>
        <w:tab/>
      </w:r>
      <w:r w:rsidR="0005245B">
        <w:rPr>
          <w:rFonts w:eastAsia="Calibri"/>
        </w:rPr>
        <w:t>Que, p</w:t>
      </w:r>
      <w:r w:rsidR="0005245B" w:rsidRPr="00F933C6">
        <w:rPr>
          <w:rFonts w:eastAsia="Calibri"/>
        </w:rPr>
        <w:t>our 2025 et 2026, le Comité d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application et la Réunion des Parties devraient différer l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examen de la situation en matière de respect des obligations concernant les hydro</w:t>
      </w:r>
      <w:r w:rsidR="0005245B">
        <w:rPr>
          <w:rFonts w:eastAsia="Calibri"/>
        </w:rPr>
        <w:t>chloro</w:t>
      </w:r>
      <w:r w:rsidR="0005245B" w:rsidRPr="00F933C6">
        <w:rPr>
          <w:rFonts w:eastAsia="Calibri"/>
        </w:rPr>
        <w:t>fluorocarbones de toutes les Parties connaissant des températures ambiantes élevées lorsqu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elles ont dépassé leurs niveaux de consommation et de production autorisés en raison de leur consommation ou production de HCFC-22 dans les sous-secteurs énumérés à l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an</w:t>
      </w:r>
      <w:r w:rsidR="0005245B">
        <w:rPr>
          <w:rFonts w:eastAsia="Calibri"/>
        </w:rPr>
        <w:t>nexe </w:t>
      </w:r>
      <w:r w:rsidR="0005245B" w:rsidRPr="00F933C6">
        <w:rPr>
          <w:rFonts w:eastAsia="Calibri"/>
        </w:rPr>
        <w:t xml:space="preserve">[X], à condition que </w:t>
      </w:r>
      <w:r w:rsidR="0005245B">
        <w:rPr>
          <w:rFonts w:eastAsia="Calibri"/>
        </w:rPr>
        <w:t xml:space="preserve">la Partie considérée respecte </w:t>
      </w:r>
      <w:r w:rsidR="0005245B" w:rsidRPr="00F933C6">
        <w:rPr>
          <w:rFonts w:eastAsia="Calibri"/>
        </w:rPr>
        <w:t>le calendrier de réduction de la consommation et de la production de hydro</w:t>
      </w:r>
      <w:r w:rsidR="0005245B">
        <w:rPr>
          <w:rFonts w:eastAsia="Calibri"/>
        </w:rPr>
        <w:t>chloro</w:t>
      </w:r>
      <w:r w:rsidR="0005245B" w:rsidRPr="00F933C6">
        <w:rPr>
          <w:rFonts w:eastAsia="Calibri"/>
        </w:rPr>
        <w:t>fluorocarbones dans</w:t>
      </w:r>
      <w:r w:rsidR="0005245B">
        <w:rPr>
          <w:rFonts w:eastAsia="Calibri"/>
        </w:rPr>
        <w:t xml:space="preserve"> les autres secteurs et qu</w:t>
      </w:r>
      <w:r>
        <w:rPr>
          <w:rFonts w:eastAsia="Calibri"/>
        </w:rPr>
        <w:t>’</w:t>
      </w:r>
      <w:r w:rsidR="0005245B">
        <w:rPr>
          <w:rFonts w:eastAsia="Calibri"/>
        </w:rPr>
        <w:t>elle ait</w:t>
      </w:r>
      <w:r w:rsidR="0005245B" w:rsidRPr="00F933C6">
        <w:rPr>
          <w:rFonts w:eastAsia="Calibri"/>
        </w:rPr>
        <w:t xml:space="preserve"> officiellement demandé un report par l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intermédiaire du Secrétariat</w:t>
      </w:r>
      <w:r w:rsidR="0005245B" w:rsidRPr="00B7386A">
        <w:rPr>
          <w:rFonts w:eastAsia="Calibri"/>
        </w:rPr>
        <w:t>;</w:t>
      </w:r>
    </w:p>
    <w:p w14:paraId="0FB65237" w14:textId="77777777" w:rsidR="0005245B" w:rsidRPr="00B7386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12.</w:t>
      </w:r>
      <w:r>
        <w:rPr>
          <w:rFonts w:eastAsia="Calibri"/>
        </w:rPr>
        <w:tab/>
      </w:r>
      <w:r w:rsidR="0005245B">
        <w:rPr>
          <w:rFonts w:eastAsia="Calibri"/>
        </w:rPr>
        <w:t>De</w:t>
      </w:r>
      <w:r w:rsidR="0005245B" w:rsidRPr="00B7386A">
        <w:rPr>
          <w:rFonts w:eastAsia="Calibri"/>
        </w:rPr>
        <w:t xml:space="preserve"> </w:t>
      </w:r>
      <w:r w:rsidR="0005245B" w:rsidRPr="00F933C6">
        <w:rPr>
          <w:rFonts w:eastAsia="Calibri"/>
        </w:rPr>
        <w:t>se demander, au plus tard en 2026, s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il convient de pr</w:t>
      </w:r>
      <w:r w:rsidR="0005245B">
        <w:rPr>
          <w:rFonts w:eastAsia="Calibri"/>
        </w:rPr>
        <w:t>évoir un nouveau report de deux </w:t>
      </w:r>
      <w:r w:rsidR="0005245B" w:rsidRPr="00F933C6">
        <w:rPr>
          <w:rFonts w:eastAsia="Calibri"/>
        </w:rPr>
        <w:t>ans de l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examen de la situation en matière d</w:t>
      </w:r>
      <w:r w:rsidR="0005245B">
        <w:rPr>
          <w:rFonts w:eastAsia="Calibri"/>
        </w:rPr>
        <w:t>e respect indiqué au paragraphe 11</w:t>
      </w:r>
      <w:r w:rsidR="0005245B" w:rsidRPr="00F933C6">
        <w:rPr>
          <w:rFonts w:eastAsia="Calibri"/>
        </w:rPr>
        <w:t xml:space="preserve"> et envisager, éventuellement, d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 xml:space="preserve">autres reports par la suite pour les </w:t>
      </w:r>
      <w:r w:rsidR="0005245B">
        <w:rPr>
          <w:rFonts w:eastAsia="Calibri"/>
        </w:rPr>
        <w:t>Parties</w:t>
      </w:r>
      <w:r w:rsidR="0005245B" w:rsidRPr="00F933C6">
        <w:rPr>
          <w:rFonts w:eastAsia="Calibri"/>
        </w:rPr>
        <w:t xml:space="preserve"> bénéficiant d</w:t>
      </w:r>
      <w:r>
        <w:rPr>
          <w:rFonts w:eastAsia="Calibri"/>
        </w:rPr>
        <w:t>’</w:t>
      </w:r>
      <w:r w:rsidR="0005245B" w:rsidRPr="00F933C6">
        <w:rPr>
          <w:rFonts w:eastAsia="Calibri"/>
        </w:rPr>
        <w:t>une dérogation pour température ambiante élevée</w:t>
      </w:r>
      <w:r w:rsidR="0005245B">
        <w:rPr>
          <w:rFonts w:eastAsia="Calibri"/>
        </w:rPr>
        <w:t>.</w:t>
      </w:r>
      <w:r w:rsidR="0005245B" w:rsidRPr="00B7386A">
        <w:rPr>
          <w:rFonts w:eastAsia="Calibri"/>
        </w:rPr>
        <w:t xml:space="preserve"> </w:t>
      </w:r>
    </w:p>
    <w:p w14:paraId="607CC605" w14:textId="77777777" w:rsidR="0005245B" w:rsidRPr="00B7386A" w:rsidRDefault="00CB3555" w:rsidP="00CB3555">
      <w:pPr>
        <w:pStyle w:val="CH3"/>
        <w:rPr>
          <w:rFonts w:eastAsia="Calibri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 w:rsidR="0005245B" w:rsidRPr="00B7386A">
        <w:rPr>
          <w:rFonts w:eastAsia="Calibri"/>
        </w:rPr>
        <w:t>Annex</w:t>
      </w:r>
      <w:r w:rsidR="0005245B">
        <w:rPr>
          <w:rFonts w:eastAsia="Calibri"/>
        </w:rPr>
        <w:t>e </w:t>
      </w:r>
      <w:r w:rsidR="0005245B" w:rsidRPr="00B7386A">
        <w:rPr>
          <w:rFonts w:eastAsia="Calibri"/>
        </w:rPr>
        <w:t>[X]</w:t>
      </w:r>
      <w:r w:rsidR="0005245B">
        <w:rPr>
          <w:rFonts w:eastAsia="Calibri"/>
        </w:rPr>
        <w:t> </w:t>
      </w:r>
      <w:r w:rsidR="0005245B" w:rsidRPr="00B7386A">
        <w:rPr>
          <w:rFonts w:eastAsia="Calibri"/>
        </w:rPr>
        <w:t xml:space="preserve">: </w:t>
      </w:r>
      <w:r w:rsidR="0005245B" w:rsidRPr="00363D98">
        <w:rPr>
          <w:rFonts w:eastAsia="Calibri"/>
        </w:rPr>
        <w:t>Liste des appareils bénéficiant d</w:t>
      </w:r>
      <w:r>
        <w:rPr>
          <w:rFonts w:eastAsia="Calibri"/>
        </w:rPr>
        <w:t>’</w:t>
      </w:r>
      <w:r w:rsidR="0005245B" w:rsidRPr="00363D98">
        <w:rPr>
          <w:rFonts w:eastAsia="Calibri"/>
        </w:rPr>
        <w:t xml:space="preserve">une dérogation pour </w:t>
      </w:r>
      <w:r w:rsidR="00684DD2">
        <w:rPr>
          <w:rFonts w:eastAsia="Calibri"/>
        </w:rPr>
        <w:br/>
      </w:r>
      <w:r w:rsidR="0005245B" w:rsidRPr="00363D98">
        <w:rPr>
          <w:rFonts w:eastAsia="Calibri"/>
        </w:rPr>
        <w:t>température ambiante élevée</w:t>
      </w:r>
    </w:p>
    <w:p w14:paraId="2DC596F1" w14:textId="77777777" w:rsidR="0005245B" w:rsidRPr="00B7386A" w:rsidRDefault="0005245B" w:rsidP="0005245B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 w:hanging="624"/>
        <w:rPr>
          <w:rFonts w:eastAsia="Calibri"/>
          <w:lang w:val="fr-FR" w:eastAsia="zh-CN"/>
        </w:rPr>
      </w:pPr>
      <w:r w:rsidRPr="00363D98">
        <w:rPr>
          <w:rFonts w:eastAsia="Calibri"/>
          <w:lang w:val="fr-FR" w:eastAsia="zh-CN"/>
        </w:rPr>
        <w:t>Climatiseurs multiblocs commerciaux et résidentiels</w:t>
      </w:r>
    </w:p>
    <w:p w14:paraId="103C6F53" w14:textId="77777777" w:rsidR="0005245B" w:rsidRPr="00B7386A" w:rsidRDefault="0005245B" w:rsidP="0005245B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 w:hanging="624"/>
        <w:rPr>
          <w:rFonts w:eastAsia="Calibri"/>
          <w:lang w:val="fr-FR" w:eastAsia="zh-CN"/>
        </w:rPr>
      </w:pPr>
      <w:r w:rsidRPr="00363D98">
        <w:rPr>
          <w:rFonts w:eastAsia="Calibri"/>
          <w:lang w:val="fr-FR" w:eastAsia="zh-CN"/>
        </w:rPr>
        <w:t>Climatiseurs multiblocs avec conduit (résidentiels et commerciaux</w:t>
      </w:r>
      <w:r w:rsidRPr="00B7386A">
        <w:rPr>
          <w:rFonts w:eastAsia="Calibri"/>
          <w:lang w:val="fr-FR" w:eastAsia="zh-CN"/>
        </w:rPr>
        <w:t>)</w:t>
      </w:r>
    </w:p>
    <w:p w14:paraId="79877979" w14:textId="77777777" w:rsidR="0005245B" w:rsidRPr="00B7386A" w:rsidRDefault="0005245B" w:rsidP="0005245B">
      <w:pPr>
        <w:pStyle w:val="Normal-pool"/>
        <w:numPr>
          <w:ilvl w:val="0"/>
          <w:numId w:val="4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871" w:hanging="624"/>
        <w:rPr>
          <w:rFonts w:eastAsia="Calibri"/>
          <w:lang w:val="fr-FR" w:eastAsia="zh-CN"/>
        </w:rPr>
      </w:pPr>
      <w:r w:rsidRPr="00363D98">
        <w:rPr>
          <w:rFonts w:eastAsia="Calibri"/>
          <w:lang w:val="fr-FR" w:eastAsia="zh-CN"/>
        </w:rPr>
        <w:t>Climatiseurs commerciaux (autonomes) réversibles</w:t>
      </w:r>
    </w:p>
    <w:p w14:paraId="5D4C0B3F" w14:textId="77777777" w:rsidR="0005245B" w:rsidRPr="00B7386A" w:rsidRDefault="0005245B" w:rsidP="0005245B">
      <w:pPr>
        <w:pStyle w:val="CH3"/>
        <w:rPr>
          <w:b w:val="0"/>
          <w:sz w:val="24"/>
          <w:szCs w:val="24"/>
        </w:rPr>
      </w:pPr>
      <w:r w:rsidRPr="00B7386A">
        <w:rPr>
          <w:rFonts w:eastAsia="Calibri"/>
        </w:rPr>
        <w:tab/>
      </w:r>
      <w:r w:rsidRPr="00B7386A">
        <w:rPr>
          <w:rFonts w:eastAsia="Calibri"/>
        </w:rPr>
        <w:tab/>
      </w:r>
      <w:r>
        <w:rPr>
          <w:rFonts w:eastAsia="Calibri"/>
        </w:rPr>
        <w:t>Annexe </w:t>
      </w:r>
      <w:r w:rsidRPr="00B7386A">
        <w:rPr>
          <w:rFonts w:eastAsia="Calibri"/>
        </w:rPr>
        <w:t>[XX]</w:t>
      </w:r>
      <w:r>
        <w:rPr>
          <w:rFonts w:eastAsia="Calibri"/>
        </w:rPr>
        <w:t> </w:t>
      </w:r>
      <w:r w:rsidRPr="00B7386A">
        <w:rPr>
          <w:rFonts w:eastAsia="Calibri"/>
        </w:rPr>
        <w:t xml:space="preserve">: </w:t>
      </w:r>
      <w:r w:rsidRPr="00363D98">
        <w:rPr>
          <w:rFonts w:eastAsia="Calibri"/>
        </w:rPr>
        <w:t>Liste des pays bénéficiant d</w:t>
      </w:r>
      <w:r w:rsidR="00CB3555">
        <w:rPr>
          <w:rFonts w:eastAsia="Calibri"/>
        </w:rPr>
        <w:t>’</w:t>
      </w:r>
      <w:r w:rsidRPr="00363D98">
        <w:rPr>
          <w:rFonts w:eastAsia="Calibri"/>
        </w:rPr>
        <w:t xml:space="preserve">une dérogation pour cause de </w:t>
      </w:r>
      <w:r w:rsidR="00684DD2">
        <w:rPr>
          <w:rFonts w:eastAsia="Calibri"/>
        </w:rPr>
        <w:br/>
      </w:r>
      <w:r w:rsidRPr="00363D98">
        <w:rPr>
          <w:rFonts w:eastAsia="Calibri"/>
        </w:rPr>
        <w:t>température ambiante élevée</w:t>
      </w:r>
      <w:r w:rsidRPr="00B7386A">
        <w:rPr>
          <w:rFonts w:eastAsia="Calibri"/>
        </w:rPr>
        <w:t xml:space="preserve"> </w:t>
      </w:r>
    </w:p>
    <w:p w14:paraId="49584621" w14:textId="77777777" w:rsidR="0005245B" w:rsidRPr="00B7386A" w:rsidRDefault="0005245B" w:rsidP="0005245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rPr>
          <w:lang w:val="fr-FR" w:eastAsia="en-GB"/>
        </w:rPr>
      </w:pPr>
      <w:r w:rsidRPr="00363D98">
        <w:rPr>
          <w:lang w:val="fr-FR" w:eastAsia="en-GB"/>
        </w:rPr>
        <w:t>Algérie, Arabie saoudite, Bahreïn, Bénin, Burkina</w:t>
      </w:r>
      <w:r>
        <w:rPr>
          <w:lang w:val="fr-FR" w:eastAsia="en-GB"/>
        </w:rPr>
        <w:t> </w:t>
      </w:r>
      <w:r w:rsidRPr="00363D98">
        <w:rPr>
          <w:lang w:val="fr-FR" w:eastAsia="en-GB"/>
        </w:rPr>
        <w:t>Faso, Côte d</w:t>
      </w:r>
      <w:r w:rsidR="00CB3555">
        <w:rPr>
          <w:lang w:val="fr-FR" w:eastAsia="en-GB"/>
        </w:rPr>
        <w:t>’</w:t>
      </w:r>
      <w:r w:rsidRPr="00363D98">
        <w:rPr>
          <w:lang w:val="fr-FR" w:eastAsia="en-GB"/>
        </w:rPr>
        <w:t>Ivoire, Djibouti, Égypte, Émirats arabes unis, Érythrée, Gambie, Ghana, Guinée, Guinée-Bissau, Iran, Iraq, Jordanie, Koweït, Libye, Mali, Mauritanie, Niger, Nigéria, Oman, Pakistan, Qatar, Sénégal, Soudan, Syrie, République centrafricaine, Tchad, Togo, Tunisie, Turkménistan</w:t>
      </w:r>
    </w:p>
    <w:p w14:paraId="5A873C73" w14:textId="77777777" w:rsidR="0005245B" w:rsidRPr="00B7386A" w:rsidRDefault="0005245B" w:rsidP="0005245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60" w:line="259" w:lineRule="auto"/>
        <w:rPr>
          <w:sz w:val="24"/>
          <w:szCs w:val="24"/>
          <w:lang w:eastAsia="en-GB"/>
        </w:rPr>
      </w:pPr>
      <w:r w:rsidRPr="00B7386A">
        <w:rPr>
          <w:sz w:val="24"/>
          <w:szCs w:val="24"/>
          <w:lang w:eastAsia="en-GB"/>
        </w:rPr>
        <w:br w:type="page"/>
      </w:r>
    </w:p>
    <w:p w14:paraId="1126E72A" w14:textId="77777777" w:rsidR="0005245B" w:rsidRPr="00B7386A" w:rsidRDefault="0005245B" w:rsidP="0005245B">
      <w:pPr>
        <w:pStyle w:val="CH2"/>
        <w:rPr>
          <w:lang w:eastAsia="en-GB"/>
        </w:rPr>
      </w:pPr>
      <w:r w:rsidRPr="00B7386A">
        <w:rPr>
          <w:lang w:eastAsia="en-GB"/>
        </w:rPr>
        <w:lastRenderedPageBreak/>
        <w:tab/>
      </w:r>
      <w:r w:rsidRPr="00B7386A">
        <w:rPr>
          <w:lang w:eastAsia="en-GB"/>
        </w:rPr>
        <w:tab/>
        <w:t>[</w:t>
      </w:r>
      <w:r>
        <w:rPr>
          <w:lang w:eastAsia="en-GB"/>
        </w:rPr>
        <w:t>Défi </w:t>
      </w:r>
      <w:r w:rsidRPr="00B7386A">
        <w:rPr>
          <w:lang w:eastAsia="en-GB"/>
        </w:rPr>
        <w:t>5]</w:t>
      </w:r>
    </w:p>
    <w:p w14:paraId="1C7EF281" w14:textId="77777777" w:rsidR="0005245B" w:rsidRPr="00B7386A" w:rsidRDefault="0005245B" w:rsidP="0005245B">
      <w:pPr>
        <w:pStyle w:val="CH3"/>
      </w:pPr>
      <w:r w:rsidRPr="00B7386A">
        <w:tab/>
      </w:r>
      <w:r w:rsidRPr="00B7386A">
        <w:tab/>
      </w:r>
      <w:r>
        <w:t>[Décision </w:t>
      </w:r>
      <w:r w:rsidRPr="00B7386A">
        <w:t>XXX</w:t>
      </w:r>
      <w:r>
        <w:t> : Autres dérogations</w:t>
      </w:r>
      <w:r w:rsidRPr="00B7386A">
        <w:t>]</w:t>
      </w:r>
    </w:p>
    <w:p w14:paraId="4D29F3D6" w14:textId="77777777" w:rsidR="0005245B" w:rsidRPr="00CB3555" w:rsidRDefault="00CB3555" w:rsidP="00CB3555">
      <w:pPr>
        <w:pStyle w:val="NormalNonumber"/>
        <w:rPr>
          <w:i/>
          <w:lang w:eastAsia="en-GB"/>
        </w:rPr>
      </w:pPr>
      <w:r w:rsidRPr="00CB3555">
        <w:rPr>
          <w:i/>
          <w:lang w:eastAsia="en-GB"/>
        </w:rPr>
        <w:tab/>
      </w:r>
      <w:r w:rsidR="0005245B" w:rsidRPr="00CB3555">
        <w:rPr>
          <w:i/>
          <w:lang w:eastAsia="en-GB"/>
        </w:rPr>
        <w:t>La vingt-huitième Réunion des Parties décide,</w:t>
      </w:r>
    </w:p>
    <w:p w14:paraId="5D7C42B0" w14:textId="77777777" w:rsidR="0005245B" w:rsidRPr="00B7386A" w:rsidRDefault="0005245B" w:rsidP="00CB3555">
      <w:pPr>
        <w:pStyle w:val="NormalNonumber"/>
        <w:rPr>
          <w:lang w:eastAsia="en-GB"/>
        </w:rPr>
      </w:pPr>
      <w:r w:rsidRPr="00B7386A">
        <w:rPr>
          <w:lang w:eastAsia="en-GB"/>
        </w:rPr>
        <w:t>[</w:t>
      </w:r>
      <w:r w:rsidRPr="006C3CB3">
        <w:rPr>
          <w:lang w:eastAsia="en-GB"/>
        </w:rPr>
        <w:t>Espace réservé pour la référence à la décision adoptant l</w:t>
      </w:r>
      <w:r w:rsidR="00CB3555">
        <w:rPr>
          <w:lang w:eastAsia="en-GB"/>
        </w:rPr>
        <w:t>’</w:t>
      </w:r>
      <w:r w:rsidRPr="006C3CB3">
        <w:rPr>
          <w:lang w:eastAsia="en-GB"/>
        </w:rPr>
        <w:t xml:space="preserve">amendement sur les hydrofluorocarbones et </w:t>
      </w:r>
      <w:r>
        <w:rPr>
          <w:lang w:eastAsia="en-GB"/>
        </w:rPr>
        <w:t>pour la référence au paragraphe </w:t>
      </w:r>
      <w:r w:rsidRPr="006C3CB3">
        <w:rPr>
          <w:lang w:eastAsia="en-GB"/>
        </w:rPr>
        <w:t>X de l</w:t>
      </w:r>
      <w:r w:rsidR="00CB3555">
        <w:rPr>
          <w:lang w:eastAsia="en-GB"/>
        </w:rPr>
        <w:t>’</w:t>
      </w:r>
      <w:r>
        <w:rPr>
          <w:lang w:eastAsia="en-GB"/>
        </w:rPr>
        <w:t>article </w:t>
      </w:r>
      <w:r w:rsidRPr="006C3CB3">
        <w:rPr>
          <w:lang w:eastAsia="en-GB"/>
        </w:rPr>
        <w:t>2J de l</w:t>
      </w:r>
      <w:r w:rsidR="00CB3555">
        <w:rPr>
          <w:lang w:eastAsia="en-GB"/>
        </w:rPr>
        <w:t>’</w:t>
      </w:r>
      <w:r w:rsidRPr="006C3CB3">
        <w:rPr>
          <w:lang w:eastAsia="en-GB"/>
        </w:rPr>
        <w:t>a</w:t>
      </w:r>
      <w:r>
        <w:rPr>
          <w:lang w:eastAsia="en-GB"/>
        </w:rPr>
        <w:t>rticle </w:t>
      </w:r>
      <w:r w:rsidRPr="006C3CB3">
        <w:rPr>
          <w:lang w:eastAsia="en-GB"/>
        </w:rPr>
        <w:t>I de l</w:t>
      </w:r>
      <w:r w:rsidR="00CB3555">
        <w:rPr>
          <w:lang w:eastAsia="en-GB"/>
        </w:rPr>
        <w:t>’</w:t>
      </w:r>
      <w:r w:rsidRPr="006C3CB3">
        <w:rPr>
          <w:lang w:eastAsia="en-GB"/>
        </w:rPr>
        <w:t>amendement</w:t>
      </w:r>
      <w:r w:rsidRPr="00B7386A">
        <w:rPr>
          <w:lang w:eastAsia="en-GB"/>
        </w:rPr>
        <w:t>]</w:t>
      </w:r>
    </w:p>
    <w:p w14:paraId="03175400" w14:textId="77777777" w:rsidR="0005245B" w:rsidRPr="00ED289A" w:rsidRDefault="00CB3555" w:rsidP="00CB3555">
      <w:pPr>
        <w:pStyle w:val="NormalNonumber"/>
        <w:rPr>
          <w:rFonts w:eastAsia="Calibri"/>
        </w:rPr>
      </w:pPr>
      <w:r>
        <w:rPr>
          <w:rFonts w:eastAsia="Calibri"/>
        </w:rPr>
        <w:tab/>
        <w:t>1.</w:t>
      </w:r>
      <w:r>
        <w:rPr>
          <w:rFonts w:eastAsia="Calibri"/>
        </w:rPr>
        <w:tab/>
      </w:r>
      <w:r w:rsidR="0005245B" w:rsidRPr="00ED289A">
        <w:rPr>
          <w:rFonts w:eastAsia="Calibri"/>
        </w:rPr>
        <w:t>De prévoir d</w:t>
      </w:r>
      <w:r>
        <w:rPr>
          <w:rFonts w:eastAsia="Calibri"/>
        </w:rPr>
        <w:t>’</w:t>
      </w:r>
      <w:r w:rsidR="0005245B" w:rsidRPr="00ED289A">
        <w:rPr>
          <w:rFonts w:eastAsia="Calibri"/>
        </w:rPr>
        <w:t>autres dérogations, par exemple pour les utilisations essentielles et critiques, pour la production ou la consommation qui est nécessaire aux utilisations devant, selon les Parties, bénéficier d</w:t>
      </w:r>
      <w:r>
        <w:rPr>
          <w:rFonts w:eastAsia="Calibri"/>
        </w:rPr>
        <w:t>’</w:t>
      </w:r>
      <w:r w:rsidR="0005245B" w:rsidRPr="00ED289A">
        <w:rPr>
          <w:rFonts w:eastAsia="Calibri"/>
        </w:rPr>
        <w:t>une dérogation;</w:t>
      </w:r>
    </w:p>
    <w:p w14:paraId="30FE335B" w14:textId="77777777" w:rsidR="0005245B" w:rsidRPr="00B7386A" w:rsidRDefault="00CB3555" w:rsidP="00CB3555">
      <w:pPr>
        <w:pStyle w:val="NormalNonumber"/>
        <w:rPr>
          <w:lang w:eastAsia="en-GB"/>
        </w:rPr>
      </w:pPr>
      <w:r>
        <w:rPr>
          <w:rFonts w:eastAsia="Calibri"/>
        </w:rPr>
        <w:tab/>
        <w:t>2.</w:t>
      </w:r>
      <w:r>
        <w:rPr>
          <w:rFonts w:eastAsia="Calibri"/>
        </w:rPr>
        <w:tab/>
      </w:r>
      <w:r w:rsidR="0005245B">
        <w:rPr>
          <w:rFonts w:eastAsia="Calibri"/>
        </w:rPr>
        <w:t>D</w:t>
      </w:r>
      <w:r>
        <w:rPr>
          <w:rFonts w:eastAsia="Calibri"/>
        </w:rPr>
        <w:t>’</w:t>
      </w:r>
      <w:r w:rsidR="0005245B">
        <w:rPr>
          <w:rFonts w:eastAsia="Calibri"/>
        </w:rPr>
        <w:t>e</w:t>
      </w:r>
      <w:r w:rsidR="0005245B" w:rsidRPr="00C44288">
        <w:rPr>
          <w:rFonts w:eastAsia="Calibri"/>
        </w:rPr>
        <w:t xml:space="preserve">nvisager des mécanismes pour ces dérogations en </w:t>
      </w:r>
      <w:r w:rsidR="0005245B">
        <w:rPr>
          <w:rFonts w:eastAsia="Calibri"/>
        </w:rPr>
        <w:t>[</w:t>
      </w:r>
      <w:r w:rsidR="0005245B" w:rsidRPr="00C44288">
        <w:rPr>
          <w:rFonts w:eastAsia="Calibri"/>
        </w:rPr>
        <w:t>20XX</w:t>
      </w:r>
      <w:r w:rsidR="0005245B">
        <w:rPr>
          <w:rFonts w:eastAsia="Calibri"/>
        </w:rPr>
        <w:t>]</w:t>
      </w:r>
      <w:r w:rsidR="0005245B" w:rsidRPr="00C44288">
        <w:rPr>
          <w:rFonts w:eastAsia="Calibri"/>
        </w:rPr>
        <w:t>, y compris des mécanismes de dérogations pluriannuelles</w:t>
      </w:r>
      <w:r w:rsidR="0005245B" w:rsidRPr="00B7386A">
        <w:rPr>
          <w:rFonts w:eastAsia="Calibri"/>
        </w:rPr>
        <w:t xml:space="preserve">; </w:t>
      </w:r>
    </w:p>
    <w:p w14:paraId="2304FC1C" w14:textId="77777777" w:rsidR="0005245B" w:rsidRPr="00B7386A" w:rsidRDefault="00CB3555" w:rsidP="00CB3555">
      <w:pPr>
        <w:pStyle w:val="NormalNonumber"/>
        <w:rPr>
          <w:lang w:eastAsia="en-GB"/>
        </w:rPr>
      </w:pPr>
      <w:r>
        <w:rPr>
          <w:rFonts w:eastAsia="Calibri"/>
        </w:rPr>
        <w:tab/>
        <w:t>3.</w:t>
      </w:r>
      <w:r>
        <w:rPr>
          <w:rFonts w:eastAsia="Calibri"/>
        </w:rPr>
        <w:tab/>
      </w:r>
      <w:r w:rsidR="0005245B">
        <w:rPr>
          <w:rFonts w:eastAsia="Calibri"/>
        </w:rPr>
        <w:t>De f</w:t>
      </w:r>
      <w:r w:rsidR="0005245B" w:rsidRPr="00C44288">
        <w:rPr>
          <w:rFonts w:eastAsia="Calibri"/>
        </w:rPr>
        <w:t>ournir des informations et des orientations au Groupe de l</w:t>
      </w:r>
      <w:r>
        <w:rPr>
          <w:rFonts w:eastAsia="Calibri"/>
        </w:rPr>
        <w:t>’</w:t>
      </w:r>
      <w:r w:rsidR="0005245B" w:rsidRPr="00C44288">
        <w:rPr>
          <w:rFonts w:eastAsia="Calibri"/>
        </w:rPr>
        <w:t>évaluation technique et économique aux fins de son examen périodique des secteurs où des dérogations peuvent être nécessaires</w:t>
      </w:r>
      <w:r w:rsidR="0005245B" w:rsidRPr="00B7386A">
        <w:rPr>
          <w:rFonts w:eastAsia="Calibri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97"/>
        <w:gridCol w:w="1897"/>
        <w:gridCol w:w="1897"/>
        <w:gridCol w:w="1898"/>
        <w:gridCol w:w="1898"/>
      </w:tblGrid>
      <w:tr w:rsidR="0005245B" w:rsidRPr="00B7386A" w14:paraId="4B2D75FF" w14:textId="77777777" w:rsidTr="00701FB8">
        <w:tc>
          <w:tcPr>
            <w:tcW w:w="1897" w:type="dxa"/>
          </w:tcPr>
          <w:p w14:paraId="114884AF" w14:textId="77777777" w:rsidR="0005245B" w:rsidRPr="00B7386A" w:rsidRDefault="0005245B" w:rsidP="00701FB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7" w:type="dxa"/>
          </w:tcPr>
          <w:p w14:paraId="2616DE21" w14:textId="77777777" w:rsidR="0005245B" w:rsidRPr="00B7386A" w:rsidRDefault="0005245B" w:rsidP="00701FB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56546670" w14:textId="77777777" w:rsidR="0005245B" w:rsidRPr="00B7386A" w:rsidRDefault="0005245B" w:rsidP="00701FB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8" w:type="dxa"/>
          </w:tcPr>
          <w:p w14:paraId="7EEAB757" w14:textId="77777777" w:rsidR="0005245B" w:rsidRPr="00B7386A" w:rsidRDefault="0005245B" w:rsidP="00701FB8">
            <w:pPr>
              <w:pStyle w:val="Normal-pool"/>
              <w:spacing w:before="520"/>
              <w:rPr>
                <w:lang w:val="fr-FR"/>
              </w:rPr>
            </w:pPr>
          </w:p>
        </w:tc>
        <w:tc>
          <w:tcPr>
            <w:tcW w:w="1898" w:type="dxa"/>
          </w:tcPr>
          <w:p w14:paraId="0D8890F3" w14:textId="77777777" w:rsidR="0005245B" w:rsidRPr="00B7386A" w:rsidRDefault="0005245B" w:rsidP="00701FB8">
            <w:pPr>
              <w:pStyle w:val="Normal-pool"/>
              <w:spacing w:before="520"/>
              <w:rPr>
                <w:lang w:val="fr-FR"/>
              </w:rPr>
            </w:pPr>
          </w:p>
        </w:tc>
      </w:tr>
    </w:tbl>
    <w:p w14:paraId="2A148890" w14:textId="77777777" w:rsidR="00383726" w:rsidRDefault="00383726" w:rsidP="00CB3555">
      <w:pPr>
        <w:pStyle w:val="Normal-pool"/>
      </w:pPr>
    </w:p>
    <w:sectPr w:rsidR="00383726" w:rsidSect="00E03BF4"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/>
      <w:pgMar w:top="907" w:right="992" w:bottom="1418" w:left="1418" w:header="539" w:footer="975" w:gutter="0"/>
      <w:cols w:space="720"/>
      <w:formProt w:val="0"/>
      <w:titlePg/>
      <w:docGrid w:linePitch="312" w:charSpace="2047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D2BF4DD" w14:textId="77777777" w:rsidR="0048432B" w:rsidRDefault="0048432B" w:rsidP="0005245B">
      <w:r>
        <w:separator/>
      </w:r>
    </w:p>
  </w:endnote>
  <w:endnote w:type="continuationSeparator" w:id="0">
    <w:p w14:paraId="167D0F4E" w14:textId="77777777" w:rsidR="0048432B" w:rsidRDefault="0048432B" w:rsidP="0005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4540FB" w14:textId="77777777" w:rsidR="00E03BF4" w:rsidRPr="00E03BF4" w:rsidRDefault="00E03BF4">
    <w:pPr>
      <w:pStyle w:val="Footer"/>
      <w:rPr>
        <w:b/>
      </w:rPr>
    </w:pPr>
    <w:r w:rsidRPr="00E03BF4">
      <w:rPr>
        <w:b/>
      </w:rPr>
      <w:fldChar w:fldCharType="begin"/>
    </w:r>
    <w:r w:rsidRPr="00E03BF4">
      <w:rPr>
        <w:b/>
      </w:rPr>
      <w:instrText xml:space="preserve"> PAGE   \* MERGEFORMAT </w:instrText>
    </w:r>
    <w:r w:rsidRPr="00E03BF4">
      <w:rPr>
        <w:b/>
      </w:rPr>
      <w:fldChar w:fldCharType="separate"/>
    </w:r>
    <w:r w:rsidR="00F62A76">
      <w:rPr>
        <w:b/>
        <w:noProof/>
      </w:rPr>
      <w:t>2</w:t>
    </w:r>
    <w:r w:rsidRPr="00E03BF4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786D4" w14:textId="77777777" w:rsidR="00E03BF4" w:rsidRPr="00E03BF4" w:rsidRDefault="00E03BF4" w:rsidP="00E03BF4">
    <w:pPr>
      <w:pStyle w:val="Footer"/>
      <w:jc w:val="right"/>
      <w:rPr>
        <w:b/>
      </w:rPr>
    </w:pPr>
    <w:r w:rsidRPr="00E03BF4">
      <w:rPr>
        <w:b/>
      </w:rPr>
      <w:fldChar w:fldCharType="begin"/>
    </w:r>
    <w:r w:rsidRPr="00E03BF4">
      <w:rPr>
        <w:b/>
      </w:rPr>
      <w:instrText xml:space="preserve"> PAGE   \* MERGEFORMAT </w:instrText>
    </w:r>
    <w:r w:rsidRPr="00E03BF4">
      <w:rPr>
        <w:b/>
      </w:rPr>
      <w:fldChar w:fldCharType="separate"/>
    </w:r>
    <w:r w:rsidR="00F62A76">
      <w:rPr>
        <w:b/>
        <w:noProof/>
      </w:rPr>
      <w:t>7</w:t>
    </w:r>
    <w:r w:rsidRPr="00E03BF4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7A1BDC" w14:textId="77777777" w:rsidR="0005245B" w:rsidRPr="0005245B" w:rsidRDefault="0005245B">
    <w:pPr>
      <w:pStyle w:val="Footer"/>
      <w:rPr>
        <w:sz w:val="20"/>
        <w:lang w:val="en-US"/>
      </w:rPr>
    </w:pPr>
    <w:r w:rsidRPr="0005245B">
      <w:rPr>
        <w:sz w:val="20"/>
        <w:lang w:val="en-US"/>
      </w:rPr>
      <w:t>K1609128</w:t>
    </w:r>
    <w:r w:rsidRPr="0005245B">
      <w:rPr>
        <w:sz w:val="20"/>
        <w:lang w:val="en-US"/>
      </w:rPr>
      <w:tab/>
      <w:t>141016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7B661" w14:textId="77777777" w:rsidR="0048432B" w:rsidRDefault="0048432B" w:rsidP="0005245B">
      <w:r>
        <w:separator/>
      </w:r>
    </w:p>
  </w:footnote>
  <w:footnote w:type="continuationSeparator" w:id="0">
    <w:p w14:paraId="51501B01" w14:textId="77777777" w:rsidR="0048432B" w:rsidRDefault="0048432B" w:rsidP="0005245B">
      <w:r>
        <w:continuationSeparator/>
      </w:r>
    </w:p>
  </w:footnote>
  <w:footnote w:id="1">
    <w:p w14:paraId="4EDA6A65" w14:textId="77777777" w:rsidR="00CB3555" w:rsidRPr="00CB3555" w:rsidRDefault="00CB3555">
      <w:pPr>
        <w:pStyle w:val="FootnoteText"/>
      </w:pPr>
      <w:r>
        <w:rPr>
          <w:rStyle w:val="FootnoteReference"/>
        </w:rPr>
        <w:t>1</w:t>
      </w:r>
      <w:r>
        <w:t xml:space="preserve"> </w:t>
      </w:r>
      <w:r w:rsidRPr="0005245B">
        <w:rPr>
          <w:szCs w:val="18"/>
          <w:lang w:val="fr-FR"/>
        </w:rPr>
        <w:t>Les surcoûts afférents aux dépenses d</w:t>
      </w:r>
      <w:r>
        <w:rPr>
          <w:szCs w:val="18"/>
          <w:lang w:val="fr-FR"/>
        </w:rPr>
        <w:t>’</w:t>
      </w:r>
      <w:r w:rsidRPr="0005245B">
        <w:rPr>
          <w:szCs w:val="18"/>
          <w:lang w:val="fr-FR"/>
        </w:rPr>
        <w:t>exploitation mentionnés ci-dessus, y compris leur durée possible (qui pourrait être d</w:t>
      </w:r>
      <w:r>
        <w:rPr>
          <w:szCs w:val="18"/>
          <w:lang w:val="fr-FR"/>
        </w:rPr>
        <w:t>’</w:t>
      </w:r>
      <w:r w:rsidRPr="0005245B">
        <w:rPr>
          <w:szCs w:val="18"/>
          <w:lang w:val="fr-FR"/>
        </w:rPr>
        <w:t>au moins cinq ans, comme proposé) seraient négociés dans le contexte d</w:t>
      </w:r>
      <w:r>
        <w:rPr>
          <w:szCs w:val="18"/>
          <w:lang w:val="fr-FR"/>
        </w:rPr>
        <w:t>’</w:t>
      </w:r>
      <w:r w:rsidRPr="0005245B">
        <w:rPr>
          <w:szCs w:val="18"/>
          <w:lang w:val="fr-FR"/>
        </w:rPr>
        <w:t>un amendement.</w:t>
      </w:r>
    </w:p>
  </w:footnote>
  <w:footnote w:id="2">
    <w:p w14:paraId="2C308AD2" w14:textId="77777777" w:rsidR="00CB3555" w:rsidRPr="00CB3555" w:rsidRDefault="00CB3555" w:rsidP="0005245B">
      <w:pPr>
        <w:pStyle w:val="FootnoteText"/>
        <w:rPr>
          <w:szCs w:val="18"/>
        </w:rPr>
      </w:pPr>
      <w:r>
        <w:rPr>
          <w:rStyle w:val="FootnoteReference"/>
        </w:rPr>
        <w:t>1</w:t>
      </w:r>
      <w:r w:rsidRPr="00B7386A">
        <w:rPr>
          <w:szCs w:val="18"/>
        </w:rPr>
        <w:t xml:space="preserve"> </w:t>
      </w:r>
      <w:r w:rsidRPr="00747917">
        <w:rPr>
          <w:szCs w:val="18"/>
        </w:rPr>
        <w:t xml:space="preserve">Températures moyennes pondérées par la variabilité spatiale obtenues à partir des températures quotidiennes </w:t>
      </w:r>
      <w:r>
        <w:rPr>
          <w:szCs w:val="18"/>
        </w:rPr>
        <w:br/>
      </w:r>
      <w:r w:rsidRPr="00747917">
        <w:rPr>
          <w:szCs w:val="18"/>
        </w:rPr>
        <w:t>les plus élevées (à partir des archives du Centre for Environmental Data Archival</w:t>
      </w:r>
      <w:r>
        <w:rPr>
          <w:szCs w:val="18"/>
        </w:rPr>
        <w:t> </w:t>
      </w:r>
      <w:r w:rsidRPr="00B7386A">
        <w:rPr>
          <w:szCs w:val="18"/>
        </w:rPr>
        <w:t xml:space="preserve">: </w:t>
      </w:r>
      <w:r w:rsidR="00F62A76">
        <w:fldChar w:fldCharType="begin"/>
      </w:r>
      <w:r w:rsidR="00F62A76">
        <w:instrText xml:space="preserve"> HYPERLINK "http://browse.ceda.ac.uk/browse/badc/cru/data/cru_cy/cru_cy_3.22/data/tmx" \t "_blank" </w:instrText>
      </w:r>
      <w:r w:rsidR="00F62A76">
        <w:fldChar w:fldCharType="separate"/>
      </w:r>
      <w:r w:rsidRPr="00CB3555">
        <w:t>http://browse.ceda.ac.uk/browse/badc/cru/data/cru_cy/cru_cy_3.22/data/tmx</w:t>
      </w:r>
      <w:r w:rsidR="00F62A76">
        <w:fldChar w:fldCharType="end"/>
      </w:r>
      <w:r w:rsidRPr="00CB3555">
        <w:t>)</w:t>
      </w:r>
    </w:p>
  </w:footnote>
  <w:footnote w:id="3">
    <w:p w14:paraId="5D4A63DE" w14:textId="77777777" w:rsidR="00CB3555" w:rsidRPr="00CB3555" w:rsidRDefault="00CB3555">
      <w:pPr>
        <w:pStyle w:val="FootnoteText"/>
        <w:rPr>
          <w:lang w:val="fr-FR"/>
        </w:rPr>
      </w:pPr>
      <w:r>
        <w:rPr>
          <w:rStyle w:val="FootnoteReference"/>
        </w:rPr>
        <w:t>2</w:t>
      </w:r>
      <w:r>
        <w:t xml:space="preserve"> </w:t>
      </w:r>
      <w:r>
        <w:rPr>
          <w:szCs w:val="18"/>
        </w:rPr>
        <w:t>Énumérés dans l’annexe </w:t>
      </w:r>
      <w:r w:rsidRPr="00B7386A">
        <w:rPr>
          <w:szCs w:val="18"/>
        </w:rPr>
        <w:t>[XX].</w:t>
      </w:r>
    </w:p>
  </w:footnote>
  <w:footnote w:id="4">
    <w:p w14:paraId="09E623BA" w14:textId="77777777" w:rsidR="00CB3555" w:rsidRPr="00CB3555" w:rsidRDefault="00CB3555">
      <w:pPr>
        <w:pStyle w:val="FootnoteText"/>
      </w:pPr>
      <w:r>
        <w:rPr>
          <w:rStyle w:val="FootnoteReference"/>
        </w:rPr>
        <w:t>3</w:t>
      </w:r>
      <w:r>
        <w:t xml:space="preserve"> </w:t>
      </w:r>
      <w:r w:rsidRPr="00747917">
        <w:rPr>
          <w:szCs w:val="18"/>
        </w:rPr>
        <w:t>Insér</w:t>
      </w:r>
      <w:r>
        <w:rPr>
          <w:szCs w:val="18"/>
        </w:rPr>
        <w:t>er les critères énoncés à l’alinéa a) du paragraphe </w:t>
      </w:r>
      <w:r w:rsidRPr="00747917">
        <w:rPr>
          <w:szCs w:val="18"/>
        </w:rPr>
        <w:t>1 de la d</w:t>
      </w:r>
      <w:r>
        <w:rPr>
          <w:szCs w:val="18"/>
        </w:rPr>
        <w:t>écision </w:t>
      </w:r>
      <w:r w:rsidRPr="00747917">
        <w:rPr>
          <w:szCs w:val="18"/>
        </w:rPr>
        <w:t>XXVI/9</w:t>
      </w:r>
      <w:r>
        <w:rPr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AA194" w14:textId="77777777" w:rsidR="0005245B" w:rsidRDefault="0005245B" w:rsidP="0005245B">
    <w:pPr>
      <w:pStyle w:val="Header"/>
    </w:pPr>
    <w:r>
      <w:t>Groupe de rédaction juridique, version 1, 13 octobre 2016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2056E"/>
    <w:multiLevelType w:val="hybridMultilevel"/>
    <w:tmpl w:val="7D3CD974"/>
    <w:lvl w:ilvl="0" w:tplc="55563B78">
      <w:start w:val="1"/>
      <w:numFmt w:val="decimal"/>
      <w:lvlText w:val="%1."/>
      <w:lvlJc w:val="left"/>
      <w:pPr>
        <w:ind w:left="1967" w:hanging="360"/>
      </w:pPr>
    </w:lvl>
    <w:lvl w:ilvl="1" w:tplc="1C090019" w:tentative="1">
      <w:start w:val="1"/>
      <w:numFmt w:val="lowerLetter"/>
      <w:lvlText w:val="%2."/>
      <w:lvlJc w:val="left"/>
      <w:pPr>
        <w:ind w:left="2687" w:hanging="360"/>
      </w:pPr>
    </w:lvl>
    <w:lvl w:ilvl="2" w:tplc="1C09001B" w:tentative="1">
      <w:start w:val="1"/>
      <w:numFmt w:val="lowerRoman"/>
      <w:lvlText w:val="%3."/>
      <w:lvlJc w:val="right"/>
      <w:pPr>
        <w:ind w:left="3407" w:hanging="180"/>
      </w:pPr>
    </w:lvl>
    <w:lvl w:ilvl="3" w:tplc="1C09000F" w:tentative="1">
      <w:start w:val="1"/>
      <w:numFmt w:val="decimal"/>
      <w:lvlText w:val="%4."/>
      <w:lvlJc w:val="left"/>
      <w:pPr>
        <w:ind w:left="4127" w:hanging="360"/>
      </w:pPr>
    </w:lvl>
    <w:lvl w:ilvl="4" w:tplc="1C090019" w:tentative="1">
      <w:start w:val="1"/>
      <w:numFmt w:val="lowerLetter"/>
      <w:lvlText w:val="%5."/>
      <w:lvlJc w:val="left"/>
      <w:pPr>
        <w:ind w:left="4847" w:hanging="360"/>
      </w:pPr>
    </w:lvl>
    <w:lvl w:ilvl="5" w:tplc="1C09001B" w:tentative="1">
      <w:start w:val="1"/>
      <w:numFmt w:val="lowerRoman"/>
      <w:lvlText w:val="%6."/>
      <w:lvlJc w:val="right"/>
      <w:pPr>
        <w:ind w:left="5567" w:hanging="180"/>
      </w:pPr>
    </w:lvl>
    <w:lvl w:ilvl="6" w:tplc="1C09000F" w:tentative="1">
      <w:start w:val="1"/>
      <w:numFmt w:val="decimal"/>
      <w:lvlText w:val="%7."/>
      <w:lvlJc w:val="left"/>
      <w:pPr>
        <w:ind w:left="6287" w:hanging="360"/>
      </w:pPr>
    </w:lvl>
    <w:lvl w:ilvl="7" w:tplc="1C090019" w:tentative="1">
      <w:start w:val="1"/>
      <w:numFmt w:val="lowerLetter"/>
      <w:lvlText w:val="%8."/>
      <w:lvlJc w:val="left"/>
      <w:pPr>
        <w:ind w:left="7007" w:hanging="360"/>
      </w:pPr>
    </w:lvl>
    <w:lvl w:ilvl="8" w:tplc="1C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33563760"/>
    <w:multiLevelType w:val="hybridMultilevel"/>
    <w:tmpl w:val="5E369E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49F1569E"/>
    <w:multiLevelType w:val="multilevel"/>
    <w:tmpl w:val="7C1A549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6">
    <w:nsid w:val="62291BF8"/>
    <w:multiLevelType w:val="multilevel"/>
    <w:tmpl w:val="F4ACF36E"/>
    <w:numStyleLink w:val="Normallist"/>
  </w:abstractNum>
  <w:abstractNum w:abstractNumId="7">
    <w:nsid w:val="652057E1"/>
    <w:multiLevelType w:val="multilevel"/>
    <w:tmpl w:val="111E213E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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D0B0171"/>
    <w:multiLevelType w:val="multilevel"/>
    <w:tmpl w:val="DE0C35EA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DC01268"/>
    <w:multiLevelType w:val="hybridMultilevel"/>
    <w:tmpl w:val="853E1990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2"/>
  </w:num>
  <w:num w:numId="5">
    <w:abstractNumId w:val="0"/>
  </w:num>
  <w:num w:numId="6">
    <w:abstractNumId w:val="0"/>
    <w:lvlOverride w:ilvl="0">
      <w:startOverride w:val="1"/>
    </w:lvlOverride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1"/>
  </w:num>
  <w:num w:numId="22">
    <w:abstractNumId w:val="3"/>
  </w:num>
  <w:num w:numId="23">
    <w:abstractNumId w:val="5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trackRevisions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45B"/>
    <w:rsid w:val="0005245B"/>
    <w:rsid w:val="00383726"/>
    <w:rsid w:val="0048432B"/>
    <w:rsid w:val="00684DD2"/>
    <w:rsid w:val="00C84803"/>
    <w:rsid w:val="00CB3555"/>
    <w:rsid w:val="00E03BF4"/>
    <w:rsid w:val="00ED289A"/>
    <w:rsid w:val="00F6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D1FD5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555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B3555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B3555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CB3555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CB3555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B3555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B3555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CB3555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CB3555"/>
    <w:pPr>
      <w:keepNext/>
      <w:widowControl w:val="0"/>
      <w:numPr>
        <w:numId w:val="2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CB3555"/>
    <w:pPr>
      <w:keepNext/>
      <w:widowControl w:val="0"/>
      <w:numPr>
        <w:numId w:val="2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05245B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BBTitleChar">
    <w:name w:val="BB_Title Char"/>
    <w:link w:val="BBTitle"/>
    <w:qFormat/>
    <w:locked/>
    <w:rsid w:val="0005245B"/>
    <w:rPr>
      <w:rFonts w:ascii="Times New Roman" w:eastAsia="Times New Roman" w:hAnsi="Times New Roman" w:cs="Times New Roman"/>
      <w:b/>
      <w:sz w:val="28"/>
      <w:szCs w:val="28"/>
      <w:lang w:val="fr-CA"/>
    </w:rPr>
  </w:style>
  <w:style w:type="character" w:customStyle="1" w:styleId="CH2Char">
    <w:name w:val="CH2 Char"/>
    <w:link w:val="CH2"/>
    <w:qFormat/>
    <w:rsid w:val="0005245B"/>
    <w:rPr>
      <w:rFonts w:ascii="Times New Roman" w:eastAsia="Times New Roman" w:hAnsi="Times New Roman" w:cs="Times New Roman"/>
      <w:b/>
      <w:sz w:val="24"/>
      <w:szCs w:val="24"/>
      <w:lang w:val="fr-CA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5245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Ancredenotedebasdepage">
    <w:name w:val="Ancre de note de bas de page"/>
    <w:rsid w:val="0005245B"/>
    <w:rPr>
      <w:vertAlign w:val="superscript"/>
    </w:rPr>
  </w:style>
  <w:style w:type="paragraph" w:customStyle="1" w:styleId="BBTitle">
    <w:name w:val="BB_Title"/>
    <w:basedOn w:val="Normalpool"/>
    <w:link w:val="BBTitleChar"/>
    <w:rsid w:val="00CB3555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CB3555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Footer">
    <w:name w:val="footer"/>
    <w:basedOn w:val="Normal"/>
    <w:link w:val="FooterChar"/>
    <w:rsid w:val="00CB3555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1">
    <w:name w:val="Footer Char1"/>
    <w:basedOn w:val="DefaultParagraphFont"/>
    <w:uiPriority w:val="99"/>
    <w:semiHidden/>
    <w:rsid w:val="0005245B"/>
    <w:rPr>
      <w:rFonts w:ascii="Times New Roman" w:eastAsia="Times New Roman" w:hAnsi="Times New Roman" w:cs="Times New Roman"/>
      <w:color w:val="00000A"/>
      <w:sz w:val="20"/>
      <w:szCs w:val="20"/>
      <w:lang w:val="fr-FR"/>
    </w:rPr>
  </w:style>
  <w:style w:type="paragraph" w:styleId="FootnoteText">
    <w:name w:val="footnote text"/>
    <w:basedOn w:val="Normalpool"/>
    <w:link w:val="FootnoteTextChar"/>
    <w:rsid w:val="00CB3555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05245B"/>
    <w:rPr>
      <w:rFonts w:ascii="Times New Roman" w:eastAsia="Times New Roman" w:hAnsi="Times New Roman" w:cs="Times New Roman"/>
      <w:sz w:val="18"/>
      <w:szCs w:val="20"/>
      <w:lang w:val="fr-CA"/>
    </w:rPr>
  </w:style>
  <w:style w:type="paragraph" w:styleId="Header">
    <w:name w:val="header"/>
    <w:basedOn w:val="Normal"/>
    <w:link w:val="HeaderChar"/>
    <w:uiPriority w:val="99"/>
    <w:rsid w:val="00CB355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1">
    <w:name w:val="Header Char1"/>
    <w:basedOn w:val="DefaultParagraphFont"/>
    <w:uiPriority w:val="99"/>
    <w:semiHidden/>
    <w:rsid w:val="0005245B"/>
    <w:rPr>
      <w:rFonts w:ascii="Times New Roman" w:eastAsia="Times New Roman" w:hAnsi="Times New Roman" w:cs="Times New Roman"/>
      <w:color w:val="00000A"/>
      <w:sz w:val="20"/>
      <w:szCs w:val="20"/>
      <w:lang w:val="fr-FR"/>
    </w:rPr>
  </w:style>
  <w:style w:type="paragraph" w:customStyle="1" w:styleId="Normal-pool">
    <w:name w:val="Normal-pool"/>
    <w:rsid w:val="00CB355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table" w:styleId="TableGrid">
    <w:name w:val="Table Grid"/>
    <w:basedOn w:val="TableNormal"/>
    <w:uiPriority w:val="59"/>
    <w:rsid w:val="00052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05245B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45B"/>
    <w:rPr>
      <w:rFonts w:ascii="Tahoma" w:eastAsia="Times New Roman" w:hAnsi="Tahoma" w:cs="Tahoma"/>
      <w:color w:val="00000A"/>
      <w:sz w:val="16"/>
      <w:szCs w:val="16"/>
      <w:lang w:val="fr-FR"/>
    </w:rPr>
  </w:style>
  <w:style w:type="paragraph" w:customStyle="1" w:styleId="CH3">
    <w:name w:val="CH3"/>
    <w:basedOn w:val="Normalpool"/>
    <w:next w:val="Normalnumber"/>
    <w:rsid w:val="00CB355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semiHidden/>
    <w:rsid w:val="00CB3555"/>
    <w:rPr>
      <w:rFonts w:ascii="Times New Roman" w:hAnsi="Times New Roman"/>
      <w:color w:val="auto"/>
      <w:sz w:val="20"/>
      <w:szCs w:val="18"/>
      <w:vertAlign w:val="superscript"/>
    </w:rPr>
  </w:style>
  <w:style w:type="character" w:styleId="Hyperlink">
    <w:name w:val="Hyperlink"/>
    <w:semiHidden/>
    <w:rsid w:val="00CB3555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Normalnumber">
    <w:name w:val="Normal_number"/>
    <w:basedOn w:val="Normalpool"/>
    <w:link w:val="NormalnumberChar"/>
    <w:rsid w:val="00CB3555"/>
    <w:pPr>
      <w:numPr>
        <w:numId w:val="24"/>
      </w:numPr>
      <w:spacing w:after="120"/>
    </w:pPr>
  </w:style>
  <w:style w:type="character" w:customStyle="1" w:styleId="NormalnumberChar">
    <w:name w:val="Normal_number Char"/>
    <w:link w:val="Normalnumber"/>
    <w:rsid w:val="00ED289A"/>
    <w:rPr>
      <w:rFonts w:ascii="Times New Roman" w:eastAsia="Times New Roman" w:hAnsi="Times New Roman" w:cs="Times New Roman"/>
      <w:sz w:val="20"/>
      <w:szCs w:val="20"/>
      <w:lang w:val="fr-CA"/>
    </w:rPr>
  </w:style>
  <w:style w:type="table" w:customStyle="1" w:styleId="AATable">
    <w:name w:val="AA_Table"/>
    <w:basedOn w:val="TableNormal"/>
    <w:semiHidden/>
    <w:rsid w:val="00CB3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Normalpool">
    <w:name w:val="Normal_pool"/>
    <w:autoRedefine/>
    <w:semiHidden/>
    <w:rsid w:val="00CB355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AATitle">
    <w:name w:val="AA_Title"/>
    <w:basedOn w:val="Normalpool"/>
    <w:rsid w:val="00CB3555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B3555"/>
    <w:pPr>
      <w:tabs>
        <w:tab w:val="clear" w:pos="4082"/>
      </w:tabs>
      <w:spacing w:before="120" w:after="120"/>
      <w:ind w:right="4536"/>
    </w:pPr>
  </w:style>
  <w:style w:type="paragraph" w:customStyle="1" w:styleId="CH1">
    <w:name w:val="CH1"/>
    <w:basedOn w:val="Normalpool"/>
    <w:next w:val="CH2"/>
    <w:rsid w:val="00CB3555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4">
    <w:name w:val="CH4"/>
    <w:basedOn w:val="Normalpool"/>
    <w:next w:val="Normalnumber"/>
    <w:rsid w:val="00CB355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pool"/>
    <w:next w:val="Normalnumber"/>
    <w:rsid w:val="00CB355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B355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table" w:customStyle="1" w:styleId="Footertable">
    <w:name w:val="Footer_table"/>
    <w:basedOn w:val="TableNormal"/>
    <w:semiHidden/>
    <w:rsid w:val="00CB3555"/>
    <w:pPr>
      <w:spacing w:after="0" w:line="240" w:lineRule="auto"/>
    </w:pPr>
    <w:rPr>
      <w:rFonts w:ascii="Arial" w:eastAsia="Times New Roman" w:hAnsi="Arial" w:cs="Times New Roman"/>
      <w:sz w:val="16"/>
      <w:szCs w:val="20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Footer-pool">
    <w:name w:val="Footer-pool"/>
    <w:basedOn w:val="Normal-pool"/>
    <w:next w:val="Normal-pool"/>
    <w:rsid w:val="00CB355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B355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B355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CB3555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CB3555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CB3555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CB3555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CB3555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B3555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CB3555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CB3555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CB3555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numbering" w:customStyle="1" w:styleId="Normallist">
    <w:name w:val="Normal_list"/>
    <w:basedOn w:val="NoList"/>
    <w:semiHidden/>
    <w:rsid w:val="00CB3555"/>
    <w:pPr>
      <w:numPr>
        <w:numId w:val="23"/>
      </w:numPr>
    </w:pPr>
  </w:style>
  <w:style w:type="paragraph" w:customStyle="1" w:styleId="NormalNonumber">
    <w:name w:val="Normal_No_number"/>
    <w:basedOn w:val="Normalpool"/>
    <w:rsid w:val="00CB3555"/>
    <w:pPr>
      <w:spacing w:after="120"/>
      <w:ind w:left="1247"/>
    </w:pPr>
  </w:style>
  <w:style w:type="character" w:styleId="PageNumber">
    <w:name w:val="page number"/>
    <w:semiHidden/>
    <w:rsid w:val="00CB3555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CB3555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pool"/>
    <w:rsid w:val="00CB3555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CB3555"/>
    <w:rPr>
      <w:bCs w:val="0"/>
    </w:rPr>
  </w:style>
  <w:style w:type="paragraph" w:styleId="TOC1">
    <w:name w:val="toc 1"/>
    <w:basedOn w:val="Normalpool"/>
    <w:next w:val="Normalpool"/>
    <w:rsid w:val="00CB3555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B3555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B3555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B3555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pool"/>
    <w:rsid w:val="00CB3555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B3555"/>
    <w:pPr>
      <w:spacing w:before="360" w:after="120"/>
      <w:ind w:left="1247"/>
    </w:pPr>
    <w:rPr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35" w:qFormat="1"/>
    <w:lsdException w:name="table of figures" w:uiPriority="0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555"/>
    <w:pPr>
      <w:tabs>
        <w:tab w:val="left" w:pos="1247"/>
        <w:tab w:val="left" w:pos="1814"/>
        <w:tab w:val="left" w:pos="2381"/>
        <w:tab w:val="left" w:pos="2948"/>
        <w:tab w:val="left" w:pos="351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Heading1">
    <w:name w:val="heading 1"/>
    <w:basedOn w:val="Normal"/>
    <w:next w:val="Normalnumber"/>
    <w:link w:val="Heading1Char"/>
    <w:qFormat/>
    <w:rsid w:val="00CB3555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number"/>
    <w:link w:val="Heading2Char"/>
    <w:qFormat/>
    <w:rsid w:val="00CB3555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number"/>
    <w:link w:val="Heading3Char"/>
    <w:qFormat/>
    <w:rsid w:val="00CB3555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number"/>
    <w:link w:val="Heading4Char"/>
    <w:qFormat/>
    <w:rsid w:val="00CB3555"/>
    <w:pPr>
      <w:keepNext/>
      <w:outlineLvl w:val="3"/>
    </w:pPr>
  </w:style>
  <w:style w:type="paragraph" w:styleId="Heading5">
    <w:name w:val="heading 5"/>
    <w:basedOn w:val="Normal"/>
    <w:next w:val="Normal"/>
    <w:link w:val="Heading5Char"/>
    <w:qFormat/>
    <w:rsid w:val="00CB3555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link w:val="Heading6Char"/>
    <w:qFormat/>
    <w:rsid w:val="00CB3555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link w:val="Heading7Char"/>
    <w:qFormat/>
    <w:rsid w:val="00CB3555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link w:val="Heading8Char"/>
    <w:qFormat/>
    <w:rsid w:val="00CB3555"/>
    <w:pPr>
      <w:keepNext/>
      <w:widowControl w:val="0"/>
      <w:numPr>
        <w:numId w:val="2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link w:val="Heading9Char"/>
    <w:qFormat/>
    <w:rsid w:val="00CB3555"/>
    <w:pPr>
      <w:keepNext/>
      <w:widowControl w:val="0"/>
      <w:numPr>
        <w:numId w:val="2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oterChar">
    <w:name w:val="Footer Char"/>
    <w:link w:val="Footer"/>
    <w:qFormat/>
    <w:rsid w:val="0005245B"/>
    <w:rPr>
      <w:rFonts w:ascii="Times New Roman" w:eastAsia="Times New Roman" w:hAnsi="Times New Roman" w:cs="Times New Roman"/>
      <w:sz w:val="18"/>
      <w:szCs w:val="20"/>
      <w:lang w:val="fr-FR"/>
    </w:rPr>
  </w:style>
  <w:style w:type="character" w:customStyle="1" w:styleId="BBTitleChar">
    <w:name w:val="BB_Title Char"/>
    <w:link w:val="BBTitle"/>
    <w:qFormat/>
    <w:locked/>
    <w:rsid w:val="0005245B"/>
    <w:rPr>
      <w:rFonts w:ascii="Times New Roman" w:eastAsia="Times New Roman" w:hAnsi="Times New Roman" w:cs="Times New Roman"/>
      <w:b/>
      <w:sz w:val="28"/>
      <w:szCs w:val="28"/>
      <w:lang w:val="fr-CA"/>
    </w:rPr>
  </w:style>
  <w:style w:type="character" w:customStyle="1" w:styleId="CH2Char">
    <w:name w:val="CH2 Char"/>
    <w:link w:val="CH2"/>
    <w:qFormat/>
    <w:rsid w:val="0005245B"/>
    <w:rPr>
      <w:rFonts w:ascii="Times New Roman" w:eastAsia="Times New Roman" w:hAnsi="Times New Roman" w:cs="Times New Roman"/>
      <w:b/>
      <w:sz w:val="24"/>
      <w:szCs w:val="24"/>
      <w:lang w:val="fr-CA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05245B"/>
    <w:rPr>
      <w:rFonts w:ascii="Times New Roman" w:eastAsia="Times New Roman" w:hAnsi="Times New Roman" w:cs="Times New Roman"/>
      <w:b/>
      <w:sz w:val="18"/>
      <w:szCs w:val="20"/>
      <w:lang w:val="fr-FR"/>
    </w:rPr>
  </w:style>
  <w:style w:type="character" w:customStyle="1" w:styleId="Ancredenotedebasdepage">
    <w:name w:val="Ancre de note de bas de page"/>
    <w:rsid w:val="0005245B"/>
    <w:rPr>
      <w:vertAlign w:val="superscript"/>
    </w:rPr>
  </w:style>
  <w:style w:type="paragraph" w:customStyle="1" w:styleId="BBTitle">
    <w:name w:val="BB_Title"/>
    <w:basedOn w:val="Normalpool"/>
    <w:link w:val="BBTitleChar"/>
    <w:rsid w:val="00CB3555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2">
    <w:name w:val="CH2"/>
    <w:basedOn w:val="Normalpool"/>
    <w:next w:val="Normalnumber"/>
    <w:link w:val="CH2Char"/>
    <w:rsid w:val="00CB3555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Footer">
    <w:name w:val="footer"/>
    <w:basedOn w:val="Normal"/>
    <w:link w:val="FooterChar"/>
    <w:rsid w:val="00CB3555"/>
    <w:pPr>
      <w:tabs>
        <w:tab w:val="center" w:pos="4320"/>
        <w:tab w:val="right" w:pos="8640"/>
      </w:tabs>
      <w:spacing w:before="60" w:after="120"/>
    </w:pPr>
    <w:rPr>
      <w:sz w:val="18"/>
    </w:rPr>
  </w:style>
  <w:style w:type="character" w:customStyle="1" w:styleId="FooterChar1">
    <w:name w:val="Footer Char1"/>
    <w:basedOn w:val="DefaultParagraphFont"/>
    <w:uiPriority w:val="99"/>
    <w:semiHidden/>
    <w:rsid w:val="0005245B"/>
    <w:rPr>
      <w:rFonts w:ascii="Times New Roman" w:eastAsia="Times New Roman" w:hAnsi="Times New Roman" w:cs="Times New Roman"/>
      <w:color w:val="00000A"/>
      <w:sz w:val="20"/>
      <w:szCs w:val="20"/>
      <w:lang w:val="fr-FR"/>
    </w:rPr>
  </w:style>
  <w:style w:type="paragraph" w:styleId="FootnoteText">
    <w:name w:val="footnote text"/>
    <w:basedOn w:val="Normalpool"/>
    <w:link w:val="FootnoteTextChar"/>
    <w:rsid w:val="00CB3555"/>
    <w:pPr>
      <w:spacing w:before="20" w:after="40"/>
      <w:ind w:left="1247"/>
    </w:pPr>
    <w:rPr>
      <w:sz w:val="18"/>
    </w:rPr>
  </w:style>
  <w:style w:type="character" w:customStyle="1" w:styleId="FootnoteTextChar">
    <w:name w:val="Footnote Text Char"/>
    <w:basedOn w:val="DefaultParagraphFont"/>
    <w:link w:val="FootnoteText"/>
    <w:rsid w:val="0005245B"/>
    <w:rPr>
      <w:rFonts w:ascii="Times New Roman" w:eastAsia="Times New Roman" w:hAnsi="Times New Roman" w:cs="Times New Roman"/>
      <w:sz w:val="18"/>
      <w:szCs w:val="20"/>
      <w:lang w:val="fr-CA"/>
    </w:rPr>
  </w:style>
  <w:style w:type="paragraph" w:styleId="Header">
    <w:name w:val="header"/>
    <w:basedOn w:val="Normal"/>
    <w:link w:val="HeaderChar"/>
    <w:uiPriority w:val="99"/>
    <w:rsid w:val="00CB355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erChar1">
    <w:name w:val="Header Char1"/>
    <w:basedOn w:val="DefaultParagraphFont"/>
    <w:uiPriority w:val="99"/>
    <w:semiHidden/>
    <w:rsid w:val="0005245B"/>
    <w:rPr>
      <w:rFonts w:ascii="Times New Roman" w:eastAsia="Times New Roman" w:hAnsi="Times New Roman" w:cs="Times New Roman"/>
      <w:color w:val="00000A"/>
      <w:sz w:val="20"/>
      <w:szCs w:val="20"/>
      <w:lang w:val="fr-FR"/>
    </w:rPr>
  </w:style>
  <w:style w:type="paragraph" w:customStyle="1" w:styleId="Normal-pool">
    <w:name w:val="Normal-pool"/>
    <w:rsid w:val="00CB355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table" w:styleId="TableGrid">
    <w:name w:val="Table Grid"/>
    <w:basedOn w:val="TableNormal"/>
    <w:uiPriority w:val="59"/>
    <w:rsid w:val="000524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C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vision">
    <w:name w:val="Revision"/>
    <w:hidden/>
    <w:uiPriority w:val="99"/>
    <w:semiHidden/>
    <w:rsid w:val="0005245B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val="fr-F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5245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245B"/>
    <w:rPr>
      <w:rFonts w:ascii="Tahoma" w:eastAsia="Times New Roman" w:hAnsi="Tahoma" w:cs="Tahoma"/>
      <w:color w:val="00000A"/>
      <w:sz w:val="16"/>
      <w:szCs w:val="16"/>
      <w:lang w:val="fr-FR"/>
    </w:rPr>
  </w:style>
  <w:style w:type="paragraph" w:customStyle="1" w:styleId="CH3">
    <w:name w:val="CH3"/>
    <w:basedOn w:val="Normalpool"/>
    <w:next w:val="Normalnumber"/>
    <w:rsid w:val="00CB355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character" w:styleId="FootnoteReference">
    <w:name w:val="footnote reference"/>
    <w:semiHidden/>
    <w:rsid w:val="00CB3555"/>
    <w:rPr>
      <w:rFonts w:ascii="Times New Roman" w:hAnsi="Times New Roman"/>
      <w:color w:val="auto"/>
      <w:sz w:val="20"/>
      <w:szCs w:val="18"/>
      <w:vertAlign w:val="superscript"/>
    </w:rPr>
  </w:style>
  <w:style w:type="character" w:styleId="Hyperlink">
    <w:name w:val="Hyperlink"/>
    <w:semiHidden/>
    <w:rsid w:val="00CB3555"/>
    <w:rPr>
      <w:rFonts w:ascii="Times New Roman" w:hAnsi="Times New Roman"/>
      <w:color w:val="auto"/>
      <w:sz w:val="20"/>
      <w:szCs w:val="20"/>
      <w:u w:val="none"/>
      <w:lang w:val="fr-FR"/>
    </w:rPr>
  </w:style>
  <w:style w:type="paragraph" w:customStyle="1" w:styleId="Normalnumber">
    <w:name w:val="Normal_number"/>
    <w:basedOn w:val="Normalpool"/>
    <w:link w:val="NormalnumberChar"/>
    <w:rsid w:val="00CB3555"/>
    <w:pPr>
      <w:numPr>
        <w:numId w:val="24"/>
      </w:numPr>
      <w:spacing w:after="120"/>
    </w:pPr>
  </w:style>
  <w:style w:type="character" w:customStyle="1" w:styleId="NormalnumberChar">
    <w:name w:val="Normal_number Char"/>
    <w:link w:val="Normalnumber"/>
    <w:rsid w:val="00ED289A"/>
    <w:rPr>
      <w:rFonts w:ascii="Times New Roman" w:eastAsia="Times New Roman" w:hAnsi="Times New Roman" w:cs="Times New Roman"/>
      <w:sz w:val="20"/>
      <w:szCs w:val="20"/>
      <w:lang w:val="fr-CA"/>
    </w:rPr>
  </w:style>
  <w:style w:type="table" w:customStyle="1" w:styleId="AATable">
    <w:name w:val="AA_Table"/>
    <w:basedOn w:val="TableNormal"/>
    <w:semiHidden/>
    <w:rsid w:val="00CB35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StyleRowBandSize w:val="1"/>
      <w:tblStyleColBandSize w:val="1"/>
      <w:jc w:val="right"/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spacing w:afterLines="0" w:after="240" w:afterAutospacing="0"/>
        <w:ind w:rightChars="0" w:right="567"/>
      </w:pPr>
      <w:rPr>
        <w:rFonts w:ascii="Arial" w:hAnsi="Arial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Arial" w:hAnsi="Arial"/>
        <w:b/>
        <w:i w:val="0"/>
        <w:color w:val="auto"/>
        <w:sz w:val="64"/>
        <w:szCs w:val="64"/>
      </w:rPr>
    </w:tblStylePr>
    <w:tblStylePr w:type="nwCell">
      <w:rPr>
        <w:rFonts w:ascii="Arial" w:hAnsi="Arial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36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Normalpool">
    <w:name w:val="Normal_pool"/>
    <w:autoRedefine/>
    <w:semiHidden/>
    <w:rsid w:val="00CB3555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fr-CA"/>
    </w:rPr>
  </w:style>
  <w:style w:type="paragraph" w:customStyle="1" w:styleId="AATitle">
    <w:name w:val="AA_Title"/>
    <w:basedOn w:val="Normalpool"/>
    <w:rsid w:val="00CB3555"/>
    <w:pPr>
      <w:keepNext/>
      <w:keepLines/>
      <w:suppressAutoHyphens/>
      <w:ind w:right="5103"/>
    </w:pPr>
    <w:rPr>
      <w:b/>
    </w:rPr>
  </w:style>
  <w:style w:type="paragraph" w:customStyle="1" w:styleId="AATitle2">
    <w:name w:val="AA_Title2"/>
    <w:basedOn w:val="AATitle"/>
    <w:rsid w:val="00CB3555"/>
    <w:pPr>
      <w:tabs>
        <w:tab w:val="clear" w:pos="4082"/>
      </w:tabs>
      <w:spacing w:before="120" w:after="120"/>
      <w:ind w:right="4536"/>
    </w:pPr>
  </w:style>
  <w:style w:type="paragraph" w:customStyle="1" w:styleId="CH1">
    <w:name w:val="CH1"/>
    <w:basedOn w:val="Normalpool"/>
    <w:next w:val="CH2"/>
    <w:rsid w:val="00CB3555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4">
    <w:name w:val="CH4"/>
    <w:basedOn w:val="Normalpool"/>
    <w:next w:val="Normalnumber"/>
    <w:rsid w:val="00CB355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pool"/>
    <w:next w:val="Normalnumber"/>
    <w:rsid w:val="00CB3555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Footerpool">
    <w:name w:val="Footer_pool"/>
    <w:basedOn w:val="Normal"/>
    <w:next w:val="Normal"/>
    <w:semiHidden/>
    <w:rsid w:val="00CB355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table" w:customStyle="1" w:styleId="Footertable">
    <w:name w:val="Footer_table"/>
    <w:basedOn w:val="TableNormal"/>
    <w:semiHidden/>
    <w:rsid w:val="00CB3555"/>
    <w:pPr>
      <w:spacing w:after="0" w:line="240" w:lineRule="auto"/>
    </w:pPr>
    <w:rPr>
      <w:rFonts w:ascii="Arial" w:eastAsia="Times New Roman" w:hAnsi="Arial" w:cs="Times New Roman"/>
      <w:sz w:val="16"/>
      <w:szCs w:val="20"/>
      <w:lang w:val="fr-FR" w:eastAsia="fr-FR"/>
    </w:rPr>
    <w:tblPr>
      <w:jc w:val="right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right"/>
    </w:trPr>
    <w:tcPr>
      <w:tcMar>
        <w:top w:w="28" w:type="dxa"/>
        <w:bottom w:w="28" w:type="dxa"/>
      </w:tcMar>
    </w:tcPr>
  </w:style>
  <w:style w:type="paragraph" w:customStyle="1" w:styleId="Footer-pool">
    <w:name w:val="Footer-pool"/>
    <w:basedOn w:val="Normal-pool"/>
    <w:next w:val="Normal-pool"/>
    <w:rsid w:val="00CB3555"/>
    <w:pPr>
      <w:tabs>
        <w:tab w:val="left" w:pos="4321"/>
        <w:tab w:val="right" w:pos="8641"/>
      </w:tabs>
      <w:spacing w:before="60" w:after="120"/>
    </w:pPr>
    <w:rPr>
      <w:b/>
      <w:sz w:val="18"/>
    </w:rPr>
  </w:style>
  <w:style w:type="paragraph" w:customStyle="1" w:styleId="Headerpool">
    <w:name w:val="Header_pool"/>
    <w:basedOn w:val="Normal"/>
    <w:next w:val="Normal"/>
    <w:semiHidden/>
    <w:rsid w:val="00CB355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paragraph" w:customStyle="1" w:styleId="Header-pool">
    <w:name w:val="Header-pool"/>
    <w:basedOn w:val="Normal-pool"/>
    <w:next w:val="Normal-pool"/>
    <w:rsid w:val="00CB3555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customStyle="1" w:styleId="Heading1Char">
    <w:name w:val="Heading 1 Char"/>
    <w:basedOn w:val="DefaultParagraphFont"/>
    <w:link w:val="Heading1"/>
    <w:rsid w:val="00CB3555"/>
    <w:rPr>
      <w:rFonts w:ascii="Times New Roman" w:eastAsia="Times New Roman" w:hAnsi="Times New Roman" w:cs="Times New Roman"/>
      <w:b/>
      <w:sz w:val="28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rsid w:val="00CB3555"/>
    <w:rPr>
      <w:rFonts w:ascii="Times New Roman" w:eastAsia="Times New Roman" w:hAnsi="Times New Roman" w:cs="Times New Roman"/>
      <w:b/>
      <w:sz w:val="24"/>
      <w:szCs w:val="24"/>
      <w:lang w:val="fr-FR"/>
    </w:rPr>
  </w:style>
  <w:style w:type="character" w:customStyle="1" w:styleId="Heading3Char">
    <w:name w:val="Heading 3 Char"/>
    <w:basedOn w:val="DefaultParagraphFont"/>
    <w:link w:val="Heading3"/>
    <w:rsid w:val="00CB3555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rsid w:val="00CB3555"/>
    <w:rPr>
      <w:rFonts w:ascii="Times New Roman" w:eastAsia="Times New Roman" w:hAnsi="Times New Roman" w:cs="Times New Roman"/>
      <w:b/>
      <w:sz w:val="20"/>
      <w:szCs w:val="20"/>
      <w:lang w:val="fr-FR"/>
    </w:rPr>
  </w:style>
  <w:style w:type="character" w:customStyle="1" w:styleId="Heading5Char">
    <w:name w:val="Heading 5 Char"/>
    <w:basedOn w:val="DefaultParagraphFont"/>
    <w:link w:val="Heading5"/>
    <w:rsid w:val="00CB3555"/>
    <w:rPr>
      <w:rFonts w:ascii="Univers" w:eastAsia="Times New Roman" w:hAnsi="Univers" w:cs="Times New Roman"/>
      <w:b/>
      <w:sz w:val="24"/>
      <w:szCs w:val="20"/>
      <w:lang w:val="fr-FR"/>
    </w:rPr>
  </w:style>
  <w:style w:type="character" w:customStyle="1" w:styleId="Heading6Char">
    <w:name w:val="Heading 6 Char"/>
    <w:basedOn w:val="DefaultParagraphFont"/>
    <w:link w:val="Heading6"/>
    <w:rsid w:val="00CB3555"/>
    <w:rPr>
      <w:rFonts w:ascii="Times New Roman" w:eastAsia="Times New Roman" w:hAnsi="Times New Roman" w:cs="Times New Roman"/>
      <w:b/>
      <w:bCs/>
      <w:sz w:val="24"/>
      <w:szCs w:val="20"/>
      <w:lang w:val="fr-FR"/>
    </w:rPr>
  </w:style>
  <w:style w:type="character" w:customStyle="1" w:styleId="Heading7Char">
    <w:name w:val="Heading 7 Char"/>
    <w:basedOn w:val="DefaultParagraphFont"/>
    <w:link w:val="Heading7"/>
    <w:rsid w:val="00CB3555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8Char">
    <w:name w:val="Heading 8 Char"/>
    <w:basedOn w:val="DefaultParagraphFont"/>
    <w:link w:val="Heading8"/>
    <w:rsid w:val="00CB3555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CB3555"/>
    <w:rPr>
      <w:rFonts w:ascii="Times New Roman" w:eastAsia="Times New Roman" w:hAnsi="Times New Roman" w:cs="Times New Roman"/>
      <w:snapToGrid w:val="0"/>
      <w:sz w:val="20"/>
      <w:szCs w:val="20"/>
      <w:u w:val="single"/>
    </w:rPr>
  </w:style>
  <w:style w:type="numbering" w:customStyle="1" w:styleId="Normallist">
    <w:name w:val="Normal_list"/>
    <w:basedOn w:val="NoList"/>
    <w:semiHidden/>
    <w:rsid w:val="00CB3555"/>
    <w:pPr>
      <w:numPr>
        <w:numId w:val="23"/>
      </w:numPr>
    </w:pPr>
  </w:style>
  <w:style w:type="paragraph" w:customStyle="1" w:styleId="NormalNonumber">
    <w:name w:val="Normal_No_number"/>
    <w:basedOn w:val="Normalpool"/>
    <w:rsid w:val="00CB3555"/>
    <w:pPr>
      <w:spacing w:after="120"/>
      <w:ind w:left="1247"/>
    </w:pPr>
  </w:style>
  <w:style w:type="character" w:styleId="PageNumber">
    <w:name w:val="page number"/>
    <w:semiHidden/>
    <w:rsid w:val="00CB3555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CB3555"/>
    <w:pPr>
      <w:spacing w:before="40" w:after="40" w:line="240" w:lineRule="auto"/>
    </w:pPr>
    <w:rPr>
      <w:rFonts w:ascii="Times New Roman" w:eastAsia="Times New Roman" w:hAnsi="Times New Roman" w:cs="Times New Roman"/>
      <w:sz w:val="18"/>
      <w:szCs w:val="18"/>
      <w:lang w:val="fr-FR" w:eastAsia="fr-FR"/>
    </w:rPr>
    <w:tblPr>
      <w:jc w:val="right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pool"/>
    <w:rsid w:val="00CB3555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CB3555"/>
    <w:rPr>
      <w:bCs w:val="0"/>
    </w:rPr>
  </w:style>
  <w:style w:type="paragraph" w:styleId="TOC1">
    <w:name w:val="toc 1"/>
    <w:basedOn w:val="Normalpool"/>
    <w:next w:val="Normalpool"/>
    <w:rsid w:val="00CB3555"/>
    <w:pPr>
      <w:tabs>
        <w:tab w:val="clear" w:pos="2381"/>
        <w:tab w:val="clear" w:pos="2948"/>
        <w:tab w:val="clear" w:pos="3515"/>
        <w:tab w:val="clear" w:pos="4082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pool"/>
    <w:next w:val="Normalpool"/>
    <w:rsid w:val="00CB3555"/>
    <w:pPr>
      <w:tabs>
        <w:tab w:val="clear" w:pos="1814"/>
        <w:tab w:val="clear" w:pos="2948"/>
        <w:tab w:val="clear" w:pos="3515"/>
        <w:tab w:val="clear" w:pos="4082"/>
        <w:tab w:val="right" w:leader="dot" w:pos="9486"/>
      </w:tabs>
      <w:ind w:left="2381" w:hanging="567"/>
    </w:pPr>
  </w:style>
  <w:style w:type="paragraph" w:styleId="TOC3">
    <w:name w:val="toc 3"/>
    <w:basedOn w:val="Normalpool"/>
    <w:next w:val="Normalpool"/>
    <w:rsid w:val="00CB3555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pool"/>
    <w:next w:val="Normalpool"/>
    <w:rsid w:val="00CB3555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CB3555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pool"/>
    <w:rsid w:val="00CB3555"/>
    <w:rPr>
      <w:b/>
      <w:bCs/>
      <w:sz w:val="28"/>
      <w:szCs w:val="22"/>
    </w:rPr>
  </w:style>
  <w:style w:type="paragraph" w:customStyle="1" w:styleId="ZZAnxtitle">
    <w:name w:val="ZZ_Anx_title"/>
    <w:basedOn w:val="Normalpool"/>
    <w:rsid w:val="00CB3555"/>
    <w:pPr>
      <w:spacing w:before="360" w:after="120"/>
      <w:ind w:left="1247"/>
    </w:pPr>
    <w:rPr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ntTable" Target="fontTable.xml"/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12" Type="http://schemas.openxmlformats.org/officeDocument/2006/relationships/footer" Target="footer3.xml"/><Relationship Id="rId7" Type="http://schemas.openxmlformats.org/officeDocument/2006/relationships/footnotes" Target="footnotes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14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5A672C675594D8A1C18D798CA5672" ma:contentTypeVersion="" ma:contentTypeDescription="Create a new document." ma:contentTypeScope="" ma:versionID="6400cb1d0bcb6374d9249daf8a5623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952903-1088-4E27-A881-0F32B3D7DD04}"/>
</file>

<file path=customXml/itemProps2.xml><?xml version="1.0" encoding="utf-8"?>
<ds:datastoreItem xmlns:ds="http://schemas.openxmlformats.org/officeDocument/2006/customXml" ds:itemID="{E2E7EBA9-0DA7-42FD-AA3D-1D1FE6F15E0D}"/>
</file>

<file path=customXml/itemProps3.xml><?xml version="1.0" encoding="utf-8"?>
<ds:datastoreItem xmlns:ds="http://schemas.openxmlformats.org/officeDocument/2006/customXml" ds:itemID="{5307EF3C-06C0-FC4B-BB51-DAA6C073ED0C}"/>
</file>

<file path=customXml/itemProps4.xml><?xml version="1.0" encoding="utf-8"?>
<ds:datastoreItem xmlns:ds="http://schemas.openxmlformats.org/officeDocument/2006/customXml" ds:itemID="{124A3C34-756E-4CB4-8F14-8E6F91C7C2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3343</Words>
  <Characters>19059</Characters>
  <Application>Microsoft Macintosh Word</Application>
  <DocSecurity>0</DocSecurity>
  <Lines>158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Lieven</dc:creator>
  <cp:lastModifiedBy>Gerald Mutisya</cp:lastModifiedBy>
  <cp:revision>3</cp:revision>
  <dcterms:created xsi:type="dcterms:W3CDTF">2016-10-14T07:12:00Z</dcterms:created>
  <dcterms:modified xsi:type="dcterms:W3CDTF">2016-10-14T08:31:00Z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0x010100A055A672C675594D8A1C18D798CA5672</vt:lpwstr>
  </property>
</Properties>
</file>