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5C7EA" w14:textId="77777777" w:rsidR="00860B7F" w:rsidRPr="003D4C1F" w:rsidRDefault="00860B7F" w:rsidP="00D9753E">
      <w:pPr>
        <w:pStyle w:val="BBTitle"/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bookmarkStart w:id="0" w:name="_GoBack"/>
      <w:bookmarkEnd w:id="0"/>
      <w:r>
        <w:t>Текст проекта решения, касающийся решения проблем, выявленных в принятом в Дубае порядке работы</w:t>
      </w:r>
    </w:p>
    <w:p w14:paraId="2F366AE7" w14:textId="77777777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  <w:rPr>
          <w:rFonts w:eastAsia="Calibri"/>
          <w:i/>
        </w:rPr>
      </w:pPr>
      <w:r>
        <w:rPr>
          <w:i/>
        </w:rPr>
        <w:t>Двадцать восьмое Совещание Сторон постановляет:</w:t>
      </w:r>
    </w:p>
    <w:p w14:paraId="55AFFDA7" w14:textId="4BE1F3AC" w:rsidR="00860B7F" w:rsidRPr="003D4C1F" w:rsidRDefault="00A84B9C" w:rsidP="0054027B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firstLine="0"/>
      </w:pPr>
      <w:r>
        <w:t>[Проблема № 3]</w:t>
      </w:r>
    </w:p>
    <w:p w14:paraId="106F6283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признать важность своевременного обновления международных стандартов для легковоспламеняющихся хладагентов с низким ПГП, включая МЭК 60335-2-40, и поддерживать стимулирующие меры, которые обеспечивают безопасное внедрение на рынок, а также производство, эксплуатацию и обслуживание обладающих нулевым или низким ПГП хладагентов, являющихся альтернативами гидрохлорфторуглеродам и гидрофторуглеродам, и обращение с ними;</w:t>
      </w:r>
      <w:r>
        <w:rPr>
          <w:vertAlign w:val="superscript"/>
        </w:rPr>
        <w:t xml:space="preserve"> </w:t>
      </w:r>
    </w:p>
    <w:p w14:paraId="1C22F6F0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ascii="Calibri" w:eastAsia="Calibri" w:hAnsi="Calibri"/>
        </w:rPr>
      </w:pPr>
      <w:r>
        <w:t>проводить периодические обзоры альтернатив с использованием критериев, изложенных в пункте 1 а) решения XXVI/9.</w:t>
      </w:r>
      <w:r>
        <w:rPr>
          <w:color w:val="FF0000"/>
        </w:rPr>
        <w:t xml:space="preserve"> [Примечание правовой редакционной группы: в тексте, касающемся решений, говорится, что Стороны обсудят этот вопрос на РГОС-38</w:t>
      </w:r>
      <w:r>
        <w:rPr>
          <w:rFonts w:ascii="Calibri" w:hAnsi="Calibri"/>
          <w:color w:val="FF0000"/>
        </w:rPr>
        <w:t>]</w:t>
      </w:r>
    </w:p>
    <w:p w14:paraId="25523CBE" w14:textId="1408B166" w:rsidR="00860B7F" w:rsidRPr="003D4C1F" w:rsidRDefault="00860B7F" w:rsidP="0054027B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firstLine="0"/>
      </w:pPr>
      <w:r>
        <w:t>[Проблема № 4]</w:t>
      </w:r>
    </w:p>
    <w:p w14:paraId="61A1A852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Сторонам, действующим в рамках пункта 1 статьи 5, будет предоставлена гибкость в отношении приоритизации гидрофторуглеродов, определения секторов, выбора технологии/альтернатив, разработки и осуществления собственных стратегий для выполнения согласованных обязательств в отношении гидрофторуглеродов, исходя из их конкретных потребностей и национальных условий, в соответствии с инициированным странами подходом.</w:t>
      </w:r>
    </w:p>
    <w:p w14:paraId="11C334EC" w14:textId="59A535ED" w:rsidR="00860B7F" w:rsidRPr="003D4C1F" w:rsidRDefault="00AC3B03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п</w:t>
      </w:r>
      <w:r w:rsidR="00860B7F">
        <w:t>росить Исполнительный комитет Многостороннего фонда включить принцип в упомянутом выше пункте в соответствующие руководящие принципы для финансирования поэтапного вывода из обращения гидрофторуглеродов и собственный процесс принятия решений.</w:t>
      </w:r>
    </w:p>
    <w:p w14:paraId="7B81F5B9" w14:textId="7F08650A" w:rsidR="00860B7F" w:rsidRPr="003D4C1F" w:rsidRDefault="00860B7F" w:rsidP="0054027B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firstLine="0"/>
      </w:pPr>
      <w:r>
        <w:t>[Проблема № 6]</w:t>
      </w:r>
    </w:p>
    <w:p w14:paraId="39C105E5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признать взаимосвязь между графиками сокращения использования гидрофторуглеродов и гидрохлорфторуглеродов для соответствующих секторов и предпочтительность недопущения перехода от гидрохлорфторуглеродов на гидрофторуглероды с высоким ПГП и проявлять гибкость при отсутствии других технически осуществимых и экономически жизнеспособных альтернатив;</w:t>
      </w:r>
    </w:p>
    <w:p w14:paraId="3D0BFD74" w14:textId="1F7E28A0" w:rsidR="00860B7F" w:rsidRPr="003D4C1F" w:rsidRDefault="0054027B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 xml:space="preserve">также признать эту взаимосвязь в отношении некоторых секторов, в частности, охлаждения для промышленных процессов, и предпочтительность избегания перехода от гидрохлорфторуглеродов на гидрофторуглероды с высоким ПГП, и обеспечить готовность проявлять гибкость при отсутствии других альтернатив в случаях, когда: 1) поставки гидрохлорфторуглеродов могут быть недоступны из существующих объемов допустимого потребления, запасов, а также рекуперированных/рециркулированных материалов; </w:t>
      </w:r>
      <w:r w:rsidR="00860B7F">
        <w:t>и 2) если это позволит обеспечить прямой переход на более позднем этапе от гидрохлорфторуглеродов на альтернативы с низким ПГ</w:t>
      </w:r>
      <w:r w:rsidR="00AC3B03">
        <w:t>П или нулевым ПГП;</w:t>
      </w:r>
    </w:p>
    <w:p w14:paraId="10072E20" w14:textId="47B8061D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обеспечить до начала в любом государстве, действующем в рамках статьи 5, применения ограничений или выполнения других первоначальных обязательств по регулированию гидрофторуглеродов и в свете того, что признается выше, применение мер по обеспечению гибкости в отношении поэтапного вывода из обращения гидрохлорфторуглеродов, касающегося определенных секторов, в частности, подсектора охлаждения для промышленных процессов, для того чтобы избежать двойной конверсии.</w:t>
      </w:r>
    </w:p>
    <w:p w14:paraId="3D915B9C" w14:textId="2037CFF8" w:rsidR="00860B7F" w:rsidRPr="003D4C1F" w:rsidRDefault="00215DB5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[Из д</w:t>
      </w:r>
      <w:r w:rsidR="00860B7F">
        <w:t>ополнения I – решения для проблем, касающихся вопросов финансирования и гибкости в осуществлении]</w:t>
      </w:r>
    </w:p>
    <w:p w14:paraId="6393FF81" w14:textId="77777777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[Основополагающие принципы и сроки]</w:t>
      </w:r>
    </w:p>
    <w:p w14:paraId="702877CD" w14:textId="5704074F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lastRenderedPageBreak/>
        <w:t>[</w:t>
      </w:r>
      <w:r>
        <w:rPr>
          <w:color w:val="FF0000"/>
        </w:rPr>
        <w:t xml:space="preserve">Примечание правовой редакционной группы: в решениях для проблем, касающихся вопросов финансирования и гибкости в осуществлении, приводится следующий текст: </w:t>
      </w:r>
      <w:r>
        <w:t>«Для сохранения МСФ в качестве механизма финансирования для поправки, касающейся гидрофторуглеродов, в пункте 1 статьи 10 необходимо будет добавить ссылку н</w:t>
      </w:r>
      <w:r w:rsidR="0054027B">
        <w:t xml:space="preserve">а статью о гидрофторуглеродах. </w:t>
      </w:r>
      <w:r>
        <w:t>Это может быть далее признано в решении Совещания Сторон согласно изложенному ниже.</w:t>
      </w:r>
    </w:p>
    <w:p w14:paraId="5B88EAFB" w14:textId="77777777" w:rsidR="00860B7F" w:rsidRPr="00AC3B03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Все другие решения, касающиеся финансирования/гибкости, будут отражены в решении СС.»]</w:t>
      </w:r>
    </w:p>
    <w:p w14:paraId="07707D43" w14:textId="637EC0B9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 xml:space="preserve">признать, что поправка сохраняет Многосторонний фонд в качестве механизма финансирования и что будут предоставлены достаточные дополнительные финансовые </w:t>
      </w:r>
      <w:r w:rsidR="00530B46">
        <w:t>ресурсы С</w:t>
      </w:r>
      <w:r>
        <w:t>торонами, не действующими в рамках пункта 1 статьи 5, чтобы компенсировать расходы, обусловленные обязательствами по гидрохлорфторуглеродам Сторон, действующих в рамках пункта 1 статьи 5, в соответствии с этой поправкой.</w:t>
      </w:r>
    </w:p>
    <w:p w14:paraId="0182385A" w14:textId="590AAFEA" w:rsidR="00860B7F" w:rsidRPr="003D4C1F" w:rsidRDefault="00530B46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 xml:space="preserve">что </w:t>
      </w:r>
      <w:r w:rsidR="00860B7F">
        <w:t>Сторонам, действующим в рамках пункта 1 статьи 5, будет предоставлена гибкость в отношении приоритизации гидрофторуглеродов, определения секторов, выбора технологии/альтернатив, разработки и осуществления собственных стратегий для выполнения согласованных обязательств в отношении гидрофторуглеродов, исходя из их конкретных потребностей и национальных условий, в соответствии с инициированным странами подходом.</w:t>
      </w:r>
    </w:p>
    <w:p w14:paraId="7BB89355" w14:textId="3507C68E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просить Исполнительный комитет Многостороннего фонда включить принцип в упомянутом выше пункте в соответствующие руководящие принципы для финансирования поэтапного вывода из обращения гидрофторуглеродов и собственный проц</w:t>
      </w:r>
      <w:r w:rsidR="00AC3B03">
        <w:t>есс принятия решений.</w:t>
      </w:r>
    </w:p>
    <w:p w14:paraId="72F91E63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просить Исполнительный комитет разработать в течение одного года после принятия данной поправки, руководящие принципы для финансирования поэтапного сокращения потребления и производства гидрофторуглеродов, в том числе пороговые значения для рентабельности.</w:t>
      </w:r>
    </w:p>
    <w:p w14:paraId="5A0FA0BE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просить Председателя Исполнительного комитета представить Совещанию Сторон доклад о ходе выполнения этого решения, в том числе о тех случаях, когда по итогам обсуждений в Исполнительном комитете были внесены изменения, касающиеся национальной стратегии или выбора технологий на национальном уровне, которые были представлены Исполнительному комитету.</w:t>
      </w:r>
    </w:p>
    <w:p w14:paraId="24967EB4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просить Исполнительный комитет Многостороннего фонда пересмотреть правила процедуры Исполнительного комитета в целях обеспечения большей гибкости для Сторон, действующих в рамках пункта 1 статьи 5.</w:t>
      </w:r>
    </w:p>
    <w:p w14:paraId="361A401E" w14:textId="4C23720E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[Потребление в</w:t>
      </w:r>
      <w:r w:rsidR="005B693A">
        <w:t xml:space="preserve"> обрабатывающей промышленности]</w:t>
      </w:r>
    </w:p>
    <w:p w14:paraId="20C3EC6D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просить Исполнительный комитет при разработке новых руководящих принципов в отношении методологий и расчетов затрат считать правомочными и включать в расчет расходов следующие категории расходов,</w:t>
      </w:r>
    </w:p>
    <w:p w14:paraId="3B77683B" w14:textId="77777777" w:rsidR="00860B7F" w:rsidRPr="003D4C1F" w:rsidRDefault="00860B7F" w:rsidP="00D9753E">
      <w:pPr>
        <w:pStyle w:val="Normal-pool"/>
        <w:numPr>
          <w:ilvl w:val="0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firstLine="0"/>
        <w:rPr>
          <w:rFonts w:eastAsia="Calibri"/>
          <w:sz w:val="24"/>
          <w:szCs w:val="24"/>
        </w:rPr>
      </w:pPr>
      <w:r>
        <w:t>потребление в обрабатывающей промышленности:</w:t>
      </w:r>
    </w:p>
    <w:p w14:paraId="6EE68662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дополнительные капитальные расходы;</w:t>
      </w:r>
    </w:p>
    <w:p w14:paraId="1CBE4D79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дополнительные эксплуатационные расходы</w:t>
      </w:r>
      <w:r w:rsidRPr="000B2C73">
        <w:rPr>
          <w:vertAlign w:val="superscript"/>
        </w:rPr>
        <w:footnoteReference w:id="1"/>
      </w:r>
      <w:r>
        <w:t>;</w:t>
      </w:r>
    </w:p>
    <w:p w14:paraId="4BAED5C6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 xml:space="preserve">мероприятия по оказанию технической помощи; </w:t>
      </w:r>
    </w:p>
    <w:p w14:paraId="0D4BFD53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исследования и разработки по мере необходимости для того, чтобы адаптировать и оптимизировать альтернативы гидрофторуглеродам с низким ПГП или нулевым ПГП;</w:t>
      </w:r>
    </w:p>
    <w:p w14:paraId="37421E50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расходы, связанные с патентами и промышленными образцами, а также дополнительные расходы на лицензионные платежи, когда это необходимо и рентабельно; и</w:t>
      </w:r>
    </w:p>
    <w:p w14:paraId="7E91AFA3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расходы на безопасное внедрение воспламеняющихся и токсичных альтернатив.</w:t>
      </w:r>
    </w:p>
    <w:p w14:paraId="036232AD" w14:textId="77777777" w:rsidR="00860B7F" w:rsidRPr="003D4C1F" w:rsidRDefault="00860B7F" w:rsidP="005B693A">
      <w:pPr>
        <w:pStyle w:val="Normal-pool"/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lastRenderedPageBreak/>
        <w:t>[Производственный сектор]</w:t>
      </w:r>
    </w:p>
    <w:p w14:paraId="29C1F9DE" w14:textId="77777777" w:rsidR="00860B7F" w:rsidRPr="003D4C1F" w:rsidRDefault="00860B7F" w:rsidP="00D9753E">
      <w:pPr>
        <w:pStyle w:val="Normal-pool"/>
        <w:numPr>
          <w:ilvl w:val="0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firstLine="0"/>
        <w:rPr>
          <w:rFonts w:eastAsia="Calibri"/>
        </w:rPr>
      </w:pPr>
      <w:r>
        <w:t>производственный сектор:</w:t>
      </w:r>
    </w:p>
    <w:p w14:paraId="119B88A0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прибыль/убытки в результате прекращения работы/закрытия производственных объектов, а также сокращения производства;</w:t>
      </w:r>
    </w:p>
    <w:p w14:paraId="16D526D6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компенсация для перемещенных работников;</w:t>
      </w:r>
    </w:p>
    <w:p w14:paraId="0A3FA8E0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демонтаж производственных объектов;</w:t>
      </w:r>
    </w:p>
    <w:p w14:paraId="473E57A4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мероприятия по оказанию технической помощи;</w:t>
      </w:r>
    </w:p>
    <w:p w14:paraId="3DB5063F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 xml:space="preserve">научные исследования и разработки, касающиеся производства альтернатив гидрофторуглеродам с низким ПГП или нулевым ПГП, с тем чтобы снизить стоимость альтернатив; </w:t>
      </w:r>
    </w:p>
    <w:p w14:paraId="64BD664B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расходы, связанные с патентами и промышленными образцами, или дополнительные расходы на лицензионные платежи;</w:t>
      </w:r>
    </w:p>
    <w:p w14:paraId="510A290E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расходы на конверсию объектов для производства альтернатив гидрофторуглеродам с низким ПГП или нулевым ПГП, когда это технически осуществимо и рентабельно;</w:t>
      </w:r>
    </w:p>
    <w:p w14:paraId="0DD5E7D0" w14:textId="245800AE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расходы на сокращение выбросов ГФУ-23 (побочного продукта процесса производства ГХФУ-22) путем снижения интенсивности его выбросов в рамках процесса, разрушения в отходящих газах или путем сбора и преобразования в другие экологически безопасные химические вещества. Такие расходы должны финансироваться за счет Многостороннего фонда для выполнения обязательств Сторон, действующих в рамках пункта 1 статьи 5, предусмотренных согласно данной поправке. [</w:t>
      </w:r>
      <w:r>
        <w:rPr>
          <w:color w:val="FF0000"/>
        </w:rPr>
        <w:t>Примечание</w:t>
      </w:r>
      <w:r w:rsidR="00626579">
        <w:rPr>
          <w:color w:val="FF0000"/>
        </w:rPr>
        <w:t xml:space="preserve"> правовой редакционной группы: э</w:t>
      </w:r>
      <w:r>
        <w:rPr>
          <w:color w:val="FF0000"/>
        </w:rPr>
        <w:t>то зависит от итогов обсуждений по выбросам ГФУ-23</w:t>
      </w:r>
      <w:r>
        <w:t xml:space="preserve">). </w:t>
      </w:r>
    </w:p>
    <w:p w14:paraId="2047BFC7" w14:textId="77777777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[Сектор обслуживания]</w:t>
      </w:r>
    </w:p>
    <w:p w14:paraId="1F1C4C6A" w14:textId="77777777" w:rsidR="00860B7F" w:rsidRPr="003D4C1F" w:rsidRDefault="00860B7F" w:rsidP="00D9753E">
      <w:pPr>
        <w:pStyle w:val="Normal-pool"/>
        <w:numPr>
          <w:ilvl w:val="0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firstLine="0"/>
        <w:rPr>
          <w:rFonts w:eastAsia="Calibri"/>
          <w:sz w:val="24"/>
          <w:szCs w:val="24"/>
        </w:rPr>
      </w:pPr>
      <w:r>
        <w:rPr>
          <w:sz w:val="24"/>
        </w:rPr>
        <w:t>сектор обслуживания:</w:t>
      </w:r>
    </w:p>
    <w:p w14:paraId="1BAC4FA8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мероприятия по повышению осведомленности общественности;</w:t>
      </w:r>
    </w:p>
    <w:p w14:paraId="3C78AF02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формулирование и осуществление политики;</w:t>
      </w:r>
    </w:p>
    <w:p w14:paraId="7CDEA46F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программы сертификации и подготовки технических специалистов по вопросам безопасного обращения, надлежащей практики и безопасности альтернатив, включая учебное оборудование;</w:t>
      </w:r>
    </w:p>
    <w:p w14:paraId="045725D2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подготовка сотрудников таможенных органов;</w:t>
      </w:r>
    </w:p>
    <w:p w14:paraId="1E52A78F" w14:textId="61E4A27A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предотвращение незаконно</w:t>
      </w:r>
      <w:r w:rsidR="00D75A07">
        <w:t>й торговли гидрофторуглеродами;</w:t>
      </w:r>
    </w:p>
    <w:p w14:paraId="63F2CA40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 xml:space="preserve">средства технического обслуживания; </w:t>
      </w:r>
    </w:p>
    <w:p w14:paraId="7445E704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оборудование для испытания хладагентов для сектора ИХ/КВ;</w:t>
      </w:r>
    </w:p>
    <w:p w14:paraId="38BC88A1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рециркуляция и рекуперация гидрофторуглеродов</w:t>
      </w:r>
    </w:p>
    <w:p w14:paraId="33D24BDA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[Дополнительные расходы на импорт]*</w:t>
      </w:r>
    </w:p>
    <w:p w14:paraId="25B4A8FD" w14:textId="77777777" w:rsidR="00860B7F" w:rsidRPr="003D4C1F" w:rsidRDefault="00860B7F" w:rsidP="00D9753E">
      <w:pPr>
        <w:pStyle w:val="Normal-pool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3119" w:hanging="624"/>
        <w:rPr>
          <w:rFonts w:eastAsia="Calibri"/>
        </w:rPr>
      </w:pPr>
      <w:r>
        <w:t>[Дополнительные расходы на хладагенты для обслуживания/заправки АКВ]*</w:t>
      </w:r>
    </w:p>
    <w:p w14:paraId="53E8CA69" w14:textId="77777777" w:rsidR="00860B7F" w:rsidRPr="003D4C1F" w:rsidRDefault="00860B7F" w:rsidP="00D9753E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uppressAutoHyphens/>
        <w:autoSpaceDN w:val="0"/>
        <w:spacing w:after="120"/>
        <w:ind w:left="1247"/>
        <w:textAlignment w:val="baseline"/>
        <w:rPr>
          <w:sz w:val="18"/>
          <w:szCs w:val="18"/>
        </w:rPr>
      </w:pPr>
      <w:r>
        <w:rPr>
          <w:sz w:val="18"/>
        </w:rPr>
        <w:t>* Приведенными выше пунктами в квадратных скобках будут заниматься при ведении переговоров о поправке, и они будут урегулированы до принятия поправки к Монреальскому протоколу</w:t>
      </w:r>
    </w:p>
    <w:p w14:paraId="289844D7" w14:textId="374B63D8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[</w:t>
      </w:r>
      <w:r>
        <w:rPr>
          <w:color w:val="FF0000"/>
        </w:rPr>
        <w:t>Примечание п</w:t>
      </w:r>
      <w:r w:rsidR="00B94E28">
        <w:rPr>
          <w:color w:val="FF0000"/>
        </w:rPr>
        <w:t>равовой редакционной группы: в д</w:t>
      </w:r>
      <w:r>
        <w:rPr>
          <w:color w:val="FF0000"/>
        </w:rPr>
        <w:t>ополнении I в отношении решений для проблем, касающихся сектора</w:t>
      </w:r>
      <w:r w:rsidR="00433E69" w:rsidRPr="00433E69">
        <w:rPr>
          <w:color w:val="FF0000"/>
        </w:rPr>
        <w:t xml:space="preserve"> </w:t>
      </w:r>
      <w:r w:rsidR="00433E69">
        <w:rPr>
          <w:color w:val="FF0000"/>
        </w:rPr>
        <w:t>обслуживания</w:t>
      </w:r>
      <w:r>
        <w:rPr>
          <w:color w:val="FF0000"/>
        </w:rPr>
        <w:t>, приводится следующий текст:</w:t>
      </w:r>
      <w:r>
        <w:t xml:space="preserve"> </w:t>
      </w:r>
      <w:r w:rsidR="00B94E28">
        <w:t>«</w:t>
      </w:r>
      <w:r>
        <w:t>Мы рекомендуем Контактной группе, чтобы финансовая группа выработала решения для проблем, а решением своих оставшихся в квадратных скобках финансовых вопросов и вопросов ДЭР будет заниматься в ходе переговоров о поправке. На этой основе Стороны перейдут к переговорам о поправке.</w:t>
      </w:r>
      <w:r w:rsidR="00B94E28">
        <w:t>»</w:t>
      </w:r>
      <w:r>
        <w:t>]</w:t>
      </w:r>
    </w:p>
    <w:p w14:paraId="2E2B855E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просить Исполнительный комитет Многостороннего фонда увеличить [</w:t>
      </w:r>
      <w:r>
        <w:rPr>
          <w:color w:val="FF0000"/>
        </w:rPr>
        <w:t>в отношении сектора обслуживания</w:t>
      </w:r>
      <w:r>
        <w:t>]</w:t>
      </w:r>
      <w:r>
        <w:rPr>
          <w:color w:val="FF0000"/>
        </w:rPr>
        <w:t xml:space="preserve"> </w:t>
      </w:r>
      <w:r>
        <w:t xml:space="preserve">объем средств, выделяемых согласно решению 74/50 Исполнительного комитета, в пределах не более [X %] процентов сверх сумм, </w:t>
      </w:r>
      <w:r>
        <w:lastRenderedPageBreak/>
        <w:t>перечисленных в указанном решении, для Сторон с общим базовым объемом потребления ГХФУ до 360 метрических тонн, если это требуется для внедрения альтернатив гидрохлорфторуглеродам с низким ПГП и альтернатив гидрофторуглеродам с нулевым ПГП и поддержания энергоэффективности также в секторе обслуживания/секторе конечных потребителей.</w:t>
      </w:r>
    </w:p>
    <w:p w14:paraId="0D429912" w14:textId="77777777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[Крайний срок для правомочных мощностей]</w:t>
      </w:r>
    </w:p>
    <w:p w14:paraId="76CBBA4F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установить крайний срок для правомочных мощностей [ДАТА].</w:t>
      </w:r>
    </w:p>
    <w:p w14:paraId="14BC54A3" w14:textId="77777777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  <w:rPr>
          <w:sz w:val="24"/>
          <w:szCs w:val="24"/>
        </w:rPr>
      </w:pPr>
      <w:r>
        <w:t>[Энергоэффективность]</w:t>
      </w:r>
    </w:p>
    <w:p w14:paraId="799C0815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просить Исполнительный комитет разработать руководящие указания в отношении расходов, связанных с поддержанием и/или повышением энергоэффективности заменяющих технологий и оборудования с низким ПГП или нулевым ПГП при поэтапном сокращении гидрофторуглеродов, принимая во внимание роль других институтов, занимающихся вопросами энергоэффективности, когда это целесообразно.</w:t>
      </w:r>
    </w:p>
    <w:p w14:paraId="78928170" w14:textId="77777777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[Институциональное укрепление]</w:t>
      </w:r>
    </w:p>
    <w:p w14:paraId="72CFBAC3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дать указание Исполнительному комитету увеличить поддержку на нужды институционального укрепления в свете новых обязательств, связанных с гидрофторуглеродами, согласно данной поправке.</w:t>
      </w:r>
    </w:p>
    <w:p w14:paraId="06010E44" w14:textId="77777777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[Удаление]</w:t>
      </w:r>
    </w:p>
    <w:p w14:paraId="486F27FF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просить Исполнительный комитет Многостороннего фонда рассмотреть вопрос о финансировании рентабельного регулирования запасов использованных или ненужных регулируемых веществ, включая уничтожение.</w:t>
      </w:r>
    </w:p>
    <w:p w14:paraId="67A1EE91" w14:textId="77777777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  <w:rPr>
          <w:sz w:val="24"/>
          <w:szCs w:val="24"/>
        </w:rPr>
      </w:pPr>
      <w:r>
        <w:t>[Создание потенциала для решения вопросов, связанных с безопасностью]</w:t>
      </w:r>
    </w:p>
    <w:p w14:paraId="1AF45CE8" w14:textId="5B70B02A" w:rsidR="00860B7F" w:rsidRPr="003D4C1F" w:rsidRDefault="0086282C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п</w:t>
      </w:r>
      <w:r w:rsidR="00860B7F">
        <w:t>росить Исполнительный комитет Многостороннего фонда установить приоритеты в области технической помощи и создания потенциала для решения вопросов безопасности, связанных с альтернативами с низким ПГП или нулевым ПГП.</w:t>
      </w:r>
    </w:p>
    <w:p w14:paraId="3C368285" w14:textId="77777777" w:rsidR="00860B7F" w:rsidRPr="003D4C1F" w:rsidRDefault="00860B7F" w:rsidP="00D9753E">
      <w:pPr>
        <w:pStyle w:val="Normal-pool"/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  <w:rPr>
          <w:sz w:val="24"/>
          <w:szCs w:val="24"/>
        </w:rPr>
      </w:pPr>
      <w:r>
        <w:t>[Расходы на импорт альтернатив]</w:t>
      </w:r>
    </w:p>
    <w:p w14:paraId="571562D5" w14:textId="4F917E5C" w:rsidR="00860B7F" w:rsidRPr="003D4C1F" w:rsidRDefault="00860B7F" w:rsidP="00D9753E">
      <w:pPr>
        <w:pStyle w:val="Normal-pool"/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[</w:t>
      </w:r>
      <w:r>
        <w:rPr>
          <w:color w:val="FF0000"/>
        </w:rPr>
        <w:t>Примечание п</w:t>
      </w:r>
      <w:r w:rsidR="00B94E28">
        <w:rPr>
          <w:color w:val="FF0000"/>
        </w:rPr>
        <w:t>равовой редакционной группы: в д</w:t>
      </w:r>
      <w:r>
        <w:rPr>
          <w:color w:val="FF0000"/>
        </w:rPr>
        <w:t>ополнении II в отношении решений для проблем, касающихся расходов на импорт альтернатив, приводится следующий текст:</w:t>
      </w:r>
      <w:r>
        <w:t xml:space="preserve"> </w:t>
      </w:r>
      <w:r w:rsidR="00B94E28">
        <w:t>«</w:t>
      </w:r>
      <w:r>
        <w:t>Дополнительные расходы на импорт альтернативных веществ (поддержка платежей) – следует поддерживать].*</w:t>
      </w:r>
    </w:p>
    <w:p w14:paraId="6A7D5A0C" w14:textId="3F52E4CF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* Приведенным выше пунктом в квадратных скобках будут заниматься при ведении переговоров о поправке, и он будет урегулирован до принятия поправки к Мон</w:t>
      </w:r>
      <w:r w:rsidR="00B94E28">
        <w:t>реальскому протоколу.»</w:t>
      </w:r>
      <w:r>
        <w:t>]</w:t>
      </w:r>
    </w:p>
    <w:p w14:paraId="6B5E1D62" w14:textId="77777777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[Прочие виды деятельности]</w:t>
      </w:r>
    </w:p>
    <w:p w14:paraId="7BA48707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что Сторонами могут быть выявлены и другие статьи расходов, подлежащие включению в ориентировочный перечень, в результате перехода на альтернативы с низким ПГП.</w:t>
      </w:r>
    </w:p>
    <w:p w14:paraId="49357419" w14:textId="31678D53" w:rsidR="00860B7F" w:rsidRPr="003D4C1F" w:rsidRDefault="00B94E28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[Из д</w:t>
      </w:r>
      <w:r w:rsidR="00860B7F">
        <w:t>ополнения II – решения для проблем, касающихся вопросов финансирования и гибкости в осуществлении]</w:t>
      </w:r>
    </w:p>
    <w:p w14:paraId="63D9819D" w14:textId="77777777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[Принципы в отношении второй и третьей конверсий]</w:t>
      </w:r>
    </w:p>
    <w:p w14:paraId="177D427B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просить Исполнительный комитет Многостороннего фонда включить следующие принципы, касающиеся второй и третьей конверсий, в руководящие принципы финансирования,</w:t>
      </w:r>
    </w:p>
    <w:p w14:paraId="3DBA9FFB" w14:textId="258DB137" w:rsidR="00860B7F" w:rsidRPr="003D4C1F" w:rsidRDefault="00860B7F" w:rsidP="00D9753E">
      <w:pPr>
        <w:pStyle w:val="Normal-pool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2495" w:hanging="624"/>
        <w:rPr>
          <w:rFonts w:eastAsia="Calibri"/>
        </w:rPr>
      </w:pPr>
      <w:r>
        <w:t>первые конверсии определяются в контексте поэтапного вывода из обращения гидрофторуглеродов как переход на альтернативы с низким ПГП или нулевым ПГП предприятиями, не получавшими какой-либо прямой или косвенной поддержки, частично или в полном объеме, со стороны Многостороннего фонда, включая предприятия, перешедшие на гидрофторуглероды с испол</w:t>
      </w:r>
      <w:r w:rsidR="00B94E28">
        <w:t>ьзованием собственных ресурсов;</w:t>
      </w:r>
    </w:p>
    <w:p w14:paraId="3B9833E1" w14:textId="77777777" w:rsidR="00860B7F" w:rsidRPr="003D4C1F" w:rsidRDefault="00860B7F" w:rsidP="00D9753E">
      <w:pPr>
        <w:pStyle w:val="Normal-pool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2495" w:hanging="624"/>
        <w:rPr>
          <w:rFonts w:eastAsia="Calibri"/>
        </w:rPr>
      </w:pPr>
      <w:r>
        <w:t xml:space="preserve">предприятия, уже перешедшие на гидрофторуглероды в процессе поэтапного вывода из обращения ХФУ и/или гидрохлорфторуглеродов, будут иметь право на получение финансирования из Многостороннего фонда для покрытия </w:t>
      </w:r>
      <w:r>
        <w:lastRenderedPageBreak/>
        <w:t>согласованных дополнительных расходов в том же порядке, что и предприятия, имеющие право на получение средств на проведение первых конверсий;</w:t>
      </w:r>
    </w:p>
    <w:p w14:paraId="590B1474" w14:textId="34DA1B43" w:rsidR="00860B7F" w:rsidRPr="003D4C1F" w:rsidRDefault="00860B7F" w:rsidP="00D9753E">
      <w:pPr>
        <w:pStyle w:val="Normal-pool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2495" w:hanging="624"/>
        <w:rPr>
          <w:rFonts w:eastAsia="Calibri"/>
        </w:rPr>
      </w:pPr>
      <w:r>
        <w:t xml:space="preserve">предприятия, переходящие с гидрохлорфторуглеродов на гидрофторуглероды с высоким ПГП после принятия поправки о гидрофторуглеродах, согласно уже утвержденным Исполнительным комитетом ПРПГ, будут иметь право на получение финансирования из Многостороннего фонда для последующего перехода на альтернативы с низким ПГП или нулевым ПГП для покрытия согласованных дополнительных расходов в том же порядке, что и предприятия, имеющие право на получение средств </w:t>
      </w:r>
      <w:r w:rsidR="00B94E28">
        <w:t>на проведение первых конверсий;</w:t>
      </w:r>
    </w:p>
    <w:p w14:paraId="191C9E8E" w14:textId="01E0C398" w:rsidR="00860B7F" w:rsidRPr="003D4C1F" w:rsidRDefault="00860B7F" w:rsidP="00D9753E">
      <w:pPr>
        <w:pStyle w:val="Normal-pool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2495" w:hanging="624"/>
        <w:rPr>
          <w:rFonts w:eastAsia="Calibri"/>
        </w:rPr>
      </w:pPr>
      <w:r>
        <w:t xml:space="preserve">предприятия, переходящие с гидрохлорфторуглеродов на гидрофторуглероды с высоким ПГП с использованием собственных ресурсов до даты применения ограничений в рамках данной поправки, будут иметь право на получение финансирования из Многостороннего фонда для покрытия согласованных дополнительных расходов в том же порядке, что и предприятия, имеющие право на получение средств </w:t>
      </w:r>
      <w:r w:rsidR="00B94E28">
        <w:t>на проведение первых конверсий;</w:t>
      </w:r>
    </w:p>
    <w:p w14:paraId="79FB5D16" w14:textId="77777777" w:rsidR="00860B7F" w:rsidRPr="003D4C1F" w:rsidRDefault="00860B7F" w:rsidP="00D9753E">
      <w:pPr>
        <w:pStyle w:val="Normal-pool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2495" w:hanging="624"/>
        <w:rPr>
          <w:rFonts w:eastAsia="Calibri"/>
        </w:rPr>
      </w:pPr>
      <w:r>
        <w:t>предприятия, переходящие с гидрофторуглеродов на гидрофторуглероды с более низким ПГП при поддержке Многостороннего фонда в отсутствие других альтернатив будут иметь право на получение финансирования из Многостороннего фонда для последующего перехода на альтернативы с низким ПГП или нулевым ПГП, если это необходимо для достижения окончательного этапа вывода из обращения гидрофторуглеродов.</w:t>
      </w:r>
    </w:p>
    <w:p w14:paraId="3B2F1B57" w14:textId="77777777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  <w:rPr>
          <w:sz w:val="24"/>
          <w:szCs w:val="24"/>
        </w:rPr>
      </w:pPr>
      <w:r>
        <w:t>[Последовательные совокупные сокращения]</w:t>
      </w:r>
    </w:p>
    <w:p w14:paraId="2D50E60A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просить Исполнительный комитет Многостороннего фонда включить следующие принципы, касающиеся последовательных совокупных сокращений, в стратегии Многостороннего фонда,</w:t>
      </w:r>
    </w:p>
    <w:p w14:paraId="755D06FA" w14:textId="77777777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что оставшийся объем потребления в тоннах, для которого возможно получение финансирования, будет определяться исходя из начального показателя для совокупного национального потребления за вычетом объема, профинансированного в рамках ранее утвержденных проектов, предусмотренных будущими типовыми многолетними соглашениями для планов поэтапного вывода из обращения гидрофторуглеродов, в соответствии с решением 35/57 Исполнительного комитета.</w:t>
      </w:r>
    </w:p>
    <w:p w14:paraId="0CE191FF" w14:textId="77777777" w:rsidR="00860B7F" w:rsidRPr="003D4C1F" w:rsidRDefault="00860B7F" w:rsidP="00D9753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[Стимулирующие мероприятия]</w:t>
      </w:r>
    </w:p>
    <w:p w14:paraId="5D745C3A" w14:textId="55291858" w:rsidR="00860B7F" w:rsidRPr="003D4C1F" w:rsidRDefault="00860B7F" w:rsidP="00D9753E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 xml:space="preserve">просить Исполнительный комитет Многостороннего фонда включить следующие стимулирующие мероприятия, которым будет оказываться финансовая </w:t>
      </w:r>
      <w:r w:rsidR="00443E1B">
        <w:t xml:space="preserve">поддержка </w:t>
      </w:r>
      <w:r>
        <w:t>в связи с поэтапным выводом из обращения гидрофторуглеродов согласно поправке,</w:t>
      </w:r>
    </w:p>
    <w:p w14:paraId="11681314" w14:textId="77777777" w:rsidR="00860B7F" w:rsidRPr="003D4C1F" w:rsidRDefault="00860B7F" w:rsidP="00D9753E">
      <w:pPr>
        <w:pStyle w:val="Normal-pool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2495" w:hanging="624"/>
        <w:rPr>
          <w:rFonts w:eastAsia="Calibri"/>
        </w:rPr>
      </w:pPr>
      <w:r>
        <w:t>создание потенциала и подготовка кадров для обращения с альтернативами гидрофторуглеродам в секторе обслуживания, обрабатывающем и производственном секторах;</w:t>
      </w:r>
    </w:p>
    <w:p w14:paraId="60B098B1" w14:textId="77777777" w:rsidR="00860B7F" w:rsidRPr="003D4C1F" w:rsidRDefault="00860B7F" w:rsidP="00D9753E">
      <w:pPr>
        <w:pStyle w:val="Normal-pool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2495" w:hanging="624"/>
        <w:rPr>
          <w:rFonts w:eastAsia="Calibri"/>
        </w:rPr>
      </w:pPr>
      <w:r>
        <w:t>институциональное укрепление;</w:t>
      </w:r>
    </w:p>
    <w:p w14:paraId="71DEA181" w14:textId="77777777" w:rsidR="00860B7F" w:rsidRPr="003D4C1F" w:rsidRDefault="00860B7F" w:rsidP="00D9753E">
      <w:pPr>
        <w:pStyle w:val="Normal-pool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2495" w:hanging="624"/>
        <w:rPr>
          <w:rFonts w:eastAsia="Calibri"/>
        </w:rPr>
      </w:pPr>
      <w:r>
        <w:t>лицензирование согласно статье 4b;</w:t>
      </w:r>
    </w:p>
    <w:p w14:paraId="04E6BE97" w14:textId="77777777" w:rsidR="00860B7F" w:rsidRPr="003D4C1F" w:rsidRDefault="00860B7F" w:rsidP="00D9753E">
      <w:pPr>
        <w:pStyle w:val="Normal-pool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2495" w:hanging="624"/>
        <w:rPr>
          <w:rFonts w:eastAsia="Calibri"/>
        </w:rPr>
      </w:pPr>
      <w:r>
        <w:t>представление информации;</w:t>
      </w:r>
    </w:p>
    <w:p w14:paraId="232A498D" w14:textId="77777777" w:rsidR="00860B7F" w:rsidRPr="003D4C1F" w:rsidRDefault="00860B7F" w:rsidP="00D9753E">
      <w:pPr>
        <w:pStyle w:val="Normal-pool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2495" w:hanging="624"/>
        <w:rPr>
          <w:rFonts w:eastAsia="Calibri"/>
        </w:rPr>
      </w:pPr>
      <w:r>
        <w:t>демонстрационные проекты; и</w:t>
      </w:r>
    </w:p>
    <w:p w14:paraId="28545D86" w14:textId="26BC573E" w:rsidR="00860B7F" w:rsidRPr="003D4C1F" w:rsidRDefault="00860B7F" w:rsidP="00D9753E">
      <w:pPr>
        <w:pStyle w:val="Normal-pool"/>
        <w:numPr>
          <w:ilvl w:val="1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2495" w:hanging="624"/>
        <w:rPr>
          <w:rFonts w:eastAsia="Calibri"/>
        </w:rPr>
      </w:pPr>
      <w:r>
        <w:t>разработка национальных стратегий</w:t>
      </w:r>
      <w:r w:rsidR="00B94E28">
        <w:t>.</w:t>
      </w:r>
    </w:p>
    <w:p w14:paraId="29DC39D8" w14:textId="77777777" w:rsidR="00860B7F" w:rsidRPr="003D4C1F" w:rsidRDefault="00860B7F" w:rsidP="00860B7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60" w:line="259" w:lineRule="auto"/>
        <w:rPr>
          <w:sz w:val="24"/>
          <w:szCs w:val="24"/>
        </w:rPr>
      </w:pPr>
      <w:r>
        <w:br w:type="page"/>
      </w:r>
    </w:p>
    <w:p w14:paraId="00A3CE71" w14:textId="5CE58B60" w:rsidR="00860B7F" w:rsidRPr="003D4C1F" w:rsidRDefault="00AB5A00" w:rsidP="00B94E28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firstLine="0"/>
      </w:pPr>
      <w:r>
        <w:lastRenderedPageBreak/>
        <w:t>[Проблема № 5]</w:t>
      </w:r>
    </w:p>
    <w:p w14:paraId="7C5BC7F2" w14:textId="46F3746A" w:rsidR="00860B7F" w:rsidRPr="003D4C1F" w:rsidRDefault="003A5BAC" w:rsidP="00B94E28">
      <w:pPr>
        <w:pStyle w:val="CH3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</w:tabs>
        <w:ind w:firstLine="0"/>
      </w:pPr>
      <w:r>
        <w:t>[Решение XXX:  Исключение для стран с высокой температурой окружающего воздуха]</w:t>
      </w:r>
    </w:p>
    <w:p w14:paraId="2AE2755B" w14:textId="77777777" w:rsidR="00860B7F" w:rsidRPr="003D4C1F" w:rsidRDefault="00860B7F" w:rsidP="00B94E2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i/>
        </w:rPr>
      </w:pPr>
      <w:r>
        <w:rPr>
          <w:i/>
        </w:rPr>
        <w:t>Двадцать восьмое Совещание Сторон постановляет:</w:t>
      </w:r>
    </w:p>
    <w:p w14:paraId="06B07166" w14:textId="77777777" w:rsidR="00860B7F" w:rsidRPr="003D4C1F" w:rsidRDefault="00860B7F" w:rsidP="00B94E2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[Ссылка на решение о принятии поправки, касающейся гидрофторуглеродов, и ссылка на пункт X статьи 2J статьи I поправки]</w:t>
      </w:r>
    </w:p>
    <w:p w14:paraId="6DF46039" w14:textId="05A6D1EE" w:rsidR="00860B7F" w:rsidRPr="003D4C1F" w:rsidRDefault="003A5BAC" w:rsidP="00B94E28">
      <w:pPr>
        <w:pStyle w:val="CH3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</w:tabs>
        <w:ind w:left="2494"/>
      </w:pPr>
      <w:r>
        <w:t>Исключение для стран с высокой температурой окружающего воздуха</w:t>
      </w:r>
    </w:p>
    <w:p w14:paraId="02D6EEA3" w14:textId="04F6990C" w:rsidR="00860B7F" w:rsidRPr="00B94E28" w:rsidRDefault="00B94E28" w:rsidP="00B94E2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Calibri"/>
        </w:rPr>
      </w:pPr>
      <w:r>
        <w:t>1.</w:t>
      </w:r>
      <w:r>
        <w:tab/>
      </w:r>
      <w:r w:rsidR="00860B7F">
        <w:t xml:space="preserve">предоставить исключение Сторонам, в которых отмечаются высокие температуры </w:t>
      </w:r>
      <w:r w:rsidR="00860B7F" w:rsidRPr="00B94E28">
        <w:t>окружающего воздуха, в тех случаях, когда отсутствуют альтернативы для конкретного подсектора использования, как указано ниже;</w:t>
      </w:r>
    </w:p>
    <w:p w14:paraId="0A8D8E3A" w14:textId="035A13CA" w:rsidR="00860B7F" w:rsidRPr="00B94E28" w:rsidRDefault="00B94E28" w:rsidP="00B94E2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Calibri"/>
        </w:rPr>
      </w:pPr>
      <w:r>
        <w:t>2.</w:t>
      </w:r>
      <w:r>
        <w:tab/>
      </w:r>
      <w:r w:rsidR="00860B7F" w:rsidRPr="00B94E28">
        <w:t>отличать и рассматривать это исключение отдельно от исключений в отношении основных и важнейших видов применения в рамках Монреальского протокола;</w:t>
      </w:r>
    </w:p>
    <w:p w14:paraId="73960496" w14:textId="31B5E93A" w:rsidR="00860B7F" w:rsidRPr="00B94E28" w:rsidRDefault="00B94E28" w:rsidP="00B94E2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Calibri"/>
        </w:rPr>
      </w:pPr>
      <w:r>
        <w:t>3.</w:t>
      </w:r>
      <w:r>
        <w:tab/>
      </w:r>
      <w:r w:rsidR="00860B7F" w:rsidRPr="00B94E28">
        <w:t>обеспечить вступление в силу и возможность предоставления этого исключения начиная с даты начала применения ограничений в отношении гидрофторуглеродов или выполнения другого первоначального обязательства по осуществлению регулирования с первоначальным сроком действия четыре года;</w:t>
      </w:r>
    </w:p>
    <w:p w14:paraId="5D3AE432" w14:textId="2AC11C6E" w:rsidR="00860B7F" w:rsidRPr="00B94E28" w:rsidRDefault="00B94E28" w:rsidP="00B94E2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Calibri"/>
        </w:rPr>
      </w:pPr>
      <w:r>
        <w:t>4.</w:t>
      </w:r>
      <w:r>
        <w:tab/>
      </w:r>
      <w:r w:rsidR="00860B7F" w:rsidRPr="00B94E28">
        <w:t>применять это исключение для подсекторов, перечисленных в приложении [Х] в Сторонах, где в среднем не менее двух месяцев в году в течение 10 непрерывных лет максимальная среднемесячная температура превышает 35°С</w:t>
      </w:r>
      <w:r w:rsidR="00860B7F" w:rsidRPr="0054027B">
        <w:rPr>
          <w:vertAlign w:val="superscript"/>
        </w:rPr>
        <w:footnoteReference w:id="2"/>
      </w:r>
      <w:r w:rsidR="00996F44" w:rsidRPr="00B94E28">
        <w:t>,</w:t>
      </w:r>
      <w:r w:rsidR="00860B7F" w:rsidRPr="0054027B">
        <w:rPr>
          <w:vertAlign w:val="superscript"/>
        </w:rPr>
        <w:footnoteReference w:id="3"/>
      </w:r>
      <w:r w:rsidR="00860B7F" w:rsidRPr="00B94E28">
        <w:t>, если Сторона официально уведомила Секретариат о своем намерении применять это исключение не позднее, чем за один год до даты применения ограничений в отношении гидрофторуглеродов или выполнения другого первоначального обязательства по регулированию и впоследствии каждые четыре года, если Сторона пожелает продлить срок действия исключения;</w:t>
      </w:r>
    </w:p>
    <w:p w14:paraId="37512A81" w14:textId="4D6C70F1" w:rsidR="00860B7F" w:rsidRPr="00B94E28" w:rsidRDefault="00B94E28" w:rsidP="00B94E2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Calibri"/>
        </w:rPr>
      </w:pPr>
      <w:r>
        <w:t>5.</w:t>
      </w:r>
      <w:r>
        <w:tab/>
      </w:r>
      <w:r w:rsidR="00860B7F" w:rsidRPr="00B94E28">
        <w:t>что, любая Сторона, действующая в рамках этого исключения в связи с высокой температурой окружающего воздуха, будет предоставлять отдельно данные о своем производстве и потреблении по подсекторам, для которых применяется исключение в связи с высокой температурой окружающего воздуха;</w:t>
      </w:r>
    </w:p>
    <w:p w14:paraId="3FD8769F" w14:textId="5435A43E" w:rsidR="00860B7F" w:rsidRPr="00B94E28" w:rsidRDefault="00B94E28" w:rsidP="00B94E2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Calibri"/>
        </w:rPr>
      </w:pPr>
      <w:r>
        <w:t>6.</w:t>
      </w:r>
      <w:r>
        <w:tab/>
      </w:r>
      <w:r w:rsidR="00860B7F" w:rsidRPr="00B94E28">
        <w:t>что информация о любой передаче квот на производство и потребление с целью применения исключения в связи с высокой температурой окружающего воздуха будет сообщаться в секретариат в соответствии со статьей 7 Протокола каждой из заинтересованных Сторон;</w:t>
      </w:r>
    </w:p>
    <w:p w14:paraId="6E4B90D8" w14:textId="5E97DDD7" w:rsidR="00860B7F" w:rsidRPr="00B94E28" w:rsidRDefault="00B94E28" w:rsidP="00B94E2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Calibri"/>
        </w:rPr>
      </w:pPr>
      <w:r>
        <w:t>7.</w:t>
      </w:r>
      <w:r>
        <w:tab/>
      </w:r>
      <w:r w:rsidR="00860B7F" w:rsidRPr="00B94E28">
        <w:t>Группа по техническому обзору и экономической оценке (ГТОЭО) и вспомогательный орган ГТОЭО, в состав которого входят внешние эксперты по высоким температурам окружающего воздуха, будут проводить оценку приемлемости альтернатив гидрофторуглеродам для использования в случае отсутствия подходящих альтернатив, на основе критериев, согласованных Сторонами, и могут рекомендовать добавить или исключить подсекторы в приложении [X], которые включают критерии, перечисленные в пункте 1 а) решения XXVI/9, но не ограничиваются ими</w:t>
      </w:r>
      <w:r w:rsidR="00860B7F" w:rsidRPr="0054027B">
        <w:rPr>
          <w:vertAlign w:val="superscript"/>
        </w:rPr>
        <w:footnoteReference w:id="4"/>
      </w:r>
      <w:r w:rsidR="00860B7F" w:rsidRPr="00B94E28">
        <w:t xml:space="preserve">, и сообщать </w:t>
      </w:r>
      <w:r>
        <w:t>эту информацию Совещанию Сторон;</w:t>
      </w:r>
    </w:p>
    <w:p w14:paraId="64009B90" w14:textId="03266285" w:rsidR="00860B7F" w:rsidRPr="00B94E28" w:rsidRDefault="00B94E28" w:rsidP="00B94E2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Calibri"/>
        </w:rPr>
      </w:pPr>
      <w:r>
        <w:t>8.</w:t>
      </w:r>
      <w:r>
        <w:tab/>
      </w:r>
      <w:r w:rsidR="00860B7F" w:rsidRPr="00B94E28">
        <w:t>что эта оценка будет проводиться периодически спустя четыре года после даты начала применения ограничения в отношении гидрофторуглеродов или выполнения другого первоначального обязательств по регулированию и каждые четыре года впоследствии;</w:t>
      </w:r>
    </w:p>
    <w:p w14:paraId="065CCF23" w14:textId="729E3186" w:rsidR="00860B7F" w:rsidRPr="00B94E28" w:rsidRDefault="00B94E28" w:rsidP="00B94E2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Calibri"/>
        </w:rPr>
      </w:pPr>
      <w:r>
        <w:t>9.</w:t>
      </w:r>
      <w:r>
        <w:tab/>
      </w:r>
      <w:r w:rsidR="00860B7F" w:rsidRPr="00B94E28">
        <w:t xml:space="preserve">анализировать, не позднее чем через год после получения первого доклада ГТОЭО о приемлемости альтернатив, необходимость продления срока действия этого исключения на дополнительный период или периоды до четырех лет и впоследствии на периодической основе для отдельных подсекторов в Сторонах, соответствующих критериям, изложенным в пункте 4 выше, и что Стороны будут разрабатывать ускоренную процедуру для обеспечения своевременного возобновления действия исключения в случаях отсутствия </w:t>
      </w:r>
      <w:r w:rsidR="00860B7F" w:rsidRPr="00B94E28">
        <w:lastRenderedPageBreak/>
        <w:t>реальных альтернатив, принимая во внимание рекомендации ГТОЭО и ее вспомогательного органа;</w:t>
      </w:r>
    </w:p>
    <w:p w14:paraId="318333CE" w14:textId="2E364A2D" w:rsidR="00860B7F" w:rsidRPr="00B94E28" w:rsidRDefault="00B94E28" w:rsidP="00B94E2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Calibri"/>
        </w:rPr>
      </w:pPr>
      <w:r>
        <w:t>10.</w:t>
      </w:r>
      <w:r>
        <w:tab/>
      </w:r>
      <w:r w:rsidR="00860B7F" w:rsidRPr="00B94E28">
        <w:t>что объемы указанных в приложении F веществ, подпадающих под исключение в связи с ВТОВ, не подлежат финансированию в рамках Многостороннего фонда, пока данная Сторона пользуется этим исключением;</w:t>
      </w:r>
    </w:p>
    <w:p w14:paraId="11672142" w14:textId="73C87A09" w:rsidR="00860B7F" w:rsidRPr="00B94E28" w:rsidRDefault="00B94E28" w:rsidP="00B94E2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Calibri"/>
        </w:rPr>
      </w:pPr>
      <w:r>
        <w:t>11.</w:t>
      </w:r>
      <w:r>
        <w:tab/>
      </w:r>
      <w:r w:rsidR="00860B7F" w:rsidRPr="00B94E28">
        <w:t>что Комитету по выполнению и Совещанию Сторон следует в отношении 2025 и 2026 годов отложить рассмотрение положения дел с соблюдением требований в отношении ГХФУ любой Стороной, действующей в рамках исключения в связи с высокой температурой окружающего воздуха, в тех случаях, когда Сторона превысила допустимые для нее уровни потребления или производства ввиду потребления или производства ГХФУ-22 в подсекторах, перечисленных в приложении [X], при условии, что соответствующие Стороны придерживаются графика поэтапного сокращения потребления и производства гидрохлорфторуглеродов в других секторах, и что данная Сторона обратилась через секретариат с официальной просьбой об отсрочке;</w:t>
      </w:r>
    </w:p>
    <w:p w14:paraId="3C739607" w14:textId="61CD1764" w:rsidR="00860B7F" w:rsidRPr="003D4C1F" w:rsidRDefault="00B94E28" w:rsidP="00B94E2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Calibri"/>
        </w:rPr>
      </w:pPr>
      <w:r>
        <w:t>12.</w:t>
      </w:r>
      <w:r>
        <w:tab/>
      </w:r>
      <w:r w:rsidR="00860B7F" w:rsidRPr="00B94E28">
        <w:t>рассмотреть не позднее 2026 года вопрос о целесообразности продления предусмотренной в пункте</w:t>
      </w:r>
      <w:r w:rsidR="00860B7F">
        <w:t xml:space="preserve"> 11 отсрочки соблюдения на дополнительный двухлетний период и впоследствии в случае необходимости рассматривать дальнейшие отсрочки для Сторон, действующих в рамках исключения в связи с высокой температурой окружающего воздуха.</w:t>
      </w:r>
      <w:r>
        <w:t xml:space="preserve"> </w:t>
      </w:r>
    </w:p>
    <w:p w14:paraId="394F5519" w14:textId="2288038E" w:rsidR="00860B7F" w:rsidRPr="003D4C1F" w:rsidRDefault="000E15AB" w:rsidP="0054027B">
      <w:pPr>
        <w:pStyle w:val="CH3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</w:tabs>
        <w:ind w:firstLine="0"/>
        <w:rPr>
          <w:rFonts w:eastAsia="Calibri"/>
        </w:rPr>
      </w:pPr>
      <w:r>
        <w:t xml:space="preserve">Приложение [X]: </w:t>
      </w:r>
      <w:r w:rsidR="0054027B">
        <w:t xml:space="preserve"> </w:t>
      </w:r>
      <w:r>
        <w:t>С</w:t>
      </w:r>
      <w:r w:rsidR="003A5BAC">
        <w:t>писок оборудования, подпадающего под исключение в связи с высокими температурами окружающего воздуха</w:t>
      </w:r>
    </w:p>
    <w:p w14:paraId="33806FA8" w14:textId="77777777" w:rsidR="00860B7F" w:rsidRPr="003D4C1F" w:rsidRDefault="00860B7F" w:rsidP="00B94E28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Мультисплит-системы кондиционирования воздуха для коммерческих и жилых помещений</w:t>
      </w:r>
    </w:p>
    <w:p w14:paraId="6148561F" w14:textId="77777777" w:rsidR="00860B7F" w:rsidRPr="003D4C1F" w:rsidRDefault="00860B7F" w:rsidP="00B94E28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Кондиционеры воздуха с раздельными каналами (бытовые и коммерческие)</w:t>
      </w:r>
    </w:p>
    <w:p w14:paraId="2F1CD827" w14:textId="77777777" w:rsidR="00860B7F" w:rsidRPr="003D4C1F" w:rsidRDefault="00860B7F" w:rsidP="00B94E28">
      <w:pPr>
        <w:pStyle w:val="Normal-pool"/>
        <w:numPr>
          <w:ilvl w:val="0"/>
          <w:numId w:val="5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871" w:hanging="624"/>
        <w:rPr>
          <w:rFonts w:eastAsia="Calibri"/>
        </w:rPr>
      </w:pPr>
      <w:r>
        <w:t>Канальные коммерческие компактные (автономные) кондиционеры воздуха</w:t>
      </w:r>
    </w:p>
    <w:p w14:paraId="009D116F" w14:textId="5099420E" w:rsidR="00860B7F" w:rsidRPr="003D4C1F" w:rsidRDefault="003A5BAC" w:rsidP="0054027B">
      <w:pPr>
        <w:pStyle w:val="CH3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</w:tabs>
        <w:ind w:firstLine="0"/>
        <w:rPr>
          <w:b w:val="0"/>
          <w:sz w:val="24"/>
          <w:szCs w:val="24"/>
        </w:rPr>
      </w:pPr>
      <w:r>
        <w:t xml:space="preserve">Приложение [XX]: </w:t>
      </w:r>
      <w:r w:rsidR="0054027B">
        <w:t xml:space="preserve"> </w:t>
      </w:r>
      <w:r>
        <w:t xml:space="preserve">Перечень стран, действующих в рамках исключения в отношении высокой температуры окружающего воздуха </w:t>
      </w:r>
    </w:p>
    <w:p w14:paraId="24B28AD2" w14:textId="664247DF" w:rsidR="00860B7F" w:rsidRPr="003D4C1F" w:rsidRDefault="00860B7F" w:rsidP="00B94E2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/>
      </w:pPr>
      <w:r>
        <w:t>Алжир, Бахрейн, Бенин, Буркина-Фасо, Гамбия, Гана, Гвинея, Гвинея-Бисау, Джибути, Египет, Иордания, Ирак, Иран, Катар, Кот-д'Ивуар, Кувейт, Ливия, Мавритания, Мали, Нигер, Нигерия, Объединенные Арабские Эмираты, Оман, Пакистан, Саудовская Аравия, Сенегал, Сирия, Судан, Того, Тунис, Туркменистан, Центральноафриканская Республика, Чад, Эритрея</w:t>
      </w:r>
      <w:r w:rsidR="0054027B">
        <w:t>.</w:t>
      </w:r>
    </w:p>
    <w:p w14:paraId="7084564E" w14:textId="77777777" w:rsidR="00860B7F" w:rsidRPr="003D4C1F" w:rsidRDefault="00860B7F" w:rsidP="00B94E28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60" w:line="259" w:lineRule="auto"/>
        <w:rPr>
          <w:sz w:val="24"/>
          <w:szCs w:val="24"/>
        </w:rPr>
      </w:pPr>
      <w:r>
        <w:br w:type="page"/>
      </w:r>
    </w:p>
    <w:p w14:paraId="1FEFE6A3" w14:textId="2766F953" w:rsidR="00860B7F" w:rsidRPr="003D4C1F" w:rsidRDefault="003A5BAC" w:rsidP="0054027B">
      <w:pPr>
        <w:pStyle w:val="CH2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firstLine="0"/>
      </w:pPr>
      <w:r>
        <w:lastRenderedPageBreak/>
        <w:t>[Проблема № 5]</w:t>
      </w:r>
    </w:p>
    <w:p w14:paraId="454585B2" w14:textId="69A744DB" w:rsidR="00860B7F" w:rsidRPr="0054027B" w:rsidRDefault="003A5BAC" w:rsidP="0054027B">
      <w:pPr>
        <w:pStyle w:val="CH3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</w:tabs>
        <w:ind w:firstLine="0"/>
      </w:pPr>
      <w:r w:rsidRPr="0054027B">
        <w:t>[Решение XXX:  Другие исключения]</w:t>
      </w:r>
    </w:p>
    <w:p w14:paraId="48CCFA09" w14:textId="77777777" w:rsidR="00860B7F" w:rsidRPr="003D4C1F" w:rsidRDefault="00860B7F" w:rsidP="003A5BAC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i/>
        </w:rPr>
      </w:pPr>
      <w:r>
        <w:rPr>
          <w:i/>
        </w:rPr>
        <w:t>Двадцать восьмое Совещание Сторон постановляет:</w:t>
      </w:r>
    </w:p>
    <w:p w14:paraId="0CE964E2" w14:textId="77777777" w:rsidR="00860B7F" w:rsidRPr="003D4C1F" w:rsidRDefault="00860B7F" w:rsidP="003A5BAC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/>
      </w:pPr>
      <w:r>
        <w:t>[Ссылка на решение о принятии поправки, касающейся гидрофторуглеродов, и ссылка на пункт X статьи 2J статьи I поправки]</w:t>
      </w:r>
    </w:p>
    <w:p w14:paraId="74731BBE" w14:textId="557AF4A7" w:rsidR="00860B7F" w:rsidRPr="0054027B" w:rsidRDefault="0054027B" w:rsidP="005402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eastAsia="Calibri"/>
        </w:rPr>
      </w:pPr>
      <w:r>
        <w:t>1.</w:t>
      </w:r>
      <w:r>
        <w:tab/>
      </w:r>
      <w:r w:rsidR="00860B7F" w:rsidRPr="0054027B">
        <w:t>допускать другие исключения, например, в отношении основных и важнейших видов применения, для производства или потребления, необходимого для обеспечения видов применения, которые Стороны договорились считать основными;</w:t>
      </w:r>
    </w:p>
    <w:p w14:paraId="028DFD72" w14:textId="702C88BF" w:rsidR="003A5BAC" w:rsidRPr="0054027B" w:rsidRDefault="0054027B" w:rsidP="005402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2.</w:t>
      </w:r>
      <w:r>
        <w:tab/>
      </w:r>
      <w:r w:rsidR="00860B7F" w:rsidRPr="0054027B">
        <w:t>рассмотреть вопрос о механизмах для таких исключений в [20XX] году, включая ме</w:t>
      </w:r>
      <w:r>
        <w:t>ханизмы многолетних исключений;</w:t>
      </w:r>
    </w:p>
    <w:p w14:paraId="4DCFEA38" w14:textId="7786FB4C" w:rsidR="00860B7F" w:rsidRPr="003D4C1F" w:rsidRDefault="0054027B" w:rsidP="005402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3.</w:t>
      </w:r>
      <w:r>
        <w:tab/>
      </w:r>
      <w:r w:rsidR="00860B7F" w:rsidRPr="0054027B">
        <w:t>предоставить</w:t>
      </w:r>
      <w:r w:rsidR="00860B7F">
        <w:t xml:space="preserve"> информацию и указания для ГТОЭО для </w:t>
      </w:r>
      <w:r w:rsidR="000E15AB">
        <w:t>проводимого ею</w:t>
      </w:r>
      <w:r w:rsidR="00860B7F">
        <w:t xml:space="preserve"> периодического обзора секторов, в которых могут потребоваться исключения.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8"/>
        <w:gridCol w:w="1898"/>
      </w:tblGrid>
      <w:tr w:rsidR="00A33A00" w:rsidRPr="003D4C1F" w14:paraId="6765B3A0" w14:textId="77777777" w:rsidTr="00A33A00">
        <w:tc>
          <w:tcPr>
            <w:tcW w:w="1897" w:type="dxa"/>
          </w:tcPr>
          <w:p w14:paraId="7664FDCC" w14:textId="77777777" w:rsidR="00A33A00" w:rsidRPr="003D4C1F" w:rsidRDefault="00A33A00" w:rsidP="00A33A00">
            <w:pPr>
              <w:pStyle w:val="Normal-pool"/>
              <w:spacing w:before="520"/>
            </w:pPr>
          </w:p>
        </w:tc>
        <w:tc>
          <w:tcPr>
            <w:tcW w:w="1897" w:type="dxa"/>
          </w:tcPr>
          <w:p w14:paraId="1B6970D3" w14:textId="77777777" w:rsidR="00A33A00" w:rsidRPr="003D4C1F" w:rsidRDefault="00A33A00" w:rsidP="00A33A00">
            <w:pPr>
              <w:pStyle w:val="Normal-pool"/>
              <w:spacing w:before="520"/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371A0FEA" w14:textId="77777777" w:rsidR="00A33A00" w:rsidRPr="003D4C1F" w:rsidRDefault="00A33A00" w:rsidP="00A33A00">
            <w:pPr>
              <w:pStyle w:val="Normal-pool"/>
              <w:spacing w:before="520"/>
            </w:pPr>
          </w:p>
        </w:tc>
        <w:tc>
          <w:tcPr>
            <w:tcW w:w="1898" w:type="dxa"/>
          </w:tcPr>
          <w:p w14:paraId="7DE165DC" w14:textId="77777777" w:rsidR="00A33A00" w:rsidRPr="003D4C1F" w:rsidRDefault="00A33A00" w:rsidP="00A33A00">
            <w:pPr>
              <w:pStyle w:val="Normal-pool"/>
              <w:spacing w:before="520"/>
            </w:pPr>
          </w:p>
        </w:tc>
        <w:tc>
          <w:tcPr>
            <w:tcW w:w="1898" w:type="dxa"/>
          </w:tcPr>
          <w:p w14:paraId="4B0DB1AA" w14:textId="77777777" w:rsidR="00A33A00" w:rsidRPr="003D4C1F" w:rsidRDefault="00A33A00" w:rsidP="00A33A00">
            <w:pPr>
              <w:pStyle w:val="Normal-pool"/>
              <w:spacing w:before="520"/>
            </w:pPr>
          </w:p>
        </w:tc>
      </w:tr>
    </w:tbl>
    <w:p w14:paraId="0FF0F68A" w14:textId="7894867D" w:rsidR="002E6D48" w:rsidRPr="003D4C1F" w:rsidRDefault="002E6D48" w:rsidP="00A33A00">
      <w:pPr>
        <w:pStyle w:val="Normal-pool"/>
      </w:pPr>
    </w:p>
    <w:sectPr w:rsidR="002E6D48" w:rsidRPr="003D4C1F" w:rsidSect="00A33A00"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type w:val="continuous"/>
      <w:pgSz w:w="11907" w:h="16840" w:code="9"/>
      <w:pgMar w:top="907" w:right="992" w:bottom="1418" w:left="1418" w:header="539" w:footer="97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4AF5A" w14:textId="77777777" w:rsidR="00ED0545" w:rsidRDefault="00ED0545">
      <w:r>
        <w:separator/>
      </w:r>
    </w:p>
  </w:endnote>
  <w:endnote w:type="continuationSeparator" w:id="0">
    <w:p w14:paraId="53EB1322" w14:textId="77777777" w:rsidR="00ED0545" w:rsidRDefault="00ED0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E8598" w14:textId="5696EE00" w:rsidR="00860B7F" w:rsidRPr="00084CB0" w:rsidRDefault="00860B7F">
    <w:pPr>
      <w:pStyle w:val="Footer"/>
      <w:rPr>
        <w:b/>
      </w:rPr>
    </w:pPr>
    <w:r w:rsidRPr="00084CB0">
      <w:rPr>
        <w:b/>
      </w:rPr>
      <w:fldChar w:fldCharType="begin"/>
    </w:r>
    <w:r w:rsidRPr="00084CB0">
      <w:rPr>
        <w:b/>
      </w:rPr>
      <w:instrText xml:space="preserve"> PAGE   \* MERGEFORMAT </w:instrText>
    </w:r>
    <w:r w:rsidRPr="00084CB0">
      <w:rPr>
        <w:b/>
      </w:rPr>
      <w:fldChar w:fldCharType="separate"/>
    </w:r>
    <w:r w:rsidR="00D103FE">
      <w:rPr>
        <w:b/>
        <w:noProof/>
      </w:rPr>
      <w:t>2</w:t>
    </w:r>
    <w:r w:rsidRPr="00084CB0">
      <w:rPr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3A60F" w14:textId="261E6987" w:rsidR="00860B7F" w:rsidRPr="00F9580A" w:rsidRDefault="00860B7F" w:rsidP="00AC7B07">
    <w:pPr>
      <w:pStyle w:val="Footer"/>
      <w:jc w:val="right"/>
      <w:rPr>
        <w:b/>
      </w:rPr>
    </w:pPr>
    <w:r w:rsidRPr="00A33A00">
      <w:rPr>
        <w:b/>
      </w:rPr>
      <w:fldChar w:fldCharType="begin"/>
    </w:r>
    <w:r w:rsidRPr="00A33A00">
      <w:rPr>
        <w:b/>
      </w:rPr>
      <w:instrText xml:space="preserve"> PAGE   \* MERGEFORMAT </w:instrText>
    </w:r>
    <w:r w:rsidRPr="00A33A00">
      <w:rPr>
        <w:b/>
      </w:rPr>
      <w:fldChar w:fldCharType="separate"/>
    </w:r>
    <w:r w:rsidR="00D103FE">
      <w:rPr>
        <w:b/>
        <w:noProof/>
      </w:rPr>
      <w:t>7</w:t>
    </w:r>
    <w:r w:rsidRPr="00A33A00">
      <w:rPr>
        <w:b/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9293F" w14:textId="227679F5" w:rsidR="00860B7F" w:rsidRPr="00463086" w:rsidRDefault="00860B7F" w:rsidP="00463086">
    <w:pPr>
      <w:pStyle w:val="Footer"/>
      <w:tabs>
        <w:tab w:val="clear" w:pos="1814"/>
        <w:tab w:val="clear" w:pos="2381"/>
        <w:tab w:val="clear" w:pos="2948"/>
        <w:tab w:val="clear" w:pos="3515"/>
        <w:tab w:val="clear" w:pos="4320"/>
        <w:tab w:val="clear" w:pos="8640"/>
        <w:tab w:val="left" w:pos="624"/>
      </w:tabs>
      <w:rPr>
        <w:sz w:val="20"/>
      </w:rPr>
    </w:pPr>
    <w:r>
      <w:rPr>
        <w:sz w:val="20"/>
      </w:rPr>
      <w:t>K1609127</w:t>
    </w:r>
    <w:r>
      <w:tab/>
    </w:r>
    <w:r>
      <w:rPr>
        <w:sz w:val="20"/>
      </w:rPr>
      <w:t>131016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9006D" w14:textId="77777777" w:rsidR="00ED0545" w:rsidRDefault="00ED0545" w:rsidP="000D77EA">
      <w:pPr>
        <w:spacing w:before="60"/>
        <w:ind w:left="624"/>
      </w:pPr>
      <w:r>
        <w:separator/>
      </w:r>
    </w:p>
  </w:footnote>
  <w:footnote w:type="continuationSeparator" w:id="0">
    <w:p w14:paraId="5E5B005A" w14:textId="77777777" w:rsidR="00ED0545" w:rsidRDefault="00ED0545">
      <w:r>
        <w:continuationSeparator/>
      </w:r>
    </w:p>
  </w:footnote>
  <w:footnote w:id="1">
    <w:p w14:paraId="3C59353E" w14:textId="2B3D829B" w:rsidR="00860B7F" w:rsidRPr="008546D1" w:rsidRDefault="00860B7F" w:rsidP="005B693A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Cs w:val="18"/>
        </w:rPr>
      </w:pPr>
      <w:r>
        <w:rPr>
          <w:rStyle w:val="FootnoteReference"/>
          <w:sz w:val="18"/>
        </w:rPr>
        <w:footnoteRef/>
      </w:r>
      <w:r w:rsidR="005B693A">
        <w:tab/>
      </w:r>
      <w:r>
        <w:t>Указанные выше ДЭР, включая возможный срок с учетом предложения о сроке не менее пяти лет, будут являться предметом переговоров в контексте поправки.</w:t>
      </w:r>
    </w:p>
  </w:footnote>
  <w:footnote w:id="2">
    <w:p w14:paraId="455C6FA1" w14:textId="35FCCA3E" w:rsidR="00860B7F" w:rsidRPr="008546D1" w:rsidRDefault="00860B7F" w:rsidP="00B94E28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ascii="Calibri" w:hAnsi="Calibri"/>
          <w:szCs w:val="18"/>
        </w:rPr>
      </w:pPr>
      <w:r>
        <w:rPr>
          <w:rStyle w:val="FootnoteReference"/>
          <w:sz w:val="18"/>
        </w:rPr>
        <w:footnoteRef/>
      </w:r>
      <w:r w:rsidR="00B94E28">
        <w:tab/>
      </w:r>
      <w:r>
        <w:t xml:space="preserve">Территориально взвешенные средние температуры, рассчитанные на основе максимальных суточных температур (с использованием архива Центра экологических данных: </w:t>
      </w:r>
      <w:hyperlink r:id="rId1">
        <w:r>
          <w:rPr>
            <w:rStyle w:val="Hyperlink"/>
            <w:sz w:val="18"/>
          </w:rPr>
          <w:t>http://browse.ceda.ac.uk/browse/badc/cru/data/cru_cy/cru_cy_3.22/data/tmx</w:t>
        </w:r>
      </w:hyperlink>
    </w:p>
  </w:footnote>
  <w:footnote w:id="3">
    <w:p w14:paraId="063340BE" w14:textId="76CF874E" w:rsidR="00860B7F" w:rsidRPr="008546D1" w:rsidRDefault="00860B7F" w:rsidP="00B94E28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Cs w:val="18"/>
        </w:rPr>
      </w:pPr>
      <w:r>
        <w:rPr>
          <w:rStyle w:val="FootnoteReference"/>
          <w:sz w:val="18"/>
        </w:rPr>
        <w:footnoteRef/>
      </w:r>
      <w:r w:rsidR="00B94E28">
        <w:tab/>
      </w:r>
      <w:r>
        <w:t>Как указано в приложении [XX].</w:t>
      </w:r>
    </w:p>
  </w:footnote>
  <w:footnote w:id="4">
    <w:p w14:paraId="774776E9" w14:textId="571A4031" w:rsidR="00860B7F" w:rsidRPr="00B86461" w:rsidRDefault="00860B7F" w:rsidP="00B94E28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pt-PT"/>
        </w:rPr>
      </w:pPr>
      <w:r>
        <w:rPr>
          <w:rStyle w:val="FootnoteReference"/>
          <w:sz w:val="18"/>
        </w:rPr>
        <w:footnoteRef/>
      </w:r>
      <w:r w:rsidR="00B94E28">
        <w:tab/>
      </w:r>
      <w:r>
        <w:t>Вставить критерий из решения XXVI/9, пункт 1)a).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62547" w14:textId="223E162B" w:rsidR="00860B7F" w:rsidRPr="008546D1" w:rsidRDefault="00860B7F" w:rsidP="00860B7F">
    <w:pPr>
      <w:pStyle w:val="Header"/>
      <w:rPr>
        <w:lang w:val="en-GB"/>
      </w:rPr>
    </w:pPr>
    <w:r w:rsidRPr="008546D1">
      <w:rPr>
        <w:lang w:val="en-GB"/>
      </w:rPr>
      <w:t>Legal Drafting Group, version 1, 13 October 2016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2056E"/>
    <w:multiLevelType w:val="hybridMultilevel"/>
    <w:tmpl w:val="1F020F34"/>
    <w:lvl w:ilvl="0" w:tplc="8062C85C">
      <w:start w:val="1"/>
      <w:numFmt w:val="decimal"/>
      <w:pStyle w:val="Normalnumber"/>
      <w:lvlText w:val="%1."/>
      <w:lvlJc w:val="left"/>
      <w:pPr>
        <w:ind w:left="1967" w:hanging="360"/>
      </w:pPr>
    </w:lvl>
    <w:lvl w:ilvl="1" w:tplc="1C090019" w:tentative="1">
      <w:start w:val="1"/>
      <w:numFmt w:val="lowerLetter"/>
      <w:lvlText w:val="%2."/>
      <w:lvlJc w:val="left"/>
      <w:pPr>
        <w:ind w:left="2687" w:hanging="360"/>
      </w:pPr>
    </w:lvl>
    <w:lvl w:ilvl="2" w:tplc="1C09001B" w:tentative="1">
      <w:start w:val="1"/>
      <w:numFmt w:val="lowerRoman"/>
      <w:lvlText w:val="%3."/>
      <w:lvlJc w:val="right"/>
      <w:pPr>
        <w:ind w:left="3407" w:hanging="180"/>
      </w:pPr>
    </w:lvl>
    <w:lvl w:ilvl="3" w:tplc="1C09000F" w:tentative="1">
      <w:start w:val="1"/>
      <w:numFmt w:val="decimal"/>
      <w:lvlText w:val="%4."/>
      <w:lvlJc w:val="left"/>
      <w:pPr>
        <w:ind w:left="4127" w:hanging="360"/>
      </w:pPr>
    </w:lvl>
    <w:lvl w:ilvl="4" w:tplc="1C090019" w:tentative="1">
      <w:start w:val="1"/>
      <w:numFmt w:val="lowerLetter"/>
      <w:lvlText w:val="%5."/>
      <w:lvlJc w:val="left"/>
      <w:pPr>
        <w:ind w:left="4847" w:hanging="360"/>
      </w:pPr>
    </w:lvl>
    <w:lvl w:ilvl="5" w:tplc="1C09001B" w:tentative="1">
      <w:start w:val="1"/>
      <w:numFmt w:val="lowerRoman"/>
      <w:lvlText w:val="%6."/>
      <w:lvlJc w:val="right"/>
      <w:pPr>
        <w:ind w:left="5567" w:hanging="180"/>
      </w:pPr>
    </w:lvl>
    <w:lvl w:ilvl="6" w:tplc="1C09000F" w:tentative="1">
      <w:start w:val="1"/>
      <w:numFmt w:val="decimal"/>
      <w:lvlText w:val="%7."/>
      <w:lvlJc w:val="left"/>
      <w:pPr>
        <w:ind w:left="6287" w:hanging="360"/>
      </w:pPr>
    </w:lvl>
    <w:lvl w:ilvl="7" w:tplc="1C090019" w:tentative="1">
      <w:start w:val="1"/>
      <w:numFmt w:val="lowerLetter"/>
      <w:lvlText w:val="%8."/>
      <w:lvlJc w:val="left"/>
      <w:pPr>
        <w:ind w:left="7007" w:hanging="360"/>
      </w:pPr>
    </w:lvl>
    <w:lvl w:ilvl="8" w:tplc="1C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">
    <w:nsid w:val="12BE3F28"/>
    <w:multiLevelType w:val="hybridMultilevel"/>
    <w:tmpl w:val="31A01B06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33563760"/>
    <w:multiLevelType w:val="hybridMultilevel"/>
    <w:tmpl w:val="5E369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0AE6F6C"/>
    <w:multiLevelType w:val="hybridMultilevel"/>
    <w:tmpl w:val="BE2E9A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65CE866">
      <w:start w:val="1"/>
      <w:numFmt w:val="bullet"/>
      <w:pStyle w:val="NormalNonumbe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A66A9D"/>
    <w:multiLevelType w:val="multilevel"/>
    <w:tmpl w:val="FC609A9E"/>
    <w:styleLink w:val="Normallist"/>
    <w:lvl w:ilvl="0">
      <w:start w:val="1"/>
      <w:numFmt w:val="decimal"/>
      <w:lvlText w:val="%1."/>
      <w:lvlJc w:val="left"/>
      <w:pPr>
        <w:tabs>
          <w:tab w:val="num" w:pos="1287"/>
        </w:tabs>
        <w:ind w:left="19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287"/>
        </w:tabs>
        <w:ind w:left="196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287"/>
        </w:tabs>
        <w:ind w:left="366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287"/>
        </w:tabs>
        <w:ind w:left="423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68"/>
        </w:tabs>
        <w:ind w:left="72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988"/>
        </w:tabs>
        <w:ind w:left="79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428"/>
        </w:tabs>
        <w:ind w:left="94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148"/>
        </w:tabs>
        <w:ind w:left="10148" w:hanging="180"/>
      </w:pPr>
      <w:rPr>
        <w:rFonts w:hint="default"/>
      </w:rPr>
    </w:lvl>
  </w:abstractNum>
  <w:abstractNum w:abstractNumId="7">
    <w:nsid w:val="6E447EAC"/>
    <w:multiLevelType w:val="hybridMultilevel"/>
    <w:tmpl w:val="C34E11EE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0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624"/>
  <w:hyphenationZone w:val="425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02B"/>
    <w:rsid w:val="00000F06"/>
    <w:rsid w:val="00007006"/>
    <w:rsid w:val="00007867"/>
    <w:rsid w:val="00030BA0"/>
    <w:rsid w:val="000373C6"/>
    <w:rsid w:val="00042E1B"/>
    <w:rsid w:val="000457D5"/>
    <w:rsid w:val="000458C0"/>
    <w:rsid w:val="000466B3"/>
    <w:rsid w:val="0005232B"/>
    <w:rsid w:val="000616D2"/>
    <w:rsid w:val="000643F7"/>
    <w:rsid w:val="0007184E"/>
    <w:rsid w:val="000740FF"/>
    <w:rsid w:val="00076A2F"/>
    <w:rsid w:val="00082922"/>
    <w:rsid w:val="00083D7F"/>
    <w:rsid w:val="00084CB0"/>
    <w:rsid w:val="00085942"/>
    <w:rsid w:val="00090C96"/>
    <w:rsid w:val="00091E96"/>
    <w:rsid w:val="000950EE"/>
    <w:rsid w:val="00095230"/>
    <w:rsid w:val="00095D20"/>
    <w:rsid w:val="000B2C73"/>
    <w:rsid w:val="000B2EE9"/>
    <w:rsid w:val="000B4FAA"/>
    <w:rsid w:val="000B62B8"/>
    <w:rsid w:val="000B67C1"/>
    <w:rsid w:val="000C5358"/>
    <w:rsid w:val="000C7734"/>
    <w:rsid w:val="000D0041"/>
    <w:rsid w:val="000D05D1"/>
    <w:rsid w:val="000D275C"/>
    <w:rsid w:val="000D77EA"/>
    <w:rsid w:val="000E15AB"/>
    <w:rsid w:val="000E47AB"/>
    <w:rsid w:val="000F0054"/>
    <w:rsid w:val="000F575E"/>
    <w:rsid w:val="000F6FAF"/>
    <w:rsid w:val="0010046C"/>
    <w:rsid w:val="001052D2"/>
    <w:rsid w:val="001059D0"/>
    <w:rsid w:val="001135F8"/>
    <w:rsid w:val="0011459C"/>
    <w:rsid w:val="00121F36"/>
    <w:rsid w:val="00137FAE"/>
    <w:rsid w:val="00144D05"/>
    <w:rsid w:val="00145BD9"/>
    <w:rsid w:val="0014795A"/>
    <w:rsid w:val="00150365"/>
    <w:rsid w:val="00151B24"/>
    <w:rsid w:val="00152BD6"/>
    <w:rsid w:val="00152E31"/>
    <w:rsid w:val="001630C6"/>
    <w:rsid w:val="0016424A"/>
    <w:rsid w:val="0017253B"/>
    <w:rsid w:val="00172AF1"/>
    <w:rsid w:val="00172D2B"/>
    <w:rsid w:val="00187D08"/>
    <w:rsid w:val="00191A43"/>
    <w:rsid w:val="001B1A96"/>
    <w:rsid w:val="001B2591"/>
    <w:rsid w:val="001B7BD7"/>
    <w:rsid w:val="001C1F61"/>
    <w:rsid w:val="001C666C"/>
    <w:rsid w:val="001D7866"/>
    <w:rsid w:val="001E313C"/>
    <w:rsid w:val="001E3D54"/>
    <w:rsid w:val="001F3D6E"/>
    <w:rsid w:val="001F465D"/>
    <w:rsid w:val="0020530F"/>
    <w:rsid w:val="00205BC7"/>
    <w:rsid w:val="00207322"/>
    <w:rsid w:val="00211E00"/>
    <w:rsid w:val="00215DB5"/>
    <w:rsid w:val="002251C7"/>
    <w:rsid w:val="00232A1D"/>
    <w:rsid w:val="00240C8D"/>
    <w:rsid w:val="00242A41"/>
    <w:rsid w:val="002518F5"/>
    <w:rsid w:val="00266B39"/>
    <w:rsid w:val="00270175"/>
    <w:rsid w:val="00271003"/>
    <w:rsid w:val="0027514F"/>
    <w:rsid w:val="00277AEE"/>
    <w:rsid w:val="00280BA1"/>
    <w:rsid w:val="00281181"/>
    <w:rsid w:val="00281455"/>
    <w:rsid w:val="00284829"/>
    <w:rsid w:val="002B29AE"/>
    <w:rsid w:val="002B77FE"/>
    <w:rsid w:val="002B7C55"/>
    <w:rsid w:val="002C0D49"/>
    <w:rsid w:val="002C1022"/>
    <w:rsid w:val="002D09D1"/>
    <w:rsid w:val="002D14E0"/>
    <w:rsid w:val="002D1DA5"/>
    <w:rsid w:val="002D673B"/>
    <w:rsid w:val="002E5A13"/>
    <w:rsid w:val="002E6D48"/>
    <w:rsid w:val="002E708A"/>
    <w:rsid w:val="002F3D05"/>
    <w:rsid w:val="00306D21"/>
    <w:rsid w:val="00307C7D"/>
    <w:rsid w:val="003101ED"/>
    <w:rsid w:val="003105CA"/>
    <w:rsid w:val="00313D69"/>
    <w:rsid w:val="003349E2"/>
    <w:rsid w:val="003402C9"/>
    <w:rsid w:val="0035232C"/>
    <w:rsid w:val="00356381"/>
    <w:rsid w:val="003571B7"/>
    <w:rsid w:val="00357B85"/>
    <w:rsid w:val="003629C8"/>
    <w:rsid w:val="00363C7C"/>
    <w:rsid w:val="003641E6"/>
    <w:rsid w:val="0036461D"/>
    <w:rsid w:val="00365785"/>
    <w:rsid w:val="00382C58"/>
    <w:rsid w:val="00383D71"/>
    <w:rsid w:val="00387FEC"/>
    <w:rsid w:val="00395ABB"/>
    <w:rsid w:val="003A034D"/>
    <w:rsid w:val="003A5BAC"/>
    <w:rsid w:val="003C3321"/>
    <w:rsid w:val="003C5311"/>
    <w:rsid w:val="003D12E4"/>
    <w:rsid w:val="003D4C1F"/>
    <w:rsid w:val="003F47E7"/>
    <w:rsid w:val="004054AE"/>
    <w:rsid w:val="00407853"/>
    <w:rsid w:val="004078C9"/>
    <w:rsid w:val="00407984"/>
    <w:rsid w:val="00417CA5"/>
    <w:rsid w:val="0042321C"/>
    <w:rsid w:val="004251B0"/>
    <w:rsid w:val="00427BAF"/>
    <w:rsid w:val="004300BD"/>
    <w:rsid w:val="00431D57"/>
    <w:rsid w:val="00431F54"/>
    <w:rsid w:val="00433E69"/>
    <w:rsid w:val="00434442"/>
    <w:rsid w:val="00435BEA"/>
    <w:rsid w:val="00443E1B"/>
    <w:rsid w:val="0044596A"/>
    <w:rsid w:val="00447834"/>
    <w:rsid w:val="004625DB"/>
    <w:rsid w:val="00462BF2"/>
    <w:rsid w:val="00463086"/>
    <w:rsid w:val="0046607A"/>
    <w:rsid w:val="00477209"/>
    <w:rsid w:val="004906F1"/>
    <w:rsid w:val="00490C5A"/>
    <w:rsid w:val="00493516"/>
    <w:rsid w:val="00493646"/>
    <w:rsid w:val="004A43AA"/>
    <w:rsid w:val="004A4752"/>
    <w:rsid w:val="004A7279"/>
    <w:rsid w:val="004C4973"/>
    <w:rsid w:val="004C740A"/>
    <w:rsid w:val="004D390F"/>
    <w:rsid w:val="004F0728"/>
    <w:rsid w:val="004F072C"/>
    <w:rsid w:val="004F36DC"/>
    <w:rsid w:val="004F66C7"/>
    <w:rsid w:val="0051317F"/>
    <w:rsid w:val="00517C16"/>
    <w:rsid w:val="005271BF"/>
    <w:rsid w:val="00527472"/>
    <w:rsid w:val="00527AAC"/>
    <w:rsid w:val="00527CB0"/>
    <w:rsid w:val="00530B46"/>
    <w:rsid w:val="00533FF5"/>
    <w:rsid w:val="0053503C"/>
    <w:rsid w:val="0054027B"/>
    <w:rsid w:val="00543126"/>
    <w:rsid w:val="00543307"/>
    <w:rsid w:val="00543A1A"/>
    <w:rsid w:val="00544AE5"/>
    <w:rsid w:val="00550464"/>
    <w:rsid w:val="0055521B"/>
    <w:rsid w:val="00555F61"/>
    <w:rsid w:val="00560D84"/>
    <w:rsid w:val="00561A2F"/>
    <w:rsid w:val="0056720A"/>
    <w:rsid w:val="00574B0E"/>
    <w:rsid w:val="00586386"/>
    <w:rsid w:val="00596114"/>
    <w:rsid w:val="005A1012"/>
    <w:rsid w:val="005B59BB"/>
    <w:rsid w:val="005B693A"/>
    <w:rsid w:val="005C0DDA"/>
    <w:rsid w:val="005C1531"/>
    <w:rsid w:val="005C6149"/>
    <w:rsid w:val="005C6D77"/>
    <w:rsid w:val="005C7069"/>
    <w:rsid w:val="005D34EB"/>
    <w:rsid w:val="005E07A7"/>
    <w:rsid w:val="005E2EEB"/>
    <w:rsid w:val="005F47E9"/>
    <w:rsid w:val="00610FFF"/>
    <w:rsid w:val="0061372C"/>
    <w:rsid w:val="006149D3"/>
    <w:rsid w:val="0062112F"/>
    <w:rsid w:val="00626579"/>
    <w:rsid w:val="006271A6"/>
    <w:rsid w:val="00635847"/>
    <w:rsid w:val="00636BE8"/>
    <w:rsid w:val="006463F9"/>
    <w:rsid w:val="00662875"/>
    <w:rsid w:val="006628AA"/>
    <w:rsid w:val="00665718"/>
    <w:rsid w:val="00665BEF"/>
    <w:rsid w:val="00667EBF"/>
    <w:rsid w:val="006709CD"/>
    <w:rsid w:val="00696C80"/>
    <w:rsid w:val="006A020A"/>
    <w:rsid w:val="006A232E"/>
    <w:rsid w:val="006A6419"/>
    <w:rsid w:val="006C02C4"/>
    <w:rsid w:val="006C0365"/>
    <w:rsid w:val="006C2F8D"/>
    <w:rsid w:val="006C55C4"/>
    <w:rsid w:val="006E39AD"/>
    <w:rsid w:val="006E4C19"/>
    <w:rsid w:val="006E702B"/>
    <w:rsid w:val="006E7792"/>
    <w:rsid w:val="006F3275"/>
    <w:rsid w:val="006F3D20"/>
    <w:rsid w:val="006F6282"/>
    <w:rsid w:val="006F7A9C"/>
    <w:rsid w:val="0070172A"/>
    <w:rsid w:val="00703F95"/>
    <w:rsid w:val="007064E3"/>
    <w:rsid w:val="00712271"/>
    <w:rsid w:val="00713B5D"/>
    <w:rsid w:val="0071535A"/>
    <w:rsid w:val="007161D1"/>
    <w:rsid w:val="007215A6"/>
    <w:rsid w:val="007240A1"/>
    <w:rsid w:val="00724955"/>
    <w:rsid w:val="00741A48"/>
    <w:rsid w:val="00741F5C"/>
    <w:rsid w:val="00742BEB"/>
    <w:rsid w:val="007455E4"/>
    <w:rsid w:val="007530EE"/>
    <w:rsid w:val="00754E53"/>
    <w:rsid w:val="00762163"/>
    <w:rsid w:val="0078332E"/>
    <w:rsid w:val="00790EB7"/>
    <w:rsid w:val="00795DD9"/>
    <w:rsid w:val="007964CC"/>
    <w:rsid w:val="007A1BA1"/>
    <w:rsid w:val="007A5D1B"/>
    <w:rsid w:val="007B0886"/>
    <w:rsid w:val="007B1CCC"/>
    <w:rsid w:val="007B3035"/>
    <w:rsid w:val="007D0578"/>
    <w:rsid w:val="007D4085"/>
    <w:rsid w:val="007D5247"/>
    <w:rsid w:val="007E6CB8"/>
    <w:rsid w:val="007E6DC3"/>
    <w:rsid w:val="007F59B3"/>
    <w:rsid w:val="00800F19"/>
    <w:rsid w:val="00826639"/>
    <w:rsid w:val="00827ECB"/>
    <w:rsid w:val="00834851"/>
    <w:rsid w:val="008406D6"/>
    <w:rsid w:val="00840E4A"/>
    <w:rsid w:val="00847204"/>
    <w:rsid w:val="008532A3"/>
    <w:rsid w:val="00853721"/>
    <w:rsid w:val="008546D1"/>
    <w:rsid w:val="0085551E"/>
    <w:rsid w:val="00857ADB"/>
    <w:rsid w:val="00860B7F"/>
    <w:rsid w:val="0086282C"/>
    <w:rsid w:val="00867DC9"/>
    <w:rsid w:val="00871224"/>
    <w:rsid w:val="008724D9"/>
    <w:rsid w:val="00877DA4"/>
    <w:rsid w:val="008866C3"/>
    <w:rsid w:val="00887FB2"/>
    <w:rsid w:val="00890A20"/>
    <w:rsid w:val="008A273F"/>
    <w:rsid w:val="008B3A32"/>
    <w:rsid w:val="008B5C7E"/>
    <w:rsid w:val="008B6B1A"/>
    <w:rsid w:val="008C3386"/>
    <w:rsid w:val="008D01B9"/>
    <w:rsid w:val="008D2C42"/>
    <w:rsid w:val="008D2F40"/>
    <w:rsid w:val="008D4341"/>
    <w:rsid w:val="008D4943"/>
    <w:rsid w:val="008D6A12"/>
    <w:rsid w:val="008D7950"/>
    <w:rsid w:val="008E21A9"/>
    <w:rsid w:val="008E655A"/>
    <w:rsid w:val="008E7503"/>
    <w:rsid w:val="008F1BD0"/>
    <w:rsid w:val="008F1D82"/>
    <w:rsid w:val="0090282F"/>
    <w:rsid w:val="00916FF7"/>
    <w:rsid w:val="00917036"/>
    <w:rsid w:val="009217AC"/>
    <w:rsid w:val="0092243D"/>
    <w:rsid w:val="0092407A"/>
    <w:rsid w:val="00941A5A"/>
    <w:rsid w:val="00941B7A"/>
    <w:rsid w:val="00946082"/>
    <w:rsid w:val="00961F19"/>
    <w:rsid w:val="0097092F"/>
    <w:rsid w:val="00972BB0"/>
    <w:rsid w:val="0097504F"/>
    <w:rsid w:val="00977A70"/>
    <w:rsid w:val="00996840"/>
    <w:rsid w:val="00996E6A"/>
    <w:rsid w:val="00996F44"/>
    <w:rsid w:val="00997681"/>
    <w:rsid w:val="009A3F97"/>
    <w:rsid w:val="009A491F"/>
    <w:rsid w:val="009A5584"/>
    <w:rsid w:val="009A62AE"/>
    <w:rsid w:val="009A78AF"/>
    <w:rsid w:val="009B591A"/>
    <w:rsid w:val="009C1B98"/>
    <w:rsid w:val="009D53E9"/>
    <w:rsid w:val="009E02B1"/>
    <w:rsid w:val="009E359B"/>
    <w:rsid w:val="009F089E"/>
    <w:rsid w:val="009F259F"/>
    <w:rsid w:val="009F5383"/>
    <w:rsid w:val="009F775B"/>
    <w:rsid w:val="009F7832"/>
    <w:rsid w:val="009F78CF"/>
    <w:rsid w:val="00A02763"/>
    <w:rsid w:val="00A13BCC"/>
    <w:rsid w:val="00A1689B"/>
    <w:rsid w:val="00A23426"/>
    <w:rsid w:val="00A24349"/>
    <w:rsid w:val="00A27581"/>
    <w:rsid w:val="00A313C7"/>
    <w:rsid w:val="00A33A00"/>
    <w:rsid w:val="00A357C2"/>
    <w:rsid w:val="00A36AFF"/>
    <w:rsid w:val="00A4726A"/>
    <w:rsid w:val="00A4774D"/>
    <w:rsid w:val="00A61DD4"/>
    <w:rsid w:val="00A65D13"/>
    <w:rsid w:val="00A6789C"/>
    <w:rsid w:val="00A700E6"/>
    <w:rsid w:val="00A710A9"/>
    <w:rsid w:val="00A77C1E"/>
    <w:rsid w:val="00A84B9C"/>
    <w:rsid w:val="00A91A13"/>
    <w:rsid w:val="00A92DC6"/>
    <w:rsid w:val="00A93D7C"/>
    <w:rsid w:val="00A96B2F"/>
    <w:rsid w:val="00AA0942"/>
    <w:rsid w:val="00AA230B"/>
    <w:rsid w:val="00AB3EB4"/>
    <w:rsid w:val="00AB5A00"/>
    <w:rsid w:val="00AB7F1F"/>
    <w:rsid w:val="00AC0D69"/>
    <w:rsid w:val="00AC3B03"/>
    <w:rsid w:val="00AC7B07"/>
    <w:rsid w:val="00AD557B"/>
    <w:rsid w:val="00AD7703"/>
    <w:rsid w:val="00AE5612"/>
    <w:rsid w:val="00AE71ED"/>
    <w:rsid w:val="00AF0210"/>
    <w:rsid w:val="00AF2967"/>
    <w:rsid w:val="00B10BDF"/>
    <w:rsid w:val="00B12EC6"/>
    <w:rsid w:val="00B16969"/>
    <w:rsid w:val="00B169E5"/>
    <w:rsid w:val="00B17811"/>
    <w:rsid w:val="00B2367C"/>
    <w:rsid w:val="00B25EB7"/>
    <w:rsid w:val="00B25EEA"/>
    <w:rsid w:val="00B312D2"/>
    <w:rsid w:val="00B326DB"/>
    <w:rsid w:val="00B46F6B"/>
    <w:rsid w:val="00B500F9"/>
    <w:rsid w:val="00B54C31"/>
    <w:rsid w:val="00B728D7"/>
    <w:rsid w:val="00B732E9"/>
    <w:rsid w:val="00B81DC6"/>
    <w:rsid w:val="00B87822"/>
    <w:rsid w:val="00B90B2B"/>
    <w:rsid w:val="00B94E28"/>
    <w:rsid w:val="00B97195"/>
    <w:rsid w:val="00BB3581"/>
    <w:rsid w:val="00BC26CD"/>
    <w:rsid w:val="00BC3079"/>
    <w:rsid w:val="00BC38CA"/>
    <w:rsid w:val="00BD131F"/>
    <w:rsid w:val="00BD2B25"/>
    <w:rsid w:val="00BD69F6"/>
    <w:rsid w:val="00BE201A"/>
    <w:rsid w:val="00BE78E7"/>
    <w:rsid w:val="00BF3D22"/>
    <w:rsid w:val="00BF6D8E"/>
    <w:rsid w:val="00BF75DC"/>
    <w:rsid w:val="00C16288"/>
    <w:rsid w:val="00C26AE1"/>
    <w:rsid w:val="00C35E7E"/>
    <w:rsid w:val="00C40BEA"/>
    <w:rsid w:val="00C56BD9"/>
    <w:rsid w:val="00C57B7E"/>
    <w:rsid w:val="00C66188"/>
    <w:rsid w:val="00C6665F"/>
    <w:rsid w:val="00C75D26"/>
    <w:rsid w:val="00C849F1"/>
    <w:rsid w:val="00C912B1"/>
    <w:rsid w:val="00C9527C"/>
    <w:rsid w:val="00C97412"/>
    <w:rsid w:val="00C97A09"/>
    <w:rsid w:val="00CA2415"/>
    <w:rsid w:val="00CA27D5"/>
    <w:rsid w:val="00CA5534"/>
    <w:rsid w:val="00CB594E"/>
    <w:rsid w:val="00CC4028"/>
    <w:rsid w:val="00CC504A"/>
    <w:rsid w:val="00CC7B15"/>
    <w:rsid w:val="00CD2178"/>
    <w:rsid w:val="00CD356C"/>
    <w:rsid w:val="00CD72C2"/>
    <w:rsid w:val="00CE34D2"/>
    <w:rsid w:val="00CE539A"/>
    <w:rsid w:val="00CF39AE"/>
    <w:rsid w:val="00CF47C9"/>
    <w:rsid w:val="00D01C84"/>
    <w:rsid w:val="00D103FE"/>
    <w:rsid w:val="00D15F83"/>
    <w:rsid w:val="00D21AE9"/>
    <w:rsid w:val="00D2508D"/>
    <w:rsid w:val="00D3110B"/>
    <w:rsid w:val="00D36663"/>
    <w:rsid w:val="00D379F0"/>
    <w:rsid w:val="00D44346"/>
    <w:rsid w:val="00D547AD"/>
    <w:rsid w:val="00D608E9"/>
    <w:rsid w:val="00D61349"/>
    <w:rsid w:val="00D63CBE"/>
    <w:rsid w:val="00D70131"/>
    <w:rsid w:val="00D749E3"/>
    <w:rsid w:val="00D75A07"/>
    <w:rsid w:val="00D7605F"/>
    <w:rsid w:val="00D76B8A"/>
    <w:rsid w:val="00D9753E"/>
    <w:rsid w:val="00DA23C8"/>
    <w:rsid w:val="00DA3C65"/>
    <w:rsid w:val="00DA533D"/>
    <w:rsid w:val="00DB258D"/>
    <w:rsid w:val="00DB5E59"/>
    <w:rsid w:val="00DC1F8B"/>
    <w:rsid w:val="00DC2989"/>
    <w:rsid w:val="00DC2A36"/>
    <w:rsid w:val="00DC6D0B"/>
    <w:rsid w:val="00DC769F"/>
    <w:rsid w:val="00DD4E93"/>
    <w:rsid w:val="00DE19E1"/>
    <w:rsid w:val="00DF3787"/>
    <w:rsid w:val="00DF7508"/>
    <w:rsid w:val="00DF7ED5"/>
    <w:rsid w:val="00E039C4"/>
    <w:rsid w:val="00E076AE"/>
    <w:rsid w:val="00E12291"/>
    <w:rsid w:val="00E1385F"/>
    <w:rsid w:val="00E257E2"/>
    <w:rsid w:val="00E25A23"/>
    <w:rsid w:val="00E3024C"/>
    <w:rsid w:val="00E37B9C"/>
    <w:rsid w:val="00E40015"/>
    <w:rsid w:val="00E4615A"/>
    <w:rsid w:val="00E467F7"/>
    <w:rsid w:val="00E626FF"/>
    <w:rsid w:val="00E65FA4"/>
    <w:rsid w:val="00E80310"/>
    <w:rsid w:val="00E83272"/>
    <w:rsid w:val="00E926A4"/>
    <w:rsid w:val="00E92B90"/>
    <w:rsid w:val="00E93A0D"/>
    <w:rsid w:val="00E940B9"/>
    <w:rsid w:val="00EA28D4"/>
    <w:rsid w:val="00EA454A"/>
    <w:rsid w:val="00EC1EA9"/>
    <w:rsid w:val="00EC2049"/>
    <w:rsid w:val="00EC77CE"/>
    <w:rsid w:val="00ED0545"/>
    <w:rsid w:val="00ED1458"/>
    <w:rsid w:val="00ED4A64"/>
    <w:rsid w:val="00ED5774"/>
    <w:rsid w:val="00EE1BC6"/>
    <w:rsid w:val="00EF0B9B"/>
    <w:rsid w:val="00EF7BBD"/>
    <w:rsid w:val="00F232B1"/>
    <w:rsid w:val="00F3161B"/>
    <w:rsid w:val="00F319EC"/>
    <w:rsid w:val="00F41A39"/>
    <w:rsid w:val="00F43194"/>
    <w:rsid w:val="00F432BE"/>
    <w:rsid w:val="00F50E80"/>
    <w:rsid w:val="00F52CAB"/>
    <w:rsid w:val="00F560D0"/>
    <w:rsid w:val="00F56C00"/>
    <w:rsid w:val="00F627EE"/>
    <w:rsid w:val="00F670E8"/>
    <w:rsid w:val="00F725B9"/>
    <w:rsid w:val="00F80152"/>
    <w:rsid w:val="00F81C9E"/>
    <w:rsid w:val="00F827A0"/>
    <w:rsid w:val="00F84E2D"/>
    <w:rsid w:val="00F87E15"/>
    <w:rsid w:val="00F91629"/>
    <w:rsid w:val="00F9168E"/>
    <w:rsid w:val="00F9580A"/>
    <w:rsid w:val="00F966BF"/>
    <w:rsid w:val="00FA74A5"/>
    <w:rsid w:val="00FB398F"/>
    <w:rsid w:val="00FC1B6B"/>
    <w:rsid w:val="00FC7BAA"/>
    <w:rsid w:val="00FD1094"/>
    <w:rsid w:val="00FD2698"/>
    <w:rsid w:val="00FD5AC4"/>
    <w:rsid w:val="00FE7DC9"/>
    <w:rsid w:val="00FF43A0"/>
    <w:rsid w:val="00FF5C40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2C3BA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99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7774FB"/>
    <w:pPr>
      <w:tabs>
        <w:tab w:val="left" w:pos="1247"/>
        <w:tab w:val="left" w:pos="1814"/>
        <w:tab w:val="left" w:pos="2381"/>
        <w:tab w:val="left" w:pos="2948"/>
        <w:tab w:val="left" w:pos="3515"/>
      </w:tabs>
    </w:pPr>
  </w:style>
  <w:style w:type="paragraph" w:styleId="Heading1">
    <w:name w:val="heading 1"/>
    <w:basedOn w:val="Normal"/>
    <w:next w:val="Normal"/>
    <w:qFormat/>
    <w:rsid w:val="007774FB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7774FB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qFormat/>
    <w:rsid w:val="007774FB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qFormat/>
    <w:rsid w:val="007774FB"/>
    <w:pPr>
      <w:keepNext/>
      <w:outlineLvl w:val="3"/>
    </w:pPr>
  </w:style>
  <w:style w:type="paragraph" w:styleId="Heading5">
    <w:name w:val="heading 5"/>
    <w:basedOn w:val="Normal"/>
    <w:next w:val="Normal"/>
    <w:qFormat/>
    <w:rsid w:val="007774FB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7774FB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7774FB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7774FB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7774FB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AATable">
    <w:name w:val="AA_Table"/>
    <w:basedOn w:val="TableNormal"/>
    <w:rsid w:val="007774FB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Courier New" w:hAnsi="Courier New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Courier New" w:hAnsi="Courier New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Courier New" w:hAnsi="Courier New"/>
        <w:b/>
        <w:i w:val="0"/>
        <w:color w:val="auto"/>
        <w:sz w:val="64"/>
        <w:szCs w:val="64"/>
      </w:rPr>
    </w:tblStylePr>
    <w:tblStylePr w:type="nwCell">
      <w:rPr>
        <w:rFonts w:ascii="Courier New" w:hAnsi="Courier New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rsid w:val="007774FB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7774FB"/>
    <w:pPr>
      <w:spacing w:before="120" w:after="120"/>
      <w:ind w:right="1701"/>
    </w:pPr>
  </w:style>
  <w:style w:type="paragraph" w:customStyle="1" w:styleId="BBTitle">
    <w:name w:val="BB_Title"/>
    <w:basedOn w:val="Normal"/>
    <w:link w:val="BBTitleChar"/>
    <w:rsid w:val="007774FB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customStyle="1" w:styleId="CH1">
    <w:name w:val="CH1"/>
    <w:basedOn w:val="Normal"/>
    <w:next w:val="Normal"/>
    <w:rsid w:val="007774FB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"/>
    <w:link w:val="CH2Char"/>
    <w:rsid w:val="007774FB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"/>
    <w:rsid w:val="007774F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"/>
    <w:rsid w:val="007774F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5">
    <w:name w:val="CH5"/>
    <w:basedOn w:val="Normal"/>
    <w:next w:val="Normal"/>
    <w:semiHidden/>
    <w:rsid w:val="007774F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styleId="Footer">
    <w:name w:val="footer"/>
    <w:basedOn w:val="Normal"/>
    <w:link w:val="FooterChar"/>
    <w:uiPriority w:val="99"/>
    <w:rsid w:val="007774FB"/>
    <w:pPr>
      <w:tabs>
        <w:tab w:val="clear" w:pos="1247"/>
        <w:tab w:val="center" w:pos="4320"/>
        <w:tab w:val="right" w:pos="8640"/>
      </w:tabs>
      <w:spacing w:before="60" w:after="120"/>
    </w:pPr>
    <w:rPr>
      <w:sz w:val="18"/>
    </w:rPr>
  </w:style>
  <w:style w:type="table" w:customStyle="1" w:styleId="Footertable">
    <w:name w:val="Footer_table"/>
    <w:basedOn w:val="TableNormal"/>
    <w:semiHidden/>
    <w:rsid w:val="007774FB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character" w:styleId="FootnoteReference">
    <w:name w:val="footnote reference"/>
    <w:aliases w:val="Footnote text,16 Point,Superscript 6 Point,Footnote Text1,Footnote Text2"/>
    <w:uiPriority w:val="99"/>
    <w:semiHidden/>
    <w:rsid w:val="007774FB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Fußnotentextf"/>
    <w:basedOn w:val="Normal"/>
    <w:link w:val="FootnoteTextChar"/>
    <w:semiHidden/>
    <w:rsid w:val="007774FB"/>
    <w:pPr>
      <w:spacing w:before="20" w:after="40"/>
      <w:ind w:left="1247"/>
    </w:pPr>
    <w:rPr>
      <w:sz w:val="18"/>
    </w:rPr>
  </w:style>
  <w:style w:type="paragraph" w:styleId="Header">
    <w:name w:val="header"/>
    <w:basedOn w:val="Normal"/>
    <w:link w:val="HeaderChar"/>
    <w:uiPriority w:val="99"/>
    <w:rsid w:val="007774FB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7774FB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7774FB"/>
    <w:pPr>
      <w:numPr>
        <w:numId w:val="4"/>
      </w:numPr>
    </w:pPr>
  </w:style>
  <w:style w:type="paragraph" w:customStyle="1" w:styleId="NormalNonumber">
    <w:name w:val="Normal_No_number"/>
    <w:basedOn w:val="Normal"/>
    <w:autoRedefine/>
    <w:rsid w:val="00EA28D4"/>
    <w:pPr>
      <w:numPr>
        <w:ilvl w:val="3"/>
        <w:numId w:val="3"/>
      </w:numPr>
      <w:spacing w:after="120"/>
    </w:pPr>
  </w:style>
  <w:style w:type="paragraph" w:customStyle="1" w:styleId="Normalnumber">
    <w:name w:val="Normal_number"/>
    <w:basedOn w:val="Normal"/>
    <w:link w:val="NormalnumberChar"/>
    <w:autoRedefine/>
    <w:rsid w:val="003A5BAC"/>
    <w:pPr>
      <w:numPr>
        <w:numId w:val="8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  <w:ind w:left="1247" w:firstLine="0"/>
    </w:pPr>
  </w:style>
  <w:style w:type="character" w:styleId="PageNumber">
    <w:name w:val="page number"/>
    <w:semiHidden/>
    <w:rsid w:val="007774FB"/>
    <w:rPr>
      <w:rFonts w:ascii="Times New Roman" w:hAnsi="Times New Roman"/>
      <w:b/>
      <w:sz w:val="18"/>
    </w:rPr>
  </w:style>
  <w:style w:type="paragraph" w:styleId="TableofFigures">
    <w:name w:val="table of figures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table" w:customStyle="1" w:styleId="Tabledocright">
    <w:name w:val="Table_doc_right"/>
    <w:basedOn w:val="TableNormal"/>
    <w:rsid w:val="007774FB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customStyle="1" w:styleId="Titletable">
    <w:name w:val="Title_table"/>
    <w:basedOn w:val="Normal"/>
    <w:rsid w:val="007774FB"/>
    <w:pPr>
      <w:keepNext/>
      <w:keepLines/>
      <w:suppressAutoHyphens/>
      <w:spacing w:after="60"/>
      <w:ind w:left="1247"/>
    </w:pPr>
    <w:rPr>
      <w:b/>
      <w:bCs/>
    </w:rPr>
  </w:style>
  <w:style w:type="paragraph" w:customStyle="1" w:styleId="Titlefigure">
    <w:name w:val="Title_figure"/>
    <w:basedOn w:val="Titletable"/>
    <w:next w:val="NormalNonumber"/>
    <w:rsid w:val="007774FB"/>
    <w:rPr>
      <w:bCs w:val="0"/>
    </w:rPr>
  </w:style>
  <w:style w:type="paragraph" w:styleId="TOC1">
    <w:name w:val="toc 1"/>
    <w:basedOn w:val="Normal"/>
    <w:next w:val="Normal"/>
    <w:rsid w:val="007774FB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"/>
    <w:next w:val="Normal"/>
    <w:rsid w:val="007774FB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7774FB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7774FB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ZZAnxheader">
    <w:name w:val="ZZ_Anx_header"/>
    <w:basedOn w:val="Normal"/>
    <w:rsid w:val="007774FB"/>
    <w:rPr>
      <w:b/>
      <w:bCs/>
      <w:sz w:val="28"/>
      <w:szCs w:val="22"/>
    </w:rPr>
  </w:style>
  <w:style w:type="paragraph" w:customStyle="1" w:styleId="ZZAnxtitle">
    <w:name w:val="ZZ_Anx_title"/>
    <w:basedOn w:val="Normal"/>
    <w:rsid w:val="007774FB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semiHidden/>
    <w:rsid w:val="0087696F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05232B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autoRedefine/>
    <w:qFormat/>
    <w:rsid w:val="00D01C84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b/>
      <w:bCs/>
      <w:kern w:val="28"/>
      <w:sz w:val="28"/>
      <w:szCs w:val="28"/>
    </w:rPr>
  </w:style>
  <w:style w:type="character" w:customStyle="1" w:styleId="FootnoteTextChar">
    <w:name w:val="Footnote Text Char"/>
    <w:aliases w:val="Fußnotentextf Char"/>
    <w:link w:val="FootnoteText"/>
    <w:rsid w:val="00EA28D4"/>
    <w:rPr>
      <w:sz w:val="18"/>
      <w:lang w:val="ru-RU" w:eastAsia="ru-RU" w:bidi="ru-RU"/>
    </w:rPr>
  </w:style>
  <w:style w:type="paragraph" w:customStyle="1" w:styleId="Listavistosa-nfasis11">
    <w:name w:val="Lista vistosa - Énfasis 11"/>
    <w:basedOn w:val="Normal"/>
    <w:qFormat/>
    <w:rsid w:val="00EA28D4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uadrculamedia21">
    <w:name w:val="Cuadrícula media 21"/>
    <w:qFormat/>
    <w:rsid w:val="00EA28D4"/>
    <w:rPr>
      <w:rFonts w:ascii="Calibri" w:eastAsia="Calibri" w:hAnsi="Calibri"/>
      <w:sz w:val="22"/>
      <w:szCs w:val="22"/>
    </w:rPr>
  </w:style>
  <w:style w:type="character" w:styleId="Emphasis">
    <w:name w:val="Emphasis"/>
    <w:qFormat/>
    <w:rsid w:val="00EA28D4"/>
    <w:rPr>
      <w:i/>
      <w:iCs/>
    </w:rPr>
  </w:style>
  <w:style w:type="paragraph" w:customStyle="1" w:styleId="Normal-pool">
    <w:name w:val="Normal-pool"/>
    <w:rsid w:val="007D5247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</w:style>
  <w:style w:type="paragraph" w:customStyle="1" w:styleId="Default">
    <w:name w:val="Default"/>
    <w:rsid w:val="008406D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97092F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customStyle="1" w:styleId="TableGridLight1">
    <w:name w:val="Table Grid Light1"/>
    <w:basedOn w:val="TableNormal"/>
    <w:uiPriority w:val="40"/>
    <w:rsid w:val="0097092F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AC7B07"/>
    <w:rPr>
      <w:sz w:val="18"/>
      <w:lang w:val="ru-RU" w:eastAsia="ru-RU"/>
    </w:rPr>
  </w:style>
  <w:style w:type="character" w:customStyle="1" w:styleId="NormalnumberChar">
    <w:name w:val="Normal_number Char"/>
    <w:link w:val="Normalnumber"/>
    <w:rsid w:val="003A5BAC"/>
    <w:rPr>
      <w:lang w:val="ru-RU" w:eastAsia="ru-RU"/>
    </w:rPr>
  </w:style>
  <w:style w:type="character" w:customStyle="1" w:styleId="BBTitleChar">
    <w:name w:val="BB_Title Char"/>
    <w:link w:val="BBTitle"/>
    <w:locked/>
    <w:rsid w:val="00A61DD4"/>
    <w:rPr>
      <w:b/>
      <w:sz w:val="28"/>
      <w:szCs w:val="28"/>
      <w:lang w:val="ru-RU"/>
    </w:rPr>
  </w:style>
  <w:style w:type="character" w:customStyle="1" w:styleId="CH2Char">
    <w:name w:val="CH2 Char"/>
    <w:link w:val="CH2"/>
    <w:rsid w:val="00A61DD4"/>
    <w:rPr>
      <w:b/>
      <w:sz w:val="24"/>
      <w:szCs w:val="24"/>
      <w:lang w:val="ru-RU"/>
    </w:rPr>
  </w:style>
  <w:style w:type="paragraph" w:customStyle="1" w:styleId="LightGrid-Accent31">
    <w:name w:val="Light Grid - Accent 31"/>
    <w:basedOn w:val="Normal"/>
    <w:uiPriority w:val="99"/>
    <w:qFormat/>
    <w:rsid w:val="0071535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Subtitle">
    <w:name w:val="Sub title"/>
    <w:basedOn w:val="Heading2"/>
    <w:rsid w:val="0071535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0"/>
      <w:ind w:firstLine="0"/>
    </w:pPr>
  </w:style>
  <w:style w:type="character" w:styleId="CommentReference">
    <w:name w:val="annotation reference"/>
    <w:rsid w:val="002E70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708A"/>
  </w:style>
  <w:style w:type="character" w:customStyle="1" w:styleId="CommentTextChar">
    <w:name w:val="Comment Text Char"/>
    <w:link w:val="CommentText"/>
    <w:rsid w:val="002E708A"/>
    <w:rPr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2E708A"/>
    <w:rPr>
      <w:b/>
      <w:bCs/>
    </w:rPr>
  </w:style>
  <w:style w:type="character" w:customStyle="1" w:styleId="CommentSubjectChar">
    <w:name w:val="Comment Subject Char"/>
    <w:link w:val="CommentSubject"/>
    <w:rsid w:val="002E708A"/>
    <w:rPr>
      <w:b/>
      <w:bCs/>
      <w:lang w:val="ru-RU"/>
    </w:rPr>
  </w:style>
  <w:style w:type="character" w:customStyle="1" w:styleId="HeaderChar">
    <w:name w:val="Header Char"/>
    <w:basedOn w:val="DefaultParagraphFont"/>
    <w:link w:val="Header"/>
    <w:uiPriority w:val="99"/>
    <w:rsid w:val="007215A6"/>
    <w:rPr>
      <w:b/>
      <w:sz w:val="18"/>
      <w:lang w:val="ru-RU" w:eastAsia="ru-RU"/>
    </w:rPr>
  </w:style>
  <w:style w:type="paragraph" w:styleId="ListParagraph">
    <w:name w:val="List Paragraph"/>
    <w:basedOn w:val="Normal"/>
    <w:uiPriority w:val="99"/>
    <w:qFormat/>
    <w:rsid w:val="00A33A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99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7774FB"/>
    <w:pPr>
      <w:tabs>
        <w:tab w:val="left" w:pos="1247"/>
        <w:tab w:val="left" w:pos="1814"/>
        <w:tab w:val="left" w:pos="2381"/>
        <w:tab w:val="left" w:pos="2948"/>
        <w:tab w:val="left" w:pos="3515"/>
      </w:tabs>
    </w:pPr>
  </w:style>
  <w:style w:type="paragraph" w:styleId="Heading1">
    <w:name w:val="heading 1"/>
    <w:basedOn w:val="Normal"/>
    <w:next w:val="Normal"/>
    <w:qFormat/>
    <w:rsid w:val="007774FB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7774FB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qFormat/>
    <w:rsid w:val="007774FB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qFormat/>
    <w:rsid w:val="007774FB"/>
    <w:pPr>
      <w:keepNext/>
      <w:outlineLvl w:val="3"/>
    </w:pPr>
  </w:style>
  <w:style w:type="paragraph" w:styleId="Heading5">
    <w:name w:val="heading 5"/>
    <w:basedOn w:val="Normal"/>
    <w:next w:val="Normal"/>
    <w:qFormat/>
    <w:rsid w:val="007774FB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7774FB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7774FB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7774FB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7774FB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AATable">
    <w:name w:val="AA_Table"/>
    <w:basedOn w:val="TableNormal"/>
    <w:rsid w:val="007774FB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Courier New" w:hAnsi="Courier New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Courier New" w:hAnsi="Courier New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Courier New" w:hAnsi="Courier New"/>
        <w:b/>
        <w:i w:val="0"/>
        <w:color w:val="auto"/>
        <w:sz w:val="64"/>
        <w:szCs w:val="64"/>
      </w:rPr>
    </w:tblStylePr>
    <w:tblStylePr w:type="nwCell">
      <w:rPr>
        <w:rFonts w:ascii="Courier New" w:hAnsi="Courier New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rsid w:val="007774FB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7774FB"/>
    <w:pPr>
      <w:spacing w:before="120" w:after="120"/>
      <w:ind w:right="1701"/>
    </w:pPr>
  </w:style>
  <w:style w:type="paragraph" w:customStyle="1" w:styleId="BBTitle">
    <w:name w:val="BB_Title"/>
    <w:basedOn w:val="Normal"/>
    <w:link w:val="BBTitleChar"/>
    <w:rsid w:val="007774FB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customStyle="1" w:styleId="CH1">
    <w:name w:val="CH1"/>
    <w:basedOn w:val="Normal"/>
    <w:next w:val="Normal"/>
    <w:rsid w:val="007774FB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"/>
    <w:link w:val="CH2Char"/>
    <w:rsid w:val="007774FB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"/>
    <w:rsid w:val="007774F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"/>
    <w:rsid w:val="007774F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5">
    <w:name w:val="CH5"/>
    <w:basedOn w:val="Normal"/>
    <w:next w:val="Normal"/>
    <w:semiHidden/>
    <w:rsid w:val="007774F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styleId="Footer">
    <w:name w:val="footer"/>
    <w:basedOn w:val="Normal"/>
    <w:link w:val="FooterChar"/>
    <w:uiPriority w:val="99"/>
    <w:rsid w:val="007774FB"/>
    <w:pPr>
      <w:tabs>
        <w:tab w:val="clear" w:pos="1247"/>
        <w:tab w:val="center" w:pos="4320"/>
        <w:tab w:val="right" w:pos="8640"/>
      </w:tabs>
      <w:spacing w:before="60" w:after="120"/>
    </w:pPr>
    <w:rPr>
      <w:sz w:val="18"/>
    </w:rPr>
  </w:style>
  <w:style w:type="table" w:customStyle="1" w:styleId="Footertable">
    <w:name w:val="Footer_table"/>
    <w:basedOn w:val="TableNormal"/>
    <w:semiHidden/>
    <w:rsid w:val="007774FB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character" w:styleId="FootnoteReference">
    <w:name w:val="footnote reference"/>
    <w:aliases w:val="Footnote text,16 Point,Superscript 6 Point,Footnote Text1,Footnote Text2"/>
    <w:uiPriority w:val="99"/>
    <w:semiHidden/>
    <w:rsid w:val="007774FB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Fußnotentextf"/>
    <w:basedOn w:val="Normal"/>
    <w:link w:val="FootnoteTextChar"/>
    <w:semiHidden/>
    <w:rsid w:val="007774FB"/>
    <w:pPr>
      <w:spacing w:before="20" w:after="40"/>
      <w:ind w:left="1247"/>
    </w:pPr>
    <w:rPr>
      <w:sz w:val="18"/>
    </w:rPr>
  </w:style>
  <w:style w:type="paragraph" w:styleId="Header">
    <w:name w:val="header"/>
    <w:basedOn w:val="Normal"/>
    <w:link w:val="HeaderChar"/>
    <w:uiPriority w:val="99"/>
    <w:rsid w:val="007774FB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7774FB"/>
    <w:rPr>
      <w:rFonts w:ascii="Times New Roman" w:hAnsi="Times New Roman"/>
      <w:color w:val="auto"/>
      <w:sz w:val="20"/>
      <w:szCs w:val="20"/>
      <w:u w:val="none"/>
      <w:lang w:val="ru-RU"/>
    </w:rPr>
  </w:style>
  <w:style w:type="numbering" w:customStyle="1" w:styleId="Normallist">
    <w:name w:val="Normal_list"/>
    <w:basedOn w:val="NoList"/>
    <w:rsid w:val="007774FB"/>
    <w:pPr>
      <w:numPr>
        <w:numId w:val="4"/>
      </w:numPr>
    </w:pPr>
  </w:style>
  <w:style w:type="paragraph" w:customStyle="1" w:styleId="NormalNonumber">
    <w:name w:val="Normal_No_number"/>
    <w:basedOn w:val="Normal"/>
    <w:autoRedefine/>
    <w:rsid w:val="00EA28D4"/>
    <w:pPr>
      <w:numPr>
        <w:ilvl w:val="3"/>
        <w:numId w:val="3"/>
      </w:numPr>
      <w:spacing w:after="120"/>
    </w:pPr>
  </w:style>
  <w:style w:type="paragraph" w:customStyle="1" w:styleId="Normalnumber">
    <w:name w:val="Normal_number"/>
    <w:basedOn w:val="Normal"/>
    <w:link w:val="NormalnumberChar"/>
    <w:autoRedefine/>
    <w:rsid w:val="003A5BAC"/>
    <w:pPr>
      <w:numPr>
        <w:numId w:val="8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  <w:ind w:left="1247" w:firstLine="0"/>
    </w:pPr>
  </w:style>
  <w:style w:type="character" w:styleId="PageNumber">
    <w:name w:val="page number"/>
    <w:semiHidden/>
    <w:rsid w:val="007774FB"/>
    <w:rPr>
      <w:rFonts w:ascii="Times New Roman" w:hAnsi="Times New Roman"/>
      <w:b/>
      <w:sz w:val="18"/>
    </w:rPr>
  </w:style>
  <w:style w:type="paragraph" w:styleId="TableofFigures">
    <w:name w:val="table of figures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table" w:customStyle="1" w:styleId="Tabledocright">
    <w:name w:val="Table_doc_right"/>
    <w:basedOn w:val="TableNormal"/>
    <w:rsid w:val="007774FB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customStyle="1" w:styleId="Titletable">
    <w:name w:val="Title_table"/>
    <w:basedOn w:val="Normal"/>
    <w:rsid w:val="007774FB"/>
    <w:pPr>
      <w:keepNext/>
      <w:keepLines/>
      <w:suppressAutoHyphens/>
      <w:spacing w:after="60"/>
      <w:ind w:left="1247"/>
    </w:pPr>
    <w:rPr>
      <w:b/>
      <w:bCs/>
    </w:rPr>
  </w:style>
  <w:style w:type="paragraph" w:customStyle="1" w:styleId="Titlefigure">
    <w:name w:val="Title_figure"/>
    <w:basedOn w:val="Titletable"/>
    <w:next w:val="NormalNonumber"/>
    <w:rsid w:val="007774FB"/>
    <w:rPr>
      <w:bCs w:val="0"/>
    </w:rPr>
  </w:style>
  <w:style w:type="paragraph" w:styleId="TOC1">
    <w:name w:val="toc 1"/>
    <w:basedOn w:val="Normal"/>
    <w:next w:val="Normal"/>
    <w:rsid w:val="007774FB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"/>
    <w:next w:val="Normal"/>
    <w:rsid w:val="007774FB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7774FB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7774FB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ZZAnxheader">
    <w:name w:val="ZZ_Anx_header"/>
    <w:basedOn w:val="Normal"/>
    <w:rsid w:val="007774FB"/>
    <w:rPr>
      <w:b/>
      <w:bCs/>
      <w:sz w:val="28"/>
      <w:szCs w:val="22"/>
    </w:rPr>
  </w:style>
  <w:style w:type="paragraph" w:customStyle="1" w:styleId="ZZAnxtitle">
    <w:name w:val="ZZ_Anx_title"/>
    <w:basedOn w:val="Normal"/>
    <w:rsid w:val="007774FB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semiHidden/>
    <w:rsid w:val="0087696F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05232B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autoRedefine/>
    <w:qFormat/>
    <w:rsid w:val="00D01C84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b/>
      <w:bCs/>
      <w:kern w:val="28"/>
      <w:sz w:val="28"/>
      <w:szCs w:val="28"/>
    </w:rPr>
  </w:style>
  <w:style w:type="character" w:customStyle="1" w:styleId="FootnoteTextChar">
    <w:name w:val="Footnote Text Char"/>
    <w:aliases w:val="Fußnotentextf Char"/>
    <w:link w:val="FootnoteText"/>
    <w:rsid w:val="00EA28D4"/>
    <w:rPr>
      <w:sz w:val="18"/>
      <w:lang w:val="ru-RU" w:eastAsia="ru-RU" w:bidi="ru-RU"/>
    </w:rPr>
  </w:style>
  <w:style w:type="paragraph" w:customStyle="1" w:styleId="Listavistosa-nfasis11">
    <w:name w:val="Lista vistosa - Énfasis 11"/>
    <w:basedOn w:val="Normal"/>
    <w:qFormat/>
    <w:rsid w:val="00EA28D4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uadrculamedia21">
    <w:name w:val="Cuadrícula media 21"/>
    <w:qFormat/>
    <w:rsid w:val="00EA28D4"/>
    <w:rPr>
      <w:rFonts w:ascii="Calibri" w:eastAsia="Calibri" w:hAnsi="Calibri"/>
      <w:sz w:val="22"/>
      <w:szCs w:val="22"/>
    </w:rPr>
  </w:style>
  <w:style w:type="character" w:styleId="Emphasis">
    <w:name w:val="Emphasis"/>
    <w:qFormat/>
    <w:rsid w:val="00EA28D4"/>
    <w:rPr>
      <w:i/>
      <w:iCs/>
    </w:rPr>
  </w:style>
  <w:style w:type="paragraph" w:customStyle="1" w:styleId="Normal-pool">
    <w:name w:val="Normal-pool"/>
    <w:rsid w:val="007D5247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</w:style>
  <w:style w:type="paragraph" w:customStyle="1" w:styleId="Default">
    <w:name w:val="Default"/>
    <w:rsid w:val="008406D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97092F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customStyle="1" w:styleId="TableGridLight1">
    <w:name w:val="Table Grid Light1"/>
    <w:basedOn w:val="TableNormal"/>
    <w:uiPriority w:val="40"/>
    <w:rsid w:val="0097092F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AC7B07"/>
    <w:rPr>
      <w:sz w:val="18"/>
      <w:lang w:val="ru-RU" w:eastAsia="ru-RU"/>
    </w:rPr>
  </w:style>
  <w:style w:type="character" w:customStyle="1" w:styleId="NormalnumberChar">
    <w:name w:val="Normal_number Char"/>
    <w:link w:val="Normalnumber"/>
    <w:rsid w:val="003A5BAC"/>
    <w:rPr>
      <w:lang w:val="ru-RU" w:eastAsia="ru-RU"/>
    </w:rPr>
  </w:style>
  <w:style w:type="character" w:customStyle="1" w:styleId="BBTitleChar">
    <w:name w:val="BB_Title Char"/>
    <w:link w:val="BBTitle"/>
    <w:locked/>
    <w:rsid w:val="00A61DD4"/>
    <w:rPr>
      <w:b/>
      <w:sz w:val="28"/>
      <w:szCs w:val="28"/>
      <w:lang w:val="ru-RU"/>
    </w:rPr>
  </w:style>
  <w:style w:type="character" w:customStyle="1" w:styleId="CH2Char">
    <w:name w:val="CH2 Char"/>
    <w:link w:val="CH2"/>
    <w:rsid w:val="00A61DD4"/>
    <w:rPr>
      <w:b/>
      <w:sz w:val="24"/>
      <w:szCs w:val="24"/>
      <w:lang w:val="ru-RU"/>
    </w:rPr>
  </w:style>
  <w:style w:type="paragraph" w:customStyle="1" w:styleId="LightGrid-Accent31">
    <w:name w:val="Light Grid - Accent 31"/>
    <w:basedOn w:val="Normal"/>
    <w:uiPriority w:val="99"/>
    <w:qFormat/>
    <w:rsid w:val="0071535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Subtitle">
    <w:name w:val="Sub title"/>
    <w:basedOn w:val="Heading2"/>
    <w:rsid w:val="0071535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0"/>
      <w:ind w:firstLine="0"/>
    </w:pPr>
  </w:style>
  <w:style w:type="character" w:styleId="CommentReference">
    <w:name w:val="annotation reference"/>
    <w:rsid w:val="002E70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708A"/>
  </w:style>
  <w:style w:type="character" w:customStyle="1" w:styleId="CommentTextChar">
    <w:name w:val="Comment Text Char"/>
    <w:link w:val="CommentText"/>
    <w:rsid w:val="002E708A"/>
    <w:rPr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2E708A"/>
    <w:rPr>
      <w:b/>
      <w:bCs/>
    </w:rPr>
  </w:style>
  <w:style w:type="character" w:customStyle="1" w:styleId="CommentSubjectChar">
    <w:name w:val="Comment Subject Char"/>
    <w:link w:val="CommentSubject"/>
    <w:rsid w:val="002E708A"/>
    <w:rPr>
      <w:b/>
      <w:bCs/>
      <w:lang w:val="ru-RU"/>
    </w:rPr>
  </w:style>
  <w:style w:type="character" w:customStyle="1" w:styleId="HeaderChar">
    <w:name w:val="Header Char"/>
    <w:basedOn w:val="DefaultParagraphFont"/>
    <w:link w:val="Header"/>
    <w:uiPriority w:val="99"/>
    <w:rsid w:val="007215A6"/>
    <w:rPr>
      <w:b/>
      <w:sz w:val="18"/>
      <w:lang w:val="ru-RU" w:eastAsia="ru-RU"/>
    </w:rPr>
  </w:style>
  <w:style w:type="paragraph" w:styleId="ListParagraph">
    <w:name w:val="List Paragraph"/>
    <w:basedOn w:val="Normal"/>
    <w:uiPriority w:val="99"/>
    <w:qFormat/>
    <w:rsid w:val="00A33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1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rowse.ceda.ac.uk/browse/badc/cru/data/cru_cy/cru_cy_3.22/data/tm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5A672C675594D8A1C18D798CA5672" ma:contentTypeVersion="" ma:contentTypeDescription="Create a new document." ma:contentTypeScope="" ma:versionID="6400cb1d0bcb6374d9249daf8a5623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9CD166-4B7B-2541-A8F9-5CD883FE7ADC}"/>
</file>

<file path=customXml/itemProps2.xml><?xml version="1.0" encoding="utf-8"?>
<ds:datastoreItem xmlns:ds="http://schemas.openxmlformats.org/officeDocument/2006/customXml" ds:itemID="{3623FF85-89B6-4707-B1E3-705177358C9A}"/>
</file>

<file path=customXml/itemProps3.xml><?xml version="1.0" encoding="utf-8"?>
<ds:datastoreItem xmlns:ds="http://schemas.openxmlformats.org/officeDocument/2006/customXml" ds:itemID="{13F265FB-6917-4E5B-93F1-658408CB0DCC}"/>
</file>

<file path=customXml/itemProps4.xml><?xml version="1.0" encoding="utf-8"?>
<ds:datastoreItem xmlns:ds="http://schemas.openxmlformats.org/officeDocument/2006/customXml" ds:itemID="{38E2D5A0-1BCE-4910-8ED3-ECFE65F496E8}"/>
</file>

<file path=customXml/itemProps5.xml><?xml version="1.0" encoding="utf-8"?>
<ds:datastoreItem xmlns:ds="http://schemas.openxmlformats.org/officeDocument/2006/customXml" ds:itemID="{FBEFC4E6-6EB0-44EB-865F-67E832A4B6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3123</Words>
  <Characters>17806</Characters>
  <Application>Microsoft Macintosh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amendment to the Montreal Protocol on Substances that Deplete the Ozone Layer submitted by Canada, Mexico and the United States of America</vt:lpstr>
    </vt:vector>
  </TitlesOfParts>
  <Company>HP</Company>
  <LinksUpToDate>false</LinksUpToDate>
  <CharactersWithSpaces>20888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amendment to the Montreal Protocol on Substances that Deplete the Ozone Layer submitted by Canada, Mexico and the United States of America</dc:title>
  <dc:creator>mbauj</dc:creator>
  <cp:lastModifiedBy>Gerald Mutisya</cp:lastModifiedBy>
  <cp:revision>3</cp:revision>
  <cp:lastPrinted>2016-10-13T19:01:00Z</cp:lastPrinted>
  <dcterms:created xsi:type="dcterms:W3CDTF">2016-10-14T06:26:00Z</dcterms:created>
  <dcterms:modified xsi:type="dcterms:W3CDTF">2016-10-14T08:31:00Z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Excellink">
    <vt:lpwstr>, </vt:lpwstr>
  </property>
  <property fmtid="{D5CDD505-2E9C-101B-9397-08002B2CF9AE}" pid="4" name="order number">
    <vt:lpwstr>41</vt:lpwstr>
  </property>
  <property fmtid="{D5CDD505-2E9C-101B-9397-08002B2CF9AE}" pid="5" name="Hide">
    <vt:lpwstr/>
  </property>
  <property fmtid="{D5CDD505-2E9C-101B-9397-08002B2CF9AE}" pid="6" name="Document Tilte">
    <vt:lpwstr>Proposed amendment to the Montreal Protocol submitted by Canada, Mexico and the United States of America</vt:lpwstr>
  </property>
  <property fmtid="{D5CDD505-2E9C-101B-9397-08002B2CF9AE}" pid="7" name="ContentTypeId">
    <vt:lpwstr>0x010100A055A672C675594D8A1C18D798CA5672</vt:lpwstr>
  </property>
</Properties>
</file>