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5C7EA" w14:textId="5027C736" w:rsidR="00860B7F" w:rsidRPr="00B1611D" w:rsidRDefault="000121E1" w:rsidP="00860B7F">
      <w:pPr>
        <w:pStyle w:val="BBTitle"/>
        <w:rPr>
          <w:lang w:val="es-ES" w:eastAsia="en-GB"/>
        </w:rPr>
      </w:pPr>
      <w:bookmarkStart w:id="0" w:name="_GoBack"/>
      <w:bookmarkEnd w:id="0"/>
      <w:r w:rsidRPr="00B1611D">
        <w:rPr>
          <w:lang w:val="es-ES" w:eastAsia="en-GB"/>
        </w:rPr>
        <w:t xml:space="preserve">Texto del proyecto de </w:t>
      </w:r>
      <w:r w:rsidR="00851BBF" w:rsidRPr="00B1611D">
        <w:rPr>
          <w:lang w:val="es-ES" w:eastAsia="en-GB"/>
        </w:rPr>
        <w:t>decisió</w:t>
      </w:r>
      <w:r w:rsidRPr="00B1611D">
        <w:rPr>
          <w:lang w:val="es-ES" w:eastAsia="en-GB"/>
        </w:rPr>
        <w:t>n relativo a las soluciones a los problemas identificados en virtud de la Hoja de ruta de Dubái</w:t>
      </w:r>
    </w:p>
    <w:p w14:paraId="2F366AE7" w14:textId="4C3285E8" w:rsidR="00860B7F" w:rsidRPr="00B1611D" w:rsidRDefault="000121E1" w:rsidP="00860B7F">
      <w:pPr>
        <w:pStyle w:val="Normal-pool"/>
        <w:tabs>
          <w:tab w:val="clear" w:pos="1247"/>
          <w:tab w:val="clear" w:pos="1814"/>
          <w:tab w:val="clear" w:pos="2381"/>
          <w:tab w:val="clear" w:pos="2948"/>
          <w:tab w:val="clear" w:pos="3515"/>
          <w:tab w:val="clear" w:pos="4082"/>
          <w:tab w:val="left" w:pos="624"/>
        </w:tabs>
        <w:spacing w:after="120"/>
        <w:ind w:left="1247"/>
        <w:rPr>
          <w:rFonts w:eastAsia="Calibri"/>
          <w:i/>
          <w:lang w:val="es-ES"/>
        </w:rPr>
      </w:pPr>
      <w:r w:rsidRPr="00B1611D">
        <w:rPr>
          <w:rFonts w:eastAsia="Calibri"/>
          <w:i/>
          <w:lang w:val="es-ES"/>
        </w:rPr>
        <w:t>La 28ª Reunión de las Partes decide</w:t>
      </w:r>
      <w:r w:rsidR="00860B7F" w:rsidRPr="00B1611D">
        <w:rPr>
          <w:rFonts w:eastAsia="Calibri"/>
          <w:i/>
          <w:lang w:val="es-ES"/>
        </w:rPr>
        <w:t>:</w:t>
      </w:r>
    </w:p>
    <w:p w14:paraId="55AFFDA7" w14:textId="7420A67C" w:rsidR="00860B7F" w:rsidRPr="00B1611D" w:rsidRDefault="00A84B9C" w:rsidP="000466B3">
      <w:pPr>
        <w:pStyle w:val="CH2"/>
        <w:rPr>
          <w:lang w:val="es-ES" w:eastAsia="en-GB"/>
        </w:rPr>
      </w:pPr>
      <w:r w:rsidRPr="00B1611D">
        <w:rPr>
          <w:lang w:val="es-ES" w:eastAsia="en-GB"/>
        </w:rPr>
        <w:tab/>
      </w:r>
      <w:r w:rsidRPr="00B1611D">
        <w:rPr>
          <w:lang w:val="es-ES" w:eastAsia="en-GB"/>
        </w:rPr>
        <w:tab/>
        <w:t>[</w:t>
      </w:r>
      <w:r w:rsidR="000121E1" w:rsidRPr="00B1611D">
        <w:rPr>
          <w:lang w:val="es-ES" w:eastAsia="en-GB"/>
        </w:rPr>
        <w:t>Problema</w:t>
      </w:r>
      <w:r w:rsidR="00860B7F" w:rsidRPr="00B1611D">
        <w:rPr>
          <w:lang w:val="es-ES" w:eastAsia="en-GB"/>
        </w:rPr>
        <w:t xml:space="preserve"> 3]</w:t>
      </w:r>
    </w:p>
    <w:p w14:paraId="106F6283" w14:textId="44EF6029" w:rsidR="00860B7F" w:rsidRPr="00B1611D" w:rsidRDefault="000121E1" w:rsidP="00E613F9">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Reconocer la importancia de la actualización oportuna de las normas internacionales que rigen el uso de refrigerantes inflamables con bajo PCA</w:t>
      </w:r>
      <w:r w:rsidR="00860B7F" w:rsidRPr="00B1611D">
        <w:rPr>
          <w:rFonts w:eastAsia="Calibri"/>
          <w:lang w:val="es-ES"/>
        </w:rPr>
        <w:t xml:space="preserve">, </w:t>
      </w:r>
      <w:r w:rsidRPr="00B1611D">
        <w:rPr>
          <w:rFonts w:eastAsia="Calibri"/>
          <w:lang w:val="es-ES"/>
        </w:rPr>
        <w:t xml:space="preserve">entre otros el </w:t>
      </w:r>
      <w:r w:rsidR="00860B7F" w:rsidRPr="00B1611D">
        <w:rPr>
          <w:rFonts w:eastAsia="Calibri"/>
          <w:lang w:val="es-ES"/>
        </w:rPr>
        <w:t xml:space="preserve">IEC60335-2-40, </w:t>
      </w:r>
      <w:r w:rsidR="00A81C52" w:rsidRPr="00B1611D">
        <w:rPr>
          <w:rFonts w:eastAsia="Calibri"/>
          <w:lang w:val="es-ES"/>
        </w:rPr>
        <w:t>y respaldar la promoción de medidas que permitan su introducción segura en el mercado</w:t>
      </w:r>
      <w:r w:rsidR="00860B7F" w:rsidRPr="00B1611D">
        <w:rPr>
          <w:rFonts w:eastAsia="Calibri"/>
          <w:lang w:val="es-ES"/>
        </w:rPr>
        <w:t>, as</w:t>
      </w:r>
      <w:r w:rsidR="00A81C52" w:rsidRPr="00B1611D">
        <w:rPr>
          <w:rFonts w:eastAsia="Calibri"/>
          <w:lang w:val="es-ES"/>
        </w:rPr>
        <w:t>í como la fabricación, operación, mantenimiento y manipulación de refrigerantes alternativos a los hidroclorofluorocarbonos y los hidrofluorocarbonos con PCA bajo o nulo</w:t>
      </w:r>
      <w:r w:rsidR="00860B7F" w:rsidRPr="00B1611D">
        <w:rPr>
          <w:rFonts w:eastAsia="Calibri"/>
          <w:lang w:val="es-ES"/>
        </w:rPr>
        <w:t>;</w:t>
      </w:r>
      <w:r w:rsidR="00860B7F" w:rsidRPr="00B1611D">
        <w:rPr>
          <w:rFonts w:eastAsia="Calibri"/>
          <w:vertAlign w:val="superscript"/>
          <w:lang w:val="es-ES"/>
        </w:rPr>
        <w:t xml:space="preserve"> </w:t>
      </w:r>
    </w:p>
    <w:p w14:paraId="1C22F6F0" w14:textId="177AC961" w:rsidR="00860B7F" w:rsidRPr="00B1611D" w:rsidRDefault="00A81C52"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ascii="Calibri" w:eastAsia="Calibri" w:hAnsi="Calibri"/>
          <w:lang w:val="es-ES"/>
        </w:rPr>
      </w:pPr>
      <w:r w:rsidRPr="00B1611D">
        <w:rPr>
          <w:rFonts w:eastAsia="Calibri"/>
          <w:lang w:val="es-ES"/>
        </w:rPr>
        <w:t xml:space="preserve">Realizar examines periódicos de las alternativas aplicando los criterios establecidos en el párrafo </w:t>
      </w:r>
      <w:r w:rsidR="00860B7F" w:rsidRPr="00B1611D">
        <w:rPr>
          <w:rFonts w:eastAsia="Calibri"/>
          <w:lang w:val="es-ES"/>
        </w:rPr>
        <w:t>1 a)</w:t>
      </w:r>
      <w:r w:rsidRPr="00B1611D">
        <w:rPr>
          <w:rFonts w:eastAsia="Calibri"/>
          <w:lang w:val="es-ES"/>
        </w:rPr>
        <w:t xml:space="preserve"> de la decisión</w:t>
      </w:r>
      <w:r w:rsidR="00860B7F" w:rsidRPr="00B1611D">
        <w:rPr>
          <w:rFonts w:eastAsia="Calibri"/>
          <w:lang w:val="es-ES"/>
        </w:rPr>
        <w:t xml:space="preserve"> XXVI/9.</w:t>
      </w:r>
      <w:r w:rsidR="00860B7F" w:rsidRPr="00B1611D">
        <w:rPr>
          <w:rFonts w:eastAsia="Calibri"/>
          <w:color w:val="FF0000"/>
          <w:lang w:val="es-ES"/>
        </w:rPr>
        <w:t xml:space="preserve"> [</w:t>
      </w:r>
      <w:r w:rsidR="000121E1" w:rsidRPr="00B1611D">
        <w:rPr>
          <w:rFonts w:eastAsia="Calibri"/>
          <w:color w:val="FF0000"/>
          <w:lang w:val="es-ES"/>
        </w:rPr>
        <w:t xml:space="preserve">Nota del </w:t>
      </w:r>
      <w:r w:rsidRPr="00B1611D">
        <w:rPr>
          <w:rFonts w:eastAsia="Calibri"/>
          <w:color w:val="FF0000"/>
          <w:lang w:val="es-ES"/>
        </w:rPr>
        <w:t>Grupo de redacción de textos jurídicos</w:t>
      </w:r>
      <w:r w:rsidR="00860B7F" w:rsidRPr="00B1611D">
        <w:rPr>
          <w:rFonts w:eastAsia="Calibri"/>
          <w:color w:val="FF0000"/>
          <w:lang w:val="es-ES"/>
        </w:rPr>
        <w:t xml:space="preserve">: </w:t>
      </w:r>
      <w:r w:rsidRPr="00B1611D">
        <w:rPr>
          <w:rFonts w:eastAsia="Calibri"/>
          <w:color w:val="FF0000"/>
          <w:lang w:val="es-ES"/>
        </w:rPr>
        <w:t>en el texto sobre las soluciones se planteaba que las Partes examinarán esta cuestión en la 38ª reunión del Grupo de Trabajo de composición abierta</w:t>
      </w:r>
      <w:r w:rsidR="00860B7F" w:rsidRPr="00B1611D">
        <w:rPr>
          <w:rFonts w:ascii="Calibri" w:eastAsia="Calibri" w:hAnsi="Calibri"/>
          <w:color w:val="FF0000"/>
          <w:lang w:val="es-ES"/>
        </w:rPr>
        <w:t>]</w:t>
      </w:r>
    </w:p>
    <w:p w14:paraId="25523CBE" w14:textId="4576BBAC" w:rsidR="00860B7F" w:rsidRPr="00B1611D" w:rsidRDefault="00860B7F" w:rsidP="000466B3">
      <w:pPr>
        <w:pStyle w:val="CH2"/>
        <w:rPr>
          <w:lang w:val="es-ES" w:eastAsia="en-GB"/>
        </w:rPr>
      </w:pPr>
      <w:r w:rsidRPr="00B1611D">
        <w:rPr>
          <w:lang w:val="es-ES" w:eastAsia="en-GB"/>
        </w:rPr>
        <w:tab/>
      </w:r>
      <w:r w:rsidRPr="00B1611D">
        <w:rPr>
          <w:lang w:val="es-ES" w:eastAsia="en-GB"/>
        </w:rPr>
        <w:tab/>
        <w:t>[</w:t>
      </w:r>
      <w:r w:rsidR="000121E1" w:rsidRPr="00B1611D">
        <w:rPr>
          <w:lang w:val="es-ES" w:eastAsia="en-GB"/>
        </w:rPr>
        <w:t>Problema</w:t>
      </w:r>
      <w:r w:rsidRPr="00B1611D">
        <w:rPr>
          <w:lang w:val="es-ES" w:eastAsia="en-GB"/>
        </w:rPr>
        <w:t xml:space="preserve"> 4]</w:t>
      </w:r>
    </w:p>
    <w:p w14:paraId="61A1A852" w14:textId="5057FA59" w:rsidR="00860B7F" w:rsidRPr="00B1611D" w:rsidRDefault="008A25A1"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 xml:space="preserve">Que las Partes que operan al amparo del párrafo </w:t>
      </w:r>
      <w:r w:rsidR="00860B7F" w:rsidRPr="00B1611D">
        <w:rPr>
          <w:rFonts w:eastAsia="Calibri"/>
          <w:lang w:val="es-ES" w:eastAsia="zh-CN"/>
        </w:rPr>
        <w:t xml:space="preserve">1 </w:t>
      </w:r>
      <w:r w:rsidRPr="00B1611D">
        <w:rPr>
          <w:rFonts w:eastAsia="Calibri"/>
          <w:lang w:val="es-ES" w:eastAsia="zh-CN"/>
        </w:rPr>
        <w:t xml:space="preserve">del artículo </w:t>
      </w:r>
      <w:r w:rsidR="00860B7F" w:rsidRPr="00B1611D">
        <w:rPr>
          <w:rFonts w:eastAsia="Calibri"/>
          <w:lang w:val="es-ES" w:eastAsia="zh-CN"/>
        </w:rPr>
        <w:t xml:space="preserve">5 </w:t>
      </w:r>
      <w:r w:rsidRPr="00B1611D">
        <w:rPr>
          <w:rFonts w:eastAsia="Calibri"/>
          <w:lang w:val="es-ES" w:eastAsia="zh-CN"/>
        </w:rPr>
        <w:t xml:space="preserve">tendrán flexibilidad para priorizar la cuestión de los hidrofluorocarbonos, </w:t>
      </w:r>
      <w:r w:rsidRPr="00B1611D">
        <w:rPr>
          <w:color w:val="000000"/>
          <w:lang w:val="es-ES"/>
        </w:rPr>
        <w:t>definir sectores, seleccionar tecnologías/alternativas, elaborar y aplicar</w:t>
      </w:r>
      <w:r w:rsidR="00A451B6" w:rsidRPr="00B1611D">
        <w:rPr>
          <w:color w:val="000000"/>
          <w:lang w:val="es-ES"/>
        </w:rPr>
        <w:t xml:space="preserve"> </w:t>
      </w:r>
      <w:r w:rsidRPr="00B1611D">
        <w:rPr>
          <w:color w:val="000000"/>
          <w:lang w:val="es-ES"/>
        </w:rPr>
        <w:t>estrategias para cumplir sus obligaciones acordadas relativas a los hidrofluorocarbonos, sobre la base de sus necesidades específicas y sus circunstancias nacionales y aplicando el criterio que determine cada país</w:t>
      </w:r>
      <w:r w:rsidR="00DB7D73">
        <w:rPr>
          <w:color w:val="000000"/>
          <w:lang w:val="es-ES"/>
        </w:rPr>
        <w:t>.</w:t>
      </w:r>
    </w:p>
    <w:p w14:paraId="11C334EC" w14:textId="613BF298" w:rsidR="00860B7F" w:rsidRPr="00B1611D" w:rsidRDefault="008A25A1"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 xml:space="preserve">Pedir al Comité Ejecutivo del Fondo </w:t>
      </w:r>
      <w:r w:rsidR="00860B7F" w:rsidRPr="00B1611D">
        <w:rPr>
          <w:rFonts w:eastAsia="Calibri"/>
          <w:lang w:val="es-ES" w:eastAsia="zh-CN"/>
        </w:rPr>
        <w:t xml:space="preserve">Multilateral </w:t>
      </w:r>
      <w:r w:rsidRPr="00B1611D">
        <w:rPr>
          <w:rFonts w:eastAsia="Calibri"/>
          <w:lang w:val="es-ES" w:eastAsia="zh-CN"/>
        </w:rPr>
        <w:t>que incorpore el principio enunciado en el párrafo precedente en las directrices sobre financiación pertinentes</w:t>
      </w:r>
      <w:r w:rsidR="00A451B6" w:rsidRPr="00B1611D">
        <w:rPr>
          <w:rFonts w:eastAsia="Calibri"/>
          <w:lang w:val="es-ES" w:eastAsia="zh-CN"/>
        </w:rPr>
        <w:t xml:space="preserve"> </w:t>
      </w:r>
      <w:r w:rsidRPr="00B1611D">
        <w:rPr>
          <w:rFonts w:eastAsia="Calibri"/>
          <w:lang w:val="es-ES" w:eastAsia="zh-CN"/>
        </w:rPr>
        <w:t>para la</w:t>
      </w:r>
      <w:r w:rsidR="00860B7F" w:rsidRPr="00B1611D">
        <w:rPr>
          <w:rFonts w:eastAsia="Calibri"/>
          <w:lang w:val="es-ES" w:eastAsia="zh-CN"/>
        </w:rPr>
        <w:t xml:space="preserve"> </w:t>
      </w:r>
      <w:r w:rsidRPr="00B1611D">
        <w:rPr>
          <w:rFonts w:eastAsia="Calibri"/>
          <w:lang w:val="es-ES" w:eastAsia="zh-CN"/>
        </w:rPr>
        <w:t>eliminación gradual de los hidrofluorocarbonos y en su proceso de adopción de decisiones</w:t>
      </w:r>
      <w:r w:rsidR="00860B7F" w:rsidRPr="00B1611D">
        <w:rPr>
          <w:rFonts w:eastAsia="Calibri"/>
          <w:lang w:val="es-ES" w:eastAsia="zh-CN"/>
        </w:rPr>
        <w:t>.</w:t>
      </w:r>
    </w:p>
    <w:p w14:paraId="7B81F5B9" w14:textId="6C120A59" w:rsidR="00860B7F" w:rsidRPr="00B1611D" w:rsidRDefault="00860B7F" w:rsidP="000466B3">
      <w:pPr>
        <w:pStyle w:val="CH2"/>
        <w:rPr>
          <w:lang w:val="es-ES" w:eastAsia="en-GB"/>
        </w:rPr>
      </w:pPr>
      <w:r w:rsidRPr="00B1611D">
        <w:rPr>
          <w:lang w:val="es-ES" w:eastAsia="en-GB"/>
        </w:rPr>
        <w:tab/>
      </w:r>
      <w:r w:rsidRPr="00B1611D">
        <w:rPr>
          <w:lang w:val="es-ES" w:eastAsia="en-GB"/>
        </w:rPr>
        <w:tab/>
        <w:t>[</w:t>
      </w:r>
      <w:r w:rsidR="000121E1" w:rsidRPr="00B1611D">
        <w:rPr>
          <w:lang w:val="es-ES" w:eastAsia="en-GB"/>
        </w:rPr>
        <w:t>Problema</w:t>
      </w:r>
      <w:r w:rsidRPr="00B1611D">
        <w:rPr>
          <w:lang w:val="es-ES" w:eastAsia="en-GB"/>
        </w:rPr>
        <w:t xml:space="preserve"> 6]</w:t>
      </w:r>
    </w:p>
    <w:p w14:paraId="39C105E5" w14:textId="55C8B513" w:rsidR="00860B7F" w:rsidRPr="00B1611D" w:rsidRDefault="008A25A1"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color w:val="000000"/>
          <w:lang w:val="es-ES"/>
        </w:rPr>
        <w:t xml:space="preserve">Reconocer el vínculo entre los calendarios de reducción de los </w:t>
      </w:r>
      <w:r w:rsidR="00411474" w:rsidRPr="00B1611D">
        <w:rPr>
          <w:color w:val="000000"/>
          <w:lang w:val="es-ES"/>
        </w:rPr>
        <w:t>hidrofluorocarbonos y los hidroclorofluorocarbonos</w:t>
      </w:r>
      <w:r w:rsidRPr="00B1611D">
        <w:rPr>
          <w:color w:val="000000"/>
          <w:lang w:val="es-ES"/>
        </w:rPr>
        <w:t xml:space="preserve"> de los distintos sectores y la preferencia de evitar </w:t>
      </w:r>
      <w:r w:rsidR="00411474" w:rsidRPr="00B1611D">
        <w:rPr>
          <w:color w:val="000000"/>
          <w:lang w:val="es-ES"/>
        </w:rPr>
        <w:t>conversiones</w:t>
      </w:r>
      <w:r w:rsidRPr="00B1611D">
        <w:rPr>
          <w:color w:val="000000"/>
          <w:lang w:val="es-ES"/>
        </w:rPr>
        <w:t xml:space="preserve"> de los </w:t>
      </w:r>
      <w:r w:rsidR="00411474" w:rsidRPr="00B1611D">
        <w:rPr>
          <w:color w:val="000000"/>
          <w:lang w:val="es-ES"/>
        </w:rPr>
        <w:t xml:space="preserve">hidroclorofluorocarbonos a hidrofluorocarbonos </w:t>
      </w:r>
      <w:r w:rsidRPr="00B1611D">
        <w:rPr>
          <w:color w:val="000000"/>
          <w:lang w:val="es-ES"/>
        </w:rPr>
        <w:t xml:space="preserve">con alto PCA y </w:t>
      </w:r>
      <w:r w:rsidR="00411474" w:rsidRPr="00B1611D">
        <w:rPr>
          <w:color w:val="000000"/>
          <w:lang w:val="es-ES"/>
        </w:rPr>
        <w:t xml:space="preserve">mostrar </w:t>
      </w:r>
      <w:r w:rsidRPr="00B1611D">
        <w:rPr>
          <w:color w:val="000000"/>
          <w:lang w:val="es-ES"/>
        </w:rPr>
        <w:t xml:space="preserve">flexibilidad en los casos en que no se disponga de </w:t>
      </w:r>
      <w:r w:rsidR="00411474" w:rsidRPr="00B1611D">
        <w:rPr>
          <w:color w:val="000000"/>
          <w:lang w:val="es-ES"/>
        </w:rPr>
        <w:t xml:space="preserve">otras </w:t>
      </w:r>
      <w:r w:rsidRPr="00B1611D">
        <w:rPr>
          <w:color w:val="000000"/>
          <w:lang w:val="es-ES"/>
        </w:rPr>
        <w:t xml:space="preserve">alternativas </w:t>
      </w:r>
      <w:r w:rsidR="00411474" w:rsidRPr="00B1611D">
        <w:rPr>
          <w:color w:val="000000"/>
          <w:lang w:val="es-ES"/>
        </w:rPr>
        <w:t xml:space="preserve">demostradas </w:t>
      </w:r>
      <w:r w:rsidRPr="00B1611D">
        <w:rPr>
          <w:color w:val="000000"/>
          <w:lang w:val="es-ES"/>
        </w:rPr>
        <w:t>desde el punto de vista técnico y económic</w:t>
      </w:r>
      <w:r w:rsidR="00411474" w:rsidRPr="00B1611D">
        <w:rPr>
          <w:color w:val="000000"/>
          <w:lang w:val="es-ES"/>
        </w:rPr>
        <w:t>amente viables</w:t>
      </w:r>
      <w:r w:rsidR="00860B7F" w:rsidRPr="00B1611D">
        <w:rPr>
          <w:rFonts w:eastAsia="Calibri"/>
          <w:lang w:val="es-ES" w:eastAsia="zh-CN"/>
        </w:rPr>
        <w:t>;</w:t>
      </w:r>
    </w:p>
    <w:p w14:paraId="3D0BFD74" w14:textId="4E72E496" w:rsidR="00860B7F" w:rsidRPr="00B1611D" w:rsidRDefault="00411474"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color w:val="000000"/>
          <w:lang w:val="es-ES"/>
        </w:rPr>
        <w:t>Reconocer también estos vínculos con respecto a determinados sectores, en particular el sector de la refrigeración de procesos industriales, y que es preferible evitar conversiones de los hidroclorofluorocarbonos a hidrofluorocarbonos con alto PCA, y estar dispuestas a mostrar flexibilidad en los casos en que no existan otras alternativas, cuando</w:t>
      </w:r>
      <w:r w:rsidR="00860B7F" w:rsidRPr="00B1611D">
        <w:rPr>
          <w:rFonts w:eastAsia="Calibri"/>
          <w:lang w:val="es-ES" w:eastAsia="zh-CN"/>
        </w:rPr>
        <w:t>: 1)</w:t>
      </w:r>
      <w:r w:rsidRPr="00B1611D">
        <w:rPr>
          <w:rFonts w:eastAsia="Calibri"/>
          <w:lang w:val="es-ES" w:eastAsia="zh-CN"/>
        </w:rPr>
        <w:t xml:space="preserve"> no sea posible obtener hidroclorofluorocarbonos del consumo permisible asignado ni de las existencias ni de los materiales recuperados o reciclados</w:t>
      </w:r>
      <w:r w:rsidRPr="00B1611D">
        <w:rPr>
          <w:color w:val="000000"/>
          <w:lang w:val="es-ES"/>
        </w:rPr>
        <w:t xml:space="preserve"> y 2) en caso de que </w:t>
      </w:r>
      <w:r w:rsidR="00851BBF" w:rsidRPr="00B1611D">
        <w:rPr>
          <w:color w:val="000000"/>
          <w:lang w:val="es-ES"/>
        </w:rPr>
        <w:t xml:space="preserve">en fecha posterior </w:t>
      </w:r>
      <w:r w:rsidRPr="00B1611D">
        <w:rPr>
          <w:color w:val="000000"/>
          <w:lang w:val="es-ES"/>
        </w:rPr>
        <w:t xml:space="preserve">pudiera dar lugar a la transición directa de los hidroclorofluorocarbonos a alternativas con </w:t>
      </w:r>
      <w:r w:rsidR="00851BBF" w:rsidRPr="00B1611D">
        <w:rPr>
          <w:color w:val="000000"/>
          <w:lang w:val="es-ES"/>
        </w:rPr>
        <w:t xml:space="preserve">PCA </w:t>
      </w:r>
      <w:r w:rsidRPr="00B1611D">
        <w:rPr>
          <w:color w:val="000000"/>
          <w:lang w:val="es-ES"/>
        </w:rPr>
        <w:t>bajo o nulo</w:t>
      </w:r>
      <w:r w:rsidR="00860B7F" w:rsidRPr="00B1611D">
        <w:rPr>
          <w:rFonts w:eastAsia="Calibri"/>
          <w:lang w:val="es-ES" w:eastAsia="zh-CN"/>
        </w:rPr>
        <w:t>.</w:t>
      </w:r>
    </w:p>
    <w:p w14:paraId="10072E20" w14:textId="50FC4E32" w:rsidR="00860B7F" w:rsidRPr="00B1611D" w:rsidRDefault="005128F9"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Prever</w:t>
      </w:r>
      <w:r w:rsidR="00860B7F" w:rsidRPr="00B1611D">
        <w:rPr>
          <w:rFonts w:eastAsia="Calibri"/>
          <w:lang w:val="es-ES" w:eastAsia="zh-CN"/>
        </w:rPr>
        <w:t xml:space="preserve">, </w:t>
      </w:r>
      <w:r w:rsidR="00944A63" w:rsidRPr="00B1611D">
        <w:rPr>
          <w:rFonts w:eastAsia="Calibri"/>
          <w:lang w:val="es-ES" w:eastAsia="zh-CN"/>
        </w:rPr>
        <w:t>antes de que se implemente cualquier congelación de los hidrofluorocarbonos u obligación inicial de control de otra índole en Partes que operan al amparo del artículo 5 y teniendo en cuenta el reconocimiento hecho en el párrafo anterior</w:t>
      </w:r>
      <w:r w:rsidR="00860B7F" w:rsidRPr="00B1611D">
        <w:rPr>
          <w:rFonts w:eastAsia="Calibri"/>
          <w:lang w:val="es-ES" w:eastAsia="zh-CN"/>
        </w:rPr>
        <w:t xml:space="preserve">, </w:t>
      </w:r>
      <w:r w:rsidRPr="00B1611D">
        <w:rPr>
          <w:rFonts w:eastAsia="Calibri"/>
          <w:lang w:val="es-ES" w:eastAsia="zh-CN"/>
        </w:rPr>
        <w:t>las medidas de flexibilidad en relación con la eliminación de los hidroclorofluorocarbonos de interés para determinados sectores, en particular el subsector de refrigeración de procesos industriales</w:t>
      </w:r>
      <w:r w:rsidR="00860B7F" w:rsidRPr="00B1611D">
        <w:rPr>
          <w:rFonts w:eastAsia="Calibri"/>
          <w:lang w:val="es-ES" w:eastAsia="zh-CN"/>
        </w:rPr>
        <w:t xml:space="preserve">, </w:t>
      </w:r>
      <w:r w:rsidRPr="00B1611D">
        <w:rPr>
          <w:rFonts w:eastAsia="Calibri"/>
          <w:lang w:val="es-ES" w:eastAsia="zh-CN"/>
        </w:rPr>
        <w:t>a fin de evitar la doble conversión</w:t>
      </w:r>
      <w:r w:rsidR="00860B7F" w:rsidRPr="00B1611D">
        <w:rPr>
          <w:rFonts w:eastAsia="Calibri"/>
          <w:lang w:val="es-ES" w:eastAsia="zh-CN"/>
        </w:rPr>
        <w:t>.</w:t>
      </w:r>
    </w:p>
    <w:p w14:paraId="3D915B9C" w14:textId="68959AF4" w:rsidR="00860B7F" w:rsidRPr="00B1611D"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851BBF" w:rsidRPr="00B1611D">
        <w:rPr>
          <w:lang w:val="es-ES" w:eastAsia="en-GB"/>
        </w:rPr>
        <w:t>Extraído del apéndice</w:t>
      </w:r>
      <w:r w:rsidRPr="00B1611D">
        <w:rPr>
          <w:lang w:val="es-ES" w:eastAsia="en-GB"/>
        </w:rPr>
        <w:t xml:space="preserve"> I – </w:t>
      </w:r>
      <w:r w:rsidR="00851BBF" w:rsidRPr="00B1611D">
        <w:rPr>
          <w:lang w:val="es-ES" w:eastAsia="en-GB"/>
        </w:rPr>
        <w:t>Soluciones para los problemas en cuestiones de financiación y la flexibilidad de la aplicación</w:t>
      </w:r>
      <w:r w:rsidRPr="00B1611D">
        <w:rPr>
          <w:lang w:val="es-ES" w:eastAsia="en-GB"/>
        </w:rPr>
        <w:t>]</w:t>
      </w:r>
    </w:p>
    <w:p w14:paraId="6393FF81" w14:textId="20D6DD2B" w:rsidR="00860B7F" w:rsidRPr="00B1611D"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851BBF" w:rsidRPr="00B1611D">
        <w:rPr>
          <w:lang w:val="es-ES" w:eastAsia="en-GB"/>
        </w:rPr>
        <w:t>Principios generales y plazos</w:t>
      </w:r>
      <w:r w:rsidRPr="00B1611D">
        <w:rPr>
          <w:lang w:val="es-ES" w:eastAsia="en-GB"/>
        </w:rPr>
        <w:t>]</w:t>
      </w:r>
    </w:p>
    <w:p w14:paraId="702877CD" w14:textId="656F9C2C" w:rsidR="00860B7F" w:rsidRPr="00B1611D"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851BBF" w:rsidRPr="00B1611D">
        <w:rPr>
          <w:color w:val="FF0000"/>
          <w:lang w:val="es-ES" w:eastAsia="en-GB"/>
        </w:rPr>
        <w:t>Nota del Grupo de redacción de textos jurídicos: El texto que sigue figura en las soluciones para los problemas en cuestiones de financiación y la flexibilidad de la aplicación</w:t>
      </w:r>
      <w:r w:rsidRPr="00B1611D">
        <w:rPr>
          <w:color w:val="FF0000"/>
          <w:lang w:val="es-ES" w:eastAsia="en-GB"/>
        </w:rPr>
        <w:t xml:space="preserve">: </w:t>
      </w:r>
      <w:r w:rsidRPr="00B1611D">
        <w:rPr>
          <w:lang w:val="es-ES" w:eastAsia="en-GB"/>
        </w:rPr>
        <w:t>“</w:t>
      </w:r>
      <w:r w:rsidR="00851BBF" w:rsidRPr="00B1611D">
        <w:rPr>
          <w:lang w:val="es-ES" w:eastAsia="en-GB"/>
        </w:rPr>
        <w:t>A fin de mantener</w:t>
      </w:r>
      <w:r w:rsidR="00FE452B" w:rsidRPr="00B1611D">
        <w:rPr>
          <w:lang w:val="es-ES" w:eastAsia="en-GB"/>
        </w:rPr>
        <w:t xml:space="preserve"> al Fondo Multilateral como mecanismo financiero en la enmienda relativa a los hidrofluorocarbonos, habría que añadir en el párrafo 1 del artículo 10 una referencia al artículo relacionado con los hidrofluorocarbonos</w:t>
      </w:r>
      <w:r w:rsidRPr="00B1611D">
        <w:rPr>
          <w:lang w:val="es-ES" w:eastAsia="en-GB"/>
        </w:rPr>
        <w:t xml:space="preserve">. </w:t>
      </w:r>
      <w:r w:rsidR="00FE452B" w:rsidRPr="00B1611D">
        <w:rPr>
          <w:lang w:val="es-ES" w:eastAsia="en-GB"/>
        </w:rPr>
        <w:t>Esto se podría reconocer además en la decisión correspondiente de la Reunión de las Partes sobre lo que figura más adelante</w:t>
      </w:r>
      <w:r w:rsidRPr="00B1611D">
        <w:rPr>
          <w:lang w:val="es-ES" w:eastAsia="en-GB"/>
        </w:rPr>
        <w:t>.</w:t>
      </w:r>
    </w:p>
    <w:p w14:paraId="5B88EAFB" w14:textId="29770A97" w:rsidR="00860B7F" w:rsidRPr="00B1611D" w:rsidRDefault="00FE452B" w:rsidP="00860B7F">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lastRenderedPageBreak/>
        <w:t>Todas la demás soluciones sobre finanzas</w:t>
      </w:r>
      <w:r w:rsidR="00860B7F" w:rsidRPr="00B1611D">
        <w:rPr>
          <w:lang w:val="es-ES" w:eastAsia="en-GB"/>
        </w:rPr>
        <w:t>/flexibili</w:t>
      </w:r>
      <w:r w:rsidRPr="00B1611D">
        <w:rPr>
          <w:lang w:val="es-ES" w:eastAsia="en-GB"/>
        </w:rPr>
        <w:t>dad</w:t>
      </w:r>
      <w:r w:rsidR="00860B7F" w:rsidRPr="00B1611D">
        <w:rPr>
          <w:lang w:val="es-ES" w:eastAsia="en-GB"/>
        </w:rPr>
        <w:t xml:space="preserve"> </w:t>
      </w:r>
      <w:r w:rsidRPr="00B1611D">
        <w:rPr>
          <w:lang w:val="es-ES" w:eastAsia="en-GB"/>
        </w:rPr>
        <w:t>se reflejarían en l</w:t>
      </w:r>
      <w:r w:rsidR="006F0456" w:rsidRPr="00B1611D">
        <w:rPr>
          <w:lang w:val="es-ES" w:eastAsia="en-GB"/>
        </w:rPr>
        <w:t>a decisión de la Reunión de las </w:t>
      </w:r>
      <w:r w:rsidRPr="00B1611D">
        <w:rPr>
          <w:lang w:val="es-ES" w:eastAsia="en-GB"/>
        </w:rPr>
        <w:t>Partes</w:t>
      </w:r>
      <w:r w:rsidR="00860B7F" w:rsidRPr="00B1611D">
        <w:rPr>
          <w:lang w:val="es-ES" w:eastAsia="en-GB"/>
        </w:rPr>
        <w:t>”</w:t>
      </w:r>
      <w:r w:rsidRPr="00B1611D">
        <w:rPr>
          <w:lang w:val="es-ES" w:eastAsia="en-GB"/>
        </w:rPr>
        <w:t>.</w:t>
      </w:r>
      <w:r w:rsidR="00860B7F" w:rsidRPr="00B1611D">
        <w:rPr>
          <w:lang w:val="es-ES" w:eastAsia="en-GB"/>
        </w:rPr>
        <w:t>]</w:t>
      </w:r>
    </w:p>
    <w:p w14:paraId="07707D43" w14:textId="5A0A02C1" w:rsidR="00860B7F" w:rsidRPr="00B1611D" w:rsidRDefault="00FE452B"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Reconocer que en la enmienda se mantiene al Fondo</w:t>
      </w:r>
      <w:r w:rsidR="00860B7F" w:rsidRPr="00B1611D">
        <w:rPr>
          <w:rFonts w:eastAsia="Calibri"/>
          <w:lang w:val="es-ES" w:eastAsia="zh-CN"/>
        </w:rPr>
        <w:t xml:space="preserve"> Multilateral </w:t>
      </w:r>
      <w:r w:rsidRPr="00B1611D">
        <w:rPr>
          <w:rFonts w:eastAsia="Calibri"/>
          <w:lang w:val="es-ES" w:eastAsia="zh-CN"/>
        </w:rPr>
        <w:t>como mecanismo financiero y que las Partes que no operan al amparo del párrafo 1 del artículo 5 proporcionarán recursos financieros adicionales suficientes para compensar los costos derivados de las obligaciones de las Partes que operan al amparo del párrafo 1 del artículo 5 en relación con los hidroclorofluorocarbonos en virtud de la presente enmienda</w:t>
      </w:r>
      <w:r w:rsidR="00860B7F" w:rsidRPr="00B1611D">
        <w:rPr>
          <w:rFonts w:eastAsia="Calibri"/>
          <w:lang w:val="es-ES" w:eastAsia="zh-CN"/>
        </w:rPr>
        <w:t>.</w:t>
      </w:r>
    </w:p>
    <w:p w14:paraId="0182385A" w14:textId="6A569377" w:rsidR="00860B7F" w:rsidRPr="00B1611D" w:rsidRDefault="00FE452B"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 xml:space="preserve">Que las Partes que operan al amparo del párrafo 1 del artículo </w:t>
      </w:r>
      <w:r w:rsidR="00860B7F" w:rsidRPr="00B1611D">
        <w:rPr>
          <w:rFonts w:eastAsia="Calibri"/>
          <w:lang w:val="es-ES" w:eastAsia="zh-CN"/>
        </w:rPr>
        <w:t xml:space="preserve">5 </w:t>
      </w:r>
      <w:r w:rsidR="00944A63" w:rsidRPr="00B1611D">
        <w:rPr>
          <w:rFonts w:eastAsia="Calibri"/>
          <w:lang w:val="es-ES" w:eastAsia="zh-CN"/>
        </w:rPr>
        <w:t>mostrarán flexibilidad para priorizar los hidrofluorocarbonos</w:t>
      </w:r>
      <w:r w:rsidR="00860B7F" w:rsidRPr="00B1611D">
        <w:rPr>
          <w:rFonts w:eastAsia="Calibri"/>
          <w:lang w:val="es-ES" w:eastAsia="zh-CN"/>
        </w:rPr>
        <w:t xml:space="preserve">, </w:t>
      </w:r>
      <w:r w:rsidR="00E83C3F" w:rsidRPr="00B1611D">
        <w:rPr>
          <w:color w:val="000000"/>
          <w:lang w:val="es-ES"/>
        </w:rPr>
        <w:t>definir sectores, seleccionar tecnologías/alternativas, elaborar y aplicar</w:t>
      </w:r>
      <w:r w:rsidR="00A451B6" w:rsidRPr="00B1611D">
        <w:rPr>
          <w:color w:val="000000"/>
          <w:lang w:val="es-ES"/>
        </w:rPr>
        <w:t xml:space="preserve"> </w:t>
      </w:r>
      <w:r w:rsidR="00E83C3F" w:rsidRPr="00B1611D">
        <w:rPr>
          <w:color w:val="000000"/>
          <w:lang w:val="es-ES"/>
        </w:rPr>
        <w:t>estrategias para cumplir sus obligaciones acordadas relativas a los hidrofluorocarbonos, sobre la base de sus necesidades específicas y sus circunstancias nacionales y aplicando el criterio que determine cada país</w:t>
      </w:r>
      <w:r w:rsidR="00860B7F" w:rsidRPr="00B1611D">
        <w:rPr>
          <w:rFonts w:eastAsia="Calibri"/>
          <w:lang w:val="es-ES" w:eastAsia="zh-CN"/>
        </w:rPr>
        <w:t>.</w:t>
      </w:r>
    </w:p>
    <w:p w14:paraId="7BB89355" w14:textId="1E08F7FE" w:rsidR="00860B7F" w:rsidRPr="00B1611D" w:rsidRDefault="00A921C9"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Pedir al Comité Ejecutivo del Fondo Multilateral que</w:t>
      </w:r>
      <w:r w:rsidR="00860B7F" w:rsidRPr="00B1611D">
        <w:rPr>
          <w:rFonts w:eastAsia="Calibri"/>
          <w:lang w:val="es-ES" w:eastAsia="zh-CN"/>
        </w:rPr>
        <w:t xml:space="preserve"> incorpore</w:t>
      </w:r>
      <w:r w:rsidR="00E83C3F" w:rsidRPr="00B1611D">
        <w:rPr>
          <w:rFonts w:eastAsia="Calibri"/>
          <w:lang w:val="es-ES" w:eastAsia="zh-CN"/>
        </w:rPr>
        <w:t xml:space="preserve"> el principio enunciado en el párrafo precedente en las directrices sobre la financiación de la eliminación gradual de los hidrofluorocarbonos y en su proceso de adopción de decisiones</w:t>
      </w:r>
      <w:r w:rsidR="006F0456" w:rsidRPr="00B1611D">
        <w:rPr>
          <w:rFonts w:eastAsia="Calibri"/>
          <w:lang w:val="es-ES" w:eastAsia="zh-CN"/>
        </w:rPr>
        <w:t>.</w:t>
      </w:r>
    </w:p>
    <w:p w14:paraId="72F91E63" w14:textId="54CDE9BA" w:rsidR="00860B7F" w:rsidRPr="00B1611D" w:rsidRDefault="00E83C3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 xml:space="preserve">Pedir al Comité Ejecutivo que </w:t>
      </w:r>
      <w:r w:rsidR="00691AE2" w:rsidRPr="00B1611D">
        <w:rPr>
          <w:rFonts w:eastAsia="Calibri"/>
          <w:lang w:val="es-ES" w:eastAsia="zh-CN"/>
        </w:rPr>
        <w:t>elabore</w:t>
      </w:r>
      <w:r w:rsidR="00860B7F" w:rsidRPr="00B1611D">
        <w:rPr>
          <w:rFonts w:eastAsia="Calibri"/>
          <w:lang w:val="es-ES" w:eastAsia="zh-CN"/>
        </w:rPr>
        <w:t xml:space="preserve">, </w:t>
      </w:r>
      <w:r w:rsidR="00691AE2" w:rsidRPr="00B1611D">
        <w:rPr>
          <w:rFonts w:eastAsia="Calibri"/>
          <w:lang w:val="es-ES" w:eastAsia="zh-CN"/>
        </w:rPr>
        <w:t>en el plazo de un año a partir de la aprobación de la presente enmienda</w:t>
      </w:r>
      <w:r w:rsidR="00860B7F" w:rsidRPr="00B1611D">
        <w:rPr>
          <w:rFonts w:eastAsia="Calibri"/>
          <w:lang w:val="es-ES" w:eastAsia="zh-CN"/>
        </w:rPr>
        <w:t xml:space="preserve">, </w:t>
      </w:r>
      <w:r w:rsidR="00691AE2" w:rsidRPr="00B1611D">
        <w:rPr>
          <w:rFonts w:eastAsia="Calibri"/>
          <w:lang w:val="es-ES" w:eastAsia="zh-CN"/>
        </w:rPr>
        <w:t>las directrices para la financiación de la el</w:t>
      </w:r>
      <w:r w:rsidR="00E613F9" w:rsidRPr="00B1611D">
        <w:rPr>
          <w:rFonts w:eastAsia="Calibri"/>
          <w:lang w:val="es-ES" w:eastAsia="zh-CN"/>
        </w:rPr>
        <w:t>iminación gradual del consumo y </w:t>
      </w:r>
      <w:r w:rsidR="00691AE2" w:rsidRPr="00B1611D">
        <w:rPr>
          <w:rFonts w:eastAsia="Calibri"/>
          <w:lang w:val="es-ES" w:eastAsia="zh-CN"/>
        </w:rPr>
        <w:t>la producción de hidrofluorocarbonos, incluidos los niveles mínimos de eficacia en función de los costos</w:t>
      </w:r>
      <w:r w:rsidR="00860B7F" w:rsidRPr="00B1611D">
        <w:rPr>
          <w:rFonts w:eastAsia="Calibri"/>
          <w:lang w:val="es-ES" w:eastAsia="zh-CN"/>
        </w:rPr>
        <w:t>.</w:t>
      </w:r>
    </w:p>
    <w:p w14:paraId="5A0FA0BE" w14:textId="04E28E76" w:rsidR="00860B7F" w:rsidRPr="00B1611D" w:rsidRDefault="00E83C3F"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Pedir a la Presidencia del Comité Ejecutivo que informe a la Reunión de las Partes acerca de los progresos logrados de conformidad con la presente decisión</w:t>
      </w:r>
      <w:r w:rsidR="00860B7F" w:rsidRPr="00B1611D">
        <w:rPr>
          <w:rFonts w:eastAsia="Calibri"/>
          <w:lang w:val="es-ES" w:eastAsia="zh-CN"/>
        </w:rPr>
        <w:t xml:space="preserve">, </w:t>
      </w:r>
      <w:r w:rsidRPr="00B1611D">
        <w:rPr>
          <w:rFonts w:eastAsia="Calibri"/>
          <w:lang w:val="es-ES" w:eastAsia="zh-CN"/>
        </w:rPr>
        <w:t xml:space="preserve">incluso sobre los casos en que las deliberaciones del Comité Ejecutivo hayan dado lugar a un cambio en la estrategia nacional </w:t>
      </w:r>
      <w:r w:rsidR="00860B7F" w:rsidRPr="00B1611D">
        <w:rPr>
          <w:rFonts w:eastAsia="Calibri"/>
          <w:lang w:val="es-ES" w:eastAsia="zh-CN"/>
        </w:rPr>
        <w:t>o</w:t>
      </w:r>
      <w:r w:rsidRPr="00B1611D">
        <w:rPr>
          <w:rFonts w:eastAsia="Calibri"/>
          <w:lang w:val="es-ES" w:eastAsia="zh-CN"/>
        </w:rPr>
        <w:t xml:space="preserve"> la opción tecnológica nacional sometida a consideración del Comité Ejecutivo</w:t>
      </w:r>
      <w:r w:rsidR="00860B7F" w:rsidRPr="00B1611D">
        <w:rPr>
          <w:rFonts w:eastAsia="Calibri"/>
          <w:lang w:val="es-ES" w:eastAsia="zh-CN"/>
        </w:rPr>
        <w:t>.</w:t>
      </w:r>
    </w:p>
    <w:p w14:paraId="24967EB4" w14:textId="10838659" w:rsidR="00860B7F" w:rsidRPr="00B1611D" w:rsidRDefault="00A921C9"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Pedir al Comité Ejecutivo del Fondo Multilateral que</w:t>
      </w:r>
      <w:r w:rsidR="00860B7F" w:rsidRPr="00B1611D">
        <w:rPr>
          <w:rFonts w:eastAsia="Calibri"/>
          <w:lang w:val="es-ES" w:eastAsia="zh-CN"/>
        </w:rPr>
        <w:t xml:space="preserve"> revise </w:t>
      </w:r>
      <w:r w:rsidR="00E83C3F" w:rsidRPr="00B1611D">
        <w:rPr>
          <w:rFonts w:eastAsia="Calibri"/>
          <w:lang w:val="es-ES" w:eastAsia="zh-CN"/>
        </w:rPr>
        <w:t xml:space="preserve">su reglamento </w:t>
      </w:r>
      <w:r w:rsidR="00691AE2" w:rsidRPr="00B1611D">
        <w:rPr>
          <w:rFonts w:eastAsia="Calibri"/>
          <w:lang w:val="es-ES" w:eastAsia="zh-CN"/>
        </w:rPr>
        <w:t>para dar más f</w:t>
      </w:r>
      <w:r w:rsidR="00860B7F" w:rsidRPr="00B1611D">
        <w:rPr>
          <w:rFonts w:eastAsia="Calibri"/>
          <w:lang w:val="es-ES" w:eastAsia="zh-CN"/>
        </w:rPr>
        <w:t>lexibili</w:t>
      </w:r>
      <w:r w:rsidR="00691AE2" w:rsidRPr="00B1611D">
        <w:rPr>
          <w:rFonts w:eastAsia="Calibri"/>
          <w:lang w:val="es-ES" w:eastAsia="zh-CN"/>
        </w:rPr>
        <w:t xml:space="preserve">dad a las Partes que operan al amparo del párrafo </w:t>
      </w:r>
      <w:r w:rsidR="00860B7F" w:rsidRPr="00B1611D">
        <w:rPr>
          <w:rFonts w:eastAsia="Calibri"/>
          <w:lang w:val="es-ES" w:eastAsia="zh-CN"/>
        </w:rPr>
        <w:t xml:space="preserve">1 </w:t>
      </w:r>
      <w:r w:rsidR="00691AE2" w:rsidRPr="00B1611D">
        <w:rPr>
          <w:rFonts w:eastAsia="Calibri"/>
          <w:lang w:val="es-ES" w:eastAsia="zh-CN"/>
        </w:rPr>
        <w:t>del artículo</w:t>
      </w:r>
      <w:r w:rsidR="00860B7F" w:rsidRPr="00B1611D">
        <w:rPr>
          <w:rFonts w:eastAsia="Calibri"/>
          <w:lang w:val="es-ES" w:eastAsia="zh-CN"/>
        </w:rPr>
        <w:t xml:space="preserve"> 5.</w:t>
      </w:r>
    </w:p>
    <w:p w14:paraId="361A401E" w14:textId="13478651" w:rsidR="00860B7F" w:rsidRPr="00B1611D" w:rsidRDefault="00860B7F" w:rsidP="00860B7F">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691AE2" w:rsidRPr="00B1611D">
        <w:rPr>
          <w:lang w:val="es-ES" w:eastAsia="en-GB"/>
        </w:rPr>
        <w:t>Sector de c</w:t>
      </w:r>
      <w:r w:rsidRPr="00B1611D">
        <w:rPr>
          <w:lang w:val="es-ES" w:eastAsia="en-GB"/>
        </w:rPr>
        <w:t>onsum</w:t>
      </w:r>
      <w:r w:rsidR="00691AE2" w:rsidRPr="00B1611D">
        <w:rPr>
          <w:lang w:val="es-ES" w:eastAsia="en-GB"/>
        </w:rPr>
        <w:t>o</w:t>
      </w:r>
      <w:r w:rsidRPr="00B1611D">
        <w:rPr>
          <w:lang w:val="es-ES" w:eastAsia="en-GB"/>
        </w:rPr>
        <w:t xml:space="preserve"> / </w:t>
      </w:r>
      <w:r w:rsidR="00691AE2" w:rsidRPr="00B1611D">
        <w:rPr>
          <w:lang w:val="es-ES" w:eastAsia="en-GB"/>
        </w:rPr>
        <w:t>fabricación</w:t>
      </w:r>
      <w:r w:rsidRPr="00B1611D">
        <w:rPr>
          <w:lang w:val="es-ES" w:eastAsia="en-GB"/>
        </w:rPr>
        <w:t xml:space="preserve">] </w:t>
      </w:r>
    </w:p>
    <w:p w14:paraId="20C3EC6D" w14:textId="6811593C" w:rsidR="00860B7F" w:rsidRPr="00B1611D" w:rsidRDefault="006A1638"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eastAsia="zh-CN"/>
        </w:rPr>
      </w:pPr>
      <w:r w:rsidRPr="00B1611D">
        <w:rPr>
          <w:rFonts w:eastAsia="Calibri"/>
          <w:lang w:val="es-ES" w:eastAsia="zh-CN"/>
        </w:rPr>
        <w:t>Pedir al Comité Ejecutivo que, al elaborar las nuevas directrices sobre metodologías y el cálculo de los costos, haga admisibles las siguientes categorías de costos y las incluya en el cálculo de los costos</w:t>
      </w:r>
      <w:r w:rsidR="00860B7F" w:rsidRPr="00B1611D">
        <w:rPr>
          <w:rFonts w:eastAsia="Calibri"/>
          <w:lang w:val="es-ES" w:eastAsia="zh-CN"/>
        </w:rPr>
        <w:t>,</w:t>
      </w:r>
    </w:p>
    <w:p w14:paraId="3B77683B" w14:textId="4E0DF93D" w:rsidR="00860B7F" w:rsidRPr="00B1611D" w:rsidRDefault="00691AE2" w:rsidP="00970CDC">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rPr>
          <w:rFonts w:eastAsia="Calibri"/>
          <w:sz w:val="24"/>
          <w:szCs w:val="24"/>
          <w:lang w:val="es-ES"/>
        </w:rPr>
      </w:pPr>
      <w:r w:rsidRPr="00B1611D">
        <w:rPr>
          <w:rFonts w:eastAsia="Calibri"/>
          <w:lang w:val="es-ES" w:eastAsia="zh-CN"/>
        </w:rPr>
        <w:t>En relación con el sector de consumo/fabricación</w:t>
      </w:r>
      <w:r w:rsidR="00860B7F" w:rsidRPr="00B1611D">
        <w:rPr>
          <w:rFonts w:eastAsia="Calibri"/>
          <w:lang w:val="es-ES" w:eastAsia="zh-CN"/>
        </w:rPr>
        <w:t>:</w:t>
      </w:r>
    </w:p>
    <w:p w14:paraId="6EE68662" w14:textId="45C5390D" w:rsidR="00860B7F" w:rsidRPr="00B1611D" w:rsidRDefault="00691AE2"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 xml:space="preserve">Costos </w:t>
      </w:r>
      <w:r w:rsidR="006A1638" w:rsidRPr="00B1611D">
        <w:rPr>
          <w:rFonts w:eastAsia="Calibri"/>
          <w:lang w:val="es-ES" w:eastAsia="zh-CN"/>
        </w:rPr>
        <w:t>incrementales de capital</w:t>
      </w:r>
      <w:r w:rsidR="00860B7F" w:rsidRPr="00B1611D">
        <w:rPr>
          <w:rFonts w:eastAsia="Calibri"/>
          <w:lang w:val="es-ES" w:eastAsia="zh-CN"/>
        </w:rPr>
        <w:t>;</w:t>
      </w:r>
    </w:p>
    <w:p w14:paraId="1CBE4D79" w14:textId="6ACB81C5" w:rsidR="00860B7F" w:rsidRPr="00B1611D" w:rsidRDefault="00691AE2"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Costos de explotación</w:t>
      </w:r>
      <w:r w:rsidR="006A1638" w:rsidRPr="00B1611D">
        <w:rPr>
          <w:rFonts w:eastAsia="Calibri"/>
          <w:lang w:val="es-ES" w:eastAsia="zh-CN"/>
        </w:rPr>
        <w:t xml:space="preserve"> incrementales</w:t>
      </w:r>
      <w:r w:rsidR="00860B7F" w:rsidRPr="00B1611D">
        <w:rPr>
          <w:rFonts w:eastAsia="Calibri"/>
          <w:vertAlign w:val="superscript"/>
          <w:lang w:val="es-ES" w:eastAsia="zh-CN"/>
        </w:rPr>
        <w:footnoteReference w:id="1"/>
      </w:r>
      <w:r w:rsidR="00860B7F" w:rsidRPr="00B1611D">
        <w:rPr>
          <w:rFonts w:eastAsia="Calibri"/>
          <w:lang w:val="es-ES" w:eastAsia="zh-CN"/>
        </w:rPr>
        <w:t>;</w:t>
      </w:r>
    </w:p>
    <w:p w14:paraId="4BAED5C6" w14:textId="51F720B6" w:rsidR="00860B7F" w:rsidRPr="00B1611D" w:rsidRDefault="00691AE2"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Actividades de asistencia técnica</w:t>
      </w:r>
      <w:r w:rsidR="00860B7F" w:rsidRPr="00B1611D">
        <w:rPr>
          <w:rFonts w:eastAsia="Calibri"/>
          <w:lang w:val="es-ES" w:eastAsia="zh-CN"/>
        </w:rPr>
        <w:t xml:space="preserve">; </w:t>
      </w:r>
    </w:p>
    <w:p w14:paraId="0D4BFD53" w14:textId="6AE0CFDB" w:rsidR="00860B7F" w:rsidRPr="00B1611D" w:rsidRDefault="00691AE2"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Investigación y desarrollo, cuando sea menester para adaptar y optimizar las alternativas con PCA bajo o nulo a los hidrofluorocarbonos</w:t>
      </w:r>
      <w:r w:rsidR="00860B7F" w:rsidRPr="00B1611D">
        <w:rPr>
          <w:rFonts w:eastAsia="Calibri"/>
          <w:lang w:val="es-ES" w:eastAsia="zh-CN"/>
        </w:rPr>
        <w:t>;</w:t>
      </w:r>
    </w:p>
    <w:p w14:paraId="37421E50" w14:textId="0957DE68"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Cost</w:t>
      </w:r>
      <w:r w:rsidR="00691AE2" w:rsidRPr="00B1611D">
        <w:rPr>
          <w:rFonts w:eastAsia="Calibri"/>
          <w:lang w:val="es-ES" w:eastAsia="zh-CN"/>
        </w:rPr>
        <w:t>o</w:t>
      </w:r>
      <w:r w:rsidRPr="00B1611D">
        <w:rPr>
          <w:rFonts w:eastAsia="Calibri"/>
          <w:lang w:val="es-ES" w:eastAsia="zh-CN"/>
        </w:rPr>
        <w:t xml:space="preserve">s </w:t>
      </w:r>
      <w:r w:rsidR="00691AE2" w:rsidRPr="00B1611D">
        <w:rPr>
          <w:rFonts w:eastAsia="Calibri"/>
          <w:lang w:val="es-ES" w:eastAsia="zh-CN"/>
        </w:rPr>
        <w:t>de</w:t>
      </w:r>
      <w:r w:rsidR="006A1638" w:rsidRPr="00B1611D">
        <w:rPr>
          <w:rFonts w:eastAsia="Calibri"/>
          <w:lang w:val="es-ES" w:eastAsia="zh-CN"/>
        </w:rPr>
        <w:t xml:space="preserve"> las</w:t>
      </w:r>
      <w:r w:rsidRPr="00B1611D">
        <w:rPr>
          <w:rFonts w:eastAsia="Calibri"/>
          <w:lang w:val="es-ES" w:eastAsia="zh-CN"/>
        </w:rPr>
        <w:t xml:space="preserve"> patent</w:t>
      </w:r>
      <w:r w:rsidR="00691AE2" w:rsidRPr="00B1611D">
        <w:rPr>
          <w:rFonts w:eastAsia="Calibri"/>
          <w:lang w:val="es-ES" w:eastAsia="zh-CN"/>
        </w:rPr>
        <w:t>e</w:t>
      </w:r>
      <w:r w:rsidRPr="00B1611D">
        <w:rPr>
          <w:rFonts w:eastAsia="Calibri"/>
          <w:lang w:val="es-ES" w:eastAsia="zh-CN"/>
        </w:rPr>
        <w:t xml:space="preserve">s </w:t>
      </w:r>
      <w:r w:rsidR="00691AE2" w:rsidRPr="00B1611D">
        <w:rPr>
          <w:rFonts w:eastAsia="Calibri"/>
          <w:lang w:val="es-ES" w:eastAsia="zh-CN"/>
        </w:rPr>
        <w:t xml:space="preserve">y </w:t>
      </w:r>
      <w:r w:rsidR="006A1638" w:rsidRPr="00B1611D">
        <w:rPr>
          <w:rFonts w:eastAsia="Calibri"/>
          <w:lang w:val="es-ES" w:eastAsia="zh-CN"/>
        </w:rPr>
        <w:t xml:space="preserve">los </w:t>
      </w:r>
      <w:r w:rsidR="00691AE2" w:rsidRPr="00B1611D">
        <w:rPr>
          <w:rFonts w:eastAsia="Calibri"/>
          <w:lang w:val="es-ES" w:eastAsia="zh-CN"/>
        </w:rPr>
        <w:t>diseños</w:t>
      </w:r>
      <w:r w:rsidRPr="00B1611D">
        <w:rPr>
          <w:rFonts w:eastAsia="Calibri"/>
          <w:lang w:val="es-ES" w:eastAsia="zh-CN"/>
        </w:rPr>
        <w:t xml:space="preserve">, </w:t>
      </w:r>
      <w:r w:rsidR="00691AE2" w:rsidRPr="00B1611D">
        <w:rPr>
          <w:rFonts w:eastAsia="Calibri"/>
          <w:lang w:val="es-ES" w:eastAsia="zh-CN"/>
        </w:rPr>
        <w:t xml:space="preserve">y costos incrementales de </w:t>
      </w:r>
      <w:r w:rsidR="009E0E04" w:rsidRPr="00B1611D">
        <w:rPr>
          <w:rFonts w:eastAsia="Calibri"/>
          <w:lang w:val="es-ES" w:eastAsia="zh-CN"/>
        </w:rPr>
        <w:t>las regalías, cuando sea necesario y eficaz en función de los costos</w:t>
      </w:r>
      <w:r w:rsidRPr="00B1611D">
        <w:rPr>
          <w:rFonts w:eastAsia="Calibri"/>
          <w:lang w:val="es-ES" w:eastAsia="zh-CN"/>
        </w:rPr>
        <w:t xml:space="preserve">; </w:t>
      </w:r>
      <w:r w:rsidR="009E0E04" w:rsidRPr="00B1611D">
        <w:rPr>
          <w:rFonts w:eastAsia="Calibri"/>
          <w:lang w:val="es-ES" w:eastAsia="zh-CN"/>
        </w:rPr>
        <w:t>y</w:t>
      </w:r>
    </w:p>
    <w:p w14:paraId="7E91AFA3" w14:textId="156193B4"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Cost</w:t>
      </w:r>
      <w:r w:rsidR="009E0E04" w:rsidRPr="00B1611D">
        <w:rPr>
          <w:rFonts w:eastAsia="Calibri"/>
          <w:lang w:val="es-ES" w:eastAsia="zh-CN"/>
        </w:rPr>
        <w:t>o</w:t>
      </w:r>
      <w:r w:rsidRPr="00B1611D">
        <w:rPr>
          <w:rFonts w:eastAsia="Calibri"/>
          <w:lang w:val="es-ES" w:eastAsia="zh-CN"/>
        </w:rPr>
        <w:t xml:space="preserve">s </w:t>
      </w:r>
      <w:r w:rsidR="009E0E04" w:rsidRPr="00B1611D">
        <w:rPr>
          <w:rFonts w:eastAsia="Calibri"/>
          <w:lang w:val="es-ES" w:eastAsia="zh-CN"/>
        </w:rPr>
        <w:t>de la introducción segura de alternativas inflamables y tóxicas</w:t>
      </w:r>
      <w:r w:rsidRPr="00B1611D">
        <w:rPr>
          <w:rFonts w:eastAsia="Calibri"/>
          <w:lang w:val="es-ES" w:eastAsia="zh-CN"/>
        </w:rPr>
        <w:t>.</w:t>
      </w:r>
    </w:p>
    <w:p w14:paraId="036232AD" w14:textId="1690C93C"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6A1638" w:rsidRPr="00B1611D">
        <w:rPr>
          <w:lang w:val="es-ES" w:eastAsia="en-GB"/>
        </w:rPr>
        <w:t xml:space="preserve">Sector de </w:t>
      </w:r>
      <w:r w:rsidR="00691AE2" w:rsidRPr="00B1611D">
        <w:rPr>
          <w:lang w:val="es-ES" w:eastAsia="en-GB"/>
        </w:rPr>
        <w:t>producción</w:t>
      </w:r>
      <w:r w:rsidRPr="00B1611D">
        <w:rPr>
          <w:lang w:val="es-ES" w:eastAsia="en-GB"/>
        </w:rPr>
        <w:t>]</w:t>
      </w:r>
    </w:p>
    <w:p w14:paraId="29C1F9DE" w14:textId="18FB5AD2" w:rsidR="00860B7F" w:rsidRPr="00B1611D" w:rsidRDefault="009E0E04" w:rsidP="00447834">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rPr>
          <w:rFonts w:eastAsia="Calibri"/>
          <w:lang w:val="es-ES"/>
        </w:rPr>
      </w:pPr>
      <w:r w:rsidRPr="00B1611D">
        <w:rPr>
          <w:rFonts w:eastAsia="Calibri"/>
          <w:lang w:val="es-ES"/>
        </w:rPr>
        <w:t>En relación con el sector de la producción</w:t>
      </w:r>
      <w:r w:rsidR="00860B7F" w:rsidRPr="00B1611D">
        <w:rPr>
          <w:rFonts w:eastAsia="Calibri"/>
          <w:lang w:val="es-ES"/>
        </w:rPr>
        <w:t>:</w:t>
      </w:r>
    </w:p>
    <w:p w14:paraId="119B88A0" w14:textId="77FA1D9C" w:rsidR="00860B7F" w:rsidRPr="00B1611D" w:rsidRDefault="009E0E04"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color w:val="000000"/>
          <w:lang w:val="es-ES"/>
        </w:rPr>
        <w:t>Pérdida de beneficios por cierre/clausura de las instalaciones de producción, así como por reducción de la producción</w:t>
      </w:r>
      <w:r w:rsidR="00860B7F" w:rsidRPr="00B1611D">
        <w:rPr>
          <w:rFonts w:eastAsia="Calibri"/>
          <w:lang w:val="es-ES" w:eastAsia="zh-CN"/>
        </w:rPr>
        <w:t>;</w:t>
      </w:r>
    </w:p>
    <w:p w14:paraId="16D526D6" w14:textId="6BD82CDD" w:rsidR="00860B7F" w:rsidRPr="00B1611D" w:rsidRDefault="009E0E04"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Indemnización a los trabajadores desplazados</w:t>
      </w:r>
    </w:p>
    <w:p w14:paraId="0A3FA8E0" w14:textId="4932A329"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D</w:t>
      </w:r>
      <w:r w:rsidR="009E0E04" w:rsidRPr="00B1611D">
        <w:rPr>
          <w:rFonts w:eastAsia="Calibri"/>
          <w:lang w:val="es-ES" w:eastAsia="zh-CN"/>
        </w:rPr>
        <w:t>e</w:t>
      </w:r>
      <w:r w:rsidRPr="00B1611D">
        <w:rPr>
          <w:rFonts w:eastAsia="Calibri"/>
          <w:lang w:val="es-ES" w:eastAsia="zh-CN"/>
        </w:rPr>
        <w:t>smant</w:t>
      </w:r>
      <w:r w:rsidR="009E0E04" w:rsidRPr="00B1611D">
        <w:rPr>
          <w:rFonts w:eastAsia="Calibri"/>
          <w:lang w:val="es-ES" w:eastAsia="zh-CN"/>
        </w:rPr>
        <w:t>elamiento de instalaciones de producción</w:t>
      </w:r>
    </w:p>
    <w:p w14:paraId="473E57A4" w14:textId="6743F6D4" w:rsidR="00860B7F" w:rsidRPr="00B1611D" w:rsidRDefault="009E0E04"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Actividades de asistencia técnica</w:t>
      </w:r>
    </w:p>
    <w:p w14:paraId="3DB5063F" w14:textId="6835D6C5" w:rsidR="00860B7F" w:rsidRPr="00B1611D" w:rsidRDefault="009E0E04"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lastRenderedPageBreak/>
        <w:t>Investigación y desarrollo relacionados con la producción de alternativas con PCA bajo o nulo a los hidrofluorocarbonos con miras a reduc</w:t>
      </w:r>
      <w:r w:rsidR="006A1638" w:rsidRPr="00B1611D">
        <w:rPr>
          <w:rFonts w:eastAsia="Calibri"/>
          <w:lang w:val="es-ES" w:eastAsia="zh-CN"/>
        </w:rPr>
        <w:t>i</w:t>
      </w:r>
      <w:r w:rsidRPr="00B1611D">
        <w:rPr>
          <w:rFonts w:eastAsia="Calibri"/>
          <w:lang w:val="es-ES" w:eastAsia="zh-CN"/>
        </w:rPr>
        <w:t xml:space="preserve">r los costos </w:t>
      </w:r>
      <w:r w:rsidR="006A1638" w:rsidRPr="00B1611D">
        <w:rPr>
          <w:rFonts w:eastAsia="Calibri"/>
          <w:lang w:val="es-ES" w:eastAsia="zh-CN"/>
        </w:rPr>
        <w:t>de la alternativas</w:t>
      </w:r>
      <w:r w:rsidR="00860B7F" w:rsidRPr="00B1611D">
        <w:rPr>
          <w:rFonts w:eastAsia="Calibri"/>
          <w:lang w:val="es-ES" w:eastAsia="zh-CN"/>
        </w:rPr>
        <w:t xml:space="preserve"> </w:t>
      </w:r>
    </w:p>
    <w:p w14:paraId="64BD664B" w14:textId="422522B9"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Cost</w:t>
      </w:r>
      <w:r w:rsidR="006A1638" w:rsidRPr="00B1611D">
        <w:rPr>
          <w:rFonts w:eastAsia="Calibri"/>
          <w:lang w:val="es-ES" w:eastAsia="zh-CN"/>
        </w:rPr>
        <w:t>o</w:t>
      </w:r>
      <w:r w:rsidRPr="00B1611D">
        <w:rPr>
          <w:rFonts w:eastAsia="Calibri"/>
          <w:lang w:val="es-ES" w:eastAsia="zh-CN"/>
        </w:rPr>
        <w:t xml:space="preserve">s </w:t>
      </w:r>
      <w:r w:rsidR="006A1638" w:rsidRPr="00B1611D">
        <w:rPr>
          <w:rFonts w:eastAsia="Calibri"/>
          <w:lang w:val="es-ES" w:eastAsia="zh-CN"/>
        </w:rPr>
        <w:t>de patentes y diseños o costos incrementales de las regalías</w:t>
      </w:r>
    </w:p>
    <w:p w14:paraId="510A290E" w14:textId="5EA67688"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Cost</w:t>
      </w:r>
      <w:r w:rsidR="006A1638" w:rsidRPr="00B1611D">
        <w:rPr>
          <w:rFonts w:eastAsia="Calibri"/>
          <w:lang w:val="es-ES" w:eastAsia="zh-CN"/>
        </w:rPr>
        <w:t>o</w:t>
      </w:r>
      <w:r w:rsidRPr="00B1611D">
        <w:rPr>
          <w:rFonts w:eastAsia="Calibri"/>
          <w:lang w:val="es-ES" w:eastAsia="zh-CN"/>
        </w:rPr>
        <w:t xml:space="preserve">s </w:t>
      </w:r>
      <w:r w:rsidR="006A1638" w:rsidRPr="00B1611D">
        <w:rPr>
          <w:rFonts w:eastAsia="Calibri"/>
          <w:lang w:val="es-ES" w:eastAsia="zh-CN"/>
        </w:rPr>
        <w:t>de conversión de las instalaciones para produc</w:t>
      </w:r>
      <w:r w:rsidR="005128F9" w:rsidRPr="00B1611D">
        <w:rPr>
          <w:rFonts w:eastAsia="Calibri"/>
          <w:lang w:val="es-ES" w:eastAsia="zh-CN"/>
        </w:rPr>
        <w:t>i</w:t>
      </w:r>
      <w:r w:rsidR="006A1638" w:rsidRPr="00B1611D">
        <w:rPr>
          <w:rFonts w:eastAsia="Calibri"/>
          <w:lang w:val="es-ES" w:eastAsia="zh-CN"/>
        </w:rPr>
        <w:t>r alternativas con PCA b</w:t>
      </w:r>
      <w:r w:rsidR="005128F9" w:rsidRPr="00B1611D">
        <w:rPr>
          <w:rFonts w:eastAsia="Calibri"/>
          <w:lang w:val="es-ES" w:eastAsia="zh-CN"/>
        </w:rPr>
        <w:t>ajo o nulo a los hidrofluorocar</w:t>
      </w:r>
      <w:r w:rsidR="006A1638" w:rsidRPr="00B1611D">
        <w:rPr>
          <w:rFonts w:eastAsia="Calibri"/>
          <w:lang w:val="es-ES" w:eastAsia="zh-CN"/>
        </w:rPr>
        <w:t>bonos</w:t>
      </w:r>
      <w:r w:rsidR="005128F9" w:rsidRPr="00B1611D">
        <w:rPr>
          <w:rFonts w:eastAsia="Calibri"/>
          <w:lang w:val="es-ES" w:eastAsia="zh-CN"/>
        </w:rPr>
        <w:t>,</w:t>
      </w:r>
      <w:r w:rsidR="006A1638" w:rsidRPr="00B1611D">
        <w:rPr>
          <w:rFonts w:eastAsia="Calibri"/>
          <w:lang w:val="es-ES" w:eastAsia="zh-CN"/>
        </w:rPr>
        <w:t xml:space="preserve"> cuando sea técnicamente viable y eficaz en función de los costos</w:t>
      </w:r>
    </w:p>
    <w:p w14:paraId="0DD5E7D0" w14:textId="40F00D00"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Cost</w:t>
      </w:r>
      <w:r w:rsidR="006A1638" w:rsidRPr="00B1611D">
        <w:rPr>
          <w:rFonts w:eastAsia="Calibri"/>
          <w:lang w:val="es-ES" w:eastAsia="zh-CN"/>
        </w:rPr>
        <w:t>o</w:t>
      </w:r>
      <w:r w:rsidRPr="00B1611D">
        <w:rPr>
          <w:rFonts w:eastAsia="Calibri"/>
          <w:lang w:val="es-ES" w:eastAsia="zh-CN"/>
        </w:rPr>
        <w:t xml:space="preserve">s </w:t>
      </w:r>
      <w:r w:rsidR="006A1638" w:rsidRPr="00B1611D">
        <w:rPr>
          <w:rFonts w:eastAsia="Calibri"/>
          <w:lang w:val="es-ES" w:eastAsia="zh-CN"/>
        </w:rPr>
        <w:t xml:space="preserve">de reducción de las emisiones de </w:t>
      </w:r>
      <w:r w:rsidRPr="00B1611D">
        <w:rPr>
          <w:rFonts w:eastAsia="Calibri"/>
          <w:lang w:val="es-ES" w:eastAsia="zh-CN"/>
        </w:rPr>
        <w:t xml:space="preserve">HFC-23, </w:t>
      </w:r>
      <w:r w:rsidR="005128F9" w:rsidRPr="00B1611D">
        <w:rPr>
          <w:color w:val="000000"/>
          <w:lang w:val="es-ES"/>
        </w:rPr>
        <w:t>HFC-23, un subproducto de los procesos de producción de HCFC-22, bien rebajando la tasa de emisiones durante el proceso al destruir la sustancia en el gas residual o bien recuperándola y transformándola en otras sustancias químicas ambientalmente seguras</w:t>
      </w:r>
      <w:r w:rsidRPr="00B1611D">
        <w:rPr>
          <w:rFonts w:eastAsia="Calibri"/>
          <w:lang w:val="es-ES" w:eastAsia="zh-CN"/>
        </w:rPr>
        <w:t xml:space="preserve">. </w:t>
      </w:r>
      <w:r w:rsidR="006A1638" w:rsidRPr="00B1611D">
        <w:rPr>
          <w:rFonts w:eastAsia="Calibri"/>
          <w:lang w:val="es-ES" w:eastAsia="zh-CN"/>
        </w:rPr>
        <w:t xml:space="preserve">Estos costos </w:t>
      </w:r>
      <w:r w:rsidR="005128F9" w:rsidRPr="00B1611D">
        <w:rPr>
          <w:rFonts w:eastAsia="Calibri"/>
          <w:lang w:val="es-ES" w:eastAsia="zh-CN"/>
        </w:rPr>
        <w:t>deberían ser financiados por e</w:t>
      </w:r>
      <w:r w:rsidR="006A1638" w:rsidRPr="00B1611D">
        <w:rPr>
          <w:rFonts w:eastAsia="Calibri"/>
          <w:lang w:val="es-ES" w:eastAsia="zh-CN"/>
        </w:rPr>
        <w:t xml:space="preserve">l Fondo </w:t>
      </w:r>
      <w:r w:rsidRPr="00B1611D">
        <w:rPr>
          <w:rFonts w:eastAsia="Calibri"/>
          <w:lang w:val="es-ES" w:eastAsia="zh-CN"/>
        </w:rPr>
        <w:t xml:space="preserve">Multilateral </w:t>
      </w:r>
      <w:r w:rsidR="005128F9" w:rsidRPr="00B1611D">
        <w:rPr>
          <w:color w:val="000000"/>
          <w:lang w:val="es-ES"/>
        </w:rPr>
        <w:t>a fin de cumplir las obligaciones de las Partes que operan al amparo del párrafo 1 del artículo 5 que se especifican en la presente enmienda</w:t>
      </w:r>
      <w:r w:rsidRPr="00B1611D">
        <w:rPr>
          <w:rFonts w:eastAsia="Calibri"/>
          <w:lang w:val="es-ES" w:eastAsia="zh-CN"/>
        </w:rPr>
        <w:t>. (</w:t>
      </w:r>
      <w:r w:rsidR="006A1638" w:rsidRPr="00B1611D">
        <w:rPr>
          <w:rFonts w:eastAsia="Calibri"/>
          <w:color w:val="FF0000"/>
          <w:lang w:val="es-ES" w:eastAsia="zh-CN"/>
        </w:rPr>
        <w:t xml:space="preserve">Nota del Grupo de redacción de textos jurídicos: Esto depende del resultado de las deliberaciones sobre las emisiones de </w:t>
      </w:r>
      <w:r w:rsidRPr="00B1611D">
        <w:rPr>
          <w:rFonts w:eastAsia="Calibri"/>
          <w:color w:val="FF0000"/>
          <w:lang w:val="es-ES" w:eastAsia="zh-CN"/>
        </w:rPr>
        <w:t>HFC-23</w:t>
      </w:r>
      <w:r w:rsidRPr="00B1611D">
        <w:rPr>
          <w:rFonts w:eastAsia="Calibri"/>
          <w:lang w:val="es-ES" w:eastAsia="zh-CN"/>
        </w:rPr>
        <w:t xml:space="preserve">.) </w:t>
      </w:r>
    </w:p>
    <w:p w14:paraId="2047BFC7" w14:textId="143C31FE"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E05B9E" w:rsidRPr="00B1611D">
        <w:rPr>
          <w:lang w:val="es-ES" w:eastAsia="en-GB"/>
        </w:rPr>
        <w:t>Sector de mantenimiento</w:t>
      </w:r>
      <w:r w:rsidRPr="00B1611D">
        <w:rPr>
          <w:lang w:val="es-ES" w:eastAsia="en-GB"/>
        </w:rPr>
        <w:t>]</w:t>
      </w:r>
    </w:p>
    <w:p w14:paraId="1F1C4C6A" w14:textId="60DA0ADE" w:rsidR="00860B7F" w:rsidRPr="00B1611D" w:rsidRDefault="00E05B9E" w:rsidP="00447834">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rPr>
          <w:rFonts w:eastAsia="Calibri"/>
          <w:lang w:val="es-ES"/>
        </w:rPr>
      </w:pPr>
      <w:r w:rsidRPr="00B1611D">
        <w:rPr>
          <w:rFonts w:eastAsia="Calibri"/>
          <w:lang w:val="es-ES"/>
        </w:rPr>
        <w:t>En lo que respecta al sector de mantenimiento</w:t>
      </w:r>
      <w:r w:rsidR="00860B7F" w:rsidRPr="00B1611D">
        <w:rPr>
          <w:rFonts w:eastAsia="Calibri"/>
          <w:lang w:val="es-ES"/>
        </w:rPr>
        <w:t>:</w:t>
      </w:r>
    </w:p>
    <w:p w14:paraId="1BAC4FA8" w14:textId="6C54CD13" w:rsidR="00860B7F" w:rsidRPr="00B1611D" w:rsidRDefault="00E05B9E"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Actividades de concienciación del público</w:t>
      </w:r>
      <w:r w:rsidR="00860B7F" w:rsidRPr="00B1611D">
        <w:rPr>
          <w:rFonts w:eastAsia="Calibri"/>
          <w:lang w:val="es-ES" w:eastAsia="zh-CN"/>
        </w:rPr>
        <w:t>;</w:t>
      </w:r>
    </w:p>
    <w:p w14:paraId="3C78AF02" w14:textId="28708C10" w:rsidR="00860B7F" w:rsidRPr="00B1611D" w:rsidRDefault="00E83C3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Elaboración y aplicación de políticas</w:t>
      </w:r>
      <w:r w:rsidR="00860B7F" w:rsidRPr="00B1611D">
        <w:rPr>
          <w:rFonts w:eastAsia="Calibri"/>
          <w:lang w:val="es-ES" w:eastAsia="zh-CN"/>
        </w:rPr>
        <w:t>;</w:t>
      </w:r>
    </w:p>
    <w:p w14:paraId="7CDEA46F" w14:textId="0B962D93" w:rsidR="00860B7F" w:rsidRPr="00B1611D" w:rsidRDefault="00E83C3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color w:val="000000"/>
          <w:lang w:val="es-ES"/>
        </w:rPr>
        <w:t>Programas de certificación y formación de técnicos en relación con el manejo seguro, las buenas prácticas y la seguridad de las alternativas, con inclusión de equipos para la formación</w:t>
      </w:r>
      <w:r w:rsidR="00860B7F" w:rsidRPr="00B1611D">
        <w:rPr>
          <w:rFonts w:eastAsia="Calibri"/>
          <w:lang w:val="es-ES" w:eastAsia="zh-CN"/>
        </w:rPr>
        <w:t>;</w:t>
      </w:r>
    </w:p>
    <w:p w14:paraId="045725D2" w14:textId="274E2417" w:rsidR="00860B7F" w:rsidRPr="00B1611D" w:rsidRDefault="00E83C3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Capacitación de funcionarios de aduanas</w:t>
      </w:r>
      <w:r w:rsidR="00860B7F" w:rsidRPr="00B1611D">
        <w:rPr>
          <w:rFonts w:eastAsia="Calibri"/>
          <w:lang w:val="es-ES" w:eastAsia="zh-CN"/>
        </w:rPr>
        <w:t>;</w:t>
      </w:r>
    </w:p>
    <w:p w14:paraId="1E52A78F" w14:textId="7C8228BD"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Preven</w:t>
      </w:r>
      <w:r w:rsidR="00E83C3F" w:rsidRPr="00B1611D">
        <w:rPr>
          <w:rFonts w:eastAsia="Calibri"/>
          <w:lang w:val="es-ES" w:eastAsia="zh-CN"/>
        </w:rPr>
        <w:t>ción del comercio ilícito de hidrofluorocarbonos</w:t>
      </w:r>
      <w:r w:rsidRPr="00B1611D">
        <w:rPr>
          <w:rFonts w:eastAsia="Calibri"/>
          <w:lang w:val="es-ES" w:eastAsia="zh-CN"/>
        </w:rPr>
        <w:t>;</w:t>
      </w:r>
    </w:p>
    <w:p w14:paraId="63F2CA40" w14:textId="0B1DD7D4" w:rsidR="00860B7F" w:rsidRPr="00B1611D" w:rsidRDefault="00E83C3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Instrumentos para el mantenimiento</w:t>
      </w:r>
      <w:r w:rsidR="00860B7F" w:rsidRPr="00B1611D">
        <w:rPr>
          <w:rFonts w:eastAsia="Calibri"/>
          <w:lang w:val="es-ES" w:eastAsia="zh-CN"/>
        </w:rPr>
        <w:t xml:space="preserve">; </w:t>
      </w:r>
    </w:p>
    <w:p w14:paraId="7445E704" w14:textId="4761321E" w:rsidR="00860B7F" w:rsidRPr="00B1611D" w:rsidRDefault="00E83C3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color w:val="000000"/>
          <w:lang w:val="es-ES"/>
        </w:rPr>
        <w:t>Equipo de pruebas de refrigerantes para el secto</w:t>
      </w:r>
      <w:r w:rsidR="000D1E19">
        <w:rPr>
          <w:color w:val="000000"/>
          <w:lang w:val="es-ES"/>
        </w:rPr>
        <w:t>r de la refrigeración y el aire </w:t>
      </w:r>
      <w:r w:rsidRPr="00B1611D">
        <w:rPr>
          <w:color w:val="000000"/>
          <w:lang w:val="es-ES"/>
        </w:rPr>
        <w:t>acondicionado</w:t>
      </w:r>
      <w:r w:rsidR="00860B7F" w:rsidRPr="00B1611D">
        <w:rPr>
          <w:rFonts w:eastAsia="Calibri"/>
          <w:lang w:val="es-ES" w:eastAsia="zh-CN"/>
        </w:rPr>
        <w:t>;</w:t>
      </w:r>
    </w:p>
    <w:p w14:paraId="38BC88A1" w14:textId="09135771"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Rec</w:t>
      </w:r>
      <w:r w:rsidR="00E83C3F" w:rsidRPr="00B1611D">
        <w:rPr>
          <w:rFonts w:eastAsia="Calibri"/>
          <w:lang w:val="es-ES" w:eastAsia="zh-CN"/>
        </w:rPr>
        <w:t>iclado y recuperación de hidrofluorocarbonos</w:t>
      </w:r>
    </w:p>
    <w:p w14:paraId="33D24BDA" w14:textId="35EEAAF3"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w:t>
      </w:r>
      <w:r w:rsidR="00E83C3F" w:rsidRPr="00B1611D">
        <w:rPr>
          <w:rFonts w:eastAsia="Calibri"/>
          <w:lang w:val="es-ES" w:eastAsia="zh-CN"/>
        </w:rPr>
        <w:t>Costos de importación adicionales</w:t>
      </w:r>
      <w:r w:rsidRPr="00B1611D">
        <w:rPr>
          <w:rFonts w:eastAsia="Calibri"/>
          <w:lang w:val="es-ES" w:eastAsia="zh-CN"/>
        </w:rPr>
        <w:t>]*</w:t>
      </w:r>
    </w:p>
    <w:p w14:paraId="25B4A8FD" w14:textId="55A11AEF" w:rsidR="00860B7F" w:rsidRPr="00B1611D" w:rsidRDefault="00860B7F" w:rsidP="00447834">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rPr>
          <w:rFonts w:eastAsia="Calibri"/>
          <w:lang w:val="es-ES" w:eastAsia="zh-CN"/>
        </w:rPr>
      </w:pPr>
      <w:r w:rsidRPr="00B1611D">
        <w:rPr>
          <w:rFonts w:eastAsia="Calibri"/>
          <w:lang w:val="es-ES" w:eastAsia="zh-CN"/>
        </w:rPr>
        <w:t>[</w:t>
      </w:r>
      <w:r w:rsidR="00E83C3F" w:rsidRPr="00B1611D">
        <w:rPr>
          <w:rFonts w:eastAsia="Calibri"/>
          <w:lang w:val="es-ES" w:eastAsia="zh-CN"/>
        </w:rPr>
        <w:t>Costo incremental de los refrigerantes para mantenimiento/recarga de unidades de aire acondicionado instaladas en vehículos</w:t>
      </w:r>
      <w:r w:rsidRPr="00B1611D">
        <w:rPr>
          <w:rFonts w:eastAsia="Calibri"/>
          <w:lang w:val="es-ES" w:eastAsia="zh-CN"/>
        </w:rPr>
        <w:t>]*</w:t>
      </w:r>
    </w:p>
    <w:p w14:paraId="53E8CA69" w14:textId="6C6C3C13" w:rsidR="00860B7F" w:rsidRPr="00B1611D" w:rsidRDefault="00E05B9E" w:rsidP="00AB5A00">
      <w:pPr>
        <w:tabs>
          <w:tab w:val="clear" w:pos="1247"/>
          <w:tab w:val="clear" w:pos="1814"/>
          <w:tab w:val="clear" w:pos="2381"/>
          <w:tab w:val="clear" w:pos="2948"/>
          <w:tab w:val="clear" w:pos="3515"/>
        </w:tabs>
        <w:suppressAutoHyphens/>
        <w:autoSpaceDN w:val="0"/>
        <w:spacing w:before="20" w:after="40"/>
        <w:ind w:left="1247"/>
        <w:textAlignment w:val="baseline"/>
        <w:rPr>
          <w:sz w:val="18"/>
          <w:szCs w:val="18"/>
          <w:lang w:val="es-ES" w:eastAsia="en-GB"/>
        </w:rPr>
      </w:pPr>
      <w:r w:rsidRPr="00B1611D">
        <w:rPr>
          <w:sz w:val="18"/>
          <w:szCs w:val="18"/>
          <w:lang w:val="es-ES" w:eastAsia="en-GB"/>
        </w:rPr>
        <w:t>*Los asuntos que figuran arriba entre corchetes serán examinados durante la negociación de la enmienda y quedarán resueltos antes de la aprobación de una enmienda al Protocolo de Montreal</w:t>
      </w:r>
    </w:p>
    <w:p w14:paraId="289844D7" w14:textId="6B741F75"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444732" w:rsidRPr="00B1611D">
        <w:rPr>
          <w:color w:val="FF0000"/>
          <w:lang w:val="es-ES" w:eastAsia="en-GB"/>
        </w:rPr>
        <w:t>Nota del Grupo de redacción de textos jurídicos</w:t>
      </w:r>
      <w:r w:rsidRPr="00B1611D">
        <w:rPr>
          <w:color w:val="FF0000"/>
          <w:lang w:val="es-ES" w:eastAsia="en-GB"/>
        </w:rPr>
        <w:t xml:space="preserve">: </w:t>
      </w:r>
      <w:r w:rsidR="00444732" w:rsidRPr="00B1611D">
        <w:rPr>
          <w:color w:val="FF0000"/>
          <w:lang w:val="es-ES" w:eastAsia="en-GB"/>
        </w:rPr>
        <w:t xml:space="preserve">el texto que figura a continuación aparece en el apéndice </w:t>
      </w:r>
      <w:r w:rsidRPr="00B1611D">
        <w:rPr>
          <w:color w:val="FF0000"/>
          <w:lang w:val="es-ES" w:eastAsia="en-GB"/>
        </w:rPr>
        <w:t xml:space="preserve">I </w:t>
      </w:r>
      <w:r w:rsidR="00444732" w:rsidRPr="00B1611D">
        <w:rPr>
          <w:color w:val="FF0000"/>
          <w:lang w:val="es-ES" w:eastAsia="en-GB"/>
        </w:rPr>
        <w:t xml:space="preserve">de las soluciones </w:t>
      </w:r>
      <w:r w:rsidR="00E05B9E" w:rsidRPr="00B1611D">
        <w:rPr>
          <w:color w:val="FF0000"/>
          <w:lang w:val="es-ES" w:eastAsia="en-GB"/>
        </w:rPr>
        <w:t>e</w:t>
      </w:r>
      <w:r w:rsidRPr="00B1611D">
        <w:rPr>
          <w:color w:val="FF0000"/>
          <w:lang w:val="es-ES" w:eastAsia="en-GB"/>
        </w:rPr>
        <w:t>n rela</w:t>
      </w:r>
      <w:r w:rsidR="00E05B9E" w:rsidRPr="00B1611D">
        <w:rPr>
          <w:color w:val="FF0000"/>
          <w:lang w:val="es-ES" w:eastAsia="en-GB"/>
        </w:rPr>
        <w:t>ción con los problemas del sector de mantenimiento</w:t>
      </w:r>
      <w:r w:rsidRPr="00B1611D">
        <w:rPr>
          <w:color w:val="FF0000"/>
          <w:lang w:val="es-ES" w:eastAsia="en-GB"/>
        </w:rPr>
        <w:t>:</w:t>
      </w:r>
      <w:r w:rsidRPr="00B1611D">
        <w:rPr>
          <w:lang w:val="es-ES" w:eastAsia="en-GB"/>
        </w:rPr>
        <w:t xml:space="preserve"> “</w:t>
      </w:r>
      <w:r w:rsidR="00444732" w:rsidRPr="00B1611D">
        <w:rPr>
          <w:color w:val="000000"/>
          <w:lang w:val="es-ES"/>
        </w:rPr>
        <w:t>Recomendamos al grupo de contacto que tome nota de que el grupo de finanzas ha aportado soluciones a los problemas y abordará la resolución de las cuestiones de financiación que aparecen entre corchetes y los costos de explotación incrementales durante la negociación de la enmienda</w:t>
      </w:r>
      <w:r w:rsidRPr="00B1611D">
        <w:rPr>
          <w:lang w:val="es-ES" w:eastAsia="en-GB"/>
        </w:rPr>
        <w:t xml:space="preserve">. </w:t>
      </w:r>
      <w:r w:rsidR="00444732" w:rsidRPr="00B1611D">
        <w:rPr>
          <w:color w:val="000000"/>
          <w:lang w:val="es-ES"/>
        </w:rPr>
        <w:t>Sobre esta base, las Partes pasarán a negociar una enmienda</w:t>
      </w:r>
      <w:r w:rsidRPr="00B1611D">
        <w:rPr>
          <w:lang w:val="es-ES" w:eastAsia="en-GB"/>
        </w:rPr>
        <w:t>”</w:t>
      </w:r>
      <w:r w:rsidR="00444732" w:rsidRPr="00B1611D">
        <w:rPr>
          <w:lang w:val="es-ES" w:eastAsia="en-GB"/>
        </w:rPr>
        <w:t>.</w:t>
      </w:r>
      <w:r w:rsidRPr="00B1611D">
        <w:rPr>
          <w:lang w:val="es-ES" w:eastAsia="en-GB"/>
        </w:rPr>
        <w:t>]</w:t>
      </w:r>
    </w:p>
    <w:p w14:paraId="2E2B855E" w14:textId="2BDB4DAA" w:rsidR="00860B7F" w:rsidRPr="00B1611D" w:rsidRDefault="00A921C9"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Pedir al Comité Ejecutivo del Fondo Multilateral que</w:t>
      </w:r>
      <w:r w:rsidR="00860B7F" w:rsidRPr="00B1611D">
        <w:rPr>
          <w:rFonts w:eastAsia="Calibri"/>
          <w:lang w:val="es-ES"/>
        </w:rPr>
        <w:t xml:space="preserve"> </w:t>
      </w:r>
      <w:r w:rsidR="00444732" w:rsidRPr="00B1611D">
        <w:rPr>
          <w:rFonts w:eastAsia="Calibri"/>
          <w:lang w:val="es-ES"/>
        </w:rPr>
        <w:t>aumente</w:t>
      </w:r>
      <w:r w:rsidR="00860B7F" w:rsidRPr="00B1611D">
        <w:rPr>
          <w:rFonts w:eastAsia="Calibri"/>
          <w:lang w:val="es-ES"/>
        </w:rPr>
        <w:t xml:space="preserve"> [</w:t>
      </w:r>
      <w:r w:rsidR="00444732" w:rsidRPr="00B1611D">
        <w:rPr>
          <w:rFonts w:eastAsia="Calibri"/>
          <w:color w:val="FF0000"/>
          <w:lang w:val="es-ES"/>
        </w:rPr>
        <w:t>e</w:t>
      </w:r>
      <w:r w:rsidR="00860B7F" w:rsidRPr="00B1611D">
        <w:rPr>
          <w:rFonts w:eastAsia="Calibri"/>
          <w:color w:val="FF0000"/>
          <w:lang w:val="es-ES"/>
        </w:rPr>
        <w:t>n rela</w:t>
      </w:r>
      <w:r w:rsidR="00444732" w:rsidRPr="00B1611D">
        <w:rPr>
          <w:rFonts w:eastAsia="Calibri"/>
          <w:color w:val="FF0000"/>
          <w:lang w:val="es-ES"/>
        </w:rPr>
        <w:t xml:space="preserve">ción con el sector de </w:t>
      </w:r>
      <w:r w:rsidR="00E05B9E" w:rsidRPr="00B1611D">
        <w:rPr>
          <w:rFonts w:eastAsia="Calibri"/>
          <w:color w:val="FF0000"/>
          <w:lang w:val="es-ES"/>
        </w:rPr>
        <w:t>mantenimiento</w:t>
      </w:r>
      <w:r w:rsidR="00860B7F" w:rsidRPr="00B1611D">
        <w:rPr>
          <w:rFonts w:eastAsia="Calibri"/>
          <w:lang w:val="es-ES"/>
        </w:rPr>
        <w:t>]</w:t>
      </w:r>
      <w:r w:rsidR="00860B7F" w:rsidRPr="00B1611D">
        <w:rPr>
          <w:rFonts w:eastAsia="Calibri"/>
          <w:color w:val="FF0000"/>
          <w:lang w:val="es-ES"/>
        </w:rPr>
        <w:t xml:space="preserve"> </w:t>
      </w:r>
      <w:r w:rsidR="00444732" w:rsidRPr="00B1611D">
        <w:rPr>
          <w:color w:val="000000"/>
          <w:lang w:val="es-ES"/>
        </w:rPr>
        <w:t xml:space="preserve">la financiación disponible de conformidad con la decisión 74/50 del Comité Ejecutivo, hasta un máximo de </w:t>
      </w:r>
      <w:r w:rsidR="00444732" w:rsidRPr="00B1611D">
        <w:rPr>
          <w:rFonts w:eastAsia="Calibri"/>
          <w:lang w:val="es-ES"/>
        </w:rPr>
        <w:t>[X %]</w:t>
      </w:r>
      <w:r w:rsidR="00444732" w:rsidRPr="00B1611D">
        <w:rPr>
          <w:color w:val="000000"/>
          <w:lang w:val="es-ES"/>
        </w:rPr>
        <w:t xml:space="preserve"> por encima </w:t>
      </w:r>
      <w:r w:rsidR="00E613F9" w:rsidRPr="00B1611D">
        <w:rPr>
          <w:color w:val="000000"/>
          <w:lang w:val="es-ES"/>
        </w:rPr>
        <w:t>de las cantidades enumeradas en </w:t>
      </w:r>
      <w:r w:rsidR="00444732" w:rsidRPr="00B1611D">
        <w:rPr>
          <w:color w:val="000000"/>
          <w:lang w:val="es-ES"/>
        </w:rPr>
        <w:t>esa decisión, para las Partes con un consumo de ref</w:t>
      </w:r>
      <w:r w:rsidR="00E613F9" w:rsidRPr="00B1611D">
        <w:rPr>
          <w:color w:val="000000"/>
          <w:lang w:val="es-ES"/>
        </w:rPr>
        <w:t>erencia total de HCFC de hasta </w:t>
      </w:r>
      <w:r w:rsidR="00444732" w:rsidRPr="00B1611D">
        <w:rPr>
          <w:color w:val="000000"/>
          <w:lang w:val="es-ES"/>
        </w:rPr>
        <w:t>360 toneladas métricas cuando sea necesario para la introducción de alternativas a</w:t>
      </w:r>
      <w:r w:rsidR="00444732" w:rsidRPr="00B1611D">
        <w:rPr>
          <w:rStyle w:val="apple-converted-space"/>
          <w:color w:val="000000"/>
          <w:lang w:val="es-ES"/>
        </w:rPr>
        <w:t> </w:t>
      </w:r>
      <w:r w:rsidR="00E613F9" w:rsidRPr="00B1611D">
        <w:rPr>
          <w:rFonts w:eastAsia="Calibri"/>
          <w:lang w:val="es-ES"/>
        </w:rPr>
        <w:t>los </w:t>
      </w:r>
      <w:r w:rsidR="00444732" w:rsidRPr="00B1611D">
        <w:rPr>
          <w:rFonts w:eastAsia="Calibri"/>
          <w:lang w:val="es-ES"/>
        </w:rPr>
        <w:t>hidroclorofluorocarbonos con bajo PCA y de alternativa</w:t>
      </w:r>
      <w:r w:rsidR="00E613F9" w:rsidRPr="00B1611D">
        <w:rPr>
          <w:rFonts w:eastAsia="Calibri"/>
          <w:lang w:val="es-ES"/>
        </w:rPr>
        <w:t>s a los hidrofluorocarbonos con </w:t>
      </w:r>
      <w:r w:rsidR="00444732" w:rsidRPr="00B1611D">
        <w:rPr>
          <w:rFonts w:eastAsia="Calibri"/>
          <w:lang w:val="es-ES"/>
        </w:rPr>
        <w:t>PCA nulo</w:t>
      </w:r>
      <w:r w:rsidR="00860B7F" w:rsidRPr="00B1611D">
        <w:rPr>
          <w:rFonts w:eastAsia="Calibri"/>
          <w:lang w:val="es-ES"/>
        </w:rPr>
        <w:t xml:space="preserve">, </w:t>
      </w:r>
      <w:r w:rsidR="00444732" w:rsidRPr="00B1611D">
        <w:rPr>
          <w:rFonts w:eastAsia="Calibri"/>
          <w:lang w:val="es-ES"/>
        </w:rPr>
        <w:t xml:space="preserve">y mantener la eficiencia energética también en el sector de </w:t>
      </w:r>
      <w:r w:rsidR="00E05B9E" w:rsidRPr="00B1611D">
        <w:rPr>
          <w:rFonts w:eastAsia="Calibri"/>
          <w:lang w:val="es-ES"/>
        </w:rPr>
        <w:t>mantenimiento</w:t>
      </w:r>
      <w:r w:rsidR="00E613F9" w:rsidRPr="00B1611D">
        <w:rPr>
          <w:rFonts w:eastAsia="Calibri"/>
          <w:lang w:val="es-ES"/>
        </w:rPr>
        <w:t>/usuarios </w:t>
      </w:r>
      <w:r w:rsidR="00444732" w:rsidRPr="00B1611D">
        <w:rPr>
          <w:rFonts w:eastAsia="Calibri"/>
          <w:lang w:val="es-ES"/>
        </w:rPr>
        <w:t>finales</w:t>
      </w:r>
    </w:p>
    <w:p w14:paraId="0D429912" w14:textId="771751B1"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A921C9" w:rsidRPr="00B1611D">
        <w:rPr>
          <w:lang w:val="es-ES" w:eastAsia="en-GB"/>
        </w:rPr>
        <w:t>Fecha límite para la capacidad subvenciona</w:t>
      </w:r>
      <w:r w:rsidR="00444732" w:rsidRPr="00B1611D">
        <w:rPr>
          <w:lang w:val="es-ES" w:eastAsia="en-GB"/>
        </w:rPr>
        <w:t>b</w:t>
      </w:r>
      <w:r w:rsidR="00A921C9" w:rsidRPr="00B1611D">
        <w:rPr>
          <w:lang w:val="es-ES" w:eastAsia="en-GB"/>
        </w:rPr>
        <w:t>le</w:t>
      </w:r>
      <w:r w:rsidRPr="00B1611D">
        <w:rPr>
          <w:lang w:val="es-ES" w:eastAsia="en-GB"/>
        </w:rPr>
        <w:t>]</w:t>
      </w:r>
    </w:p>
    <w:p w14:paraId="76CBBA4F" w14:textId="404E83EF" w:rsidR="00860B7F" w:rsidRPr="00B1611D" w:rsidRDefault="00A921C9"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Que la fecha límit</w:t>
      </w:r>
      <w:r w:rsidR="00444732" w:rsidRPr="00B1611D">
        <w:rPr>
          <w:rFonts w:eastAsia="Calibri"/>
          <w:lang w:val="es-ES"/>
        </w:rPr>
        <w:t>e para la capacidad subvenciona</w:t>
      </w:r>
      <w:r w:rsidRPr="00B1611D">
        <w:rPr>
          <w:rFonts w:eastAsia="Calibri"/>
          <w:lang w:val="es-ES"/>
        </w:rPr>
        <w:t>b</w:t>
      </w:r>
      <w:r w:rsidR="00444732" w:rsidRPr="00B1611D">
        <w:rPr>
          <w:rFonts w:eastAsia="Calibri"/>
          <w:lang w:val="es-ES"/>
        </w:rPr>
        <w:t>l</w:t>
      </w:r>
      <w:r w:rsidRPr="00B1611D">
        <w:rPr>
          <w:rFonts w:eastAsia="Calibri"/>
          <w:lang w:val="es-ES"/>
        </w:rPr>
        <w:t xml:space="preserve">e sea </w:t>
      </w:r>
      <w:r w:rsidR="00860B7F" w:rsidRPr="00B1611D">
        <w:rPr>
          <w:rFonts w:eastAsia="Calibri"/>
          <w:lang w:val="es-ES"/>
        </w:rPr>
        <w:t>[</w:t>
      </w:r>
      <w:r w:rsidRPr="00B1611D">
        <w:rPr>
          <w:rFonts w:eastAsia="Calibri"/>
          <w:lang w:val="es-ES"/>
        </w:rPr>
        <w:t>FECHA</w:t>
      </w:r>
      <w:r w:rsidR="00860B7F" w:rsidRPr="00B1611D">
        <w:rPr>
          <w:rFonts w:eastAsia="Calibri"/>
          <w:lang w:val="es-ES"/>
        </w:rPr>
        <w:t>].</w:t>
      </w:r>
    </w:p>
    <w:p w14:paraId="14BC54A3" w14:textId="06F8914F" w:rsidR="00860B7F" w:rsidRPr="00B1611D" w:rsidRDefault="00860B7F" w:rsidP="00E613F9">
      <w:pPr>
        <w:pStyle w:val="Normal-pool"/>
        <w:keepNext/>
        <w:keepLines/>
        <w:tabs>
          <w:tab w:val="clear" w:pos="1247"/>
          <w:tab w:val="clear" w:pos="1814"/>
          <w:tab w:val="clear" w:pos="2381"/>
          <w:tab w:val="clear" w:pos="2948"/>
          <w:tab w:val="clear" w:pos="3515"/>
          <w:tab w:val="clear" w:pos="4082"/>
          <w:tab w:val="left" w:pos="624"/>
        </w:tabs>
        <w:spacing w:after="120"/>
        <w:ind w:left="1247"/>
        <w:rPr>
          <w:sz w:val="24"/>
          <w:szCs w:val="24"/>
          <w:lang w:val="es-ES" w:eastAsia="en-GB"/>
        </w:rPr>
      </w:pPr>
      <w:r w:rsidRPr="00B1611D">
        <w:rPr>
          <w:lang w:val="es-ES" w:eastAsia="en-GB"/>
        </w:rPr>
        <w:lastRenderedPageBreak/>
        <w:t>[E</w:t>
      </w:r>
      <w:r w:rsidR="00A300F6" w:rsidRPr="00B1611D">
        <w:rPr>
          <w:lang w:val="es-ES" w:eastAsia="en-GB"/>
        </w:rPr>
        <w:t>ficiencia energética</w:t>
      </w:r>
      <w:r w:rsidRPr="00B1611D">
        <w:rPr>
          <w:lang w:val="es-ES" w:eastAsia="en-GB"/>
        </w:rPr>
        <w:t>]</w:t>
      </w:r>
    </w:p>
    <w:p w14:paraId="799C0815" w14:textId="7AAAA897" w:rsidR="00860B7F" w:rsidRPr="00B1611D" w:rsidRDefault="005128F9" w:rsidP="00E613F9">
      <w:pPr>
        <w:pStyle w:val="Normal-pool"/>
        <w:keepNext/>
        <w:keepLines/>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color w:val="000000"/>
          <w:lang w:val="es-ES"/>
        </w:rPr>
        <w:t xml:space="preserve">Pedir al Comité Ejecutivo que, en relación con la reducción de los </w:t>
      </w:r>
      <w:r w:rsidR="00481996" w:rsidRPr="00B1611D">
        <w:rPr>
          <w:color w:val="000000"/>
          <w:lang w:val="es-ES"/>
        </w:rPr>
        <w:t>hidrofluorocarbonos</w:t>
      </w:r>
      <w:r w:rsidRPr="00B1611D">
        <w:rPr>
          <w:color w:val="000000"/>
          <w:lang w:val="es-ES"/>
        </w:rPr>
        <w:t>, elabore orientaciones relativas a los costos asociados con el mantenimiento o el aumento de la eficiencia energética de las tecnologías y el equipo de sustitución con bajo o nulo PCA, y que tome nota, cuando proceda, de</w:t>
      </w:r>
      <w:r w:rsidR="00481996" w:rsidRPr="00B1611D">
        <w:rPr>
          <w:color w:val="000000"/>
          <w:lang w:val="es-ES"/>
        </w:rPr>
        <w:t xml:space="preserve"> la función que realizan</w:t>
      </w:r>
      <w:r w:rsidRPr="00B1611D">
        <w:rPr>
          <w:color w:val="000000"/>
          <w:lang w:val="es-ES"/>
        </w:rPr>
        <w:t xml:space="preserve"> otras instituciones que también </w:t>
      </w:r>
      <w:r w:rsidR="00481996" w:rsidRPr="00B1611D">
        <w:rPr>
          <w:color w:val="000000"/>
          <w:lang w:val="es-ES"/>
        </w:rPr>
        <w:t xml:space="preserve">se ocupan de </w:t>
      </w:r>
      <w:r w:rsidRPr="00B1611D">
        <w:rPr>
          <w:color w:val="000000"/>
          <w:lang w:val="es-ES"/>
        </w:rPr>
        <w:t>la eficiencia energética</w:t>
      </w:r>
      <w:r w:rsidR="00860B7F" w:rsidRPr="00B1611D">
        <w:rPr>
          <w:rFonts w:eastAsia="Calibri"/>
          <w:lang w:val="es-ES"/>
        </w:rPr>
        <w:t>.</w:t>
      </w:r>
    </w:p>
    <w:p w14:paraId="78928170" w14:textId="77099815"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A300F6" w:rsidRPr="00B1611D">
        <w:rPr>
          <w:lang w:val="es-ES" w:eastAsia="en-GB"/>
        </w:rPr>
        <w:t>Fortalecimiento in</w:t>
      </w:r>
      <w:r w:rsidRPr="00B1611D">
        <w:rPr>
          <w:lang w:val="es-ES" w:eastAsia="en-GB"/>
        </w:rPr>
        <w:t>stitu</w:t>
      </w:r>
      <w:r w:rsidR="00A300F6" w:rsidRPr="00B1611D">
        <w:rPr>
          <w:lang w:val="es-ES" w:eastAsia="en-GB"/>
        </w:rPr>
        <w:t>c</w:t>
      </w:r>
      <w:r w:rsidRPr="00B1611D">
        <w:rPr>
          <w:lang w:val="es-ES" w:eastAsia="en-GB"/>
        </w:rPr>
        <w:t>ional]</w:t>
      </w:r>
    </w:p>
    <w:p w14:paraId="72CFBAC3" w14:textId="276D10B2" w:rsidR="00860B7F" w:rsidRPr="00B1611D" w:rsidRDefault="00A300F6"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Solicitar al Comité Ejecutivo que</w:t>
      </w:r>
      <w:r w:rsidR="00860B7F" w:rsidRPr="00B1611D">
        <w:rPr>
          <w:rFonts w:eastAsia="Calibri"/>
          <w:lang w:val="es-ES"/>
        </w:rPr>
        <w:t xml:space="preserve"> </w:t>
      </w:r>
      <w:r w:rsidRPr="00B1611D">
        <w:rPr>
          <w:color w:val="000000"/>
          <w:lang w:val="es-ES"/>
        </w:rPr>
        <w:t xml:space="preserve">aumente el apoyo al fortalecimiento institucional a la luz de nuevos compromisos relativos a los hidrofluorocarbonos </w:t>
      </w:r>
      <w:r w:rsidRPr="00B1611D">
        <w:rPr>
          <w:rFonts w:eastAsia="Calibri"/>
          <w:lang w:val="es-ES"/>
        </w:rPr>
        <w:t>a tenor de la presente enmienda</w:t>
      </w:r>
      <w:r w:rsidR="00860B7F" w:rsidRPr="00B1611D">
        <w:rPr>
          <w:rFonts w:eastAsia="Calibri"/>
          <w:lang w:val="es-ES"/>
        </w:rPr>
        <w:t>.</w:t>
      </w:r>
    </w:p>
    <w:p w14:paraId="06010E44" w14:textId="2E18A0D6"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lang w:val="es-ES" w:eastAsia="en-GB"/>
        </w:rPr>
      </w:pPr>
      <w:r w:rsidRPr="00B1611D">
        <w:rPr>
          <w:lang w:val="es-ES" w:eastAsia="en-GB"/>
        </w:rPr>
        <w:t>[</w:t>
      </w:r>
      <w:r w:rsidR="00A300F6" w:rsidRPr="00B1611D">
        <w:rPr>
          <w:lang w:val="es-ES" w:eastAsia="en-GB"/>
        </w:rPr>
        <w:t>Eliminación</w:t>
      </w:r>
      <w:r w:rsidRPr="00B1611D">
        <w:rPr>
          <w:lang w:val="es-ES" w:eastAsia="en-GB"/>
        </w:rPr>
        <w:t>]</w:t>
      </w:r>
    </w:p>
    <w:p w14:paraId="486F27FF" w14:textId="243E0282" w:rsidR="00860B7F" w:rsidRPr="00B1611D" w:rsidRDefault="00A300F6"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 xml:space="preserve">Pedir al Comité Ejecutivo del Fondo </w:t>
      </w:r>
      <w:r w:rsidR="00860B7F" w:rsidRPr="00B1611D">
        <w:rPr>
          <w:rFonts w:eastAsia="Calibri"/>
          <w:lang w:val="es-ES"/>
        </w:rPr>
        <w:t xml:space="preserve">Multilateral </w:t>
      </w:r>
      <w:r w:rsidRPr="00B1611D">
        <w:rPr>
          <w:rFonts w:eastAsia="Calibri"/>
          <w:lang w:val="es-ES"/>
        </w:rPr>
        <w:t>que considere la posibilidad de financiar la gestión eficaz en función de los costos de las existencias de sustancias controladas utilizadas o no deseadas, incluida su destrucción</w:t>
      </w:r>
      <w:r w:rsidR="00860B7F" w:rsidRPr="00B1611D">
        <w:rPr>
          <w:rFonts w:eastAsia="Calibri"/>
          <w:lang w:val="es-ES"/>
        </w:rPr>
        <w:t>.</w:t>
      </w:r>
    </w:p>
    <w:p w14:paraId="67A1EE91" w14:textId="21337633" w:rsidR="00860B7F" w:rsidRPr="00B1611D" w:rsidRDefault="00860B7F" w:rsidP="00AB5A00">
      <w:pPr>
        <w:pStyle w:val="Normal-pool"/>
        <w:tabs>
          <w:tab w:val="clear" w:pos="1247"/>
          <w:tab w:val="clear" w:pos="1814"/>
          <w:tab w:val="clear" w:pos="2381"/>
          <w:tab w:val="clear" w:pos="2948"/>
          <w:tab w:val="clear" w:pos="3515"/>
          <w:tab w:val="clear" w:pos="4082"/>
          <w:tab w:val="left" w:pos="624"/>
        </w:tabs>
        <w:spacing w:after="120"/>
        <w:ind w:left="1247"/>
        <w:rPr>
          <w:sz w:val="24"/>
          <w:szCs w:val="24"/>
          <w:lang w:val="es-ES" w:eastAsia="en-GB"/>
        </w:rPr>
      </w:pPr>
      <w:r w:rsidRPr="00B1611D">
        <w:rPr>
          <w:lang w:val="es-ES" w:eastAsia="en-GB"/>
        </w:rPr>
        <w:t>[C</w:t>
      </w:r>
      <w:r w:rsidR="00A300F6" w:rsidRPr="00B1611D">
        <w:rPr>
          <w:lang w:val="es-ES" w:eastAsia="en-GB"/>
        </w:rPr>
        <w:t>reación de capacidad para abordar cuestiones de seguridad</w:t>
      </w:r>
      <w:r w:rsidRPr="00B1611D">
        <w:rPr>
          <w:lang w:val="es-ES" w:eastAsia="en-GB"/>
        </w:rPr>
        <w:t>]</w:t>
      </w:r>
    </w:p>
    <w:p w14:paraId="1AF45CE8" w14:textId="3104D73D" w:rsidR="00860B7F" w:rsidRPr="00B1611D" w:rsidRDefault="00A300F6" w:rsidP="00447834">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Pedir al Comité Ejecutivo del Fondo Multilateral que priorice la asistencia técnica y la creación de capacidad para abo</w:t>
      </w:r>
      <w:r w:rsidR="003553A7" w:rsidRPr="00B1611D">
        <w:rPr>
          <w:rFonts w:eastAsia="Calibri"/>
          <w:lang w:val="es-ES"/>
        </w:rPr>
        <w:t>r</w:t>
      </w:r>
      <w:r w:rsidRPr="00B1611D">
        <w:rPr>
          <w:rFonts w:eastAsia="Calibri"/>
          <w:lang w:val="es-ES"/>
        </w:rPr>
        <w:t>dar cue</w:t>
      </w:r>
      <w:r w:rsidR="003553A7" w:rsidRPr="00B1611D">
        <w:rPr>
          <w:rFonts w:eastAsia="Calibri"/>
          <w:lang w:val="es-ES"/>
        </w:rPr>
        <w:t>s</w:t>
      </w:r>
      <w:r w:rsidRPr="00B1611D">
        <w:rPr>
          <w:rFonts w:eastAsia="Calibri"/>
          <w:lang w:val="es-ES"/>
        </w:rPr>
        <w:t>tiones de seguridad relacionadas con las alternativas de PCA bajo o nulo</w:t>
      </w:r>
      <w:r w:rsidR="00860B7F" w:rsidRPr="00B1611D">
        <w:rPr>
          <w:rFonts w:eastAsia="Calibri"/>
          <w:lang w:val="es-ES"/>
        </w:rPr>
        <w:t>.</w:t>
      </w:r>
    </w:p>
    <w:p w14:paraId="1FAE6642" w14:textId="77777777" w:rsidR="00E613F9" w:rsidRPr="00B1611D" w:rsidRDefault="00E613F9" w:rsidP="00E613F9">
      <w:pPr>
        <w:pStyle w:val="Normal-pool"/>
        <w:keepNext/>
        <w:keepLines/>
        <w:tabs>
          <w:tab w:val="clear" w:pos="1247"/>
          <w:tab w:val="clear" w:pos="1814"/>
          <w:tab w:val="clear" w:pos="2381"/>
          <w:tab w:val="clear" w:pos="2948"/>
          <w:tab w:val="clear" w:pos="3515"/>
          <w:tab w:val="clear" w:pos="4082"/>
          <w:tab w:val="left" w:pos="624"/>
        </w:tabs>
        <w:spacing w:after="120"/>
        <w:ind w:left="1247"/>
        <w:rPr>
          <w:sz w:val="24"/>
          <w:szCs w:val="24"/>
          <w:lang w:val="es-ES"/>
        </w:rPr>
      </w:pPr>
      <w:r w:rsidRPr="00B1611D">
        <w:rPr>
          <w:lang w:val="es-ES"/>
        </w:rPr>
        <w:t>[Costo de la importación de alternativas]</w:t>
      </w:r>
    </w:p>
    <w:p w14:paraId="0095B125" w14:textId="76B4676A" w:rsidR="00E613F9" w:rsidRPr="00B1611D" w:rsidRDefault="00E613F9" w:rsidP="00E613F9">
      <w:pPr>
        <w:pStyle w:val="Normal-pool"/>
        <w:keepNext/>
        <w:keepLines/>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w:t>
      </w:r>
      <w:r w:rsidRPr="000D1E19">
        <w:rPr>
          <w:color w:val="FF0000"/>
          <w:lang w:val="es-ES"/>
        </w:rPr>
        <w:t>El texto siguiente figura en el apéndice II de las soluciones en relación con los problemas relativos a</w:t>
      </w:r>
      <w:r w:rsidR="00A451B6" w:rsidRPr="000D1E19">
        <w:rPr>
          <w:color w:val="FF0000"/>
          <w:lang w:val="es-ES"/>
        </w:rPr>
        <w:t xml:space="preserve"> </w:t>
      </w:r>
      <w:r w:rsidRPr="000D1E19">
        <w:rPr>
          <w:color w:val="FF0000"/>
          <w:lang w:val="es-ES"/>
        </w:rPr>
        <w:t>la importación de alternativas:</w:t>
      </w:r>
      <w:r w:rsidRPr="00B1611D">
        <w:rPr>
          <w:lang w:val="es-ES"/>
        </w:rPr>
        <w:t xml:space="preserve"> </w:t>
      </w:r>
      <w:r w:rsidR="000D4814">
        <w:rPr>
          <w:lang w:val="es-ES"/>
        </w:rPr>
        <w:t>“</w:t>
      </w:r>
      <w:r w:rsidRPr="00B1611D">
        <w:rPr>
          <w:lang w:val="es-ES"/>
        </w:rPr>
        <w:t>Debería prestarse apoyo al costo adicional (apoyo a la balanza de pago) de la importación de la sustancia alternativa.*</w:t>
      </w:r>
    </w:p>
    <w:p w14:paraId="09B990A4" w14:textId="40693388"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 Este punto, que aparece entre corchetes, será examinado durante la negociación de la enmienda y quedará resuelto antes de que se apruebe una enmienda al Protocolo de Montreal</w:t>
      </w:r>
      <w:r w:rsidR="00A6752D" w:rsidRPr="00B1611D">
        <w:rPr>
          <w:lang w:val="es-ES"/>
        </w:rPr>
        <w:t>.</w:t>
      </w:r>
      <w:r w:rsidR="000D4814">
        <w:rPr>
          <w:lang w:val="es-ES"/>
        </w:rPr>
        <w:t>”</w:t>
      </w:r>
      <w:r w:rsidRPr="00B1611D">
        <w:rPr>
          <w:lang w:val="es-ES"/>
        </w:rPr>
        <w:t>]</w:t>
      </w:r>
    </w:p>
    <w:p w14:paraId="2EEE9FE6"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[Otras actividades]</w:t>
      </w:r>
    </w:p>
    <w:p w14:paraId="13790200" w14:textId="77777777"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Que las Partes puedan determinar otras partidas de gastos que se añadirán a la lista indicativa que resulte de la conversión a alternativas de bajo PCA.</w:t>
      </w:r>
    </w:p>
    <w:p w14:paraId="244E881D"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[Del apéndice II - Soluciones de Viena para los problemas en cuestiones de financiación y la flexibilidad de la aplicación]</w:t>
      </w:r>
    </w:p>
    <w:p w14:paraId="73C89504"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[Principios relativos a las conversiones segundas y terceras]</w:t>
      </w:r>
    </w:p>
    <w:p w14:paraId="71099FCA" w14:textId="77777777"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Pedir al Comité Ejecutivo del Fondo Multilateral que incorpore en las directrices de financiación los siguientes principios relativos a las conversiones segundas y terceras,</w:t>
      </w:r>
    </w:p>
    <w:p w14:paraId="19440F08" w14:textId="4BE5B5F4"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en el contexto de la reducción de los HFC,</w:t>
      </w:r>
      <w:r w:rsidR="00A451B6" w:rsidRPr="00B1611D">
        <w:rPr>
          <w:lang w:val="es-ES"/>
        </w:rPr>
        <w:t xml:space="preserve"> </w:t>
      </w:r>
      <w:r w:rsidRPr="00B1611D">
        <w:rPr>
          <w:lang w:val="es-ES"/>
        </w:rPr>
        <w:t>se entiend</w:t>
      </w:r>
      <w:r w:rsidR="005D05B5" w:rsidRPr="00B1611D">
        <w:rPr>
          <w:lang w:val="es-ES"/>
        </w:rPr>
        <w:t>e por primeras conversiones las </w:t>
      </w:r>
      <w:r w:rsidRPr="00B1611D">
        <w:rPr>
          <w:lang w:val="es-ES"/>
        </w:rPr>
        <w:t>conversiones de empresas a alternativas con ba</w:t>
      </w:r>
      <w:r w:rsidR="005D05B5" w:rsidRPr="00B1611D">
        <w:rPr>
          <w:lang w:val="es-ES"/>
        </w:rPr>
        <w:t>jo PCA o cero PCA que nunca han </w:t>
      </w:r>
      <w:r w:rsidRPr="00B1611D">
        <w:rPr>
          <w:lang w:val="es-ES"/>
        </w:rPr>
        <w:t xml:space="preserve">recibido apoyo directo o indirecto alguno, en parte o en su totalidad, del Fondo Multilateral, entre ellas las empresas que se han convertido </w:t>
      </w:r>
      <w:r w:rsidR="005D05B5" w:rsidRPr="00B1611D">
        <w:rPr>
          <w:lang w:val="es-ES"/>
        </w:rPr>
        <w:t>a los HFC con recursos propios;</w:t>
      </w:r>
    </w:p>
    <w:p w14:paraId="6301691D" w14:textId="52FD4B01"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las empresas que ya han realizado la conversión a los</w:t>
      </w:r>
      <w:r w:rsidR="005D05B5" w:rsidRPr="00B1611D">
        <w:rPr>
          <w:lang w:val="es-ES"/>
        </w:rPr>
        <w:t xml:space="preserve"> HFC para la eliminación de los </w:t>
      </w:r>
      <w:r w:rsidRPr="00B1611D">
        <w:rPr>
          <w:lang w:val="es-ES"/>
        </w:rPr>
        <w:t>CFC y/o HCFC reúnen las condiciones para recibir financiación del Fondo Multilateral para hacer frente a los costos incrementales acordados, de la misma manera que las empresas que cumplen los requisitos para las primeras conversiones;</w:t>
      </w:r>
    </w:p>
    <w:p w14:paraId="482A7B1D"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 xml:space="preserve">las empresas que realicen la conversión de los HCFC a los HFC con alto PCA, después de aprobada la enmienda sobre los HFC, y con arreglo a planes de gestión de la eliminación de los HCFC ya aprobados por el Comité Ejecutivo, podrán recibir financiación del Fondo Multilateral para una conversión posterior a alternativas con bajo PCA o cero PCA para cubrir los costos adicionales convenidos de la misma manera que las empresas financiadas durante las primeras conversiones; </w:t>
      </w:r>
    </w:p>
    <w:p w14:paraId="20C1F1DC" w14:textId="2E9054B4"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las empresas que realicen la conversión de los HCFC a los HFC con alto PCA con recursos propios, antes de la fecha de congelación de los HFC que se estén reduciendo, podrán recibir financiación del Fondo Multilateral para cubrir los costos adicionales convenidos de la misma manera que las empresas f</w:t>
      </w:r>
      <w:r w:rsidR="005D05B5" w:rsidRPr="00B1611D">
        <w:rPr>
          <w:lang w:val="es-ES"/>
        </w:rPr>
        <w:t>inanciadas durante las primeras </w:t>
      </w:r>
      <w:r w:rsidR="00DB7D73">
        <w:rPr>
          <w:lang w:val="es-ES"/>
        </w:rPr>
        <w:t>conversiones;</w:t>
      </w:r>
      <w:r w:rsidRPr="00B1611D">
        <w:rPr>
          <w:lang w:val="es-ES"/>
        </w:rPr>
        <w:t xml:space="preserve"> </w:t>
      </w:r>
    </w:p>
    <w:p w14:paraId="4B685518"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lastRenderedPageBreak/>
        <w:t>las empresas que hagan la conversión de los HFC a HFC con un PCA más bajo con apoyo del Fondo Multilateral cuando no se disponga de otras alternativas, podrán recibir financiación con cargo al Fondo Multilateral para una conversión posterior a alternativas con bajo PCA o cero PCA, de ser necesario, para hacer frente a la etapa final de reducción de los HFC.</w:t>
      </w:r>
    </w:p>
    <w:p w14:paraId="7C956131"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sz w:val="24"/>
          <w:szCs w:val="24"/>
          <w:lang w:val="es-ES"/>
        </w:rPr>
      </w:pPr>
      <w:r w:rsidRPr="00B1611D">
        <w:rPr>
          <w:lang w:val="es-ES"/>
        </w:rPr>
        <w:t>[Reducciones acumuladas sostenidas]</w:t>
      </w:r>
    </w:p>
    <w:p w14:paraId="09BE8F16" w14:textId="481D52CE"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 xml:space="preserve">Pedir al Comité Ejecutivo del Fondo Multilateral que incorpore en las </w:t>
      </w:r>
      <w:r w:rsidR="005D05B5" w:rsidRPr="00B1611D">
        <w:rPr>
          <w:lang w:val="es-ES"/>
        </w:rPr>
        <w:t>políticas</w:t>
      </w:r>
      <w:r w:rsidRPr="00B1611D">
        <w:rPr>
          <w:lang w:val="es-ES"/>
        </w:rPr>
        <w:t xml:space="preserve"> del Fondo Multilateral el principio siguiente relativo a las reducciones totales y sostenidas,</w:t>
      </w:r>
    </w:p>
    <w:p w14:paraId="6E840340" w14:textId="77777777"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Que el consumo financiable restante en toneladas se determinará sobre la base del punto de partida del consumo nacional acumulado menos la cantidad financiada en proyectos aprobados con anterioridad en futuros formularios de acuerdos plurianuales de los planes de reducción de los HFC, en concordancia con la decisión 35/57 del Comité Ejecutivo.</w:t>
      </w:r>
    </w:p>
    <w:p w14:paraId="597D9A4C"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[Actividades de apoyo]</w:t>
      </w:r>
    </w:p>
    <w:p w14:paraId="42952C9A" w14:textId="57BDB49D"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Pedir al Comité Ejecutivo del Fondo Multilateral que incluy</w:t>
      </w:r>
      <w:r w:rsidR="000C5F60" w:rsidRPr="00B1611D">
        <w:rPr>
          <w:lang w:val="es-ES"/>
        </w:rPr>
        <w:t>a en la enmienda las siguientes </w:t>
      </w:r>
      <w:r w:rsidRPr="00B1611D">
        <w:rPr>
          <w:lang w:val="es-ES"/>
        </w:rPr>
        <w:t>actividades de apoyo que se financiarán en r</w:t>
      </w:r>
      <w:r w:rsidR="000C5F60" w:rsidRPr="00B1611D">
        <w:rPr>
          <w:lang w:val="es-ES"/>
        </w:rPr>
        <w:t>elación con la reducción de los </w:t>
      </w:r>
      <w:r w:rsidRPr="00B1611D">
        <w:rPr>
          <w:lang w:val="es-ES"/>
        </w:rPr>
        <w:t>hidrofluorocarbonos,</w:t>
      </w:r>
    </w:p>
    <w:p w14:paraId="6FDCE55C"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Creación de capacidad y capacitación para el manejo de alternativas a los HFC en el sector de servicios de mantenimiento, y los sectores de fabricación y producción;</w:t>
      </w:r>
    </w:p>
    <w:p w14:paraId="0857FD53"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Fortalecimiento institucional;</w:t>
      </w:r>
    </w:p>
    <w:p w14:paraId="329E1938"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Artículo 4B: Sistema de licencias;</w:t>
      </w:r>
    </w:p>
    <w:p w14:paraId="763A386E"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Presentación de informes;</w:t>
      </w:r>
    </w:p>
    <w:p w14:paraId="3293D1EB" w14:textId="77777777"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Proyectos de demostración; y</w:t>
      </w:r>
    </w:p>
    <w:p w14:paraId="6BE8E4E2" w14:textId="23C6BFDB" w:rsidR="00E613F9" w:rsidRPr="00B1611D" w:rsidRDefault="00E613F9" w:rsidP="00E613F9">
      <w:pPr>
        <w:pStyle w:val="Normal-pool"/>
        <w:numPr>
          <w:ilvl w:val="1"/>
          <w:numId w:val="10"/>
        </w:numPr>
        <w:tabs>
          <w:tab w:val="clear" w:pos="1247"/>
          <w:tab w:val="clear" w:pos="1814"/>
          <w:tab w:val="clear" w:pos="2381"/>
          <w:tab w:val="clear" w:pos="2948"/>
          <w:tab w:val="clear" w:pos="3515"/>
          <w:tab w:val="clear" w:pos="4082"/>
          <w:tab w:val="left" w:pos="624"/>
        </w:tabs>
        <w:spacing w:after="120"/>
        <w:ind w:left="2495" w:hanging="624"/>
        <w:rPr>
          <w:rFonts w:eastAsia="Calibri"/>
          <w:lang w:val="es-ES"/>
        </w:rPr>
      </w:pPr>
      <w:r w:rsidRPr="00B1611D">
        <w:rPr>
          <w:lang w:val="es-ES"/>
        </w:rPr>
        <w:t>Elaboración de estrategias nacionales</w:t>
      </w:r>
      <w:r w:rsidR="000C5F60" w:rsidRPr="00B1611D">
        <w:rPr>
          <w:lang w:val="es-ES"/>
        </w:rPr>
        <w:t>.</w:t>
      </w:r>
    </w:p>
    <w:p w14:paraId="60A19B00" w14:textId="77777777" w:rsidR="00E613F9" w:rsidRPr="00B1611D" w:rsidRDefault="00E613F9" w:rsidP="00E613F9">
      <w:pPr>
        <w:tabs>
          <w:tab w:val="clear" w:pos="1247"/>
          <w:tab w:val="clear" w:pos="1814"/>
          <w:tab w:val="clear" w:pos="2381"/>
          <w:tab w:val="clear" w:pos="2948"/>
          <w:tab w:val="clear" w:pos="3515"/>
        </w:tabs>
        <w:suppressAutoHyphens/>
        <w:autoSpaceDN w:val="0"/>
        <w:textAlignment w:val="baseline"/>
        <w:rPr>
          <w:sz w:val="24"/>
          <w:szCs w:val="24"/>
          <w:lang w:val="es-ES" w:eastAsia="en-GB"/>
        </w:rPr>
      </w:pPr>
    </w:p>
    <w:p w14:paraId="32C4343B" w14:textId="77777777" w:rsidR="00E613F9" w:rsidRPr="00B1611D" w:rsidRDefault="00E613F9" w:rsidP="00E613F9">
      <w:pPr>
        <w:tabs>
          <w:tab w:val="clear" w:pos="1247"/>
          <w:tab w:val="clear" w:pos="1814"/>
          <w:tab w:val="clear" w:pos="2381"/>
          <w:tab w:val="clear" w:pos="2948"/>
          <w:tab w:val="clear" w:pos="3515"/>
        </w:tabs>
        <w:spacing w:after="160" w:line="259" w:lineRule="auto"/>
        <w:rPr>
          <w:sz w:val="24"/>
          <w:szCs w:val="24"/>
          <w:lang w:val="es-ES" w:eastAsia="en-GB"/>
        </w:rPr>
      </w:pPr>
      <w:r w:rsidRPr="00B1611D">
        <w:rPr>
          <w:sz w:val="24"/>
          <w:szCs w:val="24"/>
          <w:lang w:val="es-ES" w:eastAsia="en-GB"/>
        </w:rPr>
        <w:br w:type="page"/>
      </w:r>
    </w:p>
    <w:p w14:paraId="2C147E1F" w14:textId="77777777" w:rsidR="00E613F9" w:rsidRPr="00B1611D" w:rsidRDefault="00E613F9" w:rsidP="00E613F9">
      <w:pPr>
        <w:pStyle w:val="CH2"/>
        <w:rPr>
          <w:lang w:val="es-ES"/>
        </w:rPr>
      </w:pPr>
      <w:r w:rsidRPr="00B1611D">
        <w:rPr>
          <w:lang w:val="es-ES"/>
        </w:rPr>
        <w:lastRenderedPageBreak/>
        <w:tab/>
      </w:r>
      <w:r w:rsidRPr="00B1611D">
        <w:rPr>
          <w:lang w:val="es-ES"/>
        </w:rPr>
        <w:tab/>
        <w:t>[Problema 5]</w:t>
      </w:r>
    </w:p>
    <w:p w14:paraId="29373811" w14:textId="14A8964A" w:rsidR="00E613F9" w:rsidRPr="00B1611D" w:rsidRDefault="000C5F60" w:rsidP="00E613F9">
      <w:pPr>
        <w:pStyle w:val="CH3"/>
        <w:rPr>
          <w:lang w:val="es-ES"/>
        </w:rPr>
      </w:pPr>
      <w:r w:rsidRPr="00B1611D">
        <w:rPr>
          <w:lang w:val="es-ES"/>
        </w:rPr>
        <w:tab/>
      </w:r>
      <w:r w:rsidRPr="00B1611D">
        <w:rPr>
          <w:lang w:val="es-ES"/>
        </w:rPr>
        <w:tab/>
        <w:t xml:space="preserve">[Decisión XXX: </w:t>
      </w:r>
      <w:r w:rsidR="00E613F9" w:rsidRPr="00B1611D">
        <w:rPr>
          <w:lang w:val="es-ES"/>
        </w:rPr>
        <w:t>Exención para los países de altas temperaturas ambiente.</w:t>
      </w:r>
    </w:p>
    <w:p w14:paraId="466E9E9F"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firstLine="624"/>
        <w:rPr>
          <w:i/>
          <w:lang w:val="es-ES"/>
        </w:rPr>
      </w:pPr>
      <w:r w:rsidRPr="00B1611D">
        <w:rPr>
          <w:i/>
          <w:lang w:val="es-ES"/>
        </w:rPr>
        <w:t>La 28ª Reunión de las Partes decide,</w:t>
      </w:r>
    </w:p>
    <w:p w14:paraId="1CC80751" w14:textId="2891ED1B"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[Espacio reservado para una referencia a la decisión relativa a la apro</w:t>
      </w:r>
      <w:r w:rsidR="000C5F60" w:rsidRPr="00B1611D">
        <w:rPr>
          <w:lang w:val="es-ES"/>
        </w:rPr>
        <w:t>bación de la enmienda sobre los </w:t>
      </w:r>
      <w:r w:rsidRPr="00B1611D">
        <w:rPr>
          <w:lang w:val="es-ES"/>
        </w:rPr>
        <w:t>hidrofluorocarbonos y una referencia al párrafo X del artículo 2J del artículo I de la enmienda]</w:t>
      </w:r>
    </w:p>
    <w:p w14:paraId="40CD61D4" w14:textId="77777777" w:rsidR="00E613F9" w:rsidRPr="00B1611D" w:rsidRDefault="00E613F9" w:rsidP="00E613F9">
      <w:pPr>
        <w:pStyle w:val="CH3"/>
        <w:rPr>
          <w:lang w:val="es-ES"/>
        </w:rPr>
      </w:pPr>
      <w:r w:rsidRPr="00B1611D">
        <w:rPr>
          <w:lang w:val="es-ES"/>
        </w:rPr>
        <w:tab/>
      </w:r>
      <w:r w:rsidRPr="00B1611D">
        <w:rPr>
          <w:lang w:val="es-ES"/>
        </w:rPr>
        <w:tab/>
        <w:t>Exención para los países de elevada temperatura ambiente</w:t>
      </w:r>
    </w:p>
    <w:p w14:paraId="222ECCB9" w14:textId="77777777" w:rsidR="00E613F9" w:rsidRPr="00B1611D" w:rsidRDefault="00E613F9" w:rsidP="00B1611D">
      <w:pPr>
        <w:pStyle w:val="Normalnumber"/>
        <w:ind w:left="1247" w:firstLine="624"/>
        <w:rPr>
          <w:rFonts w:eastAsia="Calibri"/>
          <w:lang w:val="es-ES"/>
        </w:rPr>
      </w:pPr>
      <w:r w:rsidRPr="00B1611D">
        <w:rPr>
          <w:rFonts w:eastAsia="Calibri"/>
          <w:lang w:val="es-ES"/>
        </w:rPr>
        <w:t>Que toda vez que no existan alternativas idóneas para el subsector de uso específicas, las Partes que presentan condiciones de altas temperaturas ambiente dispondrán de una nueva exención, según se describe más adelante;</w:t>
      </w:r>
    </w:p>
    <w:p w14:paraId="78708C5A" w14:textId="77777777" w:rsidR="00E613F9" w:rsidRPr="00B1611D" w:rsidRDefault="00E613F9" w:rsidP="00B1611D">
      <w:pPr>
        <w:pStyle w:val="Normalnumber"/>
        <w:ind w:left="1247" w:firstLine="624"/>
        <w:rPr>
          <w:rFonts w:eastAsia="Calibri"/>
          <w:lang w:val="es-ES"/>
        </w:rPr>
      </w:pPr>
      <w:r w:rsidRPr="00B1611D">
        <w:rPr>
          <w:rFonts w:eastAsia="Calibri"/>
          <w:lang w:val="es-ES"/>
        </w:rPr>
        <w:t>Que la exención se diferenciará y separará de las exenciones para usos esenciales y para usos críticos con arreglo al Protocolo de Montreal;</w:t>
      </w:r>
    </w:p>
    <w:p w14:paraId="10C54CEA" w14:textId="77777777" w:rsidR="00E613F9" w:rsidRPr="00B1611D" w:rsidRDefault="00E613F9" w:rsidP="00B1611D">
      <w:pPr>
        <w:pStyle w:val="Normalnumber"/>
        <w:ind w:left="1247" w:firstLine="624"/>
        <w:rPr>
          <w:rFonts w:eastAsia="Calibri"/>
          <w:lang w:val="es-ES"/>
        </w:rPr>
      </w:pPr>
      <w:r w:rsidRPr="00B1611D">
        <w:rPr>
          <w:lang w:val="es-ES"/>
        </w:rPr>
        <w:t xml:space="preserve">Que </w:t>
      </w:r>
      <w:r w:rsidRPr="00B1611D">
        <w:rPr>
          <w:rFonts w:eastAsia="Calibri"/>
          <w:lang w:val="es-ES"/>
        </w:rPr>
        <w:t>esta</w:t>
      </w:r>
      <w:r w:rsidRPr="00B1611D">
        <w:rPr>
          <w:lang w:val="es-ES"/>
        </w:rPr>
        <w:t xml:space="preserve"> exención se hará </w:t>
      </w:r>
      <w:r w:rsidRPr="00B1611D">
        <w:rPr>
          <w:rFonts w:eastAsia="Calibri"/>
          <w:lang w:val="es-ES"/>
        </w:rPr>
        <w:t>efectiva</w:t>
      </w:r>
      <w:r w:rsidRPr="00B1611D">
        <w:rPr>
          <w:lang w:val="es-ES"/>
        </w:rPr>
        <w:t xml:space="preserve"> y estará disponible en la fecha de congelación de los hidrofluorocarbonos u otra obligación de control inicial, con una duración inicial de cuatro años;</w:t>
      </w:r>
    </w:p>
    <w:p w14:paraId="7C2455FE" w14:textId="539E709F" w:rsidR="00E613F9" w:rsidRPr="00B1611D" w:rsidRDefault="00E613F9" w:rsidP="00B1611D">
      <w:pPr>
        <w:pStyle w:val="Normalnumber"/>
        <w:ind w:left="1247" w:firstLine="624"/>
        <w:rPr>
          <w:rFonts w:eastAsia="Calibri"/>
          <w:lang w:val="es-ES"/>
        </w:rPr>
      </w:pPr>
      <w:r w:rsidRPr="00B1611D">
        <w:rPr>
          <w:rFonts w:eastAsia="Calibri"/>
          <w:lang w:val="es-ES"/>
        </w:rPr>
        <w:t>Que</w:t>
      </w:r>
      <w:r w:rsidRPr="00B1611D">
        <w:rPr>
          <w:lang w:val="es-ES"/>
        </w:rPr>
        <w:t xml:space="preserve"> la exención se </w:t>
      </w:r>
      <w:r w:rsidRPr="00B1611D">
        <w:rPr>
          <w:rFonts w:eastAsia="Calibri"/>
          <w:lang w:val="es-ES"/>
        </w:rPr>
        <w:t>aplicará</w:t>
      </w:r>
      <w:r w:rsidRPr="00B1611D">
        <w:rPr>
          <w:lang w:val="es-ES"/>
        </w:rPr>
        <w:t xml:space="preserve"> a los subsectores incluidos en el anexo [X] en las Part</w:t>
      </w:r>
      <w:r w:rsidR="00B1611D">
        <w:rPr>
          <w:lang w:val="es-ES"/>
        </w:rPr>
        <w:t>es </w:t>
      </w:r>
      <w:r w:rsidRPr="00B1611D">
        <w:rPr>
          <w:lang w:val="es-ES"/>
        </w:rPr>
        <w:t>que tengan un valor medio de al menos dos meses al año duran</w:t>
      </w:r>
      <w:r w:rsidR="00B1611D">
        <w:rPr>
          <w:lang w:val="es-ES"/>
        </w:rPr>
        <w:t>te 10 años consecutivos con una </w:t>
      </w:r>
      <w:r w:rsidRPr="00B1611D">
        <w:rPr>
          <w:lang w:val="es-ES"/>
        </w:rPr>
        <w:t>temperatura máxima media mensual superior a 35°C</w:t>
      </w:r>
      <w:r w:rsidR="000C5F60" w:rsidRPr="00B1611D">
        <w:rPr>
          <w:rFonts w:eastAsia="Calibri"/>
          <w:sz w:val="18"/>
          <w:vertAlign w:val="superscript"/>
          <w:lang w:val="es-ES"/>
        </w:rPr>
        <w:footnoteReference w:id="2"/>
      </w:r>
      <w:r w:rsidR="000C5F60" w:rsidRPr="00B1611D">
        <w:rPr>
          <w:rFonts w:eastAsia="Calibri"/>
          <w:sz w:val="18"/>
          <w:vertAlign w:val="superscript"/>
          <w:lang w:val="es-ES"/>
        </w:rPr>
        <w:footnoteReference w:id="3"/>
      </w:r>
      <w:r w:rsidRPr="00B1611D">
        <w:rPr>
          <w:lang w:val="es-ES"/>
        </w:rPr>
        <w:t>; y que hayan comunicado oficialmente la utilización de esta exención notificando a la Secretaría a más tardar un</w:t>
      </w:r>
      <w:r w:rsidR="000C5F60" w:rsidRPr="00B1611D">
        <w:rPr>
          <w:lang w:val="es-ES"/>
        </w:rPr>
        <w:t xml:space="preserve"> año antes de la congelación de </w:t>
      </w:r>
      <w:r w:rsidRPr="00B1611D">
        <w:rPr>
          <w:lang w:val="es-ES"/>
        </w:rPr>
        <w:t>los HFC u otra obligación de control inicial, y en lo sucesivo cada</w:t>
      </w:r>
      <w:r w:rsidR="000C5F60" w:rsidRPr="00B1611D">
        <w:rPr>
          <w:lang w:val="es-ES"/>
        </w:rPr>
        <w:t xml:space="preserve"> 4 años si desease prorrogar la </w:t>
      </w:r>
      <w:r w:rsidRPr="00B1611D">
        <w:rPr>
          <w:lang w:val="es-ES"/>
        </w:rPr>
        <w:t>exenció</w:t>
      </w:r>
      <w:r w:rsidR="00DB7D73">
        <w:rPr>
          <w:lang w:val="es-ES"/>
        </w:rPr>
        <w:t>n;</w:t>
      </w:r>
    </w:p>
    <w:p w14:paraId="1903D8D4" w14:textId="0342A45F" w:rsidR="00E613F9" w:rsidRPr="00B1611D" w:rsidRDefault="00E613F9" w:rsidP="00B1611D">
      <w:pPr>
        <w:pStyle w:val="Normalnumber"/>
        <w:ind w:left="1247" w:firstLine="624"/>
        <w:rPr>
          <w:rFonts w:eastAsia="Calibri"/>
          <w:lang w:val="es-ES"/>
        </w:rPr>
      </w:pPr>
      <w:r w:rsidRPr="00B1611D">
        <w:rPr>
          <w:lang w:val="es-ES"/>
        </w:rPr>
        <w:t xml:space="preserve">Que toda Parte que opere amparándose en la exención para alta temperatura ambiente </w:t>
      </w:r>
      <w:r w:rsidRPr="00B1611D">
        <w:rPr>
          <w:rFonts w:eastAsia="Calibri"/>
          <w:lang w:val="es-ES"/>
        </w:rPr>
        <w:t>informará</w:t>
      </w:r>
      <w:r w:rsidRPr="00B1611D">
        <w:rPr>
          <w:lang w:val="es-ES"/>
        </w:rPr>
        <w:t xml:space="preserve"> por separado los datos sobre </w:t>
      </w:r>
      <w:r w:rsidRPr="00B1611D">
        <w:rPr>
          <w:rFonts w:eastAsia="Calibri"/>
          <w:lang w:val="es-ES"/>
        </w:rPr>
        <w:t>producción</w:t>
      </w:r>
      <w:r w:rsidRPr="00B1611D">
        <w:rPr>
          <w:lang w:val="es-ES"/>
        </w:rPr>
        <w:t xml:space="preserve"> y consumo correspondientes a los subsectores a los que se aplica la exención</w:t>
      </w:r>
      <w:r w:rsidR="00DB7D73">
        <w:rPr>
          <w:lang w:val="es-ES"/>
        </w:rPr>
        <w:t xml:space="preserve"> para alta temperatura ambiente;</w:t>
      </w:r>
    </w:p>
    <w:p w14:paraId="43A1F18A" w14:textId="574A6871" w:rsidR="00E613F9" w:rsidRPr="00B1611D" w:rsidRDefault="00E613F9" w:rsidP="00B1611D">
      <w:pPr>
        <w:pStyle w:val="Normalnumber"/>
        <w:ind w:left="1247" w:firstLine="624"/>
        <w:rPr>
          <w:rFonts w:eastAsia="Calibri"/>
          <w:lang w:val="es-ES"/>
        </w:rPr>
      </w:pPr>
      <w:r w:rsidRPr="00B1611D">
        <w:rPr>
          <w:rFonts w:eastAsia="Calibri"/>
          <w:lang w:val="es-ES"/>
        </w:rPr>
        <w:t>Que cada Parte a la que competa comunicará a la Secretaría,</w:t>
      </w:r>
      <w:r w:rsidR="000C5F60" w:rsidRPr="00B1611D">
        <w:rPr>
          <w:rFonts w:eastAsia="Calibri"/>
          <w:lang w:val="es-ES"/>
        </w:rPr>
        <w:t xml:space="preserve"> </w:t>
      </w:r>
      <w:r w:rsidRPr="00B1611D">
        <w:rPr>
          <w:rFonts w:eastAsia="Calibri"/>
          <w:lang w:val="es-ES"/>
        </w:rPr>
        <w:t>con arreglo al artículo 7 del Protocolo, toda transferencia de cupos permitidos de producción y consumo para la exención por altas temperaturas ambiente;</w:t>
      </w:r>
    </w:p>
    <w:p w14:paraId="36BC21A3" w14:textId="2E77D0B9" w:rsidR="00E613F9" w:rsidRPr="00B1611D" w:rsidRDefault="00E613F9" w:rsidP="00B1611D">
      <w:pPr>
        <w:pStyle w:val="Normalnumber"/>
        <w:ind w:left="1247" w:firstLine="624"/>
        <w:rPr>
          <w:rFonts w:eastAsia="Calibri"/>
          <w:lang w:val="es-ES"/>
        </w:rPr>
      </w:pPr>
      <w:r w:rsidRPr="00B1611D">
        <w:rPr>
          <w:lang w:val="es-ES"/>
        </w:rPr>
        <w:t xml:space="preserve">Que el Grupo de Evaluación Tecnológica y Económica (GETE) y un órgano subsidiario del GETE que incluya conocimientos especializados externos sobre altas temperaturas ambiente evaluarán la </w:t>
      </w:r>
      <w:r w:rsidRPr="00B1611D">
        <w:rPr>
          <w:rFonts w:eastAsia="Calibri"/>
          <w:lang w:val="es-ES"/>
        </w:rPr>
        <w:t>idoneidad</w:t>
      </w:r>
      <w:r w:rsidRPr="00B1611D">
        <w:rPr>
          <w:lang w:val="es-ES"/>
        </w:rPr>
        <w:t xml:space="preserve"> de las alternativas a los HFC para su </w:t>
      </w:r>
      <w:r w:rsidRPr="00B1611D">
        <w:rPr>
          <w:rFonts w:eastAsia="Calibri"/>
          <w:lang w:val="es-ES"/>
        </w:rPr>
        <w:t>utilización</w:t>
      </w:r>
      <w:r w:rsidRPr="00B1611D">
        <w:rPr>
          <w:lang w:val="es-ES"/>
        </w:rPr>
        <w:t xml:space="preserve"> en los casos en que no existan alternativas idóneas sobre la base de los criterios acordados por las Partes y puedan recomendar para incluir o eliminar subsectores al anexo [X], que incluirán los criterios enumerados en el párrafo 1 a) de la decisión XXVI/9</w:t>
      </w:r>
      <w:r w:rsidR="00ED673B" w:rsidRPr="00B1611D">
        <w:rPr>
          <w:rFonts w:eastAsia="Calibri"/>
          <w:sz w:val="18"/>
          <w:vertAlign w:val="superscript"/>
          <w:lang w:val="es-ES"/>
        </w:rPr>
        <w:footnoteReference w:id="4"/>
      </w:r>
      <w:r w:rsidRPr="00B1611D">
        <w:rPr>
          <w:lang w:val="es-ES"/>
        </w:rPr>
        <w:t>, pero no se limitaran a ellos, y comunicarán esa información a la Reunión de las Partes</w:t>
      </w:r>
      <w:r w:rsidR="00ED673B">
        <w:rPr>
          <w:lang w:val="es-ES"/>
        </w:rPr>
        <w:t>.</w:t>
      </w:r>
    </w:p>
    <w:p w14:paraId="6A633045" w14:textId="4F36531C" w:rsidR="00E613F9" w:rsidRPr="00B1611D" w:rsidRDefault="00E613F9" w:rsidP="00B1611D">
      <w:pPr>
        <w:pStyle w:val="Normalnumber"/>
        <w:ind w:left="1247" w:firstLine="624"/>
        <w:rPr>
          <w:rFonts w:eastAsia="Calibri"/>
          <w:lang w:val="es-ES"/>
        </w:rPr>
      </w:pPr>
      <w:r w:rsidRPr="00B1611D">
        <w:rPr>
          <w:lang w:val="es-ES"/>
        </w:rPr>
        <w:t>Que la evaluación se llevará a cabo periódicamente transcurridos 4 años a partir de la</w:t>
      </w:r>
      <w:r w:rsidR="000C5F60" w:rsidRPr="00B1611D">
        <w:rPr>
          <w:lang w:val="es-ES"/>
        </w:rPr>
        <w:t> </w:t>
      </w:r>
      <w:r w:rsidRPr="00B1611D">
        <w:rPr>
          <w:lang w:val="es-ES"/>
        </w:rPr>
        <w:t>fecha de inicio de la congelación de los HFC u otra obligación de contro</w:t>
      </w:r>
      <w:r w:rsidR="000C5F60" w:rsidRPr="00B1611D">
        <w:rPr>
          <w:lang w:val="es-ES"/>
        </w:rPr>
        <w:t>l inicial y en lo sucesivo cada </w:t>
      </w:r>
      <w:r w:rsidRPr="00B1611D">
        <w:rPr>
          <w:lang w:val="es-ES"/>
        </w:rPr>
        <w:t>4 años;</w:t>
      </w:r>
    </w:p>
    <w:p w14:paraId="7A3FC0E6" w14:textId="77777777" w:rsidR="00E613F9" w:rsidRPr="00B1611D" w:rsidRDefault="00E613F9" w:rsidP="00B1611D">
      <w:pPr>
        <w:pStyle w:val="Normalnumber"/>
        <w:ind w:left="1247" w:firstLine="624"/>
        <w:rPr>
          <w:rFonts w:eastAsia="Calibri"/>
          <w:lang w:val="es-ES"/>
        </w:rPr>
      </w:pPr>
      <w:r w:rsidRPr="00B1611D">
        <w:rPr>
          <w:lang w:val="es-ES"/>
        </w:rPr>
        <w:t>Examinar, a más tardar en el año siguiente a la recepción del primer informe del GETE sobre la idoneidad de las alternativas, la necesidad de prorrogar esta exención por un período de hasta cuatro años, y en lo sucesivo de manera periódica, para determinados subsectores en Partes que cumplan los criterios enunciados en el párrafo 4 precedente, y que las Partes elaborarán un procedimiento expedito para garantizar la renovación de la exención a su debido tiempo, cuando no existan alternativas viables, teniendo en cuenta la recomendación del GETE y su órgano subsidiario;</w:t>
      </w:r>
    </w:p>
    <w:p w14:paraId="7AD81EBA" w14:textId="77777777" w:rsidR="00E613F9" w:rsidRPr="00B1611D" w:rsidRDefault="00E613F9" w:rsidP="00B1611D">
      <w:pPr>
        <w:pStyle w:val="Normalnumber"/>
        <w:ind w:left="1247" w:firstLine="624"/>
        <w:rPr>
          <w:rFonts w:eastAsia="Calibri"/>
          <w:lang w:val="es-ES"/>
        </w:rPr>
      </w:pPr>
      <w:r w:rsidRPr="00B1611D">
        <w:rPr>
          <w:lang w:val="es-ES"/>
        </w:rPr>
        <w:t>Que las cantidades de sustancias incluidas en el anexo F que están sujetas a la exención por altas temperaturas ambiente no podrán recibir financiación del Fondo Multilateral mientras estén exentas para esa Parte;</w:t>
      </w:r>
    </w:p>
    <w:p w14:paraId="501FCA6B" w14:textId="77777777" w:rsidR="00E613F9" w:rsidRPr="00B1611D" w:rsidRDefault="00E613F9" w:rsidP="00B1611D">
      <w:pPr>
        <w:pStyle w:val="Normalnumber"/>
        <w:ind w:left="1247" w:firstLine="624"/>
        <w:rPr>
          <w:rFonts w:eastAsia="Calibri"/>
          <w:lang w:val="es-ES"/>
        </w:rPr>
      </w:pPr>
      <w:r w:rsidRPr="00B1611D">
        <w:rPr>
          <w:lang w:val="es-ES"/>
        </w:rPr>
        <w:t xml:space="preserve">Que el Comité de Aplicación y la Reunión de las Partes pospongan, para 2025 y 2026, el examen de la situación de cumplimiento respecto de los HCFC de cualquier Parte que opere con arreglo a la exención por altas temperaturas ambiente en los casos en que haya sobrepasado sus niveles permitidos de consumo o producción a causa de su consumo o producción de HCFC-22 para los subsectores incluidos en el anexo [X], siempre y cuando la Parte interesada siga el calendario de </w:t>
      </w:r>
      <w:r w:rsidRPr="00B1611D">
        <w:rPr>
          <w:lang w:val="es-ES"/>
        </w:rPr>
        <w:lastRenderedPageBreak/>
        <w:t>eliminación para el consumo o la producción de HCFC para otros sectores, y que por conducto de la Secretaría la Parte haya solicitado oficialmente una prórroga;</w:t>
      </w:r>
    </w:p>
    <w:p w14:paraId="6EA546A8" w14:textId="77777777" w:rsidR="00E613F9" w:rsidRPr="00B1611D" w:rsidRDefault="00E613F9" w:rsidP="00B1611D">
      <w:pPr>
        <w:pStyle w:val="Normalnumber"/>
        <w:ind w:left="1247" w:firstLine="624"/>
        <w:rPr>
          <w:rFonts w:eastAsia="Calibri"/>
          <w:lang w:val="es-ES"/>
        </w:rPr>
      </w:pPr>
      <w:r w:rsidRPr="00B1611D">
        <w:rPr>
          <w:lang w:val="es-ES"/>
        </w:rPr>
        <w:t xml:space="preserve">Examinar, a más tardar en 2026, la posibilidad de prorrogar el aplazamiento del cumplimiento previsto en el párrafo 1I por un período adicional de dos años, y, si procede, considerar en adelante la posibilidad de nuevos aplazamientos, en el caso de las Partes que operan al amparo de la exención para alta temperatura ambiente. </w:t>
      </w:r>
    </w:p>
    <w:p w14:paraId="5594886D" w14:textId="77777777" w:rsidR="00E613F9" w:rsidRPr="00B1611D" w:rsidRDefault="00E613F9" w:rsidP="00E613F9">
      <w:pPr>
        <w:pStyle w:val="CH3"/>
        <w:rPr>
          <w:rFonts w:eastAsia="Calibri"/>
          <w:lang w:val="es-ES"/>
        </w:rPr>
      </w:pPr>
      <w:r w:rsidRPr="00B1611D">
        <w:rPr>
          <w:lang w:val="es-ES"/>
        </w:rPr>
        <w:tab/>
      </w:r>
      <w:r w:rsidRPr="00B1611D">
        <w:rPr>
          <w:lang w:val="es-ES"/>
        </w:rPr>
        <w:tab/>
        <w:t>Anexo [X]: Lista del equipo exento para altas temperaturas ambiente</w:t>
      </w:r>
    </w:p>
    <w:p w14:paraId="3E429EEE" w14:textId="77777777"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 xml:space="preserve">Equipos de aire acondicionado de partición múltiple para uso comercial y residencial </w:t>
      </w:r>
    </w:p>
    <w:p w14:paraId="1CD7E86E" w14:textId="77777777"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rFonts w:eastAsia="Calibri"/>
          <w:lang w:val="es-ES"/>
        </w:rPr>
        <w:t>Equipos de aire acondicionado multicanalizados (uso residencial y comercial)</w:t>
      </w:r>
    </w:p>
    <w:p w14:paraId="21FC80E1" w14:textId="77777777" w:rsidR="00E613F9" w:rsidRPr="00B1611D" w:rsidRDefault="00E613F9" w:rsidP="00E613F9">
      <w:pPr>
        <w:pStyle w:val="Normal-pool"/>
        <w:numPr>
          <w:ilvl w:val="0"/>
          <w:numId w:val="10"/>
        </w:numPr>
        <w:tabs>
          <w:tab w:val="clear" w:pos="1247"/>
          <w:tab w:val="clear" w:pos="1814"/>
          <w:tab w:val="clear" w:pos="2381"/>
          <w:tab w:val="clear" w:pos="2948"/>
          <w:tab w:val="clear" w:pos="3515"/>
          <w:tab w:val="clear" w:pos="4082"/>
          <w:tab w:val="left" w:pos="624"/>
        </w:tabs>
        <w:spacing w:after="120"/>
        <w:ind w:left="1871" w:hanging="624"/>
        <w:rPr>
          <w:rFonts w:eastAsia="Calibri"/>
          <w:lang w:val="es-ES"/>
        </w:rPr>
      </w:pPr>
      <w:r w:rsidRPr="00B1611D">
        <w:rPr>
          <w:lang w:val="es-ES"/>
        </w:rPr>
        <w:t>Equipos de aire acondicionado canalizados portátiles (autónomos) comerciales</w:t>
      </w:r>
    </w:p>
    <w:p w14:paraId="6EE90510" w14:textId="77777777" w:rsidR="00E613F9" w:rsidRPr="00B1611D" w:rsidRDefault="00E613F9" w:rsidP="00E613F9">
      <w:pPr>
        <w:pStyle w:val="CH3"/>
        <w:rPr>
          <w:b w:val="0"/>
          <w:sz w:val="24"/>
          <w:szCs w:val="24"/>
          <w:lang w:val="es-ES"/>
        </w:rPr>
      </w:pPr>
      <w:r w:rsidRPr="00B1611D">
        <w:rPr>
          <w:lang w:val="es-ES"/>
        </w:rPr>
        <w:tab/>
      </w:r>
      <w:r w:rsidRPr="00B1611D">
        <w:rPr>
          <w:lang w:val="es-ES"/>
        </w:rPr>
        <w:tab/>
        <w:t xml:space="preserve">Anexo [XX]: Lista de países que operan con arreglo a la exención por altas temperaturas ambiente </w:t>
      </w:r>
    </w:p>
    <w:p w14:paraId="7C742208" w14:textId="5DA3A781"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 xml:space="preserve">Arabia Saudita, Argelia, Bahrein, Benín, Burkina Faso, </w:t>
      </w:r>
      <w:r w:rsidR="000C5F60" w:rsidRPr="00B1611D">
        <w:rPr>
          <w:lang w:val="es-ES"/>
        </w:rPr>
        <w:t>Chad, Cote d'Ivoire</w:t>
      </w:r>
      <w:r w:rsidRPr="00B1611D">
        <w:rPr>
          <w:lang w:val="es-ES"/>
        </w:rPr>
        <w:t>, Djibouti, Egipto, Emiratos Árabes Unidos, Eritrea, Gambia, Ghana, Guinea, Guinea-Bissau, Irán, Iraq, Jordania, Kuwait, Libia, Malí, Mauritania, Níger, Nigeria, Omán, Pakistán, Qatar, República Centroafricana, Senegal, Siria, Sudán, Togo, Túnez y Turkmenistán.</w:t>
      </w:r>
    </w:p>
    <w:p w14:paraId="0E4A8A6A" w14:textId="77777777" w:rsidR="00E613F9" w:rsidRPr="00B1611D" w:rsidRDefault="00E613F9" w:rsidP="00E613F9">
      <w:pPr>
        <w:tabs>
          <w:tab w:val="clear" w:pos="1247"/>
          <w:tab w:val="clear" w:pos="1814"/>
          <w:tab w:val="clear" w:pos="2381"/>
          <w:tab w:val="clear" w:pos="2948"/>
          <w:tab w:val="clear" w:pos="3515"/>
        </w:tabs>
        <w:spacing w:after="160" w:line="259" w:lineRule="auto"/>
        <w:rPr>
          <w:sz w:val="24"/>
          <w:szCs w:val="24"/>
          <w:lang w:val="es-ES" w:eastAsia="en-GB"/>
        </w:rPr>
      </w:pPr>
      <w:r w:rsidRPr="00B1611D">
        <w:rPr>
          <w:sz w:val="24"/>
          <w:szCs w:val="24"/>
          <w:lang w:val="es-ES" w:eastAsia="en-GB"/>
        </w:rPr>
        <w:br w:type="page"/>
      </w:r>
    </w:p>
    <w:p w14:paraId="5CACC193" w14:textId="77777777" w:rsidR="00E613F9" w:rsidRPr="00B1611D" w:rsidRDefault="00E613F9" w:rsidP="00E613F9">
      <w:pPr>
        <w:pStyle w:val="CH2"/>
        <w:rPr>
          <w:lang w:val="es-ES"/>
        </w:rPr>
      </w:pPr>
      <w:r w:rsidRPr="00B1611D">
        <w:rPr>
          <w:lang w:val="es-ES"/>
        </w:rPr>
        <w:lastRenderedPageBreak/>
        <w:tab/>
      </w:r>
      <w:r w:rsidRPr="00B1611D">
        <w:rPr>
          <w:lang w:val="es-ES"/>
        </w:rPr>
        <w:tab/>
        <w:t>[Problema 5]</w:t>
      </w:r>
    </w:p>
    <w:p w14:paraId="6A8AFFAA" w14:textId="77777777" w:rsidR="00E613F9" w:rsidRPr="00B1611D" w:rsidRDefault="00E613F9" w:rsidP="00E613F9">
      <w:pPr>
        <w:pStyle w:val="CH3"/>
        <w:rPr>
          <w:lang w:val="es-ES"/>
        </w:rPr>
      </w:pPr>
      <w:r w:rsidRPr="00B1611D">
        <w:rPr>
          <w:lang w:val="es-ES"/>
        </w:rPr>
        <w:tab/>
      </w:r>
      <w:r w:rsidRPr="00B1611D">
        <w:rPr>
          <w:lang w:val="es-ES"/>
        </w:rPr>
        <w:tab/>
        <w:t>[Decisión XXX: Otras exenciones]</w:t>
      </w:r>
    </w:p>
    <w:p w14:paraId="717EFFBC" w14:textId="31FC0BF2"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firstLine="624"/>
        <w:rPr>
          <w:i/>
          <w:lang w:val="es-ES"/>
        </w:rPr>
      </w:pPr>
      <w:r w:rsidRPr="00B1611D">
        <w:rPr>
          <w:i/>
          <w:lang w:val="es-ES"/>
        </w:rPr>
        <w:t>La 28ª Reunión de las Partes decide</w:t>
      </w:r>
      <w:r w:rsidR="000C5F60" w:rsidRPr="00B1611D">
        <w:rPr>
          <w:lang w:val="es-ES"/>
        </w:rPr>
        <w:t>,</w:t>
      </w:r>
    </w:p>
    <w:p w14:paraId="3025CD7A"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247"/>
        <w:rPr>
          <w:lang w:val="es-ES"/>
        </w:rPr>
      </w:pPr>
      <w:r w:rsidRPr="00B1611D">
        <w:rPr>
          <w:lang w:val="es-ES"/>
        </w:rPr>
        <w:t>[Espacio reservado para una referencia a la decisión relativa a la aprobación de la enmienda sobre los hidrofluorocarbonos y una referencia al párrafo X del artículo 2J del artículo I de la enmienda]</w:t>
      </w:r>
    </w:p>
    <w:p w14:paraId="354896AA" w14:textId="77777777" w:rsidR="00E613F9" w:rsidRPr="00B1611D" w:rsidRDefault="00E613F9" w:rsidP="00B1611D">
      <w:pPr>
        <w:pStyle w:val="Normalnumber"/>
        <w:numPr>
          <w:ilvl w:val="0"/>
          <w:numId w:val="9"/>
        </w:numPr>
        <w:ind w:left="1247" w:firstLine="624"/>
        <w:rPr>
          <w:rFonts w:eastAsia="Calibri"/>
          <w:lang w:val="es-ES"/>
        </w:rPr>
      </w:pPr>
      <w:r w:rsidRPr="00B1611D">
        <w:rPr>
          <w:rFonts w:eastAsia="Calibri"/>
          <w:lang w:val="es-ES"/>
        </w:rPr>
        <w:t>Disponer otras exenciones, como para usos esenciales y usos críticos, para la producción o el consumo necesarias para satisfacer los usos que las Partes hayan convenido considerar como exentos;</w:t>
      </w:r>
    </w:p>
    <w:p w14:paraId="0ECC85DF" w14:textId="77777777" w:rsidR="000C5F60" w:rsidRPr="00B1611D" w:rsidRDefault="000C5F60" w:rsidP="00B1611D">
      <w:pPr>
        <w:pStyle w:val="Normalnumber"/>
        <w:numPr>
          <w:ilvl w:val="0"/>
          <w:numId w:val="9"/>
        </w:numPr>
        <w:ind w:left="1247" w:firstLine="624"/>
        <w:rPr>
          <w:lang w:val="es-ES"/>
        </w:rPr>
      </w:pPr>
      <w:r w:rsidRPr="00B1611D">
        <w:rPr>
          <w:lang w:val="es-ES"/>
        </w:rPr>
        <w:t>Examinar mecanismos para esas exenciones en [20XX], entre otros, mecanismos plurianuales de exenciones</w:t>
      </w:r>
      <w:r w:rsidR="00E613F9" w:rsidRPr="00B1611D">
        <w:rPr>
          <w:lang w:val="es-ES"/>
        </w:rPr>
        <w:t>;</w:t>
      </w:r>
    </w:p>
    <w:p w14:paraId="7E79D39F" w14:textId="282A260D" w:rsidR="00E613F9" w:rsidRPr="00B1611D" w:rsidRDefault="000C5F60" w:rsidP="00B1611D">
      <w:pPr>
        <w:pStyle w:val="Normalnumber"/>
        <w:numPr>
          <w:ilvl w:val="0"/>
          <w:numId w:val="9"/>
        </w:numPr>
        <w:ind w:left="1247" w:firstLine="624"/>
        <w:rPr>
          <w:lang w:val="es-ES"/>
        </w:rPr>
      </w:pPr>
      <w:r w:rsidRPr="00B1611D">
        <w:rPr>
          <w:lang w:val="es-ES"/>
        </w:rPr>
        <w:t>Proporcionar información y orientación al GETE con vistas a sus exámenes periódicos de los sectores que pudiesen requerir exenciones</w:t>
      </w:r>
      <w:r w:rsidR="00E613F9" w:rsidRPr="00B1611D">
        <w:rPr>
          <w:lang w:val="es-ES"/>
        </w:rPr>
        <w:t>.</w:t>
      </w:r>
    </w:p>
    <w:p w14:paraId="22B87F3D" w14:textId="77777777" w:rsidR="00E613F9" w:rsidRPr="00B1611D" w:rsidRDefault="00E613F9" w:rsidP="00E613F9">
      <w:pPr>
        <w:pStyle w:val="Normal-pool"/>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8"/>
        <w:gridCol w:w="1898"/>
      </w:tblGrid>
      <w:tr w:rsidR="00E613F9" w:rsidRPr="00B1611D" w14:paraId="11B1832D" w14:textId="77777777" w:rsidTr="00E613F9">
        <w:tc>
          <w:tcPr>
            <w:tcW w:w="1897" w:type="dxa"/>
          </w:tcPr>
          <w:p w14:paraId="1AF60009" w14:textId="77777777" w:rsidR="00E613F9" w:rsidRPr="00B1611D" w:rsidRDefault="00E613F9" w:rsidP="00E613F9">
            <w:pPr>
              <w:pStyle w:val="Normal-pool"/>
              <w:spacing w:before="520"/>
              <w:rPr>
                <w:lang w:val="es-ES"/>
              </w:rPr>
            </w:pPr>
          </w:p>
        </w:tc>
        <w:tc>
          <w:tcPr>
            <w:tcW w:w="1897" w:type="dxa"/>
          </w:tcPr>
          <w:p w14:paraId="6A6C0793" w14:textId="77777777" w:rsidR="00E613F9" w:rsidRPr="00B1611D" w:rsidRDefault="00E613F9" w:rsidP="00E613F9">
            <w:pPr>
              <w:pStyle w:val="Normal-pool"/>
              <w:spacing w:before="520"/>
              <w:rPr>
                <w:lang w:val="es-ES"/>
              </w:rPr>
            </w:pPr>
          </w:p>
        </w:tc>
        <w:tc>
          <w:tcPr>
            <w:tcW w:w="1897" w:type="dxa"/>
            <w:tcBorders>
              <w:bottom w:val="single" w:sz="4" w:space="0" w:color="auto"/>
            </w:tcBorders>
          </w:tcPr>
          <w:p w14:paraId="4D6B75FB" w14:textId="77777777" w:rsidR="00E613F9" w:rsidRPr="00B1611D" w:rsidRDefault="00E613F9" w:rsidP="00E613F9">
            <w:pPr>
              <w:pStyle w:val="Normal-pool"/>
              <w:spacing w:before="520"/>
              <w:rPr>
                <w:lang w:val="es-ES"/>
              </w:rPr>
            </w:pPr>
          </w:p>
        </w:tc>
        <w:tc>
          <w:tcPr>
            <w:tcW w:w="1898" w:type="dxa"/>
          </w:tcPr>
          <w:p w14:paraId="2E9A0762" w14:textId="77777777" w:rsidR="00E613F9" w:rsidRPr="00B1611D" w:rsidRDefault="00E613F9" w:rsidP="00E613F9">
            <w:pPr>
              <w:pStyle w:val="Normal-pool"/>
              <w:spacing w:before="520"/>
              <w:rPr>
                <w:lang w:val="es-ES"/>
              </w:rPr>
            </w:pPr>
          </w:p>
        </w:tc>
        <w:tc>
          <w:tcPr>
            <w:tcW w:w="1898" w:type="dxa"/>
          </w:tcPr>
          <w:p w14:paraId="661A1556" w14:textId="77777777" w:rsidR="00E613F9" w:rsidRPr="00B1611D" w:rsidRDefault="00E613F9" w:rsidP="00E613F9">
            <w:pPr>
              <w:pStyle w:val="Normal-pool"/>
              <w:spacing w:before="520"/>
              <w:rPr>
                <w:lang w:val="es-ES"/>
              </w:rPr>
            </w:pPr>
          </w:p>
        </w:tc>
      </w:tr>
    </w:tbl>
    <w:p w14:paraId="6201FD48" w14:textId="77777777" w:rsidR="00E613F9" w:rsidRPr="00B1611D" w:rsidRDefault="00E613F9" w:rsidP="00E613F9">
      <w:pPr>
        <w:pStyle w:val="Normal-pool"/>
        <w:rPr>
          <w:lang w:val="es-ES"/>
        </w:rPr>
      </w:pPr>
    </w:p>
    <w:p w14:paraId="3C5300F0" w14:textId="77777777" w:rsidR="00E613F9" w:rsidRPr="00B1611D" w:rsidRDefault="00E613F9" w:rsidP="00E613F9">
      <w:pPr>
        <w:pStyle w:val="Normal-pool"/>
        <w:tabs>
          <w:tab w:val="clear" w:pos="1247"/>
          <w:tab w:val="clear" w:pos="1814"/>
          <w:tab w:val="clear" w:pos="2381"/>
          <w:tab w:val="clear" w:pos="2948"/>
          <w:tab w:val="clear" w:pos="3515"/>
          <w:tab w:val="clear" w:pos="4082"/>
          <w:tab w:val="left" w:pos="624"/>
        </w:tabs>
        <w:spacing w:after="120"/>
        <w:ind w:left="1871"/>
        <w:rPr>
          <w:rFonts w:eastAsia="Calibri"/>
          <w:lang w:val="es-ES"/>
        </w:rPr>
      </w:pPr>
    </w:p>
    <w:sectPr w:rsidR="00E613F9" w:rsidRPr="00B1611D" w:rsidSect="00A33A00">
      <w:footerReference w:type="even" r:id="rId13"/>
      <w:footerReference w:type="default" r:id="rId14"/>
      <w:headerReference w:type="first" r:id="rId15"/>
      <w:footerReference w:type="first" r:id="rId16"/>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B34C5" w14:textId="77777777" w:rsidR="006447B3" w:rsidRDefault="006447B3">
      <w:r>
        <w:separator/>
      </w:r>
    </w:p>
  </w:endnote>
  <w:endnote w:type="continuationSeparator" w:id="0">
    <w:p w14:paraId="41501885" w14:textId="77777777" w:rsidR="006447B3" w:rsidRDefault="00644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E8598" w14:textId="3CC0E869" w:rsidR="00A70A2A" w:rsidRPr="00084CB0" w:rsidRDefault="00A70A2A">
    <w:pPr>
      <w:pStyle w:val="Footer"/>
      <w:rPr>
        <w:b/>
      </w:rPr>
    </w:pPr>
    <w:r w:rsidRPr="00084CB0">
      <w:rPr>
        <w:b/>
      </w:rPr>
      <w:fldChar w:fldCharType="begin"/>
    </w:r>
    <w:r w:rsidRPr="00084CB0">
      <w:rPr>
        <w:b/>
      </w:rPr>
      <w:instrText xml:space="preserve"> PAGE   \* MERGEFORMAT </w:instrText>
    </w:r>
    <w:r w:rsidRPr="00084CB0">
      <w:rPr>
        <w:b/>
      </w:rPr>
      <w:fldChar w:fldCharType="separate"/>
    </w:r>
    <w:r w:rsidR="008056FE">
      <w:rPr>
        <w:b/>
        <w:noProof/>
      </w:rPr>
      <w:t>2</w:t>
    </w:r>
    <w:r w:rsidRPr="00084CB0">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12F251E2" w:rsidR="00A70A2A" w:rsidRPr="00F9580A" w:rsidRDefault="00A70A2A"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8056FE">
      <w:rPr>
        <w:b/>
        <w:noProof/>
      </w:rPr>
      <w:t>7</w:t>
    </w:r>
    <w:r w:rsidRPr="00A33A00">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293F" w14:textId="6390A195" w:rsidR="00A70A2A" w:rsidRPr="00463086" w:rsidRDefault="00A70A2A" w:rsidP="00463086">
    <w:pPr>
      <w:pStyle w:val="Footer"/>
      <w:tabs>
        <w:tab w:val="clear" w:pos="1814"/>
        <w:tab w:val="clear" w:pos="2381"/>
        <w:tab w:val="clear" w:pos="2948"/>
        <w:tab w:val="clear" w:pos="3515"/>
        <w:tab w:val="clear" w:pos="4320"/>
        <w:tab w:val="clear" w:pos="8640"/>
        <w:tab w:val="left" w:pos="624"/>
      </w:tabs>
      <w:rPr>
        <w:sz w:val="20"/>
        <w:lang w:val="en-ZA"/>
      </w:rPr>
    </w:pPr>
    <w:r>
      <w:rPr>
        <w:sz w:val="20"/>
        <w:lang w:val="en-ZA"/>
      </w:rPr>
      <w:t>K1609130</w:t>
    </w:r>
    <w:r w:rsidRPr="00463086">
      <w:rPr>
        <w:sz w:val="20"/>
        <w:lang w:val="en-ZA"/>
      </w:rPr>
      <w:tab/>
    </w:r>
    <w:r>
      <w:rPr>
        <w:sz w:val="20"/>
        <w:lang w:val="en-ZA"/>
      </w:rPr>
      <w:t>14</w:t>
    </w:r>
    <w:r w:rsidRPr="00463086">
      <w:rPr>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414A5" w14:textId="77777777" w:rsidR="006447B3" w:rsidRDefault="006447B3" w:rsidP="000D77EA">
      <w:pPr>
        <w:spacing w:before="60"/>
        <w:ind w:left="624"/>
      </w:pPr>
      <w:r>
        <w:separator/>
      </w:r>
    </w:p>
  </w:footnote>
  <w:footnote w:type="continuationSeparator" w:id="0">
    <w:p w14:paraId="781A0173" w14:textId="77777777" w:rsidR="006447B3" w:rsidRDefault="006447B3">
      <w:r>
        <w:continuationSeparator/>
      </w:r>
    </w:p>
  </w:footnote>
  <w:footnote w:id="1">
    <w:p w14:paraId="3C59353E" w14:textId="5C50E342" w:rsidR="00A70A2A" w:rsidRPr="009B71AD" w:rsidRDefault="00A70A2A" w:rsidP="00860B7F">
      <w:pPr>
        <w:pStyle w:val="FootnoteText"/>
        <w:rPr>
          <w:szCs w:val="18"/>
          <w:lang w:val="es-ES"/>
        </w:rPr>
      </w:pPr>
      <w:r w:rsidRPr="009B71AD">
        <w:rPr>
          <w:rStyle w:val="FootnoteReference"/>
          <w:sz w:val="18"/>
          <w:lang w:val="es-ES"/>
        </w:rPr>
        <w:footnoteRef/>
      </w:r>
      <w:r w:rsidRPr="009B71AD">
        <w:rPr>
          <w:szCs w:val="18"/>
          <w:lang w:val="es-ES"/>
        </w:rPr>
        <w:t xml:space="preserve"> </w:t>
      </w:r>
      <w:r w:rsidRPr="009B71AD">
        <w:rPr>
          <w:color w:val="000000"/>
          <w:szCs w:val="18"/>
          <w:lang w:val="es-ES"/>
        </w:rPr>
        <w:t>Los costos de explotación incrementales mencionados anteriormente, incluida su posible duración y tomando nota de la propuesta de que la duración sea de al menos 5 años, se negociarían en el contexto de una enmienda</w:t>
      </w:r>
      <w:r w:rsidRPr="009B71AD">
        <w:rPr>
          <w:szCs w:val="18"/>
          <w:lang w:val="es-ES"/>
        </w:rPr>
        <w:t>.</w:t>
      </w:r>
    </w:p>
  </w:footnote>
  <w:footnote w:id="2">
    <w:p w14:paraId="7D48BE76" w14:textId="77777777" w:rsidR="00A70A2A" w:rsidRPr="009B71AD" w:rsidRDefault="00A70A2A" w:rsidP="000C5F60">
      <w:pPr>
        <w:pStyle w:val="FootnoteText"/>
        <w:spacing w:before="0" w:after="0"/>
        <w:rPr>
          <w:rFonts w:ascii="Calibri" w:hAnsi="Calibri"/>
          <w:szCs w:val="18"/>
          <w:lang w:val="es-ES"/>
        </w:rPr>
      </w:pPr>
      <w:r w:rsidRPr="009B71AD">
        <w:rPr>
          <w:rStyle w:val="FootnoteReference"/>
          <w:sz w:val="18"/>
          <w:lang w:val="es-ES"/>
        </w:rPr>
        <w:footnoteRef/>
      </w:r>
      <w:r w:rsidRPr="009B71AD">
        <w:rPr>
          <w:lang w:val="es-ES"/>
        </w:rPr>
        <w:t xml:space="preserve"> </w:t>
      </w:r>
      <w:r w:rsidRPr="009B71AD">
        <w:rPr>
          <w:lang w:val="es-ES"/>
        </w:rPr>
        <w:t>Temperaturas promedio ponderadas espacialmente que derivan las temperaturas máximas diarias (empleando el Centre for Environmental Data Archival: http://browse.ceda.ac.uk/browse/badc/cru/data/cru_cy/cru_cy_3.22/data/tmx</w:t>
      </w:r>
    </w:p>
  </w:footnote>
  <w:footnote w:id="3">
    <w:p w14:paraId="6ABFB332" w14:textId="77777777" w:rsidR="00A70A2A" w:rsidRPr="009B71AD" w:rsidRDefault="00A70A2A" w:rsidP="000C5F60">
      <w:pPr>
        <w:pStyle w:val="FootnoteText"/>
        <w:spacing w:before="0" w:after="0"/>
        <w:rPr>
          <w:szCs w:val="18"/>
          <w:lang w:val="es-ES"/>
        </w:rPr>
      </w:pPr>
      <w:r w:rsidRPr="009B71AD">
        <w:rPr>
          <w:rStyle w:val="FootnoteReference"/>
          <w:sz w:val="18"/>
          <w:lang w:val="es-ES"/>
        </w:rPr>
        <w:footnoteRef/>
      </w:r>
      <w:r w:rsidRPr="009B71AD">
        <w:rPr>
          <w:lang w:val="es-ES"/>
        </w:rPr>
        <w:t xml:space="preserve"> </w:t>
      </w:r>
      <w:r w:rsidRPr="009B71AD">
        <w:rPr>
          <w:lang w:val="es-ES"/>
        </w:rPr>
        <w:t>Como se indica en el anexo [XX]</w:t>
      </w:r>
    </w:p>
  </w:footnote>
  <w:footnote w:id="4">
    <w:p w14:paraId="2A5DFD99" w14:textId="77777777" w:rsidR="00ED673B" w:rsidRPr="00B86461" w:rsidRDefault="00ED673B" w:rsidP="00ED673B">
      <w:pPr>
        <w:pStyle w:val="FootnoteText"/>
        <w:spacing w:before="0" w:after="0"/>
      </w:pPr>
      <w:r w:rsidRPr="009B71AD">
        <w:rPr>
          <w:rStyle w:val="FootnoteReference"/>
          <w:sz w:val="18"/>
          <w:lang w:val="es-ES"/>
        </w:rPr>
        <w:footnoteRef/>
      </w:r>
      <w:r w:rsidRPr="009B71AD">
        <w:rPr>
          <w:lang w:val="es-ES"/>
        </w:rPr>
        <w:t xml:space="preserve"> </w:t>
      </w:r>
      <w:r w:rsidRPr="009B71AD">
        <w:rPr>
          <w:lang w:val="es-ES"/>
        </w:rPr>
        <w:t>Insértense los criterios del párr. 1) a) de la decisión XXVI/9.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966BC" w14:textId="09C962FB" w:rsidR="00A70A2A" w:rsidRDefault="00A70A2A" w:rsidP="00E613F9">
    <w:pPr>
      <w:pBdr>
        <w:bottom w:val="single" w:sz="4" w:space="1" w:color="auto"/>
      </w:pBdr>
      <w:tabs>
        <w:tab w:val="center" w:pos="4536"/>
        <w:tab w:val="right" w:pos="9072"/>
      </w:tabs>
      <w:spacing w:after="120"/>
      <w:rPr>
        <w:b/>
        <w:sz w:val="18"/>
      </w:rPr>
    </w:pPr>
    <w:r>
      <w:rPr>
        <w:b/>
        <w:sz w:val="18"/>
        <w:lang w:val="es-ES"/>
      </w:rPr>
      <w:t>Grupo de redacción jurídica, versión 1, 13 de octubre de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2056E"/>
    <w:multiLevelType w:val="hybridMultilevel"/>
    <w:tmpl w:val="D15C5618"/>
    <w:lvl w:ilvl="0" w:tplc="27FEA176">
      <w:start w:val="1"/>
      <w:numFmt w:val="decimal"/>
      <w:lvlText w:val="%1."/>
      <w:lvlJc w:val="left"/>
      <w:pPr>
        <w:ind w:left="1967" w:hanging="360"/>
      </w:pPr>
    </w:lvl>
    <w:lvl w:ilvl="1" w:tplc="1C090019" w:tentative="1">
      <w:start w:val="1"/>
      <w:numFmt w:val="lowerLetter"/>
      <w:lvlText w:val="%2."/>
      <w:lvlJc w:val="left"/>
      <w:pPr>
        <w:ind w:left="2687" w:hanging="360"/>
      </w:pPr>
    </w:lvl>
    <w:lvl w:ilvl="2" w:tplc="1C09001B" w:tentative="1">
      <w:start w:val="1"/>
      <w:numFmt w:val="lowerRoman"/>
      <w:lvlText w:val="%3."/>
      <w:lvlJc w:val="right"/>
      <w:pPr>
        <w:ind w:left="3407" w:hanging="180"/>
      </w:pPr>
    </w:lvl>
    <w:lvl w:ilvl="3" w:tplc="1C09000F" w:tentative="1">
      <w:start w:val="1"/>
      <w:numFmt w:val="decimal"/>
      <w:lvlText w:val="%4."/>
      <w:lvlJc w:val="left"/>
      <w:pPr>
        <w:ind w:left="4127" w:hanging="360"/>
      </w:pPr>
    </w:lvl>
    <w:lvl w:ilvl="4" w:tplc="1C090019" w:tentative="1">
      <w:start w:val="1"/>
      <w:numFmt w:val="lowerLetter"/>
      <w:lvlText w:val="%5."/>
      <w:lvlJc w:val="left"/>
      <w:pPr>
        <w:ind w:left="4847" w:hanging="360"/>
      </w:pPr>
    </w:lvl>
    <w:lvl w:ilvl="5" w:tplc="1C09001B" w:tentative="1">
      <w:start w:val="1"/>
      <w:numFmt w:val="lowerRoman"/>
      <w:lvlText w:val="%6."/>
      <w:lvlJc w:val="right"/>
      <w:pPr>
        <w:ind w:left="5567" w:hanging="180"/>
      </w:pPr>
    </w:lvl>
    <w:lvl w:ilvl="6" w:tplc="1C09000F" w:tentative="1">
      <w:start w:val="1"/>
      <w:numFmt w:val="decimal"/>
      <w:lvlText w:val="%7."/>
      <w:lvlJc w:val="left"/>
      <w:pPr>
        <w:ind w:left="6287" w:hanging="360"/>
      </w:pPr>
    </w:lvl>
    <w:lvl w:ilvl="7" w:tplc="1C090019" w:tentative="1">
      <w:start w:val="1"/>
      <w:numFmt w:val="lowerLetter"/>
      <w:lvlText w:val="%8."/>
      <w:lvlJc w:val="left"/>
      <w:pPr>
        <w:ind w:left="7007" w:hanging="360"/>
      </w:pPr>
    </w:lvl>
    <w:lvl w:ilvl="8" w:tplc="1C09001B" w:tentative="1">
      <w:start w:val="1"/>
      <w:numFmt w:val="lowerRoman"/>
      <w:lvlText w:val="%9."/>
      <w:lvlJc w:val="right"/>
      <w:pPr>
        <w:ind w:left="7727" w:hanging="180"/>
      </w:pPr>
    </w:lvl>
  </w:abstractNum>
  <w:abstractNum w:abstractNumId="1">
    <w:nsid w:val="12BE3F28"/>
    <w:multiLevelType w:val="hybridMultilevel"/>
    <w:tmpl w:val="C58C0F48"/>
    <w:lvl w:ilvl="0" w:tplc="1C090003">
      <w:start w:val="1"/>
      <w:numFmt w:val="bullet"/>
      <w:lvlText w:val="o"/>
      <w:lvlJc w:val="left"/>
      <w:pPr>
        <w:ind w:left="720" w:hanging="360"/>
      </w:pPr>
      <w:rPr>
        <w:rFonts w:ascii="Courier New" w:hAnsi="Courier New" w:cs="Courier New" w:hint="default"/>
      </w:rPr>
    </w:lvl>
    <w:lvl w:ilvl="1" w:tplc="B1D6F6FE">
      <w:start w:val="1"/>
      <w:numFmt w:val="bullet"/>
      <w:lvlText w:val=""/>
      <w:lvlJc w:val="left"/>
      <w:pPr>
        <w:ind w:left="1440" w:hanging="360"/>
      </w:pPr>
      <w:rPr>
        <w:rFonts w:ascii="Wingdings" w:hAnsi="Wingdings"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266230D"/>
    <w:multiLevelType w:val="hybridMultilevel"/>
    <w:tmpl w:val="1DB4CECC"/>
    <w:lvl w:ilvl="0" w:tplc="ED6CDD66">
      <w:start w:val="1"/>
      <w:numFmt w:val="decimal"/>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
    <w:nsid w:val="33563760"/>
    <w:multiLevelType w:val="hybridMultilevel"/>
    <w:tmpl w:val="5C9074B8"/>
    <w:lvl w:ilvl="0" w:tplc="12940714">
      <w:start w:val="1"/>
      <w:numFmt w:val="bullet"/>
      <w:lvlText w:val=""/>
      <w:lvlJc w:val="left"/>
      <w:pPr>
        <w:ind w:left="720" w:hanging="360"/>
      </w:pPr>
      <w:rPr>
        <w:rFonts w:ascii="Symbol" w:hAnsi="Symbol" w:hint="default"/>
        <w:lang w:val="es-E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8">
    <w:nsid w:val="6E447EAC"/>
    <w:multiLevelType w:val="hybridMultilevel"/>
    <w:tmpl w:val="C34E11EE"/>
    <w:lvl w:ilvl="0" w:tplc="1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F2344D"/>
    <w:multiLevelType w:val="hybridMultilevel"/>
    <w:tmpl w:val="3A902676"/>
    <w:lvl w:ilvl="0" w:tplc="CE6472DC">
      <w:start w:val="1"/>
      <w:numFmt w:val="decimal"/>
      <w:pStyle w:val="Normalnumb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num w:numId="1">
    <w:abstractNumId w:val="2"/>
  </w:num>
  <w:num w:numId="2">
    <w:abstractNumId w:val="5"/>
  </w:num>
  <w:num w:numId="3">
    <w:abstractNumId w:val="6"/>
  </w:num>
  <w:num w:numId="4">
    <w:abstractNumId w:val="7"/>
  </w:num>
  <w:num w:numId="5">
    <w:abstractNumId w:val="4"/>
  </w:num>
  <w:num w:numId="6">
    <w:abstractNumId w:val="8"/>
  </w:num>
  <w:num w:numId="7">
    <w:abstractNumId w:val="1"/>
  </w:num>
  <w:num w:numId="8">
    <w:abstractNumId w:val="0"/>
  </w:num>
  <w:num w:numId="9">
    <w:abstractNumId w:val="0"/>
    <w:lvlOverride w:ilvl="0">
      <w:startOverride w:val="1"/>
    </w:lvlOverride>
  </w:num>
  <w:num w:numId="10">
    <w:abstractNumId w:val="4"/>
    <w:lvlOverride w:ilvl="0">
      <w:lvl w:ilvl="0" w:tplc="12940714">
        <w:start w:val="1"/>
        <w:numFmt w:val="bullet"/>
        <w:lvlText w:val=""/>
        <w:lvlJc w:val="left"/>
        <w:pPr>
          <w:ind w:left="720" w:hanging="360"/>
        </w:pPr>
        <w:rPr>
          <w:rFonts w:ascii="Symbol" w:hAnsi="Symbol" w:hint="default"/>
        </w:rPr>
      </w:lvl>
    </w:lvlOverride>
    <w:lvlOverride w:ilvl="1">
      <w:lvl w:ilvl="1" w:tplc="04090003">
        <w:start w:val="1"/>
        <w:numFmt w:val="bullet"/>
        <w:lvlText w:val="o"/>
        <w:lvlJc w:val="left"/>
        <w:pPr>
          <w:ind w:left="1440" w:hanging="360"/>
        </w:pPr>
        <w:rPr>
          <w:rFonts w:ascii="Courier New" w:hAnsi="Courier New" w:cs="Courier New" w:hint="default"/>
        </w:rPr>
      </w:lvl>
    </w:lvlOverride>
  </w:num>
  <w:num w:numId="11">
    <w:abstractNumId w:val="3"/>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11F86"/>
    <w:rsid w:val="000121E1"/>
    <w:rsid w:val="00030BA0"/>
    <w:rsid w:val="000373C6"/>
    <w:rsid w:val="00042E1B"/>
    <w:rsid w:val="000457D5"/>
    <w:rsid w:val="000458C0"/>
    <w:rsid w:val="000466B3"/>
    <w:rsid w:val="0005232B"/>
    <w:rsid w:val="000616D2"/>
    <w:rsid w:val="000643F7"/>
    <w:rsid w:val="0007184E"/>
    <w:rsid w:val="000740FF"/>
    <w:rsid w:val="00076A2F"/>
    <w:rsid w:val="00082922"/>
    <w:rsid w:val="00083D7F"/>
    <w:rsid w:val="00084CB0"/>
    <w:rsid w:val="00085942"/>
    <w:rsid w:val="00090C96"/>
    <w:rsid w:val="00091E96"/>
    <w:rsid w:val="000950EE"/>
    <w:rsid w:val="00095230"/>
    <w:rsid w:val="00095D20"/>
    <w:rsid w:val="000B2EE9"/>
    <w:rsid w:val="000B4FAA"/>
    <w:rsid w:val="000B62B8"/>
    <w:rsid w:val="000C5358"/>
    <w:rsid w:val="000C5F60"/>
    <w:rsid w:val="000C7734"/>
    <w:rsid w:val="000D0041"/>
    <w:rsid w:val="000D05D1"/>
    <w:rsid w:val="000D1E19"/>
    <w:rsid w:val="000D275C"/>
    <w:rsid w:val="000D4814"/>
    <w:rsid w:val="000D77EA"/>
    <w:rsid w:val="000E47AB"/>
    <w:rsid w:val="000F0054"/>
    <w:rsid w:val="000F575E"/>
    <w:rsid w:val="000F6FAF"/>
    <w:rsid w:val="0010046C"/>
    <w:rsid w:val="001052D2"/>
    <w:rsid w:val="001059D0"/>
    <w:rsid w:val="001135F8"/>
    <w:rsid w:val="0011459C"/>
    <w:rsid w:val="00121F36"/>
    <w:rsid w:val="00137FAE"/>
    <w:rsid w:val="00144D05"/>
    <w:rsid w:val="00145BD9"/>
    <w:rsid w:val="0014795A"/>
    <w:rsid w:val="00150365"/>
    <w:rsid w:val="00151B24"/>
    <w:rsid w:val="00152BD6"/>
    <w:rsid w:val="00152E31"/>
    <w:rsid w:val="0016199D"/>
    <w:rsid w:val="001630C6"/>
    <w:rsid w:val="0016424A"/>
    <w:rsid w:val="0017253B"/>
    <w:rsid w:val="00172AF1"/>
    <w:rsid w:val="00172D2B"/>
    <w:rsid w:val="00187D08"/>
    <w:rsid w:val="00191A43"/>
    <w:rsid w:val="001B1A96"/>
    <w:rsid w:val="001B2591"/>
    <w:rsid w:val="001B7BD7"/>
    <w:rsid w:val="001C1F61"/>
    <w:rsid w:val="001C666C"/>
    <w:rsid w:val="001D7866"/>
    <w:rsid w:val="001E313C"/>
    <w:rsid w:val="001E3D5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B29AE"/>
    <w:rsid w:val="002B77FE"/>
    <w:rsid w:val="002B7C55"/>
    <w:rsid w:val="002C0D49"/>
    <w:rsid w:val="002C1022"/>
    <w:rsid w:val="002D09D1"/>
    <w:rsid w:val="002D1DA5"/>
    <w:rsid w:val="002D673B"/>
    <w:rsid w:val="002E5A13"/>
    <w:rsid w:val="002E6D48"/>
    <w:rsid w:val="002E708A"/>
    <w:rsid w:val="002F3D05"/>
    <w:rsid w:val="00306D21"/>
    <w:rsid w:val="00307C7D"/>
    <w:rsid w:val="003101ED"/>
    <w:rsid w:val="003105CA"/>
    <w:rsid w:val="00313D69"/>
    <w:rsid w:val="003349E2"/>
    <w:rsid w:val="0034563A"/>
    <w:rsid w:val="0035232C"/>
    <w:rsid w:val="003553A7"/>
    <w:rsid w:val="00356381"/>
    <w:rsid w:val="003571B7"/>
    <w:rsid w:val="00357B85"/>
    <w:rsid w:val="003629C8"/>
    <w:rsid w:val="00363C7C"/>
    <w:rsid w:val="003641E6"/>
    <w:rsid w:val="0036461D"/>
    <w:rsid w:val="00365785"/>
    <w:rsid w:val="00382C58"/>
    <w:rsid w:val="00383D71"/>
    <w:rsid w:val="00387FEC"/>
    <w:rsid w:val="00395ABB"/>
    <w:rsid w:val="003A034D"/>
    <w:rsid w:val="003A5BAC"/>
    <w:rsid w:val="003C3321"/>
    <w:rsid w:val="003C5311"/>
    <w:rsid w:val="003D12E4"/>
    <w:rsid w:val="003D4C1F"/>
    <w:rsid w:val="003F47E7"/>
    <w:rsid w:val="004054AE"/>
    <w:rsid w:val="00407853"/>
    <w:rsid w:val="004078C9"/>
    <w:rsid w:val="00407984"/>
    <w:rsid w:val="00411474"/>
    <w:rsid w:val="00417CA5"/>
    <w:rsid w:val="0042321C"/>
    <w:rsid w:val="004251B0"/>
    <w:rsid w:val="00427BAF"/>
    <w:rsid w:val="004300BD"/>
    <w:rsid w:val="00431D57"/>
    <w:rsid w:val="00431F54"/>
    <w:rsid w:val="00434442"/>
    <w:rsid w:val="00435BEA"/>
    <w:rsid w:val="00444732"/>
    <w:rsid w:val="0044596A"/>
    <w:rsid w:val="00447834"/>
    <w:rsid w:val="004547AA"/>
    <w:rsid w:val="004625DB"/>
    <w:rsid w:val="00462BF2"/>
    <w:rsid w:val="00463086"/>
    <w:rsid w:val="0046607A"/>
    <w:rsid w:val="00477209"/>
    <w:rsid w:val="00481996"/>
    <w:rsid w:val="004906F1"/>
    <w:rsid w:val="00490C5A"/>
    <w:rsid w:val="00493516"/>
    <w:rsid w:val="00493646"/>
    <w:rsid w:val="004A43AA"/>
    <w:rsid w:val="004A4752"/>
    <w:rsid w:val="004A7279"/>
    <w:rsid w:val="004C1D63"/>
    <w:rsid w:val="004C4973"/>
    <w:rsid w:val="004C740A"/>
    <w:rsid w:val="004D390F"/>
    <w:rsid w:val="004F0728"/>
    <w:rsid w:val="004F072C"/>
    <w:rsid w:val="004F36DC"/>
    <w:rsid w:val="004F66C7"/>
    <w:rsid w:val="005128F9"/>
    <w:rsid w:val="0051317F"/>
    <w:rsid w:val="00517C16"/>
    <w:rsid w:val="005271BF"/>
    <w:rsid w:val="00527472"/>
    <w:rsid w:val="00527AAC"/>
    <w:rsid w:val="00527CB0"/>
    <w:rsid w:val="00533FF5"/>
    <w:rsid w:val="0053503C"/>
    <w:rsid w:val="00543126"/>
    <w:rsid w:val="00543307"/>
    <w:rsid w:val="00543A1A"/>
    <w:rsid w:val="00544AE5"/>
    <w:rsid w:val="00550464"/>
    <w:rsid w:val="0055521B"/>
    <w:rsid w:val="00555F61"/>
    <w:rsid w:val="00560D84"/>
    <w:rsid w:val="00561A2F"/>
    <w:rsid w:val="0056720A"/>
    <w:rsid w:val="00574B0E"/>
    <w:rsid w:val="00586386"/>
    <w:rsid w:val="00596114"/>
    <w:rsid w:val="005A1012"/>
    <w:rsid w:val="005B59BB"/>
    <w:rsid w:val="005C0DDA"/>
    <w:rsid w:val="005C1531"/>
    <w:rsid w:val="005C6149"/>
    <w:rsid w:val="005C6D77"/>
    <w:rsid w:val="005C7069"/>
    <w:rsid w:val="005D05B5"/>
    <w:rsid w:val="005D34EB"/>
    <w:rsid w:val="005E07A7"/>
    <w:rsid w:val="005E2EEB"/>
    <w:rsid w:val="00610FFF"/>
    <w:rsid w:val="0061372C"/>
    <w:rsid w:val="006149D3"/>
    <w:rsid w:val="00620761"/>
    <w:rsid w:val="0062112F"/>
    <w:rsid w:val="006271A6"/>
    <w:rsid w:val="00635847"/>
    <w:rsid w:val="00636BE8"/>
    <w:rsid w:val="006447B3"/>
    <w:rsid w:val="006463F9"/>
    <w:rsid w:val="00662875"/>
    <w:rsid w:val="006628AA"/>
    <w:rsid w:val="006637DC"/>
    <w:rsid w:val="00665718"/>
    <w:rsid w:val="00665BEF"/>
    <w:rsid w:val="00667EBF"/>
    <w:rsid w:val="006709CD"/>
    <w:rsid w:val="00691AE2"/>
    <w:rsid w:val="00696C80"/>
    <w:rsid w:val="006A020A"/>
    <w:rsid w:val="006A1638"/>
    <w:rsid w:val="006A232E"/>
    <w:rsid w:val="006C02C4"/>
    <w:rsid w:val="006C0365"/>
    <w:rsid w:val="006C0701"/>
    <w:rsid w:val="006C2F8D"/>
    <w:rsid w:val="006C55C4"/>
    <w:rsid w:val="006E39AD"/>
    <w:rsid w:val="006E4C19"/>
    <w:rsid w:val="006E702B"/>
    <w:rsid w:val="006E7792"/>
    <w:rsid w:val="006F0456"/>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EB7"/>
    <w:rsid w:val="007964CC"/>
    <w:rsid w:val="007A1BA1"/>
    <w:rsid w:val="007A5D1B"/>
    <w:rsid w:val="007B03B5"/>
    <w:rsid w:val="007B0886"/>
    <w:rsid w:val="007B1CCC"/>
    <w:rsid w:val="007B3035"/>
    <w:rsid w:val="007D0578"/>
    <w:rsid w:val="007D4085"/>
    <w:rsid w:val="007D5247"/>
    <w:rsid w:val="007E6CB8"/>
    <w:rsid w:val="007E6DC3"/>
    <w:rsid w:val="007F59B3"/>
    <w:rsid w:val="00800F19"/>
    <w:rsid w:val="008056FE"/>
    <w:rsid w:val="00826639"/>
    <w:rsid w:val="00827ECB"/>
    <w:rsid w:val="00834851"/>
    <w:rsid w:val="008406D6"/>
    <w:rsid w:val="00840E4A"/>
    <w:rsid w:val="00847204"/>
    <w:rsid w:val="00851BBF"/>
    <w:rsid w:val="008532A3"/>
    <w:rsid w:val="00853721"/>
    <w:rsid w:val="0085551E"/>
    <w:rsid w:val="00857ADB"/>
    <w:rsid w:val="00860B7F"/>
    <w:rsid w:val="00867DC9"/>
    <w:rsid w:val="00871224"/>
    <w:rsid w:val="008724D9"/>
    <w:rsid w:val="00877DA4"/>
    <w:rsid w:val="008866C3"/>
    <w:rsid w:val="00887FB2"/>
    <w:rsid w:val="00890A20"/>
    <w:rsid w:val="008A25A1"/>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41A5A"/>
    <w:rsid w:val="00941B7A"/>
    <w:rsid w:val="00944A63"/>
    <w:rsid w:val="00961F19"/>
    <w:rsid w:val="0097092F"/>
    <w:rsid w:val="00970CDC"/>
    <w:rsid w:val="00972BB0"/>
    <w:rsid w:val="0097504F"/>
    <w:rsid w:val="00977A70"/>
    <w:rsid w:val="00997681"/>
    <w:rsid w:val="009A0F88"/>
    <w:rsid w:val="009A3F97"/>
    <w:rsid w:val="009A491F"/>
    <w:rsid w:val="009A5584"/>
    <w:rsid w:val="009A62AE"/>
    <w:rsid w:val="009A78AF"/>
    <w:rsid w:val="009B591A"/>
    <w:rsid w:val="009B71AD"/>
    <w:rsid w:val="009C1389"/>
    <w:rsid w:val="009C1B98"/>
    <w:rsid w:val="009D53E9"/>
    <w:rsid w:val="009E02B1"/>
    <w:rsid w:val="009E0E04"/>
    <w:rsid w:val="009E359B"/>
    <w:rsid w:val="009F089E"/>
    <w:rsid w:val="009F259F"/>
    <w:rsid w:val="009F5383"/>
    <w:rsid w:val="009F775B"/>
    <w:rsid w:val="009F7832"/>
    <w:rsid w:val="009F78CF"/>
    <w:rsid w:val="00A02763"/>
    <w:rsid w:val="00A13BCC"/>
    <w:rsid w:val="00A1689B"/>
    <w:rsid w:val="00A23426"/>
    <w:rsid w:val="00A24349"/>
    <w:rsid w:val="00A27581"/>
    <w:rsid w:val="00A300F6"/>
    <w:rsid w:val="00A313C7"/>
    <w:rsid w:val="00A33A00"/>
    <w:rsid w:val="00A357C2"/>
    <w:rsid w:val="00A36AFF"/>
    <w:rsid w:val="00A451B6"/>
    <w:rsid w:val="00A4726A"/>
    <w:rsid w:val="00A4774D"/>
    <w:rsid w:val="00A61DD4"/>
    <w:rsid w:val="00A65D13"/>
    <w:rsid w:val="00A6752D"/>
    <w:rsid w:val="00A6789C"/>
    <w:rsid w:val="00A700E6"/>
    <w:rsid w:val="00A70A2A"/>
    <w:rsid w:val="00A710A9"/>
    <w:rsid w:val="00A77C1E"/>
    <w:rsid w:val="00A81C52"/>
    <w:rsid w:val="00A84B9C"/>
    <w:rsid w:val="00A91A13"/>
    <w:rsid w:val="00A921C9"/>
    <w:rsid w:val="00A92DC6"/>
    <w:rsid w:val="00A93D7C"/>
    <w:rsid w:val="00A96B2F"/>
    <w:rsid w:val="00AA0942"/>
    <w:rsid w:val="00AA230B"/>
    <w:rsid w:val="00AB3EB4"/>
    <w:rsid w:val="00AB5A00"/>
    <w:rsid w:val="00AB7F1F"/>
    <w:rsid w:val="00AC0D69"/>
    <w:rsid w:val="00AC5645"/>
    <w:rsid w:val="00AC7B07"/>
    <w:rsid w:val="00AD557B"/>
    <w:rsid w:val="00AD7703"/>
    <w:rsid w:val="00AE5612"/>
    <w:rsid w:val="00AE71ED"/>
    <w:rsid w:val="00AF0210"/>
    <w:rsid w:val="00AF2967"/>
    <w:rsid w:val="00B10BDF"/>
    <w:rsid w:val="00B12EC6"/>
    <w:rsid w:val="00B1611D"/>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87822"/>
    <w:rsid w:val="00B90B2B"/>
    <w:rsid w:val="00B97195"/>
    <w:rsid w:val="00BB3581"/>
    <w:rsid w:val="00BC26CD"/>
    <w:rsid w:val="00BC3079"/>
    <w:rsid w:val="00BC38CA"/>
    <w:rsid w:val="00BD131F"/>
    <w:rsid w:val="00BD2B25"/>
    <w:rsid w:val="00BD69F6"/>
    <w:rsid w:val="00BE201A"/>
    <w:rsid w:val="00BE78E7"/>
    <w:rsid w:val="00BF3D22"/>
    <w:rsid w:val="00BF6D8E"/>
    <w:rsid w:val="00BF75DC"/>
    <w:rsid w:val="00C16288"/>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94E"/>
    <w:rsid w:val="00CC4028"/>
    <w:rsid w:val="00CC504A"/>
    <w:rsid w:val="00CC7B15"/>
    <w:rsid w:val="00CD2178"/>
    <w:rsid w:val="00CD356C"/>
    <w:rsid w:val="00CD72C2"/>
    <w:rsid w:val="00CE34D2"/>
    <w:rsid w:val="00CE539A"/>
    <w:rsid w:val="00CF39AE"/>
    <w:rsid w:val="00CF47C9"/>
    <w:rsid w:val="00D01C84"/>
    <w:rsid w:val="00D15F83"/>
    <w:rsid w:val="00D21AE9"/>
    <w:rsid w:val="00D2508D"/>
    <w:rsid w:val="00D3110B"/>
    <w:rsid w:val="00D36663"/>
    <w:rsid w:val="00D379F0"/>
    <w:rsid w:val="00D44346"/>
    <w:rsid w:val="00D547AD"/>
    <w:rsid w:val="00D608E9"/>
    <w:rsid w:val="00D61349"/>
    <w:rsid w:val="00D63CBE"/>
    <w:rsid w:val="00D70131"/>
    <w:rsid w:val="00D749E3"/>
    <w:rsid w:val="00D7605F"/>
    <w:rsid w:val="00D76B8A"/>
    <w:rsid w:val="00DA3C65"/>
    <w:rsid w:val="00DA533D"/>
    <w:rsid w:val="00DB258D"/>
    <w:rsid w:val="00DB5E59"/>
    <w:rsid w:val="00DB7D73"/>
    <w:rsid w:val="00DC1F8B"/>
    <w:rsid w:val="00DC2989"/>
    <w:rsid w:val="00DC2A36"/>
    <w:rsid w:val="00DC6D0B"/>
    <w:rsid w:val="00DC769F"/>
    <w:rsid w:val="00DD4E93"/>
    <w:rsid w:val="00DE19E1"/>
    <w:rsid w:val="00DF3787"/>
    <w:rsid w:val="00DF7508"/>
    <w:rsid w:val="00DF7ED5"/>
    <w:rsid w:val="00E039C4"/>
    <w:rsid w:val="00E05B9E"/>
    <w:rsid w:val="00E076AE"/>
    <w:rsid w:val="00E12291"/>
    <w:rsid w:val="00E1385F"/>
    <w:rsid w:val="00E257E2"/>
    <w:rsid w:val="00E25A23"/>
    <w:rsid w:val="00E3024C"/>
    <w:rsid w:val="00E37B9C"/>
    <w:rsid w:val="00E40015"/>
    <w:rsid w:val="00E4615A"/>
    <w:rsid w:val="00E467F7"/>
    <w:rsid w:val="00E613F9"/>
    <w:rsid w:val="00E626FF"/>
    <w:rsid w:val="00E65FA4"/>
    <w:rsid w:val="00E80310"/>
    <w:rsid w:val="00E83272"/>
    <w:rsid w:val="00E83C3F"/>
    <w:rsid w:val="00E926A4"/>
    <w:rsid w:val="00E92B90"/>
    <w:rsid w:val="00E93A0D"/>
    <w:rsid w:val="00E940B9"/>
    <w:rsid w:val="00EA28D4"/>
    <w:rsid w:val="00EA454A"/>
    <w:rsid w:val="00EC1EA9"/>
    <w:rsid w:val="00EC2049"/>
    <w:rsid w:val="00EC77CE"/>
    <w:rsid w:val="00ED1458"/>
    <w:rsid w:val="00ED4A64"/>
    <w:rsid w:val="00ED5774"/>
    <w:rsid w:val="00ED673B"/>
    <w:rsid w:val="00EE1BC6"/>
    <w:rsid w:val="00EF0B9B"/>
    <w:rsid w:val="00EF7BBD"/>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1094"/>
    <w:rsid w:val="00FD2698"/>
    <w:rsid w:val="00FD5AC4"/>
    <w:rsid w:val="00FE452B"/>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spacing w:after="120"/>
    </w:pPr>
    <w:rPr>
      <w:lang w:val="en-GB"/>
    </w:rPr>
  </w:style>
  <w:style w:type="paragraph" w:customStyle="1" w:styleId="Normalnumber">
    <w:name w:val="Normal_number"/>
    <w:basedOn w:val="Normal"/>
    <w:link w:val="NormalnumberChar"/>
    <w:autoRedefine/>
    <w:rsid w:val="00B1611D"/>
    <w:pPr>
      <w:numPr>
        <w:numId w:val="12"/>
      </w:numPr>
      <w:tabs>
        <w:tab w:val="clear" w:pos="1247"/>
        <w:tab w:val="clear" w:pos="1814"/>
        <w:tab w:val="clear" w:pos="2381"/>
        <w:tab w:val="clear" w:pos="2948"/>
        <w:tab w:val="clear" w:pos="3515"/>
        <w:tab w:val="left" w:pos="624"/>
      </w:tabs>
      <w:spacing w:after="120"/>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B1611D"/>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 w:type="character" w:customStyle="1" w:styleId="apple-converted-space">
    <w:name w:val="apple-converted-space"/>
    <w:basedOn w:val="DefaultParagraphFont"/>
    <w:rsid w:val="004447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spacing w:after="120"/>
    </w:pPr>
    <w:rPr>
      <w:lang w:val="en-GB"/>
    </w:rPr>
  </w:style>
  <w:style w:type="paragraph" w:customStyle="1" w:styleId="Normalnumber">
    <w:name w:val="Normal_number"/>
    <w:basedOn w:val="Normal"/>
    <w:link w:val="NormalnumberChar"/>
    <w:autoRedefine/>
    <w:rsid w:val="00B1611D"/>
    <w:pPr>
      <w:numPr>
        <w:numId w:val="12"/>
      </w:numPr>
      <w:tabs>
        <w:tab w:val="clear" w:pos="1247"/>
        <w:tab w:val="clear" w:pos="1814"/>
        <w:tab w:val="clear" w:pos="2381"/>
        <w:tab w:val="clear" w:pos="2948"/>
        <w:tab w:val="clear" w:pos="3515"/>
        <w:tab w:val="left" w:pos="624"/>
      </w:tabs>
      <w:spacing w:after="120"/>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B1611D"/>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 w:type="character" w:customStyle="1" w:styleId="apple-converted-space">
    <w:name w:val="apple-converted-space"/>
    <w:basedOn w:val="DefaultParagraphFont"/>
    <w:rsid w:val="00444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 w:id="179124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8200F8-DA43-854C-A85E-8393B7CC5D24}"/>
</file>

<file path=customXml/itemProps2.xml><?xml version="1.0" encoding="utf-8"?>
<ds:datastoreItem xmlns:ds="http://schemas.openxmlformats.org/officeDocument/2006/customXml" ds:itemID="{FBEFC4E6-6EB0-44EB-865F-67E832A4B6D5}"/>
</file>

<file path=customXml/itemProps3.xml><?xml version="1.0" encoding="utf-8"?>
<ds:datastoreItem xmlns:ds="http://schemas.openxmlformats.org/officeDocument/2006/customXml" ds:itemID="{13F265FB-6917-4E5B-93F1-658408CB0DCC}"/>
</file>

<file path=customXml/itemProps4.xml><?xml version="1.0" encoding="utf-8"?>
<ds:datastoreItem xmlns:ds="http://schemas.openxmlformats.org/officeDocument/2006/customXml" ds:itemID="{857FF3DD-FC52-4B01-8EB9-53D9D3EA0AC2}"/>
</file>

<file path=customXml/itemProps5.xml><?xml version="1.0" encoding="utf-8"?>
<ds:datastoreItem xmlns:ds="http://schemas.openxmlformats.org/officeDocument/2006/customXml" ds:itemID="{3623FF85-89B6-4707-B1E3-705177358C9A}"/>
</file>

<file path=docProps/app.xml><?xml version="1.0" encoding="utf-8"?>
<Properties xmlns="http://schemas.openxmlformats.org/officeDocument/2006/extended-properties" xmlns:vt="http://schemas.openxmlformats.org/officeDocument/2006/docPropsVTypes">
  <Template>Normal.dotm</Template>
  <TotalTime>0</TotalTime>
  <Pages>8</Pages>
  <Words>3172</Words>
  <Characters>18083</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21213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2016-10-13T18:56:00Z</cp:lastPrinted>
  <dcterms:created xsi:type="dcterms:W3CDTF">2016-10-14T06:26:00Z</dcterms:created>
  <dcterms:modified xsi:type="dcterms:W3CDTF">2016-10-14T08:31:00Z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ies>
</file>